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173A" w14:textId="52F04F67" w:rsidR="00221B3E" w:rsidRPr="00221B3E" w:rsidRDefault="00221B3E" w:rsidP="00FE7019">
      <w:pPr>
        <w:rPr>
          <w:lang w:val="en-CA"/>
        </w:rPr>
      </w:pPr>
      <w:r w:rsidRPr="00221B3E">
        <w:rPr>
          <w:lang w:val="en-CA"/>
        </w:rPr>
        <w:t xml:space="preserve">Translated from the original </w:t>
      </w:r>
      <w:proofErr w:type="gramStart"/>
      <w:r w:rsidRPr="00221B3E">
        <w:rPr>
          <w:lang w:val="en-CA"/>
        </w:rPr>
        <w:t>F</w:t>
      </w:r>
      <w:r>
        <w:rPr>
          <w:lang w:val="en-CA"/>
        </w:rPr>
        <w:t>rench</w:t>
      </w:r>
      <w:proofErr w:type="gramEnd"/>
    </w:p>
    <w:tbl>
      <w:tblPr>
        <w:tblW w:w="9568" w:type="dxa"/>
        <w:tblLayout w:type="fixed"/>
        <w:tblCellMar>
          <w:left w:w="70" w:type="dxa"/>
          <w:right w:w="70" w:type="dxa"/>
        </w:tblCellMar>
        <w:tblLook w:val="0000" w:firstRow="0" w:lastRow="0" w:firstColumn="0" w:lastColumn="0" w:noHBand="0" w:noVBand="0"/>
      </w:tblPr>
      <w:tblGrid>
        <w:gridCol w:w="1913"/>
        <w:gridCol w:w="2739"/>
        <w:gridCol w:w="168"/>
        <w:gridCol w:w="4678"/>
        <w:gridCol w:w="70"/>
      </w:tblGrid>
      <w:tr w:rsidR="00FE7019" w:rsidRPr="00844D89" w14:paraId="4AB3B204" w14:textId="77777777" w:rsidTr="00070D64">
        <w:trPr>
          <w:gridAfter w:val="1"/>
          <w:wAfter w:w="70" w:type="dxa"/>
          <w:trHeight w:val="360"/>
        </w:trPr>
        <w:tc>
          <w:tcPr>
            <w:tcW w:w="4652" w:type="dxa"/>
            <w:gridSpan w:val="2"/>
          </w:tcPr>
          <w:p w14:paraId="606BD1A5" w14:textId="6271FAD3" w:rsidR="00FE7019" w:rsidRPr="00221B3E" w:rsidRDefault="00FE7019" w:rsidP="00FE7019">
            <w:pPr>
              <w:pStyle w:val="zSoquijdatRepertorie"/>
              <w:jc w:val="both"/>
              <w:rPr>
                <w:lang w:val="en-CA"/>
              </w:rPr>
            </w:pPr>
            <w:r>
              <w:rPr>
                <w:rFonts w:cs="Arial"/>
              </w:rPr>
              <w:t>Autorité des marchés financiers c. Allard</w:t>
            </w:r>
          </w:p>
        </w:tc>
        <w:tc>
          <w:tcPr>
            <w:tcW w:w="4846" w:type="dxa"/>
            <w:gridSpan w:val="2"/>
          </w:tcPr>
          <w:p w14:paraId="23568EDE" w14:textId="49B0695D" w:rsidR="00FE7019" w:rsidRPr="00221B3E" w:rsidRDefault="00FE7019" w:rsidP="00FE7019">
            <w:pPr>
              <w:pStyle w:val="zSoquijdatRefNeutre"/>
              <w:jc w:val="right"/>
              <w:rPr>
                <w:lang w:val="en-CA"/>
              </w:rPr>
            </w:pPr>
            <w:r w:rsidRPr="002C0D75">
              <w:rPr>
                <w:rFonts w:cs="Arial"/>
              </w:rPr>
              <w:t>2024 QCTMF 57</w:t>
            </w:r>
          </w:p>
        </w:tc>
      </w:tr>
      <w:tr w:rsidR="00575301" w14:paraId="0C5CE5A1" w14:textId="77777777" w:rsidTr="00070D64">
        <w:trPr>
          <w:gridAfter w:val="1"/>
          <w:wAfter w:w="70" w:type="dxa"/>
          <w:trHeight w:val="900"/>
        </w:trPr>
        <w:tc>
          <w:tcPr>
            <w:tcW w:w="9498" w:type="dxa"/>
            <w:gridSpan w:val="4"/>
            <w:vAlign w:val="bottom"/>
          </w:tcPr>
          <w:p w14:paraId="6AC11559" w14:textId="14DBB809" w:rsidR="00B4030F" w:rsidRDefault="007543BD" w:rsidP="00585AE1">
            <w:pPr>
              <w:pStyle w:val="zSoquijlblCour"/>
            </w:pPr>
            <w:r w:rsidRPr="00221B3E">
              <w:t>FINANCIAL MARKETS</w:t>
            </w:r>
            <w:r w:rsidR="00544DF4">
              <w:br/>
            </w:r>
            <w:r w:rsidRPr="00221B3E">
              <w:t>ADMINISTRATIVE TRIBUNAL</w:t>
            </w:r>
          </w:p>
        </w:tc>
      </w:tr>
      <w:tr w:rsidR="00575301" w14:paraId="160D3093" w14:textId="77777777" w:rsidTr="00070D64">
        <w:trPr>
          <w:gridAfter w:val="1"/>
          <w:wAfter w:w="70" w:type="dxa"/>
          <w:trHeight w:val="540"/>
        </w:trPr>
        <w:tc>
          <w:tcPr>
            <w:tcW w:w="9498" w:type="dxa"/>
            <w:gridSpan w:val="4"/>
          </w:tcPr>
          <w:p w14:paraId="62E21359" w14:textId="77777777" w:rsidR="00B4030F" w:rsidRDefault="00B4030F" w:rsidP="002340F5">
            <w:pPr>
              <w:pStyle w:val="zSoquijdatDivision"/>
              <w:jc w:val="both"/>
            </w:pPr>
          </w:p>
        </w:tc>
      </w:tr>
      <w:tr w:rsidR="00575301" w14:paraId="7D49735A" w14:textId="77777777" w:rsidTr="00070D64">
        <w:trPr>
          <w:gridAfter w:val="1"/>
          <w:wAfter w:w="70" w:type="dxa"/>
        </w:trPr>
        <w:tc>
          <w:tcPr>
            <w:tcW w:w="9498" w:type="dxa"/>
            <w:gridSpan w:val="4"/>
          </w:tcPr>
          <w:p w14:paraId="130D38D1" w14:textId="648CA360" w:rsidR="00B4030F" w:rsidRPr="00221B3E" w:rsidRDefault="007543BD" w:rsidP="002340F5">
            <w:pPr>
              <w:pStyle w:val="zSoquijlblPays"/>
              <w:jc w:val="both"/>
            </w:pPr>
            <w:r w:rsidRPr="00221B3E">
              <w:t>CANADA</w:t>
            </w:r>
          </w:p>
        </w:tc>
      </w:tr>
      <w:tr w:rsidR="00575301" w14:paraId="47D41FC9" w14:textId="77777777" w:rsidTr="00070D64">
        <w:trPr>
          <w:gridAfter w:val="1"/>
          <w:wAfter w:w="70" w:type="dxa"/>
        </w:trPr>
        <w:tc>
          <w:tcPr>
            <w:tcW w:w="9498" w:type="dxa"/>
            <w:gridSpan w:val="4"/>
          </w:tcPr>
          <w:p w14:paraId="05DB4434" w14:textId="661EFDF7" w:rsidR="00B4030F" w:rsidRDefault="007543BD" w:rsidP="002340F5">
            <w:pPr>
              <w:pStyle w:val="zSoquijlblProvince"/>
              <w:jc w:val="both"/>
            </w:pPr>
            <w:r w:rsidRPr="00221B3E">
              <w:t>PROVINCE OF QUEBEC</w:t>
            </w:r>
          </w:p>
        </w:tc>
      </w:tr>
      <w:tr w:rsidR="00575301" w14:paraId="7A8AE9CA" w14:textId="77777777" w:rsidTr="00070D64">
        <w:trPr>
          <w:gridAfter w:val="1"/>
          <w:wAfter w:w="70" w:type="dxa"/>
        </w:trPr>
        <w:tc>
          <w:tcPr>
            <w:tcW w:w="9498" w:type="dxa"/>
            <w:gridSpan w:val="4"/>
          </w:tcPr>
          <w:p w14:paraId="2FD431E5" w14:textId="37B27A9E" w:rsidR="00EB39E3" w:rsidRPr="00221B3E" w:rsidRDefault="007543BD" w:rsidP="002340F5">
            <w:pPr>
              <w:pStyle w:val="zSoquijdatGreffe"/>
              <w:ind w:left="0"/>
              <w:jc w:val="both"/>
            </w:pPr>
            <w:r w:rsidRPr="00221B3E">
              <w:t>MONTREAL</w:t>
            </w:r>
          </w:p>
        </w:tc>
      </w:tr>
      <w:tr w:rsidR="00575301" w14:paraId="03C49BEF" w14:textId="77777777" w:rsidTr="00070D64">
        <w:trPr>
          <w:gridAfter w:val="1"/>
          <w:wAfter w:w="70" w:type="dxa"/>
          <w:trHeight w:val="540"/>
        </w:trPr>
        <w:tc>
          <w:tcPr>
            <w:tcW w:w="9498" w:type="dxa"/>
            <w:gridSpan w:val="4"/>
          </w:tcPr>
          <w:p w14:paraId="3E37F527" w14:textId="77777777" w:rsidR="00B4030F" w:rsidRDefault="00B4030F" w:rsidP="002340F5">
            <w:pPr>
              <w:pStyle w:val="zSoquijlblNomChambre"/>
              <w:jc w:val="both"/>
            </w:pPr>
          </w:p>
        </w:tc>
      </w:tr>
      <w:tr w:rsidR="00575301" w14:paraId="3FB3CC30" w14:textId="77777777" w:rsidTr="00070D64">
        <w:trPr>
          <w:gridAfter w:val="1"/>
          <w:wAfter w:w="70" w:type="dxa"/>
        </w:trPr>
        <w:tc>
          <w:tcPr>
            <w:tcW w:w="1913" w:type="dxa"/>
          </w:tcPr>
          <w:p w14:paraId="289ECD3C" w14:textId="4E4F4DD4" w:rsidR="00B4030F" w:rsidRDefault="007543BD" w:rsidP="002340F5">
            <w:pPr>
              <w:pStyle w:val="zSoquijlblNoDossier"/>
              <w:jc w:val="both"/>
            </w:pPr>
            <w:r w:rsidRPr="00221B3E">
              <w:t>FILE N</w:t>
            </w:r>
            <w:r w:rsidR="008D56BC">
              <w:t>o</w:t>
            </w:r>
            <w:r w:rsidRPr="00221B3E">
              <w:t>.:</w:t>
            </w:r>
          </w:p>
        </w:tc>
        <w:bookmarkStart w:id="0" w:name="_Hlk137796325" w:displacedByCustomXml="next"/>
        <w:sdt>
          <w:sdtPr>
            <w:alias w:val="Dossier No"/>
            <w:tag w:val="bdrqc.dossier_no--v1"/>
            <w:id w:val="1925535250"/>
            <w:placeholder>
              <w:docPart w:val="5E4FB6135DC64C3BBAF380B5BC754CD0"/>
            </w:placeholder>
            <w:text/>
          </w:sdtPr>
          <w:sdtContent>
            <w:tc>
              <w:tcPr>
                <w:tcW w:w="7585" w:type="dxa"/>
                <w:gridSpan w:val="3"/>
              </w:tcPr>
              <w:p w14:paraId="6F342D1E" w14:textId="44D9D401" w:rsidR="00B4030F" w:rsidRDefault="00544DF4" w:rsidP="002340F5">
                <w:pPr>
                  <w:pStyle w:val="zSoquijdatNoDossier"/>
                  <w:jc w:val="both"/>
                </w:pPr>
                <w:r>
                  <w:t>2024-010</w:t>
                </w:r>
              </w:p>
            </w:tc>
          </w:sdtContent>
        </w:sdt>
        <w:bookmarkEnd w:id="0" w:displacedByCustomXml="prev"/>
      </w:tr>
      <w:tr w:rsidR="00575301" w14:paraId="603EA6AC" w14:textId="77777777" w:rsidTr="00070D64">
        <w:trPr>
          <w:gridAfter w:val="1"/>
          <w:wAfter w:w="70" w:type="dxa"/>
        </w:trPr>
        <w:tc>
          <w:tcPr>
            <w:tcW w:w="9498" w:type="dxa"/>
            <w:gridSpan w:val="4"/>
          </w:tcPr>
          <w:p w14:paraId="6FAD23AD" w14:textId="77777777" w:rsidR="00EB39E3" w:rsidRDefault="00EB39E3" w:rsidP="002340F5">
            <w:pPr>
              <w:jc w:val="both"/>
            </w:pPr>
          </w:p>
        </w:tc>
      </w:tr>
      <w:tr w:rsidR="00575301" w14:paraId="4A4362BB" w14:textId="77777777" w:rsidTr="00070D64">
        <w:trPr>
          <w:gridAfter w:val="1"/>
          <w:wAfter w:w="70" w:type="dxa"/>
        </w:trPr>
        <w:tc>
          <w:tcPr>
            <w:tcW w:w="1913" w:type="dxa"/>
          </w:tcPr>
          <w:p w14:paraId="5E8CF404" w14:textId="00D31667" w:rsidR="00EB39E3" w:rsidRDefault="007543BD" w:rsidP="002340F5">
            <w:pPr>
              <w:pStyle w:val="zSoquijlblNoDossier"/>
              <w:jc w:val="both"/>
            </w:pPr>
            <w:r w:rsidRPr="00221B3E">
              <w:t>DECISION No.:</w:t>
            </w:r>
          </w:p>
        </w:tc>
        <w:bookmarkStart w:id="1" w:name="_Hlk137796326" w:displacedByCustomXml="next"/>
        <w:sdt>
          <w:sdtPr>
            <w:alias w:val="Décision No"/>
            <w:tag w:val="bdrqc.decision_no--v2"/>
            <w:id w:val="-2102867213"/>
            <w:placeholder>
              <w:docPart w:val="DE3EB9A635B14CABBE0DCB4B8C99047B"/>
            </w:placeholder>
            <w:text/>
          </w:sdtPr>
          <w:sdtContent>
            <w:tc>
              <w:tcPr>
                <w:tcW w:w="7585" w:type="dxa"/>
                <w:gridSpan w:val="3"/>
              </w:tcPr>
              <w:p w14:paraId="607A2DFE" w14:textId="2ACF36C1" w:rsidR="00EB39E3" w:rsidRDefault="00362CC1" w:rsidP="002340F5">
                <w:pPr>
                  <w:pStyle w:val="zSoquijdatNoDossier"/>
                  <w:jc w:val="both"/>
                </w:pPr>
                <w:r>
                  <w:t>2024-010-002</w:t>
                </w:r>
              </w:p>
            </w:tc>
          </w:sdtContent>
        </w:sdt>
        <w:bookmarkEnd w:id="1" w:displacedByCustomXml="prev"/>
      </w:tr>
      <w:tr w:rsidR="00575301" w14:paraId="306B4A31" w14:textId="77777777" w:rsidTr="00070D64">
        <w:trPr>
          <w:gridAfter w:val="1"/>
          <w:wAfter w:w="70" w:type="dxa"/>
        </w:trPr>
        <w:tc>
          <w:tcPr>
            <w:tcW w:w="1913" w:type="dxa"/>
          </w:tcPr>
          <w:p w14:paraId="43FF755C" w14:textId="77777777" w:rsidR="00585AE1" w:rsidRDefault="00585AE1" w:rsidP="002340F5">
            <w:pPr>
              <w:pStyle w:val="zSoquijlblNoDossier"/>
              <w:jc w:val="both"/>
            </w:pPr>
          </w:p>
        </w:tc>
        <w:tc>
          <w:tcPr>
            <w:tcW w:w="7585" w:type="dxa"/>
            <w:gridSpan w:val="3"/>
          </w:tcPr>
          <w:p w14:paraId="3A4627A2" w14:textId="77777777" w:rsidR="00585AE1" w:rsidRDefault="00585AE1" w:rsidP="002340F5">
            <w:pPr>
              <w:pStyle w:val="zSoquijdatNoDossier"/>
              <w:jc w:val="both"/>
            </w:pPr>
          </w:p>
        </w:tc>
      </w:tr>
      <w:tr w:rsidR="00575301" w14:paraId="3797C9BD" w14:textId="77777777" w:rsidTr="00070D64">
        <w:trPr>
          <w:gridAfter w:val="1"/>
          <w:wAfter w:w="70" w:type="dxa"/>
        </w:trPr>
        <w:tc>
          <w:tcPr>
            <w:tcW w:w="1913" w:type="dxa"/>
          </w:tcPr>
          <w:p w14:paraId="0854BA01" w14:textId="0A05F081" w:rsidR="00585AE1" w:rsidRPr="00221B3E" w:rsidRDefault="007543BD" w:rsidP="002340F5">
            <w:pPr>
              <w:pStyle w:val="zSoquijlblNoDossier"/>
              <w:jc w:val="both"/>
            </w:pPr>
            <w:r w:rsidRPr="00221B3E">
              <w:t>DATE:</w:t>
            </w:r>
          </w:p>
        </w:tc>
        <w:tc>
          <w:tcPr>
            <w:tcW w:w="7585" w:type="dxa"/>
            <w:gridSpan w:val="3"/>
          </w:tcPr>
          <w:p w14:paraId="35707DD3" w14:textId="07F71115" w:rsidR="00585AE1" w:rsidRPr="00221B3E" w:rsidRDefault="007543BD" w:rsidP="002340F5">
            <w:pPr>
              <w:pStyle w:val="zSoquijdatNoDossier"/>
              <w:jc w:val="both"/>
            </w:pPr>
            <w:r w:rsidRPr="00221B3E">
              <w:t>September 6, 2024</w:t>
            </w:r>
          </w:p>
        </w:tc>
      </w:tr>
      <w:tr w:rsidR="00575301" w14:paraId="10C8193A" w14:textId="77777777" w:rsidTr="0002722E">
        <w:trPr>
          <w:gridAfter w:val="1"/>
          <w:wAfter w:w="70" w:type="dxa"/>
        </w:trPr>
        <w:tc>
          <w:tcPr>
            <w:tcW w:w="9498" w:type="dxa"/>
            <w:gridSpan w:val="4"/>
            <w:tcBorders>
              <w:bottom w:val="single" w:sz="4" w:space="0" w:color="auto"/>
            </w:tcBorders>
          </w:tcPr>
          <w:p w14:paraId="7134C720" w14:textId="073E1517" w:rsidR="00585AE1" w:rsidRDefault="00585AE1" w:rsidP="002340F5">
            <w:pPr>
              <w:ind w:left="14" w:right="-67"/>
              <w:jc w:val="both"/>
            </w:pPr>
          </w:p>
        </w:tc>
      </w:tr>
      <w:tr w:rsidR="00575301" w14:paraId="30C519B3" w14:textId="77777777" w:rsidTr="0002722E">
        <w:trPr>
          <w:gridAfter w:val="1"/>
          <w:wAfter w:w="70" w:type="dxa"/>
        </w:trPr>
        <w:tc>
          <w:tcPr>
            <w:tcW w:w="9498" w:type="dxa"/>
            <w:gridSpan w:val="4"/>
            <w:tcBorders>
              <w:top w:val="single" w:sz="4" w:space="0" w:color="auto"/>
            </w:tcBorders>
          </w:tcPr>
          <w:p w14:paraId="677C909F" w14:textId="3B102CE6" w:rsidR="00B4030F" w:rsidRDefault="00B4030F" w:rsidP="002340F5">
            <w:pPr>
              <w:jc w:val="both"/>
            </w:pPr>
          </w:p>
        </w:tc>
      </w:tr>
      <w:tr w:rsidR="00575301" w14:paraId="42DDFBA5" w14:textId="77777777" w:rsidTr="00485F77">
        <w:tblPrEx>
          <w:tblCellMar>
            <w:left w:w="0" w:type="dxa"/>
            <w:right w:w="0" w:type="dxa"/>
          </w:tblCellMar>
        </w:tblPrEx>
        <w:tc>
          <w:tcPr>
            <w:tcW w:w="4820" w:type="dxa"/>
            <w:gridSpan w:val="3"/>
          </w:tcPr>
          <w:p w14:paraId="1477BE1F" w14:textId="5D2DAC11" w:rsidR="00D201EF" w:rsidRPr="00221B3E" w:rsidRDefault="007543BD" w:rsidP="002340F5">
            <w:pPr>
              <w:pStyle w:val="zSoquijdatQteJuge"/>
              <w:jc w:val="both"/>
            </w:pPr>
            <w:r w:rsidRPr="00221B3E">
              <w:t xml:space="preserve">BEFORE </w:t>
            </w:r>
            <w:r w:rsidR="00A32D8D">
              <w:t xml:space="preserve">THE </w:t>
            </w:r>
            <w:r w:rsidRPr="00221B3E">
              <w:t>ADMINISTRATIVE JUDGE:</w:t>
            </w:r>
          </w:p>
        </w:tc>
        <w:tc>
          <w:tcPr>
            <w:tcW w:w="4748" w:type="dxa"/>
            <w:gridSpan w:val="2"/>
          </w:tcPr>
          <w:p w14:paraId="50C579C9" w14:textId="0EA472F6" w:rsidR="00D201EF" w:rsidRPr="00221B3E" w:rsidRDefault="007543BD" w:rsidP="002340F5">
            <w:pPr>
              <w:pStyle w:val="zSoquijdatJuge"/>
              <w:jc w:val="both"/>
            </w:pPr>
            <w:r w:rsidRPr="00221B3E">
              <w:t>CHRISTINE DUBÉ</w:t>
            </w:r>
          </w:p>
        </w:tc>
      </w:tr>
      <w:tr w:rsidR="00575301" w14:paraId="346FD67E" w14:textId="77777777" w:rsidTr="0002722E">
        <w:trPr>
          <w:gridAfter w:val="1"/>
          <w:wAfter w:w="70" w:type="dxa"/>
        </w:trPr>
        <w:tc>
          <w:tcPr>
            <w:tcW w:w="9498" w:type="dxa"/>
            <w:gridSpan w:val="4"/>
            <w:tcBorders>
              <w:bottom w:val="single" w:sz="4" w:space="0" w:color="auto"/>
            </w:tcBorders>
          </w:tcPr>
          <w:p w14:paraId="590BCACC" w14:textId="77777777" w:rsidR="00B4030F" w:rsidRDefault="00B4030F" w:rsidP="002340F5">
            <w:pPr>
              <w:ind w:left="14" w:right="-67"/>
              <w:jc w:val="both"/>
            </w:pPr>
          </w:p>
        </w:tc>
      </w:tr>
      <w:tr w:rsidR="00575301" w14:paraId="0F51CF35" w14:textId="77777777" w:rsidTr="0002722E">
        <w:trPr>
          <w:gridAfter w:val="1"/>
          <w:wAfter w:w="70" w:type="dxa"/>
        </w:trPr>
        <w:tc>
          <w:tcPr>
            <w:tcW w:w="9498" w:type="dxa"/>
            <w:gridSpan w:val="4"/>
            <w:tcBorders>
              <w:top w:val="single" w:sz="4" w:space="0" w:color="auto"/>
            </w:tcBorders>
          </w:tcPr>
          <w:p w14:paraId="41846635" w14:textId="77777777" w:rsidR="00B4030F" w:rsidRDefault="00B4030F" w:rsidP="002340F5">
            <w:pPr>
              <w:pStyle w:val="zSoquijlblTitrePartie"/>
              <w:jc w:val="both"/>
            </w:pPr>
          </w:p>
        </w:tc>
      </w:tr>
      <w:tr w:rsidR="00575301" w14:paraId="14902696" w14:textId="77777777" w:rsidTr="00070D64">
        <w:trPr>
          <w:gridAfter w:val="1"/>
          <w:wAfter w:w="70" w:type="dxa"/>
        </w:trPr>
        <w:tc>
          <w:tcPr>
            <w:tcW w:w="9498" w:type="dxa"/>
            <w:gridSpan w:val="4"/>
          </w:tcPr>
          <w:p w14:paraId="6FCFDE4D" w14:textId="4CEA213C" w:rsidR="00B4030F" w:rsidRPr="00221B3E" w:rsidRDefault="007543BD" w:rsidP="002340F5">
            <w:pPr>
              <w:pStyle w:val="zSoquijdatNomPartieDem"/>
              <w:jc w:val="both"/>
            </w:pPr>
            <w:r w:rsidRPr="00221B3E">
              <w:t>AUTORITÉ DES MARCHÉS FINANCIERS</w:t>
            </w:r>
          </w:p>
        </w:tc>
      </w:tr>
      <w:tr w:rsidR="00575301" w14:paraId="7BD6A490" w14:textId="77777777" w:rsidTr="00070D64">
        <w:trPr>
          <w:gridAfter w:val="1"/>
          <w:wAfter w:w="70" w:type="dxa"/>
        </w:trPr>
        <w:tc>
          <w:tcPr>
            <w:tcW w:w="9498" w:type="dxa"/>
            <w:gridSpan w:val="4"/>
          </w:tcPr>
          <w:p w14:paraId="1DFC8713" w14:textId="604BAA7D" w:rsidR="00417C84" w:rsidRDefault="00AC0631" w:rsidP="002340F5">
            <w:pPr>
              <w:pStyle w:val="zSoquijdatQtePartieDem"/>
              <w:ind w:left="709"/>
              <w:jc w:val="both"/>
            </w:pPr>
            <w:r>
              <w:t>Applicant</w:t>
            </w:r>
          </w:p>
        </w:tc>
      </w:tr>
      <w:tr w:rsidR="00575301" w14:paraId="53CAF3B6" w14:textId="77777777" w:rsidTr="00070D64">
        <w:trPr>
          <w:gridAfter w:val="1"/>
          <w:wAfter w:w="70" w:type="dxa"/>
        </w:trPr>
        <w:tc>
          <w:tcPr>
            <w:tcW w:w="9498" w:type="dxa"/>
            <w:gridSpan w:val="4"/>
          </w:tcPr>
          <w:p w14:paraId="0BC30607" w14:textId="275A6B10" w:rsidR="00711101" w:rsidRDefault="007543BD" w:rsidP="002340F5">
            <w:pPr>
              <w:pStyle w:val="zSoquijdatQtePartieDem"/>
              <w:ind w:left="0"/>
              <w:jc w:val="both"/>
            </w:pPr>
            <w:r w:rsidRPr="00221B3E">
              <w:t>v.</w:t>
            </w:r>
          </w:p>
        </w:tc>
      </w:tr>
      <w:tr w:rsidR="00575301" w14:paraId="73897240" w14:textId="77777777" w:rsidTr="00070D64">
        <w:trPr>
          <w:gridAfter w:val="1"/>
          <w:wAfter w:w="70" w:type="dxa"/>
        </w:trPr>
        <w:tc>
          <w:tcPr>
            <w:tcW w:w="9498" w:type="dxa"/>
            <w:gridSpan w:val="4"/>
          </w:tcPr>
          <w:p w14:paraId="149A039E" w14:textId="29DC79D5" w:rsidR="00711101" w:rsidRPr="00221B3E" w:rsidRDefault="007543BD" w:rsidP="002340F5">
            <w:pPr>
              <w:widowControl w:val="0"/>
              <w:jc w:val="both"/>
              <w:rPr>
                <w:rFonts w:eastAsia="Calibri" w:cs="Arial"/>
                <w:bCs/>
                <w:lang w:eastAsia="en-US"/>
              </w:rPr>
            </w:pPr>
            <w:r w:rsidRPr="00221B3E">
              <w:rPr>
                <w:rFonts w:eastAsia="Calibri" w:cs="Arial"/>
                <w:b/>
                <w:lang w:eastAsia="en-US"/>
              </w:rPr>
              <w:t>VINCENT ALLARD</w:t>
            </w:r>
          </w:p>
        </w:tc>
      </w:tr>
      <w:tr w:rsidR="00575301" w14:paraId="4E199048" w14:textId="77777777" w:rsidTr="00070D64">
        <w:trPr>
          <w:gridAfter w:val="1"/>
          <w:wAfter w:w="70" w:type="dxa"/>
        </w:trPr>
        <w:tc>
          <w:tcPr>
            <w:tcW w:w="9498" w:type="dxa"/>
            <w:gridSpan w:val="4"/>
          </w:tcPr>
          <w:p w14:paraId="391DFA56" w14:textId="06972F98" w:rsidR="00711101" w:rsidRPr="00221B3E" w:rsidRDefault="007543BD" w:rsidP="002340F5">
            <w:pPr>
              <w:pStyle w:val="zSoquijdatQtePartieDem"/>
              <w:ind w:left="0"/>
              <w:jc w:val="both"/>
            </w:pPr>
            <w:proofErr w:type="gramStart"/>
            <w:r w:rsidRPr="00221B3E">
              <w:t>and</w:t>
            </w:r>
            <w:proofErr w:type="gramEnd"/>
          </w:p>
        </w:tc>
      </w:tr>
      <w:tr w:rsidR="00575301" w14:paraId="772BC554" w14:textId="77777777" w:rsidTr="00070D64">
        <w:trPr>
          <w:gridAfter w:val="1"/>
          <w:wAfter w:w="70" w:type="dxa"/>
        </w:trPr>
        <w:tc>
          <w:tcPr>
            <w:tcW w:w="9498" w:type="dxa"/>
            <w:gridSpan w:val="4"/>
          </w:tcPr>
          <w:p w14:paraId="263916C8" w14:textId="36554138" w:rsidR="00B4030F" w:rsidRPr="00221B3E" w:rsidRDefault="007543BD" w:rsidP="002340F5">
            <w:pPr>
              <w:widowControl w:val="0"/>
              <w:jc w:val="both"/>
              <w:rPr>
                <w:rFonts w:eastAsia="Calibri" w:cs="Arial"/>
                <w:lang w:eastAsia="en-US"/>
              </w:rPr>
            </w:pPr>
            <w:r w:rsidRPr="00221B3E">
              <w:rPr>
                <w:rFonts w:eastAsia="Calibri" w:cs="Arial"/>
                <w:b/>
                <w:bCs/>
                <w:lang w:eastAsia="en-US"/>
              </w:rPr>
              <w:t>PYROLE CAPITAL INC.</w:t>
            </w:r>
          </w:p>
        </w:tc>
      </w:tr>
      <w:tr w:rsidR="00575301" w14:paraId="7234C3DD" w14:textId="77777777" w:rsidTr="00070D64">
        <w:trPr>
          <w:gridAfter w:val="1"/>
          <w:wAfter w:w="70" w:type="dxa"/>
        </w:trPr>
        <w:tc>
          <w:tcPr>
            <w:tcW w:w="9498" w:type="dxa"/>
            <w:gridSpan w:val="4"/>
          </w:tcPr>
          <w:p w14:paraId="34606CA5" w14:textId="3214A9F0" w:rsidR="00711101" w:rsidRPr="00711101" w:rsidRDefault="007543BD" w:rsidP="002340F5">
            <w:pPr>
              <w:pStyle w:val="zSoquijdatQtePartieDem"/>
              <w:ind w:left="709"/>
              <w:jc w:val="both"/>
            </w:pPr>
            <w:r w:rsidRPr="00221B3E">
              <w:t>Respondents</w:t>
            </w:r>
          </w:p>
        </w:tc>
      </w:tr>
      <w:tr w:rsidR="00575301" w14:paraId="1DDA2A44" w14:textId="77777777" w:rsidTr="00070D64">
        <w:trPr>
          <w:gridAfter w:val="1"/>
          <w:wAfter w:w="70" w:type="dxa"/>
        </w:trPr>
        <w:tc>
          <w:tcPr>
            <w:tcW w:w="9498" w:type="dxa"/>
            <w:gridSpan w:val="4"/>
          </w:tcPr>
          <w:p w14:paraId="4C4F6B74" w14:textId="15BEC0A6" w:rsidR="00711101" w:rsidRPr="00221B3E" w:rsidRDefault="007543BD" w:rsidP="002340F5">
            <w:pPr>
              <w:jc w:val="both"/>
              <w:rPr>
                <w:rFonts w:eastAsia="Calibri" w:cs="Arial"/>
                <w:bCs/>
              </w:rPr>
            </w:pPr>
            <w:proofErr w:type="gramStart"/>
            <w:r w:rsidRPr="00221B3E">
              <w:rPr>
                <w:rFonts w:eastAsia="Calibri" w:cs="Arial"/>
                <w:bCs/>
              </w:rPr>
              <w:t>and</w:t>
            </w:r>
            <w:proofErr w:type="gramEnd"/>
          </w:p>
        </w:tc>
      </w:tr>
      <w:tr w:rsidR="00575301" w:rsidRPr="00C41A9D" w14:paraId="30F4B295" w14:textId="77777777" w:rsidTr="00070D64">
        <w:trPr>
          <w:gridAfter w:val="1"/>
          <w:wAfter w:w="70" w:type="dxa"/>
        </w:trPr>
        <w:tc>
          <w:tcPr>
            <w:tcW w:w="9498" w:type="dxa"/>
            <w:gridSpan w:val="4"/>
          </w:tcPr>
          <w:p w14:paraId="1FA8FCBD" w14:textId="117A234F" w:rsidR="00711101" w:rsidRPr="007543BD" w:rsidRDefault="007543BD" w:rsidP="002340F5">
            <w:pPr>
              <w:widowControl w:val="0"/>
              <w:jc w:val="both"/>
              <w:rPr>
                <w:rFonts w:cs="Arial"/>
                <w:lang w:val="en-CA"/>
              </w:rPr>
            </w:pPr>
            <w:r w:rsidRPr="007543BD">
              <w:rPr>
                <w:rFonts w:cs="Arial"/>
                <w:b/>
                <w:bCs/>
                <w:lang w:val="en-CA"/>
              </w:rPr>
              <w:t>BMO INVESTORLINE INC.</w:t>
            </w:r>
            <w:r w:rsidRPr="007543BD">
              <w:rPr>
                <w:rFonts w:cs="Arial"/>
                <w:bCs/>
                <w:lang w:val="en-CA"/>
              </w:rPr>
              <w:t xml:space="preserve">, a legal </w:t>
            </w:r>
            <w:r w:rsidR="008D56BC">
              <w:rPr>
                <w:rFonts w:cs="Arial"/>
                <w:bCs/>
                <w:lang w:val="en-CA"/>
              </w:rPr>
              <w:t>person</w:t>
            </w:r>
            <w:r w:rsidR="008D56BC" w:rsidRPr="007543BD">
              <w:rPr>
                <w:rFonts w:cs="Arial"/>
                <w:bCs/>
                <w:lang w:val="en-CA"/>
              </w:rPr>
              <w:t xml:space="preserve"> </w:t>
            </w:r>
            <w:r w:rsidR="00A32D8D">
              <w:rPr>
                <w:rFonts w:cs="Arial"/>
                <w:bCs/>
                <w:lang w:val="en-CA"/>
              </w:rPr>
              <w:t>constituted</w:t>
            </w:r>
            <w:r w:rsidRPr="007543BD">
              <w:rPr>
                <w:rFonts w:cs="Arial"/>
                <w:bCs/>
                <w:lang w:val="en-CA"/>
              </w:rPr>
              <w:t xml:space="preserve"> under the </w:t>
            </w:r>
            <w:r w:rsidRPr="007543BD">
              <w:rPr>
                <w:rFonts w:cs="Arial"/>
                <w:bCs/>
                <w:i/>
                <w:lang w:val="en-CA"/>
              </w:rPr>
              <w:t>Canada Business Corporations Act</w:t>
            </w:r>
            <w:r w:rsidRPr="007543BD">
              <w:rPr>
                <w:rFonts w:cs="Arial"/>
                <w:bCs/>
                <w:lang w:val="en-CA"/>
              </w:rPr>
              <w:t xml:space="preserve">, having </w:t>
            </w:r>
            <w:r w:rsidR="00A32D8D">
              <w:rPr>
                <w:rFonts w:cs="Arial"/>
                <w:bCs/>
                <w:lang w:val="en-CA"/>
              </w:rPr>
              <w:t>an establishment</w:t>
            </w:r>
            <w:r w:rsidRPr="007543BD">
              <w:rPr>
                <w:rFonts w:cs="Arial"/>
                <w:bCs/>
                <w:lang w:val="en-CA"/>
              </w:rPr>
              <w:t xml:space="preserve"> at First Canadian Place, 21st </w:t>
            </w:r>
            <w:r w:rsidR="00A32D8D">
              <w:rPr>
                <w:rFonts w:cs="Arial"/>
                <w:bCs/>
                <w:lang w:val="en-CA"/>
              </w:rPr>
              <w:t>F</w:t>
            </w:r>
            <w:r w:rsidRPr="007543BD">
              <w:rPr>
                <w:rFonts w:cs="Arial"/>
                <w:bCs/>
                <w:lang w:val="en-CA"/>
              </w:rPr>
              <w:t xml:space="preserve">loor, Toronto, </w:t>
            </w:r>
            <w:proofErr w:type="gramStart"/>
            <w:r w:rsidRPr="007543BD">
              <w:rPr>
                <w:rFonts w:cs="Arial"/>
                <w:bCs/>
                <w:lang w:val="en-CA"/>
              </w:rPr>
              <w:t>Ontario  M</w:t>
            </w:r>
            <w:proofErr w:type="gramEnd"/>
            <w:r w:rsidRPr="007543BD">
              <w:rPr>
                <w:rFonts w:cs="Arial"/>
                <w:bCs/>
                <w:lang w:val="en-CA"/>
              </w:rPr>
              <w:t>5X 1A1</w:t>
            </w:r>
          </w:p>
        </w:tc>
      </w:tr>
      <w:tr w:rsidR="00575301" w14:paraId="4002791C" w14:textId="77777777" w:rsidTr="00070D64">
        <w:trPr>
          <w:gridAfter w:val="1"/>
          <w:wAfter w:w="70" w:type="dxa"/>
        </w:trPr>
        <w:tc>
          <w:tcPr>
            <w:tcW w:w="9498" w:type="dxa"/>
            <w:gridSpan w:val="4"/>
          </w:tcPr>
          <w:p w14:paraId="440647EF" w14:textId="302876D3" w:rsidR="00711101" w:rsidRPr="00221B3E" w:rsidRDefault="007543BD" w:rsidP="002340F5">
            <w:pPr>
              <w:pStyle w:val="zSoquijdatQtePartieDem"/>
              <w:ind w:left="709"/>
              <w:jc w:val="both"/>
            </w:pPr>
            <w:r w:rsidRPr="00221B3E">
              <w:t>Impleaded party</w:t>
            </w:r>
          </w:p>
        </w:tc>
      </w:tr>
      <w:tr w:rsidR="00575301" w14:paraId="373E8E63" w14:textId="77777777" w:rsidTr="00070D64">
        <w:trPr>
          <w:gridAfter w:val="1"/>
          <w:wAfter w:w="70" w:type="dxa"/>
        </w:trPr>
        <w:tc>
          <w:tcPr>
            <w:tcW w:w="9498" w:type="dxa"/>
            <w:gridSpan w:val="4"/>
          </w:tcPr>
          <w:p w14:paraId="589069FA" w14:textId="77777777" w:rsidR="00711101" w:rsidRPr="000E3A2C" w:rsidRDefault="00711101" w:rsidP="002340F5">
            <w:pPr>
              <w:jc w:val="both"/>
              <w:rPr>
                <w:rFonts w:eastAsia="Calibri" w:cs="Arial"/>
                <w:b/>
              </w:rPr>
            </w:pPr>
          </w:p>
        </w:tc>
      </w:tr>
      <w:tr w:rsidR="00575301" w14:paraId="1AEE61F5" w14:textId="77777777" w:rsidTr="0002722E">
        <w:trPr>
          <w:gridAfter w:val="1"/>
          <w:wAfter w:w="70" w:type="dxa"/>
        </w:trPr>
        <w:tc>
          <w:tcPr>
            <w:tcW w:w="9498" w:type="dxa"/>
            <w:gridSpan w:val="4"/>
            <w:tcBorders>
              <w:top w:val="single" w:sz="4" w:space="0" w:color="auto"/>
            </w:tcBorders>
          </w:tcPr>
          <w:p w14:paraId="653E1D14" w14:textId="77777777" w:rsidR="00FF6ABC" w:rsidRDefault="00FF6ABC" w:rsidP="002340F5">
            <w:pPr>
              <w:jc w:val="both"/>
            </w:pPr>
          </w:p>
        </w:tc>
      </w:tr>
      <w:tr w:rsidR="00575301" w14:paraId="33229DB9" w14:textId="77777777" w:rsidTr="00070D64">
        <w:trPr>
          <w:gridAfter w:val="1"/>
          <w:wAfter w:w="70" w:type="dxa"/>
        </w:trPr>
        <w:tc>
          <w:tcPr>
            <w:tcW w:w="9498" w:type="dxa"/>
            <w:gridSpan w:val="4"/>
          </w:tcPr>
          <w:p w14:paraId="5605AF4A" w14:textId="5A4C73A9" w:rsidR="006913D4" w:rsidRPr="00417C84" w:rsidRDefault="007543BD" w:rsidP="00AC0631">
            <w:pPr>
              <w:pStyle w:val="zSoquijlblTypeDocument"/>
              <w:rPr>
                <w:i/>
              </w:rPr>
            </w:pPr>
            <w:r w:rsidRPr="00221B3E">
              <w:t>DECISION</w:t>
            </w:r>
          </w:p>
        </w:tc>
      </w:tr>
      <w:tr w:rsidR="00575301" w14:paraId="6A2534C6" w14:textId="77777777" w:rsidTr="0002722E">
        <w:trPr>
          <w:gridAfter w:val="1"/>
          <w:wAfter w:w="70" w:type="dxa"/>
        </w:trPr>
        <w:tc>
          <w:tcPr>
            <w:tcW w:w="9498" w:type="dxa"/>
            <w:gridSpan w:val="4"/>
            <w:tcBorders>
              <w:bottom w:val="single" w:sz="4" w:space="0" w:color="auto"/>
            </w:tcBorders>
          </w:tcPr>
          <w:p w14:paraId="02AE0C94" w14:textId="77777777" w:rsidR="0002722E" w:rsidRDefault="0002722E" w:rsidP="002340F5">
            <w:pPr>
              <w:pStyle w:val="zSoquijlblNosArticles"/>
              <w:jc w:val="both"/>
            </w:pPr>
          </w:p>
        </w:tc>
      </w:tr>
      <w:tr w:rsidR="00575301" w14:paraId="6575C1E9" w14:textId="77777777" w:rsidTr="0002722E">
        <w:trPr>
          <w:gridAfter w:val="1"/>
          <w:wAfter w:w="70" w:type="dxa"/>
        </w:trPr>
        <w:tc>
          <w:tcPr>
            <w:tcW w:w="9498" w:type="dxa"/>
            <w:gridSpan w:val="4"/>
            <w:tcBorders>
              <w:top w:val="single" w:sz="4" w:space="0" w:color="auto"/>
            </w:tcBorders>
          </w:tcPr>
          <w:p w14:paraId="306673D0" w14:textId="77777777" w:rsidR="0002722E" w:rsidRDefault="0002722E" w:rsidP="002340F5">
            <w:pPr>
              <w:pStyle w:val="zSoquijlblNosArticles"/>
              <w:jc w:val="both"/>
            </w:pPr>
          </w:p>
        </w:tc>
      </w:tr>
    </w:tbl>
    <w:p w14:paraId="3B43E712" w14:textId="3AEFE734" w:rsidR="006913D4" w:rsidRPr="007E4BBF" w:rsidRDefault="007543BD" w:rsidP="006913D4">
      <w:pPr>
        <w:pStyle w:val="Titre1"/>
        <w:jc w:val="both"/>
        <w:rPr>
          <w:bCs/>
          <w:lang w:val="en-CA"/>
        </w:rPr>
      </w:pPr>
      <w:bookmarkStart w:id="2" w:name="_Ref456356564"/>
      <w:r w:rsidRPr="000D6CAD">
        <w:rPr>
          <w:lang w:val="en-CA"/>
        </w:rPr>
        <w:t xml:space="preserve">WARNING: </w:t>
      </w:r>
      <w:r w:rsidR="00F6307D">
        <w:rPr>
          <w:lang w:val="en-CA"/>
        </w:rPr>
        <w:t>The Tribunal</w:t>
      </w:r>
      <w:r w:rsidRPr="000D6CAD">
        <w:rPr>
          <w:lang w:val="en-CA"/>
        </w:rPr>
        <w:t xml:space="preserve"> has issued </w:t>
      </w:r>
      <w:r w:rsidR="00F6307D">
        <w:rPr>
          <w:lang w:val="en-CA"/>
        </w:rPr>
        <w:t xml:space="preserve">an order prohibiting </w:t>
      </w:r>
      <w:r w:rsidRPr="000D6CAD">
        <w:rPr>
          <w:lang w:val="en-CA"/>
        </w:rPr>
        <w:t xml:space="preserve">the publication, </w:t>
      </w:r>
      <w:r w:rsidR="00F6307D" w:rsidRPr="000D6CAD">
        <w:rPr>
          <w:lang w:val="en-CA"/>
        </w:rPr>
        <w:t>disclosure</w:t>
      </w:r>
      <w:r w:rsidR="00F6307D">
        <w:rPr>
          <w:lang w:val="en-CA"/>
        </w:rPr>
        <w:t>,</w:t>
      </w:r>
      <w:r w:rsidR="00F6307D" w:rsidRPr="000D6CAD">
        <w:rPr>
          <w:lang w:val="en-CA"/>
        </w:rPr>
        <w:t xml:space="preserve"> </w:t>
      </w:r>
      <w:r w:rsidRPr="000D6CAD">
        <w:rPr>
          <w:lang w:val="en-CA"/>
        </w:rPr>
        <w:t>or release of V</w:t>
      </w:r>
      <w:r w:rsidR="000D6CAD">
        <w:rPr>
          <w:lang w:val="en-CA"/>
        </w:rPr>
        <w:t>i</w:t>
      </w:r>
      <w:r w:rsidRPr="000D6CAD">
        <w:rPr>
          <w:lang w:val="en-CA"/>
        </w:rPr>
        <w:t xml:space="preserve">ncent Allard’s residential address </w:t>
      </w:r>
      <w:r w:rsidR="00F6307D">
        <w:rPr>
          <w:lang w:val="en-CA"/>
        </w:rPr>
        <w:t xml:space="preserve">and of </w:t>
      </w:r>
      <w:r w:rsidRPr="000D6CAD">
        <w:rPr>
          <w:lang w:val="en-CA"/>
        </w:rPr>
        <w:t xml:space="preserve">the names, </w:t>
      </w:r>
      <w:r w:rsidRPr="000D6CAD">
        <w:rPr>
          <w:lang w:val="en-CA"/>
        </w:rPr>
        <w:lastRenderedPageBreak/>
        <w:t>residential and professional addresses</w:t>
      </w:r>
      <w:r w:rsidR="00F6307D">
        <w:rPr>
          <w:lang w:val="en-CA"/>
        </w:rPr>
        <w:t>,</w:t>
      </w:r>
      <w:r w:rsidRPr="000D6CAD">
        <w:rPr>
          <w:lang w:val="en-CA"/>
        </w:rPr>
        <w:t xml:space="preserve"> and other private information of Vincent Allard’s relatives.</w:t>
      </w:r>
      <w:r>
        <w:rPr>
          <w:rStyle w:val="Appelnotedebasdep"/>
          <w:bCs/>
        </w:rPr>
        <w:footnoteReference w:id="1"/>
      </w:r>
    </w:p>
    <w:p w14:paraId="719CEF31" w14:textId="40FE27E6" w:rsidR="00415DCB" w:rsidRPr="00221B3E" w:rsidRDefault="007543BD" w:rsidP="002340F5">
      <w:pPr>
        <w:pStyle w:val="Titre1"/>
        <w:jc w:val="both"/>
      </w:pPr>
      <w:r w:rsidRPr="00221B3E">
        <w:t>OVERVIEW</w:t>
      </w:r>
    </w:p>
    <w:bookmarkEnd w:id="2"/>
    <w:p w14:paraId="2D972A97" w14:textId="3FBC8109" w:rsidR="00047994" w:rsidRPr="0067551B" w:rsidRDefault="0067551B" w:rsidP="00047994">
      <w:pPr>
        <w:pStyle w:val="Paragraphe"/>
        <w:rPr>
          <w:lang w:val="en-CA"/>
        </w:rPr>
      </w:pPr>
      <w:r w:rsidRPr="0067551B">
        <w:rPr>
          <w:lang w:val="en-CA"/>
        </w:rPr>
        <w:t>On April 29, 2024,</w:t>
      </w:r>
      <w:r>
        <w:rPr>
          <w:rStyle w:val="Appelnotedebasdep"/>
        </w:rPr>
        <w:footnoteReference w:id="2"/>
      </w:r>
      <w:r w:rsidRPr="0067551B">
        <w:rPr>
          <w:lang w:val="en-CA"/>
        </w:rPr>
        <w:t xml:space="preserve"> the Financial Markets Adm</w:t>
      </w:r>
      <w:r w:rsidR="000D6CAD">
        <w:rPr>
          <w:lang w:val="en-CA"/>
        </w:rPr>
        <w:t>i</w:t>
      </w:r>
      <w:r w:rsidRPr="0067551B">
        <w:rPr>
          <w:lang w:val="en-CA"/>
        </w:rPr>
        <w:t>nistrative Tribunal</w:t>
      </w:r>
      <w:r w:rsidR="00085E92">
        <w:rPr>
          <w:lang w:val="en-CA"/>
        </w:rPr>
        <w:t xml:space="preserve"> issued orders</w:t>
      </w:r>
      <w:r w:rsidRPr="0067551B">
        <w:rPr>
          <w:lang w:val="en-CA"/>
        </w:rPr>
        <w:t xml:space="preserve"> on an urgent and </w:t>
      </w:r>
      <w:r w:rsidRPr="0067551B">
        <w:rPr>
          <w:i/>
          <w:lang w:val="en-CA"/>
        </w:rPr>
        <w:t>ex parte</w:t>
      </w:r>
      <w:r w:rsidR="00997193" w:rsidRPr="00997193">
        <w:rPr>
          <w:lang w:val="en-CA"/>
        </w:rPr>
        <w:t xml:space="preserve"> </w:t>
      </w:r>
      <w:r w:rsidR="00997193" w:rsidRPr="0067551B">
        <w:rPr>
          <w:lang w:val="en-CA"/>
        </w:rPr>
        <w:t>basis</w:t>
      </w:r>
      <w:r>
        <w:rPr>
          <w:rStyle w:val="Appelnotedebasdep"/>
        </w:rPr>
        <w:footnoteReference w:id="3"/>
      </w:r>
      <w:r w:rsidRPr="0067551B">
        <w:rPr>
          <w:lang w:val="en-CA"/>
        </w:rPr>
        <w:t xml:space="preserve"> against the respondents Vincent Allard and Pyrole Capital inc. </w:t>
      </w:r>
      <w:r w:rsidR="00EB26F4" w:rsidRPr="0067551B">
        <w:rPr>
          <w:lang w:val="en-CA"/>
        </w:rPr>
        <w:t>(</w:t>
      </w:r>
      <w:r w:rsidR="00EB26F4">
        <w:rPr>
          <w:lang w:val="en-CA"/>
        </w:rPr>
        <w:t>“</w:t>
      </w:r>
      <w:r w:rsidRPr="0067551B">
        <w:rPr>
          <w:lang w:val="en-CA"/>
        </w:rPr>
        <w:t xml:space="preserve">Pyrole”) to cease trading and </w:t>
      </w:r>
      <w:r w:rsidR="003A14F0">
        <w:rPr>
          <w:lang w:val="en-CA"/>
        </w:rPr>
        <w:t>acting as a</w:t>
      </w:r>
      <w:r w:rsidRPr="0067551B">
        <w:rPr>
          <w:lang w:val="en-CA"/>
        </w:rPr>
        <w:t xml:space="preserve"> dealer or adviser without being registered,</w:t>
      </w:r>
      <w:r w:rsidR="00F50230" w:rsidRPr="0067551B">
        <w:rPr>
          <w:lang w:val="en-CA"/>
        </w:rPr>
        <w:t xml:space="preserve"> </w:t>
      </w:r>
      <w:r>
        <w:rPr>
          <w:lang w:val="en-CA"/>
        </w:rPr>
        <w:t xml:space="preserve">as well as freeze orders against them and the impleaded party BMO Investorline </w:t>
      </w:r>
      <w:r w:rsidR="00997193">
        <w:rPr>
          <w:lang w:val="en-CA"/>
        </w:rPr>
        <w:t>I</w:t>
      </w:r>
      <w:r>
        <w:rPr>
          <w:lang w:val="en-CA"/>
        </w:rPr>
        <w:t>nc.</w:t>
      </w:r>
      <w:r w:rsidR="00F50230" w:rsidRPr="0067551B">
        <w:rPr>
          <w:lang w:val="en-CA"/>
        </w:rPr>
        <w:t xml:space="preserve"> </w:t>
      </w:r>
      <w:r w:rsidRPr="0067551B">
        <w:rPr>
          <w:lang w:val="en-CA"/>
        </w:rPr>
        <w:t>The freeze orders expire on April 28, 2025.</w:t>
      </w:r>
      <w:r w:rsidR="00F50230" w:rsidRPr="0067551B">
        <w:rPr>
          <w:lang w:val="en-CA"/>
        </w:rPr>
        <w:t xml:space="preserve"> </w:t>
      </w:r>
    </w:p>
    <w:p w14:paraId="55839B4F" w14:textId="27D2D7C7" w:rsidR="00F50230" w:rsidRPr="0067551B" w:rsidRDefault="0067551B" w:rsidP="00F50230">
      <w:pPr>
        <w:pStyle w:val="Paragraphe"/>
        <w:rPr>
          <w:lang w:val="en-CA"/>
        </w:rPr>
      </w:pPr>
      <w:r w:rsidRPr="00221B3E">
        <w:rPr>
          <w:lang w:val="en-CA"/>
        </w:rPr>
        <w:t xml:space="preserve">The orders were </w:t>
      </w:r>
      <w:r w:rsidR="00B10DDF" w:rsidRPr="00221B3E">
        <w:rPr>
          <w:lang w:val="en-CA"/>
        </w:rPr>
        <w:t>issued</w:t>
      </w:r>
      <w:r w:rsidRPr="00221B3E">
        <w:rPr>
          <w:lang w:val="en-CA"/>
        </w:rPr>
        <w:t xml:space="preserve"> in the context of </w:t>
      </w:r>
      <w:r w:rsidR="00674531">
        <w:rPr>
          <w:lang w:val="en-CA"/>
        </w:rPr>
        <w:t xml:space="preserve">an investigation of the respondents conducted by </w:t>
      </w:r>
      <w:r w:rsidRPr="00221B3E">
        <w:rPr>
          <w:lang w:val="en-CA"/>
        </w:rPr>
        <w:t>the Autorité des marchés financiers</w:t>
      </w:r>
      <w:r w:rsidR="00EB26F4">
        <w:rPr>
          <w:lang w:val="en-CA"/>
        </w:rPr>
        <w:t xml:space="preserve"> (</w:t>
      </w:r>
      <w:r w:rsidR="00674531">
        <w:rPr>
          <w:lang w:val="en-CA"/>
        </w:rPr>
        <w:t xml:space="preserve">the </w:t>
      </w:r>
      <w:r w:rsidR="00EB26F4">
        <w:rPr>
          <w:lang w:val="en-CA"/>
        </w:rPr>
        <w:t>“Authority”)</w:t>
      </w:r>
      <w:r w:rsidRPr="00221B3E">
        <w:rPr>
          <w:lang w:val="en-CA"/>
        </w:rPr>
        <w:t>.</w:t>
      </w:r>
      <w:r w:rsidR="00544DF4" w:rsidRPr="0067551B">
        <w:rPr>
          <w:lang w:val="en-CA"/>
        </w:rPr>
        <w:t xml:space="preserve"> </w:t>
      </w:r>
      <w:proofErr w:type="gramStart"/>
      <w:r w:rsidR="00674531">
        <w:rPr>
          <w:lang w:val="en-CA"/>
        </w:rPr>
        <w:t>In particular, t</w:t>
      </w:r>
      <w:r w:rsidRPr="0067551B">
        <w:rPr>
          <w:lang w:val="en-CA"/>
        </w:rPr>
        <w:t>his</w:t>
      </w:r>
      <w:proofErr w:type="gramEnd"/>
      <w:r w:rsidRPr="0067551B">
        <w:rPr>
          <w:lang w:val="en-CA"/>
        </w:rPr>
        <w:t xml:space="preserve"> investigation concern</w:t>
      </w:r>
      <w:r w:rsidR="008D56BC">
        <w:rPr>
          <w:lang w:val="en-CA"/>
        </w:rPr>
        <w:t>s</w:t>
      </w:r>
      <w:r w:rsidRPr="0067551B">
        <w:rPr>
          <w:lang w:val="en-CA"/>
        </w:rPr>
        <w:t xml:space="preserve"> alleged breaches regarding distributions without a prospectus and unregistered dealer activities, in violation of the provisions of the </w:t>
      </w:r>
      <w:r w:rsidRPr="0067551B">
        <w:rPr>
          <w:i/>
          <w:lang w:val="en-CA"/>
        </w:rPr>
        <w:t>Securities Act</w:t>
      </w:r>
      <w:r>
        <w:rPr>
          <w:rStyle w:val="Appelnotedebasdep"/>
        </w:rPr>
        <w:footnoteReference w:id="4"/>
      </w:r>
      <w:r w:rsidRPr="0067551B">
        <w:rPr>
          <w:lang w:val="en-CA"/>
        </w:rPr>
        <w:t xml:space="preserve"> as well as alleged breaches </w:t>
      </w:r>
      <w:r w:rsidR="00674531">
        <w:rPr>
          <w:lang w:val="en-CA"/>
        </w:rPr>
        <w:t>involving</w:t>
      </w:r>
      <w:r w:rsidRPr="0067551B">
        <w:rPr>
          <w:lang w:val="en-CA"/>
        </w:rPr>
        <w:t xml:space="preserve"> market manipulation and/or fraud within the meaning of sections 195.2 and 199.1 of the </w:t>
      </w:r>
      <w:r w:rsidRPr="0067551B">
        <w:rPr>
          <w:i/>
          <w:lang w:val="en-CA"/>
        </w:rPr>
        <w:t>Securities Act</w:t>
      </w:r>
      <w:r w:rsidRPr="0067551B">
        <w:rPr>
          <w:lang w:val="en-CA"/>
        </w:rPr>
        <w:t xml:space="preserve">.  </w:t>
      </w:r>
      <w:r w:rsidR="00544DF4" w:rsidRPr="0067551B">
        <w:rPr>
          <w:lang w:val="en-CA"/>
        </w:rPr>
        <w:t xml:space="preserve"> </w:t>
      </w:r>
    </w:p>
    <w:p w14:paraId="34E9FDF8" w14:textId="20F967B9" w:rsidR="00F50230" w:rsidRPr="0067551B" w:rsidRDefault="0067551B" w:rsidP="00977F9E">
      <w:pPr>
        <w:pStyle w:val="Paragraphe"/>
        <w:rPr>
          <w:lang w:val="en-CA"/>
        </w:rPr>
      </w:pPr>
      <w:r w:rsidRPr="0067551B">
        <w:rPr>
          <w:lang w:val="en-CA"/>
        </w:rPr>
        <w:t>The respondents ask</w:t>
      </w:r>
      <w:r>
        <w:rPr>
          <w:rStyle w:val="Appelnotedebasdep"/>
        </w:rPr>
        <w:footnoteReference w:id="5"/>
      </w:r>
      <w:r w:rsidRPr="0067551B">
        <w:rPr>
          <w:lang w:val="en-CA"/>
        </w:rPr>
        <w:t xml:space="preserve"> the Tribunal to partially lift the freeze and cease trad</w:t>
      </w:r>
      <w:r w:rsidR="006D5E21">
        <w:rPr>
          <w:lang w:val="en-CA"/>
        </w:rPr>
        <w:t>e</w:t>
      </w:r>
      <w:r w:rsidRPr="0067551B">
        <w:rPr>
          <w:lang w:val="en-CA"/>
        </w:rPr>
        <w:t xml:space="preserve"> orders </w:t>
      </w:r>
      <w:r w:rsidR="00B10DDF">
        <w:rPr>
          <w:lang w:val="en-CA"/>
        </w:rPr>
        <w:t>issued</w:t>
      </w:r>
      <w:r w:rsidRPr="0067551B">
        <w:rPr>
          <w:lang w:val="en-CA"/>
        </w:rPr>
        <w:t xml:space="preserve"> against </w:t>
      </w:r>
      <w:r>
        <w:rPr>
          <w:lang w:val="en-CA"/>
        </w:rPr>
        <w:t>th</w:t>
      </w:r>
      <w:r w:rsidRPr="0067551B">
        <w:rPr>
          <w:lang w:val="en-CA"/>
        </w:rPr>
        <w:t>em so that they may convert USD Coins (</w:t>
      </w:r>
      <w:r w:rsidR="00EB26F4">
        <w:rPr>
          <w:lang w:val="en-CA"/>
        </w:rPr>
        <w:t>“</w:t>
      </w:r>
      <w:r w:rsidRPr="0067551B">
        <w:rPr>
          <w:lang w:val="en-CA"/>
        </w:rPr>
        <w:t xml:space="preserve">USDC”) into fiat currency to pay amounts owed to the Canada Revenue Agency and </w:t>
      </w:r>
      <w:r w:rsidR="00DF7EE7">
        <w:rPr>
          <w:lang w:val="en-CA"/>
        </w:rPr>
        <w:t xml:space="preserve">to </w:t>
      </w:r>
      <w:r w:rsidRPr="0067551B">
        <w:rPr>
          <w:lang w:val="en-CA"/>
        </w:rPr>
        <w:t xml:space="preserve">Revenu Québec, </w:t>
      </w:r>
      <w:r w:rsidR="00B167E5">
        <w:rPr>
          <w:lang w:val="en-CA"/>
        </w:rPr>
        <w:t xml:space="preserve">and </w:t>
      </w:r>
      <w:r w:rsidRPr="0067551B">
        <w:rPr>
          <w:lang w:val="en-CA"/>
        </w:rPr>
        <w:t xml:space="preserve">their </w:t>
      </w:r>
      <w:r w:rsidR="00E91813">
        <w:rPr>
          <w:lang w:val="en-CA"/>
        </w:rPr>
        <w:t>attorney</w:t>
      </w:r>
      <w:r w:rsidR="00777C45">
        <w:rPr>
          <w:lang w:val="en-CA"/>
        </w:rPr>
        <w:t>s</w:t>
      </w:r>
      <w:r w:rsidRPr="0067551B">
        <w:rPr>
          <w:lang w:val="en-CA"/>
        </w:rPr>
        <w:t>’ fees, including those of experts and professionals assisting them (</w:t>
      </w:r>
      <w:r w:rsidR="00EB26F4">
        <w:rPr>
          <w:lang w:val="en-CA"/>
        </w:rPr>
        <w:t>“</w:t>
      </w:r>
      <w:r w:rsidRPr="0067551B">
        <w:rPr>
          <w:lang w:val="en-CA"/>
        </w:rPr>
        <w:t>legal fees”).</w:t>
      </w:r>
      <w:r w:rsidR="00AF01F2" w:rsidRPr="0067551B">
        <w:rPr>
          <w:lang w:val="en-CA"/>
        </w:rPr>
        <w:t xml:space="preserve"> </w:t>
      </w:r>
    </w:p>
    <w:p w14:paraId="39CF5457" w14:textId="0412D429" w:rsidR="001463B3" w:rsidRPr="0067551B" w:rsidRDefault="0067551B" w:rsidP="00F50230">
      <w:pPr>
        <w:pStyle w:val="Paragraphe"/>
        <w:rPr>
          <w:lang w:val="en-CA"/>
        </w:rPr>
      </w:pPr>
      <w:r w:rsidRPr="0067551B">
        <w:rPr>
          <w:lang w:val="en-CA"/>
        </w:rPr>
        <w:t>T</w:t>
      </w:r>
      <w:r w:rsidR="00B167E5">
        <w:rPr>
          <w:lang w:val="en-CA"/>
        </w:rPr>
        <w:t>h</w:t>
      </w:r>
      <w:r w:rsidRPr="0067551B">
        <w:rPr>
          <w:lang w:val="en-CA"/>
        </w:rPr>
        <w:t xml:space="preserve">ese applications </w:t>
      </w:r>
      <w:r w:rsidR="003E3182">
        <w:rPr>
          <w:lang w:val="en-CA"/>
        </w:rPr>
        <w:t>for partial lifting</w:t>
      </w:r>
      <w:r w:rsidRPr="0067551B">
        <w:rPr>
          <w:lang w:val="en-CA"/>
        </w:rPr>
        <w:t xml:space="preserve"> are contested by the Aut</w:t>
      </w:r>
      <w:r w:rsidR="00EB26F4">
        <w:rPr>
          <w:lang w:val="en-CA"/>
        </w:rPr>
        <w:t>hority</w:t>
      </w:r>
      <w:r w:rsidRPr="0067551B">
        <w:rPr>
          <w:lang w:val="en-CA"/>
        </w:rPr>
        <w:t>.</w:t>
      </w:r>
      <w:r w:rsidR="00626131" w:rsidRPr="0067551B">
        <w:rPr>
          <w:lang w:val="en-CA"/>
        </w:rPr>
        <w:t xml:space="preserve"> </w:t>
      </w:r>
    </w:p>
    <w:p w14:paraId="0FC0D0FD" w14:textId="7875193F" w:rsidR="00F50230" w:rsidRPr="00221B3E" w:rsidRDefault="0067551B" w:rsidP="00F50230">
      <w:pPr>
        <w:pStyle w:val="Paragraphe"/>
        <w:rPr>
          <w:lang w:val="en-CA"/>
        </w:rPr>
      </w:pPr>
      <w:r w:rsidRPr="00221B3E">
        <w:rPr>
          <w:lang w:val="en-CA"/>
        </w:rPr>
        <w:t>The issue is the following:</w:t>
      </w:r>
      <w:r w:rsidR="00544DF4" w:rsidRPr="00221B3E">
        <w:rPr>
          <w:lang w:val="en-CA"/>
        </w:rPr>
        <w:t xml:space="preserve"> </w:t>
      </w:r>
    </w:p>
    <w:p w14:paraId="731E2EBB" w14:textId="0294F715" w:rsidR="00F50230" w:rsidRPr="0067551B" w:rsidRDefault="006D5E21" w:rsidP="00F50230">
      <w:pPr>
        <w:pStyle w:val="Paragraphe"/>
        <w:numPr>
          <w:ilvl w:val="0"/>
          <w:numId w:val="0"/>
        </w:numPr>
        <w:tabs>
          <w:tab w:val="left" w:pos="708"/>
        </w:tabs>
        <w:ind w:left="734"/>
        <w:rPr>
          <w:lang w:val="en-CA"/>
        </w:rPr>
      </w:pPr>
      <w:r>
        <w:rPr>
          <w:lang w:val="en-CA"/>
        </w:rPr>
        <w:t>Should</w:t>
      </w:r>
      <w:r w:rsidR="0067551B" w:rsidRPr="00221B3E">
        <w:rPr>
          <w:lang w:val="en-CA"/>
        </w:rPr>
        <w:t xml:space="preserve"> the Tribunal partially lift the freeze and cease trad</w:t>
      </w:r>
      <w:r>
        <w:rPr>
          <w:lang w:val="en-CA"/>
        </w:rPr>
        <w:t>e</w:t>
      </w:r>
      <w:r w:rsidR="0067551B" w:rsidRPr="00221B3E">
        <w:rPr>
          <w:lang w:val="en-CA"/>
        </w:rPr>
        <w:t xml:space="preserve"> orders </w:t>
      </w:r>
      <w:r w:rsidR="00B10DDF" w:rsidRPr="00221B3E">
        <w:rPr>
          <w:lang w:val="en-CA"/>
        </w:rPr>
        <w:t>issued</w:t>
      </w:r>
      <w:r w:rsidR="0067551B" w:rsidRPr="00221B3E">
        <w:rPr>
          <w:lang w:val="en-CA"/>
        </w:rPr>
        <w:t xml:space="preserve"> again</w:t>
      </w:r>
      <w:r w:rsidR="00B10DDF" w:rsidRPr="00221B3E">
        <w:rPr>
          <w:lang w:val="en-CA"/>
        </w:rPr>
        <w:t>s</w:t>
      </w:r>
      <w:r w:rsidR="0067551B" w:rsidRPr="00221B3E">
        <w:rPr>
          <w:lang w:val="en-CA"/>
        </w:rPr>
        <w:t>t Vincent Allard and Pyrole for the purpose of paying tax debts and legal fees, and if so, on what conditions?</w:t>
      </w:r>
      <w:r w:rsidR="00F36AE7" w:rsidRPr="0067551B">
        <w:rPr>
          <w:lang w:val="en-CA"/>
        </w:rPr>
        <w:t xml:space="preserve"> </w:t>
      </w:r>
    </w:p>
    <w:p w14:paraId="1181158A" w14:textId="6E74F69A" w:rsidR="00047994" w:rsidRPr="0067551B" w:rsidRDefault="0067551B" w:rsidP="00F36AE7">
      <w:pPr>
        <w:pStyle w:val="Paragraphe"/>
        <w:rPr>
          <w:lang w:val="en-CA"/>
        </w:rPr>
      </w:pPr>
      <w:r w:rsidRPr="00221B3E">
        <w:rPr>
          <w:lang w:val="en-CA"/>
        </w:rPr>
        <w:t>The Tribunal grant</w:t>
      </w:r>
      <w:r w:rsidR="006947D0">
        <w:rPr>
          <w:lang w:val="en-CA"/>
        </w:rPr>
        <w:t>s</w:t>
      </w:r>
      <w:r w:rsidRPr="00221B3E">
        <w:rPr>
          <w:lang w:val="en-CA"/>
        </w:rPr>
        <w:t xml:space="preserve"> the respondents’ applications </w:t>
      </w:r>
      <w:r w:rsidR="003E3182">
        <w:rPr>
          <w:lang w:val="en-CA"/>
        </w:rPr>
        <w:t>for partial lifting</w:t>
      </w:r>
      <w:r w:rsidRPr="00221B3E">
        <w:rPr>
          <w:lang w:val="en-CA"/>
        </w:rPr>
        <w:t xml:space="preserve"> for the reasons and on the conditions </w:t>
      </w:r>
      <w:r w:rsidR="006947D0">
        <w:rPr>
          <w:lang w:val="en-CA"/>
        </w:rPr>
        <w:t>set out</w:t>
      </w:r>
      <w:r w:rsidRPr="00221B3E">
        <w:rPr>
          <w:lang w:val="en-CA"/>
        </w:rPr>
        <w:t xml:space="preserve"> below.</w:t>
      </w:r>
    </w:p>
    <w:p w14:paraId="43BF82FF" w14:textId="3A94B637" w:rsidR="00585FBC" w:rsidRPr="00221B3E" w:rsidRDefault="0067551B" w:rsidP="00C41A9D">
      <w:pPr>
        <w:pStyle w:val="Paragraphe"/>
        <w:keepNext/>
        <w:numPr>
          <w:ilvl w:val="0"/>
          <w:numId w:val="0"/>
        </w:numPr>
        <w:rPr>
          <w:b/>
        </w:rPr>
      </w:pPr>
      <w:r w:rsidRPr="00221B3E">
        <w:rPr>
          <w:b/>
        </w:rPr>
        <w:t>ANALYSIS</w:t>
      </w:r>
    </w:p>
    <w:p w14:paraId="1C060881" w14:textId="518C285A" w:rsidR="00015F7A" w:rsidRPr="0067551B" w:rsidRDefault="0067551B" w:rsidP="00C41A9D">
      <w:pPr>
        <w:pStyle w:val="Paragraphe"/>
        <w:keepNext/>
        <w:rPr>
          <w:lang w:val="en-CA"/>
        </w:rPr>
      </w:pPr>
      <w:r w:rsidRPr="00221B3E">
        <w:rPr>
          <w:shd w:val="clear" w:color="auto" w:fill="FFFFFF"/>
          <w:lang w:val="en-CA"/>
        </w:rPr>
        <w:t>The Tribunal recalls that a freeze order is a conservatory measure intended to protect funds, securities</w:t>
      </w:r>
      <w:r w:rsidR="00612FD0">
        <w:rPr>
          <w:shd w:val="clear" w:color="auto" w:fill="FFFFFF"/>
          <w:lang w:val="en-CA"/>
        </w:rPr>
        <w:t>,</w:t>
      </w:r>
      <w:r w:rsidRPr="00221B3E">
        <w:rPr>
          <w:shd w:val="clear" w:color="auto" w:fill="FFFFFF"/>
          <w:lang w:val="en-CA"/>
        </w:rPr>
        <w:t xml:space="preserve"> or other assets </w:t>
      </w:r>
      <w:r w:rsidR="00DE7D83">
        <w:rPr>
          <w:shd w:val="clear" w:color="auto" w:fill="FFFFFF"/>
          <w:lang w:val="en-CA"/>
        </w:rPr>
        <w:t>obtained</w:t>
      </w:r>
      <w:r w:rsidRPr="00221B3E">
        <w:rPr>
          <w:shd w:val="clear" w:color="auto" w:fill="FFFFFF"/>
          <w:lang w:val="en-CA"/>
        </w:rPr>
        <w:t xml:space="preserve"> by potentially </w:t>
      </w:r>
      <w:r w:rsidR="00B167E5">
        <w:rPr>
          <w:shd w:val="clear" w:color="auto" w:fill="FFFFFF"/>
          <w:lang w:val="en-CA"/>
        </w:rPr>
        <w:t>illegal</w:t>
      </w:r>
      <w:r w:rsidRPr="00221B3E">
        <w:rPr>
          <w:shd w:val="clear" w:color="auto" w:fill="FFFFFF"/>
          <w:lang w:val="en-CA"/>
        </w:rPr>
        <w:t xml:space="preserve"> means and to preserve </w:t>
      </w:r>
      <w:r w:rsidRPr="00221B3E">
        <w:rPr>
          <w:shd w:val="clear" w:color="auto" w:fill="FFFFFF"/>
          <w:lang w:val="en-CA"/>
        </w:rPr>
        <w:lastRenderedPageBreak/>
        <w:t>the status quo so that administrative measures</w:t>
      </w:r>
      <w:r w:rsidRPr="0067551B">
        <w:rPr>
          <w:shd w:val="clear" w:color="auto" w:fill="FFFFFF"/>
          <w:lang w:val="en-CA"/>
        </w:rPr>
        <w:t>, if any, may be applied in the public interest.</w:t>
      </w:r>
      <w:r w:rsidR="00B9620A" w:rsidRPr="0067551B">
        <w:rPr>
          <w:shd w:val="clear" w:color="auto" w:fill="FFFFFF"/>
          <w:lang w:val="en-CA"/>
        </w:rPr>
        <w:t xml:space="preserve"> </w:t>
      </w:r>
      <w:r w:rsidRPr="0067551B">
        <w:rPr>
          <w:shd w:val="clear" w:color="auto" w:fill="FFFFFF"/>
          <w:lang w:val="en-CA"/>
        </w:rPr>
        <w:t xml:space="preserve">These assets are </w:t>
      </w:r>
      <w:r w:rsidR="00612FD0">
        <w:rPr>
          <w:shd w:val="clear" w:color="auto" w:fill="FFFFFF"/>
          <w:lang w:val="en-CA"/>
        </w:rPr>
        <w:t>thus</w:t>
      </w:r>
      <w:r w:rsidRPr="0067551B">
        <w:rPr>
          <w:shd w:val="clear" w:color="auto" w:fill="FFFFFF"/>
          <w:lang w:val="en-CA"/>
        </w:rPr>
        <w:t xml:space="preserve"> better protected when they are removed from the control of those who may have potentially breached the </w:t>
      </w:r>
      <w:r w:rsidRPr="00BF0398">
        <w:rPr>
          <w:i/>
          <w:iCs/>
          <w:shd w:val="clear" w:color="auto" w:fill="FFFFFF"/>
          <w:lang w:val="en-CA"/>
        </w:rPr>
        <w:t>Act</w:t>
      </w:r>
      <w:r w:rsidRPr="0067551B">
        <w:rPr>
          <w:shd w:val="clear" w:color="auto" w:fill="FFFFFF"/>
          <w:lang w:val="en-CA"/>
        </w:rPr>
        <w:t>.</w:t>
      </w:r>
      <w:r>
        <w:rPr>
          <w:rStyle w:val="Appelnotedebasdep"/>
          <w:shd w:val="clear" w:color="auto" w:fill="FFFFFF"/>
        </w:rPr>
        <w:footnoteReference w:id="6"/>
      </w:r>
    </w:p>
    <w:p w14:paraId="5039C98D" w14:textId="2F2361FC" w:rsidR="00F36AE7" w:rsidRPr="0067551B" w:rsidRDefault="008D56BC" w:rsidP="00F36AE7">
      <w:pPr>
        <w:pStyle w:val="Paragraphe"/>
        <w:rPr>
          <w:lang w:val="en-CA"/>
        </w:rPr>
      </w:pPr>
      <w:r>
        <w:rPr>
          <w:lang w:val="en-CA"/>
        </w:rPr>
        <w:t>F</w:t>
      </w:r>
      <w:r w:rsidR="0067551B" w:rsidRPr="0067551B">
        <w:rPr>
          <w:lang w:val="en-CA"/>
        </w:rPr>
        <w:t xml:space="preserve">reeze orders </w:t>
      </w:r>
      <w:r>
        <w:rPr>
          <w:lang w:val="en-CA"/>
        </w:rPr>
        <w:t xml:space="preserve">usually </w:t>
      </w:r>
      <w:r w:rsidR="0067551B" w:rsidRPr="0067551B">
        <w:rPr>
          <w:lang w:val="en-CA"/>
        </w:rPr>
        <w:t xml:space="preserve">remain in effect during the investigation, </w:t>
      </w:r>
      <w:proofErr w:type="gramStart"/>
      <w:r w:rsidR="0067551B" w:rsidRPr="0067551B">
        <w:rPr>
          <w:lang w:val="en-CA"/>
        </w:rPr>
        <w:t>as long as</w:t>
      </w:r>
      <w:proofErr w:type="gramEnd"/>
      <w:r w:rsidR="0067551B" w:rsidRPr="0067551B">
        <w:rPr>
          <w:lang w:val="en-CA"/>
        </w:rPr>
        <w:t xml:space="preserve"> they are not amended or revoked by the Tribunal.</w:t>
      </w:r>
      <w:r w:rsidR="0067551B">
        <w:rPr>
          <w:rStyle w:val="Appelnotedebasdep"/>
        </w:rPr>
        <w:footnoteReference w:id="7"/>
      </w:r>
      <w:r w:rsidR="00CA2A0B" w:rsidRPr="0067551B">
        <w:rPr>
          <w:lang w:val="en-CA"/>
        </w:rPr>
        <w:t xml:space="preserve"> </w:t>
      </w:r>
      <w:r w:rsidR="0067551B" w:rsidRPr="0067551B">
        <w:rPr>
          <w:lang w:val="en-CA"/>
        </w:rPr>
        <w:t xml:space="preserve">The investigation includes measures to enforce the </w:t>
      </w:r>
      <w:r w:rsidR="0067551B" w:rsidRPr="00BF0398">
        <w:rPr>
          <w:i/>
          <w:iCs/>
          <w:lang w:val="en-CA"/>
        </w:rPr>
        <w:t>Act</w:t>
      </w:r>
      <w:r w:rsidR="0067551B" w:rsidRPr="0067551B">
        <w:rPr>
          <w:lang w:val="en-CA"/>
        </w:rPr>
        <w:t>, including administrative measures that may be rendered by the Tribunal.</w:t>
      </w:r>
      <w:r w:rsidR="0067551B">
        <w:rPr>
          <w:rStyle w:val="Appelnotedebasdep"/>
        </w:rPr>
        <w:footnoteReference w:id="8"/>
      </w:r>
    </w:p>
    <w:p w14:paraId="71662056" w14:textId="500E028C" w:rsidR="0012334D" w:rsidRPr="0067551B" w:rsidRDefault="0067551B" w:rsidP="00F36AE7">
      <w:pPr>
        <w:pStyle w:val="Paragraphe"/>
        <w:rPr>
          <w:lang w:val="en-CA"/>
        </w:rPr>
      </w:pPr>
      <w:r w:rsidRPr="00221B3E">
        <w:rPr>
          <w:lang w:val="en-CA"/>
        </w:rPr>
        <w:t>Any person who is directly affected by a freeze order may apply to have it lifted.</w:t>
      </w:r>
      <w:r w:rsidR="00BB78D8" w:rsidRPr="0067551B">
        <w:rPr>
          <w:lang w:val="en-CA"/>
        </w:rPr>
        <w:t xml:space="preserve"> </w:t>
      </w:r>
      <w:r w:rsidRPr="00221B3E">
        <w:rPr>
          <w:lang w:val="en-CA"/>
        </w:rPr>
        <w:t>The Tribunal must then determine whether</w:t>
      </w:r>
      <w:r w:rsidR="00B167E5" w:rsidRPr="00221B3E">
        <w:rPr>
          <w:lang w:val="en-CA"/>
        </w:rPr>
        <w:t xml:space="preserve"> </w:t>
      </w:r>
      <w:r w:rsidRPr="00221B3E">
        <w:rPr>
          <w:lang w:val="en-CA"/>
        </w:rPr>
        <w:t xml:space="preserve">the order </w:t>
      </w:r>
      <w:r w:rsidR="008D56BC">
        <w:rPr>
          <w:lang w:val="en-CA"/>
        </w:rPr>
        <w:t>may</w:t>
      </w:r>
      <w:r w:rsidR="008D56BC" w:rsidRPr="00221B3E">
        <w:rPr>
          <w:lang w:val="en-CA"/>
        </w:rPr>
        <w:t xml:space="preserve"> </w:t>
      </w:r>
      <w:r w:rsidRPr="00221B3E">
        <w:rPr>
          <w:lang w:val="en-CA"/>
        </w:rPr>
        <w:t>be lifted</w:t>
      </w:r>
      <w:r w:rsidR="0074517A" w:rsidRPr="0074517A">
        <w:rPr>
          <w:lang w:val="en-CA"/>
        </w:rPr>
        <w:t xml:space="preserve"> </w:t>
      </w:r>
      <w:r w:rsidR="0074517A" w:rsidRPr="00221B3E">
        <w:rPr>
          <w:lang w:val="en-CA"/>
        </w:rPr>
        <w:t>in the public interest</w:t>
      </w:r>
      <w:r w:rsidRPr="00221B3E">
        <w:rPr>
          <w:lang w:val="en-CA"/>
        </w:rPr>
        <w:t>.</w:t>
      </w:r>
      <w:r w:rsidR="00BB78D8" w:rsidRPr="0067551B">
        <w:rPr>
          <w:lang w:val="en-CA"/>
        </w:rPr>
        <w:t xml:space="preserve"> </w:t>
      </w:r>
      <w:r w:rsidRPr="0067551B">
        <w:rPr>
          <w:lang w:val="en-CA"/>
        </w:rPr>
        <w:t>When a party wishes to pay debts while a freeze order</w:t>
      </w:r>
      <w:r w:rsidR="008D56BC">
        <w:rPr>
          <w:lang w:val="en-CA"/>
        </w:rPr>
        <w:t xml:space="preserve"> is in effect</w:t>
      </w:r>
      <w:r w:rsidRPr="0067551B">
        <w:rPr>
          <w:lang w:val="en-CA"/>
        </w:rPr>
        <w:t>, the Tribunal must ask whether this party has assets other than those subject to the freeze orders,</w:t>
      </w:r>
      <w:r>
        <w:rPr>
          <w:rStyle w:val="Appelnotedebasdep"/>
        </w:rPr>
        <w:footnoteReference w:id="9"/>
      </w:r>
      <w:r w:rsidRPr="0067551B">
        <w:rPr>
          <w:lang w:val="en-CA"/>
        </w:rPr>
        <w:t xml:space="preserve"> that is, whether the party has </w:t>
      </w:r>
      <w:r w:rsidR="00C566DE">
        <w:rPr>
          <w:lang w:val="en-CA"/>
        </w:rPr>
        <w:t>sufficient</w:t>
      </w:r>
      <w:r w:rsidRPr="0067551B">
        <w:rPr>
          <w:lang w:val="en-CA"/>
        </w:rPr>
        <w:t xml:space="preserve"> assets to pay its debts without using the assets tied to the </w:t>
      </w:r>
      <w:r w:rsidR="00C566DE">
        <w:rPr>
          <w:lang w:val="en-CA"/>
        </w:rPr>
        <w:t>impugned</w:t>
      </w:r>
      <w:r w:rsidRPr="0067551B">
        <w:rPr>
          <w:lang w:val="en-CA"/>
        </w:rPr>
        <w:t xml:space="preserve"> activities.</w:t>
      </w:r>
    </w:p>
    <w:p w14:paraId="0460B6C1" w14:textId="5BF8EEDA" w:rsidR="009B2A1C" w:rsidRPr="00B167E5" w:rsidRDefault="0067551B" w:rsidP="00F36AE7">
      <w:pPr>
        <w:pStyle w:val="Paragraphe"/>
        <w:rPr>
          <w:lang w:val="en-CA"/>
        </w:rPr>
      </w:pPr>
      <w:r w:rsidRPr="0067551B">
        <w:rPr>
          <w:lang w:val="en-CA"/>
        </w:rPr>
        <w:t xml:space="preserve">In general, this question </w:t>
      </w:r>
      <w:r w:rsidR="008D56BC">
        <w:rPr>
          <w:lang w:val="en-CA"/>
        </w:rPr>
        <w:t xml:space="preserve">arises </w:t>
      </w:r>
      <w:r w:rsidRPr="0067551B">
        <w:rPr>
          <w:lang w:val="en-CA"/>
        </w:rPr>
        <w:t xml:space="preserve">in contexts where respondents do not have </w:t>
      </w:r>
      <w:r w:rsidR="00B167E5">
        <w:rPr>
          <w:lang w:val="en-CA"/>
        </w:rPr>
        <w:t>sufficient</w:t>
      </w:r>
      <w:r w:rsidRPr="0067551B">
        <w:rPr>
          <w:lang w:val="en-CA"/>
        </w:rPr>
        <w:t xml:space="preserve"> assets and are </w:t>
      </w:r>
      <w:r w:rsidR="008D56BC">
        <w:rPr>
          <w:lang w:val="en-CA"/>
        </w:rPr>
        <w:t xml:space="preserve">subject to </w:t>
      </w:r>
      <w:r w:rsidRPr="0067551B">
        <w:rPr>
          <w:lang w:val="en-CA"/>
        </w:rPr>
        <w:t>a general freeze order affecting all their assets, wherever they may be.</w:t>
      </w:r>
      <w:r w:rsidR="00544DF4" w:rsidRPr="0067551B">
        <w:rPr>
          <w:lang w:val="en-CA"/>
        </w:rPr>
        <w:t xml:space="preserve"> </w:t>
      </w:r>
      <w:r w:rsidRPr="00B167E5">
        <w:rPr>
          <w:lang w:val="en-CA"/>
        </w:rPr>
        <w:t>That is not the case here.</w:t>
      </w:r>
    </w:p>
    <w:p w14:paraId="7127DC95" w14:textId="78D1A247" w:rsidR="00FF6BAB" w:rsidRPr="00BB63B0" w:rsidRDefault="0067551B" w:rsidP="00FF6BAB">
      <w:pPr>
        <w:pStyle w:val="Paragraphe"/>
        <w:numPr>
          <w:ilvl w:val="0"/>
          <w:numId w:val="1"/>
        </w:numPr>
        <w:rPr>
          <w:lang w:val="en-CA"/>
        </w:rPr>
      </w:pPr>
      <w:r w:rsidRPr="0067551B">
        <w:rPr>
          <w:lang w:val="en-CA"/>
        </w:rPr>
        <w:t>Recently, the British Columbia Securities Commission rendered a decision</w:t>
      </w:r>
      <w:r>
        <w:rPr>
          <w:rStyle w:val="Appelnotedebasdep"/>
        </w:rPr>
        <w:footnoteReference w:id="10"/>
      </w:r>
      <w:r w:rsidRPr="0067551B">
        <w:rPr>
          <w:lang w:val="en-CA"/>
        </w:rPr>
        <w:t xml:space="preserve"> in which it granted in part an application to lift a freeze order.</w:t>
      </w:r>
      <w:r w:rsidR="00544DF4" w:rsidRPr="0067551B">
        <w:rPr>
          <w:lang w:val="en-CA"/>
        </w:rPr>
        <w:t xml:space="preserve"> </w:t>
      </w:r>
      <w:r w:rsidR="00BB451A">
        <w:rPr>
          <w:lang w:val="en-CA"/>
        </w:rPr>
        <w:t>Citing</w:t>
      </w:r>
      <w:r w:rsidR="00BB63B0" w:rsidRPr="00BB63B0">
        <w:rPr>
          <w:lang w:val="en-CA"/>
        </w:rPr>
        <w:t xml:space="preserve"> the Court of Appeal,</w:t>
      </w:r>
      <w:r w:rsidR="00BB63B0">
        <w:rPr>
          <w:rStyle w:val="Appelnotedebasdep"/>
        </w:rPr>
        <w:footnoteReference w:id="11"/>
      </w:r>
      <w:r w:rsidR="00BB63B0" w:rsidRPr="00BB63B0">
        <w:rPr>
          <w:lang w:val="en-CA"/>
        </w:rPr>
        <w:t xml:space="preserve"> which had rendered an earlier decision in the same file, the British Columbia Securities Commission </w:t>
      </w:r>
      <w:r w:rsidR="008D56BC">
        <w:rPr>
          <w:lang w:val="en-CA"/>
        </w:rPr>
        <w:t>provided</w:t>
      </w:r>
      <w:r w:rsidR="008D56BC" w:rsidRPr="00BB63B0">
        <w:rPr>
          <w:lang w:val="en-CA"/>
        </w:rPr>
        <w:t xml:space="preserve"> </w:t>
      </w:r>
      <w:r w:rsidR="00BB63B0" w:rsidRPr="00BB63B0">
        <w:rPr>
          <w:lang w:val="en-CA"/>
        </w:rPr>
        <w:t xml:space="preserve">a non-exhaustive list of the factors that might guide </w:t>
      </w:r>
      <w:r w:rsidR="008D56BC">
        <w:rPr>
          <w:lang w:val="en-CA"/>
        </w:rPr>
        <w:t>the</w:t>
      </w:r>
      <w:r w:rsidR="00BB63B0" w:rsidRPr="00BB63B0">
        <w:rPr>
          <w:lang w:val="en-CA"/>
        </w:rPr>
        <w:t xml:space="preserve"> Tribunal </w:t>
      </w:r>
      <w:r w:rsidR="008D56BC">
        <w:rPr>
          <w:lang w:val="en-CA"/>
        </w:rPr>
        <w:t xml:space="preserve">when </w:t>
      </w:r>
      <w:r w:rsidR="00BB63B0" w:rsidRPr="00BB63B0">
        <w:rPr>
          <w:lang w:val="en-CA"/>
        </w:rPr>
        <w:t>decid</w:t>
      </w:r>
      <w:r w:rsidR="008D56BC">
        <w:rPr>
          <w:lang w:val="en-CA"/>
        </w:rPr>
        <w:t>ing</w:t>
      </w:r>
      <w:r w:rsidR="00BB63B0" w:rsidRPr="00BB63B0">
        <w:rPr>
          <w:lang w:val="en-CA"/>
        </w:rPr>
        <w:t xml:space="preserve"> the outcome of </w:t>
      </w:r>
      <w:r w:rsidR="00BB451A">
        <w:rPr>
          <w:lang w:val="en-CA"/>
        </w:rPr>
        <w:t>certain</w:t>
      </w:r>
      <w:r w:rsidR="00BB63B0" w:rsidRPr="00BB63B0">
        <w:rPr>
          <w:lang w:val="en-CA"/>
        </w:rPr>
        <w:t xml:space="preserve"> freeze orders:  </w:t>
      </w:r>
      <w:r w:rsidR="00544DF4" w:rsidRPr="00BB63B0">
        <w:rPr>
          <w:lang w:val="en-CA"/>
        </w:rPr>
        <w:t xml:space="preserve"> </w:t>
      </w:r>
    </w:p>
    <w:p w14:paraId="214640A2" w14:textId="1008F9B5" w:rsidR="00FF6BAB" w:rsidRPr="00E8110D" w:rsidRDefault="00BB63B0" w:rsidP="00FF6BAB">
      <w:pPr>
        <w:pStyle w:val="Paragraphe"/>
        <w:numPr>
          <w:ilvl w:val="0"/>
          <w:numId w:val="0"/>
        </w:numPr>
        <w:ind w:left="734" w:right="857"/>
        <w:rPr>
          <w:sz w:val="22"/>
          <w:szCs w:val="22"/>
          <w:lang w:val="en-US"/>
        </w:rPr>
      </w:pPr>
      <w:bookmarkStart w:id="3" w:name="_Hlk157112575"/>
      <w:r w:rsidRPr="00221B3E">
        <w:rPr>
          <w:sz w:val="22"/>
          <w:szCs w:val="22"/>
          <w:lang w:val="en-US"/>
        </w:rPr>
        <w:t xml:space="preserve">[50]   Many factors could be relevant to the public interest </w:t>
      </w:r>
      <w:proofErr w:type="gramStart"/>
      <w:r w:rsidRPr="00221B3E">
        <w:rPr>
          <w:sz w:val="22"/>
          <w:szCs w:val="22"/>
          <w:lang w:val="en-US"/>
        </w:rPr>
        <w:t>in a given</w:t>
      </w:r>
      <w:proofErr w:type="gramEnd"/>
      <w:r w:rsidRPr="00221B3E">
        <w:rPr>
          <w:sz w:val="22"/>
          <w:szCs w:val="22"/>
          <w:lang w:val="en-US"/>
        </w:rPr>
        <w:t xml:space="preserve"> case, depending on the circumstances.</w:t>
      </w:r>
      <w:r w:rsidR="00544DF4" w:rsidRPr="00E8110D">
        <w:rPr>
          <w:sz w:val="22"/>
          <w:szCs w:val="22"/>
          <w:lang w:val="en-US"/>
        </w:rPr>
        <w:t xml:space="preserve"> </w:t>
      </w:r>
      <w:bookmarkEnd w:id="3"/>
      <w:r>
        <w:rPr>
          <w:sz w:val="22"/>
          <w:szCs w:val="22"/>
          <w:lang w:val="en-US"/>
        </w:rPr>
        <w:t>At para 209, the Court in the </w:t>
      </w:r>
      <w:r w:rsidRPr="00E86B67">
        <w:rPr>
          <w:i/>
          <w:iCs/>
          <w:sz w:val="22"/>
          <w:szCs w:val="22"/>
          <w:lang w:val="en-US"/>
        </w:rPr>
        <w:t>Party A Decision</w:t>
      </w:r>
      <w:r>
        <w:rPr>
          <w:sz w:val="22"/>
          <w:szCs w:val="22"/>
          <w:lang w:val="en-US"/>
        </w:rPr>
        <w:t xml:space="preserve"> provided a non-exhaustive list of factors that may be relevant </w:t>
      </w:r>
      <w:proofErr w:type="gramStart"/>
      <w:r>
        <w:rPr>
          <w:sz w:val="22"/>
          <w:szCs w:val="22"/>
          <w:lang w:val="en-US"/>
        </w:rPr>
        <w:t>in a given</w:t>
      </w:r>
      <w:proofErr w:type="gramEnd"/>
      <w:r>
        <w:rPr>
          <w:sz w:val="22"/>
          <w:szCs w:val="22"/>
          <w:lang w:val="en-US"/>
        </w:rPr>
        <w:t xml:space="preserve"> case, including:</w:t>
      </w:r>
    </w:p>
    <w:p w14:paraId="1F2A4E1C" w14:textId="7BE591E3" w:rsidR="00FF6BAB" w:rsidRPr="00E8110D" w:rsidRDefault="00BB63B0" w:rsidP="00FF6BAB">
      <w:pPr>
        <w:pStyle w:val="Paragraphe"/>
        <w:numPr>
          <w:ilvl w:val="0"/>
          <w:numId w:val="0"/>
        </w:numPr>
        <w:ind w:left="1468" w:right="857"/>
        <w:rPr>
          <w:sz w:val="22"/>
          <w:szCs w:val="22"/>
          <w:lang w:val="en-US"/>
        </w:rPr>
      </w:pPr>
      <w:r w:rsidRPr="00221B3E">
        <w:rPr>
          <w:sz w:val="22"/>
          <w:szCs w:val="22"/>
          <w:lang w:val="en-US"/>
        </w:rPr>
        <w:t>1)   the seriousness and scope of the allegations.</w:t>
      </w:r>
      <w:r w:rsidR="00544DF4" w:rsidRPr="00E8110D">
        <w:rPr>
          <w:sz w:val="22"/>
          <w:szCs w:val="22"/>
          <w:lang w:val="en-US"/>
        </w:rPr>
        <w:t xml:space="preserve"> </w:t>
      </w:r>
      <w:r>
        <w:rPr>
          <w:sz w:val="22"/>
          <w:szCs w:val="22"/>
          <w:lang w:val="en-US"/>
        </w:rPr>
        <w:t xml:space="preserve">For example, evidence of a relatively minor breach of the Act might not weigh heavily in favour of an asset freeze order, whereas evidence of a serious breach of the Act could weigh more </w:t>
      </w:r>
      <w:proofErr w:type="gramStart"/>
      <w:r>
        <w:rPr>
          <w:sz w:val="22"/>
          <w:szCs w:val="22"/>
          <w:lang w:val="en-US"/>
        </w:rPr>
        <w:t>heavily;</w:t>
      </w:r>
      <w:proofErr w:type="gramEnd"/>
    </w:p>
    <w:p w14:paraId="3503580C" w14:textId="6A3A2417" w:rsidR="00FF6BAB" w:rsidRPr="00E8110D" w:rsidRDefault="00BB63B0" w:rsidP="00FF6BAB">
      <w:pPr>
        <w:pStyle w:val="Paragraphe"/>
        <w:numPr>
          <w:ilvl w:val="0"/>
          <w:numId w:val="0"/>
        </w:numPr>
        <w:ind w:left="1468" w:right="857"/>
        <w:rPr>
          <w:sz w:val="22"/>
          <w:szCs w:val="22"/>
          <w:lang w:val="en-US"/>
        </w:rPr>
      </w:pPr>
      <w:r>
        <w:rPr>
          <w:sz w:val="22"/>
          <w:szCs w:val="22"/>
          <w:lang w:val="en-US"/>
        </w:rPr>
        <w:t xml:space="preserve">2)   the stage of the investigation, and whether there is urgency or has been </w:t>
      </w:r>
      <w:proofErr w:type="gramStart"/>
      <w:r>
        <w:rPr>
          <w:sz w:val="22"/>
          <w:szCs w:val="22"/>
          <w:lang w:val="en-US"/>
        </w:rPr>
        <w:t>delay;</w:t>
      </w:r>
      <w:proofErr w:type="gramEnd"/>
    </w:p>
    <w:p w14:paraId="5C558FF6" w14:textId="130BA400" w:rsidR="00FF6BAB" w:rsidRPr="00E8110D" w:rsidRDefault="00BB63B0" w:rsidP="00FF6BAB">
      <w:pPr>
        <w:pStyle w:val="Paragraphe"/>
        <w:numPr>
          <w:ilvl w:val="0"/>
          <w:numId w:val="0"/>
        </w:numPr>
        <w:ind w:left="1468" w:right="857"/>
        <w:rPr>
          <w:sz w:val="22"/>
          <w:szCs w:val="22"/>
          <w:lang w:val="en-US"/>
        </w:rPr>
      </w:pPr>
      <w:r>
        <w:rPr>
          <w:sz w:val="22"/>
          <w:szCs w:val="22"/>
          <w:lang w:val="en-US"/>
        </w:rPr>
        <w:lastRenderedPageBreak/>
        <w:t>3)   the scope of the asset freeze order in relation to the potential penalties that might flow from the alleged breaches of the Act.</w:t>
      </w:r>
      <w:r w:rsidR="00544DF4" w:rsidRPr="00E8110D">
        <w:rPr>
          <w:sz w:val="22"/>
          <w:szCs w:val="22"/>
          <w:lang w:val="en-US"/>
        </w:rPr>
        <w:t xml:space="preserve"> </w:t>
      </w:r>
      <w:r>
        <w:rPr>
          <w:sz w:val="22"/>
          <w:szCs w:val="22"/>
          <w:lang w:val="en-US"/>
        </w:rPr>
        <w:t xml:space="preserve">This raises the question whether there is proportionality between the scope of the asset freeze order and the magnitude of the prospective monetary claims or penalties arising from the investigation to the extent that can be </w:t>
      </w:r>
      <w:proofErr w:type="gramStart"/>
      <w:r>
        <w:rPr>
          <w:sz w:val="22"/>
          <w:szCs w:val="22"/>
          <w:lang w:val="en-US"/>
        </w:rPr>
        <w:t>known;</w:t>
      </w:r>
      <w:proofErr w:type="gramEnd"/>
      <w:r w:rsidR="00544DF4" w:rsidRPr="00E8110D">
        <w:rPr>
          <w:sz w:val="22"/>
          <w:szCs w:val="22"/>
          <w:lang w:val="en-US"/>
        </w:rPr>
        <w:t> </w:t>
      </w:r>
    </w:p>
    <w:p w14:paraId="5980B4C5" w14:textId="6A189F40" w:rsidR="00FF6BAB" w:rsidRPr="00E8110D" w:rsidRDefault="00BB63B0" w:rsidP="00FF6BAB">
      <w:pPr>
        <w:pStyle w:val="Paragraphe"/>
        <w:numPr>
          <w:ilvl w:val="0"/>
          <w:numId w:val="0"/>
        </w:numPr>
        <w:ind w:left="1468" w:right="857"/>
        <w:rPr>
          <w:sz w:val="22"/>
          <w:szCs w:val="22"/>
          <w:lang w:val="en-US"/>
        </w:rPr>
      </w:pPr>
      <w:r>
        <w:rPr>
          <w:sz w:val="22"/>
          <w:szCs w:val="22"/>
          <w:lang w:val="en-US"/>
        </w:rPr>
        <w:t>4)   the potential consequences of the order on the assets’ owner or other parties; and</w:t>
      </w:r>
    </w:p>
    <w:p w14:paraId="39A3D2B1" w14:textId="4F3A84A2" w:rsidR="00FF6BAB" w:rsidRPr="00E8110D" w:rsidRDefault="00BB63B0" w:rsidP="00FF6BAB">
      <w:pPr>
        <w:pStyle w:val="Paragraphe"/>
        <w:numPr>
          <w:ilvl w:val="0"/>
          <w:numId w:val="0"/>
        </w:numPr>
        <w:ind w:left="1468" w:right="857"/>
        <w:rPr>
          <w:sz w:val="22"/>
          <w:szCs w:val="22"/>
          <w:lang w:val="en-US"/>
        </w:rPr>
      </w:pPr>
      <w:r w:rsidRPr="00221B3E">
        <w:rPr>
          <w:sz w:val="22"/>
          <w:szCs w:val="22"/>
          <w:lang w:val="en-US"/>
        </w:rPr>
        <w:t>5)   the strength of the evidence in support of the asset freeze order.</w:t>
      </w:r>
      <w:r w:rsidR="00544DF4" w:rsidRPr="00E8110D">
        <w:rPr>
          <w:sz w:val="22"/>
          <w:szCs w:val="22"/>
          <w:lang w:val="en-US"/>
        </w:rPr>
        <w:t xml:space="preserve"> </w:t>
      </w:r>
      <w:r>
        <w:rPr>
          <w:sz w:val="22"/>
          <w:szCs w:val="22"/>
          <w:lang w:val="en-US"/>
        </w:rPr>
        <w:t>Even where the preliminary merits test is met, the relative weakness or strength of the evidence can be a relevant factor to weigh in combination with all other public interest factors.</w:t>
      </w:r>
    </w:p>
    <w:p w14:paraId="5CD6A412" w14:textId="5374B427" w:rsidR="00FF6BAB" w:rsidRPr="007263A7" w:rsidRDefault="00BB63B0" w:rsidP="00FF6BAB">
      <w:pPr>
        <w:pStyle w:val="Paragraphe"/>
        <w:numPr>
          <w:ilvl w:val="0"/>
          <w:numId w:val="0"/>
        </w:numPr>
        <w:ind w:left="734" w:right="857"/>
        <w:rPr>
          <w:sz w:val="22"/>
          <w:szCs w:val="22"/>
          <w:lang w:val="en-US"/>
        </w:rPr>
      </w:pPr>
      <w:r>
        <w:rPr>
          <w:sz w:val="22"/>
          <w:szCs w:val="22"/>
          <w:lang w:val="en-US"/>
        </w:rPr>
        <w:t>[51]   Two other factors raised for consideration in the </w:t>
      </w:r>
      <w:r w:rsidRPr="00E86B67">
        <w:rPr>
          <w:i/>
          <w:iCs/>
          <w:sz w:val="22"/>
          <w:szCs w:val="22"/>
          <w:lang w:val="en-US"/>
        </w:rPr>
        <w:t>Party A Decision</w:t>
      </w:r>
      <w:r>
        <w:rPr>
          <w:sz w:val="22"/>
          <w:szCs w:val="22"/>
          <w:lang w:val="en-US"/>
        </w:rPr>
        <w:t> were whether the executive director can show a connection between the frozen assets and the alleged wrongdoing, and whether the executive director can show there is a risk of dissipation of the assets absent a freeze order.</w:t>
      </w:r>
      <w:r w:rsidR="00544DF4" w:rsidRPr="007263A7">
        <w:rPr>
          <w:sz w:val="22"/>
          <w:szCs w:val="22"/>
          <w:lang w:val="en-US"/>
        </w:rPr>
        <w:t xml:space="preserve"> </w:t>
      </w:r>
      <w:r>
        <w:rPr>
          <w:sz w:val="22"/>
          <w:szCs w:val="22"/>
          <w:lang w:val="en-US"/>
        </w:rPr>
        <w:t>The Court held that while those may be relevant in a particular case, neither was a necessary pre-condition to the maintenance of a freeze order.</w:t>
      </w:r>
    </w:p>
    <w:p w14:paraId="3161233A" w14:textId="1A700477" w:rsidR="00FF6BAB" w:rsidRPr="007263A7" w:rsidRDefault="00BB63B0" w:rsidP="00FF6BAB">
      <w:pPr>
        <w:pStyle w:val="Paragraphe"/>
        <w:numPr>
          <w:ilvl w:val="0"/>
          <w:numId w:val="0"/>
        </w:numPr>
        <w:ind w:left="734" w:right="857"/>
        <w:rPr>
          <w:sz w:val="22"/>
          <w:szCs w:val="22"/>
          <w:lang w:val="en-US"/>
        </w:rPr>
      </w:pPr>
      <w:r>
        <w:rPr>
          <w:sz w:val="22"/>
          <w:szCs w:val="22"/>
          <w:lang w:val="en-US"/>
        </w:rPr>
        <w:t>[52]   The Commission is not required to run through a formal checklist of all possible relevant factors but rather to balance those factors that are relevant to the case at hand.</w:t>
      </w:r>
    </w:p>
    <w:p w14:paraId="769135FE" w14:textId="737B3966" w:rsidR="00FF6BAB" w:rsidRPr="00C41A9D" w:rsidRDefault="00BB63B0" w:rsidP="00FF6BAB">
      <w:pPr>
        <w:pStyle w:val="Paragraphe"/>
        <w:numPr>
          <w:ilvl w:val="0"/>
          <w:numId w:val="1"/>
        </w:numPr>
        <w:rPr>
          <w:lang w:val="en-CA"/>
        </w:rPr>
      </w:pPr>
      <w:r w:rsidRPr="00A90FAB">
        <w:rPr>
          <w:lang w:val="en-CA"/>
        </w:rPr>
        <w:t xml:space="preserve">As this excerpt states, it is not necessary to analyze every factor individually </w:t>
      </w:r>
      <w:r w:rsidR="00A90FAB" w:rsidRPr="00A90FAB">
        <w:rPr>
          <w:lang w:val="en-CA"/>
        </w:rPr>
        <w:t>because</w:t>
      </w:r>
      <w:r w:rsidRPr="00A90FAB">
        <w:rPr>
          <w:lang w:val="en-CA"/>
        </w:rPr>
        <w:t xml:space="preserve"> the Tribunal need only assess the factors that apply to a given </w:t>
      </w:r>
      <w:r w:rsidR="00DC1433">
        <w:rPr>
          <w:lang w:val="en-CA"/>
        </w:rPr>
        <w:t>case</w:t>
      </w:r>
      <w:r w:rsidRPr="00A90FAB">
        <w:rPr>
          <w:lang w:val="en-CA"/>
        </w:rPr>
        <w:t>.</w:t>
      </w:r>
      <w:r w:rsidR="00544DF4" w:rsidRPr="00A90FAB">
        <w:rPr>
          <w:lang w:val="en-CA"/>
        </w:rPr>
        <w:t xml:space="preserve"> </w:t>
      </w:r>
      <w:r w:rsidR="00DC1433">
        <w:rPr>
          <w:lang w:val="en-CA"/>
        </w:rPr>
        <w:t>In this case</w:t>
      </w:r>
      <w:r w:rsidRPr="00A90FAB">
        <w:rPr>
          <w:lang w:val="en-CA"/>
        </w:rPr>
        <w:t xml:space="preserve">, the Tribunal </w:t>
      </w:r>
      <w:r w:rsidR="005654A9">
        <w:rPr>
          <w:lang w:val="en-CA"/>
        </w:rPr>
        <w:t>points out</w:t>
      </w:r>
      <w:r w:rsidR="008D56BC" w:rsidRPr="00A90FAB">
        <w:rPr>
          <w:lang w:val="en-CA"/>
        </w:rPr>
        <w:t xml:space="preserve"> </w:t>
      </w:r>
      <w:r w:rsidRPr="00A90FAB">
        <w:rPr>
          <w:lang w:val="en-CA"/>
        </w:rPr>
        <w:t>the following</w:t>
      </w:r>
      <w:r w:rsidRPr="00C41A9D">
        <w:rPr>
          <w:lang w:val="en-CA"/>
        </w:rPr>
        <w:t>:</w:t>
      </w:r>
      <w:r w:rsidR="00544DF4" w:rsidRPr="00C41A9D">
        <w:rPr>
          <w:lang w:val="en-CA"/>
        </w:rPr>
        <w:t xml:space="preserve"> </w:t>
      </w:r>
    </w:p>
    <w:p w14:paraId="3BD14DE1" w14:textId="7A5FEC34" w:rsidR="00FF6BAB" w:rsidRPr="00BB63B0" w:rsidRDefault="00BB63B0" w:rsidP="000E7F80">
      <w:pPr>
        <w:pStyle w:val="Paragraphe"/>
        <w:numPr>
          <w:ilvl w:val="0"/>
          <w:numId w:val="6"/>
        </w:numPr>
        <w:rPr>
          <w:lang w:val="en-CA"/>
        </w:rPr>
      </w:pPr>
      <w:r w:rsidRPr="00BB63B0">
        <w:rPr>
          <w:lang w:val="en-CA"/>
        </w:rPr>
        <w:t xml:space="preserve">The investigation in this </w:t>
      </w:r>
      <w:r w:rsidR="00DC1433">
        <w:rPr>
          <w:lang w:val="en-CA"/>
        </w:rPr>
        <w:t>case</w:t>
      </w:r>
      <w:r w:rsidRPr="00BB63B0">
        <w:rPr>
          <w:lang w:val="en-CA"/>
        </w:rPr>
        <w:t xml:space="preserve"> is nascent</w:t>
      </w:r>
      <w:r w:rsidR="00DC1433">
        <w:rPr>
          <w:lang w:val="en-CA"/>
        </w:rPr>
        <w:t>,</w:t>
      </w:r>
      <w:r w:rsidRPr="00BB63B0">
        <w:rPr>
          <w:lang w:val="en-CA"/>
        </w:rPr>
        <w:t xml:space="preserve"> and it is possible that the </w:t>
      </w:r>
      <w:r w:rsidR="00EB26F4">
        <w:rPr>
          <w:lang w:val="en-CA"/>
        </w:rPr>
        <w:t>Authority</w:t>
      </w:r>
      <w:r w:rsidR="00EB26F4" w:rsidRPr="00BB63B0">
        <w:rPr>
          <w:lang w:val="en-CA"/>
        </w:rPr>
        <w:t xml:space="preserve"> </w:t>
      </w:r>
      <w:r w:rsidRPr="00BB63B0">
        <w:rPr>
          <w:lang w:val="en-CA"/>
        </w:rPr>
        <w:t xml:space="preserve">will discover facts that may pave the way for further allegations of </w:t>
      </w:r>
      <w:r w:rsidR="008D56BC">
        <w:rPr>
          <w:lang w:val="en-CA"/>
        </w:rPr>
        <w:t>breaches</w:t>
      </w:r>
      <w:r w:rsidR="008D56BC" w:rsidRPr="00BB63B0">
        <w:rPr>
          <w:lang w:val="en-CA"/>
        </w:rPr>
        <w:t xml:space="preserve"> </w:t>
      </w:r>
      <w:r w:rsidRPr="00BB63B0">
        <w:rPr>
          <w:lang w:val="en-CA"/>
        </w:rPr>
        <w:t xml:space="preserve">and additional administrative </w:t>
      </w:r>
      <w:r w:rsidR="00DC1433">
        <w:rPr>
          <w:lang w:val="en-CA"/>
        </w:rPr>
        <w:t>penalties</w:t>
      </w:r>
      <w:r w:rsidR="0004201E" w:rsidRPr="00BB63B0">
        <w:rPr>
          <w:lang w:val="en-CA"/>
        </w:rPr>
        <w:t xml:space="preserve"> </w:t>
      </w:r>
      <w:r w:rsidRPr="00BB63B0">
        <w:rPr>
          <w:lang w:val="en-CA"/>
        </w:rPr>
        <w:t xml:space="preserve">and amounts to be </w:t>
      </w:r>
      <w:proofErr w:type="gramStart"/>
      <w:r w:rsidRPr="00BB63B0">
        <w:rPr>
          <w:lang w:val="en-CA"/>
        </w:rPr>
        <w:t>distributed;</w:t>
      </w:r>
      <w:proofErr w:type="gramEnd"/>
      <w:r w:rsidR="00544DF4" w:rsidRPr="00BB63B0">
        <w:rPr>
          <w:lang w:val="en-CA"/>
        </w:rPr>
        <w:t xml:space="preserve"> </w:t>
      </w:r>
    </w:p>
    <w:p w14:paraId="67A58D46" w14:textId="38C8A198" w:rsidR="00FF6BAB" w:rsidRPr="00BB63B0" w:rsidRDefault="00BB63B0" w:rsidP="000E7F80">
      <w:pPr>
        <w:pStyle w:val="Paragraphe"/>
        <w:numPr>
          <w:ilvl w:val="0"/>
          <w:numId w:val="6"/>
        </w:numPr>
        <w:rPr>
          <w:lang w:val="en-CA"/>
        </w:rPr>
      </w:pPr>
      <w:r w:rsidRPr="00BB63B0">
        <w:rPr>
          <w:lang w:val="en-CA"/>
        </w:rPr>
        <w:t xml:space="preserve">The alleged </w:t>
      </w:r>
      <w:r w:rsidR="007B5A75" w:rsidRPr="00BB63B0">
        <w:rPr>
          <w:lang w:val="en-CA"/>
        </w:rPr>
        <w:t xml:space="preserve">breaches </w:t>
      </w:r>
      <w:r w:rsidRPr="00BB63B0">
        <w:rPr>
          <w:lang w:val="en-CA"/>
        </w:rPr>
        <w:t xml:space="preserve">are </w:t>
      </w:r>
      <w:r w:rsidR="005654A9">
        <w:rPr>
          <w:lang w:val="en-CA"/>
        </w:rPr>
        <w:t>very</w:t>
      </w:r>
      <w:r w:rsidRPr="00BB63B0">
        <w:rPr>
          <w:lang w:val="en-CA"/>
        </w:rPr>
        <w:t xml:space="preserve"> serious. Market manipulation is a serious breach with significant consequences for all market</w:t>
      </w:r>
      <w:r w:rsidR="008D56BC">
        <w:rPr>
          <w:lang w:val="en-CA"/>
        </w:rPr>
        <w:t xml:space="preserve"> </w:t>
      </w:r>
      <w:proofErr w:type="gramStart"/>
      <w:r w:rsidR="008D56BC">
        <w:rPr>
          <w:lang w:val="en-CA"/>
        </w:rPr>
        <w:t>players</w:t>
      </w:r>
      <w:r w:rsidRPr="00BB63B0">
        <w:rPr>
          <w:lang w:val="en-CA"/>
        </w:rPr>
        <w:t>;</w:t>
      </w:r>
      <w:proofErr w:type="gramEnd"/>
      <w:r w:rsidR="00544DF4" w:rsidRPr="00BB63B0">
        <w:rPr>
          <w:lang w:val="en-CA"/>
        </w:rPr>
        <w:t xml:space="preserve"> </w:t>
      </w:r>
    </w:p>
    <w:p w14:paraId="55299CC8" w14:textId="0E519926" w:rsidR="00FF6BAB" w:rsidRPr="00BB63B0" w:rsidRDefault="00BB63B0" w:rsidP="000E7F80">
      <w:pPr>
        <w:pStyle w:val="Paragraphe"/>
        <w:numPr>
          <w:ilvl w:val="0"/>
          <w:numId w:val="6"/>
        </w:numPr>
        <w:rPr>
          <w:lang w:val="en-CA"/>
        </w:rPr>
      </w:pPr>
      <w:r w:rsidRPr="00221B3E">
        <w:rPr>
          <w:lang w:val="en-CA"/>
        </w:rPr>
        <w:t xml:space="preserve">Moreover, the amounts involved in the transactions that, to date, have been investigated by the </w:t>
      </w:r>
      <w:r w:rsidR="00EB26F4">
        <w:rPr>
          <w:lang w:val="en-CA"/>
        </w:rPr>
        <w:t>Authority</w:t>
      </w:r>
      <w:r w:rsidRPr="00221B3E">
        <w:rPr>
          <w:lang w:val="en-CA"/>
        </w:rPr>
        <w:t xml:space="preserve"> are significant.</w:t>
      </w:r>
      <w:r w:rsidRPr="00BB63B0">
        <w:rPr>
          <w:lang w:val="en-CA"/>
        </w:rPr>
        <w:t xml:space="preserve"> </w:t>
      </w:r>
      <w:r w:rsidR="008A476D">
        <w:rPr>
          <w:lang w:val="en-CA"/>
        </w:rPr>
        <w:t>T</w:t>
      </w:r>
      <w:r w:rsidRPr="00BB63B0">
        <w:rPr>
          <w:lang w:val="en-CA"/>
        </w:rPr>
        <w:t xml:space="preserve">he Tribunal notes, </w:t>
      </w:r>
      <w:r w:rsidR="008A476D">
        <w:rPr>
          <w:lang w:val="en-CA"/>
        </w:rPr>
        <w:t>h</w:t>
      </w:r>
      <w:r w:rsidR="008A476D" w:rsidRPr="00BB63B0">
        <w:rPr>
          <w:lang w:val="en-CA"/>
        </w:rPr>
        <w:t>owever</w:t>
      </w:r>
      <w:r w:rsidR="008A476D">
        <w:rPr>
          <w:lang w:val="en-CA"/>
        </w:rPr>
        <w:t>,</w:t>
      </w:r>
      <w:r w:rsidR="008A476D" w:rsidRPr="00BB63B0">
        <w:rPr>
          <w:lang w:val="en-CA"/>
        </w:rPr>
        <w:t xml:space="preserve"> </w:t>
      </w:r>
      <w:r w:rsidRPr="00BB63B0">
        <w:rPr>
          <w:lang w:val="en-CA"/>
        </w:rPr>
        <w:t xml:space="preserve">as was </w:t>
      </w:r>
      <w:r w:rsidR="00F60584">
        <w:rPr>
          <w:lang w:val="en-CA"/>
        </w:rPr>
        <w:t>established by the evidence</w:t>
      </w:r>
      <w:r w:rsidRPr="00BB63B0">
        <w:rPr>
          <w:lang w:val="en-CA"/>
        </w:rPr>
        <w:t xml:space="preserve"> at the hearing, that the amounts that are currently frozen represent nearly twice the amounts involved in these transactions.</w:t>
      </w:r>
    </w:p>
    <w:p w14:paraId="5B8D4949" w14:textId="1051C14B" w:rsidR="0012334D" w:rsidRPr="00BB63B0" w:rsidRDefault="00BB63B0" w:rsidP="00F36AE7">
      <w:pPr>
        <w:pStyle w:val="Paragraphe"/>
        <w:rPr>
          <w:lang w:val="en-CA"/>
        </w:rPr>
      </w:pPr>
      <w:r w:rsidRPr="00BB63B0">
        <w:rPr>
          <w:lang w:val="en-CA"/>
        </w:rPr>
        <w:t>The respondents ask that the freeze and cease trad</w:t>
      </w:r>
      <w:r w:rsidR="00F60584">
        <w:rPr>
          <w:lang w:val="en-CA"/>
        </w:rPr>
        <w:t>e</w:t>
      </w:r>
      <w:r w:rsidRPr="00BB63B0">
        <w:rPr>
          <w:lang w:val="en-CA"/>
        </w:rPr>
        <w:t xml:space="preserve"> orders be lifted to allow them to (1) convert USD</w:t>
      </w:r>
      <w:r w:rsidR="009E42CC">
        <w:rPr>
          <w:lang w:val="en-CA"/>
        </w:rPr>
        <w:t>C</w:t>
      </w:r>
      <w:r w:rsidRPr="00BB63B0">
        <w:rPr>
          <w:lang w:val="en-CA"/>
        </w:rPr>
        <w:t xml:space="preserve"> into fiat currency to keep sufficient assets in an account frozen in Canada to cover the consequences of the alleged </w:t>
      </w:r>
      <w:r w:rsidR="003D0971">
        <w:rPr>
          <w:lang w:val="en-CA"/>
        </w:rPr>
        <w:t>illegal</w:t>
      </w:r>
      <w:r w:rsidRPr="00BB63B0">
        <w:rPr>
          <w:lang w:val="en-CA"/>
        </w:rPr>
        <w:t xml:space="preserve"> activities and (2) use other USDC, </w:t>
      </w:r>
      <w:r w:rsidR="00F60584">
        <w:rPr>
          <w:lang w:val="en-CA"/>
        </w:rPr>
        <w:t>which</w:t>
      </w:r>
      <w:r w:rsidRPr="00BB63B0">
        <w:rPr>
          <w:lang w:val="en-CA"/>
        </w:rPr>
        <w:t xml:space="preserve"> are not </w:t>
      </w:r>
      <w:r w:rsidR="00594FEA">
        <w:rPr>
          <w:lang w:val="en-CA"/>
        </w:rPr>
        <w:t>subject to</w:t>
      </w:r>
      <w:r w:rsidRPr="00BB63B0">
        <w:rPr>
          <w:lang w:val="en-CA"/>
        </w:rPr>
        <w:t xml:space="preserve"> the freeze order</w:t>
      </w:r>
      <w:r w:rsidR="007B5A75">
        <w:rPr>
          <w:lang w:val="en-CA"/>
        </w:rPr>
        <w:t>s</w:t>
      </w:r>
      <w:r w:rsidRPr="00BB63B0">
        <w:rPr>
          <w:lang w:val="en-CA"/>
        </w:rPr>
        <w:t xml:space="preserve">, to pay only tax debts and their legal fees. </w:t>
      </w:r>
      <w:r w:rsidR="00A54440" w:rsidRPr="00BB63B0">
        <w:rPr>
          <w:lang w:val="en-CA"/>
        </w:rPr>
        <w:t xml:space="preserve"> </w:t>
      </w:r>
    </w:p>
    <w:p w14:paraId="53F61916" w14:textId="63ECA470" w:rsidR="00F36AE7" w:rsidRPr="00BB63B0" w:rsidRDefault="00BB63B0" w:rsidP="00FE3226">
      <w:pPr>
        <w:pStyle w:val="Paragraphe"/>
        <w:rPr>
          <w:lang w:val="en-CA"/>
        </w:rPr>
      </w:pPr>
      <w:r w:rsidRPr="00BB63B0">
        <w:rPr>
          <w:lang w:val="en-CA"/>
        </w:rPr>
        <w:lastRenderedPageBreak/>
        <w:t xml:space="preserve">Following the hearing on the respondents’ applications </w:t>
      </w:r>
      <w:r w:rsidR="003E3182">
        <w:rPr>
          <w:lang w:val="en-CA"/>
        </w:rPr>
        <w:t>for partial lifting</w:t>
      </w:r>
      <w:r w:rsidRPr="00BB63B0">
        <w:rPr>
          <w:lang w:val="en-CA"/>
        </w:rPr>
        <w:t xml:space="preserve">, the Tribunal accepts the following main facts from Vincent Allard’s testimony, the exhibits </w:t>
      </w:r>
      <w:r w:rsidR="0047207A">
        <w:rPr>
          <w:lang w:val="en-CA"/>
        </w:rPr>
        <w:t>filed</w:t>
      </w:r>
      <w:r w:rsidRPr="00BB63B0">
        <w:rPr>
          <w:lang w:val="en-CA"/>
        </w:rPr>
        <w:t xml:space="preserve">, and the parties’ </w:t>
      </w:r>
      <w:r w:rsidR="007100BA">
        <w:rPr>
          <w:lang w:val="en-CA"/>
        </w:rPr>
        <w:t>submissions</w:t>
      </w:r>
      <w:r w:rsidRPr="00BB63B0">
        <w:rPr>
          <w:lang w:val="en-CA"/>
        </w:rPr>
        <w:t xml:space="preserve">:  </w:t>
      </w:r>
      <w:r w:rsidR="00544DF4" w:rsidRPr="00BB63B0">
        <w:rPr>
          <w:lang w:val="en-CA"/>
        </w:rPr>
        <w:t xml:space="preserve"> </w:t>
      </w:r>
    </w:p>
    <w:p w14:paraId="635AFE5F" w14:textId="441E042C" w:rsidR="009F4D3D" w:rsidRPr="00895FC4" w:rsidRDefault="00895FC4" w:rsidP="001B62B1">
      <w:pPr>
        <w:pStyle w:val="Paragraphe"/>
        <w:numPr>
          <w:ilvl w:val="0"/>
          <w:numId w:val="5"/>
        </w:numPr>
        <w:rPr>
          <w:lang w:val="en-CA"/>
        </w:rPr>
      </w:pPr>
      <w:r w:rsidRPr="00895FC4">
        <w:rPr>
          <w:lang w:val="en-CA"/>
        </w:rPr>
        <w:t xml:space="preserve">The </w:t>
      </w:r>
      <w:r w:rsidR="00EB26F4">
        <w:rPr>
          <w:lang w:val="en-CA"/>
        </w:rPr>
        <w:t>Authority</w:t>
      </w:r>
      <w:r w:rsidRPr="00895FC4">
        <w:rPr>
          <w:lang w:val="en-CA"/>
        </w:rPr>
        <w:t xml:space="preserve"> told the Tribunal that</w:t>
      </w:r>
      <w:r w:rsidR="003120A7">
        <w:rPr>
          <w:lang w:val="en-CA"/>
        </w:rPr>
        <w:t>,</w:t>
      </w:r>
      <w:r w:rsidRPr="00895FC4">
        <w:rPr>
          <w:lang w:val="en-CA"/>
        </w:rPr>
        <w:t xml:space="preserve"> in its view, the freeze orders concerned only what was specifically identified in the conclusions, that is, the </w:t>
      </w:r>
      <w:r w:rsidR="003120A7" w:rsidRPr="003120A7">
        <w:rPr>
          <w:lang w:val="en-CA"/>
        </w:rPr>
        <w:t>accounts</w:t>
      </w:r>
      <w:r w:rsidR="003120A7">
        <w:rPr>
          <w:lang w:val="en-CA"/>
        </w:rPr>
        <w:t xml:space="preserve"> with</w:t>
      </w:r>
      <w:r w:rsidR="003120A7" w:rsidRPr="00895FC4">
        <w:rPr>
          <w:lang w:val="en-CA"/>
        </w:rPr>
        <w:t xml:space="preserve"> </w:t>
      </w:r>
      <w:r w:rsidRPr="00895FC4">
        <w:rPr>
          <w:lang w:val="en-CA"/>
        </w:rPr>
        <w:t xml:space="preserve">Circle Internet Financial LLC #155435687 and BMO Investorline </w:t>
      </w:r>
      <w:r w:rsidR="007100BA">
        <w:rPr>
          <w:lang w:val="en-CA"/>
        </w:rPr>
        <w:t>I</w:t>
      </w:r>
      <w:r w:rsidRPr="00895FC4">
        <w:rPr>
          <w:lang w:val="en-CA"/>
        </w:rPr>
        <w:t xml:space="preserve">nc. </w:t>
      </w:r>
      <w:r w:rsidRPr="003120A7">
        <w:rPr>
          <w:lang w:val="en-CA"/>
        </w:rPr>
        <w:t xml:space="preserve">#239-34578, and the portfolio </w:t>
      </w:r>
      <w:r w:rsidR="00A956EF">
        <w:rPr>
          <w:lang w:val="en-CA"/>
        </w:rPr>
        <w:t>in the name of</w:t>
      </w:r>
      <w:r w:rsidRPr="003120A7">
        <w:rPr>
          <w:lang w:val="en-CA"/>
        </w:rPr>
        <w:t xml:space="preserve"> BALD Deployer. </w:t>
      </w:r>
      <w:r w:rsidRPr="00895FC4">
        <w:rPr>
          <w:lang w:val="en-CA"/>
        </w:rPr>
        <w:t xml:space="preserve">Thus, </w:t>
      </w:r>
      <w:r w:rsidR="00A956EF" w:rsidRPr="00895FC4">
        <w:rPr>
          <w:lang w:val="en-CA"/>
        </w:rPr>
        <w:t xml:space="preserve">according to the </w:t>
      </w:r>
      <w:r w:rsidR="00A956EF">
        <w:rPr>
          <w:lang w:val="en-CA"/>
        </w:rPr>
        <w:t>Authority,</w:t>
      </w:r>
      <w:r w:rsidR="00A956EF" w:rsidRPr="00895FC4">
        <w:rPr>
          <w:lang w:val="en-CA"/>
        </w:rPr>
        <w:t xml:space="preserve"> </w:t>
      </w:r>
      <w:r w:rsidRPr="00895FC4">
        <w:rPr>
          <w:lang w:val="en-CA"/>
        </w:rPr>
        <w:t xml:space="preserve">the general freeze order issued by the Tribunal appears to be </w:t>
      </w:r>
      <w:proofErr w:type="gramStart"/>
      <w:r w:rsidRPr="00895FC4">
        <w:rPr>
          <w:lang w:val="en-CA"/>
        </w:rPr>
        <w:t>moot;</w:t>
      </w:r>
      <w:proofErr w:type="gramEnd"/>
      <w:r w:rsidR="0064178D" w:rsidRPr="00895FC4">
        <w:rPr>
          <w:lang w:val="en-CA"/>
        </w:rPr>
        <w:t xml:space="preserve"> </w:t>
      </w:r>
    </w:p>
    <w:p w14:paraId="7BD24AEB" w14:textId="08D4949F" w:rsidR="00AE6A4E" w:rsidRPr="00895FC4" w:rsidRDefault="00895FC4" w:rsidP="001B62B1">
      <w:pPr>
        <w:pStyle w:val="Paragraphe"/>
        <w:numPr>
          <w:ilvl w:val="0"/>
          <w:numId w:val="5"/>
        </w:numPr>
        <w:rPr>
          <w:lang w:val="en-CA"/>
        </w:rPr>
      </w:pPr>
      <w:r>
        <w:rPr>
          <w:lang w:val="en-CA"/>
        </w:rPr>
        <w:t xml:space="preserve">USDC are stablecoins, whose value is tied to that of the </w:t>
      </w:r>
      <w:r w:rsidR="007100BA">
        <w:rPr>
          <w:lang w:val="en-CA"/>
        </w:rPr>
        <w:t xml:space="preserve">US </w:t>
      </w:r>
      <w:r>
        <w:rPr>
          <w:lang w:val="en-CA"/>
        </w:rPr>
        <w:t>dollar.</w:t>
      </w:r>
      <w:r w:rsidR="00544DF4">
        <w:rPr>
          <w:rStyle w:val="Appelnotedebasdep"/>
        </w:rPr>
        <w:footnoteReference w:id="12"/>
      </w:r>
      <w:r w:rsidR="007E7F6C">
        <w:rPr>
          <w:lang w:val="en-CA"/>
        </w:rPr>
        <w:t xml:space="preserve"> </w:t>
      </w:r>
      <w:r w:rsidRPr="00895FC4">
        <w:rPr>
          <w:lang w:val="en-CA"/>
        </w:rPr>
        <w:t>In other words, one USD</w:t>
      </w:r>
      <w:r w:rsidR="009E42CC">
        <w:rPr>
          <w:lang w:val="en-CA"/>
        </w:rPr>
        <w:t>C</w:t>
      </w:r>
      <w:r w:rsidRPr="00895FC4">
        <w:rPr>
          <w:lang w:val="en-CA"/>
        </w:rPr>
        <w:t xml:space="preserve"> is worth one </w:t>
      </w:r>
      <w:r w:rsidR="007100BA">
        <w:rPr>
          <w:lang w:val="en-CA"/>
        </w:rPr>
        <w:t>US</w:t>
      </w:r>
      <w:r w:rsidRPr="00895FC4">
        <w:rPr>
          <w:lang w:val="en-CA"/>
        </w:rPr>
        <w:t xml:space="preserve"> </w:t>
      </w:r>
      <w:proofErr w:type="gramStart"/>
      <w:r w:rsidRPr="00895FC4">
        <w:rPr>
          <w:lang w:val="en-CA"/>
        </w:rPr>
        <w:t>dollar;</w:t>
      </w:r>
      <w:proofErr w:type="gramEnd"/>
      <w:r w:rsidR="00544DF4" w:rsidRPr="00895FC4">
        <w:rPr>
          <w:lang w:val="en-CA"/>
        </w:rPr>
        <w:t xml:space="preserve"> </w:t>
      </w:r>
    </w:p>
    <w:p w14:paraId="2E05BFB1" w14:textId="1F3B63E4" w:rsidR="001A5EDD" w:rsidRPr="00895FC4" w:rsidRDefault="00895FC4" w:rsidP="001B62B1">
      <w:pPr>
        <w:pStyle w:val="Paragraphe"/>
        <w:numPr>
          <w:ilvl w:val="0"/>
          <w:numId w:val="5"/>
        </w:numPr>
        <w:rPr>
          <w:lang w:val="en-CA"/>
        </w:rPr>
      </w:pPr>
      <w:r w:rsidRPr="00895FC4">
        <w:rPr>
          <w:lang w:val="en-CA"/>
        </w:rPr>
        <w:t xml:space="preserve">Vincent Allard testified that USDC are currently held in Pyrole’s name </w:t>
      </w:r>
      <w:r w:rsidR="007100BA">
        <w:rPr>
          <w:lang w:val="en-CA"/>
        </w:rPr>
        <w:t>in</w:t>
      </w:r>
      <w:r w:rsidR="007100BA" w:rsidRPr="00895FC4">
        <w:rPr>
          <w:lang w:val="en-CA"/>
        </w:rPr>
        <w:t xml:space="preserve"> </w:t>
      </w:r>
      <w:r w:rsidRPr="00895FC4">
        <w:rPr>
          <w:lang w:val="en-CA"/>
        </w:rPr>
        <w:t xml:space="preserve">Circle account #155435687 and have an approximate market value of </w:t>
      </w:r>
      <w:proofErr w:type="gramStart"/>
      <w:r w:rsidRPr="00895FC4">
        <w:rPr>
          <w:lang w:val="en-CA"/>
        </w:rPr>
        <w:t>US$7,000,000;</w:t>
      </w:r>
      <w:proofErr w:type="gramEnd"/>
      <w:r w:rsidR="00544DF4" w:rsidRPr="00895FC4">
        <w:rPr>
          <w:lang w:val="en-CA"/>
        </w:rPr>
        <w:t xml:space="preserve"> </w:t>
      </w:r>
    </w:p>
    <w:p w14:paraId="4C7D7FE1" w14:textId="48583717" w:rsidR="006A3435" w:rsidRPr="00895FC4" w:rsidRDefault="00895FC4" w:rsidP="001B62B1">
      <w:pPr>
        <w:pStyle w:val="Paragraphe"/>
        <w:numPr>
          <w:ilvl w:val="0"/>
          <w:numId w:val="5"/>
        </w:numPr>
        <w:rPr>
          <w:lang w:val="en-CA"/>
        </w:rPr>
      </w:pPr>
      <w:r w:rsidRPr="00895FC4">
        <w:rPr>
          <w:lang w:val="en-CA"/>
        </w:rPr>
        <w:t xml:space="preserve">Vincent Allard testified that he and/or Pyrole held approximately US$10 </w:t>
      </w:r>
      <w:r w:rsidR="007100BA">
        <w:rPr>
          <w:lang w:val="en-CA"/>
        </w:rPr>
        <w:t xml:space="preserve">to </w:t>
      </w:r>
      <w:r w:rsidRPr="00895FC4">
        <w:rPr>
          <w:lang w:val="en-CA"/>
        </w:rPr>
        <w:t xml:space="preserve">20 million </w:t>
      </w:r>
      <w:r w:rsidR="00CA6DE7">
        <w:rPr>
          <w:lang w:val="en-CA"/>
        </w:rPr>
        <w:t xml:space="preserve">of </w:t>
      </w:r>
      <w:r w:rsidRPr="00895FC4">
        <w:rPr>
          <w:lang w:val="en-CA"/>
        </w:rPr>
        <w:t xml:space="preserve">USDC </w:t>
      </w:r>
      <w:r w:rsidR="007E7F6C">
        <w:rPr>
          <w:lang w:val="en-CA"/>
        </w:rPr>
        <w:t>in</w:t>
      </w:r>
      <w:r w:rsidRPr="00895FC4">
        <w:rPr>
          <w:lang w:val="en-CA"/>
        </w:rPr>
        <w:t xml:space="preserve"> other </w:t>
      </w:r>
      <w:r w:rsidR="007100BA">
        <w:rPr>
          <w:lang w:val="en-CA"/>
        </w:rPr>
        <w:t xml:space="preserve">electronic </w:t>
      </w:r>
      <w:r w:rsidRPr="00895FC4">
        <w:rPr>
          <w:lang w:val="en-CA"/>
        </w:rPr>
        <w:t>portfolios</w:t>
      </w:r>
      <w:r w:rsidR="007100BA">
        <w:rPr>
          <w:lang w:val="en-CA"/>
        </w:rPr>
        <w:t xml:space="preserve"> at other </w:t>
      </w:r>
      <w:proofErr w:type="gramStart"/>
      <w:r w:rsidR="007100BA">
        <w:rPr>
          <w:lang w:val="en-CA"/>
        </w:rPr>
        <w:t>addresses</w:t>
      </w:r>
      <w:r w:rsidRPr="00895FC4">
        <w:rPr>
          <w:lang w:val="en-CA"/>
        </w:rPr>
        <w:t>;</w:t>
      </w:r>
      <w:proofErr w:type="gramEnd"/>
      <w:r w:rsidR="00544DF4" w:rsidRPr="00895FC4">
        <w:rPr>
          <w:lang w:val="en-CA"/>
        </w:rPr>
        <w:t xml:space="preserve"> </w:t>
      </w:r>
    </w:p>
    <w:p w14:paraId="735D2495" w14:textId="2DC92268" w:rsidR="006A3435" w:rsidRPr="00895FC4" w:rsidRDefault="00895FC4" w:rsidP="001B62B1">
      <w:pPr>
        <w:pStyle w:val="Paragraphe"/>
        <w:numPr>
          <w:ilvl w:val="0"/>
          <w:numId w:val="5"/>
        </w:numPr>
        <w:rPr>
          <w:lang w:val="en-CA"/>
        </w:rPr>
      </w:pPr>
      <w:r w:rsidRPr="00895FC4">
        <w:rPr>
          <w:lang w:val="en-CA"/>
        </w:rPr>
        <w:t xml:space="preserve">He confirmed to the Tribunal that he </w:t>
      </w:r>
      <w:r w:rsidR="00CA6DE7">
        <w:rPr>
          <w:lang w:val="en-CA"/>
        </w:rPr>
        <w:t>would be able to</w:t>
      </w:r>
      <w:r w:rsidRPr="00895FC4">
        <w:rPr>
          <w:lang w:val="en-CA"/>
        </w:rPr>
        <w:t xml:space="preserve"> pay Pyrole’s tax debts and any future legal fees without </w:t>
      </w:r>
      <w:r w:rsidR="007E7F6C">
        <w:rPr>
          <w:lang w:val="en-CA"/>
        </w:rPr>
        <w:t>[</w:t>
      </w:r>
      <w:r w:rsidR="007E7F6C" w:rsidRPr="007E7F6C">
        <w:rPr>
          <w:smallCaps/>
          <w:lang w:val="en-CA"/>
        </w:rPr>
        <w:t>translation</w:t>
      </w:r>
      <w:r w:rsidR="007E7F6C">
        <w:rPr>
          <w:lang w:val="en-CA"/>
        </w:rPr>
        <w:t xml:space="preserve">] </w:t>
      </w:r>
      <w:r w:rsidRPr="00895FC4">
        <w:rPr>
          <w:lang w:val="en-CA"/>
        </w:rPr>
        <w:t xml:space="preserve">“touching” the currently frozen assets, </w:t>
      </w:r>
      <w:r w:rsidR="007E7F6C" w:rsidRPr="00895FC4">
        <w:rPr>
          <w:lang w:val="en-CA"/>
        </w:rPr>
        <w:t>including</w:t>
      </w:r>
      <w:r w:rsidRPr="00895FC4">
        <w:rPr>
          <w:lang w:val="en-CA"/>
        </w:rPr>
        <w:t xml:space="preserve"> those he proposes to transfer to the BMO I</w:t>
      </w:r>
      <w:r w:rsidR="007E7F6C">
        <w:rPr>
          <w:lang w:val="en-CA"/>
        </w:rPr>
        <w:t>n</w:t>
      </w:r>
      <w:r w:rsidRPr="00895FC4">
        <w:rPr>
          <w:lang w:val="en-CA"/>
        </w:rPr>
        <w:t xml:space="preserve">vestorline </w:t>
      </w:r>
      <w:r w:rsidR="007E7F6C">
        <w:rPr>
          <w:lang w:val="en-CA"/>
        </w:rPr>
        <w:t>I</w:t>
      </w:r>
      <w:r w:rsidRPr="00895FC4">
        <w:rPr>
          <w:lang w:val="en-CA"/>
        </w:rPr>
        <w:t xml:space="preserve">nc. account to </w:t>
      </w:r>
      <w:r w:rsidR="007E7F6C">
        <w:rPr>
          <w:lang w:val="en-CA"/>
        </w:rPr>
        <w:t>protect</w:t>
      </w:r>
      <w:r w:rsidRPr="00895FC4">
        <w:rPr>
          <w:lang w:val="en-CA"/>
        </w:rPr>
        <w:t xml:space="preserve"> the amounts </w:t>
      </w:r>
      <w:r w:rsidR="002E0346">
        <w:rPr>
          <w:lang w:val="en-CA"/>
        </w:rPr>
        <w:t>tied</w:t>
      </w:r>
      <w:r w:rsidR="007100BA">
        <w:rPr>
          <w:lang w:val="en-CA"/>
        </w:rPr>
        <w:t xml:space="preserve"> to </w:t>
      </w:r>
      <w:r w:rsidRPr="00895FC4">
        <w:rPr>
          <w:lang w:val="en-CA"/>
        </w:rPr>
        <w:t xml:space="preserve">the </w:t>
      </w:r>
      <w:r w:rsidR="00CA6DE7">
        <w:rPr>
          <w:lang w:val="en-CA"/>
        </w:rPr>
        <w:t>impugned</w:t>
      </w:r>
      <w:r w:rsidRPr="00895FC4">
        <w:rPr>
          <w:lang w:val="en-CA"/>
        </w:rPr>
        <w:t xml:space="preserve"> </w:t>
      </w:r>
      <w:proofErr w:type="gramStart"/>
      <w:r w:rsidRPr="00895FC4">
        <w:rPr>
          <w:lang w:val="en-CA"/>
        </w:rPr>
        <w:t>activities;</w:t>
      </w:r>
      <w:proofErr w:type="gramEnd"/>
      <w:r w:rsidR="00EE2870" w:rsidRPr="00895FC4">
        <w:rPr>
          <w:lang w:val="en-CA"/>
        </w:rPr>
        <w:t xml:space="preserve"> </w:t>
      </w:r>
    </w:p>
    <w:p w14:paraId="1E751B1C" w14:textId="4D5C3D7D" w:rsidR="001A5EDD" w:rsidRPr="00895FC4" w:rsidRDefault="007E7F6C" w:rsidP="001B62B1">
      <w:pPr>
        <w:pStyle w:val="Paragraphe"/>
        <w:numPr>
          <w:ilvl w:val="0"/>
          <w:numId w:val="5"/>
        </w:numPr>
        <w:rPr>
          <w:lang w:val="en-CA"/>
        </w:rPr>
      </w:pPr>
      <w:r w:rsidRPr="00895FC4">
        <w:rPr>
          <w:lang w:val="en-CA"/>
        </w:rPr>
        <w:t>Counsel</w:t>
      </w:r>
      <w:r w:rsidR="00895FC4" w:rsidRPr="00895FC4">
        <w:rPr>
          <w:lang w:val="en-CA"/>
        </w:rPr>
        <w:t xml:space="preserve"> for the respondents indicated to the Tribunal that they did not have any outstanding amounts owed </w:t>
      </w:r>
      <w:proofErr w:type="gramStart"/>
      <w:r w:rsidR="00895FC4" w:rsidRPr="00895FC4">
        <w:rPr>
          <w:lang w:val="en-CA"/>
        </w:rPr>
        <w:t>at the moment</w:t>
      </w:r>
      <w:proofErr w:type="gramEnd"/>
      <w:r w:rsidR="00895FC4" w:rsidRPr="00895FC4">
        <w:rPr>
          <w:lang w:val="en-CA"/>
        </w:rPr>
        <w:t>.</w:t>
      </w:r>
      <w:r w:rsidR="00C81254" w:rsidRPr="00895FC4">
        <w:rPr>
          <w:lang w:val="en-CA"/>
        </w:rPr>
        <w:t xml:space="preserve"> </w:t>
      </w:r>
      <w:r w:rsidR="00895FC4" w:rsidRPr="00895FC4">
        <w:rPr>
          <w:lang w:val="en-CA"/>
        </w:rPr>
        <w:t xml:space="preserve">The application </w:t>
      </w:r>
      <w:r w:rsidR="003E3182">
        <w:rPr>
          <w:lang w:val="en-CA"/>
        </w:rPr>
        <w:t>for partial lifting</w:t>
      </w:r>
      <w:r w:rsidR="00895FC4" w:rsidRPr="00895FC4">
        <w:rPr>
          <w:lang w:val="en-CA"/>
        </w:rPr>
        <w:t xml:space="preserve"> </w:t>
      </w:r>
      <w:r>
        <w:rPr>
          <w:lang w:val="en-CA"/>
        </w:rPr>
        <w:t xml:space="preserve">regarding </w:t>
      </w:r>
      <w:r w:rsidR="00895FC4" w:rsidRPr="00895FC4">
        <w:rPr>
          <w:lang w:val="en-CA"/>
        </w:rPr>
        <w:t xml:space="preserve">legal fees concerns only the </w:t>
      </w:r>
      <w:proofErr w:type="gramStart"/>
      <w:r w:rsidR="00895FC4" w:rsidRPr="00895FC4">
        <w:rPr>
          <w:lang w:val="en-CA"/>
        </w:rPr>
        <w:t>future;</w:t>
      </w:r>
      <w:proofErr w:type="gramEnd"/>
      <w:r w:rsidR="00C81254" w:rsidRPr="00895FC4">
        <w:rPr>
          <w:lang w:val="en-CA"/>
        </w:rPr>
        <w:t xml:space="preserve"> </w:t>
      </w:r>
    </w:p>
    <w:p w14:paraId="4BF84857" w14:textId="36605016" w:rsidR="007D6EF6" w:rsidRPr="00895FC4" w:rsidRDefault="00895FC4" w:rsidP="001B62B1">
      <w:pPr>
        <w:pStyle w:val="Paragraphe"/>
        <w:numPr>
          <w:ilvl w:val="0"/>
          <w:numId w:val="5"/>
        </w:numPr>
        <w:rPr>
          <w:lang w:val="en-CA"/>
        </w:rPr>
      </w:pPr>
      <w:r w:rsidRPr="00895FC4">
        <w:rPr>
          <w:lang w:val="en-CA"/>
        </w:rPr>
        <w:t>The total amount owed to the Canada Revenue Agency and to Revenu Québec, including interest, is between C$2,100,000 and C$2,500,000;</w:t>
      </w:r>
      <w:r>
        <w:rPr>
          <w:rStyle w:val="Appelnotedebasdep"/>
        </w:rPr>
        <w:footnoteReference w:id="13"/>
      </w:r>
    </w:p>
    <w:p w14:paraId="162379A7" w14:textId="7229AF6B" w:rsidR="0068524A" w:rsidRPr="00895FC4" w:rsidRDefault="00895FC4" w:rsidP="001B62B1">
      <w:pPr>
        <w:pStyle w:val="Paragraphe"/>
        <w:numPr>
          <w:ilvl w:val="0"/>
          <w:numId w:val="5"/>
        </w:numPr>
        <w:rPr>
          <w:lang w:val="en-CA"/>
        </w:rPr>
      </w:pPr>
      <w:r w:rsidRPr="00895FC4">
        <w:rPr>
          <w:lang w:val="en-CA"/>
        </w:rPr>
        <w:t xml:space="preserve">The respondents </w:t>
      </w:r>
      <w:r w:rsidR="00DF7EE7">
        <w:rPr>
          <w:lang w:val="en-CA"/>
        </w:rPr>
        <w:t>should</w:t>
      </w:r>
      <w:r w:rsidRPr="00895FC4">
        <w:rPr>
          <w:lang w:val="en-CA"/>
        </w:rPr>
        <w:t xml:space="preserve"> never have more than C$500,000 available in the trust account held for them by Langlois </w:t>
      </w:r>
      <w:r w:rsidR="00EB26F4">
        <w:rPr>
          <w:lang w:val="en-CA"/>
        </w:rPr>
        <w:t>Lawyers</w:t>
      </w:r>
      <w:r w:rsidRPr="00895FC4">
        <w:rPr>
          <w:lang w:val="en-CA"/>
        </w:rPr>
        <w:t xml:space="preserve"> to cover legal fees.</w:t>
      </w:r>
      <w:r w:rsidR="00EB321C" w:rsidRPr="00895FC4">
        <w:rPr>
          <w:lang w:val="en-CA"/>
        </w:rPr>
        <w:t xml:space="preserve"> </w:t>
      </w:r>
    </w:p>
    <w:p w14:paraId="60FC0B2E" w14:textId="581BAAAA" w:rsidR="00277672" w:rsidRPr="00895FC4" w:rsidRDefault="00895FC4" w:rsidP="00277672">
      <w:pPr>
        <w:pStyle w:val="Paragraphe"/>
        <w:rPr>
          <w:lang w:val="en-CA"/>
        </w:rPr>
      </w:pPr>
      <w:r>
        <w:rPr>
          <w:lang w:val="en-CA"/>
        </w:rPr>
        <w:t xml:space="preserve">At the hearing, the respondents explained the mechanisms by which </w:t>
      </w:r>
      <w:r w:rsidR="007E7F6C">
        <w:rPr>
          <w:lang w:val="en-CA"/>
        </w:rPr>
        <w:t xml:space="preserve">the </w:t>
      </w:r>
      <w:r>
        <w:rPr>
          <w:lang w:val="en-CA"/>
        </w:rPr>
        <w:t>orders c</w:t>
      </w:r>
      <w:r w:rsidR="007E7F6C">
        <w:rPr>
          <w:lang w:val="en-CA"/>
        </w:rPr>
        <w:t>ould</w:t>
      </w:r>
      <w:r>
        <w:rPr>
          <w:lang w:val="en-CA"/>
        </w:rPr>
        <w:t xml:space="preserve"> be partially lifted.</w:t>
      </w:r>
    </w:p>
    <w:p w14:paraId="29C942D6" w14:textId="5020A02A" w:rsidR="00234F8A" w:rsidRPr="00895FC4" w:rsidRDefault="00895FC4" w:rsidP="00234F8A">
      <w:pPr>
        <w:pStyle w:val="Paragraphe"/>
        <w:rPr>
          <w:lang w:val="en-CA"/>
        </w:rPr>
      </w:pPr>
      <w:r w:rsidRPr="00895FC4">
        <w:rPr>
          <w:lang w:val="en-CA"/>
        </w:rPr>
        <w:t>The first step would be to convert all the USDC in Circle account #155435687 into fiat currency (about US$7,000,000).</w:t>
      </w:r>
      <w:r w:rsidR="00277672" w:rsidRPr="00895FC4">
        <w:rPr>
          <w:lang w:val="en-CA"/>
        </w:rPr>
        <w:t xml:space="preserve"> </w:t>
      </w:r>
      <w:r w:rsidRPr="00895FC4">
        <w:rPr>
          <w:lang w:val="en-CA"/>
        </w:rPr>
        <w:t xml:space="preserve">This amount would then be transferred to the BMO Investorline </w:t>
      </w:r>
      <w:r w:rsidR="00184028">
        <w:rPr>
          <w:lang w:val="en-CA"/>
        </w:rPr>
        <w:t>I</w:t>
      </w:r>
      <w:r w:rsidRPr="00895FC4">
        <w:rPr>
          <w:lang w:val="en-CA"/>
        </w:rPr>
        <w:t>nc. account #239-34578, which is currently frozen.</w:t>
      </w:r>
      <w:r w:rsidR="00277672" w:rsidRPr="00895FC4">
        <w:rPr>
          <w:lang w:val="en-CA"/>
        </w:rPr>
        <w:t xml:space="preserve"> </w:t>
      </w:r>
      <w:r w:rsidRPr="00895FC4">
        <w:rPr>
          <w:lang w:val="en-CA"/>
        </w:rPr>
        <w:t xml:space="preserve">Following that transfer, the Circle and BMO Investorline </w:t>
      </w:r>
      <w:r w:rsidR="00184028">
        <w:rPr>
          <w:lang w:val="en-CA"/>
        </w:rPr>
        <w:t>I</w:t>
      </w:r>
      <w:r w:rsidRPr="00895FC4">
        <w:rPr>
          <w:lang w:val="en-CA"/>
        </w:rPr>
        <w:t xml:space="preserve">nc. statements of account would be sent to the </w:t>
      </w:r>
      <w:r w:rsidR="00EB26F4">
        <w:rPr>
          <w:lang w:val="en-CA"/>
        </w:rPr>
        <w:t>Authority</w:t>
      </w:r>
      <w:r w:rsidRPr="00895FC4">
        <w:rPr>
          <w:lang w:val="en-CA"/>
        </w:rPr>
        <w:t xml:space="preserve"> as a rendering of account for this transaction.</w:t>
      </w:r>
    </w:p>
    <w:p w14:paraId="4F1A4817" w14:textId="09EE4C4A" w:rsidR="00234F8A" w:rsidRPr="00472CC3" w:rsidRDefault="00895FC4" w:rsidP="00234F8A">
      <w:pPr>
        <w:pStyle w:val="Paragraphe"/>
        <w:rPr>
          <w:lang w:val="en-CA"/>
        </w:rPr>
      </w:pPr>
      <w:r w:rsidRPr="00895FC4">
        <w:rPr>
          <w:lang w:val="en-CA"/>
        </w:rPr>
        <w:lastRenderedPageBreak/>
        <w:t>The assets concerned by the specific freeze orders represent about C$14,000,000.</w:t>
      </w:r>
      <w:r w:rsidR="00544DF4" w:rsidRPr="00895FC4">
        <w:rPr>
          <w:lang w:val="en-CA"/>
        </w:rPr>
        <w:t xml:space="preserve"> </w:t>
      </w:r>
      <w:r w:rsidR="00472CC3" w:rsidRPr="00472CC3">
        <w:rPr>
          <w:lang w:val="en-CA"/>
        </w:rPr>
        <w:t xml:space="preserve">The respondents would </w:t>
      </w:r>
      <w:r w:rsidR="003E287A">
        <w:rPr>
          <w:lang w:val="en-CA"/>
        </w:rPr>
        <w:t>conduct transactions</w:t>
      </w:r>
      <w:r w:rsidR="00472CC3" w:rsidRPr="00472CC3">
        <w:rPr>
          <w:lang w:val="en-CA"/>
        </w:rPr>
        <w:t xml:space="preserve"> </w:t>
      </w:r>
      <w:r w:rsidR="009E42CC">
        <w:rPr>
          <w:lang w:val="en-CA"/>
        </w:rPr>
        <w:t xml:space="preserve">so </w:t>
      </w:r>
      <w:r w:rsidR="00472CC3" w:rsidRPr="00472CC3">
        <w:rPr>
          <w:lang w:val="en-CA"/>
        </w:rPr>
        <w:t xml:space="preserve">that the tax debts and legal fees </w:t>
      </w:r>
      <w:r w:rsidR="009E42CC">
        <w:rPr>
          <w:lang w:val="en-CA"/>
        </w:rPr>
        <w:t xml:space="preserve">could be paid using their </w:t>
      </w:r>
      <w:r w:rsidR="00472CC3" w:rsidRPr="00472CC3">
        <w:rPr>
          <w:lang w:val="en-CA"/>
        </w:rPr>
        <w:t>other assets.</w:t>
      </w:r>
      <w:r w:rsidR="00544DF4" w:rsidRPr="00472CC3">
        <w:rPr>
          <w:lang w:val="en-CA"/>
        </w:rPr>
        <w:t xml:space="preserve"> </w:t>
      </w:r>
      <w:r w:rsidR="00472CC3" w:rsidRPr="00472CC3">
        <w:rPr>
          <w:lang w:val="en-CA"/>
        </w:rPr>
        <w:t xml:space="preserve">These </w:t>
      </w:r>
      <w:r w:rsidR="003E287A">
        <w:rPr>
          <w:lang w:val="en-CA"/>
        </w:rPr>
        <w:t>transactions</w:t>
      </w:r>
      <w:r w:rsidR="00472CC3" w:rsidRPr="00472CC3">
        <w:rPr>
          <w:lang w:val="en-CA"/>
        </w:rPr>
        <w:t xml:space="preserve"> would involve transferring USDC held by the respondents in other electronic cryptoasset portfolios to Circle account #155435687</w:t>
      </w:r>
      <w:r w:rsidR="009E42CC">
        <w:rPr>
          <w:lang w:val="en-CA"/>
        </w:rPr>
        <w:t>,</w:t>
      </w:r>
      <w:r w:rsidR="00472CC3" w:rsidRPr="00472CC3">
        <w:rPr>
          <w:lang w:val="en-CA"/>
        </w:rPr>
        <w:t xml:space="preserve"> where the USD</w:t>
      </w:r>
      <w:r w:rsidR="009E42CC">
        <w:rPr>
          <w:lang w:val="en-CA"/>
        </w:rPr>
        <w:t>C</w:t>
      </w:r>
      <w:r w:rsidR="00472CC3" w:rsidRPr="00472CC3">
        <w:rPr>
          <w:lang w:val="en-CA"/>
        </w:rPr>
        <w:t xml:space="preserve"> would be converted into fiat currency.</w:t>
      </w:r>
      <w:r w:rsidR="00544DF4" w:rsidRPr="00472CC3">
        <w:rPr>
          <w:lang w:val="en-CA"/>
        </w:rPr>
        <w:t xml:space="preserve"> </w:t>
      </w:r>
      <w:r w:rsidR="009E42CC">
        <w:rPr>
          <w:lang w:val="en-CA"/>
        </w:rPr>
        <w:t>The</w:t>
      </w:r>
      <w:r w:rsidR="00472CC3" w:rsidRPr="00472CC3">
        <w:rPr>
          <w:lang w:val="en-CA"/>
        </w:rPr>
        <w:t xml:space="preserve"> money </w:t>
      </w:r>
      <w:r w:rsidR="009E42CC">
        <w:rPr>
          <w:lang w:val="en-CA"/>
        </w:rPr>
        <w:t xml:space="preserve">would then be </w:t>
      </w:r>
      <w:r w:rsidR="00472CC3" w:rsidRPr="00472CC3">
        <w:rPr>
          <w:lang w:val="en-CA"/>
        </w:rPr>
        <w:t>transfer</w:t>
      </w:r>
      <w:r w:rsidR="009E42CC">
        <w:rPr>
          <w:lang w:val="en-CA"/>
        </w:rPr>
        <w:t>red</w:t>
      </w:r>
      <w:r w:rsidR="00472CC3" w:rsidRPr="00472CC3">
        <w:rPr>
          <w:lang w:val="en-CA"/>
        </w:rPr>
        <w:t xml:space="preserve"> to a new account to be opened with the BMO because it might be impossible to pay the debts from BMO Investorline </w:t>
      </w:r>
      <w:r w:rsidR="00104DE7">
        <w:rPr>
          <w:lang w:val="en-CA"/>
        </w:rPr>
        <w:t>I</w:t>
      </w:r>
      <w:r w:rsidR="00472CC3" w:rsidRPr="00472CC3">
        <w:rPr>
          <w:lang w:val="en-CA"/>
        </w:rPr>
        <w:t>nc. account #239-34578.</w:t>
      </w:r>
      <w:r w:rsidR="00544DF4" w:rsidRPr="00472CC3">
        <w:rPr>
          <w:lang w:val="en-CA"/>
        </w:rPr>
        <w:t xml:space="preserve"> </w:t>
      </w:r>
      <w:r w:rsidR="00472CC3" w:rsidRPr="00472CC3">
        <w:rPr>
          <w:lang w:val="en-CA"/>
        </w:rPr>
        <w:t>It is understood that this new account would also be frozen.</w:t>
      </w:r>
      <w:r w:rsidR="00544DF4" w:rsidRPr="00472CC3">
        <w:rPr>
          <w:lang w:val="en-CA"/>
        </w:rPr>
        <w:t xml:space="preserve"> </w:t>
      </w:r>
      <w:r w:rsidR="00104DE7" w:rsidRPr="00472CC3">
        <w:rPr>
          <w:lang w:val="en-CA"/>
        </w:rPr>
        <w:t>Withdrawals</w:t>
      </w:r>
      <w:r w:rsidR="00472CC3" w:rsidRPr="00472CC3">
        <w:rPr>
          <w:lang w:val="en-CA"/>
        </w:rPr>
        <w:t xml:space="preserve"> could then be made to pay the tax debts and legal fees.</w:t>
      </w:r>
    </w:p>
    <w:p w14:paraId="1FDF31DD" w14:textId="22CC43B6" w:rsidR="005C4CF8" w:rsidRPr="00472CC3" w:rsidRDefault="00472CC3" w:rsidP="00234F8A">
      <w:pPr>
        <w:pStyle w:val="Paragraphe"/>
        <w:rPr>
          <w:lang w:val="en-CA"/>
        </w:rPr>
      </w:pPr>
      <w:r w:rsidRPr="00472CC3">
        <w:rPr>
          <w:lang w:val="en-CA"/>
        </w:rPr>
        <w:t xml:space="preserve">The respondents undertake to </w:t>
      </w:r>
      <w:r w:rsidR="003E287A">
        <w:rPr>
          <w:lang w:val="en-CA"/>
        </w:rPr>
        <w:t>provide</w:t>
      </w:r>
      <w:r w:rsidRPr="00472CC3">
        <w:rPr>
          <w:lang w:val="en-CA"/>
        </w:rPr>
        <w:t xml:space="preserve"> a rendering of account to the Aut</w:t>
      </w:r>
      <w:r w:rsidR="00CF1649">
        <w:rPr>
          <w:lang w:val="en-CA"/>
        </w:rPr>
        <w:t>h</w:t>
      </w:r>
      <w:r w:rsidRPr="00472CC3">
        <w:rPr>
          <w:lang w:val="en-CA"/>
        </w:rPr>
        <w:t>orit</w:t>
      </w:r>
      <w:r w:rsidR="00E16051">
        <w:rPr>
          <w:lang w:val="en-CA"/>
        </w:rPr>
        <w:t>y</w:t>
      </w:r>
      <w:r w:rsidRPr="00472CC3">
        <w:rPr>
          <w:lang w:val="en-CA"/>
        </w:rPr>
        <w:t>.</w:t>
      </w:r>
      <w:r w:rsidR="00544DF4" w:rsidRPr="00472CC3">
        <w:rPr>
          <w:lang w:val="en-CA"/>
        </w:rPr>
        <w:t xml:space="preserve"> </w:t>
      </w:r>
      <w:r w:rsidRPr="00221B3E">
        <w:rPr>
          <w:lang w:val="en-CA"/>
        </w:rPr>
        <w:t xml:space="preserve">Indeed, the </w:t>
      </w:r>
      <w:r w:rsidR="00EB26F4">
        <w:rPr>
          <w:lang w:val="en-CA"/>
        </w:rPr>
        <w:t>Authority</w:t>
      </w:r>
      <w:r w:rsidRPr="00221B3E">
        <w:rPr>
          <w:lang w:val="en-CA"/>
        </w:rPr>
        <w:t xml:space="preserve"> would receive:</w:t>
      </w:r>
    </w:p>
    <w:p w14:paraId="1C52AD08" w14:textId="6F0611CB" w:rsidR="005C4CF8" w:rsidRPr="00867684" w:rsidRDefault="00867684" w:rsidP="00512824">
      <w:pPr>
        <w:pStyle w:val="Paragraphe"/>
        <w:numPr>
          <w:ilvl w:val="0"/>
          <w:numId w:val="7"/>
        </w:numPr>
        <w:rPr>
          <w:lang w:val="en-CA"/>
        </w:rPr>
      </w:pPr>
      <w:r w:rsidRPr="00867684">
        <w:rPr>
          <w:lang w:val="en-CA"/>
        </w:rPr>
        <w:t xml:space="preserve">the Circle statement of </w:t>
      </w:r>
      <w:r w:rsidR="00D75790" w:rsidRPr="00867684">
        <w:rPr>
          <w:lang w:val="en-CA"/>
        </w:rPr>
        <w:t>account</w:t>
      </w:r>
      <w:r w:rsidRPr="00867684">
        <w:rPr>
          <w:lang w:val="en-CA"/>
        </w:rPr>
        <w:t xml:space="preserve"> for each USDC conversion, in which the </w:t>
      </w:r>
      <w:r w:rsidR="00104DE7">
        <w:rPr>
          <w:lang w:val="en-CA"/>
        </w:rPr>
        <w:t>[</w:t>
      </w:r>
      <w:r w:rsidR="00104DE7" w:rsidRPr="00104DE7">
        <w:rPr>
          <w:smallCaps/>
          <w:lang w:val="en-CA"/>
        </w:rPr>
        <w:t>translation</w:t>
      </w:r>
      <w:r w:rsidR="00104DE7">
        <w:rPr>
          <w:lang w:val="en-CA"/>
        </w:rPr>
        <w:t xml:space="preserve">] </w:t>
      </w:r>
      <w:r w:rsidRPr="00867684">
        <w:rPr>
          <w:lang w:val="en-CA"/>
        </w:rPr>
        <w:t xml:space="preserve">“source” address of the electronic cryptoasset portfolio would be </w:t>
      </w:r>
      <w:proofErr w:type="gramStart"/>
      <w:r w:rsidRPr="00867684">
        <w:rPr>
          <w:lang w:val="en-CA"/>
        </w:rPr>
        <w:t>redacted;</w:t>
      </w:r>
      <w:proofErr w:type="gramEnd"/>
    </w:p>
    <w:p w14:paraId="05B1AE58" w14:textId="2C2CE55E" w:rsidR="005C4CF8" w:rsidRPr="00867684" w:rsidRDefault="00867684" w:rsidP="00512824">
      <w:pPr>
        <w:pStyle w:val="Paragraphe"/>
        <w:numPr>
          <w:ilvl w:val="0"/>
          <w:numId w:val="7"/>
        </w:numPr>
        <w:rPr>
          <w:lang w:val="en-CA"/>
        </w:rPr>
      </w:pPr>
      <w:r w:rsidRPr="00867684">
        <w:rPr>
          <w:lang w:val="en-CA"/>
        </w:rPr>
        <w:t>the respondents’ BMO statement of account to show the correlating deposit, withdrawals, and the receipts/tax documents issued by the tax authorities following the payment of their debts; and</w:t>
      </w:r>
    </w:p>
    <w:p w14:paraId="557654FE" w14:textId="2801859E" w:rsidR="00277672" w:rsidRPr="00867684" w:rsidRDefault="00867684" w:rsidP="00512824">
      <w:pPr>
        <w:pStyle w:val="Paragraphe"/>
        <w:numPr>
          <w:ilvl w:val="0"/>
          <w:numId w:val="7"/>
        </w:numPr>
        <w:rPr>
          <w:lang w:val="en-CA"/>
        </w:rPr>
      </w:pPr>
      <w:r w:rsidRPr="00867684">
        <w:rPr>
          <w:lang w:val="en-CA"/>
        </w:rPr>
        <w:t>the bank recei</w:t>
      </w:r>
      <w:r w:rsidR="007A0199">
        <w:rPr>
          <w:lang w:val="en-CA"/>
        </w:rPr>
        <w:t>pt</w:t>
      </w:r>
      <w:r w:rsidRPr="00867684">
        <w:rPr>
          <w:lang w:val="en-CA"/>
        </w:rPr>
        <w:t xml:space="preserve">s proving the transfers between the respondents’ BMO account and </w:t>
      </w:r>
      <w:r w:rsidR="007A0199">
        <w:rPr>
          <w:lang w:val="en-CA"/>
        </w:rPr>
        <w:t xml:space="preserve">the </w:t>
      </w:r>
      <w:r w:rsidRPr="00867684">
        <w:rPr>
          <w:lang w:val="en-CA"/>
        </w:rPr>
        <w:t xml:space="preserve">Langlois </w:t>
      </w:r>
      <w:r w:rsidR="00EB26F4">
        <w:rPr>
          <w:lang w:val="en-CA"/>
        </w:rPr>
        <w:t>Lawyers</w:t>
      </w:r>
      <w:r w:rsidR="00EB26F4" w:rsidRPr="00867684">
        <w:rPr>
          <w:lang w:val="en-CA"/>
        </w:rPr>
        <w:t xml:space="preserve">’ </w:t>
      </w:r>
      <w:r w:rsidRPr="00867684">
        <w:rPr>
          <w:lang w:val="en-CA"/>
        </w:rPr>
        <w:t>trust account.</w:t>
      </w:r>
      <w:r w:rsidR="006F3B08" w:rsidRPr="00867684">
        <w:rPr>
          <w:lang w:val="en-CA"/>
        </w:rPr>
        <w:t xml:space="preserve"> </w:t>
      </w:r>
    </w:p>
    <w:p w14:paraId="28D4AEC2" w14:textId="348389BA" w:rsidR="001463B3" w:rsidRPr="00867684" w:rsidRDefault="00867684" w:rsidP="00F36AE7">
      <w:pPr>
        <w:pStyle w:val="Paragraphe"/>
        <w:rPr>
          <w:lang w:val="en-CA"/>
        </w:rPr>
      </w:pPr>
      <w:r w:rsidRPr="00867684">
        <w:rPr>
          <w:lang w:val="en-CA"/>
        </w:rPr>
        <w:t xml:space="preserve">Counsel for the respondents </w:t>
      </w:r>
      <w:r w:rsidR="00421ED2">
        <w:rPr>
          <w:lang w:val="en-CA"/>
        </w:rPr>
        <w:t>submitted</w:t>
      </w:r>
      <w:r w:rsidRPr="00867684">
        <w:rPr>
          <w:lang w:val="en-CA"/>
        </w:rPr>
        <w:t xml:space="preserve"> that proportionality </w:t>
      </w:r>
      <w:r w:rsidR="00016B94">
        <w:rPr>
          <w:lang w:val="en-CA"/>
        </w:rPr>
        <w:t>weighs</w:t>
      </w:r>
      <w:r w:rsidRPr="00867684">
        <w:rPr>
          <w:lang w:val="en-CA"/>
        </w:rPr>
        <w:t xml:space="preserve"> in favour of a partial lift.</w:t>
      </w:r>
      <w:r w:rsidR="000B4D38" w:rsidRPr="00867684">
        <w:rPr>
          <w:lang w:val="en-CA"/>
        </w:rPr>
        <w:t xml:space="preserve"> </w:t>
      </w:r>
      <w:r w:rsidRPr="00867684">
        <w:rPr>
          <w:lang w:val="en-CA"/>
        </w:rPr>
        <w:t xml:space="preserve">They </w:t>
      </w:r>
      <w:r w:rsidR="00421ED2">
        <w:rPr>
          <w:lang w:val="en-CA"/>
        </w:rPr>
        <w:t>stated</w:t>
      </w:r>
      <w:r w:rsidRPr="00867684">
        <w:rPr>
          <w:lang w:val="en-CA"/>
        </w:rPr>
        <w:t xml:space="preserve"> that in the event the Tribunal were to approve the proposed mechanisms, nearly C$14,000,000 would be frozen and </w:t>
      </w:r>
      <w:r w:rsidR="002045DF">
        <w:rPr>
          <w:lang w:val="en-CA"/>
        </w:rPr>
        <w:t xml:space="preserve">would be </w:t>
      </w:r>
      <w:r w:rsidRPr="00867684">
        <w:rPr>
          <w:lang w:val="en-CA"/>
        </w:rPr>
        <w:t xml:space="preserve">untouched by the payment of the tax debts or legal fees, whereas the transactions that were allegedly made in breach of the </w:t>
      </w:r>
      <w:r w:rsidRPr="009C1510">
        <w:rPr>
          <w:i/>
          <w:iCs/>
          <w:lang w:val="en-CA"/>
        </w:rPr>
        <w:t>Act</w:t>
      </w:r>
      <w:r w:rsidRPr="00867684">
        <w:rPr>
          <w:lang w:val="en-CA"/>
        </w:rPr>
        <w:t xml:space="preserve">, </w:t>
      </w:r>
      <w:r w:rsidR="00016B94">
        <w:rPr>
          <w:lang w:val="en-CA"/>
        </w:rPr>
        <w:t>according to</w:t>
      </w:r>
      <w:r w:rsidRPr="00867684">
        <w:rPr>
          <w:lang w:val="en-CA"/>
        </w:rPr>
        <w:t xml:space="preserve"> the </w:t>
      </w:r>
      <w:r w:rsidR="00EB26F4">
        <w:rPr>
          <w:lang w:val="en-CA"/>
        </w:rPr>
        <w:t>Authority</w:t>
      </w:r>
      <w:r w:rsidRPr="00867684">
        <w:rPr>
          <w:lang w:val="en-CA"/>
        </w:rPr>
        <w:t>, amount to C$7,000,000.</w:t>
      </w:r>
      <w:r w:rsidR="000B4D38" w:rsidRPr="00867684">
        <w:rPr>
          <w:lang w:val="en-CA"/>
        </w:rPr>
        <w:t xml:space="preserve"> </w:t>
      </w:r>
    </w:p>
    <w:p w14:paraId="61894481" w14:textId="28B93EDA" w:rsidR="000B4D38" w:rsidRPr="00867684" w:rsidRDefault="00867684" w:rsidP="00F36AE7">
      <w:pPr>
        <w:pStyle w:val="Paragraphe"/>
        <w:rPr>
          <w:lang w:val="en-CA"/>
        </w:rPr>
      </w:pPr>
      <w:r w:rsidRPr="00867684">
        <w:rPr>
          <w:lang w:val="en-CA"/>
        </w:rPr>
        <w:t xml:space="preserve">They </w:t>
      </w:r>
      <w:r w:rsidR="002045DF">
        <w:rPr>
          <w:lang w:val="en-CA"/>
        </w:rPr>
        <w:t xml:space="preserve">further </w:t>
      </w:r>
      <w:r w:rsidRPr="00867684">
        <w:rPr>
          <w:lang w:val="en-CA"/>
        </w:rPr>
        <w:t xml:space="preserve">add that the purpose of lifting the </w:t>
      </w:r>
      <w:r w:rsidR="00BD0855">
        <w:rPr>
          <w:lang w:val="en-CA"/>
        </w:rPr>
        <w:t>bans</w:t>
      </w:r>
      <w:r w:rsidRPr="00867684">
        <w:rPr>
          <w:lang w:val="en-CA"/>
        </w:rPr>
        <w:t xml:space="preserve"> is not to allow the respondents to continue trading </w:t>
      </w:r>
      <w:r w:rsidR="002B670A">
        <w:rPr>
          <w:lang w:val="en-CA"/>
        </w:rPr>
        <w:t xml:space="preserve">in </w:t>
      </w:r>
      <w:r w:rsidRPr="00867684">
        <w:rPr>
          <w:lang w:val="en-CA"/>
        </w:rPr>
        <w:t>securities, but only to convert the USDC already in their possession.</w:t>
      </w:r>
      <w:r w:rsidR="00DC6043" w:rsidRPr="00867684">
        <w:rPr>
          <w:lang w:val="en-CA"/>
        </w:rPr>
        <w:t xml:space="preserve"> </w:t>
      </w:r>
      <w:r w:rsidRPr="00867684">
        <w:rPr>
          <w:lang w:val="en-CA"/>
        </w:rPr>
        <w:t xml:space="preserve">There would be no impact on the markets, </w:t>
      </w:r>
      <w:proofErr w:type="gramStart"/>
      <w:r w:rsidRPr="00867684">
        <w:rPr>
          <w:lang w:val="en-CA"/>
        </w:rPr>
        <w:t>in particular</w:t>
      </w:r>
      <w:r w:rsidR="002B670A">
        <w:rPr>
          <w:lang w:val="en-CA"/>
        </w:rPr>
        <w:t xml:space="preserve"> because</w:t>
      </w:r>
      <w:proofErr w:type="gramEnd"/>
      <w:r w:rsidRPr="00867684">
        <w:rPr>
          <w:lang w:val="en-CA"/>
        </w:rPr>
        <w:t xml:space="preserve">, </w:t>
      </w:r>
      <w:r w:rsidR="002B670A">
        <w:rPr>
          <w:lang w:val="en-CA"/>
        </w:rPr>
        <w:t xml:space="preserve">in their view, </w:t>
      </w:r>
      <w:r w:rsidRPr="00867684">
        <w:rPr>
          <w:lang w:val="en-CA"/>
        </w:rPr>
        <w:t>USDC are not securities.</w:t>
      </w:r>
      <w:r>
        <w:rPr>
          <w:rStyle w:val="Appelnotedebasdep"/>
        </w:rPr>
        <w:footnoteReference w:id="14"/>
      </w:r>
      <w:r w:rsidR="00DC6043" w:rsidRPr="00867684">
        <w:rPr>
          <w:lang w:val="en-CA"/>
        </w:rPr>
        <w:t xml:space="preserve"> </w:t>
      </w:r>
    </w:p>
    <w:p w14:paraId="14B37C79" w14:textId="613E2EDD" w:rsidR="00C406C2" w:rsidRPr="00867684" w:rsidRDefault="00867684" w:rsidP="002169E5">
      <w:pPr>
        <w:pStyle w:val="Paragraphe"/>
        <w:rPr>
          <w:lang w:val="en-CA"/>
        </w:rPr>
      </w:pPr>
      <w:r w:rsidRPr="00867684">
        <w:rPr>
          <w:lang w:val="en-CA"/>
        </w:rPr>
        <w:t>They argue that it is in the public interest that the respondents’ tax debts be paid.</w:t>
      </w:r>
      <w:r w:rsidR="00A36096" w:rsidRPr="00867684">
        <w:rPr>
          <w:lang w:val="en-CA"/>
        </w:rPr>
        <w:t xml:space="preserve"> </w:t>
      </w:r>
      <w:r w:rsidRPr="00867684">
        <w:rPr>
          <w:lang w:val="en-CA"/>
        </w:rPr>
        <w:t>They also submit that the respondents are entitled to make full answer and defence and as such, must incur legal fees.</w:t>
      </w:r>
      <w:r w:rsidR="00A36096" w:rsidRPr="00867684">
        <w:rPr>
          <w:lang w:val="en-CA"/>
        </w:rPr>
        <w:t xml:space="preserve"> </w:t>
      </w:r>
    </w:p>
    <w:p w14:paraId="3AB43F11" w14:textId="7956EF0E" w:rsidR="001337CE" w:rsidRPr="00B1338F" w:rsidRDefault="00B1338F" w:rsidP="001337CE">
      <w:pPr>
        <w:pStyle w:val="Paragraphe"/>
        <w:rPr>
          <w:lang w:val="en-CA"/>
        </w:rPr>
      </w:pPr>
      <w:r w:rsidRPr="00B1338F">
        <w:rPr>
          <w:lang w:val="en-CA"/>
        </w:rPr>
        <w:t xml:space="preserve">The </w:t>
      </w:r>
      <w:r w:rsidR="00EB26F4">
        <w:rPr>
          <w:lang w:val="en-CA"/>
        </w:rPr>
        <w:t>Authority</w:t>
      </w:r>
      <w:r w:rsidR="00203680">
        <w:rPr>
          <w:lang w:val="en-CA"/>
        </w:rPr>
        <w:t>, for its part,</w:t>
      </w:r>
      <w:r w:rsidRPr="00B1338F">
        <w:rPr>
          <w:lang w:val="en-CA"/>
        </w:rPr>
        <w:t xml:space="preserve"> principally alleges that the respondents </w:t>
      </w:r>
      <w:r w:rsidR="002045DF">
        <w:rPr>
          <w:lang w:val="en-CA"/>
        </w:rPr>
        <w:t>have</w:t>
      </w:r>
      <w:r w:rsidR="002045DF" w:rsidRPr="00B1338F">
        <w:rPr>
          <w:lang w:val="en-CA"/>
        </w:rPr>
        <w:t xml:space="preserve"> </w:t>
      </w:r>
      <w:r w:rsidRPr="00B1338F">
        <w:rPr>
          <w:lang w:val="en-CA"/>
        </w:rPr>
        <w:t>not met their burden of proving that they do not possess other assets that would allow them to ensure their defence and pay their tax debt.</w:t>
      </w:r>
      <w:r w:rsidR="009F6724" w:rsidRPr="00B1338F">
        <w:rPr>
          <w:lang w:val="en-CA"/>
        </w:rPr>
        <w:t xml:space="preserve"> </w:t>
      </w:r>
      <w:r w:rsidRPr="00B1338F">
        <w:rPr>
          <w:lang w:val="en-CA"/>
        </w:rPr>
        <w:t xml:space="preserve">The </w:t>
      </w:r>
      <w:r w:rsidR="00EB26F4">
        <w:rPr>
          <w:lang w:val="en-CA"/>
        </w:rPr>
        <w:t>Authority</w:t>
      </w:r>
      <w:r w:rsidRPr="00B1338F">
        <w:rPr>
          <w:lang w:val="en-CA"/>
        </w:rPr>
        <w:t xml:space="preserve"> argues</w:t>
      </w:r>
      <w:r w:rsidR="00421ED2">
        <w:rPr>
          <w:lang w:val="en-CA"/>
        </w:rPr>
        <w:t xml:space="preserve"> </w:t>
      </w:r>
      <w:proofErr w:type="gramStart"/>
      <w:r w:rsidR="00421ED2">
        <w:rPr>
          <w:lang w:val="en-CA"/>
        </w:rPr>
        <w:t>in particular</w:t>
      </w:r>
      <w:r w:rsidRPr="00B1338F">
        <w:rPr>
          <w:lang w:val="en-CA"/>
        </w:rPr>
        <w:t xml:space="preserve"> that</w:t>
      </w:r>
      <w:proofErr w:type="gramEnd"/>
      <w:r w:rsidRPr="00B1338F">
        <w:rPr>
          <w:lang w:val="en-CA"/>
        </w:rPr>
        <w:t xml:space="preserve"> the applications </w:t>
      </w:r>
      <w:r w:rsidR="003E3182">
        <w:rPr>
          <w:lang w:val="en-CA"/>
        </w:rPr>
        <w:t>for partial lifting</w:t>
      </w:r>
      <w:r w:rsidRPr="00B1338F">
        <w:rPr>
          <w:lang w:val="en-CA"/>
        </w:rPr>
        <w:t xml:space="preserve"> do not </w:t>
      </w:r>
      <w:r w:rsidR="003E3182">
        <w:rPr>
          <w:lang w:val="en-CA"/>
        </w:rPr>
        <w:t>provide</w:t>
      </w:r>
      <w:r w:rsidRPr="00B1338F">
        <w:rPr>
          <w:lang w:val="en-CA"/>
        </w:rPr>
        <w:t xml:space="preserve"> sufficient guarant</w:t>
      </w:r>
      <w:r w:rsidR="002045DF">
        <w:rPr>
          <w:lang w:val="en-CA"/>
        </w:rPr>
        <w:t>e</w:t>
      </w:r>
      <w:r w:rsidRPr="00B1338F">
        <w:rPr>
          <w:lang w:val="en-CA"/>
        </w:rPr>
        <w:t xml:space="preserve">es and are not sufficiently </w:t>
      </w:r>
      <w:r w:rsidRPr="00B1338F">
        <w:rPr>
          <w:lang w:val="en-CA"/>
        </w:rPr>
        <w:lastRenderedPageBreak/>
        <w:t>transparent.</w:t>
      </w:r>
      <w:r w:rsidR="009F6724" w:rsidRPr="00B1338F">
        <w:rPr>
          <w:lang w:val="en-CA"/>
        </w:rPr>
        <w:t xml:space="preserve"> </w:t>
      </w:r>
      <w:r w:rsidRPr="00B1338F">
        <w:rPr>
          <w:lang w:val="en-CA"/>
        </w:rPr>
        <w:t>It adds that to grant these applications would be tantamount to allowing the respondents to write blank cheques.</w:t>
      </w:r>
      <w:r w:rsidR="009F6724" w:rsidRPr="00B1338F">
        <w:rPr>
          <w:lang w:val="en-CA"/>
        </w:rPr>
        <w:t xml:space="preserve"> </w:t>
      </w:r>
    </w:p>
    <w:p w14:paraId="5354EC55" w14:textId="29A16344" w:rsidR="00E95BE3" w:rsidRPr="00BA151F" w:rsidRDefault="00BA151F" w:rsidP="00E95BE3">
      <w:pPr>
        <w:pStyle w:val="Paragraphe"/>
        <w:rPr>
          <w:lang w:val="en-CA"/>
        </w:rPr>
      </w:pPr>
      <w:r w:rsidRPr="00BA151F">
        <w:rPr>
          <w:lang w:val="en-CA"/>
        </w:rPr>
        <w:t xml:space="preserve">Because the </w:t>
      </w:r>
      <w:r w:rsidR="00EB26F4">
        <w:rPr>
          <w:lang w:val="en-CA"/>
        </w:rPr>
        <w:t>Authority</w:t>
      </w:r>
      <w:r w:rsidRPr="00BA151F">
        <w:rPr>
          <w:lang w:val="en-CA"/>
        </w:rPr>
        <w:t xml:space="preserve">’s investigation is not yet completed, </w:t>
      </w:r>
      <w:r w:rsidR="00FB1671">
        <w:rPr>
          <w:lang w:val="en-CA"/>
        </w:rPr>
        <w:t xml:space="preserve">the </w:t>
      </w:r>
      <w:r w:rsidR="00EB26F4">
        <w:rPr>
          <w:lang w:val="en-CA"/>
        </w:rPr>
        <w:t>Authority</w:t>
      </w:r>
      <w:r w:rsidRPr="00BA151F">
        <w:rPr>
          <w:lang w:val="en-CA"/>
        </w:rPr>
        <w:t xml:space="preserve"> argues that the public interest and its protection </w:t>
      </w:r>
      <w:r w:rsidR="003C3C74">
        <w:rPr>
          <w:lang w:val="en-CA"/>
        </w:rPr>
        <w:t>weigh</w:t>
      </w:r>
      <w:r w:rsidRPr="00BA151F">
        <w:rPr>
          <w:lang w:val="en-CA"/>
        </w:rPr>
        <w:t xml:space="preserve"> in favour of maintaining the freeze and cease trad</w:t>
      </w:r>
      <w:r w:rsidR="003C3C74">
        <w:rPr>
          <w:lang w:val="en-CA"/>
        </w:rPr>
        <w:t>e</w:t>
      </w:r>
      <w:r w:rsidRPr="00BA151F">
        <w:rPr>
          <w:lang w:val="en-CA"/>
        </w:rPr>
        <w:t xml:space="preserve"> orders to ensure a substantial distribution to investors as well as the payment, if any, of one or more administrative </w:t>
      </w:r>
      <w:r w:rsidR="003C3C74">
        <w:rPr>
          <w:lang w:val="en-CA"/>
        </w:rPr>
        <w:t>penalties</w:t>
      </w:r>
      <w:r w:rsidRPr="00BA151F">
        <w:rPr>
          <w:lang w:val="en-CA"/>
        </w:rPr>
        <w:t>.</w:t>
      </w:r>
      <w:r w:rsidR="00544DF4" w:rsidRPr="00BA151F">
        <w:rPr>
          <w:lang w:val="en-CA"/>
        </w:rPr>
        <w:t xml:space="preserve"> </w:t>
      </w:r>
    </w:p>
    <w:p w14:paraId="09E8D416" w14:textId="282AA0EC" w:rsidR="009F6724" w:rsidRPr="00BA151F" w:rsidRDefault="00BA151F" w:rsidP="009F6724">
      <w:pPr>
        <w:pStyle w:val="Paragraphe"/>
        <w:rPr>
          <w:lang w:val="en-CA"/>
        </w:rPr>
      </w:pPr>
      <w:proofErr w:type="gramStart"/>
      <w:r w:rsidRPr="00BA151F">
        <w:rPr>
          <w:lang w:val="en-CA"/>
        </w:rPr>
        <w:t>In light of</w:t>
      </w:r>
      <w:proofErr w:type="gramEnd"/>
      <w:r w:rsidRPr="00BA151F">
        <w:rPr>
          <w:lang w:val="en-CA"/>
        </w:rPr>
        <w:t xml:space="preserve"> the parties’ arguments </w:t>
      </w:r>
      <w:r w:rsidR="00D75790" w:rsidRPr="00BA151F">
        <w:rPr>
          <w:lang w:val="en-CA"/>
        </w:rPr>
        <w:t>and</w:t>
      </w:r>
      <w:r w:rsidRPr="00BA151F">
        <w:rPr>
          <w:lang w:val="en-CA"/>
        </w:rPr>
        <w:t xml:space="preserve"> the evidence adduced, the Tribunal will grant the respondents’ applications </w:t>
      </w:r>
      <w:r w:rsidR="003E3182">
        <w:rPr>
          <w:lang w:val="en-CA"/>
        </w:rPr>
        <w:t>for partial lifting</w:t>
      </w:r>
      <w:r w:rsidRPr="00BA151F">
        <w:rPr>
          <w:lang w:val="en-CA"/>
        </w:rPr>
        <w:t>.</w:t>
      </w:r>
      <w:r w:rsidR="0029313D" w:rsidRPr="00BA151F">
        <w:rPr>
          <w:lang w:val="en-CA"/>
        </w:rPr>
        <w:t xml:space="preserve"> </w:t>
      </w:r>
      <w:r w:rsidRPr="00BA151F">
        <w:rPr>
          <w:lang w:val="en-CA"/>
        </w:rPr>
        <w:t xml:space="preserve">However, the Tribunal is not indifferent to the </w:t>
      </w:r>
      <w:r w:rsidR="00EB26F4">
        <w:rPr>
          <w:lang w:val="en-CA"/>
        </w:rPr>
        <w:t>Authority</w:t>
      </w:r>
      <w:r w:rsidRPr="00BA151F">
        <w:rPr>
          <w:lang w:val="en-CA"/>
        </w:rPr>
        <w:t>’s concerns and has decided to impose conditions on these partial lifts, inspired by the mechanisms proposed by the respondents.</w:t>
      </w:r>
      <w:r w:rsidR="0029313D" w:rsidRPr="00BA151F">
        <w:rPr>
          <w:lang w:val="en-CA"/>
        </w:rPr>
        <w:t xml:space="preserve"> </w:t>
      </w:r>
    </w:p>
    <w:p w14:paraId="1FBA5FB4" w14:textId="0AF9A8F6" w:rsidR="00E95BE3" w:rsidRPr="00BA151F" w:rsidRDefault="00BA151F" w:rsidP="00F36AE7">
      <w:pPr>
        <w:pStyle w:val="Paragraphe"/>
        <w:rPr>
          <w:lang w:val="en-CA"/>
        </w:rPr>
      </w:pPr>
      <w:r w:rsidRPr="00BA151F">
        <w:rPr>
          <w:lang w:val="en-CA"/>
        </w:rPr>
        <w:t xml:space="preserve">The sole objective of the respondents’ applications </w:t>
      </w:r>
      <w:r w:rsidR="003E3182">
        <w:rPr>
          <w:lang w:val="en-CA"/>
        </w:rPr>
        <w:t>for partial lifting</w:t>
      </w:r>
      <w:r w:rsidRPr="00BA151F">
        <w:rPr>
          <w:lang w:val="en-CA"/>
        </w:rPr>
        <w:t xml:space="preserve"> is to pay amounts owed to the tax authorities and </w:t>
      </w:r>
      <w:r w:rsidR="00FB1671">
        <w:rPr>
          <w:lang w:val="en-CA"/>
        </w:rPr>
        <w:t>to pay their</w:t>
      </w:r>
      <w:r w:rsidRPr="00BA151F">
        <w:rPr>
          <w:lang w:val="en-CA"/>
        </w:rPr>
        <w:t xml:space="preserve"> legal fees.</w:t>
      </w:r>
      <w:r w:rsidR="00A33CAC" w:rsidRPr="00BA151F">
        <w:rPr>
          <w:lang w:val="en-CA"/>
        </w:rPr>
        <w:t xml:space="preserve"> </w:t>
      </w:r>
      <w:r w:rsidRPr="00BA151F">
        <w:rPr>
          <w:lang w:val="en-CA"/>
        </w:rPr>
        <w:t>A party’s right to be represented by counsel is a fundamental principle of our justice system.</w:t>
      </w:r>
      <w:r w:rsidR="00A33CAC" w:rsidRPr="00BA151F">
        <w:rPr>
          <w:lang w:val="en-CA"/>
        </w:rPr>
        <w:t xml:space="preserve"> </w:t>
      </w:r>
      <w:r w:rsidRPr="00221B3E">
        <w:rPr>
          <w:lang w:val="en-CA"/>
        </w:rPr>
        <w:t>Furthermore, the amounts collected by the tax authorities benefit the public</w:t>
      </w:r>
      <w:r w:rsidR="000654C7">
        <w:rPr>
          <w:lang w:val="en-CA"/>
        </w:rPr>
        <w:t>,</w:t>
      </w:r>
      <w:r w:rsidRPr="00221B3E">
        <w:rPr>
          <w:lang w:val="en-CA"/>
        </w:rPr>
        <w:t xml:space="preserve"> and it is in the public’s interest that corporate taxes be paid.</w:t>
      </w:r>
    </w:p>
    <w:p w14:paraId="1F572A68" w14:textId="26D38CBA" w:rsidR="00CA645D" w:rsidRPr="00504744" w:rsidRDefault="00504744" w:rsidP="00CA645D">
      <w:pPr>
        <w:pStyle w:val="Paragraphe"/>
        <w:rPr>
          <w:lang w:val="en-CA"/>
        </w:rPr>
      </w:pPr>
      <w:r w:rsidRPr="00504744">
        <w:rPr>
          <w:lang w:val="en-CA"/>
        </w:rPr>
        <w:t xml:space="preserve">The Tribunal points out that the </w:t>
      </w:r>
      <w:r w:rsidR="00EB26F4">
        <w:rPr>
          <w:lang w:val="en-CA"/>
        </w:rPr>
        <w:t>Authority</w:t>
      </w:r>
      <w:r w:rsidRPr="00504744">
        <w:rPr>
          <w:lang w:val="en-CA"/>
        </w:rPr>
        <w:t>’s investigation, while nascent, concerns transactions in connection with the Bald token that amount to about C$7,000,000.</w:t>
      </w:r>
      <w:r>
        <w:rPr>
          <w:rStyle w:val="Appelnotedebasdep"/>
        </w:rPr>
        <w:footnoteReference w:id="15"/>
      </w:r>
    </w:p>
    <w:p w14:paraId="4978F4D8" w14:textId="1CCA7510" w:rsidR="00CA645D" w:rsidRPr="00504744" w:rsidRDefault="00504744" w:rsidP="00CA645D">
      <w:pPr>
        <w:pStyle w:val="Paragraphe"/>
        <w:rPr>
          <w:lang w:val="en-CA"/>
        </w:rPr>
      </w:pPr>
      <w:r w:rsidRPr="00504744">
        <w:rPr>
          <w:lang w:val="en-CA"/>
        </w:rPr>
        <w:t xml:space="preserve">Contrary to what the </w:t>
      </w:r>
      <w:r w:rsidR="00EB26F4">
        <w:rPr>
          <w:lang w:val="en-CA"/>
        </w:rPr>
        <w:t>Authority</w:t>
      </w:r>
      <w:r w:rsidRPr="00504744">
        <w:rPr>
          <w:lang w:val="en-CA"/>
        </w:rPr>
        <w:t xml:space="preserve"> alleges on the lack of evidence concerning the availability of other assets to pay their debts, the testimon</w:t>
      </w:r>
      <w:r w:rsidR="004D5137">
        <w:rPr>
          <w:lang w:val="en-CA"/>
        </w:rPr>
        <w:t>ial</w:t>
      </w:r>
      <w:r w:rsidRPr="00504744">
        <w:rPr>
          <w:lang w:val="en-CA"/>
        </w:rPr>
        <w:t xml:space="preserve"> </w:t>
      </w:r>
      <w:r w:rsidR="004D5137">
        <w:rPr>
          <w:lang w:val="en-CA"/>
        </w:rPr>
        <w:t xml:space="preserve">evidence </w:t>
      </w:r>
      <w:r w:rsidRPr="00504744">
        <w:rPr>
          <w:lang w:val="en-CA"/>
        </w:rPr>
        <w:t xml:space="preserve">is to the </w:t>
      </w:r>
      <w:r w:rsidR="00D75790">
        <w:rPr>
          <w:lang w:val="en-CA"/>
        </w:rPr>
        <w:t>e</w:t>
      </w:r>
      <w:r w:rsidRPr="00504744">
        <w:rPr>
          <w:lang w:val="en-CA"/>
        </w:rPr>
        <w:t>ffect</w:t>
      </w:r>
      <w:r w:rsidR="00D75790">
        <w:rPr>
          <w:lang w:val="en-CA"/>
        </w:rPr>
        <w:t xml:space="preserve"> </w:t>
      </w:r>
      <w:r w:rsidRPr="00504744">
        <w:rPr>
          <w:lang w:val="en-CA"/>
        </w:rPr>
        <w:t>that the</w:t>
      </w:r>
      <w:r w:rsidR="00D75790">
        <w:rPr>
          <w:lang w:val="en-CA"/>
        </w:rPr>
        <w:t xml:space="preserve"> </w:t>
      </w:r>
      <w:r w:rsidRPr="00504744">
        <w:rPr>
          <w:lang w:val="en-CA"/>
        </w:rPr>
        <w:t>respondents have many other assets that are not frozen to pay the tax debts and their legal fees.</w:t>
      </w:r>
      <w:r>
        <w:rPr>
          <w:rStyle w:val="Appelnotedebasdep"/>
        </w:rPr>
        <w:footnoteReference w:id="16"/>
      </w:r>
      <w:r w:rsidR="00544DF4" w:rsidRPr="00504744">
        <w:rPr>
          <w:lang w:val="en-CA"/>
        </w:rPr>
        <w:t xml:space="preserve"> </w:t>
      </w:r>
    </w:p>
    <w:p w14:paraId="0B06B531" w14:textId="1DF99EA3" w:rsidR="00512824" w:rsidRPr="00504744" w:rsidRDefault="00504744" w:rsidP="00512824">
      <w:pPr>
        <w:pStyle w:val="Paragraphe"/>
        <w:rPr>
          <w:lang w:val="en-CA"/>
        </w:rPr>
      </w:pPr>
      <w:r w:rsidRPr="00504744">
        <w:rPr>
          <w:lang w:val="en-CA"/>
        </w:rPr>
        <w:t>According to Vincent Allard, most of their assets are cryptoassets.</w:t>
      </w:r>
      <w:r w:rsidR="00544DF4" w:rsidRPr="00504744">
        <w:rPr>
          <w:lang w:val="en-CA"/>
        </w:rPr>
        <w:t xml:space="preserve"> </w:t>
      </w:r>
      <w:r w:rsidRPr="00504744">
        <w:rPr>
          <w:lang w:val="en-CA"/>
        </w:rPr>
        <w:t xml:space="preserve">What is more, Pyrole was </w:t>
      </w:r>
      <w:r w:rsidR="004D5137">
        <w:rPr>
          <w:lang w:val="en-CA"/>
        </w:rPr>
        <w:t>accustomed to</w:t>
      </w:r>
      <w:r w:rsidRPr="00504744">
        <w:rPr>
          <w:lang w:val="en-CA"/>
        </w:rPr>
        <w:t xml:space="preserve"> </w:t>
      </w:r>
      <w:r w:rsidR="002045DF">
        <w:rPr>
          <w:lang w:val="en-CA"/>
        </w:rPr>
        <w:t xml:space="preserve">using </w:t>
      </w:r>
      <w:r w:rsidR="002045DF" w:rsidRPr="00504744">
        <w:rPr>
          <w:lang w:val="en-CA"/>
        </w:rPr>
        <w:t xml:space="preserve">these cryptoassets </w:t>
      </w:r>
      <w:r w:rsidR="002045DF">
        <w:rPr>
          <w:lang w:val="en-CA"/>
        </w:rPr>
        <w:t xml:space="preserve">to </w:t>
      </w:r>
      <w:r w:rsidRPr="00504744">
        <w:rPr>
          <w:lang w:val="en-CA"/>
        </w:rPr>
        <w:t>pay its tax debts.</w:t>
      </w:r>
      <w:r w:rsidR="00544DF4" w:rsidRPr="00504744">
        <w:rPr>
          <w:lang w:val="en-CA"/>
        </w:rPr>
        <w:t xml:space="preserve"> </w:t>
      </w:r>
    </w:p>
    <w:p w14:paraId="017A403C" w14:textId="4EDF3ACE" w:rsidR="00CA645D" w:rsidRPr="00764878" w:rsidRDefault="00504744" w:rsidP="00AC5488">
      <w:pPr>
        <w:pStyle w:val="Paragraphe"/>
        <w:rPr>
          <w:lang w:val="en-CA"/>
        </w:rPr>
      </w:pPr>
      <w:r w:rsidRPr="00504744">
        <w:rPr>
          <w:lang w:val="en-CA"/>
        </w:rPr>
        <w:t xml:space="preserve">The respondents have </w:t>
      </w:r>
      <w:r w:rsidR="007A25C1">
        <w:rPr>
          <w:lang w:val="en-CA"/>
        </w:rPr>
        <w:t>established</w:t>
      </w:r>
      <w:r w:rsidRPr="00504744">
        <w:rPr>
          <w:lang w:val="en-CA"/>
        </w:rPr>
        <w:t xml:space="preserve"> that they have sufficient other assets to make the </w:t>
      </w:r>
      <w:r w:rsidR="00D75790" w:rsidRPr="00504744">
        <w:rPr>
          <w:lang w:val="en-CA"/>
        </w:rPr>
        <w:t>payments</w:t>
      </w:r>
      <w:r w:rsidRPr="00504744">
        <w:rPr>
          <w:lang w:val="en-CA"/>
        </w:rPr>
        <w:t xml:space="preserve"> they wish to </w:t>
      </w:r>
      <w:r w:rsidR="002045DF">
        <w:rPr>
          <w:lang w:val="en-CA"/>
        </w:rPr>
        <w:t>make</w:t>
      </w:r>
      <w:r w:rsidRPr="00504744">
        <w:rPr>
          <w:lang w:val="en-CA"/>
        </w:rPr>
        <w:t>, without affecting those</w:t>
      </w:r>
      <w:r w:rsidR="00FB1671">
        <w:rPr>
          <w:lang w:val="en-CA"/>
        </w:rPr>
        <w:t xml:space="preserve"> </w:t>
      </w:r>
      <w:r w:rsidR="00D10D69">
        <w:rPr>
          <w:lang w:val="en-CA"/>
        </w:rPr>
        <w:t>set aside</w:t>
      </w:r>
      <w:r w:rsidRPr="00504744">
        <w:rPr>
          <w:lang w:val="en-CA"/>
        </w:rPr>
        <w:t xml:space="preserve"> for the measures that could be taken in the public interest against </w:t>
      </w:r>
      <w:r w:rsidR="002045DF">
        <w:rPr>
          <w:lang w:val="en-CA"/>
        </w:rPr>
        <w:t xml:space="preserve">the </w:t>
      </w:r>
      <w:r w:rsidRPr="00504744">
        <w:rPr>
          <w:lang w:val="en-CA"/>
        </w:rPr>
        <w:t>alleged breaches.</w:t>
      </w:r>
      <w:r w:rsidR="00544DF4" w:rsidRPr="00504744">
        <w:rPr>
          <w:lang w:val="en-CA"/>
        </w:rPr>
        <w:t xml:space="preserve"> </w:t>
      </w:r>
      <w:r w:rsidR="00764878" w:rsidRPr="00764878">
        <w:rPr>
          <w:lang w:val="en-CA"/>
        </w:rPr>
        <w:t>The respondents are ready to transfer an amount equ</w:t>
      </w:r>
      <w:r w:rsidR="002045DF">
        <w:rPr>
          <w:lang w:val="en-CA"/>
        </w:rPr>
        <w:t>al</w:t>
      </w:r>
      <w:r w:rsidR="00764878" w:rsidRPr="00764878">
        <w:rPr>
          <w:lang w:val="en-CA"/>
        </w:rPr>
        <w:t xml:space="preserve"> to nearly </w:t>
      </w:r>
      <w:r w:rsidR="002045DF">
        <w:rPr>
          <w:lang w:val="en-CA"/>
        </w:rPr>
        <w:t>US</w:t>
      </w:r>
      <w:r w:rsidR="00764878" w:rsidRPr="00764878">
        <w:rPr>
          <w:lang w:val="en-CA"/>
        </w:rPr>
        <w:t xml:space="preserve">$7,000,000 to the </w:t>
      </w:r>
      <w:r w:rsidR="00DD770C">
        <w:rPr>
          <w:lang w:val="en-CA"/>
        </w:rPr>
        <w:t xml:space="preserve">frozen </w:t>
      </w:r>
      <w:r w:rsidR="00764878" w:rsidRPr="00764878">
        <w:rPr>
          <w:lang w:val="en-CA"/>
        </w:rPr>
        <w:t xml:space="preserve">BMO Investorline </w:t>
      </w:r>
      <w:r w:rsidR="00AB7CD6">
        <w:rPr>
          <w:lang w:val="en-CA"/>
        </w:rPr>
        <w:t>I</w:t>
      </w:r>
      <w:r w:rsidR="00764878" w:rsidRPr="00764878">
        <w:rPr>
          <w:lang w:val="en-CA"/>
        </w:rPr>
        <w:t xml:space="preserve">nc. account to ensure that </w:t>
      </w:r>
      <w:proofErr w:type="gramStart"/>
      <w:r w:rsidR="00764878" w:rsidRPr="00764878">
        <w:rPr>
          <w:lang w:val="en-CA"/>
        </w:rPr>
        <w:t>a sufficient amount</w:t>
      </w:r>
      <w:proofErr w:type="gramEnd"/>
      <w:r w:rsidR="00764878" w:rsidRPr="00764878">
        <w:rPr>
          <w:lang w:val="en-CA"/>
        </w:rPr>
        <w:t xml:space="preserve"> is available should </w:t>
      </w:r>
      <w:r w:rsidR="00AB7CD6" w:rsidRPr="00764878">
        <w:rPr>
          <w:lang w:val="en-CA"/>
        </w:rPr>
        <w:t>administrative</w:t>
      </w:r>
      <w:r w:rsidR="00764878" w:rsidRPr="00764878">
        <w:rPr>
          <w:lang w:val="en-CA"/>
        </w:rPr>
        <w:t xml:space="preserve"> </w:t>
      </w:r>
      <w:r w:rsidR="007A25C1">
        <w:rPr>
          <w:lang w:val="en-CA"/>
        </w:rPr>
        <w:t>penalties</w:t>
      </w:r>
      <w:r w:rsidR="002045DF" w:rsidRPr="00764878">
        <w:rPr>
          <w:lang w:val="en-CA"/>
        </w:rPr>
        <w:t xml:space="preserve"> </w:t>
      </w:r>
      <w:r w:rsidR="00764878" w:rsidRPr="00764878">
        <w:rPr>
          <w:lang w:val="en-CA"/>
        </w:rPr>
        <w:t>and distributions to investors be ordered.</w:t>
      </w:r>
      <w:r w:rsidR="00544DF4" w:rsidRPr="00764878">
        <w:rPr>
          <w:lang w:val="en-CA"/>
        </w:rPr>
        <w:t xml:space="preserve"> </w:t>
      </w:r>
    </w:p>
    <w:p w14:paraId="0D96603B" w14:textId="4CF4DD81" w:rsidR="00C406C2" w:rsidRPr="00D40D7A" w:rsidRDefault="00D40D7A" w:rsidP="00F36AE7">
      <w:pPr>
        <w:pStyle w:val="Paragraphe"/>
        <w:rPr>
          <w:lang w:val="en-CA"/>
        </w:rPr>
      </w:pPr>
      <w:r w:rsidRPr="00D40D7A">
        <w:rPr>
          <w:lang w:val="en-CA"/>
        </w:rPr>
        <w:t xml:space="preserve">The Tribunal </w:t>
      </w:r>
      <w:r w:rsidR="00D10D69">
        <w:rPr>
          <w:lang w:val="en-CA"/>
        </w:rPr>
        <w:t>notes</w:t>
      </w:r>
      <w:r w:rsidRPr="00D40D7A">
        <w:rPr>
          <w:lang w:val="en-CA"/>
        </w:rPr>
        <w:t xml:space="preserve"> that, to render its </w:t>
      </w:r>
      <w:r w:rsidR="00D10D69">
        <w:rPr>
          <w:lang w:val="en-CA"/>
        </w:rPr>
        <w:t>decision</w:t>
      </w:r>
      <w:r w:rsidRPr="00D40D7A">
        <w:rPr>
          <w:lang w:val="en-CA"/>
        </w:rPr>
        <w:t xml:space="preserve">, it considered the </w:t>
      </w:r>
      <w:r w:rsidR="00EB26F4">
        <w:rPr>
          <w:lang w:val="en-CA"/>
        </w:rPr>
        <w:t>Authority</w:t>
      </w:r>
      <w:r w:rsidRPr="00D40D7A">
        <w:rPr>
          <w:lang w:val="en-CA"/>
        </w:rPr>
        <w:t xml:space="preserve">’s </w:t>
      </w:r>
      <w:r w:rsidR="0004201E">
        <w:rPr>
          <w:lang w:val="en-CA"/>
        </w:rPr>
        <w:t>submissions</w:t>
      </w:r>
      <w:r w:rsidR="0004201E" w:rsidRPr="00D40D7A">
        <w:rPr>
          <w:lang w:val="en-CA"/>
        </w:rPr>
        <w:t xml:space="preserve"> </w:t>
      </w:r>
      <w:r w:rsidRPr="00D40D7A">
        <w:rPr>
          <w:lang w:val="en-CA"/>
        </w:rPr>
        <w:t>that the only assets subject to freeze orders are those specifically identified in the decision rendered by the Tribunal on April 29, 2024,</w:t>
      </w:r>
      <w:r>
        <w:rPr>
          <w:rStyle w:val="Appelnotedebasdep"/>
        </w:rPr>
        <w:footnoteReference w:id="17"/>
      </w:r>
      <w:r w:rsidRPr="00D40D7A">
        <w:rPr>
          <w:lang w:val="en-CA"/>
        </w:rPr>
        <w:t xml:space="preserve"> despite the general freeze order </w:t>
      </w:r>
      <w:r w:rsidR="00037C2C">
        <w:rPr>
          <w:lang w:val="en-CA"/>
        </w:rPr>
        <w:t>that</w:t>
      </w:r>
      <w:r w:rsidRPr="00D40D7A">
        <w:rPr>
          <w:lang w:val="en-CA"/>
        </w:rPr>
        <w:t xml:space="preserve"> the </w:t>
      </w:r>
      <w:r w:rsidR="00EB26F4">
        <w:rPr>
          <w:lang w:val="en-CA"/>
        </w:rPr>
        <w:t>Authority</w:t>
      </w:r>
      <w:r w:rsidR="00037C2C">
        <w:rPr>
          <w:lang w:val="en-CA"/>
        </w:rPr>
        <w:t xml:space="preserve"> had </w:t>
      </w:r>
      <w:r w:rsidR="00037C2C" w:rsidRPr="00D40D7A">
        <w:rPr>
          <w:lang w:val="en-CA"/>
        </w:rPr>
        <w:t>requested</w:t>
      </w:r>
      <w:r w:rsidRPr="00D40D7A">
        <w:rPr>
          <w:lang w:val="en-CA"/>
        </w:rPr>
        <w:t>.</w:t>
      </w:r>
      <w:r w:rsidR="00DC3C79" w:rsidRPr="00D40D7A">
        <w:rPr>
          <w:lang w:val="en-CA"/>
        </w:rPr>
        <w:t xml:space="preserve"> </w:t>
      </w:r>
      <w:r w:rsidRPr="00D40D7A">
        <w:rPr>
          <w:lang w:val="en-CA"/>
        </w:rPr>
        <w:t xml:space="preserve">These assets are the </w:t>
      </w:r>
      <w:r w:rsidR="00AB7CD6" w:rsidRPr="00D40D7A">
        <w:rPr>
          <w:lang w:val="en-CA"/>
        </w:rPr>
        <w:t>following</w:t>
      </w:r>
      <w:r w:rsidRPr="00D40D7A">
        <w:rPr>
          <w:lang w:val="en-CA"/>
        </w:rPr>
        <w:t>: the BALD Deployer portfolio</w:t>
      </w:r>
      <w:r w:rsidR="0004201E">
        <w:rPr>
          <w:lang w:val="en-CA"/>
        </w:rPr>
        <w:t xml:space="preserve"> and</w:t>
      </w:r>
      <w:r w:rsidRPr="00D40D7A">
        <w:rPr>
          <w:lang w:val="en-CA"/>
        </w:rPr>
        <w:t xml:space="preserve"> the Circle and BMO Investorline </w:t>
      </w:r>
      <w:r w:rsidR="00AB7CD6">
        <w:rPr>
          <w:lang w:val="en-CA"/>
        </w:rPr>
        <w:t>I</w:t>
      </w:r>
      <w:r w:rsidRPr="00D40D7A">
        <w:rPr>
          <w:lang w:val="en-CA"/>
        </w:rPr>
        <w:t>nc. accounts.</w:t>
      </w:r>
      <w:r w:rsidR="00DC3C79" w:rsidRPr="00D40D7A">
        <w:rPr>
          <w:lang w:val="en-CA"/>
        </w:rPr>
        <w:t xml:space="preserve"> </w:t>
      </w:r>
      <w:r w:rsidRPr="00D40D7A">
        <w:rPr>
          <w:lang w:val="en-CA"/>
        </w:rPr>
        <w:t xml:space="preserve">Thus, it is possible </w:t>
      </w:r>
      <w:r w:rsidRPr="00D40D7A">
        <w:rPr>
          <w:lang w:val="en-CA"/>
        </w:rPr>
        <w:lastRenderedPageBreak/>
        <w:t xml:space="preserve">to consider that the amounts the respondents want to use to pay their expenses are not part of the assets that are considered frozen by the </w:t>
      </w:r>
      <w:r w:rsidR="00EB26F4">
        <w:rPr>
          <w:lang w:val="en-CA"/>
        </w:rPr>
        <w:t>Authority</w:t>
      </w:r>
      <w:r w:rsidRPr="00D40D7A">
        <w:rPr>
          <w:lang w:val="en-CA"/>
        </w:rPr>
        <w:t>.</w:t>
      </w:r>
      <w:r w:rsidR="00DC3C79" w:rsidRPr="00D40D7A">
        <w:rPr>
          <w:lang w:val="en-CA"/>
        </w:rPr>
        <w:t xml:space="preserve"> </w:t>
      </w:r>
    </w:p>
    <w:p w14:paraId="0B55F9BE" w14:textId="655B5845" w:rsidR="00AC742E" w:rsidRPr="00D40D7A" w:rsidRDefault="00D40D7A" w:rsidP="00AC742E">
      <w:pPr>
        <w:pStyle w:val="Paragraphe"/>
        <w:rPr>
          <w:lang w:val="en-CA"/>
        </w:rPr>
      </w:pPr>
      <w:r w:rsidRPr="00D40D7A">
        <w:rPr>
          <w:lang w:val="en-CA"/>
        </w:rPr>
        <w:t xml:space="preserve">The </w:t>
      </w:r>
      <w:r w:rsidR="00EB26F4">
        <w:rPr>
          <w:lang w:val="en-CA"/>
        </w:rPr>
        <w:t>Authority</w:t>
      </w:r>
      <w:r w:rsidRPr="00D40D7A">
        <w:rPr>
          <w:lang w:val="en-CA"/>
        </w:rPr>
        <w:t xml:space="preserve"> did not provide evidence that the respondents took part in </w:t>
      </w:r>
      <w:r w:rsidR="00C52AD3" w:rsidRPr="00D40D7A">
        <w:rPr>
          <w:lang w:val="en-CA"/>
        </w:rPr>
        <w:t>potentially</w:t>
      </w:r>
      <w:r w:rsidRPr="00D40D7A">
        <w:rPr>
          <w:lang w:val="en-CA"/>
        </w:rPr>
        <w:t xml:space="preserve"> illegal activities other than those already described in the Tribunal’s initial decision. The </w:t>
      </w:r>
      <w:r w:rsidR="00EB26F4">
        <w:rPr>
          <w:lang w:val="en-CA"/>
        </w:rPr>
        <w:t>Authority</w:t>
      </w:r>
      <w:r w:rsidRPr="00D40D7A">
        <w:rPr>
          <w:lang w:val="en-CA"/>
        </w:rPr>
        <w:t xml:space="preserve"> cannot, on </w:t>
      </w:r>
      <w:r w:rsidR="00C52AD3">
        <w:rPr>
          <w:lang w:val="en-CA"/>
        </w:rPr>
        <w:t xml:space="preserve">the </w:t>
      </w:r>
      <w:r w:rsidRPr="00D40D7A">
        <w:rPr>
          <w:lang w:val="en-CA"/>
        </w:rPr>
        <w:t xml:space="preserve">one hand, </w:t>
      </w:r>
      <w:r w:rsidR="00D10D69">
        <w:rPr>
          <w:lang w:val="en-CA"/>
        </w:rPr>
        <w:t>object to</w:t>
      </w:r>
      <w:r w:rsidRPr="00D40D7A">
        <w:rPr>
          <w:lang w:val="en-CA"/>
        </w:rPr>
        <w:t xml:space="preserve"> lifting the freeze</w:t>
      </w:r>
      <w:r w:rsidR="00C52AD3">
        <w:rPr>
          <w:lang w:val="en-CA"/>
        </w:rPr>
        <w:t xml:space="preserve"> orders</w:t>
      </w:r>
      <w:r w:rsidRPr="00D40D7A">
        <w:rPr>
          <w:lang w:val="en-CA"/>
        </w:rPr>
        <w:t xml:space="preserve"> </w:t>
      </w:r>
      <w:r w:rsidR="00FA0B69">
        <w:rPr>
          <w:lang w:val="en-CA"/>
        </w:rPr>
        <w:t xml:space="preserve">by </w:t>
      </w:r>
      <w:r w:rsidRPr="00D40D7A">
        <w:rPr>
          <w:lang w:val="en-CA"/>
        </w:rPr>
        <w:t xml:space="preserve">claiming that other assets </w:t>
      </w:r>
      <w:r w:rsidR="00C52AD3">
        <w:rPr>
          <w:lang w:val="en-CA"/>
        </w:rPr>
        <w:t>might</w:t>
      </w:r>
      <w:r w:rsidRPr="00D40D7A">
        <w:rPr>
          <w:lang w:val="en-CA"/>
        </w:rPr>
        <w:t xml:space="preserve"> be discovered in the investigation </w:t>
      </w:r>
      <w:r w:rsidR="00C52AD3">
        <w:rPr>
          <w:lang w:val="en-CA"/>
        </w:rPr>
        <w:t>concerning</w:t>
      </w:r>
      <w:r w:rsidRPr="00D40D7A">
        <w:rPr>
          <w:lang w:val="en-CA"/>
        </w:rPr>
        <w:t xml:space="preserve"> activities it allege</w:t>
      </w:r>
      <w:r w:rsidR="0004201E">
        <w:rPr>
          <w:lang w:val="en-CA"/>
        </w:rPr>
        <w:t>s</w:t>
      </w:r>
      <w:r w:rsidRPr="00D40D7A">
        <w:rPr>
          <w:lang w:val="en-CA"/>
        </w:rPr>
        <w:t xml:space="preserve"> are illegal and, on the other hand, fail to </w:t>
      </w:r>
      <w:r w:rsidR="002C44C1">
        <w:rPr>
          <w:lang w:val="en-CA"/>
        </w:rPr>
        <w:t>assert</w:t>
      </w:r>
      <w:r w:rsidR="00FA0B69">
        <w:rPr>
          <w:lang w:val="en-CA"/>
        </w:rPr>
        <w:t xml:space="preserve"> the application of</w:t>
      </w:r>
      <w:r w:rsidRPr="00D40D7A">
        <w:rPr>
          <w:lang w:val="en-CA"/>
        </w:rPr>
        <w:t xml:space="preserve"> the general freeze order initially issued by the Tribunal </w:t>
      </w:r>
      <w:r w:rsidR="00C52AD3">
        <w:rPr>
          <w:lang w:val="en-CA"/>
        </w:rPr>
        <w:t>that</w:t>
      </w:r>
      <w:r w:rsidRPr="00D40D7A">
        <w:rPr>
          <w:lang w:val="en-CA"/>
        </w:rPr>
        <w:t xml:space="preserve"> would have covered these other assets.</w:t>
      </w:r>
      <w:r w:rsidR="00310FA8" w:rsidRPr="00D40D7A">
        <w:rPr>
          <w:lang w:val="en-CA"/>
        </w:rPr>
        <w:t xml:space="preserve"> </w:t>
      </w:r>
    </w:p>
    <w:p w14:paraId="3048C84B" w14:textId="3366B843" w:rsidR="00393075" w:rsidRPr="00D40D7A" w:rsidRDefault="00D40D7A" w:rsidP="00393075">
      <w:pPr>
        <w:pStyle w:val="Paragraphe"/>
        <w:rPr>
          <w:lang w:val="en-CA"/>
        </w:rPr>
      </w:pPr>
      <w:r w:rsidRPr="00D40D7A">
        <w:rPr>
          <w:lang w:val="en-CA"/>
        </w:rPr>
        <w:t xml:space="preserve">Contrary to the decisions argued by the </w:t>
      </w:r>
      <w:r w:rsidR="00EB26F4">
        <w:rPr>
          <w:lang w:val="en-CA"/>
        </w:rPr>
        <w:t>Authority</w:t>
      </w:r>
      <w:r w:rsidRPr="00D40D7A">
        <w:rPr>
          <w:lang w:val="en-CA"/>
        </w:rPr>
        <w:t xml:space="preserve">, the amounts the respondents wish to use in this case are not covered by the freeze </w:t>
      </w:r>
      <w:r w:rsidR="002C44C1">
        <w:rPr>
          <w:lang w:val="en-CA"/>
        </w:rPr>
        <w:t xml:space="preserve">order </w:t>
      </w:r>
      <w:r w:rsidRPr="00D40D7A">
        <w:rPr>
          <w:lang w:val="en-CA"/>
        </w:rPr>
        <w:t xml:space="preserve">applied by the </w:t>
      </w:r>
      <w:r w:rsidR="00EB26F4">
        <w:rPr>
          <w:lang w:val="en-CA"/>
        </w:rPr>
        <w:t>Authority</w:t>
      </w:r>
      <w:r w:rsidR="002C44C1">
        <w:rPr>
          <w:lang w:val="en-CA"/>
        </w:rPr>
        <w:t>,</w:t>
      </w:r>
      <w:r w:rsidRPr="00D40D7A">
        <w:rPr>
          <w:lang w:val="en-CA"/>
        </w:rPr>
        <w:t xml:space="preserve"> and the future transfer to the </w:t>
      </w:r>
      <w:r w:rsidR="00DD770C">
        <w:rPr>
          <w:lang w:val="en-CA"/>
        </w:rPr>
        <w:t xml:space="preserve">frozen </w:t>
      </w:r>
      <w:r w:rsidRPr="00D40D7A">
        <w:rPr>
          <w:lang w:val="en-CA"/>
        </w:rPr>
        <w:t xml:space="preserve">BMO Investorline </w:t>
      </w:r>
      <w:r w:rsidR="00D71711">
        <w:rPr>
          <w:lang w:val="en-CA"/>
        </w:rPr>
        <w:t>I</w:t>
      </w:r>
      <w:r w:rsidRPr="00D40D7A">
        <w:rPr>
          <w:lang w:val="en-CA"/>
        </w:rPr>
        <w:t xml:space="preserve">nc. account will </w:t>
      </w:r>
      <w:r w:rsidR="00C2080D">
        <w:rPr>
          <w:lang w:val="en-CA"/>
        </w:rPr>
        <w:t xml:space="preserve">mean that </w:t>
      </w:r>
      <w:r w:rsidRPr="00D40D7A">
        <w:rPr>
          <w:lang w:val="en-CA"/>
        </w:rPr>
        <w:t>sufficient funds</w:t>
      </w:r>
      <w:r w:rsidR="00C2080D">
        <w:rPr>
          <w:lang w:val="en-CA"/>
        </w:rPr>
        <w:t xml:space="preserve"> will be protected</w:t>
      </w:r>
      <w:r w:rsidRPr="00D40D7A">
        <w:rPr>
          <w:lang w:val="en-CA"/>
        </w:rPr>
        <w:t xml:space="preserve"> in the public interest.</w:t>
      </w:r>
      <w:r w:rsidR="00544DF4" w:rsidRPr="00D40D7A">
        <w:rPr>
          <w:lang w:val="en-CA"/>
        </w:rPr>
        <w:t xml:space="preserve"> </w:t>
      </w:r>
      <w:r w:rsidRPr="00221B3E">
        <w:rPr>
          <w:lang w:val="en-CA"/>
        </w:rPr>
        <w:t>Furthermore, the respondents possess many other assets that are not frozen to cover their expenses.</w:t>
      </w:r>
    </w:p>
    <w:p w14:paraId="6A5131AF" w14:textId="02590FE8" w:rsidR="001B7DEB" w:rsidRPr="00D40D7A" w:rsidRDefault="00DD770C" w:rsidP="0005035C">
      <w:pPr>
        <w:pStyle w:val="Paragraphe"/>
        <w:rPr>
          <w:lang w:val="en-CA"/>
        </w:rPr>
      </w:pPr>
      <w:r>
        <w:rPr>
          <w:lang w:val="en-CA"/>
        </w:rPr>
        <w:t>T</w:t>
      </w:r>
      <w:r w:rsidR="00D40D7A" w:rsidRPr="00D40D7A">
        <w:rPr>
          <w:lang w:val="en-CA"/>
        </w:rPr>
        <w:t xml:space="preserve">he </w:t>
      </w:r>
      <w:r w:rsidR="00EB26F4">
        <w:rPr>
          <w:lang w:val="en-CA"/>
        </w:rPr>
        <w:t>Authority</w:t>
      </w:r>
      <w:r w:rsidR="00D40D7A" w:rsidRPr="00D40D7A">
        <w:rPr>
          <w:lang w:val="en-CA"/>
        </w:rPr>
        <w:t>’s argument that the lift</w:t>
      </w:r>
      <w:r>
        <w:rPr>
          <w:lang w:val="en-CA"/>
        </w:rPr>
        <w:t>s</w:t>
      </w:r>
      <w:r w:rsidR="00D40D7A" w:rsidRPr="00D40D7A">
        <w:rPr>
          <w:lang w:val="en-CA"/>
        </w:rPr>
        <w:t xml:space="preserve"> should not be granted because there is a risk that most of the respondents’ cryptoassets are the fruit of transactions made through the activities of a market maker</w:t>
      </w:r>
      <w:r w:rsidR="00D03F0C">
        <w:rPr>
          <w:lang w:val="en-CA"/>
        </w:rPr>
        <w:t xml:space="preserve"> – a</w:t>
      </w:r>
      <w:r w:rsidR="00D40D7A" w:rsidRPr="00D40D7A">
        <w:rPr>
          <w:lang w:val="en-CA"/>
        </w:rPr>
        <w:t xml:space="preserve">ctivities that are governed by the </w:t>
      </w:r>
      <w:r w:rsidR="00D40D7A" w:rsidRPr="00C2080D">
        <w:rPr>
          <w:i/>
          <w:iCs/>
          <w:lang w:val="en-CA"/>
        </w:rPr>
        <w:t>Act</w:t>
      </w:r>
      <w:r w:rsidR="00D03F0C">
        <w:rPr>
          <w:lang w:val="en-CA"/>
        </w:rPr>
        <w:t xml:space="preserve"> – </w:t>
      </w:r>
      <w:r w:rsidR="00D40D7A" w:rsidRPr="00D40D7A">
        <w:rPr>
          <w:lang w:val="en-CA"/>
        </w:rPr>
        <w:t xml:space="preserve">is undermined by the fact </w:t>
      </w:r>
      <w:r w:rsidR="00C2080D" w:rsidRPr="00D40D7A">
        <w:rPr>
          <w:lang w:val="en-CA"/>
        </w:rPr>
        <w:t>that</w:t>
      </w:r>
      <w:r w:rsidR="00D40D7A" w:rsidRPr="00D40D7A">
        <w:rPr>
          <w:lang w:val="en-CA"/>
        </w:rPr>
        <w:t xml:space="preserve"> the respondents do not need the cease trad</w:t>
      </w:r>
      <w:r w:rsidR="00546056">
        <w:rPr>
          <w:lang w:val="en-CA"/>
        </w:rPr>
        <w:t>e</w:t>
      </w:r>
      <w:r w:rsidR="00D40D7A" w:rsidRPr="00D40D7A">
        <w:rPr>
          <w:lang w:val="en-CA"/>
        </w:rPr>
        <w:t xml:space="preserve"> orders </w:t>
      </w:r>
      <w:r>
        <w:rPr>
          <w:lang w:val="en-CA"/>
        </w:rPr>
        <w:t xml:space="preserve">to be lifted </w:t>
      </w:r>
      <w:r w:rsidR="00D40D7A" w:rsidRPr="00D40D7A">
        <w:rPr>
          <w:lang w:val="en-CA"/>
        </w:rPr>
        <w:t xml:space="preserve">to continue </w:t>
      </w:r>
      <w:r w:rsidR="0079670A">
        <w:rPr>
          <w:lang w:val="en-CA"/>
        </w:rPr>
        <w:t>to amass</w:t>
      </w:r>
      <w:r w:rsidR="00D40D7A" w:rsidRPr="00D40D7A">
        <w:rPr>
          <w:lang w:val="en-CA"/>
        </w:rPr>
        <w:t xml:space="preserve"> cryptoassets or to make a profit, but only </w:t>
      </w:r>
      <w:r>
        <w:rPr>
          <w:lang w:val="en-CA"/>
        </w:rPr>
        <w:t>t</w:t>
      </w:r>
      <w:r w:rsidR="00D40D7A" w:rsidRPr="00D40D7A">
        <w:rPr>
          <w:lang w:val="en-CA"/>
        </w:rPr>
        <w:t>o convert and us</w:t>
      </w:r>
      <w:r>
        <w:rPr>
          <w:lang w:val="en-CA"/>
        </w:rPr>
        <w:t>e</w:t>
      </w:r>
      <w:r w:rsidR="00D40D7A" w:rsidRPr="00D40D7A">
        <w:rPr>
          <w:lang w:val="en-CA"/>
        </w:rPr>
        <w:t xml:space="preserve"> USDC to pay their tax debts and legal fees.</w:t>
      </w:r>
      <w:r w:rsidR="002157F5" w:rsidRPr="00D40D7A">
        <w:rPr>
          <w:lang w:val="en-CA"/>
        </w:rPr>
        <w:t xml:space="preserve"> </w:t>
      </w:r>
    </w:p>
    <w:p w14:paraId="39ADEA69" w14:textId="105AF79C" w:rsidR="004B5970" w:rsidRPr="006417CF" w:rsidRDefault="00C2080D" w:rsidP="004B5970">
      <w:pPr>
        <w:pStyle w:val="Paragraphe"/>
        <w:rPr>
          <w:lang w:val="en-CA"/>
        </w:rPr>
      </w:pPr>
      <w:r w:rsidRPr="00D40D7A">
        <w:rPr>
          <w:lang w:val="en-CA"/>
        </w:rPr>
        <w:t>Regarding</w:t>
      </w:r>
      <w:r w:rsidR="00D40D7A" w:rsidRPr="00D40D7A">
        <w:rPr>
          <w:lang w:val="en-CA"/>
        </w:rPr>
        <w:t xml:space="preserve"> the concern that the respondents would be trading </w:t>
      </w:r>
      <w:r w:rsidR="00DD770C">
        <w:rPr>
          <w:lang w:val="en-CA"/>
        </w:rPr>
        <w:t xml:space="preserve">in securities </w:t>
      </w:r>
      <w:r w:rsidR="00D40D7A" w:rsidRPr="00D40D7A">
        <w:rPr>
          <w:lang w:val="en-CA"/>
        </w:rPr>
        <w:t>to pay their debts, Vincent Allard confirmed at the hearing that he did not intend to convert other cryptoassets into USDC to make his payments.</w:t>
      </w:r>
      <w:r w:rsidR="00544DF4" w:rsidRPr="00D40D7A">
        <w:rPr>
          <w:lang w:val="en-CA"/>
        </w:rPr>
        <w:t xml:space="preserve"> </w:t>
      </w:r>
      <w:r w:rsidR="00D40D7A" w:rsidRPr="00D40D7A">
        <w:rPr>
          <w:lang w:val="en-CA"/>
        </w:rPr>
        <w:t xml:space="preserve">He wants to </w:t>
      </w:r>
      <w:r w:rsidR="00DD770C">
        <w:rPr>
          <w:lang w:val="en-CA"/>
        </w:rPr>
        <w:t xml:space="preserve">convert </w:t>
      </w:r>
      <w:r w:rsidR="00D40D7A" w:rsidRPr="00D40D7A">
        <w:rPr>
          <w:lang w:val="en-CA"/>
        </w:rPr>
        <w:t xml:space="preserve">only the USDC he already has </w:t>
      </w:r>
      <w:r w:rsidR="007B555B">
        <w:rPr>
          <w:lang w:val="en-CA"/>
        </w:rPr>
        <w:t>in</w:t>
      </w:r>
      <w:r w:rsidR="00D40D7A" w:rsidRPr="00D40D7A">
        <w:rPr>
          <w:lang w:val="en-CA"/>
        </w:rPr>
        <w:t>to fiat currency.</w:t>
      </w:r>
      <w:r w:rsidR="00544DF4" w:rsidRPr="00D40D7A">
        <w:rPr>
          <w:lang w:val="en-CA"/>
        </w:rPr>
        <w:t xml:space="preserve"> </w:t>
      </w:r>
      <w:r w:rsidR="00D40D7A" w:rsidRPr="00C2080D">
        <w:rPr>
          <w:lang w:val="en-CA"/>
        </w:rPr>
        <w:t xml:space="preserve">The </w:t>
      </w:r>
      <w:r w:rsidR="00DD770C">
        <w:rPr>
          <w:lang w:val="en-CA"/>
        </w:rPr>
        <w:t>trading will</w:t>
      </w:r>
      <w:r w:rsidR="00D40D7A" w:rsidRPr="00C2080D">
        <w:rPr>
          <w:lang w:val="en-CA"/>
        </w:rPr>
        <w:t xml:space="preserve"> therefore </w:t>
      </w:r>
      <w:r w:rsidR="00DD770C">
        <w:rPr>
          <w:lang w:val="en-CA"/>
        </w:rPr>
        <w:t xml:space="preserve">be </w:t>
      </w:r>
      <w:r w:rsidR="00D40D7A" w:rsidRPr="00C2080D">
        <w:rPr>
          <w:lang w:val="en-CA"/>
        </w:rPr>
        <w:t>very limited</w:t>
      </w:r>
      <w:r w:rsidR="00D40D7A" w:rsidRPr="006417CF">
        <w:rPr>
          <w:lang w:val="en-CA"/>
        </w:rPr>
        <w:t>.</w:t>
      </w:r>
      <w:r w:rsidR="00544DF4" w:rsidRPr="006417CF">
        <w:rPr>
          <w:lang w:val="en-CA"/>
        </w:rPr>
        <w:t xml:space="preserve"> </w:t>
      </w:r>
    </w:p>
    <w:p w14:paraId="66F35A36" w14:textId="28574B8F" w:rsidR="009E3A41" w:rsidRPr="006A6150" w:rsidRDefault="006A6150" w:rsidP="004B5970">
      <w:pPr>
        <w:pStyle w:val="Paragraphe"/>
        <w:rPr>
          <w:lang w:val="en-CA"/>
        </w:rPr>
      </w:pPr>
      <w:r w:rsidRPr="006A6150">
        <w:rPr>
          <w:lang w:val="en-CA"/>
        </w:rPr>
        <w:t xml:space="preserve">As for the mechanisms that would allow the orders to be lifted, the Tribunal is satisfied by the respondents’ proposals for the payment of the tax debts </w:t>
      </w:r>
      <w:r w:rsidR="00C2080D" w:rsidRPr="006A6150">
        <w:rPr>
          <w:lang w:val="en-CA"/>
        </w:rPr>
        <w:t>because</w:t>
      </w:r>
      <w:r w:rsidRPr="006A6150">
        <w:rPr>
          <w:lang w:val="en-CA"/>
        </w:rPr>
        <w:t xml:space="preserve"> the </w:t>
      </w:r>
      <w:r w:rsidR="00EB26F4">
        <w:rPr>
          <w:lang w:val="en-CA"/>
        </w:rPr>
        <w:t>Authority</w:t>
      </w:r>
      <w:r w:rsidRPr="006A6150">
        <w:rPr>
          <w:lang w:val="en-CA"/>
        </w:rPr>
        <w:t xml:space="preserve"> would be able to confirm that the payments were in fact made.</w:t>
      </w:r>
    </w:p>
    <w:p w14:paraId="4EDE9424" w14:textId="10BC3FB1" w:rsidR="009E3A41" w:rsidRPr="006A6150" w:rsidRDefault="006A6150" w:rsidP="009E3A41">
      <w:pPr>
        <w:pStyle w:val="Paragraphe"/>
        <w:rPr>
          <w:lang w:val="en-CA"/>
        </w:rPr>
      </w:pPr>
      <w:r w:rsidRPr="006A6150">
        <w:rPr>
          <w:lang w:val="en-CA"/>
        </w:rPr>
        <w:t xml:space="preserve">The </w:t>
      </w:r>
      <w:r w:rsidR="00EB26F4">
        <w:rPr>
          <w:lang w:val="en-CA"/>
        </w:rPr>
        <w:t>Authority</w:t>
      </w:r>
      <w:r w:rsidR="00EB26F4" w:rsidRPr="006A6150" w:rsidDel="00EB26F4">
        <w:rPr>
          <w:lang w:val="en-CA"/>
        </w:rPr>
        <w:t xml:space="preserve"> </w:t>
      </w:r>
      <w:r w:rsidRPr="006A6150">
        <w:rPr>
          <w:lang w:val="en-CA"/>
        </w:rPr>
        <w:t xml:space="preserve">contests the mechanisms for payment and </w:t>
      </w:r>
      <w:r w:rsidR="00777C45">
        <w:rPr>
          <w:lang w:val="en-CA"/>
        </w:rPr>
        <w:t>the</w:t>
      </w:r>
      <w:r w:rsidRPr="006A6150">
        <w:rPr>
          <w:lang w:val="en-CA"/>
        </w:rPr>
        <w:t xml:space="preserve"> rendering of account of the legal fees.</w:t>
      </w:r>
      <w:r w:rsidR="00C265AA" w:rsidRPr="006A6150">
        <w:rPr>
          <w:lang w:val="en-CA"/>
        </w:rPr>
        <w:t xml:space="preserve"> </w:t>
      </w:r>
      <w:r w:rsidRPr="006A6150">
        <w:rPr>
          <w:lang w:val="en-CA"/>
        </w:rPr>
        <w:t xml:space="preserve">The issue of professional secrecy related to the attorneys’ fees was raised by counsel for the respondents. </w:t>
      </w:r>
    </w:p>
    <w:p w14:paraId="29AB60E1" w14:textId="162B080F" w:rsidR="0084425B" w:rsidRPr="006A6150" w:rsidRDefault="006A6150" w:rsidP="0084425B">
      <w:pPr>
        <w:pStyle w:val="Paragraphe"/>
        <w:rPr>
          <w:lang w:val="en-CA"/>
        </w:rPr>
      </w:pPr>
      <w:r w:rsidRPr="006A6150">
        <w:rPr>
          <w:lang w:val="en-CA"/>
        </w:rPr>
        <w:t xml:space="preserve">The </w:t>
      </w:r>
      <w:r w:rsidR="00EB26F4">
        <w:rPr>
          <w:lang w:val="en-CA"/>
        </w:rPr>
        <w:t>Authority</w:t>
      </w:r>
      <w:r w:rsidR="00EB26F4" w:rsidRPr="006A6150" w:rsidDel="00EB26F4">
        <w:rPr>
          <w:lang w:val="en-CA"/>
        </w:rPr>
        <w:t xml:space="preserve"> </w:t>
      </w:r>
      <w:r w:rsidR="00DD770C">
        <w:rPr>
          <w:lang w:val="en-CA"/>
        </w:rPr>
        <w:t>submitted</w:t>
      </w:r>
      <w:r w:rsidRPr="006A6150">
        <w:rPr>
          <w:lang w:val="en-CA"/>
        </w:rPr>
        <w:t xml:space="preserve"> to the Tribunal that it did not want to receive a copy of the attorneys’ invoices. </w:t>
      </w:r>
      <w:r w:rsidR="00654C1D">
        <w:rPr>
          <w:lang w:val="en-CA"/>
        </w:rPr>
        <w:t>I</w:t>
      </w:r>
      <w:r w:rsidRPr="006A6150">
        <w:rPr>
          <w:lang w:val="en-CA"/>
        </w:rPr>
        <w:t xml:space="preserve">t </w:t>
      </w:r>
      <w:r w:rsidR="00DD770C">
        <w:rPr>
          <w:lang w:val="en-CA"/>
        </w:rPr>
        <w:t xml:space="preserve">would like </w:t>
      </w:r>
      <w:r w:rsidRPr="006A6150">
        <w:rPr>
          <w:lang w:val="en-CA"/>
        </w:rPr>
        <w:t xml:space="preserve">to know the total amount of legal fees, </w:t>
      </w:r>
      <w:r w:rsidR="00654C1D">
        <w:rPr>
          <w:lang w:val="en-CA"/>
        </w:rPr>
        <w:t>h</w:t>
      </w:r>
      <w:r w:rsidR="00654C1D" w:rsidRPr="006A6150">
        <w:rPr>
          <w:lang w:val="en-CA"/>
        </w:rPr>
        <w:t>owever</w:t>
      </w:r>
      <w:r w:rsidR="00654C1D">
        <w:rPr>
          <w:lang w:val="en-CA"/>
        </w:rPr>
        <w:t>,</w:t>
      </w:r>
      <w:r w:rsidR="00654C1D" w:rsidRPr="006A6150">
        <w:rPr>
          <w:lang w:val="en-CA"/>
        </w:rPr>
        <w:t xml:space="preserve"> </w:t>
      </w:r>
      <w:r w:rsidRPr="006A6150">
        <w:rPr>
          <w:lang w:val="en-CA"/>
        </w:rPr>
        <w:t>without needing to know the detail</w:t>
      </w:r>
      <w:r w:rsidR="00DD770C">
        <w:rPr>
          <w:lang w:val="en-CA"/>
        </w:rPr>
        <w:t>s</w:t>
      </w:r>
      <w:r w:rsidRPr="006A6150">
        <w:rPr>
          <w:lang w:val="en-CA"/>
        </w:rPr>
        <w:t>.</w:t>
      </w:r>
    </w:p>
    <w:p w14:paraId="3CC9D605" w14:textId="6CC0327A" w:rsidR="0084425B" w:rsidRPr="006A6150" w:rsidRDefault="006A6150" w:rsidP="0084425B">
      <w:pPr>
        <w:pStyle w:val="Paragraphe"/>
        <w:rPr>
          <w:lang w:val="en-CA"/>
        </w:rPr>
      </w:pPr>
      <w:r w:rsidRPr="006A6150">
        <w:rPr>
          <w:lang w:val="en-CA"/>
        </w:rPr>
        <w:t xml:space="preserve">The respondents proposed a </w:t>
      </w:r>
      <w:r w:rsidR="00C2080D" w:rsidRPr="006A6150">
        <w:rPr>
          <w:lang w:val="en-CA"/>
        </w:rPr>
        <w:t>mechanism</w:t>
      </w:r>
      <w:r w:rsidRPr="006A6150">
        <w:rPr>
          <w:lang w:val="en-CA"/>
        </w:rPr>
        <w:t xml:space="preserve"> that </w:t>
      </w:r>
      <w:r w:rsidR="00C2080D">
        <w:rPr>
          <w:lang w:val="en-CA"/>
        </w:rPr>
        <w:t>answers</w:t>
      </w:r>
      <w:r w:rsidRPr="006A6150">
        <w:rPr>
          <w:lang w:val="en-CA"/>
        </w:rPr>
        <w:t xml:space="preserve"> these concerns, insofar as a maximum monthly amount to pay legal fees is provided, that is, a monthly maximum of C$250,000, it </w:t>
      </w:r>
      <w:r w:rsidR="00C2080D" w:rsidRPr="006A6150">
        <w:rPr>
          <w:lang w:val="en-CA"/>
        </w:rPr>
        <w:t>being</w:t>
      </w:r>
      <w:r w:rsidRPr="006A6150">
        <w:rPr>
          <w:lang w:val="en-CA"/>
        </w:rPr>
        <w:t xml:space="preserve"> understood that the respondents should never have more than C$500,000 held in the</w:t>
      </w:r>
      <w:r w:rsidR="003B354A">
        <w:rPr>
          <w:lang w:val="en-CA"/>
        </w:rPr>
        <w:t>ir</w:t>
      </w:r>
      <w:r w:rsidRPr="006A6150">
        <w:rPr>
          <w:lang w:val="en-CA"/>
        </w:rPr>
        <w:t xml:space="preserve"> trust account </w:t>
      </w:r>
      <w:r w:rsidR="003B354A">
        <w:rPr>
          <w:lang w:val="en-CA"/>
        </w:rPr>
        <w:t>with</w:t>
      </w:r>
      <w:r w:rsidR="009F44FF">
        <w:rPr>
          <w:lang w:val="en-CA"/>
        </w:rPr>
        <w:t xml:space="preserve"> </w:t>
      </w:r>
      <w:r w:rsidRPr="006A6150">
        <w:rPr>
          <w:lang w:val="en-CA"/>
        </w:rPr>
        <w:t xml:space="preserve">Langlois </w:t>
      </w:r>
      <w:r w:rsidR="00EB26F4">
        <w:rPr>
          <w:lang w:val="en-CA"/>
        </w:rPr>
        <w:t>Lawyer</w:t>
      </w:r>
      <w:r w:rsidR="00EB26F4" w:rsidRPr="006A6150">
        <w:rPr>
          <w:lang w:val="en-CA"/>
        </w:rPr>
        <w:t>s</w:t>
      </w:r>
      <w:r w:rsidRPr="006A6150">
        <w:rPr>
          <w:lang w:val="en-CA"/>
        </w:rPr>
        <w:t>.</w:t>
      </w:r>
      <w:r w:rsidR="00544DF4" w:rsidRPr="006A6150">
        <w:rPr>
          <w:lang w:val="en-CA"/>
        </w:rPr>
        <w:t xml:space="preserve"> </w:t>
      </w:r>
    </w:p>
    <w:p w14:paraId="7FCFEACE" w14:textId="5EC05251" w:rsidR="0084425B" w:rsidRPr="006A6150" w:rsidRDefault="006A6150" w:rsidP="0084425B">
      <w:pPr>
        <w:pStyle w:val="Paragraphe"/>
        <w:rPr>
          <w:lang w:val="en-CA"/>
        </w:rPr>
      </w:pPr>
      <w:r w:rsidRPr="00221B3E">
        <w:rPr>
          <w:lang w:val="en-CA"/>
        </w:rPr>
        <w:t>The Tribunal is of the view that the means proposed by the respondents to this end are sufficient</w:t>
      </w:r>
      <w:r w:rsidR="007B754A">
        <w:rPr>
          <w:lang w:val="en-CA"/>
        </w:rPr>
        <w:t>,</w:t>
      </w:r>
      <w:r w:rsidRPr="00221B3E">
        <w:rPr>
          <w:lang w:val="en-CA"/>
        </w:rPr>
        <w:t xml:space="preserve"> </w:t>
      </w:r>
      <w:r w:rsidR="009F44FF">
        <w:rPr>
          <w:lang w:val="en-CA"/>
        </w:rPr>
        <w:t xml:space="preserve">such that </w:t>
      </w:r>
      <w:r w:rsidRPr="00221B3E">
        <w:rPr>
          <w:lang w:val="en-CA"/>
        </w:rPr>
        <w:t xml:space="preserve">there is no </w:t>
      </w:r>
      <w:r w:rsidR="009F44FF">
        <w:rPr>
          <w:lang w:val="en-CA"/>
        </w:rPr>
        <w:t xml:space="preserve">need </w:t>
      </w:r>
      <w:r w:rsidRPr="00221B3E">
        <w:rPr>
          <w:lang w:val="en-CA"/>
        </w:rPr>
        <w:t xml:space="preserve">to decide the issue of the professional secrecy of </w:t>
      </w:r>
      <w:r w:rsidR="005E3D2D">
        <w:rPr>
          <w:lang w:val="en-CA"/>
        </w:rPr>
        <w:t xml:space="preserve">the </w:t>
      </w:r>
      <w:r w:rsidR="00181437">
        <w:rPr>
          <w:lang w:val="en-CA"/>
        </w:rPr>
        <w:t>attorney</w:t>
      </w:r>
      <w:r w:rsidR="005E3D2D">
        <w:rPr>
          <w:lang w:val="en-CA"/>
        </w:rPr>
        <w:t>s</w:t>
      </w:r>
      <w:r w:rsidR="00181437">
        <w:rPr>
          <w:lang w:val="en-CA"/>
        </w:rPr>
        <w:t>’</w:t>
      </w:r>
      <w:r w:rsidR="009F44FF" w:rsidRPr="00221B3E">
        <w:rPr>
          <w:lang w:val="en-CA"/>
        </w:rPr>
        <w:t xml:space="preserve"> </w:t>
      </w:r>
      <w:r w:rsidRPr="00221B3E">
        <w:rPr>
          <w:lang w:val="en-CA"/>
        </w:rPr>
        <w:t xml:space="preserve">fees. </w:t>
      </w:r>
      <w:r w:rsidR="005E3D2D">
        <w:rPr>
          <w:lang w:val="en-CA"/>
        </w:rPr>
        <w:t>However, t</w:t>
      </w:r>
      <w:r w:rsidRPr="00221B3E">
        <w:rPr>
          <w:lang w:val="en-CA"/>
        </w:rPr>
        <w:t xml:space="preserve">he Tribunal will provide for a rendering of </w:t>
      </w:r>
      <w:r w:rsidRPr="00221B3E">
        <w:rPr>
          <w:lang w:val="en-CA"/>
        </w:rPr>
        <w:lastRenderedPageBreak/>
        <w:t xml:space="preserve">account to the </w:t>
      </w:r>
      <w:r w:rsidR="00EB26F4">
        <w:rPr>
          <w:lang w:val="en-CA"/>
        </w:rPr>
        <w:t>Authority</w:t>
      </w:r>
      <w:r w:rsidRPr="00221B3E">
        <w:rPr>
          <w:lang w:val="en-CA"/>
        </w:rPr>
        <w:t xml:space="preserve"> showing that the USDC in the Circle account, converted into fiat currency, </w:t>
      </w:r>
      <w:r w:rsidR="005E3D2D">
        <w:rPr>
          <w:lang w:val="en-CA"/>
        </w:rPr>
        <w:t>was</w:t>
      </w:r>
      <w:r w:rsidRPr="00221B3E">
        <w:rPr>
          <w:lang w:val="en-CA"/>
        </w:rPr>
        <w:t xml:space="preserve"> deposited into the BMO account</w:t>
      </w:r>
      <w:r w:rsidR="0033224F">
        <w:rPr>
          <w:lang w:val="en-CA"/>
        </w:rPr>
        <w:t>,</w:t>
      </w:r>
      <w:r w:rsidRPr="00221B3E">
        <w:rPr>
          <w:lang w:val="en-CA"/>
        </w:rPr>
        <w:t xml:space="preserve"> a</w:t>
      </w:r>
      <w:r w:rsidR="009F44FF">
        <w:rPr>
          <w:lang w:val="en-CA"/>
        </w:rPr>
        <w:t>long with</w:t>
      </w:r>
      <w:r w:rsidRPr="00221B3E">
        <w:rPr>
          <w:lang w:val="en-CA"/>
        </w:rPr>
        <w:t xml:space="preserve"> confirmation by Langlois </w:t>
      </w:r>
      <w:r w:rsidR="00EB26F4">
        <w:rPr>
          <w:lang w:val="en-CA"/>
        </w:rPr>
        <w:t>Lawyers</w:t>
      </w:r>
      <w:r w:rsidR="00EB26F4" w:rsidRPr="00221B3E">
        <w:rPr>
          <w:lang w:val="en-CA"/>
        </w:rPr>
        <w:t xml:space="preserve"> </w:t>
      </w:r>
      <w:r w:rsidRPr="00221B3E">
        <w:rPr>
          <w:lang w:val="en-CA"/>
        </w:rPr>
        <w:t>that they received the amounts.</w:t>
      </w:r>
    </w:p>
    <w:p w14:paraId="51C7DB9D" w14:textId="149ECC92" w:rsidR="0084425B" w:rsidRPr="006A6150" w:rsidRDefault="006A6150" w:rsidP="006D1725">
      <w:pPr>
        <w:pStyle w:val="Paragraphe"/>
        <w:rPr>
          <w:lang w:val="en-CA"/>
        </w:rPr>
      </w:pPr>
      <w:r w:rsidRPr="006A6150">
        <w:rPr>
          <w:lang w:val="en-CA"/>
        </w:rPr>
        <w:t>The idea of capping the legal fees at C$5,000,000 was raised at the hearing.</w:t>
      </w:r>
      <w:r w:rsidR="00544DF4" w:rsidRPr="006A6150">
        <w:rPr>
          <w:lang w:val="en-CA"/>
        </w:rPr>
        <w:t xml:space="preserve"> </w:t>
      </w:r>
      <w:r w:rsidR="00C34130">
        <w:rPr>
          <w:lang w:val="en-CA"/>
        </w:rPr>
        <w:t>Because</w:t>
      </w:r>
      <w:r w:rsidRPr="006A6150">
        <w:rPr>
          <w:lang w:val="en-CA"/>
        </w:rPr>
        <w:t xml:space="preserve"> the respondents have sufficient assets to cover their legal fees without having to use the frozen assets, it is not necessary to </w:t>
      </w:r>
      <w:r w:rsidR="009F44FF">
        <w:rPr>
          <w:lang w:val="en-CA"/>
        </w:rPr>
        <w:t xml:space="preserve">impose </w:t>
      </w:r>
      <w:r w:rsidRPr="006A6150">
        <w:rPr>
          <w:lang w:val="en-CA"/>
        </w:rPr>
        <w:t>such a cap</w:t>
      </w:r>
      <w:r w:rsidR="00C34130">
        <w:rPr>
          <w:lang w:val="en-CA"/>
        </w:rPr>
        <w:t xml:space="preserve"> in this case</w:t>
      </w:r>
      <w:r w:rsidRPr="006A6150">
        <w:rPr>
          <w:lang w:val="en-CA"/>
        </w:rPr>
        <w:t>.</w:t>
      </w:r>
    </w:p>
    <w:p w14:paraId="382A295F" w14:textId="2B1AB264" w:rsidR="00F36AE7" w:rsidRPr="006A6150" w:rsidRDefault="006A6150" w:rsidP="00EA3260">
      <w:pPr>
        <w:pStyle w:val="Paragraphe"/>
        <w:rPr>
          <w:lang w:val="en-CA"/>
        </w:rPr>
      </w:pPr>
      <w:r w:rsidRPr="006A6150">
        <w:rPr>
          <w:lang w:val="en-CA"/>
        </w:rPr>
        <w:t xml:space="preserve">In the circumstances </w:t>
      </w:r>
      <w:r w:rsidR="0033224F" w:rsidRPr="006A6150">
        <w:rPr>
          <w:lang w:val="en-CA"/>
        </w:rPr>
        <w:t>and</w:t>
      </w:r>
      <w:r w:rsidRPr="006A6150">
        <w:rPr>
          <w:lang w:val="en-CA"/>
        </w:rPr>
        <w:t xml:space="preserve"> given the parties</w:t>
      </w:r>
      <w:r w:rsidR="009F44FF">
        <w:rPr>
          <w:lang w:val="en-CA"/>
        </w:rPr>
        <w:t>’ submissions</w:t>
      </w:r>
      <w:r w:rsidRPr="006A6150">
        <w:rPr>
          <w:lang w:val="en-CA"/>
        </w:rPr>
        <w:t>, the Tribunal considers that it is justified to partially lift the freeze and cease trad</w:t>
      </w:r>
      <w:r w:rsidR="009D1B94">
        <w:rPr>
          <w:lang w:val="en-CA"/>
        </w:rPr>
        <w:t>e</w:t>
      </w:r>
      <w:r w:rsidRPr="006A6150">
        <w:rPr>
          <w:lang w:val="en-CA"/>
        </w:rPr>
        <w:t xml:space="preserve"> orders issued against Vincent Allard and Pyrole so </w:t>
      </w:r>
      <w:r w:rsidR="0033224F">
        <w:rPr>
          <w:lang w:val="en-CA"/>
        </w:rPr>
        <w:t>t</w:t>
      </w:r>
      <w:r w:rsidRPr="006A6150">
        <w:rPr>
          <w:lang w:val="en-CA"/>
        </w:rPr>
        <w:t xml:space="preserve">hat they </w:t>
      </w:r>
      <w:r w:rsidR="0033224F">
        <w:rPr>
          <w:lang w:val="en-CA"/>
        </w:rPr>
        <w:t>may</w:t>
      </w:r>
      <w:r w:rsidRPr="006A6150">
        <w:rPr>
          <w:lang w:val="en-CA"/>
        </w:rPr>
        <w:t xml:space="preserve"> convert USDC </w:t>
      </w:r>
      <w:r w:rsidR="00A63AEE">
        <w:rPr>
          <w:lang w:val="en-CA"/>
        </w:rPr>
        <w:t>in</w:t>
      </w:r>
      <w:r w:rsidRPr="006A6150">
        <w:rPr>
          <w:lang w:val="en-CA"/>
        </w:rPr>
        <w:t>to fiat currency for the</w:t>
      </w:r>
      <w:r w:rsidR="0033224F">
        <w:rPr>
          <w:lang w:val="en-CA"/>
        </w:rPr>
        <w:t xml:space="preserve"> </w:t>
      </w:r>
      <w:r w:rsidRPr="006A6150">
        <w:rPr>
          <w:lang w:val="en-CA"/>
        </w:rPr>
        <w:t>purpose of paying amounts owed to the Canada Revenu</w:t>
      </w:r>
      <w:r w:rsidR="0033224F">
        <w:rPr>
          <w:lang w:val="en-CA"/>
        </w:rPr>
        <w:t>e</w:t>
      </w:r>
      <w:r w:rsidRPr="006A6150">
        <w:rPr>
          <w:lang w:val="en-CA"/>
        </w:rPr>
        <w:t xml:space="preserve"> Agency and Revenu Québec and to pay their legal fees.</w:t>
      </w:r>
      <w:r w:rsidR="00EA3260" w:rsidRPr="006A6150">
        <w:rPr>
          <w:lang w:val="en-CA"/>
        </w:rPr>
        <w:t xml:space="preserve">  </w:t>
      </w:r>
    </w:p>
    <w:p w14:paraId="063A829A" w14:textId="5C9C5F50" w:rsidR="00D0347B" w:rsidRPr="006A6150" w:rsidRDefault="006A6150" w:rsidP="002157F5">
      <w:pPr>
        <w:pStyle w:val="Paragraphe"/>
        <w:rPr>
          <w:lang w:val="en-CA"/>
        </w:rPr>
      </w:pPr>
      <w:r w:rsidRPr="006A6150">
        <w:rPr>
          <w:lang w:val="en-CA"/>
        </w:rPr>
        <w:t xml:space="preserve">In closing, </w:t>
      </w:r>
      <w:r w:rsidR="009D1B94">
        <w:rPr>
          <w:lang w:val="en-CA"/>
        </w:rPr>
        <w:t xml:space="preserve">it should be noted that </w:t>
      </w:r>
      <w:r w:rsidRPr="006A6150">
        <w:rPr>
          <w:lang w:val="en-CA"/>
        </w:rPr>
        <w:t xml:space="preserve">the tax debts and legal fees cannot be paid until the USDC currently held in the Circle account are converted </w:t>
      </w:r>
      <w:r w:rsidR="000D727B">
        <w:rPr>
          <w:lang w:val="en-CA"/>
        </w:rPr>
        <w:t>in</w:t>
      </w:r>
      <w:r w:rsidRPr="006A6150">
        <w:rPr>
          <w:lang w:val="en-CA"/>
        </w:rPr>
        <w:t>to fiat currency so that these amounts can then be deposited in</w:t>
      </w:r>
      <w:r w:rsidR="00725E9E">
        <w:rPr>
          <w:lang w:val="en-CA"/>
        </w:rPr>
        <w:t>to</w:t>
      </w:r>
      <w:r w:rsidRPr="006A6150">
        <w:rPr>
          <w:lang w:val="en-CA"/>
        </w:rPr>
        <w:t xml:space="preserve"> the </w:t>
      </w:r>
      <w:r w:rsidR="00725E9E">
        <w:rPr>
          <w:lang w:val="en-CA"/>
        </w:rPr>
        <w:t xml:space="preserve">frozen </w:t>
      </w:r>
      <w:r w:rsidRPr="006A6150">
        <w:rPr>
          <w:lang w:val="en-CA"/>
        </w:rPr>
        <w:t xml:space="preserve">BMO Investorline Inc. account, the whole to </w:t>
      </w:r>
      <w:r w:rsidR="0033224F">
        <w:rPr>
          <w:lang w:val="en-CA"/>
        </w:rPr>
        <w:t>protect</w:t>
      </w:r>
      <w:r w:rsidRPr="006A6150">
        <w:rPr>
          <w:lang w:val="en-CA"/>
        </w:rPr>
        <w:t xml:space="preserve"> the amounts </w:t>
      </w:r>
      <w:r w:rsidR="002E0346">
        <w:rPr>
          <w:lang w:val="en-CA"/>
        </w:rPr>
        <w:t>tied</w:t>
      </w:r>
      <w:r w:rsidR="009D1B94">
        <w:rPr>
          <w:lang w:val="en-CA"/>
        </w:rPr>
        <w:t xml:space="preserve"> to</w:t>
      </w:r>
      <w:r w:rsidRPr="006A6150">
        <w:rPr>
          <w:lang w:val="en-CA"/>
        </w:rPr>
        <w:t xml:space="preserve"> the </w:t>
      </w:r>
      <w:r w:rsidR="009D1B94">
        <w:rPr>
          <w:lang w:val="en-CA"/>
        </w:rPr>
        <w:t>impugned</w:t>
      </w:r>
      <w:r w:rsidRPr="006A6150">
        <w:rPr>
          <w:lang w:val="en-CA"/>
        </w:rPr>
        <w:t xml:space="preserve"> activities.</w:t>
      </w:r>
      <w:r w:rsidR="0087489B" w:rsidRPr="006A6150">
        <w:rPr>
          <w:lang w:val="en-CA"/>
        </w:rPr>
        <w:t xml:space="preserve"> </w:t>
      </w:r>
    </w:p>
    <w:p w14:paraId="55D4F7AC" w14:textId="06D9A340" w:rsidR="005279F5" w:rsidRPr="006A6150" w:rsidRDefault="006A6150" w:rsidP="002157F5">
      <w:pPr>
        <w:pStyle w:val="Paragraphe"/>
        <w:rPr>
          <w:lang w:val="en-CA"/>
        </w:rPr>
      </w:pPr>
      <w:r w:rsidRPr="00221B3E">
        <w:rPr>
          <w:lang w:val="en-CA"/>
        </w:rPr>
        <w:t xml:space="preserve">Also, to facilitate the payment of invoices, </w:t>
      </w:r>
      <w:r w:rsidR="0033224F">
        <w:rPr>
          <w:lang w:val="en-CA"/>
        </w:rPr>
        <w:t xml:space="preserve">the </w:t>
      </w:r>
      <w:r w:rsidRPr="00221B3E">
        <w:rPr>
          <w:lang w:val="en-CA"/>
        </w:rPr>
        <w:t xml:space="preserve">respondents </w:t>
      </w:r>
      <w:r w:rsidR="00725E9E">
        <w:rPr>
          <w:lang w:val="en-CA"/>
        </w:rPr>
        <w:t xml:space="preserve">will be allowed </w:t>
      </w:r>
      <w:r w:rsidRPr="00221B3E">
        <w:rPr>
          <w:lang w:val="en-CA"/>
        </w:rPr>
        <w:t xml:space="preserve">to open a new bank account with BMO, which account </w:t>
      </w:r>
      <w:r w:rsidR="00AB0552">
        <w:rPr>
          <w:lang w:val="en-CA"/>
        </w:rPr>
        <w:t>may</w:t>
      </w:r>
      <w:r w:rsidRPr="00221B3E">
        <w:rPr>
          <w:lang w:val="en-CA"/>
        </w:rPr>
        <w:t xml:space="preserve"> be used only </w:t>
      </w:r>
      <w:r w:rsidR="00725E9E">
        <w:rPr>
          <w:lang w:val="en-CA"/>
        </w:rPr>
        <w:t xml:space="preserve">to </w:t>
      </w:r>
      <w:r w:rsidRPr="00221B3E">
        <w:rPr>
          <w:lang w:val="en-CA"/>
        </w:rPr>
        <w:t>pay the tax debts and legal fees.</w:t>
      </w:r>
    </w:p>
    <w:p w14:paraId="7DBB1921" w14:textId="6E69B7BD" w:rsidR="005474DE" w:rsidRPr="006A6150" w:rsidRDefault="006A6150" w:rsidP="002157F5">
      <w:pPr>
        <w:pStyle w:val="Paragraphe"/>
        <w:rPr>
          <w:lang w:val="en-CA"/>
        </w:rPr>
      </w:pPr>
      <w:r w:rsidRPr="00221B3E">
        <w:rPr>
          <w:lang w:val="en-CA"/>
        </w:rPr>
        <w:t xml:space="preserve">The public interest </w:t>
      </w:r>
      <w:r w:rsidR="00C24913">
        <w:rPr>
          <w:lang w:val="en-CA"/>
        </w:rPr>
        <w:t>weighs</w:t>
      </w:r>
      <w:r w:rsidRPr="00221B3E">
        <w:rPr>
          <w:lang w:val="en-CA"/>
        </w:rPr>
        <w:t xml:space="preserve"> in favour of partially lifting the orders to allow the respondents to pay tax debts and their legal fees, in a context </w:t>
      </w:r>
      <w:r w:rsidR="0033224F" w:rsidRPr="00221B3E">
        <w:rPr>
          <w:lang w:val="en-CA"/>
        </w:rPr>
        <w:t>where</w:t>
      </w:r>
      <w:r w:rsidRPr="00221B3E">
        <w:rPr>
          <w:lang w:val="en-CA"/>
        </w:rPr>
        <w:t xml:space="preserve"> the </w:t>
      </w:r>
      <w:r w:rsidR="0033224F" w:rsidRPr="00221B3E">
        <w:rPr>
          <w:lang w:val="en-CA"/>
        </w:rPr>
        <w:t>respondents</w:t>
      </w:r>
      <w:r w:rsidRPr="00221B3E">
        <w:rPr>
          <w:lang w:val="en-CA"/>
        </w:rPr>
        <w:t xml:space="preserve"> have ample means to pay their debts, while </w:t>
      </w:r>
      <w:r w:rsidR="00C24913">
        <w:rPr>
          <w:lang w:val="en-CA"/>
        </w:rPr>
        <w:t>preserving</w:t>
      </w:r>
      <w:r w:rsidRPr="00221B3E">
        <w:rPr>
          <w:lang w:val="en-CA"/>
        </w:rPr>
        <w:t xml:space="preserve"> the assets protected by </w:t>
      </w:r>
      <w:r w:rsidR="00C24913">
        <w:rPr>
          <w:lang w:val="en-CA"/>
        </w:rPr>
        <w:t xml:space="preserve">the </w:t>
      </w:r>
      <w:r w:rsidRPr="00221B3E">
        <w:rPr>
          <w:lang w:val="en-CA"/>
        </w:rPr>
        <w:t>freeze orders.</w:t>
      </w:r>
    </w:p>
    <w:p w14:paraId="43BA98E9" w14:textId="7166D643" w:rsidR="004E47AA" w:rsidRPr="00221B3E" w:rsidRDefault="006A6150" w:rsidP="002340F5">
      <w:pPr>
        <w:pStyle w:val="Paragraphe"/>
        <w:numPr>
          <w:ilvl w:val="0"/>
          <w:numId w:val="0"/>
        </w:numPr>
        <w:rPr>
          <w:lang w:val="en-CA"/>
        </w:rPr>
      </w:pPr>
      <w:r w:rsidRPr="0033224F">
        <w:rPr>
          <w:b/>
          <w:lang w:val="en-CA"/>
        </w:rPr>
        <w:t>FOR THESE REASONS</w:t>
      </w:r>
      <w:r w:rsidRPr="00221B3E">
        <w:rPr>
          <w:bCs/>
          <w:lang w:val="en-CA"/>
        </w:rPr>
        <w:t xml:space="preserve">, the Financial Markets Administrative Tribunal, pursuant to sections 93 and 94 of the </w:t>
      </w:r>
      <w:r w:rsidRPr="00221B3E">
        <w:rPr>
          <w:bCs/>
          <w:i/>
          <w:lang w:val="en-CA"/>
        </w:rPr>
        <w:t>Act respecting the regulation of the financial sector</w:t>
      </w:r>
      <w:r w:rsidRPr="00221B3E">
        <w:rPr>
          <w:bCs/>
          <w:lang w:val="en-CA"/>
        </w:rPr>
        <w:t xml:space="preserve"> and sections 249, 250, 255, and 265 of the </w:t>
      </w:r>
      <w:r w:rsidRPr="00221B3E">
        <w:rPr>
          <w:bCs/>
          <w:i/>
          <w:lang w:val="en-CA"/>
        </w:rPr>
        <w:t>Securities Act</w:t>
      </w:r>
      <w:r w:rsidRPr="00221B3E">
        <w:rPr>
          <w:bCs/>
          <w:lang w:val="en-CA"/>
        </w:rPr>
        <w:t>:</w:t>
      </w:r>
    </w:p>
    <w:p w14:paraId="01DECCC9" w14:textId="68BAB2E3" w:rsidR="00D70487" w:rsidRPr="006A6150" w:rsidRDefault="006A6150" w:rsidP="002340F5">
      <w:pPr>
        <w:pStyle w:val="Paragraphe"/>
        <w:numPr>
          <w:ilvl w:val="0"/>
          <w:numId w:val="0"/>
        </w:numPr>
        <w:spacing w:before="240" w:after="0"/>
        <w:rPr>
          <w:lang w:val="en-CA"/>
        </w:rPr>
      </w:pPr>
      <w:r w:rsidRPr="006A6150">
        <w:rPr>
          <w:b/>
          <w:bCs/>
          <w:lang w:val="en-CA"/>
        </w:rPr>
        <w:t xml:space="preserve">GRANTS </w:t>
      </w:r>
      <w:r w:rsidRPr="0033224F">
        <w:rPr>
          <w:lang w:val="en-CA"/>
        </w:rPr>
        <w:t xml:space="preserve">the applications </w:t>
      </w:r>
      <w:r w:rsidR="00725E9E">
        <w:rPr>
          <w:lang w:val="en-CA"/>
        </w:rPr>
        <w:t xml:space="preserve">of the </w:t>
      </w:r>
      <w:r w:rsidR="00725E9E" w:rsidRPr="0033224F">
        <w:rPr>
          <w:lang w:val="en-CA"/>
        </w:rPr>
        <w:t>respondents Vincent Allard and Pyrole Capital inc.</w:t>
      </w:r>
      <w:r w:rsidR="00725E9E">
        <w:rPr>
          <w:lang w:val="en-CA"/>
        </w:rPr>
        <w:t xml:space="preserve"> to</w:t>
      </w:r>
      <w:r w:rsidRPr="0033224F">
        <w:rPr>
          <w:lang w:val="en-CA"/>
        </w:rPr>
        <w:t xml:space="preserve"> partial</w:t>
      </w:r>
      <w:r w:rsidR="00725E9E">
        <w:rPr>
          <w:lang w:val="en-CA"/>
        </w:rPr>
        <w:t>ly</w:t>
      </w:r>
      <w:r w:rsidRPr="0033224F">
        <w:rPr>
          <w:lang w:val="en-CA"/>
        </w:rPr>
        <w:t xml:space="preserve"> lift the freeze and cease trad</w:t>
      </w:r>
      <w:r w:rsidR="001E1AE6">
        <w:rPr>
          <w:lang w:val="en-CA"/>
        </w:rPr>
        <w:t>e</w:t>
      </w:r>
      <w:r w:rsidRPr="0033224F">
        <w:rPr>
          <w:lang w:val="en-CA"/>
        </w:rPr>
        <w:t xml:space="preserve"> </w:t>
      </w:r>
      <w:proofErr w:type="gramStart"/>
      <w:r w:rsidRPr="0033224F">
        <w:rPr>
          <w:lang w:val="en-CA"/>
        </w:rPr>
        <w:t>orders;</w:t>
      </w:r>
      <w:proofErr w:type="gramEnd"/>
      <w:r w:rsidR="00296BCC" w:rsidRPr="006A6150">
        <w:rPr>
          <w:lang w:val="en-CA"/>
        </w:rPr>
        <w:t xml:space="preserve"> </w:t>
      </w:r>
    </w:p>
    <w:p w14:paraId="13E2CA83" w14:textId="7E9C3F65" w:rsidR="003A72FB" w:rsidRPr="00221B3E" w:rsidRDefault="006A6150" w:rsidP="00FC5A49">
      <w:pPr>
        <w:pStyle w:val="Paragraphe"/>
        <w:numPr>
          <w:ilvl w:val="0"/>
          <w:numId w:val="0"/>
        </w:numPr>
        <w:rPr>
          <w:bCs/>
          <w:u w:val="single"/>
          <w:lang w:val="en-CA"/>
        </w:rPr>
      </w:pPr>
      <w:r w:rsidRPr="00221B3E">
        <w:rPr>
          <w:bCs/>
          <w:u w:val="single"/>
          <w:lang w:val="en-CA"/>
        </w:rPr>
        <w:t>Protection of assets</w:t>
      </w:r>
    </w:p>
    <w:p w14:paraId="395A12CC" w14:textId="757D1306" w:rsidR="00FC5A49" w:rsidRPr="006A6150" w:rsidRDefault="006A6150" w:rsidP="00FC5A49">
      <w:pPr>
        <w:pStyle w:val="Paragraphe"/>
        <w:numPr>
          <w:ilvl w:val="0"/>
          <w:numId w:val="0"/>
        </w:numPr>
        <w:rPr>
          <w:lang w:val="en-CA"/>
        </w:rPr>
      </w:pPr>
      <w:r w:rsidRPr="006A6150">
        <w:rPr>
          <w:b/>
          <w:lang w:val="en-CA"/>
        </w:rPr>
        <w:t xml:space="preserve">PARTIALLY LIFTS </w:t>
      </w:r>
      <w:r w:rsidRPr="0033224F">
        <w:rPr>
          <w:bCs/>
          <w:lang w:val="en-CA"/>
        </w:rPr>
        <w:t>the freeze and cease trad</w:t>
      </w:r>
      <w:r w:rsidR="00A63AEE">
        <w:rPr>
          <w:bCs/>
          <w:lang w:val="en-CA"/>
        </w:rPr>
        <w:t>e</w:t>
      </w:r>
      <w:r w:rsidRPr="0033224F">
        <w:rPr>
          <w:bCs/>
          <w:lang w:val="en-CA"/>
        </w:rPr>
        <w:t xml:space="preserve"> orders it issued on April 29, 2024, against Vincent Allard and Pyrole Capital inc., for the sole purpose of allowing them to convert USDC </w:t>
      </w:r>
      <w:r w:rsidR="00A63AEE">
        <w:rPr>
          <w:bCs/>
          <w:lang w:val="en-CA"/>
        </w:rPr>
        <w:t>in</w:t>
      </w:r>
      <w:r w:rsidRPr="0033224F">
        <w:rPr>
          <w:bCs/>
          <w:lang w:val="en-CA"/>
        </w:rPr>
        <w:t xml:space="preserve">to fiat currency to protect the assets </w:t>
      </w:r>
      <w:r w:rsidR="002E0346">
        <w:rPr>
          <w:bCs/>
          <w:lang w:val="en-CA"/>
        </w:rPr>
        <w:t>tied</w:t>
      </w:r>
      <w:r w:rsidRPr="0033224F">
        <w:rPr>
          <w:bCs/>
          <w:lang w:val="en-CA"/>
        </w:rPr>
        <w:t xml:space="preserve"> to the </w:t>
      </w:r>
      <w:r w:rsidR="00A63AEE">
        <w:rPr>
          <w:bCs/>
          <w:lang w:val="en-CA"/>
        </w:rPr>
        <w:t xml:space="preserve">impugned </w:t>
      </w:r>
      <w:r w:rsidRPr="0033224F">
        <w:rPr>
          <w:bCs/>
          <w:lang w:val="en-CA"/>
        </w:rPr>
        <w:t xml:space="preserve">activities in this </w:t>
      </w:r>
      <w:r w:rsidR="00A63AEE">
        <w:rPr>
          <w:bCs/>
          <w:lang w:val="en-CA"/>
        </w:rPr>
        <w:t>case</w:t>
      </w:r>
      <w:r w:rsidRPr="0033224F">
        <w:rPr>
          <w:bCs/>
          <w:lang w:val="en-CA"/>
        </w:rPr>
        <w:t>:</w:t>
      </w:r>
      <w:r w:rsidR="00544DF4" w:rsidRPr="006A6150">
        <w:rPr>
          <w:lang w:val="en-CA"/>
        </w:rPr>
        <w:t xml:space="preserve">  </w:t>
      </w:r>
    </w:p>
    <w:p w14:paraId="7CCD00AE" w14:textId="418397A7" w:rsidR="00FC5A49" w:rsidRPr="006A6150" w:rsidRDefault="006A6150" w:rsidP="00FC5A49">
      <w:pPr>
        <w:pStyle w:val="Paragraphe"/>
        <w:numPr>
          <w:ilvl w:val="0"/>
          <w:numId w:val="0"/>
        </w:numPr>
        <w:ind w:left="734"/>
        <w:rPr>
          <w:lang w:val="en-CA"/>
        </w:rPr>
      </w:pPr>
      <w:r w:rsidRPr="006A6150">
        <w:rPr>
          <w:b/>
          <w:lang w:val="en-CA"/>
        </w:rPr>
        <w:t xml:space="preserve">ORDERS </w:t>
      </w:r>
      <w:r w:rsidRPr="0033224F">
        <w:rPr>
          <w:bCs/>
          <w:lang w:val="en-CA"/>
        </w:rPr>
        <w:t>Vincent Allard and P</w:t>
      </w:r>
      <w:r w:rsidR="0033224F">
        <w:rPr>
          <w:bCs/>
          <w:lang w:val="en-CA"/>
        </w:rPr>
        <w:t>y</w:t>
      </w:r>
      <w:r w:rsidRPr="0033224F">
        <w:rPr>
          <w:bCs/>
          <w:lang w:val="en-CA"/>
        </w:rPr>
        <w:t xml:space="preserve">role Capital inc. to convert </w:t>
      </w:r>
      <w:r w:rsidR="00650C6A">
        <w:rPr>
          <w:bCs/>
          <w:lang w:val="en-CA"/>
        </w:rPr>
        <w:t>in</w:t>
      </w:r>
      <w:r w:rsidRPr="0033224F">
        <w:rPr>
          <w:bCs/>
          <w:lang w:val="en-CA"/>
        </w:rPr>
        <w:t xml:space="preserve">to fiat currency all the USD </w:t>
      </w:r>
      <w:r w:rsidR="00290277">
        <w:rPr>
          <w:bCs/>
          <w:lang w:val="en-CA"/>
        </w:rPr>
        <w:t>C</w:t>
      </w:r>
      <w:r w:rsidR="00896FEA">
        <w:rPr>
          <w:bCs/>
          <w:lang w:val="en-CA"/>
        </w:rPr>
        <w:t xml:space="preserve">oins </w:t>
      </w:r>
      <w:r w:rsidRPr="0033224F">
        <w:rPr>
          <w:bCs/>
          <w:lang w:val="en-CA"/>
        </w:rPr>
        <w:t xml:space="preserve">currently held in account #155435687 </w:t>
      </w:r>
      <w:r w:rsidR="0033224F">
        <w:rPr>
          <w:bCs/>
          <w:lang w:val="en-CA"/>
        </w:rPr>
        <w:t>with</w:t>
      </w:r>
      <w:r w:rsidRPr="0033224F">
        <w:rPr>
          <w:bCs/>
          <w:lang w:val="en-CA"/>
        </w:rPr>
        <w:t xml:space="preserve"> Circle Internet Financial LLC and </w:t>
      </w:r>
      <w:r w:rsidR="00650C6A">
        <w:rPr>
          <w:bCs/>
          <w:lang w:val="en-CA"/>
        </w:rPr>
        <w:t xml:space="preserve">to </w:t>
      </w:r>
      <w:r w:rsidRPr="0033224F">
        <w:rPr>
          <w:bCs/>
          <w:lang w:val="en-CA"/>
        </w:rPr>
        <w:t xml:space="preserve">transfer the proceeds of this conversion to BMO Investorline </w:t>
      </w:r>
      <w:r w:rsidR="0033224F">
        <w:rPr>
          <w:bCs/>
          <w:lang w:val="en-CA"/>
        </w:rPr>
        <w:t>I</w:t>
      </w:r>
      <w:r w:rsidRPr="0033224F">
        <w:rPr>
          <w:bCs/>
          <w:lang w:val="en-CA"/>
        </w:rPr>
        <w:t>nc. account #239-</w:t>
      </w:r>
      <w:proofErr w:type="gramStart"/>
      <w:r w:rsidRPr="0033224F">
        <w:rPr>
          <w:bCs/>
          <w:lang w:val="en-CA"/>
        </w:rPr>
        <w:t>345878;</w:t>
      </w:r>
      <w:proofErr w:type="gramEnd"/>
    </w:p>
    <w:p w14:paraId="1723A6EA" w14:textId="705DBE20" w:rsidR="00FC5A49" w:rsidRPr="006A6150" w:rsidRDefault="006A6150" w:rsidP="00FC5A49">
      <w:pPr>
        <w:pStyle w:val="Paragraphe"/>
        <w:numPr>
          <w:ilvl w:val="0"/>
          <w:numId w:val="0"/>
        </w:numPr>
        <w:ind w:left="734"/>
        <w:rPr>
          <w:lang w:val="en-CA"/>
        </w:rPr>
      </w:pPr>
      <w:r w:rsidRPr="0033224F">
        <w:rPr>
          <w:b/>
          <w:lang w:val="en-CA"/>
        </w:rPr>
        <w:t>ORDERS</w:t>
      </w:r>
      <w:r w:rsidRPr="006A6150">
        <w:rPr>
          <w:bCs/>
          <w:lang w:val="en-CA"/>
        </w:rPr>
        <w:t xml:space="preserve"> Vincent Allard and Pyrole Capital inc. to send to the Autorité des marchés financiers the statement for account #155435687 </w:t>
      </w:r>
      <w:r w:rsidR="0033224F">
        <w:rPr>
          <w:bCs/>
          <w:lang w:val="en-CA"/>
        </w:rPr>
        <w:t>with</w:t>
      </w:r>
      <w:r w:rsidRPr="006A6150">
        <w:rPr>
          <w:bCs/>
          <w:lang w:val="en-CA"/>
        </w:rPr>
        <w:t xml:space="preserve"> Circle Internet </w:t>
      </w:r>
      <w:r w:rsidRPr="006A6150">
        <w:rPr>
          <w:bCs/>
          <w:lang w:val="en-CA"/>
        </w:rPr>
        <w:lastRenderedPageBreak/>
        <w:t>Financ</w:t>
      </w:r>
      <w:r w:rsidR="00B52951">
        <w:rPr>
          <w:bCs/>
          <w:lang w:val="en-CA"/>
        </w:rPr>
        <w:t>i</w:t>
      </w:r>
      <w:r w:rsidRPr="006A6150">
        <w:rPr>
          <w:bCs/>
          <w:lang w:val="en-CA"/>
        </w:rPr>
        <w:t xml:space="preserve">al LLC </w:t>
      </w:r>
      <w:r w:rsidR="00135AFC">
        <w:rPr>
          <w:bCs/>
          <w:lang w:val="en-CA"/>
        </w:rPr>
        <w:t xml:space="preserve">and </w:t>
      </w:r>
      <w:r w:rsidRPr="006A6150">
        <w:rPr>
          <w:bCs/>
          <w:lang w:val="en-CA"/>
        </w:rPr>
        <w:t xml:space="preserve">the statement for account #239-34578 </w:t>
      </w:r>
      <w:r w:rsidR="0033224F">
        <w:rPr>
          <w:bCs/>
          <w:lang w:val="en-CA"/>
        </w:rPr>
        <w:t>with</w:t>
      </w:r>
      <w:r w:rsidRPr="006A6150">
        <w:rPr>
          <w:bCs/>
          <w:lang w:val="en-CA"/>
        </w:rPr>
        <w:t xml:space="preserve"> BMO Investorline </w:t>
      </w:r>
      <w:r w:rsidR="0033224F">
        <w:rPr>
          <w:bCs/>
          <w:lang w:val="en-CA"/>
        </w:rPr>
        <w:t>I</w:t>
      </w:r>
      <w:r w:rsidRPr="006A6150">
        <w:rPr>
          <w:bCs/>
          <w:lang w:val="en-CA"/>
        </w:rPr>
        <w:t>nc., confirming these transactions.</w:t>
      </w:r>
      <w:r w:rsidR="00544DF4" w:rsidRPr="006A6150">
        <w:rPr>
          <w:lang w:val="en-CA"/>
        </w:rPr>
        <w:t xml:space="preserve">  </w:t>
      </w:r>
    </w:p>
    <w:p w14:paraId="06E297AF" w14:textId="76017001" w:rsidR="003A72FB" w:rsidRPr="006A6150" w:rsidRDefault="006A6150" w:rsidP="00296BCC">
      <w:pPr>
        <w:pStyle w:val="Paragraphe"/>
        <w:numPr>
          <w:ilvl w:val="0"/>
          <w:numId w:val="0"/>
        </w:numPr>
        <w:rPr>
          <w:bCs/>
          <w:lang w:val="en-CA"/>
        </w:rPr>
      </w:pPr>
      <w:r w:rsidRPr="006A6150">
        <w:rPr>
          <w:bCs/>
          <w:lang w:val="en-CA"/>
        </w:rPr>
        <w:t xml:space="preserve">The </w:t>
      </w:r>
      <w:r w:rsidR="00135AFC">
        <w:rPr>
          <w:bCs/>
          <w:lang w:val="en-CA"/>
        </w:rPr>
        <w:t>transaction</w:t>
      </w:r>
      <w:r w:rsidR="000D727B">
        <w:rPr>
          <w:bCs/>
          <w:lang w:val="en-CA"/>
        </w:rPr>
        <w:t>s</w:t>
      </w:r>
      <w:r w:rsidRPr="006A6150">
        <w:rPr>
          <w:bCs/>
          <w:lang w:val="en-CA"/>
        </w:rPr>
        <w:t xml:space="preserve"> described below cannot be carried out before the Autorité des marchés financiers has sent the respondents an acknowledgment of receipt for the above statements.</w:t>
      </w:r>
    </w:p>
    <w:p w14:paraId="12465669" w14:textId="59B592D3" w:rsidR="003A72FB" w:rsidRPr="006A6150" w:rsidRDefault="006A6150" w:rsidP="00296BCC">
      <w:pPr>
        <w:pStyle w:val="Paragraphe"/>
        <w:numPr>
          <w:ilvl w:val="0"/>
          <w:numId w:val="0"/>
        </w:numPr>
        <w:rPr>
          <w:bCs/>
          <w:u w:val="single"/>
          <w:lang w:val="en-CA"/>
        </w:rPr>
      </w:pPr>
      <w:r w:rsidRPr="006A6150">
        <w:rPr>
          <w:u w:val="single"/>
          <w:lang w:val="en-CA"/>
        </w:rPr>
        <w:t>Payment of tax debts and legal fees</w:t>
      </w:r>
    </w:p>
    <w:p w14:paraId="150A70E2" w14:textId="082FC2FF" w:rsidR="003A72FB" w:rsidRPr="008E0279" w:rsidRDefault="008E0279" w:rsidP="00296BCC">
      <w:pPr>
        <w:pStyle w:val="Paragraphe"/>
        <w:numPr>
          <w:ilvl w:val="0"/>
          <w:numId w:val="0"/>
        </w:numPr>
        <w:rPr>
          <w:lang w:val="en-CA"/>
        </w:rPr>
      </w:pPr>
      <w:r w:rsidRPr="008E0279">
        <w:rPr>
          <w:b/>
          <w:lang w:val="en-CA"/>
        </w:rPr>
        <w:t xml:space="preserve">PARTIALLY LIFTS </w:t>
      </w:r>
      <w:r w:rsidRPr="0033224F">
        <w:rPr>
          <w:bCs/>
          <w:lang w:val="en-CA"/>
        </w:rPr>
        <w:t>the freeze and cease trad</w:t>
      </w:r>
      <w:r w:rsidR="00135AFC">
        <w:rPr>
          <w:bCs/>
          <w:lang w:val="en-CA"/>
        </w:rPr>
        <w:t>e</w:t>
      </w:r>
      <w:r w:rsidRPr="0033224F">
        <w:rPr>
          <w:bCs/>
          <w:lang w:val="en-CA"/>
        </w:rPr>
        <w:t xml:space="preserve"> orders it </w:t>
      </w:r>
      <w:r w:rsidR="00AF4321">
        <w:rPr>
          <w:bCs/>
          <w:lang w:val="en-CA"/>
        </w:rPr>
        <w:t>issued</w:t>
      </w:r>
      <w:r w:rsidRPr="0033224F">
        <w:rPr>
          <w:bCs/>
          <w:lang w:val="en-CA"/>
        </w:rPr>
        <w:t xml:space="preserve"> on April 29, 2024, against Vincent Allard and Pyrole Capital </w:t>
      </w:r>
      <w:r w:rsidR="00135AFC">
        <w:rPr>
          <w:bCs/>
          <w:lang w:val="en-CA"/>
        </w:rPr>
        <w:t>i</w:t>
      </w:r>
      <w:r w:rsidRPr="0033224F">
        <w:rPr>
          <w:bCs/>
          <w:lang w:val="en-CA"/>
        </w:rPr>
        <w:t xml:space="preserve">nc. for the sole purpose of allowing them to open a new bank account with BMO, </w:t>
      </w:r>
      <w:r w:rsidR="00725E9E">
        <w:rPr>
          <w:bCs/>
          <w:lang w:val="en-CA"/>
        </w:rPr>
        <w:t>at</w:t>
      </w:r>
      <w:r w:rsidR="00725E9E" w:rsidRPr="0033224F">
        <w:rPr>
          <w:bCs/>
          <w:lang w:val="en-CA"/>
        </w:rPr>
        <w:t xml:space="preserve"> </w:t>
      </w:r>
      <w:r w:rsidRPr="0033224F">
        <w:rPr>
          <w:bCs/>
          <w:lang w:val="en-CA"/>
        </w:rPr>
        <w:t xml:space="preserve">the branch of their choice, to make </w:t>
      </w:r>
      <w:r w:rsidR="001E3C9F">
        <w:rPr>
          <w:bCs/>
          <w:lang w:val="en-CA"/>
        </w:rPr>
        <w:t xml:space="preserve">only </w:t>
      </w:r>
      <w:r w:rsidRPr="0033224F">
        <w:rPr>
          <w:bCs/>
          <w:lang w:val="en-CA"/>
        </w:rPr>
        <w:t>the deposits and payment</w:t>
      </w:r>
      <w:r w:rsidR="001E3C9F">
        <w:rPr>
          <w:bCs/>
          <w:lang w:val="en-CA"/>
        </w:rPr>
        <w:t>s</w:t>
      </w:r>
      <w:r w:rsidRPr="0033224F">
        <w:rPr>
          <w:bCs/>
          <w:lang w:val="en-CA"/>
        </w:rPr>
        <w:t xml:space="preserve"> of amounts required to pay </w:t>
      </w:r>
      <w:r w:rsidR="0033224F">
        <w:rPr>
          <w:bCs/>
          <w:lang w:val="en-CA"/>
        </w:rPr>
        <w:t>their</w:t>
      </w:r>
      <w:r w:rsidRPr="0033224F">
        <w:rPr>
          <w:bCs/>
          <w:lang w:val="en-CA"/>
        </w:rPr>
        <w:t xml:space="preserve"> tax debts and legal fees, it being understood that the</w:t>
      </w:r>
      <w:r w:rsidR="0033224F">
        <w:rPr>
          <w:bCs/>
          <w:lang w:val="en-CA"/>
        </w:rPr>
        <w:t xml:space="preserve"> </w:t>
      </w:r>
      <w:r w:rsidRPr="0033224F">
        <w:rPr>
          <w:bCs/>
          <w:lang w:val="en-CA"/>
        </w:rPr>
        <w:t>re</w:t>
      </w:r>
      <w:r w:rsidR="0033224F">
        <w:rPr>
          <w:bCs/>
          <w:lang w:val="en-CA"/>
        </w:rPr>
        <w:t>s</w:t>
      </w:r>
      <w:r w:rsidRPr="0033224F">
        <w:rPr>
          <w:bCs/>
          <w:lang w:val="en-CA"/>
        </w:rPr>
        <w:t xml:space="preserve">pondents </w:t>
      </w:r>
      <w:r w:rsidR="0033224F">
        <w:rPr>
          <w:bCs/>
          <w:lang w:val="en-CA"/>
        </w:rPr>
        <w:t>may not</w:t>
      </w:r>
      <w:r w:rsidRPr="0033224F">
        <w:rPr>
          <w:bCs/>
          <w:lang w:val="en-CA"/>
        </w:rPr>
        <w:t xml:space="preserve"> carry out any </w:t>
      </w:r>
      <w:r w:rsidR="001E3C9F">
        <w:rPr>
          <w:bCs/>
          <w:lang w:val="en-CA"/>
        </w:rPr>
        <w:t>transactions</w:t>
      </w:r>
      <w:r w:rsidRPr="0033224F">
        <w:rPr>
          <w:bCs/>
          <w:lang w:val="en-CA"/>
        </w:rPr>
        <w:t xml:space="preserve"> from this account other than those described herein </w:t>
      </w:r>
      <w:r w:rsidR="0033224F" w:rsidRPr="0033224F">
        <w:rPr>
          <w:bCs/>
          <w:lang w:val="en-CA"/>
        </w:rPr>
        <w:t>and</w:t>
      </w:r>
      <w:r w:rsidRPr="0033224F">
        <w:rPr>
          <w:bCs/>
          <w:lang w:val="en-CA"/>
        </w:rPr>
        <w:t xml:space="preserve"> that they must notify the Autorité des marchés financiers of the number </w:t>
      </w:r>
      <w:r w:rsidR="0020185D">
        <w:rPr>
          <w:bCs/>
          <w:lang w:val="en-CA"/>
        </w:rPr>
        <w:t>of</w:t>
      </w:r>
      <w:r w:rsidRPr="0033224F">
        <w:rPr>
          <w:bCs/>
          <w:lang w:val="en-CA"/>
        </w:rPr>
        <w:t xml:space="preserve"> this new bank account and the contact information for the BMO branch within five (5)</w:t>
      </w:r>
      <w:r w:rsidR="00E4773B">
        <w:rPr>
          <w:bCs/>
          <w:lang w:val="en-CA"/>
        </w:rPr>
        <w:t xml:space="preserve"> days</w:t>
      </w:r>
      <w:r w:rsidRPr="0033224F">
        <w:rPr>
          <w:bCs/>
          <w:lang w:val="en-CA"/>
        </w:rPr>
        <w:t xml:space="preserve"> of opening the said bank account;</w:t>
      </w:r>
      <w:r w:rsidRPr="008E0279">
        <w:rPr>
          <w:b/>
          <w:lang w:val="en-CA"/>
        </w:rPr>
        <w:t xml:space="preserve"> </w:t>
      </w:r>
    </w:p>
    <w:p w14:paraId="699AB02C" w14:textId="076AB4B8" w:rsidR="00296BCC" w:rsidRPr="008E0279" w:rsidRDefault="008E0279" w:rsidP="00296BCC">
      <w:pPr>
        <w:pStyle w:val="Paragraphe"/>
        <w:numPr>
          <w:ilvl w:val="0"/>
          <w:numId w:val="0"/>
        </w:numPr>
        <w:rPr>
          <w:lang w:val="en-CA"/>
        </w:rPr>
      </w:pPr>
      <w:r w:rsidRPr="008E0279">
        <w:rPr>
          <w:b/>
          <w:lang w:val="en-CA"/>
        </w:rPr>
        <w:t xml:space="preserve">PARTIALLY LIFTS </w:t>
      </w:r>
      <w:r w:rsidRPr="00E4773B">
        <w:rPr>
          <w:bCs/>
          <w:lang w:val="en-CA"/>
        </w:rPr>
        <w:t>the freeze and cease trad</w:t>
      </w:r>
      <w:r w:rsidR="00AF4321">
        <w:rPr>
          <w:bCs/>
          <w:lang w:val="en-CA"/>
        </w:rPr>
        <w:t>e</w:t>
      </w:r>
      <w:r w:rsidRPr="00E4773B">
        <w:rPr>
          <w:bCs/>
          <w:lang w:val="en-CA"/>
        </w:rPr>
        <w:t xml:space="preserve"> orders it issued on April 29, 2024, against Vincent Allard and Pyrole Capital inc. for the sole purpose of paying the amounts owed to the Canada Revenue Agency and </w:t>
      </w:r>
      <w:r w:rsidR="00AF4321">
        <w:rPr>
          <w:bCs/>
          <w:lang w:val="en-CA"/>
        </w:rPr>
        <w:t xml:space="preserve">to </w:t>
      </w:r>
      <w:r w:rsidRPr="00E4773B">
        <w:rPr>
          <w:bCs/>
          <w:lang w:val="en-CA"/>
        </w:rPr>
        <w:t xml:space="preserve">Revenu Québec, </w:t>
      </w:r>
      <w:r w:rsidR="00AF4321">
        <w:rPr>
          <w:bCs/>
          <w:lang w:val="en-CA"/>
        </w:rPr>
        <w:t>subject to</w:t>
      </w:r>
      <w:r w:rsidRPr="00E4773B">
        <w:rPr>
          <w:bCs/>
          <w:lang w:val="en-CA"/>
        </w:rPr>
        <w:t xml:space="preserve"> the following conditions:</w:t>
      </w:r>
      <w:r w:rsidR="00394839" w:rsidRPr="008E0279">
        <w:rPr>
          <w:lang w:val="en-CA"/>
        </w:rPr>
        <w:t xml:space="preserve">  </w:t>
      </w:r>
    </w:p>
    <w:p w14:paraId="6C5F7460" w14:textId="67C8E283" w:rsidR="00FC5A49" w:rsidRPr="008E0279" w:rsidRDefault="008E0279" w:rsidP="00FC5A49">
      <w:pPr>
        <w:pStyle w:val="Paragraphe"/>
        <w:numPr>
          <w:ilvl w:val="0"/>
          <w:numId w:val="0"/>
        </w:numPr>
        <w:ind w:left="734"/>
        <w:rPr>
          <w:lang w:val="en-CA"/>
        </w:rPr>
      </w:pPr>
      <w:r w:rsidRPr="008E0279">
        <w:rPr>
          <w:b/>
          <w:bCs/>
          <w:lang w:val="en-CA"/>
        </w:rPr>
        <w:t xml:space="preserve">ALLOWS </w:t>
      </w:r>
      <w:r w:rsidRPr="00E4773B">
        <w:rPr>
          <w:lang w:val="en-CA"/>
        </w:rPr>
        <w:t xml:space="preserve">Vincent Allard and Pyrole Capital inc. to add USD </w:t>
      </w:r>
      <w:r w:rsidR="00FD2265">
        <w:rPr>
          <w:lang w:val="en-CA"/>
        </w:rPr>
        <w:t>C</w:t>
      </w:r>
      <w:r w:rsidR="00432253">
        <w:rPr>
          <w:lang w:val="en-CA"/>
        </w:rPr>
        <w:t xml:space="preserve">oins </w:t>
      </w:r>
      <w:r w:rsidRPr="00E4773B">
        <w:rPr>
          <w:lang w:val="en-CA"/>
        </w:rPr>
        <w:t xml:space="preserve">they hold in other electronic portfolios to account #155435687 </w:t>
      </w:r>
      <w:r w:rsidR="00E4773B">
        <w:rPr>
          <w:lang w:val="en-CA"/>
        </w:rPr>
        <w:t>with</w:t>
      </w:r>
      <w:r w:rsidRPr="00E4773B">
        <w:rPr>
          <w:lang w:val="en-CA"/>
        </w:rPr>
        <w:t xml:space="preserve"> Circle Internet Financial LLC and to convert them </w:t>
      </w:r>
      <w:r w:rsidR="007F2B07">
        <w:rPr>
          <w:lang w:val="en-CA"/>
        </w:rPr>
        <w:t>in</w:t>
      </w:r>
      <w:r w:rsidRPr="00E4773B">
        <w:rPr>
          <w:lang w:val="en-CA"/>
        </w:rPr>
        <w:t xml:space="preserve">to fiat currency for an amount </w:t>
      </w:r>
      <w:r w:rsidR="00432253">
        <w:rPr>
          <w:lang w:val="en-CA"/>
        </w:rPr>
        <w:t xml:space="preserve">equal </w:t>
      </w:r>
      <w:r w:rsidRPr="00E4773B">
        <w:rPr>
          <w:lang w:val="en-CA"/>
        </w:rPr>
        <w:t>to the respondents’ tax debts.</w:t>
      </w:r>
      <w:r w:rsidR="00544DF4" w:rsidRPr="008E0279">
        <w:rPr>
          <w:lang w:val="en-CA"/>
        </w:rPr>
        <w:t xml:space="preserve"> </w:t>
      </w:r>
      <w:r w:rsidRPr="00221B3E">
        <w:rPr>
          <w:lang w:val="en-CA"/>
        </w:rPr>
        <w:t xml:space="preserve">The proceeds of this conversion will be transferred to the new bank account to be opened with the </w:t>
      </w:r>
      <w:proofErr w:type="gramStart"/>
      <w:r w:rsidRPr="00221B3E">
        <w:rPr>
          <w:lang w:val="en-CA"/>
        </w:rPr>
        <w:t>BMO</w:t>
      </w:r>
      <w:r w:rsidR="00432253">
        <w:rPr>
          <w:lang w:val="en-CA"/>
        </w:rPr>
        <w:t>;</w:t>
      </w:r>
      <w:proofErr w:type="gramEnd"/>
      <w:r w:rsidR="00544DF4" w:rsidRPr="008E0279">
        <w:rPr>
          <w:lang w:val="en-CA"/>
        </w:rPr>
        <w:t xml:space="preserve"> </w:t>
      </w:r>
    </w:p>
    <w:p w14:paraId="59CDCB87" w14:textId="23A3AA52" w:rsidR="00740103" w:rsidRPr="008E0279" w:rsidRDefault="008E0279" w:rsidP="00394839">
      <w:pPr>
        <w:pStyle w:val="Paragraphe"/>
        <w:numPr>
          <w:ilvl w:val="0"/>
          <w:numId w:val="0"/>
        </w:numPr>
        <w:ind w:left="734"/>
        <w:rPr>
          <w:lang w:val="en-CA"/>
        </w:rPr>
      </w:pPr>
      <w:r w:rsidRPr="008E0279">
        <w:rPr>
          <w:b/>
          <w:bCs/>
          <w:lang w:val="en-CA"/>
        </w:rPr>
        <w:t>ALLOW</w:t>
      </w:r>
      <w:r w:rsidR="00432253">
        <w:rPr>
          <w:b/>
          <w:bCs/>
          <w:lang w:val="en-CA"/>
        </w:rPr>
        <w:t>S</w:t>
      </w:r>
      <w:r w:rsidRPr="008E0279">
        <w:rPr>
          <w:b/>
          <w:bCs/>
          <w:lang w:val="en-CA"/>
        </w:rPr>
        <w:t xml:space="preserve"> </w:t>
      </w:r>
      <w:r w:rsidRPr="00E4773B">
        <w:rPr>
          <w:lang w:val="en-CA"/>
        </w:rPr>
        <w:t xml:space="preserve">Vincent Allard </w:t>
      </w:r>
      <w:r w:rsidR="00E4773B" w:rsidRPr="00E4773B">
        <w:rPr>
          <w:lang w:val="en-CA"/>
        </w:rPr>
        <w:t>and</w:t>
      </w:r>
      <w:r w:rsidRPr="00E4773B">
        <w:rPr>
          <w:lang w:val="en-CA"/>
        </w:rPr>
        <w:t xml:space="preserve"> Pyrole Capital inc. to pay the Canada Revenue Agency and Revenu Québec the </w:t>
      </w:r>
      <w:r w:rsidR="00E4773B">
        <w:rPr>
          <w:lang w:val="en-CA"/>
        </w:rPr>
        <w:t>entire</w:t>
      </w:r>
      <w:r w:rsidRPr="00E4773B">
        <w:rPr>
          <w:lang w:val="en-CA"/>
        </w:rPr>
        <w:t xml:space="preserve"> amount currently owed by Pyrole Capital inc. from the new bank account to be opened with the </w:t>
      </w:r>
      <w:proofErr w:type="gramStart"/>
      <w:r w:rsidRPr="00E4773B">
        <w:rPr>
          <w:lang w:val="en-CA"/>
        </w:rPr>
        <w:t>BMO;</w:t>
      </w:r>
      <w:proofErr w:type="gramEnd"/>
      <w:r w:rsidR="00320FCD" w:rsidRPr="008E0279">
        <w:rPr>
          <w:lang w:val="en-CA"/>
        </w:rPr>
        <w:t xml:space="preserve"> </w:t>
      </w:r>
    </w:p>
    <w:p w14:paraId="1DE9FDA5" w14:textId="5341D141" w:rsidR="00DC344E" w:rsidRPr="008E0279" w:rsidRDefault="008E0279" w:rsidP="00DC344E">
      <w:pPr>
        <w:pStyle w:val="Paragraphe"/>
        <w:numPr>
          <w:ilvl w:val="0"/>
          <w:numId w:val="0"/>
        </w:numPr>
        <w:ind w:left="734"/>
        <w:rPr>
          <w:lang w:val="en-CA"/>
        </w:rPr>
      </w:pPr>
      <w:r w:rsidRPr="008E0279">
        <w:rPr>
          <w:b/>
          <w:bCs/>
          <w:lang w:val="en-CA"/>
        </w:rPr>
        <w:t xml:space="preserve">ORDERS </w:t>
      </w:r>
      <w:r w:rsidRPr="00E4773B">
        <w:rPr>
          <w:lang w:val="en-CA"/>
        </w:rPr>
        <w:t xml:space="preserve">Vincent Allard and Pyrole Capital inc. to send to the Autorité des marchés financiers any documentation that proves payment was made to the tax authorities with proof of the calculation of interest owed to the tax </w:t>
      </w:r>
      <w:r w:rsidR="00E4773B" w:rsidRPr="00E4773B">
        <w:rPr>
          <w:lang w:val="en-CA"/>
        </w:rPr>
        <w:t>authorities</w:t>
      </w:r>
      <w:r w:rsidRPr="00E4773B">
        <w:rPr>
          <w:lang w:val="en-CA"/>
        </w:rPr>
        <w:t xml:space="preserve"> as at the date of payment, </w:t>
      </w:r>
      <w:r w:rsidR="00A832CE">
        <w:rPr>
          <w:lang w:val="en-CA"/>
        </w:rPr>
        <w:t>as well as</w:t>
      </w:r>
      <w:r w:rsidRPr="00E4773B">
        <w:rPr>
          <w:lang w:val="en-CA"/>
        </w:rPr>
        <w:t xml:space="preserve"> the statement for the new bank account to be opened with the BMO and the statement for account #155435687 with Circle Internet Financial LLC from which the additional USD </w:t>
      </w:r>
      <w:r w:rsidR="00FD2265">
        <w:rPr>
          <w:lang w:val="en-CA"/>
        </w:rPr>
        <w:t>C</w:t>
      </w:r>
      <w:r w:rsidR="00432253">
        <w:rPr>
          <w:lang w:val="en-CA"/>
        </w:rPr>
        <w:t xml:space="preserve">oins </w:t>
      </w:r>
      <w:r w:rsidRPr="00E4773B">
        <w:rPr>
          <w:lang w:val="en-CA"/>
        </w:rPr>
        <w:t>were converted</w:t>
      </w:r>
      <w:r w:rsidR="00432253">
        <w:rPr>
          <w:lang w:val="en-CA"/>
        </w:rPr>
        <w:t xml:space="preserve"> and transferred</w:t>
      </w:r>
      <w:r w:rsidRPr="00E4773B">
        <w:rPr>
          <w:lang w:val="en-CA"/>
        </w:rPr>
        <w:t>, confirming these transactions.</w:t>
      </w:r>
      <w:r w:rsidR="00544DF4" w:rsidRPr="008E0279">
        <w:rPr>
          <w:lang w:val="en-CA"/>
        </w:rPr>
        <w:t xml:space="preserve"> </w:t>
      </w:r>
      <w:r w:rsidRPr="008E0279">
        <w:rPr>
          <w:lang w:val="en-CA"/>
        </w:rPr>
        <w:t xml:space="preserve">It is understood that the addresses </w:t>
      </w:r>
      <w:r w:rsidR="00F471DE">
        <w:rPr>
          <w:lang w:val="en-CA"/>
        </w:rPr>
        <w:t>of</w:t>
      </w:r>
      <w:r w:rsidRPr="008E0279">
        <w:rPr>
          <w:lang w:val="en-CA"/>
        </w:rPr>
        <w:t xml:space="preserve"> the electronic portfolios from which the USD </w:t>
      </w:r>
      <w:r w:rsidR="00FD2265">
        <w:rPr>
          <w:lang w:val="en-CA"/>
        </w:rPr>
        <w:t>C</w:t>
      </w:r>
      <w:r w:rsidR="00432253">
        <w:rPr>
          <w:lang w:val="en-CA"/>
        </w:rPr>
        <w:t xml:space="preserve">oins </w:t>
      </w:r>
      <w:r w:rsidRPr="008E0279">
        <w:rPr>
          <w:lang w:val="en-CA"/>
        </w:rPr>
        <w:t xml:space="preserve">are </w:t>
      </w:r>
      <w:r w:rsidR="00E4773B">
        <w:rPr>
          <w:lang w:val="en-CA"/>
        </w:rPr>
        <w:t>drawn</w:t>
      </w:r>
      <w:r w:rsidRPr="008E0279">
        <w:rPr>
          <w:lang w:val="en-CA"/>
        </w:rPr>
        <w:t xml:space="preserve"> will be redacted</w:t>
      </w:r>
      <w:r w:rsidR="00432253">
        <w:rPr>
          <w:lang w:val="en-CA"/>
        </w:rPr>
        <w:t xml:space="preserve"> in this statement</w:t>
      </w:r>
      <w:r w:rsidRPr="008E0279">
        <w:rPr>
          <w:lang w:val="en-CA"/>
        </w:rPr>
        <w:t>.</w:t>
      </w:r>
      <w:r w:rsidR="00544DF4" w:rsidRPr="008E0279">
        <w:rPr>
          <w:lang w:val="en-CA"/>
        </w:rPr>
        <w:t xml:space="preserve"> </w:t>
      </w:r>
    </w:p>
    <w:p w14:paraId="358807B7" w14:textId="1F059F34" w:rsidR="00DC344E" w:rsidRPr="00E4773B" w:rsidRDefault="002D78ED" w:rsidP="00DC344E">
      <w:pPr>
        <w:pStyle w:val="Paragraphe"/>
        <w:numPr>
          <w:ilvl w:val="0"/>
          <w:numId w:val="0"/>
        </w:numPr>
        <w:rPr>
          <w:lang w:val="en-CA"/>
        </w:rPr>
      </w:pPr>
      <w:r w:rsidRPr="002D78ED">
        <w:rPr>
          <w:b/>
          <w:bCs/>
          <w:lang w:val="en-CA"/>
        </w:rPr>
        <w:t xml:space="preserve">PARTIALLY LIFTS </w:t>
      </w:r>
      <w:r w:rsidRPr="00E4773B">
        <w:rPr>
          <w:lang w:val="en-CA"/>
        </w:rPr>
        <w:t>the freeze and cease trad</w:t>
      </w:r>
      <w:r w:rsidR="0052305F">
        <w:rPr>
          <w:lang w:val="en-CA"/>
        </w:rPr>
        <w:t>e</w:t>
      </w:r>
      <w:r w:rsidRPr="00E4773B">
        <w:rPr>
          <w:lang w:val="en-CA"/>
        </w:rPr>
        <w:t xml:space="preserve"> orders issued on April 29, 2024, for the sole purpose of allowing the respondents V</w:t>
      </w:r>
      <w:r w:rsidR="00E4773B">
        <w:rPr>
          <w:lang w:val="en-CA"/>
        </w:rPr>
        <w:t>i</w:t>
      </w:r>
      <w:r w:rsidRPr="00E4773B">
        <w:rPr>
          <w:lang w:val="en-CA"/>
        </w:rPr>
        <w:t xml:space="preserve">ncent Allard and Pyrole Capital inc. to deposit a monthly amount up to $250,000 into the trust account of Langlois </w:t>
      </w:r>
      <w:r w:rsidR="00EB26F4">
        <w:rPr>
          <w:lang w:val="en-CA"/>
        </w:rPr>
        <w:t>Lawyer</w:t>
      </w:r>
      <w:r w:rsidR="00EB26F4" w:rsidRPr="00E4773B">
        <w:rPr>
          <w:lang w:val="en-CA"/>
        </w:rPr>
        <w:t>s</w:t>
      </w:r>
      <w:r w:rsidRPr="00E4773B">
        <w:rPr>
          <w:lang w:val="en-CA"/>
        </w:rPr>
        <w:t xml:space="preserve">, the firm </w:t>
      </w:r>
      <w:r w:rsidRPr="00E4773B">
        <w:rPr>
          <w:lang w:val="en-CA"/>
        </w:rPr>
        <w:lastRenderedPageBreak/>
        <w:t>representing them, which trust account may never hold more than $500,000 for the respondents:</w:t>
      </w:r>
      <w:r w:rsidR="00544DF4" w:rsidRPr="00E4773B">
        <w:rPr>
          <w:lang w:val="en-CA"/>
        </w:rPr>
        <w:t xml:space="preserve"> </w:t>
      </w:r>
    </w:p>
    <w:p w14:paraId="5152F7F1" w14:textId="0ABFEE49" w:rsidR="00622522" w:rsidRPr="008E0279" w:rsidRDefault="002D78ED" w:rsidP="00622522">
      <w:pPr>
        <w:pStyle w:val="Paragraphe"/>
        <w:numPr>
          <w:ilvl w:val="0"/>
          <w:numId w:val="0"/>
        </w:numPr>
        <w:ind w:left="734"/>
        <w:rPr>
          <w:lang w:val="en-CA"/>
        </w:rPr>
      </w:pPr>
      <w:r w:rsidRPr="002D78ED">
        <w:rPr>
          <w:b/>
          <w:bCs/>
          <w:lang w:val="en-CA"/>
        </w:rPr>
        <w:t xml:space="preserve">ALLOWS </w:t>
      </w:r>
      <w:r w:rsidRPr="00E4773B">
        <w:rPr>
          <w:lang w:val="en-CA"/>
        </w:rPr>
        <w:t xml:space="preserve">Vincent Allard and Pyrole Capital inc. to add USD </w:t>
      </w:r>
      <w:r w:rsidR="00FD2265">
        <w:rPr>
          <w:lang w:val="en-CA"/>
        </w:rPr>
        <w:t>C</w:t>
      </w:r>
      <w:r w:rsidR="00432253">
        <w:rPr>
          <w:lang w:val="en-CA"/>
        </w:rPr>
        <w:t xml:space="preserve">oins </w:t>
      </w:r>
      <w:r w:rsidRPr="00E4773B">
        <w:rPr>
          <w:lang w:val="en-CA"/>
        </w:rPr>
        <w:t xml:space="preserve">they hold in other electronic portfolios to account #155435687 with Circle Internet Financial LLC and to convert them </w:t>
      </w:r>
      <w:r w:rsidR="0052305F">
        <w:rPr>
          <w:lang w:val="en-CA"/>
        </w:rPr>
        <w:t>in</w:t>
      </w:r>
      <w:r w:rsidRPr="00E4773B">
        <w:rPr>
          <w:lang w:val="en-CA"/>
        </w:rPr>
        <w:t>to fiat currency for an amount equ</w:t>
      </w:r>
      <w:r w:rsidR="00432253">
        <w:rPr>
          <w:lang w:val="en-CA"/>
        </w:rPr>
        <w:t>al</w:t>
      </w:r>
      <w:r w:rsidRPr="00E4773B">
        <w:rPr>
          <w:lang w:val="en-CA"/>
        </w:rPr>
        <w:t xml:space="preserve"> to the monthly transfer to the trust account held by Langlois </w:t>
      </w:r>
      <w:r w:rsidR="00EB26F4">
        <w:rPr>
          <w:lang w:val="en-CA"/>
        </w:rPr>
        <w:t>Lawyer</w:t>
      </w:r>
      <w:r w:rsidR="00EB26F4" w:rsidRPr="00E4773B">
        <w:rPr>
          <w:lang w:val="en-CA"/>
        </w:rPr>
        <w:t>s</w:t>
      </w:r>
      <w:r w:rsidRPr="00E4773B">
        <w:rPr>
          <w:lang w:val="en-CA"/>
        </w:rPr>
        <w:t>.</w:t>
      </w:r>
      <w:r w:rsidR="00544DF4" w:rsidRPr="002D78ED">
        <w:rPr>
          <w:lang w:val="en-CA"/>
        </w:rPr>
        <w:t xml:space="preserve"> </w:t>
      </w:r>
      <w:r w:rsidR="008E0279" w:rsidRPr="00221B3E">
        <w:rPr>
          <w:lang w:val="en-CA"/>
        </w:rPr>
        <w:t xml:space="preserve">The proceeds of this conversion will be transferred to the new bank account to be opened with the </w:t>
      </w:r>
      <w:proofErr w:type="gramStart"/>
      <w:r w:rsidR="008E0279" w:rsidRPr="00221B3E">
        <w:rPr>
          <w:lang w:val="en-CA"/>
        </w:rPr>
        <w:t>BMO</w:t>
      </w:r>
      <w:r w:rsidR="00432253">
        <w:rPr>
          <w:lang w:val="en-CA"/>
        </w:rPr>
        <w:t>;</w:t>
      </w:r>
      <w:proofErr w:type="gramEnd"/>
      <w:r w:rsidR="00544DF4" w:rsidRPr="008E0279">
        <w:rPr>
          <w:lang w:val="en-CA"/>
        </w:rPr>
        <w:t xml:space="preserve"> </w:t>
      </w:r>
    </w:p>
    <w:p w14:paraId="2FA8D821" w14:textId="35B959A5" w:rsidR="00FC5A49" w:rsidRPr="002D78ED" w:rsidRDefault="002D78ED" w:rsidP="00FC5A49">
      <w:pPr>
        <w:pStyle w:val="Paragraphe"/>
        <w:numPr>
          <w:ilvl w:val="0"/>
          <w:numId w:val="0"/>
        </w:numPr>
        <w:ind w:left="734"/>
        <w:rPr>
          <w:lang w:val="en-CA"/>
        </w:rPr>
      </w:pPr>
      <w:r w:rsidRPr="002D78ED">
        <w:rPr>
          <w:b/>
          <w:lang w:val="en-CA"/>
        </w:rPr>
        <w:t xml:space="preserve">ALLOWS </w:t>
      </w:r>
      <w:r w:rsidRPr="00E4773B">
        <w:rPr>
          <w:bCs/>
          <w:lang w:val="en-CA"/>
        </w:rPr>
        <w:t xml:space="preserve">Vincent Allard and Pyrole Capital </w:t>
      </w:r>
      <w:r w:rsidR="00E4773B">
        <w:rPr>
          <w:bCs/>
          <w:lang w:val="en-CA"/>
        </w:rPr>
        <w:t>i</w:t>
      </w:r>
      <w:r w:rsidRPr="00E4773B">
        <w:rPr>
          <w:bCs/>
          <w:lang w:val="en-CA"/>
        </w:rPr>
        <w:t xml:space="preserve">nc. to </w:t>
      </w:r>
      <w:r w:rsidR="0052305F">
        <w:rPr>
          <w:bCs/>
          <w:lang w:val="en-CA"/>
        </w:rPr>
        <w:t>remit to</w:t>
      </w:r>
      <w:r w:rsidRPr="00E4773B">
        <w:rPr>
          <w:bCs/>
          <w:lang w:val="en-CA"/>
        </w:rPr>
        <w:t xml:space="preserve"> their attorneys</w:t>
      </w:r>
      <w:r w:rsidR="00E4773B">
        <w:rPr>
          <w:bCs/>
          <w:lang w:val="en-CA"/>
        </w:rPr>
        <w:t>,</w:t>
      </w:r>
      <w:r w:rsidRPr="00E4773B">
        <w:rPr>
          <w:bCs/>
          <w:lang w:val="en-CA"/>
        </w:rPr>
        <w:t xml:space="preserve"> in their trust account, by cheque or transfer from the new bank account to be opened with the BMO, the proceeds of the conversion </w:t>
      </w:r>
      <w:r w:rsidR="0052305F">
        <w:rPr>
          <w:bCs/>
          <w:lang w:val="en-CA"/>
        </w:rPr>
        <w:t>in</w:t>
      </w:r>
      <w:r w:rsidRPr="00E4773B">
        <w:rPr>
          <w:bCs/>
          <w:lang w:val="en-CA"/>
        </w:rPr>
        <w:t xml:space="preserve">to fiat currency </w:t>
      </w:r>
      <w:r w:rsidR="00027F70">
        <w:rPr>
          <w:bCs/>
          <w:lang w:val="en-CA"/>
        </w:rPr>
        <w:t xml:space="preserve">referred to </w:t>
      </w:r>
      <w:r w:rsidRPr="00E4773B">
        <w:rPr>
          <w:bCs/>
          <w:lang w:val="en-CA"/>
        </w:rPr>
        <w:t xml:space="preserve">above, to pay for the legal fees </w:t>
      </w:r>
      <w:proofErr w:type="gramStart"/>
      <w:r w:rsidRPr="00E4773B">
        <w:rPr>
          <w:bCs/>
          <w:lang w:val="en-CA"/>
        </w:rPr>
        <w:t>owed;</w:t>
      </w:r>
      <w:proofErr w:type="gramEnd"/>
      <w:r w:rsidR="00544DF4" w:rsidRPr="002D78ED">
        <w:rPr>
          <w:lang w:val="en-CA"/>
        </w:rPr>
        <w:t xml:space="preserve"> </w:t>
      </w:r>
    </w:p>
    <w:p w14:paraId="1FA89A43" w14:textId="12EC7423" w:rsidR="003755E5" w:rsidRPr="00B97D61" w:rsidRDefault="00B97D61" w:rsidP="00456E55">
      <w:pPr>
        <w:pStyle w:val="Paragraphe"/>
        <w:numPr>
          <w:ilvl w:val="0"/>
          <w:numId w:val="0"/>
        </w:numPr>
        <w:ind w:left="734"/>
        <w:rPr>
          <w:lang w:val="en-CA"/>
        </w:rPr>
      </w:pPr>
      <w:r w:rsidRPr="00B97D61">
        <w:rPr>
          <w:b/>
          <w:bCs/>
          <w:lang w:val="en-CA"/>
        </w:rPr>
        <w:t xml:space="preserve">ORDERS </w:t>
      </w:r>
      <w:r w:rsidRPr="00E4773B">
        <w:rPr>
          <w:lang w:val="en-CA"/>
        </w:rPr>
        <w:t>Vincent Allard and Pyrole Capital inc. to send to the Aut</w:t>
      </w:r>
      <w:r w:rsidR="00B52951">
        <w:rPr>
          <w:lang w:val="en-CA"/>
        </w:rPr>
        <w:t>h</w:t>
      </w:r>
      <w:r w:rsidRPr="00E4773B">
        <w:rPr>
          <w:lang w:val="en-CA"/>
        </w:rPr>
        <w:t>orit</w:t>
      </w:r>
      <w:r w:rsidR="0052305F">
        <w:rPr>
          <w:lang w:val="en-CA"/>
        </w:rPr>
        <w:t>y</w:t>
      </w:r>
      <w:r w:rsidRPr="00E4773B">
        <w:rPr>
          <w:lang w:val="en-CA"/>
        </w:rPr>
        <w:t xml:space="preserve">, within 14 days of each payment to the Langlois </w:t>
      </w:r>
      <w:r w:rsidR="00EB26F4">
        <w:rPr>
          <w:lang w:val="en-CA"/>
        </w:rPr>
        <w:t>Lawyer</w:t>
      </w:r>
      <w:r w:rsidR="00EB26F4" w:rsidRPr="00E4773B">
        <w:rPr>
          <w:lang w:val="en-CA"/>
        </w:rPr>
        <w:t xml:space="preserve">s </w:t>
      </w:r>
      <w:r w:rsidRPr="00E4773B">
        <w:rPr>
          <w:lang w:val="en-CA"/>
        </w:rPr>
        <w:t xml:space="preserve">account, the statement for the new bank account to be opened with the BMO, the statement for account #155435687 with Circle Internet Financial LLC from which the additional USD </w:t>
      </w:r>
      <w:r w:rsidR="00FD2265">
        <w:rPr>
          <w:lang w:val="en-CA"/>
        </w:rPr>
        <w:t>C</w:t>
      </w:r>
      <w:r w:rsidR="00432253">
        <w:rPr>
          <w:lang w:val="en-CA"/>
        </w:rPr>
        <w:t xml:space="preserve">oins </w:t>
      </w:r>
      <w:r w:rsidRPr="00E4773B">
        <w:rPr>
          <w:lang w:val="en-CA"/>
        </w:rPr>
        <w:t xml:space="preserve">were transferred and converted, and a bank receipt proving the transfer to the trust account of Langlois </w:t>
      </w:r>
      <w:r w:rsidR="00EB26F4">
        <w:rPr>
          <w:lang w:val="en-CA"/>
        </w:rPr>
        <w:t>Lawyer</w:t>
      </w:r>
      <w:r w:rsidR="00EB26F4" w:rsidRPr="00E4773B">
        <w:rPr>
          <w:lang w:val="en-CA"/>
        </w:rPr>
        <w:t>s</w:t>
      </w:r>
      <w:r w:rsidRPr="00E4773B">
        <w:rPr>
          <w:lang w:val="en-CA"/>
        </w:rPr>
        <w:t>, confirming these transactions.</w:t>
      </w:r>
      <w:r w:rsidR="00DA0C71" w:rsidRPr="00B97D61">
        <w:rPr>
          <w:lang w:val="en-CA"/>
        </w:rPr>
        <w:t xml:space="preserve"> </w:t>
      </w:r>
      <w:r w:rsidRPr="00B97D61">
        <w:rPr>
          <w:lang w:val="en-CA"/>
        </w:rPr>
        <w:t xml:space="preserve">It </w:t>
      </w:r>
      <w:r w:rsidR="00027F70">
        <w:rPr>
          <w:lang w:val="en-CA"/>
        </w:rPr>
        <w:t>i</w:t>
      </w:r>
      <w:r w:rsidRPr="00B97D61">
        <w:rPr>
          <w:lang w:val="en-CA"/>
        </w:rPr>
        <w:t xml:space="preserve">s understood that the addresses </w:t>
      </w:r>
      <w:r w:rsidR="00F471DE">
        <w:rPr>
          <w:lang w:val="en-CA"/>
        </w:rPr>
        <w:t>of</w:t>
      </w:r>
      <w:r w:rsidRPr="00B97D61">
        <w:rPr>
          <w:lang w:val="en-CA"/>
        </w:rPr>
        <w:t xml:space="preserve"> the electronic portfolios from which the USD </w:t>
      </w:r>
      <w:r w:rsidR="00FD2265">
        <w:rPr>
          <w:lang w:val="en-CA"/>
        </w:rPr>
        <w:t>C</w:t>
      </w:r>
      <w:r w:rsidR="00432253">
        <w:rPr>
          <w:lang w:val="en-CA"/>
        </w:rPr>
        <w:t xml:space="preserve">oins </w:t>
      </w:r>
      <w:r w:rsidRPr="00B97D61">
        <w:rPr>
          <w:lang w:val="en-CA"/>
        </w:rPr>
        <w:t xml:space="preserve">are </w:t>
      </w:r>
      <w:r w:rsidR="00E4773B">
        <w:rPr>
          <w:lang w:val="en-CA"/>
        </w:rPr>
        <w:t>drawn</w:t>
      </w:r>
      <w:r w:rsidRPr="00B97D61">
        <w:rPr>
          <w:lang w:val="en-CA"/>
        </w:rPr>
        <w:t xml:space="preserve"> will be redacted </w:t>
      </w:r>
      <w:r w:rsidR="00027F70">
        <w:rPr>
          <w:lang w:val="en-CA"/>
        </w:rPr>
        <w:t>in</w:t>
      </w:r>
      <w:r w:rsidRPr="00B97D61">
        <w:rPr>
          <w:lang w:val="en-CA"/>
        </w:rPr>
        <w:t xml:space="preserve"> the statement for the Circle Internet Financial LLC account.</w:t>
      </w:r>
      <w:r w:rsidR="00DA0C71" w:rsidRPr="00B97D61">
        <w:rPr>
          <w:lang w:val="en-CA"/>
        </w:rPr>
        <w:t xml:space="preserve"> </w:t>
      </w:r>
    </w:p>
    <w:p w14:paraId="0B06A05F" w14:textId="77777777" w:rsidR="00456E55" w:rsidRPr="00B97D61" w:rsidRDefault="00456E55" w:rsidP="00456E55">
      <w:pPr>
        <w:pStyle w:val="Paragraphe"/>
        <w:numPr>
          <w:ilvl w:val="0"/>
          <w:numId w:val="0"/>
        </w:numPr>
        <w:ind w:left="734"/>
        <w:rPr>
          <w:lang w:val="en-CA"/>
        </w:rPr>
      </w:pPr>
    </w:p>
    <w:tbl>
      <w:tblPr>
        <w:tblW w:w="9568" w:type="dxa"/>
        <w:tblInd w:w="-70" w:type="dxa"/>
        <w:tblLayout w:type="fixed"/>
        <w:tblCellMar>
          <w:left w:w="0" w:type="dxa"/>
          <w:right w:w="0" w:type="dxa"/>
        </w:tblCellMar>
        <w:tblLook w:val="0000" w:firstRow="0" w:lastRow="0" w:firstColumn="0" w:lastColumn="0" w:noHBand="0" w:noVBand="0"/>
      </w:tblPr>
      <w:tblGrid>
        <w:gridCol w:w="6"/>
        <w:gridCol w:w="2191"/>
        <w:gridCol w:w="2638"/>
        <w:gridCol w:w="4670"/>
        <w:gridCol w:w="63"/>
      </w:tblGrid>
      <w:tr w:rsidR="00575301" w:rsidRPr="00C41A9D" w14:paraId="73E7BFB4" w14:textId="77777777" w:rsidTr="003D586E">
        <w:trPr>
          <w:gridBefore w:val="1"/>
          <w:gridAfter w:val="1"/>
          <w:wBefore w:w="6" w:type="dxa"/>
          <w:wAfter w:w="63" w:type="dxa"/>
          <w:cantSplit/>
        </w:trPr>
        <w:tc>
          <w:tcPr>
            <w:tcW w:w="4829" w:type="dxa"/>
            <w:gridSpan w:val="2"/>
          </w:tcPr>
          <w:p w14:paraId="10D430F8" w14:textId="77777777" w:rsidR="0002722E" w:rsidRPr="00B97D61" w:rsidRDefault="0002722E" w:rsidP="002340F5">
            <w:pPr>
              <w:jc w:val="both"/>
              <w:rPr>
                <w:lang w:val="en-CA"/>
              </w:rPr>
            </w:pPr>
          </w:p>
          <w:p w14:paraId="37674328" w14:textId="77777777" w:rsidR="004638B4" w:rsidRPr="00B97D61" w:rsidRDefault="004638B4" w:rsidP="002340F5">
            <w:pPr>
              <w:jc w:val="both"/>
              <w:rPr>
                <w:lang w:val="en-CA"/>
              </w:rPr>
            </w:pPr>
          </w:p>
        </w:tc>
        <w:tc>
          <w:tcPr>
            <w:tcW w:w="4670" w:type="dxa"/>
          </w:tcPr>
          <w:p w14:paraId="0F881DB1" w14:textId="77777777" w:rsidR="0002722E" w:rsidRPr="00B97D61" w:rsidRDefault="0002722E" w:rsidP="002340F5">
            <w:pPr>
              <w:pStyle w:val="zSoquijdatSignature3Juge"/>
              <w:jc w:val="both"/>
              <w:rPr>
                <w:b/>
                <w:lang w:val="en-CA"/>
              </w:rPr>
            </w:pPr>
          </w:p>
        </w:tc>
      </w:tr>
      <w:tr w:rsidR="00575301" w:rsidRPr="00C41A9D" w14:paraId="00AE890C" w14:textId="77777777" w:rsidTr="003D586E">
        <w:trPr>
          <w:gridBefore w:val="1"/>
          <w:gridAfter w:val="1"/>
          <w:wBefore w:w="6" w:type="dxa"/>
          <w:wAfter w:w="63" w:type="dxa"/>
          <w:cantSplit/>
        </w:trPr>
        <w:tc>
          <w:tcPr>
            <w:tcW w:w="4829" w:type="dxa"/>
            <w:gridSpan w:val="2"/>
          </w:tcPr>
          <w:p w14:paraId="1CB24345" w14:textId="77777777" w:rsidR="0002722E" w:rsidRPr="00B97D61" w:rsidRDefault="0002722E" w:rsidP="002340F5">
            <w:pPr>
              <w:jc w:val="both"/>
              <w:rPr>
                <w:lang w:val="en-CA"/>
              </w:rPr>
            </w:pPr>
          </w:p>
        </w:tc>
        <w:tc>
          <w:tcPr>
            <w:tcW w:w="4670" w:type="dxa"/>
            <w:tcBorders>
              <w:bottom w:val="single" w:sz="4" w:space="0" w:color="auto"/>
            </w:tcBorders>
          </w:tcPr>
          <w:p w14:paraId="7DCB70AD" w14:textId="77777777" w:rsidR="0002722E" w:rsidRPr="00B97D61" w:rsidRDefault="0002722E" w:rsidP="002340F5">
            <w:pPr>
              <w:pStyle w:val="zSoquijdatSignature3Juge"/>
              <w:jc w:val="both"/>
              <w:rPr>
                <w:b/>
                <w:lang w:val="en-CA"/>
              </w:rPr>
            </w:pPr>
          </w:p>
        </w:tc>
      </w:tr>
      <w:tr w:rsidR="00575301" w14:paraId="6829EE00" w14:textId="77777777" w:rsidTr="003D586E">
        <w:trPr>
          <w:gridBefore w:val="1"/>
          <w:gridAfter w:val="1"/>
          <w:wBefore w:w="6" w:type="dxa"/>
          <w:wAfter w:w="63" w:type="dxa"/>
          <w:cantSplit/>
        </w:trPr>
        <w:tc>
          <w:tcPr>
            <w:tcW w:w="4829" w:type="dxa"/>
            <w:gridSpan w:val="2"/>
          </w:tcPr>
          <w:p w14:paraId="42CC4FED" w14:textId="77777777" w:rsidR="00B4030F" w:rsidRPr="00B97D61" w:rsidRDefault="00B4030F" w:rsidP="002340F5">
            <w:pPr>
              <w:jc w:val="both"/>
              <w:rPr>
                <w:lang w:val="en-CA"/>
              </w:rPr>
            </w:pPr>
          </w:p>
        </w:tc>
        <w:tc>
          <w:tcPr>
            <w:tcW w:w="4670" w:type="dxa"/>
            <w:tcBorders>
              <w:top w:val="single" w:sz="4" w:space="0" w:color="auto"/>
            </w:tcBorders>
          </w:tcPr>
          <w:p w14:paraId="33230447" w14:textId="3F21EA16" w:rsidR="00561AD8" w:rsidRDefault="00B97D61" w:rsidP="00CA2A0B">
            <w:pPr>
              <w:pStyle w:val="zSoquijdatSignature3Juge"/>
              <w:jc w:val="center"/>
              <w:rPr>
                <w:b/>
              </w:rPr>
            </w:pPr>
            <w:r w:rsidRPr="00221B3E">
              <w:rPr>
                <w:b/>
              </w:rPr>
              <w:t>Mtre Christine Dubé</w:t>
            </w:r>
          </w:p>
          <w:p w14:paraId="6167DA2D" w14:textId="064CCF2B" w:rsidR="00B4030F" w:rsidRDefault="00B97D61" w:rsidP="00CA2A0B">
            <w:pPr>
              <w:pStyle w:val="zSoquijdatSignature3Juge"/>
              <w:jc w:val="center"/>
            </w:pPr>
            <w:r w:rsidRPr="00221B3E">
              <w:rPr>
                <w:b/>
              </w:rPr>
              <w:t>Administrative Judge</w:t>
            </w:r>
          </w:p>
        </w:tc>
      </w:tr>
      <w:tr w:rsidR="00575301" w14:paraId="13016F77" w14:textId="77777777" w:rsidTr="0002722E">
        <w:trPr>
          <w:gridBefore w:val="1"/>
          <w:gridAfter w:val="1"/>
          <w:wBefore w:w="6" w:type="dxa"/>
          <w:wAfter w:w="63" w:type="dxa"/>
          <w:cantSplit/>
        </w:trPr>
        <w:tc>
          <w:tcPr>
            <w:tcW w:w="4829" w:type="dxa"/>
            <w:gridSpan w:val="2"/>
          </w:tcPr>
          <w:p w14:paraId="2B9C674B" w14:textId="77777777" w:rsidR="00B4030F" w:rsidRDefault="00B4030F" w:rsidP="002340F5">
            <w:pPr>
              <w:jc w:val="both"/>
            </w:pPr>
          </w:p>
        </w:tc>
        <w:tc>
          <w:tcPr>
            <w:tcW w:w="4670" w:type="dxa"/>
          </w:tcPr>
          <w:p w14:paraId="2A33744D" w14:textId="77777777" w:rsidR="00B4030F" w:rsidRDefault="00B4030F" w:rsidP="002340F5">
            <w:pPr>
              <w:pStyle w:val="zSoquijdatSignature3Juge"/>
              <w:jc w:val="both"/>
            </w:pPr>
          </w:p>
        </w:tc>
      </w:tr>
      <w:tr w:rsidR="00575301" w14:paraId="4B107FF9" w14:textId="77777777" w:rsidTr="003D586E">
        <w:tblPrEx>
          <w:tblCellMar>
            <w:left w:w="70" w:type="dxa"/>
            <w:right w:w="70" w:type="dxa"/>
          </w:tblCellMar>
        </w:tblPrEx>
        <w:tc>
          <w:tcPr>
            <w:tcW w:w="9568" w:type="dxa"/>
            <w:gridSpan w:val="5"/>
          </w:tcPr>
          <w:p w14:paraId="391DD244" w14:textId="77777777" w:rsidR="0002722E" w:rsidRDefault="0002722E" w:rsidP="002340F5">
            <w:pPr>
              <w:jc w:val="both"/>
            </w:pPr>
          </w:p>
          <w:p w14:paraId="3A077496" w14:textId="77777777" w:rsidR="00CD1581" w:rsidRDefault="00CD1581" w:rsidP="002340F5">
            <w:pPr>
              <w:jc w:val="both"/>
            </w:pPr>
          </w:p>
        </w:tc>
      </w:tr>
      <w:tr w:rsidR="00575301" w14:paraId="4F12F976" w14:textId="77777777" w:rsidTr="003D586E">
        <w:tblPrEx>
          <w:tblCellMar>
            <w:left w:w="70" w:type="dxa"/>
            <w:right w:w="70" w:type="dxa"/>
          </w:tblCellMar>
        </w:tblPrEx>
        <w:tc>
          <w:tcPr>
            <w:tcW w:w="9568" w:type="dxa"/>
            <w:gridSpan w:val="5"/>
          </w:tcPr>
          <w:p w14:paraId="530A595C" w14:textId="77777777" w:rsidR="00070D64" w:rsidRDefault="00070D64" w:rsidP="002340F5">
            <w:pPr>
              <w:jc w:val="both"/>
            </w:pPr>
          </w:p>
        </w:tc>
      </w:tr>
      <w:tr w:rsidR="00575301" w14:paraId="5A668EBB" w14:textId="77777777" w:rsidTr="003D586E">
        <w:tblPrEx>
          <w:tblCellMar>
            <w:left w:w="70" w:type="dxa"/>
            <w:right w:w="70" w:type="dxa"/>
          </w:tblCellMar>
        </w:tblPrEx>
        <w:tc>
          <w:tcPr>
            <w:tcW w:w="9568" w:type="dxa"/>
            <w:gridSpan w:val="5"/>
          </w:tcPr>
          <w:p w14:paraId="25F8F1F2" w14:textId="722AEC6D" w:rsidR="00070D64" w:rsidRPr="00475F71" w:rsidRDefault="00B97D61" w:rsidP="009C6B4D">
            <w:pPr>
              <w:autoSpaceDE w:val="0"/>
              <w:autoSpaceDN w:val="0"/>
              <w:adjustRightInd w:val="0"/>
              <w:jc w:val="both"/>
              <w:rPr>
                <w:rFonts w:cs="Arial"/>
                <w:color w:val="000000"/>
              </w:rPr>
            </w:pPr>
            <w:r w:rsidRPr="00221B3E">
              <w:rPr>
                <w:rFonts w:cs="Arial"/>
              </w:rPr>
              <w:t>M</w:t>
            </w:r>
            <w:r w:rsidRPr="00AF1C3D">
              <w:rPr>
                <w:rFonts w:cs="Arial"/>
                <w:color w:val="000000"/>
              </w:rPr>
              <w:t>tre</w:t>
            </w:r>
            <w:r w:rsidRPr="00B97D61">
              <w:rPr>
                <w:rFonts w:cs="Arial"/>
                <w:color w:val="000000"/>
              </w:rPr>
              <w:t xml:space="preserve"> Stéphanie Jolin, M</w:t>
            </w:r>
            <w:r w:rsidRPr="00AF1C3D">
              <w:rPr>
                <w:rFonts w:cs="Arial"/>
                <w:color w:val="000000"/>
              </w:rPr>
              <w:t>tre</w:t>
            </w:r>
            <w:r w:rsidRPr="00B97D61">
              <w:rPr>
                <w:rFonts w:cs="Arial"/>
                <w:color w:val="000000"/>
              </w:rPr>
              <w:t xml:space="preserve"> Benjamin Wilner</w:t>
            </w:r>
            <w:r w:rsidR="00CB415C">
              <w:rPr>
                <w:rFonts w:cs="Arial"/>
                <w:color w:val="000000"/>
              </w:rPr>
              <w:t>,</w:t>
            </w:r>
            <w:r w:rsidRPr="00B97D61">
              <w:rPr>
                <w:rFonts w:cs="Arial"/>
                <w:color w:val="000000"/>
              </w:rPr>
              <w:t xml:space="preserve"> and M</w:t>
            </w:r>
            <w:r w:rsidRPr="00AF1C3D">
              <w:rPr>
                <w:rFonts w:cs="Arial"/>
                <w:color w:val="000000"/>
              </w:rPr>
              <w:t>tre</w:t>
            </w:r>
            <w:r w:rsidRPr="00B97D61">
              <w:rPr>
                <w:rFonts w:cs="Arial"/>
                <w:color w:val="000000"/>
              </w:rPr>
              <w:t xml:space="preserve"> Mathieu Hamel</w:t>
            </w:r>
          </w:p>
        </w:tc>
      </w:tr>
      <w:tr w:rsidR="00575301" w14:paraId="2CA1684D" w14:textId="77777777" w:rsidTr="003D586E">
        <w:tblPrEx>
          <w:tblCellMar>
            <w:left w:w="70" w:type="dxa"/>
            <w:right w:w="70" w:type="dxa"/>
          </w:tblCellMar>
        </w:tblPrEx>
        <w:tc>
          <w:tcPr>
            <w:tcW w:w="9568" w:type="dxa"/>
            <w:gridSpan w:val="5"/>
          </w:tcPr>
          <w:p w14:paraId="2B7E7028" w14:textId="39CDDBB0" w:rsidR="00070D64" w:rsidRPr="00221B3E" w:rsidRDefault="00B97D61" w:rsidP="002340F5">
            <w:pPr>
              <w:pStyle w:val="zSoquijdatCabinetProcureurDem"/>
              <w:jc w:val="both"/>
            </w:pPr>
            <w:r w:rsidRPr="00221B3E">
              <w:t>(Litigation Services, Autorité des marchés financiers)</w:t>
            </w:r>
          </w:p>
        </w:tc>
      </w:tr>
      <w:tr w:rsidR="00575301" w14:paraId="5E7EB942" w14:textId="77777777" w:rsidTr="003D586E">
        <w:tblPrEx>
          <w:tblCellMar>
            <w:left w:w="70" w:type="dxa"/>
            <w:right w:w="70" w:type="dxa"/>
          </w:tblCellMar>
        </w:tblPrEx>
        <w:tc>
          <w:tcPr>
            <w:tcW w:w="9568" w:type="dxa"/>
            <w:gridSpan w:val="5"/>
          </w:tcPr>
          <w:p w14:paraId="472B2D89" w14:textId="0B16C427" w:rsidR="00070D64" w:rsidRPr="00221B3E" w:rsidRDefault="00B97D61" w:rsidP="002340F5">
            <w:pPr>
              <w:pStyle w:val="zSoquijlblProcureurDem"/>
              <w:jc w:val="both"/>
            </w:pPr>
            <w:r w:rsidRPr="00221B3E">
              <w:t>For the Autorité des marchés financiers</w:t>
            </w:r>
          </w:p>
        </w:tc>
      </w:tr>
      <w:tr w:rsidR="00575301" w:rsidRPr="00C41A9D" w14:paraId="1C8ACB54" w14:textId="77777777" w:rsidTr="003D586E">
        <w:tblPrEx>
          <w:tblCellMar>
            <w:left w:w="70" w:type="dxa"/>
            <w:right w:w="70" w:type="dxa"/>
          </w:tblCellMar>
        </w:tblPrEx>
        <w:tc>
          <w:tcPr>
            <w:tcW w:w="9568" w:type="dxa"/>
            <w:gridSpan w:val="5"/>
          </w:tcPr>
          <w:p w14:paraId="510CB159" w14:textId="77777777" w:rsidR="00070D64" w:rsidRDefault="00070D64" w:rsidP="002340F5">
            <w:pPr>
              <w:jc w:val="both"/>
            </w:pPr>
          </w:p>
          <w:p w14:paraId="4918337E" w14:textId="169231BC" w:rsidR="00EA3260" w:rsidRDefault="00B97D61" w:rsidP="002340F5">
            <w:pPr>
              <w:jc w:val="both"/>
            </w:pPr>
            <w:r w:rsidRPr="00221B3E">
              <w:t>Mtr</w:t>
            </w:r>
            <w:r w:rsidRPr="00AF1C3D">
              <w:t>e</w:t>
            </w:r>
            <w:r w:rsidRPr="00B97D61">
              <w:t xml:space="preserve"> Gabriel Querry </w:t>
            </w:r>
            <w:r w:rsidR="00EB26F4">
              <w:t>and</w:t>
            </w:r>
            <w:r w:rsidRPr="00B97D61">
              <w:t xml:space="preserve"> M</w:t>
            </w:r>
            <w:r w:rsidRPr="00AF1C3D">
              <w:t>tre</w:t>
            </w:r>
            <w:r w:rsidRPr="00B97D61">
              <w:rPr>
                <w:vertAlign w:val="superscript"/>
              </w:rPr>
              <w:t xml:space="preserve"> </w:t>
            </w:r>
            <w:r w:rsidRPr="00B97D61">
              <w:t>Aurélie Gauthier</w:t>
            </w:r>
            <w:r w:rsidR="00544DF4">
              <w:t xml:space="preserve"> </w:t>
            </w:r>
          </w:p>
          <w:p w14:paraId="51B21C1F" w14:textId="4D2228F1" w:rsidR="00394839" w:rsidRPr="00221B3E" w:rsidRDefault="00B97D61" w:rsidP="002340F5">
            <w:pPr>
              <w:jc w:val="both"/>
              <w:rPr>
                <w:lang w:val="en-CA"/>
              </w:rPr>
            </w:pPr>
            <w:r w:rsidRPr="00221B3E">
              <w:rPr>
                <w:lang w:val="en-CA"/>
              </w:rPr>
              <w:t>LANGLOIS LAWYERS, LLP</w:t>
            </w:r>
          </w:p>
          <w:p w14:paraId="3E9606AC" w14:textId="60CC06C8" w:rsidR="00394839" w:rsidRPr="00221B3E" w:rsidRDefault="00B97D61" w:rsidP="002340F5">
            <w:pPr>
              <w:jc w:val="both"/>
              <w:rPr>
                <w:lang w:val="en-CA"/>
              </w:rPr>
            </w:pPr>
            <w:r w:rsidRPr="00221B3E">
              <w:rPr>
                <w:lang w:val="en-CA"/>
              </w:rPr>
              <w:t>For the respondents</w:t>
            </w:r>
          </w:p>
        </w:tc>
      </w:tr>
      <w:tr w:rsidR="00575301" w:rsidRPr="00C41A9D" w14:paraId="0D10476B" w14:textId="77777777" w:rsidTr="00CA2A0B">
        <w:tblPrEx>
          <w:tblCellMar>
            <w:left w:w="70" w:type="dxa"/>
            <w:right w:w="70" w:type="dxa"/>
          </w:tblCellMar>
        </w:tblPrEx>
        <w:trPr>
          <w:trHeight w:val="513"/>
        </w:trPr>
        <w:tc>
          <w:tcPr>
            <w:tcW w:w="9568" w:type="dxa"/>
            <w:gridSpan w:val="5"/>
          </w:tcPr>
          <w:p w14:paraId="13A71D00" w14:textId="77777777" w:rsidR="00070D64" w:rsidRPr="00B97D61" w:rsidRDefault="00070D64" w:rsidP="002340F5">
            <w:pPr>
              <w:pStyle w:val="zSoquijlblProcureurDef"/>
              <w:jc w:val="both"/>
              <w:rPr>
                <w:lang w:val="en-CA"/>
              </w:rPr>
            </w:pPr>
          </w:p>
        </w:tc>
      </w:tr>
      <w:tr w:rsidR="00575301" w14:paraId="38D17796" w14:textId="77777777" w:rsidTr="003D586E">
        <w:tblPrEx>
          <w:tblCellMar>
            <w:left w:w="70" w:type="dxa"/>
            <w:right w:w="70" w:type="dxa"/>
          </w:tblCellMar>
        </w:tblPrEx>
        <w:tc>
          <w:tcPr>
            <w:tcW w:w="2197" w:type="dxa"/>
            <w:gridSpan w:val="2"/>
          </w:tcPr>
          <w:p w14:paraId="4490931C" w14:textId="725B9892" w:rsidR="00070D64" w:rsidRPr="00221B3E" w:rsidRDefault="00B97D61" w:rsidP="002340F5">
            <w:pPr>
              <w:pStyle w:val="zSoquijlblDateAudience"/>
              <w:jc w:val="both"/>
            </w:pPr>
            <w:r w:rsidRPr="00221B3E">
              <w:t>Dates of hearing:</w:t>
            </w:r>
            <w:r w:rsidR="00DC344E" w:rsidRPr="00221B3E">
              <w:t>   </w:t>
            </w:r>
          </w:p>
        </w:tc>
        <w:tc>
          <w:tcPr>
            <w:tcW w:w="7371" w:type="dxa"/>
            <w:gridSpan w:val="3"/>
          </w:tcPr>
          <w:p w14:paraId="79687EB2" w14:textId="71BAFA57" w:rsidR="00070D64" w:rsidRPr="00221B3E" w:rsidRDefault="00B97D61" w:rsidP="002340F5">
            <w:pPr>
              <w:pStyle w:val="zSoquijdatDateAudience"/>
              <w:jc w:val="both"/>
            </w:pPr>
            <w:r w:rsidRPr="00221B3E">
              <w:t>August 13, 14, and 16, 2024</w:t>
            </w:r>
          </w:p>
        </w:tc>
      </w:tr>
    </w:tbl>
    <w:p w14:paraId="56E59852" w14:textId="77777777" w:rsidR="00070D64" w:rsidRDefault="00070D64" w:rsidP="002340F5">
      <w:pPr>
        <w:jc w:val="both"/>
      </w:pPr>
    </w:p>
    <w:sectPr w:rsidR="00070D64">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2" w:h="15842" w:code="1"/>
      <w:pgMar w:top="1440" w:right="1008" w:bottom="1440"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FD7B0" w14:textId="77777777" w:rsidR="008519AA" w:rsidRDefault="008519AA">
      <w:r>
        <w:separator/>
      </w:r>
    </w:p>
  </w:endnote>
  <w:endnote w:type="continuationSeparator" w:id="0">
    <w:p w14:paraId="05F6AD9A" w14:textId="77777777" w:rsidR="008519AA" w:rsidRDefault="0085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A499" w14:textId="77777777" w:rsidR="00BA1920" w:rsidRDefault="00544DF4">
    <w:pPr>
      <w:framePr w:wrap="around" w:vAnchor="text" w:hAnchor="margin" w:xAlign="right" w:y="1"/>
    </w:pPr>
    <w:r>
      <w:fldChar w:fldCharType="begin"/>
    </w:r>
    <w:r>
      <w:instrText xml:space="preserve">PAGE  </w:instrText>
    </w:r>
    <w:r>
      <w:fldChar w:fldCharType="separate"/>
    </w:r>
    <w:r w:rsidR="002F4F53">
      <w:rPr>
        <w:noProof/>
      </w:rPr>
      <w:t>13</w:t>
    </w:r>
    <w:r>
      <w:fldChar w:fldCharType="end"/>
    </w:r>
  </w:p>
  <w:p w14:paraId="134362EB" w14:textId="77777777" w:rsidR="00BA1920" w:rsidRDefault="00BA1920">
    <w:pPr>
      <w:ind w:right="360"/>
    </w:pPr>
  </w:p>
  <w:p w14:paraId="2950AFBF" w14:textId="77777777" w:rsidR="00DB77DF" w:rsidRDefault="00DB77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204D" w14:textId="77777777" w:rsidR="00A340C2" w:rsidRDefault="00A340C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9906" w14:textId="77777777" w:rsidR="00A340C2" w:rsidRDefault="00A340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E959E" w14:textId="77777777" w:rsidR="008519AA" w:rsidRDefault="008519AA">
      <w:r>
        <w:separator/>
      </w:r>
    </w:p>
  </w:footnote>
  <w:footnote w:type="continuationSeparator" w:id="0">
    <w:p w14:paraId="136AF580" w14:textId="77777777" w:rsidR="008519AA" w:rsidRDefault="008519AA">
      <w:r>
        <w:continuationSeparator/>
      </w:r>
    </w:p>
  </w:footnote>
  <w:footnote w:id="1">
    <w:p w14:paraId="69444A21" w14:textId="1EEBBD57" w:rsidR="007543BD" w:rsidRPr="00B97D61" w:rsidRDefault="007543BD" w:rsidP="007543BD">
      <w:pPr>
        <w:pStyle w:val="Notedebasdepage"/>
        <w:rPr>
          <w:lang w:val="en-CA"/>
        </w:rPr>
      </w:pPr>
      <w:r>
        <w:rPr>
          <w:rStyle w:val="Appelnotedebasdep"/>
        </w:rPr>
        <w:footnoteRef/>
      </w:r>
      <w:r w:rsidRPr="00B97D61">
        <w:rPr>
          <w:lang w:val="en-CA"/>
        </w:rPr>
        <w:t xml:space="preserve"> </w:t>
      </w:r>
      <w:r w:rsidRPr="00B97D61">
        <w:rPr>
          <w:lang w:val="en-CA"/>
        </w:rPr>
        <w:tab/>
      </w:r>
      <w:r w:rsidR="00B97D61" w:rsidRPr="00221B3E">
        <w:rPr>
          <w:lang w:val="en-CA"/>
        </w:rPr>
        <w:t xml:space="preserve">The order was issued pursuant to section 115.8 of the </w:t>
      </w:r>
      <w:r w:rsidR="00B97D61" w:rsidRPr="00221B3E">
        <w:rPr>
          <w:i/>
          <w:lang w:val="en-CA"/>
        </w:rPr>
        <w:t>Act respecting the regulation of the financial sector</w:t>
      </w:r>
      <w:r w:rsidR="00B97D61" w:rsidRPr="00221B3E">
        <w:rPr>
          <w:lang w:val="en-CA"/>
        </w:rPr>
        <w:t>, CQLR, c. E-6.1 (</w:t>
      </w:r>
      <w:r w:rsidR="00EB26F4">
        <w:rPr>
          <w:lang w:val="en-CA"/>
        </w:rPr>
        <w:t>“</w:t>
      </w:r>
      <w:r w:rsidR="00B97D61" w:rsidRPr="00AF1C3D">
        <w:rPr>
          <w:i/>
          <w:iCs/>
          <w:lang w:val="en-CA"/>
        </w:rPr>
        <w:t>ARFS</w:t>
      </w:r>
      <w:r w:rsidR="00B97D61" w:rsidRPr="00221B3E">
        <w:rPr>
          <w:lang w:val="en-CA"/>
        </w:rPr>
        <w:t>”).</w:t>
      </w:r>
      <w:r w:rsidRPr="00B97D61">
        <w:rPr>
          <w:lang w:val="en-CA"/>
        </w:rPr>
        <w:t xml:space="preserve"> </w:t>
      </w:r>
      <w:r w:rsidR="00B97D61" w:rsidRPr="00221B3E">
        <w:rPr>
          <w:lang w:val="en-CA"/>
        </w:rPr>
        <w:t>See the minutes from June 27, 2024, in the Tribunal’s record.</w:t>
      </w:r>
      <w:r w:rsidRPr="00B97D61">
        <w:rPr>
          <w:lang w:val="en-CA"/>
        </w:rPr>
        <w:t xml:space="preserve"> </w:t>
      </w:r>
    </w:p>
  </w:footnote>
  <w:footnote w:id="2">
    <w:p w14:paraId="79687149" w14:textId="4AA99ADE" w:rsidR="0067551B" w:rsidRPr="00B97D61" w:rsidRDefault="0067551B" w:rsidP="0067551B">
      <w:pPr>
        <w:pStyle w:val="Notedebasdepage"/>
        <w:rPr>
          <w:lang w:val="en-CA"/>
        </w:rPr>
      </w:pPr>
      <w:r>
        <w:rPr>
          <w:rStyle w:val="Appelnotedebasdep"/>
        </w:rPr>
        <w:footnoteRef/>
      </w:r>
      <w:r w:rsidRPr="00B97D61">
        <w:rPr>
          <w:lang w:val="en-CA"/>
        </w:rPr>
        <w:t xml:space="preserve"> </w:t>
      </w:r>
      <w:r w:rsidRPr="00B97D61">
        <w:rPr>
          <w:lang w:val="en-CA"/>
        </w:rPr>
        <w:tab/>
      </w:r>
      <w:r w:rsidR="00B97D61" w:rsidRPr="00221B3E">
        <w:rPr>
          <w:i/>
          <w:iCs/>
          <w:lang w:val="en-CA"/>
        </w:rPr>
        <w:t xml:space="preserve">Autorité des marchés financiers </w:t>
      </w:r>
      <w:r w:rsidR="00B97D61" w:rsidRPr="00AF1C3D">
        <w:rPr>
          <w:i/>
          <w:lang w:val="en-CA"/>
        </w:rPr>
        <w:t>c.</w:t>
      </w:r>
      <w:r w:rsidR="00B97D61" w:rsidRPr="00221B3E">
        <w:rPr>
          <w:iCs/>
          <w:lang w:val="en-CA"/>
        </w:rPr>
        <w:t xml:space="preserve"> </w:t>
      </w:r>
      <w:r w:rsidR="00B97D61" w:rsidRPr="00221B3E">
        <w:rPr>
          <w:i/>
          <w:iCs/>
          <w:lang w:val="en-CA"/>
        </w:rPr>
        <w:t>Allard</w:t>
      </w:r>
      <w:r w:rsidR="00B97D61" w:rsidRPr="00221B3E">
        <w:rPr>
          <w:iCs/>
          <w:lang w:val="en-CA"/>
        </w:rPr>
        <w:t>, 2024 QCTMF 42.</w:t>
      </w:r>
      <w:r w:rsidRPr="00B97D61">
        <w:rPr>
          <w:lang w:val="en-CA"/>
        </w:rPr>
        <w:t xml:space="preserve"> </w:t>
      </w:r>
    </w:p>
  </w:footnote>
  <w:footnote w:id="3">
    <w:p w14:paraId="01119491" w14:textId="00C0D038" w:rsidR="0067551B" w:rsidRPr="00B97D61" w:rsidRDefault="0067551B" w:rsidP="0067551B">
      <w:pPr>
        <w:pStyle w:val="Notedebasdepage"/>
        <w:rPr>
          <w:lang w:val="en-CA"/>
        </w:rPr>
      </w:pPr>
      <w:r>
        <w:rPr>
          <w:rStyle w:val="Appelnotedebasdep"/>
        </w:rPr>
        <w:footnoteRef/>
      </w:r>
      <w:r w:rsidRPr="00B97D61">
        <w:rPr>
          <w:lang w:val="en-CA"/>
        </w:rPr>
        <w:t xml:space="preserve"> </w:t>
      </w:r>
      <w:r w:rsidRPr="00B97D61">
        <w:rPr>
          <w:lang w:val="en-CA"/>
        </w:rPr>
        <w:tab/>
      </w:r>
      <w:r w:rsidR="00B97D61" w:rsidRPr="00B97D61">
        <w:rPr>
          <w:lang w:val="en-CA"/>
        </w:rPr>
        <w:t xml:space="preserve">Without </w:t>
      </w:r>
      <w:r w:rsidR="008D56BC">
        <w:rPr>
          <w:lang w:val="en-CA"/>
        </w:rPr>
        <w:t>first</w:t>
      </w:r>
      <w:r w:rsidR="00B97D61" w:rsidRPr="00B97D61">
        <w:rPr>
          <w:lang w:val="en-CA"/>
        </w:rPr>
        <w:t xml:space="preserve"> hearing </w:t>
      </w:r>
      <w:r w:rsidR="00B167E5" w:rsidRPr="00B97D61">
        <w:rPr>
          <w:lang w:val="en-CA"/>
        </w:rPr>
        <w:t>the</w:t>
      </w:r>
      <w:r w:rsidR="00B97D61" w:rsidRPr="00B97D61">
        <w:rPr>
          <w:lang w:val="en-CA"/>
        </w:rPr>
        <w:t xml:space="preserve"> respondents and impleaded parties, in accordance with section 115.1 of the </w:t>
      </w:r>
      <w:r w:rsidR="00B97D61" w:rsidRPr="00AF1C3D">
        <w:rPr>
          <w:i/>
          <w:iCs/>
          <w:lang w:val="en-CA"/>
        </w:rPr>
        <w:t>ARFS</w:t>
      </w:r>
      <w:r w:rsidR="00B97D61" w:rsidRPr="00B97D61">
        <w:rPr>
          <w:lang w:val="en-CA"/>
        </w:rPr>
        <w:t>.</w:t>
      </w:r>
      <w:r w:rsidRPr="00B97D61">
        <w:rPr>
          <w:lang w:val="en-CA"/>
        </w:rPr>
        <w:t xml:space="preserve"> </w:t>
      </w:r>
    </w:p>
  </w:footnote>
  <w:footnote w:id="4">
    <w:p w14:paraId="25D2E1A9" w14:textId="6D8BA9EB" w:rsidR="0067551B" w:rsidRPr="00B97D61" w:rsidRDefault="0067551B" w:rsidP="0067551B">
      <w:pPr>
        <w:pStyle w:val="Notedebasdepage"/>
        <w:rPr>
          <w:lang w:val="en-CA"/>
        </w:rPr>
      </w:pPr>
      <w:r>
        <w:rPr>
          <w:rStyle w:val="Appelnotedebasdep"/>
        </w:rPr>
        <w:footnoteRef/>
      </w:r>
      <w:r w:rsidRPr="00B97D61">
        <w:rPr>
          <w:lang w:val="en-CA"/>
        </w:rPr>
        <w:t xml:space="preserve"> </w:t>
      </w:r>
      <w:r w:rsidRPr="00B97D61">
        <w:rPr>
          <w:lang w:val="en-CA"/>
        </w:rPr>
        <w:tab/>
      </w:r>
      <w:r w:rsidR="00B97D61" w:rsidRPr="00221B3E">
        <w:rPr>
          <w:rFonts w:cs="Arial"/>
          <w:lang w:val="en-CA"/>
        </w:rPr>
        <w:t>CQLR, c. V-1.1.</w:t>
      </w:r>
    </w:p>
  </w:footnote>
  <w:footnote w:id="5">
    <w:p w14:paraId="5B309955" w14:textId="2A256734" w:rsidR="0067551B" w:rsidRPr="00B97D61" w:rsidRDefault="0067551B" w:rsidP="0067551B">
      <w:pPr>
        <w:pStyle w:val="Notedebasdepage"/>
        <w:rPr>
          <w:lang w:val="en-CA"/>
        </w:rPr>
      </w:pPr>
      <w:r>
        <w:rPr>
          <w:rStyle w:val="Appelnotedebasdep"/>
        </w:rPr>
        <w:footnoteRef/>
      </w:r>
      <w:r w:rsidRPr="00B97D61">
        <w:rPr>
          <w:lang w:val="en-CA"/>
        </w:rPr>
        <w:t xml:space="preserve"> </w:t>
      </w:r>
      <w:r w:rsidRPr="00B97D61">
        <w:rPr>
          <w:lang w:val="en-CA"/>
        </w:rPr>
        <w:tab/>
      </w:r>
      <w:r w:rsidR="00B167E5">
        <w:rPr>
          <w:lang w:val="en-CA"/>
        </w:rPr>
        <w:t>O</w:t>
      </w:r>
      <w:r w:rsidR="00B167E5" w:rsidRPr="00B97D61">
        <w:rPr>
          <w:lang w:val="en-CA"/>
        </w:rPr>
        <w:t xml:space="preserve">n July 8, 2024, </w:t>
      </w:r>
      <w:r w:rsidR="00B167E5">
        <w:rPr>
          <w:lang w:val="en-CA"/>
        </w:rPr>
        <w:t>t</w:t>
      </w:r>
      <w:r w:rsidR="00B97D61" w:rsidRPr="00B97D61">
        <w:rPr>
          <w:lang w:val="en-CA"/>
        </w:rPr>
        <w:t xml:space="preserve">he respondents filed two </w:t>
      </w:r>
      <w:r w:rsidR="008D56BC">
        <w:rPr>
          <w:lang w:val="en-CA"/>
        </w:rPr>
        <w:t>separate</w:t>
      </w:r>
      <w:r w:rsidR="008D56BC" w:rsidRPr="00B97D61">
        <w:rPr>
          <w:lang w:val="en-CA"/>
        </w:rPr>
        <w:t xml:space="preserve"> </w:t>
      </w:r>
      <w:r w:rsidR="00B97D61" w:rsidRPr="00B97D61">
        <w:rPr>
          <w:lang w:val="en-CA"/>
        </w:rPr>
        <w:t xml:space="preserve">applications </w:t>
      </w:r>
      <w:r w:rsidR="003E3182">
        <w:rPr>
          <w:lang w:val="en-CA"/>
        </w:rPr>
        <w:t>for partial lifting</w:t>
      </w:r>
      <w:r w:rsidR="008D56BC" w:rsidRPr="008D56BC">
        <w:rPr>
          <w:lang w:val="en-CA"/>
        </w:rPr>
        <w:t xml:space="preserve"> </w:t>
      </w:r>
      <w:r w:rsidR="008D56BC" w:rsidRPr="00B97D61">
        <w:rPr>
          <w:lang w:val="en-CA"/>
        </w:rPr>
        <w:t>with the Tribunal</w:t>
      </w:r>
      <w:r w:rsidR="00B97D61" w:rsidRPr="00B97D61">
        <w:rPr>
          <w:lang w:val="en-CA"/>
        </w:rPr>
        <w:t>, one concerning only the payment of legal fees</w:t>
      </w:r>
      <w:r w:rsidR="002062A4">
        <w:rPr>
          <w:lang w:val="en-CA"/>
        </w:rPr>
        <w:t>,</w:t>
      </w:r>
      <w:r w:rsidR="00B97D61" w:rsidRPr="00B97D61">
        <w:rPr>
          <w:lang w:val="en-CA"/>
        </w:rPr>
        <w:t xml:space="preserve"> and the other concerning the payment of amounts owed to the tax authorities.</w:t>
      </w:r>
      <w:r w:rsidRPr="00B97D61">
        <w:rPr>
          <w:lang w:val="en-CA"/>
        </w:rPr>
        <w:t xml:space="preserve"> </w:t>
      </w:r>
      <w:r w:rsidR="00B167E5" w:rsidRPr="00221B3E">
        <w:rPr>
          <w:lang w:val="en-CA"/>
        </w:rPr>
        <w:t>Both</w:t>
      </w:r>
      <w:r w:rsidR="00B97D61" w:rsidRPr="00221B3E">
        <w:rPr>
          <w:lang w:val="en-CA"/>
        </w:rPr>
        <w:t xml:space="preserve"> applications were amended on August 9, 2024.</w:t>
      </w:r>
      <w:r w:rsidRPr="00B97D61">
        <w:rPr>
          <w:lang w:val="en-CA"/>
        </w:rPr>
        <w:t xml:space="preserve"> </w:t>
      </w:r>
      <w:r w:rsidR="00B97D61" w:rsidRPr="00B97D61">
        <w:rPr>
          <w:lang w:val="en-CA"/>
        </w:rPr>
        <w:t xml:space="preserve">For the sake of efficiency and </w:t>
      </w:r>
      <w:r w:rsidR="00B167E5">
        <w:rPr>
          <w:lang w:val="en-CA"/>
        </w:rPr>
        <w:t>the</w:t>
      </w:r>
      <w:r w:rsidR="00B97D61" w:rsidRPr="00B97D61">
        <w:rPr>
          <w:lang w:val="en-CA"/>
        </w:rPr>
        <w:t xml:space="preserve"> proper administration of justice, both applications were heard at the same time and are the subject of a single decision.</w:t>
      </w:r>
      <w:r w:rsidRPr="00B97D61">
        <w:rPr>
          <w:lang w:val="en-CA"/>
        </w:rPr>
        <w:t xml:space="preserve"> </w:t>
      </w:r>
    </w:p>
  </w:footnote>
  <w:footnote w:id="6">
    <w:p w14:paraId="6EF9F89A" w14:textId="66D267CA" w:rsidR="0067551B" w:rsidRDefault="0067551B" w:rsidP="0067551B">
      <w:pPr>
        <w:pStyle w:val="Notedebasdepage"/>
      </w:pPr>
      <w:r>
        <w:rPr>
          <w:rStyle w:val="Appelnotedebasdep"/>
        </w:rPr>
        <w:footnoteRef/>
      </w:r>
      <w:r>
        <w:t xml:space="preserve"> </w:t>
      </w:r>
      <w:r>
        <w:tab/>
      </w:r>
      <w:r w:rsidR="00B97D61" w:rsidRPr="00B97D61">
        <w:rPr>
          <w:rFonts w:cs="Arial"/>
          <w:i/>
          <w:iCs/>
          <w:color w:val="000000"/>
        </w:rPr>
        <w:t>Nadeau</w:t>
      </w:r>
      <w:r w:rsidR="00B97D61" w:rsidRPr="00B97D61">
        <w:rPr>
          <w:rFonts w:cs="Arial"/>
          <w:iCs/>
        </w:rPr>
        <w:t> </w:t>
      </w:r>
      <w:r w:rsidR="00B97D61" w:rsidRPr="009D5B0C">
        <w:rPr>
          <w:rFonts w:cs="Arial"/>
          <w:i/>
        </w:rPr>
        <w:t>c.</w:t>
      </w:r>
      <w:r w:rsidR="00B97D61" w:rsidRPr="00B97D61">
        <w:rPr>
          <w:rFonts w:cs="Arial"/>
          <w:iCs/>
        </w:rPr>
        <w:t> </w:t>
      </w:r>
      <w:r w:rsidR="00B97D61" w:rsidRPr="00B97D61">
        <w:rPr>
          <w:rFonts w:cs="Arial"/>
          <w:i/>
          <w:iCs/>
        </w:rPr>
        <w:t>Autorité des marchés financiers</w:t>
      </w:r>
      <w:r w:rsidR="00B97D61" w:rsidRPr="00B97D61">
        <w:rPr>
          <w:rFonts w:cs="Arial"/>
          <w:iCs/>
        </w:rPr>
        <w:t xml:space="preserve">, 2014 QCBDR 97; </w:t>
      </w:r>
      <w:r w:rsidR="00B97D61" w:rsidRPr="00B97D61">
        <w:rPr>
          <w:rFonts w:cs="Arial"/>
          <w:i/>
          <w:iCs/>
        </w:rPr>
        <w:t>Re Amswiss Scientific Inc</w:t>
      </w:r>
      <w:r w:rsidR="00B97D61" w:rsidRPr="00B97D61">
        <w:rPr>
          <w:rFonts w:cs="Arial"/>
          <w:iCs/>
        </w:rPr>
        <w:t>.,1992 LNBCSC 40.</w:t>
      </w:r>
    </w:p>
  </w:footnote>
  <w:footnote w:id="7">
    <w:p w14:paraId="2618F232" w14:textId="28C589A2" w:rsidR="0067551B" w:rsidRDefault="0067551B" w:rsidP="0067551B">
      <w:pPr>
        <w:pStyle w:val="Notedebasdepage"/>
      </w:pPr>
      <w:r>
        <w:rPr>
          <w:rStyle w:val="Appelnotedebasdep"/>
        </w:rPr>
        <w:footnoteRef/>
      </w:r>
      <w:r>
        <w:t xml:space="preserve"> </w:t>
      </w:r>
      <w:r>
        <w:tab/>
      </w:r>
      <w:r w:rsidR="00B97D61" w:rsidRPr="00221B3E">
        <w:t xml:space="preserve">Sections 249, 250, and 255 of the </w:t>
      </w:r>
      <w:r w:rsidR="00B97D61" w:rsidRPr="009D5B0C">
        <w:rPr>
          <w:i/>
          <w:iCs/>
        </w:rPr>
        <w:t>Securities Act</w:t>
      </w:r>
      <w:r w:rsidR="00B97D61" w:rsidRPr="00221B3E">
        <w:t xml:space="preserve">; </w:t>
      </w:r>
      <w:r w:rsidR="00B97D61" w:rsidRPr="00221B3E">
        <w:rPr>
          <w:i/>
        </w:rPr>
        <w:t xml:space="preserve">Autorité des marchés financiers </w:t>
      </w:r>
      <w:r w:rsidR="00B97D61" w:rsidRPr="009D5B0C">
        <w:rPr>
          <w:i/>
          <w:iCs/>
        </w:rPr>
        <w:t>c.</w:t>
      </w:r>
      <w:r w:rsidR="00B97D61" w:rsidRPr="00221B3E">
        <w:rPr>
          <w:i/>
        </w:rPr>
        <w:t xml:space="preserve"> Gestion Guychar (Canada) inc., </w:t>
      </w:r>
      <w:r w:rsidR="00B97D61" w:rsidRPr="00221B3E">
        <w:t>2010 QCBDRVM 13.</w:t>
      </w:r>
    </w:p>
  </w:footnote>
  <w:footnote w:id="8">
    <w:p w14:paraId="59F1E1F9" w14:textId="6C8CBF44" w:rsidR="0067551B" w:rsidRDefault="0067551B" w:rsidP="0067551B">
      <w:pPr>
        <w:pStyle w:val="Notedebasdepage"/>
      </w:pPr>
      <w:r>
        <w:rPr>
          <w:rStyle w:val="Appelnotedebasdep"/>
        </w:rPr>
        <w:footnoteRef/>
      </w:r>
      <w:r>
        <w:t xml:space="preserve"> </w:t>
      </w:r>
      <w:r>
        <w:tab/>
      </w:r>
      <w:r w:rsidR="00B97D61" w:rsidRPr="00221B3E">
        <w:rPr>
          <w:rFonts w:cs="Arial"/>
          <w:i/>
          <w:iCs/>
          <w:color w:val="000000"/>
        </w:rPr>
        <w:t xml:space="preserve">Autorité des marchés financiers </w:t>
      </w:r>
      <w:r w:rsidR="00B97D61" w:rsidRPr="009D5B0C">
        <w:rPr>
          <w:rFonts w:cs="Arial"/>
          <w:i/>
        </w:rPr>
        <w:t>c.</w:t>
      </w:r>
      <w:r w:rsidR="00B97D61" w:rsidRPr="00221B3E">
        <w:rPr>
          <w:rFonts w:cs="Arial"/>
          <w:i/>
          <w:iCs/>
        </w:rPr>
        <w:t xml:space="preserve"> Gestion Guychar (Canada) inc., </w:t>
      </w:r>
      <w:r w:rsidR="00B97D61" w:rsidRPr="00221B3E">
        <w:rPr>
          <w:rFonts w:cs="Arial"/>
          <w:iCs/>
        </w:rPr>
        <w:t xml:space="preserve">2010 QCBDRVM 13; </w:t>
      </w:r>
      <w:r w:rsidR="00B97D61" w:rsidRPr="00221B3E">
        <w:rPr>
          <w:rFonts w:cs="Arial"/>
          <w:i/>
          <w:iCs/>
        </w:rPr>
        <w:t xml:space="preserve">Autorité des marchés financiers </w:t>
      </w:r>
      <w:r w:rsidR="00B97D61" w:rsidRPr="009D5B0C">
        <w:rPr>
          <w:rFonts w:cs="Arial"/>
          <w:i/>
        </w:rPr>
        <w:t>c.</w:t>
      </w:r>
      <w:r w:rsidR="00B97D61" w:rsidRPr="00221B3E">
        <w:rPr>
          <w:rFonts w:cs="Arial"/>
          <w:iCs/>
        </w:rPr>
        <w:t xml:space="preserve"> </w:t>
      </w:r>
      <w:r w:rsidR="00B97D61" w:rsidRPr="00221B3E">
        <w:rPr>
          <w:rFonts w:cs="Arial"/>
          <w:i/>
          <w:iCs/>
        </w:rPr>
        <w:t>Gagné</w:t>
      </w:r>
      <w:r w:rsidR="00B97D61" w:rsidRPr="00221B3E">
        <w:rPr>
          <w:rFonts w:cs="Arial"/>
          <w:iCs/>
        </w:rPr>
        <w:t>, 2008 QCBDRVM 24.</w:t>
      </w:r>
    </w:p>
  </w:footnote>
  <w:footnote w:id="9">
    <w:p w14:paraId="3B70BAAF" w14:textId="710D200A" w:rsidR="0067551B" w:rsidRDefault="0067551B" w:rsidP="0067551B">
      <w:pPr>
        <w:pStyle w:val="Notedebasdepage"/>
      </w:pPr>
      <w:r>
        <w:rPr>
          <w:rStyle w:val="Appelnotedebasdep"/>
        </w:rPr>
        <w:footnoteRef/>
      </w:r>
      <w:r>
        <w:t xml:space="preserve"> </w:t>
      </w:r>
      <w:r>
        <w:tab/>
      </w:r>
      <w:r w:rsidR="00B97D61" w:rsidRPr="00221B3E">
        <w:rPr>
          <w:i/>
          <w:iCs/>
        </w:rPr>
        <w:t>Autorité des marchés financiers</w:t>
      </w:r>
      <w:r w:rsidR="00B97D61" w:rsidRPr="00221B3E">
        <w:rPr>
          <w:iCs/>
        </w:rPr>
        <w:t xml:space="preserve"> </w:t>
      </w:r>
      <w:r w:rsidR="00B97D61" w:rsidRPr="00AF1C3D">
        <w:rPr>
          <w:i/>
        </w:rPr>
        <w:t>c.</w:t>
      </w:r>
      <w:r w:rsidR="00B97D61" w:rsidRPr="00221B3E">
        <w:rPr>
          <w:iCs/>
        </w:rPr>
        <w:t xml:space="preserve"> </w:t>
      </w:r>
      <w:r w:rsidR="00B97D61" w:rsidRPr="00221B3E">
        <w:rPr>
          <w:i/>
          <w:iCs/>
        </w:rPr>
        <w:t>Norbourg gestion d'actifs inc.</w:t>
      </w:r>
      <w:r w:rsidR="00B97D61" w:rsidRPr="00221B3E">
        <w:rPr>
          <w:iCs/>
        </w:rPr>
        <w:t>, 2006 QCBDRVM 12.</w:t>
      </w:r>
    </w:p>
  </w:footnote>
  <w:footnote w:id="10">
    <w:p w14:paraId="5F44B7A6" w14:textId="260CD67E" w:rsidR="0067551B" w:rsidRPr="007263A7" w:rsidRDefault="0067551B" w:rsidP="0067551B">
      <w:pPr>
        <w:pStyle w:val="Notedebasdepage"/>
        <w:rPr>
          <w:lang w:val="en-CA"/>
        </w:rPr>
      </w:pPr>
      <w:r>
        <w:rPr>
          <w:rStyle w:val="Appelnotedebasdep"/>
        </w:rPr>
        <w:footnoteRef/>
      </w:r>
      <w:r w:rsidRPr="007263A7">
        <w:rPr>
          <w:lang w:val="en-CA"/>
        </w:rPr>
        <w:t xml:space="preserve"> </w:t>
      </w:r>
      <w:r w:rsidRPr="007263A7">
        <w:rPr>
          <w:lang w:val="en-CA"/>
        </w:rPr>
        <w:tab/>
      </w:r>
      <w:r w:rsidR="00B97D61" w:rsidRPr="00221B3E">
        <w:rPr>
          <w:i/>
          <w:iCs/>
          <w:lang w:val="en-CA"/>
        </w:rPr>
        <w:t>Party A (Re)</w:t>
      </w:r>
      <w:r w:rsidR="00B97D61" w:rsidRPr="00221B3E">
        <w:rPr>
          <w:iCs/>
          <w:lang w:val="en-CA"/>
        </w:rPr>
        <w:t>, 2024 BCSECCOM 69.</w:t>
      </w:r>
      <w:r w:rsidRPr="007263A7">
        <w:rPr>
          <w:lang w:val="en-CA"/>
        </w:rPr>
        <w:t xml:space="preserve"> </w:t>
      </w:r>
    </w:p>
  </w:footnote>
  <w:footnote w:id="11">
    <w:p w14:paraId="30A6B6FA" w14:textId="37322757" w:rsidR="00BB63B0" w:rsidRPr="007263A7" w:rsidRDefault="00BB63B0" w:rsidP="00BB63B0">
      <w:pPr>
        <w:pStyle w:val="Notedebasdepage"/>
        <w:rPr>
          <w:lang w:val="en-CA"/>
        </w:rPr>
      </w:pPr>
      <w:r>
        <w:rPr>
          <w:rStyle w:val="Appelnotedebasdep"/>
        </w:rPr>
        <w:footnoteRef/>
      </w:r>
      <w:r w:rsidRPr="007263A7">
        <w:rPr>
          <w:lang w:val="en-CA"/>
        </w:rPr>
        <w:t xml:space="preserve"> </w:t>
      </w:r>
      <w:r w:rsidRPr="007263A7">
        <w:rPr>
          <w:lang w:val="en-CA"/>
        </w:rPr>
        <w:tab/>
      </w:r>
      <w:r w:rsidR="00B97D61" w:rsidRPr="00221B3E">
        <w:rPr>
          <w:i/>
          <w:iCs/>
          <w:lang w:val="en-CA"/>
        </w:rPr>
        <w:t>Party A</w:t>
      </w:r>
      <w:r w:rsidR="00B97D61" w:rsidRPr="00221B3E">
        <w:rPr>
          <w:iCs/>
          <w:lang w:val="en-CA"/>
        </w:rPr>
        <w:t xml:space="preserve"> </w:t>
      </w:r>
      <w:r w:rsidR="00B97D61" w:rsidRPr="009D5B0C">
        <w:rPr>
          <w:i/>
          <w:lang w:val="en-CA"/>
        </w:rPr>
        <w:t>v.</w:t>
      </w:r>
      <w:r w:rsidR="00B97D61" w:rsidRPr="00221B3E">
        <w:rPr>
          <w:iCs/>
          <w:lang w:val="en-CA"/>
        </w:rPr>
        <w:t xml:space="preserve"> </w:t>
      </w:r>
      <w:r w:rsidR="00B97D61" w:rsidRPr="00221B3E">
        <w:rPr>
          <w:i/>
          <w:iCs/>
          <w:lang w:val="en-CA"/>
        </w:rPr>
        <w:t>British Columbia (Securities Commission)</w:t>
      </w:r>
      <w:r w:rsidR="00B97D61" w:rsidRPr="00221B3E">
        <w:rPr>
          <w:iCs/>
          <w:lang w:val="en-CA"/>
        </w:rPr>
        <w:t>, 2021 BCCA 358.</w:t>
      </w:r>
    </w:p>
  </w:footnote>
  <w:footnote w:id="12">
    <w:p w14:paraId="0AD2D0B3" w14:textId="42D8AC46" w:rsidR="00F81A29" w:rsidRPr="00B97D61" w:rsidRDefault="00544DF4">
      <w:pPr>
        <w:pStyle w:val="Notedebasdepage"/>
        <w:rPr>
          <w:lang w:val="en-CA"/>
        </w:rPr>
      </w:pPr>
      <w:r>
        <w:rPr>
          <w:rStyle w:val="Appelnotedebasdep"/>
        </w:rPr>
        <w:footnoteRef/>
      </w:r>
      <w:r w:rsidRPr="00B97D61">
        <w:rPr>
          <w:lang w:val="en-CA"/>
        </w:rPr>
        <w:t xml:space="preserve"> </w:t>
      </w:r>
      <w:r w:rsidRPr="00B97D61">
        <w:rPr>
          <w:lang w:val="en-CA"/>
        </w:rPr>
        <w:tab/>
      </w:r>
      <w:r w:rsidR="00B97D61" w:rsidRPr="00221B3E">
        <w:rPr>
          <w:lang w:val="en-CA"/>
        </w:rPr>
        <w:t>See exhibit LPI-6.</w:t>
      </w:r>
    </w:p>
  </w:footnote>
  <w:footnote w:id="13">
    <w:p w14:paraId="571B3E05" w14:textId="77F50709" w:rsidR="00895FC4" w:rsidRPr="00B97D61" w:rsidRDefault="00895FC4" w:rsidP="00895FC4">
      <w:pPr>
        <w:pStyle w:val="Notedebasdepage"/>
        <w:rPr>
          <w:lang w:val="en-CA"/>
        </w:rPr>
      </w:pPr>
      <w:r>
        <w:rPr>
          <w:rStyle w:val="Appelnotedebasdep"/>
        </w:rPr>
        <w:footnoteRef/>
      </w:r>
      <w:r w:rsidRPr="00B97D61">
        <w:rPr>
          <w:lang w:val="en-CA"/>
        </w:rPr>
        <w:t xml:space="preserve"> </w:t>
      </w:r>
      <w:r w:rsidRPr="00B97D61">
        <w:rPr>
          <w:lang w:val="en-CA"/>
        </w:rPr>
        <w:tab/>
      </w:r>
      <w:r w:rsidR="00B97D61" w:rsidRPr="00221B3E">
        <w:rPr>
          <w:lang w:val="en-CA"/>
        </w:rPr>
        <w:t>See exhibits LPI-1 to LPI-3.</w:t>
      </w:r>
      <w:r w:rsidRPr="00B97D61">
        <w:rPr>
          <w:lang w:val="en-CA"/>
        </w:rPr>
        <w:t xml:space="preserve"> </w:t>
      </w:r>
      <w:r w:rsidR="00B97D61" w:rsidRPr="00B97D61">
        <w:rPr>
          <w:lang w:val="en-CA"/>
        </w:rPr>
        <w:t>The amount is approximate because the calculation of interest changes over time.</w:t>
      </w:r>
      <w:r w:rsidRPr="00B97D61">
        <w:rPr>
          <w:lang w:val="en-CA"/>
        </w:rPr>
        <w:t xml:space="preserve"> </w:t>
      </w:r>
      <w:r w:rsidR="00B97D61" w:rsidRPr="00221B3E">
        <w:rPr>
          <w:lang w:val="en-CA"/>
        </w:rPr>
        <w:t xml:space="preserve">Furthermore, for identification security reasons, the Tribunal will not disclose the </w:t>
      </w:r>
      <w:r w:rsidR="00CA6CED">
        <w:rPr>
          <w:lang w:val="en-CA"/>
        </w:rPr>
        <w:t>exact</w:t>
      </w:r>
      <w:r w:rsidR="00CA6CED" w:rsidRPr="00221B3E">
        <w:rPr>
          <w:lang w:val="en-CA"/>
        </w:rPr>
        <w:t xml:space="preserve"> </w:t>
      </w:r>
      <w:r w:rsidR="00B97D61" w:rsidRPr="00221B3E">
        <w:rPr>
          <w:lang w:val="en-CA"/>
        </w:rPr>
        <w:t xml:space="preserve">amounts of the </w:t>
      </w:r>
      <w:r w:rsidR="00B97D61" w:rsidRPr="00B97D61">
        <w:rPr>
          <w:lang w:val="en-CA"/>
        </w:rPr>
        <w:t>notices of assessment filed as exhibits</w:t>
      </w:r>
      <w:r w:rsidR="005023B2">
        <w:rPr>
          <w:lang w:val="en-CA"/>
        </w:rPr>
        <w:t>;</w:t>
      </w:r>
      <w:r w:rsidR="00B97D61" w:rsidRPr="00B97D61">
        <w:rPr>
          <w:lang w:val="en-CA"/>
        </w:rPr>
        <w:t xml:space="preserve"> see the</w:t>
      </w:r>
      <w:r w:rsidR="00EB26F4">
        <w:rPr>
          <w:lang w:val="en-CA"/>
        </w:rPr>
        <w:t xml:space="preserve"> </w:t>
      </w:r>
      <w:r w:rsidR="00B97D61" w:rsidRPr="00B97D61">
        <w:rPr>
          <w:lang w:val="en-CA"/>
        </w:rPr>
        <w:t xml:space="preserve">minutes of </w:t>
      </w:r>
      <w:r w:rsidR="00EB26F4">
        <w:rPr>
          <w:lang w:val="en-CA"/>
        </w:rPr>
        <w:t>t</w:t>
      </w:r>
      <w:r w:rsidR="00B97D61" w:rsidRPr="00B97D61">
        <w:rPr>
          <w:lang w:val="en-CA"/>
        </w:rPr>
        <w:t>he decision rendered from the bench on August 16, 2024.</w:t>
      </w:r>
      <w:r w:rsidRPr="00B97D61">
        <w:rPr>
          <w:lang w:val="en-CA"/>
        </w:rPr>
        <w:t xml:space="preserve">  </w:t>
      </w:r>
    </w:p>
  </w:footnote>
  <w:footnote w:id="14">
    <w:p w14:paraId="208627E0" w14:textId="5D77FA88" w:rsidR="00867684" w:rsidRPr="00B97D61" w:rsidRDefault="00867684" w:rsidP="00867684">
      <w:pPr>
        <w:pStyle w:val="Notedebasdepage"/>
        <w:rPr>
          <w:lang w:val="en-CA"/>
        </w:rPr>
      </w:pPr>
      <w:r>
        <w:rPr>
          <w:rStyle w:val="Appelnotedebasdep"/>
        </w:rPr>
        <w:footnoteRef/>
      </w:r>
      <w:r w:rsidRPr="00B97D61">
        <w:rPr>
          <w:lang w:val="en-CA"/>
        </w:rPr>
        <w:t xml:space="preserve"> </w:t>
      </w:r>
      <w:r w:rsidRPr="00B97D61">
        <w:rPr>
          <w:lang w:val="en-CA"/>
        </w:rPr>
        <w:tab/>
      </w:r>
      <w:r w:rsidR="00B97D61" w:rsidRPr="00221B3E">
        <w:rPr>
          <w:lang w:val="en-CA"/>
        </w:rPr>
        <w:t xml:space="preserve">The Tribunal need not rule on this finding for </w:t>
      </w:r>
      <w:r w:rsidR="00203680">
        <w:rPr>
          <w:lang w:val="en-CA"/>
        </w:rPr>
        <w:t xml:space="preserve">the purposes of </w:t>
      </w:r>
      <w:r w:rsidR="00B97D61" w:rsidRPr="00221B3E">
        <w:rPr>
          <w:lang w:val="en-CA"/>
        </w:rPr>
        <w:t xml:space="preserve">this </w:t>
      </w:r>
      <w:r w:rsidR="00421ED2" w:rsidRPr="00221B3E">
        <w:rPr>
          <w:lang w:val="en-CA"/>
        </w:rPr>
        <w:t>application</w:t>
      </w:r>
      <w:r w:rsidR="00B97D61" w:rsidRPr="00221B3E">
        <w:rPr>
          <w:lang w:val="en-CA"/>
        </w:rPr>
        <w:t xml:space="preserve"> because the Tribunal will partially lift the cease trad</w:t>
      </w:r>
      <w:r w:rsidR="00203680">
        <w:rPr>
          <w:lang w:val="en-CA"/>
        </w:rPr>
        <w:t>e</w:t>
      </w:r>
      <w:r w:rsidR="00B97D61" w:rsidRPr="00221B3E">
        <w:rPr>
          <w:lang w:val="en-CA"/>
        </w:rPr>
        <w:t xml:space="preserve"> orders </w:t>
      </w:r>
      <w:r w:rsidR="00203680">
        <w:rPr>
          <w:lang w:val="en-CA"/>
        </w:rPr>
        <w:t>on</w:t>
      </w:r>
      <w:r w:rsidR="00B97D61" w:rsidRPr="00221B3E">
        <w:rPr>
          <w:lang w:val="en-CA"/>
        </w:rPr>
        <w:t xml:space="preserve"> certain conditions.</w:t>
      </w:r>
    </w:p>
  </w:footnote>
  <w:footnote w:id="15">
    <w:p w14:paraId="092276C0" w14:textId="66C19D35" w:rsidR="00504744" w:rsidRPr="00B97D61" w:rsidRDefault="00504744" w:rsidP="00504744">
      <w:pPr>
        <w:pStyle w:val="Notedebasdepage"/>
        <w:rPr>
          <w:lang w:val="en-CA"/>
        </w:rPr>
      </w:pPr>
      <w:r>
        <w:rPr>
          <w:rStyle w:val="Appelnotedebasdep"/>
        </w:rPr>
        <w:footnoteRef/>
      </w:r>
      <w:r w:rsidRPr="00B97D61">
        <w:rPr>
          <w:lang w:val="en-CA"/>
        </w:rPr>
        <w:t xml:space="preserve"> </w:t>
      </w:r>
      <w:r w:rsidRPr="00B97D61">
        <w:rPr>
          <w:lang w:val="en-CA"/>
        </w:rPr>
        <w:tab/>
      </w:r>
      <w:r w:rsidR="00B97D61" w:rsidRPr="00221B3E">
        <w:rPr>
          <w:lang w:val="en-CA"/>
        </w:rPr>
        <w:t>See exhibit LPI-5.</w:t>
      </w:r>
    </w:p>
  </w:footnote>
  <w:footnote w:id="16">
    <w:p w14:paraId="3604426F" w14:textId="4F870B03" w:rsidR="00504744" w:rsidRPr="00B97D61" w:rsidRDefault="00504744" w:rsidP="00504744">
      <w:pPr>
        <w:pStyle w:val="Notedebasdepage"/>
        <w:rPr>
          <w:lang w:val="en-CA"/>
        </w:rPr>
      </w:pPr>
      <w:r>
        <w:rPr>
          <w:rStyle w:val="Appelnotedebasdep"/>
        </w:rPr>
        <w:footnoteRef/>
      </w:r>
      <w:r w:rsidRPr="00B97D61">
        <w:rPr>
          <w:lang w:val="en-CA"/>
        </w:rPr>
        <w:t xml:space="preserve"> </w:t>
      </w:r>
      <w:r w:rsidRPr="00B97D61">
        <w:rPr>
          <w:lang w:val="en-CA"/>
        </w:rPr>
        <w:tab/>
      </w:r>
      <w:r w:rsidR="00B97D61" w:rsidRPr="00221B3E">
        <w:rPr>
          <w:lang w:val="en-CA"/>
        </w:rPr>
        <w:t>See in particular exhibit D-14.</w:t>
      </w:r>
    </w:p>
  </w:footnote>
  <w:footnote w:id="17">
    <w:p w14:paraId="4F795928" w14:textId="0F00BB7D" w:rsidR="00D40D7A" w:rsidRDefault="00D40D7A" w:rsidP="00D40D7A">
      <w:pPr>
        <w:pStyle w:val="Notedebasdepage"/>
      </w:pPr>
      <w:r>
        <w:rPr>
          <w:rStyle w:val="Appelnotedebasdep"/>
        </w:rPr>
        <w:footnoteRef/>
      </w:r>
      <w:r>
        <w:t xml:space="preserve"> </w:t>
      </w:r>
      <w:r>
        <w:tab/>
      </w:r>
      <w:r w:rsidR="00B97D61" w:rsidRPr="00221B3E">
        <w:rPr>
          <w:i/>
          <w:iCs/>
        </w:rPr>
        <w:t xml:space="preserve">Autorité des marchés financiers </w:t>
      </w:r>
      <w:r w:rsidR="00B97D61" w:rsidRPr="00AF1C3D">
        <w:rPr>
          <w:i/>
        </w:rPr>
        <w:t>c.</w:t>
      </w:r>
      <w:r w:rsidR="00B97D61" w:rsidRPr="00221B3E">
        <w:rPr>
          <w:iCs/>
        </w:rPr>
        <w:t xml:space="preserve"> </w:t>
      </w:r>
      <w:r w:rsidR="00B97D61" w:rsidRPr="00221B3E">
        <w:rPr>
          <w:i/>
          <w:iCs/>
        </w:rPr>
        <w:t>Allard</w:t>
      </w:r>
      <w:r w:rsidR="00B97D61" w:rsidRPr="00221B3E">
        <w:rPr>
          <w:iCs/>
        </w:rPr>
        <w:t>, 2024 QCTMF 42.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FE41" w14:textId="77777777" w:rsidR="00BB6DD9" w:rsidRDefault="00BB6DD9">
    <w:pPr>
      <w:pStyle w:val="En-tte"/>
    </w:pPr>
  </w:p>
  <w:p w14:paraId="5BBB135E" w14:textId="77777777" w:rsidR="00DB77DF" w:rsidRDefault="00DB77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DB5A" w14:textId="3573E850" w:rsidR="00BA1920" w:rsidRDefault="00B97D61">
    <w:pPr>
      <w:tabs>
        <w:tab w:val="center" w:pos="4709"/>
        <w:tab w:val="right" w:pos="9360"/>
      </w:tabs>
      <w:ind w:right="524"/>
    </w:pPr>
    <w:r>
      <w:t>2024-010-002</w:t>
    </w:r>
    <w:r w:rsidR="00544DF4">
      <w:tab/>
    </w:r>
    <w:r w:rsidR="00544DF4">
      <w:tab/>
    </w:r>
    <w:r w:rsidRPr="00221B3E">
      <w:t>PAGE:</w:t>
    </w:r>
    <w:r w:rsidR="00544DF4">
      <w:t xml:space="preserve"> </w:t>
    </w:r>
    <w:r w:rsidR="00544DF4">
      <w:fldChar w:fldCharType="begin"/>
    </w:r>
    <w:r w:rsidR="00544DF4">
      <w:instrText xml:space="preserve"> PAGE </w:instrText>
    </w:r>
    <w:r w:rsidR="00544DF4">
      <w:fldChar w:fldCharType="separate"/>
    </w:r>
    <w:r w:rsidR="002F4F53">
      <w:rPr>
        <w:noProof/>
      </w:rPr>
      <w:t>13</w:t>
    </w:r>
    <w:r w:rsidR="00544DF4">
      <w:fldChar w:fldCharType="end"/>
    </w:r>
  </w:p>
  <w:p w14:paraId="3A691317" w14:textId="77777777" w:rsidR="00BA1920" w:rsidRDefault="00BA1920">
    <w:pPr>
      <w:tabs>
        <w:tab w:val="center" w:pos="4709"/>
        <w:tab w:val="right" w:pos="9090"/>
      </w:tabs>
      <w:ind w:right="524"/>
    </w:pPr>
  </w:p>
  <w:p w14:paraId="6C0E3BE2" w14:textId="77777777" w:rsidR="00BA1920" w:rsidRDefault="00BA1920">
    <w:pPr>
      <w:tabs>
        <w:tab w:val="center" w:pos="4709"/>
        <w:tab w:val="right" w:pos="9090"/>
      </w:tabs>
      <w:ind w:right="524"/>
    </w:pPr>
  </w:p>
  <w:p w14:paraId="551AD0E0" w14:textId="77777777" w:rsidR="00DB77DF" w:rsidRDefault="00DB77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B3AD" w14:textId="77777777" w:rsidR="00A340C2" w:rsidRDefault="00A340C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AE4"/>
    <w:multiLevelType w:val="hybridMultilevel"/>
    <w:tmpl w:val="C9E61B2E"/>
    <w:lvl w:ilvl="0" w:tplc="1904030E">
      <w:start w:val="1"/>
      <w:numFmt w:val="decimal"/>
      <w:pStyle w:val="Paragraphedeliste"/>
      <w:lvlText w:val="%1."/>
      <w:lvlJc w:val="left"/>
      <w:pPr>
        <w:ind w:left="1070"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8FA2BE2E">
      <w:start w:val="1"/>
      <w:numFmt w:val="lowerLetter"/>
      <w:lvlText w:val="%2."/>
      <w:lvlJc w:val="left"/>
      <w:pPr>
        <w:ind w:left="1080" w:hanging="360"/>
      </w:pPr>
    </w:lvl>
    <w:lvl w:ilvl="2" w:tplc="7CB6B444">
      <w:start w:val="1"/>
      <w:numFmt w:val="lowerRoman"/>
      <w:lvlText w:val="%3."/>
      <w:lvlJc w:val="right"/>
      <w:pPr>
        <w:ind w:left="1800" w:hanging="180"/>
      </w:pPr>
    </w:lvl>
    <w:lvl w:ilvl="3" w:tplc="204455B8" w:tentative="1">
      <w:start w:val="1"/>
      <w:numFmt w:val="decimal"/>
      <w:lvlText w:val="%4."/>
      <w:lvlJc w:val="left"/>
      <w:pPr>
        <w:ind w:left="2520" w:hanging="360"/>
      </w:pPr>
    </w:lvl>
    <w:lvl w:ilvl="4" w:tplc="0DAA8302" w:tentative="1">
      <w:start w:val="1"/>
      <w:numFmt w:val="lowerLetter"/>
      <w:lvlText w:val="%5."/>
      <w:lvlJc w:val="left"/>
      <w:pPr>
        <w:ind w:left="3240" w:hanging="360"/>
      </w:pPr>
    </w:lvl>
    <w:lvl w:ilvl="5" w:tplc="7D328E20" w:tentative="1">
      <w:start w:val="1"/>
      <w:numFmt w:val="lowerRoman"/>
      <w:lvlText w:val="%6."/>
      <w:lvlJc w:val="right"/>
      <w:pPr>
        <w:ind w:left="3960" w:hanging="180"/>
      </w:pPr>
    </w:lvl>
    <w:lvl w:ilvl="6" w:tplc="D26047DE" w:tentative="1">
      <w:start w:val="1"/>
      <w:numFmt w:val="decimal"/>
      <w:lvlText w:val="%7."/>
      <w:lvlJc w:val="left"/>
      <w:pPr>
        <w:ind w:left="4680" w:hanging="360"/>
      </w:pPr>
    </w:lvl>
    <w:lvl w:ilvl="7" w:tplc="794031A6" w:tentative="1">
      <w:start w:val="1"/>
      <w:numFmt w:val="lowerLetter"/>
      <w:lvlText w:val="%8."/>
      <w:lvlJc w:val="left"/>
      <w:pPr>
        <w:ind w:left="5400" w:hanging="360"/>
      </w:pPr>
    </w:lvl>
    <w:lvl w:ilvl="8" w:tplc="07B29570" w:tentative="1">
      <w:start w:val="1"/>
      <w:numFmt w:val="lowerRoman"/>
      <w:lvlText w:val="%9."/>
      <w:lvlJc w:val="right"/>
      <w:pPr>
        <w:ind w:left="6120" w:hanging="180"/>
      </w:pPr>
    </w:lvl>
  </w:abstractNum>
  <w:abstractNum w:abstractNumId="1" w15:restartNumberingAfterBreak="0">
    <w:nsid w:val="11510189"/>
    <w:multiLevelType w:val="hybridMultilevel"/>
    <w:tmpl w:val="1D906624"/>
    <w:lvl w:ilvl="0" w:tplc="1764A59A">
      <w:start w:val="1"/>
      <w:numFmt w:val="bullet"/>
      <w:pStyle w:val="noo"/>
      <w:lvlText w:val=""/>
      <w:lvlJc w:val="left"/>
      <w:pPr>
        <w:tabs>
          <w:tab w:val="num" w:pos="720"/>
        </w:tabs>
        <w:ind w:left="720" w:hanging="360"/>
      </w:pPr>
      <w:rPr>
        <w:rFonts w:ascii="Symbol" w:hAnsi="Symbol" w:hint="default"/>
      </w:rPr>
    </w:lvl>
    <w:lvl w:ilvl="1" w:tplc="7D220F6C" w:tentative="1">
      <w:start w:val="1"/>
      <w:numFmt w:val="bullet"/>
      <w:lvlText w:val="o"/>
      <w:lvlJc w:val="left"/>
      <w:pPr>
        <w:tabs>
          <w:tab w:val="num" w:pos="1440"/>
        </w:tabs>
        <w:ind w:left="1440" w:hanging="360"/>
      </w:pPr>
      <w:rPr>
        <w:rFonts w:ascii="Courier New" w:hAnsi="Courier New" w:hint="default"/>
      </w:rPr>
    </w:lvl>
    <w:lvl w:ilvl="2" w:tplc="F0767D84" w:tentative="1">
      <w:start w:val="1"/>
      <w:numFmt w:val="bullet"/>
      <w:lvlText w:val=""/>
      <w:lvlJc w:val="left"/>
      <w:pPr>
        <w:tabs>
          <w:tab w:val="num" w:pos="2160"/>
        </w:tabs>
        <w:ind w:left="2160" w:hanging="360"/>
      </w:pPr>
      <w:rPr>
        <w:rFonts w:ascii="Wingdings" w:hAnsi="Wingdings" w:hint="default"/>
      </w:rPr>
    </w:lvl>
    <w:lvl w:ilvl="3" w:tplc="B4B89440" w:tentative="1">
      <w:start w:val="1"/>
      <w:numFmt w:val="bullet"/>
      <w:lvlText w:val=""/>
      <w:lvlJc w:val="left"/>
      <w:pPr>
        <w:tabs>
          <w:tab w:val="num" w:pos="2880"/>
        </w:tabs>
        <w:ind w:left="2880" w:hanging="360"/>
      </w:pPr>
      <w:rPr>
        <w:rFonts w:ascii="Symbol" w:hAnsi="Symbol" w:hint="default"/>
      </w:rPr>
    </w:lvl>
    <w:lvl w:ilvl="4" w:tplc="FE3E22DA" w:tentative="1">
      <w:start w:val="1"/>
      <w:numFmt w:val="bullet"/>
      <w:lvlText w:val="o"/>
      <w:lvlJc w:val="left"/>
      <w:pPr>
        <w:tabs>
          <w:tab w:val="num" w:pos="3600"/>
        </w:tabs>
        <w:ind w:left="3600" w:hanging="360"/>
      </w:pPr>
      <w:rPr>
        <w:rFonts w:ascii="Courier New" w:hAnsi="Courier New" w:hint="default"/>
      </w:rPr>
    </w:lvl>
    <w:lvl w:ilvl="5" w:tplc="6A8270D4" w:tentative="1">
      <w:start w:val="1"/>
      <w:numFmt w:val="bullet"/>
      <w:lvlText w:val=""/>
      <w:lvlJc w:val="left"/>
      <w:pPr>
        <w:tabs>
          <w:tab w:val="num" w:pos="4320"/>
        </w:tabs>
        <w:ind w:left="4320" w:hanging="360"/>
      </w:pPr>
      <w:rPr>
        <w:rFonts w:ascii="Wingdings" w:hAnsi="Wingdings" w:hint="default"/>
      </w:rPr>
    </w:lvl>
    <w:lvl w:ilvl="6" w:tplc="D4823D3C" w:tentative="1">
      <w:start w:val="1"/>
      <w:numFmt w:val="bullet"/>
      <w:lvlText w:val=""/>
      <w:lvlJc w:val="left"/>
      <w:pPr>
        <w:tabs>
          <w:tab w:val="num" w:pos="5040"/>
        </w:tabs>
        <w:ind w:left="5040" w:hanging="360"/>
      </w:pPr>
      <w:rPr>
        <w:rFonts w:ascii="Symbol" w:hAnsi="Symbol" w:hint="default"/>
      </w:rPr>
    </w:lvl>
    <w:lvl w:ilvl="7" w:tplc="81E6E9DA" w:tentative="1">
      <w:start w:val="1"/>
      <w:numFmt w:val="bullet"/>
      <w:lvlText w:val="o"/>
      <w:lvlJc w:val="left"/>
      <w:pPr>
        <w:tabs>
          <w:tab w:val="num" w:pos="5760"/>
        </w:tabs>
        <w:ind w:left="5760" w:hanging="360"/>
      </w:pPr>
      <w:rPr>
        <w:rFonts w:ascii="Courier New" w:hAnsi="Courier New" w:hint="default"/>
      </w:rPr>
    </w:lvl>
    <w:lvl w:ilvl="8" w:tplc="DF181D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B77B6D"/>
    <w:multiLevelType w:val="hybridMultilevel"/>
    <w:tmpl w:val="ADF8ABB2"/>
    <w:lvl w:ilvl="0" w:tplc="952E792A">
      <w:start w:val="1"/>
      <w:numFmt w:val="bullet"/>
      <w:lvlText w:val=""/>
      <w:lvlJc w:val="left"/>
      <w:pPr>
        <w:ind w:left="720" w:hanging="360"/>
      </w:pPr>
      <w:rPr>
        <w:rFonts w:ascii="Symbol" w:hAnsi="Symbol" w:hint="default"/>
      </w:rPr>
    </w:lvl>
    <w:lvl w:ilvl="1" w:tplc="E03056AE" w:tentative="1">
      <w:start w:val="1"/>
      <w:numFmt w:val="bullet"/>
      <w:lvlText w:val="o"/>
      <w:lvlJc w:val="left"/>
      <w:pPr>
        <w:ind w:left="1440" w:hanging="360"/>
      </w:pPr>
      <w:rPr>
        <w:rFonts w:ascii="Courier New" w:hAnsi="Courier New" w:cs="Courier New" w:hint="default"/>
      </w:rPr>
    </w:lvl>
    <w:lvl w:ilvl="2" w:tplc="D8A4C5D4" w:tentative="1">
      <w:start w:val="1"/>
      <w:numFmt w:val="bullet"/>
      <w:lvlText w:val=""/>
      <w:lvlJc w:val="left"/>
      <w:pPr>
        <w:ind w:left="2160" w:hanging="360"/>
      </w:pPr>
      <w:rPr>
        <w:rFonts w:ascii="Wingdings" w:hAnsi="Wingdings" w:hint="default"/>
      </w:rPr>
    </w:lvl>
    <w:lvl w:ilvl="3" w:tplc="01662062" w:tentative="1">
      <w:start w:val="1"/>
      <w:numFmt w:val="bullet"/>
      <w:lvlText w:val=""/>
      <w:lvlJc w:val="left"/>
      <w:pPr>
        <w:ind w:left="2880" w:hanging="360"/>
      </w:pPr>
      <w:rPr>
        <w:rFonts w:ascii="Symbol" w:hAnsi="Symbol" w:hint="default"/>
      </w:rPr>
    </w:lvl>
    <w:lvl w:ilvl="4" w:tplc="A72CE204" w:tentative="1">
      <w:start w:val="1"/>
      <w:numFmt w:val="bullet"/>
      <w:lvlText w:val="o"/>
      <w:lvlJc w:val="left"/>
      <w:pPr>
        <w:ind w:left="3600" w:hanging="360"/>
      </w:pPr>
      <w:rPr>
        <w:rFonts w:ascii="Courier New" w:hAnsi="Courier New" w:cs="Courier New" w:hint="default"/>
      </w:rPr>
    </w:lvl>
    <w:lvl w:ilvl="5" w:tplc="2D522070" w:tentative="1">
      <w:start w:val="1"/>
      <w:numFmt w:val="bullet"/>
      <w:lvlText w:val=""/>
      <w:lvlJc w:val="left"/>
      <w:pPr>
        <w:ind w:left="4320" w:hanging="360"/>
      </w:pPr>
      <w:rPr>
        <w:rFonts w:ascii="Wingdings" w:hAnsi="Wingdings" w:hint="default"/>
      </w:rPr>
    </w:lvl>
    <w:lvl w:ilvl="6" w:tplc="DFA68B9A" w:tentative="1">
      <w:start w:val="1"/>
      <w:numFmt w:val="bullet"/>
      <w:lvlText w:val=""/>
      <w:lvlJc w:val="left"/>
      <w:pPr>
        <w:ind w:left="5040" w:hanging="360"/>
      </w:pPr>
      <w:rPr>
        <w:rFonts w:ascii="Symbol" w:hAnsi="Symbol" w:hint="default"/>
      </w:rPr>
    </w:lvl>
    <w:lvl w:ilvl="7" w:tplc="38BAB8A4" w:tentative="1">
      <w:start w:val="1"/>
      <w:numFmt w:val="bullet"/>
      <w:lvlText w:val="o"/>
      <w:lvlJc w:val="left"/>
      <w:pPr>
        <w:ind w:left="5760" w:hanging="360"/>
      </w:pPr>
      <w:rPr>
        <w:rFonts w:ascii="Courier New" w:hAnsi="Courier New" w:cs="Courier New" w:hint="default"/>
      </w:rPr>
    </w:lvl>
    <w:lvl w:ilvl="8" w:tplc="F404BF14" w:tentative="1">
      <w:start w:val="1"/>
      <w:numFmt w:val="bullet"/>
      <w:lvlText w:val=""/>
      <w:lvlJc w:val="left"/>
      <w:pPr>
        <w:ind w:left="6480" w:hanging="360"/>
      </w:pPr>
      <w:rPr>
        <w:rFonts w:ascii="Wingdings" w:hAnsi="Wingdings" w:hint="default"/>
      </w:rPr>
    </w:lvl>
  </w:abstractNum>
  <w:abstractNum w:abstractNumId="3" w15:restartNumberingAfterBreak="0">
    <w:nsid w:val="4DEF1070"/>
    <w:multiLevelType w:val="hybridMultilevel"/>
    <w:tmpl w:val="9306E992"/>
    <w:lvl w:ilvl="0" w:tplc="A6B03832">
      <w:start w:val="1"/>
      <w:numFmt w:val="bullet"/>
      <w:lvlText w:val=""/>
      <w:lvlJc w:val="left"/>
      <w:pPr>
        <w:ind w:left="720" w:hanging="360"/>
      </w:pPr>
      <w:rPr>
        <w:rFonts w:ascii="Symbol" w:hAnsi="Symbol" w:hint="default"/>
      </w:rPr>
    </w:lvl>
    <w:lvl w:ilvl="1" w:tplc="5A4A5062" w:tentative="1">
      <w:start w:val="1"/>
      <w:numFmt w:val="bullet"/>
      <w:lvlText w:val="o"/>
      <w:lvlJc w:val="left"/>
      <w:pPr>
        <w:ind w:left="1440" w:hanging="360"/>
      </w:pPr>
      <w:rPr>
        <w:rFonts w:ascii="Courier New" w:hAnsi="Courier New" w:cs="Courier New" w:hint="default"/>
      </w:rPr>
    </w:lvl>
    <w:lvl w:ilvl="2" w:tplc="43AEF3D0" w:tentative="1">
      <w:start w:val="1"/>
      <w:numFmt w:val="bullet"/>
      <w:lvlText w:val=""/>
      <w:lvlJc w:val="left"/>
      <w:pPr>
        <w:ind w:left="2160" w:hanging="360"/>
      </w:pPr>
      <w:rPr>
        <w:rFonts w:ascii="Wingdings" w:hAnsi="Wingdings" w:hint="default"/>
      </w:rPr>
    </w:lvl>
    <w:lvl w:ilvl="3" w:tplc="FB2438FE" w:tentative="1">
      <w:start w:val="1"/>
      <w:numFmt w:val="bullet"/>
      <w:lvlText w:val=""/>
      <w:lvlJc w:val="left"/>
      <w:pPr>
        <w:ind w:left="2880" w:hanging="360"/>
      </w:pPr>
      <w:rPr>
        <w:rFonts w:ascii="Symbol" w:hAnsi="Symbol" w:hint="default"/>
      </w:rPr>
    </w:lvl>
    <w:lvl w:ilvl="4" w:tplc="EDFC638E" w:tentative="1">
      <w:start w:val="1"/>
      <w:numFmt w:val="bullet"/>
      <w:lvlText w:val="o"/>
      <w:lvlJc w:val="left"/>
      <w:pPr>
        <w:ind w:left="3600" w:hanging="360"/>
      </w:pPr>
      <w:rPr>
        <w:rFonts w:ascii="Courier New" w:hAnsi="Courier New" w:cs="Courier New" w:hint="default"/>
      </w:rPr>
    </w:lvl>
    <w:lvl w:ilvl="5" w:tplc="CCF2EA02" w:tentative="1">
      <w:start w:val="1"/>
      <w:numFmt w:val="bullet"/>
      <w:lvlText w:val=""/>
      <w:lvlJc w:val="left"/>
      <w:pPr>
        <w:ind w:left="4320" w:hanging="360"/>
      </w:pPr>
      <w:rPr>
        <w:rFonts w:ascii="Wingdings" w:hAnsi="Wingdings" w:hint="default"/>
      </w:rPr>
    </w:lvl>
    <w:lvl w:ilvl="6" w:tplc="DD603414" w:tentative="1">
      <w:start w:val="1"/>
      <w:numFmt w:val="bullet"/>
      <w:lvlText w:val=""/>
      <w:lvlJc w:val="left"/>
      <w:pPr>
        <w:ind w:left="5040" w:hanging="360"/>
      </w:pPr>
      <w:rPr>
        <w:rFonts w:ascii="Symbol" w:hAnsi="Symbol" w:hint="default"/>
      </w:rPr>
    </w:lvl>
    <w:lvl w:ilvl="7" w:tplc="6CA092FE" w:tentative="1">
      <w:start w:val="1"/>
      <w:numFmt w:val="bullet"/>
      <w:lvlText w:val="o"/>
      <w:lvlJc w:val="left"/>
      <w:pPr>
        <w:ind w:left="5760" w:hanging="360"/>
      </w:pPr>
      <w:rPr>
        <w:rFonts w:ascii="Courier New" w:hAnsi="Courier New" w:cs="Courier New" w:hint="default"/>
      </w:rPr>
    </w:lvl>
    <w:lvl w:ilvl="8" w:tplc="C7F20AC6" w:tentative="1">
      <w:start w:val="1"/>
      <w:numFmt w:val="bullet"/>
      <w:lvlText w:val=""/>
      <w:lvlJc w:val="left"/>
      <w:pPr>
        <w:ind w:left="6480" w:hanging="360"/>
      </w:pPr>
      <w:rPr>
        <w:rFonts w:ascii="Wingdings" w:hAnsi="Wingdings" w:hint="default"/>
      </w:rPr>
    </w:lvl>
  </w:abstractNum>
  <w:abstractNum w:abstractNumId="4" w15:restartNumberingAfterBreak="0">
    <w:nsid w:val="609C0DCC"/>
    <w:multiLevelType w:val="multilevel"/>
    <w:tmpl w:val="078E11EA"/>
    <w:lvl w:ilvl="0">
      <w:start w:val="1"/>
      <w:numFmt w:val="decimal"/>
      <w:pStyle w:val="Paragraphe"/>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62716477"/>
    <w:multiLevelType w:val="multilevel"/>
    <w:tmpl w:val="E848A6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FCA4020"/>
    <w:multiLevelType w:val="hybridMultilevel"/>
    <w:tmpl w:val="BB18FF6C"/>
    <w:lvl w:ilvl="0" w:tplc="A9188CE6">
      <w:start w:val="1"/>
      <w:numFmt w:val="bullet"/>
      <w:lvlText w:val=""/>
      <w:lvlJc w:val="left"/>
      <w:pPr>
        <w:ind w:left="720" w:hanging="360"/>
      </w:pPr>
      <w:rPr>
        <w:rFonts w:ascii="Symbol" w:hAnsi="Symbol" w:hint="default"/>
      </w:rPr>
    </w:lvl>
    <w:lvl w:ilvl="1" w:tplc="CA56C6D8" w:tentative="1">
      <w:start w:val="1"/>
      <w:numFmt w:val="bullet"/>
      <w:lvlText w:val="o"/>
      <w:lvlJc w:val="left"/>
      <w:pPr>
        <w:ind w:left="1440" w:hanging="360"/>
      </w:pPr>
      <w:rPr>
        <w:rFonts w:ascii="Courier New" w:hAnsi="Courier New" w:cs="Courier New" w:hint="default"/>
      </w:rPr>
    </w:lvl>
    <w:lvl w:ilvl="2" w:tplc="DABA934E" w:tentative="1">
      <w:start w:val="1"/>
      <w:numFmt w:val="bullet"/>
      <w:lvlText w:val=""/>
      <w:lvlJc w:val="left"/>
      <w:pPr>
        <w:ind w:left="2160" w:hanging="360"/>
      </w:pPr>
      <w:rPr>
        <w:rFonts w:ascii="Wingdings" w:hAnsi="Wingdings" w:hint="default"/>
      </w:rPr>
    </w:lvl>
    <w:lvl w:ilvl="3" w:tplc="AFA6030C" w:tentative="1">
      <w:start w:val="1"/>
      <w:numFmt w:val="bullet"/>
      <w:lvlText w:val=""/>
      <w:lvlJc w:val="left"/>
      <w:pPr>
        <w:ind w:left="2880" w:hanging="360"/>
      </w:pPr>
      <w:rPr>
        <w:rFonts w:ascii="Symbol" w:hAnsi="Symbol" w:hint="default"/>
      </w:rPr>
    </w:lvl>
    <w:lvl w:ilvl="4" w:tplc="21D68FF4" w:tentative="1">
      <w:start w:val="1"/>
      <w:numFmt w:val="bullet"/>
      <w:lvlText w:val="o"/>
      <w:lvlJc w:val="left"/>
      <w:pPr>
        <w:ind w:left="3600" w:hanging="360"/>
      </w:pPr>
      <w:rPr>
        <w:rFonts w:ascii="Courier New" w:hAnsi="Courier New" w:cs="Courier New" w:hint="default"/>
      </w:rPr>
    </w:lvl>
    <w:lvl w:ilvl="5" w:tplc="259E988C" w:tentative="1">
      <w:start w:val="1"/>
      <w:numFmt w:val="bullet"/>
      <w:lvlText w:val=""/>
      <w:lvlJc w:val="left"/>
      <w:pPr>
        <w:ind w:left="4320" w:hanging="360"/>
      </w:pPr>
      <w:rPr>
        <w:rFonts w:ascii="Wingdings" w:hAnsi="Wingdings" w:hint="default"/>
      </w:rPr>
    </w:lvl>
    <w:lvl w:ilvl="6" w:tplc="D0A03246" w:tentative="1">
      <w:start w:val="1"/>
      <w:numFmt w:val="bullet"/>
      <w:lvlText w:val=""/>
      <w:lvlJc w:val="left"/>
      <w:pPr>
        <w:ind w:left="5040" w:hanging="360"/>
      </w:pPr>
      <w:rPr>
        <w:rFonts w:ascii="Symbol" w:hAnsi="Symbol" w:hint="default"/>
      </w:rPr>
    </w:lvl>
    <w:lvl w:ilvl="7" w:tplc="08E829EA" w:tentative="1">
      <w:start w:val="1"/>
      <w:numFmt w:val="bullet"/>
      <w:lvlText w:val="o"/>
      <w:lvlJc w:val="left"/>
      <w:pPr>
        <w:ind w:left="5760" w:hanging="360"/>
      </w:pPr>
      <w:rPr>
        <w:rFonts w:ascii="Courier New" w:hAnsi="Courier New" w:cs="Courier New" w:hint="default"/>
      </w:rPr>
    </w:lvl>
    <w:lvl w:ilvl="8" w:tplc="67C45B08" w:tentative="1">
      <w:start w:val="1"/>
      <w:numFmt w:val="bullet"/>
      <w:lvlText w:val=""/>
      <w:lvlJc w:val="left"/>
      <w:pPr>
        <w:ind w:left="6480" w:hanging="360"/>
      </w:pPr>
      <w:rPr>
        <w:rFonts w:ascii="Wingdings" w:hAnsi="Wingdings" w:hint="default"/>
      </w:rPr>
    </w:lvl>
  </w:abstractNum>
  <w:num w:numId="1" w16cid:durableId="339235058">
    <w:abstractNumId w:val="4"/>
  </w:num>
  <w:num w:numId="2" w16cid:durableId="1418866234">
    <w:abstractNumId w:val="4"/>
  </w:num>
  <w:num w:numId="3" w16cid:durableId="393238883">
    <w:abstractNumId w:val="0"/>
  </w:num>
  <w:num w:numId="4" w16cid:durableId="2133402120">
    <w:abstractNumId w:val="1"/>
  </w:num>
  <w:num w:numId="5" w16cid:durableId="1200707802">
    <w:abstractNumId w:val="6"/>
  </w:num>
  <w:num w:numId="6" w16cid:durableId="526219253">
    <w:abstractNumId w:val="3"/>
  </w:num>
  <w:num w:numId="7" w16cid:durableId="1374888044">
    <w:abstractNumId w:val="2"/>
  </w:num>
  <w:num w:numId="8" w16cid:durableId="1703361807">
    <w:abstractNumId w:val="5"/>
  </w:num>
  <w:num w:numId="9" w16cid:durableId="3186566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09032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4"/>
  <w:hyphenationZone w:val="425"/>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45"/>
    <w:rsid w:val="00000AEC"/>
    <w:rsid w:val="000040AE"/>
    <w:rsid w:val="00004BFB"/>
    <w:rsid w:val="000057A9"/>
    <w:rsid w:val="0000595D"/>
    <w:rsid w:val="000059EC"/>
    <w:rsid w:val="00013757"/>
    <w:rsid w:val="00015AF0"/>
    <w:rsid w:val="00015F7A"/>
    <w:rsid w:val="00016B94"/>
    <w:rsid w:val="00017E63"/>
    <w:rsid w:val="000207A3"/>
    <w:rsid w:val="00020AC6"/>
    <w:rsid w:val="000210A0"/>
    <w:rsid w:val="00022038"/>
    <w:rsid w:val="000238CE"/>
    <w:rsid w:val="00023C94"/>
    <w:rsid w:val="00024B03"/>
    <w:rsid w:val="000256EF"/>
    <w:rsid w:val="0002579B"/>
    <w:rsid w:val="0002722E"/>
    <w:rsid w:val="00027F70"/>
    <w:rsid w:val="000300EA"/>
    <w:rsid w:val="00030968"/>
    <w:rsid w:val="00035D7F"/>
    <w:rsid w:val="00037C2C"/>
    <w:rsid w:val="0004095E"/>
    <w:rsid w:val="0004201E"/>
    <w:rsid w:val="00043556"/>
    <w:rsid w:val="00043CC8"/>
    <w:rsid w:val="00047994"/>
    <w:rsid w:val="0005035C"/>
    <w:rsid w:val="0005095C"/>
    <w:rsid w:val="000510FE"/>
    <w:rsid w:val="00051C29"/>
    <w:rsid w:val="0005293D"/>
    <w:rsid w:val="00052F42"/>
    <w:rsid w:val="000538A7"/>
    <w:rsid w:val="000607EE"/>
    <w:rsid w:val="000617DC"/>
    <w:rsid w:val="00064915"/>
    <w:rsid w:val="000654C7"/>
    <w:rsid w:val="00065A33"/>
    <w:rsid w:val="00065D5A"/>
    <w:rsid w:val="00067334"/>
    <w:rsid w:val="00070D1D"/>
    <w:rsid w:val="00070D64"/>
    <w:rsid w:val="000722A2"/>
    <w:rsid w:val="000736E5"/>
    <w:rsid w:val="0007459B"/>
    <w:rsid w:val="00077161"/>
    <w:rsid w:val="000807EF"/>
    <w:rsid w:val="00080CA4"/>
    <w:rsid w:val="00081831"/>
    <w:rsid w:val="00081859"/>
    <w:rsid w:val="00083532"/>
    <w:rsid w:val="0008421E"/>
    <w:rsid w:val="00085E92"/>
    <w:rsid w:val="0008799D"/>
    <w:rsid w:val="000914FE"/>
    <w:rsid w:val="00092E40"/>
    <w:rsid w:val="000951FB"/>
    <w:rsid w:val="00096FFD"/>
    <w:rsid w:val="000976EC"/>
    <w:rsid w:val="000A381D"/>
    <w:rsid w:val="000A5D7B"/>
    <w:rsid w:val="000A67B6"/>
    <w:rsid w:val="000A7378"/>
    <w:rsid w:val="000A7582"/>
    <w:rsid w:val="000B407F"/>
    <w:rsid w:val="000B44D9"/>
    <w:rsid w:val="000B4D38"/>
    <w:rsid w:val="000B635A"/>
    <w:rsid w:val="000C2FEA"/>
    <w:rsid w:val="000C3CA9"/>
    <w:rsid w:val="000C4038"/>
    <w:rsid w:val="000C7B38"/>
    <w:rsid w:val="000C7ED5"/>
    <w:rsid w:val="000D0989"/>
    <w:rsid w:val="000D0AE5"/>
    <w:rsid w:val="000D25F3"/>
    <w:rsid w:val="000D2FD5"/>
    <w:rsid w:val="000D4EFE"/>
    <w:rsid w:val="000D6175"/>
    <w:rsid w:val="000D6ABD"/>
    <w:rsid w:val="000D6CAD"/>
    <w:rsid w:val="000D727B"/>
    <w:rsid w:val="000D7784"/>
    <w:rsid w:val="000E3A2C"/>
    <w:rsid w:val="000E4886"/>
    <w:rsid w:val="000E5610"/>
    <w:rsid w:val="000E7F80"/>
    <w:rsid w:val="000F0A41"/>
    <w:rsid w:val="000F5C49"/>
    <w:rsid w:val="001021CA"/>
    <w:rsid w:val="00102615"/>
    <w:rsid w:val="0010326D"/>
    <w:rsid w:val="001036F9"/>
    <w:rsid w:val="00104305"/>
    <w:rsid w:val="00104AB6"/>
    <w:rsid w:val="00104DE7"/>
    <w:rsid w:val="00105E97"/>
    <w:rsid w:val="001067F5"/>
    <w:rsid w:val="00106AD3"/>
    <w:rsid w:val="001111A5"/>
    <w:rsid w:val="0011280F"/>
    <w:rsid w:val="0011452C"/>
    <w:rsid w:val="00117774"/>
    <w:rsid w:val="0012334D"/>
    <w:rsid w:val="00124878"/>
    <w:rsid w:val="00125D63"/>
    <w:rsid w:val="0012679B"/>
    <w:rsid w:val="001337CE"/>
    <w:rsid w:val="0013480A"/>
    <w:rsid w:val="00135AFC"/>
    <w:rsid w:val="0013695E"/>
    <w:rsid w:val="001415E2"/>
    <w:rsid w:val="00141C71"/>
    <w:rsid w:val="00144351"/>
    <w:rsid w:val="001463B3"/>
    <w:rsid w:val="00152367"/>
    <w:rsid w:val="00153029"/>
    <w:rsid w:val="00153828"/>
    <w:rsid w:val="00154C9C"/>
    <w:rsid w:val="00156369"/>
    <w:rsid w:val="001606B4"/>
    <w:rsid w:val="00160FA9"/>
    <w:rsid w:val="0016105D"/>
    <w:rsid w:val="001642F0"/>
    <w:rsid w:val="00165312"/>
    <w:rsid w:val="00171A16"/>
    <w:rsid w:val="00171BD5"/>
    <w:rsid w:val="00171F83"/>
    <w:rsid w:val="00175835"/>
    <w:rsid w:val="00181437"/>
    <w:rsid w:val="00182A6B"/>
    <w:rsid w:val="00184028"/>
    <w:rsid w:val="00185CE8"/>
    <w:rsid w:val="00186014"/>
    <w:rsid w:val="001863E1"/>
    <w:rsid w:val="00186580"/>
    <w:rsid w:val="00190014"/>
    <w:rsid w:val="00190616"/>
    <w:rsid w:val="0019074C"/>
    <w:rsid w:val="001942D7"/>
    <w:rsid w:val="0019592A"/>
    <w:rsid w:val="00196BC4"/>
    <w:rsid w:val="001A2C4D"/>
    <w:rsid w:val="001A3460"/>
    <w:rsid w:val="001A36F0"/>
    <w:rsid w:val="001A5CF3"/>
    <w:rsid w:val="001A5EDD"/>
    <w:rsid w:val="001B00C0"/>
    <w:rsid w:val="001B1333"/>
    <w:rsid w:val="001B13EB"/>
    <w:rsid w:val="001B62B1"/>
    <w:rsid w:val="001B7845"/>
    <w:rsid w:val="001B7DEB"/>
    <w:rsid w:val="001C6069"/>
    <w:rsid w:val="001D079F"/>
    <w:rsid w:val="001D082D"/>
    <w:rsid w:val="001D27BB"/>
    <w:rsid w:val="001D374E"/>
    <w:rsid w:val="001D58DF"/>
    <w:rsid w:val="001D710D"/>
    <w:rsid w:val="001E09BB"/>
    <w:rsid w:val="001E1AE6"/>
    <w:rsid w:val="001E3C9F"/>
    <w:rsid w:val="001F09FD"/>
    <w:rsid w:val="001F1AF8"/>
    <w:rsid w:val="001F2AC6"/>
    <w:rsid w:val="001F2EBE"/>
    <w:rsid w:val="001F4966"/>
    <w:rsid w:val="001F54C4"/>
    <w:rsid w:val="001F5DC5"/>
    <w:rsid w:val="001F6E9C"/>
    <w:rsid w:val="001F7A5F"/>
    <w:rsid w:val="00200983"/>
    <w:rsid w:val="0020185D"/>
    <w:rsid w:val="0020220A"/>
    <w:rsid w:val="002034D3"/>
    <w:rsid w:val="00203680"/>
    <w:rsid w:val="00203E9A"/>
    <w:rsid w:val="002045DF"/>
    <w:rsid w:val="002062A4"/>
    <w:rsid w:val="00207F5F"/>
    <w:rsid w:val="002121D5"/>
    <w:rsid w:val="00212CDE"/>
    <w:rsid w:val="002157F5"/>
    <w:rsid w:val="002169E5"/>
    <w:rsid w:val="0021762D"/>
    <w:rsid w:val="00217C8B"/>
    <w:rsid w:val="00220D78"/>
    <w:rsid w:val="00221B3E"/>
    <w:rsid w:val="002220D7"/>
    <w:rsid w:val="00222FE8"/>
    <w:rsid w:val="00227DD0"/>
    <w:rsid w:val="002340F5"/>
    <w:rsid w:val="00234F8A"/>
    <w:rsid w:val="00236408"/>
    <w:rsid w:val="0023769E"/>
    <w:rsid w:val="002433CD"/>
    <w:rsid w:val="00244A60"/>
    <w:rsid w:val="00244EF3"/>
    <w:rsid w:val="00245162"/>
    <w:rsid w:val="00250F23"/>
    <w:rsid w:val="002510B2"/>
    <w:rsid w:val="002523F4"/>
    <w:rsid w:val="00253EB0"/>
    <w:rsid w:val="00257CA0"/>
    <w:rsid w:val="00262E5D"/>
    <w:rsid w:val="00263872"/>
    <w:rsid w:val="00264C41"/>
    <w:rsid w:val="002652A8"/>
    <w:rsid w:val="0027278C"/>
    <w:rsid w:val="00274399"/>
    <w:rsid w:val="00277672"/>
    <w:rsid w:val="00277751"/>
    <w:rsid w:val="00280225"/>
    <w:rsid w:val="0028073D"/>
    <w:rsid w:val="00281D31"/>
    <w:rsid w:val="00281E80"/>
    <w:rsid w:val="00283C13"/>
    <w:rsid w:val="00290277"/>
    <w:rsid w:val="00290382"/>
    <w:rsid w:val="00290CBE"/>
    <w:rsid w:val="0029313D"/>
    <w:rsid w:val="00294524"/>
    <w:rsid w:val="00294E80"/>
    <w:rsid w:val="002964A2"/>
    <w:rsid w:val="00296BCC"/>
    <w:rsid w:val="002A0100"/>
    <w:rsid w:val="002A047B"/>
    <w:rsid w:val="002A0EBF"/>
    <w:rsid w:val="002A3098"/>
    <w:rsid w:val="002A4136"/>
    <w:rsid w:val="002A468B"/>
    <w:rsid w:val="002A46B2"/>
    <w:rsid w:val="002B0FA0"/>
    <w:rsid w:val="002B1F19"/>
    <w:rsid w:val="002B2AFD"/>
    <w:rsid w:val="002B2BD6"/>
    <w:rsid w:val="002B3278"/>
    <w:rsid w:val="002B670A"/>
    <w:rsid w:val="002C1213"/>
    <w:rsid w:val="002C2288"/>
    <w:rsid w:val="002C26E5"/>
    <w:rsid w:val="002C44C1"/>
    <w:rsid w:val="002D2145"/>
    <w:rsid w:val="002D4E69"/>
    <w:rsid w:val="002D772F"/>
    <w:rsid w:val="002D78ED"/>
    <w:rsid w:val="002D7B9E"/>
    <w:rsid w:val="002E0346"/>
    <w:rsid w:val="002E216F"/>
    <w:rsid w:val="002E46B3"/>
    <w:rsid w:val="002F03BB"/>
    <w:rsid w:val="002F27FA"/>
    <w:rsid w:val="002F34CB"/>
    <w:rsid w:val="002F4B96"/>
    <w:rsid w:val="002F4F53"/>
    <w:rsid w:val="002F52F5"/>
    <w:rsid w:val="002F695B"/>
    <w:rsid w:val="002F6AC2"/>
    <w:rsid w:val="00304F78"/>
    <w:rsid w:val="0030683C"/>
    <w:rsid w:val="00310FA8"/>
    <w:rsid w:val="00311816"/>
    <w:rsid w:val="003120A7"/>
    <w:rsid w:val="00315B67"/>
    <w:rsid w:val="003164D9"/>
    <w:rsid w:val="003168E1"/>
    <w:rsid w:val="003176A0"/>
    <w:rsid w:val="003178A3"/>
    <w:rsid w:val="00320B18"/>
    <w:rsid w:val="00320FCD"/>
    <w:rsid w:val="00321E8B"/>
    <w:rsid w:val="00321FEB"/>
    <w:rsid w:val="003241C1"/>
    <w:rsid w:val="00324F36"/>
    <w:rsid w:val="00325EBE"/>
    <w:rsid w:val="003266F5"/>
    <w:rsid w:val="0033224F"/>
    <w:rsid w:val="00333297"/>
    <w:rsid w:val="00333666"/>
    <w:rsid w:val="00337696"/>
    <w:rsid w:val="00342B07"/>
    <w:rsid w:val="00344099"/>
    <w:rsid w:val="003458AD"/>
    <w:rsid w:val="00353144"/>
    <w:rsid w:val="00354C56"/>
    <w:rsid w:val="003567CB"/>
    <w:rsid w:val="00360F42"/>
    <w:rsid w:val="003628E4"/>
    <w:rsid w:val="00362CC1"/>
    <w:rsid w:val="00362D80"/>
    <w:rsid w:val="00364A75"/>
    <w:rsid w:val="00366B55"/>
    <w:rsid w:val="00372190"/>
    <w:rsid w:val="003730EE"/>
    <w:rsid w:val="00374872"/>
    <w:rsid w:val="003755E5"/>
    <w:rsid w:val="00376EF8"/>
    <w:rsid w:val="00377264"/>
    <w:rsid w:val="00377E5E"/>
    <w:rsid w:val="00382D69"/>
    <w:rsid w:val="00387817"/>
    <w:rsid w:val="0039045F"/>
    <w:rsid w:val="00393075"/>
    <w:rsid w:val="00394839"/>
    <w:rsid w:val="00395636"/>
    <w:rsid w:val="00397D2E"/>
    <w:rsid w:val="003A14F0"/>
    <w:rsid w:val="003A2E23"/>
    <w:rsid w:val="003A72FB"/>
    <w:rsid w:val="003B00B2"/>
    <w:rsid w:val="003B063F"/>
    <w:rsid w:val="003B1702"/>
    <w:rsid w:val="003B354A"/>
    <w:rsid w:val="003B44CB"/>
    <w:rsid w:val="003B4D55"/>
    <w:rsid w:val="003B4DCE"/>
    <w:rsid w:val="003B57C1"/>
    <w:rsid w:val="003B5F5C"/>
    <w:rsid w:val="003B6330"/>
    <w:rsid w:val="003B6C1E"/>
    <w:rsid w:val="003C0DB7"/>
    <w:rsid w:val="003C3C74"/>
    <w:rsid w:val="003C7600"/>
    <w:rsid w:val="003D0971"/>
    <w:rsid w:val="003D1D48"/>
    <w:rsid w:val="003D273C"/>
    <w:rsid w:val="003D2CF8"/>
    <w:rsid w:val="003D42E4"/>
    <w:rsid w:val="003D586E"/>
    <w:rsid w:val="003D789A"/>
    <w:rsid w:val="003D7F10"/>
    <w:rsid w:val="003E287A"/>
    <w:rsid w:val="003E2B0C"/>
    <w:rsid w:val="003E3182"/>
    <w:rsid w:val="003E3A7D"/>
    <w:rsid w:val="003E7D08"/>
    <w:rsid w:val="003F05F5"/>
    <w:rsid w:val="003F19A6"/>
    <w:rsid w:val="003F713E"/>
    <w:rsid w:val="004000F0"/>
    <w:rsid w:val="0040388D"/>
    <w:rsid w:val="00404F55"/>
    <w:rsid w:val="0040635E"/>
    <w:rsid w:val="00406C1D"/>
    <w:rsid w:val="00407AA0"/>
    <w:rsid w:val="00413E04"/>
    <w:rsid w:val="00415DCB"/>
    <w:rsid w:val="00417C84"/>
    <w:rsid w:val="00421ED2"/>
    <w:rsid w:val="004231D9"/>
    <w:rsid w:val="004232C6"/>
    <w:rsid w:val="00425A2F"/>
    <w:rsid w:val="00425ED7"/>
    <w:rsid w:val="00426133"/>
    <w:rsid w:val="0042638A"/>
    <w:rsid w:val="004313C8"/>
    <w:rsid w:val="00432253"/>
    <w:rsid w:val="00432F3E"/>
    <w:rsid w:val="00434B13"/>
    <w:rsid w:val="004352D0"/>
    <w:rsid w:val="00437027"/>
    <w:rsid w:val="00437D49"/>
    <w:rsid w:val="0044172E"/>
    <w:rsid w:val="00442194"/>
    <w:rsid w:val="00442773"/>
    <w:rsid w:val="00445069"/>
    <w:rsid w:val="00445771"/>
    <w:rsid w:val="00451D67"/>
    <w:rsid w:val="00454582"/>
    <w:rsid w:val="00456E55"/>
    <w:rsid w:val="00460EB3"/>
    <w:rsid w:val="00463842"/>
    <w:rsid w:val="004638B4"/>
    <w:rsid w:val="00463A2A"/>
    <w:rsid w:val="0046775E"/>
    <w:rsid w:val="00470299"/>
    <w:rsid w:val="0047082E"/>
    <w:rsid w:val="00471D1E"/>
    <w:rsid w:val="0047207A"/>
    <w:rsid w:val="00472CC3"/>
    <w:rsid w:val="004734D9"/>
    <w:rsid w:val="00473D0C"/>
    <w:rsid w:val="0047428B"/>
    <w:rsid w:val="0047532E"/>
    <w:rsid w:val="00475ECB"/>
    <w:rsid w:val="00475F71"/>
    <w:rsid w:val="0048189B"/>
    <w:rsid w:val="00485F77"/>
    <w:rsid w:val="00487550"/>
    <w:rsid w:val="00487F4A"/>
    <w:rsid w:val="00494045"/>
    <w:rsid w:val="00494C4E"/>
    <w:rsid w:val="004952ED"/>
    <w:rsid w:val="00495582"/>
    <w:rsid w:val="004960C2"/>
    <w:rsid w:val="004A1B32"/>
    <w:rsid w:val="004A1F8D"/>
    <w:rsid w:val="004B21A6"/>
    <w:rsid w:val="004B3F95"/>
    <w:rsid w:val="004B4344"/>
    <w:rsid w:val="004B4345"/>
    <w:rsid w:val="004B4408"/>
    <w:rsid w:val="004B5970"/>
    <w:rsid w:val="004B67CC"/>
    <w:rsid w:val="004B7BC8"/>
    <w:rsid w:val="004C01C0"/>
    <w:rsid w:val="004C0F8A"/>
    <w:rsid w:val="004C40D5"/>
    <w:rsid w:val="004C69CD"/>
    <w:rsid w:val="004C7A9B"/>
    <w:rsid w:val="004D2C24"/>
    <w:rsid w:val="004D403F"/>
    <w:rsid w:val="004D40F5"/>
    <w:rsid w:val="004D5137"/>
    <w:rsid w:val="004D5C0B"/>
    <w:rsid w:val="004D6285"/>
    <w:rsid w:val="004D62FF"/>
    <w:rsid w:val="004D7392"/>
    <w:rsid w:val="004E47AA"/>
    <w:rsid w:val="004E49B7"/>
    <w:rsid w:val="004F00C8"/>
    <w:rsid w:val="004F2C1D"/>
    <w:rsid w:val="004F3D52"/>
    <w:rsid w:val="004F4E43"/>
    <w:rsid w:val="004F7C6A"/>
    <w:rsid w:val="004F7CC3"/>
    <w:rsid w:val="00500A9B"/>
    <w:rsid w:val="005023B2"/>
    <w:rsid w:val="00503A24"/>
    <w:rsid w:val="0050402B"/>
    <w:rsid w:val="00504744"/>
    <w:rsid w:val="005051D2"/>
    <w:rsid w:val="00505DED"/>
    <w:rsid w:val="0051082F"/>
    <w:rsid w:val="00512824"/>
    <w:rsid w:val="00515961"/>
    <w:rsid w:val="0052305F"/>
    <w:rsid w:val="00525556"/>
    <w:rsid w:val="00527799"/>
    <w:rsid w:val="005279F5"/>
    <w:rsid w:val="0053134B"/>
    <w:rsid w:val="00533F46"/>
    <w:rsid w:val="0053673B"/>
    <w:rsid w:val="00537E47"/>
    <w:rsid w:val="00544DF4"/>
    <w:rsid w:val="00546056"/>
    <w:rsid w:val="005474DE"/>
    <w:rsid w:val="005516C3"/>
    <w:rsid w:val="00551ADC"/>
    <w:rsid w:val="00553B1F"/>
    <w:rsid w:val="00555286"/>
    <w:rsid w:val="00561338"/>
    <w:rsid w:val="00561AD8"/>
    <w:rsid w:val="00563067"/>
    <w:rsid w:val="00563280"/>
    <w:rsid w:val="0056487B"/>
    <w:rsid w:val="00564DE6"/>
    <w:rsid w:val="005651FA"/>
    <w:rsid w:val="005654A9"/>
    <w:rsid w:val="00571D19"/>
    <w:rsid w:val="00572F05"/>
    <w:rsid w:val="00575184"/>
    <w:rsid w:val="00575301"/>
    <w:rsid w:val="005765A9"/>
    <w:rsid w:val="00580A55"/>
    <w:rsid w:val="00581787"/>
    <w:rsid w:val="00585AE1"/>
    <w:rsid w:val="00585FBC"/>
    <w:rsid w:val="005902EA"/>
    <w:rsid w:val="00594FEA"/>
    <w:rsid w:val="005A1F99"/>
    <w:rsid w:val="005A3FDF"/>
    <w:rsid w:val="005A592D"/>
    <w:rsid w:val="005A6A7B"/>
    <w:rsid w:val="005B333D"/>
    <w:rsid w:val="005B3528"/>
    <w:rsid w:val="005B3619"/>
    <w:rsid w:val="005B54A6"/>
    <w:rsid w:val="005B7720"/>
    <w:rsid w:val="005C37BF"/>
    <w:rsid w:val="005C4CF8"/>
    <w:rsid w:val="005D41AE"/>
    <w:rsid w:val="005D6E86"/>
    <w:rsid w:val="005E1EE6"/>
    <w:rsid w:val="005E24E7"/>
    <w:rsid w:val="005E3D2D"/>
    <w:rsid w:val="005E50FC"/>
    <w:rsid w:val="005E656F"/>
    <w:rsid w:val="005F14CB"/>
    <w:rsid w:val="005F2A22"/>
    <w:rsid w:val="005F75CC"/>
    <w:rsid w:val="00601F0A"/>
    <w:rsid w:val="00603625"/>
    <w:rsid w:val="0060404A"/>
    <w:rsid w:val="006115B2"/>
    <w:rsid w:val="00612C34"/>
    <w:rsid w:val="00612FD0"/>
    <w:rsid w:val="006132C9"/>
    <w:rsid w:val="006149C5"/>
    <w:rsid w:val="00616C5F"/>
    <w:rsid w:val="00622522"/>
    <w:rsid w:val="006253AA"/>
    <w:rsid w:val="00626131"/>
    <w:rsid w:val="006302D3"/>
    <w:rsid w:val="00632CF2"/>
    <w:rsid w:val="00633CC6"/>
    <w:rsid w:val="00635B49"/>
    <w:rsid w:val="0064178D"/>
    <w:rsid w:val="006417CF"/>
    <w:rsid w:val="00644D27"/>
    <w:rsid w:val="0064504C"/>
    <w:rsid w:val="00645A8A"/>
    <w:rsid w:val="00650C6A"/>
    <w:rsid w:val="006535E3"/>
    <w:rsid w:val="00653CF1"/>
    <w:rsid w:val="00654C1D"/>
    <w:rsid w:val="0065783D"/>
    <w:rsid w:val="0066117B"/>
    <w:rsid w:val="006625C6"/>
    <w:rsid w:val="00663CF0"/>
    <w:rsid w:val="006676A6"/>
    <w:rsid w:val="00670A9E"/>
    <w:rsid w:val="006716CC"/>
    <w:rsid w:val="00671DA0"/>
    <w:rsid w:val="006736C4"/>
    <w:rsid w:val="00674531"/>
    <w:rsid w:val="00675484"/>
    <w:rsid w:val="0067551B"/>
    <w:rsid w:val="00677AC2"/>
    <w:rsid w:val="006807C4"/>
    <w:rsid w:val="00682781"/>
    <w:rsid w:val="00682D66"/>
    <w:rsid w:val="0068524A"/>
    <w:rsid w:val="006913D4"/>
    <w:rsid w:val="0069477C"/>
    <w:rsid w:val="006947D0"/>
    <w:rsid w:val="00694B2A"/>
    <w:rsid w:val="00694E3E"/>
    <w:rsid w:val="00696B70"/>
    <w:rsid w:val="006A06AF"/>
    <w:rsid w:val="006A16FA"/>
    <w:rsid w:val="006A1729"/>
    <w:rsid w:val="006A33A9"/>
    <w:rsid w:val="006A3435"/>
    <w:rsid w:val="006A3ED9"/>
    <w:rsid w:val="006A4D78"/>
    <w:rsid w:val="006A6150"/>
    <w:rsid w:val="006A719C"/>
    <w:rsid w:val="006B303B"/>
    <w:rsid w:val="006B3B84"/>
    <w:rsid w:val="006B6C42"/>
    <w:rsid w:val="006C03AA"/>
    <w:rsid w:val="006C05EF"/>
    <w:rsid w:val="006C2080"/>
    <w:rsid w:val="006C3E89"/>
    <w:rsid w:val="006C41E1"/>
    <w:rsid w:val="006D1725"/>
    <w:rsid w:val="006D1E0A"/>
    <w:rsid w:val="006D25B6"/>
    <w:rsid w:val="006D4AB4"/>
    <w:rsid w:val="006D513A"/>
    <w:rsid w:val="006D5E21"/>
    <w:rsid w:val="006E3A38"/>
    <w:rsid w:val="006E57B1"/>
    <w:rsid w:val="006E7696"/>
    <w:rsid w:val="006F099F"/>
    <w:rsid w:val="006F1DA5"/>
    <w:rsid w:val="006F2D9E"/>
    <w:rsid w:val="006F3495"/>
    <w:rsid w:val="006F35AB"/>
    <w:rsid w:val="006F3B08"/>
    <w:rsid w:val="006F626F"/>
    <w:rsid w:val="0070055B"/>
    <w:rsid w:val="0070188C"/>
    <w:rsid w:val="00701E11"/>
    <w:rsid w:val="0070458C"/>
    <w:rsid w:val="00706A11"/>
    <w:rsid w:val="007100BA"/>
    <w:rsid w:val="00710EEE"/>
    <w:rsid w:val="00711101"/>
    <w:rsid w:val="007156AF"/>
    <w:rsid w:val="0071576F"/>
    <w:rsid w:val="0071703F"/>
    <w:rsid w:val="0072182E"/>
    <w:rsid w:val="00724326"/>
    <w:rsid w:val="0072467A"/>
    <w:rsid w:val="007256EC"/>
    <w:rsid w:val="00725E9E"/>
    <w:rsid w:val="007263A7"/>
    <w:rsid w:val="007264E4"/>
    <w:rsid w:val="00730283"/>
    <w:rsid w:val="00731059"/>
    <w:rsid w:val="00731DBE"/>
    <w:rsid w:val="00732257"/>
    <w:rsid w:val="007331D7"/>
    <w:rsid w:val="0073560A"/>
    <w:rsid w:val="00737E0A"/>
    <w:rsid w:val="00740103"/>
    <w:rsid w:val="0074107B"/>
    <w:rsid w:val="007415AF"/>
    <w:rsid w:val="007416CE"/>
    <w:rsid w:val="007448FF"/>
    <w:rsid w:val="0074517A"/>
    <w:rsid w:val="0074587F"/>
    <w:rsid w:val="00745A21"/>
    <w:rsid w:val="00750166"/>
    <w:rsid w:val="007543BD"/>
    <w:rsid w:val="00755DD0"/>
    <w:rsid w:val="00761561"/>
    <w:rsid w:val="00761717"/>
    <w:rsid w:val="007624C1"/>
    <w:rsid w:val="00764878"/>
    <w:rsid w:val="00766EFC"/>
    <w:rsid w:val="00767000"/>
    <w:rsid w:val="00776089"/>
    <w:rsid w:val="00777697"/>
    <w:rsid w:val="00777C45"/>
    <w:rsid w:val="00782B0F"/>
    <w:rsid w:val="007830F9"/>
    <w:rsid w:val="00787508"/>
    <w:rsid w:val="007875B0"/>
    <w:rsid w:val="0079069F"/>
    <w:rsid w:val="00794D83"/>
    <w:rsid w:val="0079670A"/>
    <w:rsid w:val="00797E9F"/>
    <w:rsid w:val="007A0199"/>
    <w:rsid w:val="007A0FB3"/>
    <w:rsid w:val="007A25C1"/>
    <w:rsid w:val="007A550A"/>
    <w:rsid w:val="007A5A3B"/>
    <w:rsid w:val="007A6658"/>
    <w:rsid w:val="007A7C59"/>
    <w:rsid w:val="007B165B"/>
    <w:rsid w:val="007B1DF3"/>
    <w:rsid w:val="007B2D7A"/>
    <w:rsid w:val="007B462E"/>
    <w:rsid w:val="007B4F83"/>
    <w:rsid w:val="007B4FAA"/>
    <w:rsid w:val="007B555B"/>
    <w:rsid w:val="007B57CE"/>
    <w:rsid w:val="007B5A75"/>
    <w:rsid w:val="007B754A"/>
    <w:rsid w:val="007B77AD"/>
    <w:rsid w:val="007C577C"/>
    <w:rsid w:val="007C5880"/>
    <w:rsid w:val="007C6C43"/>
    <w:rsid w:val="007C6D9F"/>
    <w:rsid w:val="007D3EBA"/>
    <w:rsid w:val="007D5FF2"/>
    <w:rsid w:val="007D6EF6"/>
    <w:rsid w:val="007E1368"/>
    <w:rsid w:val="007E37C9"/>
    <w:rsid w:val="007E4BBF"/>
    <w:rsid w:val="007E723A"/>
    <w:rsid w:val="007E7F6C"/>
    <w:rsid w:val="007F08AB"/>
    <w:rsid w:val="007F2B07"/>
    <w:rsid w:val="00802218"/>
    <w:rsid w:val="0080300B"/>
    <w:rsid w:val="00803AF0"/>
    <w:rsid w:val="00804E3C"/>
    <w:rsid w:val="00804ED0"/>
    <w:rsid w:val="0080554D"/>
    <w:rsid w:val="008069BD"/>
    <w:rsid w:val="00814CD7"/>
    <w:rsid w:val="008176FC"/>
    <w:rsid w:val="008231A0"/>
    <w:rsid w:val="00823768"/>
    <w:rsid w:val="008255F9"/>
    <w:rsid w:val="00825D7D"/>
    <w:rsid w:val="00825FD1"/>
    <w:rsid w:val="00826B95"/>
    <w:rsid w:val="00827A0E"/>
    <w:rsid w:val="008310E7"/>
    <w:rsid w:val="00831177"/>
    <w:rsid w:val="00832DF0"/>
    <w:rsid w:val="00835127"/>
    <w:rsid w:val="0083607A"/>
    <w:rsid w:val="00837096"/>
    <w:rsid w:val="0084021F"/>
    <w:rsid w:val="00841B72"/>
    <w:rsid w:val="0084229C"/>
    <w:rsid w:val="008423D0"/>
    <w:rsid w:val="00842670"/>
    <w:rsid w:val="00843345"/>
    <w:rsid w:val="0084425B"/>
    <w:rsid w:val="00844D89"/>
    <w:rsid w:val="00845E3F"/>
    <w:rsid w:val="00846204"/>
    <w:rsid w:val="00846A67"/>
    <w:rsid w:val="00850585"/>
    <w:rsid w:val="008519AA"/>
    <w:rsid w:val="00854757"/>
    <w:rsid w:val="00854FBE"/>
    <w:rsid w:val="00857FD6"/>
    <w:rsid w:val="0086017D"/>
    <w:rsid w:val="008607AF"/>
    <w:rsid w:val="0086376B"/>
    <w:rsid w:val="00865C08"/>
    <w:rsid w:val="008664ED"/>
    <w:rsid w:val="00866D77"/>
    <w:rsid w:val="008674B5"/>
    <w:rsid w:val="00867684"/>
    <w:rsid w:val="0087051B"/>
    <w:rsid w:val="00870BE7"/>
    <w:rsid w:val="008715FB"/>
    <w:rsid w:val="0087489B"/>
    <w:rsid w:val="008818C8"/>
    <w:rsid w:val="00884134"/>
    <w:rsid w:val="0089104F"/>
    <w:rsid w:val="0089195F"/>
    <w:rsid w:val="00891BE4"/>
    <w:rsid w:val="00891D92"/>
    <w:rsid w:val="00892029"/>
    <w:rsid w:val="00892564"/>
    <w:rsid w:val="00895FC4"/>
    <w:rsid w:val="00896FEA"/>
    <w:rsid w:val="008975ED"/>
    <w:rsid w:val="008A1002"/>
    <w:rsid w:val="008A476D"/>
    <w:rsid w:val="008A4923"/>
    <w:rsid w:val="008A4B4D"/>
    <w:rsid w:val="008B0126"/>
    <w:rsid w:val="008B0B0E"/>
    <w:rsid w:val="008B0BC5"/>
    <w:rsid w:val="008B2257"/>
    <w:rsid w:val="008B306D"/>
    <w:rsid w:val="008B51AC"/>
    <w:rsid w:val="008B5F67"/>
    <w:rsid w:val="008C031F"/>
    <w:rsid w:val="008C1C63"/>
    <w:rsid w:val="008C1F63"/>
    <w:rsid w:val="008C49C9"/>
    <w:rsid w:val="008C539F"/>
    <w:rsid w:val="008C5845"/>
    <w:rsid w:val="008C5A86"/>
    <w:rsid w:val="008D25C7"/>
    <w:rsid w:val="008D2D86"/>
    <w:rsid w:val="008D45D9"/>
    <w:rsid w:val="008D4C32"/>
    <w:rsid w:val="008D4EB3"/>
    <w:rsid w:val="008D56BC"/>
    <w:rsid w:val="008E0279"/>
    <w:rsid w:val="008E066E"/>
    <w:rsid w:val="008E06DB"/>
    <w:rsid w:val="008E10AE"/>
    <w:rsid w:val="008E3A00"/>
    <w:rsid w:val="008E3F0D"/>
    <w:rsid w:val="008F18AB"/>
    <w:rsid w:val="008F2325"/>
    <w:rsid w:val="008F2701"/>
    <w:rsid w:val="008F34A2"/>
    <w:rsid w:val="008F3AA0"/>
    <w:rsid w:val="008F5178"/>
    <w:rsid w:val="008F5C0B"/>
    <w:rsid w:val="008F73CB"/>
    <w:rsid w:val="00902B1D"/>
    <w:rsid w:val="009041AB"/>
    <w:rsid w:val="00906B89"/>
    <w:rsid w:val="00912159"/>
    <w:rsid w:val="00915AC8"/>
    <w:rsid w:val="00915CE0"/>
    <w:rsid w:val="00915DE9"/>
    <w:rsid w:val="00916B10"/>
    <w:rsid w:val="00920E84"/>
    <w:rsid w:val="00930949"/>
    <w:rsid w:val="00931059"/>
    <w:rsid w:val="00932FFB"/>
    <w:rsid w:val="00936911"/>
    <w:rsid w:val="0093756A"/>
    <w:rsid w:val="00944202"/>
    <w:rsid w:val="009471D3"/>
    <w:rsid w:val="00954FF4"/>
    <w:rsid w:val="00955EA9"/>
    <w:rsid w:val="0096322E"/>
    <w:rsid w:val="009634E2"/>
    <w:rsid w:val="00964FB9"/>
    <w:rsid w:val="0097117F"/>
    <w:rsid w:val="00974723"/>
    <w:rsid w:val="00977F9E"/>
    <w:rsid w:val="00983AE4"/>
    <w:rsid w:val="00984066"/>
    <w:rsid w:val="00984F51"/>
    <w:rsid w:val="00987180"/>
    <w:rsid w:val="009927E4"/>
    <w:rsid w:val="00992F5C"/>
    <w:rsid w:val="00993B26"/>
    <w:rsid w:val="00994A60"/>
    <w:rsid w:val="00995410"/>
    <w:rsid w:val="009963C2"/>
    <w:rsid w:val="00996738"/>
    <w:rsid w:val="00997193"/>
    <w:rsid w:val="00997238"/>
    <w:rsid w:val="009A035A"/>
    <w:rsid w:val="009A0EE4"/>
    <w:rsid w:val="009A2B26"/>
    <w:rsid w:val="009A38C3"/>
    <w:rsid w:val="009A3E71"/>
    <w:rsid w:val="009A4773"/>
    <w:rsid w:val="009B2A1C"/>
    <w:rsid w:val="009B2BA3"/>
    <w:rsid w:val="009B2EA1"/>
    <w:rsid w:val="009B3F2A"/>
    <w:rsid w:val="009B414E"/>
    <w:rsid w:val="009B4DE7"/>
    <w:rsid w:val="009B5A4D"/>
    <w:rsid w:val="009B6DBC"/>
    <w:rsid w:val="009C1510"/>
    <w:rsid w:val="009C2CBF"/>
    <w:rsid w:val="009C5B96"/>
    <w:rsid w:val="009C6B4D"/>
    <w:rsid w:val="009D07B2"/>
    <w:rsid w:val="009D0C1C"/>
    <w:rsid w:val="009D1B94"/>
    <w:rsid w:val="009D5B0C"/>
    <w:rsid w:val="009E3A41"/>
    <w:rsid w:val="009E3E0E"/>
    <w:rsid w:val="009E42CC"/>
    <w:rsid w:val="009E57AD"/>
    <w:rsid w:val="009E758E"/>
    <w:rsid w:val="009E7D08"/>
    <w:rsid w:val="009F0133"/>
    <w:rsid w:val="009F25A5"/>
    <w:rsid w:val="009F2796"/>
    <w:rsid w:val="009F44FF"/>
    <w:rsid w:val="009F4D3D"/>
    <w:rsid w:val="009F6724"/>
    <w:rsid w:val="009F69D4"/>
    <w:rsid w:val="009F6E18"/>
    <w:rsid w:val="009F7AC1"/>
    <w:rsid w:val="00A031E8"/>
    <w:rsid w:val="00A0646B"/>
    <w:rsid w:val="00A06683"/>
    <w:rsid w:val="00A07673"/>
    <w:rsid w:val="00A10811"/>
    <w:rsid w:val="00A12BDE"/>
    <w:rsid w:val="00A1448E"/>
    <w:rsid w:val="00A17E94"/>
    <w:rsid w:val="00A2222E"/>
    <w:rsid w:val="00A22F80"/>
    <w:rsid w:val="00A235D9"/>
    <w:rsid w:val="00A25EE0"/>
    <w:rsid w:val="00A32BBC"/>
    <w:rsid w:val="00A32D8D"/>
    <w:rsid w:val="00A33A47"/>
    <w:rsid w:val="00A33CAC"/>
    <w:rsid w:val="00A340C2"/>
    <w:rsid w:val="00A34413"/>
    <w:rsid w:val="00A34D8C"/>
    <w:rsid w:val="00A36096"/>
    <w:rsid w:val="00A37CE6"/>
    <w:rsid w:val="00A41405"/>
    <w:rsid w:val="00A45014"/>
    <w:rsid w:val="00A453A8"/>
    <w:rsid w:val="00A47F0F"/>
    <w:rsid w:val="00A51D38"/>
    <w:rsid w:val="00A539D9"/>
    <w:rsid w:val="00A53DA5"/>
    <w:rsid w:val="00A54440"/>
    <w:rsid w:val="00A57A4B"/>
    <w:rsid w:val="00A57D7A"/>
    <w:rsid w:val="00A611C2"/>
    <w:rsid w:val="00A63709"/>
    <w:rsid w:val="00A63AEE"/>
    <w:rsid w:val="00A6417C"/>
    <w:rsid w:val="00A6438B"/>
    <w:rsid w:val="00A713FD"/>
    <w:rsid w:val="00A730BD"/>
    <w:rsid w:val="00A736FA"/>
    <w:rsid w:val="00A7483A"/>
    <w:rsid w:val="00A75EF2"/>
    <w:rsid w:val="00A82C55"/>
    <w:rsid w:val="00A82C9A"/>
    <w:rsid w:val="00A832CE"/>
    <w:rsid w:val="00A838F4"/>
    <w:rsid w:val="00A856F0"/>
    <w:rsid w:val="00A86410"/>
    <w:rsid w:val="00A86504"/>
    <w:rsid w:val="00A900A7"/>
    <w:rsid w:val="00A90FAB"/>
    <w:rsid w:val="00A921A8"/>
    <w:rsid w:val="00A92E6C"/>
    <w:rsid w:val="00A956EF"/>
    <w:rsid w:val="00A970C1"/>
    <w:rsid w:val="00AA4652"/>
    <w:rsid w:val="00AA49AC"/>
    <w:rsid w:val="00AA49E5"/>
    <w:rsid w:val="00AB0552"/>
    <w:rsid w:val="00AB3C34"/>
    <w:rsid w:val="00AB440A"/>
    <w:rsid w:val="00AB7CD6"/>
    <w:rsid w:val="00AC0300"/>
    <w:rsid w:val="00AC0631"/>
    <w:rsid w:val="00AC1127"/>
    <w:rsid w:val="00AC4BB0"/>
    <w:rsid w:val="00AC5488"/>
    <w:rsid w:val="00AC6D8C"/>
    <w:rsid w:val="00AC7194"/>
    <w:rsid w:val="00AC741C"/>
    <w:rsid w:val="00AC742E"/>
    <w:rsid w:val="00AD333E"/>
    <w:rsid w:val="00AD45AE"/>
    <w:rsid w:val="00AD4855"/>
    <w:rsid w:val="00AD7F0D"/>
    <w:rsid w:val="00AE2C56"/>
    <w:rsid w:val="00AE48BD"/>
    <w:rsid w:val="00AE6A4E"/>
    <w:rsid w:val="00AF01F2"/>
    <w:rsid w:val="00AF0FD2"/>
    <w:rsid w:val="00AF1C3D"/>
    <w:rsid w:val="00AF4321"/>
    <w:rsid w:val="00AF4DD6"/>
    <w:rsid w:val="00AF6A26"/>
    <w:rsid w:val="00AF6BAD"/>
    <w:rsid w:val="00B007BC"/>
    <w:rsid w:val="00B00B43"/>
    <w:rsid w:val="00B06C10"/>
    <w:rsid w:val="00B10DDF"/>
    <w:rsid w:val="00B11D03"/>
    <w:rsid w:val="00B123CD"/>
    <w:rsid w:val="00B12D47"/>
    <w:rsid w:val="00B1338F"/>
    <w:rsid w:val="00B14989"/>
    <w:rsid w:val="00B14E95"/>
    <w:rsid w:val="00B167E5"/>
    <w:rsid w:val="00B17BAC"/>
    <w:rsid w:val="00B203AC"/>
    <w:rsid w:val="00B2060B"/>
    <w:rsid w:val="00B255BE"/>
    <w:rsid w:val="00B26186"/>
    <w:rsid w:val="00B31B7E"/>
    <w:rsid w:val="00B328B2"/>
    <w:rsid w:val="00B341AE"/>
    <w:rsid w:val="00B400AB"/>
    <w:rsid w:val="00B4030F"/>
    <w:rsid w:val="00B40AB9"/>
    <w:rsid w:val="00B40B13"/>
    <w:rsid w:val="00B44CAD"/>
    <w:rsid w:val="00B44D39"/>
    <w:rsid w:val="00B460C2"/>
    <w:rsid w:val="00B504F7"/>
    <w:rsid w:val="00B52951"/>
    <w:rsid w:val="00B61237"/>
    <w:rsid w:val="00B6163B"/>
    <w:rsid w:val="00B61990"/>
    <w:rsid w:val="00B645D0"/>
    <w:rsid w:val="00B649DC"/>
    <w:rsid w:val="00B65174"/>
    <w:rsid w:val="00B6579D"/>
    <w:rsid w:val="00B6689F"/>
    <w:rsid w:val="00B724AF"/>
    <w:rsid w:val="00B72FEF"/>
    <w:rsid w:val="00B758B4"/>
    <w:rsid w:val="00B7648B"/>
    <w:rsid w:val="00B80EB3"/>
    <w:rsid w:val="00B81267"/>
    <w:rsid w:val="00B8309A"/>
    <w:rsid w:val="00B8395F"/>
    <w:rsid w:val="00B8481C"/>
    <w:rsid w:val="00B84E9A"/>
    <w:rsid w:val="00B875DC"/>
    <w:rsid w:val="00B9160E"/>
    <w:rsid w:val="00B93C8A"/>
    <w:rsid w:val="00B9620A"/>
    <w:rsid w:val="00B9694D"/>
    <w:rsid w:val="00B97542"/>
    <w:rsid w:val="00B97D61"/>
    <w:rsid w:val="00B97F83"/>
    <w:rsid w:val="00BA151F"/>
    <w:rsid w:val="00BA1920"/>
    <w:rsid w:val="00BA3C47"/>
    <w:rsid w:val="00BB038A"/>
    <w:rsid w:val="00BB1A16"/>
    <w:rsid w:val="00BB2D39"/>
    <w:rsid w:val="00BB35ED"/>
    <w:rsid w:val="00BB369D"/>
    <w:rsid w:val="00BB451A"/>
    <w:rsid w:val="00BB5217"/>
    <w:rsid w:val="00BB63B0"/>
    <w:rsid w:val="00BB6DD9"/>
    <w:rsid w:val="00BB78D8"/>
    <w:rsid w:val="00BC02D1"/>
    <w:rsid w:val="00BC076A"/>
    <w:rsid w:val="00BC0A22"/>
    <w:rsid w:val="00BC38AE"/>
    <w:rsid w:val="00BC537E"/>
    <w:rsid w:val="00BC5DEA"/>
    <w:rsid w:val="00BD0855"/>
    <w:rsid w:val="00BD73A1"/>
    <w:rsid w:val="00BE0CCD"/>
    <w:rsid w:val="00BE2763"/>
    <w:rsid w:val="00BE3133"/>
    <w:rsid w:val="00BE57A3"/>
    <w:rsid w:val="00BE7978"/>
    <w:rsid w:val="00BF0352"/>
    <w:rsid w:val="00BF0398"/>
    <w:rsid w:val="00BF20E1"/>
    <w:rsid w:val="00BF3A34"/>
    <w:rsid w:val="00BF419F"/>
    <w:rsid w:val="00BF486C"/>
    <w:rsid w:val="00BF6DDC"/>
    <w:rsid w:val="00C0149A"/>
    <w:rsid w:val="00C0222E"/>
    <w:rsid w:val="00C0616D"/>
    <w:rsid w:val="00C116C7"/>
    <w:rsid w:val="00C158C2"/>
    <w:rsid w:val="00C17428"/>
    <w:rsid w:val="00C2080D"/>
    <w:rsid w:val="00C20BFB"/>
    <w:rsid w:val="00C2101B"/>
    <w:rsid w:val="00C24913"/>
    <w:rsid w:val="00C265AA"/>
    <w:rsid w:val="00C27E03"/>
    <w:rsid w:val="00C30B03"/>
    <w:rsid w:val="00C3344B"/>
    <w:rsid w:val="00C33831"/>
    <w:rsid w:val="00C34130"/>
    <w:rsid w:val="00C36790"/>
    <w:rsid w:val="00C374FC"/>
    <w:rsid w:val="00C406C2"/>
    <w:rsid w:val="00C41A9D"/>
    <w:rsid w:val="00C41BC1"/>
    <w:rsid w:val="00C45B1E"/>
    <w:rsid w:val="00C51DF1"/>
    <w:rsid w:val="00C52AD3"/>
    <w:rsid w:val="00C52D96"/>
    <w:rsid w:val="00C566DE"/>
    <w:rsid w:val="00C56964"/>
    <w:rsid w:val="00C6054E"/>
    <w:rsid w:val="00C60572"/>
    <w:rsid w:val="00C606EB"/>
    <w:rsid w:val="00C62FD1"/>
    <w:rsid w:val="00C63F55"/>
    <w:rsid w:val="00C65260"/>
    <w:rsid w:val="00C71E9E"/>
    <w:rsid w:val="00C751A8"/>
    <w:rsid w:val="00C768BF"/>
    <w:rsid w:val="00C80A85"/>
    <w:rsid w:val="00C80F8D"/>
    <w:rsid w:val="00C81254"/>
    <w:rsid w:val="00C8410D"/>
    <w:rsid w:val="00C85F10"/>
    <w:rsid w:val="00C95612"/>
    <w:rsid w:val="00C9638F"/>
    <w:rsid w:val="00C9690D"/>
    <w:rsid w:val="00C97F24"/>
    <w:rsid w:val="00CA2A0B"/>
    <w:rsid w:val="00CA3399"/>
    <w:rsid w:val="00CA361D"/>
    <w:rsid w:val="00CA645D"/>
    <w:rsid w:val="00CA6CED"/>
    <w:rsid w:val="00CA6DE7"/>
    <w:rsid w:val="00CB0B65"/>
    <w:rsid w:val="00CB14D1"/>
    <w:rsid w:val="00CB2940"/>
    <w:rsid w:val="00CB415C"/>
    <w:rsid w:val="00CB54E5"/>
    <w:rsid w:val="00CB5B95"/>
    <w:rsid w:val="00CB76DB"/>
    <w:rsid w:val="00CC7524"/>
    <w:rsid w:val="00CD1581"/>
    <w:rsid w:val="00CD5EC6"/>
    <w:rsid w:val="00CD5F67"/>
    <w:rsid w:val="00CE0F11"/>
    <w:rsid w:val="00CE193F"/>
    <w:rsid w:val="00CE4C23"/>
    <w:rsid w:val="00CE6301"/>
    <w:rsid w:val="00CF1649"/>
    <w:rsid w:val="00CF39D1"/>
    <w:rsid w:val="00CF563F"/>
    <w:rsid w:val="00CF5ACB"/>
    <w:rsid w:val="00D02F7D"/>
    <w:rsid w:val="00D0347B"/>
    <w:rsid w:val="00D03F0C"/>
    <w:rsid w:val="00D0620D"/>
    <w:rsid w:val="00D10D69"/>
    <w:rsid w:val="00D11E30"/>
    <w:rsid w:val="00D12BC3"/>
    <w:rsid w:val="00D13042"/>
    <w:rsid w:val="00D15548"/>
    <w:rsid w:val="00D15968"/>
    <w:rsid w:val="00D15C49"/>
    <w:rsid w:val="00D16C8B"/>
    <w:rsid w:val="00D201EF"/>
    <w:rsid w:val="00D21CBA"/>
    <w:rsid w:val="00D2277C"/>
    <w:rsid w:val="00D22F5F"/>
    <w:rsid w:val="00D24150"/>
    <w:rsid w:val="00D31E26"/>
    <w:rsid w:val="00D33669"/>
    <w:rsid w:val="00D40D7A"/>
    <w:rsid w:val="00D44C92"/>
    <w:rsid w:val="00D46B70"/>
    <w:rsid w:val="00D50798"/>
    <w:rsid w:val="00D5103E"/>
    <w:rsid w:val="00D5162E"/>
    <w:rsid w:val="00D52C2C"/>
    <w:rsid w:val="00D54BCA"/>
    <w:rsid w:val="00D56653"/>
    <w:rsid w:val="00D63B2F"/>
    <w:rsid w:val="00D64524"/>
    <w:rsid w:val="00D64BAD"/>
    <w:rsid w:val="00D65B5A"/>
    <w:rsid w:val="00D66C65"/>
    <w:rsid w:val="00D70487"/>
    <w:rsid w:val="00D71711"/>
    <w:rsid w:val="00D75790"/>
    <w:rsid w:val="00D76C34"/>
    <w:rsid w:val="00D80E46"/>
    <w:rsid w:val="00D814B4"/>
    <w:rsid w:val="00D861C7"/>
    <w:rsid w:val="00D86C24"/>
    <w:rsid w:val="00D871B1"/>
    <w:rsid w:val="00D9018F"/>
    <w:rsid w:val="00D9369B"/>
    <w:rsid w:val="00D95B70"/>
    <w:rsid w:val="00D95CC0"/>
    <w:rsid w:val="00DA0C71"/>
    <w:rsid w:val="00DA2BF4"/>
    <w:rsid w:val="00DA2E90"/>
    <w:rsid w:val="00DA483B"/>
    <w:rsid w:val="00DA57A9"/>
    <w:rsid w:val="00DA7B31"/>
    <w:rsid w:val="00DB167D"/>
    <w:rsid w:val="00DB1EE9"/>
    <w:rsid w:val="00DB389E"/>
    <w:rsid w:val="00DB5379"/>
    <w:rsid w:val="00DB77DF"/>
    <w:rsid w:val="00DC0A38"/>
    <w:rsid w:val="00DC1433"/>
    <w:rsid w:val="00DC344E"/>
    <w:rsid w:val="00DC3C79"/>
    <w:rsid w:val="00DC5FE5"/>
    <w:rsid w:val="00DC6043"/>
    <w:rsid w:val="00DC664A"/>
    <w:rsid w:val="00DC7579"/>
    <w:rsid w:val="00DD04E0"/>
    <w:rsid w:val="00DD3233"/>
    <w:rsid w:val="00DD3A53"/>
    <w:rsid w:val="00DD3FDD"/>
    <w:rsid w:val="00DD4EB5"/>
    <w:rsid w:val="00DD770C"/>
    <w:rsid w:val="00DD7F38"/>
    <w:rsid w:val="00DE09D2"/>
    <w:rsid w:val="00DE0D59"/>
    <w:rsid w:val="00DE14E7"/>
    <w:rsid w:val="00DE2A91"/>
    <w:rsid w:val="00DE561C"/>
    <w:rsid w:val="00DE599E"/>
    <w:rsid w:val="00DE6B3B"/>
    <w:rsid w:val="00DE6B8F"/>
    <w:rsid w:val="00DE7D83"/>
    <w:rsid w:val="00DF28FC"/>
    <w:rsid w:val="00DF294C"/>
    <w:rsid w:val="00DF4E0B"/>
    <w:rsid w:val="00DF7C71"/>
    <w:rsid w:val="00DF7EE7"/>
    <w:rsid w:val="00E047BD"/>
    <w:rsid w:val="00E05188"/>
    <w:rsid w:val="00E05D01"/>
    <w:rsid w:val="00E06678"/>
    <w:rsid w:val="00E129D5"/>
    <w:rsid w:val="00E13B48"/>
    <w:rsid w:val="00E15C5F"/>
    <w:rsid w:val="00E15FAE"/>
    <w:rsid w:val="00E16051"/>
    <w:rsid w:val="00E17CDC"/>
    <w:rsid w:val="00E20E66"/>
    <w:rsid w:val="00E22888"/>
    <w:rsid w:val="00E228C5"/>
    <w:rsid w:val="00E24D3B"/>
    <w:rsid w:val="00E26545"/>
    <w:rsid w:val="00E266D3"/>
    <w:rsid w:val="00E26745"/>
    <w:rsid w:val="00E26888"/>
    <w:rsid w:val="00E271AE"/>
    <w:rsid w:val="00E274E3"/>
    <w:rsid w:val="00E3131A"/>
    <w:rsid w:val="00E336E7"/>
    <w:rsid w:val="00E338B3"/>
    <w:rsid w:val="00E34767"/>
    <w:rsid w:val="00E37216"/>
    <w:rsid w:val="00E379BD"/>
    <w:rsid w:val="00E379D0"/>
    <w:rsid w:val="00E4008D"/>
    <w:rsid w:val="00E40AE8"/>
    <w:rsid w:val="00E42F47"/>
    <w:rsid w:val="00E4773B"/>
    <w:rsid w:val="00E51471"/>
    <w:rsid w:val="00E53FF1"/>
    <w:rsid w:val="00E54E09"/>
    <w:rsid w:val="00E5519F"/>
    <w:rsid w:val="00E55C19"/>
    <w:rsid w:val="00E571D9"/>
    <w:rsid w:val="00E576FD"/>
    <w:rsid w:val="00E60B56"/>
    <w:rsid w:val="00E613A6"/>
    <w:rsid w:val="00E628DE"/>
    <w:rsid w:val="00E66672"/>
    <w:rsid w:val="00E73E6C"/>
    <w:rsid w:val="00E805B3"/>
    <w:rsid w:val="00E807BF"/>
    <w:rsid w:val="00E8110D"/>
    <w:rsid w:val="00E81581"/>
    <w:rsid w:val="00E81BD8"/>
    <w:rsid w:val="00E81F35"/>
    <w:rsid w:val="00E821F4"/>
    <w:rsid w:val="00E82A86"/>
    <w:rsid w:val="00E832A1"/>
    <w:rsid w:val="00E846EE"/>
    <w:rsid w:val="00E84836"/>
    <w:rsid w:val="00E862FA"/>
    <w:rsid w:val="00E86B67"/>
    <w:rsid w:val="00E878B3"/>
    <w:rsid w:val="00E90D96"/>
    <w:rsid w:val="00E91813"/>
    <w:rsid w:val="00E935FC"/>
    <w:rsid w:val="00E95BE3"/>
    <w:rsid w:val="00E97898"/>
    <w:rsid w:val="00EA0486"/>
    <w:rsid w:val="00EA051C"/>
    <w:rsid w:val="00EA1D85"/>
    <w:rsid w:val="00EA3260"/>
    <w:rsid w:val="00EA4B63"/>
    <w:rsid w:val="00EA5071"/>
    <w:rsid w:val="00EB1995"/>
    <w:rsid w:val="00EB26F4"/>
    <w:rsid w:val="00EB321C"/>
    <w:rsid w:val="00EB39E3"/>
    <w:rsid w:val="00EB45A0"/>
    <w:rsid w:val="00EB70E0"/>
    <w:rsid w:val="00EB7742"/>
    <w:rsid w:val="00EC1E0D"/>
    <w:rsid w:val="00EC5721"/>
    <w:rsid w:val="00EC59C0"/>
    <w:rsid w:val="00EC728D"/>
    <w:rsid w:val="00ED438F"/>
    <w:rsid w:val="00ED4E6E"/>
    <w:rsid w:val="00ED5CEC"/>
    <w:rsid w:val="00ED5F86"/>
    <w:rsid w:val="00EE06A4"/>
    <w:rsid w:val="00EE0C8B"/>
    <w:rsid w:val="00EE2870"/>
    <w:rsid w:val="00EE2AEA"/>
    <w:rsid w:val="00EE3AD8"/>
    <w:rsid w:val="00EE4794"/>
    <w:rsid w:val="00EE4B1E"/>
    <w:rsid w:val="00EE6188"/>
    <w:rsid w:val="00EF3A3E"/>
    <w:rsid w:val="00EF57AC"/>
    <w:rsid w:val="00EF7030"/>
    <w:rsid w:val="00EF72F1"/>
    <w:rsid w:val="00F01083"/>
    <w:rsid w:val="00F01C69"/>
    <w:rsid w:val="00F059D8"/>
    <w:rsid w:val="00F05EC9"/>
    <w:rsid w:val="00F06BEC"/>
    <w:rsid w:val="00F06FA3"/>
    <w:rsid w:val="00F11130"/>
    <w:rsid w:val="00F11270"/>
    <w:rsid w:val="00F11DB3"/>
    <w:rsid w:val="00F12717"/>
    <w:rsid w:val="00F15133"/>
    <w:rsid w:val="00F15CC9"/>
    <w:rsid w:val="00F204BE"/>
    <w:rsid w:val="00F215FF"/>
    <w:rsid w:val="00F22318"/>
    <w:rsid w:val="00F23BD1"/>
    <w:rsid w:val="00F26788"/>
    <w:rsid w:val="00F26F2E"/>
    <w:rsid w:val="00F3053B"/>
    <w:rsid w:val="00F338E4"/>
    <w:rsid w:val="00F33E65"/>
    <w:rsid w:val="00F36AE7"/>
    <w:rsid w:val="00F37BB8"/>
    <w:rsid w:val="00F4225E"/>
    <w:rsid w:val="00F44580"/>
    <w:rsid w:val="00F44D06"/>
    <w:rsid w:val="00F45AF5"/>
    <w:rsid w:val="00F471DE"/>
    <w:rsid w:val="00F50230"/>
    <w:rsid w:val="00F50EFB"/>
    <w:rsid w:val="00F52D44"/>
    <w:rsid w:val="00F5451D"/>
    <w:rsid w:val="00F60584"/>
    <w:rsid w:val="00F61143"/>
    <w:rsid w:val="00F616F8"/>
    <w:rsid w:val="00F6307D"/>
    <w:rsid w:val="00F70504"/>
    <w:rsid w:val="00F7277B"/>
    <w:rsid w:val="00F74014"/>
    <w:rsid w:val="00F75930"/>
    <w:rsid w:val="00F80543"/>
    <w:rsid w:val="00F81A29"/>
    <w:rsid w:val="00F83D31"/>
    <w:rsid w:val="00F850E7"/>
    <w:rsid w:val="00F858EC"/>
    <w:rsid w:val="00F86639"/>
    <w:rsid w:val="00F87059"/>
    <w:rsid w:val="00F87B29"/>
    <w:rsid w:val="00F9095E"/>
    <w:rsid w:val="00F92C33"/>
    <w:rsid w:val="00F93D8B"/>
    <w:rsid w:val="00F9531C"/>
    <w:rsid w:val="00F95F12"/>
    <w:rsid w:val="00F97C71"/>
    <w:rsid w:val="00FA00BA"/>
    <w:rsid w:val="00FA0B69"/>
    <w:rsid w:val="00FA3C17"/>
    <w:rsid w:val="00FA48F2"/>
    <w:rsid w:val="00FB038F"/>
    <w:rsid w:val="00FB1671"/>
    <w:rsid w:val="00FB2D84"/>
    <w:rsid w:val="00FB41E4"/>
    <w:rsid w:val="00FB5089"/>
    <w:rsid w:val="00FB63B5"/>
    <w:rsid w:val="00FC0931"/>
    <w:rsid w:val="00FC5A49"/>
    <w:rsid w:val="00FC5D9D"/>
    <w:rsid w:val="00FD09FE"/>
    <w:rsid w:val="00FD2265"/>
    <w:rsid w:val="00FD41B0"/>
    <w:rsid w:val="00FD4423"/>
    <w:rsid w:val="00FD4E45"/>
    <w:rsid w:val="00FD7185"/>
    <w:rsid w:val="00FE0517"/>
    <w:rsid w:val="00FE146B"/>
    <w:rsid w:val="00FE3226"/>
    <w:rsid w:val="00FE3C9F"/>
    <w:rsid w:val="00FE7019"/>
    <w:rsid w:val="00FE72C4"/>
    <w:rsid w:val="00FE7712"/>
    <w:rsid w:val="00FE7721"/>
    <w:rsid w:val="00FF0E55"/>
    <w:rsid w:val="00FF6ABC"/>
    <w:rsid w:val="00FF6BAB"/>
    <w:rsid w:val="00FF714C"/>
    <w:rsid w:val="00FF72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1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fr-FR"/>
    </w:rPr>
  </w:style>
  <w:style w:type="paragraph" w:styleId="Titre1">
    <w:name w:val="heading 1"/>
    <w:basedOn w:val="Normal"/>
    <w:next w:val="Paragraphe"/>
    <w:qFormat/>
    <w:rsid w:val="00825D7D"/>
    <w:pPr>
      <w:keepNext/>
      <w:spacing w:before="120" w:after="120"/>
      <w:outlineLvl w:val="0"/>
    </w:pPr>
    <w:rPr>
      <w:b/>
      <w:kern w:val="28"/>
    </w:rPr>
  </w:style>
  <w:style w:type="paragraph" w:styleId="Titre2">
    <w:name w:val="heading 2"/>
    <w:basedOn w:val="Paragraphe"/>
    <w:next w:val="Paragraphe"/>
    <w:qFormat/>
    <w:rsid w:val="00825D7D"/>
    <w:pPr>
      <w:numPr>
        <w:numId w:val="0"/>
      </w:numPr>
      <w:outlineLvl w:val="1"/>
    </w:pPr>
    <w:rPr>
      <w:b/>
    </w:rPr>
  </w:style>
  <w:style w:type="paragraph" w:styleId="Titre3">
    <w:name w:val="heading 3"/>
    <w:basedOn w:val="Normal"/>
    <w:next w:val="Paragraphe"/>
    <w:qFormat/>
    <w:rsid w:val="00D9369B"/>
    <w:pPr>
      <w:keepNext/>
      <w:spacing w:before="120" w:after="120"/>
      <w:outlineLvl w:val="2"/>
    </w:pPr>
    <w:rPr>
      <w:i/>
    </w:rPr>
  </w:style>
  <w:style w:type="paragraph" w:styleId="Titre4">
    <w:name w:val="heading 4"/>
    <w:basedOn w:val="Normal"/>
    <w:next w:val="Paragraphe"/>
    <w:qFormat/>
    <w:rsid w:val="0096322E"/>
    <w:pPr>
      <w:keepNext/>
      <w:spacing w:before="240" w:after="60"/>
      <w:outlineLvl w:val="3"/>
    </w:p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rsid w:val="0096322E"/>
    <w:pPr>
      <w:numPr>
        <w:numId w:val="2"/>
      </w:numPr>
      <w:spacing w:before="120" w:after="120"/>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pPr>
      <w:spacing w:after="120"/>
    </w:pPr>
  </w:style>
  <w:style w:type="paragraph" w:styleId="Notedebasdepage">
    <w:name w:val="footnote text"/>
    <w:basedOn w:val="Normal"/>
    <w:link w:val="NotedebasdepageCar"/>
    <w:uiPriority w:val="99"/>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rsid w:val="00B4030F"/>
    <w:pPr>
      <w:jc w:val="center"/>
    </w:pPr>
    <w:rPr>
      <w:b/>
      <w:sz w:val="32"/>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pPr>
      <w:ind w:left="70"/>
    </w:pPr>
  </w:style>
  <w:style w:type="paragraph" w:customStyle="1" w:styleId="zSoquijdatGreffe">
    <w:name w:val="zSoquij_datGreffe"/>
    <w:basedOn w:val="Normal"/>
    <w:pPr>
      <w:ind w:left="29"/>
    </w:p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pPr>
      <w:ind w:left="70"/>
    </w:pPr>
    <w:rPr>
      <w:b/>
    </w:rPr>
  </w:style>
  <w:style w:type="paragraph" w:customStyle="1" w:styleId="zSoquijdatQteJuge">
    <w:name w:val="zSoquij_datQteJuge"/>
    <w:basedOn w:val="Normal"/>
    <w:pPr>
      <w:ind w:left="29"/>
    </w:pPr>
    <w:rPr>
      <w:b/>
    </w:rPr>
  </w:style>
  <w:style w:type="paragraph" w:customStyle="1" w:styleId="zSoquijdatJuge">
    <w:name w:val="zSoquij_datJuge"/>
    <w:basedOn w:val="Normal"/>
    <w:pPr>
      <w:ind w:left="52"/>
    </w:pPr>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rsid w:val="00B203AC"/>
    <w:pPr>
      <w:jc w:val="center"/>
    </w:pPr>
    <w:rPr>
      <w:b/>
      <w:smallCaps/>
    </w:r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basedOn w:val="Policepardfaut"/>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aphe"/>
    <w:next w:val="Paragraph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pPr>
      <w:widowControl w:val="0"/>
      <w:numPr>
        <w:ilvl w:val="1"/>
        <w:numId w:val="2"/>
      </w:numPr>
      <w:spacing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next w:val="Paragraphe"/>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paragraph" w:customStyle="1" w:styleId="zSoquijlblNoDecision">
    <w:name w:val="zSoquij_lblNoDecision"/>
    <w:basedOn w:val="zSoquijlblNoDossier"/>
    <w:rsid w:val="00EB39E3"/>
  </w:style>
  <w:style w:type="paragraph" w:customStyle="1" w:styleId="zSoquijdatNoDecision">
    <w:name w:val="zSoquij_datNoDecision"/>
    <w:basedOn w:val="zSoquijdatNoDossier"/>
    <w:rsid w:val="00EB39E3"/>
  </w:style>
  <w:style w:type="paragraph" w:styleId="En-tte">
    <w:name w:val="header"/>
    <w:basedOn w:val="Normal"/>
    <w:rsid w:val="00B4030F"/>
    <w:pPr>
      <w:tabs>
        <w:tab w:val="center" w:pos="4320"/>
        <w:tab w:val="right" w:pos="8640"/>
      </w:tabs>
    </w:pPr>
  </w:style>
  <w:style w:type="paragraph" w:styleId="Pieddepage">
    <w:name w:val="footer"/>
    <w:basedOn w:val="Normal"/>
    <w:rsid w:val="00B4030F"/>
    <w:pPr>
      <w:tabs>
        <w:tab w:val="center" w:pos="4320"/>
        <w:tab w:val="right" w:pos="8640"/>
      </w:tabs>
    </w:pPr>
  </w:style>
  <w:style w:type="paragraph" w:customStyle="1" w:styleId="Citationendoubleretrait">
    <w:name w:val="Citation en double retrait"/>
    <w:basedOn w:val="Citationenretrait"/>
    <w:qFormat/>
    <w:rsid w:val="000976EC"/>
    <w:pPr>
      <w:ind w:left="992" w:right="992"/>
    </w:pPr>
  </w:style>
  <w:style w:type="paragraph" w:customStyle="1" w:styleId="zSoquijlblNosArticles">
    <w:name w:val="zSoquij_lblNosArticles"/>
    <w:basedOn w:val="zSoquijlblTypeDocument"/>
    <w:rsid w:val="00B203AC"/>
    <w:rPr>
      <w:b w:val="0"/>
      <w:smallCaps w:val="0"/>
    </w:rPr>
  </w:style>
  <w:style w:type="character" w:styleId="Appelnotedebasdep">
    <w:name w:val="footnote reference"/>
    <w:basedOn w:val="Policepardfaut"/>
    <w:uiPriority w:val="99"/>
    <w:rsid w:val="00BA3C47"/>
    <w:rPr>
      <w:vertAlign w:val="superscript"/>
    </w:rPr>
  </w:style>
  <w:style w:type="paragraph" w:customStyle="1" w:styleId="paragraphe0">
    <w:name w:val="paragraphe"/>
    <w:basedOn w:val="Normal"/>
    <w:rsid w:val="00415DCB"/>
    <w:pPr>
      <w:spacing w:before="100" w:beforeAutospacing="1" w:after="100" w:afterAutospacing="1"/>
    </w:pPr>
    <w:rPr>
      <w:rFonts w:ascii="Times New Roman" w:hAnsi="Times New Roman"/>
      <w:szCs w:val="24"/>
      <w:lang w:eastAsia="fr-CA"/>
    </w:rPr>
  </w:style>
  <w:style w:type="character" w:customStyle="1" w:styleId="ParagrapheCar">
    <w:name w:val="Paragraphe Car"/>
    <w:link w:val="Paragraphe"/>
    <w:locked/>
    <w:rsid w:val="00415DCB"/>
    <w:rPr>
      <w:rFonts w:ascii="Arial" w:hAnsi="Arial"/>
      <w:kern w:val="28"/>
      <w:sz w:val="24"/>
      <w:lang w:eastAsia="fr-FR"/>
    </w:rPr>
  </w:style>
  <w:style w:type="character" w:customStyle="1" w:styleId="NotedebasdepageCar">
    <w:name w:val="Note de bas de page Car"/>
    <w:link w:val="Notedebasdepage"/>
    <w:uiPriority w:val="99"/>
    <w:rsid w:val="00415DCB"/>
    <w:rPr>
      <w:rFonts w:ascii="Arial" w:hAnsi="Arial"/>
      <w:lang w:eastAsia="fr-FR"/>
    </w:rPr>
  </w:style>
  <w:style w:type="character" w:styleId="Textedelespacerserv">
    <w:name w:val="Placeholder Text"/>
    <w:basedOn w:val="Policepardfaut"/>
    <w:uiPriority w:val="99"/>
    <w:semiHidden/>
    <w:rsid w:val="000D2FD5"/>
    <w:rPr>
      <w:color w:val="808080"/>
    </w:rPr>
  </w:style>
  <w:style w:type="paragraph" w:styleId="Paragraphedeliste">
    <w:name w:val="List Paragraph"/>
    <w:basedOn w:val="Normal"/>
    <w:link w:val="ParagraphedelisteCar"/>
    <w:uiPriority w:val="1"/>
    <w:qFormat/>
    <w:rsid w:val="00745A21"/>
    <w:pPr>
      <w:numPr>
        <w:numId w:val="3"/>
      </w:numPr>
      <w:spacing w:after="240"/>
      <w:ind w:left="567" w:hanging="567"/>
      <w:jc w:val="both"/>
    </w:pPr>
    <w:rPr>
      <w:rFonts w:eastAsiaTheme="minorHAnsi" w:cs="Arial"/>
      <w:sz w:val="22"/>
      <w:szCs w:val="22"/>
      <w:lang w:eastAsia="en-US"/>
    </w:rPr>
  </w:style>
  <w:style w:type="character" w:customStyle="1" w:styleId="ParagraphedelisteCar">
    <w:name w:val="Paragraphe de liste Car"/>
    <w:basedOn w:val="Policepardfaut"/>
    <w:link w:val="Paragraphedeliste"/>
    <w:uiPriority w:val="1"/>
    <w:rsid w:val="00745A21"/>
    <w:rPr>
      <w:rFonts w:ascii="Arial" w:eastAsiaTheme="minorHAnsi" w:hAnsi="Arial" w:cs="Arial"/>
      <w:sz w:val="22"/>
      <w:szCs w:val="22"/>
      <w:lang w:eastAsia="en-US"/>
    </w:rPr>
  </w:style>
  <w:style w:type="character" w:customStyle="1" w:styleId="label-section">
    <w:name w:val="label-section"/>
    <w:basedOn w:val="Policepardfaut"/>
    <w:rsid w:val="00B14E95"/>
  </w:style>
  <w:style w:type="character" w:customStyle="1" w:styleId="subsection">
    <w:name w:val="subsection"/>
    <w:basedOn w:val="Policepardfaut"/>
    <w:rsid w:val="00B14E95"/>
  </w:style>
  <w:style w:type="character" w:styleId="Marquedecommentaire">
    <w:name w:val="annotation reference"/>
    <w:basedOn w:val="Policepardfaut"/>
    <w:uiPriority w:val="99"/>
    <w:semiHidden/>
    <w:unhideWhenUsed/>
    <w:rsid w:val="007E37C9"/>
  </w:style>
  <w:style w:type="paragraph" w:styleId="Commentaire">
    <w:name w:val="annotation text"/>
    <w:basedOn w:val="Normal"/>
    <w:link w:val="CommentaireCar"/>
    <w:unhideWhenUsed/>
    <w:rsid w:val="00633CC6"/>
    <w:rPr>
      <w:sz w:val="20"/>
    </w:rPr>
  </w:style>
  <w:style w:type="character" w:customStyle="1" w:styleId="CommentaireCar">
    <w:name w:val="Commentaire Car"/>
    <w:basedOn w:val="Policepardfaut"/>
    <w:link w:val="Commentaire"/>
    <w:rsid w:val="00633CC6"/>
    <w:rPr>
      <w:rFonts w:ascii="Arial" w:hAnsi="Arial"/>
      <w:lang w:eastAsia="fr-FR"/>
    </w:rPr>
  </w:style>
  <w:style w:type="paragraph" w:styleId="Objetducommentaire">
    <w:name w:val="annotation subject"/>
    <w:basedOn w:val="Commentaire"/>
    <w:next w:val="Commentaire"/>
    <w:link w:val="ObjetducommentaireCar"/>
    <w:semiHidden/>
    <w:unhideWhenUsed/>
    <w:rsid w:val="00633CC6"/>
    <w:rPr>
      <w:b/>
      <w:bCs/>
    </w:rPr>
  </w:style>
  <w:style w:type="character" w:customStyle="1" w:styleId="ObjetducommentaireCar">
    <w:name w:val="Objet du commentaire Car"/>
    <w:basedOn w:val="CommentaireCar"/>
    <w:link w:val="Objetducommentaire"/>
    <w:semiHidden/>
    <w:rsid w:val="00633CC6"/>
    <w:rPr>
      <w:rFonts w:ascii="Arial" w:hAnsi="Arial"/>
      <w:b/>
      <w:bCs/>
      <w:lang w:eastAsia="fr-FR"/>
    </w:rPr>
  </w:style>
  <w:style w:type="paragraph" w:styleId="Textedebulles">
    <w:name w:val="Balloon Text"/>
    <w:basedOn w:val="Normal"/>
    <w:link w:val="TextedebullesCar"/>
    <w:semiHidden/>
    <w:unhideWhenUsed/>
    <w:rsid w:val="00633CC6"/>
    <w:rPr>
      <w:rFonts w:ascii="Segoe UI" w:hAnsi="Segoe UI" w:cs="Segoe UI"/>
      <w:sz w:val="18"/>
      <w:szCs w:val="18"/>
    </w:rPr>
  </w:style>
  <w:style w:type="character" w:customStyle="1" w:styleId="TextedebullesCar">
    <w:name w:val="Texte de bulles Car"/>
    <w:basedOn w:val="Policepardfaut"/>
    <w:link w:val="Textedebulles"/>
    <w:semiHidden/>
    <w:rsid w:val="00633CC6"/>
    <w:rPr>
      <w:rFonts w:ascii="Segoe UI" w:hAnsi="Segoe UI" w:cs="Segoe UI"/>
      <w:sz w:val="18"/>
      <w:szCs w:val="18"/>
      <w:lang w:eastAsia="fr-FR"/>
    </w:rPr>
  </w:style>
  <w:style w:type="character" w:styleId="Hyperlien">
    <w:name w:val="Hyperlink"/>
    <w:uiPriority w:val="99"/>
    <w:unhideWhenUsed/>
    <w:rsid w:val="00675484"/>
    <w:rPr>
      <w:color w:val="0000FF"/>
      <w:u w:val="single"/>
    </w:rPr>
  </w:style>
  <w:style w:type="paragraph" w:styleId="Rvision">
    <w:name w:val="Revision"/>
    <w:hidden/>
    <w:uiPriority w:val="99"/>
    <w:semiHidden/>
    <w:rsid w:val="006D4AB4"/>
    <w:rPr>
      <w:rFonts w:ascii="Arial" w:hAnsi="Arial"/>
      <w:sz w:val="24"/>
      <w:lang w:eastAsia="fr-FR"/>
    </w:rPr>
  </w:style>
  <w:style w:type="character" w:customStyle="1" w:styleId="irofootnotereference">
    <w:name w:val="irofootnotereference"/>
    <w:basedOn w:val="Policepardfaut"/>
    <w:rsid w:val="008715FB"/>
  </w:style>
  <w:style w:type="paragraph" w:customStyle="1" w:styleId="Default">
    <w:name w:val="Default"/>
    <w:rsid w:val="006A3ED9"/>
    <w:pPr>
      <w:autoSpaceDE w:val="0"/>
      <w:autoSpaceDN w:val="0"/>
      <w:adjustRightInd w:val="0"/>
    </w:pPr>
    <w:rPr>
      <w:rFonts w:ascii="Arial" w:hAnsi="Arial" w:cs="Arial"/>
      <w:color w:val="000000"/>
      <w:sz w:val="24"/>
      <w:szCs w:val="24"/>
    </w:rPr>
  </w:style>
  <w:style w:type="character" w:customStyle="1" w:styleId="texte-courant">
    <w:name w:val="texte-courant"/>
    <w:basedOn w:val="Policepardfaut"/>
    <w:rsid w:val="00F01083"/>
  </w:style>
  <w:style w:type="character" w:customStyle="1" w:styleId="Mentionnonrsolue1">
    <w:name w:val="Mention non résolue1"/>
    <w:basedOn w:val="Policepardfaut"/>
    <w:uiPriority w:val="99"/>
    <w:semiHidden/>
    <w:unhideWhenUsed/>
    <w:rsid w:val="0021762D"/>
    <w:rPr>
      <w:color w:val="605E5C"/>
      <w:shd w:val="clear" w:color="auto" w:fill="E1DFDD"/>
    </w:rPr>
  </w:style>
  <w:style w:type="paragraph" w:customStyle="1" w:styleId="noo">
    <w:name w:val="noo"/>
    <w:basedOn w:val="Normal"/>
    <w:rsid w:val="00D70487"/>
    <w:pPr>
      <w:numPr>
        <w:numId w:val="4"/>
      </w:numPr>
      <w:jc w:val="both"/>
    </w:pPr>
    <w:rPr>
      <w:rFonts w:cs="Arial"/>
      <w:sz w:val="22"/>
    </w:rPr>
  </w:style>
  <w:style w:type="character" w:customStyle="1" w:styleId="solexhl">
    <w:name w:val="solexhl"/>
    <w:basedOn w:val="Policepardfaut"/>
    <w:rsid w:val="00245162"/>
  </w:style>
  <w:style w:type="paragraph" w:customStyle="1" w:styleId="citationendoubleretrait0">
    <w:name w:val="citationendoubleretrait"/>
    <w:basedOn w:val="Normal"/>
    <w:rsid w:val="00245162"/>
    <w:pPr>
      <w:spacing w:before="100" w:beforeAutospacing="1" w:after="100" w:afterAutospacing="1"/>
    </w:pPr>
    <w:rPr>
      <w:rFonts w:ascii="Times New Roman" w:hAnsi="Times New Roman"/>
      <w:szCs w:val="24"/>
      <w:lang w:val="en-US" w:eastAsia="en-US"/>
    </w:rPr>
  </w:style>
  <w:style w:type="character" w:customStyle="1" w:styleId="file-size">
    <w:name w:val="file-size"/>
    <w:basedOn w:val="Policepardfaut"/>
    <w:rsid w:val="00846204"/>
  </w:style>
  <w:style w:type="character" w:customStyle="1" w:styleId="visuallyhidden">
    <w:name w:val="visuallyhidden"/>
    <w:basedOn w:val="Policepardfaut"/>
    <w:rsid w:val="00846204"/>
  </w:style>
  <w:style w:type="character" w:styleId="Accentuation">
    <w:name w:val="Emphasis"/>
    <w:basedOn w:val="Policepardfaut"/>
    <w:uiPriority w:val="20"/>
    <w:qFormat/>
    <w:rsid w:val="00846204"/>
    <w:rPr>
      <w:i/>
      <w:iCs/>
    </w:rPr>
  </w:style>
  <w:style w:type="character" w:customStyle="1" w:styleId="fontstyle01">
    <w:name w:val="fontstyle01"/>
    <w:basedOn w:val="Policepardfaut"/>
    <w:rsid w:val="00F92C33"/>
  </w:style>
  <w:style w:type="character" w:customStyle="1" w:styleId="Mentionnonrsolue2">
    <w:name w:val="Mention non résolue2"/>
    <w:basedOn w:val="Policepardfaut"/>
    <w:uiPriority w:val="99"/>
    <w:semiHidden/>
    <w:unhideWhenUsed/>
    <w:rsid w:val="0029313D"/>
    <w:rPr>
      <w:color w:val="605E5C"/>
      <w:shd w:val="clear" w:color="auto" w:fill="E1DFDD"/>
    </w:rPr>
  </w:style>
  <w:style w:type="character" w:styleId="Mentionnonrsolue">
    <w:name w:val="Unresolved Mention"/>
    <w:basedOn w:val="Policepardfaut"/>
    <w:uiPriority w:val="99"/>
    <w:semiHidden/>
    <w:unhideWhenUsed/>
    <w:rsid w:val="00754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4FB6135DC64C3BBAF380B5BC754CD0"/>
        <w:category>
          <w:name w:val="Général"/>
          <w:gallery w:val="placeholder"/>
        </w:category>
        <w:types>
          <w:type w:val="bbPlcHdr"/>
        </w:types>
        <w:behaviors>
          <w:behavior w:val="content"/>
        </w:behaviors>
        <w:guid w:val="{7FB81CED-1301-4C67-A177-38EDD77910EA}"/>
      </w:docPartPr>
      <w:docPartBody>
        <w:p w:rsidR="000807EF" w:rsidRDefault="00C7316C" w:rsidP="00281E80">
          <w:pPr>
            <w:pStyle w:val="5E4FB6135DC64C3BBAF380B5BC754CD0"/>
          </w:pPr>
          <w:r w:rsidRPr="00EF7030">
            <w:rPr>
              <w:rStyle w:val="Textedelespacerserv"/>
            </w:rPr>
            <w:t>Dossier No</w:t>
          </w:r>
        </w:p>
      </w:docPartBody>
    </w:docPart>
    <w:docPart>
      <w:docPartPr>
        <w:name w:val="DE3EB9A635B14CABBE0DCB4B8C99047B"/>
        <w:category>
          <w:name w:val="Général"/>
          <w:gallery w:val="placeholder"/>
        </w:category>
        <w:types>
          <w:type w:val="bbPlcHdr"/>
        </w:types>
        <w:behaviors>
          <w:behavior w:val="content"/>
        </w:behaviors>
        <w:guid w:val="{129E4C86-3880-4BC2-BC04-798FC28F9A01}"/>
      </w:docPartPr>
      <w:docPartBody>
        <w:p w:rsidR="000807EF" w:rsidRDefault="00C7316C" w:rsidP="00281E80">
          <w:pPr>
            <w:pStyle w:val="DE3EB9A635B14CABBE0DCB4B8C99047B"/>
          </w:pPr>
          <w:r w:rsidRPr="00EF7030">
            <w:rPr>
              <w:rStyle w:val="Textedelespacerserv"/>
            </w:rPr>
            <w:t>Décision No</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15A2" w:rsidRDefault="007915A2">
      <w:pPr>
        <w:spacing w:after="0" w:line="240" w:lineRule="auto"/>
      </w:pPr>
      <w:r>
        <w:separator/>
      </w:r>
    </w:p>
  </w:endnote>
  <w:endnote w:type="continuationSeparator" w:id="0">
    <w:p w:rsidR="007915A2" w:rsidRDefault="007915A2">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15A2" w:rsidRDefault="007915A2">
      <w:pPr>
        <w:spacing w:after="0" w:line="240" w:lineRule="auto"/>
      </w:pPr>
      <w:r>
        <w:separator/>
      </w:r>
    </w:p>
  </w:footnote>
  <w:footnote w:type="continuationSeparator" w:id="0">
    <w:p w:rsidR="007915A2" w:rsidRDefault="007915A2">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CEC"/>
    <w:rsid w:val="000538A7"/>
    <w:rsid w:val="000807EF"/>
    <w:rsid w:val="000E612C"/>
    <w:rsid w:val="001072CA"/>
    <w:rsid w:val="00190616"/>
    <w:rsid w:val="00193957"/>
    <w:rsid w:val="001A2C4D"/>
    <w:rsid w:val="0020220A"/>
    <w:rsid w:val="0020682E"/>
    <w:rsid w:val="002121D5"/>
    <w:rsid w:val="0025491D"/>
    <w:rsid w:val="00257CA0"/>
    <w:rsid w:val="00270852"/>
    <w:rsid w:val="00274928"/>
    <w:rsid w:val="00281E80"/>
    <w:rsid w:val="00290182"/>
    <w:rsid w:val="00293B2F"/>
    <w:rsid w:val="002B11DE"/>
    <w:rsid w:val="002C39A3"/>
    <w:rsid w:val="002D556A"/>
    <w:rsid w:val="00397D2E"/>
    <w:rsid w:val="003C353F"/>
    <w:rsid w:val="00413E04"/>
    <w:rsid w:val="00415E19"/>
    <w:rsid w:val="00436D26"/>
    <w:rsid w:val="004952ED"/>
    <w:rsid w:val="004B4344"/>
    <w:rsid w:val="004C3AC8"/>
    <w:rsid w:val="004C51EE"/>
    <w:rsid w:val="004D1E6D"/>
    <w:rsid w:val="004F259F"/>
    <w:rsid w:val="005346A7"/>
    <w:rsid w:val="005706DB"/>
    <w:rsid w:val="006115B2"/>
    <w:rsid w:val="0065603D"/>
    <w:rsid w:val="00663CF0"/>
    <w:rsid w:val="00667E0D"/>
    <w:rsid w:val="00682D66"/>
    <w:rsid w:val="006B3B8A"/>
    <w:rsid w:val="006D0DE1"/>
    <w:rsid w:val="006F2351"/>
    <w:rsid w:val="00710EEE"/>
    <w:rsid w:val="00752C7D"/>
    <w:rsid w:val="007758D4"/>
    <w:rsid w:val="00780539"/>
    <w:rsid w:val="00791358"/>
    <w:rsid w:val="007915A2"/>
    <w:rsid w:val="008141FB"/>
    <w:rsid w:val="0083066F"/>
    <w:rsid w:val="008472AB"/>
    <w:rsid w:val="00876B79"/>
    <w:rsid w:val="00892564"/>
    <w:rsid w:val="008F5C0B"/>
    <w:rsid w:val="00936911"/>
    <w:rsid w:val="00987180"/>
    <w:rsid w:val="00A41405"/>
    <w:rsid w:val="00A838F4"/>
    <w:rsid w:val="00BC522E"/>
    <w:rsid w:val="00BF486C"/>
    <w:rsid w:val="00C4360B"/>
    <w:rsid w:val="00C50D51"/>
    <w:rsid w:val="00C7316C"/>
    <w:rsid w:val="00C96D40"/>
    <w:rsid w:val="00D44C92"/>
    <w:rsid w:val="00D60C0C"/>
    <w:rsid w:val="00D97632"/>
    <w:rsid w:val="00DD4A10"/>
    <w:rsid w:val="00DE6B8F"/>
    <w:rsid w:val="00DE6D36"/>
    <w:rsid w:val="00E047BD"/>
    <w:rsid w:val="00E43B8D"/>
    <w:rsid w:val="00E51471"/>
    <w:rsid w:val="00EA74E9"/>
    <w:rsid w:val="00ED1139"/>
    <w:rsid w:val="00F05EC9"/>
    <w:rsid w:val="00F0640D"/>
    <w:rsid w:val="00F15133"/>
    <w:rsid w:val="00F24851"/>
    <w:rsid w:val="00F2530B"/>
    <w:rsid w:val="00F45E36"/>
    <w:rsid w:val="00F90CEC"/>
    <w:rsid w:val="00FB2D92"/>
    <w:rsid w:val="00FB5089"/>
    <w:rsid w:val="00FC38E4"/>
    <w:rsid w:val="00FD0284"/>
    <w:rsid w:val="00FE0517"/>
    <w:rsid w:val="00FF43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C38E4"/>
    <w:rPr>
      <w:color w:val="808080"/>
    </w:rPr>
  </w:style>
  <w:style w:type="paragraph" w:customStyle="1" w:styleId="5E4FB6135DC64C3BBAF380B5BC754CD0">
    <w:name w:val="5E4FB6135DC64C3BBAF380B5BC754CD0"/>
    <w:rsid w:val="00281E80"/>
    <w:pPr>
      <w:spacing w:after="0" w:line="240" w:lineRule="auto"/>
    </w:pPr>
    <w:rPr>
      <w:rFonts w:ascii="Arial" w:eastAsia="Times New Roman" w:hAnsi="Arial" w:cs="Times New Roman"/>
      <w:sz w:val="24"/>
      <w:szCs w:val="20"/>
      <w:lang w:eastAsia="fr-FR"/>
    </w:rPr>
  </w:style>
  <w:style w:type="paragraph" w:customStyle="1" w:styleId="DE3EB9A635B14CABBE0DCB4B8C99047B">
    <w:name w:val="DE3EB9A635B14CABBE0DCB4B8C99047B"/>
    <w:rsid w:val="00281E80"/>
    <w:pPr>
      <w:spacing w:after="0" w:line="240" w:lineRule="auto"/>
    </w:pPr>
    <w:rPr>
      <w:rFonts w:ascii="Arial" w:eastAsia="Times New Roman" w:hAnsi="Arial" w:cs="Times New Roman"/>
      <w:sz w:val="24"/>
      <w:szCs w:val="20"/>
      <w:lang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191D-B522-4A01-A873-88AD1304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3876</Words>
  <Characters>21318</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2025-01-26T00:12:00Z</dcterms:created>
  <dcterms:modified xsi:type="dcterms:W3CDTF">2025-01-27T19:31:00Z</dcterms:modified>
</cp:coreProperties>
</file>