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82A1" w14:textId="77777777" w:rsidR="00026D17" w:rsidRPr="00BB7C98" w:rsidRDefault="00026D17" w:rsidP="00026D17">
      <w:pPr>
        <w:rPr>
          <w:b/>
          <w:bCs/>
          <w:lang w:val="en-CA"/>
        </w:rPr>
      </w:pPr>
      <w:bookmarkStart w:id="0" w:name="_Hlk185341341"/>
      <w:bookmarkStart w:id="1" w:name="_Hlk185341342"/>
      <w:r w:rsidRPr="00060F91">
        <w:rPr>
          <w:b/>
          <w:bCs/>
          <w:lang w:val="en-CA"/>
        </w:rPr>
        <w:t xml:space="preserve">English </w:t>
      </w:r>
      <w:r>
        <w:rPr>
          <w:b/>
          <w:bCs/>
          <w:lang w:val="en-CA"/>
        </w:rPr>
        <w:t>t</w:t>
      </w:r>
      <w:r w:rsidRPr="00060F91">
        <w:rPr>
          <w:b/>
          <w:bCs/>
          <w:lang w:val="en-CA"/>
        </w:rPr>
        <w:t xml:space="preserve">ranslation of the </w:t>
      </w:r>
      <w:r>
        <w:rPr>
          <w:b/>
          <w:bCs/>
          <w:lang w:val="en-CA"/>
        </w:rPr>
        <w:t>j</w:t>
      </w:r>
      <w:r w:rsidRPr="00060F91">
        <w:rPr>
          <w:b/>
          <w:bCs/>
          <w:lang w:val="en-CA"/>
        </w:rPr>
        <w:t>udgment of the Court</w:t>
      </w:r>
      <w:bookmarkEnd w:id="0"/>
      <w:bookmarkEnd w:id="1"/>
    </w:p>
    <w:tbl>
      <w:tblPr>
        <w:tblW w:w="9360" w:type="dxa"/>
        <w:tblLayout w:type="fixed"/>
        <w:tblCellMar>
          <w:left w:w="0" w:type="dxa"/>
          <w:right w:w="0" w:type="dxa"/>
        </w:tblCellMar>
        <w:tblLook w:val="0000" w:firstRow="0" w:lastRow="0" w:firstColumn="0" w:lastColumn="0" w:noHBand="0" w:noVBand="0"/>
      </w:tblPr>
      <w:tblGrid>
        <w:gridCol w:w="1030"/>
        <w:gridCol w:w="388"/>
        <w:gridCol w:w="202"/>
        <w:gridCol w:w="2350"/>
        <w:gridCol w:w="3402"/>
        <w:gridCol w:w="1988"/>
      </w:tblGrid>
      <w:tr w:rsidR="00026D17" w:rsidRPr="00366942" w14:paraId="7B373248" w14:textId="77777777" w:rsidTr="008D18FC">
        <w:trPr>
          <w:trHeight w:val="248"/>
        </w:trPr>
        <w:tc>
          <w:tcPr>
            <w:tcW w:w="7372" w:type="dxa"/>
            <w:gridSpan w:val="5"/>
          </w:tcPr>
          <w:p w14:paraId="509C6D9D" w14:textId="33368976" w:rsidR="00026D17" w:rsidRPr="00366942" w:rsidRDefault="00026D17" w:rsidP="00026D17">
            <w:pPr>
              <w:pStyle w:val="zSoquijdatRepertorie"/>
              <w:rPr>
                <w:lang w:val="en-CA"/>
              </w:rPr>
            </w:pPr>
            <w:r w:rsidRPr="007B0883">
              <w:rPr>
                <w:lang w:val="en-CA"/>
              </w:rPr>
              <w:t>A.P. c. Procureur général du Québec</w:t>
            </w:r>
          </w:p>
        </w:tc>
        <w:tc>
          <w:tcPr>
            <w:tcW w:w="1988" w:type="dxa"/>
          </w:tcPr>
          <w:p w14:paraId="1C260FC1" w14:textId="4E4437C0" w:rsidR="00026D17" w:rsidRPr="00366942" w:rsidRDefault="00026D17" w:rsidP="00026D17">
            <w:pPr>
              <w:pStyle w:val="zSoquijdatRefNeutre"/>
              <w:jc w:val="right"/>
              <w:rPr>
                <w:lang w:val="en-CA"/>
              </w:rPr>
            </w:pPr>
            <w:r w:rsidRPr="007B0883">
              <w:rPr>
                <w:lang w:val="en-CA"/>
              </w:rPr>
              <w:t>2025 QCCA 24</w:t>
            </w:r>
          </w:p>
        </w:tc>
      </w:tr>
      <w:tr w:rsidR="00366942" w:rsidRPr="00366942" w14:paraId="44CD9842" w14:textId="77777777" w:rsidTr="008D18FC">
        <w:trPr>
          <w:trHeight w:val="247"/>
        </w:trPr>
        <w:tc>
          <w:tcPr>
            <w:tcW w:w="9360" w:type="dxa"/>
            <w:gridSpan w:val="6"/>
          </w:tcPr>
          <w:p w14:paraId="0F90E5D3" w14:textId="300197AA" w:rsidR="008F364A" w:rsidRPr="00366942" w:rsidRDefault="00740A17">
            <w:pPr>
              <w:pStyle w:val="zSoquijlblCour"/>
              <w:rPr>
                <w:lang w:val="en-CA"/>
              </w:rPr>
            </w:pPr>
            <w:r w:rsidRPr="00366942">
              <w:rPr>
                <w:lang w:val="en-CA"/>
              </w:rPr>
              <w:t>COUR</w:t>
            </w:r>
            <w:r w:rsidR="00E76E48" w:rsidRPr="00366942">
              <w:rPr>
                <w:lang w:val="en-CA"/>
              </w:rPr>
              <w:t>T</w:t>
            </w:r>
            <w:r w:rsidRPr="00366942">
              <w:rPr>
                <w:lang w:val="en-CA"/>
              </w:rPr>
              <w:t xml:space="preserve"> </w:t>
            </w:r>
            <w:r w:rsidR="00E76E48" w:rsidRPr="00366942">
              <w:rPr>
                <w:lang w:val="en-CA"/>
              </w:rPr>
              <w:t xml:space="preserve">OF </w:t>
            </w:r>
            <w:r w:rsidRPr="00366942">
              <w:rPr>
                <w:lang w:val="en-CA"/>
              </w:rPr>
              <w:t>A</w:t>
            </w:r>
            <w:r w:rsidR="003745E4" w:rsidRPr="00366942">
              <w:rPr>
                <w:lang w:val="en-CA"/>
              </w:rPr>
              <w:t>P</w:t>
            </w:r>
            <w:r w:rsidRPr="00366942">
              <w:rPr>
                <w:lang w:val="en-CA"/>
              </w:rPr>
              <w:t>PE</w:t>
            </w:r>
            <w:r w:rsidR="00E76E48" w:rsidRPr="00366942">
              <w:rPr>
                <w:lang w:val="en-CA"/>
              </w:rPr>
              <w:t>A</w:t>
            </w:r>
            <w:r w:rsidRPr="00366942">
              <w:rPr>
                <w:lang w:val="en-CA"/>
              </w:rPr>
              <w:t>L</w:t>
            </w:r>
          </w:p>
        </w:tc>
      </w:tr>
      <w:tr w:rsidR="00366942" w:rsidRPr="00366942" w14:paraId="092F83F4" w14:textId="77777777" w:rsidTr="008D18FC">
        <w:trPr>
          <w:trHeight w:val="540"/>
        </w:trPr>
        <w:tc>
          <w:tcPr>
            <w:tcW w:w="9360" w:type="dxa"/>
            <w:gridSpan w:val="6"/>
          </w:tcPr>
          <w:p w14:paraId="1E56F631" w14:textId="77777777" w:rsidR="008F364A" w:rsidRPr="00366942" w:rsidRDefault="008F364A">
            <w:pPr>
              <w:pStyle w:val="zSoquijdatDivision"/>
              <w:rPr>
                <w:lang w:val="en-CA"/>
              </w:rPr>
            </w:pPr>
          </w:p>
        </w:tc>
      </w:tr>
      <w:tr w:rsidR="00366942" w:rsidRPr="00366942" w14:paraId="55ABE1B2" w14:textId="77777777" w:rsidTr="008D18FC">
        <w:tc>
          <w:tcPr>
            <w:tcW w:w="9360" w:type="dxa"/>
            <w:gridSpan w:val="6"/>
          </w:tcPr>
          <w:p w14:paraId="7EE5EC6C" w14:textId="77777777" w:rsidR="008F364A" w:rsidRPr="00366942" w:rsidRDefault="00740A17">
            <w:pPr>
              <w:pStyle w:val="zSoquijlblPays"/>
              <w:rPr>
                <w:lang w:val="en-CA"/>
              </w:rPr>
            </w:pPr>
            <w:r w:rsidRPr="00366942">
              <w:rPr>
                <w:lang w:val="en-CA"/>
              </w:rPr>
              <w:t>CANADA</w:t>
            </w:r>
          </w:p>
        </w:tc>
      </w:tr>
      <w:tr w:rsidR="00366942" w:rsidRPr="00366942" w14:paraId="5F7331E5" w14:textId="77777777" w:rsidTr="008D18FC">
        <w:tc>
          <w:tcPr>
            <w:tcW w:w="9360" w:type="dxa"/>
            <w:gridSpan w:val="6"/>
          </w:tcPr>
          <w:p w14:paraId="3DFE4A3F" w14:textId="18AB0976" w:rsidR="008F364A" w:rsidRPr="00366942" w:rsidRDefault="00740A17">
            <w:pPr>
              <w:pStyle w:val="zSoquijlblProvince"/>
              <w:rPr>
                <w:lang w:val="en-CA"/>
              </w:rPr>
            </w:pPr>
            <w:r w:rsidRPr="00366942">
              <w:rPr>
                <w:lang w:val="en-CA"/>
              </w:rPr>
              <w:t xml:space="preserve">PROVINCE </w:t>
            </w:r>
            <w:r w:rsidR="00E76E48" w:rsidRPr="00366942">
              <w:rPr>
                <w:lang w:val="en-CA"/>
              </w:rPr>
              <w:t>OF</w:t>
            </w:r>
            <w:r w:rsidRPr="00366942">
              <w:rPr>
                <w:lang w:val="en-CA"/>
              </w:rPr>
              <w:t xml:space="preserve"> QU</w:t>
            </w:r>
            <w:r w:rsidR="00E76E48" w:rsidRPr="00366942">
              <w:rPr>
                <w:lang w:val="en-CA"/>
              </w:rPr>
              <w:t>E</w:t>
            </w:r>
            <w:r w:rsidRPr="00366942">
              <w:rPr>
                <w:lang w:val="en-CA"/>
              </w:rPr>
              <w:t>BEC</w:t>
            </w:r>
          </w:p>
        </w:tc>
      </w:tr>
      <w:tr w:rsidR="00366942" w:rsidRPr="00366942" w14:paraId="11F4B503" w14:textId="77777777" w:rsidTr="00A1410E">
        <w:tc>
          <w:tcPr>
            <w:tcW w:w="1418" w:type="dxa"/>
            <w:gridSpan w:val="2"/>
          </w:tcPr>
          <w:p w14:paraId="614E0451" w14:textId="18910F52" w:rsidR="008F364A" w:rsidRPr="00366942" w:rsidRDefault="00A1410E" w:rsidP="00A1410E">
            <w:pPr>
              <w:pStyle w:val="zSoquijdatGreffe"/>
              <w:rPr>
                <w:lang w:val="en-CA"/>
              </w:rPr>
            </w:pPr>
            <w:r>
              <w:rPr>
                <w:lang w:val="en-CA"/>
              </w:rPr>
              <w:t>MONTREAL</w:t>
            </w:r>
          </w:p>
          <w:p w14:paraId="0908875F" w14:textId="77777777" w:rsidR="008F364A" w:rsidRPr="00366942" w:rsidRDefault="008F364A">
            <w:pPr>
              <w:pStyle w:val="zSoquijlblGreffe"/>
              <w:rPr>
                <w:lang w:val="en-CA"/>
              </w:rPr>
            </w:pPr>
          </w:p>
        </w:tc>
        <w:tc>
          <w:tcPr>
            <w:tcW w:w="7942" w:type="dxa"/>
            <w:gridSpan w:val="4"/>
          </w:tcPr>
          <w:p w14:paraId="273E093A" w14:textId="2943A3AE" w:rsidR="008F364A" w:rsidRPr="00366942" w:rsidRDefault="00A1410E">
            <w:pPr>
              <w:pStyle w:val="zSoquijdatGreffe"/>
              <w:rPr>
                <w:lang w:val="en-CA"/>
              </w:rPr>
            </w:pPr>
            <w:r>
              <w:rPr>
                <w:lang w:val="en-CA"/>
              </w:rPr>
              <w:t>SEAT</w:t>
            </w:r>
          </w:p>
        </w:tc>
      </w:tr>
      <w:tr w:rsidR="00366942" w:rsidRPr="00366942" w14:paraId="1B69DA83" w14:textId="77777777" w:rsidTr="008D18FC">
        <w:tc>
          <w:tcPr>
            <w:tcW w:w="1030" w:type="dxa"/>
          </w:tcPr>
          <w:p w14:paraId="73D0FDBE" w14:textId="35A3A0F0" w:rsidR="008F364A" w:rsidRPr="00366942" w:rsidRDefault="00740A17">
            <w:pPr>
              <w:pStyle w:val="zSoquijlblNoDossier"/>
              <w:rPr>
                <w:lang w:val="en-CA"/>
              </w:rPr>
            </w:pPr>
            <w:r w:rsidRPr="00366942">
              <w:rPr>
                <w:lang w:val="en-CA"/>
              </w:rPr>
              <w:t>N</w:t>
            </w:r>
            <w:r w:rsidR="00E76E48" w:rsidRPr="00366942">
              <w:rPr>
                <w:lang w:val="en-CA"/>
              </w:rPr>
              <w:t>o</w:t>
            </w:r>
            <w:r w:rsidR="00873260">
              <w:rPr>
                <w:lang w:val="en-CA"/>
              </w:rPr>
              <w:t>.</w:t>
            </w:r>
            <w:r w:rsidRPr="00366942">
              <w:rPr>
                <w:lang w:val="en-CA"/>
              </w:rPr>
              <w:t>:</w:t>
            </w:r>
          </w:p>
        </w:tc>
        <w:tc>
          <w:tcPr>
            <w:tcW w:w="8330" w:type="dxa"/>
            <w:gridSpan w:val="5"/>
          </w:tcPr>
          <w:p w14:paraId="33A35111" w14:textId="77777777" w:rsidR="008F364A" w:rsidRPr="00366942" w:rsidRDefault="002C4AA3">
            <w:pPr>
              <w:pStyle w:val="zSoquijdatNoDossier"/>
              <w:rPr>
                <w:lang w:val="en-CA"/>
              </w:rPr>
            </w:pPr>
            <w:bookmarkStart w:id="2" w:name="NoDossier"/>
            <w:r w:rsidRPr="00366942">
              <w:rPr>
                <w:lang w:val="en-CA"/>
              </w:rPr>
              <w:t>500-09-030178-222</w:t>
            </w:r>
            <w:bookmarkEnd w:id="2"/>
          </w:p>
        </w:tc>
      </w:tr>
      <w:tr w:rsidR="00366942" w:rsidRPr="00366942" w14:paraId="14328C15" w14:textId="77777777" w:rsidTr="008D18FC">
        <w:tc>
          <w:tcPr>
            <w:tcW w:w="9360" w:type="dxa"/>
            <w:gridSpan w:val="6"/>
          </w:tcPr>
          <w:p w14:paraId="46F08531" w14:textId="1A4BB5A5" w:rsidR="002C4AA3" w:rsidRPr="00366942" w:rsidRDefault="002C4AA3" w:rsidP="002C4AA3">
            <w:pPr>
              <w:pStyle w:val="zSoquijdatNoDossierAnt"/>
              <w:rPr>
                <w:lang w:val="en-CA"/>
              </w:rPr>
            </w:pPr>
            <w:r w:rsidRPr="00366942">
              <w:rPr>
                <w:lang w:val="en-CA"/>
              </w:rPr>
              <w:t>(500-17-113736-204)</w:t>
            </w:r>
          </w:p>
        </w:tc>
      </w:tr>
      <w:tr w:rsidR="00366942" w:rsidRPr="00366942" w14:paraId="6EF451DC" w14:textId="77777777" w:rsidTr="008D18FC">
        <w:tc>
          <w:tcPr>
            <w:tcW w:w="9360" w:type="dxa"/>
            <w:gridSpan w:val="6"/>
          </w:tcPr>
          <w:p w14:paraId="7234CEF4" w14:textId="77777777" w:rsidR="008F364A" w:rsidRPr="00366942" w:rsidRDefault="008F364A">
            <w:pPr>
              <w:rPr>
                <w:lang w:val="en-CA"/>
              </w:rPr>
            </w:pPr>
          </w:p>
        </w:tc>
      </w:tr>
      <w:tr w:rsidR="00366942" w:rsidRPr="00366942" w14:paraId="28258ECF" w14:textId="77777777" w:rsidTr="008D18FC">
        <w:tc>
          <w:tcPr>
            <w:tcW w:w="1030" w:type="dxa"/>
          </w:tcPr>
          <w:p w14:paraId="2DF5626E" w14:textId="0DAFD511" w:rsidR="008F364A" w:rsidRPr="00366942" w:rsidRDefault="00740A17">
            <w:pPr>
              <w:pStyle w:val="zSoquijlblDateJugement"/>
              <w:rPr>
                <w:lang w:val="en-CA"/>
              </w:rPr>
            </w:pPr>
            <w:r w:rsidRPr="00366942">
              <w:rPr>
                <w:lang w:val="en-CA"/>
              </w:rPr>
              <w:t>DATE:</w:t>
            </w:r>
          </w:p>
        </w:tc>
        <w:tc>
          <w:tcPr>
            <w:tcW w:w="8330" w:type="dxa"/>
            <w:gridSpan w:val="5"/>
          </w:tcPr>
          <w:p w14:paraId="39CDD307" w14:textId="474071DA" w:rsidR="008F364A" w:rsidRPr="00366942" w:rsidRDefault="00914E46">
            <w:pPr>
              <w:pStyle w:val="zSoquijdatDateJugement"/>
            </w:pPr>
            <w:r>
              <w:rPr>
                <w:lang w:val="en-CA"/>
              </w:rPr>
              <w:t>January</w:t>
            </w:r>
            <w:r w:rsidR="00E10687">
              <w:rPr>
                <w:lang w:val="en-CA"/>
              </w:rPr>
              <w:t xml:space="preserve"> </w:t>
            </w:r>
            <w:r>
              <w:rPr>
                <w:lang w:val="en-CA"/>
              </w:rPr>
              <w:t>1</w:t>
            </w:r>
            <w:r w:rsidR="005328C1">
              <w:rPr>
                <w:lang w:val="en-CA"/>
              </w:rPr>
              <w:t>5</w:t>
            </w:r>
            <w:r>
              <w:rPr>
                <w:lang w:val="en-CA"/>
              </w:rPr>
              <w:t>, 2025</w:t>
            </w:r>
          </w:p>
        </w:tc>
      </w:tr>
      <w:tr w:rsidR="00366942" w:rsidRPr="00366942" w14:paraId="2A09C4BE" w14:textId="77777777" w:rsidTr="008D18FC">
        <w:tc>
          <w:tcPr>
            <w:tcW w:w="9360" w:type="dxa"/>
            <w:gridSpan w:val="6"/>
            <w:tcBorders>
              <w:bottom w:val="single" w:sz="8" w:space="0" w:color="auto"/>
            </w:tcBorders>
          </w:tcPr>
          <w:p w14:paraId="43E457D1" w14:textId="77777777" w:rsidR="008F364A" w:rsidRPr="00366942" w:rsidRDefault="008F364A"/>
        </w:tc>
      </w:tr>
      <w:tr w:rsidR="00366942" w:rsidRPr="00366942" w14:paraId="0E0F25B8" w14:textId="77777777" w:rsidTr="008D18FC">
        <w:tc>
          <w:tcPr>
            <w:tcW w:w="9360" w:type="dxa"/>
            <w:gridSpan w:val="6"/>
            <w:tcBorders>
              <w:top w:val="single" w:sz="8" w:space="0" w:color="auto"/>
            </w:tcBorders>
          </w:tcPr>
          <w:p w14:paraId="53CD825E" w14:textId="77777777" w:rsidR="008F364A" w:rsidRPr="00366942" w:rsidRDefault="008F364A"/>
        </w:tc>
      </w:tr>
      <w:tr w:rsidR="00366942" w:rsidRPr="00493BCF" w14:paraId="623DE926" w14:textId="77777777" w:rsidTr="008D18FC">
        <w:tc>
          <w:tcPr>
            <w:tcW w:w="1620" w:type="dxa"/>
            <w:gridSpan w:val="3"/>
          </w:tcPr>
          <w:p w14:paraId="7626C7F3" w14:textId="4A619C0B" w:rsidR="008F364A" w:rsidRPr="00366942" w:rsidRDefault="00E76E48" w:rsidP="00423DF1">
            <w:pPr>
              <w:pStyle w:val="zSoquijlblJuge"/>
              <w:ind w:right="-142"/>
              <w:rPr>
                <w:lang w:val="en-CA"/>
              </w:rPr>
            </w:pPr>
            <w:bookmarkStart w:id="3" w:name="FORMATION"/>
            <w:r w:rsidRPr="00366942">
              <w:rPr>
                <w:lang w:val="en-CA"/>
              </w:rPr>
              <w:t>CORAM</w:t>
            </w:r>
            <w:r w:rsidR="00740A17" w:rsidRPr="00366942">
              <w:rPr>
                <w:lang w:val="en-CA"/>
              </w:rPr>
              <w:t>:</w:t>
            </w:r>
            <w:bookmarkEnd w:id="3"/>
          </w:p>
        </w:tc>
        <w:tc>
          <w:tcPr>
            <w:tcW w:w="2350" w:type="dxa"/>
          </w:tcPr>
          <w:p w14:paraId="48D1B9C0" w14:textId="3C2334B2" w:rsidR="008F364A" w:rsidRPr="00366942" w:rsidRDefault="00E76E48">
            <w:pPr>
              <w:pStyle w:val="zSoquijdatQteJuge"/>
              <w:rPr>
                <w:lang w:val="en-CA"/>
              </w:rPr>
            </w:pPr>
            <w:r w:rsidRPr="00366942">
              <w:rPr>
                <w:lang w:val="en-CA"/>
              </w:rPr>
              <w:t>THE HONOURABLE</w:t>
            </w:r>
          </w:p>
        </w:tc>
        <w:tc>
          <w:tcPr>
            <w:tcW w:w="5390" w:type="dxa"/>
            <w:gridSpan w:val="2"/>
          </w:tcPr>
          <w:p w14:paraId="30CFD9FC" w14:textId="53F2505E" w:rsidR="008F364A" w:rsidRPr="00366942" w:rsidRDefault="002C4AA3">
            <w:pPr>
              <w:pStyle w:val="zSoquijdatJuge"/>
            </w:pPr>
            <w:bookmarkStart w:id="4" w:name="NomJuge1"/>
            <w:r w:rsidRPr="00366942">
              <w:t>MARIE-FRANCE BICH, J.A.</w:t>
            </w:r>
            <w:bookmarkEnd w:id="4"/>
          </w:p>
          <w:p w14:paraId="30EA6D38" w14:textId="723399AA" w:rsidR="008F364A" w:rsidRPr="00366942" w:rsidRDefault="002C4AA3">
            <w:pPr>
              <w:pStyle w:val="zSoquijdatJuge"/>
              <w:rPr>
                <w:lang w:val="en-CA"/>
              </w:rPr>
            </w:pPr>
            <w:bookmarkStart w:id="5" w:name="NomJuge2"/>
            <w:r w:rsidRPr="00366942">
              <w:rPr>
                <w:lang w:val="en-CA"/>
              </w:rPr>
              <w:t>PATRICK HEALY, J.A.</w:t>
            </w:r>
            <w:bookmarkEnd w:id="5"/>
          </w:p>
          <w:p w14:paraId="2C6CBA90" w14:textId="170FCB53" w:rsidR="005A78BF" w:rsidRPr="00366942" w:rsidRDefault="002C4AA3" w:rsidP="002C4AA3">
            <w:pPr>
              <w:pStyle w:val="zSoquijdatJuge"/>
              <w:rPr>
                <w:lang w:val="en-CA"/>
              </w:rPr>
            </w:pPr>
            <w:bookmarkStart w:id="6" w:name="_Hlt520513784"/>
            <w:bookmarkStart w:id="7" w:name="NomJuge3"/>
            <w:bookmarkEnd w:id="6"/>
            <w:r w:rsidRPr="00366942">
              <w:rPr>
                <w:lang w:val="en-CA"/>
              </w:rPr>
              <w:t>BENOÎT MOORE, J.A.</w:t>
            </w:r>
            <w:bookmarkEnd w:id="7"/>
          </w:p>
        </w:tc>
      </w:tr>
      <w:tr w:rsidR="00366942" w:rsidRPr="00493BCF" w14:paraId="60477A0F" w14:textId="77777777" w:rsidTr="008D18FC">
        <w:tc>
          <w:tcPr>
            <w:tcW w:w="9360" w:type="dxa"/>
            <w:gridSpan w:val="6"/>
            <w:tcBorders>
              <w:bottom w:val="single" w:sz="8" w:space="0" w:color="auto"/>
            </w:tcBorders>
          </w:tcPr>
          <w:p w14:paraId="7C26318A" w14:textId="77777777" w:rsidR="008F364A" w:rsidRPr="00366942" w:rsidRDefault="008F364A">
            <w:pPr>
              <w:rPr>
                <w:lang w:val="en-CA"/>
              </w:rPr>
            </w:pPr>
          </w:p>
        </w:tc>
      </w:tr>
      <w:tr w:rsidR="00366942" w:rsidRPr="00493BCF" w14:paraId="14859900" w14:textId="77777777" w:rsidTr="008D18FC">
        <w:tc>
          <w:tcPr>
            <w:tcW w:w="9360" w:type="dxa"/>
            <w:gridSpan w:val="6"/>
          </w:tcPr>
          <w:p w14:paraId="31228643" w14:textId="77777777" w:rsidR="008F364A" w:rsidRPr="00366942" w:rsidRDefault="008F364A">
            <w:pPr>
              <w:pStyle w:val="zSoquijlblTitrePartie"/>
              <w:rPr>
                <w:lang w:val="en-CA"/>
              </w:rPr>
            </w:pPr>
          </w:p>
        </w:tc>
      </w:tr>
      <w:tr w:rsidR="00366942" w:rsidRPr="00366942" w14:paraId="38F9ED0B" w14:textId="77777777" w:rsidTr="008D18FC">
        <w:tc>
          <w:tcPr>
            <w:tcW w:w="9360" w:type="dxa"/>
            <w:gridSpan w:val="6"/>
          </w:tcPr>
          <w:p w14:paraId="644B549D" w14:textId="74CEC3FA" w:rsidR="008F364A" w:rsidRPr="00366942" w:rsidRDefault="002C4AA3">
            <w:pPr>
              <w:pStyle w:val="zSoquijdatNomPartieDem"/>
              <w:rPr>
                <w:lang w:val="en-CA"/>
              </w:rPr>
            </w:pPr>
            <w:r w:rsidRPr="00366942">
              <w:rPr>
                <w:lang w:val="en-CA"/>
              </w:rPr>
              <w:t>A</w:t>
            </w:r>
            <w:r w:rsidR="00026D17">
              <w:rPr>
                <w:lang w:val="en-CA"/>
              </w:rPr>
              <w:t>.</w:t>
            </w:r>
            <w:r w:rsidRPr="00366942">
              <w:rPr>
                <w:lang w:val="en-CA"/>
              </w:rPr>
              <w:t xml:space="preserve"> </w:t>
            </w:r>
            <w:r w:rsidR="00026D17">
              <w:rPr>
                <w:lang w:val="en-CA"/>
              </w:rPr>
              <w:t>P.</w:t>
            </w:r>
          </w:p>
        </w:tc>
      </w:tr>
      <w:tr w:rsidR="00366942" w:rsidRPr="00366942" w14:paraId="271DB6D5" w14:textId="77777777" w:rsidTr="008D18FC">
        <w:tc>
          <w:tcPr>
            <w:tcW w:w="9360" w:type="dxa"/>
            <w:gridSpan w:val="6"/>
          </w:tcPr>
          <w:p w14:paraId="670788F3" w14:textId="61C6BC8C" w:rsidR="008F364A" w:rsidRPr="00366942" w:rsidRDefault="002C4AA3">
            <w:pPr>
              <w:pStyle w:val="zSoquijdatQtePartieDem"/>
              <w:rPr>
                <w:lang w:val="en-CA"/>
              </w:rPr>
            </w:pPr>
            <w:r w:rsidRPr="00366942">
              <w:rPr>
                <w:lang w:val="en-CA"/>
              </w:rPr>
              <w:t>APPEL</w:t>
            </w:r>
            <w:r w:rsidR="007C0221" w:rsidRPr="00366942">
              <w:rPr>
                <w:lang w:val="en-CA"/>
              </w:rPr>
              <w:t>L</w:t>
            </w:r>
            <w:r w:rsidRPr="00366942">
              <w:rPr>
                <w:lang w:val="en-CA"/>
              </w:rPr>
              <w:t xml:space="preserve">ANT – </w:t>
            </w:r>
            <w:r w:rsidR="00E76E48" w:rsidRPr="00366942">
              <w:rPr>
                <w:lang w:val="en-CA"/>
              </w:rPr>
              <w:t>Plaintiff</w:t>
            </w:r>
          </w:p>
        </w:tc>
      </w:tr>
      <w:tr w:rsidR="00366942" w:rsidRPr="00366942" w14:paraId="0DE9FCCC" w14:textId="77777777" w:rsidTr="008D18FC">
        <w:tc>
          <w:tcPr>
            <w:tcW w:w="9360" w:type="dxa"/>
            <w:gridSpan w:val="6"/>
          </w:tcPr>
          <w:p w14:paraId="39FBDA14" w14:textId="411EC318" w:rsidR="008F364A" w:rsidRPr="00366942" w:rsidRDefault="00E76E48">
            <w:pPr>
              <w:pStyle w:val="zSoquijlblLienParties"/>
              <w:rPr>
                <w:lang w:val="en-CA"/>
              </w:rPr>
            </w:pPr>
            <w:r w:rsidRPr="00366942">
              <w:rPr>
                <w:lang w:val="en-CA"/>
              </w:rPr>
              <w:t>v</w:t>
            </w:r>
            <w:r w:rsidR="00740A17" w:rsidRPr="00366942">
              <w:rPr>
                <w:lang w:val="en-CA"/>
              </w:rPr>
              <w:t>.</w:t>
            </w:r>
          </w:p>
        </w:tc>
      </w:tr>
      <w:tr w:rsidR="00366942" w:rsidRPr="00366942" w14:paraId="166632F6" w14:textId="77777777" w:rsidTr="008D18FC">
        <w:tc>
          <w:tcPr>
            <w:tcW w:w="9360" w:type="dxa"/>
            <w:gridSpan w:val="6"/>
          </w:tcPr>
          <w:p w14:paraId="6493D52E" w14:textId="77777777" w:rsidR="008F364A" w:rsidRPr="00366942" w:rsidRDefault="008F364A">
            <w:pPr>
              <w:rPr>
                <w:lang w:val="en-CA"/>
              </w:rPr>
            </w:pPr>
          </w:p>
        </w:tc>
      </w:tr>
      <w:tr w:rsidR="00366942" w:rsidRPr="00366942" w14:paraId="2DBE8D44" w14:textId="77777777" w:rsidTr="008D18FC">
        <w:tc>
          <w:tcPr>
            <w:tcW w:w="9360" w:type="dxa"/>
            <w:gridSpan w:val="6"/>
          </w:tcPr>
          <w:p w14:paraId="69BDB466" w14:textId="7ED64C4A" w:rsidR="008F364A" w:rsidRPr="00366942" w:rsidRDefault="00E76E48">
            <w:pPr>
              <w:pStyle w:val="zSoquijdatNomPartieDef"/>
              <w:rPr>
                <w:lang w:val="en-CA"/>
              </w:rPr>
            </w:pPr>
            <w:r w:rsidRPr="00366942">
              <w:rPr>
                <w:lang w:val="en-CA"/>
              </w:rPr>
              <w:t>ATTORNEY GENERAL OF</w:t>
            </w:r>
            <w:r w:rsidR="002C4AA3" w:rsidRPr="00366942">
              <w:rPr>
                <w:lang w:val="en-CA"/>
              </w:rPr>
              <w:t xml:space="preserve"> QU</w:t>
            </w:r>
            <w:r w:rsidRPr="00366942">
              <w:rPr>
                <w:lang w:val="en-CA"/>
              </w:rPr>
              <w:t>E</w:t>
            </w:r>
            <w:r w:rsidR="002C4AA3" w:rsidRPr="00366942">
              <w:rPr>
                <w:lang w:val="en-CA"/>
              </w:rPr>
              <w:t>BEC</w:t>
            </w:r>
          </w:p>
        </w:tc>
      </w:tr>
      <w:tr w:rsidR="00366942" w:rsidRPr="00366942" w14:paraId="253FB062" w14:textId="77777777" w:rsidTr="008D18FC">
        <w:tc>
          <w:tcPr>
            <w:tcW w:w="9360" w:type="dxa"/>
            <w:gridSpan w:val="6"/>
          </w:tcPr>
          <w:p w14:paraId="023E25E0" w14:textId="71BA96CB" w:rsidR="008F364A" w:rsidRPr="00366942" w:rsidRDefault="00E76E48">
            <w:pPr>
              <w:pStyle w:val="zSoquijdatQtePartieDef"/>
              <w:rPr>
                <w:lang w:val="en-CA"/>
              </w:rPr>
            </w:pPr>
            <w:r w:rsidRPr="00366942">
              <w:rPr>
                <w:lang w:val="en-CA"/>
              </w:rPr>
              <w:t>RESPONDENT</w:t>
            </w:r>
            <w:r w:rsidR="002C4AA3" w:rsidRPr="00366942">
              <w:rPr>
                <w:lang w:val="en-CA"/>
              </w:rPr>
              <w:t xml:space="preserve"> – </w:t>
            </w:r>
            <w:r w:rsidRPr="00366942">
              <w:rPr>
                <w:lang w:val="en-CA"/>
              </w:rPr>
              <w:t>Defendant</w:t>
            </w:r>
          </w:p>
        </w:tc>
      </w:tr>
      <w:tr w:rsidR="00366942" w:rsidRPr="00366942" w14:paraId="2652B64D" w14:textId="77777777" w:rsidTr="008D18FC">
        <w:tc>
          <w:tcPr>
            <w:tcW w:w="9360" w:type="dxa"/>
            <w:gridSpan w:val="6"/>
          </w:tcPr>
          <w:p w14:paraId="6833CD2A" w14:textId="1E1E0D94" w:rsidR="002C4AA3" w:rsidRPr="00366942" w:rsidRDefault="00E76E48" w:rsidP="002C4AA3">
            <w:pPr>
              <w:rPr>
                <w:lang w:val="en-CA"/>
              </w:rPr>
            </w:pPr>
            <w:r w:rsidRPr="00366942">
              <w:rPr>
                <w:lang w:val="en-CA"/>
              </w:rPr>
              <w:t>and</w:t>
            </w:r>
          </w:p>
        </w:tc>
      </w:tr>
      <w:tr w:rsidR="00366942" w:rsidRPr="00366942" w14:paraId="7FE9BE2F" w14:textId="77777777" w:rsidTr="008D18FC">
        <w:tc>
          <w:tcPr>
            <w:tcW w:w="9360" w:type="dxa"/>
            <w:gridSpan w:val="6"/>
          </w:tcPr>
          <w:p w14:paraId="4E286CFB" w14:textId="7EF0B153" w:rsidR="002C4AA3" w:rsidRPr="00366942" w:rsidRDefault="002C4AA3" w:rsidP="002C4AA3">
            <w:pPr>
              <w:pStyle w:val="zSoquijdatNomPartieDef"/>
              <w:rPr>
                <w:lang w:val="en-CA"/>
              </w:rPr>
            </w:pPr>
            <w:r w:rsidRPr="00366942">
              <w:rPr>
                <w:lang w:val="en-CA"/>
              </w:rPr>
              <w:t>TRIBUNAL ADMINISTRATIF DU QUÉBEC</w:t>
            </w:r>
          </w:p>
        </w:tc>
      </w:tr>
      <w:tr w:rsidR="00366942" w:rsidRPr="00366942" w14:paraId="347D871D" w14:textId="77777777" w:rsidTr="008D18FC">
        <w:tc>
          <w:tcPr>
            <w:tcW w:w="9360" w:type="dxa"/>
            <w:gridSpan w:val="6"/>
          </w:tcPr>
          <w:p w14:paraId="2655612B" w14:textId="138C193D" w:rsidR="002C4AA3" w:rsidRPr="00366942" w:rsidRDefault="002C4AA3" w:rsidP="002C4AA3">
            <w:pPr>
              <w:pStyle w:val="zSoquijdatNomPartieDef"/>
            </w:pPr>
            <w:r w:rsidRPr="00366942">
              <w:t>RÉGIE DE L’ASSURANCE MALADIE DU QUÉBEC</w:t>
            </w:r>
          </w:p>
        </w:tc>
      </w:tr>
      <w:tr w:rsidR="00366942" w:rsidRPr="00366942" w14:paraId="2BF32C5F" w14:textId="77777777" w:rsidTr="008D18FC">
        <w:tc>
          <w:tcPr>
            <w:tcW w:w="9360" w:type="dxa"/>
            <w:gridSpan w:val="6"/>
          </w:tcPr>
          <w:p w14:paraId="45320B95" w14:textId="28F759B6" w:rsidR="002C4AA3" w:rsidRPr="00366942" w:rsidRDefault="00E76E48" w:rsidP="002C4AA3">
            <w:pPr>
              <w:pStyle w:val="zSoquijdatQtePartieDef"/>
              <w:rPr>
                <w:lang w:val="en-CA"/>
              </w:rPr>
            </w:pPr>
            <w:r w:rsidRPr="00366942">
              <w:rPr>
                <w:lang w:val="en-CA"/>
              </w:rPr>
              <w:t>IMPLEADED PARTIES</w:t>
            </w:r>
            <w:r w:rsidR="002C4AA3" w:rsidRPr="00366942">
              <w:rPr>
                <w:lang w:val="en-CA"/>
              </w:rPr>
              <w:t xml:space="preserve"> – </w:t>
            </w:r>
            <w:r w:rsidRPr="00366942">
              <w:rPr>
                <w:lang w:val="en-CA"/>
              </w:rPr>
              <w:t>Impleaded Parties</w:t>
            </w:r>
          </w:p>
        </w:tc>
      </w:tr>
      <w:tr w:rsidR="00366942" w:rsidRPr="00366942" w14:paraId="1BAE2C06" w14:textId="77777777" w:rsidTr="008D18FC">
        <w:tc>
          <w:tcPr>
            <w:tcW w:w="9360" w:type="dxa"/>
            <w:gridSpan w:val="6"/>
          </w:tcPr>
          <w:p w14:paraId="175E6750" w14:textId="77777777" w:rsidR="008F364A" w:rsidRPr="00366942" w:rsidRDefault="008F364A">
            <w:pPr>
              <w:rPr>
                <w:lang w:val="en-CA"/>
              </w:rPr>
            </w:pPr>
          </w:p>
        </w:tc>
      </w:tr>
      <w:tr w:rsidR="00366942" w:rsidRPr="00366942" w14:paraId="1E560E2C" w14:textId="77777777" w:rsidTr="008D18FC">
        <w:tc>
          <w:tcPr>
            <w:tcW w:w="9360" w:type="dxa"/>
            <w:gridSpan w:val="6"/>
            <w:tcBorders>
              <w:top w:val="single" w:sz="8" w:space="0" w:color="auto"/>
            </w:tcBorders>
          </w:tcPr>
          <w:p w14:paraId="03DBB25B" w14:textId="77777777" w:rsidR="008F364A" w:rsidRPr="00366942" w:rsidRDefault="008F364A">
            <w:pPr>
              <w:rPr>
                <w:lang w:val="en-CA"/>
              </w:rPr>
            </w:pPr>
            <w:bookmarkStart w:id="8" w:name="Arret"/>
          </w:p>
        </w:tc>
      </w:tr>
      <w:tr w:rsidR="00366942" w:rsidRPr="00366942" w14:paraId="1F06658B" w14:textId="77777777" w:rsidTr="008D18FC">
        <w:tc>
          <w:tcPr>
            <w:tcW w:w="9360" w:type="dxa"/>
            <w:gridSpan w:val="6"/>
          </w:tcPr>
          <w:p w14:paraId="666A81E7" w14:textId="25C64F83" w:rsidR="008F364A" w:rsidRPr="00366942" w:rsidRDefault="00E76E48">
            <w:pPr>
              <w:pStyle w:val="zSoquijlblTypeDocument"/>
              <w:rPr>
                <w:lang w:val="en-CA"/>
              </w:rPr>
            </w:pPr>
            <w:r w:rsidRPr="00366942">
              <w:rPr>
                <w:lang w:val="en-CA"/>
              </w:rPr>
              <w:t>JUDGMENT</w:t>
            </w:r>
          </w:p>
        </w:tc>
      </w:tr>
      <w:tr w:rsidR="00366942" w:rsidRPr="00366942" w14:paraId="62BAFAB3" w14:textId="77777777" w:rsidTr="008D18FC">
        <w:tc>
          <w:tcPr>
            <w:tcW w:w="9360" w:type="dxa"/>
            <w:gridSpan w:val="6"/>
            <w:tcBorders>
              <w:bottom w:val="single" w:sz="8" w:space="0" w:color="auto"/>
            </w:tcBorders>
          </w:tcPr>
          <w:p w14:paraId="53724B2E" w14:textId="77777777" w:rsidR="008F364A" w:rsidRPr="00366942" w:rsidRDefault="008F364A">
            <w:pPr>
              <w:rPr>
                <w:lang w:val="en-CA"/>
              </w:rPr>
            </w:pPr>
          </w:p>
        </w:tc>
      </w:tr>
      <w:tr w:rsidR="00366942" w:rsidRPr="00366942" w14:paraId="769601BC" w14:textId="77777777" w:rsidTr="008D18FC">
        <w:tc>
          <w:tcPr>
            <w:tcW w:w="9360" w:type="dxa"/>
            <w:gridSpan w:val="6"/>
            <w:tcBorders>
              <w:top w:val="single" w:sz="8" w:space="0" w:color="auto"/>
            </w:tcBorders>
          </w:tcPr>
          <w:p w14:paraId="3A30A0CF" w14:textId="77777777" w:rsidR="008F364A" w:rsidRPr="00366942" w:rsidRDefault="008F364A">
            <w:pPr>
              <w:rPr>
                <w:lang w:val="en-CA"/>
              </w:rPr>
            </w:pPr>
          </w:p>
        </w:tc>
      </w:tr>
    </w:tbl>
    <w:p w14:paraId="0FAAA700" w14:textId="1E75C69A" w:rsidR="009B7E64" w:rsidRPr="00366942" w:rsidRDefault="00E76E48" w:rsidP="000F4331">
      <w:pPr>
        <w:pStyle w:val="Paragraphe"/>
        <w:rPr>
          <w:lang w:val="en-CA"/>
        </w:rPr>
      </w:pPr>
      <w:r w:rsidRPr="00366942">
        <w:rPr>
          <w:lang w:val="en-CA"/>
        </w:rPr>
        <w:t>The appellant is appealing a judgment of the Superior Court, District of Montreal (the Honourable Marc</w:t>
      </w:r>
      <w:r w:rsidR="007C0221" w:rsidRPr="00366942">
        <w:rPr>
          <w:lang w:val="en-CA"/>
        </w:rPr>
        <w:t xml:space="preserve"> </w:t>
      </w:r>
      <w:r w:rsidRPr="00366942">
        <w:rPr>
          <w:lang w:val="en-CA"/>
        </w:rPr>
        <w:t>St-Pierre)</w:t>
      </w:r>
      <w:r w:rsidR="00E21D47" w:rsidRPr="00366942">
        <w:rPr>
          <w:lang w:val="en-CA"/>
        </w:rPr>
        <w:t>,</w:t>
      </w:r>
      <w:r w:rsidRPr="00366942">
        <w:rPr>
          <w:lang w:val="en-CA"/>
        </w:rPr>
        <w:t xml:space="preserve"> which, on July 21, 2022, dismissed an action against the respondent and the impleaded parties</w:t>
      </w:r>
      <w:r w:rsidR="000341EA" w:rsidRPr="00366942">
        <w:rPr>
          <w:lang w:val="en-CA"/>
        </w:rPr>
        <w:t xml:space="preserve"> </w:t>
      </w:r>
      <w:r w:rsidR="007C0221" w:rsidRPr="00366942">
        <w:rPr>
          <w:lang w:val="en-CA"/>
        </w:rPr>
        <w:t xml:space="preserve">in order </w:t>
      </w:r>
      <w:r w:rsidR="000341EA" w:rsidRPr="00366942">
        <w:rPr>
          <w:lang w:val="en-CA"/>
        </w:rPr>
        <w:t>to declare null and inoperable s. 10</w:t>
      </w:r>
      <w:r w:rsidR="001C4C60" w:rsidRPr="00366942">
        <w:rPr>
          <w:lang w:val="en-CA"/>
        </w:rPr>
        <w:t>, para. 4</w:t>
      </w:r>
      <w:r w:rsidR="000341EA" w:rsidRPr="00366942">
        <w:rPr>
          <w:lang w:val="en-CA"/>
        </w:rPr>
        <w:t xml:space="preserve"> of the</w:t>
      </w:r>
      <w:r w:rsidR="009B7E64" w:rsidRPr="00366942">
        <w:rPr>
          <w:lang w:val="en-CA"/>
        </w:rPr>
        <w:t xml:space="preserve"> </w:t>
      </w:r>
      <w:r w:rsidR="000341EA" w:rsidRPr="00366942">
        <w:rPr>
          <w:i/>
          <w:iCs/>
          <w:lang w:val="en-CA"/>
        </w:rPr>
        <w:t>Health Insurance Act</w:t>
      </w:r>
      <w:r w:rsidR="00D70F62" w:rsidRPr="00366942">
        <w:rPr>
          <w:lang w:val="en-CA"/>
        </w:rPr>
        <w:t xml:space="preserve"> on the basis that it is</w:t>
      </w:r>
      <w:r w:rsidR="000341EA" w:rsidRPr="00366942">
        <w:rPr>
          <w:lang w:val="en-CA"/>
        </w:rPr>
        <w:t xml:space="preserve"> discriminatory and contrary to</w:t>
      </w:r>
      <w:r w:rsidR="009B7E64" w:rsidRPr="00366942">
        <w:rPr>
          <w:lang w:val="en-CA"/>
        </w:rPr>
        <w:t xml:space="preserve"> </w:t>
      </w:r>
      <w:r w:rsidR="000341EA" w:rsidRPr="00366942">
        <w:rPr>
          <w:lang w:val="en-CA"/>
        </w:rPr>
        <w:t>s</w:t>
      </w:r>
      <w:r w:rsidR="009B7E64" w:rsidRPr="00366942">
        <w:rPr>
          <w:lang w:val="en-CA"/>
        </w:rPr>
        <w:t>.</w:t>
      </w:r>
      <w:r w:rsidR="000E61EC" w:rsidRPr="00366942">
        <w:rPr>
          <w:lang w:val="en-CA"/>
        </w:rPr>
        <w:t> </w:t>
      </w:r>
      <w:r w:rsidR="009B7E64" w:rsidRPr="00366942">
        <w:rPr>
          <w:lang w:val="en-CA"/>
        </w:rPr>
        <w:t xml:space="preserve">15 </w:t>
      </w:r>
      <w:r w:rsidR="000341EA" w:rsidRPr="00366942">
        <w:rPr>
          <w:lang w:val="en-CA"/>
        </w:rPr>
        <w:t>of the</w:t>
      </w:r>
      <w:r w:rsidR="009B7E64" w:rsidRPr="00366942">
        <w:rPr>
          <w:lang w:val="en-CA"/>
        </w:rPr>
        <w:t xml:space="preserve"> </w:t>
      </w:r>
      <w:r w:rsidR="000341EA" w:rsidRPr="00366942">
        <w:rPr>
          <w:i/>
          <w:iCs/>
          <w:lang w:val="en-CA"/>
        </w:rPr>
        <w:t>Canadian Charter of Rights and Freedoms</w:t>
      </w:r>
      <w:r w:rsidR="009B7E64" w:rsidRPr="00366942">
        <w:rPr>
          <w:lang w:val="en-CA"/>
        </w:rPr>
        <w:t>.</w:t>
      </w:r>
    </w:p>
    <w:p w14:paraId="20D56A51" w14:textId="70025211" w:rsidR="009B7E64" w:rsidRPr="00366942" w:rsidRDefault="00D70F62" w:rsidP="009B7E64">
      <w:pPr>
        <w:pStyle w:val="Paragraphe"/>
        <w:rPr>
          <w:lang w:val="en-CA"/>
        </w:rPr>
      </w:pPr>
      <w:r w:rsidRPr="00366942">
        <w:rPr>
          <w:lang w:val="en-CA"/>
        </w:rPr>
        <w:t>For the reasons of</w:t>
      </w:r>
      <w:r w:rsidR="009B7E64" w:rsidRPr="00366942">
        <w:rPr>
          <w:lang w:val="en-CA"/>
        </w:rPr>
        <w:t xml:space="preserve"> Bich,</w:t>
      </w:r>
      <w:r w:rsidRPr="00366942">
        <w:rPr>
          <w:lang w:val="en-CA"/>
        </w:rPr>
        <w:t xml:space="preserve"> J.A.,</w:t>
      </w:r>
      <w:r w:rsidR="009B7E64" w:rsidRPr="00366942">
        <w:rPr>
          <w:lang w:val="en-CA"/>
        </w:rPr>
        <w:t xml:space="preserve"> </w:t>
      </w:r>
      <w:r w:rsidR="005E10A9" w:rsidRPr="00366942">
        <w:rPr>
          <w:lang w:val="en-CA"/>
        </w:rPr>
        <w:t xml:space="preserve">with which </w:t>
      </w:r>
      <w:r w:rsidR="009B7E64" w:rsidRPr="00366942">
        <w:rPr>
          <w:lang w:val="en-CA"/>
        </w:rPr>
        <w:t xml:space="preserve">Healy </w:t>
      </w:r>
      <w:r w:rsidRPr="00366942">
        <w:rPr>
          <w:lang w:val="en-CA"/>
        </w:rPr>
        <w:t>and</w:t>
      </w:r>
      <w:r w:rsidR="009B7E64" w:rsidRPr="00366942">
        <w:rPr>
          <w:lang w:val="en-CA"/>
        </w:rPr>
        <w:t xml:space="preserve"> Moore</w:t>
      </w:r>
      <w:r w:rsidRPr="00366942">
        <w:rPr>
          <w:lang w:val="en-CA"/>
        </w:rPr>
        <w:t>, JJ.A. concur</w:t>
      </w:r>
      <w:r w:rsidR="009B7E64" w:rsidRPr="00366942">
        <w:rPr>
          <w:lang w:val="en-CA"/>
        </w:rPr>
        <w:t xml:space="preserve">, </w:t>
      </w:r>
      <w:r w:rsidRPr="00366942">
        <w:rPr>
          <w:b/>
          <w:bCs/>
          <w:lang w:val="en-CA"/>
        </w:rPr>
        <w:t>THE</w:t>
      </w:r>
      <w:r w:rsidR="009B7E64" w:rsidRPr="00366942">
        <w:rPr>
          <w:b/>
          <w:bCs/>
          <w:lang w:val="en-CA"/>
        </w:rPr>
        <w:t xml:space="preserve"> COUR</w:t>
      </w:r>
      <w:r w:rsidRPr="00366942">
        <w:rPr>
          <w:b/>
          <w:bCs/>
          <w:lang w:val="en-CA"/>
        </w:rPr>
        <w:t>T</w:t>
      </w:r>
      <w:r w:rsidR="009B7E64" w:rsidRPr="00366942">
        <w:rPr>
          <w:b/>
          <w:bCs/>
          <w:lang w:val="en-CA"/>
        </w:rPr>
        <w:t>:</w:t>
      </w:r>
    </w:p>
    <w:p w14:paraId="3DFEE785" w14:textId="77777777" w:rsidR="009B7E64" w:rsidRPr="00366942" w:rsidRDefault="009B7E64" w:rsidP="009B7E64">
      <w:pPr>
        <w:pStyle w:val="Paragraphe"/>
        <w:rPr>
          <w:rFonts w:ascii="Arial Gras" w:hAnsi="Arial Gras"/>
          <w:b/>
          <w:bCs/>
          <w:caps/>
          <w:lang w:val="en-CA"/>
        </w:rPr>
      </w:pPr>
      <w:r w:rsidRPr="00366942">
        <w:rPr>
          <w:rFonts w:ascii="Arial Gras" w:hAnsi="Arial Gras"/>
          <w:b/>
          <w:bCs/>
          <w:caps/>
          <w:lang w:val="en-CA"/>
        </w:rPr>
        <w:br w:type="page"/>
      </w:r>
    </w:p>
    <w:p w14:paraId="73CD6FA5" w14:textId="1E81C67F" w:rsidR="008F364A" w:rsidRPr="00366942" w:rsidRDefault="00D70F62" w:rsidP="00236CC8">
      <w:pPr>
        <w:pStyle w:val="Paragraphe"/>
        <w:numPr>
          <w:ilvl w:val="0"/>
          <w:numId w:val="23"/>
        </w:numPr>
        <w:rPr>
          <w:lang w:val="en-CA"/>
        </w:rPr>
      </w:pPr>
      <w:r w:rsidRPr="00366942">
        <w:rPr>
          <w:rFonts w:ascii="Arial Gras" w:hAnsi="Arial Gras"/>
          <w:b/>
          <w:bCs/>
          <w:caps/>
          <w:lang w:val="en-CA"/>
        </w:rPr>
        <w:lastRenderedPageBreak/>
        <w:t>DISMISSES</w:t>
      </w:r>
      <w:r w:rsidR="009B7E64" w:rsidRPr="00366942">
        <w:rPr>
          <w:lang w:val="en-CA"/>
        </w:rPr>
        <w:t xml:space="preserve"> </w:t>
      </w:r>
      <w:r w:rsidRPr="00366942">
        <w:rPr>
          <w:lang w:val="en-CA"/>
        </w:rPr>
        <w:t xml:space="preserve">the </w:t>
      </w:r>
      <w:r w:rsidR="009B7E64" w:rsidRPr="00366942">
        <w:rPr>
          <w:lang w:val="en-CA"/>
        </w:rPr>
        <w:t>appe</w:t>
      </w:r>
      <w:r w:rsidRPr="00366942">
        <w:rPr>
          <w:lang w:val="en-CA"/>
        </w:rPr>
        <w:t>a</w:t>
      </w:r>
      <w:r w:rsidR="009B7E64" w:rsidRPr="00366942">
        <w:rPr>
          <w:lang w:val="en-CA"/>
        </w:rPr>
        <w:t xml:space="preserve">l, </w:t>
      </w:r>
      <w:r w:rsidRPr="00366942">
        <w:rPr>
          <w:lang w:val="en-CA"/>
        </w:rPr>
        <w:t>with legal costs</w:t>
      </w:r>
      <w:r w:rsidR="009B7E64" w:rsidRPr="00366942">
        <w:rPr>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366942" w:rsidRPr="00493BCF" w14:paraId="7A5A0DE8" w14:textId="77777777" w:rsidTr="003E3239">
        <w:trPr>
          <w:trHeight w:val="576"/>
        </w:trPr>
        <w:tc>
          <w:tcPr>
            <w:tcW w:w="9362" w:type="dxa"/>
            <w:gridSpan w:val="3"/>
            <w:tcBorders>
              <w:top w:val="nil"/>
              <w:bottom w:val="nil"/>
            </w:tcBorders>
          </w:tcPr>
          <w:p w14:paraId="2B4111F1" w14:textId="77777777" w:rsidR="008F364A" w:rsidRPr="00366942" w:rsidRDefault="008F364A">
            <w:pPr>
              <w:keepNext/>
              <w:rPr>
                <w:lang w:val="en-CA"/>
              </w:rPr>
            </w:pPr>
          </w:p>
        </w:tc>
      </w:tr>
      <w:tr w:rsidR="00366942" w:rsidRPr="00493BCF" w14:paraId="7761D489" w14:textId="77777777" w:rsidTr="00117914">
        <w:trPr>
          <w:trHeight w:val="283"/>
        </w:trPr>
        <w:tc>
          <w:tcPr>
            <w:tcW w:w="4682" w:type="dxa"/>
            <w:gridSpan w:val="2"/>
            <w:tcBorders>
              <w:top w:val="nil"/>
              <w:bottom w:val="nil"/>
            </w:tcBorders>
          </w:tcPr>
          <w:p w14:paraId="6BD488CC" w14:textId="77777777" w:rsidR="008F364A" w:rsidRPr="00366942" w:rsidRDefault="008F364A">
            <w:pPr>
              <w:keepNext/>
              <w:rPr>
                <w:lang w:val="en-CA"/>
              </w:rPr>
            </w:pPr>
          </w:p>
        </w:tc>
        <w:tc>
          <w:tcPr>
            <w:tcW w:w="4680" w:type="dxa"/>
            <w:tcBorders>
              <w:top w:val="nil"/>
              <w:bottom w:val="single" w:sz="8" w:space="0" w:color="auto"/>
            </w:tcBorders>
          </w:tcPr>
          <w:p w14:paraId="5390DC57" w14:textId="77777777" w:rsidR="008F364A" w:rsidRPr="00366942" w:rsidRDefault="008F364A">
            <w:pPr>
              <w:keepNext/>
              <w:rPr>
                <w:lang w:val="en-CA"/>
              </w:rPr>
            </w:pPr>
          </w:p>
        </w:tc>
      </w:tr>
      <w:tr w:rsidR="00366942" w:rsidRPr="00366942" w14:paraId="4868666E" w14:textId="77777777" w:rsidTr="00117914">
        <w:trPr>
          <w:trHeight w:val="283"/>
        </w:trPr>
        <w:tc>
          <w:tcPr>
            <w:tcW w:w="4682" w:type="dxa"/>
            <w:gridSpan w:val="2"/>
            <w:tcBorders>
              <w:top w:val="nil"/>
            </w:tcBorders>
          </w:tcPr>
          <w:p w14:paraId="7F23914A" w14:textId="77777777" w:rsidR="008F364A" w:rsidRPr="00366942" w:rsidRDefault="008F364A">
            <w:pPr>
              <w:keepNext/>
              <w:rPr>
                <w:lang w:val="en-CA"/>
              </w:rPr>
            </w:pPr>
          </w:p>
        </w:tc>
        <w:tc>
          <w:tcPr>
            <w:tcW w:w="4680" w:type="dxa"/>
            <w:tcBorders>
              <w:top w:val="single" w:sz="8" w:space="0" w:color="auto"/>
            </w:tcBorders>
          </w:tcPr>
          <w:p w14:paraId="1289B81A" w14:textId="24AD9C80" w:rsidR="008F364A" w:rsidRPr="00366942" w:rsidRDefault="00B82A13">
            <w:r w:rsidRPr="00366942">
              <w:rPr>
                <w:lang w:val="en-CA"/>
              </w:rPr>
              <w:fldChar w:fldCharType="begin"/>
            </w:r>
            <w:r w:rsidRPr="00366942">
              <w:instrText xml:space="preserve"> </w:instrText>
            </w:r>
            <w:r w:rsidR="00926953" w:rsidRPr="00366942">
              <w:instrText xml:space="preserve">REF </w:instrText>
            </w:r>
            <w:r w:rsidRPr="00366942">
              <w:instrText xml:space="preserve">NomJuge1 </w:instrText>
            </w:r>
            <w:r w:rsidRPr="00366942">
              <w:rPr>
                <w:lang w:val="en-CA"/>
              </w:rPr>
              <w:fldChar w:fldCharType="separate"/>
            </w:r>
            <w:r w:rsidR="001C6ED6" w:rsidRPr="00366942">
              <w:t>MARIE-FRANCE BICH, J.A.</w:t>
            </w:r>
            <w:r w:rsidRPr="00366942">
              <w:rPr>
                <w:lang w:val="en-CA"/>
              </w:rPr>
              <w:fldChar w:fldCharType="end"/>
            </w:r>
          </w:p>
        </w:tc>
      </w:tr>
      <w:tr w:rsidR="00366942" w:rsidRPr="00366942" w14:paraId="2D37F3D3" w14:textId="77777777" w:rsidTr="00117914">
        <w:trPr>
          <w:trHeight w:val="283"/>
        </w:trPr>
        <w:tc>
          <w:tcPr>
            <w:tcW w:w="4682" w:type="dxa"/>
            <w:gridSpan w:val="2"/>
            <w:tcBorders>
              <w:top w:val="nil"/>
            </w:tcBorders>
          </w:tcPr>
          <w:p w14:paraId="682E7182" w14:textId="77777777" w:rsidR="008F364A" w:rsidRPr="00366942" w:rsidRDefault="008F364A">
            <w:pPr>
              <w:keepNext/>
            </w:pPr>
            <w:bookmarkStart w:id="9" w:name="Signature2"/>
          </w:p>
        </w:tc>
        <w:tc>
          <w:tcPr>
            <w:tcW w:w="4680" w:type="dxa"/>
            <w:tcBorders>
              <w:top w:val="nil"/>
            </w:tcBorders>
          </w:tcPr>
          <w:p w14:paraId="58C5897A" w14:textId="77777777" w:rsidR="008F364A" w:rsidRPr="00366942" w:rsidRDefault="008F364A">
            <w:pPr>
              <w:keepNext/>
            </w:pPr>
          </w:p>
        </w:tc>
      </w:tr>
      <w:tr w:rsidR="00366942" w:rsidRPr="00366942" w14:paraId="0508B9AC" w14:textId="77777777" w:rsidTr="00117914">
        <w:trPr>
          <w:trHeight w:val="283"/>
        </w:trPr>
        <w:tc>
          <w:tcPr>
            <w:tcW w:w="4682" w:type="dxa"/>
            <w:gridSpan w:val="2"/>
            <w:tcBorders>
              <w:top w:val="nil"/>
              <w:bottom w:val="nil"/>
            </w:tcBorders>
          </w:tcPr>
          <w:p w14:paraId="5691ABB6" w14:textId="77777777" w:rsidR="008F364A" w:rsidRPr="00366942" w:rsidRDefault="008F364A">
            <w:pPr>
              <w:keepNext/>
            </w:pPr>
          </w:p>
        </w:tc>
        <w:tc>
          <w:tcPr>
            <w:tcW w:w="4680" w:type="dxa"/>
            <w:tcBorders>
              <w:top w:val="nil"/>
              <w:bottom w:val="single" w:sz="8" w:space="0" w:color="auto"/>
            </w:tcBorders>
          </w:tcPr>
          <w:p w14:paraId="2D753897" w14:textId="77777777" w:rsidR="008F364A" w:rsidRPr="00366942" w:rsidRDefault="008F364A">
            <w:pPr>
              <w:keepNext/>
            </w:pPr>
          </w:p>
        </w:tc>
      </w:tr>
      <w:tr w:rsidR="00366942" w:rsidRPr="00366942" w14:paraId="0719C55B" w14:textId="77777777" w:rsidTr="00117914">
        <w:trPr>
          <w:trHeight w:val="283"/>
        </w:trPr>
        <w:tc>
          <w:tcPr>
            <w:tcW w:w="4682" w:type="dxa"/>
            <w:gridSpan w:val="2"/>
            <w:tcBorders>
              <w:top w:val="nil"/>
            </w:tcBorders>
          </w:tcPr>
          <w:p w14:paraId="3AC7B388" w14:textId="77777777" w:rsidR="008F364A" w:rsidRPr="00366942" w:rsidRDefault="008F364A">
            <w:pPr>
              <w:keepNext/>
            </w:pPr>
          </w:p>
        </w:tc>
        <w:tc>
          <w:tcPr>
            <w:tcW w:w="4680" w:type="dxa"/>
            <w:tcBorders>
              <w:top w:val="single" w:sz="8" w:space="0" w:color="auto"/>
            </w:tcBorders>
          </w:tcPr>
          <w:p w14:paraId="1A3F3D27" w14:textId="7EF5807C" w:rsidR="008F364A" w:rsidRPr="00366942" w:rsidRDefault="00B82A13">
            <w:pPr>
              <w:keepNext/>
              <w:rPr>
                <w:lang w:val="en-CA"/>
              </w:rPr>
            </w:pPr>
            <w:r w:rsidRPr="00366942">
              <w:rPr>
                <w:lang w:val="en-CA"/>
              </w:rPr>
              <w:fldChar w:fldCharType="begin"/>
            </w:r>
            <w:r w:rsidRPr="00366942">
              <w:rPr>
                <w:lang w:val="en-CA"/>
              </w:rPr>
              <w:instrText xml:space="preserve"> </w:instrText>
            </w:r>
            <w:r w:rsidR="00926953" w:rsidRPr="00366942">
              <w:rPr>
                <w:lang w:val="en-CA"/>
              </w:rPr>
              <w:instrText xml:space="preserve">REF </w:instrText>
            </w:r>
            <w:r w:rsidRPr="00366942">
              <w:rPr>
                <w:lang w:val="en-CA"/>
              </w:rPr>
              <w:instrText xml:space="preserve">NomJuge2 </w:instrText>
            </w:r>
            <w:r w:rsidRPr="00366942">
              <w:rPr>
                <w:lang w:val="en-CA"/>
              </w:rPr>
              <w:fldChar w:fldCharType="separate"/>
            </w:r>
            <w:r w:rsidR="001C6ED6" w:rsidRPr="00366942">
              <w:rPr>
                <w:lang w:val="en-CA"/>
              </w:rPr>
              <w:t>PATRICK HEALY, J.A.</w:t>
            </w:r>
            <w:r w:rsidRPr="00366942">
              <w:rPr>
                <w:lang w:val="en-CA"/>
              </w:rPr>
              <w:fldChar w:fldCharType="end"/>
            </w:r>
          </w:p>
        </w:tc>
      </w:tr>
      <w:tr w:rsidR="00366942" w:rsidRPr="00366942" w14:paraId="0E47880C" w14:textId="77777777" w:rsidTr="00117914">
        <w:trPr>
          <w:trHeight w:val="283"/>
        </w:trPr>
        <w:tc>
          <w:tcPr>
            <w:tcW w:w="4682" w:type="dxa"/>
            <w:gridSpan w:val="2"/>
            <w:tcBorders>
              <w:top w:val="nil"/>
            </w:tcBorders>
          </w:tcPr>
          <w:p w14:paraId="02B4F2C7" w14:textId="77777777" w:rsidR="008F364A" w:rsidRPr="00366942" w:rsidRDefault="008F364A">
            <w:pPr>
              <w:keepNext/>
              <w:rPr>
                <w:lang w:val="en-CA"/>
              </w:rPr>
            </w:pPr>
            <w:bookmarkStart w:id="10" w:name="Signature3"/>
            <w:bookmarkEnd w:id="9"/>
          </w:p>
        </w:tc>
        <w:tc>
          <w:tcPr>
            <w:tcW w:w="4680" w:type="dxa"/>
            <w:tcBorders>
              <w:top w:val="nil"/>
            </w:tcBorders>
          </w:tcPr>
          <w:p w14:paraId="72D2710A" w14:textId="77777777" w:rsidR="008F364A" w:rsidRPr="00366942" w:rsidRDefault="008F364A">
            <w:pPr>
              <w:keepNext/>
              <w:rPr>
                <w:lang w:val="en-CA"/>
              </w:rPr>
            </w:pPr>
          </w:p>
        </w:tc>
      </w:tr>
      <w:tr w:rsidR="00366942" w:rsidRPr="00366942" w14:paraId="0B591B3D" w14:textId="77777777" w:rsidTr="00117914">
        <w:trPr>
          <w:trHeight w:val="283"/>
        </w:trPr>
        <w:tc>
          <w:tcPr>
            <w:tcW w:w="4682" w:type="dxa"/>
            <w:gridSpan w:val="2"/>
            <w:tcBorders>
              <w:top w:val="nil"/>
              <w:bottom w:val="nil"/>
            </w:tcBorders>
          </w:tcPr>
          <w:p w14:paraId="693ADEB1" w14:textId="77777777" w:rsidR="008F364A" w:rsidRPr="00366942" w:rsidRDefault="008F364A">
            <w:pPr>
              <w:keepNext/>
              <w:rPr>
                <w:lang w:val="en-CA"/>
              </w:rPr>
            </w:pPr>
          </w:p>
        </w:tc>
        <w:tc>
          <w:tcPr>
            <w:tcW w:w="4680" w:type="dxa"/>
            <w:tcBorders>
              <w:top w:val="nil"/>
              <w:bottom w:val="single" w:sz="8" w:space="0" w:color="auto"/>
            </w:tcBorders>
          </w:tcPr>
          <w:p w14:paraId="127E1E32" w14:textId="77777777" w:rsidR="008F364A" w:rsidRPr="00366942" w:rsidRDefault="008F364A">
            <w:pPr>
              <w:keepNext/>
              <w:rPr>
                <w:lang w:val="en-CA"/>
              </w:rPr>
            </w:pPr>
          </w:p>
        </w:tc>
      </w:tr>
      <w:tr w:rsidR="00366942" w:rsidRPr="00366942" w14:paraId="73DDDB9C" w14:textId="77777777" w:rsidTr="00117914">
        <w:trPr>
          <w:trHeight w:val="283"/>
        </w:trPr>
        <w:tc>
          <w:tcPr>
            <w:tcW w:w="4682" w:type="dxa"/>
            <w:gridSpan w:val="2"/>
            <w:tcBorders>
              <w:top w:val="nil"/>
            </w:tcBorders>
          </w:tcPr>
          <w:p w14:paraId="7476BA0A" w14:textId="77777777" w:rsidR="008F364A" w:rsidRPr="00366942" w:rsidRDefault="008F364A">
            <w:pPr>
              <w:keepNext/>
              <w:rPr>
                <w:lang w:val="en-CA"/>
              </w:rPr>
            </w:pPr>
          </w:p>
        </w:tc>
        <w:tc>
          <w:tcPr>
            <w:tcW w:w="4680" w:type="dxa"/>
            <w:tcBorders>
              <w:top w:val="single" w:sz="8" w:space="0" w:color="auto"/>
            </w:tcBorders>
          </w:tcPr>
          <w:p w14:paraId="09CC0B65" w14:textId="617FFF85" w:rsidR="008F364A" w:rsidRPr="00366942" w:rsidRDefault="00B82A13">
            <w:pPr>
              <w:keepNext/>
              <w:rPr>
                <w:lang w:val="en-CA"/>
              </w:rPr>
            </w:pPr>
            <w:r w:rsidRPr="00366942">
              <w:rPr>
                <w:lang w:val="en-CA"/>
              </w:rPr>
              <w:fldChar w:fldCharType="begin"/>
            </w:r>
            <w:r w:rsidRPr="00366942">
              <w:rPr>
                <w:lang w:val="en-CA"/>
              </w:rPr>
              <w:instrText xml:space="preserve"> </w:instrText>
            </w:r>
            <w:r w:rsidR="00926953" w:rsidRPr="00366942">
              <w:rPr>
                <w:lang w:val="en-CA"/>
              </w:rPr>
              <w:instrText xml:space="preserve">REF </w:instrText>
            </w:r>
            <w:r w:rsidRPr="00366942">
              <w:rPr>
                <w:lang w:val="en-CA"/>
              </w:rPr>
              <w:instrText xml:space="preserve">NomJuge3 </w:instrText>
            </w:r>
            <w:r w:rsidRPr="00366942">
              <w:rPr>
                <w:lang w:val="en-CA"/>
              </w:rPr>
              <w:fldChar w:fldCharType="separate"/>
            </w:r>
            <w:r w:rsidR="001C6ED6" w:rsidRPr="00366942">
              <w:rPr>
                <w:lang w:val="en-CA"/>
              </w:rPr>
              <w:t>BENOÎT MOORE, J.A.</w:t>
            </w:r>
            <w:r w:rsidRPr="00366942">
              <w:rPr>
                <w:lang w:val="en-CA"/>
              </w:rPr>
              <w:fldChar w:fldCharType="end"/>
            </w:r>
          </w:p>
        </w:tc>
      </w:tr>
      <w:bookmarkEnd w:id="10"/>
      <w:tr w:rsidR="00366942" w:rsidRPr="00366942" w14:paraId="031E3D3D" w14:textId="77777777" w:rsidTr="00423DF1">
        <w:tc>
          <w:tcPr>
            <w:tcW w:w="9362" w:type="dxa"/>
            <w:gridSpan w:val="3"/>
          </w:tcPr>
          <w:p w14:paraId="213ED92C" w14:textId="77777777" w:rsidR="005A78BF" w:rsidRPr="00366942" w:rsidRDefault="005A78BF" w:rsidP="005A78BF">
            <w:pPr>
              <w:rPr>
                <w:lang w:val="en-CA"/>
              </w:rPr>
            </w:pPr>
          </w:p>
        </w:tc>
      </w:tr>
      <w:tr w:rsidR="00366942" w:rsidRPr="00366942" w14:paraId="761BFD89" w14:textId="77777777" w:rsidTr="00423DF1">
        <w:tc>
          <w:tcPr>
            <w:tcW w:w="9362" w:type="dxa"/>
            <w:gridSpan w:val="3"/>
          </w:tcPr>
          <w:p w14:paraId="3A1FEEE1" w14:textId="6EF1F9E5" w:rsidR="005A78BF" w:rsidRPr="00366942" w:rsidRDefault="002C4AA3" w:rsidP="005A78BF">
            <w:pPr>
              <w:pStyle w:val="zSoquijdatNomProcureurDem"/>
              <w:rPr>
                <w:lang w:val="en-CA"/>
              </w:rPr>
            </w:pPr>
            <w:r w:rsidRPr="00366942">
              <w:rPr>
                <w:lang w:val="en-CA"/>
              </w:rPr>
              <w:t>M</w:t>
            </w:r>
            <w:r w:rsidR="00D70F62" w:rsidRPr="00366942">
              <w:rPr>
                <w:lang w:val="en-CA"/>
              </w:rPr>
              <w:t>tr</w:t>
            </w:r>
            <w:r w:rsidRPr="00366942">
              <w:rPr>
                <w:lang w:val="en-CA"/>
              </w:rPr>
              <w:t>e Olga Redko</w:t>
            </w:r>
          </w:p>
        </w:tc>
      </w:tr>
      <w:tr w:rsidR="00366942" w:rsidRPr="00366942" w14:paraId="66748186" w14:textId="77777777" w:rsidTr="00423DF1">
        <w:tc>
          <w:tcPr>
            <w:tcW w:w="9362" w:type="dxa"/>
            <w:gridSpan w:val="3"/>
          </w:tcPr>
          <w:p w14:paraId="203D3059" w14:textId="062744D8" w:rsidR="002C4AA3" w:rsidRPr="00366942" w:rsidRDefault="002C4AA3" w:rsidP="005A78BF">
            <w:pPr>
              <w:pStyle w:val="zSoquijdatNomProcureurDem"/>
              <w:rPr>
                <w:lang w:val="en-CA"/>
              </w:rPr>
            </w:pPr>
            <w:r w:rsidRPr="00366942">
              <w:rPr>
                <w:lang w:val="en-CA"/>
              </w:rPr>
              <w:t>M</w:t>
            </w:r>
            <w:r w:rsidR="00D70F62" w:rsidRPr="00366942">
              <w:rPr>
                <w:lang w:val="en-CA"/>
              </w:rPr>
              <w:t>tr</w:t>
            </w:r>
            <w:r w:rsidRPr="00366942">
              <w:rPr>
                <w:lang w:val="en-CA"/>
              </w:rPr>
              <w:t>e Étienne Morin-Lévesque</w:t>
            </w:r>
          </w:p>
        </w:tc>
      </w:tr>
      <w:tr w:rsidR="00366942" w:rsidRPr="00366942" w14:paraId="1971CF1A" w14:textId="77777777" w:rsidTr="00423DF1">
        <w:tc>
          <w:tcPr>
            <w:tcW w:w="9362" w:type="dxa"/>
            <w:gridSpan w:val="3"/>
          </w:tcPr>
          <w:p w14:paraId="2ADA72C6" w14:textId="6DD91DDD" w:rsidR="005A78BF" w:rsidRPr="00366942" w:rsidRDefault="002C4AA3" w:rsidP="005A78BF">
            <w:pPr>
              <w:pStyle w:val="zSoquijdatCabinetProcureurDem"/>
              <w:rPr>
                <w:lang w:val="en-CA"/>
              </w:rPr>
            </w:pPr>
            <w:r w:rsidRPr="00366942">
              <w:rPr>
                <w:lang w:val="en-CA"/>
              </w:rPr>
              <w:t>IMK</w:t>
            </w:r>
          </w:p>
        </w:tc>
      </w:tr>
      <w:tr w:rsidR="00366942" w:rsidRPr="00366942" w14:paraId="5B5CE738" w14:textId="77777777" w:rsidTr="00423DF1">
        <w:tc>
          <w:tcPr>
            <w:tcW w:w="9362" w:type="dxa"/>
            <w:gridSpan w:val="3"/>
          </w:tcPr>
          <w:p w14:paraId="3E22E2A0" w14:textId="51AEBC18" w:rsidR="005A78BF" w:rsidRPr="00366942" w:rsidRDefault="00D70F62" w:rsidP="005A78BF">
            <w:pPr>
              <w:pStyle w:val="zSoquijlblProcureurDem"/>
              <w:rPr>
                <w:lang w:val="en-CA"/>
              </w:rPr>
            </w:pPr>
            <w:r w:rsidRPr="00366942">
              <w:rPr>
                <w:lang w:val="en-CA"/>
              </w:rPr>
              <w:t>For the A</w:t>
            </w:r>
            <w:r w:rsidR="002C4AA3" w:rsidRPr="00366942">
              <w:rPr>
                <w:lang w:val="en-CA"/>
              </w:rPr>
              <w:t>ppel</w:t>
            </w:r>
            <w:r w:rsidRPr="00366942">
              <w:rPr>
                <w:lang w:val="en-CA"/>
              </w:rPr>
              <w:t>l</w:t>
            </w:r>
            <w:r w:rsidR="002C4AA3" w:rsidRPr="00366942">
              <w:rPr>
                <w:lang w:val="en-CA"/>
              </w:rPr>
              <w:t>an</w:t>
            </w:r>
            <w:r w:rsidRPr="00366942">
              <w:rPr>
                <w:lang w:val="en-CA"/>
              </w:rPr>
              <w:t>t</w:t>
            </w:r>
          </w:p>
        </w:tc>
      </w:tr>
      <w:tr w:rsidR="00366942" w:rsidRPr="00366942" w14:paraId="470284A6" w14:textId="77777777" w:rsidTr="00423DF1">
        <w:tc>
          <w:tcPr>
            <w:tcW w:w="9362" w:type="dxa"/>
            <w:gridSpan w:val="3"/>
          </w:tcPr>
          <w:p w14:paraId="161F3A0B" w14:textId="77777777" w:rsidR="005A78BF" w:rsidRPr="00366942" w:rsidRDefault="005A78BF" w:rsidP="005A78BF">
            <w:pPr>
              <w:rPr>
                <w:lang w:val="en-CA"/>
              </w:rPr>
            </w:pPr>
          </w:p>
        </w:tc>
      </w:tr>
      <w:tr w:rsidR="00366942" w:rsidRPr="00366942" w14:paraId="567629B4" w14:textId="77777777" w:rsidTr="00423DF1">
        <w:tc>
          <w:tcPr>
            <w:tcW w:w="9362" w:type="dxa"/>
            <w:gridSpan w:val="3"/>
          </w:tcPr>
          <w:p w14:paraId="2D6D5582" w14:textId="6BE316CF" w:rsidR="000F2C14" w:rsidRPr="00366942" w:rsidRDefault="000F2C14" w:rsidP="005A78BF">
            <w:r w:rsidRPr="00366942">
              <w:t>Mtre Luc-Vincent Gendron-Bouchard</w:t>
            </w:r>
          </w:p>
        </w:tc>
      </w:tr>
      <w:tr w:rsidR="00366942" w:rsidRPr="00366942" w14:paraId="28C53F24" w14:textId="77777777" w:rsidTr="00423DF1">
        <w:tc>
          <w:tcPr>
            <w:tcW w:w="9362" w:type="dxa"/>
            <w:gridSpan w:val="3"/>
          </w:tcPr>
          <w:p w14:paraId="46A7A72D" w14:textId="4A6F49D1" w:rsidR="005A78BF" w:rsidRPr="00366942" w:rsidRDefault="002C4AA3" w:rsidP="005A78BF">
            <w:pPr>
              <w:pStyle w:val="zSoquijdatNomProcureurDef"/>
              <w:rPr>
                <w:lang w:val="en-CA"/>
              </w:rPr>
            </w:pPr>
            <w:r w:rsidRPr="00366942">
              <w:rPr>
                <w:lang w:val="en-CA"/>
              </w:rPr>
              <w:t>M</w:t>
            </w:r>
            <w:r w:rsidR="00D70F62" w:rsidRPr="00366942">
              <w:rPr>
                <w:lang w:val="en-CA"/>
              </w:rPr>
              <w:t>tr</w:t>
            </w:r>
            <w:r w:rsidRPr="00366942">
              <w:rPr>
                <w:lang w:val="en-CA"/>
              </w:rPr>
              <w:t>e Andréa Boivin-Claveau</w:t>
            </w:r>
          </w:p>
        </w:tc>
      </w:tr>
      <w:tr w:rsidR="00366942" w:rsidRPr="00366942" w14:paraId="49466777" w14:textId="77777777" w:rsidTr="00423DF1">
        <w:tc>
          <w:tcPr>
            <w:tcW w:w="9362" w:type="dxa"/>
            <w:gridSpan w:val="3"/>
          </w:tcPr>
          <w:p w14:paraId="32142118" w14:textId="19E98E5E" w:rsidR="005A78BF" w:rsidRPr="00366942" w:rsidRDefault="002C4AA3" w:rsidP="005A78BF">
            <w:pPr>
              <w:pStyle w:val="zSoquijdatCabinetProcureurDef"/>
              <w:rPr>
                <w:lang w:val="en-CA"/>
              </w:rPr>
            </w:pPr>
            <w:r w:rsidRPr="00366942">
              <w:rPr>
                <w:lang w:val="en-CA"/>
              </w:rPr>
              <w:t>BERNARD</w:t>
            </w:r>
            <w:r w:rsidR="007F4ED8" w:rsidRPr="00366942">
              <w:rPr>
                <w:lang w:val="en-CA"/>
              </w:rPr>
              <w:t>,</w:t>
            </w:r>
            <w:r w:rsidRPr="00366942">
              <w:rPr>
                <w:lang w:val="en-CA"/>
              </w:rPr>
              <w:t xml:space="preserve"> ROY (JUSTICE</w:t>
            </w:r>
            <w:r w:rsidR="007F4ED8" w:rsidRPr="00366942">
              <w:rPr>
                <w:lang w:val="en-CA"/>
              </w:rPr>
              <w:t>-</w:t>
            </w:r>
            <w:r w:rsidRPr="00366942">
              <w:rPr>
                <w:lang w:val="en-CA"/>
              </w:rPr>
              <w:t>QUÉBEC)</w:t>
            </w:r>
          </w:p>
        </w:tc>
      </w:tr>
      <w:tr w:rsidR="00366942" w:rsidRPr="00366942" w14:paraId="5F7B0AF5" w14:textId="77777777" w:rsidTr="00423DF1">
        <w:tc>
          <w:tcPr>
            <w:tcW w:w="9362" w:type="dxa"/>
            <w:gridSpan w:val="3"/>
          </w:tcPr>
          <w:p w14:paraId="2CFC2097" w14:textId="1080582D" w:rsidR="005A78BF" w:rsidRPr="00366942" w:rsidRDefault="00D70F62" w:rsidP="005A78BF">
            <w:pPr>
              <w:pStyle w:val="zSoquijlblProcureurDef"/>
              <w:rPr>
                <w:lang w:val="en-CA"/>
              </w:rPr>
            </w:pPr>
            <w:r w:rsidRPr="00366942">
              <w:rPr>
                <w:lang w:val="en-CA"/>
              </w:rPr>
              <w:t>For the Respondent</w:t>
            </w:r>
          </w:p>
        </w:tc>
      </w:tr>
      <w:tr w:rsidR="00366942" w:rsidRPr="00366942" w14:paraId="2D38F780" w14:textId="77777777" w:rsidTr="00423DF1">
        <w:tc>
          <w:tcPr>
            <w:tcW w:w="9362" w:type="dxa"/>
            <w:gridSpan w:val="3"/>
          </w:tcPr>
          <w:p w14:paraId="6B837554" w14:textId="77777777" w:rsidR="002C4AA3" w:rsidRPr="00366942" w:rsidRDefault="002C4AA3" w:rsidP="005A78BF">
            <w:pPr>
              <w:rPr>
                <w:lang w:val="en-CA"/>
              </w:rPr>
            </w:pPr>
          </w:p>
        </w:tc>
      </w:tr>
      <w:tr w:rsidR="00366942" w:rsidRPr="00366942" w14:paraId="0E30073B" w14:textId="77777777" w:rsidTr="00423DF1">
        <w:tc>
          <w:tcPr>
            <w:tcW w:w="9362" w:type="dxa"/>
            <w:gridSpan w:val="3"/>
          </w:tcPr>
          <w:p w14:paraId="7D7BB732" w14:textId="330D0653" w:rsidR="002C4AA3" w:rsidRPr="00366942" w:rsidRDefault="002C4AA3" w:rsidP="002C4AA3">
            <w:pPr>
              <w:pStyle w:val="zSoquijdatNomProcureurDef"/>
              <w:rPr>
                <w:lang w:val="en-CA"/>
              </w:rPr>
            </w:pPr>
            <w:r w:rsidRPr="00366942">
              <w:rPr>
                <w:lang w:val="en-CA"/>
              </w:rPr>
              <w:t>M</w:t>
            </w:r>
            <w:r w:rsidR="00D70F62" w:rsidRPr="00366942">
              <w:rPr>
                <w:lang w:val="en-CA"/>
              </w:rPr>
              <w:t>tr</w:t>
            </w:r>
            <w:r w:rsidRPr="00366942">
              <w:rPr>
                <w:lang w:val="en-CA"/>
              </w:rPr>
              <w:t>e Philippe Gilliard</w:t>
            </w:r>
          </w:p>
        </w:tc>
      </w:tr>
      <w:tr w:rsidR="00366942" w:rsidRPr="00366942" w14:paraId="789E4373" w14:textId="77777777" w:rsidTr="00423DF1">
        <w:tc>
          <w:tcPr>
            <w:tcW w:w="9362" w:type="dxa"/>
            <w:gridSpan w:val="3"/>
          </w:tcPr>
          <w:p w14:paraId="639224E5" w14:textId="6C71D409" w:rsidR="002C4AA3" w:rsidRPr="00366942" w:rsidRDefault="007F4ED8" w:rsidP="002C4AA3">
            <w:pPr>
              <w:pStyle w:val="zSoquijdatCabinetProcureurDef"/>
            </w:pPr>
            <w:r w:rsidRPr="00366942">
              <w:t>ROUSSEAU LANDRY</w:t>
            </w:r>
          </w:p>
        </w:tc>
      </w:tr>
      <w:tr w:rsidR="00366942" w:rsidRPr="00366942" w14:paraId="77CF59C7" w14:textId="77777777" w:rsidTr="00423DF1">
        <w:tc>
          <w:tcPr>
            <w:tcW w:w="9362" w:type="dxa"/>
            <w:gridSpan w:val="3"/>
          </w:tcPr>
          <w:p w14:paraId="6A8E7FF2" w14:textId="1FABCF47" w:rsidR="002C4AA3" w:rsidRPr="00366942" w:rsidRDefault="00D70F62" w:rsidP="002C4AA3">
            <w:pPr>
              <w:pStyle w:val="zSoquijlblProcureurDef"/>
            </w:pPr>
            <w:r w:rsidRPr="00366942">
              <w:t>For the Impleaded Party</w:t>
            </w:r>
            <w:r w:rsidR="002C4AA3" w:rsidRPr="00366942">
              <w:t xml:space="preserve"> Régie de l’assurance maladie du Québec</w:t>
            </w:r>
          </w:p>
        </w:tc>
      </w:tr>
      <w:tr w:rsidR="00366942" w:rsidRPr="00366942" w14:paraId="1F3D0F98" w14:textId="77777777" w:rsidTr="00423DF1">
        <w:tc>
          <w:tcPr>
            <w:tcW w:w="9362" w:type="dxa"/>
            <w:gridSpan w:val="3"/>
          </w:tcPr>
          <w:p w14:paraId="0E604B7F" w14:textId="77777777" w:rsidR="005A78BF" w:rsidRPr="00366942" w:rsidRDefault="005A78BF" w:rsidP="005A78BF"/>
        </w:tc>
      </w:tr>
      <w:tr w:rsidR="00366942" w:rsidRPr="00366942" w14:paraId="1D078172" w14:textId="77777777" w:rsidTr="00423DF1">
        <w:tc>
          <w:tcPr>
            <w:tcW w:w="1997" w:type="dxa"/>
          </w:tcPr>
          <w:p w14:paraId="048C0680" w14:textId="6311F125" w:rsidR="005A78BF" w:rsidRPr="00366942" w:rsidRDefault="005E10A9" w:rsidP="005A78BF">
            <w:pPr>
              <w:pStyle w:val="zSoquijlblDateAudience"/>
              <w:rPr>
                <w:lang w:val="en-CA"/>
              </w:rPr>
            </w:pPr>
            <w:r w:rsidRPr="00366942">
              <w:rPr>
                <w:lang w:val="en-CA"/>
              </w:rPr>
              <w:t>Date of hearing</w:t>
            </w:r>
            <w:r w:rsidR="005A78BF" w:rsidRPr="00366942">
              <w:rPr>
                <w:lang w:val="en-CA"/>
              </w:rPr>
              <w:t>:</w:t>
            </w:r>
          </w:p>
        </w:tc>
        <w:tc>
          <w:tcPr>
            <w:tcW w:w="7365" w:type="dxa"/>
            <w:gridSpan w:val="2"/>
          </w:tcPr>
          <w:p w14:paraId="0AE20C88" w14:textId="21B5CE93" w:rsidR="005A78BF" w:rsidRPr="00366942" w:rsidRDefault="00D70F62" w:rsidP="005A78BF">
            <w:pPr>
              <w:pStyle w:val="zSoquijdatDateAudience"/>
              <w:rPr>
                <w:lang w:val="en-CA"/>
              </w:rPr>
            </w:pPr>
            <w:r w:rsidRPr="00366942">
              <w:rPr>
                <w:lang w:val="en-CA"/>
              </w:rPr>
              <w:t>February 7,</w:t>
            </w:r>
            <w:r w:rsidR="002C4AA3" w:rsidRPr="00366942">
              <w:rPr>
                <w:lang w:val="en-CA"/>
              </w:rPr>
              <w:t xml:space="preserve"> 2024</w:t>
            </w:r>
          </w:p>
        </w:tc>
      </w:tr>
    </w:tbl>
    <w:p w14:paraId="7ADB1F1A" w14:textId="77777777" w:rsidR="00961A50" w:rsidRPr="00366942" w:rsidRDefault="00961A50" w:rsidP="00961A50">
      <w:pPr>
        <w:rPr>
          <w:lang w:val="en-CA"/>
        </w:rPr>
        <w:sectPr w:rsidR="00961A50" w:rsidRPr="00366942" w:rsidSect="00F43559">
          <w:headerReference w:type="default" r:id="rId8"/>
          <w:footerReference w:type="default" r:id="rId9"/>
          <w:pgSz w:w="12242" w:h="15842" w:code="1"/>
          <w:pgMar w:top="1440" w:right="1008" w:bottom="1440" w:left="1872" w:header="1440" w:footer="792" w:gutter="0"/>
          <w:cols w:space="720"/>
          <w:formProt w:val="0"/>
          <w:titlePg/>
        </w:sectPr>
      </w:pPr>
      <w:bookmarkStart w:id="11" w:name="Opinion"/>
      <w:bookmarkEnd w:id="8"/>
    </w:p>
    <w:tbl>
      <w:tblPr>
        <w:tblW w:w="0" w:type="auto"/>
        <w:tblLayout w:type="fixed"/>
        <w:tblCellMar>
          <w:left w:w="0" w:type="dxa"/>
          <w:right w:w="0" w:type="dxa"/>
        </w:tblCellMar>
        <w:tblLook w:val="0000" w:firstRow="0" w:lastRow="0" w:firstColumn="0" w:lastColumn="0" w:noHBand="0" w:noVBand="0"/>
      </w:tblPr>
      <w:tblGrid>
        <w:gridCol w:w="9360"/>
      </w:tblGrid>
      <w:tr w:rsidR="00366942" w:rsidRPr="00366942" w14:paraId="4D88ED65" w14:textId="77777777" w:rsidTr="00191C9C">
        <w:tc>
          <w:tcPr>
            <w:tcW w:w="9360" w:type="dxa"/>
            <w:tcBorders>
              <w:bottom w:val="single" w:sz="8" w:space="0" w:color="auto"/>
            </w:tcBorders>
          </w:tcPr>
          <w:p w14:paraId="43451D7C" w14:textId="77777777" w:rsidR="00961A50" w:rsidRPr="00366942" w:rsidRDefault="00961A50" w:rsidP="00191C9C">
            <w:pPr>
              <w:rPr>
                <w:lang w:val="en-CA"/>
              </w:rPr>
            </w:pPr>
            <w:r w:rsidRPr="00366942">
              <w:rPr>
                <w:lang w:val="en-CA"/>
              </w:rPr>
              <w:lastRenderedPageBreak/>
              <w:br w:type="page"/>
            </w:r>
          </w:p>
        </w:tc>
      </w:tr>
      <w:tr w:rsidR="00366942" w:rsidRPr="00366942" w14:paraId="683CDC69" w14:textId="77777777" w:rsidTr="00191C9C">
        <w:tc>
          <w:tcPr>
            <w:tcW w:w="9360" w:type="dxa"/>
            <w:tcBorders>
              <w:top w:val="single" w:sz="8" w:space="0" w:color="auto"/>
            </w:tcBorders>
          </w:tcPr>
          <w:p w14:paraId="1908233F" w14:textId="77777777" w:rsidR="00961A50" w:rsidRPr="00366942" w:rsidRDefault="00961A50" w:rsidP="00191C9C">
            <w:pPr>
              <w:rPr>
                <w:lang w:val="en-CA"/>
              </w:rPr>
            </w:pPr>
          </w:p>
        </w:tc>
      </w:tr>
      <w:tr w:rsidR="00366942" w:rsidRPr="001C6ED6" w14:paraId="1ECD3C5D" w14:textId="77777777" w:rsidTr="00191C9C">
        <w:tc>
          <w:tcPr>
            <w:tcW w:w="9360" w:type="dxa"/>
          </w:tcPr>
          <w:p w14:paraId="01E08EA7" w14:textId="5B126BCA" w:rsidR="00961A50" w:rsidRPr="001C6ED6" w:rsidRDefault="00493BCF" w:rsidP="00191C9C">
            <w:pPr>
              <w:pStyle w:val="zSoquijlblOpinionJuge"/>
              <w:rPr>
                <w:lang w:val="en-US"/>
              </w:rPr>
            </w:pPr>
            <w:r>
              <w:rPr>
                <w:lang w:val="en-CA"/>
              </w:rPr>
              <w:t xml:space="preserve">REASONS </w:t>
            </w:r>
            <w:r w:rsidR="00D70F62" w:rsidRPr="001C6ED6">
              <w:rPr>
                <w:lang w:val="en-US"/>
              </w:rPr>
              <w:t>OF</w:t>
            </w:r>
            <w:r w:rsidR="00961A50" w:rsidRPr="001C6ED6">
              <w:rPr>
                <w:lang w:val="en-US"/>
              </w:rPr>
              <w:t xml:space="preserve"> </w:t>
            </w:r>
            <w:r w:rsidR="00961A50" w:rsidRPr="00366942">
              <w:rPr>
                <w:lang w:val="en-CA"/>
              </w:rPr>
              <w:fldChar w:fldCharType="begin"/>
            </w:r>
            <w:r w:rsidR="00961A50" w:rsidRPr="001C6ED6">
              <w:rPr>
                <w:lang w:val="en-US"/>
              </w:rPr>
              <w:instrText xml:space="preserve"> DOCVARIABLE NomFamJuge1 </w:instrText>
            </w:r>
            <w:r w:rsidR="00961A50" w:rsidRPr="00366942">
              <w:rPr>
                <w:lang w:val="en-CA"/>
              </w:rPr>
              <w:fldChar w:fldCharType="separate"/>
            </w:r>
            <w:r w:rsidR="001C6ED6">
              <w:rPr>
                <w:lang w:val="en-US"/>
              </w:rPr>
              <w:t>BICH</w:t>
            </w:r>
            <w:r w:rsidR="00961A50" w:rsidRPr="00366942">
              <w:rPr>
                <w:lang w:val="en-CA"/>
              </w:rPr>
              <w:fldChar w:fldCharType="end"/>
            </w:r>
            <w:r w:rsidR="00D70F62" w:rsidRPr="001C6ED6">
              <w:rPr>
                <w:lang w:val="en-US"/>
              </w:rPr>
              <w:t>, J.A.</w:t>
            </w:r>
          </w:p>
        </w:tc>
      </w:tr>
      <w:tr w:rsidR="00366942" w:rsidRPr="001C6ED6" w14:paraId="6531AECA" w14:textId="77777777" w:rsidTr="00191C9C">
        <w:tc>
          <w:tcPr>
            <w:tcW w:w="9360" w:type="dxa"/>
            <w:tcBorders>
              <w:bottom w:val="single" w:sz="8" w:space="0" w:color="auto"/>
            </w:tcBorders>
          </w:tcPr>
          <w:p w14:paraId="42918F42" w14:textId="77777777" w:rsidR="00961A50" w:rsidRPr="001C6ED6" w:rsidRDefault="00961A50" w:rsidP="00191C9C">
            <w:pPr>
              <w:rPr>
                <w:lang w:val="en-US"/>
              </w:rPr>
            </w:pPr>
          </w:p>
        </w:tc>
      </w:tr>
      <w:tr w:rsidR="00366942" w:rsidRPr="001C6ED6" w14:paraId="58E482EC" w14:textId="77777777" w:rsidTr="00191C9C">
        <w:tc>
          <w:tcPr>
            <w:tcW w:w="9360" w:type="dxa"/>
            <w:tcBorders>
              <w:top w:val="single" w:sz="8" w:space="0" w:color="auto"/>
            </w:tcBorders>
          </w:tcPr>
          <w:p w14:paraId="3E0B7717" w14:textId="77777777" w:rsidR="00961A50" w:rsidRPr="001C6ED6" w:rsidRDefault="00961A50" w:rsidP="00191C9C">
            <w:pPr>
              <w:rPr>
                <w:lang w:val="en-US"/>
              </w:rPr>
            </w:pPr>
          </w:p>
        </w:tc>
      </w:tr>
    </w:tbl>
    <w:p w14:paraId="517F8235" w14:textId="4DE7E43D" w:rsidR="00961A50" w:rsidRPr="00366942" w:rsidRDefault="00D10E2C" w:rsidP="00961A50">
      <w:pPr>
        <w:pStyle w:val="Paragraphe"/>
        <w:rPr>
          <w:lang w:val="en-CA"/>
        </w:rPr>
      </w:pPr>
      <w:r w:rsidRPr="00366942">
        <w:rPr>
          <w:lang w:val="en-CA"/>
        </w:rPr>
        <w:t>Does</w:t>
      </w:r>
      <w:r w:rsidR="00D70F62" w:rsidRPr="00366942">
        <w:rPr>
          <w:lang w:val="en-CA"/>
        </w:rPr>
        <w:t xml:space="preserve"> s. 10</w:t>
      </w:r>
      <w:r w:rsidR="001C4C60" w:rsidRPr="00366942">
        <w:rPr>
          <w:lang w:val="en-CA"/>
        </w:rPr>
        <w:t>,</w:t>
      </w:r>
      <w:r w:rsidR="00D70F62" w:rsidRPr="00366942">
        <w:rPr>
          <w:lang w:val="en-CA"/>
        </w:rPr>
        <w:t xml:space="preserve"> </w:t>
      </w:r>
      <w:r w:rsidR="001C4C60" w:rsidRPr="00366942">
        <w:rPr>
          <w:lang w:val="en-CA"/>
        </w:rPr>
        <w:t xml:space="preserve">para. 4 </w:t>
      </w:r>
      <w:r w:rsidR="00D70F62" w:rsidRPr="00366942">
        <w:rPr>
          <w:lang w:val="en-CA"/>
        </w:rPr>
        <w:t>of the</w:t>
      </w:r>
      <w:r w:rsidR="00961A50" w:rsidRPr="00366942">
        <w:rPr>
          <w:lang w:val="en-CA"/>
        </w:rPr>
        <w:t xml:space="preserve"> </w:t>
      </w:r>
      <w:r w:rsidR="00D70F62" w:rsidRPr="00366942">
        <w:rPr>
          <w:i/>
          <w:iCs/>
          <w:lang w:val="en-CA"/>
        </w:rPr>
        <w:t>Health Insuranc</w:t>
      </w:r>
      <w:r w:rsidR="00AA03C2" w:rsidRPr="00366942">
        <w:rPr>
          <w:i/>
          <w:iCs/>
          <w:lang w:val="en-CA"/>
        </w:rPr>
        <w:t xml:space="preserve">e </w:t>
      </w:r>
      <w:r w:rsidR="00D70F62" w:rsidRPr="00366942">
        <w:rPr>
          <w:i/>
          <w:iCs/>
          <w:lang w:val="en-CA"/>
        </w:rPr>
        <w:t>Act</w:t>
      </w:r>
      <w:r w:rsidR="005E10A9" w:rsidRPr="00366942">
        <w:rPr>
          <w:lang w:val="en-CA"/>
        </w:rPr>
        <w:t>,</w:t>
      </w:r>
      <w:r w:rsidR="00961A50" w:rsidRPr="00366942">
        <w:rPr>
          <w:rStyle w:val="Appelnotedebasdep"/>
          <w:lang w:val="en-CA"/>
        </w:rPr>
        <w:footnoteReference w:id="1"/>
      </w:r>
      <w:r w:rsidR="005E10A9" w:rsidRPr="00366942">
        <w:rPr>
          <w:lang w:val="en-CA"/>
        </w:rPr>
        <w:t xml:space="preserve"> </w:t>
      </w:r>
      <w:r w:rsidR="00D70F62" w:rsidRPr="00366942">
        <w:rPr>
          <w:lang w:val="en-CA"/>
        </w:rPr>
        <w:t xml:space="preserve">which </w:t>
      </w:r>
      <w:r w:rsidR="005E10A9" w:rsidRPr="00366942">
        <w:rPr>
          <w:lang w:val="en-CA"/>
        </w:rPr>
        <w:t>sets a cap on</w:t>
      </w:r>
      <w:r w:rsidR="00D70F62" w:rsidRPr="00366942">
        <w:rPr>
          <w:lang w:val="en-CA"/>
        </w:rPr>
        <w:t xml:space="preserve"> the reimbursement of medical services received outside Quebec</w:t>
      </w:r>
      <w:r w:rsidR="001C4C60" w:rsidRPr="00366942">
        <w:rPr>
          <w:lang w:val="en-CA"/>
        </w:rPr>
        <w:t>,</w:t>
      </w:r>
      <w:r w:rsidR="00961A50" w:rsidRPr="00366942">
        <w:rPr>
          <w:lang w:val="en-CA"/>
        </w:rPr>
        <w:t xml:space="preserve"> </w:t>
      </w:r>
      <w:r w:rsidRPr="00366942">
        <w:rPr>
          <w:lang w:val="en-CA"/>
        </w:rPr>
        <w:t>discriminate against Quebec women</w:t>
      </w:r>
      <w:r w:rsidR="00961A50" w:rsidRPr="00366942">
        <w:rPr>
          <w:lang w:val="en-CA"/>
        </w:rPr>
        <w:t xml:space="preserve"> </w:t>
      </w:r>
      <w:r w:rsidRPr="00366942">
        <w:rPr>
          <w:lang w:val="en-CA"/>
        </w:rPr>
        <w:t>that require reproductive health</w:t>
      </w:r>
      <w:r w:rsidR="00AA03C2" w:rsidRPr="00366942">
        <w:rPr>
          <w:lang w:val="en-CA"/>
        </w:rPr>
        <w:t xml:space="preserve"> </w:t>
      </w:r>
      <w:r w:rsidRPr="00366942">
        <w:rPr>
          <w:lang w:val="en-CA"/>
        </w:rPr>
        <w:t xml:space="preserve">care (contraception, pregnancy, </w:t>
      </w:r>
      <w:r w:rsidR="005E10A9" w:rsidRPr="00366942">
        <w:rPr>
          <w:lang w:val="en-CA"/>
        </w:rPr>
        <w:t>voluntary termination of pregnancy (</w:t>
      </w:r>
      <w:r w:rsidR="005B0DF7" w:rsidRPr="00366942">
        <w:rPr>
          <w:lang w:val="en-CA"/>
        </w:rPr>
        <w:t>“</w:t>
      </w:r>
      <w:r w:rsidR="005E10A9" w:rsidRPr="00366942">
        <w:rPr>
          <w:lang w:val="en-CA"/>
        </w:rPr>
        <w:t>VTP</w:t>
      </w:r>
      <w:r w:rsidR="005B0DF7" w:rsidRPr="00366942">
        <w:rPr>
          <w:lang w:val="en-CA"/>
        </w:rPr>
        <w:t>”</w:t>
      </w:r>
      <w:r w:rsidR="005E10A9" w:rsidRPr="00366942">
        <w:rPr>
          <w:lang w:val="en-CA"/>
        </w:rPr>
        <w:t>)</w:t>
      </w:r>
      <w:r w:rsidRPr="00366942">
        <w:rPr>
          <w:lang w:val="en-CA"/>
        </w:rPr>
        <w:t>, delivery, etc.</w:t>
      </w:r>
      <w:r w:rsidR="005E10A9" w:rsidRPr="00366942">
        <w:rPr>
          <w:lang w:val="en-CA"/>
        </w:rPr>
        <w:t>)?</w:t>
      </w:r>
      <w:r w:rsidR="00961A50" w:rsidRPr="00366942">
        <w:rPr>
          <w:rStyle w:val="Appelnotedebasdep"/>
          <w:lang w:val="en-CA"/>
        </w:rPr>
        <w:footnoteReference w:id="2"/>
      </w:r>
      <w:r w:rsidR="00961A50" w:rsidRPr="00366942">
        <w:rPr>
          <w:lang w:val="en-CA"/>
        </w:rPr>
        <w:t xml:space="preserve"> </w:t>
      </w:r>
      <w:r w:rsidR="00977EA1" w:rsidRPr="00366942">
        <w:rPr>
          <w:lang w:val="en-CA"/>
        </w:rPr>
        <w:t>The appellant claims that it does, at least as regards pregnancy</w:t>
      </w:r>
      <w:r w:rsidR="00AA03C2" w:rsidRPr="00366942">
        <w:rPr>
          <w:lang w:val="en-CA"/>
        </w:rPr>
        <w:t>-related</w:t>
      </w:r>
      <w:r w:rsidR="00977EA1" w:rsidRPr="00366942">
        <w:rPr>
          <w:lang w:val="en-CA"/>
        </w:rPr>
        <w:t xml:space="preserve"> care, and argues that </w:t>
      </w:r>
      <w:r w:rsidR="001C4C60" w:rsidRPr="00366942">
        <w:rPr>
          <w:lang w:val="en-CA"/>
        </w:rPr>
        <w:t>the impugned</w:t>
      </w:r>
      <w:r w:rsidR="00977EA1" w:rsidRPr="00366942">
        <w:rPr>
          <w:lang w:val="en-CA"/>
        </w:rPr>
        <w:t xml:space="preserve"> </w:t>
      </w:r>
      <w:r w:rsidR="00AA03C2" w:rsidRPr="00366942">
        <w:rPr>
          <w:lang w:val="en-CA"/>
        </w:rPr>
        <w:t>statutory</w:t>
      </w:r>
      <w:r w:rsidR="00977EA1" w:rsidRPr="00366942">
        <w:rPr>
          <w:lang w:val="en-CA"/>
        </w:rPr>
        <w:t xml:space="preserve"> provision </w:t>
      </w:r>
      <w:r w:rsidR="002B06E0" w:rsidRPr="00366942">
        <w:rPr>
          <w:lang w:val="en-CA"/>
        </w:rPr>
        <w:t>interferes with</w:t>
      </w:r>
      <w:r w:rsidR="00977EA1" w:rsidRPr="00366942">
        <w:rPr>
          <w:lang w:val="en-CA"/>
        </w:rPr>
        <w:t xml:space="preserve"> access to such care, even though </w:t>
      </w:r>
      <w:r w:rsidR="00AA03C2" w:rsidRPr="00366942">
        <w:rPr>
          <w:lang w:val="en-CA"/>
        </w:rPr>
        <w:t>it</w:t>
      </w:r>
      <w:r w:rsidR="00977EA1" w:rsidRPr="00366942">
        <w:rPr>
          <w:lang w:val="en-CA"/>
        </w:rPr>
        <w:t xml:space="preserve"> is essential to women</w:t>
      </w:r>
      <w:r w:rsidR="001C4C60" w:rsidRPr="00366942">
        <w:rPr>
          <w:lang w:val="en-CA"/>
        </w:rPr>
        <w:t>’</w:t>
      </w:r>
      <w:r w:rsidR="00977EA1" w:rsidRPr="00366942">
        <w:rPr>
          <w:lang w:val="en-CA"/>
        </w:rPr>
        <w:t>s autonomy and their</w:t>
      </w:r>
      <w:r w:rsidR="00AA03C2" w:rsidRPr="00366942">
        <w:rPr>
          <w:lang w:val="en-CA"/>
        </w:rPr>
        <w:t xml:space="preserve"> ability to</w:t>
      </w:r>
      <w:r w:rsidR="00977EA1" w:rsidRPr="00366942">
        <w:rPr>
          <w:lang w:val="en-CA"/>
        </w:rPr>
        <w:t xml:space="preserve"> full</w:t>
      </w:r>
      <w:r w:rsidR="00AA03C2" w:rsidRPr="00366942">
        <w:rPr>
          <w:lang w:val="en-CA"/>
        </w:rPr>
        <w:t>y</w:t>
      </w:r>
      <w:r w:rsidR="00977EA1" w:rsidRPr="00366942">
        <w:rPr>
          <w:lang w:val="en-CA"/>
        </w:rPr>
        <w:t xml:space="preserve"> participat</w:t>
      </w:r>
      <w:r w:rsidR="00AA03C2" w:rsidRPr="00366942">
        <w:rPr>
          <w:lang w:val="en-CA"/>
        </w:rPr>
        <w:t xml:space="preserve">e </w:t>
      </w:r>
      <w:r w:rsidR="00977EA1" w:rsidRPr="00366942">
        <w:rPr>
          <w:lang w:val="en-CA"/>
        </w:rPr>
        <w:t>in society</w:t>
      </w:r>
      <w:r w:rsidR="00961A50" w:rsidRPr="00366942">
        <w:rPr>
          <w:lang w:val="en-CA"/>
        </w:rPr>
        <w:t xml:space="preserve">. </w:t>
      </w:r>
      <w:r w:rsidR="00977EA1" w:rsidRPr="00366942">
        <w:rPr>
          <w:lang w:val="en-CA"/>
        </w:rPr>
        <w:t>The appellant further argues</w:t>
      </w:r>
      <w:r w:rsidR="001C4C60" w:rsidRPr="00366942">
        <w:rPr>
          <w:lang w:val="en-CA"/>
        </w:rPr>
        <w:t xml:space="preserve"> that the burden </w:t>
      </w:r>
      <w:r w:rsidR="00E62871" w:rsidRPr="00366942">
        <w:rPr>
          <w:lang w:val="en-CA"/>
        </w:rPr>
        <w:t xml:space="preserve">resulting from </w:t>
      </w:r>
      <w:r w:rsidR="001C4C60" w:rsidRPr="00366942">
        <w:rPr>
          <w:lang w:val="en-CA"/>
        </w:rPr>
        <w:t xml:space="preserve">s. </w:t>
      </w:r>
      <w:r w:rsidR="00961A50" w:rsidRPr="00366942">
        <w:rPr>
          <w:lang w:val="en-CA"/>
        </w:rPr>
        <w:t>10</w:t>
      </w:r>
      <w:r w:rsidR="001C4C60" w:rsidRPr="00366942">
        <w:rPr>
          <w:lang w:val="en-CA"/>
        </w:rPr>
        <w:t>, para. 4</w:t>
      </w:r>
      <w:r w:rsidR="00961A50" w:rsidRPr="00366942">
        <w:rPr>
          <w:lang w:val="en-CA"/>
        </w:rPr>
        <w:t xml:space="preserve"> </w:t>
      </w:r>
      <w:r w:rsidR="001C4C60" w:rsidRPr="00366942">
        <w:rPr>
          <w:i/>
          <w:iCs/>
          <w:lang w:val="en-CA"/>
        </w:rPr>
        <w:t>HIA</w:t>
      </w:r>
      <w:r w:rsidR="00961A50" w:rsidRPr="00366942">
        <w:rPr>
          <w:lang w:val="en-CA"/>
        </w:rPr>
        <w:t xml:space="preserve"> </w:t>
      </w:r>
      <w:r w:rsidR="00E62871" w:rsidRPr="00366942">
        <w:rPr>
          <w:lang w:val="en-CA"/>
        </w:rPr>
        <w:t>is also in line with an entrenched</w:t>
      </w:r>
      <w:r w:rsidR="00D82D5E" w:rsidRPr="00366942">
        <w:rPr>
          <w:lang w:val="en-CA"/>
        </w:rPr>
        <w:t xml:space="preserve"> sexist reality</w:t>
      </w:r>
      <w:r w:rsidR="00E62871" w:rsidRPr="00366942">
        <w:rPr>
          <w:lang w:val="en-CA"/>
        </w:rPr>
        <w:t>, where society still</w:t>
      </w:r>
      <w:r w:rsidR="00D82D5E" w:rsidRPr="00366942">
        <w:rPr>
          <w:lang w:val="en-CA"/>
        </w:rPr>
        <w:t xml:space="preserve"> </w:t>
      </w:r>
      <w:r w:rsidR="00A4453D" w:rsidRPr="00366942">
        <w:rPr>
          <w:lang w:val="en-CA"/>
        </w:rPr>
        <w:t>lays</w:t>
      </w:r>
      <w:r w:rsidR="00D82D5E" w:rsidRPr="00366942">
        <w:rPr>
          <w:lang w:val="en-CA"/>
        </w:rPr>
        <w:t xml:space="preserve"> largely </w:t>
      </w:r>
      <w:r w:rsidR="00A4453D" w:rsidRPr="00366942">
        <w:rPr>
          <w:lang w:val="en-CA"/>
        </w:rPr>
        <w:t>upon</w:t>
      </w:r>
      <w:r w:rsidR="00D82D5E" w:rsidRPr="00366942">
        <w:rPr>
          <w:lang w:val="en-CA"/>
        </w:rPr>
        <w:t xml:space="preserve"> women</w:t>
      </w:r>
      <w:r w:rsidR="00A4453D" w:rsidRPr="00366942">
        <w:rPr>
          <w:lang w:val="en-CA"/>
        </w:rPr>
        <w:t xml:space="preserve"> </w:t>
      </w:r>
      <w:r w:rsidR="00E62871" w:rsidRPr="00366942">
        <w:rPr>
          <w:lang w:val="en-CA"/>
        </w:rPr>
        <w:t>full responsibility or, at least</w:t>
      </w:r>
      <w:r w:rsidR="00A4453D" w:rsidRPr="00366942">
        <w:rPr>
          <w:lang w:val="en-CA"/>
        </w:rPr>
        <w:t>,</w:t>
      </w:r>
      <w:r w:rsidR="00E62871" w:rsidRPr="00366942">
        <w:rPr>
          <w:lang w:val="en-CA"/>
        </w:rPr>
        <w:t xml:space="preserve"> primary responsibility</w:t>
      </w:r>
      <w:r w:rsidR="00D82D5E" w:rsidRPr="00366942">
        <w:rPr>
          <w:lang w:val="en-CA"/>
        </w:rPr>
        <w:t>,</w:t>
      </w:r>
      <w:r w:rsidR="00E62871" w:rsidRPr="00366942">
        <w:rPr>
          <w:lang w:val="en-CA"/>
        </w:rPr>
        <w:t xml:space="preserve"> for reproductive health, including </w:t>
      </w:r>
      <w:r w:rsidR="00A4453D" w:rsidRPr="00366942">
        <w:rPr>
          <w:lang w:val="en-CA"/>
        </w:rPr>
        <w:t xml:space="preserve">in </w:t>
      </w:r>
      <w:r w:rsidR="00E62871" w:rsidRPr="00366942">
        <w:rPr>
          <w:lang w:val="en-CA"/>
        </w:rPr>
        <w:t>financial</w:t>
      </w:r>
      <w:r w:rsidR="00A4453D" w:rsidRPr="00366942">
        <w:rPr>
          <w:lang w:val="en-CA"/>
        </w:rPr>
        <w:t xml:space="preserve"> terms</w:t>
      </w:r>
      <w:r w:rsidR="00961A50" w:rsidRPr="00366942">
        <w:rPr>
          <w:lang w:val="en-CA"/>
        </w:rPr>
        <w:t>.</w:t>
      </w:r>
    </w:p>
    <w:p w14:paraId="23B3095E" w14:textId="03FC569B" w:rsidR="00961A50" w:rsidRPr="00366942" w:rsidRDefault="00961A50" w:rsidP="008318BC">
      <w:pPr>
        <w:pStyle w:val="Titre1"/>
        <w:spacing w:before="120" w:after="120"/>
        <w:rPr>
          <w:lang w:val="en-CA"/>
        </w:rPr>
      </w:pPr>
      <w:r w:rsidRPr="00366942">
        <w:rPr>
          <w:lang w:val="en-CA"/>
        </w:rPr>
        <w:t>I.</w:t>
      </w:r>
      <w:r w:rsidRPr="00366942">
        <w:rPr>
          <w:lang w:val="en-CA"/>
        </w:rPr>
        <w:tab/>
      </w:r>
      <w:r w:rsidR="00D82D5E" w:rsidRPr="00366942">
        <w:rPr>
          <w:u w:val="single"/>
          <w:lang w:val="en-CA"/>
        </w:rPr>
        <w:t>Background</w:t>
      </w:r>
    </w:p>
    <w:p w14:paraId="267B1405" w14:textId="7924A925" w:rsidR="00961A50" w:rsidRPr="00366942" w:rsidRDefault="00D82D5E" w:rsidP="00961A50">
      <w:pPr>
        <w:pStyle w:val="Paragraphe"/>
        <w:rPr>
          <w:lang w:val="en-CA"/>
        </w:rPr>
      </w:pPr>
      <w:r w:rsidRPr="00366942">
        <w:rPr>
          <w:lang w:val="en-CA"/>
        </w:rPr>
        <w:t>Let us briefly recall the facts</w:t>
      </w:r>
      <w:r w:rsidR="00961A50" w:rsidRPr="00366942">
        <w:rPr>
          <w:lang w:val="en-CA"/>
        </w:rPr>
        <w:t>.</w:t>
      </w:r>
    </w:p>
    <w:p w14:paraId="5ABBD87C" w14:textId="7DD9D769" w:rsidR="00961A50" w:rsidRPr="00366942" w:rsidRDefault="00D82D5E" w:rsidP="00961A50">
      <w:pPr>
        <w:pStyle w:val="Paragraphe"/>
        <w:rPr>
          <w:lang w:val="en-CA"/>
        </w:rPr>
      </w:pPr>
      <w:r w:rsidRPr="00366942">
        <w:rPr>
          <w:lang w:val="en-CA"/>
        </w:rPr>
        <w:t>From January to June</w:t>
      </w:r>
      <w:r w:rsidR="00961A50" w:rsidRPr="00366942">
        <w:rPr>
          <w:lang w:val="en-CA"/>
        </w:rPr>
        <w:t xml:space="preserve"> 2016, </w:t>
      </w:r>
      <w:r w:rsidRPr="00366942">
        <w:rPr>
          <w:lang w:val="en-CA"/>
        </w:rPr>
        <w:t>the appellant</w:t>
      </w:r>
      <w:r w:rsidR="00961A50" w:rsidRPr="00366942">
        <w:rPr>
          <w:lang w:val="en-CA"/>
        </w:rPr>
        <w:t xml:space="preserve">, </w:t>
      </w:r>
      <w:r w:rsidR="00C61A4C" w:rsidRPr="00366942">
        <w:rPr>
          <w:lang w:val="en-CA"/>
        </w:rPr>
        <w:t xml:space="preserve">normally </w:t>
      </w:r>
      <w:r w:rsidRPr="00366942">
        <w:rPr>
          <w:lang w:val="en-CA"/>
        </w:rPr>
        <w:t>domiciled in</w:t>
      </w:r>
      <w:r w:rsidR="00961A50" w:rsidRPr="00366942">
        <w:rPr>
          <w:lang w:val="en-CA"/>
        </w:rPr>
        <w:t xml:space="preserve"> Qu</w:t>
      </w:r>
      <w:r w:rsidRPr="00366942">
        <w:rPr>
          <w:lang w:val="en-CA"/>
        </w:rPr>
        <w:t>e</w:t>
      </w:r>
      <w:r w:rsidR="00961A50" w:rsidRPr="00366942">
        <w:rPr>
          <w:lang w:val="en-CA"/>
        </w:rPr>
        <w:t xml:space="preserve">bec, </w:t>
      </w:r>
      <w:r w:rsidR="00C61A4C" w:rsidRPr="00366942">
        <w:rPr>
          <w:lang w:val="en-CA"/>
        </w:rPr>
        <w:t>lived in British Columbia</w:t>
      </w:r>
      <w:r w:rsidR="004158BE" w:rsidRPr="00366942">
        <w:rPr>
          <w:lang w:val="en-CA"/>
        </w:rPr>
        <w:t>,</w:t>
      </w:r>
      <w:r w:rsidR="00AC5304" w:rsidRPr="00366942">
        <w:rPr>
          <w:lang w:val="en-CA"/>
        </w:rPr>
        <w:t xml:space="preserve"> </w:t>
      </w:r>
      <w:r w:rsidRPr="00366942">
        <w:rPr>
          <w:lang w:val="en-CA"/>
        </w:rPr>
        <w:t>with her partner</w:t>
      </w:r>
      <w:r w:rsidR="004158BE" w:rsidRPr="00366942">
        <w:rPr>
          <w:lang w:val="en-CA"/>
        </w:rPr>
        <w:t>,</w:t>
      </w:r>
      <w:r w:rsidR="00AC5304" w:rsidRPr="00366942">
        <w:rPr>
          <w:lang w:val="en-CA"/>
        </w:rPr>
        <w:t xml:space="preserve"> </w:t>
      </w:r>
      <w:r w:rsidRPr="00366942">
        <w:rPr>
          <w:lang w:val="en-CA"/>
        </w:rPr>
        <w:t xml:space="preserve">for </w:t>
      </w:r>
      <w:r w:rsidR="004158BE" w:rsidRPr="00366942">
        <w:rPr>
          <w:lang w:val="en-CA"/>
        </w:rPr>
        <w:t>professional</w:t>
      </w:r>
      <w:r w:rsidRPr="00366942">
        <w:rPr>
          <w:lang w:val="en-CA"/>
        </w:rPr>
        <w:t xml:space="preserve"> reasons</w:t>
      </w:r>
      <w:r w:rsidR="00961A50" w:rsidRPr="00366942">
        <w:rPr>
          <w:lang w:val="en-CA"/>
        </w:rPr>
        <w:t xml:space="preserve">. </w:t>
      </w:r>
      <w:r w:rsidR="004158BE" w:rsidRPr="00366942">
        <w:rPr>
          <w:lang w:val="en-CA"/>
        </w:rPr>
        <w:t>P</w:t>
      </w:r>
      <w:r w:rsidR="00C61A4C" w:rsidRPr="00366942">
        <w:rPr>
          <w:lang w:val="en-CA"/>
        </w:rPr>
        <w:t>regnant</w:t>
      </w:r>
      <w:r w:rsidR="00961A50" w:rsidRPr="00366942">
        <w:rPr>
          <w:lang w:val="en-CA"/>
        </w:rPr>
        <w:t>,</w:t>
      </w:r>
      <w:r w:rsidR="00C61A4C" w:rsidRPr="00366942">
        <w:rPr>
          <w:lang w:val="en-CA"/>
        </w:rPr>
        <w:t xml:space="preserve"> she consulted </w:t>
      </w:r>
      <w:r w:rsidR="00AC5304" w:rsidRPr="00366942">
        <w:rPr>
          <w:lang w:val="en-CA"/>
        </w:rPr>
        <w:t xml:space="preserve">to monitor her pregnancy. Various examinations revealed that the foetus had abnormalities that would affect its development and its very survival. The appellant </w:t>
      </w:r>
      <w:r w:rsidR="0030618E" w:rsidRPr="00366942">
        <w:rPr>
          <w:lang w:val="en-CA"/>
        </w:rPr>
        <w:t xml:space="preserve">resigned herself </w:t>
      </w:r>
      <w:r w:rsidR="00AC5304" w:rsidRPr="00366942">
        <w:rPr>
          <w:lang w:val="en-CA"/>
        </w:rPr>
        <w:t>to terminate her pregnancy. During the procedure, an intra-uterine device was also inserted to avoid another immediate pregnancy</w:t>
      </w:r>
      <w:r w:rsidR="00961A50" w:rsidRPr="00366942">
        <w:rPr>
          <w:lang w:val="en-CA"/>
        </w:rPr>
        <w:t>.</w:t>
      </w:r>
    </w:p>
    <w:p w14:paraId="736CF0A0" w14:textId="3644A367" w:rsidR="00961A50" w:rsidRPr="00366942" w:rsidRDefault="00AC5304" w:rsidP="00961A50">
      <w:pPr>
        <w:pStyle w:val="Paragraphe"/>
        <w:rPr>
          <w:lang w:val="en-CA"/>
        </w:rPr>
      </w:pPr>
      <w:r w:rsidRPr="00366942">
        <w:rPr>
          <w:lang w:val="en-CA"/>
        </w:rPr>
        <w:t xml:space="preserve">The appellant </w:t>
      </w:r>
      <w:r w:rsidR="00066A1A" w:rsidRPr="00366942">
        <w:rPr>
          <w:lang w:val="en-CA"/>
        </w:rPr>
        <w:t>paid</w:t>
      </w:r>
      <w:r w:rsidR="007407DF" w:rsidRPr="00366942">
        <w:rPr>
          <w:lang w:val="en-CA"/>
        </w:rPr>
        <w:t xml:space="preserve"> out of pocket</w:t>
      </w:r>
      <w:r w:rsidR="000038AE" w:rsidRPr="00366942">
        <w:rPr>
          <w:lang w:val="en-CA"/>
        </w:rPr>
        <w:t xml:space="preserve"> </w:t>
      </w:r>
      <w:r w:rsidR="00066A1A" w:rsidRPr="00366942">
        <w:rPr>
          <w:lang w:val="en-CA"/>
        </w:rPr>
        <w:t xml:space="preserve">the </w:t>
      </w:r>
      <w:r w:rsidR="000038AE" w:rsidRPr="00366942">
        <w:rPr>
          <w:lang w:val="en-CA"/>
        </w:rPr>
        <w:t>cost</w:t>
      </w:r>
      <w:r w:rsidR="007407DF" w:rsidRPr="00366942">
        <w:rPr>
          <w:lang w:val="en-CA"/>
        </w:rPr>
        <w:t>s</w:t>
      </w:r>
      <w:r w:rsidR="000038AE" w:rsidRPr="00366942">
        <w:rPr>
          <w:lang w:val="en-CA"/>
        </w:rPr>
        <w:t xml:space="preserve"> </w:t>
      </w:r>
      <w:r w:rsidR="00512590" w:rsidRPr="00366942">
        <w:rPr>
          <w:lang w:val="en-CA"/>
        </w:rPr>
        <w:t>related to the</w:t>
      </w:r>
      <w:r w:rsidR="000038AE" w:rsidRPr="00366942">
        <w:rPr>
          <w:lang w:val="en-CA"/>
        </w:rPr>
        <w:t xml:space="preserve"> </w:t>
      </w:r>
      <w:r w:rsidR="00066A1A" w:rsidRPr="00366942">
        <w:rPr>
          <w:lang w:val="en-CA"/>
        </w:rPr>
        <w:t xml:space="preserve">pregnancy monitoring and care given to her (including the </w:t>
      </w:r>
      <w:r w:rsidR="007407DF" w:rsidRPr="00366942">
        <w:rPr>
          <w:lang w:val="en-CA"/>
        </w:rPr>
        <w:t>VTP</w:t>
      </w:r>
      <w:r w:rsidR="00066A1A" w:rsidRPr="00366942">
        <w:rPr>
          <w:lang w:val="en-CA"/>
        </w:rPr>
        <w:t>)</w:t>
      </w:r>
      <w:r w:rsidR="007407DF" w:rsidRPr="00366942">
        <w:rPr>
          <w:lang w:val="en-CA"/>
        </w:rPr>
        <w:t xml:space="preserve">, which amounted to $1,715.08, </w:t>
      </w:r>
      <w:r w:rsidR="00066A1A" w:rsidRPr="00366942">
        <w:rPr>
          <w:lang w:val="en-CA"/>
        </w:rPr>
        <w:t xml:space="preserve">and, upon </w:t>
      </w:r>
      <w:r w:rsidR="00512590" w:rsidRPr="00366942">
        <w:rPr>
          <w:lang w:val="en-CA"/>
        </w:rPr>
        <w:t xml:space="preserve">her </w:t>
      </w:r>
      <w:r w:rsidR="00066A1A" w:rsidRPr="00366942">
        <w:rPr>
          <w:lang w:val="en-CA"/>
        </w:rPr>
        <w:t xml:space="preserve">return to Quebec, she </w:t>
      </w:r>
      <w:r w:rsidR="00512590" w:rsidRPr="00366942">
        <w:rPr>
          <w:lang w:val="en-CA"/>
        </w:rPr>
        <w:t>applied</w:t>
      </w:r>
      <w:r w:rsidR="00066A1A" w:rsidRPr="00366942">
        <w:rPr>
          <w:lang w:val="en-CA"/>
        </w:rPr>
        <w:t xml:space="preserve"> t</w:t>
      </w:r>
      <w:r w:rsidR="000038AE" w:rsidRPr="00366942">
        <w:rPr>
          <w:lang w:val="en-CA"/>
        </w:rPr>
        <w:t>o</w:t>
      </w:r>
      <w:r w:rsidR="00066A1A" w:rsidRPr="00366942">
        <w:rPr>
          <w:lang w:val="en-CA"/>
        </w:rPr>
        <w:t xml:space="preserve"> the Régie de l’assurance maladie (“</w:t>
      </w:r>
      <w:r w:rsidR="00CD4A58" w:rsidRPr="00366942">
        <w:rPr>
          <w:lang w:val="en-CA"/>
        </w:rPr>
        <w:t>Board</w:t>
      </w:r>
      <w:r w:rsidR="00066A1A" w:rsidRPr="00366942">
        <w:rPr>
          <w:lang w:val="en-CA"/>
        </w:rPr>
        <w:t>”) for the</w:t>
      </w:r>
      <w:r w:rsidR="000038AE" w:rsidRPr="00366942">
        <w:rPr>
          <w:lang w:val="en-CA"/>
        </w:rPr>
        <w:t xml:space="preserve"> reimbursement of</w:t>
      </w:r>
      <w:r w:rsidR="00066A1A" w:rsidRPr="00366942">
        <w:rPr>
          <w:lang w:val="en-CA"/>
        </w:rPr>
        <w:t xml:space="preserve"> expenses thus incurred (some</w:t>
      </w:r>
      <w:r w:rsidR="00512590" w:rsidRPr="00366942">
        <w:rPr>
          <w:lang w:val="en-CA"/>
        </w:rPr>
        <w:t xml:space="preserve"> of which</w:t>
      </w:r>
      <w:r w:rsidR="00066A1A" w:rsidRPr="00366942">
        <w:rPr>
          <w:lang w:val="en-CA"/>
        </w:rPr>
        <w:t xml:space="preserve"> </w:t>
      </w:r>
      <w:r w:rsidR="000038AE" w:rsidRPr="00366942">
        <w:rPr>
          <w:lang w:val="en-CA"/>
        </w:rPr>
        <w:t>through providers in the uninsured private sector.)</w:t>
      </w:r>
      <w:r w:rsidR="00066A1A" w:rsidRPr="00366942">
        <w:rPr>
          <w:lang w:val="en-CA"/>
        </w:rPr>
        <w:t xml:space="preserve"> </w:t>
      </w:r>
      <w:r w:rsidR="000038AE" w:rsidRPr="00366942">
        <w:rPr>
          <w:lang w:val="en-CA"/>
        </w:rPr>
        <w:t xml:space="preserve">Relying on s. </w:t>
      </w:r>
      <w:r w:rsidR="00961A50" w:rsidRPr="00366942">
        <w:rPr>
          <w:lang w:val="en-CA"/>
        </w:rPr>
        <w:t>10</w:t>
      </w:r>
      <w:r w:rsidR="000038AE" w:rsidRPr="00366942">
        <w:rPr>
          <w:lang w:val="en-CA"/>
        </w:rPr>
        <w:t>, para</w:t>
      </w:r>
      <w:r w:rsidR="00961A50" w:rsidRPr="00366942">
        <w:rPr>
          <w:lang w:val="en-CA"/>
        </w:rPr>
        <w:t xml:space="preserve">. 4 </w:t>
      </w:r>
      <w:r w:rsidR="000038AE" w:rsidRPr="00366942">
        <w:rPr>
          <w:i/>
          <w:iCs/>
          <w:lang w:val="en-CA"/>
        </w:rPr>
        <w:t>HIA</w:t>
      </w:r>
      <w:r w:rsidR="00961A50" w:rsidRPr="00366942">
        <w:rPr>
          <w:lang w:val="en-CA"/>
        </w:rPr>
        <w:t xml:space="preserve">, </w:t>
      </w:r>
      <w:r w:rsidR="000038AE" w:rsidRPr="00366942">
        <w:rPr>
          <w:lang w:val="en-CA"/>
        </w:rPr>
        <w:t>the</w:t>
      </w:r>
      <w:r w:rsidR="00961A50" w:rsidRPr="00366942">
        <w:rPr>
          <w:lang w:val="en-CA"/>
        </w:rPr>
        <w:t xml:space="preserve"> </w:t>
      </w:r>
      <w:r w:rsidR="00F302D3" w:rsidRPr="00366942">
        <w:rPr>
          <w:lang w:val="en-CA"/>
        </w:rPr>
        <w:t>Board</w:t>
      </w:r>
      <w:r w:rsidR="000038AE" w:rsidRPr="00366942">
        <w:rPr>
          <w:lang w:val="en-CA"/>
        </w:rPr>
        <w:t xml:space="preserve"> </w:t>
      </w:r>
      <w:r w:rsidR="001A0938" w:rsidRPr="00366942">
        <w:rPr>
          <w:lang w:val="en-CA"/>
        </w:rPr>
        <w:t>allowed the claim in part only, agreeing to reimburse her $385.50, i.e.</w:t>
      </w:r>
      <w:r w:rsidR="00512590" w:rsidRPr="00366942">
        <w:rPr>
          <w:lang w:val="en-CA"/>
        </w:rPr>
        <w:t>,</w:t>
      </w:r>
      <w:r w:rsidR="001A0938" w:rsidRPr="00366942">
        <w:rPr>
          <w:lang w:val="en-CA"/>
        </w:rPr>
        <w:t xml:space="preserve"> the amount that would have been paid to health professionals for equivalent care provided in Quebec</w:t>
      </w:r>
      <w:r w:rsidR="00ED5507" w:rsidRPr="00366942">
        <w:rPr>
          <w:lang w:val="en-CA"/>
        </w:rPr>
        <w:t>.</w:t>
      </w:r>
      <w:r w:rsidR="0030618E" w:rsidRPr="00366942">
        <w:rPr>
          <w:rStyle w:val="Appelnotedebasdep"/>
        </w:rPr>
        <w:footnoteReference w:id="3"/>
      </w:r>
    </w:p>
    <w:p w14:paraId="35581353" w14:textId="4D7F7E26" w:rsidR="00961A50" w:rsidRPr="00366942" w:rsidRDefault="000D33AA" w:rsidP="00961A50">
      <w:pPr>
        <w:pStyle w:val="Paragraphe"/>
        <w:rPr>
          <w:lang w:val="en-CA"/>
        </w:rPr>
      </w:pPr>
      <w:r w:rsidRPr="00366942">
        <w:rPr>
          <w:lang w:val="en-CA"/>
        </w:rPr>
        <w:t xml:space="preserve">Dissatisfied, the appellant asked the </w:t>
      </w:r>
      <w:r w:rsidR="00F302D3" w:rsidRPr="00366942">
        <w:rPr>
          <w:lang w:val="en-CA"/>
        </w:rPr>
        <w:t>Board</w:t>
      </w:r>
      <w:r w:rsidRPr="00366942">
        <w:rPr>
          <w:lang w:val="en-CA"/>
        </w:rPr>
        <w:t xml:space="preserve"> to review this first decision, with limited success: the amount of the reimbursement was </w:t>
      </w:r>
      <w:r w:rsidR="00E57858" w:rsidRPr="00366942">
        <w:rPr>
          <w:lang w:val="en-CA"/>
        </w:rPr>
        <w:t>increased an additional</w:t>
      </w:r>
      <w:r w:rsidRPr="00366942">
        <w:rPr>
          <w:lang w:val="en-CA"/>
        </w:rPr>
        <w:t xml:space="preserve"> $219.95, for a </w:t>
      </w:r>
      <w:r w:rsidRPr="00366942">
        <w:rPr>
          <w:lang w:val="en-CA"/>
        </w:rPr>
        <w:lastRenderedPageBreak/>
        <w:t>new total of $605.45.</w:t>
      </w:r>
      <w:r w:rsidR="00560231" w:rsidRPr="00366942">
        <w:rPr>
          <w:lang w:val="en-CA"/>
        </w:rPr>
        <w:t xml:space="preserve"> </w:t>
      </w:r>
      <w:r w:rsidRPr="00366942">
        <w:rPr>
          <w:lang w:val="en-CA"/>
        </w:rPr>
        <w:t>The appellant thereupon brought her challenge to the Tribunal administrati</w:t>
      </w:r>
      <w:r w:rsidR="00E57858" w:rsidRPr="00366942">
        <w:rPr>
          <w:lang w:val="en-CA"/>
        </w:rPr>
        <w:t>f</w:t>
      </w:r>
      <w:r w:rsidRPr="00366942">
        <w:rPr>
          <w:lang w:val="en-CA"/>
        </w:rPr>
        <w:t xml:space="preserve"> du Québec (“TAQ”),</w:t>
      </w:r>
      <w:r w:rsidR="00127837" w:rsidRPr="00366942">
        <w:rPr>
          <w:lang w:val="en-CA"/>
        </w:rPr>
        <w:t xml:space="preserve"> arguing that s. 10, para. 4 of the </w:t>
      </w:r>
      <w:r w:rsidR="00127837" w:rsidRPr="00366942">
        <w:rPr>
          <w:i/>
          <w:iCs/>
          <w:lang w:val="en-CA"/>
        </w:rPr>
        <w:t>HIA</w:t>
      </w:r>
      <w:r w:rsidR="00127837" w:rsidRPr="00366942">
        <w:rPr>
          <w:lang w:val="en-CA"/>
        </w:rPr>
        <w:t xml:space="preserve"> is contrary to ss. 7 (security of the person) and 15 (equality) of the</w:t>
      </w:r>
      <w:r w:rsidR="00961A50" w:rsidRPr="00366942">
        <w:rPr>
          <w:lang w:val="en-CA"/>
        </w:rPr>
        <w:t xml:space="preserve"> </w:t>
      </w:r>
      <w:r w:rsidR="00127837" w:rsidRPr="00366942">
        <w:rPr>
          <w:i/>
          <w:iCs/>
          <w:lang w:val="en-CA"/>
        </w:rPr>
        <w:t>Canadian Charter of Rights and Freedoms</w:t>
      </w:r>
      <w:r w:rsidR="00961A50" w:rsidRPr="00366942">
        <w:rPr>
          <w:rStyle w:val="Appelnotedebasdep"/>
          <w:lang w:val="en-CA"/>
        </w:rPr>
        <w:footnoteReference w:id="4"/>
      </w:r>
      <w:r w:rsidR="00961A50" w:rsidRPr="00366942">
        <w:rPr>
          <w:lang w:val="en-CA"/>
        </w:rPr>
        <w:t xml:space="preserve"> </w:t>
      </w:r>
      <w:r w:rsidR="00127837" w:rsidRPr="00366942">
        <w:rPr>
          <w:lang w:val="en-CA"/>
        </w:rPr>
        <w:t>and that it also violates s.</w:t>
      </w:r>
      <w:r w:rsidR="00961A50" w:rsidRPr="00366942">
        <w:rPr>
          <w:lang w:val="en-CA"/>
        </w:rPr>
        <w:t xml:space="preserve"> 1 (</w:t>
      </w:r>
      <w:r w:rsidR="00127837" w:rsidRPr="00366942">
        <w:rPr>
          <w:lang w:val="en-CA"/>
        </w:rPr>
        <w:t>personal security, inviolability and freedom</w:t>
      </w:r>
      <w:r w:rsidR="00961A50" w:rsidRPr="00366942">
        <w:rPr>
          <w:lang w:val="en-CA"/>
        </w:rPr>
        <w:t xml:space="preserve">) </w:t>
      </w:r>
      <w:r w:rsidR="00127837" w:rsidRPr="00366942">
        <w:rPr>
          <w:lang w:val="en-CA"/>
        </w:rPr>
        <w:t>as well as ss.</w:t>
      </w:r>
      <w:r w:rsidR="00961A50" w:rsidRPr="00366942">
        <w:rPr>
          <w:lang w:val="en-CA"/>
        </w:rPr>
        <w:t xml:space="preserve"> 10 </w:t>
      </w:r>
      <w:r w:rsidR="00127837" w:rsidRPr="00366942">
        <w:rPr>
          <w:lang w:val="en-CA"/>
        </w:rPr>
        <w:t>and</w:t>
      </w:r>
      <w:r w:rsidR="00961A50" w:rsidRPr="00366942">
        <w:rPr>
          <w:lang w:val="en-CA"/>
        </w:rPr>
        <w:t xml:space="preserve"> 4 (</w:t>
      </w:r>
      <w:r w:rsidR="00560231" w:rsidRPr="00366942">
        <w:rPr>
          <w:lang w:val="en-CA"/>
        </w:rPr>
        <w:t>equal exercise of the right to dignity</w:t>
      </w:r>
      <w:r w:rsidR="00961A50" w:rsidRPr="00366942">
        <w:rPr>
          <w:lang w:val="en-CA"/>
        </w:rPr>
        <w:t xml:space="preserve">) </w:t>
      </w:r>
      <w:r w:rsidR="00560231" w:rsidRPr="00366942">
        <w:rPr>
          <w:lang w:val="en-CA"/>
        </w:rPr>
        <w:t>of the Quebec</w:t>
      </w:r>
      <w:r w:rsidR="00961A50" w:rsidRPr="00366942">
        <w:rPr>
          <w:lang w:val="en-CA"/>
        </w:rPr>
        <w:t xml:space="preserve"> </w:t>
      </w:r>
      <w:r w:rsidR="00961A50" w:rsidRPr="00366942">
        <w:rPr>
          <w:i/>
          <w:iCs/>
          <w:lang w:val="en-CA"/>
        </w:rPr>
        <w:t>Charte</w:t>
      </w:r>
      <w:r w:rsidR="00560231" w:rsidRPr="00366942">
        <w:rPr>
          <w:i/>
          <w:iCs/>
          <w:lang w:val="en-CA"/>
        </w:rPr>
        <w:t>r</w:t>
      </w:r>
      <w:r w:rsidR="00961A50" w:rsidRPr="00366942">
        <w:rPr>
          <w:i/>
          <w:iCs/>
          <w:lang w:val="en-CA"/>
        </w:rPr>
        <w:t xml:space="preserve"> </w:t>
      </w:r>
      <w:r w:rsidR="00560231" w:rsidRPr="00366942">
        <w:rPr>
          <w:i/>
          <w:iCs/>
          <w:lang w:val="en-CA"/>
        </w:rPr>
        <w:t>of Human Rights and Freedoms</w:t>
      </w:r>
      <w:r w:rsidR="00E57858" w:rsidRPr="00366942">
        <w:rPr>
          <w:lang w:val="en-CA"/>
        </w:rPr>
        <w:t>,</w:t>
      </w:r>
      <w:r w:rsidR="00961A50" w:rsidRPr="00366942">
        <w:rPr>
          <w:rStyle w:val="Appelnotedebasdep"/>
          <w:lang w:val="en-CA"/>
        </w:rPr>
        <w:footnoteReference w:id="5"/>
      </w:r>
      <w:r w:rsidR="00961A50" w:rsidRPr="00366942">
        <w:rPr>
          <w:lang w:val="en-CA"/>
        </w:rPr>
        <w:t xml:space="preserve"> </w:t>
      </w:r>
      <w:r w:rsidR="00CF0259" w:rsidRPr="00366942">
        <w:rPr>
          <w:lang w:val="en-CA"/>
        </w:rPr>
        <w:t>and is not</w:t>
      </w:r>
      <w:r w:rsidR="00560231" w:rsidRPr="00366942">
        <w:rPr>
          <w:lang w:val="en-CA"/>
        </w:rPr>
        <w:t xml:space="preserve"> saved by s. 1 of the former or</w:t>
      </w:r>
      <w:r w:rsidR="00E57858" w:rsidRPr="00366942">
        <w:rPr>
          <w:lang w:val="en-CA"/>
        </w:rPr>
        <w:t xml:space="preserve"> by</w:t>
      </w:r>
      <w:r w:rsidR="00560231" w:rsidRPr="00366942">
        <w:rPr>
          <w:lang w:val="en-CA"/>
        </w:rPr>
        <w:t xml:space="preserve"> s. 9.1 of the latter</w:t>
      </w:r>
      <w:r w:rsidR="00961A50" w:rsidRPr="00366942">
        <w:rPr>
          <w:lang w:val="en-CA"/>
        </w:rPr>
        <w:t>.</w:t>
      </w:r>
    </w:p>
    <w:p w14:paraId="0EEA31E5" w14:textId="4803AF96" w:rsidR="00961A50" w:rsidRPr="00366942" w:rsidRDefault="00227929" w:rsidP="00961A50">
      <w:pPr>
        <w:pStyle w:val="Paragraphe"/>
        <w:rPr>
          <w:lang w:val="en-CA"/>
        </w:rPr>
      </w:pPr>
      <w:r w:rsidRPr="00366942">
        <w:rPr>
          <w:lang w:val="en-CA"/>
        </w:rPr>
        <w:t>On March</w:t>
      </w:r>
      <w:r w:rsidR="00961A50" w:rsidRPr="00366942">
        <w:rPr>
          <w:lang w:val="en-CA"/>
        </w:rPr>
        <w:t xml:space="preserve"> 4</w:t>
      </w:r>
      <w:r w:rsidRPr="00366942">
        <w:rPr>
          <w:lang w:val="en-CA"/>
        </w:rPr>
        <w:t>,</w:t>
      </w:r>
      <w:r w:rsidR="00961A50" w:rsidRPr="00366942">
        <w:rPr>
          <w:lang w:val="en-CA"/>
        </w:rPr>
        <w:t xml:space="preserve"> 2020, </w:t>
      </w:r>
      <w:r w:rsidRPr="00366942">
        <w:rPr>
          <w:lang w:val="en-CA"/>
        </w:rPr>
        <w:t>the</w:t>
      </w:r>
      <w:r w:rsidR="00961A50" w:rsidRPr="00366942">
        <w:rPr>
          <w:lang w:val="en-CA"/>
        </w:rPr>
        <w:t xml:space="preserve"> TAQ </w:t>
      </w:r>
      <w:bookmarkStart w:id="12" w:name="_Ref173147308"/>
      <w:r w:rsidRPr="00366942">
        <w:rPr>
          <w:lang w:val="en-CA"/>
        </w:rPr>
        <w:t>dismissed the appellant’s application</w:t>
      </w:r>
      <w:r w:rsidR="00CF0259" w:rsidRPr="00366942">
        <w:rPr>
          <w:lang w:val="en-CA"/>
        </w:rPr>
        <w:t>.</w:t>
      </w:r>
      <w:r w:rsidR="00961A50" w:rsidRPr="00366942">
        <w:rPr>
          <w:rStyle w:val="Appelnotedebasdep"/>
          <w:lang w:val="en-CA"/>
        </w:rPr>
        <w:footnoteReference w:id="6"/>
      </w:r>
      <w:bookmarkEnd w:id="12"/>
      <w:r w:rsidR="00961A50" w:rsidRPr="00366942">
        <w:rPr>
          <w:lang w:val="en-CA"/>
        </w:rPr>
        <w:t xml:space="preserve"> </w:t>
      </w:r>
      <w:r w:rsidRPr="00366942">
        <w:rPr>
          <w:lang w:val="en-CA"/>
        </w:rPr>
        <w:t>In its view</w:t>
      </w:r>
      <w:r w:rsidR="00E57FEC" w:rsidRPr="00366942">
        <w:rPr>
          <w:lang w:val="en-CA"/>
        </w:rPr>
        <w:t>,</w:t>
      </w:r>
      <w:r w:rsidRPr="00366942">
        <w:rPr>
          <w:lang w:val="en-CA"/>
        </w:rPr>
        <w:t xml:space="preserve"> the latter had not established that s.</w:t>
      </w:r>
      <w:r w:rsidR="00961A50" w:rsidRPr="00366942">
        <w:rPr>
          <w:lang w:val="en-CA"/>
        </w:rPr>
        <w:t>10</w:t>
      </w:r>
      <w:r w:rsidR="00E57FEC" w:rsidRPr="00366942">
        <w:rPr>
          <w:lang w:val="en-CA"/>
        </w:rPr>
        <w:t>,</w:t>
      </w:r>
      <w:r w:rsidR="00961A50" w:rsidRPr="00366942">
        <w:rPr>
          <w:lang w:val="en-CA"/>
        </w:rPr>
        <w:t xml:space="preserve"> </w:t>
      </w:r>
      <w:r w:rsidRPr="00366942">
        <w:rPr>
          <w:lang w:val="en-CA"/>
        </w:rPr>
        <w:t>para</w:t>
      </w:r>
      <w:r w:rsidR="00961A50" w:rsidRPr="00366942">
        <w:rPr>
          <w:lang w:val="en-CA"/>
        </w:rPr>
        <w:t>. 4</w:t>
      </w:r>
      <w:r w:rsidRPr="00366942">
        <w:rPr>
          <w:lang w:val="en-CA"/>
        </w:rPr>
        <w:t xml:space="preserve"> </w:t>
      </w:r>
      <w:r w:rsidRPr="00366942">
        <w:rPr>
          <w:i/>
          <w:iCs/>
          <w:lang w:val="en-CA"/>
        </w:rPr>
        <w:t>HIA</w:t>
      </w:r>
      <w:r w:rsidRPr="00366942">
        <w:rPr>
          <w:lang w:val="en-CA"/>
        </w:rPr>
        <w:t xml:space="preserve"> create</w:t>
      </w:r>
      <w:r w:rsidR="00E57FEC" w:rsidRPr="00366942">
        <w:rPr>
          <w:lang w:val="en-CA"/>
        </w:rPr>
        <w:t>d</w:t>
      </w:r>
      <w:r w:rsidRPr="00366942">
        <w:rPr>
          <w:lang w:val="en-CA"/>
        </w:rPr>
        <w:t xml:space="preserve"> any distinction capable of </w:t>
      </w:r>
      <w:r w:rsidR="00D11A6E" w:rsidRPr="00366942">
        <w:rPr>
          <w:lang w:val="en-CA"/>
        </w:rPr>
        <w:t>infringing</w:t>
      </w:r>
      <w:r w:rsidRPr="00366942">
        <w:rPr>
          <w:lang w:val="en-CA"/>
        </w:rPr>
        <w:t>, on the basis of sex</w:t>
      </w:r>
      <w:r w:rsidR="00D11A6E" w:rsidRPr="00366942">
        <w:rPr>
          <w:lang w:val="en-CA"/>
        </w:rPr>
        <w:t xml:space="preserve"> (the only ground alleged)</w:t>
      </w:r>
      <w:r w:rsidRPr="00366942">
        <w:rPr>
          <w:lang w:val="en-CA"/>
        </w:rPr>
        <w:t xml:space="preserve">, s. 15 of the </w:t>
      </w:r>
      <w:r w:rsidRPr="00366942">
        <w:rPr>
          <w:i/>
          <w:iCs/>
          <w:lang w:val="en-CA"/>
        </w:rPr>
        <w:t>Canadian Charter of Rights and Freedoms</w:t>
      </w:r>
      <w:r w:rsidRPr="00366942">
        <w:rPr>
          <w:lang w:val="en-CA"/>
        </w:rPr>
        <w:t xml:space="preserve"> or s. 10 of the </w:t>
      </w:r>
      <w:r w:rsidRPr="00366942">
        <w:rPr>
          <w:i/>
          <w:iCs/>
          <w:lang w:val="en-CA"/>
        </w:rPr>
        <w:t>Quebec Charter</w:t>
      </w:r>
      <w:r w:rsidRPr="00366942">
        <w:rPr>
          <w:lang w:val="en-CA"/>
        </w:rPr>
        <w:t xml:space="preserve">. Moreover, neither s. 7 of the </w:t>
      </w:r>
      <w:r w:rsidRPr="00366942">
        <w:rPr>
          <w:i/>
          <w:iCs/>
          <w:lang w:val="en-CA"/>
        </w:rPr>
        <w:t>Canadian Charter</w:t>
      </w:r>
      <w:r w:rsidRPr="00366942">
        <w:rPr>
          <w:lang w:val="en-CA"/>
        </w:rPr>
        <w:t xml:space="preserve"> nor s.1 of the </w:t>
      </w:r>
      <w:r w:rsidRPr="00366942">
        <w:rPr>
          <w:i/>
          <w:iCs/>
          <w:lang w:val="en-CA"/>
        </w:rPr>
        <w:t>Quebec Charter</w:t>
      </w:r>
      <w:r w:rsidRPr="00366942">
        <w:rPr>
          <w:lang w:val="en-CA"/>
        </w:rPr>
        <w:t xml:space="preserve"> impose any positive obligation on the state, in this case</w:t>
      </w:r>
      <w:r w:rsidR="00E57FEC" w:rsidRPr="00366942">
        <w:rPr>
          <w:lang w:val="en-CA"/>
        </w:rPr>
        <w:t>, to fully reimburse reproductive health ca</w:t>
      </w:r>
      <w:r w:rsidR="00CF0259" w:rsidRPr="00366942">
        <w:rPr>
          <w:lang w:val="en-CA"/>
        </w:rPr>
        <w:t>r</w:t>
      </w:r>
      <w:r w:rsidR="00E57FEC" w:rsidRPr="00366942">
        <w:rPr>
          <w:lang w:val="en-CA"/>
        </w:rPr>
        <w:t xml:space="preserve">e (including </w:t>
      </w:r>
      <w:r w:rsidR="00CF0259" w:rsidRPr="00366942">
        <w:rPr>
          <w:lang w:val="en-CA"/>
        </w:rPr>
        <w:t>VTP</w:t>
      </w:r>
      <w:r w:rsidR="00E57FEC" w:rsidRPr="00366942">
        <w:rPr>
          <w:lang w:val="en-CA"/>
        </w:rPr>
        <w:t>) obtained outside Quebec</w:t>
      </w:r>
      <w:r w:rsidR="00961A50" w:rsidRPr="00366942">
        <w:rPr>
          <w:lang w:val="en-CA"/>
        </w:rPr>
        <w:t>.</w:t>
      </w:r>
    </w:p>
    <w:p w14:paraId="4988D065" w14:textId="51D88C21" w:rsidR="00961A50" w:rsidRPr="00366942" w:rsidRDefault="00E57FEC" w:rsidP="00961A50">
      <w:pPr>
        <w:pStyle w:val="Paragraphe"/>
        <w:rPr>
          <w:lang w:val="en-CA"/>
        </w:rPr>
      </w:pPr>
      <w:r w:rsidRPr="00366942">
        <w:rPr>
          <w:lang w:val="en-CA"/>
        </w:rPr>
        <w:t xml:space="preserve">The appellant applied for judicial review of that decision </w:t>
      </w:r>
      <w:r w:rsidR="008479D8" w:rsidRPr="00366942">
        <w:rPr>
          <w:lang w:val="en-CA"/>
        </w:rPr>
        <w:t>to the</w:t>
      </w:r>
      <w:r w:rsidRPr="00366942">
        <w:rPr>
          <w:lang w:val="en-CA"/>
        </w:rPr>
        <w:t xml:space="preserve"> Superior Court, </w:t>
      </w:r>
      <w:r w:rsidR="00F71F0A" w:rsidRPr="00366942">
        <w:rPr>
          <w:lang w:val="en-CA"/>
        </w:rPr>
        <w:t xml:space="preserve">essentially </w:t>
      </w:r>
      <w:r w:rsidRPr="00366942">
        <w:rPr>
          <w:lang w:val="en-CA"/>
        </w:rPr>
        <w:t>re</w:t>
      </w:r>
      <w:r w:rsidR="0005570B" w:rsidRPr="00366942">
        <w:rPr>
          <w:lang w:val="en-CA"/>
        </w:rPr>
        <w:t>sta</w:t>
      </w:r>
      <w:r w:rsidRPr="00366942">
        <w:rPr>
          <w:lang w:val="en-CA"/>
        </w:rPr>
        <w:t xml:space="preserve">ting the grounds submitted to the TAQ (i.e., the discriminatory nature of s. 10, para. 4 </w:t>
      </w:r>
      <w:r w:rsidRPr="00366942">
        <w:rPr>
          <w:i/>
          <w:iCs/>
          <w:lang w:val="en-CA"/>
        </w:rPr>
        <w:t>HIA</w:t>
      </w:r>
      <w:r w:rsidRPr="00366942">
        <w:rPr>
          <w:lang w:val="en-CA"/>
        </w:rPr>
        <w:t xml:space="preserve">, a provision that </w:t>
      </w:r>
      <w:r w:rsidR="004779F7" w:rsidRPr="00366942">
        <w:rPr>
          <w:lang w:val="en-CA"/>
        </w:rPr>
        <w:t>also infringes</w:t>
      </w:r>
      <w:r w:rsidR="00A91D8F" w:rsidRPr="00366942">
        <w:rPr>
          <w:lang w:val="en-CA"/>
        </w:rPr>
        <w:t xml:space="preserve"> upon</w:t>
      </w:r>
      <w:r w:rsidRPr="00366942">
        <w:rPr>
          <w:lang w:val="en-CA"/>
        </w:rPr>
        <w:t xml:space="preserve"> women’s security by </w:t>
      </w:r>
      <w:r w:rsidR="002B06E0" w:rsidRPr="00366942">
        <w:rPr>
          <w:lang w:val="en-CA"/>
        </w:rPr>
        <w:t>interfering with their</w:t>
      </w:r>
      <w:r w:rsidRPr="00366942">
        <w:rPr>
          <w:lang w:val="en-CA"/>
        </w:rPr>
        <w:t xml:space="preserve"> access to </w:t>
      </w:r>
      <w:r w:rsidR="00D11A6E" w:rsidRPr="00366942">
        <w:rPr>
          <w:lang w:val="en-CA"/>
        </w:rPr>
        <w:t xml:space="preserve">pregnancy-related </w:t>
      </w:r>
      <w:r w:rsidRPr="00366942">
        <w:rPr>
          <w:lang w:val="en-CA"/>
        </w:rPr>
        <w:t>health care). In its judgment dated July 21, 2022, the Superior Court, per Marc St-Pierre,</w:t>
      </w:r>
      <w:r w:rsidR="008479D8" w:rsidRPr="00366942">
        <w:rPr>
          <w:lang w:val="en-CA"/>
        </w:rPr>
        <w:t xml:space="preserve"> J.</w:t>
      </w:r>
      <w:r w:rsidR="00C9257F">
        <w:rPr>
          <w:lang w:val="en-CA"/>
        </w:rPr>
        <w:t>S</w:t>
      </w:r>
      <w:r w:rsidR="008479D8" w:rsidRPr="00366942">
        <w:rPr>
          <w:lang w:val="en-CA"/>
        </w:rPr>
        <w:t>.</w:t>
      </w:r>
      <w:r w:rsidR="00C9257F">
        <w:rPr>
          <w:lang w:val="en-CA"/>
        </w:rPr>
        <w:t>C</w:t>
      </w:r>
      <w:r w:rsidR="008479D8" w:rsidRPr="00366942">
        <w:rPr>
          <w:lang w:val="en-CA"/>
        </w:rPr>
        <w:t>.,</w:t>
      </w:r>
      <w:r w:rsidRPr="00366942">
        <w:rPr>
          <w:lang w:val="en-CA"/>
        </w:rPr>
        <w:t xml:space="preserve"> dismissed the application</w:t>
      </w:r>
      <w:r w:rsidR="00D11A6E" w:rsidRPr="00366942">
        <w:rPr>
          <w:lang w:val="en-CA"/>
        </w:rPr>
        <w:t>.</w:t>
      </w:r>
      <w:r w:rsidR="00961A50" w:rsidRPr="00366942">
        <w:rPr>
          <w:rStyle w:val="Appelnotedebasdep"/>
          <w:lang w:val="en-CA"/>
        </w:rPr>
        <w:footnoteReference w:id="7"/>
      </w:r>
      <w:r w:rsidR="00961A50" w:rsidRPr="00366942">
        <w:rPr>
          <w:lang w:val="en-CA"/>
        </w:rPr>
        <w:t xml:space="preserve"> </w:t>
      </w:r>
      <w:r w:rsidR="00F71F0A" w:rsidRPr="00366942">
        <w:rPr>
          <w:lang w:val="en-CA"/>
        </w:rPr>
        <w:t xml:space="preserve">Firstly, </w:t>
      </w:r>
      <w:r w:rsidR="008479D8" w:rsidRPr="00366942">
        <w:rPr>
          <w:lang w:val="en-CA"/>
        </w:rPr>
        <w:t>as did</w:t>
      </w:r>
      <w:r w:rsidR="00F71F0A" w:rsidRPr="00366942">
        <w:rPr>
          <w:lang w:val="en-CA"/>
        </w:rPr>
        <w:t xml:space="preserve"> the TAQ, the court held that the appellant had not established that s. 10, para 4 </w:t>
      </w:r>
      <w:r w:rsidR="00F71F0A" w:rsidRPr="00366942">
        <w:rPr>
          <w:i/>
          <w:iCs/>
          <w:lang w:val="en-CA"/>
        </w:rPr>
        <w:t>HIA</w:t>
      </w:r>
      <w:r w:rsidR="00F71F0A" w:rsidRPr="00366942">
        <w:rPr>
          <w:lang w:val="en-CA"/>
        </w:rPr>
        <w:t xml:space="preserve">, </w:t>
      </w:r>
      <w:r w:rsidR="008479D8" w:rsidRPr="00366942">
        <w:rPr>
          <w:lang w:val="en-CA"/>
        </w:rPr>
        <w:t>inasmuch</w:t>
      </w:r>
      <w:r w:rsidR="00F71F0A" w:rsidRPr="00366942">
        <w:rPr>
          <w:lang w:val="en-CA"/>
        </w:rPr>
        <w:t xml:space="preserve"> that it </w:t>
      </w:r>
      <w:r w:rsidR="00D11A6E" w:rsidRPr="00366942">
        <w:rPr>
          <w:lang w:val="en-CA"/>
        </w:rPr>
        <w:t>set a cap on</w:t>
      </w:r>
      <w:r w:rsidR="00F71F0A" w:rsidRPr="00366942">
        <w:rPr>
          <w:lang w:val="en-CA"/>
        </w:rPr>
        <w:t xml:space="preserve"> the reimbursement of the cost of health services obtained outside Que</w:t>
      </w:r>
      <w:r w:rsidR="008479D8" w:rsidRPr="00366942">
        <w:rPr>
          <w:lang w:val="en-CA"/>
        </w:rPr>
        <w:t>b</w:t>
      </w:r>
      <w:r w:rsidR="00F71F0A" w:rsidRPr="00366942">
        <w:rPr>
          <w:lang w:val="en-CA"/>
        </w:rPr>
        <w:t>ec, created a distinction based on sex</w:t>
      </w:r>
      <w:r w:rsidR="00961A50" w:rsidRPr="00366942">
        <w:rPr>
          <w:lang w:val="en-CA"/>
        </w:rPr>
        <w:t>:</w:t>
      </w:r>
    </w:p>
    <w:p w14:paraId="20AF80FE" w14:textId="77777777" w:rsidR="00961A50" w:rsidRPr="00366942" w:rsidRDefault="00961A50" w:rsidP="00961A50">
      <w:pPr>
        <w:pStyle w:val="Citationenretrait"/>
        <w:rPr>
          <w:lang w:val="en-CA"/>
        </w:rPr>
      </w:pPr>
      <w:r w:rsidRPr="00366942">
        <w:rPr>
          <w:lang w:val="en-CA"/>
        </w:rPr>
        <w:t>[14]</w:t>
      </w:r>
      <w:r w:rsidRPr="00366942">
        <w:rPr>
          <w:lang w:val="en-CA"/>
        </w:rPr>
        <w:tab/>
        <w:t xml:space="preserve">For the Court, as mentioned at the hearing, there is a major distinction between those cases and this one; firstly, the provisions under attack in </w:t>
      </w:r>
      <w:r w:rsidRPr="00366942">
        <w:rPr>
          <w:i/>
          <w:iCs/>
          <w:lang w:val="en-CA"/>
        </w:rPr>
        <w:t xml:space="preserve">Brooks </w:t>
      </w:r>
      <w:r w:rsidRPr="00366942">
        <w:rPr>
          <w:lang w:val="en-CA"/>
        </w:rPr>
        <w:t xml:space="preserve">and </w:t>
      </w:r>
      <w:r w:rsidRPr="00366942">
        <w:rPr>
          <w:i/>
          <w:iCs/>
          <w:lang w:val="en-CA"/>
        </w:rPr>
        <w:t>Alliance</w:t>
      </w:r>
      <w:r w:rsidRPr="00366942">
        <w:rPr>
          <w:lang w:val="en-CA"/>
        </w:rPr>
        <w:t xml:space="preserve"> directly infringed on women and, second, in </w:t>
      </w:r>
      <w:r w:rsidRPr="00366942">
        <w:rPr>
          <w:i/>
          <w:iCs/>
          <w:lang w:val="en-CA"/>
        </w:rPr>
        <w:t>Fraser</w:t>
      </w:r>
      <w:r w:rsidRPr="00366942">
        <w:rPr>
          <w:lang w:val="en-CA"/>
        </w:rPr>
        <w:t>, there was evidence that women were disproportionately affected by the job-sharing agreement that penalized pension plan beneficiaries.</w:t>
      </w:r>
    </w:p>
    <w:p w14:paraId="07F462FF" w14:textId="77777777" w:rsidR="00961A50" w:rsidRPr="00366942" w:rsidRDefault="00961A50" w:rsidP="00961A50">
      <w:pPr>
        <w:pStyle w:val="Citationenretrait"/>
        <w:rPr>
          <w:lang w:val="en-CA"/>
        </w:rPr>
      </w:pPr>
      <w:r w:rsidRPr="00366942">
        <w:rPr>
          <w:lang w:val="en-CA"/>
        </w:rPr>
        <w:t>[15]</w:t>
      </w:r>
      <w:r w:rsidRPr="00366942">
        <w:rPr>
          <w:lang w:val="en-CA"/>
        </w:rPr>
        <w:tab/>
        <w:t>Counsel for the Plaintiff insisted on the [TRANSLATION] “reproductive burden” discussed by her expert witness that should serve as evidence of the disproportionate impact on women of the cost of reproductive care.</w:t>
      </w:r>
    </w:p>
    <w:p w14:paraId="4586987E" w14:textId="77777777" w:rsidR="00961A50" w:rsidRPr="00366942" w:rsidRDefault="00961A50" w:rsidP="00961A50">
      <w:pPr>
        <w:pStyle w:val="Citationenretrait"/>
        <w:rPr>
          <w:lang w:val="en-CA"/>
        </w:rPr>
      </w:pPr>
      <w:r w:rsidRPr="00366942">
        <w:rPr>
          <w:lang w:val="en-CA"/>
        </w:rPr>
        <w:t>[16]</w:t>
      </w:r>
      <w:r w:rsidRPr="00366942">
        <w:rPr>
          <w:lang w:val="en-CA"/>
        </w:rPr>
        <w:tab/>
        <w:t>With respect, the Court does not believe this is the issue; the question is instead whether, in general, the Quebec limitation on reimbursing the cost of services obtained outside the province has a disproportionate impact on women as compared to men; no evidence was adduced in this regard.</w:t>
      </w:r>
    </w:p>
    <w:p w14:paraId="5794FB07" w14:textId="77777777" w:rsidR="00961A50" w:rsidRPr="00366942" w:rsidRDefault="00961A50" w:rsidP="00961A50">
      <w:pPr>
        <w:pStyle w:val="Citationenretrait"/>
        <w:rPr>
          <w:lang w:val="en-CA"/>
        </w:rPr>
      </w:pPr>
      <w:r w:rsidRPr="00366942">
        <w:rPr>
          <w:lang w:val="en-CA"/>
        </w:rPr>
        <w:lastRenderedPageBreak/>
        <w:t>[17]</w:t>
      </w:r>
      <w:r w:rsidRPr="00366942">
        <w:rPr>
          <w:lang w:val="en-CA"/>
        </w:rPr>
        <w:tab/>
        <w:t>In the circumstances, the Court cannot find that women are indirectly discriminated against under section 15 of the Canadian charter by a provision that limits the reimbursement of services covered by the RAMQ obtained outside the province.</w:t>
      </w:r>
      <w:r w:rsidRPr="00366942">
        <w:rPr>
          <w:rStyle w:val="Appelnotedebasdep"/>
          <w:lang w:val="en-CA"/>
        </w:rPr>
        <w:footnoteReference w:id="8"/>
      </w:r>
    </w:p>
    <w:p w14:paraId="096F32E8" w14:textId="6588D28D" w:rsidR="00961A50" w:rsidRPr="00366942" w:rsidRDefault="0054361E" w:rsidP="00961A50">
      <w:pPr>
        <w:pStyle w:val="Paragraphe"/>
        <w:rPr>
          <w:lang w:val="en-CA"/>
        </w:rPr>
      </w:pPr>
      <w:r w:rsidRPr="00366942">
        <w:rPr>
          <w:lang w:val="en-CA"/>
        </w:rPr>
        <w:t>Secondly</w:t>
      </w:r>
      <w:r w:rsidR="00961A50" w:rsidRPr="00366942">
        <w:rPr>
          <w:lang w:val="en-CA"/>
        </w:rPr>
        <w:t xml:space="preserve">, </w:t>
      </w:r>
      <w:r w:rsidRPr="00366942">
        <w:rPr>
          <w:lang w:val="en-CA"/>
        </w:rPr>
        <w:t>relying mainly on the Federal Court</w:t>
      </w:r>
      <w:r w:rsidR="006C6D88" w:rsidRPr="00366942">
        <w:rPr>
          <w:lang w:val="en-CA"/>
        </w:rPr>
        <w:t>’s</w:t>
      </w:r>
      <w:r w:rsidRPr="00366942">
        <w:rPr>
          <w:lang w:val="en-CA"/>
        </w:rPr>
        <w:t xml:space="preserve"> decision in</w:t>
      </w:r>
      <w:r w:rsidR="00961A50" w:rsidRPr="00366942">
        <w:rPr>
          <w:lang w:val="en-CA"/>
        </w:rPr>
        <w:t xml:space="preserve"> </w:t>
      </w:r>
      <w:r w:rsidRPr="00366942">
        <w:rPr>
          <w:i/>
          <w:iCs/>
          <w:lang w:val="en-CA"/>
        </w:rPr>
        <w:t>Canadian Doctors for Refugee Care</w:t>
      </w:r>
      <w:r w:rsidR="00961A50" w:rsidRPr="00366942">
        <w:rPr>
          <w:i/>
          <w:iCs/>
          <w:lang w:val="en-CA"/>
        </w:rPr>
        <w:t xml:space="preserve"> </w:t>
      </w:r>
      <w:r w:rsidRPr="00366942">
        <w:rPr>
          <w:i/>
          <w:iCs/>
          <w:lang w:val="en-CA"/>
        </w:rPr>
        <w:t>v</w:t>
      </w:r>
      <w:r w:rsidR="00961A50" w:rsidRPr="00366942">
        <w:rPr>
          <w:i/>
          <w:iCs/>
          <w:lang w:val="en-CA"/>
        </w:rPr>
        <w:t xml:space="preserve">. </w:t>
      </w:r>
      <w:r w:rsidRPr="00366942">
        <w:rPr>
          <w:i/>
          <w:iCs/>
          <w:lang w:val="en-CA"/>
        </w:rPr>
        <w:t>Attorney General of</w:t>
      </w:r>
      <w:r w:rsidR="00961A50" w:rsidRPr="00366942">
        <w:rPr>
          <w:i/>
          <w:iCs/>
          <w:lang w:val="en-CA"/>
        </w:rPr>
        <w:t xml:space="preserve"> Canada</w:t>
      </w:r>
      <w:r w:rsidR="00961A50" w:rsidRPr="00366942">
        <w:rPr>
          <w:rStyle w:val="Appelnotedebasdep"/>
          <w:lang w:val="en-CA"/>
        </w:rPr>
        <w:footnoteReference w:id="9"/>
      </w:r>
      <w:r w:rsidR="00961A50" w:rsidRPr="00366942">
        <w:rPr>
          <w:i/>
          <w:iCs/>
          <w:lang w:val="en-CA"/>
        </w:rPr>
        <w:t xml:space="preserve"> </w:t>
      </w:r>
      <w:r w:rsidR="00961A50" w:rsidRPr="00366942">
        <w:rPr>
          <w:lang w:val="en-CA"/>
        </w:rPr>
        <w:t>(</w:t>
      </w:r>
      <w:r w:rsidR="006C6D88" w:rsidRPr="00366942">
        <w:rPr>
          <w:lang w:val="en-CA"/>
        </w:rPr>
        <w:t>which involved a challenge to a reduction of the medical coverage offered to refugee claimants)</w:t>
      </w:r>
      <w:r w:rsidR="00961A50" w:rsidRPr="00366942">
        <w:rPr>
          <w:lang w:val="en-CA"/>
        </w:rPr>
        <w:t xml:space="preserve">, </w:t>
      </w:r>
      <w:r w:rsidR="006C6D88" w:rsidRPr="00366942">
        <w:rPr>
          <w:lang w:val="en-CA"/>
        </w:rPr>
        <w:t>the Superior Court concluded that</w:t>
      </w:r>
      <w:r w:rsidR="00961A50" w:rsidRPr="00366942">
        <w:rPr>
          <w:lang w:val="en-CA"/>
        </w:rPr>
        <w:t xml:space="preserve"> </w:t>
      </w:r>
      <w:r w:rsidR="006C6D88" w:rsidRPr="00366942">
        <w:rPr>
          <w:lang w:val="en-CA"/>
        </w:rPr>
        <w:t>s</w:t>
      </w:r>
      <w:r w:rsidR="00961A50" w:rsidRPr="00366942">
        <w:rPr>
          <w:lang w:val="en-CA"/>
        </w:rPr>
        <w:t xml:space="preserve">. 10 </w:t>
      </w:r>
      <w:r w:rsidR="006C6D88" w:rsidRPr="00366942">
        <w:rPr>
          <w:lang w:val="en-CA"/>
        </w:rPr>
        <w:t>para.</w:t>
      </w:r>
      <w:r w:rsidR="00961A50" w:rsidRPr="00366942">
        <w:rPr>
          <w:lang w:val="en-CA"/>
        </w:rPr>
        <w:t xml:space="preserve"> 4 </w:t>
      </w:r>
      <w:r w:rsidR="006C6D88" w:rsidRPr="00366942">
        <w:rPr>
          <w:i/>
          <w:iCs/>
          <w:lang w:val="en-CA"/>
        </w:rPr>
        <w:t>HIA</w:t>
      </w:r>
      <w:r w:rsidR="00961A50" w:rsidRPr="00366942">
        <w:rPr>
          <w:lang w:val="en-CA"/>
        </w:rPr>
        <w:t xml:space="preserve"> </w:t>
      </w:r>
      <w:r w:rsidR="006C6D88" w:rsidRPr="00366942">
        <w:rPr>
          <w:lang w:val="en-CA"/>
        </w:rPr>
        <w:t>does not violate s</w:t>
      </w:r>
      <w:r w:rsidR="00961A50" w:rsidRPr="00366942">
        <w:rPr>
          <w:lang w:val="en-CA"/>
        </w:rPr>
        <w:t xml:space="preserve">. 7 </w:t>
      </w:r>
      <w:r w:rsidR="006C6D88" w:rsidRPr="00366942">
        <w:rPr>
          <w:lang w:val="en-CA"/>
        </w:rPr>
        <w:t>of the</w:t>
      </w:r>
      <w:r w:rsidR="00961A50" w:rsidRPr="00366942">
        <w:rPr>
          <w:lang w:val="en-CA"/>
        </w:rPr>
        <w:t xml:space="preserve"> </w:t>
      </w:r>
      <w:r w:rsidR="006C6D88" w:rsidRPr="00366942">
        <w:rPr>
          <w:i/>
          <w:iCs/>
          <w:lang w:val="en-CA"/>
        </w:rPr>
        <w:t>Canadian Charter</w:t>
      </w:r>
      <w:r w:rsidR="00961A50" w:rsidRPr="00366942">
        <w:rPr>
          <w:i/>
          <w:iCs/>
          <w:lang w:val="en-CA"/>
        </w:rPr>
        <w:t xml:space="preserve"> </w:t>
      </w:r>
      <w:r w:rsidR="006C6D88" w:rsidRPr="00366942">
        <w:rPr>
          <w:lang w:val="en-CA"/>
        </w:rPr>
        <w:t xml:space="preserve">or s. </w:t>
      </w:r>
      <w:r w:rsidR="00961A50" w:rsidRPr="00366942">
        <w:rPr>
          <w:lang w:val="en-CA"/>
        </w:rPr>
        <w:t xml:space="preserve">1 </w:t>
      </w:r>
      <w:r w:rsidR="006C6D88" w:rsidRPr="00366942">
        <w:rPr>
          <w:lang w:val="en-CA"/>
        </w:rPr>
        <w:t>of the</w:t>
      </w:r>
      <w:r w:rsidR="00961A50" w:rsidRPr="00366942">
        <w:rPr>
          <w:lang w:val="en-CA"/>
        </w:rPr>
        <w:t xml:space="preserve"> </w:t>
      </w:r>
      <w:r w:rsidR="006C6D88" w:rsidRPr="00366942">
        <w:rPr>
          <w:i/>
          <w:iCs/>
          <w:lang w:val="en-CA"/>
        </w:rPr>
        <w:t>Quebec Ch</w:t>
      </w:r>
      <w:r w:rsidR="00A91D8F" w:rsidRPr="00366942">
        <w:rPr>
          <w:i/>
          <w:iCs/>
          <w:lang w:val="en-CA"/>
        </w:rPr>
        <w:t>ar</w:t>
      </w:r>
      <w:r w:rsidR="006C6D88" w:rsidRPr="00366942">
        <w:rPr>
          <w:i/>
          <w:iCs/>
          <w:lang w:val="en-CA"/>
        </w:rPr>
        <w:t>ter</w:t>
      </w:r>
      <w:r w:rsidR="00961A50" w:rsidRPr="00366942">
        <w:rPr>
          <w:lang w:val="en-CA"/>
        </w:rPr>
        <w:t xml:space="preserve"> </w:t>
      </w:r>
      <w:r w:rsidR="006C6D88" w:rsidRPr="00366942">
        <w:rPr>
          <w:lang w:val="en-CA"/>
        </w:rPr>
        <w:t xml:space="preserve">and </w:t>
      </w:r>
      <w:r w:rsidR="00C75B7F" w:rsidRPr="00366942">
        <w:rPr>
          <w:lang w:val="en-CA"/>
        </w:rPr>
        <w:t xml:space="preserve">that it </w:t>
      </w:r>
      <w:r w:rsidR="006C6D88" w:rsidRPr="00366942">
        <w:rPr>
          <w:lang w:val="en-CA"/>
        </w:rPr>
        <w:t>does not infringe the right to life, security and liberty</w:t>
      </w:r>
      <w:r w:rsidR="00A91D8F" w:rsidRPr="00366942">
        <w:rPr>
          <w:lang w:val="en-CA"/>
        </w:rPr>
        <w:t xml:space="preserve"> that these provisions protect</w:t>
      </w:r>
      <w:r w:rsidR="00961A50" w:rsidRPr="00366942">
        <w:rPr>
          <w:lang w:val="en-CA"/>
        </w:rPr>
        <w:t>.</w:t>
      </w:r>
    </w:p>
    <w:p w14:paraId="0A00AF53" w14:textId="77777777" w:rsidR="00961A50" w:rsidRPr="00366942" w:rsidRDefault="00961A50" w:rsidP="00961A50">
      <w:pPr>
        <w:pStyle w:val="Paragraphe"/>
        <w:numPr>
          <w:ilvl w:val="0"/>
          <w:numId w:val="0"/>
        </w:numPr>
        <w:jc w:val="center"/>
        <w:rPr>
          <w:lang w:val="en-CA"/>
        </w:rPr>
      </w:pPr>
      <w:r w:rsidRPr="00366942">
        <w:rPr>
          <w:lang w:val="en-CA"/>
        </w:rPr>
        <w:t>* *</w:t>
      </w:r>
    </w:p>
    <w:p w14:paraId="5752A9BD" w14:textId="5AA4A2DE" w:rsidR="00961A50" w:rsidRPr="00366942" w:rsidRDefault="00163CF7" w:rsidP="00961A50">
      <w:pPr>
        <w:pStyle w:val="Paragraphe"/>
        <w:rPr>
          <w:lang w:val="en-CA"/>
        </w:rPr>
      </w:pPr>
      <w:r w:rsidRPr="00366942">
        <w:rPr>
          <w:lang w:val="en-CA"/>
        </w:rPr>
        <w:t>On November 3,</w:t>
      </w:r>
      <w:r w:rsidR="00961A50" w:rsidRPr="00366942">
        <w:rPr>
          <w:lang w:val="en-CA"/>
        </w:rPr>
        <w:t xml:space="preserve"> 2022, </w:t>
      </w:r>
      <w:r w:rsidRPr="00366942">
        <w:rPr>
          <w:lang w:val="en-CA"/>
        </w:rPr>
        <w:t>the appellant was granted leave to appeal that judgment.</w:t>
      </w:r>
      <w:r w:rsidR="00961A50" w:rsidRPr="00366942">
        <w:rPr>
          <w:rStyle w:val="Appelnotedebasdep"/>
          <w:lang w:val="en-CA"/>
        </w:rPr>
        <w:footnoteReference w:id="10"/>
      </w:r>
    </w:p>
    <w:p w14:paraId="1946A668" w14:textId="51E842B1" w:rsidR="00961A50" w:rsidRPr="00366942" w:rsidRDefault="00163CF7" w:rsidP="00961A50">
      <w:pPr>
        <w:pStyle w:val="Paragraphe"/>
        <w:rPr>
          <w:lang w:val="en-CA"/>
        </w:rPr>
      </w:pPr>
      <w:r w:rsidRPr="00366942">
        <w:rPr>
          <w:lang w:val="en-CA"/>
        </w:rPr>
        <w:t xml:space="preserve">It should be mentioned that on the very same day </w:t>
      </w:r>
      <w:r w:rsidR="00CE6F01" w:rsidRPr="00366942">
        <w:rPr>
          <w:lang w:val="en-CA"/>
        </w:rPr>
        <w:t>of the</w:t>
      </w:r>
      <w:r w:rsidRPr="00366942">
        <w:rPr>
          <w:lang w:val="en-CA"/>
        </w:rPr>
        <w:t xml:space="preserve"> appeal</w:t>
      </w:r>
      <w:r w:rsidR="00CE6F01" w:rsidRPr="00366942">
        <w:rPr>
          <w:lang w:val="en-CA"/>
        </w:rPr>
        <w:t xml:space="preserve"> hearing</w:t>
      </w:r>
      <w:r w:rsidR="00961A50" w:rsidRPr="00366942">
        <w:rPr>
          <w:lang w:val="en-CA"/>
        </w:rPr>
        <w:t xml:space="preserve">, </w:t>
      </w:r>
      <w:r w:rsidR="00CE6F01" w:rsidRPr="00366942">
        <w:rPr>
          <w:lang w:val="en-CA"/>
        </w:rPr>
        <w:t xml:space="preserve">on </w:t>
      </w:r>
      <w:r w:rsidRPr="00366942">
        <w:rPr>
          <w:lang w:val="en-CA"/>
        </w:rPr>
        <w:t>February 7,</w:t>
      </w:r>
      <w:r w:rsidR="00961A50" w:rsidRPr="00366942">
        <w:rPr>
          <w:lang w:val="en-CA"/>
        </w:rPr>
        <w:t xml:space="preserve"> 2024, </w:t>
      </w:r>
      <w:r w:rsidRPr="00366942">
        <w:rPr>
          <w:lang w:val="en-CA"/>
        </w:rPr>
        <w:t>the Court rendered its decision in</w:t>
      </w:r>
      <w:r w:rsidR="00961A50" w:rsidRPr="00366942">
        <w:rPr>
          <w:lang w:val="en-CA"/>
        </w:rPr>
        <w:t xml:space="preserve"> </w:t>
      </w:r>
      <w:bookmarkStart w:id="13" w:name="_Hlk172654531"/>
      <w:r w:rsidR="00961A50" w:rsidRPr="00366942">
        <w:rPr>
          <w:i/>
          <w:iCs/>
          <w:lang w:val="en-CA"/>
        </w:rPr>
        <w:t>Procureur général du Québec c. Kanyinda</w:t>
      </w:r>
      <w:bookmarkStart w:id="14" w:name="_Ref172654494"/>
      <w:bookmarkEnd w:id="13"/>
      <w:r w:rsidRPr="00366942">
        <w:rPr>
          <w:lang w:val="en-CA"/>
        </w:rPr>
        <w:t>,</w:t>
      </w:r>
      <w:bookmarkStart w:id="15" w:name="_Ref187832781"/>
      <w:r w:rsidR="00961A50" w:rsidRPr="00366942">
        <w:rPr>
          <w:rStyle w:val="Appelnotedebasdep"/>
          <w:lang w:val="en-CA"/>
        </w:rPr>
        <w:footnoteReference w:id="11"/>
      </w:r>
      <w:bookmarkEnd w:id="14"/>
      <w:bookmarkEnd w:id="15"/>
      <w:r w:rsidR="00961A50" w:rsidRPr="00366942">
        <w:rPr>
          <w:lang w:val="en-CA"/>
        </w:rPr>
        <w:t xml:space="preserve"> </w:t>
      </w:r>
      <w:r w:rsidRPr="00366942">
        <w:rPr>
          <w:lang w:val="en-CA"/>
        </w:rPr>
        <w:t>which also deals with discrimination on the basis of sex</w:t>
      </w:r>
      <w:r w:rsidR="00961A50" w:rsidRPr="00366942">
        <w:rPr>
          <w:lang w:val="en-CA"/>
        </w:rPr>
        <w:t xml:space="preserve">. </w:t>
      </w:r>
      <w:r w:rsidRPr="00366942">
        <w:rPr>
          <w:lang w:val="en-CA"/>
        </w:rPr>
        <w:t>The Court invited the parties to submit, if they deemed it useful to do so, comments on the potential impact of that judgment on this case</w:t>
      </w:r>
      <w:r w:rsidR="00961A50" w:rsidRPr="00366942">
        <w:rPr>
          <w:lang w:val="en-CA"/>
        </w:rPr>
        <w:t xml:space="preserve">. </w:t>
      </w:r>
      <w:r w:rsidRPr="00366942">
        <w:rPr>
          <w:lang w:val="en-CA"/>
        </w:rPr>
        <w:t>On the following February 16</w:t>
      </w:r>
      <w:r w:rsidR="00961A50" w:rsidRPr="00366942">
        <w:rPr>
          <w:lang w:val="en-CA"/>
        </w:rPr>
        <w:t xml:space="preserve">, </w:t>
      </w:r>
      <w:r w:rsidRPr="00366942">
        <w:rPr>
          <w:lang w:val="en-CA"/>
        </w:rPr>
        <w:t xml:space="preserve">the appellant and the respondent both </w:t>
      </w:r>
      <w:r w:rsidR="00BA618B" w:rsidRPr="00366942">
        <w:rPr>
          <w:lang w:val="en-CA"/>
        </w:rPr>
        <w:t>did so</w:t>
      </w:r>
      <w:r w:rsidRPr="00366942">
        <w:rPr>
          <w:lang w:val="en-CA"/>
        </w:rPr>
        <w:t xml:space="preserve"> by filing </w:t>
      </w:r>
      <w:r w:rsidR="004C42A0" w:rsidRPr="00366942">
        <w:rPr>
          <w:lang w:val="en-CA"/>
        </w:rPr>
        <w:t>additional</w:t>
      </w:r>
      <w:r w:rsidR="00087FB5" w:rsidRPr="00366942">
        <w:rPr>
          <w:lang w:val="en-CA"/>
        </w:rPr>
        <w:t xml:space="preserve"> </w:t>
      </w:r>
      <w:r w:rsidR="00906121" w:rsidRPr="00366942">
        <w:rPr>
          <w:lang w:val="en-CA"/>
        </w:rPr>
        <w:t>submissions</w:t>
      </w:r>
      <w:r w:rsidR="00961A50" w:rsidRPr="00366942">
        <w:rPr>
          <w:lang w:val="en-CA"/>
        </w:rPr>
        <w:t xml:space="preserve">; </w:t>
      </w:r>
      <w:r w:rsidRPr="00366942">
        <w:rPr>
          <w:lang w:val="en-CA"/>
        </w:rPr>
        <w:t>the impleaded party</w:t>
      </w:r>
      <w:r w:rsidR="00961A50" w:rsidRPr="00366942">
        <w:rPr>
          <w:lang w:val="en-CA"/>
        </w:rPr>
        <w:t xml:space="preserve"> </w:t>
      </w:r>
      <w:r w:rsidR="00F302D3" w:rsidRPr="00366942">
        <w:rPr>
          <w:lang w:val="en-CA"/>
        </w:rPr>
        <w:t>Board</w:t>
      </w:r>
      <w:r w:rsidR="00961A50" w:rsidRPr="00366942">
        <w:rPr>
          <w:lang w:val="en-CA"/>
        </w:rPr>
        <w:t xml:space="preserve"> </w:t>
      </w:r>
      <w:r w:rsidRPr="00366942">
        <w:rPr>
          <w:lang w:val="en-CA"/>
        </w:rPr>
        <w:t>informed the Court that it would not be submitting any</w:t>
      </w:r>
      <w:r w:rsidR="00961A50" w:rsidRPr="00366942">
        <w:rPr>
          <w:lang w:val="en-CA"/>
        </w:rPr>
        <w:t>.</w:t>
      </w:r>
    </w:p>
    <w:p w14:paraId="466AA917" w14:textId="3351BB35" w:rsidR="00961A50" w:rsidRPr="00366942" w:rsidRDefault="00961A50" w:rsidP="008318BC">
      <w:pPr>
        <w:pStyle w:val="Titre1"/>
        <w:spacing w:before="120" w:after="120"/>
        <w:rPr>
          <w:lang w:val="en-CA"/>
        </w:rPr>
      </w:pPr>
      <w:r w:rsidRPr="00366942">
        <w:rPr>
          <w:lang w:val="en-CA"/>
        </w:rPr>
        <w:t>II.</w:t>
      </w:r>
      <w:r w:rsidRPr="00366942">
        <w:rPr>
          <w:lang w:val="en-CA"/>
        </w:rPr>
        <w:tab/>
      </w:r>
      <w:r w:rsidR="00CE6F01" w:rsidRPr="00366942">
        <w:rPr>
          <w:u w:val="single"/>
          <w:lang w:val="en-CA"/>
        </w:rPr>
        <w:t>Grounds of appeal</w:t>
      </w:r>
    </w:p>
    <w:p w14:paraId="04E5B1DF" w14:textId="2BB41B5A" w:rsidR="00961A50" w:rsidRPr="00366942" w:rsidRDefault="00CE6F01" w:rsidP="00961A50">
      <w:pPr>
        <w:pStyle w:val="Paragraphe"/>
        <w:rPr>
          <w:lang w:val="en-CA"/>
        </w:rPr>
      </w:pPr>
      <w:r w:rsidRPr="00366942">
        <w:rPr>
          <w:lang w:val="en-CA"/>
        </w:rPr>
        <w:t>Before the Court</w:t>
      </w:r>
      <w:r w:rsidR="00961A50" w:rsidRPr="00366942">
        <w:rPr>
          <w:lang w:val="en-CA"/>
        </w:rPr>
        <w:t xml:space="preserve">, </w:t>
      </w:r>
      <w:r w:rsidRPr="00366942">
        <w:rPr>
          <w:lang w:val="en-CA"/>
        </w:rPr>
        <w:t xml:space="preserve">the appellant is no longer challenging the validity of s. </w:t>
      </w:r>
      <w:r w:rsidR="00961A50" w:rsidRPr="00366942">
        <w:rPr>
          <w:lang w:val="en-CA"/>
        </w:rPr>
        <w:t>10</w:t>
      </w:r>
      <w:r w:rsidR="009E1A1F" w:rsidRPr="00366942">
        <w:rPr>
          <w:lang w:val="en-CA"/>
        </w:rPr>
        <w:t>,</w:t>
      </w:r>
      <w:r w:rsidR="00961A50" w:rsidRPr="00366942">
        <w:rPr>
          <w:lang w:val="en-CA"/>
        </w:rPr>
        <w:t xml:space="preserve"> </w:t>
      </w:r>
      <w:r w:rsidRPr="00366942">
        <w:rPr>
          <w:lang w:val="en-CA"/>
        </w:rPr>
        <w:t>para</w:t>
      </w:r>
      <w:r w:rsidR="00961A50" w:rsidRPr="00366942">
        <w:rPr>
          <w:lang w:val="en-CA"/>
        </w:rPr>
        <w:t>.</w:t>
      </w:r>
      <w:r w:rsidR="00C9257F">
        <w:rPr>
          <w:lang w:val="en-CA"/>
        </w:rPr>
        <w:t> </w:t>
      </w:r>
      <w:r w:rsidR="00961A50" w:rsidRPr="00366942">
        <w:rPr>
          <w:lang w:val="en-CA"/>
        </w:rPr>
        <w:t xml:space="preserve">4 </w:t>
      </w:r>
      <w:r w:rsidRPr="00366942">
        <w:rPr>
          <w:i/>
          <w:iCs/>
          <w:lang w:val="en-CA"/>
        </w:rPr>
        <w:t>HIA</w:t>
      </w:r>
      <w:r w:rsidR="00961A50" w:rsidRPr="00366942">
        <w:rPr>
          <w:lang w:val="en-CA"/>
        </w:rPr>
        <w:t xml:space="preserve"> </w:t>
      </w:r>
      <w:r w:rsidRPr="00366942">
        <w:rPr>
          <w:lang w:val="en-CA"/>
        </w:rPr>
        <w:t>under s.</w:t>
      </w:r>
      <w:r w:rsidR="00961A50" w:rsidRPr="00366942">
        <w:rPr>
          <w:lang w:val="en-CA"/>
        </w:rPr>
        <w:t xml:space="preserve"> 7 </w:t>
      </w:r>
      <w:r w:rsidRPr="00366942">
        <w:rPr>
          <w:lang w:val="en-CA"/>
        </w:rPr>
        <w:t>of the</w:t>
      </w:r>
      <w:r w:rsidR="00961A50" w:rsidRPr="00366942">
        <w:rPr>
          <w:lang w:val="en-CA"/>
        </w:rPr>
        <w:t xml:space="preserve"> </w:t>
      </w:r>
      <w:r w:rsidRPr="00366942">
        <w:rPr>
          <w:i/>
          <w:iCs/>
          <w:lang w:val="en-CA"/>
        </w:rPr>
        <w:t>Canadian Charter</w:t>
      </w:r>
      <w:r w:rsidR="00961A50" w:rsidRPr="00366942">
        <w:rPr>
          <w:lang w:val="en-CA"/>
        </w:rPr>
        <w:t xml:space="preserve"> </w:t>
      </w:r>
      <w:r w:rsidRPr="00366942">
        <w:rPr>
          <w:lang w:val="en-CA"/>
        </w:rPr>
        <w:t>and under ss</w:t>
      </w:r>
      <w:r w:rsidR="00961A50" w:rsidRPr="00366942">
        <w:rPr>
          <w:lang w:val="en-CA"/>
        </w:rPr>
        <w:t xml:space="preserve">. 1 </w:t>
      </w:r>
      <w:r w:rsidRPr="00366942">
        <w:rPr>
          <w:lang w:val="en-CA"/>
        </w:rPr>
        <w:t>and</w:t>
      </w:r>
      <w:r w:rsidR="00961A50" w:rsidRPr="00366942">
        <w:rPr>
          <w:lang w:val="en-CA"/>
        </w:rPr>
        <w:t xml:space="preserve"> 10 </w:t>
      </w:r>
      <w:r w:rsidRPr="00366942">
        <w:rPr>
          <w:lang w:val="en-CA"/>
        </w:rPr>
        <w:t>of the</w:t>
      </w:r>
      <w:r w:rsidR="00961A50" w:rsidRPr="00366942">
        <w:rPr>
          <w:lang w:val="en-CA"/>
        </w:rPr>
        <w:t xml:space="preserve"> </w:t>
      </w:r>
      <w:r w:rsidRPr="00366942">
        <w:rPr>
          <w:i/>
          <w:iCs/>
          <w:lang w:val="en-CA"/>
        </w:rPr>
        <w:t>Quebec Charter</w:t>
      </w:r>
      <w:r w:rsidRPr="00366942">
        <w:rPr>
          <w:lang w:val="en-CA"/>
        </w:rPr>
        <w:t>.</w:t>
      </w:r>
      <w:r w:rsidR="00961A50" w:rsidRPr="00366942">
        <w:rPr>
          <w:rStyle w:val="Appelnotedebasdep"/>
          <w:lang w:val="en-CA"/>
        </w:rPr>
        <w:footnoteReference w:id="12"/>
      </w:r>
      <w:r w:rsidR="00961A50" w:rsidRPr="00366942">
        <w:rPr>
          <w:lang w:val="en-CA"/>
        </w:rPr>
        <w:t> </w:t>
      </w:r>
      <w:r w:rsidRPr="00366942">
        <w:rPr>
          <w:lang w:val="en-CA"/>
        </w:rPr>
        <w:t>The</w:t>
      </w:r>
      <w:r w:rsidR="009E1A1F" w:rsidRPr="00366942">
        <w:rPr>
          <w:lang w:val="en-CA"/>
        </w:rPr>
        <w:t xml:space="preserve"> only issue in the</w:t>
      </w:r>
      <w:r w:rsidRPr="00366942">
        <w:rPr>
          <w:lang w:val="en-CA"/>
        </w:rPr>
        <w:t xml:space="preserve"> appeal</w:t>
      </w:r>
      <w:r w:rsidR="009E1A1F" w:rsidRPr="00366942">
        <w:rPr>
          <w:lang w:val="en-CA"/>
        </w:rPr>
        <w:t>,</w:t>
      </w:r>
      <w:r w:rsidRPr="00366942">
        <w:rPr>
          <w:lang w:val="en-CA"/>
        </w:rPr>
        <w:t xml:space="preserve"> therefore</w:t>
      </w:r>
      <w:r w:rsidR="009E1A1F" w:rsidRPr="00366942">
        <w:rPr>
          <w:lang w:val="en-CA"/>
        </w:rPr>
        <w:t>,</w:t>
      </w:r>
      <w:r w:rsidRPr="00366942">
        <w:rPr>
          <w:lang w:val="en-CA"/>
        </w:rPr>
        <w:t xml:space="preserve"> </w:t>
      </w:r>
      <w:r w:rsidR="009E1A1F" w:rsidRPr="00366942">
        <w:rPr>
          <w:lang w:val="en-CA"/>
        </w:rPr>
        <w:t>is</w:t>
      </w:r>
      <w:r w:rsidRPr="00366942">
        <w:rPr>
          <w:lang w:val="en-CA"/>
        </w:rPr>
        <w:t xml:space="preserve"> whether s. </w:t>
      </w:r>
      <w:r w:rsidR="00961A50" w:rsidRPr="00366942">
        <w:rPr>
          <w:lang w:val="en-CA"/>
        </w:rPr>
        <w:t>10</w:t>
      </w:r>
      <w:r w:rsidR="009E1A1F" w:rsidRPr="00366942">
        <w:rPr>
          <w:lang w:val="en-CA"/>
        </w:rPr>
        <w:t>,</w:t>
      </w:r>
      <w:r w:rsidR="00961A50" w:rsidRPr="00366942">
        <w:rPr>
          <w:lang w:val="en-CA"/>
        </w:rPr>
        <w:t> </w:t>
      </w:r>
      <w:r w:rsidRPr="00366942">
        <w:rPr>
          <w:lang w:val="en-CA"/>
        </w:rPr>
        <w:t>par</w:t>
      </w:r>
      <w:r w:rsidR="009E1A1F" w:rsidRPr="00366942">
        <w:rPr>
          <w:lang w:val="en-CA"/>
        </w:rPr>
        <w:t>a</w:t>
      </w:r>
      <w:r w:rsidR="00961A50" w:rsidRPr="00366942">
        <w:rPr>
          <w:lang w:val="en-CA"/>
        </w:rPr>
        <w:t>. 4 </w:t>
      </w:r>
      <w:r w:rsidR="009E1A1F" w:rsidRPr="00366942">
        <w:rPr>
          <w:i/>
          <w:iCs/>
          <w:lang w:val="en-CA"/>
        </w:rPr>
        <w:t>HIA</w:t>
      </w:r>
      <w:r w:rsidR="00961A50" w:rsidRPr="00366942">
        <w:rPr>
          <w:lang w:val="en-CA"/>
        </w:rPr>
        <w:t xml:space="preserve"> </w:t>
      </w:r>
      <w:r w:rsidR="009E1A1F" w:rsidRPr="00366942">
        <w:rPr>
          <w:lang w:val="en-CA"/>
        </w:rPr>
        <w:t>infringes s.</w:t>
      </w:r>
      <w:r w:rsidR="00961A50" w:rsidRPr="00366942">
        <w:rPr>
          <w:lang w:val="en-CA"/>
        </w:rPr>
        <w:t xml:space="preserve"> 15 </w:t>
      </w:r>
      <w:r w:rsidR="009E1A1F" w:rsidRPr="00366942">
        <w:rPr>
          <w:lang w:val="en-CA"/>
        </w:rPr>
        <w:t>of the</w:t>
      </w:r>
      <w:r w:rsidR="00961A50" w:rsidRPr="00366942">
        <w:rPr>
          <w:lang w:val="en-CA"/>
        </w:rPr>
        <w:t xml:space="preserve"> </w:t>
      </w:r>
      <w:r w:rsidR="009E1A1F" w:rsidRPr="00366942">
        <w:rPr>
          <w:i/>
          <w:iCs/>
          <w:lang w:val="en-CA"/>
        </w:rPr>
        <w:t>Canadian Charter</w:t>
      </w:r>
      <w:r w:rsidR="00961A50" w:rsidRPr="00366942">
        <w:rPr>
          <w:lang w:val="en-CA"/>
        </w:rPr>
        <w:t>.</w:t>
      </w:r>
    </w:p>
    <w:p w14:paraId="7AE57BAB" w14:textId="77777777" w:rsidR="00961A50" w:rsidRPr="00366942" w:rsidRDefault="00961A50" w:rsidP="00961A50">
      <w:pPr>
        <w:pStyle w:val="Paragraphe"/>
        <w:numPr>
          <w:ilvl w:val="0"/>
          <w:numId w:val="0"/>
        </w:numPr>
        <w:jc w:val="center"/>
        <w:rPr>
          <w:lang w:val="en-CA"/>
        </w:rPr>
      </w:pPr>
      <w:r w:rsidRPr="00366942">
        <w:rPr>
          <w:lang w:val="en-CA"/>
        </w:rPr>
        <w:t>* *</w:t>
      </w:r>
    </w:p>
    <w:p w14:paraId="50C65026" w14:textId="5A37F586" w:rsidR="00961A50" w:rsidRPr="00366942" w:rsidRDefault="009E1A1F" w:rsidP="00961A50">
      <w:pPr>
        <w:pStyle w:val="Paragraphe"/>
        <w:rPr>
          <w:lang w:val="en-CA"/>
        </w:rPr>
      </w:pPr>
      <w:r w:rsidRPr="00366942">
        <w:rPr>
          <w:lang w:val="en-CA"/>
        </w:rPr>
        <w:t>To ensure that the arguments advanced by the parties are fully understood, I will begin by reproducing s.</w:t>
      </w:r>
      <w:r w:rsidR="00961A50" w:rsidRPr="00366942">
        <w:rPr>
          <w:lang w:val="en-CA"/>
        </w:rPr>
        <w:t xml:space="preserve">10 </w:t>
      </w:r>
      <w:r w:rsidRPr="00366942">
        <w:rPr>
          <w:i/>
          <w:iCs/>
          <w:lang w:val="en-CA"/>
        </w:rPr>
        <w:t>HIA</w:t>
      </w:r>
      <w:r w:rsidR="00961A50"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1E42E63C" w14:textId="77777777" w:rsidTr="00191C9C">
        <w:tc>
          <w:tcPr>
            <w:tcW w:w="4032" w:type="dxa"/>
          </w:tcPr>
          <w:p w14:paraId="62FD938D" w14:textId="793B2F21" w:rsidR="00961A50" w:rsidRPr="00366942" w:rsidRDefault="00961A50" w:rsidP="008318BC">
            <w:pPr>
              <w:pStyle w:val="Citationenretrait"/>
              <w:ind w:left="0" w:right="0"/>
              <w:rPr>
                <w:lang w:val="en-CA"/>
              </w:rPr>
            </w:pPr>
            <w:r w:rsidRPr="00366942">
              <w:rPr>
                <w:b/>
                <w:bCs/>
                <w:lang w:val="en-CA"/>
              </w:rPr>
              <w:lastRenderedPageBreak/>
              <w:t>10.</w:t>
            </w:r>
            <w:r w:rsidRPr="00366942">
              <w:rPr>
                <w:lang w:val="en-CA"/>
              </w:rPr>
              <w:tab/>
            </w:r>
            <w:r w:rsidR="00440F13" w:rsidRPr="00366942">
              <w:rPr>
                <w:rFonts w:cs="Arial"/>
                <w:szCs w:val="22"/>
                <w:u w:val="single"/>
                <w:shd w:val="clear" w:color="auto" w:fill="FFFFFF"/>
                <w:lang w:val="en-CA"/>
              </w:rPr>
              <w:t>An insured person is entitled to exact from the Board the reimbursement of the cost of the insured services furnished to him outside Québec by a professional in the field of health</w:t>
            </w:r>
            <w:r w:rsidR="00440F13" w:rsidRPr="00366942">
              <w:rPr>
                <w:rFonts w:cs="Arial"/>
                <w:szCs w:val="22"/>
                <w:shd w:val="clear" w:color="auto" w:fill="FFFFFF"/>
                <w:lang w:val="en-CA"/>
              </w:rPr>
              <w:t>, except the pharmaceutical services and medications referred to in the third and fourth paragraphs of section 3, provided that he delivers to the Board, on request, the receipts for the fees paid by him, and furnishes it with the information the Board needs to justify the payment claimed</w:t>
            </w:r>
            <w:r w:rsidRPr="00366942">
              <w:rPr>
                <w:lang w:val="en-CA"/>
              </w:rPr>
              <w:t>.</w:t>
            </w:r>
          </w:p>
        </w:tc>
        <w:tc>
          <w:tcPr>
            <w:tcW w:w="4032" w:type="dxa"/>
          </w:tcPr>
          <w:p w14:paraId="35126895" w14:textId="4E472884" w:rsidR="00961A50" w:rsidRPr="00366942" w:rsidRDefault="00961A50" w:rsidP="008318BC">
            <w:pPr>
              <w:pStyle w:val="Citationenretrait"/>
              <w:ind w:left="0" w:right="0"/>
            </w:pPr>
            <w:r w:rsidRPr="00366942">
              <w:rPr>
                <w:b/>
                <w:bCs/>
              </w:rPr>
              <w:t>10.</w:t>
            </w:r>
            <w:r w:rsidRPr="00366942">
              <w:tab/>
            </w:r>
            <w:r w:rsidR="00440F13" w:rsidRPr="00366942">
              <w:rPr>
                <w:u w:val="single"/>
              </w:rPr>
              <w:t>Une personne assurée a droit d’exiger de la Régie le remboursement du coût des services assurés qui lui ont été fournis en dehors du Québec par un professionnel de la santé</w:t>
            </w:r>
            <w:r w:rsidR="00440F13" w:rsidRPr="00366942">
              <w:t>, à l’exception des services pharmaceutiques et des médicaments visés aux troisième et quatrième alinéas de l’article 3, pourvu qu’elle remette à la Régie sur demande les reçus d’honoraires qu’elle a payés et qu’elle lui fournisse les renseignements dont la Régie a besoin pour justifier le paiement réclamé</w:t>
            </w:r>
            <w:r w:rsidRPr="00366942">
              <w:rPr>
                <w:rFonts w:cs="Arial"/>
                <w:szCs w:val="22"/>
                <w:shd w:val="clear" w:color="auto" w:fill="FFFFFF"/>
              </w:rPr>
              <w:t>.</w:t>
            </w:r>
          </w:p>
        </w:tc>
      </w:tr>
      <w:tr w:rsidR="00366942" w:rsidRPr="00366942" w14:paraId="6473FEDC" w14:textId="77777777" w:rsidTr="00191C9C">
        <w:tc>
          <w:tcPr>
            <w:tcW w:w="4032" w:type="dxa"/>
          </w:tcPr>
          <w:p w14:paraId="078757EE" w14:textId="7BB1F9ED" w:rsidR="00961A50" w:rsidRPr="00366942" w:rsidRDefault="00961A50" w:rsidP="008318BC">
            <w:pPr>
              <w:pStyle w:val="Citationenretrait"/>
              <w:ind w:left="0" w:right="0"/>
              <w:rPr>
                <w:rFonts w:cs="Arial"/>
                <w:lang w:val="en-CA"/>
              </w:rPr>
            </w:pPr>
            <w:r w:rsidRPr="00366942">
              <w:rPr>
                <w:rFonts w:cs="Arial"/>
              </w:rPr>
              <w:tab/>
            </w:r>
            <w:r w:rsidR="00440F13" w:rsidRPr="00366942">
              <w:rPr>
                <w:rFonts w:cs="Arial"/>
                <w:lang w:val="en-CA"/>
              </w:rPr>
              <w:t>Notwithstanding the first paragraph, the cost of filling or renewing a prescription and the cost of the medications provided to an eligible person, within the meaning of the Act respecting prescription drug insurance (chapter A-29.01), as well as the cost of services and medications determined by regulation and provided to an insured person outside Québec by a person legally authorized to practise as a pharmacist in the place concerned and with whom the Board has entered into an individual agreement for that purpose, may be reimbursed if the services and medications are furnished in a pharmacy situated in a region bordering on Québec and if no pharmacy situated, in Québec, within a radius of 32 kilometres of that pharmacy provides services to the public</w:t>
            </w:r>
            <w:r w:rsidRPr="00366942">
              <w:rPr>
                <w:rFonts w:cs="Arial"/>
                <w:lang w:val="en-CA"/>
              </w:rPr>
              <w:t>.</w:t>
            </w:r>
          </w:p>
        </w:tc>
        <w:tc>
          <w:tcPr>
            <w:tcW w:w="4032" w:type="dxa"/>
          </w:tcPr>
          <w:p w14:paraId="6E44E78D" w14:textId="01E2E8BF" w:rsidR="00961A50" w:rsidRPr="00366942" w:rsidRDefault="00961A50" w:rsidP="008318BC">
            <w:pPr>
              <w:pStyle w:val="Citationenretrait"/>
              <w:ind w:left="0" w:right="0"/>
              <w:rPr>
                <w:rFonts w:cs="Arial"/>
              </w:rPr>
            </w:pPr>
            <w:r w:rsidRPr="00366942">
              <w:rPr>
                <w:rFonts w:cs="Arial"/>
                <w:lang w:val="en-CA"/>
              </w:rPr>
              <w:tab/>
            </w:r>
            <w:r w:rsidR="00440F13" w:rsidRPr="00366942">
              <w:rPr>
                <w:rFonts w:cs="Arial"/>
              </w:rPr>
              <w:t>Malgré le premier alinéa, le coût de l’exécution d’une ordonnance ou de son renouvellement et de médicaments fournis à une personne admissible au sens de la Loi sur l’assurance médicaments (chapitre A</w:t>
            </w:r>
            <w:r w:rsidR="00440F13" w:rsidRPr="00366942">
              <w:rPr>
                <w:rFonts w:ascii="Cambria Math" w:hAnsi="Cambria Math" w:cs="Cambria Math"/>
              </w:rPr>
              <w:t>‐</w:t>
            </w:r>
            <w:r w:rsidR="00440F13" w:rsidRPr="00366942">
              <w:rPr>
                <w:rFonts w:cs="Arial"/>
              </w:rPr>
              <w:t>29.01) ainsi que le coût de services et de médicaments prévus par règlement fournis à une personne assurée, à l’extérieur du Québec, par une personne légalement autorisée à y exercer la profession de pharmacien et avec qui la Régie a conclu une entente particulière à cette fin, peut faire l’objet d’un remboursement, s’ils sont fournis dans une pharmacie située dans une région limitrophe au Québec lorsque, dans un rayon de 32 km de cette pharmacie, aucune pharmacie au Québec ne dessert la population</w:t>
            </w:r>
            <w:r w:rsidRPr="00366942">
              <w:rPr>
                <w:rFonts w:cs="Arial"/>
              </w:rPr>
              <w:t>.</w:t>
            </w:r>
          </w:p>
        </w:tc>
      </w:tr>
      <w:tr w:rsidR="00366942" w:rsidRPr="00366942" w14:paraId="11F5E297" w14:textId="77777777" w:rsidTr="00191C9C">
        <w:tc>
          <w:tcPr>
            <w:tcW w:w="4032" w:type="dxa"/>
            <w:shd w:val="clear" w:color="auto" w:fill="E7E6E6" w:themeFill="background2"/>
          </w:tcPr>
          <w:p w14:paraId="51053AD4" w14:textId="556A74E7" w:rsidR="00961A50" w:rsidRPr="00366942" w:rsidRDefault="00440F13" w:rsidP="008318BC">
            <w:pPr>
              <w:pStyle w:val="Citationenretrait"/>
              <w:ind w:left="0"/>
              <w:rPr>
                <w:b/>
                <w:bCs/>
                <w:i/>
                <w:iCs/>
                <w:szCs w:val="22"/>
                <w:lang w:val="en-CA"/>
              </w:rPr>
            </w:pPr>
            <w:r w:rsidRPr="00366942">
              <w:rPr>
                <w:b/>
                <w:bCs/>
                <w:i/>
                <w:iCs/>
                <w:szCs w:val="22"/>
                <w:lang w:val="en-CA"/>
              </w:rPr>
              <w:t>Not in force</w:t>
            </w:r>
          </w:p>
          <w:p w14:paraId="50AEA8FD" w14:textId="6FCB2D36" w:rsidR="00961A50" w:rsidRPr="00366942" w:rsidRDefault="00961A50" w:rsidP="008318BC">
            <w:pPr>
              <w:pStyle w:val="Citationenretrait"/>
              <w:ind w:left="0" w:right="0"/>
              <w:rPr>
                <w:szCs w:val="22"/>
                <w:lang w:val="en-CA"/>
              </w:rPr>
            </w:pPr>
            <w:r w:rsidRPr="00366942">
              <w:rPr>
                <w:szCs w:val="22"/>
                <w:lang w:val="en-CA"/>
              </w:rPr>
              <w:tab/>
            </w:r>
            <w:r w:rsidR="00440F13" w:rsidRPr="00366942">
              <w:rPr>
                <w:szCs w:val="22"/>
                <w:lang w:val="en-CA"/>
              </w:rPr>
              <w:t xml:space="preserve">The same applies to the cost of medications provided, outside Québec, to an eligible person within the meaning of the Act respecting prescription drug insurance, as part of the services provided by an institution in accordance </w:t>
            </w:r>
            <w:r w:rsidR="00440F13" w:rsidRPr="00366942">
              <w:rPr>
                <w:szCs w:val="22"/>
                <w:lang w:val="en-CA"/>
              </w:rPr>
              <w:lastRenderedPageBreak/>
              <w:t>with the third paragraph of section 8 of that Act</w:t>
            </w:r>
            <w:r w:rsidRPr="00366942">
              <w:rPr>
                <w:szCs w:val="22"/>
                <w:lang w:val="en-CA"/>
              </w:rPr>
              <w:t>.</w:t>
            </w:r>
          </w:p>
        </w:tc>
        <w:tc>
          <w:tcPr>
            <w:tcW w:w="4032" w:type="dxa"/>
            <w:shd w:val="clear" w:color="auto" w:fill="E7E6E6" w:themeFill="background2"/>
          </w:tcPr>
          <w:p w14:paraId="5795C0CF" w14:textId="3E3DD877" w:rsidR="00961A50" w:rsidRPr="00366942" w:rsidRDefault="00440F13" w:rsidP="008318BC">
            <w:pPr>
              <w:pStyle w:val="Citationenretrait"/>
              <w:ind w:left="0" w:right="0"/>
              <w:rPr>
                <w:b/>
                <w:bCs/>
                <w:i/>
                <w:iCs/>
                <w:szCs w:val="22"/>
              </w:rPr>
            </w:pPr>
            <w:r w:rsidRPr="00366942">
              <w:rPr>
                <w:b/>
                <w:bCs/>
                <w:i/>
                <w:iCs/>
                <w:szCs w:val="22"/>
              </w:rPr>
              <w:lastRenderedPageBreak/>
              <w:t>Non en vigueur</w:t>
            </w:r>
          </w:p>
          <w:p w14:paraId="2712A94E" w14:textId="421B2B81" w:rsidR="00961A50" w:rsidRPr="00366942" w:rsidRDefault="00961A50" w:rsidP="008318BC">
            <w:pPr>
              <w:pStyle w:val="Citationenretrait"/>
              <w:ind w:left="0" w:right="0"/>
              <w:rPr>
                <w:szCs w:val="22"/>
              </w:rPr>
            </w:pPr>
            <w:r w:rsidRPr="00366942">
              <w:rPr>
                <w:szCs w:val="22"/>
              </w:rPr>
              <w:tab/>
            </w:r>
            <w:r w:rsidR="00F10F5F" w:rsidRPr="00366942">
              <w:rPr>
                <w:szCs w:val="22"/>
              </w:rPr>
              <w:t>Il en est de même du coût de médicaments fournis à une personne admissible au sens de la Loi sur l’assurance médicaments, à l’extérieur du Québec, dans le cadre des activités d’un établissement suivant le troisième alinéa de l’article 8 de cette loi</w:t>
            </w:r>
            <w:r w:rsidRPr="00366942">
              <w:rPr>
                <w:szCs w:val="22"/>
              </w:rPr>
              <w:t>.</w:t>
            </w:r>
          </w:p>
        </w:tc>
      </w:tr>
      <w:tr w:rsidR="00366942" w:rsidRPr="00366942" w14:paraId="66D86D6A" w14:textId="77777777" w:rsidTr="00191C9C">
        <w:tc>
          <w:tcPr>
            <w:tcW w:w="4032" w:type="dxa"/>
          </w:tcPr>
          <w:p w14:paraId="210278C0" w14:textId="2FDD2E69" w:rsidR="00961A50" w:rsidRPr="00366942" w:rsidRDefault="00961A50" w:rsidP="008318BC">
            <w:pPr>
              <w:pStyle w:val="Citationenretrait"/>
              <w:ind w:left="0" w:right="0"/>
              <w:rPr>
                <w:lang w:val="en-CA"/>
              </w:rPr>
            </w:pPr>
            <w:r w:rsidRPr="00366942">
              <w:tab/>
            </w:r>
            <w:r w:rsidR="00440F13" w:rsidRPr="00366942">
              <w:rPr>
                <w:u w:val="single"/>
                <w:lang w:val="en-CA"/>
              </w:rPr>
              <w:t>However, the person shall only be entitled to claim the lesser of the amount actually paid for the services and the amount established by the Board for such services paid in Québec</w:t>
            </w:r>
            <w:r w:rsidRPr="00366942">
              <w:rPr>
                <w:lang w:val="en-CA"/>
              </w:rPr>
              <w:t>.</w:t>
            </w:r>
          </w:p>
        </w:tc>
        <w:tc>
          <w:tcPr>
            <w:tcW w:w="4032" w:type="dxa"/>
          </w:tcPr>
          <w:p w14:paraId="76DF1292" w14:textId="21E35CBD" w:rsidR="00961A50" w:rsidRPr="00366942" w:rsidRDefault="00961A50" w:rsidP="008318BC">
            <w:pPr>
              <w:pStyle w:val="Citationenretrait"/>
              <w:ind w:left="0" w:right="0"/>
            </w:pPr>
            <w:r w:rsidRPr="00366942">
              <w:rPr>
                <w:lang w:val="en-CA"/>
              </w:rPr>
              <w:tab/>
            </w:r>
            <w:r w:rsidR="00440F13" w:rsidRPr="00366942">
              <w:rPr>
                <w:u w:val="single"/>
              </w:rPr>
              <w:t>Toutefois, elle n’a droit d’exiger que le moindre du montant qu’elle a effectivement payé pour ces services ou de celui établi par la Régie pour de tels services payés au Québec</w:t>
            </w:r>
            <w:r w:rsidRPr="00366942">
              <w:t>.</w:t>
            </w:r>
          </w:p>
        </w:tc>
      </w:tr>
      <w:tr w:rsidR="00366942" w:rsidRPr="00366942" w14:paraId="17EED9B2" w14:textId="77777777" w:rsidTr="00191C9C">
        <w:tc>
          <w:tcPr>
            <w:tcW w:w="4032" w:type="dxa"/>
          </w:tcPr>
          <w:p w14:paraId="17EA5773" w14:textId="7E47D6BF" w:rsidR="00961A50" w:rsidRPr="00366942" w:rsidRDefault="00961A50" w:rsidP="008318BC">
            <w:pPr>
              <w:pStyle w:val="Citationenretrait"/>
              <w:ind w:left="0" w:right="0"/>
              <w:rPr>
                <w:lang w:val="en-CA"/>
              </w:rPr>
            </w:pPr>
            <w:r w:rsidRPr="00366942">
              <w:tab/>
            </w:r>
            <w:r w:rsidR="00440F13" w:rsidRPr="00366942">
              <w:rPr>
                <w:rFonts w:cs="Arial"/>
                <w:szCs w:val="22"/>
                <w:shd w:val="clear" w:color="auto" w:fill="FFFFFF"/>
                <w:lang w:val="en-CA"/>
              </w:rPr>
              <w:t>Notwithstanding the fourth paragraph, an insured person may exact the amount actually paid for medical services in the cases and on the conditions fixed by regulation</w:t>
            </w:r>
            <w:r w:rsidRPr="00366942">
              <w:rPr>
                <w:rFonts w:cs="Arial"/>
                <w:szCs w:val="22"/>
                <w:shd w:val="clear" w:color="auto" w:fill="FFFFFF"/>
                <w:lang w:val="en-CA"/>
              </w:rPr>
              <w:t>.</w:t>
            </w:r>
          </w:p>
        </w:tc>
        <w:tc>
          <w:tcPr>
            <w:tcW w:w="4032" w:type="dxa"/>
          </w:tcPr>
          <w:p w14:paraId="14298563" w14:textId="795D039F" w:rsidR="00961A50" w:rsidRPr="00366942" w:rsidRDefault="00961A50" w:rsidP="008318BC">
            <w:pPr>
              <w:pStyle w:val="Citationenretrait"/>
              <w:ind w:left="0" w:right="0"/>
            </w:pPr>
            <w:r w:rsidRPr="00366942">
              <w:rPr>
                <w:lang w:val="en-CA"/>
              </w:rPr>
              <w:tab/>
            </w:r>
            <w:r w:rsidR="00440F13" w:rsidRPr="00366942">
              <w:rPr>
                <w:rFonts w:cs="Arial"/>
                <w:szCs w:val="22"/>
                <w:shd w:val="clear" w:color="auto" w:fill="FFFFFF"/>
              </w:rPr>
              <w:t>Malgré le quatrième alinéa, une personne assurée peut exiger le montant effectivement payé pour des services médicaux dans les cas et conditions déterminés par règlement</w:t>
            </w:r>
            <w:r w:rsidRPr="00366942">
              <w:rPr>
                <w:rFonts w:cs="Arial"/>
                <w:szCs w:val="22"/>
                <w:shd w:val="clear" w:color="auto" w:fill="FFFFFF"/>
              </w:rPr>
              <w:t>.</w:t>
            </w:r>
          </w:p>
        </w:tc>
      </w:tr>
      <w:tr w:rsidR="00366942" w:rsidRPr="00366942" w14:paraId="1EA7A5C8" w14:textId="77777777" w:rsidTr="00191C9C">
        <w:tc>
          <w:tcPr>
            <w:tcW w:w="4032" w:type="dxa"/>
          </w:tcPr>
          <w:p w14:paraId="41223404" w14:textId="77777777" w:rsidR="00961A50" w:rsidRPr="00366942" w:rsidRDefault="00961A50" w:rsidP="00191C9C">
            <w:pPr>
              <w:pStyle w:val="Citationenretrait"/>
              <w:spacing w:before="0"/>
              <w:ind w:left="0" w:right="0"/>
              <w:jc w:val="right"/>
              <w:rPr>
                <w:sz w:val="20"/>
              </w:rPr>
            </w:pPr>
          </w:p>
        </w:tc>
        <w:tc>
          <w:tcPr>
            <w:tcW w:w="4032" w:type="dxa"/>
          </w:tcPr>
          <w:p w14:paraId="583259B0" w14:textId="3156E259" w:rsidR="00961A50" w:rsidRPr="00366942" w:rsidRDefault="002A409A" w:rsidP="00191C9C">
            <w:pPr>
              <w:pStyle w:val="Citationenretrait"/>
              <w:spacing w:before="0"/>
              <w:ind w:left="0" w:right="0"/>
              <w:jc w:val="right"/>
              <w:rPr>
                <w:sz w:val="20"/>
                <w:lang w:val="en-CA"/>
              </w:rPr>
            </w:pPr>
            <w:r w:rsidRPr="002607AB">
              <w:rPr>
                <w:sz w:val="20"/>
                <w:lang w:val="en-CA"/>
              </w:rPr>
              <w:t>(</w:t>
            </w:r>
            <w:r w:rsidR="00F24CDE">
              <w:rPr>
                <w:sz w:val="20"/>
                <w:lang w:val="en-CA"/>
              </w:rPr>
              <w:t>U</w:t>
            </w:r>
            <w:r w:rsidR="008168F6" w:rsidRPr="00366942">
              <w:rPr>
                <w:sz w:val="20"/>
                <w:lang w:val="en-CA"/>
              </w:rPr>
              <w:t>nderlining</w:t>
            </w:r>
            <w:r w:rsidR="00CD4A58" w:rsidRPr="00366942">
              <w:rPr>
                <w:sz w:val="20"/>
                <w:lang w:val="en-CA"/>
              </w:rPr>
              <w:t xml:space="preserve"> added</w:t>
            </w:r>
            <w:r w:rsidRPr="00366942">
              <w:rPr>
                <w:sz w:val="20"/>
                <w:lang w:val="en-CA"/>
              </w:rPr>
              <w:t>)</w:t>
            </w:r>
          </w:p>
        </w:tc>
      </w:tr>
    </w:tbl>
    <w:p w14:paraId="208FB244" w14:textId="51816B78" w:rsidR="00961A50" w:rsidRPr="00366942" w:rsidRDefault="002B21BA" w:rsidP="00961A50">
      <w:pPr>
        <w:pStyle w:val="Paragraphe"/>
        <w:rPr>
          <w:lang w:val="en-CA"/>
        </w:rPr>
      </w:pPr>
      <w:r w:rsidRPr="00366942">
        <w:rPr>
          <w:lang w:val="en-CA"/>
        </w:rPr>
        <w:t xml:space="preserve">Here, the appellant is only challenging the fourth paragraph of that section and the limit that it imposes on the reimbursement provided in the first, a limit that </w:t>
      </w:r>
      <w:r w:rsidR="004D50EC" w:rsidRPr="00366942">
        <w:rPr>
          <w:lang w:val="en-CA"/>
        </w:rPr>
        <w:t xml:space="preserve">is </w:t>
      </w:r>
      <w:r w:rsidR="00C17B11" w:rsidRPr="00366942">
        <w:rPr>
          <w:lang w:val="en-CA"/>
        </w:rPr>
        <w:t>alleged</w:t>
      </w:r>
      <w:r w:rsidRPr="00366942">
        <w:rPr>
          <w:lang w:val="en-CA"/>
        </w:rPr>
        <w:t xml:space="preserve"> to be discriminatory in the case of </w:t>
      </w:r>
      <w:r w:rsidR="004D50EC" w:rsidRPr="00366942">
        <w:rPr>
          <w:lang w:val="en-CA"/>
        </w:rPr>
        <w:t xml:space="preserve">pregnancy-related </w:t>
      </w:r>
      <w:r w:rsidRPr="00366942">
        <w:rPr>
          <w:lang w:val="en-CA"/>
        </w:rPr>
        <w:t>healthcare.</w:t>
      </w:r>
      <w:r w:rsidR="00961A50" w:rsidRPr="00366942">
        <w:rPr>
          <w:rStyle w:val="Appelnotedebasdep"/>
          <w:lang w:val="en-CA"/>
        </w:rPr>
        <w:footnoteReference w:id="13"/>
      </w:r>
      <w:r w:rsidR="00961A50" w:rsidRPr="00366942">
        <w:rPr>
          <w:lang w:val="en-CA"/>
        </w:rPr>
        <w:t xml:space="preserve"> </w:t>
      </w:r>
      <w:r w:rsidRPr="00366942">
        <w:rPr>
          <w:lang w:val="en-CA"/>
        </w:rPr>
        <w:t xml:space="preserve">As the appellant </w:t>
      </w:r>
      <w:r w:rsidR="00F302D3" w:rsidRPr="00366942">
        <w:rPr>
          <w:lang w:val="en-CA"/>
        </w:rPr>
        <w:t>wrote</w:t>
      </w:r>
      <w:r w:rsidRPr="00366942">
        <w:rPr>
          <w:lang w:val="en-CA"/>
        </w:rPr>
        <w:t xml:space="preserve"> in her brief, </w:t>
      </w:r>
      <w:r w:rsidR="00F302D3" w:rsidRPr="00366942">
        <w:rPr>
          <w:lang w:val="en-CA"/>
        </w:rPr>
        <w:t xml:space="preserve">in </w:t>
      </w:r>
      <w:r w:rsidRPr="00366942">
        <w:rPr>
          <w:lang w:val="en-CA"/>
        </w:rPr>
        <w:t>setting out the basis of that challenge</w:t>
      </w:r>
      <w:r w:rsidR="00961A50" w:rsidRPr="00366942">
        <w:rPr>
          <w:lang w:val="en-CA"/>
        </w:rPr>
        <w:t>:</w:t>
      </w:r>
    </w:p>
    <w:p w14:paraId="43B68E8E" w14:textId="77777777" w:rsidR="00961A50" w:rsidRPr="00366942" w:rsidRDefault="00961A50" w:rsidP="00961A50">
      <w:pPr>
        <w:pStyle w:val="Citationenretrait"/>
        <w:rPr>
          <w:lang w:val="en-CA"/>
        </w:rPr>
      </w:pPr>
      <w:r w:rsidRPr="00366942">
        <w:rPr>
          <w:lang w:val="en-CA"/>
        </w:rPr>
        <w:t>4.</w:t>
      </w:r>
      <w:r w:rsidRPr="00366942">
        <w:rPr>
          <w:lang w:val="en-CA"/>
        </w:rPr>
        <w:tab/>
        <w:t xml:space="preserve">Under the </w:t>
      </w:r>
      <w:r w:rsidRPr="00366942">
        <w:rPr>
          <w:i/>
          <w:iCs/>
          <w:lang w:val="en-CA"/>
        </w:rPr>
        <w:t>HIA</w:t>
      </w:r>
      <w:r w:rsidRPr="00366942">
        <w:rPr>
          <w:lang w:val="en-CA"/>
        </w:rPr>
        <w:t>, through the public insurance plan operated by the Régie de l’assurance maladie du Québec (the “</w:t>
      </w:r>
      <w:r w:rsidRPr="00366942">
        <w:rPr>
          <w:b/>
          <w:bCs/>
          <w:lang w:val="en-CA"/>
        </w:rPr>
        <w:t>RAMQ</w:t>
      </w:r>
      <w:r w:rsidRPr="00366942">
        <w:rPr>
          <w:lang w:val="en-CA"/>
        </w:rPr>
        <w:t>”), insured Quebec residents access a wide range of medical services within the province without paying for them directly.</w:t>
      </w:r>
    </w:p>
    <w:p w14:paraId="4D87ABBC" w14:textId="77777777" w:rsidR="00961A50" w:rsidRPr="00366942" w:rsidRDefault="00961A50" w:rsidP="00961A50">
      <w:pPr>
        <w:pStyle w:val="Citationenretrait"/>
        <w:rPr>
          <w:lang w:val="en-CA"/>
        </w:rPr>
      </w:pPr>
      <w:r w:rsidRPr="00366942">
        <w:rPr>
          <w:lang w:val="en-CA"/>
        </w:rPr>
        <w:t>5.</w:t>
      </w:r>
      <w:r w:rsidRPr="00366942">
        <w:rPr>
          <w:lang w:val="en-CA"/>
        </w:rPr>
        <w:tab/>
        <w:t xml:space="preserve">However, under s. 10 </w:t>
      </w:r>
      <w:r w:rsidRPr="00366942">
        <w:rPr>
          <w:i/>
          <w:iCs/>
          <w:lang w:val="en-CA"/>
        </w:rPr>
        <w:t>HIA</w:t>
      </w:r>
      <w:r w:rsidRPr="00366942">
        <w:rPr>
          <w:lang w:val="en-CA"/>
        </w:rPr>
        <w:t xml:space="preserve">, an insured resident who receives medical treatment outside Quebec, even in another Canadian province, must pay out of pocket for that treatment and apply to the RAMQ for reimbursement of their expenses after the fact. Para. 4 of s. 10 </w:t>
      </w:r>
      <w:r w:rsidRPr="00366942">
        <w:rPr>
          <w:i/>
          <w:iCs/>
          <w:lang w:val="en-CA"/>
        </w:rPr>
        <w:t>HIA</w:t>
      </w:r>
      <w:r w:rsidRPr="00366942">
        <w:rPr>
          <w:lang w:val="en-CA"/>
        </w:rPr>
        <w:t xml:space="preserve"> provides that an insured person may </w:t>
      </w:r>
      <w:r w:rsidRPr="00366942">
        <w:rPr>
          <w:i/>
          <w:iCs/>
          <w:lang w:val="en-CA"/>
        </w:rPr>
        <w:t>only</w:t>
      </w:r>
      <w:r w:rsidRPr="00366942">
        <w:rPr>
          <w:lang w:val="en-CA"/>
        </w:rPr>
        <w:t xml:space="preserve"> be reimbursed for up to the amount paid for a given service in Quebec – regardless of the nature of the care sought.</w:t>
      </w:r>
    </w:p>
    <w:p w14:paraId="68D43671" w14:textId="77777777" w:rsidR="00961A50" w:rsidRPr="00366942" w:rsidRDefault="00961A50" w:rsidP="00961A50">
      <w:pPr>
        <w:pStyle w:val="Citationenretrait"/>
        <w:rPr>
          <w:lang w:val="en-CA"/>
        </w:rPr>
      </w:pPr>
      <w:r w:rsidRPr="00366942">
        <w:rPr>
          <w:lang w:val="en-CA"/>
        </w:rPr>
        <w:t>6.</w:t>
      </w:r>
      <w:r w:rsidRPr="00366942">
        <w:rPr>
          <w:lang w:val="en-CA"/>
        </w:rPr>
        <w:tab/>
        <w:t xml:space="preserve">The Appellant, an insured Quebec resident, was impacted by this statutory limitation when she had to seek pregnancy-related healthcare, including an abortion, while temporarily residing in Vancouver. She paid for her care out of pocket. When she sought reimbursement, the RAMQ applied para. 4 of s. 10 </w:t>
      </w:r>
      <w:r w:rsidRPr="00366942">
        <w:rPr>
          <w:i/>
          <w:iCs/>
          <w:lang w:val="en-CA"/>
        </w:rPr>
        <w:t>HIA</w:t>
      </w:r>
      <w:r w:rsidRPr="00366942">
        <w:rPr>
          <w:lang w:val="en-CA"/>
        </w:rPr>
        <w:t xml:space="preserve"> to deny most of her claim.</w:t>
      </w:r>
    </w:p>
    <w:p w14:paraId="30398384" w14:textId="77777777" w:rsidR="00961A50" w:rsidRPr="00366942" w:rsidRDefault="00961A50" w:rsidP="00961A50">
      <w:pPr>
        <w:pStyle w:val="Citationenretrait"/>
        <w:rPr>
          <w:lang w:val="en-CA"/>
        </w:rPr>
      </w:pPr>
      <w:r w:rsidRPr="00366942">
        <w:rPr>
          <w:lang w:val="en-CA"/>
        </w:rPr>
        <w:t>7.</w:t>
      </w:r>
      <w:r w:rsidRPr="00366942">
        <w:rPr>
          <w:lang w:val="en-CA"/>
        </w:rPr>
        <w:tab/>
        <w:t xml:space="preserve">The application of para. 4 of s. 10 </w:t>
      </w:r>
      <w:r w:rsidRPr="00366942">
        <w:rPr>
          <w:i/>
          <w:iCs/>
          <w:lang w:val="en-CA"/>
        </w:rPr>
        <w:t>HIA</w:t>
      </w:r>
      <w:r w:rsidRPr="00366942">
        <w:rPr>
          <w:lang w:val="en-CA"/>
        </w:rPr>
        <w:t xml:space="preserve"> to the pregnancy-related care the Appellant required violated her right to equality guaranteed by s. 15(1) of the </w:t>
      </w:r>
      <w:r w:rsidRPr="00366942">
        <w:rPr>
          <w:i/>
          <w:iCs/>
          <w:lang w:val="en-CA"/>
        </w:rPr>
        <w:t>Canadian Charter of Rights and Freedoms</w:t>
      </w:r>
      <w:r w:rsidRPr="00366942">
        <w:rPr>
          <w:lang w:val="en-CA"/>
        </w:rPr>
        <w:t xml:space="preserve"> (“</w:t>
      </w:r>
      <w:r w:rsidRPr="00366942">
        <w:rPr>
          <w:b/>
          <w:bCs/>
          <w:i/>
          <w:iCs/>
          <w:lang w:val="en-CA"/>
        </w:rPr>
        <w:t>Charter</w:t>
      </w:r>
      <w:r w:rsidRPr="00366942">
        <w:rPr>
          <w:lang w:val="en-CA"/>
        </w:rPr>
        <w:t>”).</w:t>
      </w:r>
    </w:p>
    <w:p w14:paraId="29771919" w14:textId="55704D4E" w:rsidR="00961A50" w:rsidRPr="00366942" w:rsidRDefault="008D3843" w:rsidP="00961A50">
      <w:pPr>
        <w:pStyle w:val="Citationenretrait"/>
        <w:rPr>
          <w:lang w:val="en-CA"/>
        </w:rPr>
      </w:pPr>
      <w:r w:rsidRPr="00366942">
        <w:rPr>
          <w:lang w:val="en-CA"/>
        </w:rPr>
        <w:t>[…]</w:t>
      </w:r>
    </w:p>
    <w:p w14:paraId="590AAC1F" w14:textId="77777777" w:rsidR="00961A50" w:rsidRPr="00366942" w:rsidRDefault="00961A50" w:rsidP="00961A50">
      <w:pPr>
        <w:pStyle w:val="Citationenretrait"/>
        <w:tabs>
          <w:tab w:val="left" w:pos="1080"/>
        </w:tabs>
        <w:rPr>
          <w:lang w:val="en-CA"/>
        </w:rPr>
      </w:pPr>
      <w:r w:rsidRPr="00366942">
        <w:rPr>
          <w:lang w:val="en-CA"/>
        </w:rPr>
        <w:lastRenderedPageBreak/>
        <w:t>31.</w:t>
      </w:r>
      <w:r w:rsidRPr="00366942">
        <w:rPr>
          <w:lang w:val="en-CA"/>
        </w:rPr>
        <w:tab/>
        <w:t xml:space="preserve">The principal issue in this appeal is whether para. 4 of s. 10 </w:t>
      </w:r>
      <w:r w:rsidRPr="00366942">
        <w:rPr>
          <w:i/>
          <w:iCs/>
          <w:lang w:val="en-CA"/>
        </w:rPr>
        <w:t>HIA</w:t>
      </w:r>
      <w:r w:rsidRPr="00366942">
        <w:rPr>
          <w:lang w:val="en-CA"/>
        </w:rPr>
        <w:t xml:space="preserve"> violates the Appellant’s right to equality under s. 15(1) of the Charter by limiting the amount of reimbursement available for pregnancy-related healthcare received outside the province.</w:t>
      </w:r>
    </w:p>
    <w:p w14:paraId="097A0B84" w14:textId="77777777" w:rsidR="00961A50" w:rsidRPr="00366942" w:rsidRDefault="00961A50" w:rsidP="00961A50">
      <w:pPr>
        <w:pStyle w:val="Citationenretrait"/>
        <w:tabs>
          <w:tab w:val="left" w:pos="1080"/>
        </w:tabs>
        <w:rPr>
          <w:lang w:val="en-CA"/>
        </w:rPr>
      </w:pPr>
      <w:r w:rsidRPr="00366942">
        <w:rPr>
          <w:lang w:val="en-CA"/>
        </w:rPr>
        <w:t>32.</w:t>
      </w:r>
      <w:r w:rsidRPr="00366942">
        <w:rPr>
          <w:lang w:val="en-CA"/>
        </w:rPr>
        <w:tab/>
        <w:t xml:space="preserve">This appeal also raises an important question about the applicable analytical framework under s. 15(1): When faced with a law of general application, how may a claimant prove its disproportionate impact? Can she show that a law has a disproportionate impact on a protected group when applied in a </w:t>
      </w:r>
      <w:r w:rsidRPr="00366942">
        <w:rPr>
          <w:i/>
          <w:iCs/>
          <w:lang w:val="en-CA"/>
        </w:rPr>
        <w:t>particular context</w:t>
      </w:r>
      <w:r w:rsidRPr="00366942">
        <w:rPr>
          <w:lang w:val="en-CA"/>
        </w:rPr>
        <w:t xml:space="preserve">? Or </w:t>
      </w:r>
      <w:r w:rsidRPr="00366942">
        <w:rPr>
          <w:i/>
          <w:iCs/>
          <w:lang w:val="en-CA"/>
        </w:rPr>
        <w:t>must</w:t>
      </w:r>
      <w:r w:rsidRPr="00366942">
        <w:rPr>
          <w:lang w:val="en-CA"/>
        </w:rPr>
        <w:t xml:space="preserve"> she prove the disproportionate impact of the </w:t>
      </w:r>
      <w:r w:rsidRPr="00366942">
        <w:rPr>
          <w:i/>
          <w:iCs/>
          <w:lang w:val="en-CA"/>
        </w:rPr>
        <w:t>global effects</w:t>
      </w:r>
      <w:r w:rsidRPr="00366942">
        <w:rPr>
          <w:lang w:val="en-CA"/>
        </w:rPr>
        <w:t xml:space="preserve"> of the law?</w:t>
      </w:r>
    </w:p>
    <w:p w14:paraId="2A1869CC" w14:textId="487F7719" w:rsidR="00961A50" w:rsidRPr="00366942" w:rsidRDefault="00961A50" w:rsidP="00961A50">
      <w:pPr>
        <w:pStyle w:val="Citationenretrait"/>
        <w:tabs>
          <w:tab w:val="left" w:pos="1080"/>
        </w:tabs>
        <w:rPr>
          <w:lang w:val="en-CA"/>
        </w:rPr>
      </w:pPr>
      <w:r w:rsidRPr="00366942">
        <w:rPr>
          <w:lang w:val="en-CA"/>
        </w:rPr>
        <w:t>33.</w:t>
      </w:r>
      <w:r w:rsidRPr="00366942">
        <w:rPr>
          <w:lang w:val="en-CA"/>
        </w:rPr>
        <w:tab/>
        <w:t>The Appellant submit</w:t>
      </w:r>
      <w:r w:rsidR="006D583F" w:rsidRPr="00366942">
        <w:rPr>
          <w:lang w:val="en-CA"/>
        </w:rPr>
        <w:t>s</w:t>
      </w:r>
      <w:r w:rsidRPr="00366942">
        <w:rPr>
          <w:lang w:val="en-CA"/>
        </w:rPr>
        <w:t xml:space="preserve"> that:</w:t>
      </w:r>
    </w:p>
    <w:p w14:paraId="059F7C59" w14:textId="77777777" w:rsidR="00961A50" w:rsidRPr="00366942" w:rsidRDefault="00961A50" w:rsidP="00961A50">
      <w:pPr>
        <w:pStyle w:val="Citationenretrait"/>
        <w:numPr>
          <w:ilvl w:val="0"/>
          <w:numId w:val="20"/>
        </w:numPr>
        <w:rPr>
          <w:lang w:val="en-CA"/>
        </w:rPr>
      </w:pPr>
      <w:r w:rsidRPr="00366942">
        <w:rPr>
          <w:lang w:val="en-CA"/>
        </w:rPr>
        <w:t xml:space="preserve">It is appropriate to ask </w:t>
      </w:r>
      <w:r w:rsidRPr="00366942">
        <w:rPr>
          <w:b/>
          <w:bCs/>
          <w:lang w:val="en-CA"/>
        </w:rPr>
        <w:t xml:space="preserve">whether the application of the </w:t>
      </w:r>
      <w:r w:rsidRPr="00366942">
        <w:rPr>
          <w:b/>
          <w:bCs/>
          <w:i/>
          <w:iCs/>
          <w:lang w:val="en-CA"/>
        </w:rPr>
        <w:t>HIA</w:t>
      </w:r>
      <w:r w:rsidRPr="00366942">
        <w:rPr>
          <w:b/>
          <w:bCs/>
          <w:lang w:val="en-CA"/>
        </w:rPr>
        <w:t xml:space="preserve"> to pregnancy</w:t>
      </w:r>
      <w:r w:rsidRPr="00366942">
        <w:rPr>
          <w:b/>
          <w:bCs/>
          <w:lang w:val="en-CA"/>
        </w:rPr>
        <w:noBreakHyphen/>
        <w:t>related healthcare</w:t>
      </w:r>
      <w:r w:rsidRPr="00366942">
        <w:rPr>
          <w:lang w:val="en-CA"/>
        </w:rPr>
        <w:t xml:space="preserve"> has a disproportionate impact on women. It is unnecessary to insist on proof of disproportionate impact from a global application of s. 10 to </w:t>
      </w:r>
      <w:r w:rsidRPr="00366942">
        <w:rPr>
          <w:i/>
          <w:iCs/>
          <w:lang w:val="en-CA"/>
        </w:rPr>
        <w:t>all</w:t>
      </w:r>
      <w:r w:rsidRPr="00366942">
        <w:rPr>
          <w:lang w:val="en-CA"/>
        </w:rPr>
        <w:t xml:space="preserve"> possible forms of healthcare, as the Judge did in this case.</w:t>
      </w:r>
    </w:p>
    <w:p w14:paraId="52720F83" w14:textId="77777777" w:rsidR="00961A50" w:rsidRPr="00366942" w:rsidRDefault="00961A50" w:rsidP="00961A50">
      <w:pPr>
        <w:pStyle w:val="Citationenretrait"/>
        <w:numPr>
          <w:ilvl w:val="0"/>
          <w:numId w:val="20"/>
        </w:numPr>
        <w:rPr>
          <w:lang w:val="en-CA"/>
        </w:rPr>
      </w:pPr>
      <w:r w:rsidRPr="00366942">
        <w:rPr>
          <w:lang w:val="en-CA"/>
        </w:rPr>
        <w:t xml:space="preserve">Section 10 is neutral on its face, in that the limit on reimbursement applies to all types of medical services, irrespective of the sex of the patient. Yet women will disproportionately (in fact, exclusively) rely on s. 10 in the context of pregnancy-related care; men will </w:t>
      </w:r>
      <w:r w:rsidRPr="00366942">
        <w:rPr>
          <w:i/>
          <w:iCs/>
          <w:lang w:val="en-CA"/>
        </w:rPr>
        <w:t>never</w:t>
      </w:r>
      <w:r w:rsidRPr="00366942">
        <w:rPr>
          <w:lang w:val="en-CA"/>
        </w:rPr>
        <w:t xml:space="preserve"> require such care or be charged for it. For the same reason, the limit on reimbursement for pregnancy-related healthcare imposes a greater financial burden on women than on men. That is, </w:t>
      </w:r>
      <w:r w:rsidRPr="00366942">
        <w:rPr>
          <w:b/>
          <w:bCs/>
          <w:lang w:val="en-CA"/>
        </w:rPr>
        <w:t>because of the inherent association between pregnancy and sex, the application of s. 10 to pregnancy</w:t>
      </w:r>
      <w:r w:rsidRPr="00366942">
        <w:rPr>
          <w:b/>
          <w:bCs/>
          <w:lang w:val="en-CA"/>
        </w:rPr>
        <w:noBreakHyphen/>
        <w:t>related care has a disproportionate impact on women</w:t>
      </w:r>
      <w:r w:rsidRPr="00366942">
        <w:rPr>
          <w:lang w:val="en-CA"/>
        </w:rPr>
        <w:t>.</w:t>
      </w:r>
    </w:p>
    <w:p w14:paraId="7CCA02BB" w14:textId="77777777" w:rsidR="00961A50" w:rsidRPr="00366942" w:rsidRDefault="00961A50" w:rsidP="00961A50">
      <w:pPr>
        <w:pStyle w:val="Citationenretrait"/>
        <w:numPr>
          <w:ilvl w:val="0"/>
          <w:numId w:val="20"/>
        </w:numPr>
        <w:rPr>
          <w:lang w:val="en-CA"/>
        </w:rPr>
      </w:pPr>
      <w:r w:rsidRPr="00366942">
        <w:rPr>
          <w:lang w:val="en-CA"/>
        </w:rPr>
        <w:t xml:space="preserve">The financial burden imposed by the limit on reimbursement perpetuates women’s historical disadvantage in accessing pregnancy-related healthcare, which is distinct from most if not all other forms of sex-specific care due to its inherent link with women’s autonomy, dignity, and capacity to make fundamental life choices. A limitation on access to such care thus has a significant detrimental impact on women’s ability to participate fully in society – a consequence that will not necessarily result from limitations on access to </w:t>
      </w:r>
      <w:r w:rsidRPr="00366942">
        <w:rPr>
          <w:i/>
          <w:iCs/>
          <w:lang w:val="en-CA"/>
        </w:rPr>
        <w:t>other</w:t>
      </w:r>
      <w:r w:rsidRPr="00366942">
        <w:rPr>
          <w:lang w:val="en-CA"/>
        </w:rPr>
        <w:t xml:space="preserve"> sex-specific care. </w:t>
      </w:r>
      <w:r w:rsidRPr="00366942">
        <w:rPr>
          <w:b/>
          <w:bCs/>
          <w:lang w:val="en-CA"/>
        </w:rPr>
        <w:t>As a result, when applied to pregnancy-related care, s. 10 HIA is discriminatory</w:t>
      </w:r>
      <w:r w:rsidRPr="00366942">
        <w:rPr>
          <w:lang w:val="en-CA"/>
        </w:rPr>
        <w:t>.</w:t>
      </w:r>
    </w:p>
    <w:p w14:paraId="6CD7C095" w14:textId="77777777" w:rsidR="00961A50" w:rsidRPr="00366942" w:rsidRDefault="00961A50" w:rsidP="00961A50">
      <w:pPr>
        <w:pStyle w:val="Citationenretrait"/>
        <w:numPr>
          <w:ilvl w:val="0"/>
          <w:numId w:val="20"/>
        </w:numPr>
        <w:rPr>
          <w:lang w:val="en-CA"/>
        </w:rPr>
      </w:pPr>
      <w:r w:rsidRPr="00366942">
        <w:rPr>
          <w:lang w:val="en-CA"/>
        </w:rPr>
        <w:t>The Attorney General has failed to demonstrate that such discrimination is justified in a free and democratic society.</w:t>
      </w:r>
    </w:p>
    <w:p w14:paraId="2C040FB0" w14:textId="5940D624" w:rsidR="00961A50" w:rsidRPr="00366942" w:rsidRDefault="00EB73F0" w:rsidP="00961A50">
      <w:pPr>
        <w:pStyle w:val="Paragraphe"/>
        <w:rPr>
          <w:lang w:val="en-CA"/>
        </w:rPr>
      </w:pPr>
      <w:r w:rsidRPr="00366942">
        <w:rPr>
          <w:lang w:val="en-CA"/>
        </w:rPr>
        <w:t xml:space="preserve">In her </w:t>
      </w:r>
      <w:r w:rsidR="00160E2F" w:rsidRPr="00366942">
        <w:rPr>
          <w:lang w:val="en-CA"/>
        </w:rPr>
        <w:t>additional submissions</w:t>
      </w:r>
      <w:r w:rsidRPr="00366942">
        <w:rPr>
          <w:lang w:val="en-CA"/>
        </w:rPr>
        <w:t xml:space="preserve">, the appellant indicated, </w:t>
      </w:r>
      <w:r w:rsidRPr="00366942">
        <w:rPr>
          <w:i/>
          <w:iCs/>
          <w:lang w:val="en-CA"/>
        </w:rPr>
        <w:t>inter alia</w:t>
      </w:r>
      <w:r w:rsidRPr="00366942">
        <w:rPr>
          <w:lang w:val="en-CA"/>
        </w:rPr>
        <w:t>, that</w:t>
      </w:r>
      <w:r w:rsidR="00961A50" w:rsidRPr="00366942">
        <w:rPr>
          <w:lang w:val="en-CA"/>
        </w:rPr>
        <w:t>:</w:t>
      </w:r>
    </w:p>
    <w:p w14:paraId="32DA9AA5" w14:textId="170C668E" w:rsidR="00961A50" w:rsidRPr="00366942" w:rsidRDefault="00961A50" w:rsidP="00961A50">
      <w:pPr>
        <w:pStyle w:val="Citationenretrait"/>
        <w:rPr>
          <w:lang w:val="en-CA"/>
        </w:rPr>
      </w:pPr>
      <w:r w:rsidRPr="00366942">
        <w:rPr>
          <w:lang w:val="en-CA"/>
        </w:rPr>
        <w:t>2.</w:t>
      </w:r>
      <w:r w:rsidRPr="00366942">
        <w:rPr>
          <w:lang w:val="en-CA"/>
        </w:rPr>
        <w:tab/>
        <w:t xml:space="preserve">As a preliminary point, this Court stressed in </w:t>
      </w:r>
      <w:r w:rsidRPr="00366942">
        <w:rPr>
          <w:i/>
          <w:iCs/>
          <w:lang w:val="en-CA"/>
        </w:rPr>
        <w:t>Kanyinda</w:t>
      </w:r>
      <w:r w:rsidRPr="00366942">
        <w:rPr>
          <w:lang w:val="en-CA"/>
        </w:rPr>
        <w:t xml:space="preserve"> that “</w:t>
      </w:r>
      <w:r w:rsidRPr="00366942">
        <w:rPr>
          <w:i/>
          <w:iCs/>
          <w:lang w:val="en-CA"/>
        </w:rPr>
        <w:t>l’absence de mesures d’adaptation pour les membres des groupes protégés</w:t>
      </w:r>
      <w:r w:rsidRPr="00366942">
        <w:rPr>
          <w:lang w:val="en-CA"/>
        </w:rPr>
        <w:t xml:space="preserve">” can be the source of discrimination. The present case is another illustration of this principle. Section 10, para. 4 of the </w:t>
      </w:r>
      <w:r w:rsidRPr="00366942">
        <w:rPr>
          <w:i/>
          <w:iCs/>
          <w:lang w:val="en-CA"/>
        </w:rPr>
        <w:t>Health Insurance Act</w:t>
      </w:r>
      <w:r w:rsidRPr="00366942">
        <w:rPr>
          <w:lang w:val="en-CA"/>
        </w:rPr>
        <w:t>, CQLR c. A-29 (“</w:t>
      </w:r>
      <w:r w:rsidRPr="00366942">
        <w:rPr>
          <w:b/>
          <w:bCs/>
          <w:i/>
          <w:iCs/>
          <w:lang w:val="en-CA"/>
        </w:rPr>
        <w:t>HIA</w:t>
      </w:r>
      <w:r w:rsidRPr="00366942">
        <w:rPr>
          <w:lang w:val="en-CA"/>
        </w:rPr>
        <w:t xml:space="preserve">”) fails to account for </w:t>
      </w:r>
      <w:r w:rsidRPr="00366942">
        <w:rPr>
          <w:lang w:val="en-CA"/>
        </w:rPr>
        <w:lastRenderedPageBreak/>
        <w:t xml:space="preserve">the unique nature of pregnancy-related care, instead treating it like any other health service. The </w:t>
      </w:r>
      <w:r w:rsidRPr="00366942">
        <w:rPr>
          <w:i/>
          <w:iCs/>
          <w:lang w:val="en-CA"/>
        </w:rPr>
        <w:t>absence</w:t>
      </w:r>
      <w:r w:rsidRPr="00366942">
        <w:rPr>
          <w:lang w:val="en-CA"/>
        </w:rPr>
        <w:t xml:space="preserve"> of accommodation is the source of the violation of the Appellant’s right to equality.</w:t>
      </w:r>
    </w:p>
    <w:p w14:paraId="076B7F44" w14:textId="7D2DF35A" w:rsidR="00961A50" w:rsidRPr="00366942" w:rsidRDefault="008D3843" w:rsidP="00961A50">
      <w:pPr>
        <w:pStyle w:val="Citationenretrait"/>
        <w:rPr>
          <w:lang w:val="en-CA"/>
        </w:rPr>
      </w:pPr>
      <w:r w:rsidRPr="00366942">
        <w:rPr>
          <w:lang w:val="en-CA"/>
        </w:rPr>
        <w:t>[…]</w:t>
      </w:r>
    </w:p>
    <w:p w14:paraId="41FE0694" w14:textId="77777777" w:rsidR="00961A50" w:rsidRPr="00366942" w:rsidRDefault="00961A50" w:rsidP="00961A50">
      <w:pPr>
        <w:pStyle w:val="Citationenretrait"/>
        <w:rPr>
          <w:lang w:val="en-CA"/>
        </w:rPr>
      </w:pPr>
      <w:r w:rsidRPr="00366942">
        <w:rPr>
          <w:lang w:val="en-CA"/>
        </w:rPr>
        <w:t>6.</w:t>
      </w:r>
      <w:r w:rsidRPr="00366942">
        <w:rPr>
          <w:lang w:val="en-CA"/>
        </w:rPr>
        <w:tab/>
      </w:r>
      <w:r w:rsidRPr="00366942">
        <w:rPr>
          <w:b/>
          <w:bCs/>
          <w:lang w:val="en-CA"/>
        </w:rPr>
        <w:t>Second</w:t>
      </w:r>
      <w:r w:rsidRPr="00366942">
        <w:rPr>
          <w:lang w:val="en-CA"/>
        </w:rPr>
        <w:t xml:space="preserve">, in </w:t>
      </w:r>
      <w:r w:rsidRPr="00366942">
        <w:rPr>
          <w:i/>
          <w:iCs/>
          <w:lang w:val="en-CA"/>
        </w:rPr>
        <w:t>Kanyinda</w:t>
      </w:r>
      <w:r w:rsidRPr="00366942">
        <w:rPr>
          <w:lang w:val="en-CA"/>
        </w:rPr>
        <w:t xml:space="preserve">, the claimant demonstrated that excluding asylum seekers from subsidized childcare services had a disproportionate impact on women based on an expert report finding that limits on affordable childcare predominantly limited </w:t>
      </w:r>
      <w:r w:rsidRPr="00366942">
        <w:rPr>
          <w:i/>
          <w:iCs/>
          <w:lang w:val="en-CA"/>
        </w:rPr>
        <w:t>women’s</w:t>
      </w:r>
      <w:r w:rsidRPr="00366942">
        <w:rPr>
          <w:lang w:val="en-CA"/>
        </w:rPr>
        <w:t xml:space="preserve"> access to the labour market. This uncontradicted expert evidence, in addition to Supreme Court </w:t>
      </w:r>
      <w:r w:rsidRPr="00366942">
        <w:rPr>
          <w:i/>
          <w:iCs/>
          <w:lang w:val="en-CA"/>
        </w:rPr>
        <w:t>dicta</w:t>
      </w:r>
      <w:r w:rsidRPr="00366942">
        <w:rPr>
          <w:lang w:val="en-CA"/>
        </w:rPr>
        <w:t xml:space="preserve"> about the reality of gender divisions in domestic labour and their impact on women’s working lives, led this Court to conclude that the impugned law created a distinction based on sex through its effects.</w:t>
      </w:r>
    </w:p>
    <w:p w14:paraId="494F426B" w14:textId="77777777" w:rsidR="00961A50" w:rsidRPr="00366942" w:rsidRDefault="00961A50" w:rsidP="00961A50">
      <w:pPr>
        <w:pStyle w:val="Citationenretrait"/>
        <w:rPr>
          <w:lang w:val="en-CA"/>
        </w:rPr>
      </w:pPr>
      <w:r w:rsidRPr="00366942">
        <w:rPr>
          <w:lang w:val="en-CA"/>
        </w:rPr>
        <w:t>7.</w:t>
      </w:r>
      <w:r w:rsidRPr="00366942">
        <w:rPr>
          <w:lang w:val="en-CA"/>
        </w:rPr>
        <w:tab/>
        <w:t xml:space="preserve">Likewise, in the present case, when the limit on reimbursement is applied to pregnancy-related care, para. 4 of s. 10 </w:t>
      </w:r>
      <w:r w:rsidRPr="00366942">
        <w:rPr>
          <w:i/>
          <w:iCs/>
          <w:lang w:val="en-CA"/>
        </w:rPr>
        <w:t>HIA</w:t>
      </w:r>
      <w:r w:rsidRPr="00366942">
        <w:rPr>
          <w:lang w:val="en-CA"/>
        </w:rPr>
        <w:t xml:space="preserve"> has a disproportionate effect on women. As in </w:t>
      </w:r>
      <w:r w:rsidRPr="00366942">
        <w:rPr>
          <w:i/>
          <w:iCs/>
          <w:lang w:val="en-CA"/>
        </w:rPr>
        <w:t>Kanyinda</w:t>
      </w:r>
      <w:r w:rsidRPr="00366942">
        <w:rPr>
          <w:lang w:val="en-CA"/>
        </w:rPr>
        <w:t xml:space="preserve">, this conclusion is supported both by uncontradicted expert evidence (to the effect that women are predominantly responsible for the financial costs of accessing pregnancy-related health care) and by Supreme Court </w:t>
      </w:r>
      <w:r w:rsidRPr="00366942">
        <w:rPr>
          <w:i/>
          <w:iCs/>
          <w:lang w:val="en-CA"/>
        </w:rPr>
        <w:t>dicta</w:t>
      </w:r>
      <w:r w:rsidRPr="00366942">
        <w:rPr>
          <w:lang w:val="en-CA"/>
        </w:rPr>
        <w:t xml:space="preserve"> regarding the “strong association” between pregnancy and gender.</w:t>
      </w:r>
    </w:p>
    <w:p w14:paraId="00B3D6DF" w14:textId="77777777" w:rsidR="00961A50" w:rsidRPr="00366942" w:rsidRDefault="00961A50" w:rsidP="00961A50">
      <w:pPr>
        <w:pStyle w:val="Citationenretrait"/>
        <w:rPr>
          <w:lang w:val="en-CA"/>
        </w:rPr>
      </w:pPr>
      <w:r w:rsidRPr="00366942">
        <w:rPr>
          <w:lang w:val="en-CA"/>
        </w:rPr>
        <w:t>8.</w:t>
      </w:r>
      <w:r w:rsidRPr="00366942">
        <w:rPr>
          <w:lang w:val="en-CA"/>
        </w:rPr>
        <w:tab/>
        <w:t xml:space="preserve">In fact, a finding of disproportionate impact is even clearer in this case than in </w:t>
      </w:r>
      <w:r w:rsidRPr="00366942">
        <w:rPr>
          <w:i/>
          <w:iCs/>
          <w:lang w:val="en-CA"/>
        </w:rPr>
        <w:t>Kanyinda</w:t>
      </w:r>
      <w:r w:rsidRPr="00366942">
        <w:rPr>
          <w:lang w:val="en-CA"/>
        </w:rPr>
        <w:t xml:space="preserve">: there, women were </w:t>
      </w:r>
      <w:r w:rsidRPr="00366942">
        <w:rPr>
          <w:i/>
          <w:iCs/>
          <w:lang w:val="en-CA"/>
        </w:rPr>
        <w:t>disproportionately</w:t>
      </w:r>
      <w:r w:rsidRPr="00366942">
        <w:rPr>
          <w:lang w:val="en-CA"/>
        </w:rPr>
        <w:t xml:space="preserve"> (through not </w:t>
      </w:r>
      <w:r w:rsidRPr="00366942">
        <w:rPr>
          <w:i/>
          <w:iCs/>
          <w:lang w:val="en-CA"/>
        </w:rPr>
        <w:t>exclusively</w:t>
      </w:r>
      <w:r w:rsidRPr="00366942">
        <w:rPr>
          <w:lang w:val="en-CA"/>
        </w:rPr>
        <w:t xml:space="preserve">) affected by the law. Here, since only women can become pregnant, </w:t>
      </w:r>
      <w:r w:rsidRPr="00366942">
        <w:rPr>
          <w:u w:val="single"/>
          <w:lang w:val="en-CA"/>
        </w:rPr>
        <w:t>only</w:t>
      </w:r>
      <w:r w:rsidRPr="00366942">
        <w:rPr>
          <w:lang w:val="en-CA"/>
        </w:rPr>
        <w:t xml:space="preserve"> women will require pregnancy-related healthcare. The financial burden of pregnancy</w:t>
      </w:r>
      <w:r w:rsidRPr="00366942">
        <w:rPr>
          <w:lang w:val="en-CA"/>
        </w:rPr>
        <w:noBreakHyphen/>
        <w:t xml:space="preserve">related care imposed by para. 4 of s. 10 </w:t>
      </w:r>
      <w:r w:rsidRPr="00366942">
        <w:rPr>
          <w:i/>
          <w:iCs/>
          <w:lang w:val="en-CA"/>
        </w:rPr>
        <w:t>HIA</w:t>
      </w:r>
      <w:r w:rsidRPr="00366942">
        <w:rPr>
          <w:lang w:val="en-CA"/>
        </w:rPr>
        <w:t xml:space="preserve"> will thus be borne disproportionately, if not </w:t>
      </w:r>
      <w:r w:rsidRPr="00366942">
        <w:rPr>
          <w:i/>
          <w:iCs/>
          <w:lang w:val="en-CA"/>
        </w:rPr>
        <w:t>exclusively</w:t>
      </w:r>
      <w:r w:rsidRPr="00366942">
        <w:rPr>
          <w:lang w:val="en-CA"/>
        </w:rPr>
        <w:t>, by women (in this vein, the TAQ judge made a finding of fact that it was “</w:t>
      </w:r>
      <w:r w:rsidRPr="00366942">
        <w:rPr>
          <w:i/>
          <w:iCs/>
          <w:lang w:val="en-CA"/>
        </w:rPr>
        <w:t>incontestable</w:t>
      </w:r>
      <w:r w:rsidRPr="00366942">
        <w:rPr>
          <w:lang w:val="en-CA"/>
        </w:rPr>
        <w:t>” that women predominantly bear the “</w:t>
      </w:r>
      <w:r w:rsidRPr="00366942">
        <w:rPr>
          <w:i/>
          <w:iCs/>
          <w:lang w:val="en-CA"/>
        </w:rPr>
        <w:t>fardeau supplémentaire lié à la reproduction</w:t>
      </w:r>
      <w:r w:rsidRPr="00366942">
        <w:rPr>
          <w:lang w:val="en-CA"/>
        </w:rPr>
        <w:t>”).</w:t>
      </w:r>
    </w:p>
    <w:p w14:paraId="0E46CDE1" w14:textId="77777777" w:rsidR="00961A50" w:rsidRPr="00366942" w:rsidRDefault="00961A50" w:rsidP="00961A50">
      <w:pPr>
        <w:pStyle w:val="Citationenretrait"/>
        <w:rPr>
          <w:lang w:val="en-CA"/>
        </w:rPr>
      </w:pPr>
      <w:r w:rsidRPr="00366942">
        <w:rPr>
          <w:lang w:val="en-CA"/>
        </w:rPr>
        <w:t>9.</w:t>
      </w:r>
      <w:r w:rsidRPr="00366942">
        <w:rPr>
          <w:lang w:val="en-CA"/>
        </w:rPr>
        <w:tab/>
      </w:r>
      <w:r w:rsidRPr="00366942">
        <w:rPr>
          <w:b/>
          <w:bCs/>
          <w:lang w:val="en-CA"/>
        </w:rPr>
        <w:t>Third</w:t>
      </w:r>
      <w:r w:rsidRPr="00366942">
        <w:rPr>
          <w:lang w:val="en-CA"/>
        </w:rPr>
        <w:t xml:space="preserve">, both </w:t>
      </w:r>
      <w:r w:rsidRPr="00366942">
        <w:rPr>
          <w:i/>
          <w:iCs/>
          <w:lang w:val="en-CA"/>
        </w:rPr>
        <w:t>Kanyinda</w:t>
      </w:r>
      <w:r w:rsidRPr="00366942">
        <w:rPr>
          <w:lang w:val="en-CA"/>
        </w:rPr>
        <w:t xml:space="preserve"> and the present case are illustrations of the Supreme Court’s statement in </w:t>
      </w:r>
      <w:r w:rsidRPr="00366942">
        <w:rPr>
          <w:i/>
          <w:iCs/>
          <w:lang w:val="en-CA"/>
        </w:rPr>
        <w:t>Fraser</w:t>
      </w:r>
      <w:r w:rsidRPr="00366942">
        <w:rPr>
          <w:lang w:val="en-CA"/>
        </w:rPr>
        <w:t xml:space="preserve"> that “disproportionate impact can be established if members of protected groups are denied benefits </w:t>
      </w:r>
      <w:r w:rsidRPr="00366942">
        <w:rPr>
          <w:u w:val="single"/>
          <w:lang w:val="en-CA"/>
        </w:rPr>
        <w:t>or</w:t>
      </w:r>
      <w:r w:rsidRPr="00366942">
        <w:rPr>
          <w:lang w:val="en-CA"/>
        </w:rPr>
        <w:t xml:space="preserve"> forced to take on burdens more frequently than others.” In </w:t>
      </w:r>
      <w:r w:rsidRPr="00366942">
        <w:rPr>
          <w:i/>
          <w:iCs/>
          <w:lang w:val="en-CA"/>
        </w:rPr>
        <w:t>Kanyinda</w:t>
      </w:r>
      <w:r w:rsidRPr="00366942">
        <w:rPr>
          <w:lang w:val="en-CA"/>
        </w:rPr>
        <w:t xml:space="preserve">, women were disproportionately </w:t>
      </w:r>
      <w:r w:rsidRPr="00366942">
        <w:rPr>
          <w:i/>
          <w:iCs/>
          <w:lang w:val="en-CA"/>
        </w:rPr>
        <w:t>denied</w:t>
      </w:r>
      <w:r w:rsidRPr="00366942">
        <w:rPr>
          <w:lang w:val="en-CA"/>
        </w:rPr>
        <w:t xml:space="preserve"> </w:t>
      </w:r>
      <w:r w:rsidRPr="00366942">
        <w:rPr>
          <w:i/>
          <w:iCs/>
          <w:lang w:val="en-CA"/>
        </w:rPr>
        <w:t>a benefit</w:t>
      </w:r>
      <w:r w:rsidRPr="00366942">
        <w:rPr>
          <w:lang w:val="en-CA"/>
        </w:rPr>
        <w:t xml:space="preserve"> (access to subsidized childcare services); here, the effect of para. 4 of s. 10 </w:t>
      </w:r>
      <w:r w:rsidRPr="00366942">
        <w:rPr>
          <w:i/>
          <w:iCs/>
          <w:lang w:val="en-CA"/>
        </w:rPr>
        <w:t>HIA</w:t>
      </w:r>
      <w:r w:rsidRPr="00366942">
        <w:rPr>
          <w:lang w:val="en-CA"/>
        </w:rPr>
        <w:t xml:space="preserve"> when applied to pregnancy-related care is to disproportionately oblige </w:t>
      </w:r>
      <w:r w:rsidRPr="00366942">
        <w:rPr>
          <w:u w:val="single"/>
          <w:lang w:val="en-CA"/>
        </w:rPr>
        <w:t>women</w:t>
      </w:r>
      <w:r w:rsidRPr="00366942">
        <w:rPr>
          <w:lang w:val="en-CA"/>
        </w:rPr>
        <w:t xml:space="preserve"> to </w:t>
      </w:r>
      <w:r w:rsidRPr="00366942">
        <w:rPr>
          <w:i/>
          <w:iCs/>
          <w:lang w:val="en-CA"/>
        </w:rPr>
        <w:t>assume a burden</w:t>
      </w:r>
      <w:r w:rsidRPr="00366942">
        <w:rPr>
          <w:lang w:val="en-CA"/>
        </w:rPr>
        <w:t xml:space="preserve"> (the financial burden resulting from the obligation to pay for pregnancy-related care).</w:t>
      </w:r>
    </w:p>
    <w:p w14:paraId="4D54F24D" w14:textId="2EE54416" w:rsidR="00961A50" w:rsidRPr="00366942" w:rsidRDefault="008D3843" w:rsidP="00961A50">
      <w:pPr>
        <w:pStyle w:val="Citationenretrait"/>
        <w:rPr>
          <w:lang w:val="en-CA"/>
        </w:rPr>
      </w:pPr>
      <w:r w:rsidRPr="00366942">
        <w:rPr>
          <w:lang w:val="en-CA"/>
        </w:rPr>
        <w:t>[…]</w:t>
      </w:r>
    </w:p>
    <w:p w14:paraId="4EE056D7" w14:textId="2E285C33" w:rsidR="00961A50" w:rsidRPr="00366942" w:rsidRDefault="00961A50" w:rsidP="00961A50">
      <w:pPr>
        <w:pStyle w:val="Citationenretrait"/>
        <w:rPr>
          <w:lang w:val="en-CA"/>
        </w:rPr>
      </w:pPr>
      <w:r w:rsidRPr="00366942">
        <w:rPr>
          <w:lang w:val="en-CA"/>
        </w:rPr>
        <w:t>10.</w:t>
      </w:r>
      <w:r w:rsidRPr="00366942">
        <w:rPr>
          <w:lang w:val="en-CA"/>
        </w:rPr>
        <w:tab/>
        <w:t xml:space="preserve">At the second step of the s. 15(1) analysis, in </w:t>
      </w:r>
      <w:r w:rsidRPr="00366942">
        <w:rPr>
          <w:i/>
          <w:iCs/>
          <w:lang w:val="en-CA"/>
        </w:rPr>
        <w:t>Kanyinda</w:t>
      </w:r>
      <w:r w:rsidRPr="00366942">
        <w:rPr>
          <w:lang w:val="en-CA"/>
        </w:rPr>
        <w:t>, this Court concluded based on uncontradicted expert evidence that exclusion of asylum seekers from subsidized childcare services reinforced, perpetuated, and exacerbated women’s historical disadvantage, since women are disproportionately responsible for childcare.</w:t>
      </w:r>
    </w:p>
    <w:p w14:paraId="0F70569E" w14:textId="77777777" w:rsidR="00961A50" w:rsidRPr="00366942" w:rsidRDefault="00961A50" w:rsidP="00961A50">
      <w:pPr>
        <w:pStyle w:val="Citationenretrait"/>
        <w:rPr>
          <w:lang w:val="en-CA"/>
        </w:rPr>
      </w:pPr>
      <w:r w:rsidRPr="00366942">
        <w:rPr>
          <w:lang w:val="en-CA"/>
        </w:rPr>
        <w:lastRenderedPageBreak/>
        <w:t>11.</w:t>
      </w:r>
      <w:r w:rsidRPr="00366942">
        <w:rPr>
          <w:lang w:val="en-CA"/>
        </w:rPr>
        <w:tab/>
        <w:t xml:space="preserve">The same type of analysis applies in here. The Lévesque report demonstrates that women bear the primary responsibility – including financial responsibility – for seeking out and obtaining pregnancy-related healthcare, which in turn is perpetuated by legislative action that obliges women to bear such financial responsibility. The perpetuation of this economic disadvantage is conjunctive with the perpetuation of </w:t>
      </w:r>
      <w:r w:rsidRPr="00366942">
        <w:rPr>
          <w:i/>
          <w:iCs/>
          <w:lang w:val="en-CA"/>
        </w:rPr>
        <w:t>barriers to access</w:t>
      </w:r>
      <w:r w:rsidRPr="00366942">
        <w:rPr>
          <w:lang w:val="en-CA"/>
        </w:rPr>
        <w:t xml:space="preserve"> to pregnancy-related care that result from the financial costs of such care (including failures to reimburse such costs) and their attendant deleterious consequences. </w:t>
      </w:r>
      <w:r w:rsidRPr="00366942">
        <w:t>Indeed, Dr. Lévesque explained that “</w:t>
      </w:r>
      <w:r w:rsidRPr="00366942">
        <w:rPr>
          <w:i/>
          <w:iCs/>
        </w:rPr>
        <w:t>les études démontrent que si [une femme] a pas l’argent pour [interrompre sa grossesse] et que les soins requis pour le faire sont excessifs sur le plan financier, bien ça va moduler sa décision et elle va devenir mère alors que ce n’est pas ce qu’elle souhaite faire</w:t>
      </w:r>
      <w:r w:rsidRPr="00366942">
        <w:t xml:space="preserve">”. </w:t>
      </w:r>
      <w:r w:rsidRPr="00366942">
        <w:rPr>
          <w:lang w:val="en-CA"/>
        </w:rPr>
        <w:t xml:space="preserve">As in </w:t>
      </w:r>
      <w:r w:rsidRPr="00366942">
        <w:rPr>
          <w:i/>
          <w:iCs/>
          <w:lang w:val="en-CA"/>
        </w:rPr>
        <w:t>Kanyinda</w:t>
      </w:r>
      <w:r w:rsidRPr="00366942">
        <w:rPr>
          <w:lang w:val="en-CA"/>
        </w:rPr>
        <w:t>, this evidence is uncontradicted.</w:t>
      </w:r>
    </w:p>
    <w:p w14:paraId="63B79D13" w14:textId="739FD139" w:rsidR="00961A50" w:rsidRPr="00366942" w:rsidRDefault="004B6B8C" w:rsidP="00961A50">
      <w:pPr>
        <w:pStyle w:val="Citationenretrait"/>
        <w:spacing w:before="0"/>
        <w:jc w:val="right"/>
        <w:rPr>
          <w:sz w:val="20"/>
          <w:lang w:val="en-CA"/>
        </w:rPr>
      </w:pPr>
      <w:r w:rsidRPr="00366942">
        <w:rPr>
          <w:sz w:val="20"/>
          <w:lang w:val="en-CA"/>
        </w:rPr>
        <w:t>(</w:t>
      </w:r>
      <w:r w:rsidR="00EB73F0" w:rsidRPr="00366942">
        <w:rPr>
          <w:sz w:val="20"/>
          <w:lang w:val="en-CA"/>
        </w:rPr>
        <w:t>References omitted</w:t>
      </w:r>
      <w:r w:rsidRPr="00366942">
        <w:rPr>
          <w:sz w:val="20"/>
          <w:lang w:val="en-CA"/>
        </w:rPr>
        <w:t>)</w:t>
      </w:r>
    </w:p>
    <w:p w14:paraId="5C511B0D" w14:textId="2DA04E56" w:rsidR="00991E92" w:rsidRPr="00366942" w:rsidRDefault="00347A71" w:rsidP="00961A50">
      <w:pPr>
        <w:pStyle w:val="Paragraphe"/>
        <w:rPr>
          <w:lang w:val="en-CA"/>
        </w:rPr>
      </w:pPr>
      <w:r w:rsidRPr="00366942">
        <w:rPr>
          <w:lang w:val="en-CA"/>
        </w:rPr>
        <w:t>The respondent, f</w:t>
      </w:r>
      <w:r w:rsidR="0047608C" w:rsidRPr="00366942">
        <w:rPr>
          <w:lang w:val="en-CA"/>
        </w:rPr>
        <w:t>or its part</w:t>
      </w:r>
      <w:r w:rsidR="00961A50" w:rsidRPr="00366942">
        <w:rPr>
          <w:lang w:val="en-CA"/>
        </w:rPr>
        <w:t xml:space="preserve">, </w:t>
      </w:r>
      <w:r w:rsidRPr="00366942">
        <w:rPr>
          <w:lang w:val="en-CA"/>
        </w:rPr>
        <w:t>submits</w:t>
      </w:r>
      <w:r w:rsidR="0047608C" w:rsidRPr="00366942">
        <w:rPr>
          <w:lang w:val="en-CA"/>
        </w:rPr>
        <w:t xml:space="preserve"> that the </w:t>
      </w:r>
      <w:r w:rsidR="0047608C" w:rsidRPr="00366942">
        <w:rPr>
          <w:i/>
          <w:iCs/>
          <w:lang w:val="en-CA"/>
        </w:rPr>
        <w:t>HIA</w:t>
      </w:r>
      <w:r w:rsidR="0047608C" w:rsidRPr="00366942">
        <w:rPr>
          <w:lang w:val="en-CA"/>
        </w:rPr>
        <w:t xml:space="preserve"> </w:t>
      </w:r>
      <w:r w:rsidR="007F114E" w:rsidRPr="00366942">
        <w:rPr>
          <w:lang w:val="en-CA"/>
        </w:rPr>
        <w:t>set up</w:t>
      </w:r>
      <w:r w:rsidR="0047608C" w:rsidRPr="00366942">
        <w:rPr>
          <w:lang w:val="en-CA"/>
        </w:rPr>
        <w:t xml:space="preserve"> an [</w:t>
      </w:r>
      <w:r w:rsidR="0047608C" w:rsidRPr="00366942">
        <w:rPr>
          <w:smallCaps/>
          <w:lang w:val="en-CA"/>
        </w:rPr>
        <w:t>translation</w:t>
      </w:r>
      <w:r w:rsidR="0047608C" w:rsidRPr="00366942">
        <w:rPr>
          <w:lang w:val="en-CA"/>
        </w:rPr>
        <w:t>] “insurance policy”</w:t>
      </w:r>
      <w:r w:rsidR="00961A50" w:rsidRPr="00366942">
        <w:rPr>
          <w:lang w:val="en-CA"/>
        </w:rPr>
        <w:t xml:space="preserve"> </w:t>
      </w:r>
      <w:r w:rsidR="0047608C" w:rsidRPr="00366942">
        <w:rPr>
          <w:lang w:val="en-CA"/>
        </w:rPr>
        <w:t xml:space="preserve">by which the state, through the </w:t>
      </w:r>
      <w:r w:rsidR="004C42A0" w:rsidRPr="00366942">
        <w:rPr>
          <w:lang w:val="en-CA"/>
        </w:rPr>
        <w:t>Board</w:t>
      </w:r>
      <w:r w:rsidR="0047608C" w:rsidRPr="00366942">
        <w:rPr>
          <w:lang w:val="en-CA"/>
        </w:rPr>
        <w:t xml:space="preserve">, </w:t>
      </w:r>
      <w:r w:rsidR="007F114E" w:rsidRPr="00366942">
        <w:rPr>
          <w:lang w:val="en-CA"/>
        </w:rPr>
        <w:t>bears</w:t>
      </w:r>
      <w:r w:rsidR="0047608C" w:rsidRPr="00366942">
        <w:rPr>
          <w:lang w:val="en-CA"/>
        </w:rPr>
        <w:t xml:space="preserve">, upon certain conditions, the cost of health services </w:t>
      </w:r>
      <w:r w:rsidR="00005506" w:rsidRPr="00366942">
        <w:rPr>
          <w:lang w:val="en-CA"/>
        </w:rPr>
        <w:t>render</w:t>
      </w:r>
      <w:r w:rsidR="0047608C" w:rsidRPr="00366942">
        <w:rPr>
          <w:lang w:val="en-CA"/>
        </w:rPr>
        <w:t>ed in Quebec to insured persons</w:t>
      </w:r>
      <w:r w:rsidR="00961A50" w:rsidRPr="00366942">
        <w:rPr>
          <w:rStyle w:val="Appelnotedebasdep"/>
          <w:lang w:val="en-CA"/>
        </w:rPr>
        <w:footnoteReference w:id="14"/>
      </w:r>
      <w:r w:rsidR="00961A50" w:rsidRPr="00366942">
        <w:rPr>
          <w:lang w:val="en-CA"/>
        </w:rPr>
        <w:t xml:space="preserve"> </w:t>
      </w:r>
      <w:r w:rsidR="0047608C" w:rsidRPr="00366942">
        <w:rPr>
          <w:lang w:val="en-CA"/>
        </w:rPr>
        <w:t xml:space="preserve">or reimburses the costs thereof when they are </w:t>
      </w:r>
      <w:r w:rsidR="00005506" w:rsidRPr="00366942">
        <w:rPr>
          <w:lang w:val="en-CA"/>
        </w:rPr>
        <w:t>rendered</w:t>
      </w:r>
      <w:r w:rsidR="0047608C" w:rsidRPr="00366942">
        <w:rPr>
          <w:lang w:val="en-CA"/>
        </w:rPr>
        <w:t xml:space="preserve"> outside Quebec to those same persons</w:t>
      </w:r>
      <w:r w:rsidR="00961A50" w:rsidRPr="00366942">
        <w:rPr>
          <w:lang w:val="en-CA"/>
        </w:rPr>
        <w:t xml:space="preserve">. </w:t>
      </w:r>
      <w:r w:rsidR="0047608C" w:rsidRPr="00366942">
        <w:rPr>
          <w:lang w:val="en-CA"/>
        </w:rPr>
        <w:t>Taking into account that legislative framework, i.e.</w:t>
      </w:r>
      <w:r w:rsidR="004C42A0" w:rsidRPr="00366942">
        <w:rPr>
          <w:lang w:val="en-CA"/>
        </w:rPr>
        <w:t>,</w:t>
      </w:r>
      <w:r w:rsidR="0047608C" w:rsidRPr="00366942">
        <w:rPr>
          <w:lang w:val="en-CA"/>
        </w:rPr>
        <w:t xml:space="preserve"> the scheme’s purpose, the allocation of the state’s resources and the </w:t>
      </w:r>
      <w:r w:rsidR="007F114E" w:rsidRPr="00366942">
        <w:rPr>
          <w:lang w:val="en-CA"/>
        </w:rPr>
        <w:t>public policy goal</w:t>
      </w:r>
      <w:r w:rsidR="0047608C" w:rsidRPr="00366942">
        <w:rPr>
          <w:lang w:val="en-CA"/>
        </w:rPr>
        <w:t xml:space="preserve"> that is pursued,</w:t>
      </w:r>
      <w:r w:rsidR="00961A50" w:rsidRPr="00366942">
        <w:rPr>
          <w:lang w:val="en-CA"/>
        </w:rPr>
        <w:t xml:space="preserve"> </w:t>
      </w:r>
      <w:r w:rsidR="0047608C" w:rsidRPr="00366942">
        <w:rPr>
          <w:lang w:val="en-CA"/>
        </w:rPr>
        <w:t>it cannot be argued that s</w:t>
      </w:r>
      <w:r w:rsidR="005669E7" w:rsidRPr="00366942">
        <w:rPr>
          <w:lang w:val="en-CA"/>
        </w:rPr>
        <w:t>. </w:t>
      </w:r>
      <w:r w:rsidR="00961A50" w:rsidRPr="00366942">
        <w:rPr>
          <w:lang w:val="en-CA"/>
        </w:rPr>
        <w:t>10</w:t>
      </w:r>
      <w:r w:rsidR="0047608C" w:rsidRPr="00366942">
        <w:rPr>
          <w:lang w:val="en-CA"/>
        </w:rPr>
        <w:t>, para</w:t>
      </w:r>
      <w:r w:rsidR="00961A50" w:rsidRPr="00366942">
        <w:rPr>
          <w:lang w:val="en-CA"/>
        </w:rPr>
        <w:t xml:space="preserve">. 4 </w:t>
      </w:r>
      <w:r w:rsidR="0047608C" w:rsidRPr="00366942">
        <w:rPr>
          <w:i/>
          <w:iCs/>
          <w:lang w:val="en-CA"/>
        </w:rPr>
        <w:t>HIA</w:t>
      </w:r>
      <w:r w:rsidR="00961A50" w:rsidRPr="00366942">
        <w:rPr>
          <w:lang w:val="en-CA"/>
        </w:rPr>
        <w:t xml:space="preserve"> </w:t>
      </w:r>
      <w:r w:rsidR="0047608C" w:rsidRPr="00366942">
        <w:rPr>
          <w:lang w:val="en-CA"/>
        </w:rPr>
        <w:t>infringes s</w:t>
      </w:r>
      <w:r w:rsidR="00961A50" w:rsidRPr="00366942">
        <w:rPr>
          <w:lang w:val="en-CA"/>
        </w:rPr>
        <w:t xml:space="preserve">. 15 </w:t>
      </w:r>
      <w:r w:rsidR="0047608C" w:rsidRPr="00366942">
        <w:rPr>
          <w:lang w:val="en-CA"/>
        </w:rPr>
        <w:t>of the</w:t>
      </w:r>
      <w:r w:rsidR="00961A50" w:rsidRPr="00366942">
        <w:rPr>
          <w:lang w:val="en-CA"/>
        </w:rPr>
        <w:t xml:space="preserve"> </w:t>
      </w:r>
      <w:r w:rsidR="0047608C" w:rsidRPr="00366942">
        <w:rPr>
          <w:i/>
          <w:iCs/>
          <w:lang w:val="en-CA"/>
        </w:rPr>
        <w:t>Canadian Charter</w:t>
      </w:r>
      <w:r w:rsidR="00961A50" w:rsidRPr="00366942">
        <w:rPr>
          <w:lang w:val="en-CA"/>
        </w:rPr>
        <w:t xml:space="preserve"> </w:t>
      </w:r>
      <w:r w:rsidR="0047608C" w:rsidRPr="00366942">
        <w:rPr>
          <w:lang w:val="en-CA"/>
        </w:rPr>
        <w:t xml:space="preserve">by indirectly creating, by its </w:t>
      </w:r>
      <w:r w:rsidR="00005506" w:rsidRPr="00366942">
        <w:rPr>
          <w:lang w:val="en-CA"/>
        </w:rPr>
        <w:t>impact</w:t>
      </w:r>
      <w:r w:rsidR="0047608C" w:rsidRPr="00366942">
        <w:rPr>
          <w:lang w:val="en-CA"/>
        </w:rPr>
        <w:t xml:space="preserve">, a distinction </w:t>
      </w:r>
      <w:r w:rsidRPr="00366942">
        <w:rPr>
          <w:lang w:val="en-CA"/>
        </w:rPr>
        <w:t xml:space="preserve">based on sex: </w:t>
      </w:r>
      <w:r w:rsidR="005669E7" w:rsidRPr="00366942">
        <w:rPr>
          <w:lang w:val="en-CA"/>
        </w:rPr>
        <w:t>this</w:t>
      </w:r>
      <w:r w:rsidR="00ED5507" w:rsidRPr="00366942">
        <w:rPr>
          <w:lang w:val="en-CA"/>
        </w:rPr>
        <w:t xml:space="preserve"> </w:t>
      </w:r>
      <w:r w:rsidRPr="00366942">
        <w:rPr>
          <w:lang w:val="en-CA"/>
        </w:rPr>
        <w:t xml:space="preserve">provision, which applies indifferently to any insured service, imposes, rather, the same reimbursement scheme </w:t>
      </w:r>
      <w:r w:rsidR="007F114E" w:rsidRPr="00366942">
        <w:rPr>
          <w:lang w:val="en-CA"/>
        </w:rPr>
        <w:t>on</w:t>
      </w:r>
      <w:r w:rsidRPr="00366942">
        <w:rPr>
          <w:lang w:val="en-CA"/>
        </w:rPr>
        <w:t xml:space="preserve"> all insured persons, </w:t>
      </w:r>
      <w:r w:rsidR="00D41ADD" w:rsidRPr="00366942">
        <w:rPr>
          <w:lang w:val="en-CA"/>
        </w:rPr>
        <w:t>irrespective of</w:t>
      </w:r>
      <w:r w:rsidRPr="00366942">
        <w:rPr>
          <w:lang w:val="en-CA"/>
        </w:rPr>
        <w:t xml:space="preserve"> their race, national or ethnic origin, colour, religion, sex, age or mental or physical disability, to use the words of s. </w:t>
      </w:r>
      <w:r w:rsidR="00961A50" w:rsidRPr="00366942">
        <w:rPr>
          <w:lang w:val="en-CA"/>
        </w:rPr>
        <w:t xml:space="preserve">15, </w:t>
      </w:r>
      <w:r w:rsidRPr="00366942">
        <w:rPr>
          <w:lang w:val="en-CA"/>
        </w:rPr>
        <w:t>or any analogous category</w:t>
      </w:r>
      <w:r w:rsidR="00961A50" w:rsidRPr="00366942">
        <w:rPr>
          <w:lang w:val="en-CA"/>
        </w:rPr>
        <w:t xml:space="preserve">. </w:t>
      </w:r>
      <w:r w:rsidRPr="00366942">
        <w:rPr>
          <w:lang w:val="en-CA"/>
        </w:rPr>
        <w:t>It does not</w:t>
      </w:r>
      <w:r w:rsidR="004C42A0" w:rsidRPr="00366942">
        <w:rPr>
          <w:lang w:val="en-CA"/>
        </w:rPr>
        <w:t>, therefore,</w:t>
      </w:r>
      <w:r w:rsidRPr="00366942">
        <w:rPr>
          <w:lang w:val="en-CA"/>
        </w:rPr>
        <w:t xml:space="preserve"> establish any distinction contrary to that provision</w:t>
      </w:r>
      <w:r w:rsidR="00961A50" w:rsidRPr="00366942">
        <w:rPr>
          <w:lang w:val="en-CA"/>
        </w:rPr>
        <w:t>.</w:t>
      </w:r>
    </w:p>
    <w:p w14:paraId="1611CC27" w14:textId="04DF055B" w:rsidR="00961A50" w:rsidRPr="00366942" w:rsidRDefault="007F114E" w:rsidP="00961A50">
      <w:pPr>
        <w:pStyle w:val="Paragraphe"/>
        <w:rPr>
          <w:lang w:val="en-CA"/>
        </w:rPr>
      </w:pPr>
      <w:r w:rsidRPr="00366942">
        <w:rPr>
          <w:lang w:val="en-CA"/>
        </w:rPr>
        <w:t>More specifically</w:t>
      </w:r>
      <w:r w:rsidR="00961A50" w:rsidRPr="00366942">
        <w:rPr>
          <w:lang w:val="en-CA"/>
        </w:rPr>
        <w:t xml:space="preserve">, </w:t>
      </w:r>
      <w:r w:rsidRPr="00366942">
        <w:rPr>
          <w:lang w:val="en-CA"/>
        </w:rPr>
        <w:t>according to the respondent</w:t>
      </w:r>
      <w:r w:rsidR="00961A50" w:rsidRPr="00366942">
        <w:rPr>
          <w:lang w:val="en-CA"/>
        </w:rPr>
        <w:t xml:space="preserve">, </w:t>
      </w:r>
      <w:r w:rsidRPr="00366942">
        <w:rPr>
          <w:lang w:val="en-CA"/>
        </w:rPr>
        <w:t>the appellant</w:t>
      </w:r>
      <w:r w:rsidR="0001379D" w:rsidRPr="00366942">
        <w:rPr>
          <w:lang w:val="en-CA"/>
        </w:rPr>
        <w:t xml:space="preserve"> has </w:t>
      </w:r>
      <w:r w:rsidR="00576503" w:rsidRPr="00366942">
        <w:rPr>
          <w:lang w:val="en-CA"/>
        </w:rPr>
        <w:t>failed to</w:t>
      </w:r>
      <w:r w:rsidR="0001379D" w:rsidRPr="00366942">
        <w:rPr>
          <w:lang w:val="en-CA"/>
        </w:rPr>
        <w:t xml:space="preserve"> show that the provision distinguishes </w:t>
      </w:r>
      <w:r w:rsidR="006D62AC" w:rsidRPr="00366942">
        <w:rPr>
          <w:lang w:val="en-CA"/>
        </w:rPr>
        <w:t>between</w:t>
      </w:r>
      <w:r w:rsidR="0001379D" w:rsidRPr="00366942">
        <w:rPr>
          <w:lang w:val="en-CA"/>
        </w:rPr>
        <w:t xml:space="preserve"> insured person</w:t>
      </w:r>
      <w:r w:rsidR="006D62AC" w:rsidRPr="00366942">
        <w:rPr>
          <w:lang w:val="en-CA"/>
        </w:rPr>
        <w:t>s</w:t>
      </w:r>
      <w:r w:rsidR="0001379D" w:rsidRPr="00366942">
        <w:rPr>
          <w:lang w:val="en-CA"/>
        </w:rPr>
        <w:t xml:space="preserve"> </w:t>
      </w:r>
      <w:r w:rsidR="00576503" w:rsidRPr="00366942">
        <w:rPr>
          <w:lang w:val="en-CA"/>
        </w:rPr>
        <w:t>on the basis of</w:t>
      </w:r>
      <w:r w:rsidR="0001379D" w:rsidRPr="00366942">
        <w:rPr>
          <w:lang w:val="en-CA"/>
        </w:rPr>
        <w:t xml:space="preserve"> their sex, affecting women disproportionately</w:t>
      </w:r>
      <w:r w:rsidR="00961A50" w:rsidRPr="00366942">
        <w:rPr>
          <w:lang w:val="en-CA"/>
        </w:rPr>
        <w:t xml:space="preserve">. </w:t>
      </w:r>
      <w:r w:rsidR="0001379D" w:rsidRPr="00366942">
        <w:rPr>
          <w:lang w:val="en-CA"/>
        </w:rPr>
        <w:t>On that matter</w:t>
      </w:r>
      <w:r w:rsidR="00961A50" w:rsidRPr="00366942">
        <w:rPr>
          <w:lang w:val="en-CA"/>
        </w:rPr>
        <w:t xml:space="preserve">, </w:t>
      </w:r>
      <w:r w:rsidR="0001379D" w:rsidRPr="00366942">
        <w:rPr>
          <w:lang w:val="en-CA"/>
        </w:rPr>
        <w:t xml:space="preserve">the responded claims that the appellant </w:t>
      </w:r>
      <w:r w:rsidR="00BA618B" w:rsidRPr="00366942">
        <w:rPr>
          <w:lang w:val="en-CA"/>
        </w:rPr>
        <w:t>conflates</w:t>
      </w:r>
      <w:r w:rsidR="00DE0008" w:rsidRPr="00366942">
        <w:rPr>
          <w:lang w:val="en-CA"/>
        </w:rPr>
        <w:t xml:space="preserve"> </w:t>
      </w:r>
      <w:r w:rsidR="00AD168C" w:rsidRPr="00366942">
        <w:rPr>
          <w:lang w:val="en-CA"/>
        </w:rPr>
        <w:t>the two st</w:t>
      </w:r>
      <w:r w:rsidR="006D62AC" w:rsidRPr="00366942">
        <w:rPr>
          <w:lang w:val="en-CA"/>
        </w:rPr>
        <w:t>eps</w:t>
      </w:r>
      <w:r w:rsidR="00AD168C" w:rsidRPr="00366942">
        <w:rPr>
          <w:lang w:val="en-CA"/>
        </w:rPr>
        <w:t xml:space="preserve"> of the test articulated in the caselaw </w:t>
      </w:r>
      <w:r w:rsidR="006D62AC" w:rsidRPr="00366942">
        <w:rPr>
          <w:lang w:val="en-CA"/>
        </w:rPr>
        <w:t>to</w:t>
      </w:r>
      <w:r w:rsidR="00AD168C" w:rsidRPr="00366942">
        <w:rPr>
          <w:lang w:val="en-CA"/>
        </w:rPr>
        <w:t xml:space="preserve"> determin</w:t>
      </w:r>
      <w:r w:rsidR="006D62AC" w:rsidRPr="00366942">
        <w:rPr>
          <w:lang w:val="en-CA"/>
        </w:rPr>
        <w:t>e</w:t>
      </w:r>
      <w:r w:rsidR="00AD168C" w:rsidRPr="00366942">
        <w:rPr>
          <w:lang w:val="en-CA"/>
        </w:rPr>
        <w:t xml:space="preserve"> whether</w:t>
      </w:r>
      <w:r w:rsidR="00DE0008" w:rsidRPr="00366942">
        <w:rPr>
          <w:lang w:val="en-CA"/>
        </w:rPr>
        <w:t xml:space="preserve"> </w:t>
      </w:r>
      <w:r w:rsidR="00AD168C" w:rsidRPr="00366942">
        <w:rPr>
          <w:lang w:val="en-CA"/>
        </w:rPr>
        <w:t>there is discrimination, and uses women’s historical disadvantage, notably in matters of reproductive health, to establish the existence of a distinction, an approach that has been clearly rejected by the Supreme Court</w:t>
      </w:r>
      <w:r w:rsidR="006D62AC" w:rsidRPr="00366942">
        <w:rPr>
          <w:lang w:val="en-CA"/>
        </w:rPr>
        <w:t xml:space="preserve"> in</w:t>
      </w:r>
      <w:r w:rsidR="00AD168C" w:rsidRPr="00366942">
        <w:rPr>
          <w:lang w:val="en-CA"/>
        </w:rPr>
        <w:t xml:space="preserve"> </w:t>
      </w:r>
      <w:r w:rsidR="00961A50" w:rsidRPr="00366942">
        <w:rPr>
          <w:i/>
          <w:iCs/>
          <w:lang w:val="en-CA"/>
        </w:rPr>
        <w:t>Sharma</w:t>
      </w:r>
      <w:bookmarkStart w:id="16" w:name="_Ref173269375"/>
      <w:r w:rsidR="006D62AC" w:rsidRPr="00366942">
        <w:rPr>
          <w:lang w:val="en-CA"/>
        </w:rPr>
        <w:t>.</w:t>
      </w:r>
      <w:r w:rsidR="00961A50" w:rsidRPr="00366942">
        <w:rPr>
          <w:rStyle w:val="Appelnotedebasdep"/>
          <w:lang w:val="en-CA"/>
        </w:rPr>
        <w:footnoteReference w:id="15"/>
      </w:r>
      <w:bookmarkEnd w:id="16"/>
    </w:p>
    <w:p w14:paraId="43D1BD5F" w14:textId="39F24BCE" w:rsidR="00961A50" w:rsidRPr="00366942" w:rsidRDefault="0001379D" w:rsidP="00961A50">
      <w:pPr>
        <w:pStyle w:val="Paragraphe"/>
        <w:rPr>
          <w:lang w:val="en-CA"/>
        </w:rPr>
      </w:pPr>
      <w:r w:rsidRPr="00366942">
        <w:rPr>
          <w:lang w:val="en-CA"/>
        </w:rPr>
        <w:t>In any event</w:t>
      </w:r>
      <w:r w:rsidR="00961A50" w:rsidRPr="00366942">
        <w:rPr>
          <w:lang w:val="en-CA"/>
        </w:rPr>
        <w:t xml:space="preserve">, </w:t>
      </w:r>
      <w:r w:rsidR="005669E7" w:rsidRPr="00366942">
        <w:rPr>
          <w:lang w:val="en-CA"/>
        </w:rPr>
        <w:t>the respondent submits that</w:t>
      </w:r>
      <w:r w:rsidR="00961A50" w:rsidRPr="00366942">
        <w:rPr>
          <w:lang w:val="en-CA"/>
        </w:rPr>
        <w:t xml:space="preserve"> </w:t>
      </w:r>
      <w:r w:rsidRPr="00366942">
        <w:rPr>
          <w:lang w:val="en-CA"/>
        </w:rPr>
        <w:t>the appellant has not dis</w:t>
      </w:r>
      <w:r w:rsidR="00DE0008" w:rsidRPr="00366942">
        <w:rPr>
          <w:lang w:val="en-CA"/>
        </w:rPr>
        <w:t>charg</w:t>
      </w:r>
      <w:r w:rsidRPr="00366942">
        <w:rPr>
          <w:lang w:val="en-CA"/>
        </w:rPr>
        <w:t xml:space="preserve">ed </w:t>
      </w:r>
      <w:r w:rsidR="00576503" w:rsidRPr="00366942">
        <w:rPr>
          <w:lang w:val="en-CA"/>
        </w:rPr>
        <w:t>her</w:t>
      </w:r>
      <w:r w:rsidRPr="00366942">
        <w:rPr>
          <w:lang w:val="en-CA"/>
        </w:rPr>
        <w:t xml:space="preserve"> burden of showing, at the second </w:t>
      </w:r>
      <w:r w:rsidR="00DE0008" w:rsidRPr="00366942">
        <w:rPr>
          <w:lang w:val="en-CA"/>
        </w:rPr>
        <w:t>step</w:t>
      </w:r>
      <w:r w:rsidRPr="00366942">
        <w:rPr>
          <w:lang w:val="en-CA"/>
        </w:rPr>
        <w:t xml:space="preserve">, that s. 10, para. 4 </w:t>
      </w:r>
      <w:r w:rsidRPr="00366942">
        <w:rPr>
          <w:i/>
          <w:iCs/>
          <w:lang w:val="en-CA"/>
        </w:rPr>
        <w:t>HIA</w:t>
      </w:r>
      <w:r w:rsidRPr="00366942">
        <w:rPr>
          <w:lang w:val="en-CA"/>
        </w:rPr>
        <w:t xml:space="preserve"> reinforces, perpetuates or exacerbates the disadvantage that women face in matters of reproductive health</w:t>
      </w:r>
      <w:r w:rsidR="00576503" w:rsidRPr="00366942">
        <w:rPr>
          <w:lang w:val="en-CA"/>
        </w:rPr>
        <w:t xml:space="preserve"> </w:t>
      </w:r>
      <w:r w:rsidRPr="00366942">
        <w:rPr>
          <w:lang w:val="en-CA"/>
        </w:rPr>
        <w:t xml:space="preserve">care, </w:t>
      </w:r>
      <w:r w:rsidRPr="00366942">
        <w:rPr>
          <w:lang w:val="en-CA"/>
        </w:rPr>
        <w:lastRenderedPageBreak/>
        <w:t>with the</w:t>
      </w:r>
      <w:r w:rsidR="00961A50" w:rsidRPr="00366942">
        <w:rPr>
          <w:lang w:val="en-CA"/>
        </w:rPr>
        <w:t xml:space="preserve"> </w:t>
      </w:r>
      <w:r w:rsidR="00DE0008" w:rsidRPr="00366942">
        <w:rPr>
          <w:lang w:val="en-CA"/>
        </w:rPr>
        <w:t>impacts</w:t>
      </w:r>
      <w:r w:rsidR="004B67A4" w:rsidRPr="00366942">
        <w:rPr>
          <w:lang w:val="en-CA"/>
        </w:rPr>
        <w:t xml:space="preserve"> that follow</w:t>
      </w:r>
      <w:r w:rsidR="00961A50" w:rsidRPr="00366942">
        <w:rPr>
          <w:lang w:val="en-CA"/>
        </w:rPr>
        <w:t xml:space="preserve"> </w:t>
      </w:r>
      <w:r w:rsidR="00DE0008" w:rsidRPr="00366942">
        <w:rPr>
          <w:lang w:val="en-CA"/>
        </w:rPr>
        <w:t xml:space="preserve">on their ability to fully </w:t>
      </w:r>
      <w:r w:rsidR="00005506" w:rsidRPr="00366942">
        <w:rPr>
          <w:lang w:val="en-CA"/>
        </w:rPr>
        <w:t>integrate into</w:t>
      </w:r>
      <w:r w:rsidR="00DE0008" w:rsidRPr="00366942">
        <w:rPr>
          <w:lang w:val="en-CA"/>
        </w:rPr>
        <w:t xml:space="preserve"> social life and the </w:t>
      </w:r>
      <w:r w:rsidR="00005506" w:rsidRPr="00366942">
        <w:rPr>
          <w:lang w:val="en-CA"/>
        </w:rPr>
        <w:t>workforce</w:t>
      </w:r>
      <w:r w:rsidR="00961A50" w:rsidRPr="00366942">
        <w:rPr>
          <w:lang w:val="en-CA"/>
        </w:rPr>
        <w:t xml:space="preserve">. </w:t>
      </w:r>
      <w:r w:rsidR="00DE0008" w:rsidRPr="00366942">
        <w:rPr>
          <w:lang w:val="en-CA"/>
        </w:rPr>
        <w:t>Rather, the appellant</w:t>
      </w:r>
      <w:r w:rsidR="00160E2F" w:rsidRPr="00366942">
        <w:rPr>
          <w:lang w:val="en-CA"/>
        </w:rPr>
        <w:t xml:space="preserve"> seeks here [</w:t>
      </w:r>
      <w:r w:rsidR="00160E2F" w:rsidRPr="00366942">
        <w:rPr>
          <w:smallCaps/>
          <w:lang w:val="en-CA"/>
        </w:rPr>
        <w:t>translation</w:t>
      </w:r>
      <w:r w:rsidR="00160E2F" w:rsidRPr="00366942">
        <w:rPr>
          <w:lang w:val="en-CA"/>
        </w:rPr>
        <w:t>] “a</w:t>
      </w:r>
      <w:r w:rsidR="00961A50" w:rsidRPr="00366942">
        <w:rPr>
          <w:lang w:val="en-CA"/>
        </w:rPr>
        <w:t xml:space="preserve"> </w:t>
      </w:r>
      <w:r w:rsidR="00160E2F" w:rsidRPr="00366942">
        <w:rPr>
          <w:lang w:val="en-CA"/>
        </w:rPr>
        <w:t>benefit that is not provided in the legislation,”</w:t>
      </w:r>
      <w:r w:rsidR="00961A50" w:rsidRPr="00366942">
        <w:rPr>
          <w:rStyle w:val="Appelnotedebasdep"/>
          <w:lang w:val="en-CA"/>
        </w:rPr>
        <w:footnoteReference w:id="16"/>
      </w:r>
      <w:r w:rsidR="00961A50" w:rsidRPr="00366942">
        <w:rPr>
          <w:lang w:val="en-CA"/>
        </w:rPr>
        <w:t xml:space="preserve"> </w:t>
      </w:r>
      <w:r w:rsidR="00160E2F" w:rsidRPr="00366942">
        <w:rPr>
          <w:lang w:val="en-CA"/>
        </w:rPr>
        <w:t>i.e.</w:t>
      </w:r>
      <w:r w:rsidR="00576503" w:rsidRPr="00366942">
        <w:rPr>
          <w:lang w:val="en-CA"/>
        </w:rPr>
        <w:t>,</w:t>
      </w:r>
      <w:r w:rsidR="00160E2F" w:rsidRPr="00366942">
        <w:rPr>
          <w:lang w:val="en-CA"/>
        </w:rPr>
        <w:t xml:space="preserve"> reimbursement of the entire cost of the care received outside Quebec, a benefit that the legislator is not bound to provide</w:t>
      </w:r>
      <w:r w:rsidR="00961A50" w:rsidRPr="00366942">
        <w:rPr>
          <w:lang w:val="en-CA"/>
        </w:rPr>
        <w:t>.</w:t>
      </w:r>
    </w:p>
    <w:p w14:paraId="605AD11B" w14:textId="040AB061" w:rsidR="00961A50" w:rsidRPr="00366942" w:rsidRDefault="00160E2F" w:rsidP="00961A50">
      <w:pPr>
        <w:pStyle w:val="Paragraphe"/>
        <w:rPr>
          <w:lang w:val="en-CA"/>
        </w:rPr>
      </w:pPr>
      <w:r w:rsidRPr="00366942">
        <w:rPr>
          <w:lang w:val="en-CA"/>
        </w:rPr>
        <w:t xml:space="preserve">In its additional </w:t>
      </w:r>
      <w:r w:rsidR="00906121" w:rsidRPr="00366942">
        <w:rPr>
          <w:lang w:val="en-CA"/>
        </w:rPr>
        <w:t>submissions</w:t>
      </w:r>
      <w:r w:rsidRPr="00366942">
        <w:rPr>
          <w:lang w:val="en-CA"/>
        </w:rPr>
        <w:t xml:space="preserve">, </w:t>
      </w:r>
      <w:r w:rsidR="00E41FF0" w:rsidRPr="00366942">
        <w:rPr>
          <w:lang w:val="en-CA"/>
        </w:rPr>
        <w:t xml:space="preserve">the respondent thus </w:t>
      </w:r>
      <w:r w:rsidR="00906121" w:rsidRPr="00366942">
        <w:rPr>
          <w:lang w:val="en-CA"/>
        </w:rPr>
        <w:t>argued</w:t>
      </w:r>
      <w:r w:rsidR="00E41FF0" w:rsidRPr="00366942">
        <w:rPr>
          <w:lang w:val="en-CA"/>
        </w:rPr>
        <w:t xml:space="preserve"> that</w:t>
      </w:r>
      <w:r w:rsidR="00961A50" w:rsidRPr="00366942">
        <w:rPr>
          <w:lang w:val="en-CA"/>
        </w:rPr>
        <w:t>:</w:t>
      </w:r>
    </w:p>
    <w:p w14:paraId="7D4EAF8D" w14:textId="3D3302B6" w:rsidR="00E41FF0" w:rsidRPr="00366942" w:rsidRDefault="00E41FF0" w:rsidP="00961A50">
      <w:pPr>
        <w:pStyle w:val="Citationenretrait"/>
        <w:rPr>
          <w:lang w:val="en-CA"/>
        </w:rPr>
      </w:pPr>
      <w:r w:rsidRPr="00366942">
        <w:rPr>
          <w:lang w:val="en-CA"/>
        </w:rPr>
        <w:t>[</w:t>
      </w:r>
      <w:r w:rsidRPr="00366942">
        <w:rPr>
          <w:smallCaps/>
          <w:lang w:val="en-CA"/>
        </w:rPr>
        <w:t>translation</w:t>
      </w:r>
      <w:r w:rsidRPr="00366942">
        <w:rPr>
          <w:lang w:val="en-CA"/>
        </w:rPr>
        <w:t>]</w:t>
      </w:r>
    </w:p>
    <w:p w14:paraId="1714F2B8" w14:textId="114CE150" w:rsidR="00961A50" w:rsidRPr="00366942" w:rsidRDefault="00E41FF0" w:rsidP="00961A50">
      <w:pPr>
        <w:pStyle w:val="Citationenretrait"/>
        <w:rPr>
          <w:lang w:val="en-CA"/>
        </w:rPr>
      </w:pPr>
      <w:r w:rsidRPr="00366942">
        <w:rPr>
          <w:lang w:val="en-CA"/>
        </w:rPr>
        <w:t xml:space="preserve">Firstly, the Court of </w:t>
      </w:r>
      <w:r w:rsidR="003A2C10" w:rsidRPr="00366942">
        <w:rPr>
          <w:lang w:val="en-CA"/>
        </w:rPr>
        <w:t>A</w:t>
      </w:r>
      <w:r w:rsidRPr="00366942">
        <w:rPr>
          <w:lang w:val="en-CA"/>
        </w:rPr>
        <w:t xml:space="preserve">ppeal’s reasons in </w:t>
      </w:r>
      <w:r w:rsidR="00961A50" w:rsidRPr="00366942">
        <w:rPr>
          <w:i/>
          <w:iCs/>
          <w:lang w:val="en-CA"/>
        </w:rPr>
        <w:t>Kanyinda</w:t>
      </w:r>
      <w:r w:rsidR="00961A50" w:rsidRPr="00366942">
        <w:rPr>
          <w:lang w:val="en-CA"/>
        </w:rPr>
        <w:t xml:space="preserve"> </w:t>
      </w:r>
      <w:r w:rsidR="003A2C10" w:rsidRPr="00366942">
        <w:rPr>
          <w:lang w:val="en-CA"/>
        </w:rPr>
        <w:t>make it clear</w:t>
      </w:r>
      <w:r w:rsidRPr="00366942">
        <w:rPr>
          <w:lang w:val="en-CA"/>
        </w:rPr>
        <w:t xml:space="preserve"> that that case involved access to a benefit provided by a regulation, more specifically access to payment of the reduced contribution </w:t>
      </w:r>
      <w:r w:rsidR="00961A50" w:rsidRPr="00366942">
        <w:rPr>
          <w:lang w:val="en-CA"/>
        </w:rPr>
        <w:t>(</w:t>
      </w:r>
      <w:r w:rsidRPr="00366942">
        <w:rPr>
          <w:lang w:val="en-CA"/>
        </w:rPr>
        <w:t xml:space="preserve">see, </w:t>
      </w:r>
      <w:r w:rsidRPr="00366942">
        <w:rPr>
          <w:i/>
          <w:iCs/>
          <w:lang w:val="en-CA"/>
        </w:rPr>
        <w:t>inter alia</w:t>
      </w:r>
      <w:r w:rsidRPr="00366942">
        <w:rPr>
          <w:lang w:val="en-CA"/>
        </w:rPr>
        <w:t>,</w:t>
      </w:r>
      <w:r w:rsidR="00961A50" w:rsidRPr="00366942">
        <w:rPr>
          <w:lang w:val="en-CA"/>
        </w:rPr>
        <w:t xml:space="preserve"> </w:t>
      </w:r>
      <w:r w:rsidRPr="00366942">
        <w:rPr>
          <w:lang w:val="en-CA"/>
        </w:rPr>
        <w:t>paras</w:t>
      </w:r>
      <w:r w:rsidR="00961A50" w:rsidRPr="00366942">
        <w:rPr>
          <w:lang w:val="en-CA"/>
        </w:rPr>
        <w:t xml:space="preserve">. 12, 60 </w:t>
      </w:r>
      <w:r w:rsidR="00961A50" w:rsidRPr="00366942">
        <w:rPr>
          <w:i/>
          <w:iCs/>
          <w:lang w:val="en-CA"/>
        </w:rPr>
        <w:t>in fine</w:t>
      </w:r>
      <w:r w:rsidR="00961A50" w:rsidRPr="00366942">
        <w:rPr>
          <w:lang w:val="en-CA"/>
        </w:rPr>
        <w:t xml:space="preserve">, 64, 65 </w:t>
      </w:r>
      <w:r w:rsidRPr="00366942">
        <w:rPr>
          <w:lang w:val="en-CA"/>
        </w:rPr>
        <w:t>and</w:t>
      </w:r>
      <w:r w:rsidR="00961A50" w:rsidRPr="00366942">
        <w:rPr>
          <w:lang w:val="en-CA"/>
        </w:rPr>
        <w:t xml:space="preserve"> 87 </w:t>
      </w:r>
      <w:r w:rsidRPr="00366942">
        <w:rPr>
          <w:lang w:val="en-CA"/>
        </w:rPr>
        <w:t>of the judgment</w:t>
      </w:r>
      <w:r w:rsidR="00961A50" w:rsidRPr="00366942">
        <w:rPr>
          <w:lang w:val="en-CA"/>
        </w:rPr>
        <w:t xml:space="preserve">) </w:t>
      </w:r>
      <w:r w:rsidRPr="00366942">
        <w:rPr>
          <w:lang w:val="en-CA"/>
        </w:rPr>
        <w:t>provided in s.</w:t>
      </w:r>
      <w:r w:rsidR="00961A50" w:rsidRPr="00366942">
        <w:rPr>
          <w:lang w:val="en-CA"/>
        </w:rPr>
        <w:t xml:space="preserve"> 3 </w:t>
      </w:r>
      <w:r w:rsidRPr="00366942">
        <w:rPr>
          <w:lang w:val="en-CA"/>
        </w:rPr>
        <w:t>of the</w:t>
      </w:r>
      <w:r w:rsidR="00961A50" w:rsidRPr="00366942">
        <w:rPr>
          <w:lang w:val="en-CA"/>
        </w:rPr>
        <w:t xml:space="preserve"> </w:t>
      </w:r>
      <w:r w:rsidRPr="00366942">
        <w:rPr>
          <w:i/>
          <w:iCs/>
          <w:lang w:val="en-CA"/>
        </w:rPr>
        <w:t xml:space="preserve">Reduced Contribution Regulation </w:t>
      </w:r>
      <w:r w:rsidR="00961A50" w:rsidRPr="00366942">
        <w:rPr>
          <w:lang w:val="en-CA"/>
        </w:rPr>
        <w:t>(</w:t>
      </w:r>
      <w:r w:rsidRPr="00366942">
        <w:rPr>
          <w:lang w:val="en-CA"/>
        </w:rPr>
        <w:t>CQLR</w:t>
      </w:r>
      <w:r w:rsidR="00961A50" w:rsidRPr="00366942">
        <w:rPr>
          <w:lang w:val="en-CA"/>
        </w:rPr>
        <w:t xml:space="preserve"> c. S-4.1.1, r.1). </w:t>
      </w:r>
      <w:r w:rsidRPr="00366942">
        <w:rPr>
          <w:lang w:val="en-CA"/>
        </w:rPr>
        <w:t xml:space="preserve">In short, the </w:t>
      </w:r>
      <w:r w:rsidR="003A2C10" w:rsidRPr="00366942">
        <w:rPr>
          <w:lang w:val="en-CA"/>
        </w:rPr>
        <w:t xml:space="preserve">incidental </w:t>
      </w:r>
      <w:r w:rsidRPr="00366942">
        <w:rPr>
          <w:lang w:val="en-CA"/>
        </w:rPr>
        <w:t xml:space="preserve">appellant in </w:t>
      </w:r>
      <w:r w:rsidR="00961A50" w:rsidRPr="00366942">
        <w:rPr>
          <w:i/>
          <w:iCs/>
          <w:lang w:val="en-CA"/>
        </w:rPr>
        <w:t>Kanyinda</w:t>
      </w:r>
      <w:r w:rsidR="00961A50" w:rsidRPr="00366942">
        <w:rPr>
          <w:lang w:val="en-CA"/>
        </w:rPr>
        <w:t xml:space="preserve"> </w:t>
      </w:r>
      <w:r w:rsidR="003A2C10" w:rsidRPr="00366942">
        <w:rPr>
          <w:lang w:val="en-CA"/>
        </w:rPr>
        <w:t xml:space="preserve">was claiming </w:t>
      </w:r>
      <w:r w:rsidR="00E17FFB" w:rsidRPr="00366942">
        <w:rPr>
          <w:lang w:val="en-CA"/>
        </w:rPr>
        <w:t xml:space="preserve">what </w:t>
      </w:r>
      <w:r w:rsidR="003A2C10" w:rsidRPr="00366942">
        <w:rPr>
          <w:lang w:val="en-CA"/>
        </w:rPr>
        <w:t>had been</w:t>
      </w:r>
      <w:r w:rsidR="00E17FFB" w:rsidRPr="00366942">
        <w:rPr>
          <w:lang w:val="en-CA"/>
        </w:rPr>
        <w:t xml:space="preserve"> denied her</w:t>
      </w:r>
      <w:r w:rsidR="003A2C10" w:rsidRPr="00366942">
        <w:rPr>
          <w:lang w:val="en-CA"/>
        </w:rPr>
        <w:t xml:space="preserve"> </w:t>
      </w:r>
      <w:r w:rsidR="00E17FFB" w:rsidRPr="00366942">
        <w:rPr>
          <w:lang w:val="en-CA"/>
        </w:rPr>
        <w:t>but granted to others: the reduced contribution</w:t>
      </w:r>
      <w:r w:rsidR="00961A50" w:rsidRPr="00366942">
        <w:rPr>
          <w:lang w:val="en-CA"/>
        </w:rPr>
        <w:t>.</w:t>
      </w:r>
    </w:p>
    <w:p w14:paraId="19B044A1" w14:textId="671BFDCB" w:rsidR="00961A50" w:rsidRPr="00366942" w:rsidRDefault="00E17FFB" w:rsidP="00961A50">
      <w:pPr>
        <w:pStyle w:val="Citationenretrait"/>
        <w:rPr>
          <w:lang w:val="en-CA"/>
        </w:rPr>
      </w:pPr>
      <w:r w:rsidRPr="00366942">
        <w:rPr>
          <w:lang w:val="en-CA"/>
        </w:rPr>
        <w:t xml:space="preserve">The </w:t>
      </w:r>
      <w:r w:rsidR="00961A50" w:rsidRPr="00366942">
        <w:rPr>
          <w:lang w:val="en-CA"/>
        </w:rPr>
        <w:t xml:space="preserve">situation </w:t>
      </w:r>
      <w:r w:rsidRPr="00366942">
        <w:rPr>
          <w:lang w:val="en-CA"/>
        </w:rPr>
        <w:t>is altogether different in</w:t>
      </w:r>
      <w:r w:rsidR="00961A50" w:rsidRPr="00366942">
        <w:rPr>
          <w:lang w:val="en-CA"/>
        </w:rPr>
        <w:t xml:space="preserve"> </w:t>
      </w:r>
      <w:r w:rsidR="00961A50" w:rsidRPr="00366942">
        <w:rPr>
          <w:i/>
          <w:iCs/>
          <w:lang w:val="en-CA"/>
        </w:rPr>
        <w:t>A. P. c. PGQ</w:t>
      </w:r>
      <w:r w:rsidR="00961A50" w:rsidRPr="00366942">
        <w:rPr>
          <w:lang w:val="en-CA"/>
        </w:rPr>
        <w:t xml:space="preserve">. </w:t>
      </w:r>
      <w:r w:rsidR="004465D5" w:rsidRPr="00366942">
        <w:rPr>
          <w:lang w:val="en-CA"/>
        </w:rPr>
        <w:t xml:space="preserve">Indeed, in this case, the appellant </w:t>
      </w:r>
      <w:r w:rsidR="004465D5" w:rsidRPr="00366942">
        <w:rPr>
          <w:u w:val="single"/>
          <w:lang w:val="en-CA"/>
        </w:rPr>
        <w:t>is</w:t>
      </w:r>
      <w:r w:rsidR="00961A50" w:rsidRPr="00366942">
        <w:rPr>
          <w:u w:val="single"/>
          <w:lang w:val="en-CA"/>
        </w:rPr>
        <w:t xml:space="preserve"> </w:t>
      </w:r>
      <w:r w:rsidR="004465D5" w:rsidRPr="00366942">
        <w:rPr>
          <w:u w:val="single"/>
          <w:lang w:val="en-CA"/>
        </w:rPr>
        <w:t>eligi</w:t>
      </w:r>
      <w:r w:rsidR="00961A50" w:rsidRPr="00366942">
        <w:rPr>
          <w:u w:val="single"/>
          <w:lang w:val="en-CA"/>
        </w:rPr>
        <w:t>ble</w:t>
      </w:r>
      <w:r w:rsidR="00961A50" w:rsidRPr="00366942">
        <w:rPr>
          <w:lang w:val="en-CA"/>
        </w:rPr>
        <w:t xml:space="preserve"> </w:t>
      </w:r>
      <w:r w:rsidR="004465D5" w:rsidRPr="00366942">
        <w:rPr>
          <w:lang w:val="en-CA"/>
        </w:rPr>
        <w:t>for the benefit provided for in the legislation, i.e.</w:t>
      </w:r>
      <w:r w:rsidR="003A2C10" w:rsidRPr="00366942">
        <w:rPr>
          <w:lang w:val="en-CA"/>
        </w:rPr>
        <w:t>,</w:t>
      </w:r>
      <w:r w:rsidR="004465D5" w:rsidRPr="00366942">
        <w:rPr>
          <w:lang w:val="en-CA"/>
        </w:rPr>
        <w:t xml:space="preserve"> the reimbursement for care received outside Quebec, up to the lesser of the amount actually paid and the amount established by the Board for such services in Quebec</w:t>
      </w:r>
      <w:r w:rsidR="00961A50" w:rsidRPr="00366942">
        <w:rPr>
          <w:lang w:val="en-CA"/>
        </w:rPr>
        <w:t xml:space="preserve">. </w:t>
      </w:r>
      <w:r w:rsidR="004465D5" w:rsidRPr="00366942">
        <w:rPr>
          <w:lang w:val="en-CA"/>
        </w:rPr>
        <w:t xml:space="preserve">As the </w:t>
      </w:r>
      <w:r w:rsidR="004646EA" w:rsidRPr="00366942">
        <w:rPr>
          <w:lang w:val="en-CA"/>
        </w:rPr>
        <w:t xml:space="preserve">facts </w:t>
      </w:r>
      <w:r w:rsidR="00D21DAE" w:rsidRPr="00366942">
        <w:rPr>
          <w:lang w:val="en-CA"/>
        </w:rPr>
        <w:t>on</w:t>
      </w:r>
      <w:r w:rsidR="004646EA" w:rsidRPr="00366942">
        <w:rPr>
          <w:lang w:val="en-CA"/>
        </w:rPr>
        <w:t xml:space="preserve"> the </w:t>
      </w:r>
      <w:r w:rsidR="004465D5" w:rsidRPr="00366942">
        <w:rPr>
          <w:lang w:val="en-CA"/>
        </w:rPr>
        <w:t>record indicate, the appellant received that benefit</w:t>
      </w:r>
      <w:r w:rsidR="004646EA" w:rsidRPr="00366942">
        <w:rPr>
          <w:lang w:val="en-CA"/>
        </w:rPr>
        <w:t xml:space="preserve"> in accordance with the terms set forth in s.</w:t>
      </w:r>
      <w:r w:rsidR="00961A50" w:rsidRPr="00366942">
        <w:rPr>
          <w:lang w:val="en-CA"/>
        </w:rPr>
        <w:t xml:space="preserve"> 10 </w:t>
      </w:r>
      <w:r w:rsidR="004646EA" w:rsidRPr="00366942">
        <w:rPr>
          <w:lang w:val="en-CA"/>
        </w:rPr>
        <w:t>of the</w:t>
      </w:r>
      <w:r w:rsidR="00961A50" w:rsidRPr="00366942">
        <w:rPr>
          <w:lang w:val="en-CA"/>
        </w:rPr>
        <w:t xml:space="preserve"> </w:t>
      </w:r>
      <w:r w:rsidR="004646EA" w:rsidRPr="00366942">
        <w:rPr>
          <w:lang w:val="en-CA"/>
        </w:rPr>
        <w:t xml:space="preserve">Quebec </w:t>
      </w:r>
      <w:r w:rsidR="004646EA" w:rsidRPr="00366942">
        <w:rPr>
          <w:i/>
          <w:iCs/>
          <w:lang w:val="en-CA"/>
        </w:rPr>
        <w:t>Health Insurance Act</w:t>
      </w:r>
      <w:r w:rsidR="00961A50" w:rsidRPr="00366942">
        <w:rPr>
          <w:lang w:val="en-CA"/>
        </w:rPr>
        <w:t xml:space="preserve"> (</w:t>
      </w:r>
      <w:r w:rsidR="004646EA" w:rsidRPr="00366942">
        <w:rPr>
          <w:lang w:val="en-CA"/>
        </w:rPr>
        <w:t>CQLR</w:t>
      </w:r>
      <w:r w:rsidR="00961A50" w:rsidRPr="00366942">
        <w:rPr>
          <w:lang w:val="en-CA"/>
        </w:rPr>
        <w:t>, c. A-29) (</w:t>
      </w:r>
      <w:r w:rsidR="004646EA" w:rsidRPr="00366942">
        <w:rPr>
          <w:lang w:val="en-CA"/>
        </w:rPr>
        <w:t>“</w:t>
      </w:r>
      <w:r w:rsidR="004646EA" w:rsidRPr="00366942">
        <w:rPr>
          <w:i/>
          <w:iCs/>
          <w:lang w:val="en-CA"/>
        </w:rPr>
        <w:t>HIA</w:t>
      </w:r>
      <w:r w:rsidR="004646EA" w:rsidRPr="00366942">
        <w:rPr>
          <w:lang w:val="en-CA"/>
        </w:rPr>
        <w:t>”</w:t>
      </w:r>
      <w:r w:rsidR="00961A50" w:rsidRPr="00366942">
        <w:rPr>
          <w:lang w:val="en-CA"/>
        </w:rPr>
        <w:t xml:space="preserve">), </w:t>
      </w:r>
      <w:r w:rsidR="00D10A05" w:rsidRPr="00366942">
        <w:rPr>
          <w:lang w:val="en-CA"/>
        </w:rPr>
        <w:t>like</w:t>
      </w:r>
      <w:r w:rsidR="004646EA" w:rsidRPr="00366942">
        <w:rPr>
          <w:lang w:val="en-CA"/>
        </w:rPr>
        <w:t xml:space="preserve"> any other insured person receiving care normally available in Quebec in another province</w:t>
      </w:r>
      <w:r w:rsidR="00961A50" w:rsidRPr="00366942">
        <w:rPr>
          <w:lang w:val="en-CA"/>
        </w:rPr>
        <w:t xml:space="preserve"> (</w:t>
      </w:r>
      <w:r w:rsidR="004646EA" w:rsidRPr="00366942">
        <w:rPr>
          <w:lang w:val="en-CA"/>
        </w:rPr>
        <w:t>respondent’s argument</w:t>
      </w:r>
      <w:r w:rsidR="00961A50" w:rsidRPr="00366942">
        <w:rPr>
          <w:lang w:val="en-CA"/>
        </w:rPr>
        <w:t>, par</w:t>
      </w:r>
      <w:r w:rsidR="004646EA" w:rsidRPr="00366942">
        <w:rPr>
          <w:lang w:val="en-CA"/>
        </w:rPr>
        <w:t>as</w:t>
      </w:r>
      <w:r w:rsidR="00961A50" w:rsidRPr="00366942">
        <w:rPr>
          <w:lang w:val="en-CA"/>
        </w:rPr>
        <w:t xml:space="preserve">. 16 </w:t>
      </w:r>
      <w:r w:rsidR="004646EA" w:rsidRPr="00366942">
        <w:rPr>
          <w:lang w:val="en-CA"/>
        </w:rPr>
        <w:t>to</w:t>
      </w:r>
      <w:r w:rsidR="00961A50" w:rsidRPr="00366942">
        <w:rPr>
          <w:lang w:val="en-CA"/>
        </w:rPr>
        <w:t xml:space="preserve"> 30).</w:t>
      </w:r>
    </w:p>
    <w:p w14:paraId="1A45886B" w14:textId="1D78BE6B" w:rsidR="00961A50" w:rsidRPr="00366942" w:rsidRDefault="00D21DAE" w:rsidP="00961A50">
      <w:pPr>
        <w:pStyle w:val="Citationenretrait"/>
        <w:rPr>
          <w:lang w:val="en-CA"/>
        </w:rPr>
      </w:pPr>
      <w:r w:rsidRPr="00366942">
        <w:rPr>
          <w:lang w:val="en-CA"/>
        </w:rPr>
        <w:t xml:space="preserve">It follows that the appellant </w:t>
      </w:r>
      <w:r w:rsidR="00D10A05" w:rsidRPr="00366942">
        <w:rPr>
          <w:lang w:val="en-CA"/>
        </w:rPr>
        <w:t xml:space="preserve">is </w:t>
      </w:r>
      <w:r w:rsidRPr="00366942">
        <w:rPr>
          <w:lang w:val="en-CA"/>
        </w:rPr>
        <w:t>seek</w:t>
      </w:r>
      <w:r w:rsidR="00D10A05" w:rsidRPr="00366942">
        <w:rPr>
          <w:lang w:val="en-CA"/>
        </w:rPr>
        <w:t>ing</w:t>
      </w:r>
      <w:r w:rsidRPr="00366942">
        <w:rPr>
          <w:lang w:val="en-CA"/>
        </w:rPr>
        <w:t xml:space="preserve"> a benefit that is not provided for in the </w:t>
      </w:r>
      <w:r w:rsidRPr="00366942">
        <w:rPr>
          <w:i/>
          <w:iCs/>
          <w:lang w:val="en-CA"/>
        </w:rPr>
        <w:t>HIA</w:t>
      </w:r>
      <w:r w:rsidRPr="00366942">
        <w:rPr>
          <w:lang w:val="en-CA"/>
        </w:rPr>
        <w:t xml:space="preserve"> (respondent’s argument, paras. </w:t>
      </w:r>
      <w:r w:rsidR="00961A50" w:rsidRPr="00366942">
        <w:rPr>
          <w:lang w:val="en-CA"/>
        </w:rPr>
        <w:t xml:space="preserve"> 35 </w:t>
      </w:r>
      <w:r w:rsidRPr="00366942">
        <w:rPr>
          <w:lang w:val="en-CA"/>
        </w:rPr>
        <w:t>to</w:t>
      </w:r>
      <w:r w:rsidR="00961A50" w:rsidRPr="00366942">
        <w:rPr>
          <w:lang w:val="en-CA"/>
        </w:rPr>
        <w:t xml:space="preserve"> 38), </w:t>
      </w:r>
      <w:r w:rsidRPr="00366942">
        <w:rPr>
          <w:lang w:val="en-CA"/>
        </w:rPr>
        <w:t>in other words, she wishes to obtain a full reimbursement for care normally available in Quebec that she received outside Quebec</w:t>
      </w:r>
      <w:r w:rsidR="00961A50" w:rsidRPr="00366942">
        <w:rPr>
          <w:lang w:val="en-CA"/>
        </w:rPr>
        <w:t xml:space="preserve">. </w:t>
      </w:r>
      <w:r w:rsidRPr="00366942">
        <w:rPr>
          <w:lang w:val="en-CA"/>
        </w:rPr>
        <w:t xml:space="preserve">However, pursuant to the </w:t>
      </w:r>
      <w:r w:rsidRPr="00366942">
        <w:rPr>
          <w:i/>
          <w:iCs/>
          <w:lang w:val="en-CA"/>
        </w:rPr>
        <w:t>HIA</w:t>
      </w:r>
      <w:r w:rsidRPr="00366942">
        <w:rPr>
          <w:lang w:val="en-CA"/>
        </w:rPr>
        <w:t>, no insured person is eligible for such a benefit</w:t>
      </w:r>
      <w:r w:rsidR="00961A50" w:rsidRPr="00366942">
        <w:rPr>
          <w:lang w:val="en-CA"/>
        </w:rPr>
        <w:t>.</w:t>
      </w:r>
    </w:p>
    <w:p w14:paraId="788F1FA0" w14:textId="77777777" w:rsidR="00961A50" w:rsidRPr="00366942" w:rsidRDefault="00961A50" w:rsidP="00961A50">
      <w:pPr>
        <w:pStyle w:val="Citationenretrait"/>
        <w:rPr>
          <w:lang w:val="en-CA"/>
        </w:rPr>
      </w:pPr>
      <w:r w:rsidRPr="00366942">
        <w:rPr>
          <w:lang w:val="en-CA"/>
        </w:rPr>
        <w:t>[…]</w:t>
      </w:r>
    </w:p>
    <w:p w14:paraId="25BD2427" w14:textId="6E99FE6C" w:rsidR="00961A50" w:rsidRPr="00366942" w:rsidRDefault="00D21DAE" w:rsidP="00961A50">
      <w:pPr>
        <w:pStyle w:val="Citationenretrait"/>
        <w:rPr>
          <w:lang w:val="en-CA"/>
        </w:rPr>
      </w:pPr>
      <w:r w:rsidRPr="00366942">
        <w:rPr>
          <w:lang w:val="en-CA"/>
        </w:rPr>
        <w:t>In</w:t>
      </w:r>
      <w:r w:rsidR="00961A50" w:rsidRPr="00366942">
        <w:rPr>
          <w:i/>
          <w:iCs/>
          <w:lang w:val="en-CA"/>
        </w:rPr>
        <w:t xml:space="preserve"> Kanyinda</w:t>
      </w:r>
      <w:r w:rsidR="00961A50" w:rsidRPr="00366942">
        <w:rPr>
          <w:lang w:val="en-CA"/>
        </w:rPr>
        <w:t xml:space="preserve">, </w:t>
      </w:r>
      <w:r w:rsidRPr="00366942">
        <w:rPr>
          <w:lang w:val="en-CA"/>
        </w:rPr>
        <w:t>the</w:t>
      </w:r>
      <w:r w:rsidR="00C92DEF" w:rsidRPr="00366942">
        <w:rPr>
          <w:lang w:val="en-CA"/>
        </w:rPr>
        <w:t xml:space="preserve"> </w:t>
      </w:r>
      <w:r w:rsidRPr="00366942">
        <w:rPr>
          <w:lang w:val="en-CA"/>
        </w:rPr>
        <w:t xml:space="preserve">Court </w:t>
      </w:r>
      <w:r w:rsidR="00D10A05" w:rsidRPr="00366942">
        <w:rPr>
          <w:lang w:val="en-CA"/>
        </w:rPr>
        <w:t>emphasized</w:t>
      </w:r>
      <w:r w:rsidR="00961A50" w:rsidRPr="00366942">
        <w:rPr>
          <w:lang w:val="en-CA"/>
        </w:rPr>
        <w:t xml:space="preserve"> </w:t>
      </w:r>
      <w:r w:rsidR="00C92DEF" w:rsidRPr="00366942">
        <w:rPr>
          <w:lang w:val="en-CA"/>
        </w:rPr>
        <w:t xml:space="preserve">that a comparative exercise </w:t>
      </w:r>
      <w:r w:rsidR="002C0B03" w:rsidRPr="00366942">
        <w:rPr>
          <w:lang w:val="en-CA"/>
        </w:rPr>
        <w:t>was necessary</w:t>
      </w:r>
      <w:r w:rsidR="00C92DEF" w:rsidRPr="00366942">
        <w:rPr>
          <w:lang w:val="en-CA"/>
        </w:rPr>
        <w:t xml:space="preserve"> </w:t>
      </w:r>
      <w:r w:rsidR="00D10A05" w:rsidRPr="00366942">
        <w:rPr>
          <w:lang w:val="en-CA"/>
        </w:rPr>
        <w:t>in the</w:t>
      </w:r>
      <w:r w:rsidR="00C92DEF" w:rsidRPr="00366942">
        <w:rPr>
          <w:lang w:val="en-CA"/>
        </w:rPr>
        <w:t xml:space="preserve"> demonstrat</w:t>
      </w:r>
      <w:r w:rsidR="00D10A05" w:rsidRPr="00366942">
        <w:rPr>
          <w:lang w:val="en-CA"/>
        </w:rPr>
        <w:t>ion of</w:t>
      </w:r>
      <w:r w:rsidR="00C92DEF" w:rsidRPr="00366942">
        <w:rPr>
          <w:lang w:val="en-CA"/>
        </w:rPr>
        <w:t xml:space="preserve"> an</w:t>
      </w:r>
      <w:r w:rsidR="002C0B03" w:rsidRPr="00366942">
        <w:rPr>
          <w:lang w:val="en-CA"/>
        </w:rPr>
        <w:t>y</w:t>
      </w:r>
      <w:r w:rsidR="00C92DEF" w:rsidRPr="00366942">
        <w:rPr>
          <w:lang w:val="en-CA"/>
        </w:rPr>
        <w:t xml:space="preserve"> adverse </w:t>
      </w:r>
      <w:r w:rsidR="00707AAC" w:rsidRPr="00366942">
        <w:rPr>
          <w:lang w:val="en-CA"/>
        </w:rPr>
        <w:t>effect</w:t>
      </w:r>
      <w:r w:rsidR="00C92DEF" w:rsidRPr="00366942">
        <w:rPr>
          <w:lang w:val="en-CA"/>
        </w:rPr>
        <w:t xml:space="preserve"> </w:t>
      </w:r>
      <w:r w:rsidR="00D10A05" w:rsidRPr="00366942">
        <w:rPr>
          <w:lang w:val="en-CA"/>
        </w:rPr>
        <w:t>under</w:t>
      </w:r>
      <w:r w:rsidR="00C92DEF" w:rsidRPr="00366942">
        <w:rPr>
          <w:lang w:val="en-CA"/>
        </w:rPr>
        <w:t xml:space="preserve"> an analysis </w:t>
      </w:r>
      <w:r w:rsidR="002C0B03" w:rsidRPr="00366942">
        <w:rPr>
          <w:lang w:val="en-CA"/>
        </w:rPr>
        <w:t>on</w:t>
      </w:r>
      <w:r w:rsidR="00C92DEF" w:rsidRPr="00366942">
        <w:rPr>
          <w:lang w:val="en-CA"/>
        </w:rPr>
        <w:t xml:space="preserve"> the right to equality </w:t>
      </w:r>
      <w:r w:rsidR="00961A50" w:rsidRPr="00366942">
        <w:rPr>
          <w:lang w:val="en-CA"/>
        </w:rPr>
        <w:t>(par</w:t>
      </w:r>
      <w:r w:rsidR="00C92DEF" w:rsidRPr="00366942">
        <w:rPr>
          <w:lang w:val="en-CA"/>
        </w:rPr>
        <w:t>as</w:t>
      </w:r>
      <w:r w:rsidR="00961A50" w:rsidRPr="00366942">
        <w:rPr>
          <w:lang w:val="en-CA"/>
        </w:rPr>
        <w:t xml:space="preserve">. 84 </w:t>
      </w:r>
      <w:r w:rsidR="00C92DEF" w:rsidRPr="00366942">
        <w:rPr>
          <w:lang w:val="en-CA"/>
        </w:rPr>
        <w:t>and</w:t>
      </w:r>
      <w:r w:rsidR="00961A50" w:rsidRPr="00366942">
        <w:rPr>
          <w:lang w:val="en-CA"/>
        </w:rPr>
        <w:t xml:space="preserve"> 85 </w:t>
      </w:r>
      <w:r w:rsidR="00C92DEF" w:rsidRPr="00366942">
        <w:rPr>
          <w:lang w:val="en-CA"/>
        </w:rPr>
        <w:t>of the judgment</w:t>
      </w:r>
      <w:r w:rsidR="00961A50" w:rsidRPr="00366942">
        <w:rPr>
          <w:lang w:val="en-CA"/>
        </w:rPr>
        <w:t xml:space="preserve">). </w:t>
      </w:r>
      <w:r w:rsidR="00C50B56" w:rsidRPr="00366942">
        <w:rPr>
          <w:lang w:val="en-CA"/>
        </w:rPr>
        <w:t>T</w:t>
      </w:r>
      <w:r w:rsidR="002C0B03" w:rsidRPr="00366942">
        <w:rPr>
          <w:lang w:val="en-CA"/>
        </w:rPr>
        <w:t xml:space="preserve">he </w:t>
      </w:r>
      <w:r w:rsidR="00C92DEF" w:rsidRPr="00366942">
        <w:rPr>
          <w:lang w:val="en-CA"/>
        </w:rPr>
        <w:t>Court</w:t>
      </w:r>
      <w:r w:rsidR="00C50B56" w:rsidRPr="00366942">
        <w:rPr>
          <w:lang w:val="en-CA"/>
        </w:rPr>
        <w:t xml:space="preserve"> was of the view that </w:t>
      </w:r>
      <w:r w:rsidR="00C92DEF" w:rsidRPr="00366942">
        <w:rPr>
          <w:lang w:val="en-CA"/>
        </w:rPr>
        <w:t>the evidence before it allowed it to compare men and women</w:t>
      </w:r>
      <w:r w:rsidR="00961A50" w:rsidRPr="00366942">
        <w:rPr>
          <w:lang w:val="en-CA"/>
        </w:rPr>
        <w:t xml:space="preserve">. </w:t>
      </w:r>
      <w:r w:rsidR="00C92DEF" w:rsidRPr="00366942">
        <w:rPr>
          <w:lang w:val="en-CA"/>
        </w:rPr>
        <w:t>In</w:t>
      </w:r>
      <w:r w:rsidR="00961A50" w:rsidRPr="00366942">
        <w:rPr>
          <w:lang w:val="en-CA"/>
        </w:rPr>
        <w:t xml:space="preserve"> </w:t>
      </w:r>
      <w:r w:rsidR="00961A50" w:rsidRPr="00366942">
        <w:rPr>
          <w:i/>
          <w:iCs/>
          <w:lang w:val="en-CA"/>
        </w:rPr>
        <w:t>A. P. c. PGQ</w:t>
      </w:r>
      <w:r w:rsidR="00961A50" w:rsidRPr="00366942">
        <w:rPr>
          <w:lang w:val="en-CA"/>
        </w:rPr>
        <w:t xml:space="preserve">, </w:t>
      </w:r>
      <w:r w:rsidR="00C92DEF" w:rsidRPr="00366942">
        <w:rPr>
          <w:lang w:val="en-CA"/>
        </w:rPr>
        <w:t xml:space="preserve">the very nature of the theory advanced by the appellant, which consists in </w:t>
      </w:r>
      <w:r w:rsidR="00C50B56" w:rsidRPr="00366942">
        <w:rPr>
          <w:lang w:val="en-CA"/>
        </w:rPr>
        <w:t xml:space="preserve">examining </w:t>
      </w:r>
      <w:r w:rsidR="00C92DEF" w:rsidRPr="00366942">
        <w:rPr>
          <w:lang w:val="en-CA"/>
        </w:rPr>
        <w:t xml:space="preserve">the legislation’s impact on women only, </w:t>
      </w:r>
      <w:r w:rsidR="00C50B56" w:rsidRPr="00366942">
        <w:rPr>
          <w:lang w:val="en-CA"/>
        </w:rPr>
        <w:t>regardless of</w:t>
      </w:r>
      <w:r w:rsidR="00C92DEF" w:rsidRPr="00366942">
        <w:rPr>
          <w:lang w:val="en-CA"/>
        </w:rPr>
        <w:t xml:space="preserve"> its impact on men, precludes any comparison</w:t>
      </w:r>
      <w:r w:rsidR="00961A50" w:rsidRPr="00366942">
        <w:rPr>
          <w:lang w:val="en-CA"/>
        </w:rPr>
        <w:t>.</w:t>
      </w:r>
    </w:p>
    <w:p w14:paraId="6420BCB7" w14:textId="5CCE16F7" w:rsidR="00961A50" w:rsidRPr="00366942" w:rsidRDefault="00B41447" w:rsidP="00961A50">
      <w:pPr>
        <w:pStyle w:val="Citationenretrait"/>
        <w:rPr>
          <w:lang w:val="en-CA"/>
        </w:rPr>
      </w:pPr>
      <w:r w:rsidRPr="00366942">
        <w:rPr>
          <w:lang w:val="en-CA"/>
        </w:rPr>
        <w:t>In addition</w:t>
      </w:r>
      <w:r w:rsidR="00C50B56" w:rsidRPr="00366942">
        <w:rPr>
          <w:lang w:val="en-CA"/>
        </w:rPr>
        <w:t xml:space="preserve">, there is nothing on the record </w:t>
      </w:r>
      <w:r w:rsidR="00A73E41" w:rsidRPr="00366942">
        <w:rPr>
          <w:lang w:val="en-CA"/>
        </w:rPr>
        <w:t>to show</w:t>
      </w:r>
      <w:r w:rsidR="00C50B56" w:rsidRPr="00366942">
        <w:rPr>
          <w:lang w:val="en-CA"/>
        </w:rPr>
        <w:t xml:space="preserve"> that the care reimbursement terms set forth in s. </w:t>
      </w:r>
      <w:r w:rsidR="00961A50" w:rsidRPr="00366942">
        <w:rPr>
          <w:lang w:val="en-CA"/>
        </w:rPr>
        <w:t xml:space="preserve">10 </w:t>
      </w:r>
      <w:r w:rsidR="00C50B56" w:rsidRPr="00366942">
        <w:rPr>
          <w:i/>
          <w:iCs/>
          <w:lang w:val="en-CA"/>
        </w:rPr>
        <w:t>HIA</w:t>
      </w:r>
      <w:r w:rsidR="00C50B56" w:rsidRPr="00366942">
        <w:rPr>
          <w:lang w:val="en-CA"/>
        </w:rPr>
        <w:t xml:space="preserve"> have a disproportionate financial impact on women </w:t>
      </w:r>
      <w:r w:rsidR="00A73E41" w:rsidRPr="00366942">
        <w:rPr>
          <w:lang w:val="en-CA"/>
        </w:rPr>
        <w:t xml:space="preserve">as </w:t>
      </w:r>
      <w:r w:rsidR="00C50B56" w:rsidRPr="00366942">
        <w:rPr>
          <w:lang w:val="en-CA"/>
        </w:rPr>
        <w:t>compared to men</w:t>
      </w:r>
      <w:r w:rsidR="00961A50" w:rsidRPr="00366942">
        <w:rPr>
          <w:lang w:val="en-CA"/>
        </w:rPr>
        <w:t xml:space="preserve">. </w:t>
      </w:r>
      <w:r w:rsidR="00A73E41" w:rsidRPr="00366942">
        <w:rPr>
          <w:lang w:val="en-CA"/>
        </w:rPr>
        <w:t>Rather</w:t>
      </w:r>
      <w:r w:rsidR="00C50B56" w:rsidRPr="00366942">
        <w:rPr>
          <w:lang w:val="en-CA"/>
        </w:rPr>
        <w:t xml:space="preserve">, the available evidence illustrates that all insured </w:t>
      </w:r>
      <w:r w:rsidR="00C50B56" w:rsidRPr="00366942">
        <w:rPr>
          <w:lang w:val="en-CA"/>
        </w:rPr>
        <w:lastRenderedPageBreak/>
        <w:t>persons receive the same benefit provided for in the legislation</w:t>
      </w:r>
      <w:r w:rsidR="00A73E41" w:rsidRPr="00366942">
        <w:rPr>
          <w:lang w:val="en-CA"/>
        </w:rPr>
        <w:t xml:space="preserve"> and, incidentally, that the legislation had the same impact for any insured person</w:t>
      </w:r>
      <w:r w:rsidR="00961A50" w:rsidRPr="00366942">
        <w:rPr>
          <w:lang w:val="en-CA"/>
        </w:rPr>
        <w:t>.</w:t>
      </w:r>
    </w:p>
    <w:p w14:paraId="56F49C6F" w14:textId="4CAD8650" w:rsidR="00961A50" w:rsidRPr="00366942" w:rsidRDefault="00B41447" w:rsidP="00961A50">
      <w:pPr>
        <w:pStyle w:val="Paragraphe"/>
        <w:rPr>
          <w:lang w:val="en-CA"/>
        </w:rPr>
      </w:pPr>
      <w:r w:rsidRPr="00366942">
        <w:rPr>
          <w:lang w:val="en-CA"/>
        </w:rPr>
        <w:t>C</w:t>
      </w:r>
      <w:r w:rsidR="00A73E41" w:rsidRPr="00366942">
        <w:rPr>
          <w:lang w:val="en-CA"/>
        </w:rPr>
        <w:t>riticizing</w:t>
      </w:r>
      <w:r w:rsidR="00961A50" w:rsidRPr="00366942">
        <w:rPr>
          <w:lang w:val="en-CA"/>
        </w:rPr>
        <w:t xml:space="preserve"> </w:t>
      </w:r>
      <w:r w:rsidR="00961A50" w:rsidRPr="00366942">
        <w:rPr>
          <w:i/>
          <w:iCs/>
          <w:lang w:val="en-CA"/>
        </w:rPr>
        <w:t>Kanyinda</w:t>
      </w:r>
      <w:r w:rsidR="00961A50" w:rsidRPr="00366942">
        <w:rPr>
          <w:lang w:val="en-CA"/>
        </w:rPr>
        <w:t xml:space="preserve">, </w:t>
      </w:r>
      <w:r w:rsidRPr="00366942">
        <w:rPr>
          <w:lang w:val="en-CA"/>
        </w:rPr>
        <w:t xml:space="preserve">moreover, </w:t>
      </w:r>
      <w:r w:rsidR="00A73E41" w:rsidRPr="00366942">
        <w:rPr>
          <w:lang w:val="en-CA"/>
        </w:rPr>
        <w:t xml:space="preserve">the respondent </w:t>
      </w:r>
      <w:r w:rsidR="0026222C" w:rsidRPr="00366942">
        <w:rPr>
          <w:lang w:val="en-CA"/>
        </w:rPr>
        <w:t>adds that [</w:t>
      </w:r>
      <w:r w:rsidR="0026222C" w:rsidRPr="00366942">
        <w:rPr>
          <w:smallCaps/>
          <w:lang w:val="en-CA"/>
        </w:rPr>
        <w:t>translation</w:t>
      </w:r>
      <w:r w:rsidR="0026222C" w:rsidRPr="00366942">
        <w:rPr>
          <w:lang w:val="en-CA"/>
        </w:rPr>
        <w:t>] “women</w:t>
      </w:r>
      <w:r w:rsidRPr="00366942">
        <w:rPr>
          <w:lang w:val="en-CA"/>
        </w:rPr>
        <w:t>’s</w:t>
      </w:r>
      <w:r w:rsidR="0026222C" w:rsidRPr="00366942">
        <w:rPr>
          <w:lang w:val="en-CA"/>
        </w:rPr>
        <w:t xml:space="preserve"> </w:t>
      </w:r>
      <w:r w:rsidRPr="00366942">
        <w:rPr>
          <w:lang w:val="en-CA"/>
        </w:rPr>
        <w:t xml:space="preserve">lack of </w:t>
      </w:r>
      <w:r w:rsidR="00906121" w:rsidRPr="00366942">
        <w:rPr>
          <w:lang w:val="en-CA"/>
        </w:rPr>
        <w:t>entry</w:t>
      </w:r>
      <w:r w:rsidRPr="00366942">
        <w:rPr>
          <w:lang w:val="en-CA"/>
        </w:rPr>
        <w:t xml:space="preserve"> in</w:t>
      </w:r>
      <w:r w:rsidR="00906121" w:rsidRPr="00366942">
        <w:rPr>
          <w:lang w:val="en-CA"/>
        </w:rPr>
        <w:t>to</w:t>
      </w:r>
      <w:r w:rsidRPr="00366942">
        <w:rPr>
          <w:lang w:val="en-CA"/>
        </w:rPr>
        <w:t xml:space="preserve"> the </w:t>
      </w:r>
      <w:r w:rsidR="00EC7805" w:rsidRPr="00366942">
        <w:rPr>
          <w:lang w:val="en-CA"/>
        </w:rPr>
        <w:t>labour market</w:t>
      </w:r>
      <w:r w:rsidR="0026222C" w:rsidRPr="00366942">
        <w:rPr>
          <w:lang w:val="en-CA"/>
        </w:rPr>
        <w:t xml:space="preserve"> </w:t>
      </w:r>
      <w:r w:rsidR="00906121" w:rsidRPr="00366942">
        <w:rPr>
          <w:lang w:val="en-CA"/>
        </w:rPr>
        <w:t>can</w:t>
      </w:r>
      <w:r w:rsidR="0026222C" w:rsidRPr="00366942">
        <w:rPr>
          <w:lang w:val="en-CA"/>
        </w:rPr>
        <w:t xml:space="preserve"> be a historical disadvantage</w:t>
      </w:r>
      <w:r w:rsidR="00906121" w:rsidRPr="00366942">
        <w:rPr>
          <w:lang w:val="en-CA"/>
        </w:rPr>
        <w:t>,</w:t>
      </w:r>
      <w:r w:rsidR="0026222C" w:rsidRPr="00366942">
        <w:rPr>
          <w:lang w:val="en-CA"/>
        </w:rPr>
        <w:t xml:space="preserve"> and their </w:t>
      </w:r>
      <w:r w:rsidR="00906121" w:rsidRPr="00366942">
        <w:rPr>
          <w:lang w:val="en-CA"/>
        </w:rPr>
        <w:t>entry</w:t>
      </w:r>
      <w:r w:rsidR="0026222C" w:rsidRPr="00366942">
        <w:rPr>
          <w:lang w:val="en-CA"/>
        </w:rPr>
        <w:t xml:space="preserve"> a </w:t>
      </w:r>
      <w:r w:rsidR="0026222C" w:rsidRPr="00366942">
        <w:rPr>
          <w:i/>
          <w:iCs/>
          <w:lang w:val="en-CA"/>
        </w:rPr>
        <w:t>goal</w:t>
      </w:r>
      <w:r w:rsidR="0026222C" w:rsidRPr="00366942">
        <w:rPr>
          <w:lang w:val="en-CA"/>
        </w:rPr>
        <w:t xml:space="preserve"> pursued by the legislator, but the latter is not a</w:t>
      </w:r>
      <w:r w:rsidR="00FC48FE" w:rsidRPr="00366942">
        <w:rPr>
          <w:lang w:val="en-CA"/>
        </w:rPr>
        <w:t xml:space="preserve"> </w:t>
      </w:r>
      <w:r w:rsidR="00FC48FE" w:rsidRPr="00366942">
        <w:rPr>
          <w:i/>
          <w:iCs/>
          <w:lang w:val="en-CA"/>
        </w:rPr>
        <w:t>benefit</w:t>
      </w:r>
      <w:r w:rsidR="0026222C" w:rsidRPr="00366942">
        <w:rPr>
          <w:lang w:val="en-CA"/>
        </w:rPr>
        <w:t xml:space="preserve"> that it has the power to confer”</w:t>
      </w:r>
      <w:r w:rsidR="00961A50" w:rsidRPr="00366942">
        <w:rPr>
          <w:rStyle w:val="Appelnotedebasdep"/>
          <w:lang w:val="en-CA"/>
        </w:rPr>
        <w:footnoteReference w:id="17"/>
      </w:r>
      <w:r w:rsidR="00961A50" w:rsidRPr="00366942">
        <w:rPr>
          <w:lang w:val="en-CA"/>
        </w:rPr>
        <w:t xml:space="preserve"> </w:t>
      </w:r>
      <w:r w:rsidR="0026222C" w:rsidRPr="00366942">
        <w:rPr>
          <w:lang w:val="en-CA"/>
        </w:rPr>
        <w:t>and that [</w:t>
      </w:r>
      <w:r w:rsidR="0026222C" w:rsidRPr="00366942">
        <w:rPr>
          <w:smallCaps/>
          <w:lang w:val="en-CA"/>
        </w:rPr>
        <w:t>translation</w:t>
      </w:r>
      <w:r w:rsidR="0026222C" w:rsidRPr="00366942">
        <w:rPr>
          <w:lang w:val="en-CA"/>
        </w:rPr>
        <w:t>]</w:t>
      </w:r>
      <w:r w:rsidR="00961A50" w:rsidRPr="00366942">
        <w:rPr>
          <w:lang w:val="en-CA"/>
        </w:rPr>
        <w:t xml:space="preserve"> </w:t>
      </w:r>
      <w:r w:rsidR="0026222C" w:rsidRPr="00366942">
        <w:rPr>
          <w:lang w:val="en-CA"/>
        </w:rPr>
        <w:t xml:space="preserve">“[t]he </w:t>
      </w:r>
      <w:r w:rsidR="00FC48FE" w:rsidRPr="00366942">
        <w:rPr>
          <w:lang w:val="en-CA"/>
        </w:rPr>
        <w:t>benefits</w:t>
      </w:r>
      <w:r w:rsidR="0026222C" w:rsidRPr="00366942">
        <w:rPr>
          <w:lang w:val="en-CA"/>
        </w:rPr>
        <w:t xml:space="preserve"> conferred by the legislation are necessarily more </w:t>
      </w:r>
      <w:r w:rsidR="00787FC6" w:rsidRPr="00366942">
        <w:rPr>
          <w:lang w:val="en-CA"/>
        </w:rPr>
        <w:t>modest</w:t>
      </w:r>
      <w:r w:rsidR="0026222C" w:rsidRPr="00366942">
        <w:rPr>
          <w:lang w:val="en-CA"/>
        </w:rPr>
        <w:t xml:space="preserve"> and can </w:t>
      </w:r>
      <w:r w:rsidR="00906121" w:rsidRPr="00366942">
        <w:rPr>
          <w:lang w:val="en-CA"/>
        </w:rPr>
        <w:t>merely</w:t>
      </w:r>
      <w:r w:rsidR="0026222C" w:rsidRPr="00366942">
        <w:rPr>
          <w:lang w:val="en-CA"/>
        </w:rPr>
        <w:t xml:space="preserve"> constitute means to further such </w:t>
      </w:r>
      <w:r w:rsidRPr="00366942">
        <w:rPr>
          <w:lang w:val="en-CA"/>
        </w:rPr>
        <w:t>goals</w:t>
      </w:r>
      <w:r w:rsidR="0026222C" w:rsidRPr="00366942">
        <w:rPr>
          <w:lang w:val="en-CA"/>
        </w:rPr>
        <w:t>.”</w:t>
      </w:r>
      <w:r w:rsidR="00961A50" w:rsidRPr="00366942">
        <w:rPr>
          <w:rStyle w:val="Appelnotedebasdep"/>
          <w:lang w:val="en-CA"/>
        </w:rPr>
        <w:footnoteReference w:id="18"/>
      </w:r>
    </w:p>
    <w:p w14:paraId="01223402" w14:textId="6CCF224E" w:rsidR="00961A50" w:rsidRPr="00366942" w:rsidRDefault="00961A50" w:rsidP="00961A50">
      <w:pPr>
        <w:pStyle w:val="Titre1"/>
        <w:rPr>
          <w:lang w:val="en-CA"/>
        </w:rPr>
      </w:pPr>
      <w:r w:rsidRPr="00366942">
        <w:rPr>
          <w:lang w:val="en-CA"/>
        </w:rPr>
        <w:t>III.</w:t>
      </w:r>
      <w:r w:rsidRPr="00366942">
        <w:rPr>
          <w:lang w:val="en-CA"/>
        </w:rPr>
        <w:tab/>
      </w:r>
      <w:r w:rsidRPr="00366942">
        <w:rPr>
          <w:u w:val="single"/>
          <w:lang w:val="en-CA"/>
        </w:rPr>
        <w:t>Analys</w:t>
      </w:r>
      <w:r w:rsidR="00B41447" w:rsidRPr="00366942">
        <w:rPr>
          <w:u w:val="single"/>
          <w:lang w:val="en-CA"/>
        </w:rPr>
        <w:t>is</w:t>
      </w:r>
    </w:p>
    <w:p w14:paraId="1831D080" w14:textId="4F6A697C" w:rsidR="00961A50" w:rsidRPr="00366942" w:rsidRDefault="00BB5832" w:rsidP="00961A50">
      <w:pPr>
        <w:pStyle w:val="Paragraphe"/>
        <w:rPr>
          <w:lang w:val="en-CA"/>
        </w:rPr>
      </w:pPr>
      <w:r w:rsidRPr="00366942">
        <w:rPr>
          <w:lang w:val="en-CA"/>
        </w:rPr>
        <w:t>I begin with a</w:t>
      </w:r>
      <w:r w:rsidR="008F4A37" w:rsidRPr="00366942">
        <w:rPr>
          <w:lang w:val="en-CA"/>
        </w:rPr>
        <w:t xml:space="preserve"> few words on the applicable standard of </w:t>
      </w:r>
      <w:r w:rsidRPr="00366942">
        <w:rPr>
          <w:lang w:val="en-CA"/>
        </w:rPr>
        <w:t>review</w:t>
      </w:r>
      <w:r w:rsidR="008F4A37" w:rsidRPr="00366942">
        <w:rPr>
          <w:lang w:val="en-CA"/>
        </w:rPr>
        <w:t xml:space="preserve"> in this case</w:t>
      </w:r>
      <w:r w:rsidR="00961A50" w:rsidRPr="00366942">
        <w:rPr>
          <w:lang w:val="en-CA"/>
        </w:rPr>
        <w:t xml:space="preserve">. </w:t>
      </w:r>
      <w:r w:rsidR="008F4A37" w:rsidRPr="00366942">
        <w:rPr>
          <w:lang w:val="en-CA"/>
        </w:rPr>
        <w:t>Th</w:t>
      </w:r>
      <w:r w:rsidR="00144ECC" w:rsidRPr="00366942">
        <w:rPr>
          <w:lang w:val="en-CA"/>
        </w:rPr>
        <w:t>is</w:t>
      </w:r>
      <w:r w:rsidR="008F4A37" w:rsidRPr="00366942">
        <w:rPr>
          <w:lang w:val="en-CA"/>
        </w:rPr>
        <w:t xml:space="preserve"> </w:t>
      </w:r>
      <w:r w:rsidR="00144ECC" w:rsidRPr="00366942">
        <w:rPr>
          <w:lang w:val="en-CA"/>
        </w:rPr>
        <w:t>is an</w:t>
      </w:r>
      <w:r w:rsidR="008F4A37" w:rsidRPr="00366942">
        <w:rPr>
          <w:lang w:val="en-CA"/>
        </w:rPr>
        <w:t xml:space="preserve"> appeal of a judgment of the Superior Court </w:t>
      </w:r>
      <w:r w:rsidR="00144ECC" w:rsidRPr="00366942">
        <w:rPr>
          <w:lang w:val="en-CA"/>
        </w:rPr>
        <w:t xml:space="preserve">on </w:t>
      </w:r>
      <w:r w:rsidR="008F4A37" w:rsidRPr="00366942">
        <w:rPr>
          <w:lang w:val="en-CA"/>
        </w:rPr>
        <w:t>the</w:t>
      </w:r>
      <w:r w:rsidR="00144ECC" w:rsidRPr="00366942">
        <w:rPr>
          <w:lang w:val="en-CA"/>
        </w:rPr>
        <w:t xml:space="preserve"> application for</w:t>
      </w:r>
      <w:r w:rsidR="008F4A37" w:rsidRPr="00366942">
        <w:rPr>
          <w:lang w:val="en-CA"/>
        </w:rPr>
        <w:t xml:space="preserve"> judicial review of a TAQ decision rendered </w:t>
      </w:r>
      <w:r w:rsidR="00144ECC" w:rsidRPr="00366942">
        <w:rPr>
          <w:lang w:val="en-CA"/>
        </w:rPr>
        <w:t>pursuant to</w:t>
      </w:r>
      <w:r w:rsidR="008F4A37" w:rsidRPr="00366942">
        <w:rPr>
          <w:lang w:val="en-CA"/>
        </w:rPr>
        <w:t xml:space="preserve"> s. </w:t>
      </w:r>
      <w:r w:rsidR="00961A50" w:rsidRPr="00366942">
        <w:rPr>
          <w:lang w:val="en-CA"/>
        </w:rPr>
        <w:t xml:space="preserve">18.4 </w:t>
      </w:r>
      <w:r w:rsidR="008F4A37" w:rsidRPr="00366942">
        <w:rPr>
          <w:i/>
          <w:iCs/>
          <w:lang w:val="en-CA"/>
        </w:rPr>
        <w:t>HIA</w:t>
      </w:r>
      <w:r w:rsidR="00961A50" w:rsidRPr="00366942">
        <w:rPr>
          <w:i/>
          <w:iCs/>
          <w:lang w:val="en-CA"/>
        </w:rPr>
        <w:t>.</w:t>
      </w:r>
      <w:r w:rsidR="00961A50" w:rsidRPr="00366942">
        <w:rPr>
          <w:lang w:val="en-CA"/>
        </w:rPr>
        <w:t xml:space="preserve"> </w:t>
      </w:r>
      <w:r w:rsidR="00144ECC" w:rsidRPr="00366942">
        <w:rPr>
          <w:lang w:val="en-CA"/>
        </w:rPr>
        <w:t>Given that t</w:t>
      </w:r>
      <w:r w:rsidR="008F4A37" w:rsidRPr="00366942">
        <w:rPr>
          <w:lang w:val="en-CA"/>
        </w:rPr>
        <w:t xml:space="preserve">he question of law raised in those proceedings </w:t>
      </w:r>
      <w:r w:rsidR="00144ECC" w:rsidRPr="00366942">
        <w:rPr>
          <w:lang w:val="en-CA"/>
        </w:rPr>
        <w:t>went to</w:t>
      </w:r>
      <w:r w:rsidR="008F4A37" w:rsidRPr="00366942">
        <w:rPr>
          <w:lang w:val="en-CA"/>
        </w:rPr>
        <w:t xml:space="preserve"> the </w:t>
      </w:r>
      <w:r w:rsidR="006025AE" w:rsidRPr="00366942">
        <w:rPr>
          <w:lang w:val="en-CA"/>
        </w:rPr>
        <w:t xml:space="preserve">very </w:t>
      </w:r>
      <w:r w:rsidR="008F4A37" w:rsidRPr="00366942">
        <w:rPr>
          <w:lang w:val="en-CA"/>
        </w:rPr>
        <w:t>validity of s</w:t>
      </w:r>
      <w:r w:rsidR="00961A50" w:rsidRPr="00366942">
        <w:rPr>
          <w:lang w:val="en-CA"/>
        </w:rPr>
        <w:t>. 10</w:t>
      </w:r>
      <w:r w:rsidR="008F4A37" w:rsidRPr="00366942">
        <w:rPr>
          <w:lang w:val="en-CA"/>
        </w:rPr>
        <w:t>, para</w:t>
      </w:r>
      <w:r w:rsidR="00961A50" w:rsidRPr="00366942">
        <w:rPr>
          <w:lang w:val="en-CA"/>
        </w:rPr>
        <w:t xml:space="preserve">. 4 </w:t>
      </w:r>
      <w:r w:rsidR="008F4A37" w:rsidRPr="00366942">
        <w:rPr>
          <w:i/>
          <w:iCs/>
          <w:lang w:val="en-CA"/>
        </w:rPr>
        <w:t>HIA</w:t>
      </w:r>
      <w:r w:rsidR="00961A50" w:rsidRPr="00366942">
        <w:rPr>
          <w:lang w:val="en-CA"/>
        </w:rPr>
        <w:t xml:space="preserve"> </w:t>
      </w:r>
      <w:r w:rsidR="008F4A37" w:rsidRPr="00366942">
        <w:rPr>
          <w:lang w:val="en-CA"/>
        </w:rPr>
        <w:t>under s</w:t>
      </w:r>
      <w:r w:rsidR="00961A50" w:rsidRPr="00366942">
        <w:rPr>
          <w:lang w:val="en-CA"/>
        </w:rPr>
        <w:t xml:space="preserve">. 15(1) </w:t>
      </w:r>
      <w:r w:rsidR="008F4A37" w:rsidRPr="00366942">
        <w:rPr>
          <w:lang w:val="en-CA"/>
        </w:rPr>
        <w:t>of the</w:t>
      </w:r>
      <w:r w:rsidR="00961A50" w:rsidRPr="00366942">
        <w:rPr>
          <w:lang w:val="en-CA"/>
        </w:rPr>
        <w:t xml:space="preserve"> </w:t>
      </w:r>
      <w:r w:rsidR="008F4A37" w:rsidRPr="00366942">
        <w:rPr>
          <w:i/>
          <w:iCs/>
          <w:lang w:val="en-CA"/>
        </w:rPr>
        <w:t>Canadian Charter</w:t>
      </w:r>
      <w:r w:rsidR="00961A50" w:rsidRPr="00366942">
        <w:rPr>
          <w:lang w:val="en-CA"/>
        </w:rPr>
        <w:t xml:space="preserve">, </w:t>
      </w:r>
      <w:r w:rsidR="008F4A37" w:rsidRPr="00366942">
        <w:rPr>
          <w:lang w:val="en-CA"/>
        </w:rPr>
        <w:t>the Superior Court was</w:t>
      </w:r>
      <w:r w:rsidR="00390EF2" w:rsidRPr="00366942">
        <w:rPr>
          <w:lang w:val="en-CA"/>
        </w:rPr>
        <w:t xml:space="preserve"> bound to apply</w:t>
      </w:r>
      <w:r w:rsidR="008F4A37" w:rsidRPr="00366942">
        <w:rPr>
          <w:lang w:val="en-CA"/>
        </w:rPr>
        <w:t xml:space="preserve"> </w:t>
      </w:r>
      <w:r w:rsidR="00390EF2" w:rsidRPr="00366942">
        <w:rPr>
          <w:lang w:val="en-CA"/>
        </w:rPr>
        <w:t>the</w:t>
      </w:r>
      <w:r w:rsidR="008F4A37" w:rsidRPr="00366942">
        <w:rPr>
          <w:lang w:val="en-CA"/>
        </w:rPr>
        <w:t xml:space="preserve"> correctness</w:t>
      </w:r>
      <w:r w:rsidR="006025AE" w:rsidRPr="00366942">
        <w:rPr>
          <w:lang w:val="en-CA"/>
        </w:rPr>
        <w:t xml:space="preserve"> standard</w:t>
      </w:r>
      <w:r w:rsidR="00390EF2" w:rsidRPr="00366942">
        <w:rPr>
          <w:lang w:val="en-CA"/>
        </w:rPr>
        <w:t xml:space="preserve">, which </w:t>
      </w:r>
      <w:r w:rsidR="006025AE" w:rsidRPr="00366942">
        <w:rPr>
          <w:lang w:val="en-CA"/>
        </w:rPr>
        <w:t>must also</w:t>
      </w:r>
      <w:r w:rsidR="00390EF2" w:rsidRPr="00366942">
        <w:rPr>
          <w:lang w:val="en-CA"/>
        </w:rPr>
        <w:t xml:space="preserve"> guide the review that will now </w:t>
      </w:r>
      <w:r w:rsidR="005D7E5C" w:rsidRPr="00366942">
        <w:rPr>
          <w:lang w:val="en-CA"/>
        </w:rPr>
        <w:t xml:space="preserve">be </w:t>
      </w:r>
      <w:r w:rsidR="00390EF2" w:rsidRPr="00366942">
        <w:rPr>
          <w:lang w:val="en-CA"/>
        </w:rPr>
        <w:t>undertake</w:t>
      </w:r>
      <w:r w:rsidR="005D7E5C" w:rsidRPr="00366942">
        <w:rPr>
          <w:lang w:val="en-CA"/>
        </w:rPr>
        <w:t>n</w:t>
      </w:r>
      <w:r w:rsidR="00390EF2" w:rsidRPr="00366942">
        <w:rPr>
          <w:lang w:val="en-CA"/>
        </w:rPr>
        <w:t>.</w:t>
      </w:r>
      <w:r w:rsidR="00961A50" w:rsidRPr="00366942">
        <w:rPr>
          <w:lang w:val="en-CA"/>
        </w:rPr>
        <w:t xml:space="preserve"> </w:t>
      </w:r>
      <w:r w:rsidR="00390EF2" w:rsidRPr="00366942">
        <w:rPr>
          <w:lang w:val="en-CA"/>
        </w:rPr>
        <w:t>The same holds true for</w:t>
      </w:r>
      <w:r w:rsidR="008F4A37" w:rsidRPr="00366942">
        <w:rPr>
          <w:lang w:val="en-CA"/>
        </w:rPr>
        <w:t xml:space="preserve"> </w:t>
      </w:r>
      <w:r w:rsidR="00390EF2" w:rsidRPr="00366942">
        <w:rPr>
          <w:lang w:val="en-CA"/>
        </w:rPr>
        <w:t xml:space="preserve">the questions of mixed fact and law </w:t>
      </w:r>
      <w:r w:rsidR="008F4A37" w:rsidRPr="00366942">
        <w:rPr>
          <w:lang w:val="en-CA"/>
        </w:rPr>
        <w:t>and, as the Supreme Court noted recently</w:t>
      </w:r>
      <w:r w:rsidRPr="00366942">
        <w:rPr>
          <w:lang w:val="en-CA"/>
        </w:rPr>
        <w:t>,</w:t>
      </w:r>
      <w:r w:rsidR="00961A50" w:rsidRPr="00366942">
        <w:rPr>
          <w:lang w:val="en-CA"/>
        </w:rPr>
        <w:t xml:space="preserve"> </w:t>
      </w:r>
      <w:r w:rsidRPr="00366942">
        <w:rPr>
          <w:lang w:val="en-CA"/>
        </w:rPr>
        <w:t xml:space="preserve">“no deference is owed in respect of </w:t>
      </w:r>
      <w:bookmarkStart w:id="17" w:name="_Hlk181350125"/>
      <w:r w:rsidRPr="00366942">
        <w:rPr>
          <w:lang w:val="en-CA"/>
        </w:rPr>
        <w:t xml:space="preserve">questions of mixed fact and law </w:t>
      </w:r>
      <w:bookmarkEnd w:id="17"/>
      <w:r w:rsidRPr="00366942">
        <w:rPr>
          <w:lang w:val="en-CA"/>
        </w:rPr>
        <w:t>that arise in connection with a constitutional question because it is important that constitutional questions be answered correctly.”</w:t>
      </w:r>
      <w:bookmarkStart w:id="18" w:name="_Ref172640492"/>
      <w:r w:rsidR="00961A50" w:rsidRPr="00366942">
        <w:rPr>
          <w:rStyle w:val="Appelnotedebasdep"/>
          <w:lang w:val="en-CA"/>
        </w:rPr>
        <w:footnoteReference w:id="19"/>
      </w:r>
      <w:bookmarkEnd w:id="18"/>
      <w:r w:rsidR="00961A50" w:rsidRPr="00366942">
        <w:rPr>
          <w:lang w:val="en-CA"/>
        </w:rPr>
        <w:t xml:space="preserve"> </w:t>
      </w:r>
      <w:r w:rsidRPr="00366942">
        <w:rPr>
          <w:lang w:val="en-CA"/>
        </w:rPr>
        <w:t>As for the</w:t>
      </w:r>
      <w:r w:rsidR="00961A50" w:rsidRPr="00366942">
        <w:rPr>
          <w:lang w:val="en-CA"/>
        </w:rPr>
        <w:t xml:space="preserve"> TAQ</w:t>
      </w:r>
      <w:r w:rsidRPr="00366942">
        <w:rPr>
          <w:lang w:val="en-CA"/>
        </w:rPr>
        <w:t>’s purely factual findings, they are reviewable on the reasonableness standard, to the extent that they can be “be isolated from the constitutional analysis.”</w:t>
      </w:r>
      <w:r w:rsidR="00961A50" w:rsidRPr="00366942">
        <w:rPr>
          <w:rStyle w:val="Appelnotedebasdep"/>
          <w:lang w:val="en-CA"/>
        </w:rPr>
        <w:footnoteReference w:id="20"/>
      </w:r>
    </w:p>
    <w:p w14:paraId="4A187293" w14:textId="77777777" w:rsidR="00961A50" w:rsidRPr="00366942" w:rsidRDefault="00961A50" w:rsidP="00961A50">
      <w:pPr>
        <w:pStyle w:val="Paragraphe"/>
        <w:numPr>
          <w:ilvl w:val="0"/>
          <w:numId w:val="0"/>
        </w:numPr>
        <w:jc w:val="center"/>
        <w:rPr>
          <w:lang w:val="en-CA"/>
        </w:rPr>
      </w:pPr>
      <w:r w:rsidRPr="00366942">
        <w:rPr>
          <w:lang w:val="en-CA"/>
        </w:rPr>
        <w:t>* *</w:t>
      </w:r>
    </w:p>
    <w:p w14:paraId="26F05FF6" w14:textId="75503D60" w:rsidR="00961A50" w:rsidRPr="00366942" w:rsidRDefault="005A6CE8" w:rsidP="00961A50">
      <w:pPr>
        <w:pStyle w:val="Paragraphe"/>
        <w:rPr>
          <w:lang w:val="en-CA"/>
        </w:rPr>
      </w:pPr>
      <w:r w:rsidRPr="00366942">
        <w:rPr>
          <w:lang w:val="en-CA"/>
        </w:rPr>
        <w:t>I</w:t>
      </w:r>
      <w:r w:rsidR="00F07AF7" w:rsidRPr="00366942">
        <w:rPr>
          <w:lang w:val="en-CA"/>
        </w:rPr>
        <w:t>s s</w:t>
      </w:r>
      <w:r w:rsidR="00961A50" w:rsidRPr="00366942">
        <w:rPr>
          <w:lang w:val="en-CA"/>
        </w:rPr>
        <w:t>. 10</w:t>
      </w:r>
      <w:r w:rsidR="00F07AF7" w:rsidRPr="00366942">
        <w:rPr>
          <w:lang w:val="en-CA"/>
        </w:rPr>
        <w:t>, para</w:t>
      </w:r>
      <w:r w:rsidR="00961A50" w:rsidRPr="00366942">
        <w:rPr>
          <w:lang w:val="en-CA"/>
        </w:rPr>
        <w:t xml:space="preserve">. 4 </w:t>
      </w:r>
      <w:r w:rsidR="00F07AF7" w:rsidRPr="00366942">
        <w:rPr>
          <w:i/>
          <w:iCs/>
          <w:lang w:val="en-CA"/>
        </w:rPr>
        <w:t xml:space="preserve">HIA </w:t>
      </w:r>
      <w:r w:rsidR="00F07AF7" w:rsidRPr="00366942">
        <w:rPr>
          <w:lang w:val="en-CA"/>
        </w:rPr>
        <w:t>discrimina</w:t>
      </w:r>
      <w:r w:rsidRPr="00366942">
        <w:rPr>
          <w:lang w:val="en-CA"/>
        </w:rPr>
        <w:t>tory</w:t>
      </w:r>
      <w:r w:rsidR="00F07AF7" w:rsidRPr="00366942">
        <w:rPr>
          <w:lang w:val="en-CA"/>
        </w:rPr>
        <w:t xml:space="preserve"> against women </w:t>
      </w:r>
      <w:r w:rsidRPr="00366942">
        <w:rPr>
          <w:lang w:val="en-CA"/>
        </w:rPr>
        <w:t xml:space="preserve">and </w:t>
      </w:r>
      <w:r w:rsidR="00F07AF7" w:rsidRPr="00366942">
        <w:rPr>
          <w:lang w:val="en-CA"/>
        </w:rPr>
        <w:t xml:space="preserve">contrary to s. </w:t>
      </w:r>
      <w:r w:rsidR="00961A50" w:rsidRPr="00366942">
        <w:rPr>
          <w:lang w:val="en-CA"/>
        </w:rPr>
        <w:t xml:space="preserve">15(1) </w:t>
      </w:r>
      <w:r w:rsidR="00F07AF7" w:rsidRPr="00366942">
        <w:rPr>
          <w:lang w:val="en-CA"/>
        </w:rPr>
        <w:t>of the</w:t>
      </w:r>
      <w:r w:rsidR="00961A50" w:rsidRPr="00366942">
        <w:rPr>
          <w:lang w:val="en-CA"/>
        </w:rPr>
        <w:t xml:space="preserve"> </w:t>
      </w:r>
      <w:r w:rsidR="00961A50" w:rsidRPr="00366942">
        <w:rPr>
          <w:i/>
          <w:iCs/>
          <w:lang w:val="en-CA"/>
        </w:rPr>
        <w:t>C</w:t>
      </w:r>
      <w:r w:rsidR="00F07AF7" w:rsidRPr="00366942">
        <w:rPr>
          <w:i/>
          <w:iCs/>
          <w:lang w:val="en-CA"/>
        </w:rPr>
        <w:t>anadian C</w:t>
      </w:r>
      <w:r w:rsidR="00961A50" w:rsidRPr="00366942">
        <w:rPr>
          <w:i/>
          <w:iCs/>
          <w:lang w:val="en-CA"/>
        </w:rPr>
        <w:t>harte</w:t>
      </w:r>
      <w:r w:rsidR="00F07AF7" w:rsidRPr="00366942">
        <w:rPr>
          <w:i/>
          <w:iCs/>
          <w:lang w:val="en-CA"/>
        </w:rPr>
        <w:t>r</w:t>
      </w:r>
      <w:r w:rsidR="00961A50" w:rsidRPr="00366942">
        <w:rPr>
          <w:lang w:val="en-CA"/>
        </w:rPr>
        <w:t xml:space="preserve">, </w:t>
      </w:r>
      <w:r w:rsidR="00F07AF7" w:rsidRPr="00366942">
        <w:rPr>
          <w:lang w:val="en-CA"/>
        </w:rPr>
        <w:t>as the appellant submits</w:t>
      </w:r>
      <w:r w:rsidR="00961A50" w:rsidRPr="00366942">
        <w:rPr>
          <w:lang w:val="en-CA"/>
        </w:rPr>
        <w:t xml:space="preserve">? </w:t>
      </w:r>
      <w:r w:rsidR="00F07AF7" w:rsidRPr="00366942">
        <w:rPr>
          <w:lang w:val="en-CA"/>
        </w:rPr>
        <w:t xml:space="preserve">To answer this question, we must </w:t>
      </w:r>
      <w:r w:rsidR="00F0562F" w:rsidRPr="00366942">
        <w:rPr>
          <w:lang w:val="en-CA"/>
        </w:rPr>
        <w:t xml:space="preserve">rely on the </w:t>
      </w:r>
      <w:r w:rsidR="00F07AF7" w:rsidRPr="00366942">
        <w:rPr>
          <w:lang w:val="en-CA"/>
        </w:rPr>
        <w:t xml:space="preserve">analytical framework articulated by the Supreme Court </w:t>
      </w:r>
      <w:r w:rsidR="00F0562F" w:rsidRPr="00366942">
        <w:rPr>
          <w:lang w:val="en-CA"/>
        </w:rPr>
        <w:t>concerning</w:t>
      </w:r>
      <w:r w:rsidR="00F07AF7" w:rsidRPr="00366942">
        <w:rPr>
          <w:lang w:val="en-CA"/>
        </w:rPr>
        <w:t xml:space="preserve"> the interpretation and application of that provision</w:t>
      </w:r>
      <w:r w:rsidR="00961A50" w:rsidRPr="00366942">
        <w:rPr>
          <w:lang w:val="en-CA"/>
        </w:rPr>
        <w:t>.</w:t>
      </w:r>
    </w:p>
    <w:p w14:paraId="6E9E2766" w14:textId="13A63165" w:rsidR="00961A50" w:rsidRPr="00366942" w:rsidRDefault="0068478B" w:rsidP="00961A50">
      <w:pPr>
        <w:pStyle w:val="Paragraphe"/>
        <w:rPr>
          <w:lang w:val="en-CA"/>
        </w:rPr>
      </w:pPr>
      <w:r w:rsidRPr="00366942">
        <w:rPr>
          <w:lang w:val="en-CA"/>
        </w:rPr>
        <w:t xml:space="preserve">Section </w:t>
      </w:r>
      <w:r w:rsidR="00961A50" w:rsidRPr="00366942">
        <w:rPr>
          <w:lang w:val="en-CA"/>
        </w:rPr>
        <w:t xml:space="preserve">15(1) </w:t>
      </w:r>
      <w:r w:rsidRPr="00366942">
        <w:rPr>
          <w:lang w:val="en-CA"/>
        </w:rPr>
        <w:t>of the</w:t>
      </w:r>
      <w:r w:rsidR="00961A50" w:rsidRPr="00366942">
        <w:rPr>
          <w:lang w:val="en-CA"/>
        </w:rPr>
        <w:t xml:space="preserve"> </w:t>
      </w:r>
      <w:r w:rsidRPr="00366942">
        <w:rPr>
          <w:i/>
          <w:iCs/>
          <w:lang w:val="en-CA"/>
        </w:rPr>
        <w:t>Canadian Charter</w:t>
      </w:r>
      <w:r w:rsidR="00961A50" w:rsidRPr="00366942">
        <w:rPr>
          <w:lang w:val="en-CA"/>
        </w:rPr>
        <w:t xml:space="preserve"> </w:t>
      </w:r>
      <w:r w:rsidRPr="00366942">
        <w:rPr>
          <w:lang w:val="en-CA"/>
        </w:rPr>
        <w:t>provides that</w:t>
      </w:r>
      <w:r w:rsidR="00961A50"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569D039C" w14:textId="77777777" w:rsidTr="00191C9C">
        <w:tc>
          <w:tcPr>
            <w:tcW w:w="4032" w:type="dxa"/>
          </w:tcPr>
          <w:p w14:paraId="445A5563" w14:textId="77777777" w:rsidR="00961A50" w:rsidRPr="00366942" w:rsidRDefault="00961A50" w:rsidP="00191C9C">
            <w:pPr>
              <w:pStyle w:val="Citationenretrait"/>
              <w:ind w:left="0" w:right="0"/>
              <w:rPr>
                <w:lang w:val="en-CA"/>
              </w:rPr>
            </w:pPr>
            <w:r w:rsidRPr="00366942">
              <w:rPr>
                <w:b/>
                <w:bCs/>
                <w:lang w:val="en-CA"/>
              </w:rPr>
              <w:lastRenderedPageBreak/>
              <w:t>15(1)</w:t>
            </w:r>
            <w:r w:rsidRPr="00366942">
              <w:rPr>
                <w:lang w:val="en-CA"/>
              </w:rPr>
              <w:t>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tc>
        <w:tc>
          <w:tcPr>
            <w:tcW w:w="4032" w:type="dxa"/>
          </w:tcPr>
          <w:p w14:paraId="588A8F01" w14:textId="77777777" w:rsidR="00961A50" w:rsidRPr="00366942" w:rsidRDefault="00961A50" w:rsidP="00191C9C">
            <w:pPr>
              <w:pStyle w:val="Citationenretrait"/>
              <w:ind w:left="0" w:right="0"/>
            </w:pPr>
            <w:r w:rsidRPr="00366942">
              <w:rPr>
                <w:b/>
                <w:bCs/>
              </w:rPr>
              <w:t>15(1)</w:t>
            </w:r>
            <w:r w:rsidRPr="00366942">
              <w:t>  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déficiences mentales ou physiques.</w:t>
            </w:r>
          </w:p>
        </w:tc>
      </w:tr>
    </w:tbl>
    <w:p w14:paraId="60A0673D" w14:textId="483C5C8C" w:rsidR="00961A50" w:rsidRPr="00366942" w:rsidRDefault="0068478B" w:rsidP="00961A50">
      <w:pPr>
        <w:pStyle w:val="Paragraphe"/>
        <w:rPr>
          <w:lang w:val="en-CA"/>
        </w:rPr>
      </w:pPr>
      <w:r w:rsidRPr="00366942">
        <w:rPr>
          <w:lang w:val="en-CA"/>
        </w:rPr>
        <w:t xml:space="preserve">Reinforcing that proposition </w:t>
      </w:r>
      <w:r w:rsidR="00752FA1" w:rsidRPr="00366942">
        <w:rPr>
          <w:lang w:val="en-CA"/>
        </w:rPr>
        <w:t>regarding</w:t>
      </w:r>
      <w:r w:rsidRPr="00366942">
        <w:rPr>
          <w:lang w:val="en-CA"/>
        </w:rPr>
        <w:t xml:space="preserve"> discrimination </w:t>
      </w:r>
      <w:r w:rsidR="005A6CE8" w:rsidRPr="00366942">
        <w:rPr>
          <w:lang w:val="en-CA"/>
        </w:rPr>
        <w:t>between women and men</w:t>
      </w:r>
      <w:r w:rsidR="00961A50" w:rsidRPr="00366942">
        <w:rPr>
          <w:lang w:val="en-CA"/>
        </w:rPr>
        <w:t xml:space="preserve">, </w:t>
      </w:r>
      <w:r w:rsidRPr="00366942">
        <w:rPr>
          <w:lang w:val="en-CA"/>
        </w:rPr>
        <w:t>s</w:t>
      </w:r>
      <w:r w:rsidR="00961A50" w:rsidRPr="00366942">
        <w:rPr>
          <w:lang w:val="en-CA"/>
        </w:rPr>
        <w:t>.</w:t>
      </w:r>
      <w:r w:rsidR="00C9257F">
        <w:rPr>
          <w:lang w:val="en-CA"/>
        </w:rPr>
        <w:t> </w:t>
      </w:r>
      <w:r w:rsidR="00961A50" w:rsidRPr="00366942">
        <w:rPr>
          <w:lang w:val="en-CA"/>
        </w:rPr>
        <w:t xml:space="preserve">28 </w:t>
      </w:r>
      <w:r w:rsidRPr="00366942">
        <w:rPr>
          <w:lang w:val="en-CA"/>
        </w:rPr>
        <w:t>of the</w:t>
      </w:r>
      <w:r w:rsidR="00961A50" w:rsidRPr="00366942">
        <w:rPr>
          <w:lang w:val="en-CA"/>
        </w:rPr>
        <w:t xml:space="preserve"> </w:t>
      </w:r>
      <w:r w:rsidR="00961A50" w:rsidRPr="00366942">
        <w:rPr>
          <w:i/>
          <w:iCs/>
          <w:lang w:val="en-CA"/>
        </w:rPr>
        <w:t>C</w:t>
      </w:r>
      <w:r w:rsidRPr="00366942">
        <w:rPr>
          <w:i/>
          <w:iCs/>
          <w:lang w:val="en-CA"/>
        </w:rPr>
        <w:t>anadian Charter</w:t>
      </w:r>
      <w:r w:rsidR="00961A50" w:rsidRPr="00366942">
        <w:rPr>
          <w:lang w:val="en-CA"/>
        </w:rPr>
        <w:t xml:space="preserve"> </w:t>
      </w:r>
      <w:r w:rsidRPr="00366942">
        <w:rPr>
          <w:lang w:val="en-CA"/>
        </w:rPr>
        <w:t>states that</w:t>
      </w:r>
      <w:r w:rsidR="00961A50"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086905F7" w14:textId="77777777" w:rsidTr="00191C9C">
        <w:tc>
          <w:tcPr>
            <w:tcW w:w="4032" w:type="dxa"/>
          </w:tcPr>
          <w:p w14:paraId="04A57AC3" w14:textId="77777777" w:rsidR="00961A50" w:rsidRPr="00366942" w:rsidRDefault="00961A50" w:rsidP="00191C9C">
            <w:pPr>
              <w:pStyle w:val="Citationenretrait"/>
              <w:ind w:left="0" w:right="0"/>
              <w:rPr>
                <w:lang w:val="en-CA"/>
              </w:rPr>
            </w:pPr>
            <w:r w:rsidRPr="00366942">
              <w:rPr>
                <w:b/>
                <w:bCs/>
                <w:lang w:val="en-CA"/>
              </w:rPr>
              <w:t>28</w:t>
            </w:r>
            <w:r w:rsidRPr="00366942">
              <w:rPr>
                <w:lang w:val="en-CA"/>
              </w:rPr>
              <w:t>  Notwithstanding anything in this Charter, the rights and freedoms referred to in it are guaranteed equally to male and female persons.</w:t>
            </w:r>
          </w:p>
        </w:tc>
        <w:tc>
          <w:tcPr>
            <w:tcW w:w="4032" w:type="dxa"/>
          </w:tcPr>
          <w:p w14:paraId="5B633805" w14:textId="77777777" w:rsidR="00961A50" w:rsidRPr="00366942" w:rsidRDefault="00961A50" w:rsidP="00191C9C">
            <w:pPr>
              <w:pStyle w:val="Citationenretrait"/>
              <w:ind w:left="0" w:right="0"/>
            </w:pPr>
            <w:r w:rsidRPr="00366942">
              <w:rPr>
                <w:b/>
                <w:bCs/>
              </w:rPr>
              <w:t>28</w:t>
            </w:r>
            <w:r w:rsidRPr="00366942">
              <w:t>  Indépendamment des autres dispositions de la présente charte, les droits et libertés qui y sont mentionnés sont garantis également aux personnes des deux sexes.</w:t>
            </w:r>
          </w:p>
        </w:tc>
      </w:tr>
    </w:tbl>
    <w:p w14:paraId="401688A8" w14:textId="7E0C2007" w:rsidR="00961A50" w:rsidRPr="00366942" w:rsidRDefault="008B7B62" w:rsidP="00961A50">
      <w:pPr>
        <w:pStyle w:val="Paragraphe"/>
        <w:rPr>
          <w:lang w:val="en-CA"/>
        </w:rPr>
      </w:pPr>
      <w:r w:rsidRPr="00366942">
        <w:rPr>
          <w:lang w:val="en-CA"/>
        </w:rPr>
        <w:t xml:space="preserve">As our Court recently noted, this latter provision “requires those interpreting the </w:t>
      </w:r>
      <w:r w:rsidRPr="00366942">
        <w:rPr>
          <w:i/>
          <w:iCs/>
          <w:lang w:val="en-CA"/>
        </w:rPr>
        <w:t>Canadian Charter</w:t>
      </w:r>
      <w:r w:rsidRPr="00366942">
        <w:rPr>
          <w:lang w:val="en-CA"/>
        </w:rPr>
        <w:t xml:space="preserve"> to take (substantive) sexual equality into account when determining the meaning and scope of ss. 2 to 23 and applying them to a given situation.”</w:t>
      </w:r>
      <w:r w:rsidR="00961A50" w:rsidRPr="00366942">
        <w:rPr>
          <w:rStyle w:val="Appelnotedebasdep"/>
          <w:lang w:val="en-CA"/>
        </w:rPr>
        <w:footnoteReference w:id="21"/>
      </w:r>
      <w:r w:rsidR="00961A50" w:rsidRPr="00366942">
        <w:rPr>
          <w:lang w:val="en-CA"/>
        </w:rPr>
        <w:t xml:space="preserve"> </w:t>
      </w:r>
      <w:r w:rsidRPr="00366942">
        <w:rPr>
          <w:lang w:val="en-CA"/>
        </w:rPr>
        <w:t>This guideline is indeed imperative</w:t>
      </w:r>
      <w:r w:rsidR="00961A50" w:rsidRPr="00366942">
        <w:rPr>
          <w:lang w:val="en-CA"/>
        </w:rPr>
        <w:t xml:space="preserve"> </w:t>
      </w:r>
      <w:r w:rsidRPr="00366942">
        <w:rPr>
          <w:lang w:val="en-CA"/>
        </w:rPr>
        <w:t>and</w:t>
      </w:r>
      <w:r w:rsidR="00961A50" w:rsidRPr="00366942">
        <w:rPr>
          <w:lang w:val="en-CA"/>
        </w:rPr>
        <w:t xml:space="preserve"> </w:t>
      </w:r>
      <w:r w:rsidRPr="00366942">
        <w:rPr>
          <w:lang w:val="en-CA"/>
        </w:rPr>
        <w:t xml:space="preserve">has “primacy over the other interpretative rules that are set out in the </w:t>
      </w:r>
      <w:r w:rsidRPr="00366942">
        <w:rPr>
          <w:i/>
          <w:iCs/>
          <w:lang w:val="en-CA"/>
        </w:rPr>
        <w:t>Charter</w:t>
      </w:r>
      <w:r w:rsidRPr="00366942">
        <w:rPr>
          <w:lang w:val="en-CA"/>
        </w:rPr>
        <w:t xml:space="preserve"> and that cannot, themselves, legitimize the introduction in the rights and freedoms guaranteed by ss. 2 to 23 of distinctions between women and men,”</w:t>
      </w:r>
      <w:r w:rsidR="00961A50" w:rsidRPr="00366942">
        <w:rPr>
          <w:rStyle w:val="Appelnotedebasdep"/>
          <w:lang w:val="en-CA"/>
        </w:rPr>
        <w:footnoteReference w:id="22"/>
      </w:r>
      <w:r w:rsidRPr="00366942">
        <w:rPr>
          <w:lang w:val="en-CA"/>
        </w:rPr>
        <w:t xml:space="preserve"> rights and freedoms that include, of course, the right to equality recognized, in various forms</w:t>
      </w:r>
      <w:r w:rsidR="00961A50" w:rsidRPr="00366942">
        <w:rPr>
          <w:lang w:val="en-CA"/>
        </w:rPr>
        <w:t xml:space="preserve">, </w:t>
      </w:r>
      <w:r w:rsidRPr="00366942">
        <w:rPr>
          <w:lang w:val="en-CA"/>
        </w:rPr>
        <w:t>by s</w:t>
      </w:r>
      <w:r w:rsidR="00961A50" w:rsidRPr="00366942">
        <w:rPr>
          <w:lang w:val="en-CA"/>
        </w:rPr>
        <w:t xml:space="preserve">. 15(1) </w:t>
      </w:r>
      <w:r w:rsidR="005D4F2C" w:rsidRPr="00366942">
        <w:rPr>
          <w:lang w:val="en-CA"/>
        </w:rPr>
        <w:t>of that same charter</w:t>
      </w:r>
      <w:r w:rsidR="00961A50" w:rsidRPr="00366942">
        <w:rPr>
          <w:lang w:val="en-CA"/>
        </w:rPr>
        <w:t xml:space="preserve">. </w:t>
      </w:r>
      <w:r w:rsidR="005D4F2C" w:rsidRPr="00366942">
        <w:rPr>
          <w:lang w:val="en-CA"/>
        </w:rPr>
        <w:t>In that regard</w:t>
      </w:r>
      <w:r w:rsidR="00961A50" w:rsidRPr="00366942">
        <w:rPr>
          <w:lang w:val="en-CA"/>
        </w:rPr>
        <w:t xml:space="preserve">, </w:t>
      </w:r>
      <w:r w:rsidR="005D4F2C" w:rsidRPr="00366942">
        <w:rPr>
          <w:lang w:val="en-CA"/>
        </w:rPr>
        <w:t>s</w:t>
      </w:r>
      <w:r w:rsidR="00961A50" w:rsidRPr="00366942">
        <w:rPr>
          <w:lang w:val="en-CA"/>
        </w:rPr>
        <w:t xml:space="preserve">. 28 </w:t>
      </w:r>
      <w:r w:rsidR="005D4F2C" w:rsidRPr="00366942">
        <w:rPr>
          <w:lang w:val="en-CA"/>
        </w:rPr>
        <w:t>certainly reinforces the notion of a liberal and generous interpretation of s.</w:t>
      </w:r>
      <w:r w:rsidR="00961A50" w:rsidRPr="00366942">
        <w:rPr>
          <w:lang w:val="en-CA"/>
        </w:rPr>
        <w:t xml:space="preserve"> 15(1).</w:t>
      </w:r>
    </w:p>
    <w:p w14:paraId="3B856A26" w14:textId="15C06241" w:rsidR="00961A50" w:rsidRPr="00366942" w:rsidRDefault="00DE35A7" w:rsidP="00961A50">
      <w:pPr>
        <w:pStyle w:val="Paragraphe"/>
        <w:rPr>
          <w:lang w:val="en-CA"/>
        </w:rPr>
      </w:pPr>
      <w:r w:rsidRPr="00366942">
        <w:rPr>
          <w:lang w:val="en-CA"/>
        </w:rPr>
        <w:t>Reviewing</w:t>
      </w:r>
      <w:r w:rsidR="005D4F2C" w:rsidRPr="00366942">
        <w:rPr>
          <w:lang w:val="en-CA"/>
        </w:rPr>
        <w:t xml:space="preserve"> the Supreme Court’s significant body of</w:t>
      </w:r>
      <w:r w:rsidR="00961A50" w:rsidRPr="00366942">
        <w:rPr>
          <w:lang w:val="en-CA"/>
        </w:rPr>
        <w:t xml:space="preserve"> jurisprudence</w:t>
      </w:r>
      <w:r w:rsidR="005D4F2C" w:rsidRPr="00366942">
        <w:rPr>
          <w:lang w:val="en-CA"/>
        </w:rPr>
        <w:t xml:space="preserve"> </w:t>
      </w:r>
      <w:r w:rsidR="00624AF1" w:rsidRPr="00366942">
        <w:rPr>
          <w:lang w:val="en-CA"/>
        </w:rPr>
        <w:t>on the matter of</w:t>
      </w:r>
      <w:r w:rsidR="005D4F2C" w:rsidRPr="00366942">
        <w:rPr>
          <w:lang w:val="en-CA"/>
        </w:rPr>
        <w:t xml:space="preserve"> discrimination, </w:t>
      </w:r>
      <w:r w:rsidR="00961A50" w:rsidRPr="00366942">
        <w:rPr>
          <w:lang w:val="en-CA"/>
        </w:rPr>
        <w:t xml:space="preserve">Brown </w:t>
      </w:r>
      <w:r w:rsidR="005D4F2C" w:rsidRPr="00366942">
        <w:rPr>
          <w:lang w:val="en-CA"/>
        </w:rPr>
        <w:t>and</w:t>
      </w:r>
      <w:r w:rsidR="00961A50" w:rsidRPr="00366942">
        <w:rPr>
          <w:lang w:val="en-CA"/>
        </w:rPr>
        <w:t xml:space="preserve"> Rowe,</w:t>
      </w:r>
      <w:r w:rsidRPr="00366942">
        <w:rPr>
          <w:lang w:val="en-CA"/>
        </w:rPr>
        <w:t xml:space="preserve"> JJ.</w:t>
      </w:r>
      <w:r w:rsidR="00D16B97" w:rsidRPr="00366942">
        <w:rPr>
          <w:lang w:val="en-CA"/>
        </w:rPr>
        <w:t>,</w:t>
      </w:r>
      <w:r w:rsidR="00961A50" w:rsidRPr="00366942">
        <w:rPr>
          <w:lang w:val="en-CA"/>
        </w:rPr>
        <w:t xml:space="preserve"> </w:t>
      </w:r>
      <w:r w:rsidRPr="00366942">
        <w:rPr>
          <w:lang w:val="en-CA"/>
        </w:rPr>
        <w:t>in</w:t>
      </w:r>
      <w:r w:rsidR="00961A50" w:rsidRPr="00366942">
        <w:rPr>
          <w:lang w:val="en-CA"/>
        </w:rPr>
        <w:t xml:space="preserve"> </w:t>
      </w:r>
      <w:r w:rsidR="00961A50" w:rsidRPr="00366942">
        <w:rPr>
          <w:i/>
          <w:iCs/>
          <w:lang w:val="en-CA"/>
        </w:rPr>
        <w:t>Sharma</w:t>
      </w:r>
      <w:r w:rsidRPr="00366942">
        <w:rPr>
          <w:lang w:val="en-CA"/>
        </w:rPr>
        <w:t>,</w:t>
      </w:r>
      <w:r w:rsidR="00961A50" w:rsidRPr="00366942">
        <w:rPr>
          <w:rStyle w:val="Appelnotedebasdep"/>
          <w:lang w:val="en-CA"/>
        </w:rPr>
        <w:footnoteReference w:id="23"/>
      </w:r>
      <w:r w:rsidR="00961A50" w:rsidRPr="00366942">
        <w:rPr>
          <w:lang w:val="en-CA"/>
        </w:rPr>
        <w:t xml:space="preserve"> </w:t>
      </w:r>
      <w:r w:rsidRPr="00366942">
        <w:rPr>
          <w:lang w:val="en-CA"/>
        </w:rPr>
        <w:t xml:space="preserve">explained in the following terms the approach in determining </w:t>
      </w:r>
      <w:r w:rsidR="00624AF1" w:rsidRPr="00366942">
        <w:rPr>
          <w:lang w:val="en-CA"/>
        </w:rPr>
        <w:t xml:space="preserve">the </w:t>
      </w:r>
      <w:r w:rsidR="003634C1" w:rsidRPr="00366942">
        <w:rPr>
          <w:lang w:val="en-CA"/>
        </w:rPr>
        <w:t>existence</w:t>
      </w:r>
      <w:r w:rsidR="00624AF1" w:rsidRPr="00366942">
        <w:rPr>
          <w:lang w:val="en-CA"/>
        </w:rPr>
        <w:t xml:space="preserve"> or </w:t>
      </w:r>
      <w:r w:rsidR="003634C1" w:rsidRPr="00366942">
        <w:rPr>
          <w:lang w:val="en-CA"/>
        </w:rPr>
        <w:t>non-existence</w:t>
      </w:r>
      <w:r w:rsidR="00624AF1" w:rsidRPr="00366942">
        <w:rPr>
          <w:lang w:val="en-CA"/>
        </w:rPr>
        <w:t xml:space="preserve"> of </w:t>
      </w:r>
      <w:r w:rsidRPr="00366942">
        <w:rPr>
          <w:lang w:val="en-CA"/>
        </w:rPr>
        <w:t>a situation contrary to s.</w:t>
      </w:r>
      <w:r w:rsidR="00961A50" w:rsidRPr="00366942">
        <w:rPr>
          <w:lang w:val="en-CA"/>
        </w:rPr>
        <w:t xml:space="preserve"> 15(1) </w:t>
      </w:r>
      <w:r w:rsidRPr="00366942">
        <w:rPr>
          <w:lang w:val="en-CA"/>
        </w:rPr>
        <w:t>of the</w:t>
      </w:r>
      <w:r w:rsidR="00961A50" w:rsidRPr="00366942">
        <w:rPr>
          <w:lang w:val="en-CA"/>
        </w:rPr>
        <w:t xml:space="preserve"> </w:t>
      </w:r>
      <w:r w:rsidRPr="00366942">
        <w:rPr>
          <w:i/>
          <w:iCs/>
          <w:lang w:val="en-CA"/>
        </w:rPr>
        <w:t>Canadian Charter</w:t>
      </w:r>
      <w:r w:rsidR="00961A50" w:rsidRPr="00366942">
        <w:rPr>
          <w:lang w:val="en-CA"/>
        </w:rPr>
        <w:t>:</w:t>
      </w:r>
    </w:p>
    <w:p w14:paraId="08461AD6" w14:textId="58C16A22" w:rsidR="00961A50" w:rsidRPr="00366942" w:rsidRDefault="00961A50" w:rsidP="00961A50">
      <w:pPr>
        <w:pStyle w:val="Citationenretrait"/>
        <w:rPr>
          <w:lang w:val="en-CA"/>
        </w:rPr>
      </w:pPr>
      <w:r w:rsidRPr="00366942">
        <w:rPr>
          <w:lang w:val="en-CA"/>
        </w:rPr>
        <w:t>[28]</w:t>
      </w:r>
      <w:r w:rsidRPr="00366942">
        <w:rPr>
          <w:lang w:val="en-CA"/>
        </w:rPr>
        <w:tab/>
      </w:r>
      <w:r w:rsidR="00624AF1" w:rsidRPr="00366942">
        <w:rPr>
          <w:lang w:val="en-CA"/>
        </w:rPr>
        <w:t>The two</w:t>
      </w:r>
      <w:r w:rsidR="00624AF1" w:rsidRPr="00366942">
        <w:rPr>
          <w:rFonts w:ascii="Cambria Math" w:hAnsi="Cambria Math" w:cs="Cambria Math"/>
          <w:lang w:val="en-CA"/>
        </w:rPr>
        <w:t>‑</w:t>
      </w:r>
      <w:r w:rsidR="00624AF1" w:rsidRPr="00366942">
        <w:rPr>
          <w:lang w:val="en-CA"/>
        </w:rPr>
        <w:t>step test for assessing a s. 15(1) claim is not at issue in this case. It requires the claimant to demonstrate that the impugned law or state action</w:t>
      </w:r>
      <w:r w:rsidRPr="00366942">
        <w:rPr>
          <w:lang w:val="en-CA"/>
        </w:rPr>
        <w:t>:</w:t>
      </w:r>
    </w:p>
    <w:p w14:paraId="04802DDB" w14:textId="2E24DC14" w:rsidR="00961A50" w:rsidRPr="00366942" w:rsidRDefault="00624AF1" w:rsidP="002A409A">
      <w:pPr>
        <w:pStyle w:val="Citationenretrait"/>
        <w:spacing w:before="0"/>
        <w:ind w:left="1800" w:hanging="360"/>
        <w:rPr>
          <w:lang w:val="en-CA"/>
        </w:rPr>
      </w:pPr>
      <w:r w:rsidRPr="00366942">
        <w:rPr>
          <w:lang w:val="en-CA"/>
        </w:rPr>
        <w:t>(</w:t>
      </w:r>
      <w:r w:rsidR="00961A50" w:rsidRPr="00366942">
        <w:rPr>
          <w:lang w:val="en-CA"/>
        </w:rPr>
        <w:t>a)</w:t>
      </w:r>
      <w:r w:rsidR="00961A50" w:rsidRPr="00366942">
        <w:rPr>
          <w:lang w:val="en-CA"/>
        </w:rPr>
        <w:tab/>
      </w:r>
      <w:r w:rsidRPr="00366942">
        <w:rPr>
          <w:lang w:val="en-CA"/>
        </w:rPr>
        <w:t>creates a distinction based on enumerated or analogous grounds, on its face or in its impact</w:t>
      </w:r>
      <w:r w:rsidR="00961A50" w:rsidRPr="00366942">
        <w:rPr>
          <w:lang w:val="en-CA"/>
        </w:rPr>
        <w:t>;</w:t>
      </w:r>
    </w:p>
    <w:p w14:paraId="446BE12E" w14:textId="61CCC7E9" w:rsidR="00961A50" w:rsidRPr="00366942" w:rsidRDefault="00624AF1" w:rsidP="002A409A">
      <w:pPr>
        <w:pStyle w:val="Citationenretrait"/>
        <w:spacing w:before="0"/>
        <w:ind w:left="1800" w:hanging="360"/>
        <w:rPr>
          <w:lang w:val="en-CA"/>
        </w:rPr>
      </w:pPr>
      <w:r w:rsidRPr="00366942">
        <w:rPr>
          <w:lang w:val="en-CA"/>
        </w:rPr>
        <w:lastRenderedPageBreak/>
        <w:t>(</w:t>
      </w:r>
      <w:r w:rsidR="00961A50" w:rsidRPr="00366942">
        <w:rPr>
          <w:lang w:val="en-CA"/>
        </w:rPr>
        <w:t>b)</w:t>
      </w:r>
      <w:r w:rsidR="00961A50" w:rsidRPr="00366942">
        <w:rPr>
          <w:lang w:val="en-CA"/>
        </w:rPr>
        <w:tab/>
      </w:r>
      <w:r w:rsidRPr="00366942">
        <w:rPr>
          <w:lang w:val="en-CA"/>
        </w:rPr>
        <w:t>imposes a burden or denies a benefit in a manner that has the effect of reinforcing, perpetuating, or exacerbating disadvantage (</w:t>
      </w:r>
      <w:r w:rsidRPr="00366942">
        <w:rPr>
          <w:i/>
          <w:iCs/>
          <w:lang w:val="en-CA"/>
        </w:rPr>
        <w:t>R. v. C.P.</w:t>
      </w:r>
      <w:r w:rsidRPr="00366942">
        <w:rPr>
          <w:lang w:val="en-CA"/>
        </w:rPr>
        <w:t>, 2021 SCC 19, at paras. 56 and 141; </w:t>
      </w:r>
      <w:r w:rsidRPr="00366942">
        <w:rPr>
          <w:i/>
          <w:iCs/>
          <w:lang w:val="en-CA"/>
        </w:rPr>
        <w:t>Fraser v. Canada (Attorney General)</w:t>
      </w:r>
      <w:r w:rsidRPr="00366942">
        <w:rPr>
          <w:lang w:val="en-CA"/>
        </w:rPr>
        <w:t>, 2020 SCC 28, at para. 27; </w:t>
      </w:r>
      <w:r w:rsidRPr="00366942">
        <w:rPr>
          <w:i/>
          <w:iCs/>
          <w:lang w:val="en-CA"/>
        </w:rPr>
        <w:t>Kahkewistahaw First Nation v. Taypotat</w:t>
      </w:r>
      <w:r w:rsidRPr="00366942">
        <w:rPr>
          <w:lang w:val="en-CA"/>
        </w:rPr>
        <w:t>, 2015 SCC 30, [2015] 2 S.C.R. 548, at paras. 19</w:t>
      </w:r>
      <w:r w:rsidRPr="00366942">
        <w:rPr>
          <w:lang w:val="en-CA"/>
        </w:rPr>
        <w:noBreakHyphen/>
        <w:t>20)</w:t>
      </w:r>
      <w:r w:rsidR="00961A50" w:rsidRPr="00366942">
        <w:rPr>
          <w:lang w:val="en-CA"/>
        </w:rPr>
        <w:t>.</w:t>
      </w:r>
      <w:bookmarkStart w:id="19" w:name="_Ref176172654"/>
      <w:r w:rsidR="00961A50" w:rsidRPr="00366942">
        <w:rPr>
          <w:rStyle w:val="Appelnotedebasdep"/>
          <w:lang w:val="en-CA"/>
        </w:rPr>
        <w:footnoteReference w:id="24"/>
      </w:r>
      <w:bookmarkEnd w:id="19"/>
    </w:p>
    <w:p w14:paraId="79AA8B82" w14:textId="7F30F7D3" w:rsidR="00961A50" w:rsidRPr="00366942" w:rsidRDefault="00C84663" w:rsidP="00961A50">
      <w:pPr>
        <w:pStyle w:val="Paragraphe"/>
        <w:rPr>
          <w:lang w:val="en-CA"/>
        </w:rPr>
      </w:pPr>
      <w:r w:rsidRPr="00366942">
        <w:rPr>
          <w:lang w:val="en-CA"/>
        </w:rPr>
        <w:t xml:space="preserve">As </w:t>
      </w:r>
      <w:r w:rsidR="00961A50" w:rsidRPr="00366942">
        <w:rPr>
          <w:lang w:val="en-CA"/>
        </w:rPr>
        <w:t>McLachlin</w:t>
      </w:r>
      <w:r w:rsidRPr="00366942">
        <w:rPr>
          <w:lang w:val="en-CA"/>
        </w:rPr>
        <w:t>, J.</w:t>
      </w:r>
      <w:r w:rsidR="00961A50" w:rsidRPr="00366942">
        <w:rPr>
          <w:lang w:val="en-CA"/>
        </w:rPr>
        <w:t xml:space="preserve"> (</w:t>
      </w:r>
      <w:r w:rsidRPr="00366942">
        <w:rPr>
          <w:lang w:val="en-CA"/>
        </w:rPr>
        <w:t>as she then was</w:t>
      </w:r>
      <w:r w:rsidR="00961A50" w:rsidRPr="00366942">
        <w:rPr>
          <w:lang w:val="en-CA"/>
        </w:rPr>
        <w:t xml:space="preserve">) </w:t>
      </w:r>
      <w:r w:rsidR="00141334" w:rsidRPr="00366942">
        <w:rPr>
          <w:lang w:val="en-CA"/>
        </w:rPr>
        <w:t xml:space="preserve">wrote 25 years ago </w:t>
      </w:r>
      <w:r w:rsidRPr="00366942">
        <w:rPr>
          <w:lang w:val="en-CA"/>
        </w:rPr>
        <w:t>in</w:t>
      </w:r>
      <w:r w:rsidR="00961A50" w:rsidRPr="00366942">
        <w:rPr>
          <w:lang w:val="en-CA"/>
        </w:rPr>
        <w:t xml:space="preserve"> </w:t>
      </w:r>
      <w:r w:rsidR="00707AAC" w:rsidRPr="00366942">
        <w:rPr>
          <w:i/>
          <w:iCs/>
          <w:lang w:val="en-CA"/>
        </w:rPr>
        <w:t>British Columbia</w:t>
      </w:r>
      <w:r w:rsidR="00961A50" w:rsidRPr="00366942">
        <w:rPr>
          <w:i/>
          <w:iCs/>
          <w:lang w:val="en-CA"/>
        </w:rPr>
        <w:t xml:space="preserve"> (Public Service Employee Relations Commission) </w:t>
      </w:r>
      <w:r w:rsidR="00707AAC" w:rsidRPr="00366942">
        <w:rPr>
          <w:i/>
          <w:iCs/>
          <w:lang w:val="en-CA"/>
        </w:rPr>
        <w:t>v</w:t>
      </w:r>
      <w:r w:rsidR="00961A50" w:rsidRPr="00366942">
        <w:rPr>
          <w:i/>
          <w:iCs/>
          <w:lang w:val="en-CA"/>
        </w:rPr>
        <w:t>. BCGSEU</w:t>
      </w:r>
      <w:bookmarkStart w:id="20" w:name="_Ref172642613"/>
      <w:r w:rsidR="00707AAC" w:rsidRPr="00366942">
        <w:rPr>
          <w:lang w:val="en-CA"/>
        </w:rPr>
        <w:t>,</w:t>
      </w:r>
      <w:r w:rsidR="00961A50" w:rsidRPr="00366942">
        <w:rPr>
          <w:rStyle w:val="Appelnotedebasdep"/>
          <w:lang w:val="en-CA"/>
        </w:rPr>
        <w:footnoteReference w:id="25"/>
      </w:r>
      <w:bookmarkEnd w:id="20"/>
      <w:r w:rsidR="00961A50" w:rsidRPr="00366942">
        <w:rPr>
          <w:lang w:val="en-CA"/>
        </w:rPr>
        <w:t xml:space="preserve"> </w:t>
      </w:r>
      <w:r w:rsidR="00707AAC" w:rsidRPr="00366942">
        <w:rPr>
          <w:lang w:val="en-CA"/>
        </w:rPr>
        <w:t>s</w:t>
      </w:r>
      <w:r w:rsidR="00961A50" w:rsidRPr="00366942">
        <w:rPr>
          <w:lang w:val="en-CA"/>
        </w:rPr>
        <w:t xml:space="preserve">. 15(1) </w:t>
      </w:r>
      <w:r w:rsidR="00707AAC" w:rsidRPr="00366942">
        <w:rPr>
          <w:lang w:val="en-CA"/>
        </w:rPr>
        <w:t>of the</w:t>
      </w:r>
      <w:r w:rsidR="00961A50" w:rsidRPr="00366942">
        <w:rPr>
          <w:lang w:val="en-CA"/>
        </w:rPr>
        <w:t xml:space="preserve"> </w:t>
      </w:r>
      <w:r w:rsidR="00707AAC" w:rsidRPr="00366942">
        <w:rPr>
          <w:i/>
          <w:iCs/>
          <w:lang w:val="en-CA"/>
        </w:rPr>
        <w:t>Canadian Charter</w:t>
      </w:r>
      <w:r w:rsidR="00961A50" w:rsidRPr="00366942">
        <w:rPr>
          <w:lang w:val="en-CA"/>
        </w:rPr>
        <w:t xml:space="preserve"> prohib</w:t>
      </w:r>
      <w:r w:rsidR="00707AAC" w:rsidRPr="00366942">
        <w:rPr>
          <w:lang w:val="en-CA"/>
        </w:rPr>
        <w:t>its</w:t>
      </w:r>
      <w:r w:rsidR="00961A50" w:rsidRPr="00366942">
        <w:rPr>
          <w:lang w:val="en-CA"/>
        </w:rPr>
        <w:t xml:space="preserve"> discrimination</w:t>
      </w:r>
      <w:r w:rsidR="00707AAC" w:rsidRPr="00366942">
        <w:rPr>
          <w:lang w:val="en-CA"/>
        </w:rPr>
        <w:t>, whether</w:t>
      </w:r>
      <w:r w:rsidR="00961A50" w:rsidRPr="00366942">
        <w:rPr>
          <w:lang w:val="en-CA"/>
        </w:rPr>
        <w:t xml:space="preserve"> </w:t>
      </w:r>
      <w:r w:rsidR="00707AAC" w:rsidRPr="00366942">
        <w:rPr>
          <w:lang w:val="en-CA"/>
        </w:rPr>
        <w:t>“overt or covert”,</w:t>
      </w:r>
      <w:r w:rsidR="00961A50" w:rsidRPr="00366942">
        <w:rPr>
          <w:rStyle w:val="Appelnotedebasdep"/>
          <w:lang w:val="en-CA"/>
        </w:rPr>
        <w:footnoteReference w:id="26"/>
      </w:r>
      <w:r w:rsidR="00707AAC" w:rsidRPr="00366942">
        <w:rPr>
          <w:lang w:val="en-CA"/>
        </w:rPr>
        <w:t xml:space="preserve"> </w:t>
      </w:r>
      <w:r w:rsidR="004A6B38" w:rsidRPr="00366942">
        <w:rPr>
          <w:lang w:val="en-CA"/>
        </w:rPr>
        <w:t>i.e.,</w:t>
      </w:r>
      <w:r w:rsidR="00961A50" w:rsidRPr="00366942">
        <w:rPr>
          <w:lang w:val="en-CA"/>
        </w:rPr>
        <w:t xml:space="preserve"> direct – </w:t>
      </w:r>
      <w:r w:rsidR="00707AAC" w:rsidRPr="00366942">
        <w:rPr>
          <w:lang w:val="en-CA"/>
        </w:rPr>
        <w:t xml:space="preserve">which can be observed </w:t>
      </w:r>
      <w:r w:rsidR="004A6B38" w:rsidRPr="00366942">
        <w:rPr>
          <w:lang w:val="en-CA"/>
        </w:rPr>
        <w:t>on its face</w:t>
      </w:r>
      <w:r w:rsidR="00961A50" w:rsidRPr="00366942">
        <w:rPr>
          <w:lang w:val="en-CA"/>
        </w:rPr>
        <w:t xml:space="preserve"> – </w:t>
      </w:r>
      <w:r w:rsidR="00707AAC" w:rsidRPr="00366942">
        <w:rPr>
          <w:lang w:val="en-CA"/>
        </w:rPr>
        <w:t>or</w:t>
      </w:r>
      <w:r w:rsidR="00961A50" w:rsidRPr="00366942">
        <w:rPr>
          <w:lang w:val="en-CA"/>
        </w:rPr>
        <w:t xml:space="preserve"> indirect – </w:t>
      </w:r>
      <w:r w:rsidR="00707AAC" w:rsidRPr="00366942">
        <w:rPr>
          <w:lang w:val="en-CA"/>
        </w:rPr>
        <w:t>which results from the</w:t>
      </w:r>
      <w:r w:rsidR="00C06F47" w:rsidRPr="00366942">
        <w:rPr>
          <w:lang w:val="en-CA"/>
        </w:rPr>
        <w:t xml:space="preserve"> standard’s</w:t>
      </w:r>
      <w:r w:rsidR="00707AAC" w:rsidRPr="00366942">
        <w:rPr>
          <w:lang w:val="en-CA"/>
        </w:rPr>
        <w:t xml:space="preserve"> adverse effect</w:t>
      </w:r>
      <w:r w:rsidR="00C06F47" w:rsidRPr="00366942">
        <w:rPr>
          <w:lang w:val="en-CA"/>
        </w:rPr>
        <w:t xml:space="preserve"> </w:t>
      </w:r>
      <w:r w:rsidR="00961A50" w:rsidRPr="00366942">
        <w:rPr>
          <w:lang w:val="en-CA"/>
        </w:rPr>
        <w:t xml:space="preserve">–, </w:t>
      </w:r>
      <w:r w:rsidR="00C06F47" w:rsidRPr="00366942">
        <w:rPr>
          <w:lang w:val="en-CA"/>
        </w:rPr>
        <w:t xml:space="preserve">but </w:t>
      </w:r>
      <w:r w:rsidR="00141334" w:rsidRPr="00366942">
        <w:rPr>
          <w:lang w:val="en-CA"/>
        </w:rPr>
        <w:t xml:space="preserve">the </w:t>
      </w:r>
      <w:r w:rsidR="00C06F47" w:rsidRPr="00366942">
        <w:rPr>
          <w:lang w:val="en-CA"/>
        </w:rPr>
        <w:t xml:space="preserve">demonstration that must be made thereof is not </w:t>
      </w:r>
      <w:r w:rsidR="00D16B97" w:rsidRPr="00366942">
        <w:rPr>
          <w:lang w:val="en-CA"/>
        </w:rPr>
        <w:t xml:space="preserve">exactly </w:t>
      </w:r>
      <w:r w:rsidR="00141334" w:rsidRPr="00366942">
        <w:rPr>
          <w:lang w:val="en-CA"/>
        </w:rPr>
        <w:t>the same in nature</w:t>
      </w:r>
      <w:r w:rsidR="00961A50" w:rsidRPr="00366942">
        <w:rPr>
          <w:lang w:val="en-CA"/>
        </w:rPr>
        <w:t xml:space="preserve">. </w:t>
      </w:r>
      <w:r w:rsidR="00C06F47" w:rsidRPr="00366942">
        <w:rPr>
          <w:lang w:val="en-CA"/>
        </w:rPr>
        <w:t>Where the issue</w:t>
      </w:r>
      <w:r w:rsidR="00141334" w:rsidRPr="00366942">
        <w:rPr>
          <w:lang w:val="en-CA"/>
        </w:rPr>
        <w:t xml:space="preserve"> involves</w:t>
      </w:r>
      <w:r w:rsidR="00C06F47" w:rsidRPr="00366942">
        <w:rPr>
          <w:lang w:val="en-CA"/>
        </w:rPr>
        <w:t xml:space="preserve">, as in </w:t>
      </w:r>
      <w:r w:rsidR="004A6B38" w:rsidRPr="00366942">
        <w:rPr>
          <w:lang w:val="en-CA"/>
        </w:rPr>
        <w:t>this</w:t>
      </w:r>
      <w:r w:rsidR="00C06F47" w:rsidRPr="00366942">
        <w:rPr>
          <w:lang w:val="en-CA"/>
        </w:rPr>
        <w:t xml:space="preserve"> case (and</w:t>
      </w:r>
      <w:r w:rsidR="00141334" w:rsidRPr="00366942">
        <w:rPr>
          <w:lang w:val="en-CA"/>
        </w:rPr>
        <w:t xml:space="preserve"> as</w:t>
      </w:r>
      <w:r w:rsidR="00C06F47" w:rsidRPr="00366942">
        <w:rPr>
          <w:lang w:val="en-CA"/>
        </w:rPr>
        <w:t xml:space="preserve"> I will </w:t>
      </w:r>
      <w:r w:rsidR="00141334" w:rsidRPr="00366942">
        <w:rPr>
          <w:lang w:val="en-CA"/>
        </w:rPr>
        <w:t>explain below</w:t>
      </w:r>
      <w:r w:rsidR="00C06F47" w:rsidRPr="00366942">
        <w:rPr>
          <w:lang w:val="en-CA"/>
        </w:rPr>
        <w:t>), indirect discrimination</w:t>
      </w:r>
      <w:r w:rsidR="00961A50" w:rsidRPr="00366942">
        <w:rPr>
          <w:lang w:val="en-CA"/>
        </w:rPr>
        <w:t xml:space="preserve"> (</w:t>
      </w:r>
      <w:r w:rsidR="00C06F47" w:rsidRPr="00366942">
        <w:rPr>
          <w:lang w:val="en-CA"/>
        </w:rPr>
        <w:t xml:space="preserve">that which creates a </w:t>
      </w:r>
      <w:r w:rsidR="00961A50" w:rsidRPr="00366942">
        <w:rPr>
          <w:lang w:val="en-CA"/>
        </w:rPr>
        <w:t xml:space="preserve">distinction </w:t>
      </w:r>
      <w:r w:rsidR="00C06F47" w:rsidRPr="00366942">
        <w:rPr>
          <w:lang w:val="en-CA"/>
        </w:rPr>
        <w:t>by the imposition “of obligations, penalties or restrictive conditions that result from a policy or practice which is on its face neutral but which has a disproportionately negative effect on an individual or group because of a special characteristic of that individual or group,”</w:t>
      </w:r>
      <w:r w:rsidR="00961A50" w:rsidRPr="00366942">
        <w:rPr>
          <w:rStyle w:val="Appelnotedebasdep"/>
          <w:lang w:val="en-CA"/>
        </w:rPr>
        <w:footnoteReference w:id="27"/>
      </w:r>
      <w:r w:rsidR="00961A50" w:rsidRPr="00366942">
        <w:rPr>
          <w:lang w:val="en-CA"/>
        </w:rPr>
        <w:t xml:space="preserve"> Brown </w:t>
      </w:r>
      <w:r w:rsidR="00C06F47" w:rsidRPr="00366942">
        <w:rPr>
          <w:lang w:val="en-CA"/>
        </w:rPr>
        <w:t>and</w:t>
      </w:r>
      <w:r w:rsidR="00961A50" w:rsidRPr="00366942">
        <w:rPr>
          <w:lang w:val="en-CA"/>
        </w:rPr>
        <w:t xml:space="preserve"> Rowe,</w:t>
      </w:r>
      <w:r w:rsidR="00C06F47" w:rsidRPr="00366942">
        <w:rPr>
          <w:lang w:val="en-CA"/>
        </w:rPr>
        <w:t xml:space="preserve"> JJ., in</w:t>
      </w:r>
      <w:r w:rsidR="00961A50" w:rsidRPr="00366942">
        <w:rPr>
          <w:lang w:val="en-CA"/>
        </w:rPr>
        <w:t xml:space="preserve"> </w:t>
      </w:r>
      <w:r w:rsidR="00961A50" w:rsidRPr="00366942">
        <w:rPr>
          <w:i/>
          <w:iCs/>
          <w:lang w:val="en-CA"/>
        </w:rPr>
        <w:t>Sharma</w:t>
      </w:r>
      <w:r w:rsidR="00961A50" w:rsidRPr="00366942">
        <w:rPr>
          <w:lang w:val="en-CA"/>
        </w:rPr>
        <w:t xml:space="preserve">, </w:t>
      </w:r>
      <w:r w:rsidR="00C06F47" w:rsidRPr="00366942">
        <w:rPr>
          <w:lang w:val="en-CA"/>
        </w:rPr>
        <w:t xml:space="preserve">add the following on </w:t>
      </w:r>
      <w:r w:rsidR="00077D69" w:rsidRPr="00366942">
        <w:rPr>
          <w:lang w:val="en-CA"/>
        </w:rPr>
        <w:t xml:space="preserve">how to proceed </w:t>
      </w:r>
      <w:r w:rsidR="00D16B97" w:rsidRPr="00366942">
        <w:rPr>
          <w:lang w:val="en-CA"/>
        </w:rPr>
        <w:t xml:space="preserve">to </w:t>
      </w:r>
      <w:r w:rsidR="004A6B38" w:rsidRPr="00366942">
        <w:rPr>
          <w:lang w:val="en-CA"/>
        </w:rPr>
        <w:t>the</w:t>
      </w:r>
      <w:r w:rsidR="00C06F47" w:rsidRPr="00366942">
        <w:rPr>
          <w:lang w:val="en-CA"/>
        </w:rPr>
        <w:t xml:space="preserve"> two</w:t>
      </w:r>
      <w:r w:rsidR="004A6B38" w:rsidRPr="00366942">
        <w:rPr>
          <w:lang w:val="en-CA"/>
        </w:rPr>
        <w:t>-</w:t>
      </w:r>
      <w:r w:rsidR="00C06F47" w:rsidRPr="00366942">
        <w:rPr>
          <w:lang w:val="en-CA"/>
        </w:rPr>
        <w:t>step analysis</w:t>
      </w:r>
      <w:r w:rsidR="00961A50" w:rsidRPr="00366942">
        <w:rPr>
          <w:lang w:val="en-CA"/>
        </w:rPr>
        <w:t>:</w:t>
      </w:r>
    </w:p>
    <w:p w14:paraId="1EB6E65A" w14:textId="73BC57BA" w:rsidR="00961A50" w:rsidRPr="00366942" w:rsidRDefault="00961A50" w:rsidP="00961A50">
      <w:pPr>
        <w:pStyle w:val="Citationenretrait"/>
        <w:rPr>
          <w:lang w:val="en-CA"/>
        </w:rPr>
      </w:pPr>
      <w:r w:rsidRPr="00366942">
        <w:rPr>
          <w:lang w:val="en-CA"/>
        </w:rPr>
        <w:t>[31]</w:t>
      </w:r>
      <w:r w:rsidRPr="00366942">
        <w:rPr>
          <w:lang w:val="en-CA"/>
        </w:rPr>
        <w:tab/>
      </w:r>
      <w:r w:rsidR="000130C3" w:rsidRPr="00366942">
        <w:rPr>
          <w:u w:val="single"/>
          <w:lang w:val="en-CA"/>
        </w:rPr>
        <w:t>The first step examines whether the impugned law created or contributed to a disproportionate impact on the claimant group based on a protected ground. This necessarily entails drawing a comparison between the claimant group and other groups or the general population</w:t>
      </w:r>
      <w:r w:rsidR="000130C3" w:rsidRPr="00366942">
        <w:rPr>
          <w:lang w:val="en-CA"/>
        </w:rPr>
        <w:t xml:space="preserve"> (</w:t>
      </w:r>
      <w:r w:rsidR="000130C3" w:rsidRPr="00366942">
        <w:rPr>
          <w:i/>
          <w:iCs/>
          <w:lang w:val="en-CA"/>
        </w:rPr>
        <w:t>Andrews v. Law Society of British Columbia</w:t>
      </w:r>
      <w:r w:rsidR="000130C3" w:rsidRPr="00366942">
        <w:rPr>
          <w:lang w:val="en-CA"/>
        </w:rPr>
        <w:t xml:space="preserve">, [1989] 1 S.C.R. 143, at p. 164). The second step, in turn, </w:t>
      </w:r>
      <w:r w:rsidR="000130C3" w:rsidRPr="00366942">
        <w:rPr>
          <w:u w:val="single"/>
          <w:lang w:val="en-CA"/>
        </w:rPr>
        <w:t xml:space="preserve">asks whether that impact imposes burdens or denies benefits in a manner that </w:t>
      </w:r>
      <w:r w:rsidR="000130C3" w:rsidRPr="00366942">
        <w:rPr>
          <w:i/>
          <w:iCs/>
          <w:u w:val="single"/>
          <w:lang w:val="en-CA"/>
        </w:rPr>
        <w:t>has the effect of reinforcing, perpetuating, or exacerbating a disadvantage</w:t>
      </w:r>
      <w:r w:rsidR="000130C3" w:rsidRPr="00366942">
        <w:rPr>
          <w:lang w:val="en-CA"/>
        </w:rPr>
        <w:t>. The conclusion that an impugned law has a disproportionate impact on a protected group (step one) does not lead automatically to a finding that the distinction is discriminatory (step two)</w:t>
      </w:r>
      <w:r w:rsidRPr="00366942">
        <w:rPr>
          <w:lang w:val="en-CA"/>
        </w:rPr>
        <w:t>.</w:t>
      </w:r>
    </w:p>
    <w:p w14:paraId="69AFC25D" w14:textId="23EE4586" w:rsidR="00961A50" w:rsidRPr="00366942" w:rsidRDefault="002A409A" w:rsidP="00961A50">
      <w:pPr>
        <w:pStyle w:val="Citationenretrait"/>
        <w:spacing w:before="0"/>
        <w:jc w:val="right"/>
        <w:rPr>
          <w:sz w:val="20"/>
          <w:lang w:val="en-CA"/>
        </w:rPr>
      </w:pPr>
      <w:r w:rsidRPr="00366942">
        <w:rPr>
          <w:sz w:val="20"/>
          <w:lang w:val="en-CA"/>
        </w:rPr>
        <w:t>(</w:t>
      </w:r>
      <w:r w:rsidR="00690E77" w:rsidRPr="00366942">
        <w:rPr>
          <w:sz w:val="20"/>
          <w:lang w:val="en-CA"/>
        </w:rPr>
        <w:t xml:space="preserve">Underlining </w:t>
      </w:r>
      <w:r w:rsidR="000130C3" w:rsidRPr="00366942">
        <w:rPr>
          <w:sz w:val="20"/>
          <w:lang w:val="en-CA"/>
        </w:rPr>
        <w:t>added</w:t>
      </w:r>
      <w:r w:rsidRPr="00366942">
        <w:rPr>
          <w:sz w:val="20"/>
          <w:lang w:val="en-CA"/>
        </w:rPr>
        <w:t>)</w:t>
      </w:r>
    </w:p>
    <w:p w14:paraId="16C0686B" w14:textId="32E93C79" w:rsidR="00961A50" w:rsidRPr="00366942" w:rsidRDefault="003A7044" w:rsidP="00961A50">
      <w:pPr>
        <w:pStyle w:val="Paragraphe"/>
        <w:rPr>
          <w:lang w:val="en-CA"/>
        </w:rPr>
      </w:pPr>
      <w:r w:rsidRPr="00366942">
        <w:rPr>
          <w:lang w:val="en-CA"/>
        </w:rPr>
        <w:t xml:space="preserve">The idea that </w:t>
      </w:r>
      <w:r w:rsidRPr="00366942">
        <w:rPr>
          <w:i/>
          <w:iCs/>
          <w:lang w:val="en-CA"/>
        </w:rPr>
        <w:t>distinction</w:t>
      </w:r>
      <w:r w:rsidRPr="00366942">
        <w:rPr>
          <w:lang w:val="en-CA"/>
        </w:rPr>
        <w:t xml:space="preserve"> is a comparative notion </w:t>
      </w:r>
      <w:r w:rsidR="00413742" w:rsidRPr="00366942">
        <w:rPr>
          <w:lang w:val="en-CA"/>
        </w:rPr>
        <w:t xml:space="preserve">is well established in </w:t>
      </w:r>
      <w:r w:rsidR="00FC3D97" w:rsidRPr="00366942">
        <w:rPr>
          <w:lang w:val="en-CA"/>
        </w:rPr>
        <w:t xml:space="preserve">the </w:t>
      </w:r>
      <w:r w:rsidR="00413742" w:rsidRPr="00366942">
        <w:rPr>
          <w:lang w:val="en-CA"/>
        </w:rPr>
        <w:t>caselaw</w:t>
      </w:r>
      <w:r w:rsidR="00961A50" w:rsidRPr="00366942">
        <w:rPr>
          <w:lang w:val="en-CA"/>
        </w:rPr>
        <w:t xml:space="preserve">. </w:t>
      </w:r>
      <w:r w:rsidR="00413742" w:rsidRPr="00366942">
        <w:rPr>
          <w:lang w:val="en-CA"/>
        </w:rPr>
        <w:t>As</w:t>
      </w:r>
      <w:r w:rsidR="00434383" w:rsidRPr="00366942">
        <w:rPr>
          <w:lang w:val="en-CA"/>
        </w:rPr>
        <w:t xml:space="preserve"> is</w:t>
      </w:r>
      <w:r w:rsidR="00413742" w:rsidRPr="00366942">
        <w:rPr>
          <w:lang w:val="en-CA"/>
        </w:rPr>
        <w:t xml:space="preserve"> </w:t>
      </w:r>
      <w:r w:rsidR="00434383" w:rsidRPr="00366942">
        <w:rPr>
          <w:lang w:val="en-CA"/>
        </w:rPr>
        <w:t>mentioned</w:t>
      </w:r>
      <w:r w:rsidR="00413742" w:rsidRPr="00366942">
        <w:rPr>
          <w:lang w:val="en-CA"/>
        </w:rPr>
        <w:t xml:space="preserve"> in the passage above,</w:t>
      </w:r>
      <w:r w:rsidR="00961A50" w:rsidRPr="00366942">
        <w:rPr>
          <w:lang w:val="en-CA"/>
        </w:rPr>
        <w:t xml:space="preserve"> </w:t>
      </w:r>
      <w:r w:rsidR="00413742" w:rsidRPr="00366942">
        <w:rPr>
          <w:lang w:val="en-CA"/>
        </w:rPr>
        <w:t>the Supreme Court</w:t>
      </w:r>
      <w:r w:rsidR="00961A50" w:rsidRPr="00366942">
        <w:rPr>
          <w:lang w:val="en-CA"/>
        </w:rPr>
        <w:t xml:space="preserve">, </w:t>
      </w:r>
      <w:r w:rsidR="00413742" w:rsidRPr="00366942">
        <w:rPr>
          <w:lang w:val="en-CA"/>
        </w:rPr>
        <w:t>in</w:t>
      </w:r>
      <w:r w:rsidR="00961A50" w:rsidRPr="00366942">
        <w:rPr>
          <w:lang w:val="en-CA"/>
        </w:rPr>
        <w:t xml:space="preserve"> </w:t>
      </w:r>
      <w:r w:rsidR="00961A50" w:rsidRPr="00366942">
        <w:rPr>
          <w:i/>
          <w:iCs/>
          <w:lang w:val="en-CA"/>
        </w:rPr>
        <w:t xml:space="preserve">Andrews </w:t>
      </w:r>
      <w:r w:rsidR="00413742" w:rsidRPr="00366942">
        <w:rPr>
          <w:i/>
          <w:iCs/>
          <w:lang w:val="en-CA"/>
        </w:rPr>
        <w:t>v</w:t>
      </w:r>
      <w:r w:rsidR="00961A50" w:rsidRPr="00366942">
        <w:rPr>
          <w:i/>
          <w:iCs/>
          <w:lang w:val="en-CA"/>
        </w:rPr>
        <w:t>. Law Society of British Columbia</w:t>
      </w:r>
      <w:r w:rsidR="00961A50" w:rsidRPr="00366942">
        <w:rPr>
          <w:lang w:val="en-CA"/>
        </w:rPr>
        <w:t xml:space="preserve">, </w:t>
      </w:r>
      <w:r w:rsidR="00413742" w:rsidRPr="00366942">
        <w:rPr>
          <w:lang w:val="en-CA"/>
        </w:rPr>
        <w:t xml:space="preserve">per </w:t>
      </w:r>
      <w:r w:rsidR="00961A50" w:rsidRPr="00366942">
        <w:rPr>
          <w:lang w:val="en-CA"/>
        </w:rPr>
        <w:t>McIntyre,</w:t>
      </w:r>
      <w:r w:rsidR="00413742" w:rsidRPr="00366942">
        <w:rPr>
          <w:lang w:val="en-CA"/>
        </w:rPr>
        <w:t xml:space="preserve"> J. for the majority</w:t>
      </w:r>
      <w:r w:rsidR="00FE6B16" w:rsidRPr="00366942">
        <w:rPr>
          <w:lang w:val="en-CA"/>
        </w:rPr>
        <w:t>,</w:t>
      </w:r>
      <w:r w:rsidR="00413742" w:rsidRPr="00366942">
        <w:rPr>
          <w:lang w:val="en-CA"/>
        </w:rPr>
        <w:t xml:space="preserve"> </w:t>
      </w:r>
      <w:r w:rsidR="00FC3D97" w:rsidRPr="00366942">
        <w:rPr>
          <w:lang w:val="en-CA"/>
        </w:rPr>
        <w:t>ha</w:t>
      </w:r>
      <w:r w:rsidRPr="00366942">
        <w:rPr>
          <w:lang w:val="en-CA"/>
        </w:rPr>
        <w:t>d</w:t>
      </w:r>
      <w:r w:rsidR="00FC3D97" w:rsidRPr="00366942">
        <w:rPr>
          <w:lang w:val="en-CA"/>
        </w:rPr>
        <w:t xml:space="preserve"> already observed that </w:t>
      </w:r>
      <w:r w:rsidR="00413742" w:rsidRPr="00366942">
        <w:rPr>
          <w:lang w:val="en-CA"/>
        </w:rPr>
        <w:t>equality</w:t>
      </w:r>
      <w:r w:rsidRPr="00366942">
        <w:rPr>
          <w:lang w:val="en-CA"/>
        </w:rPr>
        <w:t xml:space="preserve"> itself </w:t>
      </w:r>
      <w:r w:rsidR="00FE6B16" w:rsidRPr="00366942">
        <w:rPr>
          <w:lang w:val="en-CA"/>
        </w:rPr>
        <w:t>is</w:t>
      </w:r>
      <w:r w:rsidRPr="00366942">
        <w:rPr>
          <w:lang w:val="en-CA"/>
        </w:rPr>
        <w:t xml:space="preserve"> </w:t>
      </w:r>
      <w:r w:rsidR="00FE6B16" w:rsidRPr="00366942">
        <w:rPr>
          <w:lang w:val="en-CA"/>
        </w:rPr>
        <w:t xml:space="preserve">“a comparative concept, the condition of which may only be attained or discerned by comparison with the condition of others in the social and political setting in which the </w:t>
      </w:r>
      <w:r w:rsidR="00FE6B16" w:rsidRPr="00366942">
        <w:rPr>
          <w:lang w:val="en-CA"/>
        </w:rPr>
        <w:lastRenderedPageBreak/>
        <w:t>question arises.”</w:t>
      </w:r>
      <w:bookmarkStart w:id="21" w:name="_Ref173166169"/>
      <w:r w:rsidR="00961A50" w:rsidRPr="00366942">
        <w:rPr>
          <w:rStyle w:val="Appelnotedebasdep"/>
          <w:lang w:val="en-CA"/>
        </w:rPr>
        <w:footnoteReference w:id="28"/>
      </w:r>
      <w:bookmarkEnd w:id="21"/>
      <w:r w:rsidR="00961A50" w:rsidRPr="00366942">
        <w:rPr>
          <w:lang w:val="en-CA"/>
        </w:rPr>
        <w:t xml:space="preserve"> </w:t>
      </w:r>
      <w:r w:rsidR="00434383" w:rsidRPr="00366942">
        <w:rPr>
          <w:lang w:val="en-CA"/>
        </w:rPr>
        <w:t>In</w:t>
      </w:r>
      <w:r w:rsidR="00961A50" w:rsidRPr="00366942">
        <w:rPr>
          <w:lang w:val="en-CA"/>
        </w:rPr>
        <w:t xml:space="preserve"> </w:t>
      </w:r>
      <w:r w:rsidR="00961A50" w:rsidRPr="00366942">
        <w:rPr>
          <w:i/>
          <w:iCs/>
          <w:lang w:val="en-CA"/>
        </w:rPr>
        <w:t xml:space="preserve">Hodge </w:t>
      </w:r>
      <w:r w:rsidR="00434383" w:rsidRPr="00366942">
        <w:rPr>
          <w:i/>
          <w:iCs/>
          <w:lang w:val="en-CA"/>
        </w:rPr>
        <w:t>v</w:t>
      </w:r>
      <w:r w:rsidR="00961A50" w:rsidRPr="00366942">
        <w:rPr>
          <w:i/>
          <w:iCs/>
          <w:lang w:val="en-CA"/>
        </w:rPr>
        <w:t>. Canada (Minist</w:t>
      </w:r>
      <w:r w:rsidR="00434383" w:rsidRPr="00366942">
        <w:rPr>
          <w:i/>
          <w:iCs/>
          <w:lang w:val="en-CA"/>
        </w:rPr>
        <w:t>er of</w:t>
      </w:r>
      <w:r w:rsidR="00961A50" w:rsidRPr="00366942">
        <w:rPr>
          <w:i/>
          <w:iCs/>
          <w:lang w:val="en-CA"/>
        </w:rPr>
        <w:t xml:space="preserve"> </w:t>
      </w:r>
      <w:r w:rsidR="00434383" w:rsidRPr="00366942">
        <w:rPr>
          <w:i/>
          <w:iCs/>
          <w:lang w:val="en-CA"/>
        </w:rPr>
        <w:t>Human Resources Development</w:t>
      </w:r>
      <w:r w:rsidR="00961A50" w:rsidRPr="00366942">
        <w:rPr>
          <w:i/>
          <w:iCs/>
          <w:lang w:val="en-CA"/>
        </w:rPr>
        <w:t>)</w:t>
      </w:r>
      <w:r w:rsidR="00961A50" w:rsidRPr="00366942">
        <w:rPr>
          <w:lang w:val="en-CA"/>
        </w:rPr>
        <w:t>, Binnie,</w:t>
      </w:r>
      <w:r w:rsidR="00434383" w:rsidRPr="00366942">
        <w:rPr>
          <w:lang w:val="en-CA"/>
        </w:rPr>
        <w:t xml:space="preserve"> J.,</w:t>
      </w:r>
      <w:r w:rsidR="00961A50" w:rsidRPr="00366942">
        <w:rPr>
          <w:lang w:val="en-CA"/>
        </w:rPr>
        <w:t xml:space="preserve"> </w:t>
      </w:r>
      <w:r w:rsidR="00434383" w:rsidRPr="00366942">
        <w:rPr>
          <w:lang w:val="en-CA"/>
        </w:rPr>
        <w:t>relying on</w:t>
      </w:r>
      <w:r w:rsidR="00961A50" w:rsidRPr="00366942">
        <w:rPr>
          <w:lang w:val="en-CA"/>
        </w:rPr>
        <w:t xml:space="preserve"> </w:t>
      </w:r>
      <w:r w:rsidR="00961A50" w:rsidRPr="00366942">
        <w:rPr>
          <w:i/>
          <w:iCs/>
          <w:lang w:val="en-CA"/>
        </w:rPr>
        <w:t>Andrews</w:t>
      </w:r>
      <w:r w:rsidR="00961A50" w:rsidRPr="00366942">
        <w:rPr>
          <w:lang w:val="en-CA"/>
        </w:rPr>
        <w:t xml:space="preserve">, </w:t>
      </w:r>
      <w:r w:rsidR="00434383" w:rsidRPr="00366942">
        <w:rPr>
          <w:lang w:val="en-CA"/>
        </w:rPr>
        <w:t>noted for his part that</w:t>
      </w:r>
      <w:r w:rsidR="00961A50" w:rsidRPr="00366942">
        <w:rPr>
          <w:lang w:val="en-CA"/>
        </w:rPr>
        <w:t xml:space="preserve"> </w:t>
      </w:r>
      <w:r w:rsidR="00434383" w:rsidRPr="00366942">
        <w:rPr>
          <w:lang w:val="en-CA"/>
        </w:rPr>
        <w:t>“[a] person asking for equal treatment necessarily does so by reference to other people with whom he or she can legitimately invite comparison.”</w:t>
      </w:r>
      <w:r w:rsidR="00961A50" w:rsidRPr="00366942">
        <w:rPr>
          <w:rStyle w:val="Appelnotedebasdep"/>
          <w:lang w:val="en-CA"/>
        </w:rPr>
        <w:footnoteReference w:id="29"/>
      </w:r>
    </w:p>
    <w:p w14:paraId="6E72834C" w14:textId="2FD0694B" w:rsidR="00961A50" w:rsidRPr="00366942" w:rsidRDefault="00FC3D97" w:rsidP="00961A50">
      <w:pPr>
        <w:pStyle w:val="Paragraphe"/>
        <w:rPr>
          <w:lang w:val="en-CA"/>
        </w:rPr>
      </w:pPr>
      <w:r w:rsidRPr="00366942">
        <w:rPr>
          <w:lang w:val="en-CA"/>
        </w:rPr>
        <w:t>The comparative nature of the exercise is not displaced in cases where indirect discrimination is alleged</w:t>
      </w:r>
      <w:r w:rsidR="00961A50" w:rsidRPr="00366942">
        <w:rPr>
          <w:lang w:val="en-CA"/>
        </w:rPr>
        <w:t xml:space="preserve">: </w:t>
      </w:r>
      <w:r w:rsidRPr="00366942">
        <w:rPr>
          <w:lang w:val="en-CA"/>
        </w:rPr>
        <w:t xml:space="preserve">the treatment imposed on </w:t>
      </w:r>
      <w:r w:rsidR="003A7044" w:rsidRPr="00366942">
        <w:rPr>
          <w:lang w:val="en-CA"/>
        </w:rPr>
        <w:t>all</w:t>
      </w:r>
      <w:r w:rsidRPr="00366942">
        <w:rPr>
          <w:lang w:val="en-CA"/>
        </w:rPr>
        <w:t xml:space="preserve"> without </w:t>
      </w:r>
      <w:r w:rsidR="006810AC" w:rsidRPr="00366942">
        <w:rPr>
          <w:lang w:val="en-CA"/>
        </w:rPr>
        <w:t xml:space="preserve">any </w:t>
      </w:r>
      <w:r w:rsidRPr="00366942">
        <w:rPr>
          <w:lang w:val="en-CA"/>
        </w:rPr>
        <w:t xml:space="preserve">apparent distinction may </w:t>
      </w:r>
      <w:r w:rsidR="003A7044" w:rsidRPr="00366942">
        <w:rPr>
          <w:lang w:val="en-CA"/>
        </w:rPr>
        <w:t>in fact create</w:t>
      </w:r>
      <w:r w:rsidR="00961A50" w:rsidRPr="00366942">
        <w:rPr>
          <w:lang w:val="en-CA"/>
        </w:rPr>
        <w:t xml:space="preserve">, </w:t>
      </w:r>
      <w:r w:rsidRPr="00366942">
        <w:rPr>
          <w:i/>
          <w:iCs/>
          <w:lang w:val="en-CA"/>
        </w:rPr>
        <w:t>by its</w:t>
      </w:r>
      <w:r w:rsidR="00961A50" w:rsidRPr="00366942">
        <w:rPr>
          <w:i/>
          <w:iCs/>
          <w:lang w:val="en-CA"/>
        </w:rPr>
        <w:t xml:space="preserve"> effe</w:t>
      </w:r>
      <w:r w:rsidRPr="00366942">
        <w:rPr>
          <w:i/>
          <w:iCs/>
          <w:lang w:val="en-CA"/>
        </w:rPr>
        <w:t>c</w:t>
      </w:r>
      <w:r w:rsidR="00961A50" w:rsidRPr="00366942">
        <w:rPr>
          <w:i/>
          <w:iCs/>
          <w:lang w:val="en-CA"/>
        </w:rPr>
        <w:t>t</w:t>
      </w:r>
      <w:r w:rsidR="00961A50" w:rsidRPr="00366942">
        <w:rPr>
          <w:lang w:val="en-CA"/>
        </w:rPr>
        <w:t xml:space="preserve">, </w:t>
      </w:r>
      <w:r w:rsidRPr="00366942">
        <w:rPr>
          <w:lang w:val="en-CA"/>
        </w:rPr>
        <w:t>a distinction between individuals based on their personal characteristics</w:t>
      </w:r>
      <w:r w:rsidR="00961A50" w:rsidRPr="00366942">
        <w:rPr>
          <w:lang w:val="en-CA"/>
        </w:rPr>
        <w:t xml:space="preserve"> (</w:t>
      </w:r>
      <w:r w:rsidR="003A7044" w:rsidRPr="00366942">
        <w:rPr>
          <w:lang w:val="en-CA"/>
        </w:rPr>
        <w:t xml:space="preserve">indeed, </w:t>
      </w:r>
      <w:r w:rsidRPr="00366942">
        <w:rPr>
          <w:lang w:val="en-CA"/>
        </w:rPr>
        <w:t>this is</w:t>
      </w:r>
      <w:r w:rsidR="006810AC" w:rsidRPr="00366942">
        <w:rPr>
          <w:lang w:val="en-CA"/>
        </w:rPr>
        <w:t xml:space="preserve"> </w:t>
      </w:r>
      <w:r w:rsidRPr="00366942">
        <w:rPr>
          <w:lang w:val="en-CA"/>
        </w:rPr>
        <w:t>what the appellant submits here</w:t>
      </w:r>
      <w:r w:rsidR="00961A50" w:rsidRPr="00366942">
        <w:rPr>
          <w:lang w:val="en-CA"/>
        </w:rPr>
        <w:t xml:space="preserve">). </w:t>
      </w:r>
      <w:r w:rsidRPr="00366942">
        <w:rPr>
          <w:lang w:val="en-CA"/>
        </w:rPr>
        <w:t>In other words</w:t>
      </w:r>
      <w:r w:rsidR="00961A50" w:rsidRPr="00366942">
        <w:rPr>
          <w:lang w:val="en-CA"/>
        </w:rPr>
        <w:t xml:space="preserve">, </w:t>
      </w:r>
      <w:r w:rsidRPr="00366942">
        <w:rPr>
          <w:lang w:val="en-CA"/>
        </w:rPr>
        <w:t>there is a</w:t>
      </w:r>
      <w:r w:rsidR="00961A50" w:rsidRPr="00366942">
        <w:rPr>
          <w:lang w:val="en-CA"/>
        </w:rPr>
        <w:t xml:space="preserve"> distinction </w:t>
      </w:r>
      <w:r w:rsidRPr="00366942">
        <w:rPr>
          <w:lang w:val="en-CA"/>
        </w:rPr>
        <w:t xml:space="preserve">where the effects of the law on some are not those that </w:t>
      </w:r>
      <w:r w:rsidR="00C44186" w:rsidRPr="00366942">
        <w:rPr>
          <w:lang w:val="en-CA"/>
        </w:rPr>
        <w:t>it has</w:t>
      </w:r>
      <w:r w:rsidRPr="00366942">
        <w:rPr>
          <w:lang w:val="en-CA"/>
        </w:rPr>
        <w:t xml:space="preserve"> on others</w:t>
      </w:r>
      <w:r w:rsidR="00961A50" w:rsidRPr="00366942">
        <w:rPr>
          <w:lang w:val="en-CA"/>
        </w:rPr>
        <w:t xml:space="preserve">. </w:t>
      </w:r>
      <w:r w:rsidR="00EA46CD" w:rsidRPr="00366942">
        <w:rPr>
          <w:lang w:val="en-CA"/>
        </w:rPr>
        <w:t>As</w:t>
      </w:r>
      <w:r w:rsidR="00961A50" w:rsidRPr="00366942">
        <w:rPr>
          <w:lang w:val="en-CA"/>
        </w:rPr>
        <w:t xml:space="preserve"> McIntyre</w:t>
      </w:r>
      <w:r w:rsidR="00EA46CD" w:rsidRPr="00366942">
        <w:rPr>
          <w:lang w:val="en-CA"/>
        </w:rPr>
        <w:t xml:space="preserve">, J. wrote </w:t>
      </w:r>
      <w:r w:rsidR="00376936" w:rsidRPr="00366942">
        <w:rPr>
          <w:lang w:val="en-CA"/>
        </w:rPr>
        <w:t xml:space="preserve">in this regard </w:t>
      </w:r>
      <w:r w:rsidR="00EA46CD" w:rsidRPr="00366942">
        <w:rPr>
          <w:lang w:val="en-CA"/>
        </w:rPr>
        <w:t>in</w:t>
      </w:r>
      <w:r w:rsidR="00961A50" w:rsidRPr="00366942">
        <w:rPr>
          <w:lang w:val="en-CA"/>
        </w:rPr>
        <w:t xml:space="preserve"> </w:t>
      </w:r>
      <w:r w:rsidR="00961A50" w:rsidRPr="00366942">
        <w:rPr>
          <w:i/>
          <w:iCs/>
          <w:lang w:val="en-CA"/>
        </w:rPr>
        <w:t>Andrews</w:t>
      </w:r>
      <w:r w:rsidR="00961A50" w:rsidRPr="00366942">
        <w:rPr>
          <w:lang w:val="en-CA"/>
        </w:rPr>
        <w:t xml:space="preserve">, </w:t>
      </w:r>
      <w:r w:rsidR="00FE6B16" w:rsidRPr="00366942">
        <w:rPr>
          <w:lang w:val="en-CA"/>
        </w:rPr>
        <w:t xml:space="preserve">“a law expressed to bind all should not because of irrelevant personal differences have a more burdensome or less beneficial impact </w:t>
      </w:r>
      <w:r w:rsidR="00FE6B16" w:rsidRPr="00366942">
        <w:rPr>
          <w:u w:val="single"/>
          <w:lang w:val="en-CA"/>
        </w:rPr>
        <w:t>on one than another</w:t>
      </w:r>
      <w:r w:rsidR="00FE6B16" w:rsidRPr="00366942">
        <w:rPr>
          <w:lang w:val="en-CA"/>
        </w:rPr>
        <w:t>”</w:t>
      </w:r>
      <w:r w:rsidR="00961A50" w:rsidRPr="00366942">
        <w:rPr>
          <w:rStyle w:val="Appelnotedebasdep"/>
          <w:lang w:val="en-CA"/>
        </w:rPr>
        <w:footnoteReference w:id="30"/>
      </w:r>
      <w:r w:rsidR="00961A50" w:rsidRPr="00366942">
        <w:rPr>
          <w:lang w:val="en-CA"/>
        </w:rPr>
        <w:t xml:space="preserve"> (</w:t>
      </w:r>
      <w:r w:rsidR="007C7A24" w:rsidRPr="00366942">
        <w:rPr>
          <w:lang w:val="en-CA"/>
        </w:rPr>
        <w:t>underl</w:t>
      </w:r>
      <w:r w:rsidR="0005564C" w:rsidRPr="00366942">
        <w:rPr>
          <w:lang w:val="en-CA"/>
        </w:rPr>
        <w:t>i</w:t>
      </w:r>
      <w:r w:rsidR="007C7A24" w:rsidRPr="00366942">
        <w:rPr>
          <w:lang w:val="en-CA"/>
        </w:rPr>
        <w:t>n</w:t>
      </w:r>
      <w:r w:rsidR="0005564C" w:rsidRPr="00366942">
        <w:rPr>
          <w:lang w:val="en-CA"/>
        </w:rPr>
        <w:t>in</w:t>
      </w:r>
      <w:r w:rsidR="007C7A24" w:rsidRPr="00366942">
        <w:rPr>
          <w:lang w:val="en-CA"/>
        </w:rPr>
        <w:t>g</w:t>
      </w:r>
      <w:r w:rsidR="00FE6B16" w:rsidRPr="00366942">
        <w:rPr>
          <w:lang w:val="en-CA"/>
        </w:rPr>
        <w:t xml:space="preserve"> added</w:t>
      </w:r>
      <w:r w:rsidR="00961A50" w:rsidRPr="00366942">
        <w:rPr>
          <w:lang w:val="en-CA"/>
        </w:rPr>
        <w:t xml:space="preserve">), </w:t>
      </w:r>
      <w:r w:rsidR="00EA46CD" w:rsidRPr="00366942">
        <w:rPr>
          <w:lang w:val="en-CA"/>
        </w:rPr>
        <w:t>which implies a comparison</w:t>
      </w:r>
      <w:r w:rsidR="00961A50" w:rsidRPr="00366942">
        <w:rPr>
          <w:lang w:val="en-CA"/>
        </w:rPr>
        <w:t xml:space="preserve">. </w:t>
      </w:r>
      <w:r w:rsidR="00EA46CD" w:rsidRPr="00366942">
        <w:rPr>
          <w:lang w:val="en-CA"/>
        </w:rPr>
        <w:t>In</w:t>
      </w:r>
      <w:r w:rsidR="00961A50" w:rsidRPr="00366942">
        <w:rPr>
          <w:lang w:val="en-CA"/>
        </w:rPr>
        <w:t xml:space="preserve"> </w:t>
      </w:r>
      <w:r w:rsidR="00961A50" w:rsidRPr="00366942">
        <w:rPr>
          <w:i/>
          <w:iCs/>
          <w:lang w:val="en-CA"/>
        </w:rPr>
        <w:t xml:space="preserve">Eldridge </w:t>
      </w:r>
      <w:r w:rsidR="00EA46CD" w:rsidRPr="00366942">
        <w:rPr>
          <w:i/>
          <w:iCs/>
          <w:lang w:val="en-CA"/>
        </w:rPr>
        <w:t>v</w:t>
      </w:r>
      <w:r w:rsidR="00961A50" w:rsidRPr="00366942">
        <w:rPr>
          <w:i/>
          <w:iCs/>
          <w:lang w:val="en-CA"/>
        </w:rPr>
        <w:t xml:space="preserve">. </w:t>
      </w:r>
      <w:r w:rsidR="00EA46CD" w:rsidRPr="00366942">
        <w:rPr>
          <w:i/>
          <w:iCs/>
          <w:lang w:val="en-CA"/>
        </w:rPr>
        <w:t>British Columbia (Attorney General)</w:t>
      </w:r>
      <w:r w:rsidR="00961A50" w:rsidRPr="00366942">
        <w:rPr>
          <w:lang w:val="en-CA"/>
        </w:rPr>
        <w:t xml:space="preserve">, </w:t>
      </w:r>
      <w:r w:rsidR="00EA46CD" w:rsidRPr="00366942">
        <w:rPr>
          <w:lang w:val="en-CA"/>
        </w:rPr>
        <w:t xml:space="preserve">a decision involving </w:t>
      </w:r>
      <w:r w:rsidR="00376936" w:rsidRPr="00366942">
        <w:rPr>
          <w:lang w:val="en-CA"/>
        </w:rPr>
        <w:t>a case of</w:t>
      </w:r>
      <w:r w:rsidR="00EA46CD" w:rsidRPr="00366942">
        <w:rPr>
          <w:lang w:val="en-CA"/>
        </w:rPr>
        <w:t xml:space="preserve"> indirect discrimination</w:t>
      </w:r>
      <w:r w:rsidR="004D7898" w:rsidRPr="00366942">
        <w:rPr>
          <w:lang w:val="en-CA"/>
        </w:rPr>
        <w:t>,</w:t>
      </w:r>
      <w:r w:rsidR="00961A50" w:rsidRPr="00366942">
        <w:rPr>
          <w:lang w:val="en-CA"/>
        </w:rPr>
        <w:t xml:space="preserve"> La Forest, </w:t>
      </w:r>
      <w:r w:rsidR="00EA46CD" w:rsidRPr="00366942">
        <w:rPr>
          <w:lang w:val="en-CA"/>
        </w:rPr>
        <w:t xml:space="preserve">J., </w:t>
      </w:r>
      <w:r w:rsidR="006810AC" w:rsidRPr="00366942">
        <w:rPr>
          <w:lang w:val="en-CA"/>
        </w:rPr>
        <w:t>on behalf of</w:t>
      </w:r>
      <w:r w:rsidR="00EA46CD" w:rsidRPr="00366942">
        <w:rPr>
          <w:lang w:val="en-CA"/>
        </w:rPr>
        <w:t xml:space="preserve"> the Supreme Court</w:t>
      </w:r>
      <w:r w:rsidR="00961A50" w:rsidRPr="00366942">
        <w:rPr>
          <w:lang w:val="en-CA"/>
        </w:rPr>
        <w:t xml:space="preserve">, </w:t>
      </w:r>
      <w:r w:rsidR="00EA46CD" w:rsidRPr="00366942">
        <w:rPr>
          <w:lang w:val="en-CA"/>
        </w:rPr>
        <w:t>also recognized that</w:t>
      </w:r>
      <w:r w:rsidR="00961A50" w:rsidRPr="00366942">
        <w:rPr>
          <w:lang w:val="en-CA"/>
        </w:rPr>
        <w:t xml:space="preserve"> </w:t>
      </w:r>
      <w:r w:rsidR="00EA46CD" w:rsidRPr="00366942">
        <w:rPr>
          <w:lang w:val="en-CA"/>
        </w:rPr>
        <w:t>“</w:t>
      </w:r>
      <w:bookmarkStart w:id="22" w:name="_Ref172657049"/>
      <w:r w:rsidR="00EA46CD" w:rsidRPr="00366942">
        <w:rPr>
          <w:lang w:val="en-CA"/>
        </w:rPr>
        <w:t>[a] person claiming a violation of s. 15(1) must first establish that, because of a distinction drawn between the claimant and others, the claimant has been denied “equal protection” or “equal benefit” of the law.”</w:t>
      </w:r>
      <w:r w:rsidR="00961A50" w:rsidRPr="00366942">
        <w:rPr>
          <w:rStyle w:val="Appelnotedebasdep"/>
          <w:lang w:val="en-CA"/>
        </w:rPr>
        <w:footnoteReference w:id="31"/>
      </w:r>
      <w:bookmarkEnd w:id="22"/>
      <w:r w:rsidR="00961A50" w:rsidRPr="00366942">
        <w:rPr>
          <w:lang w:val="en-CA"/>
        </w:rPr>
        <w:t xml:space="preserve"> </w:t>
      </w:r>
      <w:r w:rsidR="006810AC" w:rsidRPr="00366942">
        <w:rPr>
          <w:lang w:val="en-CA"/>
        </w:rPr>
        <w:t xml:space="preserve">The </w:t>
      </w:r>
      <w:r w:rsidR="00961A50" w:rsidRPr="00366942">
        <w:rPr>
          <w:lang w:val="en-CA"/>
        </w:rPr>
        <w:t>comparison</w:t>
      </w:r>
      <w:r w:rsidR="006810AC" w:rsidRPr="00366942">
        <w:rPr>
          <w:lang w:val="en-CA"/>
        </w:rPr>
        <w:t xml:space="preserve"> requirement</w:t>
      </w:r>
      <w:r w:rsidR="00961A50" w:rsidRPr="00366942">
        <w:rPr>
          <w:lang w:val="en-CA"/>
        </w:rPr>
        <w:t xml:space="preserve">, </w:t>
      </w:r>
      <w:r w:rsidR="006810AC" w:rsidRPr="00366942">
        <w:rPr>
          <w:lang w:val="en-CA"/>
        </w:rPr>
        <w:t>which is analysed at length</w:t>
      </w:r>
      <w:r w:rsidR="00961A50" w:rsidRPr="00366942">
        <w:rPr>
          <w:lang w:val="en-CA"/>
        </w:rPr>
        <w:t xml:space="preserve">, </w:t>
      </w:r>
      <w:r w:rsidR="006810AC" w:rsidRPr="00366942">
        <w:rPr>
          <w:lang w:val="en-CA"/>
        </w:rPr>
        <w:t>is also recognized in</w:t>
      </w:r>
      <w:r w:rsidR="00961A50" w:rsidRPr="00366942">
        <w:rPr>
          <w:lang w:val="en-CA"/>
        </w:rPr>
        <w:t xml:space="preserve"> </w:t>
      </w:r>
      <w:r w:rsidR="00961A50" w:rsidRPr="00366942">
        <w:rPr>
          <w:i/>
          <w:iCs/>
          <w:lang w:val="en-CA"/>
        </w:rPr>
        <w:t>Withler</w:t>
      </w:r>
      <w:bookmarkStart w:id="23" w:name="_Ref177374137"/>
      <w:r w:rsidR="00961A50" w:rsidRPr="00366942">
        <w:rPr>
          <w:rStyle w:val="Appelnotedebasdep"/>
          <w:lang w:val="en-CA"/>
        </w:rPr>
        <w:footnoteReference w:id="32"/>
      </w:r>
      <w:bookmarkEnd w:id="23"/>
      <w:r w:rsidR="00961A50" w:rsidRPr="00366942">
        <w:rPr>
          <w:lang w:val="en-CA"/>
        </w:rPr>
        <w:t xml:space="preserve"> </w:t>
      </w:r>
      <w:r w:rsidR="006810AC" w:rsidRPr="00366942">
        <w:rPr>
          <w:lang w:val="en-CA"/>
        </w:rPr>
        <w:t>whether the distinction is express or whether it results from an adverse effect</w:t>
      </w:r>
      <w:r w:rsidR="00961A50" w:rsidRPr="00366942">
        <w:rPr>
          <w:lang w:val="en-CA"/>
        </w:rPr>
        <w:t>:</w:t>
      </w:r>
    </w:p>
    <w:p w14:paraId="3A23DDD1" w14:textId="3F1ED3CE" w:rsidR="00961A50" w:rsidRPr="00366942" w:rsidRDefault="00961A50" w:rsidP="00961A50">
      <w:pPr>
        <w:pStyle w:val="Citationenretrait"/>
        <w:rPr>
          <w:lang w:val="en-CA"/>
        </w:rPr>
      </w:pPr>
      <w:r w:rsidRPr="00366942">
        <w:rPr>
          <w:lang w:val="en-CA"/>
        </w:rPr>
        <w:t>[62]</w:t>
      </w:r>
      <w:r w:rsidRPr="00366942">
        <w:rPr>
          <w:lang w:val="en-CA"/>
        </w:rPr>
        <w:tab/>
      </w:r>
      <w:r w:rsidR="008739EF" w:rsidRPr="00366942">
        <w:rPr>
          <w:lang w:val="en-CA"/>
        </w:rPr>
        <w:t xml:space="preserve">The role of comparison at the first step is to establish a “distinction”. </w:t>
      </w:r>
      <w:r w:rsidR="008739EF" w:rsidRPr="00366942">
        <w:rPr>
          <w:u w:val="single"/>
          <w:lang w:val="en-CA"/>
        </w:rPr>
        <w:t>Inherent in the word “distinction” is the idea that the claimant is treated differently than others.  Comparison is thus engaged, in that the claimant asserts that he or she is denied a benefit that others are granted or carries a burden that others do not</w:t>
      </w:r>
      <w:r w:rsidR="008739EF" w:rsidRPr="00366942">
        <w:rPr>
          <w:lang w:val="en-CA"/>
        </w:rPr>
        <w:t>, by reason of a personal characteristic that falls within the enumerated or analogous grounds of s. 15(1)</w:t>
      </w:r>
      <w:r w:rsidRPr="00366942">
        <w:rPr>
          <w:lang w:val="en-CA"/>
        </w:rPr>
        <w:t>.</w:t>
      </w:r>
    </w:p>
    <w:p w14:paraId="0D016149" w14:textId="77777777" w:rsidR="00961A50" w:rsidRPr="00366942" w:rsidRDefault="00961A50" w:rsidP="00961A50">
      <w:pPr>
        <w:pStyle w:val="Citationenretrait"/>
        <w:rPr>
          <w:lang w:val="en-CA"/>
        </w:rPr>
      </w:pPr>
      <w:r w:rsidRPr="00366942">
        <w:rPr>
          <w:lang w:val="en-CA"/>
        </w:rPr>
        <w:t>[…]</w:t>
      </w:r>
    </w:p>
    <w:p w14:paraId="08FDF681" w14:textId="1ED00548" w:rsidR="00961A50" w:rsidRPr="00366942" w:rsidRDefault="00961A50" w:rsidP="00961A50">
      <w:pPr>
        <w:pStyle w:val="Citationenretrait"/>
        <w:rPr>
          <w:lang w:val="en-CA"/>
        </w:rPr>
      </w:pPr>
      <w:r w:rsidRPr="00366942">
        <w:rPr>
          <w:lang w:val="en-CA"/>
        </w:rPr>
        <w:t>[64]</w:t>
      </w:r>
      <w:r w:rsidRPr="00366942">
        <w:rPr>
          <w:lang w:val="en-CA"/>
        </w:rPr>
        <w:tab/>
      </w:r>
      <w:r w:rsidR="008739EF" w:rsidRPr="00366942">
        <w:rPr>
          <w:u w:val="single"/>
          <w:lang w:val="en-CA"/>
        </w:rPr>
        <w:t>In some cases, identifying the distinction will be relatively straightforward, because a law will, on its face, make a distinction on the basis of an enumerated or analogous ground (direct discrimination)</w:t>
      </w:r>
      <w:r w:rsidR="008739EF" w:rsidRPr="00366942">
        <w:rPr>
          <w:lang w:val="en-CA"/>
        </w:rPr>
        <w:t xml:space="preserve">. This will often occur in cases involving government benefits, as in </w:t>
      </w:r>
      <w:r w:rsidR="008739EF" w:rsidRPr="00366942">
        <w:rPr>
          <w:i/>
          <w:iCs/>
          <w:lang w:val="en-CA"/>
        </w:rPr>
        <w:t>Law</w:t>
      </w:r>
      <w:r w:rsidR="008739EF" w:rsidRPr="00366942">
        <w:rPr>
          <w:lang w:val="en-CA"/>
        </w:rPr>
        <w:t xml:space="preserve">, </w:t>
      </w:r>
      <w:r w:rsidR="008739EF" w:rsidRPr="00366942">
        <w:rPr>
          <w:i/>
          <w:iCs/>
          <w:lang w:val="en-CA"/>
        </w:rPr>
        <w:t>Lovelace</w:t>
      </w:r>
      <w:r w:rsidR="008739EF" w:rsidRPr="00366942">
        <w:rPr>
          <w:lang w:val="en-CA"/>
        </w:rPr>
        <w:t xml:space="preserve"> and </w:t>
      </w:r>
      <w:r w:rsidR="008739EF" w:rsidRPr="00366942">
        <w:rPr>
          <w:i/>
          <w:iCs/>
          <w:lang w:val="en-CA"/>
        </w:rPr>
        <w:t>Hodge</w:t>
      </w:r>
      <w:r w:rsidR="008739EF" w:rsidRPr="00366942">
        <w:rPr>
          <w:lang w:val="en-CA"/>
        </w:rPr>
        <w:t xml:space="preserve">. </w:t>
      </w:r>
      <w:r w:rsidR="008739EF" w:rsidRPr="00366942">
        <w:rPr>
          <w:u w:val="single"/>
          <w:lang w:val="en-CA"/>
        </w:rPr>
        <w:t>In other cases, establishing the distinction will be more difficult, because what is alleged is indirect discrimination: that although the law purports to treat everyone the same, it has a disproportionately negative impact</w:t>
      </w:r>
      <w:r w:rsidR="008739EF" w:rsidRPr="00366942">
        <w:rPr>
          <w:lang w:val="en-CA"/>
        </w:rPr>
        <w:t xml:space="preserve"> on a group or individual that can be identified </w:t>
      </w:r>
      <w:r w:rsidR="008739EF" w:rsidRPr="00366942">
        <w:rPr>
          <w:lang w:val="en-CA"/>
        </w:rPr>
        <w:lastRenderedPageBreak/>
        <w:t xml:space="preserve">by factors relating to enumerated or analogous grounds. </w:t>
      </w:r>
      <w:r w:rsidR="00C44186" w:rsidRPr="00366942">
        <w:rPr>
          <w:lang w:val="en-CA"/>
        </w:rPr>
        <w:t xml:space="preserve"> </w:t>
      </w:r>
      <w:r w:rsidR="008739EF" w:rsidRPr="00366942">
        <w:rPr>
          <w:lang w:val="en-CA"/>
        </w:rPr>
        <w:t xml:space="preserve">Thus in </w:t>
      </w:r>
      <w:r w:rsidR="008739EF" w:rsidRPr="00366942">
        <w:rPr>
          <w:i/>
          <w:iCs/>
          <w:lang w:val="en-CA"/>
        </w:rPr>
        <w:t>Granovsky</w:t>
      </w:r>
      <w:r w:rsidR="008739EF" w:rsidRPr="00366942">
        <w:rPr>
          <w:lang w:val="en-CA"/>
        </w:rPr>
        <w:t xml:space="preserve">, the Court noted that “[t]he CPP contribution requirements, which on their face applied the same set of rules to all contributors, operated unequally in their effect on persons who want to work but whose disabilities prevent them from working” (para. 43). In that kind of case, the claimant will have more work to do at the first step. Historical or sociological disadvantage may assist in </w:t>
      </w:r>
      <w:r w:rsidR="008739EF" w:rsidRPr="00366942">
        <w:rPr>
          <w:u w:val="single"/>
          <w:lang w:val="en-CA"/>
        </w:rPr>
        <w:t>demonstrating that the law imposes a burden or denies a benefit to the claimant that is not imposed on or denied to others</w:t>
      </w:r>
      <w:r w:rsidR="008739EF" w:rsidRPr="00366942">
        <w:rPr>
          <w:lang w:val="en-CA"/>
        </w:rPr>
        <w:t>.  The focus will be on the effect of the law and the situation of the claimant group</w:t>
      </w:r>
      <w:r w:rsidRPr="00366942">
        <w:rPr>
          <w:lang w:val="en-CA"/>
        </w:rPr>
        <w:t>.</w:t>
      </w:r>
    </w:p>
    <w:p w14:paraId="11E66332" w14:textId="4E9AFD18" w:rsidR="00961A50" w:rsidRPr="00366942" w:rsidRDefault="00961A50" w:rsidP="00961A50">
      <w:pPr>
        <w:pStyle w:val="Citationenretrait"/>
        <w:rPr>
          <w:lang w:val="en-CA"/>
        </w:rPr>
      </w:pPr>
      <w:r w:rsidRPr="00366942">
        <w:rPr>
          <w:lang w:val="en-CA"/>
        </w:rPr>
        <w:t>[65]</w:t>
      </w:r>
      <w:r w:rsidRPr="00366942">
        <w:rPr>
          <w:lang w:val="en-CA"/>
        </w:rPr>
        <w:tab/>
      </w:r>
      <w:r w:rsidR="008739EF" w:rsidRPr="00366942">
        <w:rPr>
          <w:kern w:val="0"/>
          <w:szCs w:val="22"/>
          <w:u w:val="single"/>
          <w:lang w:val="en-CA"/>
        </w:rPr>
        <w:t>The analysis at the second step is an inquiry into whether the law works substantive inequality, by perpetuating disadvantage or prejudice, or by stereotyping in a way that does not correspond to actual characteristics or circumstances</w:t>
      </w:r>
      <w:r w:rsidR="008739EF" w:rsidRPr="00366942">
        <w:rPr>
          <w:kern w:val="0"/>
          <w:szCs w:val="22"/>
          <w:lang w:val="en-CA"/>
        </w:rPr>
        <w:t>.</w:t>
      </w:r>
      <w:r w:rsidR="008739EF" w:rsidRPr="00366942">
        <w:rPr>
          <w:i/>
          <w:iCs/>
          <w:kern w:val="0"/>
          <w:szCs w:val="22"/>
          <w:lang w:val="en-CA"/>
        </w:rPr>
        <w:t> </w:t>
      </w:r>
      <w:r w:rsidR="008739EF" w:rsidRPr="00366942">
        <w:rPr>
          <w:kern w:val="0"/>
          <w:szCs w:val="22"/>
          <w:lang w:val="en-CA"/>
        </w:rPr>
        <w:t xml:space="preserve">At this step, </w:t>
      </w:r>
      <w:r w:rsidR="008739EF" w:rsidRPr="00366942">
        <w:rPr>
          <w:kern w:val="0"/>
          <w:szCs w:val="22"/>
          <w:u w:val="single"/>
          <w:lang w:val="en-CA"/>
        </w:rPr>
        <w:t>comparison may</w:t>
      </w:r>
      <w:r w:rsidR="008739EF" w:rsidRPr="00366942">
        <w:rPr>
          <w:i/>
          <w:iCs/>
          <w:kern w:val="0"/>
          <w:szCs w:val="22"/>
          <w:u w:val="single"/>
          <w:lang w:val="en-CA"/>
        </w:rPr>
        <w:t> </w:t>
      </w:r>
      <w:r w:rsidR="008739EF" w:rsidRPr="00366942">
        <w:rPr>
          <w:kern w:val="0"/>
          <w:szCs w:val="22"/>
          <w:u w:val="single"/>
          <w:lang w:val="en-CA"/>
        </w:rPr>
        <w:t>bolster the contextual understanding of a claimant’s place within a legislative scheme and society at large, and thus help to determine whether the impugned law or decision perpetuates disadvantage or stereotyping</w:t>
      </w:r>
      <w:r w:rsidR="008739EF" w:rsidRPr="00366942">
        <w:rPr>
          <w:kern w:val="0"/>
          <w:szCs w:val="22"/>
          <w:lang w:val="en-CA"/>
        </w:rPr>
        <w:t>.  The probative value of comparative evidence, viewed in this contextual sense, will depend on the circumstances. (See Andrea Wright, “Formulaic Comparisons: Stopping the </w:t>
      </w:r>
      <w:r w:rsidR="008739EF" w:rsidRPr="00366942">
        <w:rPr>
          <w:i/>
          <w:iCs/>
          <w:kern w:val="0"/>
          <w:szCs w:val="22"/>
          <w:lang w:val="en-CA"/>
        </w:rPr>
        <w:t>Charter</w:t>
      </w:r>
      <w:r w:rsidR="008739EF" w:rsidRPr="00366942">
        <w:rPr>
          <w:kern w:val="0"/>
          <w:szCs w:val="22"/>
          <w:lang w:val="en-CA"/>
        </w:rPr>
        <w:t> at the Statutory Human Rights Gate”, in Fay Faraday, Margaret Denike and M. Kate Stephenson, eds., </w:t>
      </w:r>
      <w:r w:rsidR="008739EF" w:rsidRPr="00366942">
        <w:rPr>
          <w:i/>
          <w:iCs/>
          <w:kern w:val="0"/>
          <w:szCs w:val="22"/>
          <w:lang w:val="en-CA"/>
        </w:rPr>
        <w:t>Making Equality Rights Real:</w:t>
      </w:r>
      <w:r w:rsidR="008739EF" w:rsidRPr="00366942">
        <w:rPr>
          <w:kern w:val="0"/>
          <w:szCs w:val="22"/>
          <w:lang w:val="en-CA"/>
        </w:rPr>
        <w:t> </w:t>
      </w:r>
      <w:r w:rsidR="008739EF" w:rsidRPr="00366942">
        <w:rPr>
          <w:i/>
          <w:iCs/>
          <w:kern w:val="0"/>
          <w:szCs w:val="22"/>
          <w:lang w:val="en-CA"/>
        </w:rPr>
        <w:t>Securing Substantive Equality under the Charter </w:t>
      </w:r>
      <w:r w:rsidR="008739EF" w:rsidRPr="00366942">
        <w:rPr>
          <w:kern w:val="0"/>
          <w:szCs w:val="22"/>
          <w:lang w:val="en-CA"/>
        </w:rPr>
        <w:t>(2006), 409, at p. 432; Sophia Reibetanz Moreau, “Equality Rights and the Relevance of Comparator Groups” (2006), 5 </w:t>
      </w:r>
      <w:r w:rsidR="008739EF" w:rsidRPr="00366942">
        <w:rPr>
          <w:i/>
          <w:iCs/>
          <w:kern w:val="0"/>
          <w:szCs w:val="22"/>
          <w:lang w:val="en-CA"/>
        </w:rPr>
        <w:t>J.L. &amp; Equality</w:t>
      </w:r>
      <w:r w:rsidR="008739EF" w:rsidRPr="00366942">
        <w:rPr>
          <w:kern w:val="0"/>
          <w:szCs w:val="22"/>
          <w:lang w:val="en-CA"/>
        </w:rPr>
        <w:t> 81; Pothier.)</w:t>
      </w:r>
    </w:p>
    <w:p w14:paraId="4E782EB5" w14:textId="090CAE37" w:rsidR="00961A50" w:rsidRPr="00366942" w:rsidRDefault="002A409A" w:rsidP="00961A50">
      <w:pPr>
        <w:pStyle w:val="Citationenretrait"/>
        <w:spacing w:before="0"/>
        <w:jc w:val="right"/>
        <w:rPr>
          <w:sz w:val="20"/>
          <w:lang w:val="en-CA"/>
        </w:rPr>
      </w:pPr>
      <w:r w:rsidRPr="00366942">
        <w:rPr>
          <w:sz w:val="20"/>
          <w:lang w:val="en-CA"/>
        </w:rPr>
        <w:t>(</w:t>
      </w:r>
      <w:r w:rsidR="007D369B" w:rsidRPr="00366942">
        <w:rPr>
          <w:sz w:val="20"/>
          <w:lang w:val="en-CA"/>
        </w:rPr>
        <w:t>Underlining</w:t>
      </w:r>
      <w:r w:rsidR="008739EF" w:rsidRPr="00366942">
        <w:rPr>
          <w:sz w:val="20"/>
          <w:lang w:val="en-CA"/>
        </w:rPr>
        <w:t xml:space="preserve"> added</w:t>
      </w:r>
      <w:r w:rsidRPr="00366942">
        <w:rPr>
          <w:sz w:val="20"/>
          <w:lang w:val="en-CA"/>
        </w:rPr>
        <w:t>)</w:t>
      </w:r>
    </w:p>
    <w:p w14:paraId="73A4C2C6" w14:textId="6C79E140" w:rsidR="00961A50" w:rsidRPr="00366942" w:rsidRDefault="006357C2" w:rsidP="00961A50">
      <w:pPr>
        <w:pStyle w:val="Paragraphe"/>
        <w:rPr>
          <w:lang w:val="en-CA"/>
        </w:rPr>
      </w:pPr>
      <w:r w:rsidRPr="00366942">
        <w:rPr>
          <w:lang w:val="en-CA"/>
        </w:rPr>
        <w:t>That said</w:t>
      </w:r>
      <w:r w:rsidR="00961A50" w:rsidRPr="00366942">
        <w:rPr>
          <w:lang w:val="en-CA"/>
        </w:rPr>
        <w:t xml:space="preserve">, </w:t>
      </w:r>
      <w:r w:rsidRPr="00366942">
        <w:rPr>
          <w:lang w:val="en-CA"/>
        </w:rPr>
        <w:t xml:space="preserve">and </w:t>
      </w:r>
      <w:r w:rsidR="004E6F53" w:rsidRPr="00366942">
        <w:rPr>
          <w:lang w:val="en-CA"/>
        </w:rPr>
        <w:t>returning</w:t>
      </w:r>
      <w:r w:rsidRPr="00366942">
        <w:rPr>
          <w:lang w:val="en-CA"/>
        </w:rPr>
        <w:t xml:space="preserve"> to</w:t>
      </w:r>
      <w:r w:rsidR="00961A50" w:rsidRPr="00366942">
        <w:rPr>
          <w:lang w:val="en-CA"/>
        </w:rPr>
        <w:t xml:space="preserve"> </w:t>
      </w:r>
      <w:r w:rsidR="00961A50" w:rsidRPr="00366942">
        <w:rPr>
          <w:i/>
          <w:iCs/>
          <w:lang w:val="en-CA"/>
        </w:rPr>
        <w:t>Sharma</w:t>
      </w:r>
      <w:r w:rsidRPr="00366942">
        <w:rPr>
          <w:i/>
          <w:iCs/>
          <w:lang w:val="en-CA"/>
        </w:rPr>
        <w:t>,</w:t>
      </w:r>
      <w:r w:rsidR="00961A50" w:rsidRPr="00366942">
        <w:rPr>
          <w:rStyle w:val="Appelnotedebasdep"/>
          <w:lang w:val="en-CA"/>
        </w:rPr>
        <w:footnoteReference w:id="33"/>
      </w:r>
      <w:r w:rsidRPr="00366942">
        <w:rPr>
          <w:i/>
          <w:iCs/>
          <w:lang w:val="en-CA"/>
        </w:rPr>
        <w:t xml:space="preserve"> </w:t>
      </w:r>
      <w:r w:rsidR="00961A50" w:rsidRPr="00366942">
        <w:rPr>
          <w:lang w:val="en-CA"/>
        </w:rPr>
        <w:t xml:space="preserve">Brown </w:t>
      </w:r>
      <w:r w:rsidRPr="00366942">
        <w:rPr>
          <w:lang w:val="en-CA"/>
        </w:rPr>
        <w:t>and</w:t>
      </w:r>
      <w:r w:rsidR="00961A50" w:rsidRPr="00366942">
        <w:rPr>
          <w:lang w:val="en-CA"/>
        </w:rPr>
        <w:t xml:space="preserve"> Rowe</w:t>
      </w:r>
      <w:r w:rsidRPr="00366942">
        <w:rPr>
          <w:lang w:val="en-CA"/>
        </w:rPr>
        <w:t>, JJ.</w:t>
      </w:r>
      <w:r w:rsidR="00961A50" w:rsidRPr="00366942">
        <w:rPr>
          <w:lang w:val="en-CA"/>
        </w:rPr>
        <w:t xml:space="preserve"> </w:t>
      </w:r>
      <w:r w:rsidR="004E6F53" w:rsidRPr="00366942">
        <w:rPr>
          <w:lang w:val="en-CA"/>
        </w:rPr>
        <w:t>a</w:t>
      </w:r>
      <w:r w:rsidRPr="00366942">
        <w:rPr>
          <w:lang w:val="en-CA"/>
        </w:rPr>
        <w:t>rticulated a number of clarifications on each step of the test, particular</w:t>
      </w:r>
      <w:r w:rsidR="004E6F53" w:rsidRPr="00366942">
        <w:rPr>
          <w:lang w:val="en-CA"/>
        </w:rPr>
        <w:t>ly</w:t>
      </w:r>
      <w:r w:rsidRPr="00366942">
        <w:rPr>
          <w:lang w:val="en-CA"/>
        </w:rPr>
        <w:t xml:space="preserve"> as regards</w:t>
      </w:r>
      <w:r w:rsidR="004E6F53" w:rsidRPr="00366942">
        <w:rPr>
          <w:lang w:val="en-CA"/>
        </w:rPr>
        <w:t xml:space="preserve"> to</w:t>
      </w:r>
      <w:r w:rsidRPr="00366942">
        <w:rPr>
          <w:lang w:val="en-CA"/>
        </w:rPr>
        <w:t xml:space="preserve"> indirect discrimination, i.e.</w:t>
      </w:r>
      <w:r w:rsidR="004E6F53" w:rsidRPr="00366942">
        <w:rPr>
          <w:lang w:val="en-CA"/>
        </w:rPr>
        <w:t>,</w:t>
      </w:r>
      <w:r w:rsidRPr="00366942">
        <w:rPr>
          <w:lang w:val="en-CA"/>
        </w:rPr>
        <w:t xml:space="preserve"> </w:t>
      </w:r>
      <w:r w:rsidR="004E6F53" w:rsidRPr="00366942">
        <w:rPr>
          <w:lang w:val="en-CA"/>
        </w:rPr>
        <w:t>by</w:t>
      </w:r>
      <w:r w:rsidRPr="00366942">
        <w:rPr>
          <w:lang w:val="en-CA"/>
        </w:rPr>
        <w:t xml:space="preserve"> adverse </w:t>
      </w:r>
      <w:r w:rsidR="00D52075" w:rsidRPr="00366942">
        <w:rPr>
          <w:lang w:val="en-CA"/>
        </w:rPr>
        <w:t>impact</w:t>
      </w:r>
      <w:r w:rsidR="00961A50" w:rsidRPr="00366942">
        <w:rPr>
          <w:lang w:val="en-CA"/>
        </w:rPr>
        <w:t xml:space="preserve">. </w:t>
      </w:r>
      <w:r w:rsidRPr="00366942">
        <w:rPr>
          <w:lang w:val="en-CA"/>
        </w:rPr>
        <w:t>In that regard, they note</w:t>
      </w:r>
      <w:r w:rsidR="004E6F53" w:rsidRPr="00366942">
        <w:rPr>
          <w:lang w:val="en-CA"/>
        </w:rPr>
        <w:t>d</w:t>
      </w:r>
      <w:r w:rsidRPr="00366942">
        <w:rPr>
          <w:lang w:val="en-CA"/>
        </w:rPr>
        <w:t xml:space="preserve"> the following as to the first step of the test</w:t>
      </w:r>
      <w:r w:rsidR="00961A50" w:rsidRPr="00366942">
        <w:rPr>
          <w:lang w:val="en-CA"/>
        </w:rPr>
        <w:t>:</w:t>
      </w:r>
    </w:p>
    <w:p w14:paraId="12D10AC9" w14:textId="20A2D49D" w:rsidR="00961A50" w:rsidRPr="00366942" w:rsidRDefault="00961A50" w:rsidP="00961A50">
      <w:pPr>
        <w:pStyle w:val="Citationenretrait"/>
        <w:rPr>
          <w:lang w:val="en-CA"/>
        </w:rPr>
      </w:pPr>
      <w:r w:rsidRPr="00366942">
        <w:rPr>
          <w:lang w:val="en-CA"/>
        </w:rPr>
        <w:t>[39]</w:t>
      </w:r>
      <w:r w:rsidRPr="00366942">
        <w:rPr>
          <w:lang w:val="en-CA"/>
        </w:rPr>
        <w:tab/>
      </w:r>
      <w:r w:rsidR="000130C3" w:rsidRPr="00366942">
        <w:rPr>
          <w:lang w:val="en-CA"/>
        </w:rPr>
        <w:t>Two questions arise. First, what is the</w:t>
      </w:r>
      <w:r w:rsidR="000130C3" w:rsidRPr="00366942">
        <w:rPr>
          <w:i/>
          <w:iCs/>
          <w:lang w:val="en-CA"/>
        </w:rPr>
        <w:t> standard</w:t>
      </w:r>
      <w:r w:rsidR="000130C3" w:rsidRPr="00366942">
        <w:rPr>
          <w:lang w:val="en-CA"/>
        </w:rPr>
        <w:t> by which courts should measure impact? And secondly, how may claimants </w:t>
      </w:r>
      <w:r w:rsidR="000130C3" w:rsidRPr="00366942">
        <w:rPr>
          <w:i/>
          <w:iCs/>
          <w:lang w:val="en-CA"/>
        </w:rPr>
        <w:t>prove</w:t>
      </w:r>
      <w:r w:rsidR="000130C3" w:rsidRPr="00366942">
        <w:rPr>
          <w:lang w:val="en-CA"/>
        </w:rPr>
        <w:t> impact</w:t>
      </w:r>
      <w:r w:rsidRPr="00366942">
        <w:rPr>
          <w:lang w:val="en-CA"/>
        </w:rPr>
        <w:t>?</w:t>
      </w:r>
    </w:p>
    <w:p w14:paraId="78978760" w14:textId="6AA61F53" w:rsidR="00961A50" w:rsidRPr="00366942" w:rsidRDefault="00961A50" w:rsidP="00961A50">
      <w:pPr>
        <w:pStyle w:val="Citationenretrait"/>
        <w:rPr>
          <w:lang w:val="en-CA"/>
        </w:rPr>
      </w:pPr>
      <w:r w:rsidRPr="00366942">
        <w:rPr>
          <w:lang w:val="en-CA"/>
        </w:rPr>
        <w:t>[40]</w:t>
      </w:r>
      <w:r w:rsidRPr="00366942">
        <w:rPr>
          <w:lang w:val="en-CA"/>
        </w:rPr>
        <w:tab/>
      </w:r>
      <w:r w:rsidR="000130C3" w:rsidRPr="00366942">
        <w:rPr>
          <w:lang w:val="en-CA"/>
        </w:rPr>
        <w:t xml:space="preserve">We start with the difference between impact and disproportionate impact. All laws are expected to impact individuals; merely showing that a law impacts a protected group is therefore insufficient. </w:t>
      </w:r>
      <w:r w:rsidR="000130C3" w:rsidRPr="00366942">
        <w:rPr>
          <w:u w:val="single"/>
          <w:lang w:val="en-CA"/>
        </w:rPr>
        <w:t xml:space="preserve">At step one of the s. 15(1) test, claimants must demonstrate a </w:t>
      </w:r>
      <w:r w:rsidR="000130C3" w:rsidRPr="00366942">
        <w:rPr>
          <w:i/>
          <w:iCs/>
          <w:u w:val="single"/>
          <w:lang w:val="en-CA"/>
        </w:rPr>
        <w:t>disproportionate</w:t>
      </w:r>
      <w:r w:rsidR="000130C3" w:rsidRPr="00366942">
        <w:rPr>
          <w:u w:val="single"/>
          <w:lang w:val="en-CA"/>
        </w:rPr>
        <w:t xml:space="preserve"> impact on a protected group, as compared to non</w:t>
      </w:r>
      <w:r w:rsidR="000130C3" w:rsidRPr="00366942">
        <w:rPr>
          <w:rFonts w:ascii="Cambria Math" w:hAnsi="Cambria Math" w:cs="Cambria Math"/>
          <w:u w:val="single"/>
          <w:lang w:val="en-CA"/>
        </w:rPr>
        <w:t>‑</w:t>
      </w:r>
      <w:r w:rsidR="000130C3" w:rsidRPr="00366942">
        <w:rPr>
          <w:u w:val="single"/>
          <w:lang w:val="en-CA"/>
        </w:rPr>
        <w:t>group members</w:t>
      </w:r>
      <w:r w:rsidR="000130C3" w:rsidRPr="00366942">
        <w:rPr>
          <w:lang w:val="en-CA"/>
        </w:rPr>
        <w:t>. Said differently, leaving a gap between a protected group and non</w:t>
      </w:r>
      <w:r w:rsidR="000130C3" w:rsidRPr="00366942">
        <w:rPr>
          <w:rFonts w:ascii="Cambria Math" w:hAnsi="Cambria Math" w:cs="Cambria Math"/>
          <w:lang w:val="en-CA"/>
        </w:rPr>
        <w:t>‑</w:t>
      </w:r>
      <w:r w:rsidR="000130C3" w:rsidRPr="00366942">
        <w:rPr>
          <w:lang w:val="en-CA"/>
        </w:rPr>
        <w:t>group members unaffected does not infringe s. 15(1)</w:t>
      </w:r>
      <w:r w:rsidRPr="00366942">
        <w:rPr>
          <w:lang w:val="en-CA"/>
        </w:rPr>
        <w:t>.</w:t>
      </w:r>
    </w:p>
    <w:p w14:paraId="68315D37" w14:textId="7A5D00CD" w:rsidR="00961A50" w:rsidRPr="00366942" w:rsidRDefault="00961A50" w:rsidP="00961A50">
      <w:pPr>
        <w:pStyle w:val="Citationenretrait"/>
        <w:rPr>
          <w:lang w:val="en-CA"/>
        </w:rPr>
      </w:pPr>
      <w:r w:rsidRPr="00366942">
        <w:rPr>
          <w:lang w:val="en-CA"/>
        </w:rPr>
        <w:t>[41]</w:t>
      </w:r>
      <w:r w:rsidRPr="00366942">
        <w:rPr>
          <w:lang w:val="en-CA"/>
        </w:rPr>
        <w:tab/>
      </w:r>
      <w:r w:rsidR="000130C3" w:rsidRPr="00366942">
        <w:rPr>
          <w:lang w:val="en-CA"/>
        </w:rPr>
        <w:t xml:space="preserve">The </w:t>
      </w:r>
      <w:r w:rsidR="000130C3" w:rsidRPr="00366942">
        <w:rPr>
          <w:u w:val="single"/>
          <w:lang w:val="en-CA"/>
        </w:rPr>
        <w:t>disproportionate impact requirement necessarily introduces comparison into the first step</w:t>
      </w:r>
      <w:r w:rsidR="000130C3" w:rsidRPr="00366942">
        <w:rPr>
          <w:lang w:val="en-CA"/>
        </w:rPr>
        <w:t xml:space="preserve">. As McIntyre J. explained in </w:t>
      </w:r>
      <w:r w:rsidR="000130C3" w:rsidRPr="00366942">
        <w:rPr>
          <w:i/>
          <w:iCs/>
          <w:lang w:val="en-CA"/>
        </w:rPr>
        <w:t>Andrews</w:t>
      </w:r>
      <w:r w:rsidR="000130C3" w:rsidRPr="00366942">
        <w:rPr>
          <w:lang w:val="en-CA"/>
        </w:rPr>
        <w:t xml:space="preserve">: “[Equality] is a comparative concept, the condition of which may only be attained or discerned by comparison with the condition of others in the social and political setting in which the question arises” (p. 164; see also </w:t>
      </w:r>
      <w:r w:rsidR="000130C3" w:rsidRPr="00366942">
        <w:rPr>
          <w:i/>
          <w:iCs/>
          <w:lang w:val="en-CA"/>
        </w:rPr>
        <w:t>Fraser</w:t>
      </w:r>
      <w:r w:rsidR="000130C3" w:rsidRPr="00366942">
        <w:rPr>
          <w:lang w:val="en-CA"/>
        </w:rPr>
        <w:t xml:space="preserve">, at para. 55). This Court no longer </w:t>
      </w:r>
      <w:r w:rsidR="000130C3" w:rsidRPr="00366942">
        <w:rPr>
          <w:lang w:val="en-CA"/>
        </w:rPr>
        <w:lastRenderedPageBreak/>
        <w:t>requires a “mirror comparator group” (</w:t>
      </w:r>
      <w:r w:rsidR="000130C3" w:rsidRPr="00366942">
        <w:rPr>
          <w:i/>
          <w:iCs/>
          <w:lang w:val="en-CA"/>
        </w:rPr>
        <w:t>Withler</w:t>
      </w:r>
      <w:r w:rsidR="000130C3" w:rsidRPr="00366942">
        <w:rPr>
          <w:lang w:val="en-CA"/>
        </w:rPr>
        <w:t>, at paras. 55</w:t>
      </w:r>
      <w:r w:rsidR="000130C3" w:rsidRPr="00366942">
        <w:rPr>
          <w:rFonts w:ascii="Cambria Math" w:hAnsi="Cambria Math" w:cs="Cambria Math"/>
          <w:lang w:val="en-CA"/>
        </w:rPr>
        <w:t>‑</w:t>
      </w:r>
      <w:r w:rsidR="000130C3" w:rsidRPr="00366942">
        <w:rPr>
          <w:lang w:val="en-CA"/>
        </w:rPr>
        <w:t xml:space="preserve">64; </w:t>
      </w:r>
      <w:r w:rsidR="000130C3" w:rsidRPr="00366942">
        <w:rPr>
          <w:i/>
          <w:iCs/>
          <w:lang w:val="en-CA"/>
        </w:rPr>
        <w:t>Fraser</w:t>
      </w:r>
      <w:r w:rsidR="000130C3" w:rsidRPr="00366942">
        <w:rPr>
          <w:lang w:val="en-CA"/>
        </w:rPr>
        <w:t xml:space="preserve">, at para. 94). However, </w:t>
      </w:r>
      <w:r w:rsidR="000130C3" w:rsidRPr="00366942">
        <w:rPr>
          <w:i/>
          <w:iCs/>
          <w:lang w:val="en-CA"/>
        </w:rPr>
        <w:t>Withler</w:t>
      </w:r>
      <w:r w:rsidR="000130C3" w:rsidRPr="00366942">
        <w:rPr>
          <w:lang w:val="en-CA"/>
        </w:rPr>
        <w:t xml:space="preserve"> confirms that </w:t>
      </w:r>
      <w:r w:rsidR="000130C3" w:rsidRPr="00366942">
        <w:rPr>
          <w:u w:val="single"/>
          <w:lang w:val="en-CA"/>
        </w:rPr>
        <w:t>comparison plays a role at both steps of the s. 15(1) analysis. At the first step, the word “distinction” itself implies that the claimant is treated differently than others</w:t>
      </w:r>
      <w:r w:rsidR="000130C3" w:rsidRPr="00366942">
        <w:rPr>
          <w:lang w:val="en-CA"/>
        </w:rPr>
        <w:t>, whether directly or indirectly (</w:t>
      </w:r>
      <w:r w:rsidR="000130C3" w:rsidRPr="00366942">
        <w:rPr>
          <w:i/>
          <w:iCs/>
          <w:lang w:val="en-CA"/>
        </w:rPr>
        <w:t>Withle</w:t>
      </w:r>
      <w:r w:rsidR="000130C3" w:rsidRPr="00366942">
        <w:rPr>
          <w:lang w:val="en-CA"/>
        </w:rPr>
        <w:t xml:space="preserve">r, at para. 62, cited in </w:t>
      </w:r>
      <w:r w:rsidR="000130C3" w:rsidRPr="00366942">
        <w:rPr>
          <w:i/>
          <w:iCs/>
          <w:lang w:val="en-CA"/>
        </w:rPr>
        <w:t>Fraser</w:t>
      </w:r>
      <w:r w:rsidR="000130C3" w:rsidRPr="00366942">
        <w:rPr>
          <w:lang w:val="en-CA"/>
        </w:rPr>
        <w:t>, at para. 48)</w:t>
      </w:r>
      <w:r w:rsidRPr="00366942">
        <w:rPr>
          <w:lang w:val="en-CA"/>
        </w:rPr>
        <w:t>.</w:t>
      </w:r>
    </w:p>
    <w:p w14:paraId="48D2042F" w14:textId="56AFB1B2" w:rsidR="00961A50" w:rsidRPr="00366942" w:rsidRDefault="00961A50" w:rsidP="00961A50">
      <w:pPr>
        <w:pStyle w:val="Citationenretrait"/>
        <w:rPr>
          <w:lang w:val="en-CA"/>
        </w:rPr>
      </w:pPr>
      <w:r w:rsidRPr="00366942">
        <w:rPr>
          <w:lang w:val="en-CA"/>
        </w:rPr>
        <w:t>[42]</w:t>
      </w:r>
      <w:r w:rsidRPr="00366942">
        <w:rPr>
          <w:lang w:val="en-CA"/>
        </w:rPr>
        <w:tab/>
      </w:r>
      <w:r w:rsidR="000130C3" w:rsidRPr="00366942">
        <w:rPr>
          <w:lang w:val="en-CA"/>
        </w:rPr>
        <w:t xml:space="preserve">As we have explained, </w:t>
      </w:r>
      <w:r w:rsidR="000130C3" w:rsidRPr="00366942">
        <w:rPr>
          <w:u w:val="single"/>
          <w:lang w:val="en-CA"/>
        </w:rPr>
        <w:t>in adverse impact cases, the law appears facially neutral. At step one, the claimant must present sufficient evidence to prove the impugned law, in its impact, creates or contributes to a disproportionate impact on the basis of a protected ground</w:t>
      </w:r>
      <w:r w:rsidR="000130C3" w:rsidRPr="00366942">
        <w:rPr>
          <w:lang w:val="en-CA"/>
        </w:rPr>
        <w:t xml:space="preserve"> (</w:t>
      </w:r>
      <w:r w:rsidR="000130C3" w:rsidRPr="00366942">
        <w:rPr>
          <w:i/>
          <w:iCs/>
          <w:lang w:val="en-CA"/>
        </w:rPr>
        <w:t>Fraser</w:t>
      </w:r>
      <w:r w:rsidR="000130C3" w:rsidRPr="00366942">
        <w:rPr>
          <w:lang w:val="en-CA"/>
        </w:rPr>
        <w:t xml:space="preserve">, at para. 60, citing </w:t>
      </w:r>
      <w:r w:rsidR="000130C3" w:rsidRPr="00366942">
        <w:rPr>
          <w:i/>
          <w:iCs/>
          <w:lang w:val="en-CA"/>
        </w:rPr>
        <w:t>Taypotat</w:t>
      </w:r>
      <w:r w:rsidR="000130C3" w:rsidRPr="00366942">
        <w:rPr>
          <w:lang w:val="en-CA"/>
        </w:rPr>
        <w:t xml:space="preserve">, at para. 34; </w:t>
      </w:r>
      <w:r w:rsidR="000130C3" w:rsidRPr="00366942">
        <w:rPr>
          <w:i/>
          <w:iCs/>
          <w:lang w:val="en-CA"/>
        </w:rPr>
        <w:t>Alliance</w:t>
      </w:r>
      <w:r w:rsidR="000130C3" w:rsidRPr="00366942">
        <w:rPr>
          <w:lang w:val="en-CA"/>
        </w:rPr>
        <w:t xml:space="preserve">, at para. 26; </w:t>
      </w:r>
      <w:r w:rsidR="000130C3" w:rsidRPr="00366942">
        <w:rPr>
          <w:i/>
          <w:iCs/>
          <w:lang w:val="en-CA"/>
        </w:rPr>
        <w:t>Symes v. Canada</w:t>
      </w:r>
      <w:r w:rsidR="000130C3" w:rsidRPr="00366942">
        <w:rPr>
          <w:lang w:val="en-CA"/>
        </w:rPr>
        <w:t>, [1993] 4 S.C.R. 695, at pp. 764-65). Causation is thus a central issue</w:t>
      </w:r>
      <w:r w:rsidRPr="00366942">
        <w:rPr>
          <w:lang w:val="en-CA"/>
        </w:rPr>
        <w:t>. […]</w:t>
      </w:r>
    </w:p>
    <w:p w14:paraId="3BF76CEB" w14:textId="77777777" w:rsidR="00961A50" w:rsidRPr="00366942" w:rsidRDefault="00961A50" w:rsidP="00961A50">
      <w:pPr>
        <w:pStyle w:val="Citationenretrait"/>
        <w:rPr>
          <w:lang w:val="en-CA"/>
        </w:rPr>
      </w:pPr>
      <w:r w:rsidRPr="00366942">
        <w:rPr>
          <w:lang w:val="en-CA"/>
        </w:rPr>
        <w:t>[…]</w:t>
      </w:r>
    </w:p>
    <w:p w14:paraId="1E1A5827" w14:textId="42DFE3A7" w:rsidR="00961A50" w:rsidRPr="00366942" w:rsidRDefault="00961A50" w:rsidP="00961A50">
      <w:pPr>
        <w:pStyle w:val="Citationenretrait"/>
        <w:rPr>
          <w:b/>
          <w:lang w:val="en-CA"/>
        </w:rPr>
      </w:pPr>
      <w:r w:rsidRPr="00366942">
        <w:rPr>
          <w:lang w:val="en-CA"/>
        </w:rPr>
        <w:t>[</w:t>
      </w:r>
      <w:bookmarkStart w:id="24" w:name="par50"/>
      <w:r w:rsidRPr="00366942">
        <w:rPr>
          <w:lang w:val="en-CA"/>
        </w:rPr>
        <w:t>50</w:t>
      </w:r>
      <w:bookmarkEnd w:id="24"/>
      <w:r w:rsidRPr="00366942">
        <w:rPr>
          <w:lang w:val="en-CA"/>
        </w:rPr>
        <w:t>]</w:t>
      </w:r>
      <w:r w:rsidRPr="00366942">
        <w:rPr>
          <w:sz w:val="14"/>
          <w:szCs w:val="14"/>
          <w:lang w:val="en-CA"/>
        </w:rPr>
        <w:tab/>
      </w:r>
      <w:r w:rsidR="000130C3" w:rsidRPr="00366942">
        <w:rPr>
          <w:lang w:val="en-CA"/>
        </w:rPr>
        <w:t xml:space="preserve">In summary, </w:t>
      </w:r>
      <w:r w:rsidR="000130C3" w:rsidRPr="00366942">
        <w:rPr>
          <w:u w:val="single"/>
          <w:lang w:val="en-CA"/>
        </w:rPr>
        <w:t>the first step asks whether the impugned provisions create or contribute to a disproportionate impact on the claimant group based on a protected ground as compared to other groups</w:t>
      </w:r>
      <w:r w:rsidR="000130C3" w:rsidRPr="00366942">
        <w:rPr>
          <w:lang w:val="en-CA"/>
        </w:rPr>
        <w:t xml:space="preserve">. If a claimant establishes that the law or state action creates or contributes to a disproportionate impact, the court should proceed to the second step. </w:t>
      </w:r>
      <w:r w:rsidR="000130C3" w:rsidRPr="00366942">
        <w:rPr>
          <w:u w:val="single"/>
          <w:lang w:val="en-CA"/>
        </w:rPr>
        <w:t>But to be clear, while the evidentiary burden at the first step should not be undue, it must be fulfilled</w:t>
      </w:r>
      <w:r w:rsidR="000130C3" w:rsidRPr="00366942">
        <w:rPr>
          <w:lang w:val="en-CA"/>
        </w:rPr>
        <w:t>. The particular evidentiary burden on claimants will depend on the claim. What remains consistent is that there is a burden on claimants at step one</w:t>
      </w:r>
      <w:r w:rsidRPr="00366942">
        <w:rPr>
          <w:lang w:val="en-CA"/>
        </w:rPr>
        <w:t>.</w:t>
      </w:r>
      <w:r w:rsidRPr="00366942">
        <w:rPr>
          <w:rStyle w:val="Appelnotedebasdep"/>
          <w:lang w:val="en-CA"/>
        </w:rPr>
        <w:footnoteReference w:id="34"/>
      </w:r>
    </w:p>
    <w:p w14:paraId="73B48F68" w14:textId="63AF86E9" w:rsidR="00961A50" w:rsidRPr="00366942" w:rsidRDefault="002A409A" w:rsidP="00961A50">
      <w:pPr>
        <w:pStyle w:val="Citationenretrait"/>
        <w:spacing w:before="0"/>
        <w:jc w:val="right"/>
        <w:rPr>
          <w:sz w:val="20"/>
          <w:lang w:val="en-CA"/>
        </w:rPr>
      </w:pPr>
      <w:r w:rsidRPr="00366942">
        <w:rPr>
          <w:sz w:val="20"/>
          <w:lang w:val="en-CA"/>
        </w:rPr>
        <w:t>(</w:t>
      </w:r>
      <w:r w:rsidR="001F273E" w:rsidRPr="00366942">
        <w:rPr>
          <w:sz w:val="20"/>
          <w:lang w:val="en-CA"/>
        </w:rPr>
        <w:t>Underlining</w:t>
      </w:r>
      <w:r w:rsidR="000130C3" w:rsidRPr="00366942">
        <w:rPr>
          <w:sz w:val="20"/>
          <w:lang w:val="en-CA"/>
        </w:rPr>
        <w:t xml:space="preserve"> added</w:t>
      </w:r>
      <w:r w:rsidRPr="00366942">
        <w:rPr>
          <w:sz w:val="20"/>
          <w:lang w:val="en-CA"/>
        </w:rPr>
        <w:t>)</w:t>
      </w:r>
    </w:p>
    <w:p w14:paraId="70EE6E4E" w14:textId="63AD8304" w:rsidR="00961A50" w:rsidRPr="00366942" w:rsidRDefault="004E6F53" w:rsidP="00961A50">
      <w:pPr>
        <w:pStyle w:val="Paragraphe"/>
        <w:rPr>
          <w:lang w:val="en-CA"/>
        </w:rPr>
      </w:pPr>
      <w:bookmarkStart w:id="25" w:name="_Toc101345162"/>
      <w:r w:rsidRPr="00366942">
        <w:rPr>
          <w:lang w:val="en-CA"/>
        </w:rPr>
        <w:t>As for the second step of the</w:t>
      </w:r>
      <w:r w:rsidR="00961A50" w:rsidRPr="00366942">
        <w:rPr>
          <w:lang w:val="en-CA"/>
        </w:rPr>
        <w:t xml:space="preserve"> test, Brown </w:t>
      </w:r>
      <w:r w:rsidRPr="00366942">
        <w:rPr>
          <w:lang w:val="en-CA"/>
        </w:rPr>
        <w:t>and</w:t>
      </w:r>
      <w:r w:rsidR="00961A50" w:rsidRPr="00366942">
        <w:rPr>
          <w:lang w:val="en-CA"/>
        </w:rPr>
        <w:t xml:space="preserve"> Rowe</w:t>
      </w:r>
      <w:r w:rsidRPr="00366942">
        <w:rPr>
          <w:lang w:val="en-CA"/>
        </w:rPr>
        <w:t>, JJ. summarized it as follows</w:t>
      </w:r>
      <w:r w:rsidR="00961A50" w:rsidRPr="00366942">
        <w:rPr>
          <w:lang w:val="en-CA"/>
        </w:rPr>
        <w:t>:</w:t>
      </w:r>
    </w:p>
    <w:bookmarkEnd w:id="25"/>
    <w:p w14:paraId="060AAB56" w14:textId="6A9A87E6" w:rsidR="00961A50" w:rsidRPr="00366942" w:rsidRDefault="00961A50" w:rsidP="00961A50">
      <w:pPr>
        <w:pStyle w:val="Citationenretrait"/>
        <w:rPr>
          <w:u w:val="single"/>
          <w:lang w:val="en-CA"/>
        </w:rPr>
      </w:pPr>
      <w:r w:rsidRPr="00366942">
        <w:rPr>
          <w:lang w:val="en-CA"/>
        </w:rPr>
        <w:t>(i)</w:t>
      </w:r>
      <w:r w:rsidRPr="00366942">
        <w:rPr>
          <w:lang w:val="en-CA"/>
        </w:rPr>
        <w:tab/>
      </w:r>
      <w:r w:rsidR="001B51FD" w:rsidRPr="00366942">
        <w:rPr>
          <w:u w:val="single"/>
          <w:lang w:val="en-CA"/>
        </w:rPr>
        <w:t>Evidentiary burden</w:t>
      </w:r>
    </w:p>
    <w:p w14:paraId="625BC59A" w14:textId="78885779" w:rsidR="00961A50" w:rsidRPr="00366942" w:rsidRDefault="00961A50" w:rsidP="00961A50">
      <w:pPr>
        <w:pStyle w:val="Citationenretrait"/>
        <w:rPr>
          <w:lang w:val="en-CA"/>
        </w:rPr>
      </w:pPr>
      <w:r w:rsidRPr="00366942">
        <w:rPr>
          <w:lang w:val="en-CA"/>
        </w:rPr>
        <w:t>[</w:t>
      </w:r>
      <w:bookmarkStart w:id="26" w:name="par51"/>
      <w:r w:rsidRPr="00366942">
        <w:rPr>
          <w:lang w:val="en-CA"/>
        </w:rPr>
        <w:t>51</w:t>
      </w:r>
      <w:bookmarkEnd w:id="26"/>
      <w:r w:rsidRPr="00366942">
        <w:rPr>
          <w:lang w:val="en-CA"/>
        </w:rPr>
        <w:t>]</w:t>
      </w:r>
      <w:r w:rsidRPr="00366942">
        <w:rPr>
          <w:lang w:val="en-CA"/>
        </w:rPr>
        <w:tab/>
      </w:r>
      <w:r w:rsidR="001B51FD" w:rsidRPr="00366942">
        <w:rPr>
          <w:lang w:val="en-CA"/>
        </w:rPr>
        <w:t>It has never been the view of this Court that every distinction is discriminatory (</w:t>
      </w:r>
      <w:r w:rsidR="001B51FD" w:rsidRPr="00366942">
        <w:rPr>
          <w:i/>
          <w:iCs/>
          <w:lang w:val="en-CA"/>
        </w:rPr>
        <w:t>Andrews</w:t>
      </w:r>
      <w:r w:rsidR="001B51FD" w:rsidRPr="00366942">
        <w:rPr>
          <w:lang w:val="en-CA"/>
        </w:rPr>
        <w:t>, at p. 182). Hence the importance of the second step of the s. 15(1) test, requiring the claimant to establish that the impugned law imposes burdens or denies benefits in a manner that has the effect of reinforcing, perpetuating, or exacerbating the group’s disadvantage. The question becomes, what does it mean to reinforce, perpetuate, or exacerbate disadvantage</w:t>
      </w:r>
      <w:r w:rsidRPr="00366942">
        <w:rPr>
          <w:lang w:val="en-CA"/>
        </w:rPr>
        <w:t>?</w:t>
      </w:r>
    </w:p>
    <w:p w14:paraId="75B88A18" w14:textId="4B80A1EF" w:rsidR="00961A50" w:rsidRPr="00366942" w:rsidRDefault="00961A50" w:rsidP="00961A50">
      <w:pPr>
        <w:pStyle w:val="Citationenretrait"/>
        <w:rPr>
          <w:lang w:val="en-CA"/>
        </w:rPr>
      </w:pPr>
      <w:r w:rsidRPr="00366942">
        <w:rPr>
          <w:lang w:val="en-CA"/>
        </w:rPr>
        <w:t>[</w:t>
      </w:r>
      <w:bookmarkStart w:id="27" w:name="par52"/>
      <w:r w:rsidRPr="00366942">
        <w:rPr>
          <w:lang w:val="en-CA"/>
        </w:rPr>
        <w:t>52</w:t>
      </w:r>
      <w:bookmarkEnd w:id="27"/>
      <w:r w:rsidRPr="00366942">
        <w:rPr>
          <w:lang w:val="en-CA"/>
        </w:rPr>
        <w:t>]</w:t>
      </w:r>
      <w:r w:rsidRPr="00366942">
        <w:rPr>
          <w:lang w:val="en-CA"/>
        </w:rPr>
        <w:tab/>
      </w:r>
      <w:r w:rsidR="001B51FD" w:rsidRPr="00366942">
        <w:rPr>
          <w:u w:val="single"/>
          <w:lang w:val="en-CA"/>
        </w:rPr>
        <w:t>Courts must examine the historical or systemic disadvantage of the claimant group. Leaving the situation of a claimant group unaffected is insufficient to meet the step two requirements</w:t>
      </w:r>
      <w:r w:rsidR="001B51FD" w:rsidRPr="00366942">
        <w:rPr>
          <w:lang w:val="en-CA"/>
        </w:rPr>
        <w:t xml:space="preserve">. Two decisions of this Court demonstrate this point. In </w:t>
      </w:r>
      <w:r w:rsidR="001B51FD" w:rsidRPr="00366942">
        <w:rPr>
          <w:i/>
          <w:iCs/>
          <w:lang w:val="en-CA"/>
        </w:rPr>
        <w:t>Fraser</w:t>
      </w:r>
      <w:r w:rsidR="001B51FD" w:rsidRPr="00366942">
        <w:rPr>
          <w:lang w:val="en-CA"/>
        </w:rPr>
        <w:t xml:space="preserve">, Abella J. observed: “The goal is to examine the impact of the </w:t>
      </w:r>
      <w:r w:rsidR="001B51FD" w:rsidRPr="00366942">
        <w:rPr>
          <w:u w:val="single"/>
          <w:lang w:val="en-CA"/>
        </w:rPr>
        <w:t>harm caused</w:t>
      </w:r>
      <w:r w:rsidR="001B51FD" w:rsidRPr="00366942">
        <w:rPr>
          <w:lang w:val="en-CA"/>
        </w:rPr>
        <w:t xml:space="preserve"> to the affected group”, </w:t>
      </w:r>
      <w:r w:rsidR="001B51FD" w:rsidRPr="00366942">
        <w:rPr>
          <w:u w:val="single"/>
          <w:lang w:val="en-CA"/>
        </w:rPr>
        <w:t>which may include economic exclusion or disadvantage, social exclusion, psychological harms, physical harms or political exclusion</w:t>
      </w:r>
      <w:r w:rsidR="001B51FD" w:rsidRPr="00366942">
        <w:rPr>
          <w:lang w:val="en-CA"/>
        </w:rPr>
        <w:t xml:space="preserve"> (para. 76 (emphasis added), citing C. Sheppard, </w:t>
      </w:r>
      <w:r w:rsidR="001B51FD" w:rsidRPr="00366942">
        <w:rPr>
          <w:i/>
          <w:iCs/>
          <w:lang w:val="en-CA"/>
        </w:rPr>
        <w:t>Inclusive Equality: The Relational Dimensions of Systemic Discrimination in Canada</w:t>
      </w:r>
      <w:r w:rsidR="001B51FD" w:rsidRPr="00366942">
        <w:rPr>
          <w:lang w:val="en-CA"/>
        </w:rPr>
        <w:t xml:space="preserve"> (2010), at pp. 62</w:t>
      </w:r>
      <w:r w:rsidR="001B51FD" w:rsidRPr="00366942">
        <w:rPr>
          <w:rFonts w:ascii="Cambria Math" w:hAnsi="Cambria Math" w:cs="Cambria Math"/>
          <w:lang w:val="en-CA"/>
        </w:rPr>
        <w:t>‑</w:t>
      </w:r>
      <w:r w:rsidR="001B51FD" w:rsidRPr="00366942">
        <w:rPr>
          <w:lang w:val="en-CA"/>
        </w:rPr>
        <w:t xml:space="preserve">63). </w:t>
      </w:r>
      <w:r w:rsidR="001B51FD" w:rsidRPr="00366942">
        <w:rPr>
          <w:lang w:val="en-CA"/>
        </w:rPr>
        <w:lastRenderedPageBreak/>
        <w:t xml:space="preserve">In </w:t>
      </w:r>
      <w:r w:rsidR="001B51FD" w:rsidRPr="00366942">
        <w:rPr>
          <w:i/>
          <w:iCs/>
          <w:lang w:val="en-CA"/>
        </w:rPr>
        <w:t>Withler</w:t>
      </w:r>
      <w:r w:rsidR="001B51FD" w:rsidRPr="00366942">
        <w:rPr>
          <w:lang w:val="en-CA"/>
        </w:rPr>
        <w:t>, this Court explained that a negative impact or worsened situation was required</w:t>
      </w:r>
      <w:r w:rsidRPr="00366942">
        <w:rPr>
          <w:lang w:val="en-CA"/>
        </w:rPr>
        <w:t>: […]</w:t>
      </w:r>
    </w:p>
    <w:p w14:paraId="4396C32A" w14:textId="715ADA8C" w:rsidR="00961A50" w:rsidRPr="00366942" w:rsidRDefault="002A409A" w:rsidP="00961A50">
      <w:pPr>
        <w:pStyle w:val="Citationenretrait"/>
        <w:spacing w:before="0"/>
        <w:jc w:val="right"/>
        <w:rPr>
          <w:sz w:val="20"/>
          <w:lang w:val="en-CA"/>
        </w:rPr>
      </w:pPr>
      <w:r w:rsidRPr="00366942">
        <w:rPr>
          <w:sz w:val="20"/>
          <w:lang w:val="en-CA"/>
        </w:rPr>
        <w:t>(</w:t>
      </w:r>
      <w:r w:rsidR="008168F6" w:rsidRPr="00366942">
        <w:rPr>
          <w:sz w:val="20"/>
          <w:lang w:val="en-CA"/>
        </w:rPr>
        <w:t>Underlining</w:t>
      </w:r>
      <w:r w:rsidR="001B51FD" w:rsidRPr="00366942">
        <w:rPr>
          <w:sz w:val="20"/>
          <w:lang w:val="en-CA"/>
        </w:rPr>
        <w:t xml:space="preserve"> added, unless otherwise indicated</w:t>
      </w:r>
      <w:r w:rsidRPr="00366942">
        <w:rPr>
          <w:sz w:val="20"/>
          <w:lang w:val="en-CA"/>
        </w:rPr>
        <w:t>)</w:t>
      </w:r>
    </w:p>
    <w:p w14:paraId="09C9F342" w14:textId="469A9E0A" w:rsidR="00961A50" w:rsidRPr="00366942" w:rsidRDefault="00AF688E" w:rsidP="00961A50">
      <w:pPr>
        <w:pStyle w:val="Paragraphe"/>
        <w:rPr>
          <w:lang w:val="en-CA"/>
        </w:rPr>
      </w:pPr>
      <w:r w:rsidRPr="00366942">
        <w:rPr>
          <w:lang w:val="en-CA"/>
        </w:rPr>
        <w:t xml:space="preserve">A law that </w:t>
      </w:r>
      <w:r w:rsidR="00961A50" w:rsidRPr="00366942">
        <w:rPr>
          <w:lang w:val="en-CA"/>
        </w:rPr>
        <w:t>re</w:t>
      </w:r>
      <w:r w:rsidRPr="00366942">
        <w:rPr>
          <w:lang w:val="en-CA"/>
        </w:rPr>
        <w:t>i</w:t>
      </w:r>
      <w:r w:rsidR="00961A50" w:rsidRPr="00366942">
        <w:rPr>
          <w:lang w:val="en-CA"/>
        </w:rPr>
        <w:t>nforce</w:t>
      </w:r>
      <w:r w:rsidRPr="00366942">
        <w:rPr>
          <w:lang w:val="en-CA"/>
        </w:rPr>
        <w:t>s</w:t>
      </w:r>
      <w:r w:rsidR="00961A50" w:rsidRPr="00366942">
        <w:rPr>
          <w:lang w:val="en-CA"/>
        </w:rPr>
        <w:t xml:space="preserve"> </w:t>
      </w:r>
      <w:r w:rsidRPr="00366942">
        <w:rPr>
          <w:lang w:val="en-CA"/>
        </w:rPr>
        <w:t>or furthers</w:t>
      </w:r>
      <w:r w:rsidR="00961A50" w:rsidRPr="00366942">
        <w:rPr>
          <w:lang w:val="en-CA"/>
        </w:rPr>
        <w:t xml:space="preserve"> </w:t>
      </w:r>
      <w:r w:rsidRPr="00366942">
        <w:rPr>
          <w:lang w:val="en-CA"/>
        </w:rPr>
        <w:t>stereotyping or prejudice,</w:t>
      </w:r>
      <w:r w:rsidR="00961A50" w:rsidRPr="00366942">
        <w:rPr>
          <w:lang w:val="en-CA"/>
        </w:rPr>
        <w:t xml:space="preserve"> </w:t>
      </w:r>
      <w:r w:rsidRPr="00366942">
        <w:rPr>
          <w:lang w:val="en-CA"/>
        </w:rPr>
        <w:t>or that appears to be arbitrary</w:t>
      </w:r>
      <w:r w:rsidR="007165FA" w:rsidRPr="00366942">
        <w:rPr>
          <w:lang w:val="en-CA"/>
        </w:rPr>
        <w:t xml:space="preserve"> </w:t>
      </w:r>
      <w:r w:rsidRPr="00366942">
        <w:rPr>
          <w:lang w:val="en-CA"/>
        </w:rPr>
        <w:t>will</w:t>
      </w:r>
      <w:r w:rsidR="00961A50" w:rsidRPr="00366942">
        <w:rPr>
          <w:lang w:val="en-CA"/>
        </w:rPr>
        <w:t xml:space="preserve">, </w:t>
      </w:r>
      <w:r w:rsidR="007165FA" w:rsidRPr="00366942">
        <w:rPr>
          <w:lang w:val="en-CA"/>
        </w:rPr>
        <w:t>of course</w:t>
      </w:r>
      <w:r w:rsidR="00961A50" w:rsidRPr="00366942">
        <w:rPr>
          <w:lang w:val="en-CA"/>
        </w:rPr>
        <w:t xml:space="preserve">, </w:t>
      </w:r>
      <w:r w:rsidR="007165FA" w:rsidRPr="00366942">
        <w:rPr>
          <w:lang w:val="en-CA"/>
        </w:rPr>
        <w:t>be suspect in that context</w:t>
      </w:r>
      <w:r w:rsidRPr="00366942">
        <w:rPr>
          <w:lang w:val="en-CA"/>
        </w:rPr>
        <w:t>.</w:t>
      </w:r>
      <w:r w:rsidR="00961A50" w:rsidRPr="00366942">
        <w:rPr>
          <w:rStyle w:val="Appelnotedebasdep"/>
          <w:lang w:val="en-CA"/>
        </w:rPr>
        <w:footnoteReference w:id="35"/>
      </w:r>
    </w:p>
    <w:p w14:paraId="2385EC04" w14:textId="676222E3" w:rsidR="00961A50" w:rsidRPr="00366942" w:rsidRDefault="007165FA" w:rsidP="00961A50">
      <w:pPr>
        <w:pStyle w:val="Paragraphe"/>
        <w:rPr>
          <w:lang w:val="en-CA"/>
        </w:rPr>
      </w:pPr>
      <w:bookmarkStart w:id="28" w:name="_Ref172903644"/>
      <w:r w:rsidRPr="00366942">
        <w:rPr>
          <w:lang w:val="en-CA"/>
        </w:rPr>
        <w:t>Finally, relying on Wagner</w:t>
      </w:r>
      <w:r w:rsidR="001F3110" w:rsidRPr="00366942">
        <w:rPr>
          <w:lang w:val="en-CA"/>
        </w:rPr>
        <w:t xml:space="preserve">, C.J.’s </w:t>
      </w:r>
      <w:r w:rsidR="00192E38" w:rsidRPr="00366942">
        <w:rPr>
          <w:lang w:val="en-CA"/>
        </w:rPr>
        <w:t>consideration</w:t>
      </w:r>
      <w:r w:rsidRPr="00366942">
        <w:rPr>
          <w:lang w:val="en-CA"/>
        </w:rPr>
        <w:t xml:space="preserve"> of the issue in</w:t>
      </w:r>
      <w:r w:rsidR="00961A50" w:rsidRPr="00366942">
        <w:rPr>
          <w:lang w:val="en-CA"/>
        </w:rPr>
        <w:t xml:space="preserve"> </w:t>
      </w:r>
      <w:r w:rsidR="00961A50" w:rsidRPr="00366942">
        <w:rPr>
          <w:i/>
          <w:iCs/>
          <w:lang w:val="en-CA"/>
        </w:rPr>
        <w:t xml:space="preserve">R. </w:t>
      </w:r>
      <w:r w:rsidRPr="00366942">
        <w:rPr>
          <w:i/>
          <w:iCs/>
          <w:lang w:val="en-CA"/>
        </w:rPr>
        <w:t>v</w:t>
      </w:r>
      <w:r w:rsidR="00961A50" w:rsidRPr="00366942">
        <w:rPr>
          <w:i/>
          <w:iCs/>
          <w:lang w:val="en-CA"/>
        </w:rPr>
        <w:t>. C.P.</w:t>
      </w:r>
      <w:bookmarkStart w:id="29" w:name="_Ref176172939"/>
      <w:r w:rsidRPr="00366942">
        <w:rPr>
          <w:lang w:val="en-CA"/>
        </w:rPr>
        <w:t>,</w:t>
      </w:r>
      <w:r w:rsidR="00961A50" w:rsidRPr="00366942">
        <w:rPr>
          <w:rStyle w:val="Appelnotedebasdep"/>
          <w:lang w:val="en-CA"/>
        </w:rPr>
        <w:footnoteReference w:id="36"/>
      </w:r>
      <w:bookmarkEnd w:id="29"/>
      <w:r w:rsidRPr="00366942">
        <w:rPr>
          <w:lang w:val="en-CA"/>
        </w:rPr>
        <w:t xml:space="preserve"> </w:t>
      </w:r>
      <w:r w:rsidR="00961A50" w:rsidRPr="00366942">
        <w:rPr>
          <w:lang w:val="en-CA"/>
        </w:rPr>
        <w:t xml:space="preserve">Brown </w:t>
      </w:r>
      <w:r w:rsidRPr="00366942">
        <w:rPr>
          <w:lang w:val="en-CA"/>
        </w:rPr>
        <w:t>and</w:t>
      </w:r>
      <w:r w:rsidR="00961A50" w:rsidRPr="00366942">
        <w:rPr>
          <w:lang w:val="en-CA"/>
        </w:rPr>
        <w:t xml:space="preserve"> Rowe</w:t>
      </w:r>
      <w:r w:rsidRPr="00366942">
        <w:rPr>
          <w:lang w:val="en-CA"/>
        </w:rPr>
        <w:t xml:space="preserve">, JJ. </w:t>
      </w:r>
      <w:r w:rsidR="00AB775D" w:rsidRPr="00366942">
        <w:rPr>
          <w:lang w:val="en-CA"/>
        </w:rPr>
        <w:t>recall</w:t>
      </w:r>
      <w:r w:rsidRPr="00366942">
        <w:rPr>
          <w:lang w:val="en-CA"/>
        </w:rPr>
        <w:t>ed that</w:t>
      </w:r>
      <w:r w:rsidR="00961A50" w:rsidRPr="00366942">
        <w:rPr>
          <w:lang w:val="en-CA"/>
        </w:rPr>
        <w:t xml:space="preserve"> </w:t>
      </w:r>
      <w:r w:rsidR="001B51FD" w:rsidRPr="00366942">
        <w:rPr>
          <w:lang w:val="en-CA"/>
        </w:rPr>
        <w:t>“[t]o determine whether a distinction is discriminatory under the second step, courts should also consider the broader legislative context.”</w:t>
      </w:r>
      <w:r w:rsidR="00961A50" w:rsidRPr="00366942">
        <w:rPr>
          <w:rStyle w:val="Appelnotedebasdep"/>
          <w:lang w:val="en-CA"/>
        </w:rPr>
        <w:footnoteReference w:id="37"/>
      </w:r>
      <w:r w:rsidR="00961A50" w:rsidRPr="00366942">
        <w:rPr>
          <w:lang w:val="en-CA"/>
        </w:rPr>
        <w:t xml:space="preserve"> </w:t>
      </w:r>
      <w:r w:rsidR="00D52075" w:rsidRPr="00366942">
        <w:rPr>
          <w:lang w:val="en-CA"/>
        </w:rPr>
        <w:t>Ci</w:t>
      </w:r>
      <w:r w:rsidRPr="00366942">
        <w:rPr>
          <w:lang w:val="en-CA"/>
        </w:rPr>
        <w:t>ting</w:t>
      </w:r>
      <w:r w:rsidR="00961A50" w:rsidRPr="00366942">
        <w:rPr>
          <w:lang w:val="en-CA"/>
        </w:rPr>
        <w:t xml:space="preserve"> </w:t>
      </w:r>
      <w:r w:rsidR="00961A50" w:rsidRPr="00366942">
        <w:rPr>
          <w:i/>
          <w:iCs/>
          <w:lang w:val="en-CA"/>
        </w:rPr>
        <w:t>Withler</w:t>
      </w:r>
      <w:r w:rsidRPr="00366942">
        <w:rPr>
          <w:lang w:val="en-CA"/>
        </w:rPr>
        <w:t>,</w:t>
      </w:r>
      <w:r w:rsidR="00961A50" w:rsidRPr="00366942">
        <w:rPr>
          <w:rStyle w:val="Appelnotedebasdep"/>
          <w:lang w:val="en-CA"/>
        </w:rPr>
        <w:footnoteReference w:id="38"/>
      </w:r>
      <w:r w:rsidRPr="00366942">
        <w:rPr>
          <w:lang w:val="en-CA"/>
        </w:rPr>
        <w:t xml:space="preserve"> they wrote</w:t>
      </w:r>
      <w:r w:rsidR="00961A50" w:rsidRPr="00366942">
        <w:rPr>
          <w:lang w:val="en-CA"/>
        </w:rPr>
        <w:t xml:space="preserve">: </w:t>
      </w:r>
      <w:r w:rsidR="001B51FD" w:rsidRPr="00366942">
        <w:rPr>
          <w:lang w:val="en-CA"/>
        </w:rPr>
        <w:t>“</w:t>
      </w:r>
      <w:r w:rsidR="001D3DD0" w:rsidRPr="00366942">
        <w:rPr>
          <w:lang w:val="en-CA"/>
        </w:rPr>
        <w:t xml:space="preserve">Where the impugned provision is part of a larger legislative scheme (as is often so), </w:t>
      </w:r>
      <w:r w:rsidR="001B51FD" w:rsidRPr="00366942">
        <w:rPr>
          <w:lang w:val="en-CA"/>
        </w:rPr>
        <w:t>the Court explained, that broader scheme must be accounted for (para.</w:t>
      </w:r>
      <w:r w:rsidR="00C9257F">
        <w:rPr>
          <w:lang w:val="en-CA"/>
        </w:rPr>
        <w:t> </w:t>
      </w:r>
      <w:r w:rsidR="001B51FD" w:rsidRPr="00366942">
        <w:rPr>
          <w:lang w:val="en-CA"/>
        </w:rPr>
        <w:t xml:space="preserve">3), and the “ameliorative effect of the law on others </w:t>
      </w:r>
      <w:r w:rsidR="001B51FD" w:rsidRPr="00366942">
        <w:rPr>
          <w:u w:val="single"/>
          <w:lang w:val="en-CA"/>
        </w:rPr>
        <w:t>and the multiplicity of interests it attempts to balance</w:t>
      </w:r>
      <w:r w:rsidR="001B51FD" w:rsidRPr="00366942">
        <w:rPr>
          <w:lang w:val="en-CA"/>
        </w:rPr>
        <w:t xml:space="preserve"> will also colour the discrimination analysis” (para. 38 (emphasis added)).”</w:t>
      </w:r>
      <w:r w:rsidR="00961A50" w:rsidRPr="00366942">
        <w:rPr>
          <w:rStyle w:val="Appelnotedebasdep"/>
          <w:lang w:val="en-CA"/>
        </w:rPr>
        <w:footnoteReference w:id="39"/>
      </w:r>
      <w:r w:rsidR="00961A50" w:rsidRPr="00366942">
        <w:rPr>
          <w:lang w:val="en-CA"/>
        </w:rPr>
        <w:t xml:space="preserve"> </w:t>
      </w:r>
      <w:r w:rsidR="00AB775D" w:rsidRPr="00366942">
        <w:rPr>
          <w:lang w:val="en-CA"/>
        </w:rPr>
        <w:t>To this end</w:t>
      </w:r>
      <w:r w:rsidR="00961A50" w:rsidRPr="00366942">
        <w:rPr>
          <w:lang w:val="en-CA"/>
        </w:rPr>
        <w:t xml:space="preserve">, </w:t>
      </w:r>
      <w:r w:rsidR="002B06E0" w:rsidRPr="00366942">
        <w:rPr>
          <w:lang w:val="en-CA"/>
        </w:rPr>
        <w:t>“the objects of the scheme, whether a policy is designed to benefit a number of different groups, the allocation of resources, particular policy goals sought to be achieved, and whether the lines are drawn mindful as to those factors”</w:t>
      </w:r>
      <w:r w:rsidR="00961A50" w:rsidRPr="00366942">
        <w:rPr>
          <w:rStyle w:val="Appelnotedebasdep"/>
          <w:lang w:val="en-CA"/>
        </w:rPr>
        <w:footnoteReference w:id="40"/>
      </w:r>
      <w:r w:rsidR="00961A50" w:rsidRPr="00366942">
        <w:rPr>
          <w:lang w:val="en-CA"/>
        </w:rPr>
        <w:t xml:space="preserve"> </w:t>
      </w:r>
      <w:r w:rsidRPr="00366942">
        <w:rPr>
          <w:lang w:val="en-CA"/>
        </w:rPr>
        <w:t xml:space="preserve">will </w:t>
      </w:r>
      <w:r w:rsidR="00AB775D" w:rsidRPr="00366942">
        <w:rPr>
          <w:lang w:val="en-CA"/>
        </w:rPr>
        <w:t xml:space="preserve">all </w:t>
      </w:r>
      <w:r w:rsidRPr="00366942">
        <w:rPr>
          <w:lang w:val="en-CA"/>
        </w:rPr>
        <w:t xml:space="preserve">be </w:t>
      </w:r>
      <w:r w:rsidR="00AB775D" w:rsidRPr="00366942">
        <w:rPr>
          <w:lang w:val="en-CA"/>
        </w:rPr>
        <w:t>factors</w:t>
      </w:r>
      <w:r w:rsidRPr="00366942">
        <w:rPr>
          <w:lang w:val="en-CA"/>
        </w:rPr>
        <w:t xml:space="preserve"> to consider</w:t>
      </w:r>
      <w:r w:rsidR="00961A50" w:rsidRPr="00366942">
        <w:rPr>
          <w:lang w:val="en-CA"/>
        </w:rPr>
        <w:t>.</w:t>
      </w:r>
      <w:bookmarkEnd w:id="28"/>
    </w:p>
    <w:p w14:paraId="63BC2267" w14:textId="2975E4B4" w:rsidR="00961A50" w:rsidRPr="00366942" w:rsidRDefault="00593074" w:rsidP="00961A50">
      <w:pPr>
        <w:pStyle w:val="Paragraphe"/>
        <w:rPr>
          <w:lang w:val="en-CA"/>
        </w:rPr>
      </w:pPr>
      <w:bookmarkStart w:id="30" w:name="_Ref172903901"/>
      <w:r w:rsidRPr="00366942">
        <w:rPr>
          <w:lang w:val="en-CA"/>
        </w:rPr>
        <w:t>Finally, B</w:t>
      </w:r>
      <w:r w:rsidR="00961A50" w:rsidRPr="00366942">
        <w:rPr>
          <w:lang w:val="en-CA"/>
        </w:rPr>
        <w:t xml:space="preserve">rown </w:t>
      </w:r>
      <w:r w:rsidRPr="00366942">
        <w:rPr>
          <w:lang w:val="en-CA"/>
        </w:rPr>
        <w:t>and</w:t>
      </w:r>
      <w:r w:rsidR="00961A50" w:rsidRPr="00366942">
        <w:rPr>
          <w:lang w:val="en-CA"/>
        </w:rPr>
        <w:t xml:space="preserve"> Rowe</w:t>
      </w:r>
      <w:r w:rsidRPr="00366942">
        <w:rPr>
          <w:lang w:val="en-CA"/>
        </w:rPr>
        <w:t>, JJ.</w:t>
      </w:r>
      <w:r w:rsidR="00961A50" w:rsidRPr="00366942">
        <w:rPr>
          <w:lang w:val="en-CA"/>
        </w:rPr>
        <w:t xml:space="preserve"> </w:t>
      </w:r>
      <w:r w:rsidRPr="00366942">
        <w:rPr>
          <w:lang w:val="en-CA"/>
        </w:rPr>
        <w:t>indicated that</w:t>
      </w:r>
      <w:r w:rsidR="00961A50" w:rsidRPr="00366942">
        <w:rPr>
          <w:lang w:val="en-CA"/>
        </w:rPr>
        <w:t>:</w:t>
      </w:r>
      <w:bookmarkEnd w:id="30"/>
    </w:p>
    <w:p w14:paraId="4380B829" w14:textId="403F5CBF" w:rsidR="00961A50" w:rsidRPr="00366942" w:rsidRDefault="00961A50" w:rsidP="00961A50">
      <w:pPr>
        <w:pStyle w:val="Citationenretrait"/>
        <w:rPr>
          <w:lang w:val="en-CA"/>
        </w:rPr>
      </w:pPr>
      <w:r w:rsidRPr="00366942">
        <w:rPr>
          <w:lang w:val="en-CA"/>
        </w:rPr>
        <w:t>[63]</w:t>
      </w:r>
      <w:r w:rsidRPr="00366942">
        <w:rPr>
          <w:lang w:val="en-CA"/>
        </w:rPr>
        <w:tab/>
      </w:r>
      <w:r w:rsidR="002B06E0" w:rsidRPr="00366942">
        <w:rPr>
          <w:lang w:val="en-CA"/>
        </w:rPr>
        <w:t>First, s. 15(1) does not impose a general, positive obligation on the state to remedy social inequalities or enact remedial legislation (</w:t>
      </w:r>
      <w:r w:rsidR="002B06E0" w:rsidRPr="00366942">
        <w:rPr>
          <w:i/>
          <w:iCs/>
          <w:lang w:val="en-CA"/>
        </w:rPr>
        <w:t>Thibaudeau v. Canada</w:t>
      </w:r>
      <w:r w:rsidR="002B06E0" w:rsidRPr="00366942">
        <w:rPr>
          <w:lang w:val="en-CA"/>
        </w:rPr>
        <w:t xml:space="preserve">, [1995] 2 S.C.R. 627, at para. 37; </w:t>
      </w:r>
      <w:r w:rsidR="002B06E0" w:rsidRPr="00366942">
        <w:rPr>
          <w:i/>
          <w:iCs/>
          <w:lang w:val="en-CA"/>
        </w:rPr>
        <w:t>Eldridge</w:t>
      </w:r>
      <w:r w:rsidR="002B06E0" w:rsidRPr="00366942">
        <w:rPr>
          <w:lang w:val="en-CA"/>
        </w:rPr>
        <w:t xml:space="preserve">, at para. 73; </w:t>
      </w:r>
      <w:r w:rsidR="002B06E0" w:rsidRPr="00366942">
        <w:rPr>
          <w:i/>
          <w:iCs/>
          <w:lang w:val="en-CA"/>
        </w:rPr>
        <w:t>Auton (Guardian ad litem of) v. British Columbia (Attorney General)</w:t>
      </w:r>
      <w:r w:rsidR="002B06E0" w:rsidRPr="00366942">
        <w:rPr>
          <w:lang w:val="en-CA"/>
        </w:rPr>
        <w:t xml:space="preserve">, 2004 SCC 78, [2004] 3 S.C.R. 657, at para. 41; </w:t>
      </w:r>
      <w:r w:rsidR="002B06E0" w:rsidRPr="00366942">
        <w:rPr>
          <w:i/>
          <w:iCs/>
          <w:lang w:val="en-CA"/>
        </w:rPr>
        <w:t>Alliance</w:t>
      </w:r>
      <w:r w:rsidR="002B06E0" w:rsidRPr="00366942">
        <w:rPr>
          <w:lang w:val="en-CA"/>
        </w:rPr>
        <w:t xml:space="preserve">, at para. 42). Were it otherwise, courts would be impermissibly pulled into the complex legislative domain of policy and resource allocation, contrary to the separation of powers. In </w:t>
      </w:r>
      <w:r w:rsidR="002B06E0" w:rsidRPr="00366942">
        <w:rPr>
          <w:i/>
          <w:iCs/>
          <w:lang w:val="en-CA"/>
        </w:rPr>
        <w:t>Alliance</w:t>
      </w:r>
      <w:r w:rsidR="002B06E0" w:rsidRPr="00366942">
        <w:rPr>
          <w:lang w:val="en-CA"/>
        </w:rPr>
        <w:t>, this Court struck down amendments to Quebec’s pay equity legislation that “interfere[d] with access to anti</w:t>
      </w:r>
      <w:r w:rsidR="002B06E0" w:rsidRPr="00366942">
        <w:rPr>
          <w:rFonts w:ascii="Cambria Math" w:hAnsi="Cambria Math" w:cs="Cambria Math"/>
          <w:lang w:val="en-CA"/>
        </w:rPr>
        <w:t>‑</w:t>
      </w:r>
      <w:r w:rsidR="002B06E0" w:rsidRPr="00366942">
        <w:rPr>
          <w:lang w:val="en-CA"/>
        </w:rPr>
        <w:t>discrimination law</w:t>
      </w:r>
      <w:r w:rsidR="002B06E0" w:rsidRPr="00366942">
        <w:rPr>
          <w:rFonts w:cs="Arial"/>
          <w:lang w:val="en-CA"/>
        </w:rPr>
        <w:t>”</w:t>
      </w:r>
      <w:r w:rsidR="002B06E0" w:rsidRPr="00366942">
        <w:rPr>
          <w:lang w:val="en-CA"/>
        </w:rPr>
        <w:t xml:space="preserve"> by undermining existing legislative pay equity protections (para. 39). But in so doing, Abella J. expressly declined to impose a “freestanding positive obligation on the state to enact benefit schemes to redress social inequalities” (para. 42). The Court further affirmed that s. 15(1) does not bind the legislature to its current policies:</w:t>
      </w:r>
      <w:r w:rsidRPr="00366942">
        <w:rPr>
          <w:lang w:val="en-CA"/>
        </w:rPr>
        <w:t xml:space="preserve"> […]</w:t>
      </w:r>
      <w:r w:rsidRPr="00366942">
        <w:rPr>
          <w:rStyle w:val="Appelnotedebasdep"/>
          <w:lang w:val="en-CA"/>
        </w:rPr>
        <w:footnoteReference w:id="41"/>
      </w:r>
    </w:p>
    <w:p w14:paraId="3C25E891" w14:textId="620078D5" w:rsidR="00961A50" w:rsidRPr="00366942" w:rsidRDefault="00593074" w:rsidP="00961A50">
      <w:pPr>
        <w:pStyle w:val="Paragraphe"/>
        <w:rPr>
          <w:lang w:val="en-CA"/>
        </w:rPr>
      </w:pPr>
      <w:r w:rsidRPr="00366942">
        <w:rPr>
          <w:lang w:val="en-CA"/>
        </w:rPr>
        <w:t xml:space="preserve">Similarly, and </w:t>
      </w:r>
      <w:r w:rsidR="001A4A5D" w:rsidRPr="00366942">
        <w:rPr>
          <w:lang w:val="en-CA"/>
        </w:rPr>
        <w:t>still</w:t>
      </w:r>
      <w:r w:rsidRPr="00366942">
        <w:rPr>
          <w:lang w:val="en-CA"/>
        </w:rPr>
        <w:t xml:space="preserve"> a</w:t>
      </w:r>
      <w:r w:rsidR="001A4A5D" w:rsidRPr="00366942">
        <w:rPr>
          <w:lang w:val="en-CA"/>
        </w:rPr>
        <w:t>t</w:t>
      </w:r>
      <w:r w:rsidRPr="00366942">
        <w:rPr>
          <w:lang w:val="en-CA"/>
        </w:rPr>
        <w:t xml:space="preserve"> the second step of their analysis, courts must be respectful of the</w:t>
      </w:r>
      <w:r w:rsidR="001A4A5D" w:rsidRPr="00366942">
        <w:rPr>
          <w:lang w:val="en-CA"/>
        </w:rPr>
        <w:t xml:space="preserve"> </w:t>
      </w:r>
      <w:r w:rsidR="00D34FD0" w:rsidRPr="00366942">
        <w:rPr>
          <w:lang w:val="en-CA"/>
        </w:rPr>
        <w:t>lawmaking</w:t>
      </w:r>
      <w:r w:rsidR="001A4A5D" w:rsidRPr="00366942">
        <w:rPr>
          <w:lang w:val="en-CA"/>
        </w:rPr>
        <w:t xml:space="preserve"> dynamic</w:t>
      </w:r>
      <w:r w:rsidR="00961A50" w:rsidRPr="00366942">
        <w:rPr>
          <w:lang w:val="en-CA"/>
        </w:rPr>
        <w:t xml:space="preserve">: </w:t>
      </w:r>
      <w:r w:rsidR="002B06E0" w:rsidRPr="00366942">
        <w:rPr>
          <w:lang w:val="en-CA"/>
        </w:rPr>
        <w:t xml:space="preserve">“when the state does legislate to address inequality, it can do </w:t>
      </w:r>
      <w:r w:rsidR="002B06E0" w:rsidRPr="00366942">
        <w:rPr>
          <w:lang w:val="en-CA"/>
        </w:rPr>
        <w:lastRenderedPageBreak/>
        <w:t>so </w:t>
      </w:r>
      <w:r w:rsidR="002B06E0" w:rsidRPr="00366942">
        <w:rPr>
          <w:i/>
          <w:iCs/>
          <w:lang w:val="en-CA"/>
        </w:rPr>
        <w:t>incrementally</w:t>
      </w:r>
      <w:r w:rsidR="002B06E0" w:rsidRPr="00366942">
        <w:rPr>
          <w:lang w:val="en-CA"/>
        </w:rPr>
        <w:t>”</w:t>
      </w:r>
      <w:r w:rsidR="00961A50" w:rsidRPr="00366942">
        <w:rPr>
          <w:rStyle w:val="Appelnotedebasdep"/>
          <w:lang w:val="en-CA"/>
        </w:rPr>
        <w:footnoteReference w:id="42"/>
      </w:r>
      <w:r w:rsidR="00961A50" w:rsidRPr="00366942">
        <w:rPr>
          <w:lang w:val="en-CA"/>
        </w:rPr>
        <w:t xml:space="preserve">, </w:t>
      </w:r>
      <w:r w:rsidR="001A4A5D" w:rsidRPr="00366942">
        <w:rPr>
          <w:lang w:val="en-CA"/>
        </w:rPr>
        <w:t>the courts owing a degree of deference to the legislator who must indeed be given</w:t>
      </w:r>
      <w:r w:rsidR="00961A50" w:rsidRPr="00366942">
        <w:rPr>
          <w:lang w:val="en-CA"/>
        </w:rPr>
        <w:t xml:space="preserve"> </w:t>
      </w:r>
      <w:r w:rsidR="00E77F6B" w:rsidRPr="00366942">
        <w:rPr>
          <w:lang w:val="en-CA"/>
        </w:rPr>
        <w:t>“reasonable leeway to deal with problems one step at a time, to balance possible inequalities under the law against other inequalities resulting from the adoption of a course of action, and to take account of the difficulties, whether social, economic or budgetary, that would arise if it attempted to deal with social and economic problems in their entirety</w:t>
      </w:r>
      <w:r w:rsidR="00961A50" w:rsidRPr="00366942">
        <w:rPr>
          <w:lang w:val="en-CA"/>
        </w:rPr>
        <w:t xml:space="preserve"> […]</w:t>
      </w:r>
      <w:r w:rsidR="001A4A5D" w:rsidRPr="00366942">
        <w:rPr>
          <w:lang w:val="en-CA"/>
        </w:rPr>
        <w:t>.</w:t>
      </w:r>
      <w:r w:rsidR="00E77F6B" w:rsidRPr="00366942">
        <w:rPr>
          <w:lang w:val="en-CA"/>
        </w:rPr>
        <w:t>”</w:t>
      </w:r>
      <w:r w:rsidR="00961A50" w:rsidRPr="00366942">
        <w:rPr>
          <w:rStyle w:val="Appelnotedebasdep"/>
          <w:rFonts w:cs="Arial"/>
          <w:lang w:val="en-CA"/>
        </w:rPr>
        <w:footnoteReference w:id="43"/>
      </w:r>
    </w:p>
    <w:p w14:paraId="1557DD31" w14:textId="03B545CF" w:rsidR="00961A50" w:rsidRPr="00366942" w:rsidRDefault="00795431" w:rsidP="00961A50">
      <w:pPr>
        <w:pStyle w:val="Paragraphe"/>
        <w:rPr>
          <w:lang w:val="en-CA"/>
        </w:rPr>
      </w:pPr>
      <w:r w:rsidRPr="00366942">
        <w:rPr>
          <w:lang w:val="en-CA"/>
        </w:rPr>
        <w:t>Finally, two observations</w:t>
      </w:r>
      <w:r w:rsidR="00961A50" w:rsidRPr="00366942">
        <w:rPr>
          <w:lang w:val="en-CA"/>
        </w:rPr>
        <w:t>.</w:t>
      </w:r>
    </w:p>
    <w:p w14:paraId="66CD6476" w14:textId="00F2B104" w:rsidR="00961A50" w:rsidRPr="00366942" w:rsidRDefault="00795431" w:rsidP="00961A50">
      <w:pPr>
        <w:pStyle w:val="Paragraphe"/>
        <w:rPr>
          <w:lang w:val="en-CA"/>
        </w:rPr>
      </w:pPr>
      <w:r w:rsidRPr="00366942">
        <w:rPr>
          <w:lang w:val="en-CA"/>
        </w:rPr>
        <w:t xml:space="preserve">First, it </w:t>
      </w:r>
      <w:r w:rsidR="002304F6" w:rsidRPr="00366942">
        <w:rPr>
          <w:lang w:val="en-CA"/>
        </w:rPr>
        <w:t>must</w:t>
      </w:r>
      <w:r w:rsidRPr="00366942">
        <w:rPr>
          <w:lang w:val="en-CA"/>
        </w:rPr>
        <w:t xml:space="preserve"> be </w:t>
      </w:r>
      <w:r w:rsidR="002304F6" w:rsidRPr="00366942">
        <w:rPr>
          <w:lang w:val="en-CA"/>
        </w:rPr>
        <w:t>emphasized</w:t>
      </w:r>
      <w:r w:rsidRPr="00366942">
        <w:rPr>
          <w:lang w:val="en-CA"/>
        </w:rPr>
        <w:t xml:space="preserve"> that the two steps of the test articulated by the Supreme Court are not watertight, and that there</w:t>
      </w:r>
      <w:r w:rsidR="002304F6" w:rsidRPr="00366942">
        <w:rPr>
          <w:lang w:val="en-CA"/>
        </w:rPr>
        <w:t xml:space="preserve"> </w:t>
      </w:r>
      <w:r w:rsidRPr="00366942">
        <w:rPr>
          <w:lang w:val="en-CA"/>
        </w:rPr>
        <w:t>exist overlaps between them, particularly in the case of indirect discrimination, as</w:t>
      </w:r>
      <w:r w:rsidR="002304F6" w:rsidRPr="00366942">
        <w:rPr>
          <w:lang w:val="en-CA"/>
        </w:rPr>
        <w:t xml:space="preserve"> </w:t>
      </w:r>
      <w:r w:rsidR="00FF6D62" w:rsidRPr="00366942">
        <w:rPr>
          <w:lang w:val="en-CA"/>
        </w:rPr>
        <w:t>observed</w:t>
      </w:r>
      <w:r w:rsidR="002304F6" w:rsidRPr="00366942">
        <w:rPr>
          <w:lang w:val="en-CA"/>
        </w:rPr>
        <w:t xml:space="preserve"> in</w:t>
      </w:r>
      <w:r w:rsidRPr="00366942">
        <w:rPr>
          <w:lang w:val="en-CA"/>
        </w:rPr>
        <w:t xml:space="preserve"> the following passage </w:t>
      </w:r>
      <w:r w:rsidR="002304F6" w:rsidRPr="00366942">
        <w:rPr>
          <w:lang w:val="en-CA"/>
        </w:rPr>
        <w:t>of</w:t>
      </w:r>
      <w:r w:rsidRPr="00366942">
        <w:rPr>
          <w:lang w:val="en-CA"/>
        </w:rPr>
        <w:t xml:space="preserve"> </w:t>
      </w:r>
      <w:r w:rsidR="00961A50" w:rsidRPr="00366942">
        <w:rPr>
          <w:i/>
          <w:iCs/>
          <w:lang w:val="en-CA"/>
        </w:rPr>
        <w:t>Sharma</w:t>
      </w:r>
      <w:r w:rsidR="00961A50" w:rsidRPr="00366942">
        <w:rPr>
          <w:lang w:val="en-CA"/>
        </w:rPr>
        <w:t>:</w:t>
      </w:r>
    </w:p>
    <w:p w14:paraId="7093DD87" w14:textId="29CD62A4" w:rsidR="00961A50" w:rsidRPr="00366942" w:rsidRDefault="00961A50" w:rsidP="00961A50">
      <w:pPr>
        <w:pStyle w:val="Citationenretrait"/>
        <w:rPr>
          <w:lang w:val="en-CA"/>
        </w:rPr>
      </w:pPr>
      <w:r w:rsidRPr="00366942">
        <w:rPr>
          <w:lang w:val="en-CA"/>
        </w:rPr>
        <w:t>[30]</w:t>
      </w:r>
      <w:r w:rsidRPr="00366942">
        <w:rPr>
          <w:lang w:val="en-CA"/>
        </w:rPr>
        <w:tab/>
      </w:r>
      <w:r w:rsidR="00AC7192" w:rsidRPr="00366942">
        <w:rPr>
          <w:lang w:val="en-CA"/>
        </w:rPr>
        <w:t>Uncertainty in the evidentiary burden in adverse impact cases has arisen when courts collapse the two steps of analysis into one, as the majority at the Court of Appeal did here (see para. 83). The two steps are not watertight compartments or “impermeable silos” (</w:t>
      </w:r>
      <w:r w:rsidR="00AC7192" w:rsidRPr="00366942">
        <w:rPr>
          <w:i/>
          <w:iCs/>
          <w:lang w:val="en-CA"/>
        </w:rPr>
        <w:t>Fraser</w:t>
      </w:r>
      <w:r w:rsidR="00AC7192" w:rsidRPr="00366942">
        <w:rPr>
          <w:lang w:val="en-CA"/>
        </w:rPr>
        <w:t>, at para. 82), since each step considers the impact of the impugned law on the protected group. While there may be overlap in the evidence that is relevant at each step, the two steps ask fundamentally different questions. As such, the analysis at each step must remain distinct from the other</w:t>
      </w:r>
      <w:r w:rsidRPr="00366942">
        <w:rPr>
          <w:lang w:val="en-CA"/>
        </w:rPr>
        <w:t>.</w:t>
      </w:r>
    </w:p>
    <w:p w14:paraId="73A67C00" w14:textId="427C669A" w:rsidR="00961A50" w:rsidRPr="00366942" w:rsidRDefault="002304F6" w:rsidP="00961A50">
      <w:pPr>
        <w:pStyle w:val="Paragraphe"/>
        <w:rPr>
          <w:lang w:val="en-CA"/>
        </w:rPr>
      </w:pPr>
      <w:r w:rsidRPr="00366942">
        <w:rPr>
          <w:lang w:val="en-CA"/>
        </w:rPr>
        <w:t xml:space="preserve">In the case of indirect discrimination, the first step of the test consists in </w:t>
      </w:r>
      <w:r w:rsidR="009561A5" w:rsidRPr="00366942">
        <w:rPr>
          <w:lang w:val="en-CA"/>
        </w:rPr>
        <w:t>ascertaining</w:t>
      </w:r>
      <w:r w:rsidRPr="00366942">
        <w:rPr>
          <w:lang w:val="en-CA"/>
        </w:rPr>
        <w:t xml:space="preserve"> </w:t>
      </w:r>
      <w:r w:rsidR="005A49D4" w:rsidRPr="00366942">
        <w:rPr>
          <w:lang w:val="en-CA"/>
        </w:rPr>
        <w:t>whether there exists</w:t>
      </w:r>
      <w:r w:rsidRPr="00366942">
        <w:rPr>
          <w:lang w:val="en-CA"/>
        </w:rPr>
        <w:t xml:space="preserve"> a disproportionate adverse </w:t>
      </w:r>
      <w:r w:rsidR="00FF6D62" w:rsidRPr="00366942">
        <w:rPr>
          <w:lang w:val="en-CA"/>
        </w:rPr>
        <w:t>impact</w:t>
      </w:r>
      <w:r w:rsidRPr="00366942">
        <w:rPr>
          <w:lang w:val="en-CA"/>
        </w:rPr>
        <w:t xml:space="preserve"> on</w:t>
      </w:r>
      <w:r w:rsidR="005A49D4" w:rsidRPr="00366942">
        <w:rPr>
          <w:lang w:val="en-CA"/>
        </w:rPr>
        <w:t xml:space="preserve"> the</w:t>
      </w:r>
      <w:r w:rsidRPr="00366942">
        <w:rPr>
          <w:lang w:val="en-CA"/>
        </w:rPr>
        <w:t xml:space="preserve"> members of a protected group</w:t>
      </w:r>
      <w:r w:rsidR="00782D21" w:rsidRPr="00366942">
        <w:rPr>
          <w:lang w:val="en-CA"/>
        </w:rPr>
        <w:t xml:space="preserve"> (disproportion </w:t>
      </w:r>
      <w:r w:rsidR="009824F1" w:rsidRPr="00366942">
        <w:rPr>
          <w:lang w:val="en-CA"/>
        </w:rPr>
        <w:t>to be</w:t>
      </w:r>
      <w:r w:rsidR="00782D21" w:rsidRPr="00366942">
        <w:rPr>
          <w:lang w:val="en-CA"/>
        </w:rPr>
        <w:t xml:space="preserve"> assessed on a comparative basis)</w:t>
      </w:r>
      <w:r w:rsidR="00961A50" w:rsidRPr="00366942">
        <w:rPr>
          <w:lang w:val="en-CA"/>
        </w:rPr>
        <w:t xml:space="preserve">. </w:t>
      </w:r>
      <w:r w:rsidRPr="00366942">
        <w:rPr>
          <w:lang w:val="en-CA"/>
        </w:rPr>
        <w:t xml:space="preserve">When such is the case, that adverse </w:t>
      </w:r>
      <w:r w:rsidR="00FF6D62" w:rsidRPr="00366942">
        <w:rPr>
          <w:lang w:val="en-CA"/>
        </w:rPr>
        <w:t>impact</w:t>
      </w:r>
      <w:r w:rsidRPr="00366942">
        <w:rPr>
          <w:lang w:val="en-CA"/>
        </w:rPr>
        <w:t xml:space="preserve"> almost inevitably intersects</w:t>
      </w:r>
      <w:r w:rsidR="00577ABA" w:rsidRPr="00366942">
        <w:rPr>
          <w:lang w:val="en-CA"/>
        </w:rPr>
        <w:t xml:space="preserve">, at the second step, with the issue of whether it creates, reinforces or exacerbates an economic, social, political or other historical or systemic disadvantage </w:t>
      </w:r>
      <w:r w:rsidR="00961A50" w:rsidRPr="00366942">
        <w:rPr>
          <w:lang w:val="en-CA"/>
        </w:rPr>
        <w:t>– </w:t>
      </w:r>
      <w:r w:rsidR="00577ABA" w:rsidRPr="00366942">
        <w:rPr>
          <w:lang w:val="en-CA"/>
        </w:rPr>
        <w:t>and therefore a</w:t>
      </w:r>
      <w:r w:rsidR="00961A50" w:rsidRPr="00366942">
        <w:rPr>
          <w:lang w:val="en-CA"/>
        </w:rPr>
        <w:t xml:space="preserve"> pr</w:t>
      </w:r>
      <w:r w:rsidR="00577ABA" w:rsidRPr="00366942">
        <w:rPr>
          <w:lang w:val="en-CA"/>
        </w:rPr>
        <w:t>e</w:t>
      </w:r>
      <w:r w:rsidR="00961A50" w:rsidRPr="00366942">
        <w:rPr>
          <w:lang w:val="en-CA"/>
        </w:rPr>
        <w:t xml:space="preserve">judice. </w:t>
      </w:r>
      <w:r w:rsidR="00577ABA" w:rsidRPr="00366942">
        <w:rPr>
          <w:lang w:val="en-CA"/>
        </w:rPr>
        <w:t xml:space="preserve">That same </w:t>
      </w:r>
      <w:r w:rsidR="00FF6D62" w:rsidRPr="00366942">
        <w:rPr>
          <w:lang w:val="en-CA"/>
        </w:rPr>
        <w:t>impact</w:t>
      </w:r>
      <w:r w:rsidR="00577ABA" w:rsidRPr="00366942">
        <w:rPr>
          <w:lang w:val="en-CA"/>
        </w:rPr>
        <w:t xml:space="preserve"> must therefore be</w:t>
      </w:r>
      <w:r w:rsidR="00EF384F" w:rsidRPr="00366942">
        <w:rPr>
          <w:lang w:val="en-CA"/>
        </w:rPr>
        <w:t xml:space="preserve"> addressed </w:t>
      </w:r>
      <w:r w:rsidR="005A49D4" w:rsidRPr="00366942">
        <w:rPr>
          <w:lang w:val="en-CA"/>
        </w:rPr>
        <w:t>under</w:t>
      </w:r>
      <w:r w:rsidR="00EF384F" w:rsidRPr="00366942">
        <w:rPr>
          <w:lang w:val="en-CA"/>
        </w:rPr>
        <w:t xml:space="preserve"> two </w:t>
      </w:r>
      <w:r w:rsidR="005A49D4" w:rsidRPr="00366942">
        <w:rPr>
          <w:lang w:val="en-CA"/>
        </w:rPr>
        <w:t>heading</w:t>
      </w:r>
      <w:r w:rsidR="00EF384F" w:rsidRPr="00366942">
        <w:rPr>
          <w:lang w:val="en-CA"/>
        </w:rPr>
        <w:t>s</w:t>
      </w:r>
      <w:r w:rsidR="00961A50" w:rsidRPr="00366942">
        <w:rPr>
          <w:lang w:val="en-CA"/>
        </w:rPr>
        <w:t xml:space="preserve">: </w:t>
      </w:r>
      <w:r w:rsidR="00EF384F" w:rsidRPr="00366942">
        <w:rPr>
          <w:lang w:val="en-CA"/>
        </w:rPr>
        <w:t>that of determin</w:t>
      </w:r>
      <w:r w:rsidR="009561A5" w:rsidRPr="00366942">
        <w:rPr>
          <w:lang w:val="en-CA"/>
        </w:rPr>
        <w:t>ing</w:t>
      </w:r>
      <w:r w:rsidR="00EF384F" w:rsidRPr="00366942">
        <w:rPr>
          <w:lang w:val="en-CA"/>
        </w:rPr>
        <w:t xml:space="preserve"> indirect discrimination against a protected group</w:t>
      </w:r>
      <w:r w:rsidR="00961A50" w:rsidRPr="00366942">
        <w:rPr>
          <w:lang w:val="en-CA"/>
        </w:rPr>
        <w:t xml:space="preserve"> </w:t>
      </w:r>
      <w:r w:rsidR="00EF384F" w:rsidRPr="00366942">
        <w:rPr>
          <w:lang w:val="en-CA"/>
        </w:rPr>
        <w:t>or member</w:t>
      </w:r>
      <w:r w:rsidR="00FF6D62" w:rsidRPr="00366942">
        <w:rPr>
          <w:lang w:val="en-CA"/>
        </w:rPr>
        <w:t>s</w:t>
      </w:r>
      <w:r w:rsidR="00EF384F" w:rsidRPr="00366942">
        <w:rPr>
          <w:lang w:val="en-CA"/>
        </w:rPr>
        <w:t xml:space="preserve"> of such a group</w:t>
      </w:r>
      <w:r w:rsidR="00FF6D62" w:rsidRPr="00366942">
        <w:rPr>
          <w:lang w:val="en-CA"/>
        </w:rPr>
        <w:t>,</w:t>
      </w:r>
      <w:r w:rsidR="00961A50" w:rsidRPr="00366942">
        <w:rPr>
          <w:lang w:val="en-CA"/>
        </w:rPr>
        <w:t xml:space="preserve"> </w:t>
      </w:r>
      <w:r w:rsidR="00EF384F" w:rsidRPr="00366942">
        <w:rPr>
          <w:lang w:val="en-CA"/>
        </w:rPr>
        <w:t xml:space="preserve">and that of its relation in its causal </w:t>
      </w:r>
      <w:r w:rsidR="009561A5" w:rsidRPr="00366942">
        <w:rPr>
          <w:lang w:val="en-CA"/>
        </w:rPr>
        <w:t>connection, so to speak</w:t>
      </w:r>
      <w:r w:rsidR="00EF384F" w:rsidRPr="00366942">
        <w:rPr>
          <w:lang w:val="en-CA"/>
        </w:rPr>
        <w:t xml:space="preserve"> (creating, reinforcing or exacerbating)</w:t>
      </w:r>
      <w:r w:rsidR="00F412EB" w:rsidRPr="00366942">
        <w:rPr>
          <w:lang w:val="en-CA"/>
        </w:rPr>
        <w:t>,</w:t>
      </w:r>
      <w:r w:rsidR="00EF384F" w:rsidRPr="00366942">
        <w:rPr>
          <w:lang w:val="en-CA"/>
        </w:rPr>
        <w:t xml:space="preserve"> with the disadvantage (marginalization, exclusion, oppression) that the protected group or members of that group are subjected to</w:t>
      </w:r>
      <w:r w:rsidR="00961A50" w:rsidRPr="00366942">
        <w:rPr>
          <w:lang w:val="en-CA"/>
        </w:rPr>
        <w:t>.</w:t>
      </w:r>
    </w:p>
    <w:p w14:paraId="54F004DC" w14:textId="34166343" w:rsidR="00961A50" w:rsidRPr="00366942" w:rsidRDefault="009561A5" w:rsidP="00961A50">
      <w:pPr>
        <w:pStyle w:val="Paragraphe"/>
        <w:rPr>
          <w:lang w:val="en-CA"/>
        </w:rPr>
      </w:pPr>
      <w:r w:rsidRPr="00366942">
        <w:rPr>
          <w:lang w:val="en-CA"/>
        </w:rPr>
        <w:t>Second</w:t>
      </w:r>
      <w:r w:rsidR="00961A50" w:rsidRPr="00366942">
        <w:rPr>
          <w:lang w:val="en-CA"/>
        </w:rPr>
        <w:t xml:space="preserve">, </w:t>
      </w:r>
      <w:r w:rsidR="003D427E" w:rsidRPr="00366942">
        <w:rPr>
          <w:lang w:val="en-CA"/>
        </w:rPr>
        <w:t>from a methodological perspective</w:t>
      </w:r>
      <w:r w:rsidR="00961A50" w:rsidRPr="00366942">
        <w:rPr>
          <w:lang w:val="en-CA"/>
        </w:rPr>
        <w:t xml:space="preserve">, </w:t>
      </w:r>
      <w:r w:rsidR="003D427E" w:rsidRPr="00366942">
        <w:rPr>
          <w:lang w:val="en-CA"/>
        </w:rPr>
        <w:t>it should be mentioned</w:t>
      </w:r>
      <w:r w:rsidRPr="00366942">
        <w:rPr>
          <w:lang w:val="en-CA"/>
        </w:rPr>
        <w:t xml:space="preserve"> that</w:t>
      </w:r>
      <w:r w:rsidR="00961A50" w:rsidRPr="00366942">
        <w:rPr>
          <w:lang w:val="en-CA"/>
        </w:rPr>
        <w:t xml:space="preserve"> </w:t>
      </w:r>
      <w:r w:rsidR="00AC7192" w:rsidRPr="00366942">
        <w:rPr>
          <w:lang w:val="en-CA"/>
        </w:rPr>
        <w:t>“[j]udicial notice can play a role at step two”</w:t>
      </w:r>
      <w:r w:rsidR="00961A50" w:rsidRPr="00366942">
        <w:rPr>
          <w:rStyle w:val="Appelnotedebasdep"/>
          <w:lang w:val="en-CA"/>
        </w:rPr>
        <w:footnoteReference w:id="44"/>
      </w:r>
      <w:r w:rsidR="00961A50" w:rsidRPr="00366942">
        <w:rPr>
          <w:lang w:val="en-CA"/>
        </w:rPr>
        <w:t xml:space="preserve"> </w:t>
      </w:r>
      <w:r w:rsidR="003D427E" w:rsidRPr="00366942">
        <w:rPr>
          <w:lang w:val="en-CA"/>
        </w:rPr>
        <w:t>of the s</w:t>
      </w:r>
      <w:r w:rsidR="001F273E" w:rsidRPr="00366942">
        <w:rPr>
          <w:lang w:val="en-CA"/>
        </w:rPr>
        <w:t>. 1</w:t>
      </w:r>
      <w:r w:rsidR="003D427E" w:rsidRPr="00366942">
        <w:rPr>
          <w:lang w:val="en-CA"/>
        </w:rPr>
        <w:t>5</w:t>
      </w:r>
      <w:r w:rsidR="00961A50" w:rsidRPr="00366942">
        <w:rPr>
          <w:lang w:val="en-CA"/>
        </w:rPr>
        <w:t xml:space="preserve"> test, </w:t>
      </w:r>
      <w:bookmarkStart w:id="31" w:name="_Ref174276266"/>
      <w:r w:rsidR="00E55CAB" w:rsidRPr="00366942">
        <w:rPr>
          <w:lang w:val="en-CA"/>
        </w:rPr>
        <w:t>as is the case</w:t>
      </w:r>
      <w:r w:rsidR="003D427E" w:rsidRPr="00366942">
        <w:rPr>
          <w:lang w:val="en-CA"/>
        </w:rPr>
        <w:t xml:space="preserve"> at </w:t>
      </w:r>
      <w:r w:rsidR="00611F2B" w:rsidRPr="00366942">
        <w:rPr>
          <w:lang w:val="en-CA"/>
        </w:rPr>
        <w:t>step one</w:t>
      </w:r>
      <w:r w:rsidR="003D427E" w:rsidRPr="00366942">
        <w:rPr>
          <w:lang w:val="en-CA"/>
        </w:rPr>
        <w:t>, according to the usual criteria</w:t>
      </w:r>
      <w:r w:rsidR="00FF6D62" w:rsidRPr="00366942">
        <w:rPr>
          <w:lang w:val="en-CA"/>
        </w:rPr>
        <w:t>.</w:t>
      </w:r>
      <w:r w:rsidR="00961A50" w:rsidRPr="00366942">
        <w:rPr>
          <w:rStyle w:val="Appelnotedebasdep"/>
          <w:lang w:val="en-CA"/>
        </w:rPr>
        <w:footnoteReference w:id="45"/>
      </w:r>
      <w:bookmarkEnd w:id="31"/>
    </w:p>
    <w:p w14:paraId="16F74550" w14:textId="48D95A55" w:rsidR="00961A50" w:rsidRPr="00366942" w:rsidRDefault="00003305" w:rsidP="00961A50">
      <w:pPr>
        <w:pStyle w:val="Paragraphe"/>
        <w:rPr>
          <w:lang w:val="en-CA"/>
        </w:rPr>
      </w:pPr>
      <w:r w:rsidRPr="00366942">
        <w:rPr>
          <w:lang w:val="en-CA"/>
        </w:rPr>
        <w:lastRenderedPageBreak/>
        <w:t xml:space="preserve">I will </w:t>
      </w:r>
      <w:r w:rsidR="00BF1BA5" w:rsidRPr="00366942">
        <w:rPr>
          <w:lang w:val="en-CA"/>
        </w:rPr>
        <w:t>now apply this teaching to the case at bar</w:t>
      </w:r>
      <w:r w:rsidR="00961A50" w:rsidRPr="00366942">
        <w:rPr>
          <w:lang w:val="en-CA"/>
        </w:rPr>
        <w:t>.</w:t>
      </w:r>
    </w:p>
    <w:p w14:paraId="272ADC4A" w14:textId="77777777" w:rsidR="00961A50" w:rsidRPr="00366942" w:rsidRDefault="00961A50" w:rsidP="00961A50">
      <w:pPr>
        <w:pStyle w:val="Paragraphe"/>
        <w:numPr>
          <w:ilvl w:val="0"/>
          <w:numId w:val="0"/>
        </w:numPr>
        <w:jc w:val="center"/>
        <w:rPr>
          <w:lang w:val="en-CA"/>
        </w:rPr>
      </w:pPr>
      <w:r w:rsidRPr="00366942">
        <w:rPr>
          <w:lang w:val="en-CA"/>
        </w:rPr>
        <w:t>* *</w:t>
      </w:r>
    </w:p>
    <w:p w14:paraId="3251CEA3" w14:textId="3B7816EF" w:rsidR="00961A50" w:rsidRPr="00366942" w:rsidRDefault="002B085F" w:rsidP="00961A50">
      <w:pPr>
        <w:pStyle w:val="Paragraphe"/>
        <w:rPr>
          <w:lang w:val="en-CA"/>
        </w:rPr>
      </w:pPr>
      <w:r w:rsidRPr="00366942">
        <w:rPr>
          <w:lang w:val="en-CA"/>
        </w:rPr>
        <w:t xml:space="preserve">Before going any further, however, </w:t>
      </w:r>
      <w:r w:rsidR="00003305" w:rsidRPr="00366942">
        <w:rPr>
          <w:lang w:val="en-CA"/>
        </w:rPr>
        <w:t>it is necessary to</w:t>
      </w:r>
      <w:r w:rsidRPr="00366942">
        <w:rPr>
          <w:lang w:val="en-CA"/>
        </w:rPr>
        <w:t xml:space="preserve"> </w:t>
      </w:r>
      <w:r w:rsidR="007743D9" w:rsidRPr="00366942">
        <w:rPr>
          <w:lang w:val="en-CA"/>
        </w:rPr>
        <w:t>clarify the</w:t>
      </w:r>
      <w:r w:rsidRPr="00366942">
        <w:rPr>
          <w:lang w:val="en-CA"/>
        </w:rPr>
        <w:t xml:space="preserve"> scope of the matter</w:t>
      </w:r>
      <w:r w:rsidR="001C4519" w:rsidRPr="00366942">
        <w:rPr>
          <w:lang w:val="en-CA"/>
        </w:rPr>
        <w:t xml:space="preserve"> before the Court </w:t>
      </w:r>
      <w:r w:rsidRPr="00366942">
        <w:rPr>
          <w:lang w:val="en-CA"/>
        </w:rPr>
        <w:t xml:space="preserve">and that of the </w:t>
      </w:r>
      <w:r w:rsidR="001C4519" w:rsidRPr="00366942">
        <w:rPr>
          <w:lang w:val="en-CA"/>
        </w:rPr>
        <w:t>review</w:t>
      </w:r>
      <w:r w:rsidRPr="00366942">
        <w:rPr>
          <w:lang w:val="en-CA"/>
        </w:rPr>
        <w:t xml:space="preserve"> that will have to be</w:t>
      </w:r>
      <w:r w:rsidR="001C4519" w:rsidRPr="00366942">
        <w:rPr>
          <w:lang w:val="en-CA"/>
        </w:rPr>
        <w:t xml:space="preserve"> made thereof</w:t>
      </w:r>
      <w:r w:rsidR="00A126F8" w:rsidRPr="00366942">
        <w:rPr>
          <w:lang w:val="en-CA"/>
        </w:rPr>
        <w:t xml:space="preserve"> –</w:t>
      </w:r>
      <w:r w:rsidRPr="00366942">
        <w:rPr>
          <w:lang w:val="en-CA"/>
        </w:rPr>
        <w:t xml:space="preserve"> in short,</w:t>
      </w:r>
      <w:r w:rsidR="001C4519" w:rsidRPr="00366942">
        <w:rPr>
          <w:lang w:val="en-CA"/>
        </w:rPr>
        <w:t xml:space="preserve"> </w:t>
      </w:r>
      <w:r w:rsidR="00003305" w:rsidRPr="00366942">
        <w:rPr>
          <w:lang w:val="en-CA"/>
        </w:rPr>
        <w:t xml:space="preserve">to </w:t>
      </w:r>
      <w:r w:rsidR="008A70D2" w:rsidRPr="00366942">
        <w:rPr>
          <w:lang w:val="en-CA"/>
        </w:rPr>
        <w:t>identify</w:t>
      </w:r>
      <w:r w:rsidR="007743D9" w:rsidRPr="00366942">
        <w:rPr>
          <w:lang w:val="en-CA"/>
        </w:rPr>
        <w:t xml:space="preserve"> </w:t>
      </w:r>
      <w:r w:rsidR="001C4519" w:rsidRPr="00366942">
        <w:rPr>
          <w:lang w:val="en-CA"/>
        </w:rPr>
        <w:t>what is truly at issue here</w:t>
      </w:r>
      <w:r w:rsidR="00961A50" w:rsidRPr="00366942">
        <w:rPr>
          <w:lang w:val="en-CA"/>
        </w:rPr>
        <w:t>.</w:t>
      </w:r>
    </w:p>
    <w:p w14:paraId="07710F32" w14:textId="68A6CD7D" w:rsidR="00961A50" w:rsidRPr="00366942" w:rsidRDefault="001C4519" w:rsidP="00961A50">
      <w:pPr>
        <w:pStyle w:val="Paragraphe"/>
        <w:rPr>
          <w:lang w:val="en-CA"/>
        </w:rPr>
      </w:pPr>
      <w:r w:rsidRPr="00366942">
        <w:rPr>
          <w:lang w:val="en-CA"/>
        </w:rPr>
        <w:t xml:space="preserve">We begin our inquiry by </w:t>
      </w:r>
      <w:r w:rsidR="007743D9" w:rsidRPr="00366942">
        <w:rPr>
          <w:lang w:val="en-CA"/>
        </w:rPr>
        <w:t xml:space="preserve">reviewing the exact </w:t>
      </w:r>
      <w:r w:rsidR="00961A50" w:rsidRPr="00366942">
        <w:rPr>
          <w:lang w:val="en-CA"/>
        </w:rPr>
        <w:t xml:space="preserve">nature </w:t>
      </w:r>
      <w:r w:rsidR="007743D9" w:rsidRPr="00366942">
        <w:rPr>
          <w:lang w:val="en-CA"/>
        </w:rPr>
        <w:t>of the appellant’s claim</w:t>
      </w:r>
      <w:r w:rsidR="00961A50" w:rsidRPr="00366942">
        <w:rPr>
          <w:lang w:val="en-CA"/>
        </w:rPr>
        <w:t xml:space="preserve">. </w:t>
      </w:r>
      <w:r w:rsidR="007743D9" w:rsidRPr="00366942">
        <w:rPr>
          <w:lang w:val="en-CA"/>
        </w:rPr>
        <w:t>In her application for review, she claim</w:t>
      </w:r>
      <w:r w:rsidR="00D03BA1" w:rsidRPr="00366942">
        <w:rPr>
          <w:lang w:val="en-CA"/>
        </w:rPr>
        <w:t>ed</w:t>
      </w:r>
      <w:r w:rsidR="007743D9" w:rsidRPr="00366942">
        <w:rPr>
          <w:lang w:val="en-CA"/>
        </w:rPr>
        <w:t xml:space="preserve"> that the Board</w:t>
      </w:r>
      <w:r w:rsidR="00D03BA1" w:rsidRPr="00366942">
        <w:rPr>
          <w:lang w:val="en-CA"/>
        </w:rPr>
        <w:t xml:space="preserve"> had</w:t>
      </w:r>
      <w:r w:rsidR="007743D9" w:rsidRPr="00366942">
        <w:rPr>
          <w:lang w:val="en-CA"/>
        </w:rPr>
        <w:t xml:space="preserve"> failed to reimburse the entire cost of the services received relating to her pregnancy and its termination, including the cost</w:t>
      </w:r>
      <w:r w:rsidR="00E24A7A" w:rsidRPr="00366942">
        <w:rPr>
          <w:lang w:val="en-CA"/>
        </w:rPr>
        <w:t>s</w:t>
      </w:r>
      <w:r w:rsidR="007743D9" w:rsidRPr="00366942">
        <w:rPr>
          <w:lang w:val="en-CA"/>
        </w:rPr>
        <w:t xml:space="preserve"> of medical services </w:t>
      </w:r>
      <w:r w:rsidR="007743D9" w:rsidRPr="00366942">
        <w:rPr>
          <w:i/>
          <w:iCs/>
          <w:lang w:val="en-CA"/>
        </w:rPr>
        <w:t>per se</w:t>
      </w:r>
      <w:r w:rsidR="00D03BA1" w:rsidRPr="00366942">
        <w:rPr>
          <w:lang w:val="en-CA"/>
        </w:rPr>
        <w:t>, medication and services not insured in Quebec.</w:t>
      </w:r>
      <w:r w:rsidR="00961A50" w:rsidRPr="00366942">
        <w:rPr>
          <w:lang w:val="en-CA"/>
        </w:rPr>
        <w:t xml:space="preserve"> </w:t>
      </w:r>
      <w:r w:rsidR="007743D9" w:rsidRPr="00366942">
        <w:rPr>
          <w:lang w:val="en-CA"/>
        </w:rPr>
        <w:t>Indeed, she claim</w:t>
      </w:r>
      <w:r w:rsidR="00D03BA1" w:rsidRPr="00366942">
        <w:rPr>
          <w:lang w:val="en-CA"/>
        </w:rPr>
        <w:t>ed</w:t>
      </w:r>
      <w:r w:rsidR="007743D9" w:rsidRPr="00366942">
        <w:rPr>
          <w:lang w:val="en-CA"/>
        </w:rPr>
        <w:t xml:space="preserve"> that “</w:t>
      </w:r>
      <w:r w:rsidR="00961A50" w:rsidRPr="00366942">
        <w:rPr>
          <w:lang w:val="en-CA"/>
        </w:rPr>
        <w:t xml:space="preserve">[t]he RAMQ’s refusal to reimburse certain of [her] expenses in whole or in part has a disproportionate and adverse effect on [her] because of her pregnancy, and therefore constitutes discrimination on the basis of sex, contrary to sections 15 and 10 of the </w:t>
      </w:r>
      <w:r w:rsidR="00961A50" w:rsidRPr="00366942">
        <w:rPr>
          <w:i/>
          <w:iCs/>
          <w:lang w:val="en-CA"/>
        </w:rPr>
        <w:t>Canadian Charter</w:t>
      </w:r>
      <w:r w:rsidR="00961A50" w:rsidRPr="00366942">
        <w:rPr>
          <w:lang w:val="en-CA"/>
        </w:rPr>
        <w:t xml:space="preserve"> and </w:t>
      </w:r>
      <w:r w:rsidR="00961A50" w:rsidRPr="00366942">
        <w:rPr>
          <w:i/>
          <w:iCs/>
          <w:lang w:val="en-CA"/>
        </w:rPr>
        <w:t>Quebec Charter</w:t>
      </w:r>
      <w:r w:rsidR="00961A50" w:rsidRPr="00366942">
        <w:rPr>
          <w:lang w:val="en-CA"/>
        </w:rPr>
        <w:t>, respectively</w:t>
      </w:r>
      <w:r w:rsidR="007743D9" w:rsidRPr="00366942">
        <w:rPr>
          <w:lang w:val="en-CA"/>
        </w:rPr>
        <w:t>”</w:t>
      </w:r>
      <w:r w:rsidR="00961A50" w:rsidRPr="00366942">
        <w:rPr>
          <w:rStyle w:val="Appelnotedebasdep"/>
          <w:lang w:val="en-CA"/>
        </w:rPr>
        <w:footnoteReference w:id="46"/>
      </w:r>
      <w:r w:rsidR="00961A50" w:rsidRPr="00366942">
        <w:rPr>
          <w:lang w:val="en-CA"/>
        </w:rPr>
        <w:t xml:space="preserve"> (</w:t>
      </w:r>
      <w:r w:rsidR="007743D9" w:rsidRPr="00366942">
        <w:rPr>
          <w:lang w:val="en-CA"/>
        </w:rPr>
        <w:t xml:space="preserve">at the time, she also alleged that that </w:t>
      </w:r>
      <w:r w:rsidR="00D03BA1" w:rsidRPr="00366942">
        <w:rPr>
          <w:lang w:val="en-CA"/>
        </w:rPr>
        <w:t xml:space="preserve">Board’s </w:t>
      </w:r>
      <w:r w:rsidR="007743D9" w:rsidRPr="00366942">
        <w:rPr>
          <w:lang w:val="en-CA"/>
        </w:rPr>
        <w:t xml:space="preserve">decision infringed s. 7 of the </w:t>
      </w:r>
      <w:r w:rsidR="007743D9" w:rsidRPr="00366942">
        <w:rPr>
          <w:i/>
          <w:iCs/>
          <w:lang w:val="en-CA"/>
        </w:rPr>
        <w:t>Canadian Charter</w:t>
      </w:r>
      <w:r w:rsidR="007743D9" w:rsidRPr="00366942">
        <w:rPr>
          <w:lang w:val="en-CA"/>
        </w:rPr>
        <w:t xml:space="preserve"> and s. 1 of the </w:t>
      </w:r>
      <w:r w:rsidR="007743D9" w:rsidRPr="00366942">
        <w:rPr>
          <w:i/>
          <w:iCs/>
          <w:lang w:val="en-CA"/>
        </w:rPr>
        <w:t>Quebec Charter</w:t>
      </w:r>
      <w:r w:rsidR="00961A50" w:rsidRPr="00366942">
        <w:rPr>
          <w:lang w:val="en-CA"/>
        </w:rPr>
        <w:t xml:space="preserve">, </w:t>
      </w:r>
      <w:r w:rsidR="00071349" w:rsidRPr="00366942">
        <w:rPr>
          <w:lang w:val="en-CA"/>
        </w:rPr>
        <w:t>a submission that she abandoned on appeal</w:t>
      </w:r>
      <w:r w:rsidR="00961A50" w:rsidRPr="00366942">
        <w:rPr>
          <w:lang w:val="en-CA"/>
        </w:rPr>
        <w:t xml:space="preserve">). </w:t>
      </w:r>
      <w:r w:rsidR="00071349" w:rsidRPr="00366942">
        <w:rPr>
          <w:lang w:val="en-CA"/>
        </w:rPr>
        <w:t xml:space="preserve">However, as the remainder of the application </w:t>
      </w:r>
      <w:r w:rsidR="00D03BA1" w:rsidRPr="00366942">
        <w:rPr>
          <w:lang w:val="en-CA"/>
        </w:rPr>
        <w:t>at issue</w:t>
      </w:r>
      <w:r w:rsidR="00071349" w:rsidRPr="00366942">
        <w:rPr>
          <w:lang w:val="en-CA"/>
        </w:rPr>
        <w:t xml:space="preserve"> shows, the debate, in </w:t>
      </w:r>
      <w:r w:rsidR="00E24A7A" w:rsidRPr="00366942">
        <w:rPr>
          <w:lang w:val="en-CA"/>
        </w:rPr>
        <w:t>both respects</w:t>
      </w:r>
      <w:r w:rsidR="00071349" w:rsidRPr="00366942">
        <w:rPr>
          <w:lang w:val="en-CA"/>
        </w:rPr>
        <w:t>, focusses first and foremost on s. 10, para. 4</w:t>
      </w:r>
      <w:r w:rsidR="00961A50" w:rsidRPr="00366942">
        <w:rPr>
          <w:lang w:val="en-CA"/>
        </w:rPr>
        <w:t xml:space="preserve"> </w:t>
      </w:r>
      <w:r w:rsidR="00071349" w:rsidRPr="00366942">
        <w:rPr>
          <w:i/>
          <w:iCs/>
          <w:lang w:val="en-CA"/>
        </w:rPr>
        <w:t>HIA</w:t>
      </w:r>
      <w:r w:rsidR="00961A50" w:rsidRPr="00366942">
        <w:rPr>
          <w:i/>
          <w:iCs/>
          <w:lang w:val="en-CA"/>
        </w:rPr>
        <w:t>.</w:t>
      </w:r>
      <w:r w:rsidR="00961A50" w:rsidRPr="00366942">
        <w:rPr>
          <w:lang w:val="en-CA"/>
        </w:rPr>
        <w:t xml:space="preserve"> </w:t>
      </w:r>
      <w:r w:rsidR="00C8644F" w:rsidRPr="00366942">
        <w:rPr>
          <w:lang w:val="en-CA"/>
        </w:rPr>
        <w:t>Likewise</w:t>
      </w:r>
      <w:r w:rsidR="00071349" w:rsidRPr="00366942">
        <w:rPr>
          <w:lang w:val="en-CA"/>
        </w:rPr>
        <w:t>, the appellant’s claim before the TAQ and her application for judicial review before the Superior Court essentially raise</w:t>
      </w:r>
      <w:r w:rsidR="00D03BA1" w:rsidRPr="00366942">
        <w:rPr>
          <w:lang w:val="en-CA"/>
        </w:rPr>
        <w:t>d</w:t>
      </w:r>
      <w:r w:rsidR="00071349" w:rsidRPr="00366942">
        <w:rPr>
          <w:lang w:val="en-CA"/>
        </w:rPr>
        <w:t xml:space="preserve"> the issue of the validity of that specific provision of the</w:t>
      </w:r>
      <w:r w:rsidR="00961A50" w:rsidRPr="00366942">
        <w:rPr>
          <w:lang w:val="en-CA"/>
        </w:rPr>
        <w:t xml:space="preserve"> </w:t>
      </w:r>
      <w:r w:rsidR="00071349" w:rsidRPr="00366942">
        <w:rPr>
          <w:i/>
          <w:iCs/>
          <w:lang w:val="en-CA"/>
        </w:rPr>
        <w:t>HIA</w:t>
      </w:r>
      <w:r w:rsidR="00961A50" w:rsidRPr="00366942">
        <w:rPr>
          <w:i/>
          <w:iCs/>
          <w:lang w:val="en-CA"/>
        </w:rPr>
        <w:t>.</w:t>
      </w:r>
      <w:r w:rsidR="00961A50" w:rsidRPr="00366942">
        <w:rPr>
          <w:lang w:val="en-CA"/>
        </w:rPr>
        <w:t xml:space="preserve"> </w:t>
      </w:r>
      <w:r w:rsidR="00071349" w:rsidRPr="00366942">
        <w:rPr>
          <w:lang w:val="en-CA"/>
        </w:rPr>
        <w:t xml:space="preserve">As discussed above, that is also what is claimed in her </w:t>
      </w:r>
      <w:r w:rsidR="00D03BA1" w:rsidRPr="00366942">
        <w:rPr>
          <w:lang w:val="en-CA"/>
        </w:rPr>
        <w:t xml:space="preserve">appeal </w:t>
      </w:r>
      <w:r w:rsidR="00071349" w:rsidRPr="00366942">
        <w:rPr>
          <w:lang w:val="en-CA"/>
        </w:rPr>
        <w:t xml:space="preserve">proceedings and brief, as well as in the explanations that </w:t>
      </w:r>
      <w:r w:rsidR="00003305" w:rsidRPr="00366942">
        <w:rPr>
          <w:lang w:val="en-CA"/>
        </w:rPr>
        <w:t xml:space="preserve">her counsel </w:t>
      </w:r>
      <w:r w:rsidR="00071349" w:rsidRPr="00366942">
        <w:rPr>
          <w:lang w:val="en-CA"/>
        </w:rPr>
        <w:t xml:space="preserve">provided at the hearing </w:t>
      </w:r>
      <w:r w:rsidR="00D03BA1" w:rsidRPr="00366942">
        <w:rPr>
          <w:lang w:val="en-CA"/>
        </w:rPr>
        <w:t>before</w:t>
      </w:r>
      <w:r w:rsidR="00071349" w:rsidRPr="00366942">
        <w:rPr>
          <w:lang w:val="en-CA"/>
        </w:rPr>
        <w:t xml:space="preserve"> </w:t>
      </w:r>
      <w:r w:rsidR="008A70D2" w:rsidRPr="00366942">
        <w:rPr>
          <w:lang w:val="en-CA"/>
        </w:rPr>
        <w:t>our</w:t>
      </w:r>
      <w:r w:rsidR="00071349" w:rsidRPr="00366942">
        <w:rPr>
          <w:lang w:val="en-CA"/>
        </w:rPr>
        <w:t xml:space="preserve"> Court</w:t>
      </w:r>
      <w:r w:rsidR="00961A50" w:rsidRPr="00366942">
        <w:rPr>
          <w:lang w:val="en-CA"/>
        </w:rPr>
        <w:t>.</w:t>
      </w:r>
    </w:p>
    <w:p w14:paraId="1760ABB0" w14:textId="20B1C7EA" w:rsidR="00961A50" w:rsidRPr="00366942" w:rsidRDefault="00491B40" w:rsidP="00961A50">
      <w:pPr>
        <w:pStyle w:val="Paragraphe"/>
        <w:rPr>
          <w:lang w:val="en-CA"/>
        </w:rPr>
      </w:pPr>
      <w:r w:rsidRPr="00366942">
        <w:rPr>
          <w:lang w:val="en-CA"/>
        </w:rPr>
        <w:t>However</w:t>
      </w:r>
      <w:r w:rsidR="00961A50" w:rsidRPr="00366942">
        <w:rPr>
          <w:lang w:val="en-CA"/>
        </w:rPr>
        <w:t xml:space="preserve">, </w:t>
      </w:r>
      <w:r w:rsidRPr="00366942">
        <w:rPr>
          <w:lang w:val="en-CA"/>
        </w:rPr>
        <w:t>although the</w:t>
      </w:r>
      <w:r w:rsidR="005F7192" w:rsidRPr="00366942">
        <w:rPr>
          <w:lang w:val="en-CA"/>
        </w:rPr>
        <w:t xml:space="preserve"> conclusions of the</w:t>
      </w:r>
      <w:r w:rsidRPr="00366942">
        <w:rPr>
          <w:lang w:val="en-CA"/>
        </w:rPr>
        <w:t xml:space="preserve"> amended originating application addressed to the Superior Court, the notice of appeal</w:t>
      </w:r>
      <w:r w:rsidR="00003305" w:rsidRPr="00366942">
        <w:rPr>
          <w:lang w:val="en-CA"/>
        </w:rPr>
        <w:t>,</w:t>
      </w:r>
      <w:r w:rsidRPr="00366942">
        <w:rPr>
          <w:lang w:val="en-CA"/>
        </w:rPr>
        <w:t xml:space="preserve"> the application for leave to appeal</w:t>
      </w:r>
      <w:r w:rsidR="005F7192" w:rsidRPr="00366942">
        <w:rPr>
          <w:lang w:val="en-CA"/>
        </w:rPr>
        <w:t>,</w:t>
      </w:r>
      <w:r w:rsidRPr="00366942">
        <w:rPr>
          <w:lang w:val="en-CA"/>
        </w:rPr>
        <w:t xml:space="preserve"> as well as the appellant’s brief</w:t>
      </w:r>
      <w:r w:rsidR="00E24A7A" w:rsidRPr="00366942">
        <w:rPr>
          <w:lang w:val="en-CA"/>
        </w:rPr>
        <w:t>,</w:t>
      </w:r>
      <w:r w:rsidRPr="00366942">
        <w:rPr>
          <w:lang w:val="en-CA"/>
        </w:rPr>
        <w:t xml:space="preserve"> </w:t>
      </w:r>
      <w:r w:rsidR="00E86C47" w:rsidRPr="00366942">
        <w:rPr>
          <w:lang w:val="en-CA"/>
        </w:rPr>
        <w:t xml:space="preserve">all </w:t>
      </w:r>
      <w:r w:rsidR="00567F43" w:rsidRPr="00366942">
        <w:rPr>
          <w:lang w:val="en-CA"/>
        </w:rPr>
        <w:t>call for</w:t>
      </w:r>
      <w:r w:rsidR="005F7192" w:rsidRPr="00366942">
        <w:rPr>
          <w:lang w:val="en-CA"/>
        </w:rPr>
        <w:t xml:space="preserve"> </w:t>
      </w:r>
      <w:r w:rsidRPr="00366942">
        <w:rPr>
          <w:lang w:val="en-CA"/>
        </w:rPr>
        <w:t>s.</w:t>
      </w:r>
      <w:r w:rsidR="00961A50" w:rsidRPr="00366942">
        <w:rPr>
          <w:lang w:val="en-CA"/>
        </w:rPr>
        <w:t xml:space="preserve"> 10 </w:t>
      </w:r>
      <w:r w:rsidRPr="00366942">
        <w:rPr>
          <w:i/>
          <w:iCs/>
          <w:lang w:val="en-CA"/>
        </w:rPr>
        <w:t>HIA</w:t>
      </w:r>
      <w:r w:rsidR="00961A50" w:rsidRPr="00366942">
        <w:rPr>
          <w:lang w:val="en-CA"/>
        </w:rPr>
        <w:t xml:space="preserve"> </w:t>
      </w:r>
      <w:r w:rsidR="00567F43" w:rsidRPr="00366942">
        <w:rPr>
          <w:lang w:val="en-CA"/>
        </w:rPr>
        <w:t>to be</w:t>
      </w:r>
      <w:r w:rsidR="005F7192" w:rsidRPr="00366942">
        <w:rPr>
          <w:lang w:val="en-CA"/>
        </w:rPr>
        <w:t xml:space="preserve"> </w:t>
      </w:r>
      <w:r w:rsidR="00E86C47" w:rsidRPr="00366942">
        <w:rPr>
          <w:lang w:val="en-CA"/>
        </w:rPr>
        <w:t>declared</w:t>
      </w:r>
      <w:r w:rsidRPr="00366942">
        <w:rPr>
          <w:lang w:val="en-CA"/>
        </w:rPr>
        <w:t xml:space="preserve"> invalid, apparently in its entirety, the discussion before the TAQ, the Superior Court and our Court focu</w:t>
      </w:r>
      <w:r w:rsidR="005F7192" w:rsidRPr="00366942">
        <w:rPr>
          <w:lang w:val="en-CA"/>
        </w:rPr>
        <w:t xml:space="preserve">ssed solely on the limit imposed by the fourth paragraph of that provision on the reimbursement or payment of insured services </w:t>
      </w:r>
      <w:r w:rsidR="00E24A7A" w:rsidRPr="00366942">
        <w:rPr>
          <w:lang w:val="en-CA"/>
        </w:rPr>
        <w:t>render</w:t>
      </w:r>
      <w:r w:rsidR="005F7192" w:rsidRPr="00366942">
        <w:rPr>
          <w:lang w:val="en-CA"/>
        </w:rPr>
        <w:t>ed outside Quebec</w:t>
      </w:r>
      <w:r w:rsidR="00961A50" w:rsidRPr="00366942">
        <w:rPr>
          <w:lang w:val="en-CA"/>
        </w:rPr>
        <w:t xml:space="preserve">. </w:t>
      </w:r>
      <w:r w:rsidR="005F7192" w:rsidRPr="00366942">
        <w:rPr>
          <w:lang w:val="en-CA"/>
        </w:rPr>
        <w:t>If applicable, only that portion of s. 10 HIA should be declared invalid, which is not without impact on the analysis that will have to be made of the appellant’s position</w:t>
      </w:r>
      <w:r w:rsidR="00961A50" w:rsidRPr="00366942">
        <w:rPr>
          <w:lang w:val="en-CA"/>
        </w:rPr>
        <w:t>.</w:t>
      </w:r>
    </w:p>
    <w:p w14:paraId="72A72D17" w14:textId="02703D7C" w:rsidR="00961A50" w:rsidRPr="00366942" w:rsidRDefault="00567F43" w:rsidP="00961A50">
      <w:pPr>
        <w:pStyle w:val="Paragraphe"/>
        <w:rPr>
          <w:lang w:val="en-CA"/>
        </w:rPr>
      </w:pPr>
      <w:r w:rsidRPr="00366942">
        <w:rPr>
          <w:lang w:val="en-CA"/>
        </w:rPr>
        <w:t xml:space="preserve">For the sake of convenience, I repeat here the wording of s. </w:t>
      </w:r>
      <w:r w:rsidR="00961A50" w:rsidRPr="00366942">
        <w:rPr>
          <w:lang w:val="en-CA"/>
        </w:rPr>
        <w:t xml:space="preserve">10 </w:t>
      </w:r>
      <w:r w:rsidR="00E86C47" w:rsidRPr="00366942">
        <w:rPr>
          <w:i/>
          <w:iCs/>
          <w:lang w:val="en-CA"/>
        </w:rPr>
        <w:t>HIA</w:t>
      </w:r>
      <w:r w:rsidR="00500A39"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4E0AA925" w14:textId="77777777" w:rsidTr="009824F1">
        <w:tc>
          <w:tcPr>
            <w:tcW w:w="4032" w:type="dxa"/>
          </w:tcPr>
          <w:p w14:paraId="1279C75D" w14:textId="46099BBD" w:rsidR="00961A50" w:rsidRPr="00366942" w:rsidRDefault="00961A50" w:rsidP="00191C9C">
            <w:pPr>
              <w:pStyle w:val="Citationenretrait"/>
              <w:ind w:left="0" w:right="0"/>
              <w:rPr>
                <w:lang w:val="en-CA"/>
              </w:rPr>
            </w:pPr>
            <w:r w:rsidRPr="00366942">
              <w:rPr>
                <w:b/>
                <w:bCs/>
                <w:lang w:val="en-CA"/>
              </w:rPr>
              <w:t>10.</w:t>
            </w:r>
            <w:r w:rsidRPr="00366942">
              <w:rPr>
                <w:lang w:val="en-CA"/>
              </w:rPr>
              <w:tab/>
            </w:r>
            <w:r w:rsidR="00003305" w:rsidRPr="00366942">
              <w:rPr>
                <w:rFonts w:cs="Arial"/>
                <w:szCs w:val="22"/>
                <w:shd w:val="clear" w:color="auto" w:fill="FFFFFF"/>
                <w:lang w:val="en-CA"/>
              </w:rPr>
              <w:t xml:space="preserve">An insured person is entitled to exact from the Board the reimbursement of the cost of the insured services furnished to him outside Québec by a professional in the </w:t>
            </w:r>
            <w:r w:rsidR="00003305" w:rsidRPr="00366942">
              <w:rPr>
                <w:rFonts w:cs="Arial"/>
                <w:szCs w:val="22"/>
                <w:shd w:val="clear" w:color="auto" w:fill="FFFFFF"/>
                <w:lang w:val="en-CA"/>
              </w:rPr>
              <w:lastRenderedPageBreak/>
              <w:t>field of health, except the pharmaceutical services and medications referred to in the third and fourth paragraphs of section 3, provided that he delivers to the Board, on request, the receipts for the fees paid by him, and furnishes it with the information the Board needs to justify the payment claimed.</w:t>
            </w:r>
          </w:p>
        </w:tc>
        <w:tc>
          <w:tcPr>
            <w:tcW w:w="4032" w:type="dxa"/>
          </w:tcPr>
          <w:p w14:paraId="64E205F0" w14:textId="30CBDE14" w:rsidR="00961A50" w:rsidRPr="00366942" w:rsidRDefault="00961A50" w:rsidP="00191C9C">
            <w:pPr>
              <w:pStyle w:val="Citationenretrait"/>
              <w:ind w:left="0" w:right="0"/>
            </w:pPr>
            <w:r w:rsidRPr="00366942">
              <w:rPr>
                <w:b/>
                <w:bCs/>
              </w:rPr>
              <w:lastRenderedPageBreak/>
              <w:t>10.</w:t>
            </w:r>
            <w:r w:rsidRPr="00366942">
              <w:tab/>
            </w:r>
            <w:r w:rsidR="00003305" w:rsidRPr="00366942">
              <w:t xml:space="preserve">Une personne assurée a droit d’exiger de la Régie le remboursement du coût des services assurés qui lui ont été fournis en dehors du Québec par un professionnel de la santé, à l’exception </w:t>
            </w:r>
            <w:r w:rsidR="00003305" w:rsidRPr="00366942">
              <w:lastRenderedPageBreak/>
              <w:t>des services pharmaceutiques et des médicaments visés aux troisième et quatrième alinéas de l’article 3, pourvu qu’elle remette à la Régie sur demande les reçus d’honoraires qu’elle a payés et qu’elle lui fournisse les renseignements dont la Régie a besoin pour justifier le paiement réclamé.</w:t>
            </w:r>
          </w:p>
        </w:tc>
      </w:tr>
      <w:tr w:rsidR="00366942" w:rsidRPr="00366942" w14:paraId="440EA100" w14:textId="77777777" w:rsidTr="009824F1">
        <w:tc>
          <w:tcPr>
            <w:tcW w:w="4032" w:type="dxa"/>
          </w:tcPr>
          <w:p w14:paraId="0A07CBEF" w14:textId="7EE581C6" w:rsidR="00961A50" w:rsidRPr="00366942" w:rsidRDefault="00961A50" w:rsidP="00191C9C">
            <w:pPr>
              <w:pStyle w:val="Citationenretrait"/>
              <w:ind w:left="0" w:right="0"/>
              <w:rPr>
                <w:lang w:val="en-CA"/>
              </w:rPr>
            </w:pPr>
            <w:r w:rsidRPr="00366942">
              <w:tab/>
            </w:r>
            <w:r w:rsidR="00003305" w:rsidRPr="00366942">
              <w:rPr>
                <w:lang w:val="en-CA"/>
              </w:rPr>
              <w:t>Notwithstanding the first paragraph, the cost of filling or renewing a prescription and the cost of the medications provided to an eligible person, within the meaning of the Act respecting prescription drug insurance (chapter A-29.01), as well as the cost of services and medications determined by regulation and provided to an insured person outside Québec by a person legally authorized to practise as a pharmacist in the place concerned and with whom the Board has entered into an individual agreement for that purpose, may be reimbursed if the services and medications are furnished in a pharmacy situated in a region bordering on Québec and if no pharmacy situated, in Québec, within a radius of 32 kilometres of that pharmacy provides services to the public.</w:t>
            </w:r>
          </w:p>
        </w:tc>
        <w:tc>
          <w:tcPr>
            <w:tcW w:w="4032" w:type="dxa"/>
          </w:tcPr>
          <w:p w14:paraId="68273AFB" w14:textId="528FAF9B" w:rsidR="00961A50" w:rsidRPr="00366942" w:rsidRDefault="00961A50" w:rsidP="00191C9C">
            <w:pPr>
              <w:pStyle w:val="Citationenretrait"/>
              <w:ind w:left="0" w:right="0"/>
            </w:pPr>
            <w:r w:rsidRPr="00366942">
              <w:rPr>
                <w:lang w:val="en-CA"/>
              </w:rPr>
              <w:tab/>
            </w:r>
            <w:r w:rsidR="00003305" w:rsidRPr="00366942">
              <w:t>Malgré le premier alinéa, le coût de l’exécution d’une ordonnance ou de son renouvellement et de médicaments fournis à une personne admissible au sens de la Loi sur l’assurance médicaments (chapitre A</w:t>
            </w:r>
            <w:r w:rsidR="00003305" w:rsidRPr="00366942">
              <w:rPr>
                <w:rFonts w:ascii="Cambria Math" w:hAnsi="Cambria Math" w:cs="Cambria Math"/>
              </w:rPr>
              <w:t>‐</w:t>
            </w:r>
            <w:r w:rsidR="00003305" w:rsidRPr="00366942">
              <w:t>29.01) ainsi que le co</w:t>
            </w:r>
            <w:r w:rsidR="00003305" w:rsidRPr="00366942">
              <w:rPr>
                <w:rFonts w:cs="Arial"/>
              </w:rPr>
              <w:t>û</w:t>
            </w:r>
            <w:r w:rsidR="00003305" w:rsidRPr="00366942">
              <w:t>t de services et de m</w:t>
            </w:r>
            <w:r w:rsidR="00003305" w:rsidRPr="00366942">
              <w:rPr>
                <w:rFonts w:cs="Arial"/>
              </w:rPr>
              <w:t>é</w:t>
            </w:r>
            <w:r w:rsidR="00003305" w:rsidRPr="00366942">
              <w:t>dicaments pr</w:t>
            </w:r>
            <w:r w:rsidR="00003305" w:rsidRPr="00366942">
              <w:rPr>
                <w:rFonts w:cs="Arial"/>
              </w:rPr>
              <w:t>é</w:t>
            </w:r>
            <w:r w:rsidR="00003305" w:rsidRPr="00366942">
              <w:t>vus par r</w:t>
            </w:r>
            <w:r w:rsidR="00003305" w:rsidRPr="00366942">
              <w:rPr>
                <w:rFonts w:cs="Arial"/>
              </w:rPr>
              <w:t>è</w:t>
            </w:r>
            <w:r w:rsidR="00003305" w:rsidRPr="00366942">
              <w:t xml:space="preserve">glement fournis </w:t>
            </w:r>
            <w:r w:rsidR="00003305" w:rsidRPr="00366942">
              <w:rPr>
                <w:rFonts w:cs="Arial"/>
              </w:rPr>
              <w:t>à</w:t>
            </w:r>
            <w:r w:rsidR="00003305" w:rsidRPr="00366942">
              <w:t xml:space="preserve"> une personne assur</w:t>
            </w:r>
            <w:r w:rsidR="00003305" w:rsidRPr="00366942">
              <w:rPr>
                <w:rFonts w:cs="Arial"/>
              </w:rPr>
              <w:t>é</w:t>
            </w:r>
            <w:r w:rsidR="00003305" w:rsidRPr="00366942">
              <w:t xml:space="preserve">e, </w:t>
            </w:r>
            <w:r w:rsidR="00003305" w:rsidRPr="00366942">
              <w:rPr>
                <w:rFonts w:cs="Arial"/>
              </w:rPr>
              <w:t>à</w:t>
            </w:r>
            <w:r w:rsidR="00003305" w:rsidRPr="00366942">
              <w:t xml:space="preserve"> l</w:t>
            </w:r>
            <w:r w:rsidR="00003305" w:rsidRPr="00366942">
              <w:rPr>
                <w:rFonts w:cs="Arial"/>
              </w:rPr>
              <w:t>’</w:t>
            </w:r>
            <w:r w:rsidR="00003305" w:rsidRPr="00366942">
              <w:t>ext</w:t>
            </w:r>
            <w:r w:rsidR="00003305" w:rsidRPr="00366942">
              <w:rPr>
                <w:rFonts w:cs="Arial"/>
              </w:rPr>
              <w:t>é</w:t>
            </w:r>
            <w:r w:rsidR="00003305" w:rsidRPr="00366942">
              <w:t>rieur du Qu</w:t>
            </w:r>
            <w:r w:rsidR="00003305" w:rsidRPr="00366942">
              <w:rPr>
                <w:rFonts w:cs="Arial"/>
              </w:rPr>
              <w:t>é</w:t>
            </w:r>
            <w:r w:rsidR="00003305" w:rsidRPr="00366942">
              <w:t>bec, par une personne légalement autorisée à y exercer la profession de pharmacien et avec qui la Régie a conclu une entente particulière à cette fin, peut faire l’objet d’un remboursement, s’ils sont fournis dans une pharmacie située dans une région limitrophe au Québec lorsque, dans un rayon de 32 km de cette pharmacie, aucune pharmacie au Québec ne dessert la population.</w:t>
            </w:r>
          </w:p>
        </w:tc>
      </w:tr>
      <w:tr w:rsidR="00366942" w:rsidRPr="00366942" w14:paraId="3580C0CA" w14:textId="77777777" w:rsidTr="009824F1">
        <w:tc>
          <w:tcPr>
            <w:tcW w:w="4032" w:type="dxa"/>
            <w:shd w:val="clear" w:color="auto" w:fill="E7E6E6" w:themeFill="background2"/>
          </w:tcPr>
          <w:p w14:paraId="34FA8863" w14:textId="77777777" w:rsidR="00003305" w:rsidRPr="00366942" w:rsidRDefault="00003305" w:rsidP="00003305">
            <w:pPr>
              <w:pStyle w:val="Citationenretrait"/>
              <w:ind w:left="0" w:right="0"/>
              <w:rPr>
                <w:b/>
                <w:bCs/>
                <w:i/>
                <w:iCs/>
                <w:lang w:val="en-CA"/>
              </w:rPr>
            </w:pPr>
            <w:r w:rsidRPr="00366942">
              <w:rPr>
                <w:b/>
                <w:bCs/>
                <w:i/>
                <w:iCs/>
                <w:lang w:val="en-CA"/>
              </w:rPr>
              <w:t>Not in force</w:t>
            </w:r>
          </w:p>
          <w:p w14:paraId="31E5ED99" w14:textId="0A4F206D" w:rsidR="00961A50" w:rsidRPr="00366942" w:rsidRDefault="00003305" w:rsidP="00003305">
            <w:pPr>
              <w:pStyle w:val="Citationenretrait"/>
              <w:ind w:left="0" w:right="0"/>
              <w:rPr>
                <w:lang w:val="en-CA"/>
              </w:rPr>
            </w:pPr>
            <w:r w:rsidRPr="00366942">
              <w:rPr>
                <w:lang w:val="en-CA"/>
              </w:rPr>
              <w:tab/>
              <w:t>The same applies to the cost of medications provided, outside Québec, to an eligible person within the meaning of the Act respecting prescription drug insurance, as part of the services provided by an institution, in accordance with the third paragraph of section 8 of that Act.</w:t>
            </w:r>
          </w:p>
        </w:tc>
        <w:tc>
          <w:tcPr>
            <w:tcW w:w="4032" w:type="dxa"/>
            <w:shd w:val="clear" w:color="auto" w:fill="E7E6E6" w:themeFill="background2"/>
          </w:tcPr>
          <w:p w14:paraId="6BFC1230" w14:textId="77777777" w:rsidR="00003305" w:rsidRPr="00366942" w:rsidRDefault="00003305" w:rsidP="00003305">
            <w:pPr>
              <w:pStyle w:val="Citationenretrait"/>
              <w:ind w:left="0"/>
              <w:rPr>
                <w:b/>
                <w:bCs/>
                <w:i/>
                <w:iCs/>
              </w:rPr>
            </w:pPr>
            <w:r w:rsidRPr="00366942">
              <w:rPr>
                <w:b/>
                <w:bCs/>
                <w:i/>
                <w:iCs/>
              </w:rPr>
              <w:t>Non en vigueur</w:t>
            </w:r>
          </w:p>
          <w:p w14:paraId="5CD8D99A" w14:textId="6355C5BC" w:rsidR="00003305" w:rsidRPr="00366942" w:rsidRDefault="00003305" w:rsidP="00003305">
            <w:pPr>
              <w:pStyle w:val="Citationenretrait"/>
              <w:ind w:left="0" w:right="0"/>
            </w:pPr>
            <w:r w:rsidRPr="00366942">
              <w:tab/>
              <w:t>Il en est de même du coût de médicaments fournis à une personne admissible au sens de la Loi sur l’assurance médicaments, à l’extérieur du Québec, dans le cadre des activités d’un établissement suivant le troisième alinéa de l’article 8 de cette loi.</w:t>
            </w:r>
          </w:p>
          <w:p w14:paraId="0620DB11" w14:textId="71C74BB7" w:rsidR="00961A50" w:rsidRPr="00366942" w:rsidRDefault="00961A50" w:rsidP="00191C9C">
            <w:pPr>
              <w:pStyle w:val="Citationenretrait"/>
              <w:ind w:left="0" w:right="0"/>
            </w:pPr>
          </w:p>
        </w:tc>
      </w:tr>
      <w:tr w:rsidR="00366942" w:rsidRPr="00366942" w14:paraId="48A2C75A" w14:textId="77777777" w:rsidTr="009824F1">
        <w:tc>
          <w:tcPr>
            <w:tcW w:w="4032" w:type="dxa"/>
          </w:tcPr>
          <w:p w14:paraId="2770E644" w14:textId="128CE8BB" w:rsidR="00961A50" w:rsidRPr="00366942" w:rsidRDefault="00961A50" w:rsidP="00191C9C">
            <w:pPr>
              <w:pStyle w:val="Citationenretrait"/>
              <w:ind w:left="0" w:right="0"/>
              <w:rPr>
                <w:lang w:val="en-CA"/>
              </w:rPr>
            </w:pPr>
            <w:r w:rsidRPr="00366942">
              <w:tab/>
            </w:r>
            <w:r w:rsidR="00003305" w:rsidRPr="00366942">
              <w:rPr>
                <w:lang w:val="en-CA"/>
              </w:rPr>
              <w:t xml:space="preserve">However, the person shall only be entitled to claim the lesser of the amount actually paid for the services </w:t>
            </w:r>
            <w:r w:rsidR="00003305" w:rsidRPr="00366942">
              <w:rPr>
                <w:lang w:val="en-CA"/>
              </w:rPr>
              <w:lastRenderedPageBreak/>
              <w:t>and the amount established by the Board for such services paid in Québec.</w:t>
            </w:r>
          </w:p>
        </w:tc>
        <w:tc>
          <w:tcPr>
            <w:tcW w:w="4032" w:type="dxa"/>
          </w:tcPr>
          <w:p w14:paraId="313E9339" w14:textId="4F87433F" w:rsidR="00961A50" w:rsidRPr="00366942" w:rsidRDefault="00003305" w:rsidP="00191C9C">
            <w:pPr>
              <w:pStyle w:val="Citationenretrait"/>
              <w:ind w:left="0" w:right="0"/>
            </w:pPr>
            <w:r w:rsidRPr="00366942">
              <w:rPr>
                <w:lang w:val="en-CA"/>
              </w:rPr>
              <w:lastRenderedPageBreak/>
              <w:tab/>
            </w:r>
            <w:r w:rsidRPr="00366942">
              <w:t xml:space="preserve">Toutefois, elle n’a droit d’exiger que le moindre du montant qu’elle a effectivement payé pour ces services </w:t>
            </w:r>
            <w:r w:rsidRPr="00366942">
              <w:lastRenderedPageBreak/>
              <w:t>ou de celui établi par la Régie pour de tels services payés au Québec.</w:t>
            </w:r>
          </w:p>
        </w:tc>
      </w:tr>
      <w:tr w:rsidR="00366942" w:rsidRPr="00366942" w14:paraId="0C1309FC" w14:textId="77777777" w:rsidTr="009824F1">
        <w:tc>
          <w:tcPr>
            <w:tcW w:w="4032" w:type="dxa"/>
          </w:tcPr>
          <w:p w14:paraId="27C692C6" w14:textId="074B02CF" w:rsidR="00961A50" w:rsidRPr="00366942" w:rsidRDefault="00961A50" w:rsidP="00191C9C">
            <w:pPr>
              <w:pStyle w:val="Citationenretrait"/>
              <w:ind w:left="0" w:right="0"/>
              <w:rPr>
                <w:lang w:val="en-CA"/>
              </w:rPr>
            </w:pPr>
            <w:r w:rsidRPr="00366942">
              <w:tab/>
            </w:r>
            <w:r w:rsidR="00003305" w:rsidRPr="00366942">
              <w:rPr>
                <w:rFonts w:cs="Arial"/>
                <w:szCs w:val="22"/>
                <w:shd w:val="clear" w:color="auto" w:fill="FFFFFF"/>
                <w:lang w:val="en-CA"/>
              </w:rPr>
              <w:t>Notwithstanding the fourth paragraph, an insured person may exact the amount actually paid for medical services in the cases and on the conditions fixed by regulation.</w:t>
            </w:r>
          </w:p>
        </w:tc>
        <w:tc>
          <w:tcPr>
            <w:tcW w:w="4032" w:type="dxa"/>
          </w:tcPr>
          <w:p w14:paraId="07F98FEC" w14:textId="25F93371" w:rsidR="00961A50" w:rsidRPr="00366942" w:rsidRDefault="00961A50" w:rsidP="00191C9C">
            <w:pPr>
              <w:pStyle w:val="Citationenretrait"/>
              <w:ind w:left="0" w:right="0"/>
            </w:pPr>
            <w:r w:rsidRPr="00366942">
              <w:rPr>
                <w:lang w:val="en-CA"/>
              </w:rPr>
              <w:tab/>
            </w:r>
            <w:r w:rsidR="00003305" w:rsidRPr="00366942">
              <w:rPr>
                <w:rFonts w:cs="Arial"/>
                <w:szCs w:val="22"/>
                <w:shd w:val="clear" w:color="auto" w:fill="FFFFFF"/>
              </w:rPr>
              <w:t>Malgré le quatrième alinéa, une personne assurée peut exiger le montant effectivement payé pour des services médicaux dans les cas et conditions déterminés par règlement.</w:t>
            </w:r>
          </w:p>
        </w:tc>
      </w:tr>
    </w:tbl>
    <w:p w14:paraId="5172B355" w14:textId="3493B546" w:rsidR="00961A50" w:rsidRPr="00366942" w:rsidRDefault="00FA389A" w:rsidP="00961A50">
      <w:pPr>
        <w:pStyle w:val="Paragraphe"/>
        <w:rPr>
          <w:lang w:val="en-CA"/>
        </w:rPr>
      </w:pPr>
      <w:r w:rsidRPr="00366942">
        <w:rPr>
          <w:lang w:val="en-CA"/>
        </w:rPr>
        <w:t>Although t</w:t>
      </w:r>
      <w:r w:rsidR="006C6EB8" w:rsidRPr="00366942">
        <w:rPr>
          <w:lang w:val="en-CA"/>
        </w:rPr>
        <w:t xml:space="preserve">he appellant is challenging </w:t>
      </w:r>
      <w:r w:rsidR="00500A39" w:rsidRPr="00366942">
        <w:rPr>
          <w:lang w:val="en-CA"/>
        </w:rPr>
        <w:t>only the fourth paragraph of that provision,</w:t>
      </w:r>
      <w:r w:rsidRPr="00366942">
        <w:rPr>
          <w:lang w:val="en-CA"/>
        </w:rPr>
        <w:t xml:space="preserve"> as we have just seen, </w:t>
      </w:r>
      <w:r w:rsidR="00500A39" w:rsidRPr="00366942">
        <w:rPr>
          <w:lang w:val="en-CA"/>
        </w:rPr>
        <w:t>the first and fifth paragraphs provide useful context</w:t>
      </w:r>
      <w:r w:rsidR="00961A50" w:rsidRPr="00366942">
        <w:rPr>
          <w:lang w:val="en-CA"/>
        </w:rPr>
        <w:t xml:space="preserve">: </w:t>
      </w:r>
      <w:r w:rsidR="00500A39" w:rsidRPr="00366942">
        <w:rPr>
          <w:lang w:val="en-CA"/>
        </w:rPr>
        <w:t xml:space="preserve">the first paragraph sets out the principle </w:t>
      </w:r>
      <w:r w:rsidR="00EE38F7" w:rsidRPr="00366942">
        <w:rPr>
          <w:lang w:val="en-CA"/>
        </w:rPr>
        <w:t>applicable to</w:t>
      </w:r>
      <w:r w:rsidR="00500A39" w:rsidRPr="00366942">
        <w:rPr>
          <w:lang w:val="en-CA"/>
        </w:rPr>
        <w:t xml:space="preserve"> insured services received outside Quebec, </w:t>
      </w:r>
      <w:r w:rsidR="006C6EB8" w:rsidRPr="00366942">
        <w:rPr>
          <w:lang w:val="en-CA"/>
        </w:rPr>
        <w:t>a principle delimited</w:t>
      </w:r>
      <w:r w:rsidR="00500A39" w:rsidRPr="00366942">
        <w:rPr>
          <w:lang w:val="en-CA"/>
        </w:rPr>
        <w:t xml:space="preserve"> by the fourth paragraph</w:t>
      </w:r>
      <w:r w:rsidR="00961A50" w:rsidRPr="00366942">
        <w:rPr>
          <w:lang w:val="en-CA"/>
        </w:rPr>
        <w:t xml:space="preserve">, </w:t>
      </w:r>
      <w:r w:rsidR="00500A39" w:rsidRPr="00366942">
        <w:rPr>
          <w:lang w:val="en-CA"/>
        </w:rPr>
        <w:t xml:space="preserve">whereas the fifth provides an exception to that limit, by </w:t>
      </w:r>
      <w:r w:rsidRPr="00366942">
        <w:rPr>
          <w:lang w:val="en-CA"/>
        </w:rPr>
        <w:t xml:space="preserve">way of </w:t>
      </w:r>
      <w:r w:rsidR="00500A39" w:rsidRPr="00366942">
        <w:rPr>
          <w:lang w:val="en-CA"/>
        </w:rPr>
        <w:t>regulation (an exception that does not apply to the appellant’s situation.</w:t>
      </w:r>
      <w:r w:rsidR="00961A50" w:rsidRPr="00366942">
        <w:rPr>
          <w:lang w:val="en-CA"/>
        </w:rPr>
        <w:t>)</w:t>
      </w:r>
      <w:r w:rsidR="00961A50" w:rsidRPr="00366942">
        <w:rPr>
          <w:rStyle w:val="Appelnotedebasdep"/>
          <w:lang w:val="en-CA"/>
        </w:rPr>
        <w:footnoteReference w:id="47"/>
      </w:r>
      <w:r w:rsidR="00500A39" w:rsidRPr="00366942">
        <w:rPr>
          <w:lang w:val="en-CA"/>
        </w:rPr>
        <w:t xml:space="preserve"> </w:t>
      </w:r>
      <w:r w:rsidR="00EE38F7" w:rsidRPr="00366942">
        <w:rPr>
          <w:lang w:val="en-CA"/>
        </w:rPr>
        <w:t xml:space="preserve">We </w:t>
      </w:r>
      <w:r w:rsidRPr="00366942">
        <w:rPr>
          <w:lang w:val="en-CA"/>
        </w:rPr>
        <w:t>further</w:t>
      </w:r>
      <w:r w:rsidR="00500A39" w:rsidRPr="00366942">
        <w:rPr>
          <w:lang w:val="en-CA"/>
        </w:rPr>
        <w:t xml:space="preserve"> not</w:t>
      </w:r>
      <w:r w:rsidR="00EE38F7" w:rsidRPr="00366942">
        <w:rPr>
          <w:lang w:val="en-CA"/>
        </w:rPr>
        <w:t>e</w:t>
      </w:r>
      <w:r w:rsidR="00500A39" w:rsidRPr="00366942">
        <w:rPr>
          <w:lang w:val="en-CA"/>
        </w:rPr>
        <w:t xml:space="preserve"> that under s</w:t>
      </w:r>
      <w:r w:rsidR="00961A50" w:rsidRPr="00366942">
        <w:rPr>
          <w:lang w:val="en-CA"/>
        </w:rPr>
        <w:t xml:space="preserve">. 11 </w:t>
      </w:r>
      <w:r w:rsidR="00500A39" w:rsidRPr="00366942">
        <w:rPr>
          <w:i/>
          <w:iCs/>
          <w:lang w:val="en-CA"/>
        </w:rPr>
        <w:t>HIA</w:t>
      </w:r>
      <w:r w:rsidR="00961A50" w:rsidRPr="00366942">
        <w:rPr>
          <w:lang w:val="en-CA"/>
        </w:rPr>
        <w:t xml:space="preserve">, </w:t>
      </w:r>
      <w:r w:rsidR="00500A39" w:rsidRPr="00366942">
        <w:rPr>
          <w:lang w:val="en-CA"/>
        </w:rPr>
        <w:t xml:space="preserve">the Board may also, </w:t>
      </w:r>
      <w:r w:rsidR="00EE38F7" w:rsidRPr="00366942">
        <w:rPr>
          <w:lang w:val="en-CA"/>
        </w:rPr>
        <w:t>rather than</w:t>
      </w:r>
      <w:r w:rsidR="00500A39" w:rsidRPr="00366942">
        <w:rPr>
          <w:lang w:val="en-CA"/>
        </w:rPr>
        <w:t xml:space="preserve"> proceeding </w:t>
      </w:r>
      <w:r w:rsidR="00EE38F7" w:rsidRPr="00366942">
        <w:rPr>
          <w:lang w:val="en-CA"/>
        </w:rPr>
        <w:t>b</w:t>
      </w:r>
      <w:r w:rsidR="00500A39" w:rsidRPr="00366942">
        <w:rPr>
          <w:lang w:val="en-CA"/>
        </w:rPr>
        <w:t xml:space="preserve">y way of reimbursement, where circumstances warrant, </w:t>
      </w:r>
      <w:r w:rsidR="008B72DD" w:rsidRPr="00366942">
        <w:rPr>
          <w:lang w:val="en-CA"/>
        </w:rPr>
        <w:t xml:space="preserve">assume </w:t>
      </w:r>
      <w:r w:rsidRPr="00366942">
        <w:rPr>
          <w:lang w:val="en-CA"/>
        </w:rPr>
        <w:t>up front</w:t>
      </w:r>
      <w:r w:rsidR="008B72DD" w:rsidRPr="00366942">
        <w:rPr>
          <w:lang w:val="en-CA"/>
        </w:rPr>
        <w:t xml:space="preserve"> the costs </w:t>
      </w:r>
      <w:r w:rsidRPr="00366942">
        <w:rPr>
          <w:lang w:val="en-CA"/>
        </w:rPr>
        <w:t>incurred</w:t>
      </w:r>
      <w:r w:rsidR="008B72DD" w:rsidRPr="00366942">
        <w:rPr>
          <w:lang w:val="en-CA"/>
        </w:rPr>
        <w:t xml:space="preserve"> outside Quebec (and </w:t>
      </w:r>
      <w:r w:rsidRPr="00366942">
        <w:rPr>
          <w:lang w:val="en-CA"/>
        </w:rPr>
        <w:t xml:space="preserve">directly </w:t>
      </w:r>
      <w:r w:rsidR="008B72DD" w:rsidRPr="00366942">
        <w:rPr>
          <w:lang w:val="en-CA"/>
        </w:rPr>
        <w:t xml:space="preserve">pay the health professionals that </w:t>
      </w:r>
      <w:r w:rsidRPr="00366942">
        <w:rPr>
          <w:lang w:val="en-CA"/>
        </w:rPr>
        <w:t>rendered</w:t>
      </w:r>
      <w:r w:rsidR="008B72DD" w:rsidRPr="00366942">
        <w:rPr>
          <w:lang w:val="en-CA"/>
        </w:rPr>
        <w:t xml:space="preserve"> the ca</w:t>
      </w:r>
      <w:r w:rsidR="00EE38F7" w:rsidRPr="00366942">
        <w:rPr>
          <w:lang w:val="en-CA"/>
        </w:rPr>
        <w:t>r</w:t>
      </w:r>
      <w:r w:rsidR="008B72DD" w:rsidRPr="00366942">
        <w:rPr>
          <w:lang w:val="en-CA"/>
        </w:rPr>
        <w:t>e)</w:t>
      </w:r>
      <w:r w:rsidR="00EE38F7" w:rsidRPr="00366942">
        <w:rPr>
          <w:lang w:val="en-CA"/>
        </w:rPr>
        <w:t>,</w:t>
      </w:r>
      <w:r w:rsidR="00961A50" w:rsidRPr="00366942">
        <w:rPr>
          <w:lang w:val="en-CA"/>
        </w:rPr>
        <w:t xml:space="preserve"> </w:t>
      </w:r>
      <w:r w:rsidR="008B72DD" w:rsidRPr="00366942">
        <w:rPr>
          <w:lang w:val="en-CA"/>
        </w:rPr>
        <w:t>but</w:t>
      </w:r>
      <w:r w:rsidRPr="00366942">
        <w:rPr>
          <w:lang w:val="en-CA"/>
        </w:rPr>
        <w:t>,</w:t>
      </w:r>
      <w:r w:rsidR="008B72DD" w:rsidRPr="00366942">
        <w:rPr>
          <w:lang w:val="en-CA"/>
        </w:rPr>
        <w:t xml:space="preserve"> again</w:t>
      </w:r>
      <w:r w:rsidRPr="00366942">
        <w:rPr>
          <w:lang w:val="en-CA"/>
        </w:rPr>
        <w:t>,</w:t>
      </w:r>
      <w:r w:rsidR="008B72DD" w:rsidRPr="00366942">
        <w:rPr>
          <w:lang w:val="en-CA"/>
        </w:rPr>
        <w:t xml:space="preserve"> up to the limit provided by the fourth paragraph of </w:t>
      </w:r>
      <w:r w:rsidR="00961A50" w:rsidRPr="00366942">
        <w:rPr>
          <w:lang w:val="en-CA"/>
        </w:rPr>
        <w:t xml:space="preserve"> </w:t>
      </w:r>
      <w:r w:rsidR="008B72DD" w:rsidRPr="00366942">
        <w:rPr>
          <w:lang w:val="en-CA"/>
        </w:rPr>
        <w:t xml:space="preserve">s. </w:t>
      </w:r>
      <w:r w:rsidR="00961A50" w:rsidRPr="00366942">
        <w:rPr>
          <w:lang w:val="en-CA"/>
        </w:rPr>
        <w:t xml:space="preserve">10, </w:t>
      </w:r>
      <w:r w:rsidR="008B72DD" w:rsidRPr="00366942">
        <w:rPr>
          <w:lang w:val="en-CA"/>
        </w:rPr>
        <w:t>subject to</w:t>
      </w:r>
      <w:r w:rsidR="006C6EB8" w:rsidRPr="00366942">
        <w:rPr>
          <w:lang w:val="en-CA"/>
        </w:rPr>
        <w:t xml:space="preserve"> </w:t>
      </w:r>
      <w:r w:rsidR="008B72DD" w:rsidRPr="00366942">
        <w:rPr>
          <w:lang w:val="en-CA"/>
        </w:rPr>
        <w:t>a single</w:t>
      </w:r>
      <w:r w:rsidR="00961A50" w:rsidRPr="00366942">
        <w:rPr>
          <w:lang w:val="en-CA"/>
        </w:rPr>
        <w:t xml:space="preserve"> exception</w:t>
      </w:r>
      <w:r w:rsidR="008B72DD"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52AD4032" w14:textId="77777777" w:rsidTr="00191C9C">
        <w:tc>
          <w:tcPr>
            <w:tcW w:w="4032" w:type="dxa"/>
          </w:tcPr>
          <w:p w14:paraId="385692DB" w14:textId="72FC88E5" w:rsidR="00961A50" w:rsidRPr="00366942" w:rsidRDefault="00961A50" w:rsidP="00191C9C">
            <w:pPr>
              <w:pStyle w:val="Citationenretrait"/>
              <w:ind w:left="0" w:right="0"/>
              <w:rPr>
                <w:lang w:val="en-CA"/>
              </w:rPr>
            </w:pPr>
            <w:r w:rsidRPr="00366942">
              <w:rPr>
                <w:b/>
                <w:bCs/>
                <w:lang w:val="en-CA"/>
              </w:rPr>
              <w:t>11.</w:t>
            </w:r>
            <w:r w:rsidRPr="00366942">
              <w:rPr>
                <w:lang w:val="en-CA"/>
              </w:rPr>
              <w:tab/>
            </w:r>
            <w:r w:rsidR="004439BC" w:rsidRPr="00366942">
              <w:rPr>
                <w:rFonts w:cs="Arial"/>
                <w:szCs w:val="22"/>
                <w:shd w:val="clear" w:color="auto" w:fill="FFFFFF"/>
                <w:lang w:val="en-CA"/>
              </w:rPr>
              <w:t>The Board itself may also assume, on behalf of any insured person, payment of the cost of the services contemplated in section 10 upon presentation of a statement of fees and after having obtained the information it needs to justify the payment claimed.</w:t>
            </w:r>
          </w:p>
        </w:tc>
        <w:tc>
          <w:tcPr>
            <w:tcW w:w="4032" w:type="dxa"/>
          </w:tcPr>
          <w:p w14:paraId="6C4CA044" w14:textId="32EBE52A" w:rsidR="00961A50" w:rsidRPr="00366942" w:rsidRDefault="00961A50" w:rsidP="00191C9C">
            <w:pPr>
              <w:pStyle w:val="Citationenretrait"/>
              <w:ind w:left="0" w:right="0"/>
            </w:pPr>
            <w:r w:rsidRPr="00366942">
              <w:rPr>
                <w:b/>
                <w:bCs/>
              </w:rPr>
              <w:t>11.</w:t>
            </w:r>
            <w:r w:rsidRPr="00366942">
              <w:tab/>
            </w:r>
            <w:r w:rsidR="004439BC" w:rsidRPr="00366942">
              <w:t>La Régie peut aussi assumer elle-même, pour le compte d’une personne assurée, le paiement du coût des services visés dans l’article 10, sur présentation d’un relevé d’honoraires et après avoir obtenu les renseignements dont elle a besoin pour justifier le paiement réclamé.</w:t>
            </w:r>
          </w:p>
        </w:tc>
      </w:tr>
      <w:tr w:rsidR="00366942" w:rsidRPr="00366942" w14:paraId="0A8332EB" w14:textId="77777777" w:rsidTr="00191C9C">
        <w:tc>
          <w:tcPr>
            <w:tcW w:w="4032" w:type="dxa"/>
          </w:tcPr>
          <w:p w14:paraId="5B84A2CB" w14:textId="014B7276" w:rsidR="00961A50" w:rsidRPr="00366942" w:rsidRDefault="00961A50" w:rsidP="00191C9C">
            <w:pPr>
              <w:pStyle w:val="Citationenretrait"/>
              <w:ind w:left="0" w:right="0"/>
              <w:rPr>
                <w:lang w:val="en-CA"/>
              </w:rPr>
            </w:pPr>
            <w:r w:rsidRPr="00366942">
              <w:tab/>
            </w:r>
            <w:r w:rsidR="004439BC" w:rsidRPr="00366942">
              <w:rPr>
                <w:lang w:val="en-CA"/>
              </w:rPr>
              <w:t>Nevertheless, it shall not so pay an amount higher than that which it would have paid upon presentation of a receipt for fees under section 10.</w:t>
            </w:r>
          </w:p>
        </w:tc>
        <w:tc>
          <w:tcPr>
            <w:tcW w:w="4032" w:type="dxa"/>
          </w:tcPr>
          <w:p w14:paraId="0A661D6A" w14:textId="1E7EFC74" w:rsidR="00961A50" w:rsidRPr="00366942" w:rsidRDefault="00961A50" w:rsidP="00191C9C">
            <w:pPr>
              <w:pStyle w:val="Citationenretrait"/>
              <w:ind w:left="0" w:right="0"/>
            </w:pPr>
            <w:r w:rsidRPr="00366942">
              <w:rPr>
                <w:lang w:val="en-CA"/>
              </w:rPr>
              <w:tab/>
            </w:r>
            <w:r w:rsidR="004439BC" w:rsidRPr="00366942">
              <w:rPr>
                <w:rFonts w:cs="Arial"/>
                <w:szCs w:val="22"/>
                <w:shd w:val="clear" w:color="auto" w:fill="FFFFFF"/>
              </w:rPr>
              <w:t>Elle ne peut toutefois payer ainsi un montant supérieur à celui qu’elle aurait payé sur présentation d’un reçu d’honoraires en vertu de l’article 10.</w:t>
            </w:r>
          </w:p>
        </w:tc>
      </w:tr>
      <w:tr w:rsidR="00366942" w:rsidRPr="00366942" w14:paraId="5777C695" w14:textId="77777777" w:rsidTr="00191C9C">
        <w:tc>
          <w:tcPr>
            <w:tcW w:w="4032" w:type="dxa"/>
          </w:tcPr>
          <w:p w14:paraId="664518D1" w14:textId="5199DC13" w:rsidR="00961A50" w:rsidRPr="00366942" w:rsidRDefault="00961A50" w:rsidP="004439BC">
            <w:pPr>
              <w:pStyle w:val="Citationenretrait"/>
              <w:ind w:left="0" w:right="0"/>
              <w:rPr>
                <w:lang w:val="en-CA"/>
              </w:rPr>
            </w:pPr>
            <w:r w:rsidRPr="00366942">
              <w:tab/>
            </w:r>
            <w:r w:rsidR="004439BC" w:rsidRPr="00366942">
              <w:rPr>
                <w:rFonts w:cs="Arial"/>
                <w:szCs w:val="22"/>
                <w:lang w:val="en-CA" w:eastAsia="fr-CA"/>
              </w:rPr>
              <w:t>Notwithstanding the second paragraph, it may assume payment of the amount claimed for medical services in the cases and on the conditions fixed by regulation.</w:t>
            </w:r>
          </w:p>
        </w:tc>
        <w:tc>
          <w:tcPr>
            <w:tcW w:w="4032" w:type="dxa"/>
          </w:tcPr>
          <w:p w14:paraId="41F10C75" w14:textId="7D45BD1D" w:rsidR="00961A50" w:rsidRPr="00366942" w:rsidRDefault="00961A50" w:rsidP="004439BC">
            <w:pPr>
              <w:shd w:val="clear" w:color="auto" w:fill="FFFFFF"/>
              <w:spacing w:before="120" w:after="120" w:line="240" w:lineRule="auto"/>
              <w:jc w:val="both"/>
              <w:rPr>
                <w:rFonts w:cs="Arial"/>
                <w:sz w:val="22"/>
                <w:szCs w:val="22"/>
                <w:lang w:eastAsia="fr-CA"/>
              </w:rPr>
            </w:pPr>
            <w:r w:rsidRPr="00366942">
              <w:rPr>
                <w:lang w:val="en-CA"/>
              </w:rPr>
              <w:tab/>
            </w:r>
            <w:r w:rsidR="004439BC" w:rsidRPr="00366942">
              <w:rPr>
                <w:sz w:val="22"/>
                <w:szCs w:val="22"/>
              </w:rPr>
              <w:t>Malgré le deuxième alinéa, elle peut assumer le coût effectivement réclamé pour des services médicaux dans les cas et conditions déterminés par règlement.</w:t>
            </w:r>
          </w:p>
        </w:tc>
      </w:tr>
    </w:tbl>
    <w:p w14:paraId="290A396B" w14:textId="16873611" w:rsidR="00961A50" w:rsidRPr="00366942" w:rsidRDefault="002C42A0" w:rsidP="00961A50">
      <w:pPr>
        <w:pStyle w:val="Paragraphe"/>
        <w:rPr>
          <w:lang w:val="en-CA"/>
        </w:rPr>
      </w:pPr>
      <w:r w:rsidRPr="00366942">
        <w:rPr>
          <w:lang w:val="en-CA"/>
        </w:rPr>
        <w:lastRenderedPageBreak/>
        <w:t xml:space="preserve">Our inquiry </w:t>
      </w:r>
      <w:r w:rsidR="00E25B30" w:rsidRPr="00366942">
        <w:rPr>
          <w:lang w:val="en-CA"/>
        </w:rPr>
        <w:t xml:space="preserve">must </w:t>
      </w:r>
      <w:r w:rsidRPr="00366942">
        <w:rPr>
          <w:lang w:val="en-CA"/>
        </w:rPr>
        <w:t>then turn</w:t>
      </w:r>
      <w:r w:rsidR="00E25B30" w:rsidRPr="00366942">
        <w:rPr>
          <w:lang w:val="en-CA"/>
        </w:rPr>
        <w:t xml:space="preserve"> to </w:t>
      </w:r>
      <w:r w:rsidRPr="00366942">
        <w:rPr>
          <w:lang w:val="en-CA"/>
        </w:rPr>
        <w:t>explain</w:t>
      </w:r>
      <w:r w:rsidR="00E25B30" w:rsidRPr="00366942">
        <w:rPr>
          <w:lang w:val="en-CA"/>
        </w:rPr>
        <w:t>ing</w:t>
      </w:r>
      <w:r w:rsidRPr="00366942">
        <w:rPr>
          <w:lang w:val="en-CA"/>
        </w:rPr>
        <w:t xml:space="preserve"> the ambit of ss.</w:t>
      </w:r>
      <w:r w:rsidR="00961A50" w:rsidRPr="00366942">
        <w:rPr>
          <w:lang w:val="en-CA"/>
        </w:rPr>
        <w:t xml:space="preserve"> 10 </w:t>
      </w:r>
      <w:r w:rsidRPr="00366942">
        <w:rPr>
          <w:lang w:val="en-CA"/>
        </w:rPr>
        <w:t>and</w:t>
      </w:r>
      <w:r w:rsidR="00961A50" w:rsidRPr="00366942">
        <w:rPr>
          <w:lang w:val="en-CA"/>
        </w:rPr>
        <w:t xml:space="preserve"> 11 </w:t>
      </w:r>
      <w:r w:rsidRPr="00366942">
        <w:rPr>
          <w:i/>
          <w:iCs/>
          <w:lang w:val="en-CA"/>
        </w:rPr>
        <w:t>HIA</w:t>
      </w:r>
      <w:r w:rsidR="00961A50" w:rsidRPr="00366942">
        <w:rPr>
          <w:lang w:val="en-CA"/>
        </w:rPr>
        <w:t xml:space="preserve">, </w:t>
      </w:r>
      <w:r w:rsidRPr="00366942">
        <w:rPr>
          <w:lang w:val="en-CA"/>
        </w:rPr>
        <w:t>which also determine</w:t>
      </w:r>
      <w:r w:rsidR="00F230E5" w:rsidRPr="00366942">
        <w:rPr>
          <w:lang w:val="en-CA"/>
        </w:rPr>
        <w:t>s</w:t>
      </w:r>
      <w:r w:rsidRPr="00366942">
        <w:rPr>
          <w:lang w:val="en-CA"/>
        </w:rPr>
        <w:t xml:space="preserve"> the scope of the challenge</w:t>
      </w:r>
      <w:r w:rsidR="00961A50" w:rsidRPr="00366942">
        <w:rPr>
          <w:lang w:val="en-CA"/>
        </w:rPr>
        <w:t>.</w:t>
      </w:r>
    </w:p>
    <w:p w14:paraId="523F5CD0" w14:textId="33B44807" w:rsidR="00B648BC" w:rsidRPr="00366942" w:rsidRDefault="002C42A0" w:rsidP="00961A50">
      <w:pPr>
        <w:pStyle w:val="Paragraphe"/>
        <w:rPr>
          <w:lang w:val="en-CA"/>
        </w:rPr>
      </w:pPr>
      <w:r w:rsidRPr="00366942">
        <w:rPr>
          <w:lang w:val="en-CA"/>
        </w:rPr>
        <w:t xml:space="preserve">These provisions </w:t>
      </w:r>
      <w:r w:rsidR="00F230E5" w:rsidRPr="00366942">
        <w:rPr>
          <w:lang w:val="en-CA"/>
        </w:rPr>
        <w:t>cover</w:t>
      </w:r>
      <w:r w:rsidRPr="00366942">
        <w:rPr>
          <w:lang w:val="en-CA"/>
        </w:rPr>
        <w:t xml:space="preserve"> the reimbursement or payment of the cost of</w:t>
      </w:r>
      <w:r w:rsidR="00B648BC" w:rsidRPr="00366942">
        <w:rPr>
          <w:lang w:val="en-CA"/>
        </w:rPr>
        <w:t xml:space="preserve"> </w:t>
      </w:r>
      <w:r w:rsidRPr="00366942">
        <w:rPr>
          <w:lang w:val="en-CA"/>
        </w:rPr>
        <w:t xml:space="preserve">“insured services furnished </w:t>
      </w:r>
      <w:r w:rsidR="008D3843" w:rsidRPr="00366942">
        <w:rPr>
          <w:lang w:val="en-CA"/>
        </w:rPr>
        <w:t>[…]</w:t>
      </w:r>
      <w:r w:rsidRPr="00366942">
        <w:rPr>
          <w:lang w:val="en-CA"/>
        </w:rPr>
        <w:t xml:space="preserve"> outside Québec  / </w:t>
      </w:r>
      <w:r w:rsidRPr="00366942">
        <w:rPr>
          <w:i/>
          <w:iCs/>
          <w:lang w:val="en-CA"/>
        </w:rPr>
        <w:t>services assur</w:t>
      </w:r>
      <w:r w:rsidR="00E25B30" w:rsidRPr="00366942">
        <w:rPr>
          <w:i/>
          <w:iCs/>
          <w:lang w:val="en-CA"/>
        </w:rPr>
        <w:t>é</w:t>
      </w:r>
      <w:r w:rsidRPr="00366942">
        <w:rPr>
          <w:i/>
          <w:iCs/>
          <w:lang w:val="en-CA"/>
        </w:rPr>
        <w:t xml:space="preserve">s </w:t>
      </w:r>
      <w:r w:rsidR="00B648BC" w:rsidRPr="00366942">
        <w:rPr>
          <w:i/>
          <w:iCs/>
          <w:lang w:val="en-CA"/>
        </w:rPr>
        <w:t>[…] fournis en dehors du Québec</w:t>
      </w:r>
      <w:r w:rsidRPr="00366942">
        <w:rPr>
          <w:lang w:val="en-CA"/>
        </w:rPr>
        <w:t>”</w:t>
      </w:r>
      <w:r w:rsidR="00B648BC" w:rsidRPr="00366942">
        <w:rPr>
          <w:lang w:val="en-CA"/>
        </w:rPr>
        <w:t xml:space="preserve"> (</w:t>
      </w:r>
      <w:r w:rsidRPr="00366942">
        <w:rPr>
          <w:lang w:val="en-CA"/>
        </w:rPr>
        <w:t>s</w:t>
      </w:r>
      <w:r w:rsidR="00B648BC" w:rsidRPr="00366942">
        <w:rPr>
          <w:lang w:val="en-CA"/>
        </w:rPr>
        <w:t xml:space="preserve">. 10 </w:t>
      </w:r>
      <w:r w:rsidRPr="00366942">
        <w:rPr>
          <w:i/>
          <w:iCs/>
          <w:lang w:val="en-CA"/>
        </w:rPr>
        <w:t>HIA</w:t>
      </w:r>
      <w:r w:rsidR="00B648BC" w:rsidRPr="00366942">
        <w:rPr>
          <w:lang w:val="en-CA"/>
        </w:rPr>
        <w:t>)</w:t>
      </w:r>
      <w:r w:rsidR="00961A50" w:rsidRPr="00366942">
        <w:rPr>
          <w:lang w:val="en-CA"/>
        </w:rPr>
        <w:t xml:space="preserve">, </w:t>
      </w:r>
      <w:r w:rsidRPr="00366942">
        <w:rPr>
          <w:lang w:val="en-CA"/>
        </w:rPr>
        <w:t>insured services being defined as follows by</w:t>
      </w:r>
      <w:r w:rsidR="00961A50" w:rsidRPr="00366942">
        <w:rPr>
          <w:lang w:val="en-CA"/>
        </w:rPr>
        <w:t xml:space="preserve"> </w:t>
      </w:r>
      <w:r w:rsidRPr="00366942">
        <w:rPr>
          <w:lang w:val="en-CA"/>
        </w:rPr>
        <w:t>s</w:t>
      </w:r>
      <w:r w:rsidR="00961A50" w:rsidRPr="00366942">
        <w:rPr>
          <w:lang w:val="en-CA"/>
        </w:rPr>
        <w:t>. 1</w:t>
      </w:r>
      <w:r w:rsidR="00E25B30" w:rsidRPr="00366942">
        <w:rPr>
          <w:lang w:val="en-CA"/>
        </w:rPr>
        <w:t>,</w:t>
      </w:r>
      <w:r w:rsidR="00961A50" w:rsidRPr="00366942">
        <w:rPr>
          <w:lang w:val="en-CA"/>
        </w:rPr>
        <w:t xml:space="preserve"> </w:t>
      </w:r>
      <w:r w:rsidRPr="00366942">
        <w:rPr>
          <w:lang w:val="en-CA"/>
        </w:rPr>
        <w:t>para</w:t>
      </w:r>
      <w:r w:rsidR="00961A50" w:rsidRPr="00366942">
        <w:rPr>
          <w:lang w:val="en-CA"/>
        </w:rPr>
        <w:t>. 1</w:t>
      </w:r>
      <w:r w:rsidRPr="00366942">
        <w:rPr>
          <w:i/>
          <w:iCs/>
          <w:lang w:val="en-CA"/>
        </w:rPr>
        <w:t>(</w:t>
      </w:r>
      <w:r w:rsidR="00961A50" w:rsidRPr="00366942">
        <w:rPr>
          <w:i/>
          <w:iCs/>
          <w:lang w:val="en-CA"/>
        </w:rPr>
        <w:t>a)</w:t>
      </w:r>
      <w:r w:rsidR="00961A50" w:rsidRPr="00366942">
        <w:rPr>
          <w:lang w:val="en-CA"/>
        </w:rPr>
        <w:t xml:space="preserve"> </w:t>
      </w:r>
      <w:r w:rsidRPr="00366942">
        <w:rPr>
          <w:i/>
          <w:iCs/>
          <w:lang w:val="en-CA"/>
        </w:rPr>
        <w:t>HIA</w:t>
      </w:r>
      <w:r w:rsidR="00961A50"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1D3E5631" w14:textId="77777777" w:rsidTr="00B648BC">
        <w:tc>
          <w:tcPr>
            <w:tcW w:w="4032" w:type="dxa"/>
          </w:tcPr>
          <w:p w14:paraId="2743861C" w14:textId="72AF7ED3" w:rsidR="00B648BC" w:rsidRPr="00366942" w:rsidRDefault="00B648BC" w:rsidP="00B648BC">
            <w:pPr>
              <w:pStyle w:val="Citationenretrait"/>
              <w:ind w:left="0" w:right="0"/>
              <w:rPr>
                <w:b/>
                <w:bCs/>
                <w:lang w:val="en-CA"/>
              </w:rPr>
            </w:pPr>
            <w:r w:rsidRPr="00366942">
              <w:rPr>
                <w:b/>
                <w:bCs/>
                <w:lang w:val="en-CA"/>
              </w:rPr>
              <w:t>1.</w:t>
            </w:r>
            <w:r w:rsidRPr="00366942">
              <w:rPr>
                <w:lang w:val="en-CA"/>
              </w:rPr>
              <w:tab/>
            </w:r>
            <w:r w:rsidR="00015072" w:rsidRPr="00366942">
              <w:rPr>
                <w:lang w:val="en-CA"/>
              </w:rPr>
              <w:t>In this Act, unless the context indicates a different meaning, the following expressions and words mean or designate:</w:t>
            </w:r>
          </w:p>
        </w:tc>
        <w:tc>
          <w:tcPr>
            <w:tcW w:w="4032" w:type="dxa"/>
          </w:tcPr>
          <w:p w14:paraId="647CA7CD" w14:textId="5C32B3B5" w:rsidR="00B648BC" w:rsidRPr="00366942" w:rsidRDefault="00B648BC" w:rsidP="00B648BC">
            <w:pPr>
              <w:pStyle w:val="Citationenretrait"/>
              <w:ind w:left="0" w:right="0"/>
            </w:pPr>
            <w:r w:rsidRPr="00366942">
              <w:rPr>
                <w:b/>
                <w:bCs/>
              </w:rPr>
              <w:t>1.</w:t>
            </w:r>
            <w:r w:rsidRPr="00366942">
              <w:tab/>
            </w:r>
            <w:r w:rsidR="00015072" w:rsidRPr="00366942">
              <w:t>Dans la présente loi, à moins que le contexte n’indique un sens différent, les expressions et mots suivants signifient ou désignent :</w:t>
            </w:r>
          </w:p>
        </w:tc>
      </w:tr>
      <w:tr w:rsidR="00366942" w:rsidRPr="00366942" w14:paraId="30CCAECB" w14:textId="77777777" w:rsidTr="00B648BC">
        <w:tc>
          <w:tcPr>
            <w:tcW w:w="4032" w:type="dxa"/>
          </w:tcPr>
          <w:p w14:paraId="4FCEC266" w14:textId="729FA8B7" w:rsidR="00B648BC" w:rsidRPr="00366942" w:rsidRDefault="00015072" w:rsidP="00B648BC">
            <w:pPr>
              <w:pStyle w:val="Citationenretrait"/>
              <w:ind w:left="0" w:right="0"/>
              <w:rPr>
                <w:lang w:val="en-CA"/>
              </w:rPr>
            </w:pPr>
            <w:r w:rsidRPr="00366942">
              <w:rPr>
                <w:i/>
                <w:iCs/>
                <w:lang w:val="en-CA"/>
              </w:rPr>
              <w:t>(a)  </w:t>
            </w:r>
            <w:r w:rsidRPr="00366942">
              <w:rPr>
                <w:lang w:val="en-CA"/>
              </w:rPr>
              <w:t>“insured services” : the services, medications, devices or other equipment that compensate for a physical deficiency, visual or hearing aids and communication devices contemplated in section 3</w:t>
            </w:r>
            <w:r w:rsidR="00B648BC" w:rsidRPr="00366942">
              <w:rPr>
                <w:lang w:val="en-CA"/>
              </w:rPr>
              <w:t xml:space="preserve">; </w:t>
            </w:r>
          </w:p>
        </w:tc>
        <w:tc>
          <w:tcPr>
            <w:tcW w:w="4032" w:type="dxa"/>
          </w:tcPr>
          <w:p w14:paraId="4A04AF7A" w14:textId="59EADA6E" w:rsidR="00B648BC" w:rsidRPr="00366942" w:rsidRDefault="002A1012" w:rsidP="00B648BC">
            <w:pPr>
              <w:pStyle w:val="Citationenretrait"/>
              <w:ind w:left="0" w:right="0"/>
            </w:pPr>
            <w:r w:rsidRPr="00366942">
              <w:t>a)  « services assurés » : les services, médicaments, appareils ou autres équipements suppléant à une déficience physique, aides visuelles, aides auditives et aides à la communication visés dans l’article 3</w:t>
            </w:r>
            <w:r w:rsidR="00B648BC" w:rsidRPr="00366942">
              <w:t>;</w:t>
            </w:r>
          </w:p>
        </w:tc>
      </w:tr>
    </w:tbl>
    <w:p w14:paraId="084977F2" w14:textId="4A8FDC47" w:rsidR="00961A50" w:rsidRPr="00366942" w:rsidRDefault="00E25B30" w:rsidP="008318BC">
      <w:pPr>
        <w:pStyle w:val="Paragraphe"/>
        <w:rPr>
          <w:lang w:val="en-CA"/>
        </w:rPr>
      </w:pPr>
      <w:r w:rsidRPr="00366942">
        <w:t>Section</w:t>
      </w:r>
      <w:r w:rsidR="00961A50" w:rsidRPr="00366942">
        <w:t xml:space="preserve"> 3 </w:t>
      </w:r>
      <w:r w:rsidRPr="00366942">
        <w:rPr>
          <w:i/>
          <w:iCs/>
        </w:rPr>
        <w:t>HIA</w:t>
      </w:r>
      <w:r w:rsidR="00961A50" w:rsidRPr="00366942">
        <w:t xml:space="preserve"> </w:t>
      </w:r>
      <w:r w:rsidRPr="00366942">
        <w:t>provides the list of the services in question, which include</w:t>
      </w:r>
      <w:r w:rsidR="00961A50" w:rsidRPr="00366942">
        <w:t xml:space="preserve"> </w:t>
      </w:r>
      <w:r w:rsidRPr="00366942">
        <w:t xml:space="preserve">“all services rendered by physicians that are medically required / </w:t>
      </w:r>
      <w:r w:rsidR="00961A50" w:rsidRPr="00366942">
        <w:rPr>
          <w:i/>
          <w:iCs/>
        </w:rPr>
        <w:t xml:space="preserve">tous les services que rendent les médecins et qui sont requis au point de vue </w:t>
      </w:r>
      <w:r w:rsidRPr="00366942">
        <w:rPr>
          <w:i/>
          <w:iCs/>
        </w:rPr>
        <w:t>medical</w:t>
      </w:r>
      <w:r w:rsidRPr="00366942">
        <w:t>”</w:t>
      </w:r>
      <w:r w:rsidR="00961A50" w:rsidRPr="00366942">
        <w:t xml:space="preserve"> </w:t>
      </w:r>
      <w:r w:rsidR="00804F9D" w:rsidRPr="00366942">
        <w:t>(</w:t>
      </w:r>
      <w:r w:rsidRPr="00366942">
        <w:t>s</w:t>
      </w:r>
      <w:r w:rsidR="00961A50" w:rsidRPr="00366942">
        <w:t>. 3</w:t>
      </w:r>
      <w:r w:rsidRPr="00366942">
        <w:t>, para</w:t>
      </w:r>
      <w:r w:rsidR="00961A50" w:rsidRPr="00366942">
        <w:t>. 1</w:t>
      </w:r>
      <w:r w:rsidRPr="00366942">
        <w:rPr>
          <w:i/>
          <w:iCs/>
        </w:rPr>
        <w:t>(</w:t>
      </w:r>
      <w:r w:rsidR="00961A50" w:rsidRPr="00366942">
        <w:rPr>
          <w:i/>
          <w:iCs/>
        </w:rPr>
        <w:t>a)</w:t>
      </w:r>
      <w:r w:rsidR="00961A50" w:rsidRPr="00366942">
        <w:t xml:space="preserve">), </w:t>
      </w:r>
      <w:r w:rsidRPr="00366942">
        <w:t>“family planning services determined by regulation and furnished by a physician</w:t>
      </w:r>
      <w:r w:rsidRPr="00366942">
        <w:rPr>
          <w:i/>
          <w:iCs/>
        </w:rPr>
        <w:t xml:space="preserve"> /</w:t>
      </w:r>
      <w:r w:rsidR="00961A50" w:rsidRPr="00366942">
        <w:t> </w:t>
      </w:r>
      <w:r w:rsidR="00961A50" w:rsidRPr="00366942">
        <w:rPr>
          <w:i/>
          <w:iCs/>
        </w:rPr>
        <w:t>les services de planification familiale déterminés par règlement et qui sont rendus par un médecin</w:t>
      </w:r>
      <w:r w:rsidRPr="00366942">
        <w:t>”</w:t>
      </w:r>
      <w:r w:rsidR="00961A50" w:rsidRPr="00366942">
        <w:t xml:space="preserve"> (</w:t>
      </w:r>
      <w:r w:rsidRPr="00366942">
        <w:t>s</w:t>
      </w:r>
      <w:r w:rsidR="00961A50" w:rsidRPr="00366942">
        <w:t>. 3</w:t>
      </w:r>
      <w:r w:rsidRPr="00366942">
        <w:t>, para.</w:t>
      </w:r>
      <w:r w:rsidR="00961A50" w:rsidRPr="00366942">
        <w:t xml:space="preserve"> 1</w:t>
      </w:r>
      <w:r w:rsidRPr="00366942">
        <w:rPr>
          <w:i/>
          <w:iCs/>
        </w:rPr>
        <w:t>(</w:t>
      </w:r>
      <w:r w:rsidR="00961A50" w:rsidRPr="00366942">
        <w:rPr>
          <w:i/>
          <w:iCs/>
        </w:rPr>
        <w:t>d)</w:t>
      </w:r>
      <w:r w:rsidR="00961A50" w:rsidRPr="00366942">
        <w:t xml:space="preserve">), </w:t>
      </w:r>
      <w:r w:rsidRPr="00366942">
        <w:t>as well as</w:t>
      </w:r>
      <w:r w:rsidR="00961A50" w:rsidRPr="00366942">
        <w:t xml:space="preserve"> </w:t>
      </w:r>
      <w:r w:rsidRPr="00366942">
        <w:t xml:space="preserve">“assisted procreation services determined by regulation and rendered by a physician / </w:t>
      </w:r>
      <w:r w:rsidR="00961A50" w:rsidRPr="00366942">
        <w:rPr>
          <w:i/>
          <w:iCs/>
        </w:rPr>
        <w:t>les services de procréation assistée déterminés par règlement et qui sont rendus par un médecin</w:t>
      </w:r>
      <w:r w:rsidRPr="00366942">
        <w:t>”</w:t>
      </w:r>
      <w:r w:rsidR="00961A50" w:rsidRPr="00366942">
        <w:t xml:space="preserve"> (</w:t>
      </w:r>
      <w:r w:rsidRPr="00366942">
        <w:t>s</w:t>
      </w:r>
      <w:r w:rsidR="00961A50" w:rsidRPr="00366942">
        <w:t>. 3</w:t>
      </w:r>
      <w:r w:rsidRPr="00366942">
        <w:t>, para</w:t>
      </w:r>
      <w:r w:rsidR="00961A50" w:rsidRPr="00366942">
        <w:t xml:space="preserve">. </w:t>
      </w:r>
      <w:r w:rsidR="00961A50" w:rsidRPr="00366942">
        <w:rPr>
          <w:lang w:val="en-CA"/>
        </w:rPr>
        <w:t>1</w:t>
      </w:r>
      <w:r w:rsidRPr="00366942">
        <w:rPr>
          <w:i/>
          <w:iCs/>
          <w:lang w:val="en-CA"/>
        </w:rPr>
        <w:t>(</w:t>
      </w:r>
      <w:r w:rsidR="00961A50" w:rsidRPr="00366942">
        <w:rPr>
          <w:i/>
          <w:iCs/>
          <w:lang w:val="en-CA"/>
        </w:rPr>
        <w:t>e)</w:t>
      </w:r>
      <w:r w:rsidR="00961A50" w:rsidRPr="00366942">
        <w:rPr>
          <w:lang w:val="en-CA"/>
        </w:rPr>
        <w:t xml:space="preserve">). </w:t>
      </w:r>
      <w:r w:rsidRPr="00366942">
        <w:rPr>
          <w:lang w:val="en-CA"/>
        </w:rPr>
        <w:t xml:space="preserve">The medical services contemplated here are therefore </w:t>
      </w:r>
      <w:r w:rsidR="00961A50" w:rsidRPr="00366942">
        <w:rPr>
          <w:i/>
          <w:iCs/>
          <w:lang w:val="en-CA"/>
        </w:rPr>
        <w:t xml:space="preserve">services </w:t>
      </w:r>
      <w:r w:rsidRPr="00366942">
        <w:rPr>
          <w:i/>
          <w:iCs/>
          <w:lang w:val="en-CA"/>
        </w:rPr>
        <w:t>rendered by a physician</w:t>
      </w:r>
      <w:r w:rsidR="00961A50" w:rsidRPr="00366942">
        <w:rPr>
          <w:lang w:val="en-CA"/>
        </w:rPr>
        <w:t xml:space="preserve">. </w:t>
      </w:r>
      <w:r w:rsidRPr="00366942">
        <w:rPr>
          <w:lang w:val="en-CA"/>
        </w:rPr>
        <w:t>The services of dentist</w:t>
      </w:r>
      <w:r w:rsidR="00AA250A" w:rsidRPr="00366942">
        <w:rPr>
          <w:lang w:val="en-CA"/>
        </w:rPr>
        <w:t>s</w:t>
      </w:r>
      <w:r w:rsidRPr="00366942">
        <w:rPr>
          <w:lang w:val="en-CA"/>
        </w:rPr>
        <w:t xml:space="preserve"> and optom</w:t>
      </w:r>
      <w:r w:rsidR="00AA250A" w:rsidRPr="00366942">
        <w:rPr>
          <w:lang w:val="en-CA"/>
        </w:rPr>
        <w:t>e</w:t>
      </w:r>
      <w:r w:rsidRPr="00366942">
        <w:rPr>
          <w:lang w:val="en-CA"/>
        </w:rPr>
        <w:t xml:space="preserve">trists are also </w:t>
      </w:r>
      <w:r w:rsidR="00AA250A" w:rsidRPr="00366942">
        <w:rPr>
          <w:lang w:val="en-CA"/>
        </w:rPr>
        <w:t>contemplated</w:t>
      </w:r>
      <w:r w:rsidRPr="00366942">
        <w:rPr>
          <w:lang w:val="en-CA"/>
        </w:rPr>
        <w:t>, upon certain conditions</w:t>
      </w:r>
      <w:r w:rsidR="00AA250A" w:rsidRPr="00366942">
        <w:rPr>
          <w:lang w:val="en-CA"/>
        </w:rPr>
        <w:t xml:space="preserve"> </w:t>
      </w:r>
      <w:r w:rsidR="00961A50" w:rsidRPr="00366942">
        <w:rPr>
          <w:lang w:val="en-CA"/>
        </w:rPr>
        <w:t>(</w:t>
      </w:r>
      <w:r w:rsidR="00AA250A" w:rsidRPr="00366942">
        <w:rPr>
          <w:lang w:val="en-CA"/>
        </w:rPr>
        <w:t>s</w:t>
      </w:r>
      <w:r w:rsidR="00961A50" w:rsidRPr="00366942">
        <w:rPr>
          <w:lang w:val="en-CA"/>
        </w:rPr>
        <w:t>. 3</w:t>
      </w:r>
      <w:r w:rsidR="00AA250A" w:rsidRPr="00366942">
        <w:rPr>
          <w:lang w:val="en-CA"/>
        </w:rPr>
        <w:t>, paras</w:t>
      </w:r>
      <w:r w:rsidR="00961A50" w:rsidRPr="00366942">
        <w:rPr>
          <w:lang w:val="en-CA"/>
        </w:rPr>
        <w:t>. 1</w:t>
      </w:r>
      <w:r w:rsidR="00AA250A" w:rsidRPr="00366942">
        <w:rPr>
          <w:i/>
          <w:iCs/>
          <w:lang w:val="en-CA"/>
        </w:rPr>
        <w:t>(</w:t>
      </w:r>
      <w:r w:rsidR="00961A50" w:rsidRPr="00366942">
        <w:rPr>
          <w:i/>
          <w:iCs/>
          <w:lang w:val="en-CA"/>
        </w:rPr>
        <w:t>b)</w:t>
      </w:r>
      <w:r w:rsidR="00961A50" w:rsidRPr="00366942">
        <w:rPr>
          <w:lang w:val="en-CA"/>
        </w:rPr>
        <w:t xml:space="preserve"> </w:t>
      </w:r>
      <w:r w:rsidR="00AA250A" w:rsidRPr="00366942">
        <w:rPr>
          <w:lang w:val="en-CA"/>
        </w:rPr>
        <w:t>and</w:t>
      </w:r>
      <w:r w:rsidR="00961A50" w:rsidRPr="00366942">
        <w:rPr>
          <w:lang w:val="en-CA"/>
        </w:rPr>
        <w:t xml:space="preserve"> </w:t>
      </w:r>
      <w:r w:rsidR="00AA250A" w:rsidRPr="00366942">
        <w:rPr>
          <w:i/>
          <w:iCs/>
          <w:lang w:val="en-CA"/>
        </w:rPr>
        <w:t>(</w:t>
      </w:r>
      <w:r w:rsidR="00961A50" w:rsidRPr="00366942">
        <w:rPr>
          <w:i/>
          <w:iCs/>
          <w:lang w:val="en-CA"/>
        </w:rPr>
        <w:t>c)</w:t>
      </w:r>
      <w:r w:rsidR="00961A50" w:rsidRPr="00366942">
        <w:rPr>
          <w:lang w:val="en-CA"/>
        </w:rPr>
        <w:t xml:space="preserve"> </w:t>
      </w:r>
      <w:r w:rsidR="00AA250A" w:rsidRPr="00366942">
        <w:rPr>
          <w:i/>
          <w:iCs/>
          <w:lang w:val="en-CA"/>
        </w:rPr>
        <w:t>HIA</w:t>
      </w:r>
      <w:r w:rsidR="00961A50" w:rsidRPr="00366942">
        <w:rPr>
          <w:lang w:val="en-CA"/>
        </w:rPr>
        <w:t xml:space="preserve">, </w:t>
      </w:r>
      <w:r w:rsidR="00AA250A" w:rsidRPr="00366942">
        <w:rPr>
          <w:lang w:val="en-CA"/>
        </w:rPr>
        <w:t>which are not in issue here</w:t>
      </w:r>
      <w:r w:rsidR="00961A50" w:rsidRPr="00366942">
        <w:rPr>
          <w:lang w:val="en-CA"/>
        </w:rPr>
        <w:t xml:space="preserve">). </w:t>
      </w:r>
      <w:r w:rsidR="00AA250A" w:rsidRPr="00366942">
        <w:rPr>
          <w:lang w:val="en-CA"/>
        </w:rPr>
        <w:t>For their part, the third and fourth paragraphs of s.</w:t>
      </w:r>
      <w:r w:rsidR="00961A50" w:rsidRPr="00366942">
        <w:rPr>
          <w:lang w:val="en-CA"/>
        </w:rPr>
        <w:t xml:space="preserve"> 3 </w:t>
      </w:r>
      <w:r w:rsidR="008809BC" w:rsidRPr="00366942">
        <w:rPr>
          <w:lang w:val="en-CA"/>
        </w:rPr>
        <w:t>refer to</w:t>
      </w:r>
      <w:r w:rsidR="00AA250A" w:rsidRPr="00366942">
        <w:rPr>
          <w:lang w:val="en-CA"/>
        </w:rPr>
        <w:t xml:space="preserve"> pharmaceutical services and medications</w:t>
      </w:r>
      <w:r w:rsidR="00961A50" w:rsidRPr="00366942">
        <w:rPr>
          <w:lang w:val="en-CA"/>
        </w:rPr>
        <w:t xml:space="preserve">. </w:t>
      </w:r>
      <w:r w:rsidR="00AA250A" w:rsidRPr="00366942">
        <w:rPr>
          <w:lang w:val="en-CA"/>
        </w:rPr>
        <w:t>Section</w:t>
      </w:r>
      <w:r w:rsidR="00961A50" w:rsidRPr="00366942">
        <w:rPr>
          <w:lang w:val="en-CA"/>
        </w:rPr>
        <w:t xml:space="preserve"> 3 </w:t>
      </w:r>
      <w:r w:rsidR="00AA250A" w:rsidRPr="00366942">
        <w:rPr>
          <w:lang w:val="en-CA"/>
        </w:rPr>
        <w:t>also deals with devices or other equipment that compensate for a physical deficiency, visual or hearing aids and communication devices</w:t>
      </w:r>
      <w:r w:rsidR="00F230E5" w:rsidRPr="00366942">
        <w:rPr>
          <w:lang w:val="en-CA"/>
        </w:rPr>
        <w:t>,</w:t>
      </w:r>
      <w:r w:rsidR="00AA250A" w:rsidRPr="00366942">
        <w:rPr>
          <w:lang w:val="en-CA"/>
        </w:rPr>
        <w:t xml:space="preserve"> </w:t>
      </w:r>
      <w:r w:rsidR="006F565F" w:rsidRPr="00366942">
        <w:rPr>
          <w:lang w:val="en-CA"/>
        </w:rPr>
        <w:t>which are not the subject of this appeal</w:t>
      </w:r>
      <w:r w:rsidR="00961A50" w:rsidRPr="00366942">
        <w:rPr>
          <w:lang w:val="en-CA"/>
        </w:rPr>
        <w:t>.</w:t>
      </w:r>
    </w:p>
    <w:p w14:paraId="058B29A1" w14:textId="64CCAD4F" w:rsidR="00961A50" w:rsidRPr="00366942" w:rsidRDefault="00DF289F" w:rsidP="00961A50">
      <w:pPr>
        <w:pStyle w:val="Paragraphe"/>
        <w:rPr>
          <w:lang w:val="en-CA"/>
        </w:rPr>
      </w:pPr>
      <w:r w:rsidRPr="00366942">
        <w:rPr>
          <w:lang w:val="en-CA"/>
        </w:rPr>
        <w:t>Sections</w:t>
      </w:r>
      <w:r w:rsidR="00961A50" w:rsidRPr="00366942">
        <w:rPr>
          <w:lang w:val="en-CA"/>
        </w:rPr>
        <w:t xml:space="preserve"> 10 </w:t>
      </w:r>
      <w:r w:rsidRPr="00366942">
        <w:rPr>
          <w:lang w:val="en-CA"/>
        </w:rPr>
        <w:t>and</w:t>
      </w:r>
      <w:r w:rsidR="00961A50" w:rsidRPr="00366942">
        <w:rPr>
          <w:lang w:val="en-CA"/>
        </w:rPr>
        <w:t xml:space="preserve"> 11 </w:t>
      </w:r>
      <w:r w:rsidRPr="00366942">
        <w:rPr>
          <w:i/>
          <w:iCs/>
          <w:lang w:val="en-CA"/>
        </w:rPr>
        <w:t>HIA</w:t>
      </w:r>
      <w:r w:rsidR="00961A50" w:rsidRPr="00366942">
        <w:rPr>
          <w:lang w:val="en-CA"/>
        </w:rPr>
        <w:t xml:space="preserve"> </w:t>
      </w:r>
      <w:r w:rsidRPr="00366942">
        <w:rPr>
          <w:lang w:val="en-CA"/>
        </w:rPr>
        <w:t xml:space="preserve">provide for the reimbursement or payment of the insured services with the meaning of s. </w:t>
      </w:r>
      <w:r w:rsidR="00961A50" w:rsidRPr="00366942">
        <w:rPr>
          <w:lang w:val="en-CA"/>
        </w:rPr>
        <w:t>3 (</w:t>
      </w:r>
      <w:r w:rsidRPr="00366942">
        <w:rPr>
          <w:lang w:val="en-CA"/>
        </w:rPr>
        <w:t>a provision that the appellant has not challenged</w:t>
      </w:r>
      <w:r w:rsidR="006F565F" w:rsidRPr="00366942">
        <w:rPr>
          <w:lang w:val="en-CA"/>
        </w:rPr>
        <w:t>),</w:t>
      </w:r>
      <w:r w:rsidR="00961A50" w:rsidRPr="00366942">
        <w:rPr>
          <w:rStyle w:val="Appelnotedebasdep"/>
          <w:lang w:val="en-CA"/>
        </w:rPr>
        <w:footnoteReference w:id="48"/>
      </w:r>
      <w:r w:rsidR="006F565F" w:rsidRPr="00366942">
        <w:rPr>
          <w:lang w:val="en-CA"/>
        </w:rPr>
        <w:t xml:space="preserve"> </w:t>
      </w:r>
      <w:r w:rsidRPr="00366942">
        <w:rPr>
          <w:lang w:val="en-CA"/>
        </w:rPr>
        <w:t xml:space="preserve">including </w:t>
      </w:r>
      <w:r w:rsidRPr="00366942">
        <w:rPr>
          <w:i/>
          <w:iCs/>
          <w:lang w:val="en-CA"/>
        </w:rPr>
        <w:t>medical</w:t>
      </w:r>
      <w:r w:rsidRPr="00366942">
        <w:rPr>
          <w:lang w:val="en-CA"/>
        </w:rPr>
        <w:t xml:space="preserve"> services defined above, </w:t>
      </w:r>
      <w:r w:rsidR="00316A1F" w:rsidRPr="00366942">
        <w:rPr>
          <w:lang w:val="en-CA"/>
        </w:rPr>
        <w:t xml:space="preserve">but </w:t>
      </w:r>
      <w:r w:rsidRPr="00366942">
        <w:rPr>
          <w:i/>
          <w:iCs/>
          <w:lang w:val="en-CA"/>
        </w:rPr>
        <w:t>excluding</w:t>
      </w:r>
      <w:r w:rsidRPr="00366942">
        <w:rPr>
          <w:lang w:val="en-CA"/>
        </w:rPr>
        <w:t xml:space="preserve"> pharmaceutical services and medications provided outside Quebec, as </w:t>
      </w:r>
      <w:r w:rsidR="00316A1F" w:rsidRPr="00366942">
        <w:rPr>
          <w:lang w:val="en-CA"/>
        </w:rPr>
        <w:t>stated</w:t>
      </w:r>
      <w:r w:rsidRPr="00366942">
        <w:rPr>
          <w:lang w:val="en-CA"/>
        </w:rPr>
        <w:t xml:space="preserve"> in the first paragraph of s. </w:t>
      </w:r>
      <w:r w:rsidR="00961A50" w:rsidRPr="00366942">
        <w:rPr>
          <w:lang w:val="en-CA"/>
        </w:rPr>
        <w:t>10</w:t>
      </w:r>
      <w:r w:rsidRPr="00366942">
        <w:rPr>
          <w:lang w:val="en-CA"/>
        </w:rPr>
        <w:t xml:space="preserve">, subject, however, to the exceptions provided in its second and third paragraphs (which </w:t>
      </w:r>
      <w:r w:rsidR="00316A1F" w:rsidRPr="00366942">
        <w:rPr>
          <w:lang w:val="en-CA"/>
        </w:rPr>
        <w:t>are</w:t>
      </w:r>
      <w:r w:rsidRPr="00366942">
        <w:rPr>
          <w:lang w:val="en-CA"/>
        </w:rPr>
        <w:t xml:space="preserve"> not appl</w:t>
      </w:r>
      <w:r w:rsidR="00316A1F" w:rsidRPr="00366942">
        <w:rPr>
          <w:lang w:val="en-CA"/>
        </w:rPr>
        <w:t>icable</w:t>
      </w:r>
      <w:r w:rsidRPr="00366942">
        <w:rPr>
          <w:lang w:val="en-CA"/>
        </w:rPr>
        <w:t xml:space="preserve"> here, the third paragraph not</w:t>
      </w:r>
      <w:r w:rsidR="002E3D2A" w:rsidRPr="00366942">
        <w:rPr>
          <w:lang w:val="en-CA"/>
        </w:rPr>
        <w:t xml:space="preserve"> </w:t>
      </w:r>
      <w:r w:rsidRPr="00366942">
        <w:rPr>
          <w:lang w:val="en-CA"/>
        </w:rPr>
        <w:t>being in force</w:t>
      </w:r>
      <w:r w:rsidR="002E3D2A" w:rsidRPr="00366942">
        <w:rPr>
          <w:lang w:val="en-CA"/>
        </w:rPr>
        <w:t xml:space="preserve"> in any event</w:t>
      </w:r>
      <w:r w:rsidRPr="00366942">
        <w:rPr>
          <w:lang w:val="en-CA"/>
        </w:rPr>
        <w:t>).</w:t>
      </w:r>
      <w:r w:rsidR="00961A50" w:rsidRPr="00366942">
        <w:rPr>
          <w:lang w:val="en-CA"/>
        </w:rPr>
        <w:t xml:space="preserve"> </w:t>
      </w:r>
      <w:r w:rsidRPr="00366942">
        <w:rPr>
          <w:lang w:val="en-CA"/>
        </w:rPr>
        <w:t xml:space="preserve">Indeed, the rules relating to pharmaceutical services and </w:t>
      </w:r>
      <w:r w:rsidR="002E3D2A" w:rsidRPr="00366942">
        <w:rPr>
          <w:lang w:val="en-CA"/>
        </w:rPr>
        <w:t>medication</w:t>
      </w:r>
      <w:r w:rsidRPr="00366942">
        <w:rPr>
          <w:lang w:val="en-CA"/>
        </w:rPr>
        <w:t xml:space="preserve"> are provided in </w:t>
      </w:r>
      <w:r w:rsidR="00316A1F" w:rsidRPr="00366942">
        <w:rPr>
          <w:lang w:val="en-CA"/>
        </w:rPr>
        <w:t xml:space="preserve">a </w:t>
      </w:r>
      <w:r w:rsidRPr="00366942">
        <w:rPr>
          <w:lang w:val="en-CA"/>
        </w:rPr>
        <w:t>separate statute</w:t>
      </w:r>
      <w:r w:rsidR="00961A50" w:rsidRPr="00366942">
        <w:rPr>
          <w:lang w:val="en-CA"/>
        </w:rPr>
        <w:t xml:space="preserve">, </w:t>
      </w:r>
      <w:r w:rsidR="00D003FB" w:rsidRPr="00366942">
        <w:rPr>
          <w:lang w:val="en-CA"/>
        </w:rPr>
        <w:t>the</w:t>
      </w:r>
      <w:r w:rsidR="00961A50" w:rsidRPr="00366942">
        <w:rPr>
          <w:lang w:val="en-CA"/>
        </w:rPr>
        <w:t xml:space="preserve"> </w:t>
      </w:r>
      <w:r w:rsidRPr="00366942">
        <w:rPr>
          <w:i/>
          <w:iCs/>
          <w:lang w:val="en-CA"/>
        </w:rPr>
        <w:lastRenderedPageBreak/>
        <w:t>Act respecting prescription drug insurance</w:t>
      </w:r>
      <w:r w:rsidR="00961A50" w:rsidRPr="00366942">
        <w:rPr>
          <w:rStyle w:val="Appelnotedebasdep"/>
          <w:lang w:val="en-CA"/>
        </w:rPr>
        <w:footnoteReference w:id="49"/>
      </w:r>
      <w:r w:rsidR="00961A50" w:rsidRPr="00366942">
        <w:rPr>
          <w:lang w:val="en-CA"/>
        </w:rPr>
        <w:t xml:space="preserve"> (</w:t>
      </w:r>
      <w:r w:rsidRPr="00366942">
        <w:rPr>
          <w:lang w:val="en-CA"/>
        </w:rPr>
        <w:t>enacted in</w:t>
      </w:r>
      <w:r w:rsidR="00961A50" w:rsidRPr="00366942">
        <w:rPr>
          <w:lang w:val="en-CA"/>
        </w:rPr>
        <w:t xml:space="preserve"> 1996), </w:t>
      </w:r>
      <w:r w:rsidRPr="00366942">
        <w:rPr>
          <w:lang w:val="en-CA"/>
        </w:rPr>
        <w:t>which established a</w:t>
      </w:r>
      <w:r w:rsidR="00961A50" w:rsidRPr="00366942">
        <w:rPr>
          <w:lang w:val="en-CA"/>
        </w:rPr>
        <w:t xml:space="preserve"> </w:t>
      </w:r>
      <w:r w:rsidR="007B189E" w:rsidRPr="00366942">
        <w:rPr>
          <w:lang w:val="en-CA"/>
        </w:rPr>
        <w:t>basic prescription drug insurance plan</w:t>
      </w:r>
      <w:r w:rsidR="00961A50" w:rsidRPr="00366942">
        <w:rPr>
          <w:lang w:val="en-CA"/>
        </w:rPr>
        <w:t xml:space="preserve"> </w:t>
      </w:r>
      <w:r w:rsidR="002E3D2A" w:rsidRPr="00366942">
        <w:rPr>
          <w:lang w:val="en-CA"/>
        </w:rPr>
        <w:t>available</w:t>
      </w:r>
      <w:r w:rsidR="007B189E" w:rsidRPr="00366942">
        <w:rPr>
          <w:lang w:val="en-CA"/>
        </w:rPr>
        <w:t xml:space="preserve"> to </w:t>
      </w:r>
      <w:r w:rsidR="002E3D2A" w:rsidRPr="00366942">
        <w:rPr>
          <w:lang w:val="en-CA"/>
        </w:rPr>
        <w:t>persons in</w:t>
      </w:r>
      <w:r w:rsidR="007B189E" w:rsidRPr="00366942">
        <w:rPr>
          <w:lang w:val="en-CA"/>
        </w:rPr>
        <w:t xml:space="preserve"> Quebec and whose purpose is described in s. 2 thereof</w:t>
      </w:r>
      <w:r w:rsidR="00961A50"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67CEAFD4" w14:textId="77777777" w:rsidTr="00191C9C">
        <w:tc>
          <w:tcPr>
            <w:tcW w:w="4032" w:type="dxa"/>
          </w:tcPr>
          <w:p w14:paraId="46C8A722" w14:textId="625F4905" w:rsidR="00961A50" w:rsidRPr="00366942" w:rsidRDefault="00961A50" w:rsidP="00191C9C">
            <w:pPr>
              <w:pStyle w:val="Citationenretrait"/>
              <w:ind w:left="0" w:right="0"/>
              <w:rPr>
                <w:b/>
                <w:bCs/>
                <w:lang w:val="en-CA"/>
              </w:rPr>
            </w:pPr>
            <w:r w:rsidRPr="00366942">
              <w:rPr>
                <w:b/>
                <w:bCs/>
                <w:lang w:val="en-CA"/>
              </w:rPr>
              <w:t>2.</w:t>
            </w:r>
            <w:r w:rsidRPr="00366942">
              <w:rPr>
                <w:lang w:val="en-CA"/>
              </w:rPr>
              <w:tab/>
            </w:r>
            <w:r w:rsidR="002A1012" w:rsidRPr="00366942">
              <w:rPr>
                <w:lang w:val="en-CA"/>
              </w:rPr>
              <w:t>The purpose of the basic plan is to ensure that all persons in Québec have reasonable and fair access to the medication required by their state of health</w:t>
            </w:r>
            <w:r w:rsidRPr="00366942">
              <w:rPr>
                <w:lang w:val="en-CA"/>
              </w:rPr>
              <w:t>.</w:t>
            </w:r>
          </w:p>
        </w:tc>
        <w:tc>
          <w:tcPr>
            <w:tcW w:w="4032" w:type="dxa"/>
          </w:tcPr>
          <w:p w14:paraId="1AC08C2F" w14:textId="3B0FE535" w:rsidR="00961A50" w:rsidRPr="00366942" w:rsidRDefault="00961A50" w:rsidP="00191C9C">
            <w:pPr>
              <w:pStyle w:val="Citationenretrait"/>
              <w:ind w:left="0" w:right="0"/>
            </w:pPr>
            <w:r w:rsidRPr="00366942">
              <w:rPr>
                <w:b/>
                <w:bCs/>
              </w:rPr>
              <w:t>2.</w:t>
            </w:r>
            <w:r w:rsidRPr="00366942">
              <w:tab/>
            </w:r>
            <w:r w:rsidR="002A1012" w:rsidRPr="00366942">
              <w:t>Le régime général a pour objet d’assurer à l’ensemble de la population du Québec un accès raisonnable et équitable aux médicaments requis par l’état de santé des personnes</w:t>
            </w:r>
            <w:r w:rsidRPr="00366942">
              <w:t>.</w:t>
            </w:r>
          </w:p>
        </w:tc>
      </w:tr>
      <w:tr w:rsidR="00366942" w:rsidRPr="00366942" w14:paraId="6CD46203" w14:textId="77777777" w:rsidTr="00191C9C">
        <w:tc>
          <w:tcPr>
            <w:tcW w:w="4032" w:type="dxa"/>
          </w:tcPr>
          <w:p w14:paraId="7F3C402A" w14:textId="62315530" w:rsidR="00961A50" w:rsidRPr="00366942" w:rsidRDefault="00961A50" w:rsidP="00191C9C">
            <w:pPr>
              <w:pStyle w:val="Citationenretrait"/>
              <w:ind w:left="0" w:right="0"/>
              <w:rPr>
                <w:b/>
                <w:bCs/>
                <w:lang w:val="en-CA"/>
              </w:rPr>
            </w:pPr>
            <w:r w:rsidRPr="00366942">
              <w:tab/>
            </w:r>
            <w:r w:rsidR="002A1012" w:rsidRPr="00366942">
              <w:rPr>
                <w:lang w:val="en-CA"/>
              </w:rPr>
              <w:t>To that end, the plan provides for a minimum level of coverage for the cost of pharmaceutical services and medications, and requires a financial participation on the part of persons or families covered by the plan depending, in particular, on their economic situation.</w:t>
            </w:r>
          </w:p>
        </w:tc>
        <w:tc>
          <w:tcPr>
            <w:tcW w:w="4032" w:type="dxa"/>
          </w:tcPr>
          <w:p w14:paraId="45767787" w14:textId="69C3DB83" w:rsidR="00961A50" w:rsidRPr="00366942" w:rsidRDefault="00961A50" w:rsidP="00191C9C">
            <w:pPr>
              <w:pStyle w:val="Citationenretrait"/>
              <w:ind w:left="0" w:right="0"/>
              <w:rPr>
                <w:b/>
                <w:bCs/>
              </w:rPr>
            </w:pPr>
            <w:r w:rsidRPr="00366942">
              <w:rPr>
                <w:lang w:val="en-CA"/>
              </w:rPr>
              <w:tab/>
            </w:r>
            <w:r w:rsidR="002A1012" w:rsidRPr="00366942">
              <w:t>À cette fin, il prévoit une protection de base à l’égard du coût de services pharmaceutiques et de médicaments et exige des personnes ou des familles qui en bénéficient une participation financière tenant compte notamment de leur situation économique</w:t>
            </w:r>
            <w:r w:rsidRPr="00366942">
              <w:t>.</w:t>
            </w:r>
          </w:p>
        </w:tc>
      </w:tr>
    </w:tbl>
    <w:p w14:paraId="2AC1037A" w14:textId="4E4CAB1F" w:rsidR="00961A50" w:rsidRPr="00366942" w:rsidRDefault="00316A1F" w:rsidP="00961A50">
      <w:pPr>
        <w:pStyle w:val="Paragraphe"/>
        <w:rPr>
          <w:lang w:val="en-CA"/>
        </w:rPr>
      </w:pPr>
      <w:r w:rsidRPr="00366942">
        <w:rPr>
          <w:lang w:val="en-CA"/>
        </w:rPr>
        <w:t xml:space="preserve">The coverage provided by </w:t>
      </w:r>
      <w:r w:rsidR="003F7069" w:rsidRPr="00366942">
        <w:rPr>
          <w:lang w:val="en-CA"/>
        </w:rPr>
        <w:t xml:space="preserve">that statute is reserved to persons resident of Quebec registered </w:t>
      </w:r>
      <w:r w:rsidR="00153E3C" w:rsidRPr="00366942">
        <w:rPr>
          <w:lang w:val="en-CA"/>
        </w:rPr>
        <w:t>with</w:t>
      </w:r>
      <w:r w:rsidR="003F7069" w:rsidRPr="00366942">
        <w:rPr>
          <w:lang w:val="en-CA"/>
        </w:rPr>
        <w:t xml:space="preserve"> the Board </w:t>
      </w:r>
      <w:r w:rsidR="00642EAA" w:rsidRPr="00366942">
        <w:rPr>
          <w:lang w:val="en-CA"/>
        </w:rPr>
        <w:t>who</w:t>
      </w:r>
      <w:r w:rsidR="003F7069" w:rsidRPr="00366942">
        <w:rPr>
          <w:lang w:val="en-CA"/>
        </w:rPr>
        <w:t xml:space="preserve"> </w:t>
      </w:r>
      <w:r w:rsidR="00153E3C" w:rsidRPr="00366942">
        <w:rPr>
          <w:lang w:val="en-CA"/>
        </w:rPr>
        <w:t>are</w:t>
      </w:r>
      <w:r w:rsidR="003F7069" w:rsidRPr="00366942">
        <w:rPr>
          <w:lang w:val="en-CA"/>
        </w:rPr>
        <w:t xml:space="preserve"> not </w:t>
      </w:r>
      <w:r w:rsidR="00153E3C" w:rsidRPr="00366942">
        <w:rPr>
          <w:lang w:val="en-CA"/>
        </w:rPr>
        <w:t>entitled to coverage under a</w:t>
      </w:r>
      <w:r w:rsidR="003F7069" w:rsidRPr="00366942">
        <w:rPr>
          <w:lang w:val="en-CA"/>
        </w:rPr>
        <w:t xml:space="preserve"> group insurance or</w:t>
      </w:r>
      <w:r w:rsidR="00153E3C" w:rsidRPr="00366942">
        <w:rPr>
          <w:lang w:val="en-CA"/>
        </w:rPr>
        <w:t xml:space="preserve"> employee</w:t>
      </w:r>
      <w:r w:rsidR="003F7069" w:rsidRPr="00366942">
        <w:rPr>
          <w:lang w:val="en-CA"/>
        </w:rPr>
        <w:t xml:space="preserve"> benefit plan </w:t>
      </w:r>
      <w:r w:rsidR="008673E3" w:rsidRPr="00366942">
        <w:rPr>
          <w:lang w:val="en-CA"/>
        </w:rPr>
        <w:t>that include</w:t>
      </w:r>
      <w:r w:rsidR="003F7069" w:rsidRPr="00366942">
        <w:rPr>
          <w:lang w:val="en-CA"/>
        </w:rPr>
        <w:t xml:space="preserve"> such protection</w:t>
      </w:r>
      <w:r w:rsidR="00961A50" w:rsidRPr="00366942">
        <w:rPr>
          <w:lang w:val="en-CA"/>
        </w:rPr>
        <w:t xml:space="preserve">. </w:t>
      </w:r>
      <w:r w:rsidR="003F7069" w:rsidRPr="00366942">
        <w:rPr>
          <w:lang w:val="en-CA"/>
        </w:rPr>
        <w:t>It is limited to pharmaceutical services and medications</w:t>
      </w:r>
      <w:r w:rsidR="00961A50" w:rsidRPr="00366942">
        <w:rPr>
          <w:lang w:val="en-CA"/>
        </w:rPr>
        <w:t xml:space="preserve"> </w:t>
      </w:r>
      <w:r w:rsidR="003F7069" w:rsidRPr="00366942">
        <w:rPr>
          <w:lang w:val="en-CA"/>
        </w:rPr>
        <w:t xml:space="preserve">“provided in Québec / </w:t>
      </w:r>
      <w:r w:rsidR="00961A50" w:rsidRPr="00366942">
        <w:rPr>
          <w:i/>
          <w:iCs/>
          <w:lang w:val="en-CA"/>
        </w:rPr>
        <w:t>fournis au Québec</w:t>
      </w:r>
      <w:r w:rsidR="003F7069" w:rsidRPr="00366942">
        <w:rPr>
          <w:lang w:val="en-CA"/>
        </w:rPr>
        <w:t>”</w:t>
      </w:r>
      <w:r w:rsidR="00961A50" w:rsidRPr="00366942">
        <w:rPr>
          <w:lang w:val="en-CA"/>
        </w:rPr>
        <w:t xml:space="preserve"> (</w:t>
      </w:r>
      <w:r w:rsidR="003F7069" w:rsidRPr="00366942">
        <w:rPr>
          <w:lang w:val="en-CA"/>
        </w:rPr>
        <w:t>ss</w:t>
      </w:r>
      <w:r w:rsidR="00961A50" w:rsidRPr="00366942">
        <w:rPr>
          <w:lang w:val="en-CA"/>
        </w:rPr>
        <w:t xml:space="preserve">. 7 </w:t>
      </w:r>
      <w:r w:rsidR="003F7069" w:rsidRPr="00366942">
        <w:rPr>
          <w:lang w:val="en-CA"/>
        </w:rPr>
        <w:t>and</w:t>
      </w:r>
      <w:r w:rsidR="00961A50" w:rsidRPr="00366942">
        <w:rPr>
          <w:lang w:val="en-CA"/>
        </w:rPr>
        <w:t xml:space="preserve"> 8 </w:t>
      </w:r>
      <w:r w:rsidR="003F7069" w:rsidRPr="00366942">
        <w:rPr>
          <w:lang w:val="en-CA"/>
        </w:rPr>
        <w:t xml:space="preserve">of </w:t>
      </w:r>
      <w:r w:rsidR="00D003FB" w:rsidRPr="00366942">
        <w:rPr>
          <w:lang w:val="en-CA"/>
        </w:rPr>
        <w:t>the</w:t>
      </w:r>
      <w:r w:rsidR="00961A50" w:rsidRPr="00366942">
        <w:rPr>
          <w:lang w:val="en-CA"/>
        </w:rPr>
        <w:t xml:space="preserve"> </w:t>
      </w:r>
      <w:r w:rsidR="003F7069" w:rsidRPr="00366942">
        <w:rPr>
          <w:i/>
          <w:iCs/>
          <w:lang w:val="en-CA"/>
        </w:rPr>
        <w:t>Act respecting prescription drug insurance</w:t>
      </w:r>
      <w:r w:rsidR="00961A50" w:rsidRPr="00366942">
        <w:rPr>
          <w:lang w:val="en-CA"/>
        </w:rPr>
        <w:t xml:space="preserve">), </w:t>
      </w:r>
      <w:r w:rsidR="00642EAA" w:rsidRPr="00366942">
        <w:rPr>
          <w:lang w:val="en-CA"/>
        </w:rPr>
        <w:t>save for the exceptions</w:t>
      </w:r>
      <w:r w:rsidR="003F7069" w:rsidRPr="00366942">
        <w:rPr>
          <w:lang w:val="en-CA"/>
        </w:rPr>
        <w:t xml:space="preserve"> provided by the second and third paragraphs of s.</w:t>
      </w:r>
      <w:r w:rsidR="00961A50" w:rsidRPr="00366942">
        <w:rPr>
          <w:lang w:val="en-CA"/>
        </w:rPr>
        <w:t xml:space="preserve"> 8, exceptions </w:t>
      </w:r>
      <w:r w:rsidR="008673E3" w:rsidRPr="00366942">
        <w:rPr>
          <w:lang w:val="en-CA"/>
        </w:rPr>
        <w:t>which have no application here</w:t>
      </w:r>
      <w:r w:rsidR="003F7069" w:rsidRPr="00366942">
        <w:rPr>
          <w:lang w:val="en-CA"/>
        </w:rPr>
        <w:t>.</w:t>
      </w:r>
      <w:r w:rsidR="001A58AA" w:rsidRPr="00366942">
        <w:rPr>
          <w:rStyle w:val="Appelnotedebasdep"/>
          <w:lang w:val="en-CA"/>
        </w:rPr>
        <w:footnoteReference w:id="50"/>
      </w:r>
      <w:r w:rsidR="003F7069" w:rsidRPr="00366942">
        <w:rPr>
          <w:lang w:val="en-CA"/>
        </w:rPr>
        <w:t xml:space="preserve"> The principle </w:t>
      </w:r>
      <w:r w:rsidR="003F7069" w:rsidRPr="00366942">
        <w:rPr>
          <w:lang w:val="en-CA"/>
        </w:rPr>
        <w:lastRenderedPageBreak/>
        <w:t>and the exceptions provided in that regard by the first three paragraphs of s.</w:t>
      </w:r>
      <w:r w:rsidR="00961A50" w:rsidRPr="00366942">
        <w:rPr>
          <w:lang w:val="en-CA"/>
        </w:rPr>
        <w:t xml:space="preserve"> 10 </w:t>
      </w:r>
      <w:r w:rsidR="003F7069" w:rsidRPr="00366942">
        <w:rPr>
          <w:i/>
          <w:iCs/>
          <w:lang w:val="en-CA"/>
        </w:rPr>
        <w:t>HIA</w:t>
      </w:r>
      <w:r w:rsidR="00961A50" w:rsidRPr="00366942">
        <w:rPr>
          <w:lang w:val="en-CA"/>
        </w:rPr>
        <w:t xml:space="preserve"> </w:t>
      </w:r>
      <w:r w:rsidR="003F7069" w:rsidRPr="00366942">
        <w:rPr>
          <w:lang w:val="en-CA"/>
        </w:rPr>
        <w:t xml:space="preserve">are consistent with the requirements of ss. </w:t>
      </w:r>
      <w:r w:rsidR="00961A50" w:rsidRPr="00366942">
        <w:rPr>
          <w:lang w:val="en-CA"/>
        </w:rPr>
        <w:t xml:space="preserve">7 </w:t>
      </w:r>
      <w:r w:rsidR="003F7069" w:rsidRPr="00366942">
        <w:rPr>
          <w:lang w:val="en-CA"/>
        </w:rPr>
        <w:t>and</w:t>
      </w:r>
      <w:r w:rsidR="00961A50" w:rsidRPr="00366942">
        <w:rPr>
          <w:lang w:val="en-CA"/>
        </w:rPr>
        <w:t xml:space="preserve"> 8 </w:t>
      </w:r>
      <w:r w:rsidR="003F7069" w:rsidRPr="00366942">
        <w:rPr>
          <w:lang w:val="en-CA"/>
        </w:rPr>
        <w:t xml:space="preserve">of </w:t>
      </w:r>
      <w:r w:rsidR="00D003FB" w:rsidRPr="00366942">
        <w:rPr>
          <w:lang w:val="en-CA"/>
        </w:rPr>
        <w:t>the</w:t>
      </w:r>
      <w:r w:rsidR="00961A50" w:rsidRPr="00366942">
        <w:rPr>
          <w:lang w:val="en-CA"/>
        </w:rPr>
        <w:t xml:space="preserve"> </w:t>
      </w:r>
      <w:r w:rsidR="003F7069" w:rsidRPr="00366942">
        <w:rPr>
          <w:i/>
          <w:iCs/>
          <w:lang w:val="en-CA"/>
        </w:rPr>
        <w:t>Act respecting prescription drug insurance</w:t>
      </w:r>
      <w:r w:rsidR="00961A50" w:rsidRPr="00366942">
        <w:rPr>
          <w:lang w:val="en-CA"/>
        </w:rPr>
        <w:t xml:space="preserve">, </w:t>
      </w:r>
      <w:r w:rsidR="00153E3C" w:rsidRPr="00366942">
        <w:rPr>
          <w:lang w:val="en-CA"/>
        </w:rPr>
        <w:t xml:space="preserve">under </w:t>
      </w:r>
      <w:r w:rsidR="003F7069" w:rsidRPr="00366942">
        <w:rPr>
          <w:lang w:val="en-CA"/>
        </w:rPr>
        <w:t xml:space="preserve">which they </w:t>
      </w:r>
      <w:r w:rsidR="00642EAA" w:rsidRPr="00366942">
        <w:rPr>
          <w:lang w:val="en-CA"/>
        </w:rPr>
        <w:t>arise</w:t>
      </w:r>
      <w:r w:rsidR="003F7069" w:rsidRPr="00366942">
        <w:rPr>
          <w:lang w:val="en-CA"/>
        </w:rPr>
        <w:t xml:space="preserve"> and </w:t>
      </w:r>
      <w:r w:rsidR="008673E3" w:rsidRPr="00366942">
        <w:rPr>
          <w:lang w:val="en-CA"/>
        </w:rPr>
        <w:t>of</w:t>
      </w:r>
      <w:r w:rsidR="003F7069" w:rsidRPr="00366942">
        <w:rPr>
          <w:lang w:val="en-CA"/>
        </w:rPr>
        <w:t xml:space="preserve"> which they are </w:t>
      </w:r>
      <w:r w:rsidR="008673E3" w:rsidRPr="00366942">
        <w:rPr>
          <w:lang w:val="en-CA"/>
        </w:rPr>
        <w:t>inseparable</w:t>
      </w:r>
      <w:r w:rsidR="00961A50" w:rsidRPr="00366942">
        <w:rPr>
          <w:lang w:val="en-CA"/>
        </w:rPr>
        <w:t>.</w:t>
      </w:r>
    </w:p>
    <w:p w14:paraId="49AF38DC" w14:textId="526A252E" w:rsidR="00961A50" w:rsidRPr="00366942" w:rsidRDefault="00D003FB" w:rsidP="00961A50">
      <w:pPr>
        <w:pStyle w:val="Paragraphe"/>
        <w:rPr>
          <w:lang w:val="en-CA"/>
        </w:rPr>
      </w:pPr>
      <w:r w:rsidRPr="00366942">
        <w:rPr>
          <w:lang w:val="en-CA"/>
        </w:rPr>
        <w:t>T</w:t>
      </w:r>
      <w:r w:rsidR="000B4164" w:rsidRPr="00366942">
        <w:rPr>
          <w:lang w:val="en-CA"/>
        </w:rPr>
        <w:t>h</w:t>
      </w:r>
      <w:r w:rsidRPr="00366942">
        <w:rPr>
          <w:lang w:val="en-CA"/>
        </w:rPr>
        <w:t xml:space="preserve">e appellant has not challenged the </w:t>
      </w:r>
      <w:r w:rsidR="000B4164" w:rsidRPr="00366942">
        <w:rPr>
          <w:lang w:val="en-CA"/>
        </w:rPr>
        <w:t xml:space="preserve">relevant provisions of </w:t>
      </w:r>
      <w:r w:rsidRPr="00366942">
        <w:rPr>
          <w:lang w:val="en-CA"/>
        </w:rPr>
        <w:t>the</w:t>
      </w:r>
      <w:r w:rsidR="00961A50" w:rsidRPr="00366942">
        <w:rPr>
          <w:lang w:val="en-CA"/>
        </w:rPr>
        <w:t xml:space="preserve"> </w:t>
      </w:r>
      <w:r w:rsidR="000B4164" w:rsidRPr="00366942">
        <w:rPr>
          <w:i/>
          <w:iCs/>
          <w:lang w:val="en-CA"/>
        </w:rPr>
        <w:t>Act respecting prescription drug insurance</w:t>
      </w:r>
      <w:r w:rsidR="00DE5ABE" w:rsidRPr="00366942">
        <w:rPr>
          <w:lang w:val="en-CA"/>
        </w:rPr>
        <w:t>,</w:t>
      </w:r>
      <w:r w:rsidR="000B4164" w:rsidRPr="00366942">
        <w:rPr>
          <w:lang w:val="en-CA"/>
        </w:rPr>
        <w:t xml:space="preserve"> and </w:t>
      </w:r>
      <w:r w:rsidR="00DE5ABE" w:rsidRPr="00366942">
        <w:rPr>
          <w:lang w:val="en-CA"/>
        </w:rPr>
        <w:t>she</w:t>
      </w:r>
      <w:r w:rsidR="000B4164" w:rsidRPr="00366942">
        <w:rPr>
          <w:lang w:val="en-CA"/>
        </w:rPr>
        <w:t xml:space="preserve"> obviously cannot </w:t>
      </w:r>
      <w:r w:rsidRPr="00366942">
        <w:rPr>
          <w:lang w:val="en-CA"/>
        </w:rPr>
        <w:t>do so</w:t>
      </w:r>
      <w:r w:rsidR="000B4164" w:rsidRPr="00366942">
        <w:rPr>
          <w:lang w:val="en-CA"/>
        </w:rPr>
        <w:t xml:space="preserve"> indirectly by way of a challenge </w:t>
      </w:r>
      <w:r w:rsidRPr="00366942">
        <w:rPr>
          <w:lang w:val="en-CA"/>
        </w:rPr>
        <w:t>focussing on</w:t>
      </w:r>
      <w:r w:rsidR="000B4164" w:rsidRPr="00366942">
        <w:rPr>
          <w:lang w:val="en-CA"/>
        </w:rPr>
        <w:t xml:space="preserve"> s. </w:t>
      </w:r>
      <w:r w:rsidR="00961A50" w:rsidRPr="00366942">
        <w:rPr>
          <w:lang w:val="en-CA"/>
        </w:rPr>
        <w:t>10</w:t>
      </w:r>
      <w:r w:rsidR="000B4164" w:rsidRPr="00366942">
        <w:rPr>
          <w:lang w:val="en-CA"/>
        </w:rPr>
        <w:t>, para</w:t>
      </w:r>
      <w:r w:rsidR="00961A50" w:rsidRPr="00366942">
        <w:rPr>
          <w:lang w:val="en-CA"/>
        </w:rPr>
        <w:t xml:space="preserve">. 4 </w:t>
      </w:r>
      <w:r w:rsidR="000B4164" w:rsidRPr="00366942">
        <w:rPr>
          <w:i/>
          <w:iCs/>
          <w:lang w:val="en-CA"/>
        </w:rPr>
        <w:t>HIA</w:t>
      </w:r>
      <w:r w:rsidR="00961A50" w:rsidRPr="00366942">
        <w:rPr>
          <w:i/>
          <w:iCs/>
          <w:lang w:val="en-CA"/>
        </w:rPr>
        <w:t>.</w:t>
      </w:r>
      <w:r w:rsidR="00961A50" w:rsidRPr="00366942">
        <w:rPr>
          <w:lang w:val="en-CA"/>
        </w:rPr>
        <w:t xml:space="preserve"> </w:t>
      </w:r>
      <w:r w:rsidR="006C59B5" w:rsidRPr="00366942">
        <w:rPr>
          <w:lang w:val="en-CA"/>
        </w:rPr>
        <w:t>Furthermore, t</w:t>
      </w:r>
      <w:r w:rsidR="000B4164" w:rsidRPr="00366942">
        <w:rPr>
          <w:lang w:val="en-CA"/>
        </w:rPr>
        <w:t xml:space="preserve">he appellant has not formally challenged </w:t>
      </w:r>
      <w:r w:rsidR="003F582A" w:rsidRPr="00366942">
        <w:rPr>
          <w:lang w:val="en-CA"/>
        </w:rPr>
        <w:t xml:space="preserve">in this </w:t>
      </w:r>
      <w:r w:rsidRPr="00366942">
        <w:rPr>
          <w:lang w:val="en-CA"/>
        </w:rPr>
        <w:t>respect</w:t>
      </w:r>
      <w:r w:rsidR="003F582A" w:rsidRPr="00366942">
        <w:rPr>
          <w:lang w:val="en-CA"/>
        </w:rPr>
        <w:t xml:space="preserve"> </w:t>
      </w:r>
      <w:r w:rsidR="000B4164" w:rsidRPr="00366942">
        <w:rPr>
          <w:lang w:val="en-CA"/>
        </w:rPr>
        <w:t xml:space="preserve">the first three paragraphs of s. </w:t>
      </w:r>
      <w:r w:rsidR="00961A50" w:rsidRPr="00366942">
        <w:rPr>
          <w:lang w:val="en-CA"/>
        </w:rPr>
        <w:t xml:space="preserve">10 </w:t>
      </w:r>
      <w:r w:rsidR="000B4164" w:rsidRPr="00366942">
        <w:rPr>
          <w:i/>
          <w:iCs/>
          <w:lang w:val="en-CA"/>
        </w:rPr>
        <w:t>HIA</w:t>
      </w:r>
      <w:r w:rsidR="006C59B5" w:rsidRPr="00366942">
        <w:rPr>
          <w:lang w:val="en-CA"/>
        </w:rPr>
        <w:t>,</w:t>
      </w:r>
      <w:r w:rsidR="00961A50" w:rsidRPr="00366942">
        <w:rPr>
          <w:lang w:val="en-CA"/>
        </w:rPr>
        <w:t xml:space="preserve"> </w:t>
      </w:r>
      <w:r w:rsidR="00007DAD" w:rsidRPr="00366942">
        <w:rPr>
          <w:lang w:val="en-CA"/>
        </w:rPr>
        <w:t>although</w:t>
      </w:r>
      <w:r w:rsidR="000B4164" w:rsidRPr="00366942">
        <w:rPr>
          <w:lang w:val="en-CA"/>
        </w:rPr>
        <w:t xml:space="preserve"> she is claiming the reimbursement, in bulk, of all the costs that the Board refused to reimburse her for, without however advancing any argument </w:t>
      </w:r>
      <w:r w:rsidR="00DE5ABE" w:rsidRPr="00366942">
        <w:rPr>
          <w:lang w:val="en-CA"/>
        </w:rPr>
        <w:t>based on</w:t>
      </w:r>
      <w:r w:rsidR="000B4164" w:rsidRPr="00366942">
        <w:rPr>
          <w:lang w:val="en-CA"/>
        </w:rPr>
        <w:t xml:space="preserve"> </w:t>
      </w:r>
      <w:r w:rsidR="00007DAD" w:rsidRPr="00366942">
        <w:rPr>
          <w:lang w:val="en-CA"/>
        </w:rPr>
        <w:t xml:space="preserve">the precise content of her </w:t>
      </w:r>
      <w:r w:rsidR="000B4164" w:rsidRPr="00366942">
        <w:rPr>
          <w:lang w:val="en-CA"/>
        </w:rPr>
        <w:t>claim or</w:t>
      </w:r>
      <w:r w:rsidR="00DE5ABE" w:rsidRPr="00366942">
        <w:rPr>
          <w:lang w:val="en-CA"/>
        </w:rPr>
        <w:t xml:space="preserve"> on</w:t>
      </w:r>
      <w:r w:rsidR="000B4164" w:rsidRPr="00366942">
        <w:rPr>
          <w:lang w:val="en-CA"/>
        </w:rPr>
        <w:t xml:space="preserve"> </w:t>
      </w:r>
      <w:r w:rsidRPr="00366942">
        <w:rPr>
          <w:lang w:val="en-CA"/>
        </w:rPr>
        <w:t>the</w:t>
      </w:r>
      <w:r w:rsidR="00961A50" w:rsidRPr="00366942">
        <w:rPr>
          <w:lang w:val="en-CA"/>
        </w:rPr>
        <w:t xml:space="preserve"> </w:t>
      </w:r>
      <w:r w:rsidR="000B4164" w:rsidRPr="00366942">
        <w:rPr>
          <w:i/>
          <w:iCs/>
          <w:lang w:val="en-CA"/>
        </w:rPr>
        <w:t>Act respecting prescription drug insurance</w:t>
      </w:r>
      <w:r w:rsidR="00961A50" w:rsidRPr="00366942">
        <w:rPr>
          <w:lang w:val="en-CA"/>
        </w:rPr>
        <w:t>.</w:t>
      </w:r>
    </w:p>
    <w:p w14:paraId="62252C15" w14:textId="6D7E84F9" w:rsidR="00961A50" w:rsidRPr="00366942" w:rsidRDefault="00B7074D" w:rsidP="00961A50">
      <w:pPr>
        <w:pStyle w:val="Paragraphe"/>
        <w:rPr>
          <w:lang w:val="en-CA"/>
        </w:rPr>
      </w:pPr>
      <w:bookmarkStart w:id="32" w:name="_Ref173855663"/>
      <w:r w:rsidRPr="00366942">
        <w:rPr>
          <w:lang w:val="en-CA"/>
        </w:rPr>
        <w:t>Last</w:t>
      </w:r>
      <w:r w:rsidR="00B262AB" w:rsidRPr="00366942">
        <w:rPr>
          <w:lang w:val="en-CA"/>
        </w:rPr>
        <w:t xml:space="preserve">ly, it should </w:t>
      </w:r>
      <w:r w:rsidR="00DE5ABE" w:rsidRPr="00366942">
        <w:rPr>
          <w:lang w:val="en-CA"/>
        </w:rPr>
        <w:t xml:space="preserve">also </w:t>
      </w:r>
      <w:r w:rsidR="00B262AB" w:rsidRPr="00366942">
        <w:rPr>
          <w:lang w:val="en-CA"/>
        </w:rPr>
        <w:t xml:space="preserve">be </w:t>
      </w:r>
      <w:r w:rsidRPr="00366942">
        <w:rPr>
          <w:lang w:val="en-CA"/>
        </w:rPr>
        <w:t>noted</w:t>
      </w:r>
      <w:r w:rsidR="00B262AB" w:rsidRPr="00366942">
        <w:rPr>
          <w:lang w:val="en-CA"/>
        </w:rPr>
        <w:t xml:space="preserve"> that ss.</w:t>
      </w:r>
      <w:r w:rsidR="00961A50" w:rsidRPr="00366942">
        <w:rPr>
          <w:lang w:val="en-CA"/>
        </w:rPr>
        <w:t xml:space="preserve"> 10 </w:t>
      </w:r>
      <w:r w:rsidR="00B262AB" w:rsidRPr="00366942">
        <w:rPr>
          <w:lang w:val="en-CA"/>
        </w:rPr>
        <w:t>and</w:t>
      </w:r>
      <w:r w:rsidR="00961A50" w:rsidRPr="00366942">
        <w:rPr>
          <w:lang w:val="en-CA"/>
        </w:rPr>
        <w:t xml:space="preserve"> 11 </w:t>
      </w:r>
      <w:r w:rsidR="00B262AB" w:rsidRPr="00366942">
        <w:rPr>
          <w:i/>
          <w:iCs/>
          <w:lang w:val="en-CA"/>
        </w:rPr>
        <w:t>HIA</w:t>
      </w:r>
      <w:r w:rsidR="00961A50" w:rsidRPr="00366942">
        <w:rPr>
          <w:lang w:val="en-CA"/>
        </w:rPr>
        <w:t xml:space="preserve"> </w:t>
      </w:r>
      <w:r w:rsidR="00B262AB" w:rsidRPr="00366942">
        <w:rPr>
          <w:lang w:val="en-CA"/>
        </w:rPr>
        <w:t>do not cover the cost of hospital services</w:t>
      </w:r>
      <w:r w:rsidR="00961A50" w:rsidRPr="00366942">
        <w:rPr>
          <w:lang w:val="en-CA"/>
        </w:rPr>
        <w:t xml:space="preserve"> (</w:t>
      </w:r>
      <w:r w:rsidR="00B262AB" w:rsidRPr="00366942">
        <w:rPr>
          <w:lang w:val="en-CA"/>
        </w:rPr>
        <w:t>which are governed by the</w:t>
      </w:r>
      <w:r w:rsidR="00961A50" w:rsidRPr="00366942">
        <w:rPr>
          <w:lang w:val="en-CA"/>
        </w:rPr>
        <w:t xml:space="preserve"> </w:t>
      </w:r>
      <w:r w:rsidR="00B262AB" w:rsidRPr="00366942">
        <w:rPr>
          <w:i/>
          <w:iCs/>
          <w:lang w:val="en-CA"/>
        </w:rPr>
        <w:t>Hospital Insurance Act,)</w:t>
      </w:r>
      <w:r w:rsidR="00961A50" w:rsidRPr="00366942">
        <w:rPr>
          <w:rStyle w:val="Appelnotedebasdep"/>
          <w:lang w:val="en-CA"/>
        </w:rPr>
        <w:footnoteReference w:id="51"/>
      </w:r>
      <w:r w:rsidR="00B262AB" w:rsidRPr="00366942">
        <w:rPr>
          <w:lang w:val="en-CA"/>
        </w:rPr>
        <w:t xml:space="preserve"> Quebec having entered reciprocal billing agreements with all Canadian provinces and territories </w:t>
      </w:r>
      <w:r w:rsidR="00342917" w:rsidRPr="00366942">
        <w:rPr>
          <w:lang w:val="en-CA"/>
        </w:rPr>
        <w:t>o</w:t>
      </w:r>
      <w:r w:rsidR="00B262AB" w:rsidRPr="00366942">
        <w:rPr>
          <w:lang w:val="en-CA"/>
        </w:rPr>
        <w:t xml:space="preserve">n that matter, </w:t>
      </w:r>
      <w:bookmarkStart w:id="33" w:name="_Ref173855680"/>
      <w:r w:rsidR="00342917" w:rsidRPr="00366942">
        <w:rPr>
          <w:lang w:val="en-CA"/>
        </w:rPr>
        <w:t>including British Columbia,</w:t>
      </w:r>
      <w:r w:rsidR="00961A50" w:rsidRPr="00366942">
        <w:rPr>
          <w:rStyle w:val="Appelnotedebasdep"/>
          <w:lang w:val="en-CA"/>
        </w:rPr>
        <w:footnoteReference w:id="52"/>
      </w:r>
      <w:bookmarkEnd w:id="33"/>
      <w:r w:rsidR="00342917" w:rsidRPr="00366942">
        <w:rPr>
          <w:lang w:val="en-CA"/>
        </w:rPr>
        <w:t xml:space="preserve"> agreements pursuant to which such services are not </w:t>
      </w:r>
      <w:r w:rsidR="00342917" w:rsidRPr="00366942">
        <w:rPr>
          <w:lang w:val="en-CA"/>
        </w:rPr>
        <w:lastRenderedPageBreak/>
        <w:t xml:space="preserve">paid by insured persons where the latter obtain </w:t>
      </w:r>
      <w:r w:rsidRPr="00366942">
        <w:rPr>
          <w:lang w:val="en-CA"/>
        </w:rPr>
        <w:t>them</w:t>
      </w:r>
      <w:r w:rsidR="00342917" w:rsidRPr="00366942">
        <w:rPr>
          <w:lang w:val="en-CA"/>
        </w:rPr>
        <w:t xml:space="preserve"> outside Quebec, but are billed directly to the organization having jurisdiction</w:t>
      </w:r>
      <w:r w:rsidR="00961A50" w:rsidRPr="00366942">
        <w:rPr>
          <w:lang w:val="en-CA"/>
        </w:rPr>
        <w:t xml:space="preserve"> </w:t>
      </w:r>
      <w:r w:rsidR="00342917" w:rsidRPr="00366942">
        <w:rPr>
          <w:lang w:val="en-CA"/>
        </w:rPr>
        <w:t>in their province of origin</w:t>
      </w:r>
      <w:r w:rsidR="00961A50" w:rsidRPr="00366942">
        <w:rPr>
          <w:lang w:val="en-CA"/>
        </w:rPr>
        <w:t xml:space="preserve"> (</w:t>
      </w:r>
      <w:r w:rsidR="00342917" w:rsidRPr="00366942">
        <w:rPr>
          <w:lang w:val="en-CA"/>
        </w:rPr>
        <w:t>given that the wording of the agreements is not in evidence, it is impossible to know whether they include restrictions that may have been authorized by the enabling statutes</w:t>
      </w:r>
      <w:r w:rsidR="00961A50" w:rsidRPr="00366942">
        <w:rPr>
          <w:lang w:val="en-CA"/>
        </w:rPr>
        <w:t xml:space="preserve">). </w:t>
      </w:r>
      <w:r w:rsidR="00342917" w:rsidRPr="00366942">
        <w:rPr>
          <w:lang w:val="en-CA"/>
        </w:rPr>
        <w:t xml:space="preserve">It will be noted that the parties, in this appeal, have not drawn such distinctions between </w:t>
      </w:r>
      <w:r w:rsidR="00DE5ABE" w:rsidRPr="00366942">
        <w:rPr>
          <w:lang w:val="en-CA"/>
        </w:rPr>
        <w:t xml:space="preserve">insured </w:t>
      </w:r>
      <w:r w:rsidR="00342917" w:rsidRPr="00366942">
        <w:rPr>
          <w:lang w:val="en-CA"/>
        </w:rPr>
        <w:t>services under s.</w:t>
      </w:r>
      <w:r w:rsidR="00961A50" w:rsidRPr="00366942">
        <w:rPr>
          <w:lang w:val="en-CA"/>
        </w:rPr>
        <w:t> 3 </w:t>
      </w:r>
      <w:r w:rsidR="00342917" w:rsidRPr="00366942">
        <w:rPr>
          <w:i/>
          <w:iCs/>
          <w:lang w:val="en-CA"/>
        </w:rPr>
        <w:t>HIA</w:t>
      </w:r>
      <w:r w:rsidR="00961A50" w:rsidRPr="00366942">
        <w:rPr>
          <w:lang w:val="en-CA"/>
        </w:rPr>
        <w:t xml:space="preserve"> </w:t>
      </w:r>
      <w:r w:rsidR="00342917" w:rsidRPr="00366942">
        <w:rPr>
          <w:lang w:val="en-CA"/>
        </w:rPr>
        <w:t>and hospital services</w:t>
      </w:r>
      <w:r w:rsidR="00961A50" w:rsidRPr="00366942">
        <w:rPr>
          <w:lang w:val="en-CA"/>
        </w:rPr>
        <w:t xml:space="preserve">. </w:t>
      </w:r>
      <w:r w:rsidR="00342917" w:rsidRPr="00366942">
        <w:rPr>
          <w:lang w:val="en-CA"/>
        </w:rPr>
        <w:t>The latter cannot be in issue here since there are not contemplated by s</w:t>
      </w:r>
      <w:r w:rsidR="00961A50" w:rsidRPr="00366942">
        <w:rPr>
          <w:lang w:val="en-CA"/>
        </w:rPr>
        <w:t>. 10 (o</w:t>
      </w:r>
      <w:r w:rsidR="00342917" w:rsidRPr="00366942">
        <w:rPr>
          <w:lang w:val="en-CA"/>
        </w:rPr>
        <w:t>r</w:t>
      </w:r>
      <w:r w:rsidR="00961A50" w:rsidRPr="00366942">
        <w:rPr>
          <w:lang w:val="en-CA"/>
        </w:rPr>
        <w:t xml:space="preserve"> 11) </w:t>
      </w:r>
      <w:r w:rsidR="00342917" w:rsidRPr="00366942">
        <w:rPr>
          <w:i/>
          <w:iCs/>
          <w:lang w:val="en-CA"/>
        </w:rPr>
        <w:t>HIA</w:t>
      </w:r>
      <w:r w:rsidR="00961A50" w:rsidRPr="00366942">
        <w:rPr>
          <w:i/>
          <w:iCs/>
          <w:lang w:val="en-CA"/>
        </w:rPr>
        <w:t>.</w:t>
      </w:r>
      <w:bookmarkEnd w:id="32"/>
    </w:p>
    <w:p w14:paraId="47190B81" w14:textId="31327DA3" w:rsidR="00961A50" w:rsidRPr="00366942" w:rsidRDefault="00B7074D" w:rsidP="00961A50">
      <w:pPr>
        <w:pStyle w:val="Paragraphe"/>
        <w:rPr>
          <w:lang w:val="en-CA"/>
        </w:rPr>
      </w:pPr>
      <w:bookmarkStart w:id="34" w:name="_Ref173857231"/>
      <w:r w:rsidRPr="00366942">
        <w:rPr>
          <w:lang w:val="en-CA"/>
        </w:rPr>
        <w:t>Finally</w:t>
      </w:r>
      <w:r w:rsidR="00961A50" w:rsidRPr="00366942">
        <w:rPr>
          <w:lang w:val="en-CA"/>
        </w:rPr>
        <w:t xml:space="preserve"> (</w:t>
      </w:r>
      <w:r w:rsidRPr="00366942">
        <w:rPr>
          <w:lang w:val="en-CA"/>
        </w:rPr>
        <w:t xml:space="preserve">and I will have </w:t>
      </w:r>
      <w:r w:rsidR="006750CD" w:rsidRPr="00366942">
        <w:rPr>
          <w:lang w:val="en-CA"/>
        </w:rPr>
        <w:t>occasion</w:t>
      </w:r>
      <w:r w:rsidRPr="00366942">
        <w:rPr>
          <w:lang w:val="en-CA"/>
        </w:rPr>
        <w:t xml:space="preserve"> to </w:t>
      </w:r>
      <w:r w:rsidR="006750CD" w:rsidRPr="00366942">
        <w:rPr>
          <w:lang w:val="en-CA"/>
        </w:rPr>
        <w:t>return to</w:t>
      </w:r>
      <w:r w:rsidRPr="00366942">
        <w:rPr>
          <w:lang w:val="en-CA"/>
        </w:rPr>
        <w:t xml:space="preserve"> the subject</w:t>
      </w:r>
      <w:r w:rsidR="00961A50" w:rsidRPr="00366942">
        <w:rPr>
          <w:lang w:val="en-CA"/>
        </w:rPr>
        <w:t xml:space="preserve">), </w:t>
      </w:r>
      <w:r w:rsidRPr="00366942">
        <w:rPr>
          <w:lang w:val="en-CA"/>
        </w:rPr>
        <w:t xml:space="preserve">the appellant is not challenging the compliance of s. </w:t>
      </w:r>
      <w:r w:rsidR="00961A50" w:rsidRPr="00366942">
        <w:rPr>
          <w:lang w:val="en-CA"/>
        </w:rPr>
        <w:t>10</w:t>
      </w:r>
      <w:r w:rsidRPr="00366942">
        <w:rPr>
          <w:lang w:val="en-CA"/>
        </w:rPr>
        <w:t>, para</w:t>
      </w:r>
      <w:r w:rsidR="00961A50" w:rsidRPr="00366942">
        <w:rPr>
          <w:lang w:val="en-CA"/>
        </w:rPr>
        <w:t xml:space="preserve">. 4 </w:t>
      </w:r>
      <w:r w:rsidR="006750CD" w:rsidRPr="00366942">
        <w:rPr>
          <w:i/>
          <w:iCs/>
          <w:lang w:val="en-CA"/>
        </w:rPr>
        <w:t>HIA</w:t>
      </w:r>
      <w:r w:rsidR="00961A50" w:rsidRPr="00366942">
        <w:rPr>
          <w:lang w:val="en-CA"/>
        </w:rPr>
        <w:t xml:space="preserve"> </w:t>
      </w:r>
      <w:r w:rsidR="006750CD" w:rsidRPr="00366942">
        <w:rPr>
          <w:lang w:val="en-CA"/>
        </w:rPr>
        <w:t>with s</w:t>
      </w:r>
      <w:r w:rsidR="008D733C">
        <w:rPr>
          <w:lang w:val="en-CA"/>
        </w:rPr>
        <w:t>ubs</w:t>
      </w:r>
      <w:r w:rsidR="006750CD" w:rsidRPr="00366942">
        <w:rPr>
          <w:lang w:val="en-CA"/>
        </w:rPr>
        <w:t>s</w:t>
      </w:r>
      <w:r w:rsidR="00961A50" w:rsidRPr="00366942">
        <w:rPr>
          <w:lang w:val="en-CA"/>
        </w:rPr>
        <w:t>. 11(1)</w:t>
      </w:r>
      <w:r w:rsidR="006750CD" w:rsidRPr="00366942">
        <w:rPr>
          <w:lang w:val="en-CA"/>
        </w:rPr>
        <w:t>(</w:t>
      </w:r>
      <w:r w:rsidR="00961A50" w:rsidRPr="00366942">
        <w:rPr>
          <w:lang w:val="en-CA"/>
        </w:rPr>
        <w:t xml:space="preserve">b)(i) </w:t>
      </w:r>
      <w:r w:rsidR="006750CD" w:rsidRPr="00366942">
        <w:rPr>
          <w:lang w:val="en-CA"/>
        </w:rPr>
        <w:t>and</w:t>
      </w:r>
      <w:r w:rsidR="00961A50" w:rsidRPr="00366942">
        <w:rPr>
          <w:lang w:val="en-CA"/>
        </w:rPr>
        <w:t xml:space="preserve"> (ii) </w:t>
      </w:r>
      <w:r w:rsidR="006750CD" w:rsidRPr="00366942">
        <w:rPr>
          <w:lang w:val="en-CA"/>
        </w:rPr>
        <w:t>of the</w:t>
      </w:r>
      <w:r w:rsidR="00961A50" w:rsidRPr="00366942">
        <w:rPr>
          <w:lang w:val="en-CA"/>
        </w:rPr>
        <w:t xml:space="preserve"> </w:t>
      </w:r>
      <w:r w:rsidR="006750CD" w:rsidRPr="00366942">
        <w:rPr>
          <w:i/>
          <w:iCs/>
          <w:lang w:val="en-CA"/>
        </w:rPr>
        <w:t>Canada Health Act</w:t>
      </w:r>
      <w:r w:rsidR="006750CD" w:rsidRPr="00366942">
        <w:rPr>
          <w:lang w:val="en-CA"/>
        </w:rPr>
        <w:t>,</w:t>
      </w:r>
      <w:r w:rsidR="00961A50" w:rsidRPr="00366942">
        <w:rPr>
          <w:rStyle w:val="Appelnotedebasdep"/>
          <w:lang w:val="en-CA"/>
        </w:rPr>
        <w:footnoteReference w:id="53"/>
      </w:r>
      <w:bookmarkEnd w:id="34"/>
      <w:r w:rsidR="006750CD" w:rsidRPr="00366942">
        <w:rPr>
          <w:lang w:val="en-CA"/>
        </w:rPr>
        <w:t xml:space="preserve"> </w:t>
      </w:r>
      <w:r w:rsidR="00985FA7" w:rsidRPr="00366942">
        <w:rPr>
          <w:lang w:val="en-CA"/>
        </w:rPr>
        <w:t>nor</w:t>
      </w:r>
      <w:r w:rsidR="006750CD" w:rsidRPr="00366942">
        <w:rPr>
          <w:lang w:val="en-CA"/>
        </w:rPr>
        <w:t xml:space="preserve"> is she challenging the validity of the latter provisions</w:t>
      </w:r>
      <w:r w:rsidR="00961A50" w:rsidRPr="00366942">
        <w:rPr>
          <w:lang w:val="en-CA"/>
        </w:rPr>
        <w:t>.</w:t>
      </w:r>
    </w:p>
    <w:p w14:paraId="26DB2097" w14:textId="131A80FD" w:rsidR="00961A50" w:rsidRPr="00366942" w:rsidRDefault="006750CD" w:rsidP="00961A50">
      <w:pPr>
        <w:pStyle w:val="Paragraphe"/>
        <w:rPr>
          <w:lang w:val="en-CA"/>
        </w:rPr>
      </w:pPr>
      <w:r w:rsidRPr="00366942">
        <w:rPr>
          <w:lang w:val="en-CA"/>
        </w:rPr>
        <w:t>To conclude</w:t>
      </w:r>
      <w:r w:rsidR="00961A50" w:rsidRPr="00366942">
        <w:rPr>
          <w:lang w:val="en-CA"/>
        </w:rPr>
        <w:t xml:space="preserve">, </w:t>
      </w:r>
      <w:r w:rsidRPr="00366942">
        <w:rPr>
          <w:lang w:val="en-CA"/>
        </w:rPr>
        <w:t xml:space="preserve">the appeal </w:t>
      </w:r>
      <w:r w:rsidR="00EF2DCD" w:rsidRPr="00366942">
        <w:rPr>
          <w:lang w:val="en-CA"/>
        </w:rPr>
        <w:t xml:space="preserve">therefore </w:t>
      </w:r>
      <w:r w:rsidR="00985FA7" w:rsidRPr="00366942">
        <w:rPr>
          <w:lang w:val="en-CA"/>
        </w:rPr>
        <w:t xml:space="preserve">only </w:t>
      </w:r>
      <w:r w:rsidRPr="00366942">
        <w:rPr>
          <w:lang w:val="en-CA"/>
        </w:rPr>
        <w:t>concerns</w:t>
      </w:r>
      <w:r w:rsidR="00EF2DCD" w:rsidRPr="00366942">
        <w:rPr>
          <w:lang w:val="en-CA"/>
        </w:rPr>
        <w:t xml:space="preserve"> </w:t>
      </w:r>
      <w:r w:rsidR="00961A50" w:rsidRPr="00366942">
        <w:rPr>
          <w:lang w:val="en-CA"/>
        </w:rPr>
        <w:t xml:space="preserve">– </w:t>
      </w:r>
      <w:r w:rsidRPr="00366942">
        <w:rPr>
          <w:lang w:val="en-CA"/>
        </w:rPr>
        <w:t>and can only concern</w:t>
      </w:r>
      <w:r w:rsidR="00961A50" w:rsidRPr="00366942">
        <w:rPr>
          <w:lang w:val="en-CA"/>
        </w:rPr>
        <w:t xml:space="preserve"> – </w:t>
      </w:r>
      <w:r w:rsidRPr="00366942">
        <w:rPr>
          <w:lang w:val="en-CA"/>
        </w:rPr>
        <w:t>s.</w:t>
      </w:r>
      <w:r w:rsidR="00961A50" w:rsidRPr="00366942">
        <w:rPr>
          <w:lang w:val="en-CA"/>
        </w:rPr>
        <w:t> 10</w:t>
      </w:r>
      <w:r w:rsidRPr="00366942">
        <w:rPr>
          <w:lang w:val="en-CA"/>
        </w:rPr>
        <w:t>, para</w:t>
      </w:r>
      <w:r w:rsidR="00961A50" w:rsidRPr="00366942">
        <w:rPr>
          <w:lang w:val="en-CA"/>
        </w:rPr>
        <w:t>. 4 </w:t>
      </w:r>
      <w:r w:rsidRPr="00366942">
        <w:rPr>
          <w:i/>
          <w:iCs/>
          <w:lang w:val="en-CA"/>
        </w:rPr>
        <w:t>HIA</w:t>
      </w:r>
      <w:r w:rsidR="00F7391B" w:rsidRPr="00366942">
        <w:rPr>
          <w:lang w:val="en-CA"/>
        </w:rPr>
        <w:t>,</w:t>
      </w:r>
      <w:r w:rsidR="00961A50" w:rsidRPr="00366942">
        <w:rPr>
          <w:lang w:val="en-CA"/>
        </w:rPr>
        <w:t xml:space="preserve"> </w:t>
      </w:r>
      <w:r w:rsidR="00F7391B" w:rsidRPr="00366942">
        <w:rPr>
          <w:lang w:val="en-CA"/>
        </w:rPr>
        <w:t>and it relates</w:t>
      </w:r>
      <w:r w:rsidR="00961A50" w:rsidRPr="00366942">
        <w:rPr>
          <w:lang w:val="en-CA"/>
        </w:rPr>
        <w:t xml:space="preserve"> </w:t>
      </w:r>
      <w:r w:rsidR="00EF2DCD" w:rsidRPr="00366942">
        <w:rPr>
          <w:lang w:val="en-CA"/>
        </w:rPr>
        <w:t xml:space="preserve">solely </w:t>
      </w:r>
      <w:r w:rsidR="00F7391B" w:rsidRPr="00366942">
        <w:rPr>
          <w:lang w:val="en-CA"/>
        </w:rPr>
        <w:t>to the reimbursement or payment of the medical services defined at s.</w:t>
      </w:r>
      <w:r w:rsidR="00961A50" w:rsidRPr="00366942">
        <w:rPr>
          <w:lang w:val="en-CA"/>
        </w:rPr>
        <w:t xml:space="preserve"> 3 </w:t>
      </w:r>
      <w:r w:rsidR="00F7391B" w:rsidRPr="00366942">
        <w:rPr>
          <w:i/>
          <w:iCs/>
          <w:lang w:val="en-CA"/>
        </w:rPr>
        <w:t>HIA</w:t>
      </w:r>
      <w:r w:rsidR="00961A50" w:rsidRPr="00366942">
        <w:rPr>
          <w:lang w:val="en-CA"/>
        </w:rPr>
        <w:t xml:space="preserve"> (</w:t>
      </w:r>
      <w:r w:rsidR="00F7391B" w:rsidRPr="00366942">
        <w:rPr>
          <w:lang w:val="en-CA"/>
        </w:rPr>
        <w:t xml:space="preserve">and specifically those </w:t>
      </w:r>
      <w:r w:rsidR="00985FA7" w:rsidRPr="00366942">
        <w:rPr>
          <w:lang w:val="en-CA"/>
        </w:rPr>
        <w:t>at</w:t>
      </w:r>
      <w:r w:rsidR="00F7391B" w:rsidRPr="00366942">
        <w:rPr>
          <w:lang w:val="en-CA"/>
        </w:rPr>
        <w:t xml:space="preserve"> sub</w:t>
      </w:r>
      <w:r w:rsidR="00EF2DCD" w:rsidRPr="00366942">
        <w:rPr>
          <w:lang w:val="en-CA"/>
        </w:rPr>
        <w:t>-</w:t>
      </w:r>
      <w:r w:rsidR="00F7391B" w:rsidRPr="00366942">
        <w:rPr>
          <w:lang w:val="en-CA"/>
        </w:rPr>
        <w:t>p</w:t>
      </w:r>
      <w:r w:rsidR="00961A50" w:rsidRPr="00366942">
        <w:rPr>
          <w:lang w:val="en-CA"/>
        </w:rPr>
        <w:t>ara</w:t>
      </w:r>
      <w:r w:rsidR="00F7391B" w:rsidRPr="00366942">
        <w:rPr>
          <w:lang w:val="en-CA"/>
        </w:rPr>
        <w:t>s</w:t>
      </w:r>
      <w:r w:rsidR="00961A50" w:rsidRPr="00366942">
        <w:rPr>
          <w:lang w:val="en-CA"/>
        </w:rPr>
        <w:t xml:space="preserve">. </w:t>
      </w:r>
      <w:r w:rsidR="00F7391B" w:rsidRPr="00366942">
        <w:rPr>
          <w:i/>
          <w:iCs/>
          <w:lang w:val="en-CA"/>
        </w:rPr>
        <w:t>(</w:t>
      </w:r>
      <w:r w:rsidR="00961A50" w:rsidRPr="00366942">
        <w:rPr>
          <w:i/>
          <w:iCs/>
          <w:lang w:val="en-CA"/>
        </w:rPr>
        <w:t>a)</w:t>
      </w:r>
      <w:r w:rsidR="00961A50" w:rsidRPr="00366942">
        <w:rPr>
          <w:lang w:val="en-CA"/>
        </w:rPr>
        <w:t xml:space="preserve">, </w:t>
      </w:r>
      <w:r w:rsidR="00F7391B" w:rsidRPr="00366942">
        <w:rPr>
          <w:i/>
          <w:iCs/>
          <w:lang w:val="en-CA"/>
        </w:rPr>
        <w:t>(</w:t>
      </w:r>
      <w:r w:rsidR="00961A50" w:rsidRPr="00366942">
        <w:rPr>
          <w:i/>
          <w:iCs/>
          <w:lang w:val="en-CA"/>
        </w:rPr>
        <w:t>d)</w:t>
      </w:r>
      <w:r w:rsidR="00961A50" w:rsidRPr="00366942">
        <w:rPr>
          <w:lang w:val="en-CA"/>
        </w:rPr>
        <w:t xml:space="preserve"> </w:t>
      </w:r>
      <w:r w:rsidR="00F7391B" w:rsidRPr="00366942">
        <w:rPr>
          <w:lang w:val="en-CA"/>
        </w:rPr>
        <w:t>and</w:t>
      </w:r>
      <w:r w:rsidR="00961A50" w:rsidRPr="00366942">
        <w:rPr>
          <w:lang w:val="en-CA"/>
        </w:rPr>
        <w:t xml:space="preserve"> </w:t>
      </w:r>
      <w:r w:rsidR="00F7391B" w:rsidRPr="00366942">
        <w:rPr>
          <w:i/>
          <w:iCs/>
          <w:lang w:val="en-CA"/>
        </w:rPr>
        <w:t>(</w:t>
      </w:r>
      <w:r w:rsidR="00961A50" w:rsidRPr="00366942">
        <w:rPr>
          <w:i/>
          <w:iCs/>
          <w:lang w:val="en-CA"/>
        </w:rPr>
        <w:t>e)</w:t>
      </w:r>
      <w:r w:rsidR="00961A50" w:rsidRPr="00366942">
        <w:rPr>
          <w:lang w:val="en-CA"/>
        </w:rPr>
        <w:t xml:space="preserve"> </w:t>
      </w:r>
      <w:r w:rsidR="00F7391B" w:rsidRPr="00366942">
        <w:rPr>
          <w:lang w:val="en-CA"/>
        </w:rPr>
        <w:t>of the first paragraph thereof</w:t>
      </w:r>
      <w:r w:rsidR="00961A50" w:rsidRPr="00366942">
        <w:rPr>
          <w:lang w:val="en-CA"/>
        </w:rPr>
        <w:t xml:space="preserve">, </w:t>
      </w:r>
      <w:r w:rsidR="00F7391B" w:rsidRPr="00366942">
        <w:rPr>
          <w:lang w:val="en-CA"/>
        </w:rPr>
        <w:t>which contemplate services provided by</w:t>
      </w:r>
      <w:r w:rsidR="00961A50" w:rsidRPr="00366942">
        <w:rPr>
          <w:lang w:val="en-CA"/>
        </w:rPr>
        <w:t xml:space="preserve"> </w:t>
      </w:r>
      <w:r w:rsidR="00F7391B" w:rsidRPr="00366942">
        <w:rPr>
          <w:i/>
          <w:iCs/>
          <w:lang w:val="en-CA"/>
        </w:rPr>
        <w:t>physicians</w:t>
      </w:r>
      <w:r w:rsidR="00961A50" w:rsidRPr="00366942">
        <w:rPr>
          <w:lang w:val="en-CA"/>
        </w:rPr>
        <w:t xml:space="preserve">). </w:t>
      </w:r>
      <w:r w:rsidR="00EF2DCD" w:rsidRPr="00366942">
        <w:rPr>
          <w:lang w:val="en-CA"/>
        </w:rPr>
        <w:t xml:space="preserve">Not </w:t>
      </w:r>
      <w:r w:rsidR="006E4448" w:rsidRPr="00366942">
        <w:rPr>
          <w:lang w:val="en-CA"/>
        </w:rPr>
        <w:t>at</w:t>
      </w:r>
      <w:r w:rsidR="00EF2DCD" w:rsidRPr="00366942">
        <w:rPr>
          <w:lang w:val="en-CA"/>
        </w:rPr>
        <w:t xml:space="preserve"> issue are </w:t>
      </w:r>
      <w:r w:rsidR="006E4448" w:rsidRPr="00366942">
        <w:rPr>
          <w:lang w:val="en-CA"/>
        </w:rPr>
        <w:t>p</w:t>
      </w:r>
      <w:r w:rsidR="00F7391B" w:rsidRPr="00366942">
        <w:rPr>
          <w:lang w:val="en-CA"/>
        </w:rPr>
        <w:t>harmaceutical services, medications, and hospital services (in th</w:t>
      </w:r>
      <w:r w:rsidR="00EF2DCD" w:rsidRPr="00366942">
        <w:rPr>
          <w:lang w:val="en-CA"/>
        </w:rPr>
        <w:t>e</w:t>
      </w:r>
      <w:r w:rsidR="00F7391B" w:rsidRPr="00366942">
        <w:rPr>
          <w:lang w:val="en-CA"/>
        </w:rPr>
        <w:t xml:space="preserve"> latter case, excluding services rendered by physicians</w:t>
      </w:r>
      <w:r w:rsidR="006E4448" w:rsidRPr="00366942">
        <w:rPr>
          <w:lang w:val="en-CA"/>
        </w:rPr>
        <w:t>)</w:t>
      </w:r>
      <w:r w:rsidR="00961A50" w:rsidRPr="00366942">
        <w:rPr>
          <w:lang w:val="en-CA"/>
        </w:rPr>
        <w:t xml:space="preserve"> </w:t>
      </w:r>
      <w:r w:rsidR="00F7391B" w:rsidRPr="00366942">
        <w:rPr>
          <w:lang w:val="en-CA"/>
        </w:rPr>
        <w:t>referred</w:t>
      </w:r>
      <w:r w:rsidR="00985FA7" w:rsidRPr="00366942">
        <w:rPr>
          <w:lang w:val="en-CA"/>
        </w:rPr>
        <w:t xml:space="preserve"> to</w:t>
      </w:r>
      <w:r w:rsidR="00F7391B" w:rsidRPr="00366942">
        <w:rPr>
          <w:lang w:val="en-CA"/>
        </w:rPr>
        <w:t xml:space="preserve"> in ss</w:t>
      </w:r>
      <w:r w:rsidR="00961A50" w:rsidRPr="00366942">
        <w:rPr>
          <w:lang w:val="en-CA"/>
        </w:rPr>
        <w:t xml:space="preserve">. 3 </w:t>
      </w:r>
      <w:r w:rsidR="00F7391B" w:rsidRPr="00366942">
        <w:rPr>
          <w:lang w:val="en-CA"/>
        </w:rPr>
        <w:t>and</w:t>
      </w:r>
      <w:r w:rsidR="00961A50" w:rsidRPr="00366942">
        <w:rPr>
          <w:lang w:val="en-CA"/>
        </w:rPr>
        <w:t xml:space="preserve"> 10</w:t>
      </w:r>
      <w:r w:rsidR="00F7391B" w:rsidRPr="00366942">
        <w:rPr>
          <w:lang w:val="en-CA"/>
        </w:rPr>
        <w:t>, paras</w:t>
      </w:r>
      <w:r w:rsidR="00961A50" w:rsidRPr="00366942">
        <w:rPr>
          <w:lang w:val="en-CA"/>
        </w:rPr>
        <w:t xml:space="preserve">. 1, 2 </w:t>
      </w:r>
      <w:r w:rsidR="00F7391B" w:rsidRPr="00366942">
        <w:rPr>
          <w:lang w:val="en-CA"/>
        </w:rPr>
        <w:t>and</w:t>
      </w:r>
      <w:r w:rsidR="00961A50" w:rsidRPr="00366942">
        <w:rPr>
          <w:lang w:val="en-CA"/>
        </w:rPr>
        <w:t xml:space="preserve"> 3 </w:t>
      </w:r>
      <w:r w:rsidR="00F7391B" w:rsidRPr="00366942">
        <w:rPr>
          <w:i/>
          <w:iCs/>
          <w:lang w:val="en-CA"/>
        </w:rPr>
        <w:t>HIA</w:t>
      </w:r>
      <w:r w:rsidR="00961A50" w:rsidRPr="00366942">
        <w:rPr>
          <w:lang w:val="en-CA"/>
        </w:rPr>
        <w:t xml:space="preserve">, </w:t>
      </w:r>
      <w:r w:rsidR="00F7391B" w:rsidRPr="00366942">
        <w:rPr>
          <w:lang w:val="en-CA"/>
        </w:rPr>
        <w:t>but that are governed first and foremost by other statutes and rules that the appellant has not challenged.</w:t>
      </w:r>
      <w:r w:rsidR="00961A50" w:rsidRPr="00366942">
        <w:rPr>
          <w:rStyle w:val="Appelnotedebasdep"/>
          <w:lang w:val="en-CA"/>
        </w:rPr>
        <w:footnoteReference w:id="54"/>
      </w:r>
      <w:r w:rsidR="00961A50" w:rsidRPr="00366942">
        <w:rPr>
          <w:lang w:val="en-CA"/>
        </w:rPr>
        <w:t xml:space="preserve"> </w:t>
      </w:r>
      <w:r w:rsidR="00F7391B" w:rsidRPr="00366942">
        <w:rPr>
          <w:lang w:val="en-CA"/>
        </w:rPr>
        <w:t xml:space="preserve">The analysis will focus therefore on the medical services contemplated in s. </w:t>
      </w:r>
      <w:r w:rsidR="00961A50" w:rsidRPr="00366942">
        <w:rPr>
          <w:lang w:val="en-CA"/>
        </w:rPr>
        <w:t>10</w:t>
      </w:r>
      <w:r w:rsidR="00F7391B" w:rsidRPr="00366942">
        <w:rPr>
          <w:lang w:val="en-CA"/>
        </w:rPr>
        <w:t>, para</w:t>
      </w:r>
      <w:r w:rsidR="00961A50" w:rsidRPr="00366942">
        <w:rPr>
          <w:lang w:val="en-CA"/>
        </w:rPr>
        <w:t xml:space="preserve">. 4 </w:t>
      </w:r>
      <w:r w:rsidR="00F7391B" w:rsidRPr="00366942">
        <w:rPr>
          <w:i/>
          <w:iCs/>
          <w:lang w:val="en-CA"/>
        </w:rPr>
        <w:t>HIA</w:t>
      </w:r>
      <w:r w:rsidR="00961A50" w:rsidRPr="00366942">
        <w:rPr>
          <w:lang w:val="en-CA"/>
        </w:rPr>
        <w:t>.</w:t>
      </w:r>
    </w:p>
    <w:p w14:paraId="3F7E1AB2" w14:textId="77777777" w:rsidR="00961A50" w:rsidRPr="00366942" w:rsidRDefault="00961A50" w:rsidP="00961A50">
      <w:pPr>
        <w:pStyle w:val="Paragraphe"/>
        <w:numPr>
          <w:ilvl w:val="0"/>
          <w:numId w:val="0"/>
        </w:numPr>
        <w:jc w:val="center"/>
        <w:rPr>
          <w:lang w:val="en-CA"/>
        </w:rPr>
      </w:pPr>
      <w:r w:rsidRPr="00366942">
        <w:rPr>
          <w:lang w:val="en-CA"/>
        </w:rPr>
        <w:t>* *</w:t>
      </w:r>
    </w:p>
    <w:p w14:paraId="63D2F056" w14:textId="771AFE8C" w:rsidR="00961A50" w:rsidRPr="00366942" w:rsidRDefault="00C15DDB" w:rsidP="00961A50">
      <w:pPr>
        <w:pStyle w:val="Paragraphe"/>
        <w:rPr>
          <w:lang w:val="en-CA"/>
        </w:rPr>
      </w:pPr>
      <w:r w:rsidRPr="00366942">
        <w:rPr>
          <w:lang w:val="en-CA"/>
        </w:rPr>
        <w:lastRenderedPageBreak/>
        <w:t>The first step of the analysis is to determine whether s.</w:t>
      </w:r>
      <w:r w:rsidR="00961A50" w:rsidRPr="00366942">
        <w:rPr>
          <w:lang w:val="en-CA"/>
        </w:rPr>
        <w:t xml:space="preserve"> 10</w:t>
      </w:r>
      <w:r w:rsidRPr="00366942">
        <w:rPr>
          <w:lang w:val="en-CA"/>
        </w:rPr>
        <w:t>, para</w:t>
      </w:r>
      <w:r w:rsidR="00961A50" w:rsidRPr="00366942">
        <w:rPr>
          <w:lang w:val="en-CA"/>
        </w:rPr>
        <w:t xml:space="preserve">. 4 </w:t>
      </w:r>
      <w:r w:rsidRPr="00366942">
        <w:rPr>
          <w:i/>
          <w:iCs/>
          <w:lang w:val="en-CA"/>
        </w:rPr>
        <w:t>HIA</w:t>
      </w:r>
      <w:r w:rsidR="00961A50" w:rsidRPr="00366942">
        <w:rPr>
          <w:lang w:val="en-CA"/>
        </w:rPr>
        <w:t xml:space="preserve"> </w:t>
      </w:r>
      <w:r w:rsidRPr="00366942">
        <w:rPr>
          <w:lang w:val="en-CA"/>
        </w:rPr>
        <w:t>creates</w:t>
      </w:r>
      <w:r w:rsidR="00961A50" w:rsidRPr="00366942">
        <w:rPr>
          <w:lang w:val="en-CA"/>
        </w:rPr>
        <w:t xml:space="preserve">, </w:t>
      </w:r>
      <w:r w:rsidRPr="00366942">
        <w:rPr>
          <w:lang w:val="en-CA"/>
        </w:rPr>
        <w:t xml:space="preserve">directly or </w:t>
      </w:r>
      <w:r w:rsidR="00AB1F8C" w:rsidRPr="00366942">
        <w:rPr>
          <w:lang w:val="en-CA"/>
        </w:rPr>
        <w:t>in its impact</w:t>
      </w:r>
      <w:r w:rsidR="00961A50" w:rsidRPr="00366942">
        <w:rPr>
          <w:lang w:val="en-CA"/>
        </w:rPr>
        <w:t xml:space="preserve">, </w:t>
      </w:r>
      <w:r w:rsidRPr="00366942">
        <w:rPr>
          <w:lang w:val="en-CA"/>
        </w:rPr>
        <w:t>a distinction on the basis, in this case, o</w:t>
      </w:r>
      <w:r w:rsidR="00AB1F8C" w:rsidRPr="00366942">
        <w:rPr>
          <w:lang w:val="en-CA"/>
        </w:rPr>
        <w:t>f</w:t>
      </w:r>
      <w:r w:rsidRPr="00366942">
        <w:rPr>
          <w:lang w:val="en-CA"/>
        </w:rPr>
        <w:t xml:space="preserve"> sex, a ground covered by s</w:t>
      </w:r>
      <w:r w:rsidR="00961A50" w:rsidRPr="00366942">
        <w:rPr>
          <w:lang w:val="en-CA"/>
        </w:rPr>
        <w:t xml:space="preserve">. 15(1) </w:t>
      </w:r>
      <w:r w:rsidRPr="00366942">
        <w:rPr>
          <w:lang w:val="en-CA"/>
        </w:rPr>
        <w:t>of the</w:t>
      </w:r>
      <w:r w:rsidR="00961A50" w:rsidRPr="00366942">
        <w:rPr>
          <w:lang w:val="en-CA"/>
        </w:rPr>
        <w:t xml:space="preserve"> </w:t>
      </w:r>
      <w:r w:rsidRPr="00366942">
        <w:rPr>
          <w:i/>
          <w:iCs/>
          <w:lang w:val="en-CA"/>
        </w:rPr>
        <w:t>Canadian Charter</w:t>
      </w:r>
      <w:r w:rsidR="00961A50" w:rsidRPr="00366942">
        <w:rPr>
          <w:lang w:val="en-CA"/>
        </w:rPr>
        <w:t>.</w:t>
      </w:r>
    </w:p>
    <w:p w14:paraId="2E5AECA2" w14:textId="117D5E60" w:rsidR="00961A50" w:rsidRPr="00366942" w:rsidRDefault="00961A50" w:rsidP="00961A50">
      <w:pPr>
        <w:pStyle w:val="Paragraphe"/>
        <w:rPr>
          <w:lang w:val="en-CA"/>
        </w:rPr>
      </w:pPr>
      <w:r w:rsidRPr="00366942">
        <w:rPr>
          <w:b/>
          <w:bCs/>
          <w:lang w:val="en-CA"/>
        </w:rPr>
        <w:t>Di</w:t>
      </w:r>
      <w:r w:rsidR="00AB1F8C" w:rsidRPr="00366942">
        <w:rPr>
          <w:b/>
          <w:bCs/>
          <w:lang w:val="en-CA"/>
        </w:rPr>
        <w:t>rect di</w:t>
      </w:r>
      <w:r w:rsidRPr="00366942">
        <w:rPr>
          <w:b/>
          <w:bCs/>
          <w:lang w:val="en-CA"/>
        </w:rPr>
        <w:t>stinction.</w:t>
      </w:r>
      <w:r w:rsidRPr="00366942">
        <w:rPr>
          <w:lang w:val="en-CA"/>
        </w:rPr>
        <w:t xml:space="preserve"> </w:t>
      </w:r>
      <w:r w:rsidR="009D7752" w:rsidRPr="00366942">
        <w:rPr>
          <w:lang w:val="en-CA"/>
        </w:rPr>
        <w:t>First</w:t>
      </w:r>
      <w:r w:rsidR="006D6990">
        <w:rPr>
          <w:lang w:val="en-CA"/>
        </w:rPr>
        <w:t>,</w:t>
      </w:r>
      <w:r w:rsidR="009D7752" w:rsidRPr="00366942">
        <w:rPr>
          <w:lang w:val="en-CA"/>
        </w:rPr>
        <w:t xml:space="preserve"> </w:t>
      </w:r>
      <w:r w:rsidR="00794A6A" w:rsidRPr="00366942">
        <w:rPr>
          <w:lang w:val="en-CA"/>
        </w:rPr>
        <w:t>we may note</w:t>
      </w:r>
      <w:r w:rsidR="00AB1F8C" w:rsidRPr="00366942">
        <w:rPr>
          <w:lang w:val="en-CA"/>
        </w:rPr>
        <w:t xml:space="preserve"> that s. 10, para.</w:t>
      </w:r>
      <w:r w:rsidR="002A06F1" w:rsidRPr="00366942">
        <w:rPr>
          <w:lang w:val="en-CA"/>
        </w:rPr>
        <w:t xml:space="preserve"> </w:t>
      </w:r>
      <w:r w:rsidR="00AB1F8C" w:rsidRPr="00366942">
        <w:rPr>
          <w:lang w:val="en-CA"/>
        </w:rPr>
        <w:t xml:space="preserve">4 </w:t>
      </w:r>
      <w:r w:rsidR="002A06F1" w:rsidRPr="00366942">
        <w:rPr>
          <w:lang w:val="en-CA"/>
        </w:rPr>
        <w:t>contains no</w:t>
      </w:r>
      <w:r w:rsidR="00AB1F8C" w:rsidRPr="00366942">
        <w:rPr>
          <w:lang w:val="en-CA"/>
        </w:rPr>
        <w:t xml:space="preserve"> direct, i.e., explicit, distinction</w:t>
      </w:r>
      <w:r w:rsidRPr="00366942">
        <w:rPr>
          <w:lang w:val="en-CA"/>
        </w:rPr>
        <w:t xml:space="preserve">: </w:t>
      </w:r>
      <w:r w:rsidR="00AB1F8C" w:rsidRPr="00366942">
        <w:rPr>
          <w:lang w:val="en-CA"/>
        </w:rPr>
        <w:t xml:space="preserve">its wording is neutral and does not differentiate </w:t>
      </w:r>
      <w:r w:rsidR="002A06F1" w:rsidRPr="00366942">
        <w:rPr>
          <w:lang w:val="en-CA"/>
        </w:rPr>
        <w:t>among</w:t>
      </w:r>
      <w:r w:rsidR="00AB1F8C" w:rsidRPr="00366942">
        <w:rPr>
          <w:lang w:val="en-CA"/>
        </w:rPr>
        <w:t xml:space="preserve"> insured persons, whether on the basis of their sex, or</w:t>
      </w:r>
      <w:r w:rsidR="002A06F1" w:rsidRPr="00366942">
        <w:rPr>
          <w:lang w:val="en-CA"/>
        </w:rPr>
        <w:t xml:space="preserve"> </w:t>
      </w:r>
      <w:r w:rsidR="00794A6A" w:rsidRPr="00366942">
        <w:rPr>
          <w:lang w:val="en-CA"/>
        </w:rPr>
        <w:t xml:space="preserve">that of </w:t>
      </w:r>
      <w:r w:rsidR="00AB1F8C" w:rsidRPr="00366942">
        <w:rPr>
          <w:lang w:val="en-CA"/>
        </w:rPr>
        <w:t>any of the other characteristics enumerated at s</w:t>
      </w:r>
      <w:r w:rsidRPr="00366942">
        <w:rPr>
          <w:lang w:val="en-CA"/>
        </w:rPr>
        <w:t xml:space="preserve">. 15(1) </w:t>
      </w:r>
      <w:r w:rsidR="00AB1F8C" w:rsidRPr="00366942">
        <w:rPr>
          <w:lang w:val="en-CA"/>
        </w:rPr>
        <w:t>of the</w:t>
      </w:r>
      <w:r w:rsidRPr="00366942">
        <w:rPr>
          <w:lang w:val="en-CA"/>
        </w:rPr>
        <w:t xml:space="preserve"> </w:t>
      </w:r>
      <w:r w:rsidRPr="00366942">
        <w:rPr>
          <w:i/>
          <w:iCs/>
          <w:lang w:val="en-CA"/>
        </w:rPr>
        <w:t>C</w:t>
      </w:r>
      <w:r w:rsidR="00AB1F8C" w:rsidRPr="00366942">
        <w:rPr>
          <w:i/>
          <w:iCs/>
          <w:lang w:val="en-CA"/>
        </w:rPr>
        <w:t>anadian C</w:t>
      </w:r>
      <w:r w:rsidRPr="00366942">
        <w:rPr>
          <w:i/>
          <w:iCs/>
          <w:lang w:val="en-CA"/>
        </w:rPr>
        <w:t>harte</w:t>
      </w:r>
      <w:r w:rsidR="00AB1F8C" w:rsidRPr="00366942">
        <w:rPr>
          <w:i/>
          <w:iCs/>
          <w:lang w:val="en-CA"/>
        </w:rPr>
        <w:t>r</w:t>
      </w:r>
      <w:r w:rsidRPr="00366942">
        <w:rPr>
          <w:lang w:val="en-CA"/>
        </w:rPr>
        <w:t xml:space="preserve"> (</w:t>
      </w:r>
      <w:r w:rsidR="00AB1F8C" w:rsidRPr="00366942">
        <w:rPr>
          <w:lang w:val="en-CA"/>
        </w:rPr>
        <w:t>race, national or ethnic origin, colour, religion, age or mental</w:t>
      </w:r>
      <w:r w:rsidRPr="00366942">
        <w:rPr>
          <w:rStyle w:val="Appelnotedebasdep"/>
          <w:lang w:val="en-CA"/>
        </w:rPr>
        <w:footnoteReference w:id="55"/>
      </w:r>
      <w:r w:rsidRPr="00366942">
        <w:rPr>
          <w:lang w:val="en-CA"/>
        </w:rPr>
        <w:t xml:space="preserve"> </w:t>
      </w:r>
      <w:r w:rsidR="00AB1F8C" w:rsidRPr="00366942">
        <w:rPr>
          <w:lang w:val="en-CA"/>
        </w:rPr>
        <w:t>or physical disability</w:t>
      </w:r>
      <w:r w:rsidRPr="00366942">
        <w:rPr>
          <w:lang w:val="en-CA"/>
        </w:rPr>
        <w:t>)</w:t>
      </w:r>
      <w:r w:rsidR="009D7752" w:rsidRPr="00366942">
        <w:rPr>
          <w:lang w:val="en-CA"/>
        </w:rPr>
        <w:t>,</w:t>
      </w:r>
      <w:r w:rsidRPr="00366942">
        <w:rPr>
          <w:lang w:val="en-CA"/>
        </w:rPr>
        <w:t xml:space="preserve"> </w:t>
      </w:r>
      <w:r w:rsidR="00AB1F8C" w:rsidRPr="00366942">
        <w:rPr>
          <w:lang w:val="en-CA"/>
        </w:rPr>
        <w:t>or</w:t>
      </w:r>
      <w:r w:rsidR="00794A6A" w:rsidRPr="00366942">
        <w:rPr>
          <w:lang w:val="en-CA"/>
        </w:rPr>
        <w:t xml:space="preserve"> </w:t>
      </w:r>
      <w:r w:rsidR="00AB1F8C" w:rsidRPr="00366942">
        <w:rPr>
          <w:lang w:val="en-CA"/>
        </w:rPr>
        <w:t>any analogous characteristics</w:t>
      </w:r>
      <w:r w:rsidRPr="00366942">
        <w:rPr>
          <w:lang w:val="en-CA"/>
        </w:rPr>
        <w:t xml:space="preserve"> </w:t>
      </w:r>
      <w:r w:rsidR="00AB1F8C" w:rsidRPr="00366942">
        <w:rPr>
          <w:lang w:val="en-CA"/>
        </w:rPr>
        <w:t xml:space="preserve">recognized </w:t>
      </w:r>
      <w:r w:rsidR="009D7752" w:rsidRPr="00366942">
        <w:rPr>
          <w:lang w:val="en-CA"/>
        </w:rPr>
        <w:t>by the courts</w:t>
      </w:r>
      <w:r w:rsidRPr="00366942">
        <w:rPr>
          <w:lang w:val="en-CA"/>
        </w:rPr>
        <w:t xml:space="preserve"> (</w:t>
      </w:r>
      <w:r w:rsidR="00AB1F8C" w:rsidRPr="00366942">
        <w:rPr>
          <w:lang w:val="en-CA"/>
        </w:rPr>
        <w:t>e.g</w:t>
      </w:r>
      <w:r w:rsidRPr="00366942">
        <w:rPr>
          <w:lang w:val="en-CA"/>
        </w:rPr>
        <w:t xml:space="preserve">.: </w:t>
      </w:r>
      <w:r w:rsidR="00AB1F8C" w:rsidRPr="00366942">
        <w:rPr>
          <w:lang w:val="en-CA"/>
        </w:rPr>
        <w:t>sexual orientation</w:t>
      </w:r>
      <w:bookmarkStart w:id="35" w:name="_Ref177374509"/>
      <w:r w:rsidR="00AB1F8C" w:rsidRPr="00366942">
        <w:rPr>
          <w:lang w:val="en-CA"/>
        </w:rPr>
        <w:t>,</w:t>
      </w:r>
      <w:r w:rsidRPr="00366942">
        <w:rPr>
          <w:rStyle w:val="Appelnotedebasdep"/>
          <w:lang w:val="en-CA"/>
        </w:rPr>
        <w:footnoteReference w:id="56"/>
      </w:r>
      <w:bookmarkEnd w:id="35"/>
      <w:r w:rsidR="00AB1F8C" w:rsidRPr="00366942">
        <w:rPr>
          <w:lang w:val="en-CA"/>
        </w:rPr>
        <w:t xml:space="preserve"> civil or matrimonial status,</w:t>
      </w:r>
      <w:r w:rsidRPr="00366942">
        <w:rPr>
          <w:rStyle w:val="Appelnotedebasdep"/>
          <w:lang w:val="en-CA"/>
        </w:rPr>
        <w:footnoteReference w:id="57"/>
      </w:r>
      <w:r w:rsidR="00AB1F8C" w:rsidRPr="00366942">
        <w:rPr>
          <w:lang w:val="en-CA"/>
        </w:rPr>
        <w:t xml:space="preserve"> </w:t>
      </w:r>
      <w:r w:rsidRPr="00366942">
        <w:rPr>
          <w:lang w:val="en-CA"/>
        </w:rPr>
        <w:t>cit</w:t>
      </w:r>
      <w:r w:rsidR="00AB1F8C" w:rsidRPr="00366942">
        <w:rPr>
          <w:lang w:val="en-CA"/>
        </w:rPr>
        <w:t>izenship,</w:t>
      </w:r>
      <w:r w:rsidRPr="00366942">
        <w:rPr>
          <w:rStyle w:val="Appelnotedebasdep"/>
          <w:lang w:val="en-CA"/>
        </w:rPr>
        <w:footnoteReference w:id="58"/>
      </w:r>
      <w:r w:rsidR="00AB1F8C" w:rsidRPr="00366942">
        <w:rPr>
          <w:lang w:val="en-CA"/>
        </w:rPr>
        <w:t xml:space="preserve"> </w:t>
      </w:r>
      <w:r w:rsidR="00CE4360" w:rsidRPr="00366942">
        <w:rPr>
          <w:lang w:val="en-CA"/>
        </w:rPr>
        <w:t>“aboriginality-</w:t>
      </w:r>
      <w:r w:rsidRPr="00366942">
        <w:rPr>
          <w:lang w:val="en-CA"/>
        </w:rPr>
        <w:t>r</w:t>
      </w:r>
      <w:r w:rsidR="00CE4360" w:rsidRPr="00366942">
        <w:rPr>
          <w:rFonts w:cs="Arial"/>
          <w:lang w:val="en-CA"/>
        </w:rPr>
        <w:t>e</w:t>
      </w:r>
      <w:r w:rsidRPr="00366942">
        <w:rPr>
          <w:lang w:val="en-CA"/>
        </w:rPr>
        <w:t>sidence</w:t>
      </w:r>
      <w:r w:rsidR="00CE4360" w:rsidRPr="00366942">
        <w:rPr>
          <w:lang w:val="en-CA"/>
        </w:rPr>
        <w:t>”</w:t>
      </w:r>
      <w:r w:rsidRPr="00366942">
        <w:rPr>
          <w:rStyle w:val="Appelnotedebasdep"/>
          <w:lang w:val="en-CA"/>
        </w:rPr>
        <w:footnoteReference w:id="59"/>
      </w:r>
      <w:r w:rsidRPr="00366942">
        <w:rPr>
          <w:lang w:val="en-CA"/>
        </w:rPr>
        <w:t xml:space="preserve"> </w:t>
      </w:r>
      <w:r w:rsidR="00CE4360" w:rsidRPr="00366942">
        <w:rPr>
          <w:lang w:val="en-CA"/>
        </w:rPr>
        <w:t>and</w:t>
      </w:r>
      <w:r w:rsidRPr="00366942">
        <w:rPr>
          <w:lang w:val="en-CA"/>
        </w:rPr>
        <w:t xml:space="preserve"> </w:t>
      </w:r>
      <w:r w:rsidR="00CE4360" w:rsidRPr="00366942">
        <w:rPr>
          <w:lang w:val="en-CA"/>
        </w:rPr>
        <w:t>“non-resident status in a self-governing Indigenous community”</w:t>
      </w:r>
      <w:bookmarkStart w:id="36" w:name="_Ref173229371"/>
      <w:r w:rsidRPr="00366942">
        <w:rPr>
          <w:rStyle w:val="Appelnotedebasdep"/>
          <w:lang w:val="en-CA"/>
        </w:rPr>
        <w:footnoteReference w:id="60"/>
      </w:r>
      <w:bookmarkEnd w:id="36"/>
      <w:r w:rsidRPr="00366942">
        <w:rPr>
          <w:lang w:val="en-CA"/>
        </w:rPr>
        <w:t xml:space="preserve">) </w:t>
      </w:r>
      <w:r w:rsidR="00CE4360" w:rsidRPr="00366942">
        <w:rPr>
          <w:lang w:val="en-CA"/>
        </w:rPr>
        <w:t>or indeed on any other characteristic</w:t>
      </w:r>
      <w:r w:rsidRPr="00366942">
        <w:rPr>
          <w:lang w:val="en-CA"/>
        </w:rPr>
        <w:t xml:space="preserve"> (</w:t>
      </w:r>
      <w:r w:rsidR="00CE4360" w:rsidRPr="00366942">
        <w:rPr>
          <w:lang w:val="en-CA"/>
        </w:rPr>
        <w:t>e.g.</w:t>
      </w:r>
      <w:r w:rsidRPr="00366942">
        <w:rPr>
          <w:lang w:val="en-CA"/>
        </w:rPr>
        <w:t xml:space="preserve">, </w:t>
      </w:r>
      <w:r w:rsidR="00CE4360" w:rsidRPr="00366942">
        <w:rPr>
          <w:lang w:val="en-CA"/>
        </w:rPr>
        <w:t>income</w:t>
      </w:r>
      <w:r w:rsidRPr="00366942">
        <w:rPr>
          <w:lang w:val="en-CA"/>
        </w:rPr>
        <w:t xml:space="preserve">). </w:t>
      </w:r>
      <w:r w:rsidR="00CE4360" w:rsidRPr="00366942">
        <w:rPr>
          <w:lang w:val="en-CA"/>
        </w:rPr>
        <w:t xml:space="preserve">In fact, </w:t>
      </w:r>
      <w:r w:rsidR="005A6A51" w:rsidRPr="00366942">
        <w:rPr>
          <w:lang w:val="en-CA"/>
        </w:rPr>
        <w:t>on the</w:t>
      </w:r>
      <w:r w:rsidR="00CE4360" w:rsidRPr="00366942">
        <w:rPr>
          <w:lang w:val="en-CA"/>
        </w:rPr>
        <w:t xml:space="preserve"> wording</w:t>
      </w:r>
      <w:r w:rsidR="005A6A51" w:rsidRPr="00366942">
        <w:rPr>
          <w:lang w:val="en-CA"/>
        </w:rPr>
        <w:t xml:space="preserve"> of the provision</w:t>
      </w:r>
      <w:r w:rsidRPr="00366942">
        <w:rPr>
          <w:lang w:val="en-CA"/>
        </w:rPr>
        <w:t xml:space="preserve">, </w:t>
      </w:r>
      <w:r w:rsidR="00CE4360" w:rsidRPr="00366942">
        <w:rPr>
          <w:lang w:val="en-CA"/>
        </w:rPr>
        <w:t>when obtain</w:t>
      </w:r>
      <w:r w:rsidR="005A6A51" w:rsidRPr="00366942">
        <w:rPr>
          <w:lang w:val="en-CA"/>
        </w:rPr>
        <w:t>ing</w:t>
      </w:r>
      <w:r w:rsidR="00CE4360" w:rsidRPr="00366942">
        <w:rPr>
          <w:lang w:val="en-CA"/>
        </w:rPr>
        <w:t xml:space="preserve"> medical services</w:t>
      </w:r>
      <w:r w:rsidRPr="00366942">
        <w:rPr>
          <w:lang w:val="en-CA"/>
        </w:rPr>
        <w:t xml:space="preserve"> (</w:t>
      </w:r>
      <w:r w:rsidR="00CE4360" w:rsidRPr="00366942">
        <w:rPr>
          <w:lang w:val="en-CA"/>
        </w:rPr>
        <w:t>whatever they may be</w:t>
      </w:r>
      <w:r w:rsidRPr="00366942">
        <w:rPr>
          <w:lang w:val="en-CA"/>
        </w:rPr>
        <w:t xml:space="preserve">) </w:t>
      </w:r>
      <w:r w:rsidR="00CE4360" w:rsidRPr="00366942">
        <w:rPr>
          <w:lang w:val="en-CA"/>
        </w:rPr>
        <w:t xml:space="preserve">outside Quebec, all persons covered by the </w:t>
      </w:r>
      <w:r w:rsidR="00CE4360" w:rsidRPr="00366942">
        <w:rPr>
          <w:i/>
          <w:iCs/>
          <w:lang w:val="en-CA"/>
        </w:rPr>
        <w:t>HIA</w:t>
      </w:r>
      <w:r w:rsidR="00CE4360" w:rsidRPr="00366942">
        <w:rPr>
          <w:lang w:val="en-CA"/>
        </w:rPr>
        <w:t xml:space="preserve"> are entitled to the reimbursement</w:t>
      </w:r>
      <w:r w:rsidRPr="00366942">
        <w:rPr>
          <w:lang w:val="en-CA"/>
        </w:rPr>
        <w:t xml:space="preserve"> </w:t>
      </w:r>
      <w:r w:rsidR="00CE4360" w:rsidRPr="00366942">
        <w:rPr>
          <w:lang w:val="en-CA"/>
        </w:rPr>
        <w:t xml:space="preserve">provided </w:t>
      </w:r>
      <w:r w:rsidR="005A6A51" w:rsidRPr="00366942">
        <w:rPr>
          <w:lang w:val="en-CA"/>
        </w:rPr>
        <w:t>under</w:t>
      </w:r>
      <w:r w:rsidR="00CE4360" w:rsidRPr="00366942">
        <w:rPr>
          <w:lang w:val="en-CA"/>
        </w:rPr>
        <w:t xml:space="preserve"> s.</w:t>
      </w:r>
      <w:r w:rsidRPr="00366942">
        <w:rPr>
          <w:lang w:val="en-CA"/>
        </w:rPr>
        <w:t xml:space="preserve"> 10</w:t>
      </w:r>
      <w:r w:rsidR="00CE4360" w:rsidRPr="00366942">
        <w:rPr>
          <w:lang w:val="en-CA"/>
        </w:rPr>
        <w:t>, para</w:t>
      </w:r>
      <w:r w:rsidRPr="00366942">
        <w:rPr>
          <w:lang w:val="en-CA"/>
        </w:rPr>
        <w:t xml:space="preserve">. 1 </w:t>
      </w:r>
      <w:r w:rsidR="00CE4360" w:rsidRPr="00366942">
        <w:rPr>
          <w:i/>
          <w:iCs/>
          <w:lang w:val="en-CA"/>
        </w:rPr>
        <w:t>HIA</w:t>
      </w:r>
      <w:r w:rsidRPr="00366942">
        <w:rPr>
          <w:lang w:val="en-CA"/>
        </w:rPr>
        <w:t xml:space="preserve">, </w:t>
      </w:r>
      <w:r w:rsidR="00CE4360" w:rsidRPr="00366942">
        <w:rPr>
          <w:lang w:val="en-CA"/>
        </w:rPr>
        <w:t xml:space="preserve">subject to the limit provided </w:t>
      </w:r>
      <w:r w:rsidR="005A6A51" w:rsidRPr="00366942">
        <w:rPr>
          <w:lang w:val="en-CA"/>
        </w:rPr>
        <w:t>under</w:t>
      </w:r>
      <w:r w:rsidR="00CE4360" w:rsidRPr="00366942">
        <w:rPr>
          <w:lang w:val="en-CA"/>
        </w:rPr>
        <w:t xml:space="preserve"> s. </w:t>
      </w:r>
      <w:r w:rsidRPr="00366942">
        <w:rPr>
          <w:lang w:val="en-CA"/>
        </w:rPr>
        <w:t>10</w:t>
      </w:r>
      <w:r w:rsidR="00CE4360" w:rsidRPr="00366942">
        <w:rPr>
          <w:lang w:val="en-CA"/>
        </w:rPr>
        <w:t>, para.</w:t>
      </w:r>
      <w:r w:rsidRPr="00366942">
        <w:rPr>
          <w:lang w:val="en-CA"/>
        </w:rPr>
        <w:t xml:space="preserve"> 4 </w:t>
      </w:r>
      <w:r w:rsidR="00CE4360" w:rsidRPr="00366942">
        <w:rPr>
          <w:i/>
          <w:iCs/>
          <w:lang w:val="en-CA"/>
        </w:rPr>
        <w:t>HIA</w:t>
      </w:r>
      <w:r w:rsidR="00CE4360" w:rsidRPr="00366942">
        <w:rPr>
          <w:lang w:val="en-CA"/>
        </w:rPr>
        <w:t>.</w:t>
      </w:r>
      <w:r w:rsidRPr="00366942">
        <w:rPr>
          <w:lang w:val="en-CA"/>
        </w:rPr>
        <w:t xml:space="preserve"> </w:t>
      </w:r>
      <w:r w:rsidR="00CE4360" w:rsidRPr="00366942">
        <w:rPr>
          <w:lang w:val="en-CA"/>
        </w:rPr>
        <w:t>None will obtain more, and none will obtain less</w:t>
      </w:r>
      <w:r w:rsidRPr="00366942">
        <w:rPr>
          <w:lang w:val="en-CA"/>
        </w:rPr>
        <w:t xml:space="preserve">. </w:t>
      </w:r>
      <w:r w:rsidR="00CE4360" w:rsidRPr="00366942">
        <w:rPr>
          <w:lang w:val="en-CA"/>
        </w:rPr>
        <w:t xml:space="preserve">The same </w:t>
      </w:r>
      <w:r w:rsidR="009D7752" w:rsidRPr="00366942">
        <w:rPr>
          <w:lang w:val="en-CA"/>
        </w:rPr>
        <w:t>benefit</w:t>
      </w:r>
      <w:r w:rsidR="00CE4360" w:rsidRPr="00366942">
        <w:rPr>
          <w:lang w:val="en-CA"/>
        </w:rPr>
        <w:t xml:space="preserve"> and the same constraint are imposed on all insured persons, including</w:t>
      </w:r>
      <w:r w:rsidR="00842EA3" w:rsidRPr="00366942">
        <w:rPr>
          <w:lang w:val="en-CA"/>
        </w:rPr>
        <w:t xml:space="preserve"> for</w:t>
      </w:r>
      <w:r w:rsidR="00CE4360" w:rsidRPr="00366942">
        <w:rPr>
          <w:lang w:val="en-CA"/>
        </w:rPr>
        <w:t xml:space="preserve"> pregnancy</w:t>
      </w:r>
      <w:r w:rsidR="00842EA3" w:rsidRPr="00366942">
        <w:rPr>
          <w:lang w:val="en-CA"/>
        </w:rPr>
        <w:t>-related care or, more generally, reproductive health</w:t>
      </w:r>
      <w:r w:rsidRPr="00366942">
        <w:rPr>
          <w:lang w:val="en-CA"/>
        </w:rPr>
        <w:t>.</w:t>
      </w:r>
    </w:p>
    <w:p w14:paraId="7134D113" w14:textId="7E3A1651" w:rsidR="00961A50" w:rsidRPr="00366942" w:rsidRDefault="00794A6A" w:rsidP="00961A50">
      <w:pPr>
        <w:pStyle w:val="Paragraphe"/>
        <w:rPr>
          <w:lang w:val="en-CA"/>
        </w:rPr>
      </w:pPr>
      <w:r w:rsidRPr="00366942">
        <w:rPr>
          <w:lang w:val="en-CA"/>
        </w:rPr>
        <w:t xml:space="preserve">From </w:t>
      </w:r>
      <w:r w:rsidR="002B105A" w:rsidRPr="00366942">
        <w:rPr>
          <w:lang w:val="en-CA"/>
        </w:rPr>
        <w:t>this perspective</w:t>
      </w:r>
      <w:r w:rsidR="00961A50" w:rsidRPr="00366942">
        <w:rPr>
          <w:lang w:val="en-CA"/>
        </w:rPr>
        <w:t xml:space="preserve">, </w:t>
      </w:r>
      <w:r w:rsidRPr="00366942">
        <w:rPr>
          <w:lang w:val="en-CA"/>
        </w:rPr>
        <w:t xml:space="preserve">the situation in the case at bar </w:t>
      </w:r>
      <w:r w:rsidR="008168F6" w:rsidRPr="00366942">
        <w:rPr>
          <w:lang w:val="en-CA"/>
        </w:rPr>
        <w:t>is nothing like that in</w:t>
      </w:r>
      <w:r w:rsidR="00DC2ED9" w:rsidRPr="00366942">
        <w:rPr>
          <w:lang w:val="en-CA"/>
        </w:rPr>
        <w:t xml:space="preserve"> </w:t>
      </w:r>
      <w:r w:rsidR="00961A50" w:rsidRPr="00366942">
        <w:rPr>
          <w:i/>
          <w:iCs/>
          <w:lang w:val="en-CA"/>
        </w:rPr>
        <w:t xml:space="preserve">Brooks </w:t>
      </w:r>
      <w:r w:rsidRPr="00366942">
        <w:rPr>
          <w:i/>
          <w:iCs/>
          <w:lang w:val="en-CA"/>
        </w:rPr>
        <w:t>v</w:t>
      </w:r>
      <w:r w:rsidR="00961A50" w:rsidRPr="00366942">
        <w:rPr>
          <w:i/>
          <w:iCs/>
          <w:lang w:val="en-CA"/>
        </w:rPr>
        <w:t>. Canada Safeway Ltd.</w:t>
      </w:r>
      <w:r w:rsidR="00961A50" w:rsidRPr="00366942">
        <w:rPr>
          <w:rStyle w:val="Appelnotedebasdep"/>
          <w:lang w:val="en-CA"/>
        </w:rPr>
        <w:footnoteReference w:id="61"/>
      </w:r>
      <w:r w:rsidR="00961A50" w:rsidRPr="00366942">
        <w:rPr>
          <w:lang w:val="en-CA"/>
        </w:rPr>
        <w:t xml:space="preserve"> </w:t>
      </w:r>
      <w:r w:rsidR="008168F6" w:rsidRPr="00366942">
        <w:rPr>
          <w:lang w:val="en-CA"/>
        </w:rPr>
        <w:t>or</w:t>
      </w:r>
      <w:r w:rsidR="00961A50" w:rsidRPr="00366942">
        <w:rPr>
          <w:lang w:val="en-CA"/>
        </w:rPr>
        <w:t xml:space="preserve"> </w:t>
      </w:r>
      <w:r w:rsidR="00961A50" w:rsidRPr="00366942">
        <w:rPr>
          <w:i/>
          <w:iCs/>
          <w:lang w:val="en-CA"/>
        </w:rPr>
        <w:t xml:space="preserve">Benner </w:t>
      </w:r>
      <w:r w:rsidRPr="00366942">
        <w:rPr>
          <w:i/>
          <w:iCs/>
          <w:lang w:val="en-CA"/>
        </w:rPr>
        <w:t>v</w:t>
      </w:r>
      <w:r w:rsidR="00961A50" w:rsidRPr="00366942">
        <w:rPr>
          <w:i/>
          <w:iCs/>
          <w:lang w:val="en-CA"/>
        </w:rPr>
        <w:t>. Canada (</w:t>
      </w:r>
      <w:r w:rsidRPr="00366942">
        <w:rPr>
          <w:i/>
          <w:iCs/>
          <w:lang w:val="en-CA"/>
        </w:rPr>
        <w:t>Secretary of State</w:t>
      </w:r>
      <w:r w:rsidR="00961A50" w:rsidRPr="00366942">
        <w:rPr>
          <w:i/>
          <w:iCs/>
          <w:lang w:val="en-CA"/>
        </w:rPr>
        <w:t>)</w:t>
      </w:r>
      <w:r w:rsidRPr="00366942">
        <w:rPr>
          <w:i/>
          <w:iCs/>
          <w:lang w:val="en-CA"/>
        </w:rPr>
        <w:t>,</w:t>
      </w:r>
      <w:r w:rsidR="00961A50" w:rsidRPr="00366942">
        <w:rPr>
          <w:rStyle w:val="Appelnotedebasdep"/>
          <w:lang w:val="en-CA"/>
        </w:rPr>
        <w:footnoteReference w:id="62"/>
      </w:r>
      <w:r w:rsidRPr="00366942">
        <w:rPr>
          <w:lang w:val="en-CA"/>
        </w:rPr>
        <w:t xml:space="preserve"> which </w:t>
      </w:r>
      <w:r w:rsidR="002B105A" w:rsidRPr="00366942">
        <w:rPr>
          <w:lang w:val="en-CA"/>
        </w:rPr>
        <w:t>provide</w:t>
      </w:r>
      <w:r w:rsidRPr="00366942">
        <w:rPr>
          <w:lang w:val="en-CA"/>
        </w:rPr>
        <w:t xml:space="preserve"> an example of direct discrimination on the basis of sex, nor </w:t>
      </w:r>
      <w:r w:rsidR="00DC2ED9" w:rsidRPr="00366942">
        <w:rPr>
          <w:lang w:val="en-CA"/>
        </w:rPr>
        <w:t>with</w:t>
      </w:r>
      <w:r w:rsidR="00961A50" w:rsidRPr="00366942">
        <w:rPr>
          <w:lang w:val="en-CA"/>
        </w:rPr>
        <w:t xml:space="preserve"> </w:t>
      </w:r>
      <w:r w:rsidR="00961A50" w:rsidRPr="00366942">
        <w:rPr>
          <w:i/>
          <w:iCs/>
          <w:lang w:val="en-CA"/>
        </w:rPr>
        <w:t>M. </w:t>
      </w:r>
      <w:r w:rsidR="002B105A" w:rsidRPr="00366942">
        <w:rPr>
          <w:i/>
          <w:iCs/>
          <w:lang w:val="en-CA"/>
        </w:rPr>
        <w:t>v</w:t>
      </w:r>
      <w:r w:rsidR="00961A50" w:rsidRPr="00366942">
        <w:rPr>
          <w:i/>
          <w:iCs/>
          <w:lang w:val="en-CA"/>
        </w:rPr>
        <w:t>. H.</w:t>
      </w:r>
      <w:bookmarkStart w:id="37" w:name="_Ref174032576"/>
      <w:r w:rsidR="002B105A" w:rsidRPr="00366942">
        <w:rPr>
          <w:i/>
          <w:iCs/>
          <w:lang w:val="en-CA"/>
        </w:rPr>
        <w:t>,</w:t>
      </w:r>
      <w:r w:rsidR="00961A50" w:rsidRPr="00366942">
        <w:rPr>
          <w:rStyle w:val="Appelnotedebasdep"/>
          <w:lang w:val="en-CA"/>
        </w:rPr>
        <w:footnoteReference w:id="63"/>
      </w:r>
      <w:bookmarkEnd w:id="37"/>
      <w:r w:rsidR="002B105A" w:rsidRPr="00366942">
        <w:rPr>
          <w:lang w:val="en-CA"/>
        </w:rPr>
        <w:t xml:space="preserve"> a case involving direct discrimination on the basis of sexual orientation</w:t>
      </w:r>
      <w:r w:rsidR="00961A50" w:rsidRPr="00366942">
        <w:rPr>
          <w:lang w:val="en-CA"/>
        </w:rPr>
        <w:t>.</w:t>
      </w:r>
    </w:p>
    <w:p w14:paraId="1245B805" w14:textId="26957047" w:rsidR="00961A50" w:rsidRPr="00366942" w:rsidRDefault="002B105A" w:rsidP="00961A50">
      <w:pPr>
        <w:pStyle w:val="Paragraphe"/>
        <w:rPr>
          <w:lang w:val="en-CA"/>
        </w:rPr>
      </w:pPr>
      <w:r w:rsidRPr="00366942">
        <w:rPr>
          <w:lang w:val="en-CA"/>
        </w:rPr>
        <w:t>Thus</w:t>
      </w:r>
      <w:r w:rsidR="00961A50" w:rsidRPr="00366942">
        <w:rPr>
          <w:lang w:val="en-CA"/>
        </w:rPr>
        <w:t xml:space="preserve">, </w:t>
      </w:r>
      <w:r w:rsidRPr="00366942">
        <w:rPr>
          <w:lang w:val="en-CA"/>
        </w:rPr>
        <w:t>in</w:t>
      </w:r>
      <w:r w:rsidR="00961A50" w:rsidRPr="00366942">
        <w:rPr>
          <w:lang w:val="en-CA"/>
        </w:rPr>
        <w:t xml:space="preserve"> </w:t>
      </w:r>
      <w:r w:rsidR="00961A50" w:rsidRPr="00366942">
        <w:rPr>
          <w:i/>
          <w:iCs/>
          <w:lang w:val="en-CA"/>
        </w:rPr>
        <w:t>Brooks</w:t>
      </w:r>
      <w:r w:rsidRPr="00366942">
        <w:rPr>
          <w:i/>
          <w:iCs/>
          <w:lang w:val="en-CA"/>
        </w:rPr>
        <w:t>,</w:t>
      </w:r>
      <w:r w:rsidR="00961A50" w:rsidRPr="00366942">
        <w:rPr>
          <w:rStyle w:val="Appelnotedebasdep"/>
          <w:lang w:val="en-CA"/>
        </w:rPr>
        <w:footnoteReference w:id="64"/>
      </w:r>
      <w:r w:rsidRPr="00366942">
        <w:rPr>
          <w:lang w:val="en-CA"/>
        </w:rPr>
        <w:t xml:space="preserve"> </w:t>
      </w:r>
      <w:r w:rsidR="00D96F0A" w:rsidRPr="00366942">
        <w:rPr>
          <w:lang w:val="en-CA"/>
        </w:rPr>
        <w:t xml:space="preserve">a disability insurance program expressly excluded pregnant women from coverage otherwise provided to other company members, for the entire period extending from the tenth week preceding the anticipated date of birth to the end of the sixth week following childbirth, whether the disability was </w:t>
      </w:r>
      <w:r w:rsidR="00DC2ED9" w:rsidRPr="00366942">
        <w:rPr>
          <w:lang w:val="en-CA"/>
        </w:rPr>
        <w:t>because</w:t>
      </w:r>
      <w:r w:rsidR="00D23170" w:rsidRPr="00366942">
        <w:rPr>
          <w:lang w:val="en-CA"/>
        </w:rPr>
        <w:t xml:space="preserve"> of</w:t>
      </w:r>
      <w:r w:rsidR="00D96F0A" w:rsidRPr="00366942">
        <w:rPr>
          <w:lang w:val="en-CA"/>
        </w:rPr>
        <w:t xml:space="preserve"> pregnancy or </w:t>
      </w:r>
      <w:r w:rsidR="00FC70C1" w:rsidRPr="00366942">
        <w:rPr>
          <w:lang w:val="en-CA"/>
        </w:rPr>
        <w:t xml:space="preserve">of </w:t>
      </w:r>
      <w:r w:rsidR="00D96F0A" w:rsidRPr="00366942">
        <w:rPr>
          <w:lang w:val="en-CA"/>
        </w:rPr>
        <w:t>another cause</w:t>
      </w:r>
      <w:r w:rsidR="00961A50" w:rsidRPr="00366942">
        <w:rPr>
          <w:lang w:val="en-CA"/>
        </w:rPr>
        <w:t xml:space="preserve">. </w:t>
      </w:r>
      <w:r w:rsidR="00D96F0A" w:rsidRPr="00366942">
        <w:rPr>
          <w:lang w:val="en-CA"/>
        </w:rPr>
        <w:t xml:space="preserve">Pregnant women were therefore explicitly denied </w:t>
      </w:r>
      <w:r w:rsidR="00260509" w:rsidRPr="00366942">
        <w:rPr>
          <w:lang w:val="en-CA"/>
        </w:rPr>
        <w:t>a benefit</w:t>
      </w:r>
      <w:r w:rsidR="00D96F0A" w:rsidRPr="00366942">
        <w:rPr>
          <w:lang w:val="en-CA"/>
        </w:rPr>
        <w:t xml:space="preserve"> </w:t>
      </w:r>
      <w:r w:rsidR="00FC70C1" w:rsidRPr="00366942">
        <w:rPr>
          <w:lang w:val="en-CA"/>
        </w:rPr>
        <w:t>granted</w:t>
      </w:r>
      <w:r w:rsidR="00D96F0A" w:rsidRPr="00366942">
        <w:rPr>
          <w:lang w:val="en-CA"/>
        </w:rPr>
        <w:t xml:space="preserve"> to their </w:t>
      </w:r>
      <w:r w:rsidR="00D96F0A" w:rsidRPr="00366942">
        <w:rPr>
          <w:lang w:val="en-CA"/>
        </w:rPr>
        <w:lastRenderedPageBreak/>
        <w:t>colleagues, which obviously constituted a clear distinction</w:t>
      </w:r>
      <w:r w:rsidR="00961A50" w:rsidRPr="00366942">
        <w:rPr>
          <w:lang w:val="en-CA"/>
        </w:rPr>
        <w:t xml:space="preserve"> (</w:t>
      </w:r>
      <w:r w:rsidR="00D96F0A" w:rsidRPr="00366942">
        <w:rPr>
          <w:lang w:val="en-CA"/>
        </w:rPr>
        <w:t>clearly on the basis of sex,</w:t>
      </w:r>
      <w:r w:rsidR="00260509" w:rsidRPr="00366942">
        <w:rPr>
          <w:lang w:val="en-CA"/>
        </w:rPr>
        <w:t xml:space="preserve"> moreover,</w:t>
      </w:r>
      <w:r w:rsidR="00D96F0A" w:rsidRPr="00366942">
        <w:rPr>
          <w:lang w:val="en-CA"/>
        </w:rPr>
        <w:t xml:space="preserve"> as the Supreme Court</w:t>
      </w:r>
      <w:r w:rsidR="00D23170" w:rsidRPr="00366942">
        <w:rPr>
          <w:lang w:val="en-CA"/>
        </w:rPr>
        <w:t xml:space="preserve"> acknowledged</w:t>
      </w:r>
      <w:r w:rsidR="00961A50" w:rsidRPr="00366942">
        <w:rPr>
          <w:lang w:val="en-CA"/>
        </w:rPr>
        <w:t>).</w:t>
      </w:r>
    </w:p>
    <w:p w14:paraId="17B163DF" w14:textId="79AB29C9" w:rsidR="00961A50" w:rsidRPr="00366942" w:rsidRDefault="00940423" w:rsidP="00961A50">
      <w:pPr>
        <w:pStyle w:val="Paragraphe"/>
        <w:rPr>
          <w:lang w:val="en-CA"/>
        </w:rPr>
      </w:pPr>
      <w:r w:rsidRPr="00366942">
        <w:rPr>
          <w:lang w:val="en-CA"/>
        </w:rPr>
        <w:t>Likewise, in</w:t>
      </w:r>
      <w:r w:rsidRPr="00366942">
        <w:rPr>
          <w:i/>
          <w:iCs/>
          <w:lang w:val="en-CA"/>
        </w:rPr>
        <w:t xml:space="preserve"> </w:t>
      </w:r>
      <w:r w:rsidR="00961A50" w:rsidRPr="00366942">
        <w:rPr>
          <w:i/>
          <w:iCs/>
          <w:lang w:val="en-CA"/>
        </w:rPr>
        <w:t>Benner</w:t>
      </w:r>
      <w:r w:rsidRPr="00366942">
        <w:rPr>
          <w:lang w:val="en-CA"/>
        </w:rPr>
        <w:t xml:space="preserve">, </w:t>
      </w:r>
      <w:r w:rsidR="00A50F4A" w:rsidRPr="00366942">
        <w:rPr>
          <w:lang w:val="en-CA"/>
        </w:rPr>
        <w:t>the</w:t>
      </w:r>
      <w:r w:rsidR="00961A50" w:rsidRPr="00366942">
        <w:rPr>
          <w:lang w:val="en-CA"/>
        </w:rPr>
        <w:t xml:space="preserve"> </w:t>
      </w:r>
      <w:r w:rsidR="00A50F4A" w:rsidRPr="00366942">
        <w:rPr>
          <w:i/>
          <w:iCs/>
          <w:lang w:val="en-CA"/>
        </w:rPr>
        <w:t>Citizenship Act</w:t>
      </w:r>
      <w:r w:rsidR="00961A50" w:rsidRPr="00366942">
        <w:rPr>
          <w:rStyle w:val="Appelnotedebasdep"/>
          <w:lang w:val="en-CA"/>
        </w:rPr>
        <w:footnoteReference w:id="65"/>
      </w:r>
      <w:r w:rsidR="00A50F4A" w:rsidRPr="00366942">
        <w:rPr>
          <w:lang w:val="en-CA"/>
        </w:rPr>
        <w:t xml:space="preserve"> treated</w:t>
      </w:r>
      <w:r w:rsidR="00961A50" w:rsidRPr="00366942">
        <w:rPr>
          <w:rStyle w:val="Appelnotedebasdep"/>
          <w:lang w:val="en-CA"/>
        </w:rPr>
        <w:t xml:space="preserve"> </w:t>
      </w:r>
      <w:r w:rsidR="00A50F4A" w:rsidRPr="00366942">
        <w:rPr>
          <w:lang w:val="en-CA"/>
        </w:rPr>
        <w:t xml:space="preserve">children born abroad </w:t>
      </w:r>
      <w:r w:rsidR="002D2FB2" w:rsidRPr="00366942">
        <w:rPr>
          <w:lang w:val="en-CA"/>
        </w:rPr>
        <w:t xml:space="preserve">of a Canadian father </w:t>
      </w:r>
      <w:r w:rsidR="00A50F4A" w:rsidRPr="00366942">
        <w:rPr>
          <w:lang w:val="en-CA"/>
        </w:rPr>
        <w:t xml:space="preserve">differently </w:t>
      </w:r>
      <w:r w:rsidR="002D2FB2" w:rsidRPr="00366942">
        <w:rPr>
          <w:lang w:val="en-CA"/>
        </w:rPr>
        <w:t xml:space="preserve">from those born abroad of a </w:t>
      </w:r>
      <w:r w:rsidR="00A50F4A" w:rsidRPr="00366942">
        <w:rPr>
          <w:lang w:val="en-CA"/>
        </w:rPr>
        <w:t>Canadian mother</w:t>
      </w:r>
      <w:r w:rsidR="00961A50" w:rsidRPr="00366942">
        <w:rPr>
          <w:lang w:val="en-CA"/>
        </w:rPr>
        <w:t xml:space="preserve">. </w:t>
      </w:r>
      <w:r w:rsidR="00A50F4A" w:rsidRPr="00366942">
        <w:rPr>
          <w:lang w:val="en-CA"/>
        </w:rPr>
        <w:t>The latter</w:t>
      </w:r>
      <w:r w:rsidR="00357CF0" w:rsidRPr="00366942">
        <w:rPr>
          <w:lang w:val="en-CA"/>
        </w:rPr>
        <w:t xml:space="preserve"> </w:t>
      </w:r>
      <w:r w:rsidR="00A50F4A" w:rsidRPr="00366942">
        <w:rPr>
          <w:lang w:val="en-CA"/>
        </w:rPr>
        <w:t xml:space="preserve">could not acquire Canadian citizenship without </w:t>
      </w:r>
      <w:r w:rsidR="002D2FB2" w:rsidRPr="00366942">
        <w:rPr>
          <w:lang w:val="en-CA"/>
        </w:rPr>
        <w:t>going through an onerous process from which the first were exempted</w:t>
      </w:r>
      <w:r w:rsidR="00961A50" w:rsidRPr="00366942">
        <w:rPr>
          <w:lang w:val="en-CA"/>
        </w:rPr>
        <w:t xml:space="preserve">. </w:t>
      </w:r>
      <w:r w:rsidR="002D2FB2" w:rsidRPr="00366942">
        <w:rPr>
          <w:lang w:val="en-CA"/>
        </w:rPr>
        <w:t>An additional obligation was therefore imposed on children of a Canadian mother</w:t>
      </w:r>
      <w:r w:rsidRPr="00366942">
        <w:rPr>
          <w:lang w:val="en-CA"/>
        </w:rPr>
        <w:t>,</w:t>
      </w:r>
      <w:r w:rsidR="002D2FB2" w:rsidRPr="00366942">
        <w:rPr>
          <w:lang w:val="en-CA"/>
        </w:rPr>
        <w:t xml:space="preserve"> while </w:t>
      </w:r>
      <w:r w:rsidRPr="00366942">
        <w:rPr>
          <w:lang w:val="en-CA"/>
        </w:rPr>
        <w:t>denying</w:t>
      </w:r>
      <w:r w:rsidR="002D2FB2" w:rsidRPr="00366942">
        <w:rPr>
          <w:lang w:val="en-CA"/>
        </w:rPr>
        <w:t xml:space="preserve"> them </w:t>
      </w:r>
      <w:r w:rsidRPr="00366942">
        <w:rPr>
          <w:lang w:val="en-CA"/>
        </w:rPr>
        <w:t>access to</w:t>
      </w:r>
      <w:r w:rsidR="002D2FB2" w:rsidRPr="00366942">
        <w:rPr>
          <w:lang w:val="en-CA"/>
        </w:rPr>
        <w:t xml:space="preserve"> the benefits and advantages available to children of a Canadian father</w:t>
      </w:r>
      <w:r w:rsidR="00961A50" w:rsidRPr="00366942">
        <w:rPr>
          <w:lang w:val="en-CA"/>
        </w:rPr>
        <w:t xml:space="preserve">. </w:t>
      </w:r>
      <w:r w:rsidR="002D2FB2" w:rsidRPr="00366942">
        <w:rPr>
          <w:lang w:val="en-CA"/>
        </w:rPr>
        <w:t xml:space="preserve">There again, the distinction, </w:t>
      </w:r>
      <w:r w:rsidR="00260509" w:rsidRPr="00366942">
        <w:rPr>
          <w:lang w:val="en-CA"/>
        </w:rPr>
        <w:t>based on</w:t>
      </w:r>
      <w:r w:rsidR="002D2FB2" w:rsidRPr="00366942">
        <w:rPr>
          <w:lang w:val="en-CA"/>
        </w:rPr>
        <w:t xml:space="preserve"> the parent’s sex</w:t>
      </w:r>
      <w:r w:rsidRPr="00366942">
        <w:rPr>
          <w:lang w:val="en-CA"/>
        </w:rPr>
        <w:t xml:space="preserve"> in that case</w:t>
      </w:r>
      <w:r w:rsidR="002D2FB2" w:rsidRPr="00366942">
        <w:rPr>
          <w:lang w:val="en-CA"/>
        </w:rPr>
        <w:t xml:space="preserve">, appeared textually in the </w:t>
      </w:r>
      <w:r w:rsidR="009451E5" w:rsidRPr="00366942">
        <w:rPr>
          <w:lang w:val="en-CA"/>
        </w:rPr>
        <w:t>statute, a distinction pursuant to which certain persons were denied</w:t>
      </w:r>
      <w:r w:rsidR="00961A50" w:rsidRPr="00366942">
        <w:rPr>
          <w:lang w:val="en-CA"/>
        </w:rPr>
        <w:t xml:space="preserve"> </w:t>
      </w:r>
      <w:r w:rsidR="009451E5" w:rsidRPr="00366942">
        <w:rPr>
          <w:lang w:val="en-CA"/>
        </w:rPr>
        <w:t>“equal protection” and “equal benefit” of the law</w:t>
      </w:r>
      <w:r w:rsidR="00961A50" w:rsidRPr="00366942">
        <w:rPr>
          <w:lang w:val="en-CA"/>
        </w:rPr>
        <w:t xml:space="preserve"> </w:t>
      </w:r>
      <w:r w:rsidR="009451E5" w:rsidRPr="00366942">
        <w:rPr>
          <w:lang w:val="en-CA"/>
        </w:rPr>
        <w:t>within the meaning of s.</w:t>
      </w:r>
      <w:r w:rsidR="00961A50" w:rsidRPr="00366942">
        <w:rPr>
          <w:lang w:val="en-CA"/>
        </w:rPr>
        <w:t xml:space="preserve"> 15(1) </w:t>
      </w:r>
      <w:r w:rsidR="009451E5" w:rsidRPr="00366942">
        <w:rPr>
          <w:lang w:val="en-CA"/>
        </w:rPr>
        <w:t>of the</w:t>
      </w:r>
      <w:r w:rsidR="00961A50" w:rsidRPr="00366942">
        <w:rPr>
          <w:lang w:val="en-CA"/>
        </w:rPr>
        <w:t xml:space="preserve"> </w:t>
      </w:r>
      <w:r w:rsidR="009451E5" w:rsidRPr="00366942">
        <w:rPr>
          <w:i/>
          <w:iCs/>
          <w:lang w:val="en-CA"/>
        </w:rPr>
        <w:t>Canadian Charter</w:t>
      </w:r>
      <w:r w:rsidR="00961A50" w:rsidRPr="00366942">
        <w:rPr>
          <w:lang w:val="en-CA"/>
        </w:rPr>
        <w:t>.</w:t>
      </w:r>
    </w:p>
    <w:p w14:paraId="0B512381" w14:textId="7432FE8D" w:rsidR="00961A50" w:rsidRPr="00366942" w:rsidRDefault="00932B66" w:rsidP="00961A50">
      <w:pPr>
        <w:pStyle w:val="Paragraphe"/>
        <w:rPr>
          <w:lang w:val="en-CA"/>
        </w:rPr>
      </w:pPr>
      <w:r w:rsidRPr="00366942">
        <w:rPr>
          <w:lang w:val="en-CA"/>
        </w:rPr>
        <w:t>Lastly</w:t>
      </w:r>
      <w:r w:rsidR="00961A50" w:rsidRPr="00366942">
        <w:rPr>
          <w:lang w:val="en-CA"/>
        </w:rPr>
        <w:t xml:space="preserve">, </w:t>
      </w:r>
      <w:r w:rsidRPr="00366942">
        <w:rPr>
          <w:lang w:val="en-CA"/>
        </w:rPr>
        <w:t>in</w:t>
      </w:r>
      <w:r w:rsidR="00961A50" w:rsidRPr="00366942">
        <w:rPr>
          <w:lang w:val="en-CA"/>
        </w:rPr>
        <w:t xml:space="preserve"> </w:t>
      </w:r>
      <w:r w:rsidR="00961A50" w:rsidRPr="00366942">
        <w:rPr>
          <w:i/>
          <w:iCs/>
          <w:lang w:val="en-CA"/>
        </w:rPr>
        <w:t xml:space="preserve">M. </w:t>
      </w:r>
      <w:r w:rsidRPr="00366942">
        <w:rPr>
          <w:i/>
          <w:iCs/>
          <w:lang w:val="en-CA"/>
        </w:rPr>
        <w:t>v</w:t>
      </w:r>
      <w:r w:rsidR="00961A50" w:rsidRPr="00366942">
        <w:rPr>
          <w:i/>
          <w:iCs/>
          <w:lang w:val="en-CA"/>
        </w:rPr>
        <w:t>. H.</w:t>
      </w:r>
      <w:r w:rsidR="00961A50" w:rsidRPr="00366942">
        <w:rPr>
          <w:lang w:val="en-CA"/>
        </w:rPr>
        <w:t xml:space="preserve">, </w:t>
      </w:r>
      <w:r w:rsidRPr="00366942">
        <w:rPr>
          <w:lang w:val="en-CA"/>
        </w:rPr>
        <w:t>the Ontario statute</w:t>
      </w:r>
      <w:r w:rsidR="00961A50" w:rsidRPr="00366942">
        <w:rPr>
          <w:lang w:val="en-CA"/>
        </w:rPr>
        <w:t xml:space="preserve"> </w:t>
      </w:r>
      <w:r w:rsidRPr="00366942">
        <w:rPr>
          <w:lang w:val="en-CA"/>
        </w:rPr>
        <w:t>in issue</w:t>
      </w:r>
      <w:r w:rsidR="00961A50" w:rsidRPr="00366942">
        <w:rPr>
          <w:lang w:val="en-CA"/>
        </w:rPr>
        <w:t xml:space="preserve"> exclu</w:t>
      </w:r>
      <w:r w:rsidRPr="00366942">
        <w:rPr>
          <w:lang w:val="en-CA"/>
        </w:rPr>
        <w:t>ded</w:t>
      </w:r>
      <w:r w:rsidR="00961A50" w:rsidRPr="00366942">
        <w:rPr>
          <w:lang w:val="en-CA"/>
        </w:rPr>
        <w:t xml:space="preserve">, </w:t>
      </w:r>
      <w:r w:rsidRPr="00366942">
        <w:rPr>
          <w:lang w:val="en-CA"/>
        </w:rPr>
        <w:t>by</w:t>
      </w:r>
      <w:r w:rsidR="00961A50" w:rsidRPr="00366942">
        <w:rPr>
          <w:lang w:val="en-CA"/>
        </w:rPr>
        <w:t xml:space="preserve"> omission, </w:t>
      </w:r>
      <w:r w:rsidRPr="00366942">
        <w:rPr>
          <w:lang w:val="en-CA"/>
        </w:rPr>
        <w:t>same-sex partners</w:t>
      </w:r>
      <w:r w:rsidR="00961A50" w:rsidRPr="00366942">
        <w:rPr>
          <w:lang w:val="en-CA"/>
        </w:rPr>
        <w:t xml:space="preserve">, </w:t>
      </w:r>
      <w:r w:rsidRPr="00366942">
        <w:rPr>
          <w:lang w:val="en-CA"/>
        </w:rPr>
        <w:t xml:space="preserve">reserving its benefits to opposite-sex </w:t>
      </w:r>
      <w:r w:rsidR="00357CF0" w:rsidRPr="00366942">
        <w:rPr>
          <w:lang w:val="en-CA"/>
        </w:rPr>
        <w:t>partners</w:t>
      </w:r>
      <w:r w:rsidRPr="00366942">
        <w:rPr>
          <w:lang w:val="en-CA"/>
        </w:rPr>
        <w:t xml:space="preserve">. As the Supreme Court noted, the distinction, based on sexual orientation, </w:t>
      </w:r>
      <w:r w:rsidR="007E5EB2" w:rsidRPr="00366942">
        <w:rPr>
          <w:lang w:val="en-CA"/>
        </w:rPr>
        <w:t>was apparent on the face of the legislation: “Thus it is apparent that the legislation has drawn a formal distinction between the claimant and others, based on personal characteristics”,</w:t>
      </w:r>
      <w:r w:rsidR="00961A50" w:rsidRPr="00366942">
        <w:rPr>
          <w:rStyle w:val="Appelnotedebasdep"/>
          <w:lang w:val="en-CA"/>
        </w:rPr>
        <w:footnoteReference w:id="66"/>
      </w:r>
      <w:r w:rsidR="007E5EB2" w:rsidRPr="00366942">
        <w:rPr>
          <w:lang w:val="en-CA"/>
        </w:rPr>
        <w:t xml:space="preserve"> in that case, sexual orientation</w:t>
      </w:r>
      <w:r w:rsidR="00961A50" w:rsidRPr="00366942">
        <w:rPr>
          <w:lang w:val="en-CA"/>
        </w:rPr>
        <w:t>.</w:t>
      </w:r>
    </w:p>
    <w:p w14:paraId="42CBB5E6" w14:textId="3590338D" w:rsidR="00961A50" w:rsidRPr="00366942" w:rsidRDefault="007E5EB2" w:rsidP="00961A50">
      <w:pPr>
        <w:pStyle w:val="Paragraphe"/>
        <w:rPr>
          <w:lang w:val="en-CA"/>
        </w:rPr>
      </w:pPr>
      <w:r w:rsidRPr="00366942">
        <w:rPr>
          <w:lang w:val="en-CA"/>
        </w:rPr>
        <w:t>By contrast</w:t>
      </w:r>
      <w:r w:rsidR="00961A50" w:rsidRPr="00366942">
        <w:rPr>
          <w:lang w:val="en-CA"/>
        </w:rPr>
        <w:t xml:space="preserve">, </w:t>
      </w:r>
      <w:r w:rsidRPr="00366942">
        <w:rPr>
          <w:lang w:val="en-CA"/>
        </w:rPr>
        <w:t>to repeat</w:t>
      </w:r>
      <w:r w:rsidR="00961A50" w:rsidRPr="00366942">
        <w:rPr>
          <w:lang w:val="en-CA"/>
        </w:rPr>
        <w:t xml:space="preserve">, </w:t>
      </w:r>
      <w:r w:rsidRPr="00366942">
        <w:rPr>
          <w:lang w:val="en-CA"/>
        </w:rPr>
        <w:t>s</w:t>
      </w:r>
      <w:r w:rsidR="00961A50" w:rsidRPr="00366942">
        <w:rPr>
          <w:lang w:val="en-CA"/>
        </w:rPr>
        <w:t>. 10</w:t>
      </w:r>
      <w:r w:rsidRPr="00366942">
        <w:rPr>
          <w:lang w:val="en-CA"/>
        </w:rPr>
        <w:t>, para</w:t>
      </w:r>
      <w:r w:rsidR="00961A50" w:rsidRPr="00366942">
        <w:rPr>
          <w:lang w:val="en-CA"/>
        </w:rPr>
        <w:t xml:space="preserve">. 4 </w:t>
      </w:r>
      <w:r w:rsidRPr="00366942">
        <w:rPr>
          <w:i/>
          <w:iCs/>
          <w:lang w:val="en-CA"/>
        </w:rPr>
        <w:t>HIA</w:t>
      </w:r>
      <w:r w:rsidR="00961A50" w:rsidRPr="00366942">
        <w:rPr>
          <w:lang w:val="en-CA"/>
        </w:rPr>
        <w:t xml:space="preserve"> </w:t>
      </w:r>
      <w:r w:rsidRPr="00366942">
        <w:rPr>
          <w:lang w:val="en-CA"/>
        </w:rPr>
        <w:t>makes no such distinction</w:t>
      </w:r>
      <w:r w:rsidR="00961A50" w:rsidRPr="00366942">
        <w:rPr>
          <w:lang w:val="en-CA"/>
        </w:rPr>
        <w:t xml:space="preserve"> (</w:t>
      </w:r>
      <w:r w:rsidRPr="00366942">
        <w:rPr>
          <w:lang w:val="en-CA"/>
        </w:rPr>
        <w:t>indeed, s.</w:t>
      </w:r>
      <w:r w:rsidR="00961A50" w:rsidRPr="00366942">
        <w:rPr>
          <w:lang w:val="en-CA"/>
        </w:rPr>
        <w:t xml:space="preserve"> 10 </w:t>
      </w:r>
      <w:r w:rsidRPr="00366942">
        <w:rPr>
          <w:lang w:val="en-CA"/>
        </w:rPr>
        <w:t>in its entirety makes no such distinction itself, no more tha</w:t>
      </w:r>
      <w:r w:rsidR="00357CF0" w:rsidRPr="00366942">
        <w:rPr>
          <w:lang w:val="en-CA"/>
        </w:rPr>
        <w:t>n does</w:t>
      </w:r>
      <w:r w:rsidR="00961A50" w:rsidRPr="00366942">
        <w:rPr>
          <w:lang w:val="en-CA"/>
        </w:rPr>
        <w:t xml:space="preserve"> </w:t>
      </w:r>
      <w:r w:rsidRPr="00366942">
        <w:rPr>
          <w:lang w:val="en-CA"/>
        </w:rPr>
        <w:t>s</w:t>
      </w:r>
      <w:r w:rsidR="00961A50" w:rsidRPr="00366942">
        <w:rPr>
          <w:lang w:val="en-CA"/>
        </w:rPr>
        <w:t>. 11).</w:t>
      </w:r>
    </w:p>
    <w:p w14:paraId="1C0E0E93" w14:textId="5EACED56" w:rsidR="00961A50" w:rsidRPr="00366942" w:rsidRDefault="007E5EB2" w:rsidP="00961A50">
      <w:pPr>
        <w:pStyle w:val="Paragraphe"/>
        <w:rPr>
          <w:lang w:val="en-CA"/>
        </w:rPr>
      </w:pPr>
      <w:r w:rsidRPr="00366942">
        <w:rPr>
          <w:b/>
          <w:bCs/>
          <w:lang w:val="en-CA"/>
        </w:rPr>
        <w:t>Indirect distinction</w:t>
      </w:r>
      <w:r w:rsidR="00961A50" w:rsidRPr="00366942">
        <w:rPr>
          <w:b/>
          <w:bCs/>
          <w:lang w:val="en-CA"/>
        </w:rPr>
        <w:t>.</w:t>
      </w:r>
      <w:r w:rsidR="00961A50" w:rsidRPr="00366942">
        <w:rPr>
          <w:lang w:val="en-CA"/>
        </w:rPr>
        <w:t xml:space="preserve"> </w:t>
      </w:r>
      <w:r w:rsidR="003D5F56" w:rsidRPr="00366942">
        <w:rPr>
          <w:lang w:val="en-CA"/>
        </w:rPr>
        <w:t xml:space="preserve">But </w:t>
      </w:r>
      <w:r w:rsidR="00E87006" w:rsidRPr="00366942">
        <w:rPr>
          <w:lang w:val="en-CA"/>
        </w:rPr>
        <w:t>al</w:t>
      </w:r>
      <w:r w:rsidR="003D5F56" w:rsidRPr="00366942">
        <w:rPr>
          <w:lang w:val="en-CA"/>
        </w:rPr>
        <w:t>though s</w:t>
      </w:r>
      <w:r w:rsidR="00961A50" w:rsidRPr="00366942">
        <w:rPr>
          <w:lang w:val="en-CA"/>
        </w:rPr>
        <w:t>. 10</w:t>
      </w:r>
      <w:r w:rsidR="003D5F56" w:rsidRPr="00366942">
        <w:rPr>
          <w:lang w:val="en-CA"/>
        </w:rPr>
        <w:t>, para</w:t>
      </w:r>
      <w:r w:rsidR="00961A50" w:rsidRPr="00366942">
        <w:rPr>
          <w:lang w:val="en-CA"/>
        </w:rPr>
        <w:t xml:space="preserve">. 4 </w:t>
      </w:r>
      <w:r w:rsidR="003D5F56" w:rsidRPr="00366942">
        <w:rPr>
          <w:i/>
          <w:iCs/>
          <w:lang w:val="en-CA"/>
        </w:rPr>
        <w:t>HIA</w:t>
      </w:r>
      <w:r w:rsidR="00961A50" w:rsidRPr="00366942">
        <w:rPr>
          <w:lang w:val="en-CA"/>
        </w:rPr>
        <w:t xml:space="preserve"> </w:t>
      </w:r>
      <w:r w:rsidR="003D5F56" w:rsidRPr="00366942">
        <w:rPr>
          <w:lang w:val="en-CA"/>
        </w:rPr>
        <w:t xml:space="preserve">does not create a direct distinction and does not impose </w:t>
      </w:r>
      <w:r w:rsidR="00E87006" w:rsidRPr="00366942">
        <w:rPr>
          <w:lang w:val="en-CA"/>
        </w:rPr>
        <w:t xml:space="preserve">any </w:t>
      </w:r>
      <w:r w:rsidR="003D5F56" w:rsidRPr="00366942">
        <w:rPr>
          <w:lang w:val="en-CA"/>
        </w:rPr>
        <w:t>differen</w:t>
      </w:r>
      <w:r w:rsidR="00566706" w:rsidRPr="00366942">
        <w:rPr>
          <w:lang w:val="en-CA"/>
        </w:rPr>
        <w:t>tial</w:t>
      </w:r>
      <w:r w:rsidR="003D5F56" w:rsidRPr="00366942">
        <w:rPr>
          <w:lang w:val="en-CA"/>
        </w:rPr>
        <w:t xml:space="preserve"> treatment, </w:t>
      </w:r>
      <w:r w:rsidR="00E87006" w:rsidRPr="00366942">
        <w:rPr>
          <w:lang w:val="en-CA"/>
        </w:rPr>
        <w:t>on its face</w:t>
      </w:r>
      <w:r w:rsidR="00961A50" w:rsidRPr="00366942">
        <w:rPr>
          <w:lang w:val="en-CA"/>
        </w:rPr>
        <w:t xml:space="preserve">, </w:t>
      </w:r>
      <w:r w:rsidR="003D5F56" w:rsidRPr="00366942">
        <w:rPr>
          <w:lang w:val="en-CA"/>
        </w:rPr>
        <w:t>between women and men</w:t>
      </w:r>
      <w:r w:rsidR="00C23BB7" w:rsidRPr="00366942">
        <w:rPr>
          <w:lang w:val="en-CA"/>
        </w:rPr>
        <w:t>,</w:t>
      </w:r>
      <w:r w:rsidR="003D5F56" w:rsidRPr="00366942">
        <w:rPr>
          <w:lang w:val="en-CA"/>
        </w:rPr>
        <w:t xml:space="preserve"> or between women and any other group </w:t>
      </w:r>
      <w:r w:rsidR="00E87006" w:rsidRPr="00366942">
        <w:rPr>
          <w:lang w:val="en-CA"/>
        </w:rPr>
        <w:t>in terms of</w:t>
      </w:r>
      <w:r w:rsidR="003D5F56" w:rsidRPr="00366942">
        <w:rPr>
          <w:lang w:val="en-CA"/>
        </w:rPr>
        <w:t xml:space="preserve"> reimbursement or payment of the cost of medical services obtained outside Quebec, </w:t>
      </w:r>
      <w:r w:rsidR="00C23BB7" w:rsidRPr="00366942">
        <w:rPr>
          <w:lang w:val="en-CA"/>
        </w:rPr>
        <w:t>does</w:t>
      </w:r>
      <w:r w:rsidR="003D5F56" w:rsidRPr="00366942">
        <w:rPr>
          <w:lang w:val="en-CA"/>
        </w:rPr>
        <w:t xml:space="preserve"> it however create such a distinction indirectly, </w:t>
      </w:r>
      <w:r w:rsidR="00C23BB7" w:rsidRPr="00366942">
        <w:rPr>
          <w:lang w:val="en-CA"/>
        </w:rPr>
        <w:t>i.e.,</w:t>
      </w:r>
      <w:r w:rsidR="003D5F56" w:rsidRPr="00366942">
        <w:rPr>
          <w:lang w:val="en-CA"/>
        </w:rPr>
        <w:t xml:space="preserve"> by the disproportionate adverse impact that it </w:t>
      </w:r>
      <w:r w:rsidR="00E87006" w:rsidRPr="00366942">
        <w:rPr>
          <w:lang w:val="en-CA"/>
        </w:rPr>
        <w:t>would have</w:t>
      </w:r>
      <w:r w:rsidR="003D5F56" w:rsidRPr="00366942">
        <w:rPr>
          <w:lang w:val="en-CA"/>
        </w:rPr>
        <w:t xml:space="preserve"> on pregnant women </w:t>
      </w:r>
      <w:r w:rsidR="00961A50" w:rsidRPr="00366942">
        <w:rPr>
          <w:lang w:val="en-CA"/>
        </w:rPr>
        <w:t xml:space="preserve">– </w:t>
      </w:r>
      <w:r w:rsidR="003D5F56" w:rsidRPr="00366942">
        <w:rPr>
          <w:lang w:val="en-CA"/>
        </w:rPr>
        <w:t>and thus on women</w:t>
      </w:r>
      <w:r w:rsidR="00961A50" w:rsidRPr="00366942">
        <w:rPr>
          <w:lang w:val="en-CA"/>
        </w:rPr>
        <w:t xml:space="preserve">, </w:t>
      </w:r>
      <w:r w:rsidR="003D5F56" w:rsidRPr="00366942">
        <w:rPr>
          <w:lang w:val="en-CA"/>
        </w:rPr>
        <w:t>as the appellant submits</w:t>
      </w:r>
      <w:r w:rsidR="00961A50" w:rsidRPr="00366942">
        <w:rPr>
          <w:lang w:val="en-CA"/>
        </w:rPr>
        <w:t xml:space="preserve">? </w:t>
      </w:r>
      <w:r w:rsidR="003D5F56" w:rsidRPr="00366942">
        <w:rPr>
          <w:lang w:val="en-CA"/>
        </w:rPr>
        <w:t xml:space="preserve">In other words, does the neutrality of the legislation </w:t>
      </w:r>
      <w:r w:rsidR="00C23BB7" w:rsidRPr="00366942">
        <w:rPr>
          <w:lang w:val="en-CA"/>
        </w:rPr>
        <w:t>conceal</w:t>
      </w:r>
      <w:r w:rsidR="003D5F56" w:rsidRPr="00366942">
        <w:rPr>
          <w:lang w:val="en-CA"/>
        </w:rPr>
        <w:t xml:space="preserve"> an adverse impact on them</w:t>
      </w:r>
      <w:r w:rsidR="00961A50" w:rsidRPr="00366942">
        <w:rPr>
          <w:lang w:val="en-CA"/>
        </w:rPr>
        <w:t>?</w:t>
      </w:r>
    </w:p>
    <w:p w14:paraId="6251E4F5" w14:textId="31A6F83A" w:rsidR="00961A50" w:rsidRPr="00366942" w:rsidRDefault="00C34F9B" w:rsidP="00961A50">
      <w:pPr>
        <w:pStyle w:val="Paragraphe"/>
        <w:rPr>
          <w:lang w:val="en-CA"/>
        </w:rPr>
      </w:pPr>
      <w:r w:rsidRPr="00366942">
        <w:rPr>
          <w:lang w:val="en-CA"/>
        </w:rPr>
        <w:t>T</w:t>
      </w:r>
      <w:r w:rsidR="00566706" w:rsidRPr="00366942">
        <w:rPr>
          <w:lang w:val="en-CA"/>
        </w:rPr>
        <w:t>hose questions</w:t>
      </w:r>
      <w:r w:rsidRPr="00366942">
        <w:rPr>
          <w:lang w:val="en-CA"/>
        </w:rPr>
        <w:t xml:space="preserve"> must be answered in the negative</w:t>
      </w:r>
      <w:r w:rsidR="00961A50" w:rsidRPr="00366942">
        <w:rPr>
          <w:lang w:val="en-CA"/>
        </w:rPr>
        <w:t xml:space="preserve">, </w:t>
      </w:r>
      <w:r w:rsidRPr="00366942">
        <w:rPr>
          <w:lang w:val="en-CA"/>
        </w:rPr>
        <w:t xml:space="preserve">given that </w:t>
      </w:r>
      <w:r w:rsidR="00566706" w:rsidRPr="00366942">
        <w:rPr>
          <w:lang w:val="en-CA"/>
        </w:rPr>
        <w:t xml:space="preserve">the comparative approach </w:t>
      </w:r>
      <w:r w:rsidR="00C23BB7" w:rsidRPr="00366942">
        <w:rPr>
          <w:lang w:val="en-CA"/>
        </w:rPr>
        <w:t>to be applied</w:t>
      </w:r>
      <w:r w:rsidR="00566706" w:rsidRPr="00366942">
        <w:rPr>
          <w:lang w:val="en-CA"/>
        </w:rPr>
        <w:t xml:space="preserve"> at this step of the analytical process does not </w:t>
      </w:r>
      <w:r w:rsidR="00D24FB7" w:rsidRPr="00366942">
        <w:rPr>
          <w:lang w:val="en-CA"/>
        </w:rPr>
        <w:t xml:space="preserve">establish </w:t>
      </w:r>
      <w:r w:rsidR="00566706" w:rsidRPr="00366942">
        <w:rPr>
          <w:lang w:val="en-CA"/>
        </w:rPr>
        <w:t>that, to the extent that insured persons with</w:t>
      </w:r>
      <w:r w:rsidR="00D24FB7" w:rsidRPr="00366942">
        <w:rPr>
          <w:lang w:val="en-CA"/>
        </w:rPr>
        <w:t>in</w:t>
      </w:r>
      <w:r w:rsidR="00566706" w:rsidRPr="00366942">
        <w:rPr>
          <w:lang w:val="en-CA"/>
        </w:rPr>
        <w:t xml:space="preserve"> the meaning of the </w:t>
      </w:r>
      <w:r w:rsidR="00566706" w:rsidRPr="00366942">
        <w:rPr>
          <w:i/>
          <w:iCs/>
          <w:lang w:val="en-CA"/>
        </w:rPr>
        <w:t>HIA</w:t>
      </w:r>
      <w:r w:rsidR="00961A50" w:rsidRPr="00366942">
        <w:rPr>
          <w:lang w:val="en-CA"/>
        </w:rPr>
        <w:t xml:space="preserve"> </w:t>
      </w:r>
      <w:r w:rsidR="00D24FB7" w:rsidRPr="00366942">
        <w:rPr>
          <w:lang w:val="en-CA"/>
        </w:rPr>
        <w:t xml:space="preserve">are involved </w:t>
      </w:r>
      <w:r w:rsidR="00961A50" w:rsidRPr="00366942">
        <w:rPr>
          <w:lang w:val="en-CA"/>
        </w:rPr>
        <w:t>(</w:t>
      </w:r>
      <w:r w:rsidR="00566706" w:rsidRPr="00366942">
        <w:rPr>
          <w:lang w:val="en-CA"/>
        </w:rPr>
        <w:t>which is the case of the appellant</w:t>
      </w:r>
      <w:r w:rsidR="00961A50" w:rsidRPr="00366942">
        <w:rPr>
          <w:lang w:val="en-CA"/>
        </w:rPr>
        <w:t xml:space="preserve">), </w:t>
      </w:r>
      <w:r w:rsidR="00566706" w:rsidRPr="00366942">
        <w:rPr>
          <w:lang w:val="en-CA"/>
        </w:rPr>
        <w:t>s.</w:t>
      </w:r>
      <w:r w:rsidR="00961A50" w:rsidRPr="00366942">
        <w:rPr>
          <w:lang w:val="en-CA"/>
        </w:rPr>
        <w:t xml:space="preserve"> 10</w:t>
      </w:r>
      <w:r w:rsidR="00566706" w:rsidRPr="00366942">
        <w:rPr>
          <w:lang w:val="en-CA"/>
        </w:rPr>
        <w:t>, para</w:t>
      </w:r>
      <w:r w:rsidR="00961A50" w:rsidRPr="00366942">
        <w:rPr>
          <w:lang w:val="en-CA"/>
        </w:rPr>
        <w:t xml:space="preserve">. 4 </w:t>
      </w:r>
      <w:r w:rsidRPr="00366942">
        <w:rPr>
          <w:i/>
          <w:iCs/>
          <w:lang w:val="en-CA"/>
        </w:rPr>
        <w:t>HIA</w:t>
      </w:r>
      <w:r w:rsidR="00961A50" w:rsidRPr="00366942">
        <w:rPr>
          <w:lang w:val="en-CA"/>
        </w:rPr>
        <w:t xml:space="preserve"> </w:t>
      </w:r>
      <w:r w:rsidR="00D24FB7" w:rsidRPr="00366942">
        <w:rPr>
          <w:lang w:val="en-CA"/>
        </w:rPr>
        <w:t>creates or contributes to</w:t>
      </w:r>
      <w:r w:rsidRPr="00366942">
        <w:rPr>
          <w:lang w:val="en-CA"/>
        </w:rPr>
        <w:t xml:space="preserve"> a disproportionate adverse impact </w:t>
      </w:r>
      <w:r w:rsidR="00D24FB7" w:rsidRPr="00366942">
        <w:rPr>
          <w:lang w:val="en-CA"/>
        </w:rPr>
        <w:t>on women</w:t>
      </w:r>
      <w:r w:rsidRPr="00366942">
        <w:rPr>
          <w:lang w:val="en-CA"/>
        </w:rPr>
        <w:t xml:space="preserve">, resulting in differential treatment </w:t>
      </w:r>
      <w:r w:rsidR="00D24FB7" w:rsidRPr="00366942">
        <w:rPr>
          <w:lang w:val="en-CA"/>
        </w:rPr>
        <w:t>between them and</w:t>
      </w:r>
      <w:r w:rsidRPr="00366942">
        <w:rPr>
          <w:lang w:val="en-CA"/>
        </w:rPr>
        <w:t xml:space="preserve"> others</w:t>
      </w:r>
      <w:r w:rsidR="007758A5" w:rsidRPr="00366942">
        <w:rPr>
          <w:lang w:val="en-CA"/>
        </w:rPr>
        <w:t xml:space="preserve">, </w:t>
      </w:r>
      <w:r w:rsidRPr="00366942">
        <w:rPr>
          <w:lang w:val="en-CA"/>
        </w:rPr>
        <w:t>in this case, men</w:t>
      </w:r>
      <w:r w:rsidR="00961A50" w:rsidRPr="00366942">
        <w:rPr>
          <w:lang w:val="en-CA"/>
        </w:rPr>
        <w:t>.</w:t>
      </w:r>
    </w:p>
    <w:p w14:paraId="7AC976BF" w14:textId="606DB0AF" w:rsidR="00961A50" w:rsidRPr="00366942" w:rsidRDefault="00D24FB7" w:rsidP="00961A50">
      <w:pPr>
        <w:pStyle w:val="Paragraphe"/>
        <w:rPr>
          <w:lang w:val="en-CA"/>
        </w:rPr>
      </w:pPr>
      <w:bookmarkStart w:id="38" w:name="_Ref180586892"/>
      <w:r w:rsidRPr="00366942">
        <w:rPr>
          <w:lang w:val="en-CA"/>
        </w:rPr>
        <w:t>Rather, the impact of s</w:t>
      </w:r>
      <w:r w:rsidR="00961A50" w:rsidRPr="00366942">
        <w:rPr>
          <w:lang w:val="en-CA"/>
        </w:rPr>
        <w:t>. 10</w:t>
      </w:r>
      <w:r w:rsidRPr="00366942">
        <w:rPr>
          <w:lang w:val="en-CA"/>
        </w:rPr>
        <w:t>, para</w:t>
      </w:r>
      <w:r w:rsidR="00961A50" w:rsidRPr="00366942">
        <w:rPr>
          <w:lang w:val="en-CA"/>
        </w:rPr>
        <w:t xml:space="preserve">. 4 </w:t>
      </w:r>
      <w:r w:rsidRPr="00366942">
        <w:rPr>
          <w:i/>
          <w:iCs/>
          <w:lang w:val="en-CA"/>
        </w:rPr>
        <w:t>HIA</w:t>
      </w:r>
      <w:r w:rsidR="00961A50" w:rsidRPr="00366942">
        <w:rPr>
          <w:lang w:val="en-CA"/>
        </w:rPr>
        <w:t xml:space="preserve"> </w:t>
      </w:r>
      <w:r w:rsidRPr="00366942">
        <w:rPr>
          <w:lang w:val="en-CA"/>
        </w:rPr>
        <w:t xml:space="preserve">is </w:t>
      </w:r>
      <w:r w:rsidR="003F5238" w:rsidRPr="00366942">
        <w:rPr>
          <w:lang w:val="en-CA"/>
        </w:rPr>
        <w:t>the exact</w:t>
      </w:r>
      <w:r w:rsidR="009B68A0" w:rsidRPr="00366942">
        <w:rPr>
          <w:lang w:val="en-CA"/>
        </w:rPr>
        <w:t xml:space="preserve"> reflection of</w:t>
      </w:r>
      <w:r w:rsidRPr="00366942">
        <w:rPr>
          <w:lang w:val="en-CA"/>
        </w:rPr>
        <w:t xml:space="preserve"> its wording</w:t>
      </w:r>
      <w:r w:rsidR="009B68A0" w:rsidRPr="00366942">
        <w:rPr>
          <w:lang w:val="en-CA"/>
        </w:rPr>
        <w:t xml:space="preserve">, and the evidence </w:t>
      </w:r>
      <w:r w:rsidR="009F5B16" w:rsidRPr="00366942">
        <w:rPr>
          <w:lang w:val="en-CA"/>
        </w:rPr>
        <w:t xml:space="preserve">does not </w:t>
      </w:r>
      <w:r w:rsidR="009B68A0" w:rsidRPr="00366942">
        <w:rPr>
          <w:lang w:val="en-CA"/>
        </w:rPr>
        <w:t>show that its implementation creates any differential treatment whatsoever between</w:t>
      </w:r>
      <w:r w:rsidR="00726CAE" w:rsidRPr="00366942">
        <w:rPr>
          <w:lang w:val="en-CA"/>
        </w:rPr>
        <w:t xml:space="preserve"> </w:t>
      </w:r>
      <w:r w:rsidR="009B68A0" w:rsidRPr="00366942">
        <w:rPr>
          <w:lang w:val="en-CA"/>
        </w:rPr>
        <w:t>women and any other person</w:t>
      </w:r>
      <w:r w:rsidR="00961A50" w:rsidRPr="00366942">
        <w:rPr>
          <w:lang w:val="en-CA"/>
        </w:rPr>
        <w:t xml:space="preserve">: </w:t>
      </w:r>
      <w:r w:rsidR="009B68A0" w:rsidRPr="00366942">
        <w:rPr>
          <w:lang w:val="en-CA"/>
        </w:rPr>
        <w:t xml:space="preserve">no insured person can obtain, for medical services provided outside Quebec, an amount exceeding that which would have </w:t>
      </w:r>
      <w:r w:rsidR="009B68A0" w:rsidRPr="00366942">
        <w:rPr>
          <w:lang w:val="en-CA"/>
        </w:rPr>
        <w:lastRenderedPageBreak/>
        <w:t xml:space="preserve">been paid to health professionals if the service had been </w:t>
      </w:r>
      <w:r w:rsidR="003F5238" w:rsidRPr="00366942">
        <w:rPr>
          <w:lang w:val="en-CA"/>
        </w:rPr>
        <w:t>rendered</w:t>
      </w:r>
      <w:r w:rsidR="009B68A0" w:rsidRPr="00366942">
        <w:rPr>
          <w:lang w:val="en-CA"/>
        </w:rPr>
        <w:t xml:space="preserve"> in Quebec, regardless of </w:t>
      </w:r>
      <w:r w:rsidR="009F5B16" w:rsidRPr="00366942">
        <w:rPr>
          <w:lang w:val="en-CA"/>
        </w:rPr>
        <w:t>its</w:t>
      </w:r>
      <w:r w:rsidR="009B68A0" w:rsidRPr="00366942">
        <w:rPr>
          <w:lang w:val="en-CA"/>
        </w:rPr>
        <w:t xml:space="preserve"> nature</w:t>
      </w:r>
      <w:r w:rsidR="00961A50" w:rsidRPr="00366942">
        <w:rPr>
          <w:lang w:val="en-CA"/>
        </w:rPr>
        <w:t xml:space="preserve"> (</w:t>
      </w:r>
      <w:r w:rsidR="009B68A0" w:rsidRPr="00366942">
        <w:rPr>
          <w:lang w:val="en-CA"/>
        </w:rPr>
        <w:t>provided that it was insured within the meaning of s.</w:t>
      </w:r>
      <w:r w:rsidR="00961A50" w:rsidRPr="00366942">
        <w:rPr>
          <w:lang w:val="en-CA"/>
        </w:rPr>
        <w:t xml:space="preserve"> 3 </w:t>
      </w:r>
      <w:r w:rsidR="009B68A0" w:rsidRPr="00366942">
        <w:rPr>
          <w:lang w:val="en-CA"/>
        </w:rPr>
        <w:t>and covered under s.</w:t>
      </w:r>
      <w:r w:rsidR="00961A50" w:rsidRPr="00366942">
        <w:rPr>
          <w:lang w:val="en-CA"/>
        </w:rPr>
        <w:t> 10</w:t>
      </w:r>
      <w:r w:rsidR="009B68A0" w:rsidRPr="00366942">
        <w:rPr>
          <w:lang w:val="en-CA"/>
        </w:rPr>
        <w:t>, para.</w:t>
      </w:r>
      <w:r w:rsidR="00961A50" w:rsidRPr="00366942">
        <w:rPr>
          <w:lang w:val="en-CA"/>
        </w:rPr>
        <w:t> 1 </w:t>
      </w:r>
      <w:r w:rsidR="009B68A0" w:rsidRPr="00366942">
        <w:rPr>
          <w:i/>
          <w:iCs/>
          <w:lang w:val="en-CA"/>
        </w:rPr>
        <w:t>HIA</w:t>
      </w:r>
      <w:r w:rsidR="00961A50" w:rsidRPr="00366942">
        <w:rPr>
          <w:lang w:val="en-CA"/>
        </w:rPr>
        <w:t>)</w:t>
      </w:r>
      <w:r w:rsidR="00A743D8" w:rsidRPr="00366942">
        <w:rPr>
          <w:lang w:val="en-CA"/>
        </w:rPr>
        <w:t>,</w:t>
      </w:r>
      <w:r w:rsidR="00961A50" w:rsidRPr="00366942">
        <w:rPr>
          <w:lang w:val="en-CA"/>
        </w:rPr>
        <w:t xml:space="preserve"> </w:t>
      </w:r>
      <w:r w:rsidR="009B68A0" w:rsidRPr="00366942">
        <w:rPr>
          <w:lang w:val="en-CA"/>
        </w:rPr>
        <w:t xml:space="preserve">and regardless of the </w:t>
      </w:r>
      <w:r w:rsidR="009F5B16" w:rsidRPr="00366942">
        <w:rPr>
          <w:lang w:val="en-CA"/>
        </w:rPr>
        <w:t>insured individual’</w:t>
      </w:r>
      <w:r w:rsidR="00726CAE" w:rsidRPr="00366942">
        <w:rPr>
          <w:lang w:val="en-CA"/>
        </w:rPr>
        <w:t>s</w:t>
      </w:r>
      <w:r w:rsidR="009F5B16" w:rsidRPr="00366942">
        <w:rPr>
          <w:lang w:val="en-CA"/>
        </w:rPr>
        <w:t xml:space="preserve"> </w:t>
      </w:r>
      <w:r w:rsidR="009B68A0" w:rsidRPr="00366942">
        <w:rPr>
          <w:lang w:val="en-CA"/>
        </w:rPr>
        <w:t>personal characteristics</w:t>
      </w:r>
      <w:r w:rsidR="00961A50" w:rsidRPr="00366942">
        <w:rPr>
          <w:lang w:val="en-CA"/>
        </w:rPr>
        <w:t xml:space="preserve">. </w:t>
      </w:r>
      <w:r w:rsidR="009B68A0" w:rsidRPr="00366942">
        <w:rPr>
          <w:lang w:val="en-CA"/>
        </w:rPr>
        <w:t>The law does not affect women more than men</w:t>
      </w:r>
      <w:r w:rsidR="00961A50" w:rsidRPr="00366942">
        <w:rPr>
          <w:lang w:val="en-CA"/>
        </w:rPr>
        <w:t xml:space="preserve"> (</w:t>
      </w:r>
      <w:r w:rsidR="00A743D8" w:rsidRPr="00366942">
        <w:rPr>
          <w:lang w:val="en-CA"/>
        </w:rPr>
        <w:t xml:space="preserve">the </w:t>
      </w:r>
      <w:r w:rsidR="009B68A0" w:rsidRPr="00366942">
        <w:rPr>
          <w:lang w:val="en-CA"/>
        </w:rPr>
        <w:t>first comparator group, where discrimination on the basis of sex is claimed</w:t>
      </w:r>
      <w:r w:rsidR="009F5B16" w:rsidRPr="00366942">
        <w:rPr>
          <w:lang w:val="en-CA"/>
        </w:rPr>
        <w:t>, as in this case</w:t>
      </w:r>
      <w:r w:rsidR="00961A50" w:rsidRPr="00366942">
        <w:rPr>
          <w:lang w:val="en-CA"/>
        </w:rPr>
        <w:t xml:space="preserve">) </w:t>
      </w:r>
      <w:r w:rsidR="009F5B16" w:rsidRPr="00366942">
        <w:rPr>
          <w:lang w:val="en-CA"/>
        </w:rPr>
        <w:t>or any other group</w:t>
      </w:r>
      <w:r w:rsidR="00961A50" w:rsidRPr="00366942">
        <w:rPr>
          <w:lang w:val="en-CA"/>
        </w:rPr>
        <w:t xml:space="preserve">, </w:t>
      </w:r>
      <w:r w:rsidR="009F5B16" w:rsidRPr="00366942">
        <w:rPr>
          <w:lang w:val="en-CA"/>
        </w:rPr>
        <w:t>whether or not protected under s</w:t>
      </w:r>
      <w:r w:rsidR="00961A50" w:rsidRPr="00366942">
        <w:rPr>
          <w:lang w:val="en-CA"/>
        </w:rPr>
        <w:t xml:space="preserve">. 15(1) </w:t>
      </w:r>
      <w:r w:rsidR="009F5B16" w:rsidRPr="00366942">
        <w:rPr>
          <w:lang w:val="en-CA"/>
        </w:rPr>
        <w:t>of the</w:t>
      </w:r>
      <w:r w:rsidR="00961A50" w:rsidRPr="00366942">
        <w:rPr>
          <w:lang w:val="en-CA"/>
        </w:rPr>
        <w:t xml:space="preserve"> </w:t>
      </w:r>
      <w:r w:rsidR="009F5B16" w:rsidRPr="00366942">
        <w:rPr>
          <w:i/>
          <w:iCs/>
          <w:lang w:val="en-CA"/>
        </w:rPr>
        <w:t>Canadian Charter</w:t>
      </w:r>
      <w:r w:rsidR="00961A50" w:rsidRPr="00366942">
        <w:rPr>
          <w:lang w:val="en-CA"/>
        </w:rPr>
        <w:t xml:space="preserve">: </w:t>
      </w:r>
      <w:r w:rsidR="009F5B16" w:rsidRPr="00366942">
        <w:rPr>
          <w:lang w:val="en-CA"/>
        </w:rPr>
        <w:t xml:space="preserve">women are not denied, in matters of reproductive health care, </w:t>
      </w:r>
      <w:r w:rsidR="00A743D8" w:rsidRPr="00366942">
        <w:rPr>
          <w:lang w:val="en-CA"/>
        </w:rPr>
        <w:t>a benefit</w:t>
      </w:r>
      <w:r w:rsidR="009F5B16" w:rsidRPr="00366942">
        <w:rPr>
          <w:lang w:val="en-CA"/>
        </w:rPr>
        <w:t xml:space="preserve"> available to others; </w:t>
      </w:r>
      <w:r w:rsidR="003F5238" w:rsidRPr="00366942">
        <w:rPr>
          <w:lang w:val="en-CA"/>
        </w:rPr>
        <w:t xml:space="preserve">nor are </w:t>
      </w:r>
      <w:r w:rsidR="009F5B16" w:rsidRPr="00366942">
        <w:rPr>
          <w:lang w:val="en-CA"/>
        </w:rPr>
        <w:t>they subject to restrictions that are not imposed on others</w:t>
      </w:r>
      <w:r w:rsidR="00961A50" w:rsidRPr="00366942">
        <w:rPr>
          <w:lang w:val="en-CA"/>
        </w:rPr>
        <w:t>.</w:t>
      </w:r>
      <w:bookmarkEnd w:id="38"/>
    </w:p>
    <w:p w14:paraId="1DDD853C" w14:textId="4015F3D0" w:rsidR="00961A50" w:rsidRPr="00366942" w:rsidRDefault="0038736C" w:rsidP="00961A50">
      <w:pPr>
        <w:pStyle w:val="Paragraphe"/>
        <w:rPr>
          <w:lang w:val="en-CA"/>
        </w:rPr>
      </w:pPr>
      <w:bookmarkStart w:id="39" w:name="_Ref180586896"/>
      <w:r w:rsidRPr="00366942">
        <w:rPr>
          <w:lang w:val="en-CA"/>
        </w:rPr>
        <w:t>In other words, at least</w:t>
      </w:r>
      <w:r w:rsidR="001B3A7F" w:rsidRPr="00366942">
        <w:rPr>
          <w:lang w:val="en-CA"/>
        </w:rPr>
        <w:t xml:space="preserve"> </w:t>
      </w:r>
      <w:r w:rsidR="001B3A7F" w:rsidRPr="00366942">
        <w:rPr>
          <w:i/>
          <w:iCs/>
          <w:lang w:val="en-CA"/>
        </w:rPr>
        <w:t>a priori</w:t>
      </w:r>
      <w:r w:rsidRPr="00366942">
        <w:rPr>
          <w:lang w:val="en-CA"/>
        </w:rPr>
        <w:t xml:space="preserve">, the weight of the law and </w:t>
      </w:r>
      <w:r w:rsidR="001B3A7F" w:rsidRPr="00366942">
        <w:rPr>
          <w:lang w:val="en-CA"/>
        </w:rPr>
        <w:t xml:space="preserve">of </w:t>
      </w:r>
      <w:r w:rsidRPr="00366942">
        <w:rPr>
          <w:lang w:val="en-CA"/>
        </w:rPr>
        <w:t xml:space="preserve">the </w:t>
      </w:r>
      <w:r w:rsidR="003F5238" w:rsidRPr="00366942">
        <w:rPr>
          <w:lang w:val="en-CA"/>
        </w:rPr>
        <w:t>limit</w:t>
      </w:r>
      <w:r w:rsidRPr="00366942">
        <w:rPr>
          <w:lang w:val="en-CA"/>
        </w:rPr>
        <w:t xml:space="preserve"> that i</w:t>
      </w:r>
      <w:r w:rsidR="003F5238" w:rsidRPr="00366942">
        <w:rPr>
          <w:lang w:val="en-CA"/>
        </w:rPr>
        <w:t>t</w:t>
      </w:r>
      <w:r w:rsidRPr="00366942">
        <w:rPr>
          <w:lang w:val="en-CA"/>
        </w:rPr>
        <w:t xml:space="preserve"> imposes on </w:t>
      </w:r>
      <w:r w:rsidR="001B3A7F" w:rsidRPr="00366942">
        <w:rPr>
          <w:lang w:val="en-CA"/>
        </w:rPr>
        <w:t xml:space="preserve">the </w:t>
      </w:r>
      <w:r w:rsidRPr="00366942">
        <w:rPr>
          <w:lang w:val="en-CA"/>
        </w:rPr>
        <w:t xml:space="preserve">reimbursement provided </w:t>
      </w:r>
      <w:r w:rsidR="001B3A7F" w:rsidRPr="00366942">
        <w:rPr>
          <w:lang w:val="en-CA"/>
        </w:rPr>
        <w:t>by</w:t>
      </w:r>
      <w:r w:rsidRPr="00366942">
        <w:rPr>
          <w:lang w:val="en-CA"/>
        </w:rPr>
        <w:t xml:space="preserve"> s.</w:t>
      </w:r>
      <w:r w:rsidR="00961A50" w:rsidRPr="00366942">
        <w:rPr>
          <w:lang w:val="en-CA"/>
        </w:rPr>
        <w:t xml:space="preserve"> 10</w:t>
      </w:r>
      <w:r w:rsidRPr="00366942">
        <w:rPr>
          <w:lang w:val="en-CA"/>
        </w:rPr>
        <w:t>, para</w:t>
      </w:r>
      <w:r w:rsidR="00961A50" w:rsidRPr="00366942">
        <w:rPr>
          <w:lang w:val="en-CA"/>
        </w:rPr>
        <w:t xml:space="preserve">. 1 </w:t>
      </w:r>
      <w:r w:rsidRPr="00366942">
        <w:rPr>
          <w:i/>
          <w:iCs/>
          <w:lang w:val="en-CA"/>
        </w:rPr>
        <w:t>HIA</w:t>
      </w:r>
      <w:r w:rsidR="00961A50" w:rsidRPr="00366942">
        <w:rPr>
          <w:lang w:val="en-CA"/>
        </w:rPr>
        <w:t xml:space="preserve"> (</w:t>
      </w:r>
      <w:r w:rsidRPr="00366942">
        <w:rPr>
          <w:lang w:val="en-CA"/>
        </w:rPr>
        <w:t xml:space="preserve">or on the payment provided </w:t>
      </w:r>
      <w:r w:rsidR="001B3A7F" w:rsidRPr="00366942">
        <w:rPr>
          <w:lang w:val="en-CA"/>
        </w:rPr>
        <w:t>by</w:t>
      </w:r>
      <w:r w:rsidRPr="00366942">
        <w:rPr>
          <w:lang w:val="en-CA"/>
        </w:rPr>
        <w:t xml:space="preserve"> s</w:t>
      </w:r>
      <w:r w:rsidR="00961A50" w:rsidRPr="00366942">
        <w:rPr>
          <w:lang w:val="en-CA"/>
        </w:rPr>
        <w:t>. 11 </w:t>
      </w:r>
      <w:r w:rsidRPr="00366942">
        <w:rPr>
          <w:i/>
          <w:iCs/>
          <w:lang w:val="en-CA"/>
        </w:rPr>
        <w:t>HIA</w:t>
      </w:r>
      <w:r w:rsidR="00961A50" w:rsidRPr="00366942">
        <w:rPr>
          <w:lang w:val="en-CA"/>
        </w:rPr>
        <w:t xml:space="preserve">) </w:t>
      </w:r>
      <w:r w:rsidR="001B3A7F" w:rsidRPr="00366942">
        <w:rPr>
          <w:lang w:val="en-CA"/>
        </w:rPr>
        <w:t>falls</w:t>
      </w:r>
      <w:r w:rsidRPr="00366942">
        <w:rPr>
          <w:lang w:val="en-CA"/>
        </w:rPr>
        <w:t xml:space="preserve"> equally on the shoulders of </w:t>
      </w:r>
      <w:r w:rsidR="001B3A7F" w:rsidRPr="00366942">
        <w:rPr>
          <w:lang w:val="en-CA"/>
        </w:rPr>
        <w:t>all</w:t>
      </w:r>
      <w:r w:rsidRPr="00366942">
        <w:rPr>
          <w:lang w:val="en-CA"/>
        </w:rPr>
        <w:t xml:space="preserve"> person</w:t>
      </w:r>
      <w:r w:rsidR="001B3A7F" w:rsidRPr="00366942">
        <w:rPr>
          <w:lang w:val="en-CA"/>
        </w:rPr>
        <w:t>s</w:t>
      </w:r>
      <w:r w:rsidRPr="00366942">
        <w:rPr>
          <w:lang w:val="en-CA"/>
        </w:rPr>
        <w:t xml:space="preserve"> covered by the Quebec health insurance plan, including pregnant women and women generally, and it does not </w:t>
      </w:r>
      <w:r w:rsidR="009D1412" w:rsidRPr="00366942">
        <w:rPr>
          <w:lang w:val="en-CA"/>
        </w:rPr>
        <w:t>affect</w:t>
      </w:r>
      <w:r w:rsidRPr="00366942">
        <w:rPr>
          <w:lang w:val="en-CA"/>
        </w:rPr>
        <w:t xml:space="preserve"> the latter</w:t>
      </w:r>
      <w:r w:rsidR="003F5238" w:rsidRPr="00366942">
        <w:rPr>
          <w:lang w:val="en-CA"/>
        </w:rPr>
        <w:t xml:space="preserve"> disproportionally</w:t>
      </w:r>
      <w:r w:rsidR="00961A50" w:rsidRPr="00366942">
        <w:rPr>
          <w:lang w:val="en-CA"/>
        </w:rPr>
        <w:t xml:space="preserve">. </w:t>
      </w:r>
      <w:r w:rsidRPr="00366942">
        <w:rPr>
          <w:lang w:val="en-CA"/>
        </w:rPr>
        <w:t>Not being fully reimbursed is certainly</w:t>
      </w:r>
      <w:r w:rsidR="00961A50" w:rsidRPr="00366942">
        <w:rPr>
          <w:lang w:val="en-CA"/>
        </w:rPr>
        <w:t xml:space="preserve"> </w:t>
      </w:r>
      <w:r w:rsidRPr="00366942">
        <w:rPr>
          <w:lang w:val="en-CA"/>
        </w:rPr>
        <w:t>disadvantageous compared to a full reimbursement (</w:t>
      </w:r>
      <w:r w:rsidR="003F5238" w:rsidRPr="00366942">
        <w:rPr>
          <w:lang w:val="en-CA"/>
        </w:rPr>
        <w:t>which is</w:t>
      </w:r>
      <w:r w:rsidRPr="00366942">
        <w:rPr>
          <w:lang w:val="en-CA"/>
        </w:rPr>
        <w:t xml:space="preserve"> obvious</w:t>
      </w:r>
      <w:r w:rsidR="00961A50" w:rsidRPr="00366942">
        <w:rPr>
          <w:lang w:val="en-CA"/>
        </w:rPr>
        <w:t xml:space="preserve">), </w:t>
      </w:r>
      <w:r w:rsidRPr="00366942">
        <w:rPr>
          <w:lang w:val="en-CA"/>
        </w:rPr>
        <w:t xml:space="preserve">but all insured persons under the </w:t>
      </w:r>
      <w:r w:rsidRPr="00366942">
        <w:rPr>
          <w:i/>
          <w:iCs/>
          <w:lang w:val="en-CA"/>
        </w:rPr>
        <w:t>HIA</w:t>
      </w:r>
      <w:r w:rsidRPr="00366942">
        <w:rPr>
          <w:lang w:val="en-CA"/>
        </w:rPr>
        <w:t xml:space="preserve"> </w:t>
      </w:r>
      <w:r w:rsidR="001B3A7F" w:rsidRPr="00366942">
        <w:rPr>
          <w:lang w:val="en-CA"/>
        </w:rPr>
        <w:t>suffer</w:t>
      </w:r>
      <w:r w:rsidRPr="00366942">
        <w:rPr>
          <w:lang w:val="en-CA"/>
        </w:rPr>
        <w:t xml:space="preserve"> that same disadvantage</w:t>
      </w:r>
      <w:r w:rsidR="00961A50" w:rsidRPr="00366942">
        <w:rPr>
          <w:lang w:val="en-CA"/>
        </w:rPr>
        <w:t xml:space="preserve">. </w:t>
      </w:r>
      <w:r w:rsidR="009D1412" w:rsidRPr="00366942">
        <w:rPr>
          <w:lang w:val="en-CA"/>
        </w:rPr>
        <w:t>Specifically</w:t>
      </w:r>
      <w:r w:rsidRPr="00366942">
        <w:rPr>
          <w:lang w:val="en-CA"/>
        </w:rPr>
        <w:t xml:space="preserve">, all insured persons </w:t>
      </w:r>
      <w:r w:rsidR="001B3A7F" w:rsidRPr="00366942">
        <w:rPr>
          <w:lang w:val="en-CA"/>
        </w:rPr>
        <w:t xml:space="preserve">are liable to </w:t>
      </w:r>
      <w:r w:rsidR="003F5238" w:rsidRPr="00366942">
        <w:rPr>
          <w:lang w:val="en-CA"/>
        </w:rPr>
        <w:t>suffer that disadvantage</w:t>
      </w:r>
      <w:r w:rsidR="001B3A7F" w:rsidRPr="00366942">
        <w:rPr>
          <w:lang w:val="en-CA"/>
        </w:rPr>
        <w:t xml:space="preserve"> </w:t>
      </w:r>
      <w:r w:rsidRPr="00366942">
        <w:rPr>
          <w:lang w:val="en-CA"/>
        </w:rPr>
        <w:t xml:space="preserve">to the extent that the cost of medical services that they incur outside Quebec </w:t>
      </w:r>
      <w:r w:rsidR="001B3A7F" w:rsidRPr="00366942">
        <w:rPr>
          <w:lang w:val="en-CA"/>
        </w:rPr>
        <w:t>exceeds the cost of the same services in Quebec</w:t>
      </w:r>
      <w:r w:rsidR="00961A50" w:rsidRPr="00366942">
        <w:rPr>
          <w:lang w:val="en-CA"/>
        </w:rPr>
        <w:t>.</w:t>
      </w:r>
      <w:bookmarkEnd w:id="39"/>
    </w:p>
    <w:p w14:paraId="564D0E69" w14:textId="763F5535" w:rsidR="00961A50" w:rsidRPr="00366942" w:rsidRDefault="009D1412" w:rsidP="00961A50">
      <w:pPr>
        <w:pStyle w:val="Paragraphe"/>
        <w:rPr>
          <w:lang w:val="en-CA"/>
        </w:rPr>
      </w:pPr>
      <w:r w:rsidRPr="00366942">
        <w:rPr>
          <w:lang w:val="en-CA"/>
        </w:rPr>
        <w:t xml:space="preserve">The situation of women </w:t>
      </w:r>
      <w:r w:rsidR="00C12B90" w:rsidRPr="00366942">
        <w:rPr>
          <w:lang w:val="en-CA"/>
        </w:rPr>
        <w:t>with respect to</w:t>
      </w:r>
      <w:r w:rsidRPr="00366942">
        <w:rPr>
          <w:lang w:val="en-CA"/>
        </w:rPr>
        <w:t xml:space="preserve"> s.</w:t>
      </w:r>
      <w:r w:rsidR="00961A50" w:rsidRPr="00366942">
        <w:rPr>
          <w:lang w:val="en-CA"/>
        </w:rPr>
        <w:t xml:space="preserve"> 10</w:t>
      </w:r>
      <w:r w:rsidRPr="00366942">
        <w:rPr>
          <w:lang w:val="en-CA"/>
        </w:rPr>
        <w:t>, para</w:t>
      </w:r>
      <w:r w:rsidR="00961A50" w:rsidRPr="00366942">
        <w:rPr>
          <w:lang w:val="en-CA"/>
        </w:rPr>
        <w:t xml:space="preserve">. 4 </w:t>
      </w:r>
      <w:r w:rsidRPr="00366942">
        <w:rPr>
          <w:i/>
          <w:iCs/>
          <w:lang w:val="en-CA"/>
        </w:rPr>
        <w:t>HIA</w:t>
      </w:r>
      <w:r w:rsidR="00961A50" w:rsidRPr="00366942">
        <w:rPr>
          <w:lang w:val="en-CA"/>
        </w:rPr>
        <w:t xml:space="preserve"> </w:t>
      </w:r>
      <w:r w:rsidRPr="00366942">
        <w:rPr>
          <w:lang w:val="en-CA"/>
        </w:rPr>
        <w:t>is therefore</w:t>
      </w:r>
      <w:r w:rsidR="00C922FF" w:rsidRPr="00366942">
        <w:rPr>
          <w:lang w:val="en-CA"/>
        </w:rPr>
        <w:t xml:space="preserve"> not </w:t>
      </w:r>
      <w:r w:rsidR="004E11D2" w:rsidRPr="00366942">
        <w:rPr>
          <w:lang w:val="en-CA"/>
        </w:rPr>
        <w:t xml:space="preserve">comparable to </w:t>
      </w:r>
      <w:r w:rsidRPr="00366942">
        <w:rPr>
          <w:lang w:val="en-CA"/>
        </w:rPr>
        <w:t xml:space="preserve">that </w:t>
      </w:r>
      <w:r w:rsidR="00C922FF" w:rsidRPr="00366942">
        <w:rPr>
          <w:lang w:val="en-CA"/>
        </w:rPr>
        <w:t xml:space="preserve">which was </w:t>
      </w:r>
      <w:r w:rsidR="004E11D2" w:rsidRPr="00366942">
        <w:rPr>
          <w:lang w:val="en-CA"/>
        </w:rPr>
        <w:t>at</w:t>
      </w:r>
      <w:r w:rsidR="00C922FF" w:rsidRPr="00366942">
        <w:rPr>
          <w:lang w:val="en-CA"/>
        </w:rPr>
        <w:t xml:space="preserve"> issue</w:t>
      </w:r>
      <w:r w:rsidRPr="00366942">
        <w:rPr>
          <w:lang w:val="en-CA"/>
        </w:rPr>
        <w:t>, for instance,</w:t>
      </w:r>
      <w:r w:rsidR="004E11D2" w:rsidRPr="00366942">
        <w:rPr>
          <w:lang w:val="en-CA"/>
        </w:rPr>
        <w:t xml:space="preserve"> in</w:t>
      </w:r>
      <w:r w:rsidRPr="00366942">
        <w:rPr>
          <w:lang w:val="en-CA"/>
        </w:rPr>
        <w:t xml:space="preserve"> </w:t>
      </w:r>
      <w:r w:rsidR="00961A50" w:rsidRPr="00366942">
        <w:rPr>
          <w:i/>
          <w:iCs/>
          <w:lang w:val="en-CA"/>
        </w:rPr>
        <w:t>BCGSEU</w:t>
      </w:r>
      <w:r w:rsidR="00961A50" w:rsidRPr="00366942">
        <w:rPr>
          <w:rStyle w:val="Appelnotedebasdep"/>
          <w:lang w:val="en-CA"/>
        </w:rPr>
        <w:footnoteReference w:id="67"/>
      </w:r>
      <w:r w:rsidR="00961A50" w:rsidRPr="00366942">
        <w:rPr>
          <w:lang w:val="en-CA"/>
        </w:rPr>
        <w:t xml:space="preserve"> </w:t>
      </w:r>
      <w:r w:rsidRPr="00366942">
        <w:rPr>
          <w:lang w:val="en-CA"/>
        </w:rPr>
        <w:t>or</w:t>
      </w:r>
      <w:r w:rsidR="00961A50" w:rsidRPr="00366942">
        <w:rPr>
          <w:lang w:val="en-CA"/>
        </w:rPr>
        <w:t xml:space="preserve"> </w:t>
      </w:r>
      <w:r w:rsidR="00961A50" w:rsidRPr="00366942">
        <w:rPr>
          <w:i/>
          <w:iCs/>
          <w:lang w:val="en-CA"/>
        </w:rPr>
        <w:t xml:space="preserve">Fraser </w:t>
      </w:r>
      <w:r w:rsidRPr="00366942">
        <w:rPr>
          <w:i/>
          <w:iCs/>
          <w:lang w:val="en-CA"/>
        </w:rPr>
        <w:t>v</w:t>
      </w:r>
      <w:r w:rsidR="00961A50" w:rsidRPr="00366942">
        <w:rPr>
          <w:i/>
          <w:iCs/>
          <w:lang w:val="en-CA"/>
        </w:rPr>
        <w:t>. Canada (</w:t>
      </w:r>
      <w:r w:rsidRPr="00366942">
        <w:rPr>
          <w:i/>
          <w:iCs/>
          <w:lang w:val="en-CA"/>
        </w:rPr>
        <w:t>Attorney General</w:t>
      </w:r>
      <w:r w:rsidR="00961A50" w:rsidRPr="00366942">
        <w:rPr>
          <w:i/>
          <w:iCs/>
          <w:lang w:val="en-CA"/>
        </w:rPr>
        <w:t>)</w:t>
      </w:r>
      <w:bookmarkStart w:id="40" w:name="_Ref172657408"/>
      <w:r w:rsidR="00961A50" w:rsidRPr="00366942">
        <w:rPr>
          <w:rStyle w:val="Appelnotedebasdep"/>
          <w:lang w:val="en-CA"/>
        </w:rPr>
        <w:footnoteReference w:id="68"/>
      </w:r>
      <w:bookmarkEnd w:id="40"/>
      <w:r w:rsidR="00961A50" w:rsidRPr="00366942">
        <w:rPr>
          <w:lang w:val="en-CA"/>
        </w:rPr>
        <w:t xml:space="preserve">, </w:t>
      </w:r>
      <w:r w:rsidR="004E11D2" w:rsidRPr="00366942">
        <w:rPr>
          <w:lang w:val="en-CA"/>
        </w:rPr>
        <w:t xml:space="preserve">the archetypical cases on the matter, </w:t>
      </w:r>
      <w:r w:rsidRPr="00366942">
        <w:rPr>
          <w:lang w:val="en-CA"/>
        </w:rPr>
        <w:t>or in</w:t>
      </w:r>
      <w:r w:rsidR="00961A50" w:rsidRPr="00366942">
        <w:rPr>
          <w:lang w:val="en-CA"/>
        </w:rPr>
        <w:t xml:space="preserve"> </w:t>
      </w:r>
      <w:bookmarkStart w:id="41" w:name="_Hlk172655928"/>
      <w:r w:rsidR="00961A50" w:rsidRPr="00366942">
        <w:rPr>
          <w:i/>
          <w:iCs/>
          <w:lang w:val="en-CA"/>
        </w:rPr>
        <w:t>Kanyinda</w:t>
      </w:r>
      <w:bookmarkEnd w:id="41"/>
      <w:r w:rsidRPr="00366942">
        <w:rPr>
          <w:lang w:val="en-CA"/>
        </w:rPr>
        <w:t>.</w:t>
      </w:r>
      <w:r w:rsidR="00961A50" w:rsidRPr="00366942">
        <w:rPr>
          <w:rStyle w:val="Appelnotedebasdep"/>
          <w:lang w:val="en-CA"/>
        </w:rPr>
        <w:footnoteReference w:id="69"/>
      </w:r>
    </w:p>
    <w:p w14:paraId="652EB426" w14:textId="05120E4A" w:rsidR="00961A50" w:rsidRPr="00366942" w:rsidRDefault="00FF208A" w:rsidP="00961A50">
      <w:pPr>
        <w:pStyle w:val="Paragraphe"/>
        <w:rPr>
          <w:lang w:val="en-CA"/>
        </w:rPr>
      </w:pPr>
      <w:r w:rsidRPr="00366942">
        <w:rPr>
          <w:lang w:val="en-CA"/>
        </w:rPr>
        <w:t>In</w:t>
      </w:r>
      <w:r w:rsidR="00961A50" w:rsidRPr="00366942">
        <w:rPr>
          <w:lang w:val="en-CA"/>
        </w:rPr>
        <w:t xml:space="preserve"> </w:t>
      </w:r>
      <w:bookmarkStart w:id="42" w:name="_Hlk172893040"/>
      <w:r w:rsidR="00961A50" w:rsidRPr="00366942">
        <w:rPr>
          <w:i/>
          <w:iCs/>
          <w:lang w:val="en-CA"/>
        </w:rPr>
        <w:t>BCGSEU</w:t>
      </w:r>
      <w:bookmarkEnd w:id="42"/>
      <w:r w:rsidR="00961A50" w:rsidRPr="00366942">
        <w:rPr>
          <w:lang w:val="en-CA"/>
        </w:rPr>
        <w:t xml:space="preserve">, </w:t>
      </w:r>
      <w:r w:rsidRPr="00366942">
        <w:rPr>
          <w:lang w:val="en-CA"/>
        </w:rPr>
        <w:t xml:space="preserve">the provincial government imposed, among other minimum physical requirements, a certain aerobic standard as a hiring condition of any person wishing to </w:t>
      </w:r>
      <w:r w:rsidR="009F5BF5" w:rsidRPr="00366942">
        <w:rPr>
          <w:lang w:val="en-CA"/>
        </w:rPr>
        <w:t>work as a forest firefighter</w:t>
      </w:r>
      <w:r w:rsidR="00961A50" w:rsidRPr="00366942">
        <w:rPr>
          <w:lang w:val="en-CA"/>
        </w:rPr>
        <w:t xml:space="preserve">. </w:t>
      </w:r>
      <w:r w:rsidR="009F5BF5" w:rsidRPr="00366942">
        <w:rPr>
          <w:lang w:val="en-CA"/>
        </w:rPr>
        <w:t>Ostensibly neutral</w:t>
      </w:r>
      <w:r w:rsidR="00961A50" w:rsidRPr="00366942">
        <w:rPr>
          <w:lang w:val="en-CA"/>
        </w:rPr>
        <w:t xml:space="preserve"> (</w:t>
      </w:r>
      <w:r w:rsidR="009F5BF5" w:rsidRPr="00366942">
        <w:rPr>
          <w:lang w:val="en-CA"/>
        </w:rPr>
        <w:t>and moreover enacted in good faith</w:t>
      </w:r>
      <w:r w:rsidR="00961A50" w:rsidRPr="00366942">
        <w:rPr>
          <w:lang w:val="en-CA"/>
        </w:rPr>
        <w:t xml:space="preserve">), </w:t>
      </w:r>
      <w:r w:rsidR="009F5BF5" w:rsidRPr="00366942">
        <w:rPr>
          <w:lang w:val="en-CA"/>
        </w:rPr>
        <w:t>that standard, as the evidence showed, was largely based on male physiology</w:t>
      </w:r>
      <w:r w:rsidR="00961A50" w:rsidRPr="00366942">
        <w:rPr>
          <w:lang w:val="en-CA"/>
        </w:rPr>
        <w:t xml:space="preserve">, </w:t>
      </w:r>
      <w:r w:rsidR="009F5BF5" w:rsidRPr="00366942">
        <w:rPr>
          <w:lang w:val="en-CA"/>
        </w:rPr>
        <w:t xml:space="preserve">which had the </w:t>
      </w:r>
      <w:r w:rsidR="00C12B90" w:rsidRPr="00366942">
        <w:rPr>
          <w:lang w:val="en-CA"/>
        </w:rPr>
        <w:t>practical</w:t>
      </w:r>
      <w:r w:rsidR="009F5BF5" w:rsidRPr="00366942">
        <w:rPr>
          <w:lang w:val="en-CA"/>
        </w:rPr>
        <w:t xml:space="preserve"> effect of excluding most women from that job, the latter </w:t>
      </w:r>
      <w:r w:rsidR="00705B19" w:rsidRPr="00366942">
        <w:rPr>
          <w:lang w:val="en-CA"/>
        </w:rPr>
        <w:t>having a lower aerobic capacity than that of men, regardless of their physical condition</w:t>
      </w:r>
      <w:r w:rsidR="00961A50" w:rsidRPr="00366942">
        <w:rPr>
          <w:lang w:val="en-CA"/>
        </w:rPr>
        <w:t xml:space="preserve">. </w:t>
      </w:r>
      <w:r w:rsidR="00705B19" w:rsidRPr="00366942">
        <w:rPr>
          <w:lang w:val="en-CA"/>
        </w:rPr>
        <w:t>The Supreme Court, per</w:t>
      </w:r>
      <w:r w:rsidR="00961A50" w:rsidRPr="00366942">
        <w:rPr>
          <w:lang w:val="en-CA"/>
        </w:rPr>
        <w:t xml:space="preserve"> McLachlin</w:t>
      </w:r>
      <w:r w:rsidR="00705B19" w:rsidRPr="00366942">
        <w:rPr>
          <w:lang w:val="en-CA"/>
        </w:rPr>
        <w:t>, J.</w:t>
      </w:r>
      <w:r w:rsidR="00961A50" w:rsidRPr="00366942">
        <w:rPr>
          <w:lang w:val="en-CA"/>
        </w:rPr>
        <w:t xml:space="preserve"> (</w:t>
      </w:r>
      <w:r w:rsidR="00705B19" w:rsidRPr="00366942">
        <w:rPr>
          <w:lang w:val="en-CA"/>
        </w:rPr>
        <w:t>as she then was</w:t>
      </w:r>
      <w:r w:rsidR="00961A50" w:rsidRPr="00366942">
        <w:rPr>
          <w:lang w:val="en-CA"/>
        </w:rPr>
        <w:t xml:space="preserve">), </w:t>
      </w:r>
      <w:r w:rsidR="00280787" w:rsidRPr="00366942">
        <w:rPr>
          <w:lang w:val="en-CA"/>
        </w:rPr>
        <w:t>noted</w:t>
      </w:r>
      <w:r w:rsidR="00705B19" w:rsidRPr="00366942">
        <w:rPr>
          <w:lang w:val="en-CA"/>
        </w:rPr>
        <w:t xml:space="preserve"> the adverse nature of the impugned standard, which indirectly established, by its impact, a distinction on the basis of sex and significantly restricted women’s access to a type of </w:t>
      </w:r>
      <w:r w:rsidR="00280787" w:rsidRPr="00366942">
        <w:rPr>
          <w:lang w:val="en-CA"/>
        </w:rPr>
        <w:t>job</w:t>
      </w:r>
      <w:r w:rsidR="00705B19" w:rsidRPr="00366942">
        <w:rPr>
          <w:lang w:val="en-CA"/>
        </w:rPr>
        <w:t>, being a disproportionate restriction compared to men</w:t>
      </w:r>
      <w:r w:rsidR="00961A50" w:rsidRPr="00366942">
        <w:rPr>
          <w:lang w:val="en-CA"/>
        </w:rPr>
        <w:t xml:space="preserve">. </w:t>
      </w:r>
      <w:r w:rsidR="00705B19" w:rsidRPr="00366942">
        <w:rPr>
          <w:lang w:val="en-CA"/>
        </w:rPr>
        <w:t xml:space="preserve">The Supreme Court then considered the issue of whether, despite this, the standard was nevertheless valid as a </w:t>
      </w:r>
      <w:r w:rsidR="00705B19" w:rsidRPr="00366942">
        <w:rPr>
          <w:i/>
          <w:iCs/>
          <w:lang w:val="en-CA"/>
        </w:rPr>
        <w:t>bona fide</w:t>
      </w:r>
      <w:r w:rsidR="00705B19" w:rsidRPr="00366942">
        <w:rPr>
          <w:lang w:val="en-CA"/>
        </w:rPr>
        <w:t xml:space="preserve"> occupational requirement</w:t>
      </w:r>
      <w:r w:rsidR="00961A50" w:rsidRPr="00366942">
        <w:rPr>
          <w:lang w:val="en-CA"/>
        </w:rPr>
        <w:t xml:space="preserve"> (</w:t>
      </w:r>
      <w:r w:rsidR="00705B19" w:rsidRPr="00366942">
        <w:rPr>
          <w:lang w:val="en-CA"/>
        </w:rPr>
        <w:t>she conclude</w:t>
      </w:r>
      <w:r w:rsidR="00280787" w:rsidRPr="00366942">
        <w:rPr>
          <w:lang w:val="en-CA"/>
        </w:rPr>
        <w:t>d that it was not</w:t>
      </w:r>
      <w:r w:rsidR="00961A50" w:rsidRPr="00366942">
        <w:rPr>
          <w:lang w:val="en-CA"/>
        </w:rPr>
        <w:t xml:space="preserve">), </w:t>
      </w:r>
      <w:r w:rsidR="00705B19" w:rsidRPr="00366942">
        <w:rPr>
          <w:lang w:val="en-CA"/>
        </w:rPr>
        <w:t>a matter that is not relevant here</w:t>
      </w:r>
      <w:r w:rsidR="00961A50" w:rsidRPr="00366942">
        <w:rPr>
          <w:lang w:val="en-CA"/>
        </w:rPr>
        <w:t>.</w:t>
      </w:r>
    </w:p>
    <w:p w14:paraId="4BC2061F" w14:textId="7AC72408" w:rsidR="00961A50" w:rsidRPr="00366942" w:rsidRDefault="00961A50" w:rsidP="00961A50">
      <w:pPr>
        <w:pStyle w:val="Paragraphe"/>
        <w:rPr>
          <w:lang w:val="en-CA"/>
        </w:rPr>
      </w:pPr>
      <w:r w:rsidRPr="00366942">
        <w:rPr>
          <w:i/>
          <w:iCs/>
          <w:lang w:val="en-CA"/>
        </w:rPr>
        <w:t>Fraser</w:t>
      </w:r>
      <w:r w:rsidR="00F129CA" w:rsidRPr="00366942">
        <w:rPr>
          <w:lang w:val="en-CA"/>
        </w:rPr>
        <w:t xml:space="preserve"> involved</w:t>
      </w:r>
      <w:r w:rsidR="007455FB" w:rsidRPr="00366942">
        <w:rPr>
          <w:lang w:val="en-CA"/>
        </w:rPr>
        <w:t xml:space="preserve"> a</w:t>
      </w:r>
      <w:r w:rsidRPr="00366942">
        <w:rPr>
          <w:lang w:val="en-CA"/>
        </w:rPr>
        <w:t xml:space="preserve"> </w:t>
      </w:r>
      <w:r w:rsidR="00E13E38" w:rsidRPr="00366942">
        <w:rPr>
          <w:lang w:val="en-CA"/>
        </w:rPr>
        <w:t>job-sharing program</w:t>
      </w:r>
      <w:r w:rsidRPr="00366942">
        <w:rPr>
          <w:lang w:val="en-CA"/>
        </w:rPr>
        <w:t xml:space="preserve"> </w:t>
      </w:r>
      <w:r w:rsidR="00E13E38" w:rsidRPr="00366942">
        <w:rPr>
          <w:lang w:val="en-CA"/>
        </w:rPr>
        <w:t>introduced by the RCMP</w:t>
      </w:r>
      <w:r w:rsidRPr="00366942">
        <w:rPr>
          <w:lang w:val="en-CA"/>
        </w:rPr>
        <w:t xml:space="preserve">, </w:t>
      </w:r>
      <w:r w:rsidR="0031218F" w:rsidRPr="00366942">
        <w:rPr>
          <w:lang w:val="en-CA"/>
        </w:rPr>
        <w:t>a</w:t>
      </w:r>
      <w:r w:rsidR="007455FB" w:rsidRPr="00366942">
        <w:rPr>
          <w:lang w:val="en-CA"/>
        </w:rPr>
        <w:t xml:space="preserve"> </w:t>
      </w:r>
      <w:r w:rsidRPr="00366942">
        <w:rPr>
          <w:lang w:val="en-CA"/>
        </w:rPr>
        <w:t>program</w:t>
      </w:r>
      <w:r w:rsidR="00D638B8" w:rsidRPr="00366942">
        <w:rPr>
          <w:lang w:val="en-CA"/>
        </w:rPr>
        <w:t xml:space="preserve"> </w:t>
      </w:r>
      <w:r w:rsidR="0031218F" w:rsidRPr="00366942">
        <w:rPr>
          <w:lang w:val="en-CA"/>
        </w:rPr>
        <w:t>primarily used by</w:t>
      </w:r>
      <w:r w:rsidR="00D638B8" w:rsidRPr="00366942">
        <w:rPr>
          <w:lang w:val="en-CA"/>
        </w:rPr>
        <w:t xml:space="preserve"> women with children,</w:t>
      </w:r>
      <w:r w:rsidR="0031218F" w:rsidRPr="00366942">
        <w:rPr>
          <w:lang w:val="en-CA"/>
        </w:rPr>
        <w:t xml:space="preserve"> and</w:t>
      </w:r>
      <w:r w:rsidR="00D638B8" w:rsidRPr="00366942">
        <w:rPr>
          <w:lang w:val="en-CA"/>
        </w:rPr>
        <w:t xml:space="preserve"> who </w:t>
      </w:r>
      <w:r w:rsidR="00461BE5" w:rsidRPr="00366942">
        <w:rPr>
          <w:lang w:val="en-CA"/>
        </w:rPr>
        <w:t>thus find themselves working</w:t>
      </w:r>
      <w:r w:rsidR="00D638B8" w:rsidRPr="00366942">
        <w:rPr>
          <w:lang w:val="en-CA"/>
        </w:rPr>
        <w:t xml:space="preserve"> part-time</w:t>
      </w:r>
      <w:r w:rsidR="00461BE5" w:rsidRPr="00366942">
        <w:rPr>
          <w:lang w:val="en-CA"/>
        </w:rPr>
        <w:t xml:space="preserve"> as a result</w:t>
      </w:r>
      <w:r w:rsidRPr="00366942">
        <w:rPr>
          <w:lang w:val="en-CA"/>
        </w:rPr>
        <w:t xml:space="preserve">. </w:t>
      </w:r>
      <w:r w:rsidR="00D638B8" w:rsidRPr="00366942">
        <w:rPr>
          <w:lang w:val="en-CA"/>
        </w:rPr>
        <w:t>Under the statute and regulations applicable to the RCMP member</w:t>
      </w:r>
      <w:r w:rsidR="00F129CA" w:rsidRPr="00366942">
        <w:rPr>
          <w:lang w:val="en-CA"/>
        </w:rPr>
        <w:t>s’</w:t>
      </w:r>
      <w:r w:rsidR="00D638B8" w:rsidRPr="00366942">
        <w:rPr>
          <w:lang w:val="en-CA"/>
        </w:rPr>
        <w:t xml:space="preserve"> retirement plan, </w:t>
      </w:r>
      <w:r w:rsidR="00800B82" w:rsidRPr="00366942">
        <w:rPr>
          <w:lang w:val="en-CA"/>
        </w:rPr>
        <w:t xml:space="preserve">periods of </w:t>
      </w:r>
      <w:r w:rsidR="00D638B8" w:rsidRPr="00366942">
        <w:rPr>
          <w:lang w:val="en-CA"/>
        </w:rPr>
        <w:t xml:space="preserve">leave </w:t>
      </w:r>
      <w:r w:rsidR="00800B82" w:rsidRPr="00366942">
        <w:rPr>
          <w:lang w:val="en-CA"/>
        </w:rPr>
        <w:t xml:space="preserve">(leave without pay, for example) </w:t>
      </w:r>
      <w:r w:rsidR="00D638B8" w:rsidRPr="00366942">
        <w:rPr>
          <w:lang w:val="en-CA"/>
        </w:rPr>
        <w:t xml:space="preserve">could generally be </w:t>
      </w:r>
      <w:r w:rsidR="00D638B8" w:rsidRPr="00366942">
        <w:rPr>
          <w:lang w:val="en-CA"/>
        </w:rPr>
        <w:lastRenderedPageBreak/>
        <w:t>“bought back”</w:t>
      </w:r>
      <w:r w:rsidRPr="00366942">
        <w:rPr>
          <w:lang w:val="en-CA"/>
        </w:rPr>
        <w:t xml:space="preserve"> </w:t>
      </w:r>
      <w:r w:rsidR="00D638B8" w:rsidRPr="00366942">
        <w:rPr>
          <w:lang w:val="en-CA"/>
        </w:rPr>
        <w:t xml:space="preserve">in order to increase pension benefits that would otherwise have been reduced, </w:t>
      </w:r>
      <w:r w:rsidR="00461BE5" w:rsidRPr="00366942">
        <w:rPr>
          <w:lang w:val="en-CA"/>
        </w:rPr>
        <w:t>an advantage</w:t>
      </w:r>
      <w:r w:rsidR="00D638B8" w:rsidRPr="00366942">
        <w:rPr>
          <w:lang w:val="en-CA"/>
        </w:rPr>
        <w:t xml:space="preserve"> that was </w:t>
      </w:r>
      <w:r w:rsidR="00B107B1" w:rsidRPr="00366942">
        <w:rPr>
          <w:lang w:val="en-CA"/>
        </w:rPr>
        <w:t xml:space="preserve">only </w:t>
      </w:r>
      <w:r w:rsidR="00461BE5" w:rsidRPr="00366942">
        <w:rPr>
          <w:lang w:val="en-CA"/>
        </w:rPr>
        <w:t>available</w:t>
      </w:r>
      <w:r w:rsidR="00B107B1" w:rsidRPr="00366942">
        <w:rPr>
          <w:lang w:val="en-CA"/>
        </w:rPr>
        <w:t xml:space="preserve"> however to members who worked full</w:t>
      </w:r>
      <w:r w:rsidR="00DA38B5" w:rsidRPr="00366942">
        <w:rPr>
          <w:lang w:val="en-CA"/>
        </w:rPr>
        <w:noBreakHyphen/>
      </w:r>
      <w:r w:rsidR="00B107B1" w:rsidRPr="00366942">
        <w:rPr>
          <w:lang w:val="en-CA"/>
        </w:rPr>
        <w:t xml:space="preserve">time, and that was thus </w:t>
      </w:r>
      <w:r w:rsidR="00F129CA" w:rsidRPr="00366942">
        <w:rPr>
          <w:lang w:val="en-CA"/>
        </w:rPr>
        <w:t>un</w:t>
      </w:r>
      <w:r w:rsidR="00B107B1" w:rsidRPr="00366942">
        <w:rPr>
          <w:lang w:val="en-CA"/>
        </w:rPr>
        <w:t xml:space="preserve">available to members who </w:t>
      </w:r>
      <w:r w:rsidR="0031218F" w:rsidRPr="00366942">
        <w:rPr>
          <w:lang w:val="en-CA"/>
        </w:rPr>
        <w:t>took part</w:t>
      </w:r>
      <w:r w:rsidR="00B107B1" w:rsidRPr="00366942">
        <w:rPr>
          <w:lang w:val="en-CA"/>
        </w:rPr>
        <w:t xml:space="preserve"> in the job-sharing program</w:t>
      </w:r>
      <w:r w:rsidRPr="00366942">
        <w:rPr>
          <w:lang w:val="en-CA"/>
        </w:rPr>
        <w:t xml:space="preserve">. </w:t>
      </w:r>
      <w:r w:rsidR="0031218F" w:rsidRPr="00366942">
        <w:rPr>
          <w:lang w:val="en-CA"/>
        </w:rPr>
        <w:t>Essentially</w:t>
      </w:r>
      <w:r w:rsidR="00B107B1" w:rsidRPr="00366942">
        <w:rPr>
          <w:lang w:val="en-CA"/>
        </w:rPr>
        <w:t>, that had a disproportionate impact on women by denying those who chose work-sharing</w:t>
      </w:r>
      <w:r w:rsidR="0031218F" w:rsidRPr="00366942">
        <w:rPr>
          <w:lang w:val="en-CA"/>
        </w:rPr>
        <w:t xml:space="preserve"> of </w:t>
      </w:r>
      <w:r w:rsidR="00C12B90" w:rsidRPr="00366942">
        <w:rPr>
          <w:lang w:val="en-CA"/>
        </w:rPr>
        <w:t>a</w:t>
      </w:r>
      <w:r w:rsidR="00B107B1" w:rsidRPr="00366942">
        <w:rPr>
          <w:lang w:val="en-CA"/>
        </w:rPr>
        <w:t xml:space="preserve"> </w:t>
      </w:r>
      <w:r w:rsidR="00C12B90" w:rsidRPr="00366942">
        <w:rPr>
          <w:lang w:val="en-CA"/>
        </w:rPr>
        <w:t>benefit</w:t>
      </w:r>
      <w:r w:rsidR="00B107B1" w:rsidRPr="00366942">
        <w:rPr>
          <w:lang w:val="en-CA"/>
        </w:rPr>
        <w:t xml:space="preserve"> enjoyed by other members of the RCMP</w:t>
      </w:r>
      <w:r w:rsidRPr="00366942">
        <w:rPr>
          <w:lang w:val="en-CA"/>
        </w:rPr>
        <w:t>. Abella,</w:t>
      </w:r>
      <w:r w:rsidR="00B107B1" w:rsidRPr="00366942">
        <w:rPr>
          <w:lang w:val="en-CA"/>
        </w:rPr>
        <w:t xml:space="preserve"> J. for the majority</w:t>
      </w:r>
      <w:r w:rsidRPr="00366942">
        <w:rPr>
          <w:lang w:val="en-CA"/>
        </w:rPr>
        <w:t xml:space="preserve">, </w:t>
      </w:r>
      <w:r w:rsidR="00B107B1" w:rsidRPr="00366942">
        <w:rPr>
          <w:lang w:val="en-CA"/>
        </w:rPr>
        <w:t>found that there existed a distinction based on sex, women being less well treated than men</w:t>
      </w:r>
      <w:r w:rsidR="007455FB" w:rsidRPr="00366942">
        <w:rPr>
          <w:lang w:val="en-CA"/>
        </w:rPr>
        <w:t xml:space="preserve"> in terms of retirement</w:t>
      </w:r>
      <w:r w:rsidRPr="00366942">
        <w:rPr>
          <w:lang w:val="en-CA"/>
        </w:rPr>
        <w:t>:</w:t>
      </w:r>
    </w:p>
    <w:p w14:paraId="6D71B7D0" w14:textId="65CAE3EF" w:rsidR="00961A50" w:rsidRPr="00366942" w:rsidRDefault="00961A50" w:rsidP="00961A50">
      <w:pPr>
        <w:pStyle w:val="Citationenretrait"/>
        <w:rPr>
          <w:lang w:val="en-CA"/>
        </w:rPr>
      </w:pPr>
      <w:r w:rsidRPr="00366942">
        <w:rPr>
          <w:lang w:val="en-CA"/>
        </w:rPr>
        <w:t>[97]</w:t>
      </w:r>
      <w:r w:rsidRPr="00366942">
        <w:rPr>
          <w:lang w:val="en-CA"/>
        </w:rPr>
        <w:tab/>
      </w:r>
      <w:r w:rsidR="0031218F" w:rsidRPr="00366942">
        <w:rPr>
          <w:lang w:val="en-CA"/>
        </w:rPr>
        <w:t>In my respectful view, the use of an RCMP member’s temporary reduction in working hours as a basis to impose less favourable pension consequences plainly has a disproportionate impact on women. The relevant evidence — the results of the system — showed that</w:t>
      </w:r>
      <w:r w:rsidRPr="00366942">
        <w:rPr>
          <w:lang w:val="en-CA"/>
        </w:rPr>
        <w:t>:</w:t>
      </w:r>
    </w:p>
    <w:p w14:paraId="3EA59DA0" w14:textId="246B0082" w:rsidR="00961A50" w:rsidRPr="00366942" w:rsidRDefault="0031218F" w:rsidP="00BB7C98">
      <w:pPr>
        <w:pStyle w:val="Citationenretrait"/>
        <w:numPr>
          <w:ilvl w:val="1"/>
          <w:numId w:val="22"/>
        </w:numPr>
        <w:tabs>
          <w:tab w:val="left" w:pos="1080"/>
        </w:tabs>
        <w:spacing w:before="0"/>
        <w:ind w:left="1800"/>
        <w:rPr>
          <w:lang w:val="en-CA"/>
        </w:rPr>
      </w:pPr>
      <w:r w:rsidRPr="00366942">
        <w:rPr>
          <w:lang w:val="en-CA"/>
        </w:rPr>
        <w:t>RCMP members who worked reduced hours in the job</w:t>
      </w:r>
      <w:r w:rsidRPr="00366942">
        <w:rPr>
          <w:rFonts w:ascii="Cambria Math" w:hAnsi="Cambria Math" w:cs="Cambria Math"/>
          <w:lang w:val="en-CA"/>
        </w:rPr>
        <w:t>‑</w:t>
      </w:r>
      <w:r w:rsidRPr="00366942">
        <w:rPr>
          <w:lang w:val="en-CA"/>
        </w:rPr>
        <w:t>sharing program were predominantly women with young children</w:t>
      </w:r>
      <w:r w:rsidR="00961A50" w:rsidRPr="00366942">
        <w:rPr>
          <w:lang w:val="en-CA"/>
        </w:rPr>
        <w:t>.</w:t>
      </w:r>
    </w:p>
    <w:p w14:paraId="729CCEBA" w14:textId="108FD1FE" w:rsidR="00961A50" w:rsidRPr="00366942" w:rsidRDefault="0031218F" w:rsidP="00BB7C98">
      <w:pPr>
        <w:pStyle w:val="Citationenretrait"/>
        <w:numPr>
          <w:ilvl w:val="0"/>
          <w:numId w:val="21"/>
        </w:numPr>
        <w:tabs>
          <w:tab w:val="left" w:pos="1080"/>
        </w:tabs>
        <w:spacing w:before="0"/>
        <w:rPr>
          <w:lang w:val="en-CA"/>
        </w:rPr>
      </w:pPr>
      <w:r w:rsidRPr="00366942">
        <w:rPr>
          <w:lang w:val="en-CA"/>
        </w:rPr>
        <w:t>From 2010</w:t>
      </w:r>
      <w:r w:rsidRPr="00366942">
        <w:rPr>
          <w:rFonts w:ascii="Cambria Math" w:hAnsi="Cambria Math" w:cs="Cambria Math"/>
          <w:lang w:val="en-CA"/>
        </w:rPr>
        <w:t>‑</w:t>
      </w:r>
      <w:r w:rsidRPr="00366942">
        <w:rPr>
          <w:lang w:val="en-CA"/>
        </w:rPr>
        <w:t>2014, 100 percent of members working reduced hours through job</w:t>
      </w:r>
      <w:r w:rsidRPr="00366942">
        <w:rPr>
          <w:rFonts w:ascii="Cambria Math" w:hAnsi="Cambria Math" w:cs="Cambria Math"/>
          <w:lang w:val="en-CA"/>
        </w:rPr>
        <w:t>‑</w:t>
      </w:r>
      <w:r w:rsidRPr="00366942">
        <w:rPr>
          <w:lang w:val="en-CA"/>
        </w:rPr>
        <w:t>sharing were women, and most of them cited childcare as their reason for doing so</w:t>
      </w:r>
      <w:r w:rsidR="00961A50" w:rsidRPr="00366942">
        <w:rPr>
          <w:lang w:val="en-CA"/>
        </w:rPr>
        <w:t>.</w:t>
      </w:r>
    </w:p>
    <w:p w14:paraId="04B399FA" w14:textId="5FBBCE5D" w:rsidR="00961A50" w:rsidRPr="00366942" w:rsidRDefault="00961A50" w:rsidP="00961A50">
      <w:pPr>
        <w:pStyle w:val="Citationenretrait"/>
        <w:rPr>
          <w:lang w:val="en-CA"/>
        </w:rPr>
      </w:pPr>
      <w:r w:rsidRPr="00366942">
        <w:rPr>
          <w:lang w:val="en-CA"/>
        </w:rPr>
        <w:t>[98]</w:t>
      </w:r>
      <w:r w:rsidRPr="00366942">
        <w:rPr>
          <w:lang w:val="en-CA"/>
        </w:rPr>
        <w:tab/>
      </w:r>
      <w:r w:rsidR="0031218F" w:rsidRPr="00366942">
        <w:rPr>
          <w:lang w:val="en-CA"/>
        </w:rPr>
        <w:t>These statistics were bolstered by compelling evidence about the disadvantages women face as a group in balancing professional and domestic work. Evidence submitted by Ms. Fraser indicated that women have historically borne the overwhelming share of childcare responsibilities, that part</w:t>
      </w:r>
      <w:r w:rsidR="0031218F" w:rsidRPr="00366942">
        <w:rPr>
          <w:rFonts w:ascii="Cambria Math" w:hAnsi="Cambria Math" w:cs="Cambria Math"/>
          <w:lang w:val="en-CA"/>
        </w:rPr>
        <w:t>‑</w:t>
      </w:r>
      <w:r w:rsidR="0031218F" w:rsidRPr="00366942">
        <w:rPr>
          <w:lang w:val="en-CA"/>
        </w:rPr>
        <w:t>time workers in Canada are disproportionately women, and that they are far more likely than men to work part</w:t>
      </w:r>
      <w:r w:rsidR="0031218F" w:rsidRPr="00366942">
        <w:rPr>
          <w:rFonts w:ascii="Cambria Math" w:hAnsi="Cambria Math" w:cs="Cambria Math"/>
          <w:lang w:val="en-CA"/>
        </w:rPr>
        <w:t>‑</w:t>
      </w:r>
      <w:r w:rsidR="0031218F" w:rsidRPr="00366942">
        <w:rPr>
          <w:lang w:val="en-CA"/>
        </w:rPr>
        <w:t xml:space="preserve">time due to child care responsibilities. As a result, they experience less stable employment and periods of </w:t>
      </w:r>
      <w:r w:rsidR="0031218F" w:rsidRPr="00366942">
        <w:rPr>
          <w:rFonts w:cs="Arial"/>
          <w:lang w:val="en-CA"/>
        </w:rPr>
        <w:t>“</w:t>
      </w:r>
      <w:r w:rsidR="0031218F" w:rsidRPr="00366942">
        <w:rPr>
          <w:lang w:val="en-CA"/>
        </w:rPr>
        <w:t>scaling back at work</w:t>
      </w:r>
      <w:r w:rsidR="0031218F" w:rsidRPr="00366942">
        <w:rPr>
          <w:rFonts w:cs="Arial"/>
          <w:lang w:val="en-CA"/>
        </w:rPr>
        <w:t>”</w:t>
      </w:r>
      <w:r w:rsidR="0031218F" w:rsidRPr="00366942">
        <w:rPr>
          <w:lang w:val="en-CA"/>
        </w:rPr>
        <w:t>, including within police services</w:t>
      </w:r>
      <w:r w:rsidRPr="00366942">
        <w:rPr>
          <w:lang w:val="en-CA"/>
        </w:rPr>
        <w:t>.</w:t>
      </w:r>
    </w:p>
    <w:p w14:paraId="7926CE94" w14:textId="77777777" w:rsidR="00961A50" w:rsidRPr="00366942" w:rsidRDefault="00961A50" w:rsidP="00961A50">
      <w:pPr>
        <w:pStyle w:val="Citationenretrait"/>
        <w:rPr>
          <w:lang w:val="en-CA"/>
        </w:rPr>
      </w:pPr>
      <w:r w:rsidRPr="00366942">
        <w:rPr>
          <w:lang w:val="en-CA"/>
        </w:rPr>
        <w:t>[…]</w:t>
      </w:r>
    </w:p>
    <w:p w14:paraId="60CFFDE6" w14:textId="10DAAB26" w:rsidR="00961A50" w:rsidRPr="00366942" w:rsidRDefault="00961A50" w:rsidP="00961A50">
      <w:pPr>
        <w:pStyle w:val="Citationenretrait"/>
        <w:rPr>
          <w:lang w:val="en-CA"/>
        </w:rPr>
      </w:pPr>
      <w:r w:rsidRPr="00366942">
        <w:rPr>
          <w:lang w:val="en-CA"/>
        </w:rPr>
        <w:t>[106]</w:t>
      </w:r>
      <w:r w:rsidRPr="00366942">
        <w:rPr>
          <w:lang w:val="en-CA"/>
        </w:rPr>
        <w:tab/>
      </w:r>
      <w:r w:rsidR="0031218F" w:rsidRPr="00366942">
        <w:rPr>
          <w:lang w:val="en-CA"/>
        </w:rPr>
        <w:t>All of these sources — and more — show the clear association between gender and fewer or less stable working hours. They provide powerful support for Ms. Fraser’s core argument: that the RCMP’s use of a temporary reduction in working hours as a basis for imposing less favourable pension consequences has an adverse impact on women. The first part of the s. 15(1) test has therefore been met</w:t>
      </w:r>
      <w:r w:rsidRPr="00366942">
        <w:rPr>
          <w:lang w:val="en-CA"/>
        </w:rPr>
        <w:t>.</w:t>
      </w:r>
    </w:p>
    <w:p w14:paraId="264C3D65" w14:textId="1E76CB34" w:rsidR="00961A50" w:rsidRPr="00366942" w:rsidRDefault="00C44CB7" w:rsidP="00961A50">
      <w:pPr>
        <w:pStyle w:val="Paragraphe"/>
        <w:rPr>
          <w:lang w:val="en-CA"/>
        </w:rPr>
      </w:pPr>
      <w:r w:rsidRPr="00366942">
        <w:rPr>
          <w:lang w:val="en-CA"/>
        </w:rPr>
        <w:t>Lastly, in</w:t>
      </w:r>
      <w:r w:rsidR="00961A50" w:rsidRPr="00366942">
        <w:rPr>
          <w:lang w:val="en-CA"/>
        </w:rPr>
        <w:t xml:space="preserve"> </w:t>
      </w:r>
      <w:r w:rsidR="00961A50" w:rsidRPr="00366942">
        <w:rPr>
          <w:i/>
          <w:iCs/>
          <w:lang w:val="en-CA"/>
        </w:rPr>
        <w:t>Kanyinda</w:t>
      </w:r>
      <w:r w:rsidR="00961A50" w:rsidRPr="00366942">
        <w:rPr>
          <w:lang w:val="en-CA"/>
        </w:rPr>
        <w:t xml:space="preserve">, </w:t>
      </w:r>
      <w:r w:rsidRPr="00366942">
        <w:rPr>
          <w:lang w:val="en-CA"/>
        </w:rPr>
        <w:t xml:space="preserve">the Court of Appeal </w:t>
      </w:r>
      <w:r w:rsidR="002E3468" w:rsidRPr="00366942">
        <w:rPr>
          <w:lang w:val="en-CA"/>
        </w:rPr>
        <w:t>considered</w:t>
      </w:r>
      <w:r w:rsidRPr="00366942">
        <w:rPr>
          <w:lang w:val="en-CA"/>
        </w:rPr>
        <w:t xml:space="preserve"> the validity of a regulatory provision applied in </w:t>
      </w:r>
      <w:r w:rsidR="00D93F82" w:rsidRPr="00366942">
        <w:rPr>
          <w:lang w:val="en-CA"/>
        </w:rPr>
        <w:t xml:space="preserve">such </w:t>
      </w:r>
      <w:r w:rsidRPr="00366942">
        <w:rPr>
          <w:lang w:val="en-CA"/>
        </w:rPr>
        <w:t xml:space="preserve">a way that </w:t>
      </w:r>
      <w:r w:rsidR="00D93F82" w:rsidRPr="00366942">
        <w:rPr>
          <w:lang w:val="en-CA"/>
        </w:rPr>
        <w:t xml:space="preserve">refugee claimant </w:t>
      </w:r>
      <w:r w:rsidRPr="00366942">
        <w:rPr>
          <w:lang w:val="en-CA"/>
        </w:rPr>
        <w:t xml:space="preserve">parents </w:t>
      </w:r>
      <w:r w:rsidR="00D93F82" w:rsidRPr="00366942">
        <w:rPr>
          <w:lang w:val="en-CA"/>
        </w:rPr>
        <w:t>awaiting</w:t>
      </w:r>
      <w:r w:rsidRPr="00366942">
        <w:rPr>
          <w:lang w:val="en-CA"/>
        </w:rPr>
        <w:t xml:space="preserve"> acknowledgment of their </w:t>
      </w:r>
      <w:r w:rsidR="00D93F82" w:rsidRPr="00366942">
        <w:rPr>
          <w:lang w:val="en-CA"/>
        </w:rPr>
        <w:t xml:space="preserve">refugee </w:t>
      </w:r>
      <w:r w:rsidRPr="00366942">
        <w:rPr>
          <w:lang w:val="en-CA"/>
        </w:rPr>
        <w:t>status c</w:t>
      </w:r>
      <w:r w:rsidR="00AB2B6C" w:rsidRPr="00366942">
        <w:rPr>
          <w:lang w:val="en-CA"/>
        </w:rPr>
        <w:t xml:space="preserve">ould </w:t>
      </w:r>
      <w:r w:rsidRPr="00366942">
        <w:rPr>
          <w:lang w:val="en-CA"/>
        </w:rPr>
        <w:t>not</w:t>
      </w:r>
      <w:r w:rsidR="00D93F82" w:rsidRPr="00366942">
        <w:rPr>
          <w:lang w:val="en-CA"/>
        </w:rPr>
        <w:t xml:space="preserve"> </w:t>
      </w:r>
      <w:r w:rsidRPr="00366942">
        <w:rPr>
          <w:lang w:val="en-CA"/>
        </w:rPr>
        <w:t xml:space="preserve">access subsidised </w:t>
      </w:r>
      <w:r w:rsidR="00BF7542" w:rsidRPr="00366942">
        <w:rPr>
          <w:lang w:val="en-CA"/>
        </w:rPr>
        <w:t>childcare</w:t>
      </w:r>
      <w:r w:rsidR="00D93F82" w:rsidRPr="00366942">
        <w:rPr>
          <w:lang w:val="en-CA"/>
        </w:rPr>
        <w:t xml:space="preserve"> centres</w:t>
      </w:r>
      <w:r w:rsidRPr="00366942">
        <w:rPr>
          <w:lang w:val="en-CA"/>
        </w:rPr>
        <w:t xml:space="preserve"> in Quebec (nor even their waiting lists</w:t>
      </w:r>
      <w:r w:rsidR="00D93F82" w:rsidRPr="00366942">
        <w:rPr>
          <w:lang w:val="en-CA"/>
        </w:rPr>
        <w:t>) even if they held a work permit</w:t>
      </w:r>
      <w:r w:rsidR="00961A50" w:rsidRPr="00366942">
        <w:rPr>
          <w:lang w:val="en-CA"/>
        </w:rPr>
        <w:t xml:space="preserve">. </w:t>
      </w:r>
      <w:r w:rsidRPr="00366942">
        <w:rPr>
          <w:lang w:val="en-CA"/>
        </w:rPr>
        <w:t>In the Court’s opinion</w:t>
      </w:r>
      <w:r w:rsidR="00961A50" w:rsidRPr="00366942">
        <w:rPr>
          <w:lang w:val="en-CA"/>
        </w:rPr>
        <w:t xml:space="preserve">, </w:t>
      </w:r>
      <w:r w:rsidRPr="00366942">
        <w:rPr>
          <w:lang w:val="en-CA"/>
        </w:rPr>
        <w:t>the regulation was [</w:t>
      </w:r>
      <w:r w:rsidRPr="00366942">
        <w:rPr>
          <w:smallCaps/>
          <w:lang w:val="en-CA"/>
        </w:rPr>
        <w:t>translation</w:t>
      </w:r>
      <w:r w:rsidRPr="00366942">
        <w:rPr>
          <w:lang w:val="en-CA"/>
        </w:rPr>
        <w:t>]</w:t>
      </w:r>
      <w:r w:rsidR="00961A50" w:rsidRPr="00366942">
        <w:rPr>
          <w:lang w:val="en-CA"/>
        </w:rPr>
        <w:t xml:space="preserve"> </w:t>
      </w:r>
      <w:r w:rsidRPr="00366942">
        <w:rPr>
          <w:lang w:val="en-CA"/>
        </w:rPr>
        <w:t>“</w:t>
      </w:r>
      <w:r w:rsidR="00AB2B6C" w:rsidRPr="00366942">
        <w:rPr>
          <w:lang w:val="en-CA"/>
        </w:rPr>
        <w:t>facially</w:t>
      </w:r>
      <w:r w:rsidRPr="00366942">
        <w:rPr>
          <w:lang w:val="en-CA"/>
        </w:rPr>
        <w:t xml:space="preserve"> </w:t>
      </w:r>
      <w:r w:rsidR="0018126F" w:rsidRPr="00366942">
        <w:rPr>
          <w:lang w:val="en-CA"/>
        </w:rPr>
        <w:t>neutral</w:t>
      </w:r>
      <w:r w:rsidRPr="00366942">
        <w:rPr>
          <w:lang w:val="en-CA"/>
        </w:rPr>
        <w:t xml:space="preserve">, </w:t>
      </w:r>
      <w:r w:rsidR="0018126F" w:rsidRPr="00366942">
        <w:rPr>
          <w:lang w:val="en-CA"/>
        </w:rPr>
        <w:t>because parents are either men or women.”</w:t>
      </w:r>
      <w:r w:rsidR="00961A50" w:rsidRPr="00366942">
        <w:rPr>
          <w:rStyle w:val="Appelnotedebasdep"/>
          <w:lang w:val="en-CA"/>
        </w:rPr>
        <w:footnoteReference w:id="70"/>
      </w:r>
      <w:r w:rsidR="0018126F" w:rsidRPr="00366942">
        <w:rPr>
          <w:lang w:val="en-CA"/>
        </w:rPr>
        <w:t xml:space="preserve"> </w:t>
      </w:r>
      <w:r w:rsidR="00961A50" w:rsidRPr="00366942">
        <w:rPr>
          <w:lang w:val="en-CA"/>
        </w:rPr>
        <w:t xml:space="preserve"> </w:t>
      </w:r>
      <w:r w:rsidR="0018126F" w:rsidRPr="00366942">
        <w:rPr>
          <w:lang w:val="en-CA"/>
        </w:rPr>
        <w:t xml:space="preserve">However, its impact </w:t>
      </w:r>
      <w:r w:rsidR="00590F25" w:rsidRPr="00366942">
        <w:rPr>
          <w:lang w:val="en-CA"/>
        </w:rPr>
        <w:t>wa</w:t>
      </w:r>
      <w:r w:rsidR="0018126F" w:rsidRPr="00366942">
        <w:rPr>
          <w:lang w:val="en-CA"/>
        </w:rPr>
        <w:t>s not and, as the Court noted, [</w:t>
      </w:r>
      <w:r w:rsidR="0018126F" w:rsidRPr="00366942">
        <w:rPr>
          <w:smallCaps/>
          <w:lang w:val="en-CA"/>
        </w:rPr>
        <w:t>translation</w:t>
      </w:r>
      <w:r w:rsidR="0018126F" w:rsidRPr="00366942">
        <w:rPr>
          <w:lang w:val="en-CA"/>
        </w:rPr>
        <w:t>]</w:t>
      </w:r>
      <w:r w:rsidR="00961A50" w:rsidRPr="00366942">
        <w:rPr>
          <w:lang w:val="en-CA"/>
        </w:rPr>
        <w:t xml:space="preserve">, </w:t>
      </w:r>
      <w:r w:rsidR="0018126F" w:rsidRPr="00366942">
        <w:rPr>
          <w:lang w:val="en-CA"/>
        </w:rPr>
        <w:t xml:space="preserve">“by excluding </w:t>
      </w:r>
      <w:r w:rsidR="00D93F82" w:rsidRPr="00366942">
        <w:rPr>
          <w:lang w:val="en-CA"/>
        </w:rPr>
        <w:t>refugee</w:t>
      </w:r>
      <w:r w:rsidR="0018126F" w:rsidRPr="00366942">
        <w:rPr>
          <w:lang w:val="en-CA"/>
        </w:rPr>
        <w:t xml:space="preserve"> claim</w:t>
      </w:r>
      <w:r w:rsidR="00D93F82" w:rsidRPr="00366942">
        <w:rPr>
          <w:lang w:val="en-CA"/>
        </w:rPr>
        <w:t>ant</w:t>
      </w:r>
      <w:r w:rsidR="0018126F" w:rsidRPr="00366942">
        <w:rPr>
          <w:lang w:val="en-CA"/>
        </w:rPr>
        <w:t xml:space="preserve">s, there is a disproportionate adverse impact on </w:t>
      </w:r>
      <w:r w:rsidR="00D93F82" w:rsidRPr="00366942">
        <w:rPr>
          <w:lang w:val="en-CA"/>
        </w:rPr>
        <w:t>female</w:t>
      </w:r>
      <w:r w:rsidR="0018126F" w:rsidRPr="00366942">
        <w:rPr>
          <w:lang w:val="en-CA"/>
        </w:rPr>
        <w:t xml:space="preserve"> refugee </w:t>
      </w:r>
      <w:r w:rsidR="00D93F82" w:rsidRPr="00366942">
        <w:rPr>
          <w:lang w:val="en-CA"/>
        </w:rPr>
        <w:lastRenderedPageBreak/>
        <w:t>claimants</w:t>
      </w:r>
      <w:r w:rsidR="0018126F" w:rsidRPr="00366942">
        <w:rPr>
          <w:lang w:val="en-CA"/>
        </w:rPr>
        <w:t xml:space="preserve">, </w:t>
      </w:r>
      <w:r w:rsidR="00D93F82" w:rsidRPr="00366942">
        <w:rPr>
          <w:lang w:val="en-CA"/>
        </w:rPr>
        <w:t>and</w:t>
      </w:r>
      <w:r w:rsidR="0018126F" w:rsidRPr="00366942">
        <w:rPr>
          <w:lang w:val="en-CA"/>
        </w:rPr>
        <w:t xml:space="preserve"> is </w:t>
      </w:r>
      <w:r w:rsidR="00D93F82" w:rsidRPr="00366942">
        <w:rPr>
          <w:lang w:val="en-CA"/>
        </w:rPr>
        <w:t xml:space="preserve">thus </w:t>
      </w:r>
      <w:r w:rsidR="0018126F" w:rsidRPr="00366942">
        <w:rPr>
          <w:lang w:val="en-CA"/>
        </w:rPr>
        <w:t xml:space="preserve">discriminatory </w:t>
      </w:r>
      <w:r w:rsidR="00D93F82" w:rsidRPr="00366942">
        <w:rPr>
          <w:lang w:val="en-CA"/>
        </w:rPr>
        <w:t>as a result of</w:t>
      </w:r>
      <w:r w:rsidR="0018126F" w:rsidRPr="00366942">
        <w:rPr>
          <w:lang w:val="en-CA"/>
        </w:rPr>
        <w:t xml:space="preserve"> its adverse impact.”</w:t>
      </w:r>
      <w:r w:rsidR="00961A50" w:rsidRPr="00366942">
        <w:rPr>
          <w:rStyle w:val="Appelnotedebasdep"/>
          <w:lang w:val="en-CA"/>
        </w:rPr>
        <w:footnoteReference w:id="71"/>
      </w:r>
      <w:r w:rsidR="00961A50" w:rsidRPr="00366942">
        <w:rPr>
          <w:lang w:val="en-CA"/>
        </w:rPr>
        <w:t xml:space="preserve"> </w:t>
      </w:r>
      <w:r w:rsidR="0018126F" w:rsidRPr="00366942">
        <w:rPr>
          <w:lang w:val="en-CA"/>
        </w:rPr>
        <w:t>Indeed, the exclusion of refugee claimants affect</w:t>
      </w:r>
      <w:r w:rsidR="00590F25" w:rsidRPr="00366942">
        <w:rPr>
          <w:lang w:val="en-CA"/>
        </w:rPr>
        <w:t>ed</w:t>
      </w:r>
      <w:r w:rsidR="006D0317" w:rsidRPr="00366942">
        <w:rPr>
          <w:lang w:val="en-CA"/>
        </w:rPr>
        <w:t xml:space="preserve"> mainly</w:t>
      </w:r>
      <w:r w:rsidR="0018126F" w:rsidRPr="00366942">
        <w:rPr>
          <w:lang w:val="en-CA"/>
        </w:rPr>
        <w:t xml:space="preserve"> women, who, according to the evidence, still assume for the most part the care and responsibility of children, and thus</w:t>
      </w:r>
      <w:r w:rsidR="00F91AE1" w:rsidRPr="00366942">
        <w:rPr>
          <w:lang w:val="en-CA"/>
        </w:rPr>
        <w:t xml:space="preserve"> disadvantage</w:t>
      </w:r>
      <w:r w:rsidR="00590F25" w:rsidRPr="00366942">
        <w:rPr>
          <w:lang w:val="en-CA"/>
        </w:rPr>
        <w:t>d</w:t>
      </w:r>
      <w:r w:rsidR="00F91AE1" w:rsidRPr="00366942">
        <w:rPr>
          <w:lang w:val="en-CA"/>
        </w:rPr>
        <w:t xml:space="preserve"> them</w:t>
      </w:r>
      <w:r w:rsidR="00590F25" w:rsidRPr="00366942">
        <w:rPr>
          <w:lang w:val="en-CA"/>
        </w:rPr>
        <w:t xml:space="preserve"> </w:t>
      </w:r>
      <w:r w:rsidR="00F91AE1" w:rsidRPr="00366942">
        <w:rPr>
          <w:lang w:val="en-CA"/>
        </w:rPr>
        <w:t>socio-economical</w:t>
      </w:r>
      <w:r w:rsidR="00D93F82" w:rsidRPr="00366942">
        <w:rPr>
          <w:lang w:val="en-CA"/>
        </w:rPr>
        <w:t>ly</w:t>
      </w:r>
      <w:r w:rsidR="00F91AE1" w:rsidRPr="00366942">
        <w:rPr>
          <w:lang w:val="en-CA"/>
        </w:rPr>
        <w:t xml:space="preserve">, in a way that male refugee claimants (or individuals who are not refugee claimants) </w:t>
      </w:r>
      <w:r w:rsidR="006D0317" w:rsidRPr="00366942">
        <w:rPr>
          <w:lang w:val="en-CA"/>
        </w:rPr>
        <w:t>were</w:t>
      </w:r>
      <w:r w:rsidR="00F91AE1" w:rsidRPr="00366942">
        <w:rPr>
          <w:lang w:val="en-CA"/>
        </w:rPr>
        <w:t xml:space="preserve"> not</w:t>
      </w:r>
      <w:r w:rsidR="00961A50" w:rsidRPr="00366942">
        <w:rPr>
          <w:lang w:val="en-CA"/>
        </w:rPr>
        <w:t xml:space="preserve">. </w:t>
      </w:r>
      <w:r w:rsidR="00F91AE1" w:rsidRPr="00366942">
        <w:rPr>
          <w:lang w:val="en-CA"/>
        </w:rPr>
        <w:t xml:space="preserve">A distinction on the basis of sex could therefore be </w:t>
      </w:r>
      <w:r w:rsidR="006D0317" w:rsidRPr="00366942">
        <w:rPr>
          <w:lang w:val="en-CA"/>
        </w:rPr>
        <w:t>inferred</w:t>
      </w:r>
      <w:r w:rsidR="00F91AE1" w:rsidRPr="00366942">
        <w:rPr>
          <w:lang w:val="en-CA"/>
        </w:rPr>
        <w:t xml:space="preserve"> (a distinction that the Court, at the second step, would find discriminatory, because it reinforced a historical and systemic disadvantage suffered by women </w:t>
      </w:r>
      <w:r w:rsidR="006D0317" w:rsidRPr="00366942">
        <w:rPr>
          <w:lang w:val="en-CA"/>
        </w:rPr>
        <w:t>by reason</w:t>
      </w:r>
      <w:r w:rsidR="00F91AE1" w:rsidRPr="00366942">
        <w:rPr>
          <w:lang w:val="en-CA"/>
        </w:rPr>
        <w:t xml:space="preserve"> of their family responsibilities</w:t>
      </w:r>
      <w:r w:rsidR="00961A50" w:rsidRPr="00366942">
        <w:rPr>
          <w:lang w:val="en-CA"/>
        </w:rPr>
        <w:t>).</w:t>
      </w:r>
    </w:p>
    <w:p w14:paraId="55DC0130" w14:textId="6EEE8D1A" w:rsidR="00961A50" w:rsidRPr="00366942" w:rsidRDefault="00590F25" w:rsidP="00961A50">
      <w:pPr>
        <w:pStyle w:val="Paragraphe"/>
        <w:rPr>
          <w:lang w:val="en-CA"/>
        </w:rPr>
      </w:pPr>
      <w:r w:rsidRPr="00366942">
        <w:rPr>
          <w:lang w:val="en-CA"/>
        </w:rPr>
        <w:t>As can be seen</w:t>
      </w:r>
      <w:r w:rsidR="00961A50" w:rsidRPr="00366942">
        <w:rPr>
          <w:lang w:val="en-CA"/>
        </w:rPr>
        <w:t xml:space="preserve">, </w:t>
      </w:r>
      <w:r w:rsidR="00E12D2B" w:rsidRPr="00366942">
        <w:rPr>
          <w:lang w:val="en-CA"/>
        </w:rPr>
        <w:t>in each one of these examples</w:t>
      </w:r>
      <w:r w:rsidR="00961A50" w:rsidRPr="00366942">
        <w:rPr>
          <w:lang w:val="en-CA"/>
        </w:rPr>
        <w:t xml:space="preserve">, </w:t>
      </w:r>
      <w:r w:rsidR="00E12D2B" w:rsidRPr="00366942">
        <w:rPr>
          <w:lang w:val="en-CA"/>
        </w:rPr>
        <w:t>the</w:t>
      </w:r>
      <w:r w:rsidR="00961A50" w:rsidRPr="00366942">
        <w:rPr>
          <w:lang w:val="en-CA"/>
        </w:rPr>
        <w:t xml:space="preserve"> distinction</w:t>
      </w:r>
      <w:r w:rsidR="00E12D2B" w:rsidRPr="00366942">
        <w:rPr>
          <w:lang w:val="en-CA"/>
        </w:rPr>
        <w:t xml:space="preserve"> had the effect of disproportionately disadvantaging women</w:t>
      </w:r>
      <w:r w:rsidR="00961A50" w:rsidRPr="00366942">
        <w:rPr>
          <w:lang w:val="en-CA"/>
        </w:rPr>
        <w:t xml:space="preserve"> </w:t>
      </w:r>
      <w:r w:rsidR="00E12D2B" w:rsidRPr="00366942">
        <w:rPr>
          <w:lang w:val="en-CA"/>
        </w:rPr>
        <w:t xml:space="preserve">by </w:t>
      </w:r>
      <w:r w:rsidR="00B40537" w:rsidRPr="00366942">
        <w:rPr>
          <w:lang w:val="en-CA"/>
        </w:rPr>
        <w:t>actively depriving them of</w:t>
      </w:r>
      <w:r w:rsidR="00E12D2B" w:rsidRPr="00366942">
        <w:rPr>
          <w:lang w:val="en-CA"/>
        </w:rPr>
        <w:t xml:space="preserve"> </w:t>
      </w:r>
      <w:r w:rsidR="00E664D4" w:rsidRPr="00366942">
        <w:rPr>
          <w:lang w:val="en-CA"/>
        </w:rPr>
        <w:t>a</w:t>
      </w:r>
      <w:r w:rsidR="00E12D2B" w:rsidRPr="00366942">
        <w:rPr>
          <w:lang w:val="en-CA"/>
        </w:rPr>
        <w:t xml:space="preserve"> benefit, an access</w:t>
      </w:r>
      <w:r w:rsidR="00E664D4" w:rsidRPr="00366942">
        <w:rPr>
          <w:lang w:val="en-CA"/>
        </w:rPr>
        <w:t xml:space="preserve"> or</w:t>
      </w:r>
      <w:r w:rsidR="00E12D2B" w:rsidRPr="00366942">
        <w:rPr>
          <w:lang w:val="en-CA"/>
        </w:rPr>
        <w:t xml:space="preserve"> a right granted to men</w:t>
      </w:r>
      <w:r w:rsidR="00961A50" w:rsidRPr="00366942">
        <w:rPr>
          <w:lang w:val="en-CA"/>
        </w:rPr>
        <w:t xml:space="preserve"> (</w:t>
      </w:r>
      <w:r w:rsidR="00E12D2B" w:rsidRPr="00366942">
        <w:rPr>
          <w:lang w:val="en-CA"/>
        </w:rPr>
        <w:t xml:space="preserve">whether it be </w:t>
      </w:r>
      <w:r w:rsidR="004F5296" w:rsidRPr="00366942">
        <w:rPr>
          <w:lang w:val="en-CA"/>
        </w:rPr>
        <w:t xml:space="preserve">denying them a job, the opportunity to </w:t>
      </w:r>
      <w:r w:rsidR="00DA38B5" w:rsidRPr="00366942">
        <w:rPr>
          <w:lang w:val="en-CA"/>
        </w:rPr>
        <w:t xml:space="preserve">improve </w:t>
      </w:r>
      <w:r w:rsidR="004F5296" w:rsidRPr="00366942">
        <w:rPr>
          <w:lang w:val="en-CA"/>
        </w:rPr>
        <w:t xml:space="preserve">their retirement plan or </w:t>
      </w:r>
      <w:r w:rsidR="00411C3C" w:rsidRPr="00366942">
        <w:rPr>
          <w:lang w:val="en-CA"/>
        </w:rPr>
        <w:t xml:space="preserve">access </w:t>
      </w:r>
      <w:r w:rsidR="00E664D4" w:rsidRPr="00366942">
        <w:rPr>
          <w:lang w:val="en-CA"/>
        </w:rPr>
        <w:t xml:space="preserve">to </w:t>
      </w:r>
      <w:r w:rsidR="004F5296" w:rsidRPr="00366942">
        <w:rPr>
          <w:lang w:val="en-CA"/>
        </w:rPr>
        <w:t xml:space="preserve">subsidized </w:t>
      </w:r>
      <w:r w:rsidR="00BF7542" w:rsidRPr="00366942">
        <w:rPr>
          <w:lang w:val="en-CA"/>
        </w:rPr>
        <w:t>childcare</w:t>
      </w:r>
      <w:r w:rsidR="004F5296" w:rsidRPr="00366942">
        <w:rPr>
          <w:lang w:val="en-CA"/>
        </w:rPr>
        <w:t>) or by imposing on them a burden, a restriction or an inconvenience that men do not have to bear or suffer</w:t>
      </w:r>
      <w:r w:rsidR="00961A50" w:rsidRPr="00366942">
        <w:rPr>
          <w:lang w:val="en-CA"/>
        </w:rPr>
        <w:t xml:space="preserve">. </w:t>
      </w:r>
      <w:r w:rsidR="004F5296" w:rsidRPr="00366942">
        <w:rPr>
          <w:lang w:val="en-CA"/>
        </w:rPr>
        <w:t>Moreover, in the case of</w:t>
      </w:r>
      <w:r w:rsidR="00961A50" w:rsidRPr="00366942">
        <w:rPr>
          <w:lang w:val="en-CA"/>
        </w:rPr>
        <w:t xml:space="preserve"> </w:t>
      </w:r>
      <w:r w:rsidR="00961A50" w:rsidRPr="00366942">
        <w:rPr>
          <w:i/>
          <w:iCs/>
          <w:lang w:val="en-CA"/>
        </w:rPr>
        <w:t>Fraser</w:t>
      </w:r>
      <w:r w:rsidR="00961A50" w:rsidRPr="00366942">
        <w:rPr>
          <w:lang w:val="en-CA"/>
        </w:rPr>
        <w:t xml:space="preserve"> </w:t>
      </w:r>
      <w:r w:rsidR="004F5296" w:rsidRPr="00366942">
        <w:rPr>
          <w:lang w:val="en-CA"/>
        </w:rPr>
        <w:t>and</w:t>
      </w:r>
      <w:r w:rsidR="00961A50" w:rsidRPr="00366942">
        <w:rPr>
          <w:lang w:val="en-CA"/>
        </w:rPr>
        <w:t xml:space="preserve"> </w:t>
      </w:r>
      <w:r w:rsidR="00961A50" w:rsidRPr="00366942">
        <w:rPr>
          <w:i/>
          <w:iCs/>
          <w:lang w:val="en-CA"/>
        </w:rPr>
        <w:t>Kanyinda</w:t>
      </w:r>
      <w:r w:rsidR="004F5296" w:rsidRPr="00366942">
        <w:rPr>
          <w:lang w:val="en-CA"/>
        </w:rPr>
        <w:t xml:space="preserve">, it so happens that that </w:t>
      </w:r>
      <w:r w:rsidR="00411C3C" w:rsidRPr="00366942">
        <w:rPr>
          <w:lang w:val="en-CA"/>
        </w:rPr>
        <w:t>harm</w:t>
      </w:r>
      <w:r w:rsidR="004F5296" w:rsidRPr="00366942">
        <w:rPr>
          <w:lang w:val="en-CA"/>
        </w:rPr>
        <w:t xml:space="preserve"> confirm</w:t>
      </w:r>
      <w:r w:rsidR="00E664D4" w:rsidRPr="00366942">
        <w:rPr>
          <w:lang w:val="en-CA"/>
        </w:rPr>
        <w:t>ed</w:t>
      </w:r>
      <w:r w:rsidR="004F5296" w:rsidRPr="00366942">
        <w:rPr>
          <w:lang w:val="en-CA"/>
        </w:rPr>
        <w:t>, reinforce</w:t>
      </w:r>
      <w:r w:rsidR="00E664D4" w:rsidRPr="00366942">
        <w:rPr>
          <w:lang w:val="en-CA"/>
        </w:rPr>
        <w:t>d</w:t>
      </w:r>
      <w:r w:rsidR="004F5296" w:rsidRPr="00366942">
        <w:rPr>
          <w:lang w:val="en-CA"/>
        </w:rPr>
        <w:t xml:space="preserve"> and perpetuate</w:t>
      </w:r>
      <w:r w:rsidR="00E664D4" w:rsidRPr="00366942">
        <w:rPr>
          <w:lang w:val="en-CA"/>
        </w:rPr>
        <w:t>d</w:t>
      </w:r>
      <w:r w:rsidR="004F5296" w:rsidRPr="00366942">
        <w:rPr>
          <w:lang w:val="en-CA"/>
        </w:rPr>
        <w:t xml:space="preserve"> the general disadvantage women face in the </w:t>
      </w:r>
      <w:r w:rsidR="0040088F" w:rsidRPr="00366942">
        <w:rPr>
          <w:lang w:val="en-CA"/>
        </w:rPr>
        <w:t>workplace</w:t>
      </w:r>
      <w:r w:rsidR="004F5296" w:rsidRPr="00366942">
        <w:rPr>
          <w:lang w:val="en-CA"/>
        </w:rPr>
        <w:t xml:space="preserve">, which, at the second step of the applicable test, pointed to </w:t>
      </w:r>
      <w:r w:rsidR="00B25046" w:rsidRPr="00366942">
        <w:rPr>
          <w:lang w:val="en-CA"/>
        </w:rPr>
        <w:t xml:space="preserve">the discriminatory character of the distinction </w:t>
      </w:r>
      <w:r w:rsidR="00961A50" w:rsidRPr="00366942">
        <w:rPr>
          <w:lang w:val="en-CA"/>
        </w:rPr>
        <w:t>(</w:t>
      </w:r>
      <w:r w:rsidR="00B25046" w:rsidRPr="00366942">
        <w:rPr>
          <w:lang w:val="en-CA"/>
        </w:rPr>
        <w:t>i.e., the differential treatment</w:t>
      </w:r>
      <w:r w:rsidR="00961A50" w:rsidRPr="00366942">
        <w:rPr>
          <w:lang w:val="en-CA"/>
        </w:rPr>
        <w:t xml:space="preserve">) </w:t>
      </w:r>
      <w:r w:rsidR="00B25046" w:rsidRPr="00366942">
        <w:rPr>
          <w:lang w:val="en-CA"/>
        </w:rPr>
        <w:t>inflicted upon them</w:t>
      </w:r>
      <w:r w:rsidR="00961A50" w:rsidRPr="00366942">
        <w:rPr>
          <w:lang w:val="en-CA"/>
        </w:rPr>
        <w:t>.</w:t>
      </w:r>
    </w:p>
    <w:p w14:paraId="742682CC" w14:textId="00C1170D" w:rsidR="00961A50" w:rsidRPr="00366942" w:rsidRDefault="00411C3C" w:rsidP="00E27186">
      <w:pPr>
        <w:pStyle w:val="Paragraphe"/>
        <w:rPr>
          <w:lang w:val="en-CA"/>
        </w:rPr>
      </w:pPr>
      <w:r w:rsidRPr="00366942">
        <w:rPr>
          <w:lang w:val="en-CA"/>
        </w:rPr>
        <w:t xml:space="preserve">However, it is clear in this case, at the first step of the applicable test, that s. </w:t>
      </w:r>
      <w:r w:rsidR="00961A50" w:rsidRPr="00366942">
        <w:rPr>
          <w:lang w:val="en-CA"/>
        </w:rPr>
        <w:t>10</w:t>
      </w:r>
      <w:r w:rsidRPr="00366942">
        <w:rPr>
          <w:lang w:val="en-CA"/>
        </w:rPr>
        <w:t>, para</w:t>
      </w:r>
      <w:r w:rsidR="00961A50" w:rsidRPr="00366942">
        <w:rPr>
          <w:lang w:val="en-CA"/>
        </w:rPr>
        <w:t>. 4 </w:t>
      </w:r>
      <w:r w:rsidRPr="00366942">
        <w:rPr>
          <w:i/>
          <w:iCs/>
          <w:lang w:val="en-CA"/>
        </w:rPr>
        <w:t>HIA</w:t>
      </w:r>
      <w:r w:rsidR="00961A50" w:rsidRPr="00366942">
        <w:rPr>
          <w:lang w:val="en-CA"/>
        </w:rPr>
        <w:t xml:space="preserve"> </w:t>
      </w:r>
      <w:r w:rsidRPr="00366942">
        <w:rPr>
          <w:lang w:val="en-CA"/>
        </w:rPr>
        <w:t xml:space="preserve">does not have the effect of denying women, whether with respect to </w:t>
      </w:r>
      <w:r w:rsidR="007B3BC1" w:rsidRPr="00366942">
        <w:rPr>
          <w:lang w:val="en-CA"/>
        </w:rPr>
        <w:t xml:space="preserve">pregnancy-related care or other healthcare, a legally recognized benefit, i.e., a limited reimbursement of the cost of medical services outside Quebec. Indeed, and </w:t>
      </w:r>
      <w:r w:rsidR="00AD79D4" w:rsidRPr="00366942">
        <w:rPr>
          <w:lang w:val="en-CA"/>
        </w:rPr>
        <w:t>restating</w:t>
      </w:r>
      <w:r w:rsidR="007B3BC1" w:rsidRPr="00366942">
        <w:rPr>
          <w:lang w:val="en-CA"/>
        </w:rPr>
        <w:t xml:space="preserve"> what I wrote </w:t>
      </w:r>
      <w:r w:rsidR="00AD79D4" w:rsidRPr="00366942">
        <w:rPr>
          <w:lang w:val="en-CA"/>
        </w:rPr>
        <w:t>earlier</w:t>
      </w:r>
      <w:r w:rsidR="007B3BC1" w:rsidRPr="00366942">
        <w:rPr>
          <w:lang w:val="en-CA"/>
        </w:rPr>
        <w:t>,</w:t>
      </w:r>
      <w:r w:rsidR="007758A5" w:rsidRPr="00366942">
        <w:rPr>
          <w:rStyle w:val="Appelnotedebasdep"/>
          <w:lang w:val="en-CA"/>
        </w:rPr>
        <w:footnoteReference w:id="72"/>
      </w:r>
      <w:r w:rsidR="007758A5" w:rsidRPr="00366942">
        <w:rPr>
          <w:lang w:val="en-CA"/>
        </w:rPr>
        <w:t xml:space="preserve"> </w:t>
      </w:r>
      <w:r w:rsidR="007B3BC1" w:rsidRPr="00366942">
        <w:rPr>
          <w:lang w:val="en-CA"/>
        </w:rPr>
        <w:t xml:space="preserve">whether </w:t>
      </w:r>
      <w:r w:rsidR="00AD79D4" w:rsidRPr="00366942">
        <w:rPr>
          <w:lang w:val="en-CA"/>
        </w:rPr>
        <w:t xml:space="preserve">they be a </w:t>
      </w:r>
      <w:r w:rsidR="007B3BC1" w:rsidRPr="00366942">
        <w:rPr>
          <w:lang w:val="en-CA"/>
        </w:rPr>
        <w:t>wom</w:t>
      </w:r>
      <w:r w:rsidR="00AD79D4" w:rsidRPr="00366942">
        <w:rPr>
          <w:lang w:val="en-CA"/>
        </w:rPr>
        <w:t>a</w:t>
      </w:r>
      <w:r w:rsidR="007B3BC1" w:rsidRPr="00366942">
        <w:rPr>
          <w:lang w:val="en-CA"/>
        </w:rPr>
        <w:t xml:space="preserve">n or </w:t>
      </w:r>
      <w:r w:rsidR="00AD79D4" w:rsidRPr="00366942">
        <w:rPr>
          <w:lang w:val="en-CA"/>
        </w:rPr>
        <w:t xml:space="preserve">a </w:t>
      </w:r>
      <w:r w:rsidR="007B3BC1" w:rsidRPr="00366942">
        <w:rPr>
          <w:lang w:val="en-CA"/>
        </w:rPr>
        <w:t>man, regardless of their personal characteristics and regardless of the nature of the medical service in issue, including where it relate</w:t>
      </w:r>
      <w:r w:rsidR="00AD79D4" w:rsidRPr="00366942">
        <w:rPr>
          <w:lang w:val="en-CA"/>
        </w:rPr>
        <w:t>s</w:t>
      </w:r>
      <w:r w:rsidR="007B3BC1" w:rsidRPr="00366942">
        <w:rPr>
          <w:lang w:val="en-CA"/>
        </w:rPr>
        <w:t xml:space="preserve"> to gender-specific care, all insured persons within the meaning of the </w:t>
      </w:r>
      <w:r w:rsidR="00961A50" w:rsidRPr="00366942">
        <w:rPr>
          <w:lang w:val="en-CA"/>
        </w:rPr>
        <w:t xml:space="preserve"> </w:t>
      </w:r>
      <w:r w:rsidR="007B3BC1" w:rsidRPr="00366942">
        <w:rPr>
          <w:i/>
          <w:iCs/>
          <w:lang w:val="en-CA"/>
        </w:rPr>
        <w:t>HIA</w:t>
      </w:r>
      <w:r w:rsidR="00961A50" w:rsidRPr="00366942">
        <w:rPr>
          <w:lang w:val="en-CA"/>
        </w:rPr>
        <w:t xml:space="preserve"> </w:t>
      </w:r>
      <w:r w:rsidR="007B3BC1" w:rsidRPr="00366942">
        <w:rPr>
          <w:lang w:val="en-CA"/>
        </w:rPr>
        <w:t xml:space="preserve">are entitled, in exactly the same measure, </w:t>
      </w:r>
      <w:r w:rsidR="00F72693" w:rsidRPr="00366942">
        <w:rPr>
          <w:lang w:val="en-CA"/>
        </w:rPr>
        <w:t>to the limited reimbursement or payment of the cost of medical services provided to them outside Quebec, that is to say: where the cost exceeds that of equivalent services provided in Quebec, the Board reimburses or pays only the amount equal to the cost in Quebec</w:t>
      </w:r>
      <w:r w:rsidR="00961A50" w:rsidRPr="00366942">
        <w:rPr>
          <w:lang w:val="en-CA"/>
        </w:rPr>
        <w:t xml:space="preserve">. </w:t>
      </w:r>
      <w:r w:rsidR="00F72693" w:rsidRPr="00366942">
        <w:rPr>
          <w:lang w:val="en-CA"/>
        </w:rPr>
        <w:t xml:space="preserve">In such a case, no insured person will obtain more (unless they satisfy the requirements of s. </w:t>
      </w:r>
      <w:r w:rsidR="00961A50" w:rsidRPr="00366942">
        <w:rPr>
          <w:lang w:val="en-CA"/>
        </w:rPr>
        <w:t>10</w:t>
      </w:r>
      <w:r w:rsidR="00F72693" w:rsidRPr="00366942">
        <w:rPr>
          <w:lang w:val="en-CA"/>
        </w:rPr>
        <w:t>, para</w:t>
      </w:r>
      <w:r w:rsidR="00961A50" w:rsidRPr="00366942">
        <w:rPr>
          <w:lang w:val="en-CA"/>
        </w:rPr>
        <w:t xml:space="preserve">. 5 </w:t>
      </w:r>
      <w:r w:rsidR="00F72693" w:rsidRPr="00366942">
        <w:rPr>
          <w:i/>
          <w:iCs/>
          <w:lang w:val="en-CA"/>
        </w:rPr>
        <w:t>HIA</w:t>
      </w:r>
      <w:r w:rsidR="00961A50" w:rsidRPr="00366942">
        <w:rPr>
          <w:lang w:val="en-CA"/>
        </w:rPr>
        <w:t xml:space="preserve">, </w:t>
      </w:r>
      <w:r w:rsidR="00F72693" w:rsidRPr="00366942">
        <w:rPr>
          <w:lang w:val="en-CA"/>
        </w:rPr>
        <w:t>which is not in issue here</w:t>
      </w:r>
      <w:r w:rsidR="00961A50" w:rsidRPr="00366942">
        <w:rPr>
          <w:lang w:val="en-CA"/>
        </w:rPr>
        <w:t xml:space="preserve">), </w:t>
      </w:r>
      <w:r w:rsidR="00F72693" w:rsidRPr="00366942">
        <w:rPr>
          <w:lang w:val="en-CA"/>
        </w:rPr>
        <w:t>none</w:t>
      </w:r>
      <w:r w:rsidR="00B40537" w:rsidRPr="00366942">
        <w:rPr>
          <w:lang w:val="en-CA"/>
        </w:rPr>
        <w:t xml:space="preserve"> will</w:t>
      </w:r>
      <w:r w:rsidR="00F72693" w:rsidRPr="00366942">
        <w:rPr>
          <w:lang w:val="en-CA"/>
        </w:rPr>
        <w:t xml:space="preserve"> obtain less, and each </w:t>
      </w:r>
      <w:r w:rsidR="00AD79D4" w:rsidRPr="00366942">
        <w:rPr>
          <w:lang w:val="en-CA"/>
        </w:rPr>
        <w:t>is subject to</w:t>
      </w:r>
      <w:r w:rsidR="00F72693" w:rsidRPr="00366942">
        <w:rPr>
          <w:lang w:val="en-CA"/>
        </w:rPr>
        <w:t xml:space="preserve"> the same limit</w:t>
      </w:r>
      <w:r w:rsidR="00961A50" w:rsidRPr="00366942">
        <w:rPr>
          <w:lang w:val="en-CA"/>
        </w:rPr>
        <w:t>.</w:t>
      </w:r>
      <w:r w:rsidR="007B50AC" w:rsidRPr="00366942">
        <w:rPr>
          <w:lang w:val="en-CA"/>
        </w:rPr>
        <w:t xml:space="preserve"> </w:t>
      </w:r>
      <w:r w:rsidR="00F72693" w:rsidRPr="00366942">
        <w:rPr>
          <w:lang w:val="en-CA"/>
        </w:rPr>
        <w:t>In other words, all insured persons, regardless of their sex (or other characteristic</w:t>
      </w:r>
      <w:r w:rsidR="008F1069" w:rsidRPr="00366942">
        <w:rPr>
          <w:lang w:val="en-CA"/>
        </w:rPr>
        <w:t>)</w:t>
      </w:r>
      <w:r w:rsidR="00F72693" w:rsidRPr="00366942">
        <w:rPr>
          <w:lang w:val="en-CA"/>
        </w:rPr>
        <w:t xml:space="preserve"> have access to the same </w:t>
      </w:r>
      <w:r w:rsidR="00B40537" w:rsidRPr="00366942">
        <w:rPr>
          <w:lang w:val="en-CA"/>
        </w:rPr>
        <w:t>benefit</w:t>
      </w:r>
      <w:r w:rsidR="00F72693" w:rsidRPr="00366942">
        <w:rPr>
          <w:lang w:val="en-CA"/>
        </w:rPr>
        <w:t xml:space="preserve"> (that of a reimbursement</w:t>
      </w:r>
      <w:r w:rsidR="00AD79D4" w:rsidRPr="00366942">
        <w:rPr>
          <w:lang w:val="en-CA"/>
        </w:rPr>
        <w:t>)</w:t>
      </w:r>
      <w:r w:rsidR="00F72693" w:rsidRPr="00366942">
        <w:rPr>
          <w:lang w:val="en-CA"/>
        </w:rPr>
        <w:t xml:space="preserve"> and </w:t>
      </w:r>
      <w:r w:rsidR="008A0CF8" w:rsidRPr="00366942">
        <w:rPr>
          <w:lang w:val="en-CA"/>
        </w:rPr>
        <w:t>are subject to the same restriction (that of a capping of said reimbursement)</w:t>
      </w:r>
      <w:r w:rsidR="008F1069" w:rsidRPr="00366942">
        <w:rPr>
          <w:lang w:val="en-CA"/>
        </w:rPr>
        <w:t>.</w:t>
      </w:r>
    </w:p>
    <w:p w14:paraId="0474CFB0" w14:textId="7B9233E6" w:rsidR="00961A50" w:rsidRPr="00366942" w:rsidRDefault="00144444" w:rsidP="00961A50">
      <w:pPr>
        <w:pStyle w:val="Paragraphe"/>
        <w:rPr>
          <w:lang w:val="en-CA"/>
        </w:rPr>
      </w:pPr>
      <w:r w:rsidRPr="00366942">
        <w:rPr>
          <w:lang w:val="en-CA"/>
        </w:rPr>
        <w:t xml:space="preserve">In short, whether directly or in its impact, s. 10, para. 4 </w:t>
      </w:r>
      <w:r w:rsidRPr="00366942">
        <w:rPr>
          <w:i/>
          <w:iCs/>
          <w:lang w:val="en-CA"/>
        </w:rPr>
        <w:t>HIA</w:t>
      </w:r>
      <w:r w:rsidRPr="00366942">
        <w:rPr>
          <w:lang w:val="en-CA"/>
        </w:rPr>
        <w:t xml:space="preserve"> creates no distinction between insured persons: no one (notably men) is conferred an advantage that women, or certain women, are denied, excluded from or deprived of. C</w:t>
      </w:r>
      <w:r w:rsidR="00572C4A" w:rsidRPr="00366942">
        <w:rPr>
          <w:lang w:val="en-CA"/>
        </w:rPr>
        <w:t>orrelatively</w:t>
      </w:r>
      <w:r w:rsidRPr="00366942">
        <w:rPr>
          <w:lang w:val="en-CA"/>
        </w:rPr>
        <w:t>, the same disadvantage and the same risk of disadvantage are imposed on all insured persons</w:t>
      </w:r>
      <w:r w:rsidR="00961A50" w:rsidRPr="00366942">
        <w:rPr>
          <w:lang w:val="en-CA"/>
        </w:rPr>
        <w:t>.</w:t>
      </w:r>
    </w:p>
    <w:p w14:paraId="105044EB" w14:textId="2C61BA0A" w:rsidR="00961A50" w:rsidRPr="00366942" w:rsidRDefault="00572C4A" w:rsidP="00961A50">
      <w:pPr>
        <w:pStyle w:val="Paragraphe"/>
        <w:rPr>
          <w:lang w:val="en-CA"/>
        </w:rPr>
      </w:pPr>
      <w:r w:rsidRPr="00366942">
        <w:rPr>
          <w:lang w:val="en-CA"/>
        </w:rPr>
        <w:lastRenderedPageBreak/>
        <w:t>But the appellant submits that this does not end the matter, because treating pregnant wome</w:t>
      </w:r>
      <w:r w:rsidR="00FA1DB3" w:rsidRPr="00366942">
        <w:rPr>
          <w:lang w:val="en-CA"/>
        </w:rPr>
        <w:t>n</w:t>
      </w:r>
      <w:r w:rsidRPr="00366942">
        <w:rPr>
          <w:lang w:val="en-CA"/>
        </w:rPr>
        <w:t xml:space="preserve"> </w:t>
      </w:r>
      <w:r w:rsidR="00D5731A" w:rsidRPr="00366942">
        <w:rPr>
          <w:i/>
          <w:iCs/>
          <w:lang w:val="en-CA"/>
        </w:rPr>
        <w:t>like everyone else</w:t>
      </w:r>
      <w:r w:rsidR="00D5731A" w:rsidRPr="00366942">
        <w:rPr>
          <w:lang w:val="en-CA"/>
        </w:rPr>
        <w:t xml:space="preserve"> </w:t>
      </w:r>
      <w:r w:rsidR="00AE3ABA" w:rsidRPr="00366942">
        <w:rPr>
          <w:lang w:val="en-CA"/>
        </w:rPr>
        <w:t>effectively</w:t>
      </w:r>
      <w:r w:rsidR="00D5731A" w:rsidRPr="00366942">
        <w:rPr>
          <w:lang w:val="en-CA"/>
        </w:rPr>
        <w:t xml:space="preserve"> creates a distinction related to the general a</w:t>
      </w:r>
      <w:r w:rsidR="00FA1DB3" w:rsidRPr="00366942">
        <w:rPr>
          <w:lang w:val="en-CA"/>
        </w:rPr>
        <w:t>n</w:t>
      </w:r>
      <w:r w:rsidR="00D5731A" w:rsidRPr="00366942">
        <w:rPr>
          <w:lang w:val="en-CA"/>
        </w:rPr>
        <w:t>d preexisting disadvantage of women in society</w:t>
      </w:r>
      <w:r w:rsidR="00961A50" w:rsidRPr="00366942">
        <w:rPr>
          <w:lang w:val="en-CA"/>
        </w:rPr>
        <w:t xml:space="preserve">. </w:t>
      </w:r>
      <w:r w:rsidR="00D5731A" w:rsidRPr="00366942">
        <w:rPr>
          <w:lang w:val="en-CA"/>
        </w:rPr>
        <w:t xml:space="preserve">As </w:t>
      </w:r>
      <w:r w:rsidR="00C11FEE" w:rsidRPr="00366942">
        <w:rPr>
          <w:lang w:val="en-CA"/>
        </w:rPr>
        <w:t>explained earlier</w:t>
      </w:r>
      <w:r w:rsidR="00D5731A" w:rsidRPr="00366942">
        <w:rPr>
          <w:lang w:val="en-CA"/>
        </w:rPr>
        <w:t xml:space="preserve">, women bear, </w:t>
      </w:r>
      <w:r w:rsidR="00AE3ABA" w:rsidRPr="00366942">
        <w:rPr>
          <w:lang w:val="en-CA"/>
        </w:rPr>
        <w:t>particularly in</w:t>
      </w:r>
      <w:r w:rsidR="00D5731A" w:rsidRPr="00366942">
        <w:rPr>
          <w:lang w:val="en-CA"/>
        </w:rPr>
        <w:t xml:space="preserve"> financial </w:t>
      </w:r>
      <w:r w:rsidR="00AE3ABA" w:rsidRPr="00366942">
        <w:rPr>
          <w:lang w:val="en-CA"/>
        </w:rPr>
        <w:t>terms</w:t>
      </w:r>
      <w:r w:rsidR="00D5731A" w:rsidRPr="00366942">
        <w:rPr>
          <w:lang w:val="en-CA"/>
        </w:rPr>
        <w:t xml:space="preserve">, most </w:t>
      </w:r>
      <w:r w:rsidR="00C11FEE" w:rsidRPr="00366942">
        <w:rPr>
          <w:lang w:val="en-CA"/>
        </w:rPr>
        <w:t xml:space="preserve">of the </w:t>
      </w:r>
      <w:r w:rsidR="00D5731A" w:rsidRPr="00366942">
        <w:rPr>
          <w:lang w:val="en-CA"/>
        </w:rPr>
        <w:t xml:space="preserve">responsibility and cost of reproductive </w:t>
      </w:r>
      <w:r w:rsidR="00D5731A" w:rsidRPr="00366942">
        <w:rPr>
          <w:lang w:val="en-CA" w:bidi="ps-AF"/>
        </w:rPr>
        <w:t>health care</w:t>
      </w:r>
      <w:r w:rsidR="00D5731A" w:rsidRPr="00366942">
        <w:rPr>
          <w:lang w:val="en-CA"/>
        </w:rPr>
        <w:t xml:space="preserve">, and certainly those of pregnancy, including VTP which, again, </w:t>
      </w:r>
      <w:r w:rsidR="00FA1DB3" w:rsidRPr="00366942">
        <w:rPr>
          <w:lang w:val="en-CA"/>
        </w:rPr>
        <w:t xml:space="preserve">can </w:t>
      </w:r>
      <w:r w:rsidR="00D5731A" w:rsidRPr="00366942">
        <w:rPr>
          <w:lang w:val="en-CA"/>
        </w:rPr>
        <w:t xml:space="preserve">be detrimental to their integration into the </w:t>
      </w:r>
      <w:r w:rsidR="00EC7805" w:rsidRPr="00366942">
        <w:rPr>
          <w:lang w:val="en-CA"/>
        </w:rPr>
        <w:t>labour market</w:t>
      </w:r>
      <w:r w:rsidR="00961A50" w:rsidRPr="00366942">
        <w:rPr>
          <w:lang w:val="en-CA"/>
        </w:rPr>
        <w:t xml:space="preserve">. </w:t>
      </w:r>
      <w:r w:rsidR="00FA1DB3" w:rsidRPr="00366942">
        <w:rPr>
          <w:lang w:val="en-CA"/>
        </w:rPr>
        <w:t xml:space="preserve">Failure to fully reimburse the care in question </w:t>
      </w:r>
      <w:r w:rsidR="00DE5723" w:rsidRPr="00366942">
        <w:rPr>
          <w:lang w:val="en-CA"/>
        </w:rPr>
        <w:t xml:space="preserve">would increase </w:t>
      </w:r>
      <w:r w:rsidR="00FA1DB3" w:rsidRPr="00366942">
        <w:rPr>
          <w:lang w:val="en-CA"/>
        </w:rPr>
        <w:t>that adverse impact</w:t>
      </w:r>
      <w:r w:rsidR="00961A50" w:rsidRPr="00366942">
        <w:rPr>
          <w:lang w:val="en-CA"/>
        </w:rPr>
        <w:t xml:space="preserve">. </w:t>
      </w:r>
      <w:r w:rsidR="00FA1DB3" w:rsidRPr="00366942">
        <w:rPr>
          <w:lang w:val="en-CA"/>
        </w:rPr>
        <w:t>In the appellant’s view</w:t>
      </w:r>
      <w:r w:rsidR="00961A50" w:rsidRPr="00366942">
        <w:rPr>
          <w:lang w:val="en-CA"/>
        </w:rPr>
        <w:t xml:space="preserve">, </w:t>
      </w:r>
      <w:r w:rsidR="00961A50" w:rsidRPr="00366942">
        <w:rPr>
          <w:i/>
          <w:iCs/>
          <w:lang w:val="en-CA"/>
        </w:rPr>
        <w:t>Kanyinda</w:t>
      </w:r>
      <w:r w:rsidR="00961A50" w:rsidRPr="00366942">
        <w:rPr>
          <w:lang w:val="en-CA"/>
        </w:rPr>
        <w:t xml:space="preserve"> </w:t>
      </w:r>
      <w:r w:rsidR="00FA1DB3" w:rsidRPr="00366942">
        <w:rPr>
          <w:lang w:val="en-CA"/>
        </w:rPr>
        <w:t>supports that argument</w:t>
      </w:r>
      <w:r w:rsidR="00961A50" w:rsidRPr="00366942">
        <w:rPr>
          <w:lang w:val="en-CA"/>
        </w:rPr>
        <w:t xml:space="preserve">, </w:t>
      </w:r>
      <w:r w:rsidR="00FA1DB3" w:rsidRPr="00366942">
        <w:rPr>
          <w:lang w:val="en-CA"/>
        </w:rPr>
        <w:t xml:space="preserve">based on the Court’s finding that not having access to subsidized </w:t>
      </w:r>
      <w:r w:rsidR="00BF7542" w:rsidRPr="00366942">
        <w:rPr>
          <w:lang w:val="en-CA"/>
        </w:rPr>
        <w:t>childcare</w:t>
      </w:r>
      <w:r w:rsidR="00FA1DB3" w:rsidRPr="00366942">
        <w:rPr>
          <w:lang w:val="en-CA"/>
        </w:rPr>
        <w:t xml:space="preserve"> has a deleterious impact on female refugee claimants’ access to the labour market</w:t>
      </w:r>
      <w:r w:rsidR="00961A50" w:rsidRPr="00366942">
        <w:rPr>
          <w:lang w:val="en-CA"/>
        </w:rPr>
        <w:t xml:space="preserve">. </w:t>
      </w:r>
      <w:r w:rsidR="00FA1DB3" w:rsidRPr="00366942">
        <w:rPr>
          <w:lang w:val="en-CA"/>
        </w:rPr>
        <w:t xml:space="preserve">Likewise, not having access to the unlimited reimbursement </w:t>
      </w:r>
      <w:r w:rsidR="00C11FEE" w:rsidRPr="00366942">
        <w:rPr>
          <w:lang w:val="en-CA"/>
        </w:rPr>
        <w:t>of</w:t>
      </w:r>
      <w:r w:rsidR="00FA1DB3" w:rsidRPr="00366942">
        <w:rPr>
          <w:lang w:val="en-CA"/>
        </w:rPr>
        <w:t xml:space="preserve"> the cost of pregnancy-related care received outside Quebec has that same deleterious impact on women’s access to the job market and </w:t>
      </w:r>
      <w:r w:rsidR="00C11FEE" w:rsidRPr="00366942">
        <w:rPr>
          <w:lang w:val="en-CA"/>
        </w:rPr>
        <w:t xml:space="preserve">on </w:t>
      </w:r>
      <w:r w:rsidR="00FA1DB3" w:rsidRPr="00366942">
        <w:rPr>
          <w:lang w:val="en-CA"/>
        </w:rPr>
        <w:t>their socioeconomic status or well-being</w:t>
      </w:r>
      <w:r w:rsidR="00961A50" w:rsidRPr="00366942">
        <w:rPr>
          <w:lang w:val="en-CA"/>
        </w:rPr>
        <w:t>.</w:t>
      </w:r>
    </w:p>
    <w:p w14:paraId="7270A4C3" w14:textId="49D0FDCD" w:rsidR="00961A50" w:rsidRPr="00366942" w:rsidRDefault="00BE08F1" w:rsidP="00961A50">
      <w:pPr>
        <w:pStyle w:val="Paragraphe"/>
        <w:rPr>
          <w:lang w:val="en-CA"/>
        </w:rPr>
      </w:pPr>
      <w:r w:rsidRPr="00366942">
        <w:rPr>
          <w:lang w:val="en-CA"/>
        </w:rPr>
        <w:t xml:space="preserve">How </w:t>
      </w:r>
      <w:r w:rsidR="00EC159B" w:rsidRPr="00366942">
        <w:rPr>
          <w:lang w:val="en-CA"/>
        </w:rPr>
        <w:t>should this</w:t>
      </w:r>
      <w:r w:rsidRPr="00366942">
        <w:rPr>
          <w:lang w:val="en-CA"/>
        </w:rPr>
        <w:t xml:space="preserve"> be </w:t>
      </w:r>
      <w:r w:rsidR="00EC159B" w:rsidRPr="00366942">
        <w:rPr>
          <w:lang w:val="en-CA"/>
        </w:rPr>
        <w:t>resolved</w:t>
      </w:r>
      <w:r w:rsidR="00961A50" w:rsidRPr="00366942">
        <w:rPr>
          <w:lang w:val="en-CA"/>
        </w:rPr>
        <w:t>?</w:t>
      </w:r>
    </w:p>
    <w:p w14:paraId="666DD249" w14:textId="690C6D4F" w:rsidR="00961A50" w:rsidRPr="00366942" w:rsidRDefault="003125D7" w:rsidP="00961A50">
      <w:pPr>
        <w:pStyle w:val="Paragraphe"/>
        <w:rPr>
          <w:lang w:val="en-CA"/>
        </w:rPr>
      </w:pPr>
      <w:r w:rsidRPr="00366942">
        <w:rPr>
          <w:lang w:val="en-CA"/>
        </w:rPr>
        <w:t>In my view, we can begin by dismissing the comparison</w:t>
      </w:r>
      <w:r w:rsidR="00961A50" w:rsidRPr="00366942">
        <w:rPr>
          <w:lang w:val="en-CA"/>
        </w:rPr>
        <w:t xml:space="preserve"> </w:t>
      </w:r>
      <w:r w:rsidR="00217480" w:rsidRPr="00366942">
        <w:rPr>
          <w:lang w:val="en-CA"/>
        </w:rPr>
        <w:t>with</w:t>
      </w:r>
      <w:r w:rsidR="00961A50" w:rsidRPr="00366942">
        <w:rPr>
          <w:lang w:val="en-CA"/>
        </w:rPr>
        <w:t xml:space="preserve"> </w:t>
      </w:r>
      <w:r w:rsidR="00961A50" w:rsidRPr="00366942">
        <w:rPr>
          <w:i/>
          <w:iCs/>
          <w:lang w:val="en-CA"/>
        </w:rPr>
        <w:t>Kanyinda</w:t>
      </w:r>
      <w:r w:rsidR="00961A50" w:rsidRPr="00366942">
        <w:rPr>
          <w:lang w:val="en-CA"/>
        </w:rPr>
        <w:t xml:space="preserve">, </w:t>
      </w:r>
      <w:r w:rsidRPr="00366942">
        <w:rPr>
          <w:lang w:val="en-CA"/>
        </w:rPr>
        <w:t xml:space="preserve">which is </w:t>
      </w:r>
      <w:r w:rsidRPr="00366942">
        <w:rPr>
          <w:i/>
          <w:iCs/>
          <w:lang w:val="en-CA"/>
        </w:rPr>
        <w:t>not</w:t>
      </w:r>
      <w:r w:rsidRPr="00366942">
        <w:rPr>
          <w:lang w:val="en-CA"/>
        </w:rPr>
        <w:t xml:space="preserve"> an example of a situation where all persons are treated the same way</w:t>
      </w:r>
      <w:r w:rsidR="00DE5723" w:rsidRPr="00366942">
        <w:rPr>
          <w:lang w:val="en-CA"/>
        </w:rPr>
        <w:t>,</w:t>
      </w:r>
      <w:r w:rsidR="00C91865" w:rsidRPr="00366942">
        <w:rPr>
          <w:lang w:val="en-CA"/>
        </w:rPr>
        <w:t xml:space="preserve"> which indirectly gives rise to a distinction</w:t>
      </w:r>
      <w:r w:rsidR="00961A50" w:rsidRPr="00366942">
        <w:rPr>
          <w:lang w:val="en-CA"/>
        </w:rPr>
        <w:t xml:space="preserve">. </w:t>
      </w:r>
      <w:r w:rsidRPr="00366942">
        <w:rPr>
          <w:lang w:val="en-CA"/>
        </w:rPr>
        <w:t xml:space="preserve">In that case, as </w:t>
      </w:r>
      <w:r w:rsidR="00217480" w:rsidRPr="00366942">
        <w:rPr>
          <w:lang w:val="en-CA"/>
        </w:rPr>
        <w:t>described above</w:t>
      </w:r>
      <w:r w:rsidRPr="00366942">
        <w:rPr>
          <w:lang w:val="en-CA"/>
        </w:rPr>
        <w:t xml:space="preserve">, </w:t>
      </w:r>
      <w:r w:rsidR="00217480" w:rsidRPr="00366942">
        <w:rPr>
          <w:lang w:val="en-CA"/>
        </w:rPr>
        <w:t xml:space="preserve">the state extended </w:t>
      </w:r>
      <w:r w:rsidR="00E96217" w:rsidRPr="00366942">
        <w:rPr>
          <w:lang w:val="en-CA"/>
        </w:rPr>
        <w:t xml:space="preserve">a </w:t>
      </w:r>
      <w:r w:rsidR="00BF7542" w:rsidRPr="00366942">
        <w:rPr>
          <w:lang w:val="en-CA"/>
        </w:rPr>
        <w:t>practical</w:t>
      </w:r>
      <w:r w:rsidR="00E96217" w:rsidRPr="00366942">
        <w:rPr>
          <w:lang w:val="en-CA"/>
        </w:rPr>
        <w:t xml:space="preserve"> benefit to Quebec parents, i.e., the payment of a reduced contribution for access to subsidized childcare governed by the </w:t>
      </w:r>
      <w:r w:rsidR="00E96217" w:rsidRPr="00366942">
        <w:rPr>
          <w:i/>
          <w:iCs/>
          <w:lang w:val="en-CA"/>
        </w:rPr>
        <w:t>Educational Childcare Act</w:t>
      </w:r>
      <w:r w:rsidR="00E96217" w:rsidRPr="00366942">
        <w:rPr>
          <w:lang w:val="en-CA"/>
        </w:rPr>
        <w:t>,</w:t>
      </w:r>
      <w:r w:rsidR="00961A50" w:rsidRPr="00366942">
        <w:rPr>
          <w:rStyle w:val="Appelnotedebasdep"/>
          <w:lang w:val="en-CA"/>
        </w:rPr>
        <w:footnoteReference w:id="73"/>
      </w:r>
      <w:r w:rsidR="00E96217" w:rsidRPr="00366942">
        <w:rPr>
          <w:lang w:val="en-CA"/>
        </w:rPr>
        <w:t xml:space="preserve"> a benefit from which refugee claimants were excluded</w:t>
      </w:r>
      <w:r w:rsidR="00961A50" w:rsidRPr="00366942">
        <w:rPr>
          <w:lang w:val="en-CA"/>
        </w:rPr>
        <w:t xml:space="preserve">. </w:t>
      </w:r>
      <w:r w:rsidR="00BF7542" w:rsidRPr="00366942">
        <w:rPr>
          <w:lang w:val="en-CA"/>
        </w:rPr>
        <w:t>However, t</w:t>
      </w:r>
      <w:r w:rsidR="00E96217" w:rsidRPr="00366942">
        <w:rPr>
          <w:lang w:val="en-CA"/>
        </w:rPr>
        <w:t>he evidence showed that that exclusion</w:t>
      </w:r>
      <w:r w:rsidR="0003258F" w:rsidRPr="00366942">
        <w:rPr>
          <w:lang w:val="en-CA"/>
        </w:rPr>
        <w:t xml:space="preserve"> </w:t>
      </w:r>
      <w:r w:rsidR="00217480" w:rsidRPr="00366942">
        <w:rPr>
          <w:lang w:val="en-CA"/>
        </w:rPr>
        <w:t>predominantly</w:t>
      </w:r>
      <w:r w:rsidR="0003258F" w:rsidRPr="00366942">
        <w:rPr>
          <w:lang w:val="en-CA"/>
        </w:rPr>
        <w:t xml:space="preserve"> affected women, </w:t>
      </w:r>
      <w:r w:rsidR="00312D16" w:rsidRPr="00366942">
        <w:rPr>
          <w:lang w:val="en-CA"/>
        </w:rPr>
        <w:t>on whom rest</w:t>
      </w:r>
      <w:r w:rsidR="00BF7542" w:rsidRPr="00366942">
        <w:rPr>
          <w:lang w:val="en-CA"/>
        </w:rPr>
        <w:t>s</w:t>
      </w:r>
      <w:r w:rsidR="00312D16" w:rsidRPr="00366942">
        <w:rPr>
          <w:lang w:val="en-CA"/>
        </w:rPr>
        <w:t xml:space="preserve"> the</w:t>
      </w:r>
      <w:r w:rsidR="0003258F" w:rsidRPr="00366942">
        <w:rPr>
          <w:lang w:val="en-CA"/>
        </w:rPr>
        <w:t xml:space="preserve"> primar</w:t>
      </w:r>
      <w:r w:rsidR="00312D16" w:rsidRPr="00366942">
        <w:rPr>
          <w:lang w:val="en-CA"/>
        </w:rPr>
        <w:t>y</w:t>
      </w:r>
      <w:r w:rsidR="0003258F" w:rsidRPr="00366942">
        <w:rPr>
          <w:lang w:val="en-CA"/>
        </w:rPr>
        <w:t xml:space="preserve"> </w:t>
      </w:r>
      <w:r w:rsidR="00312D16" w:rsidRPr="00366942">
        <w:rPr>
          <w:lang w:val="en-CA"/>
        </w:rPr>
        <w:t>responsibility for children</w:t>
      </w:r>
      <w:r w:rsidR="0003258F" w:rsidRPr="00366942">
        <w:rPr>
          <w:lang w:val="en-CA"/>
        </w:rPr>
        <w:t xml:space="preserve">, </w:t>
      </w:r>
      <w:r w:rsidR="00BF7542" w:rsidRPr="00366942">
        <w:rPr>
          <w:lang w:val="en-CA"/>
        </w:rPr>
        <w:t>much more</w:t>
      </w:r>
      <w:r w:rsidR="0003258F" w:rsidRPr="00366942">
        <w:rPr>
          <w:lang w:val="en-CA"/>
        </w:rPr>
        <w:t xml:space="preserve"> than men, thus establishing a differential treatment on the basis of sex (which was held to be discriminatory, at the second step, since it reinforced women</w:t>
      </w:r>
      <w:r w:rsidR="00217480" w:rsidRPr="00366942">
        <w:rPr>
          <w:lang w:val="en-CA"/>
        </w:rPr>
        <w:t>’</w:t>
      </w:r>
      <w:r w:rsidR="0003258F" w:rsidRPr="00366942">
        <w:rPr>
          <w:lang w:val="en-CA"/>
        </w:rPr>
        <w:t xml:space="preserve">s historic and systemic disadvantage </w:t>
      </w:r>
      <w:r w:rsidR="0040088F" w:rsidRPr="00366942">
        <w:rPr>
          <w:lang w:val="en-CA"/>
        </w:rPr>
        <w:t>in the workplace</w:t>
      </w:r>
      <w:r w:rsidR="0003258F" w:rsidRPr="00366942">
        <w:rPr>
          <w:lang w:val="en-CA"/>
        </w:rPr>
        <w:t>, a disadvantage resulting form their family responsibilities.)</w:t>
      </w:r>
      <w:r w:rsidR="00961A50" w:rsidRPr="00366942">
        <w:rPr>
          <w:lang w:val="en-CA"/>
        </w:rPr>
        <w:t xml:space="preserve"> </w:t>
      </w:r>
      <w:r w:rsidR="0003258F" w:rsidRPr="00366942">
        <w:rPr>
          <w:lang w:val="en-CA"/>
        </w:rPr>
        <w:t xml:space="preserve">This is not the situation here, where the same limited benefit is </w:t>
      </w:r>
      <w:r w:rsidR="00312D16" w:rsidRPr="00366942">
        <w:rPr>
          <w:lang w:val="en-CA"/>
        </w:rPr>
        <w:t>extended</w:t>
      </w:r>
      <w:r w:rsidR="0003258F" w:rsidRPr="00366942">
        <w:rPr>
          <w:lang w:val="en-CA"/>
        </w:rPr>
        <w:t xml:space="preserve"> to all insured persons under the </w:t>
      </w:r>
      <w:r w:rsidR="0003258F" w:rsidRPr="00366942">
        <w:rPr>
          <w:i/>
          <w:iCs/>
          <w:lang w:val="en-CA"/>
        </w:rPr>
        <w:t>HIA</w:t>
      </w:r>
      <w:r w:rsidR="0003258F" w:rsidRPr="00366942">
        <w:rPr>
          <w:lang w:val="en-CA"/>
        </w:rPr>
        <w:t xml:space="preserve">: there is no exclusion, </w:t>
      </w:r>
      <w:r w:rsidR="00BF7542" w:rsidRPr="00366942">
        <w:rPr>
          <w:lang w:val="en-CA"/>
        </w:rPr>
        <w:t>whether</w:t>
      </w:r>
      <w:r w:rsidR="0003258F" w:rsidRPr="00366942">
        <w:rPr>
          <w:lang w:val="en-CA"/>
        </w:rPr>
        <w:t xml:space="preserve"> direct or indirect</w:t>
      </w:r>
      <w:r w:rsidR="00961A50" w:rsidRPr="00366942">
        <w:rPr>
          <w:lang w:val="en-CA"/>
        </w:rPr>
        <w:t>.</w:t>
      </w:r>
    </w:p>
    <w:p w14:paraId="1E2927B1" w14:textId="24B77E2C" w:rsidR="00961A50" w:rsidRPr="00366942" w:rsidRDefault="004C5B25" w:rsidP="00961A50">
      <w:pPr>
        <w:pStyle w:val="Paragraphe"/>
        <w:rPr>
          <w:lang w:val="en-CA"/>
        </w:rPr>
      </w:pPr>
      <w:r w:rsidRPr="00366942">
        <w:rPr>
          <w:lang w:val="en-CA"/>
        </w:rPr>
        <w:t>It is</w:t>
      </w:r>
      <w:r w:rsidR="00961A50" w:rsidRPr="00366942">
        <w:rPr>
          <w:lang w:val="en-CA"/>
        </w:rPr>
        <w:t xml:space="preserve"> </w:t>
      </w:r>
      <w:r w:rsidR="00961A50" w:rsidRPr="00366942">
        <w:rPr>
          <w:i/>
          <w:iCs/>
          <w:lang w:val="en-CA"/>
        </w:rPr>
        <w:t>Eldridge</w:t>
      </w:r>
      <w:r w:rsidR="00961A50" w:rsidRPr="00366942">
        <w:rPr>
          <w:rStyle w:val="Appelnotedebasdep"/>
          <w:lang w:val="en-CA"/>
        </w:rPr>
        <w:footnoteReference w:id="74"/>
      </w:r>
      <w:r w:rsidRPr="00366942">
        <w:rPr>
          <w:i/>
          <w:iCs/>
          <w:lang w:val="en-CA"/>
        </w:rPr>
        <w:t xml:space="preserve">, </w:t>
      </w:r>
      <w:r w:rsidRPr="00366942">
        <w:rPr>
          <w:lang w:val="en-CA"/>
        </w:rPr>
        <w:t>rather,</w:t>
      </w:r>
      <w:r w:rsidR="00961A50" w:rsidRPr="00366942">
        <w:rPr>
          <w:lang w:val="en-CA"/>
        </w:rPr>
        <w:t xml:space="preserve"> </w:t>
      </w:r>
      <w:r w:rsidRPr="00366942">
        <w:rPr>
          <w:lang w:val="en-CA"/>
        </w:rPr>
        <w:t>that illustrate</w:t>
      </w:r>
      <w:r w:rsidR="00B73371" w:rsidRPr="00366942">
        <w:rPr>
          <w:lang w:val="en-CA"/>
        </w:rPr>
        <w:t>s</w:t>
      </w:r>
      <w:r w:rsidRPr="00366942">
        <w:rPr>
          <w:lang w:val="en-CA"/>
        </w:rPr>
        <w:t xml:space="preserve"> here the notion that apparently equal treatment can lead to discriminatory distinctions and require that the state, in certain circumstances, proactively exten</w:t>
      </w:r>
      <w:r w:rsidR="00B73371" w:rsidRPr="00366942">
        <w:rPr>
          <w:lang w:val="en-CA"/>
        </w:rPr>
        <w:t>d</w:t>
      </w:r>
      <w:r w:rsidRPr="00366942">
        <w:rPr>
          <w:lang w:val="en-CA"/>
        </w:rPr>
        <w:t xml:space="preserve"> to some what it does not </w:t>
      </w:r>
      <w:r w:rsidR="004112A8" w:rsidRPr="00366942">
        <w:rPr>
          <w:lang w:val="en-CA"/>
        </w:rPr>
        <w:t>make available</w:t>
      </w:r>
      <w:r w:rsidRPr="00366942">
        <w:rPr>
          <w:lang w:val="en-CA"/>
        </w:rPr>
        <w:t xml:space="preserve"> to others, i.e.,</w:t>
      </w:r>
      <w:r w:rsidR="004112A8" w:rsidRPr="00366942">
        <w:rPr>
          <w:lang w:val="en-CA"/>
        </w:rPr>
        <w:t xml:space="preserve"> “accommodation for members of protected groups.”</w:t>
      </w:r>
      <w:r w:rsidR="00961A50" w:rsidRPr="00366942">
        <w:rPr>
          <w:rStyle w:val="Appelnotedebasdep"/>
          <w:lang w:val="en-CA"/>
        </w:rPr>
        <w:footnoteReference w:id="75"/>
      </w:r>
      <w:r w:rsidR="004112A8" w:rsidRPr="00366942">
        <w:rPr>
          <w:lang w:val="en-CA"/>
        </w:rPr>
        <w:t xml:space="preserve"> However, that duty arises, as was the case in</w:t>
      </w:r>
      <w:r w:rsidR="00961A50" w:rsidRPr="00366942">
        <w:rPr>
          <w:lang w:val="en-CA"/>
        </w:rPr>
        <w:t xml:space="preserve"> </w:t>
      </w:r>
      <w:r w:rsidR="00961A50" w:rsidRPr="00366942">
        <w:rPr>
          <w:i/>
          <w:iCs/>
          <w:lang w:val="en-CA"/>
        </w:rPr>
        <w:t>Eldridg</w:t>
      </w:r>
      <w:r w:rsidR="00961A50" w:rsidRPr="00366942">
        <w:rPr>
          <w:lang w:val="en-CA"/>
        </w:rPr>
        <w:t>e</w:t>
      </w:r>
      <w:r w:rsidR="00961A50" w:rsidRPr="00366942">
        <w:rPr>
          <w:i/>
          <w:iCs/>
          <w:lang w:val="en-CA"/>
        </w:rPr>
        <w:t xml:space="preserve">, </w:t>
      </w:r>
      <w:r w:rsidR="004112A8" w:rsidRPr="00366942">
        <w:rPr>
          <w:lang w:val="en-CA"/>
        </w:rPr>
        <w:t xml:space="preserve">when measures must be taken </w:t>
      </w:r>
      <w:r w:rsidR="00CB50DD" w:rsidRPr="00366942">
        <w:rPr>
          <w:lang w:val="en-CA"/>
        </w:rPr>
        <w:t>t</w:t>
      </w:r>
      <w:r w:rsidR="004112A8" w:rsidRPr="00366942">
        <w:rPr>
          <w:lang w:val="en-CA"/>
        </w:rPr>
        <w:t xml:space="preserve">o ensure that members of a protected group </w:t>
      </w:r>
      <w:r w:rsidR="004112A8" w:rsidRPr="00366942">
        <w:rPr>
          <w:i/>
          <w:iCs/>
          <w:lang w:val="en-CA"/>
        </w:rPr>
        <w:t>truly</w:t>
      </w:r>
      <w:r w:rsidR="004112A8" w:rsidRPr="00366942">
        <w:rPr>
          <w:lang w:val="en-CA"/>
        </w:rPr>
        <w:t xml:space="preserve"> have access to the same advantages or services </w:t>
      </w:r>
      <w:r w:rsidR="004112A8" w:rsidRPr="00366942">
        <w:rPr>
          <w:i/>
          <w:iCs/>
          <w:lang w:val="en-CA"/>
        </w:rPr>
        <w:t>made available</w:t>
      </w:r>
      <w:r w:rsidR="00961A50" w:rsidRPr="00366942">
        <w:rPr>
          <w:lang w:val="en-CA"/>
        </w:rPr>
        <w:t xml:space="preserve"> </w:t>
      </w:r>
      <w:r w:rsidR="004112A8" w:rsidRPr="00366942">
        <w:rPr>
          <w:lang w:val="en-CA"/>
        </w:rPr>
        <w:t>to all</w:t>
      </w:r>
      <w:r w:rsidR="00961A50" w:rsidRPr="00366942">
        <w:rPr>
          <w:lang w:val="en-CA"/>
        </w:rPr>
        <w:t xml:space="preserve">. </w:t>
      </w:r>
      <w:r w:rsidR="004112A8" w:rsidRPr="00366942">
        <w:rPr>
          <w:lang w:val="en-CA"/>
        </w:rPr>
        <w:t>In that case</w:t>
      </w:r>
      <w:r w:rsidR="00961A50" w:rsidRPr="00366942">
        <w:rPr>
          <w:lang w:val="en-CA"/>
        </w:rPr>
        <w:t xml:space="preserve">, </w:t>
      </w:r>
      <w:r w:rsidR="004112A8" w:rsidRPr="00366942">
        <w:rPr>
          <w:lang w:val="en-CA"/>
        </w:rPr>
        <w:t>the fact that the state did not offer interpretation services</w:t>
      </w:r>
      <w:r w:rsidR="00961A50" w:rsidRPr="00366942">
        <w:rPr>
          <w:lang w:val="en-CA"/>
        </w:rPr>
        <w:t xml:space="preserve"> (</w:t>
      </w:r>
      <w:r w:rsidR="004112A8" w:rsidRPr="00366942">
        <w:rPr>
          <w:lang w:val="en-CA"/>
        </w:rPr>
        <w:t>in sign language</w:t>
      </w:r>
      <w:r w:rsidR="00DB3DFF" w:rsidRPr="00366942">
        <w:rPr>
          <w:lang w:val="en-CA"/>
        </w:rPr>
        <w:t>, to be precise</w:t>
      </w:r>
      <w:r w:rsidR="004112A8" w:rsidRPr="00366942">
        <w:rPr>
          <w:lang w:val="en-CA"/>
        </w:rPr>
        <w:t>) effectively</w:t>
      </w:r>
      <w:r w:rsidR="00961A50" w:rsidRPr="00366942">
        <w:rPr>
          <w:lang w:val="en-CA"/>
        </w:rPr>
        <w:t xml:space="preserve"> </w:t>
      </w:r>
      <w:r w:rsidR="004112A8" w:rsidRPr="00366942">
        <w:rPr>
          <w:lang w:val="en-CA"/>
        </w:rPr>
        <w:t>denied</w:t>
      </w:r>
      <w:r w:rsidR="007F72C4" w:rsidRPr="00366942">
        <w:rPr>
          <w:lang w:val="en-CA"/>
        </w:rPr>
        <w:t xml:space="preserve"> persons with a hearing </w:t>
      </w:r>
      <w:r w:rsidR="00B2437F" w:rsidRPr="00366942">
        <w:rPr>
          <w:lang w:val="en-CA"/>
        </w:rPr>
        <w:t>loss</w:t>
      </w:r>
      <w:r w:rsidR="007F72C4" w:rsidRPr="00366942">
        <w:rPr>
          <w:lang w:val="en-CA"/>
        </w:rPr>
        <w:t xml:space="preserve"> healthcare of equivalent quality to that enjoyed by persons that did not have that </w:t>
      </w:r>
      <w:r w:rsidR="00B73371" w:rsidRPr="00366942">
        <w:rPr>
          <w:lang w:val="en-CA"/>
        </w:rPr>
        <w:t>difficulty</w:t>
      </w:r>
      <w:r w:rsidR="007F72C4" w:rsidRPr="00366942">
        <w:rPr>
          <w:lang w:val="en-CA"/>
        </w:rPr>
        <w:t xml:space="preserve">. The distinction lay in that adverse impact of government rules which, by not providing interpreters to anyone (and thus apparently treating everyone the same way), adversely affected </w:t>
      </w:r>
      <w:r w:rsidR="00B2437F" w:rsidRPr="00366942">
        <w:rPr>
          <w:lang w:val="en-CA"/>
        </w:rPr>
        <w:t xml:space="preserve">those with hearing impairments </w:t>
      </w:r>
      <w:r w:rsidR="007F72C4" w:rsidRPr="00366942">
        <w:rPr>
          <w:lang w:val="en-CA"/>
        </w:rPr>
        <w:t xml:space="preserve">by interfering with their access to quality health </w:t>
      </w:r>
      <w:r w:rsidR="007F72C4" w:rsidRPr="00366942">
        <w:rPr>
          <w:lang w:val="en-CA"/>
        </w:rPr>
        <w:lastRenderedPageBreak/>
        <w:t>care</w:t>
      </w:r>
      <w:r w:rsidR="00961A50" w:rsidRPr="00366942">
        <w:rPr>
          <w:lang w:val="en-CA"/>
        </w:rPr>
        <w:t xml:space="preserve">. </w:t>
      </w:r>
      <w:r w:rsidR="007F72C4" w:rsidRPr="00366942">
        <w:rPr>
          <w:lang w:val="en-CA"/>
        </w:rPr>
        <w:t xml:space="preserve">Such persons were thus prevented from enjoying the equal protection and the equal benefit as that of </w:t>
      </w:r>
      <w:r w:rsidR="00FC569F" w:rsidRPr="00366942">
        <w:rPr>
          <w:lang w:val="en-CA"/>
        </w:rPr>
        <w:t>hearing persons</w:t>
      </w:r>
      <w:r w:rsidR="007F72C4" w:rsidRPr="00366942">
        <w:rPr>
          <w:lang w:val="en-CA"/>
        </w:rPr>
        <w:t>, within the meaning of s</w:t>
      </w:r>
      <w:r w:rsidR="00961A50" w:rsidRPr="00366942">
        <w:rPr>
          <w:lang w:val="en-CA"/>
        </w:rPr>
        <w:t xml:space="preserve">. 15(1) </w:t>
      </w:r>
      <w:r w:rsidR="007F72C4" w:rsidRPr="00366942">
        <w:rPr>
          <w:lang w:val="en-CA"/>
        </w:rPr>
        <w:t>of the</w:t>
      </w:r>
      <w:r w:rsidR="00961A50" w:rsidRPr="00366942">
        <w:rPr>
          <w:lang w:val="en-CA"/>
        </w:rPr>
        <w:t xml:space="preserve"> </w:t>
      </w:r>
      <w:r w:rsidR="007F72C4" w:rsidRPr="00366942">
        <w:rPr>
          <w:i/>
          <w:iCs/>
          <w:lang w:val="en-CA"/>
        </w:rPr>
        <w:t>Canadian Charter</w:t>
      </w:r>
      <w:r w:rsidR="00961A50" w:rsidRPr="00366942">
        <w:rPr>
          <w:i/>
          <w:iCs/>
          <w:lang w:val="en-CA"/>
        </w:rPr>
        <w:t>,</w:t>
      </w:r>
      <w:r w:rsidR="00961A50" w:rsidRPr="00366942">
        <w:rPr>
          <w:lang w:val="en-CA"/>
        </w:rPr>
        <w:t xml:space="preserve"> </w:t>
      </w:r>
      <w:r w:rsidR="007F72C4" w:rsidRPr="00366942">
        <w:rPr>
          <w:lang w:val="en-CA"/>
        </w:rPr>
        <w:t xml:space="preserve">the absence of interpreter </w:t>
      </w:r>
      <w:r w:rsidR="00760A78" w:rsidRPr="00366942">
        <w:rPr>
          <w:lang w:val="en-CA"/>
        </w:rPr>
        <w:t>lea</w:t>
      </w:r>
      <w:r w:rsidR="00DB3DFF" w:rsidRPr="00366942">
        <w:rPr>
          <w:lang w:val="en-CA"/>
        </w:rPr>
        <w:t>d</w:t>
      </w:r>
      <w:r w:rsidR="00760A78" w:rsidRPr="00366942">
        <w:rPr>
          <w:lang w:val="en-CA"/>
        </w:rPr>
        <w:t>ing</w:t>
      </w:r>
      <w:r w:rsidR="007F72C4" w:rsidRPr="00366942">
        <w:rPr>
          <w:lang w:val="en-CA"/>
        </w:rPr>
        <w:t xml:space="preserve"> them </w:t>
      </w:r>
      <w:r w:rsidR="00DB3DFF" w:rsidRPr="00366942">
        <w:rPr>
          <w:lang w:val="en-CA"/>
        </w:rPr>
        <w:t xml:space="preserve">to </w:t>
      </w:r>
      <w:r w:rsidR="007F72C4" w:rsidRPr="00366942">
        <w:rPr>
          <w:lang w:val="en-CA"/>
        </w:rPr>
        <w:t>recei</w:t>
      </w:r>
      <w:r w:rsidR="00DB3DFF" w:rsidRPr="00366942">
        <w:rPr>
          <w:lang w:val="en-CA"/>
        </w:rPr>
        <w:t>ve</w:t>
      </w:r>
      <w:r w:rsidR="007F72C4" w:rsidRPr="00366942">
        <w:rPr>
          <w:lang w:val="en-CA"/>
        </w:rPr>
        <w:t xml:space="preserve"> health services of lesser quality than that</w:t>
      </w:r>
      <w:r w:rsidR="00FC569F" w:rsidRPr="00366942">
        <w:rPr>
          <w:lang w:val="en-CA"/>
        </w:rPr>
        <w:t xml:space="preserve"> provided to hearing persons</w:t>
      </w:r>
      <w:r w:rsidR="00961A50" w:rsidRPr="00366942">
        <w:rPr>
          <w:lang w:val="en-CA"/>
        </w:rPr>
        <w:t xml:space="preserve">. </w:t>
      </w:r>
      <w:r w:rsidR="00FC569F" w:rsidRPr="00366942">
        <w:rPr>
          <w:lang w:val="en-CA"/>
        </w:rPr>
        <w:t xml:space="preserve">In other words, and </w:t>
      </w:r>
      <w:r w:rsidR="00B2437F" w:rsidRPr="00366942">
        <w:rPr>
          <w:lang w:val="en-CA"/>
        </w:rPr>
        <w:t>to borrow the language used in</w:t>
      </w:r>
      <w:r w:rsidR="00961A50" w:rsidRPr="00366942">
        <w:rPr>
          <w:lang w:val="en-CA"/>
        </w:rPr>
        <w:t xml:space="preserve"> </w:t>
      </w:r>
      <w:r w:rsidR="00961A50" w:rsidRPr="00366942">
        <w:rPr>
          <w:i/>
          <w:iCs/>
          <w:lang w:val="en-CA"/>
        </w:rPr>
        <w:t>Law</w:t>
      </w:r>
      <w:bookmarkStart w:id="43" w:name="_Ref174278118"/>
      <w:r w:rsidR="00961A50" w:rsidRPr="00366942">
        <w:rPr>
          <w:rStyle w:val="Appelnotedebasdep"/>
          <w:lang w:val="en-CA"/>
        </w:rPr>
        <w:footnoteReference w:id="76"/>
      </w:r>
      <w:bookmarkEnd w:id="43"/>
      <w:r w:rsidR="00961A50" w:rsidRPr="00366942">
        <w:rPr>
          <w:lang w:val="en-CA"/>
        </w:rPr>
        <w:t xml:space="preserve">, </w:t>
      </w:r>
      <w:r w:rsidR="00FC569F" w:rsidRPr="00366942">
        <w:rPr>
          <w:lang w:val="en-CA"/>
        </w:rPr>
        <w:t>the state</w:t>
      </w:r>
      <w:r w:rsidR="00961A50" w:rsidRPr="00366942">
        <w:rPr>
          <w:lang w:val="en-CA"/>
        </w:rPr>
        <w:t xml:space="preserve">, </w:t>
      </w:r>
      <w:bookmarkStart w:id="44" w:name="_Hlk183433110"/>
      <w:r w:rsidR="00FC569F" w:rsidRPr="00366942">
        <w:rPr>
          <w:lang w:val="en-CA"/>
        </w:rPr>
        <w:t>in failing to take into account</w:t>
      </w:r>
      <w:r w:rsidR="00961A50" w:rsidRPr="00366942">
        <w:rPr>
          <w:lang w:val="en-CA"/>
        </w:rPr>
        <w:t xml:space="preserve"> </w:t>
      </w:r>
      <w:r w:rsidR="00FC569F" w:rsidRPr="00366942">
        <w:rPr>
          <w:lang w:val="en-CA"/>
        </w:rPr>
        <w:t>hearing impaired persons’ already disadvantaged position within Canadian society, resulted in substantively differential treatment between them and others on the basis of a personal characteristic, in th</w:t>
      </w:r>
      <w:r w:rsidR="00DB3DFF" w:rsidRPr="00366942">
        <w:rPr>
          <w:lang w:val="en-CA"/>
        </w:rPr>
        <w:t>at</w:t>
      </w:r>
      <w:r w:rsidR="00FC569F" w:rsidRPr="00366942">
        <w:rPr>
          <w:lang w:val="en-CA"/>
        </w:rPr>
        <w:t xml:space="preserve"> case, their hearing impairment</w:t>
      </w:r>
      <w:bookmarkEnd w:id="44"/>
      <w:r w:rsidR="00961A50" w:rsidRPr="00366942">
        <w:rPr>
          <w:lang w:val="en-CA"/>
        </w:rPr>
        <w:t>.</w:t>
      </w:r>
    </w:p>
    <w:p w14:paraId="2BE47DBB" w14:textId="1CD70F86" w:rsidR="00961A50" w:rsidRPr="00366942" w:rsidRDefault="00760A78" w:rsidP="00961A50">
      <w:pPr>
        <w:pStyle w:val="Paragraphe"/>
        <w:rPr>
          <w:lang w:val="en-CA"/>
        </w:rPr>
      </w:pPr>
      <w:r w:rsidRPr="00366942">
        <w:rPr>
          <w:lang w:val="en-CA"/>
        </w:rPr>
        <w:t xml:space="preserve">The situation </w:t>
      </w:r>
      <w:r w:rsidR="00D12AB4" w:rsidRPr="00366942">
        <w:rPr>
          <w:lang w:val="en-CA"/>
        </w:rPr>
        <w:t>evoked by</w:t>
      </w:r>
      <w:r w:rsidRPr="00366942">
        <w:rPr>
          <w:lang w:val="en-CA"/>
        </w:rPr>
        <w:t xml:space="preserve"> the appellant is not of the same nature, however, </w:t>
      </w:r>
      <w:r w:rsidR="00BA0F0D" w:rsidRPr="00366942">
        <w:rPr>
          <w:lang w:val="en-CA"/>
        </w:rPr>
        <w:t xml:space="preserve">and, even if </w:t>
      </w:r>
      <w:r w:rsidR="00D12AB4" w:rsidRPr="00366942">
        <w:rPr>
          <w:lang w:val="en-CA"/>
        </w:rPr>
        <w:t xml:space="preserve">one cannot deny </w:t>
      </w:r>
      <w:r w:rsidR="00BA0F0D" w:rsidRPr="00366942">
        <w:rPr>
          <w:lang w:val="en-CA"/>
        </w:rPr>
        <w:t xml:space="preserve">the systemic socioeconomic disadvantage that women face, notably for reasons related to pregnancy, reproductive health and family responsibilities, the fact remains that the evidence does not show how s. </w:t>
      </w:r>
      <w:r w:rsidR="00961A50" w:rsidRPr="00366942">
        <w:rPr>
          <w:lang w:val="en-CA"/>
        </w:rPr>
        <w:t>10</w:t>
      </w:r>
      <w:r w:rsidR="00BA0F0D" w:rsidRPr="00366942">
        <w:rPr>
          <w:lang w:val="en-CA"/>
        </w:rPr>
        <w:t>, para</w:t>
      </w:r>
      <w:r w:rsidR="00961A50" w:rsidRPr="00366942">
        <w:rPr>
          <w:lang w:val="en-CA"/>
        </w:rPr>
        <w:t>. 4 </w:t>
      </w:r>
      <w:r w:rsidR="00BA0F0D" w:rsidRPr="00366942">
        <w:rPr>
          <w:i/>
          <w:iCs/>
          <w:lang w:val="en-CA"/>
        </w:rPr>
        <w:t>HIA</w:t>
      </w:r>
      <w:r w:rsidR="00961A50" w:rsidRPr="00366942">
        <w:rPr>
          <w:lang w:val="en-CA"/>
        </w:rPr>
        <w:t xml:space="preserve"> </w:t>
      </w:r>
      <w:r w:rsidR="00BA0F0D" w:rsidRPr="00366942">
        <w:rPr>
          <w:lang w:val="en-CA"/>
        </w:rPr>
        <w:t xml:space="preserve">would have a </w:t>
      </w:r>
      <w:r w:rsidR="00D12AB4" w:rsidRPr="00366942">
        <w:rPr>
          <w:lang w:val="en-CA"/>
        </w:rPr>
        <w:t>more pronounced</w:t>
      </w:r>
      <w:r w:rsidR="00BA0F0D" w:rsidRPr="00366942">
        <w:rPr>
          <w:lang w:val="en-CA"/>
        </w:rPr>
        <w:t xml:space="preserve"> adverse impact on women, as compared to men or members of other groups (whether protected</w:t>
      </w:r>
      <w:r w:rsidR="009E0514" w:rsidRPr="00366942">
        <w:rPr>
          <w:lang w:val="en-CA"/>
        </w:rPr>
        <w:t xml:space="preserve"> or not</w:t>
      </w:r>
      <w:r w:rsidR="00BA0F0D" w:rsidRPr="00366942">
        <w:rPr>
          <w:lang w:val="en-CA"/>
        </w:rPr>
        <w:t xml:space="preserve"> within the meaning of s</w:t>
      </w:r>
      <w:r w:rsidR="00961A50" w:rsidRPr="00366942">
        <w:rPr>
          <w:lang w:val="en-CA"/>
        </w:rPr>
        <w:t xml:space="preserve">. 15 </w:t>
      </w:r>
      <w:r w:rsidR="00BA0F0D" w:rsidRPr="00366942">
        <w:rPr>
          <w:lang w:val="en-CA"/>
        </w:rPr>
        <w:t>of the</w:t>
      </w:r>
      <w:r w:rsidR="00961A50" w:rsidRPr="00366942">
        <w:rPr>
          <w:lang w:val="en-CA"/>
        </w:rPr>
        <w:t xml:space="preserve"> </w:t>
      </w:r>
      <w:r w:rsidR="00BA0F0D" w:rsidRPr="00366942">
        <w:rPr>
          <w:i/>
          <w:iCs/>
          <w:lang w:val="en-CA"/>
        </w:rPr>
        <w:t>Canadian Charter</w:t>
      </w:r>
      <w:r w:rsidR="00961A50" w:rsidRPr="00366942">
        <w:rPr>
          <w:lang w:val="en-CA"/>
        </w:rPr>
        <w:t xml:space="preserve">), </w:t>
      </w:r>
      <w:r w:rsidR="00BA0F0D" w:rsidRPr="00366942">
        <w:rPr>
          <w:lang w:val="en-CA"/>
        </w:rPr>
        <w:t xml:space="preserve">thus creating a distinction, that is to say differential treatment </w:t>
      </w:r>
      <w:r w:rsidR="009E0514" w:rsidRPr="00366942">
        <w:rPr>
          <w:lang w:val="en-CA"/>
        </w:rPr>
        <w:t>in relation</w:t>
      </w:r>
      <w:r w:rsidR="00BA0F0D" w:rsidRPr="00366942">
        <w:rPr>
          <w:lang w:val="en-CA"/>
        </w:rPr>
        <w:t xml:space="preserve"> to </w:t>
      </w:r>
      <w:r w:rsidR="009E0514" w:rsidRPr="00366942">
        <w:rPr>
          <w:lang w:val="en-CA"/>
        </w:rPr>
        <w:t>the same</w:t>
      </w:r>
      <w:r w:rsidR="00BA0F0D" w:rsidRPr="00366942">
        <w:rPr>
          <w:lang w:val="en-CA"/>
        </w:rPr>
        <w:t xml:space="preserve"> </w:t>
      </w:r>
      <w:r w:rsidR="009E0514" w:rsidRPr="00366942">
        <w:rPr>
          <w:lang w:val="en-CA"/>
        </w:rPr>
        <w:t>benefit</w:t>
      </w:r>
      <w:r w:rsidR="00BA0F0D" w:rsidRPr="00366942">
        <w:rPr>
          <w:lang w:val="en-CA"/>
        </w:rPr>
        <w:t>, i.e, in the case at bar, access to health care and services</w:t>
      </w:r>
      <w:r w:rsidR="00961A50" w:rsidRPr="00366942">
        <w:rPr>
          <w:lang w:val="en-CA"/>
        </w:rPr>
        <w:t>.</w:t>
      </w:r>
    </w:p>
    <w:p w14:paraId="77B82CE5" w14:textId="5D20E94B" w:rsidR="00961A50" w:rsidRPr="00366942" w:rsidRDefault="00D12AB4" w:rsidP="00961A50">
      <w:pPr>
        <w:pStyle w:val="Paragraphe"/>
        <w:rPr>
          <w:lang w:val="en-CA"/>
        </w:rPr>
      </w:pPr>
      <w:r w:rsidRPr="00366942">
        <w:rPr>
          <w:lang w:val="en-CA"/>
        </w:rPr>
        <w:t>In support of her position, the appellant filed the report and testimony of</w:t>
      </w:r>
      <w:r w:rsidR="00EE549D" w:rsidRPr="00366942">
        <w:rPr>
          <w:lang w:val="en-CA"/>
        </w:rPr>
        <w:t xml:space="preserve"> an</w:t>
      </w:r>
      <w:r w:rsidR="009E0514" w:rsidRPr="00366942">
        <w:rPr>
          <w:lang w:val="en-CA"/>
        </w:rPr>
        <w:t xml:space="preserve"> expert</w:t>
      </w:r>
      <w:r w:rsidR="00042150" w:rsidRPr="00366942">
        <w:rPr>
          <w:lang w:val="en-CA"/>
        </w:rPr>
        <w:t xml:space="preserve"> </w:t>
      </w:r>
      <w:r w:rsidR="00EE549D" w:rsidRPr="00366942">
        <w:rPr>
          <w:lang w:val="en-CA"/>
        </w:rPr>
        <w:t>witness, sexologist</w:t>
      </w:r>
      <w:r w:rsidR="00961A50" w:rsidRPr="00366942">
        <w:rPr>
          <w:lang w:val="en-CA"/>
        </w:rPr>
        <w:t xml:space="preserve"> Sylvie Lévesque, </w:t>
      </w:r>
      <w:r w:rsidRPr="00366942">
        <w:rPr>
          <w:lang w:val="en-CA"/>
        </w:rPr>
        <w:t xml:space="preserve">holder of a </w:t>
      </w:r>
      <w:r w:rsidR="00897CD0" w:rsidRPr="00366942">
        <w:rPr>
          <w:lang w:val="en-CA"/>
        </w:rPr>
        <w:t>PhD</w:t>
      </w:r>
      <w:r w:rsidRPr="00366942">
        <w:rPr>
          <w:lang w:val="en-CA"/>
        </w:rPr>
        <w:t xml:space="preserve"> in public health</w:t>
      </w:r>
      <w:r w:rsidR="00897CD0" w:rsidRPr="00366942">
        <w:rPr>
          <w:lang w:val="en-CA"/>
        </w:rPr>
        <w:t xml:space="preserve"> and professor at </w:t>
      </w:r>
      <w:r w:rsidR="00961A50" w:rsidRPr="00366942">
        <w:rPr>
          <w:lang w:val="en-CA"/>
        </w:rPr>
        <w:t>UQAM</w:t>
      </w:r>
      <w:r w:rsidR="00EE549D" w:rsidRPr="00366942">
        <w:rPr>
          <w:lang w:val="en-CA"/>
        </w:rPr>
        <w:t>’s</w:t>
      </w:r>
      <w:r w:rsidR="00897CD0" w:rsidRPr="00366942">
        <w:rPr>
          <w:lang w:val="en-CA"/>
        </w:rPr>
        <w:t xml:space="preserve"> (University of Quebec at Montreal</w:t>
      </w:r>
      <w:r w:rsidR="00EE549D" w:rsidRPr="00366942">
        <w:rPr>
          <w:lang w:val="en-CA"/>
        </w:rPr>
        <w:t>) Sexology Department</w:t>
      </w:r>
      <w:r w:rsidR="00961A50" w:rsidRPr="00366942">
        <w:rPr>
          <w:lang w:val="en-CA"/>
        </w:rPr>
        <w:t xml:space="preserve">. </w:t>
      </w:r>
      <w:r w:rsidR="00897CD0" w:rsidRPr="00366942">
        <w:t>The report</w:t>
      </w:r>
      <w:r w:rsidR="00961A50" w:rsidRPr="00366942">
        <w:t xml:space="preserve">, </w:t>
      </w:r>
      <w:r w:rsidR="00897CD0" w:rsidRPr="00366942">
        <w:t>entitled</w:t>
      </w:r>
      <w:r w:rsidR="00961A50" w:rsidRPr="00366942">
        <w:t xml:space="preserve"> </w:t>
      </w:r>
      <w:r w:rsidR="00897CD0" w:rsidRPr="00366942">
        <w:t>“</w:t>
      </w:r>
      <w:r w:rsidR="00961A50" w:rsidRPr="00366942">
        <w:t>L’accès à l’avortement : quels enjeux pour le bien-être des femmes?</w:t>
      </w:r>
      <w:r w:rsidR="00897CD0" w:rsidRPr="00366942">
        <w:t xml:space="preserve">” </w:t>
      </w:r>
      <w:r w:rsidR="00897CD0" w:rsidRPr="00366942">
        <w:rPr>
          <w:lang w:val="en-CA"/>
        </w:rPr>
        <w:t>(Access to Abortion: What’s at Stake for Women’s Wellbeing”)</w:t>
      </w:r>
      <w:r w:rsidR="00961A50" w:rsidRPr="00366942">
        <w:rPr>
          <w:lang w:val="en-CA"/>
        </w:rPr>
        <w:t xml:space="preserve">, </w:t>
      </w:r>
      <w:r w:rsidR="009C6A11" w:rsidRPr="00366942">
        <w:rPr>
          <w:lang w:val="en-CA"/>
        </w:rPr>
        <w:t xml:space="preserve">deals exclusively, as its title indicates, with </w:t>
      </w:r>
      <w:r w:rsidR="00897CD0" w:rsidRPr="00366942">
        <w:rPr>
          <w:lang w:val="en-CA"/>
        </w:rPr>
        <w:t>access to VTP</w:t>
      </w:r>
      <w:r w:rsidR="00961A50" w:rsidRPr="00366942">
        <w:rPr>
          <w:lang w:val="en-CA"/>
        </w:rPr>
        <w:t xml:space="preserve"> – </w:t>
      </w:r>
      <w:r w:rsidR="00897CD0" w:rsidRPr="00366942">
        <w:rPr>
          <w:lang w:val="en-CA"/>
        </w:rPr>
        <w:t xml:space="preserve">and not </w:t>
      </w:r>
      <w:r w:rsidR="00EE549D" w:rsidRPr="00366942">
        <w:rPr>
          <w:lang w:val="en-CA"/>
        </w:rPr>
        <w:t>with</w:t>
      </w:r>
      <w:r w:rsidR="00897CD0" w:rsidRPr="00366942">
        <w:rPr>
          <w:lang w:val="en-CA"/>
        </w:rPr>
        <w:t xml:space="preserve"> reproductive health generally</w:t>
      </w:r>
      <w:r w:rsidR="00EE549D" w:rsidRPr="00366942">
        <w:rPr>
          <w:lang w:val="en-CA"/>
        </w:rPr>
        <w:t>,</w:t>
      </w:r>
      <w:r w:rsidR="00897CD0" w:rsidRPr="00366942">
        <w:rPr>
          <w:lang w:val="en-CA"/>
        </w:rPr>
        <w:t xml:space="preserve"> </w:t>
      </w:r>
      <w:r w:rsidR="00EE549D" w:rsidRPr="00366942">
        <w:rPr>
          <w:lang w:val="en-CA"/>
        </w:rPr>
        <w:t>which</w:t>
      </w:r>
      <w:r w:rsidR="00897CD0" w:rsidRPr="00366942">
        <w:rPr>
          <w:lang w:val="en-CA"/>
        </w:rPr>
        <w:t xml:space="preserve"> the appellant invokes here </w:t>
      </w:r>
      <w:r w:rsidR="00961A50" w:rsidRPr="00366942">
        <w:rPr>
          <w:lang w:val="en-CA"/>
        </w:rPr>
        <w:t xml:space="preserve"> – </w:t>
      </w:r>
      <w:r w:rsidR="00897CD0" w:rsidRPr="00366942">
        <w:rPr>
          <w:lang w:val="en-CA"/>
        </w:rPr>
        <w:t>and it is base</w:t>
      </w:r>
      <w:r w:rsidR="009C6A11" w:rsidRPr="00366942">
        <w:rPr>
          <w:lang w:val="en-CA"/>
        </w:rPr>
        <w:t>d</w:t>
      </w:r>
      <w:r w:rsidR="00897CD0" w:rsidRPr="00366942">
        <w:rPr>
          <w:lang w:val="en-CA"/>
        </w:rPr>
        <w:t xml:space="preserve"> on a literature review on the </w:t>
      </w:r>
      <w:r w:rsidR="009C6A11" w:rsidRPr="00366942">
        <w:rPr>
          <w:lang w:val="en-CA"/>
        </w:rPr>
        <w:t xml:space="preserve">subject, which literature comprises rather few studies from Quebec or Canada, as the expert pointed out </w:t>
      </w:r>
      <w:r w:rsidR="00EB5D44" w:rsidRPr="00366942">
        <w:rPr>
          <w:lang w:val="en-CA"/>
        </w:rPr>
        <w:t>in</w:t>
      </w:r>
      <w:r w:rsidR="009C6A11" w:rsidRPr="00366942">
        <w:rPr>
          <w:lang w:val="en-CA"/>
        </w:rPr>
        <w:t xml:space="preserve"> her testimony</w:t>
      </w:r>
      <w:r w:rsidR="002C74E3" w:rsidRPr="00366942">
        <w:rPr>
          <w:lang w:val="en-CA"/>
        </w:rPr>
        <w:t xml:space="preserve">, </w:t>
      </w:r>
      <w:r w:rsidR="009C6A11" w:rsidRPr="00366942">
        <w:rPr>
          <w:lang w:val="en-CA"/>
        </w:rPr>
        <w:t>which</w:t>
      </w:r>
      <w:r w:rsidR="002C74E3" w:rsidRPr="00366942">
        <w:rPr>
          <w:lang w:val="en-CA"/>
        </w:rPr>
        <w:t xml:space="preserve"> she </w:t>
      </w:r>
      <w:r w:rsidR="004D00B2" w:rsidRPr="00366942">
        <w:rPr>
          <w:lang w:val="en-CA"/>
        </w:rPr>
        <w:t xml:space="preserve">explained </w:t>
      </w:r>
      <w:r w:rsidR="009C6A11" w:rsidRPr="00366942">
        <w:rPr>
          <w:lang w:val="en-CA"/>
        </w:rPr>
        <w:t>by the fact that abortion is</w:t>
      </w:r>
      <w:r w:rsidR="008168F6" w:rsidRPr="00366942">
        <w:rPr>
          <w:lang w:val="en-CA"/>
        </w:rPr>
        <w:t xml:space="preserve"> generally </w:t>
      </w:r>
      <w:r w:rsidR="007B7AF4" w:rsidRPr="00366942">
        <w:rPr>
          <w:lang w:val="en-CA"/>
        </w:rPr>
        <w:t>accessible</w:t>
      </w:r>
      <w:r w:rsidR="009C6A11" w:rsidRPr="00366942">
        <w:rPr>
          <w:lang w:val="en-CA"/>
        </w:rPr>
        <w:t xml:space="preserve"> in Canada</w:t>
      </w:r>
      <w:r w:rsidR="00961A50" w:rsidRPr="00366942">
        <w:rPr>
          <w:lang w:val="en-CA"/>
        </w:rPr>
        <w:t xml:space="preserve"> </w:t>
      </w:r>
      <w:r w:rsidR="009C6A11" w:rsidRPr="00366942">
        <w:rPr>
          <w:lang w:val="en-CA"/>
        </w:rPr>
        <w:t>(in contrast, for example, to the United States.)</w:t>
      </w:r>
      <w:r w:rsidR="00961A50" w:rsidRPr="00366942">
        <w:rPr>
          <w:rStyle w:val="Appelnotedebasdep"/>
          <w:lang w:val="en-CA"/>
        </w:rPr>
        <w:footnoteReference w:id="77"/>
      </w:r>
      <w:r w:rsidR="00961A50" w:rsidRPr="00366942">
        <w:rPr>
          <w:lang w:val="en-CA"/>
        </w:rPr>
        <w:t xml:space="preserve"> </w:t>
      </w:r>
      <w:r w:rsidR="009C6A11" w:rsidRPr="00366942">
        <w:rPr>
          <w:lang w:val="en-CA"/>
        </w:rPr>
        <w:t xml:space="preserve">In that regard, the report </w:t>
      </w:r>
      <w:r w:rsidR="00EE549D" w:rsidRPr="00366942">
        <w:rPr>
          <w:lang w:val="en-CA"/>
        </w:rPr>
        <w:t>begins by noting</w:t>
      </w:r>
      <w:r w:rsidR="009C6A11" w:rsidRPr="00366942">
        <w:rPr>
          <w:lang w:val="en-CA"/>
        </w:rPr>
        <w:t xml:space="preserve"> the following</w:t>
      </w:r>
      <w:r w:rsidR="00961A50" w:rsidRPr="00366942">
        <w:rPr>
          <w:lang w:val="en-CA"/>
        </w:rPr>
        <w:t>:</w:t>
      </w:r>
    </w:p>
    <w:p w14:paraId="6F9F55B5" w14:textId="6D3F726D" w:rsidR="00961A50" w:rsidRPr="00366942" w:rsidRDefault="009C6A11" w:rsidP="00961A50">
      <w:pPr>
        <w:pStyle w:val="Citationenretrait"/>
        <w:rPr>
          <w:lang w:val="en-CA"/>
        </w:rPr>
      </w:pPr>
      <w:r w:rsidRPr="00366942">
        <w:rPr>
          <w:lang w:val="en-CA"/>
        </w:rPr>
        <w:t>[</w:t>
      </w:r>
      <w:r w:rsidRPr="00366942">
        <w:rPr>
          <w:smallCaps/>
          <w:lang w:val="en-CA"/>
        </w:rPr>
        <w:t>translation</w:t>
      </w:r>
      <w:r w:rsidRPr="00366942">
        <w:rPr>
          <w:lang w:val="en-CA"/>
        </w:rPr>
        <w:t xml:space="preserve">] </w:t>
      </w:r>
      <w:r w:rsidR="00B0705E" w:rsidRPr="00366942">
        <w:rPr>
          <w:lang w:val="en-CA"/>
        </w:rPr>
        <w:t>In Canada, abortion is considered</w:t>
      </w:r>
      <w:r w:rsidR="002C74E3" w:rsidRPr="00366942">
        <w:rPr>
          <w:lang w:val="en-CA"/>
        </w:rPr>
        <w:t xml:space="preserve"> to be</w:t>
      </w:r>
      <w:r w:rsidR="00B0705E" w:rsidRPr="00366942">
        <w:rPr>
          <w:lang w:val="en-CA"/>
        </w:rPr>
        <w:t xml:space="preserve"> a medical procedure, which must be performed by a </w:t>
      </w:r>
      <w:r w:rsidR="002C74E3" w:rsidRPr="00366942">
        <w:rPr>
          <w:lang w:val="en-CA"/>
        </w:rPr>
        <w:t>physician</w:t>
      </w:r>
      <w:r w:rsidR="00B0705E" w:rsidRPr="00366942">
        <w:rPr>
          <w:lang w:val="en-CA"/>
        </w:rPr>
        <w:t xml:space="preserve"> and offered free of charge to Canadian citizens under the </w:t>
      </w:r>
      <w:r w:rsidR="00B0705E" w:rsidRPr="00366942">
        <w:rPr>
          <w:i/>
          <w:iCs/>
          <w:lang w:val="en-CA"/>
        </w:rPr>
        <w:t>Canada Health Act</w:t>
      </w:r>
      <w:r w:rsidR="00B0705E" w:rsidRPr="00366942">
        <w:rPr>
          <w:lang w:val="en-CA"/>
        </w:rPr>
        <w:t xml:space="preserve"> (Palley, 2006). This intervention has been classified as a medically necessary service by all</w:t>
      </w:r>
      <w:r w:rsidR="002C74E3" w:rsidRPr="00366942">
        <w:rPr>
          <w:lang w:val="en-CA"/>
        </w:rPr>
        <w:t xml:space="preserve"> physicians</w:t>
      </w:r>
      <w:r w:rsidR="00B0705E" w:rsidRPr="00366942">
        <w:rPr>
          <w:lang w:val="en-CA"/>
        </w:rPr>
        <w:t xml:space="preserve"> and surgeons</w:t>
      </w:r>
      <w:r w:rsidR="002C74E3" w:rsidRPr="00366942">
        <w:rPr>
          <w:lang w:val="en-CA"/>
        </w:rPr>
        <w:t>’</w:t>
      </w:r>
      <w:r w:rsidR="00B0705E" w:rsidRPr="00366942">
        <w:rPr>
          <w:lang w:val="en-CA"/>
        </w:rPr>
        <w:t xml:space="preserve"> </w:t>
      </w:r>
      <w:r w:rsidR="002C74E3" w:rsidRPr="00366942">
        <w:rPr>
          <w:lang w:val="en-CA"/>
        </w:rPr>
        <w:t>associations of</w:t>
      </w:r>
      <w:r w:rsidR="00B0705E" w:rsidRPr="00366942">
        <w:rPr>
          <w:lang w:val="en-CA"/>
        </w:rPr>
        <w:t xml:space="preserve"> the various Canadian provinces. Compared to pregnancy-related health services, abortion is a simple, quick and relatively inexpensive procedure in Canada (Kaposy, 2010). </w:t>
      </w:r>
    </w:p>
    <w:p w14:paraId="4EA7FF28" w14:textId="738566A9" w:rsidR="00961A50" w:rsidRPr="00366942" w:rsidRDefault="00B0705E" w:rsidP="00961A50">
      <w:pPr>
        <w:pStyle w:val="Citationenretrait"/>
        <w:rPr>
          <w:lang w:val="en-CA"/>
        </w:rPr>
      </w:pPr>
      <w:r w:rsidRPr="00366942">
        <w:rPr>
          <w:lang w:val="en-CA"/>
        </w:rPr>
        <w:t>As health is a</w:t>
      </w:r>
      <w:r w:rsidR="002D7B33" w:rsidRPr="00366942">
        <w:rPr>
          <w:lang w:val="en-CA"/>
        </w:rPr>
        <w:t xml:space="preserve"> matter of</w:t>
      </w:r>
      <w:r w:rsidRPr="00366942">
        <w:rPr>
          <w:lang w:val="en-CA"/>
        </w:rPr>
        <w:t xml:space="preserve"> provincial jurisdiction, responsibility for the provision of health services lies with the government of each province. In Quebec, two types </w:t>
      </w:r>
      <w:r w:rsidRPr="00366942">
        <w:rPr>
          <w:lang w:val="en-CA"/>
        </w:rPr>
        <w:lastRenderedPageBreak/>
        <w:t xml:space="preserve">of abortion are available: surgical abortion and, since 2018, medical abortion using the combined regimen of mifepristone and misoprotol (Mifegymiso), </w:t>
      </w:r>
      <w:r w:rsidR="002D7B33" w:rsidRPr="00366942">
        <w:rPr>
          <w:lang w:val="en-CA"/>
        </w:rPr>
        <w:t>commonly known as</w:t>
      </w:r>
      <w:r w:rsidRPr="00366942">
        <w:rPr>
          <w:lang w:val="en-CA"/>
        </w:rPr>
        <w:t xml:space="preserve"> the ‘abortion pill’. A woman who </w:t>
      </w:r>
      <w:r w:rsidR="002D7B33" w:rsidRPr="00366942">
        <w:rPr>
          <w:lang w:val="en-CA"/>
        </w:rPr>
        <w:t>learns that she is pregnant</w:t>
      </w:r>
      <w:r w:rsidRPr="00366942">
        <w:rPr>
          <w:lang w:val="en-CA"/>
        </w:rPr>
        <w:t xml:space="preserve"> and </w:t>
      </w:r>
      <w:r w:rsidR="002D7B33" w:rsidRPr="00366942">
        <w:rPr>
          <w:lang w:val="en-CA"/>
        </w:rPr>
        <w:t>who no longer</w:t>
      </w:r>
      <w:r w:rsidRPr="00366942">
        <w:rPr>
          <w:lang w:val="en-CA"/>
        </w:rPr>
        <w:t xml:space="preserve"> wish</w:t>
      </w:r>
      <w:r w:rsidR="002D7B33" w:rsidRPr="00366942">
        <w:rPr>
          <w:lang w:val="en-CA"/>
        </w:rPr>
        <w:t>es</w:t>
      </w:r>
      <w:r w:rsidRPr="00366942">
        <w:rPr>
          <w:lang w:val="en-CA"/>
        </w:rPr>
        <w:t xml:space="preserve"> to continue </w:t>
      </w:r>
      <w:r w:rsidR="002D7B33" w:rsidRPr="00366942">
        <w:rPr>
          <w:lang w:val="en-CA"/>
        </w:rPr>
        <w:t>her pregnancy</w:t>
      </w:r>
      <w:r w:rsidRPr="00366942">
        <w:rPr>
          <w:lang w:val="en-CA"/>
        </w:rPr>
        <w:t xml:space="preserve"> can make an appointment with a doctor trained and </w:t>
      </w:r>
      <w:r w:rsidR="002D7B33" w:rsidRPr="00366942">
        <w:rPr>
          <w:lang w:val="en-CA"/>
        </w:rPr>
        <w:t>qualified</w:t>
      </w:r>
      <w:r w:rsidRPr="00366942">
        <w:rPr>
          <w:lang w:val="en-CA"/>
        </w:rPr>
        <w:t xml:space="preserve"> </w:t>
      </w:r>
      <w:r w:rsidR="002D7B33" w:rsidRPr="00366942">
        <w:rPr>
          <w:lang w:val="en-CA"/>
        </w:rPr>
        <w:t>to perform</w:t>
      </w:r>
      <w:r w:rsidRPr="00366942">
        <w:rPr>
          <w:lang w:val="en-CA"/>
        </w:rPr>
        <w:t xml:space="preserve"> abortion</w:t>
      </w:r>
      <w:r w:rsidR="002D7B33" w:rsidRPr="00366942">
        <w:rPr>
          <w:lang w:val="en-CA"/>
        </w:rPr>
        <w:t>s</w:t>
      </w:r>
      <w:r w:rsidRPr="00366942">
        <w:rPr>
          <w:lang w:val="en-CA"/>
        </w:rPr>
        <w:t>; th</w:t>
      </w:r>
      <w:r w:rsidR="002D7B33" w:rsidRPr="00366942">
        <w:rPr>
          <w:lang w:val="en-CA"/>
        </w:rPr>
        <w:t>at</w:t>
      </w:r>
      <w:r w:rsidRPr="00366942">
        <w:rPr>
          <w:lang w:val="en-CA"/>
        </w:rPr>
        <w:t xml:space="preserve"> person may work </w:t>
      </w:r>
      <w:r w:rsidR="002D7B33" w:rsidRPr="00366942">
        <w:rPr>
          <w:lang w:val="en-CA"/>
        </w:rPr>
        <w:t>at</w:t>
      </w:r>
      <w:r w:rsidRPr="00366942">
        <w:rPr>
          <w:lang w:val="en-CA"/>
        </w:rPr>
        <w:t xml:space="preserve"> different locations, </w:t>
      </w:r>
      <w:r w:rsidR="002D7B33" w:rsidRPr="00366942">
        <w:rPr>
          <w:lang w:val="en-CA"/>
        </w:rPr>
        <w:t xml:space="preserve">e.g., </w:t>
      </w:r>
      <w:r w:rsidRPr="00366942">
        <w:rPr>
          <w:lang w:val="en-CA"/>
        </w:rPr>
        <w:t xml:space="preserve">within the public healthcare network, a community clinic or a private office (Collège des médecins du Québec, 2017). If </w:t>
      </w:r>
      <w:r w:rsidR="002D7B33" w:rsidRPr="00366942">
        <w:rPr>
          <w:lang w:val="en-CA"/>
        </w:rPr>
        <w:t>the woman</w:t>
      </w:r>
      <w:r w:rsidRPr="00366942">
        <w:rPr>
          <w:lang w:val="en-CA"/>
        </w:rPr>
        <w:t xml:space="preserve"> hold</w:t>
      </w:r>
      <w:r w:rsidR="002D7B33" w:rsidRPr="00366942">
        <w:rPr>
          <w:lang w:val="en-CA"/>
        </w:rPr>
        <w:t>s</w:t>
      </w:r>
      <w:r w:rsidRPr="00366942">
        <w:rPr>
          <w:lang w:val="en-CA"/>
        </w:rPr>
        <w:t xml:space="preserve"> a valid health insurance card, the procedure will be covered by the RAMQ. Medical abortion has recently become available through family physicians or specialists trained in pregnancy termination.</w:t>
      </w:r>
      <w:r w:rsidR="00961A50" w:rsidRPr="00366942">
        <w:rPr>
          <w:highlight w:val="lightGray"/>
          <w:lang w:val="en-CA"/>
        </w:rPr>
        <w:t xml:space="preserve"> </w:t>
      </w:r>
    </w:p>
    <w:p w14:paraId="1DF48BDB" w14:textId="71F4EC03" w:rsidR="00961A50" w:rsidRPr="00366942" w:rsidRDefault="00B0705E" w:rsidP="00961A50">
      <w:pPr>
        <w:pStyle w:val="Citationenretrait"/>
        <w:rPr>
          <w:lang w:val="en-CA"/>
        </w:rPr>
      </w:pPr>
      <w:r w:rsidRPr="00366942">
        <w:rPr>
          <w:lang w:val="en-CA"/>
        </w:rPr>
        <w:t xml:space="preserve">Overall, in Quebec, the time </w:t>
      </w:r>
      <w:r w:rsidR="00042150" w:rsidRPr="00366942">
        <w:rPr>
          <w:lang w:val="en-CA"/>
        </w:rPr>
        <w:t>required</w:t>
      </w:r>
      <w:r w:rsidRPr="00366942">
        <w:rPr>
          <w:lang w:val="en-CA"/>
        </w:rPr>
        <w:t xml:space="preserve"> to access abortion service</w:t>
      </w:r>
      <w:r w:rsidR="00042150" w:rsidRPr="00366942">
        <w:rPr>
          <w:lang w:val="en-CA"/>
        </w:rPr>
        <w:t>s</w:t>
      </w:r>
      <w:r w:rsidRPr="00366942">
        <w:rPr>
          <w:lang w:val="en-CA"/>
        </w:rPr>
        <w:t xml:space="preserve"> is short</w:t>
      </w:r>
      <w:r w:rsidR="00042150" w:rsidRPr="00366942">
        <w:rPr>
          <w:lang w:val="en-CA"/>
        </w:rPr>
        <w:t>,</w:t>
      </w:r>
      <w:r w:rsidRPr="00366942">
        <w:rPr>
          <w:lang w:val="en-CA"/>
        </w:rPr>
        <w:t xml:space="preserve"> </w:t>
      </w:r>
      <w:r w:rsidR="00042150" w:rsidRPr="00366942">
        <w:rPr>
          <w:lang w:val="en-CA"/>
        </w:rPr>
        <w:t xml:space="preserve">i.e., </w:t>
      </w:r>
      <w:r w:rsidRPr="00366942">
        <w:rPr>
          <w:lang w:val="en-CA"/>
        </w:rPr>
        <w:t xml:space="preserve">one </w:t>
      </w:r>
      <w:r w:rsidR="00042150" w:rsidRPr="00366942">
        <w:rPr>
          <w:lang w:val="en-CA"/>
        </w:rPr>
        <w:t>or</w:t>
      </w:r>
      <w:r w:rsidRPr="00366942">
        <w:rPr>
          <w:lang w:val="en-CA"/>
        </w:rPr>
        <w:t xml:space="preserve"> two weeks</w:t>
      </w:r>
      <w:r w:rsidR="00042150" w:rsidRPr="00366942">
        <w:rPr>
          <w:lang w:val="en-CA"/>
        </w:rPr>
        <w:t xml:space="preserve"> on average</w:t>
      </w:r>
      <w:r w:rsidRPr="00366942">
        <w:rPr>
          <w:lang w:val="en-CA"/>
        </w:rPr>
        <w:t xml:space="preserve"> (Lévesque and Gonin, 2018). In Canada, the vast majority of abortions (90%) occur </w:t>
      </w:r>
      <w:r w:rsidR="00042150" w:rsidRPr="00366942">
        <w:rPr>
          <w:lang w:val="en-CA"/>
        </w:rPr>
        <w:t>within</w:t>
      </w:r>
      <w:r w:rsidRPr="00366942">
        <w:rPr>
          <w:lang w:val="en-CA"/>
        </w:rPr>
        <w:t xml:space="preserve"> the first 12 weeks of gestation</w:t>
      </w:r>
      <w:r w:rsidR="00042150" w:rsidRPr="00366942">
        <w:rPr>
          <w:lang w:val="en-CA"/>
        </w:rPr>
        <w:t>,</w:t>
      </w:r>
      <w:r w:rsidRPr="00366942">
        <w:rPr>
          <w:lang w:val="en-CA"/>
        </w:rPr>
        <w:t xml:space="preserve"> and more than 99.3% are completed within the first 20 weeks (Abortion Rights Coalition of Canada, 2018). </w:t>
      </w:r>
      <w:r w:rsidR="00961A50" w:rsidRPr="00366942">
        <w:rPr>
          <w:lang w:val="en-CA"/>
        </w:rPr>
        <w:t>[…]</w:t>
      </w:r>
      <w:r w:rsidR="00961A50" w:rsidRPr="00366942">
        <w:rPr>
          <w:rStyle w:val="Appelnotedebasdep"/>
          <w:lang w:val="en-CA"/>
        </w:rPr>
        <w:footnoteReference w:id="78"/>
      </w:r>
    </w:p>
    <w:p w14:paraId="49A620BB" w14:textId="264E9027" w:rsidR="00961A50" w:rsidRPr="00366942" w:rsidRDefault="002F6B87" w:rsidP="00961A50">
      <w:pPr>
        <w:pStyle w:val="Citationenretrait"/>
        <w:spacing w:before="0"/>
        <w:jc w:val="right"/>
        <w:rPr>
          <w:sz w:val="20"/>
          <w:lang w:val="en-CA"/>
        </w:rPr>
      </w:pPr>
      <w:r w:rsidRPr="00366942">
        <w:rPr>
          <w:sz w:val="20"/>
          <w:lang w:val="en-CA"/>
        </w:rPr>
        <w:t>(</w:t>
      </w:r>
      <w:r w:rsidR="00961A50" w:rsidRPr="00366942">
        <w:rPr>
          <w:sz w:val="20"/>
          <w:lang w:val="en-CA"/>
        </w:rPr>
        <w:t>Transcript</w:t>
      </w:r>
      <w:r w:rsidRPr="00366942">
        <w:rPr>
          <w:sz w:val="20"/>
          <w:lang w:val="en-CA"/>
        </w:rPr>
        <w:t>)</w:t>
      </w:r>
    </w:p>
    <w:p w14:paraId="05428D6A" w14:textId="546885BB" w:rsidR="00961A50" w:rsidRPr="00366942" w:rsidRDefault="00EF2841" w:rsidP="00961A50">
      <w:pPr>
        <w:pStyle w:val="Paragraphe"/>
        <w:rPr>
          <w:lang w:val="en-CA"/>
        </w:rPr>
      </w:pPr>
      <w:r w:rsidRPr="00366942">
        <w:rPr>
          <w:lang w:val="en-CA"/>
        </w:rPr>
        <w:t>In sum</w:t>
      </w:r>
      <w:r w:rsidR="00961A50" w:rsidRPr="00366942">
        <w:rPr>
          <w:lang w:val="en-CA"/>
        </w:rPr>
        <w:t xml:space="preserve">, </w:t>
      </w:r>
      <w:r w:rsidRPr="00366942">
        <w:rPr>
          <w:lang w:val="en-CA"/>
        </w:rPr>
        <w:t xml:space="preserve">as noted by the expert witness, women insured under the </w:t>
      </w:r>
      <w:r w:rsidRPr="00366942">
        <w:rPr>
          <w:i/>
          <w:iCs/>
          <w:lang w:val="en-CA"/>
        </w:rPr>
        <w:t>HIA</w:t>
      </w:r>
      <w:r w:rsidR="00961A50" w:rsidRPr="00366942">
        <w:rPr>
          <w:lang w:val="en-CA"/>
        </w:rPr>
        <w:t xml:space="preserve"> </w:t>
      </w:r>
      <w:r w:rsidRPr="00366942">
        <w:rPr>
          <w:lang w:val="en-CA"/>
        </w:rPr>
        <w:t>have, in</w:t>
      </w:r>
      <w:r w:rsidR="00961A50" w:rsidRPr="00366942">
        <w:rPr>
          <w:lang w:val="en-CA"/>
        </w:rPr>
        <w:t xml:space="preserve"> Qu</w:t>
      </w:r>
      <w:r w:rsidRPr="00366942">
        <w:rPr>
          <w:lang w:val="en-CA"/>
        </w:rPr>
        <w:t>e</w:t>
      </w:r>
      <w:r w:rsidR="00961A50" w:rsidRPr="00366942">
        <w:rPr>
          <w:lang w:val="en-CA"/>
        </w:rPr>
        <w:t xml:space="preserve">bec, </w:t>
      </w:r>
      <w:r w:rsidR="00042150" w:rsidRPr="00366942">
        <w:rPr>
          <w:lang w:val="en-CA"/>
        </w:rPr>
        <w:t>generally</w:t>
      </w:r>
      <w:r w:rsidRPr="00366942">
        <w:rPr>
          <w:lang w:val="en-CA"/>
        </w:rPr>
        <w:t xml:space="preserve"> quick and free access</w:t>
      </w:r>
      <w:r w:rsidR="00961A50" w:rsidRPr="00366942">
        <w:rPr>
          <w:rStyle w:val="Appelnotedebasdep"/>
          <w:lang w:val="en-CA"/>
        </w:rPr>
        <w:footnoteReference w:id="79"/>
      </w:r>
      <w:r w:rsidR="00961A50" w:rsidRPr="00366942">
        <w:rPr>
          <w:lang w:val="en-CA"/>
        </w:rPr>
        <w:t xml:space="preserve"> </w:t>
      </w:r>
      <w:r w:rsidRPr="00366942">
        <w:rPr>
          <w:lang w:val="en-CA"/>
        </w:rPr>
        <w:t>to VTP</w:t>
      </w:r>
      <w:r w:rsidR="00961A50" w:rsidRPr="00366942">
        <w:rPr>
          <w:lang w:val="en-CA"/>
        </w:rPr>
        <w:t xml:space="preserve">, </w:t>
      </w:r>
      <w:bookmarkStart w:id="45" w:name="_Ref173407682"/>
      <w:r w:rsidRPr="00366942">
        <w:rPr>
          <w:lang w:val="en-CA"/>
        </w:rPr>
        <w:t>the latter being an equally accessible and relatively inexpensive procedure across Canada,</w:t>
      </w:r>
      <w:r w:rsidR="00961A50" w:rsidRPr="00366942">
        <w:rPr>
          <w:rStyle w:val="Appelnotedebasdep"/>
          <w:lang w:val="en-CA"/>
        </w:rPr>
        <w:footnoteReference w:id="80"/>
      </w:r>
      <w:bookmarkEnd w:id="45"/>
      <w:r w:rsidRPr="00366942">
        <w:rPr>
          <w:lang w:val="en-CA"/>
        </w:rPr>
        <w:t xml:space="preserve"> in contrast to other countries</w:t>
      </w:r>
      <w:r w:rsidR="00961A50" w:rsidRPr="00366942">
        <w:rPr>
          <w:lang w:val="en-CA"/>
        </w:rPr>
        <w:t>.</w:t>
      </w:r>
    </w:p>
    <w:p w14:paraId="6537C910" w14:textId="624B5179" w:rsidR="00961A50" w:rsidRPr="00366942" w:rsidRDefault="00EF2841" w:rsidP="00961A50">
      <w:pPr>
        <w:pStyle w:val="Paragraphe"/>
        <w:rPr>
          <w:lang w:val="en-CA"/>
        </w:rPr>
      </w:pPr>
      <w:r w:rsidRPr="00366942">
        <w:rPr>
          <w:lang w:val="en-CA"/>
        </w:rPr>
        <w:t>Next</w:t>
      </w:r>
      <w:r w:rsidR="00961A50" w:rsidRPr="00366942">
        <w:rPr>
          <w:lang w:val="en-CA"/>
        </w:rPr>
        <w:t xml:space="preserve">, </w:t>
      </w:r>
      <w:r w:rsidRPr="00366942">
        <w:rPr>
          <w:lang w:val="en-CA"/>
        </w:rPr>
        <w:t xml:space="preserve">the expert witness </w:t>
      </w:r>
      <w:r w:rsidR="005F5B42" w:rsidRPr="00366942">
        <w:rPr>
          <w:lang w:val="en-CA"/>
        </w:rPr>
        <w:t>examined</w:t>
      </w:r>
      <w:r w:rsidRPr="00366942">
        <w:rPr>
          <w:lang w:val="en-CA"/>
        </w:rPr>
        <w:t xml:space="preserve"> the reasons that can explain unplanned pregnancies and the </w:t>
      </w:r>
      <w:r w:rsidR="005F5B42" w:rsidRPr="00366942">
        <w:rPr>
          <w:lang w:val="en-CA"/>
        </w:rPr>
        <w:t>willingness</w:t>
      </w:r>
      <w:r w:rsidRPr="00366942">
        <w:rPr>
          <w:lang w:val="en-CA"/>
        </w:rPr>
        <w:t xml:space="preserve"> to </w:t>
      </w:r>
      <w:r w:rsidR="005F5B42" w:rsidRPr="00366942">
        <w:rPr>
          <w:lang w:val="en-CA"/>
        </w:rPr>
        <w:t>resort</w:t>
      </w:r>
      <w:r w:rsidRPr="00366942">
        <w:rPr>
          <w:lang w:val="en-CA"/>
        </w:rPr>
        <w:t xml:space="preserve"> to VTP</w:t>
      </w:r>
      <w:r w:rsidR="00961A50" w:rsidRPr="00366942">
        <w:rPr>
          <w:lang w:val="en-CA"/>
        </w:rPr>
        <w:t xml:space="preserve"> (</w:t>
      </w:r>
      <w:r w:rsidR="005F5B42" w:rsidRPr="00366942">
        <w:rPr>
          <w:lang w:val="en-CA"/>
        </w:rPr>
        <w:t>difficult access to contraception</w:t>
      </w:r>
      <w:r w:rsidR="00961A50" w:rsidRPr="00366942">
        <w:rPr>
          <w:lang w:val="en-CA"/>
        </w:rPr>
        <w:t xml:space="preserve">, </w:t>
      </w:r>
      <w:r w:rsidR="005F5B42" w:rsidRPr="00366942">
        <w:rPr>
          <w:lang w:val="en-CA"/>
        </w:rPr>
        <w:t>limited knowledge in matters of fertility and contraception</w:t>
      </w:r>
      <w:r w:rsidR="00961A50" w:rsidRPr="00366942">
        <w:rPr>
          <w:lang w:val="en-CA"/>
        </w:rPr>
        <w:t xml:space="preserve">, </w:t>
      </w:r>
      <w:r w:rsidR="005F5B42" w:rsidRPr="00366942">
        <w:rPr>
          <w:lang w:val="en-CA"/>
        </w:rPr>
        <w:t xml:space="preserve">no partner or </w:t>
      </w:r>
      <w:r w:rsidR="00BD473A" w:rsidRPr="00366942">
        <w:rPr>
          <w:lang w:val="en-CA"/>
        </w:rPr>
        <w:t xml:space="preserve">an </w:t>
      </w:r>
      <w:r w:rsidR="005F5B42" w:rsidRPr="00366942">
        <w:rPr>
          <w:lang w:val="en-CA"/>
        </w:rPr>
        <w:t>unreliable partner, domestic violence</w:t>
      </w:r>
      <w:r w:rsidR="00961A50" w:rsidRPr="00366942">
        <w:rPr>
          <w:lang w:val="en-CA"/>
        </w:rPr>
        <w:t xml:space="preserve">, </w:t>
      </w:r>
      <w:r w:rsidR="005F5B42" w:rsidRPr="00366942">
        <w:rPr>
          <w:lang w:val="en-CA"/>
        </w:rPr>
        <w:t>young age</w:t>
      </w:r>
      <w:r w:rsidR="00961A50" w:rsidRPr="00366942">
        <w:rPr>
          <w:lang w:val="en-CA"/>
        </w:rPr>
        <w:t xml:space="preserve">, </w:t>
      </w:r>
      <w:r w:rsidR="005F5B42" w:rsidRPr="00366942">
        <w:rPr>
          <w:lang w:val="en-CA"/>
        </w:rPr>
        <w:t>financial difficulties that preclude having a child</w:t>
      </w:r>
      <w:r w:rsidR="00961A50" w:rsidRPr="00366942">
        <w:rPr>
          <w:lang w:val="en-CA"/>
        </w:rPr>
        <w:t xml:space="preserve">). </w:t>
      </w:r>
      <w:r w:rsidR="005F5B42" w:rsidRPr="00366942">
        <w:rPr>
          <w:lang w:val="en-CA"/>
        </w:rPr>
        <w:t xml:space="preserve">Finally, </w:t>
      </w:r>
      <w:r w:rsidR="005F5B42" w:rsidRPr="00366942">
        <w:rPr>
          <w:lang w:val="en-CA"/>
        </w:rPr>
        <w:lastRenderedPageBreak/>
        <w:t>the expert witness canvassed the obstacles to abortion, including cost, which can sometimes delay the intervention or render it impossible</w:t>
      </w:r>
      <w:r w:rsidR="00961A50" w:rsidRPr="00366942">
        <w:rPr>
          <w:lang w:val="en-CA"/>
        </w:rPr>
        <w:t>:</w:t>
      </w:r>
    </w:p>
    <w:p w14:paraId="28295570" w14:textId="12215779" w:rsidR="00961A50" w:rsidRPr="00366942" w:rsidRDefault="005F5B42" w:rsidP="00961A50">
      <w:pPr>
        <w:pStyle w:val="Citationenretrait"/>
        <w:rPr>
          <w:lang w:val="en-CA"/>
        </w:rPr>
      </w:pPr>
      <w:r w:rsidRPr="00366942">
        <w:rPr>
          <w:lang w:val="en-CA"/>
        </w:rPr>
        <w:t>[</w:t>
      </w:r>
      <w:r w:rsidRPr="00366942">
        <w:rPr>
          <w:smallCaps/>
          <w:lang w:val="en-CA"/>
        </w:rPr>
        <w:t>translation</w:t>
      </w:r>
      <w:r w:rsidRPr="00366942">
        <w:rPr>
          <w:lang w:val="en-CA"/>
        </w:rPr>
        <w:t xml:space="preserve">] </w:t>
      </w:r>
      <w:r w:rsidR="00B0705E" w:rsidRPr="00366942">
        <w:rPr>
          <w:lang w:val="en-CA"/>
        </w:rPr>
        <w:t>The cost of the procedure or associated fees also seems to be a factor that can explain late access to abortion. The Canadian study by Sethna and Doull (2013) reports that 22% of the women surveyed had to pay for an abortion. Of these, 19% said</w:t>
      </w:r>
      <w:r w:rsidR="00BD473A" w:rsidRPr="00366942">
        <w:rPr>
          <w:lang w:val="en-CA"/>
        </w:rPr>
        <w:t xml:space="preserve"> that</w:t>
      </w:r>
      <w:r w:rsidR="00B0705E" w:rsidRPr="00366942">
        <w:rPr>
          <w:lang w:val="en-CA"/>
        </w:rPr>
        <w:t xml:space="preserve"> they had paid for the abortion procedure and travel to the clinic. The average out-of-pocket costs seem to indicate that women did not pay for the procedure </w:t>
      </w:r>
      <w:r w:rsidR="00B0705E" w:rsidRPr="00366942">
        <w:rPr>
          <w:i/>
          <w:iCs/>
          <w:lang w:val="en-CA"/>
        </w:rPr>
        <w:t>per se</w:t>
      </w:r>
      <w:r w:rsidR="00B0705E" w:rsidRPr="00366942">
        <w:rPr>
          <w:lang w:val="en-CA"/>
        </w:rPr>
        <w:t xml:space="preserve"> but were instead billed for ancillary costs such as administrative fees or medication. However, a quarter of the women who had to pay out-of-pocket expenses reported that this </w:t>
      </w:r>
      <w:r w:rsidR="00BD473A" w:rsidRPr="00366942">
        <w:rPr>
          <w:lang w:val="en-CA"/>
        </w:rPr>
        <w:t>exceeded</w:t>
      </w:r>
      <w:r w:rsidR="00B0705E" w:rsidRPr="00366942">
        <w:rPr>
          <w:lang w:val="en-CA"/>
        </w:rPr>
        <w:t xml:space="preserve"> $300, which could </w:t>
      </w:r>
      <w:r w:rsidR="00BD473A" w:rsidRPr="00366942">
        <w:rPr>
          <w:lang w:val="en-CA"/>
        </w:rPr>
        <w:t>correspond to</w:t>
      </w:r>
      <w:r w:rsidR="00B0705E" w:rsidRPr="00366942">
        <w:rPr>
          <w:lang w:val="en-CA"/>
        </w:rPr>
        <w:t xml:space="preserve"> the procedure itself. </w:t>
      </w:r>
    </w:p>
    <w:p w14:paraId="54BF6F5F" w14:textId="2F1104DF" w:rsidR="00961A50" w:rsidRPr="00366942" w:rsidRDefault="00B0705E" w:rsidP="00961A50">
      <w:pPr>
        <w:pStyle w:val="Citationenretrait"/>
        <w:rPr>
          <w:lang w:val="en-CA"/>
        </w:rPr>
      </w:pPr>
      <w:r w:rsidRPr="00366942">
        <w:rPr>
          <w:lang w:val="en-CA"/>
        </w:rPr>
        <w:t xml:space="preserve">Another factor that can </w:t>
      </w:r>
      <w:r w:rsidR="00202B14" w:rsidRPr="00366942">
        <w:rPr>
          <w:lang w:val="en-CA"/>
        </w:rPr>
        <w:t>condition</w:t>
      </w:r>
      <w:r w:rsidRPr="00366942">
        <w:rPr>
          <w:lang w:val="en-CA"/>
        </w:rPr>
        <w:t xml:space="preserve"> access to abortion is reciprocal billing between provinces. For many years, abortion was </w:t>
      </w:r>
      <w:r w:rsidR="00202B14" w:rsidRPr="00366942">
        <w:rPr>
          <w:lang w:val="en-CA"/>
        </w:rPr>
        <w:t>among</w:t>
      </w:r>
      <w:r w:rsidRPr="00366942">
        <w:rPr>
          <w:lang w:val="en-CA"/>
        </w:rPr>
        <w:t xml:space="preserve"> the services excluded from reciprocal billing agreements. This exclusion caused a great deal of harm to many women, considering territorial mobility and trans-provincial migration, particularly among young women for study purposes and First Nations women living in northern territories or far from urban centres (Sethna and Doull, 2013). Th</w:t>
      </w:r>
      <w:r w:rsidR="00202B14" w:rsidRPr="00366942">
        <w:rPr>
          <w:lang w:val="en-CA"/>
        </w:rPr>
        <w:t>at</w:t>
      </w:r>
      <w:r w:rsidRPr="00366942">
        <w:rPr>
          <w:lang w:val="en-CA"/>
        </w:rPr>
        <w:t xml:space="preserve"> situation changed on </w:t>
      </w:r>
      <w:r w:rsidR="00202B14" w:rsidRPr="00366942">
        <w:rPr>
          <w:lang w:val="en-CA"/>
        </w:rPr>
        <w:t>June 18,</w:t>
      </w:r>
      <w:r w:rsidRPr="00366942">
        <w:rPr>
          <w:lang w:val="en-CA"/>
        </w:rPr>
        <w:t xml:space="preserve"> 2015</w:t>
      </w:r>
      <w:r w:rsidR="00202B14" w:rsidRPr="00366942">
        <w:rPr>
          <w:lang w:val="en-CA"/>
        </w:rPr>
        <w:t xml:space="preserve"> in</w:t>
      </w:r>
      <w:r w:rsidRPr="00366942">
        <w:rPr>
          <w:lang w:val="en-CA"/>
        </w:rPr>
        <w:t xml:space="preserve"> all Canadian provinces and territories except Quebec. Quebec, for its part, removed abortion from </w:t>
      </w:r>
      <w:r w:rsidR="00202B14" w:rsidRPr="00366942">
        <w:rPr>
          <w:lang w:val="en-CA"/>
        </w:rPr>
        <w:t>its</w:t>
      </w:r>
      <w:r w:rsidRPr="00366942">
        <w:rPr>
          <w:lang w:val="en-CA"/>
        </w:rPr>
        <w:t xml:space="preserve"> excluded services in March 2016. In practice, however, this situation appears to be more difficult. Quebec women who need to obtain an abortion in another province may encounter administrative and financial difficulties in accessing abortion. Obstacles are created by the steps that must be taken to obtain reimbursement and the additional costs that may be </w:t>
      </w:r>
      <w:r w:rsidR="00202B14" w:rsidRPr="00366942">
        <w:rPr>
          <w:lang w:val="en-CA"/>
        </w:rPr>
        <w:t>charged</w:t>
      </w:r>
      <w:r w:rsidRPr="00366942">
        <w:rPr>
          <w:lang w:val="en-CA"/>
        </w:rPr>
        <w:t xml:space="preserve">, despite the prohibition set out in the Canada Health Act: </w:t>
      </w:r>
      <w:r w:rsidR="00202B14" w:rsidRPr="00366942">
        <w:rPr>
          <w:lang w:val="en-CA"/>
        </w:rPr>
        <w:t>“</w:t>
      </w:r>
      <w:r w:rsidRPr="00366942">
        <w:rPr>
          <w:lang w:val="en-CA"/>
        </w:rPr>
        <w:t>provincial extra billing and user charges for medically necessary health services are not permitted</w:t>
      </w:r>
      <w:r w:rsidR="00202B14" w:rsidRPr="00366942">
        <w:rPr>
          <w:lang w:val="en-CA"/>
        </w:rPr>
        <w:t>”</w:t>
      </w:r>
      <w:r w:rsidRPr="00366942">
        <w:rPr>
          <w:lang w:val="en-CA"/>
        </w:rPr>
        <w:t xml:space="preserve"> (Palley, 2006, p. 556). Unfortunately, as Waddington et al. point out, </w:t>
      </w:r>
      <w:r w:rsidR="00202B14" w:rsidRPr="00366942">
        <w:rPr>
          <w:lang w:val="en-CA"/>
        </w:rPr>
        <w:t>“</w:t>
      </w:r>
      <w:r w:rsidRPr="00366942">
        <w:rPr>
          <w:lang w:val="en-CA"/>
        </w:rPr>
        <w:t>we are not aware of any studies examining whether or not challenges of reciprocal billing between provinces have impeded Canadian women's ability to access abortion care in a timely fashion</w:t>
      </w:r>
      <w:r w:rsidR="00202B14" w:rsidRPr="00366942">
        <w:rPr>
          <w:lang w:val="en-CA"/>
        </w:rPr>
        <w:t>”</w:t>
      </w:r>
      <w:r w:rsidRPr="00366942">
        <w:rPr>
          <w:lang w:val="en-CA"/>
        </w:rPr>
        <w:t xml:space="preserve"> (2015, p.41). However, these authors point out that in the United States, studies have highlighted the delays in access to abortion that can be caused by legal or administrative </w:t>
      </w:r>
      <w:r w:rsidR="00202B14" w:rsidRPr="00366942">
        <w:rPr>
          <w:lang w:val="en-CA"/>
        </w:rPr>
        <w:t>hurdles</w:t>
      </w:r>
      <w:r w:rsidRPr="00366942">
        <w:rPr>
          <w:lang w:val="en-CA"/>
        </w:rPr>
        <w:t xml:space="preserve"> (Bitler and Zavodny, 2001).</w:t>
      </w:r>
      <w:r w:rsidR="00961A50" w:rsidRPr="00366942">
        <w:rPr>
          <w:rStyle w:val="Appelnotedebasdep"/>
          <w:lang w:val="en-CA"/>
        </w:rPr>
        <w:footnoteReference w:id="81"/>
      </w:r>
    </w:p>
    <w:p w14:paraId="255DCC7E" w14:textId="010CA426" w:rsidR="00AA4F7D" w:rsidRPr="00366942" w:rsidRDefault="002F6B87" w:rsidP="00AA4F7D">
      <w:pPr>
        <w:pStyle w:val="Citationenretrait"/>
        <w:spacing w:before="0"/>
        <w:jc w:val="right"/>
        <w:rPr>
          <w:sz w:val="20"/>
          <w:lang w:val="en-CA"/>
        </w:rPr>
      </w:pPr>
      <w:r w:rsidRPr="00366942">
        <w:rPr>
          <w:sz w:val="20"/>
          <w:lang w:val="en-CA"/>
        </w:rPr>
        <w:t>(</w:t>
      </w:r>
      <w:r w:rsidR="009473F6" w:rsidRPr="00366942">
        <w:rPr>
          <w:sz w:val="20"/>
          <w:lang w:val="en-CA"/>
        </w:rPr>
        <w:t>Transcript</w:t>
      </w:r>
      <w:r w:rsidRPr="00366942">
        <w:rPr>
          <w:sz w:val="20"/>
          <w:lang w:val="en-CA"/>
        </w:rPr>
        <w:t>)</w:t>
      </w:r>
    </w:p>
    <w:p w14:paraId="4F206681" w14:textId="3C2AE03C" w:rsidR="00961A50" w:rsidRPr="00366942" w:rsidRDefault="00C26175" w:rsidP="00961A50">
      <w:pPr>
        <w:pStyle w:val="Paragraphe"/>
        <w:rPr>
          <w:lang w:val="en-CA"/>
        </w:rPr>
      </w:pPr>
      <w:r w:rsidRPr="00366942">
        <w:rPr>
          <w:lang w:val="en-CA"/>
        </w:rPr>
        <w:t xml:space="preserve">The administrative </w:t>
      </w:r>
      <w:r w:rsidR="006B52BF" w:rsidRPr="00366942">
        <w:rPr>
          <w:lang w:val="en-CA"/>
        </w:rPr>
        <w:t>hurdles</w:t>
      </w:r>
      <w:r w:rsidRPr="00366942">
        <w:rPr>
          <w:lang w:val="en-CA"/>
        </w:rPr>
        <w:t xml:space="preserve"> referred to in the above passage were not identified, however, and the appellant’s testimony does not </w:t>
      </w:r>
      <w:r w:rsidR="006F7227" w:rsidRPr="00366942">
        <w:rPr>
          <w:lang w:val="en-CA"/>
        </w:rPr>
        <w:t>indicate</w:t>
      </w:r>
      <w:r w:rsidRPr="00366942">
        <w:rPr>
          <w:lang w:val="en-CA"/>
        </w:rPr>
        <w:t xml:space="preserve"> that she faced such difficulties</w:t>
      </w:r>
      <w:r w:rsidR="00961A50" w:rsidRPr="00366942">
        <w:rPr>
          <w:lang w:val="en-CA"/>
        </w:rPr>
        <w:t xml:space="preserve">: </w:t>
      </w:r>
      <w:r w:rsidR="00DF217B" w:rsidRPr="00366942">
        <w:rPr>
          <w:lang w:val="en-CA"/>
        </w:rPr>
        <w:t>she accessed VTP less than five days after being informed of the foetus’s abnormalities and deciding to terminate her pregnancy</w:t>
      </w:r>
      <w:r w:rsidR="00961A50" w:rsidRPr="00366942">
        <w:rPr>
          <w:lang w:val="en-CA"/>
        </w:rPr>
        <w:t xml:space="preserve">. </w:t>
      </w:r>
      <w:r w:rsidR="00DF217B" w:rsidRPr="00366942">
        <w:rPr>
          <w:lang w:val="en-CA"/>
        </w:rPr>
        <w:t xml:space="preserve">It is true that she had contacted the Board as soon as she began monitoring her pregnancy to determine what </w:t>
      </w:r>
      <w:r w:rsidR="001C43BE" w:rsidRPr="00366942">
        <w:rPr>
          <w:lang w:val="en-CA"/>
        </w:rPr>
        <w:t xml:space="preserve">health insurance coverage </w:t>
      </w:r>
      <w:r w:rsidR="00DF217B" w:rsidRPr="00366942">
        <w:rPr>
          <w:lang w:val="en-CA"/>
        </w:rPr>
        <w:t>she was entitled to</w:t>
      </w:r>
      <w:r w:rsidR="00961A50" w:rsidRPr="00366942">
        <w:rPr>
          <w:lang w:val="en-CA"/>
        </w:rPr>
        <w:t xml:space="preserve">. </w:t>
      </w:r>
      <w:r w:rsidR="006F7227" w:rsidRPr="00366942">
        <w:rPr>
          <w:lang w:val="en-CA"/>
        </w:rPr>
        <w:t>Because</w:t>
      </w:r>
      <w:r w:rsidR="00DF217B" w:rsidRPr="00366942">
        <w:rPr>
          <w:lang w:val="en-CA"/>
        </w:rPr>
        <w:t xml:space="preserve"> </w:t>
      </w:r>
      <w:r w:rsidR="006E4B27" w:rsidRPr="00366942">
        <w:rPr>
          <w:lang w:val="en-CA"/>
        </w:rPr>
        <w:t xml:space="preserve">no </w:t>
      </w:r>
      <w:r w:rsidR="00DF217B" w:rsidRPr="00366942">
        <w:rPr>
          <w:lang w:val="en-CA"/>
        </w:rPr>
        <w:t xml:space="preserve">one was able to inform her or help her, </w:t>
      </w:r>
      <w:r w:rsidR="006F7227" w:rsidRPr="00366942">
        <w:rPr>
          <w:lang w:val="en-CA"/>
        </w:rPr>
        <w:t xml:space="preserve">in what was </w:t>
      </w:r>
      <w:r w:rsidR="006639A6" w:rsidRPr="00366942">
        <w:rPr>
          <w:lang w:val="en-CA"/>
        </w:rPr>
        <w:t>apparently a great deal of confusion</w:t>
      </w:r>
      <w:r w:rsidR="00DF217B" w:rsidRPr="00366942">
        <w:rPr>
          <w:lang w:val="en-CA"/>
        </w:rPr>
        <w:t>, she wound up paying out of pocket all the costs that she was charged for the care received</w:t>
      </w:r>
      <w:r w:rsidR="00961A50" w:rsidRPr="00366942">
        <w:rPr>
          <w:lang w:val="en-CA"/>
        </w:rPr>
        <w:t xml:space="preserve"> (</w:t>
      </w:r>
      <w:r w:rsidR="006639A6" w:rsidRPr="00366942">
        <w:rPr>
          <w:lang w:val="en-CA"/>
        </w:rPr>
        <w:t>which was not</w:t>
      </w:r>
      <w:r w:rsidR="006E4B27" w:rsidRPr="00366942">
        <w:rPr>
          <w:lang w:val="en-CA"/>
        </w:rPr>
        <w:t xml:space="preserve"> </w:t>
      </w:r>
      <w:r w:rsidR="006639A6" w:rsidRPr="00366942">
        <w:rPr>
          <w:lang w:val="en-CA"/>
        </w:rPr>
        <w:t xml:space="preserve">easy, </w:t>
      </w:r>
      <w:r w:rsidR="001C43BE" w:rsidRPr="00366942">
        <w:rPr>
          <w:lang w:val="en-CA"/>
        </w:rPr>
        <w:t>since</w:t>
      </w:r>
      <w:r w:rsidR="006639A6" w:rsidRPr="00366942">
        <w:rPr>
          <w:lang w:val="en-CA"/>
        </w:rPr>
        <w:t xml:space="preserve"> that unexpected </w:t>
      </w:r>
      <w:r w:rsidR="006639A6" w:rsidRPr="00366942">
        <w:rPr>
          <w:lang w:val="en-CA"/>
        </w:rPr>
        <w:lastRenderedPageBreak/>
        <w:t>expense of more than $</w:t>
      </w:r>
      <w:r w:rsidR="00961A50" w:rsidRPr="00366942">
        <w:rPr>
          <w:lang w:val="en-CA"/>
        </w:rPr>
        <w:t>1</w:t>
      </w:r>
      <w:r w:rsidR="006639A6" w:rsidRPr="00366942">
        <w:rPr>
          <w:lang w:val="en-CA"/>
        </w:rPr>
        <w:t>,</w:t>
      </w:r>
      <w:r w:rsidR="00961A50" w:rsidRPr="00366942">
        <w:rPr>
          <w:lang w:val="en-CA"/>
        </w:rPr>
        <w:t>700</w:t>
      </w:r>
      <w:r w:rsidR="006639A6" w:rsidRPr="00366942">
        <w:rPr>
          <w:lang w:val="en-CA"/>
        </w:rPr>
        <w:t xml:space="preserve"> exceeded her very tight budget at the time</w:t>
      </w:r>
      <w:r w:rsidR="00961A50" w:rsidRPr="00366942">
        <w:rPr>
          <w:lang w:val="en-CA"/>
        </w:rPr>
        <w:t xml:space="preserve">). </w:t>
      </w:r>
      <w:r w:rsidR="006639A6" w:rsidRPr="00366942">
        <w:rPr>
          <w:lang w:val="en-CA"/>
        </w:rPr>
        <w:t>Upon her return to Quebec, she applied for a reimbursement of that expenditure</w:t>
      </w:r>
      <w:r w:rsidR="00961A50" w:rsidRPr="00366942">
        <w:rPr>
          <w:lang w:val="en-CA"/>
        </w:rPr>
        <w:t xml:space="preserve">. </w:t>
      </w:r>
      <w:r w:rsidR="006639A6" w:rsidRPr="00366942">
        <w:rPr>
          <w:lang w:val="en-CA"/>
        </w:rPr>
        <w:t xml:space="preserve">The steps that she had to take both before and after her return caused </w:t>
      </w:r>
      <w:r w:rsidR="001C43BE" w:rsidRPr="00366942">
        <w:rPr>
          <w:lang w:val="en-CA"/>
        </w:rPr>
        <w:t>considerable</w:t>
      </w:r>
      <w:r w:rsidR="006639A6" w:rsidRPr="00366942">
        <w:rPr>
          <w:lang w:val="en-CA"/>
        </w:rPr>
        <w:t xml:space="preserve"> stress</w:t>
      </w:r>
      <w:r w:rsidR="00DA0B90" w:rsidRPr="00366942">
        <w:rPr>
          <w:lang w:val="en-CA"/>
        </w:rPr>
        <w:t>,</w:t>
      </w:r>
      <w:r w:rsidR="00961A50" w:rsidRPr="00366942">
        <w:rPr>
          <w:rStyle w:val="Appelnotedebasdep"/>
          <w:lang w:val="en-CA"/>
        </w:rPr>
        <w:footnoteReference w:id="82"/>
      </w:r>
      <w:r w:rsidR="00961A50" w:rsidRPr="00366942">
        <w:rPr>
          <w:lang w:val="en-CA"/>
        </w:rPr>
        <w:t xml:space="preserve"> </w:t>
      </w:r>
      <w:r w:rsidR="006639A6" w:rsidRPr="00366942">
        <w:rPr>
          <w:lang w:val="en-CA"/>
        </w:rPr>
        <w:t>and were certainly an inconvenience, but</w:t>
      </w:r>
      <w:r w:rsidR="00495494" w:rsidRPr="00366942">
        <w:rPr>
          <w:lang w:val="en-CA"/>
        </w:rPr>
        <w:t xml:space="preserve"> it is difficult to </w:t>
      </w:r>
      <w:r w:rsidR="001C43BE" w:rsidRPr="00366942">
        <w:rPr>
          <w:lang w:val="en-CA"/>
        </w:rPr>
        <w:t>characterize this as</w:t>
      </w:r>
      <w:r w:rsidR="006F7227" w:rsidRPr="00366942">
        <w:rPr>
          <w:lang w:val="en-CA"/>
        </w:rPr>
        <w:t xml:space="preserve"> </w:t>
      </w:r>
      <w:r w:rsidR="00495494" w:rsidRPr="00366942">
        <w:rPr>
          <w:lang w:val="en-CA"/>
        </w:rPr>
        <w:t xml:space="preserve">a harm specifically related to the </w:t>
      </w:r>
      <w:r w:rsidR="00C91865" w:rsidRPr="00366942">
        <w:rPr>
          <w:lang w:val="en-CA"/>
        </w:rPr>
        <w:t>VTP</w:t>
      </w:r>
      <w:r w:rsidR="00495494" w:rsidRPr="00366942">
        <w:rPr>
          <w:lang w:val="en-CA"/>
        </w:rPr>
        <w:t>, pregnancy or sex. Indeed</w:t>
      </w:r>
      <w:r w:rsidR="006F7227" w:rsidRPr="00366942">
        <w:rPr>
          <w:lang w:val="en-CA"/>
        </w:rPr>
        <w:t>,</w:t>
      </w:r>
      <w:r w:rsidR="00495494" w:rsidRPr="00366942">
        <w:rPr>
          <w:lang w:val="en-CA"/>
        </w:rPr>
        <w:t xml:space="preserve"> </w:t>
      </w:r>
      <w:r w:rsidR="006F7227" w:rsidRPr="00366942">
        <w:rPr>
          <w:lang w:val="en-CA"/>
        </w:rPr>
        <w:t xml:space="preserve">this is </w:t>
      </w:r>
      <w:r w:rsidR="00495494" w:rsidRPr="00366942">
        <w:rPr>
          <w:lang w:val="en-CA"/>
        </w:rPr>
        <w:t xml:space="preserve">what the </w:t>
      </w:r>
      <w:r w:rsidR="00961A50" w:rsidRPr="00366942">
        <w:rPr>
          <w:lang w:val="en-CA"/>
        </w:rPr>
        <w:t>TAQ</w:t>
      </w:r>
      <w:r w:rsidR="006F7227" w:rsidRPr="00366942">
        <w:rPr>
          <w:lang w:val="en-CA"/>
        </w:rPr>
        <w:t xml:space="preserve"> </w:t>
      </w:r>
      <w:r w:rsidR="006E4B27" w:rsidRPr="00366942">
        <w:rPr>
          <w:lang w:val="en-CA"/>
        </w:rPr>
        <w:t>rightly found</w:t>
      </w:r>
      <w:r w:rsidR="00495494" w:rsidRPr="00366942">
        <w:rPr>
          <w:lang w:val="en-CA"/>
        </w:rPr>
        <w:t>.</w:t>
      </w:r>
      <w:r w:rsidR="00961A50" w:rsidRPr="00366942">
        <w:rPr>
          <w:rStyle w:val="Appelnotedebasdep"/>
          <w:lang w:val="en-CA"/>
        </w:rPr>
        <w:footnoteReference w:id="83"/>
      </w:r>
      <w:r w:rsidR="00961A50" w:rsidRPr="00366942">
        <w:rPr>
          <w:lang w:val="en-CA"/>
        </w:rPr>
        <w:t xml:space="preserve"> </w:t>
      </w:r>
      <w:r w:rsidR="00495494" w:rsidRPr="00366942">
        <w:rPr>
          <w:lang w:val="en-CA"/>
        </w:rPr>
        <w:t>It was</w:t>
      </w:r>
      <w:r w:rsidR="006F7227" w:rsidRPr="00366942">
        <w:rPr>
          <w:lang w:val="en-CA"/>
        </w:rPr>
        <w:t>,</w:t>
      </w:r>
      <w:r w:rsidR="00495494" w:rsidRPr="00366942">
        <w:rPr>
          <w:lang w:val="en-CA"/>
        </w:rPr>
        <w:t xml:space="preserve"> rather</w:t>
      </w:r>
      <w:r w:rsidR="006F7227" w:rsidRPr="00366942">
        <w:rPr>
          <w:lang w:val="en-CA"/>
        </w:rPr>
        <w:t>,</w:t>
      </w:r>
      <w:r w:rsidR="00495494" w:rsidRPr="00366942">
        <w:rPr>
          <w:lang w:val="en-CA"/>
        </w:rPr>
        <w:t xml:space="preserve"> the lack of means and the </w:t>
      </w:r>
      <w:r w:rsidR="006F7227" w:rsidRPr="00366942">
        <w:rPr>
          <w:lang w:val="en-CA"/>
        </w:rPr>
        <w:t>red tape</w:t>
      </w:r>
      <w:r w:rsidR="0050717A" w:rsidRPr="00366942">
        <w:rPr>
          <w:lang w:val="en-CA"/>
        </w:rPr>
        <w:t xml:space="preserve"> associated with</w:t>
      </w:r>
      <w:r w:rsidR="00495494" w:rsidRPr="00366942">
        <w:rPr>
          <w:lang w:val="en-CA"/>
        </w:rPr>
        <w:t xml:space="preserve"> the reimbursement process, combined </w:t>
      </w:r>
      <w:r w:rsidR="0050717A" w:rsidRPr="00366942">
        <w:rPr>
          <w:lang w:val="en-CA"/>
        </w:rPr>
        <w:t xml:space="preserve">here </w:t>
      </w:r>
      <w:r w:rsidR="00495494" w:rsidRPr="00366942">
        <w:rPr>
          <w:lang w:val="en-CA"/>
        </w:rPr>
        <w:t xml:space="preserve">with administrative </w:t>
      </w:r>
      <w:r w:rsidR="0050717A" w:rsidRPr="00366942">
        <w:rPr>
          <w:lang w:val="en-CA"/>
        </w:rPr>
        <w:t>muddling</w:t>
      </w:r>
      <w:r w:rsidR="00495494" w:rsidRPr="00366942">
        <w:rPr>
          <w:lang w:val="en-CA"/>
        </w:rPr>
        <w:t xml:space="preserve">, that </w:t>
      </w:r>
      <w:r w:rsidR="006E4B27" w:rsidRPr="00366942">
        <w:rPr>
          <w:lang w:val="en-CA"/>
        </w:rPr>
        <w:t>caused</w:t>
      </w:r>
      <w:r w:rsidR="00495494" w:rsidRPr="00366942">
        <w:rPr>
          <w:lang w:val="en-CA"/>
        </w:rPr>
        <w:t xml:space="preserve"> the stress that the appellant experience</w:t>
      </w:r>
      <w:r w:rsidR="0050717A" w:rsidRPr="00366942">
        <w:rPr>
          <w:lang w:val="en-CA"/>
        </w:rPr>
        <w:t>d</w:t>
      </w:r>
      <w:r w:rsidR="00961A50" w:rsidRPr="00366942">
        <w:rPr>
          <w:lang w:val="en-CA"/>
        </w:rPr>
        <w:t xml:space="preserve">. </w:t>
      </w:r>
      <w:r w:rsidR="00495494" w:rsidRPr="00366942">
        <w:rPr>
          <w:lang w:val="en-CA"/>
        </w:rPr>
        <w:t xml:space="preserve">That said, any person of little means that </w:t>
      </w:r>
      <w:r w:rsidR="006E4B27" w:rsidRPr="00366942">
        <w:rPr>
          <w:lang w:val="en-CA"/>
        </w:rPr>
        <w:t>must</w:t>
      </w:r>
      <w:r w:rsidR="00495494" w:rsidRPr="00366942">
        <w:rPr>
          <w:lang w:val="en-CA"/>
        </w:rPr>
        <w:t xml:space="preserve"> pay for unexpected, but necessary, medical expenses will experience the same type of stress, </w:t>
      </w:r>
      <w:r w:rsidR="006E4B27" w:rsidRPr="00366942">
        <w:rPr>
          <w:lang w:val="en-CA"/>
        </w:rPr>
        <w:t xml:space="preserve">considering that </w:t>
      </w:r>
      <w:r w:rsidR="00495494" w:rsidRPr="00366942">
        <w:rPr>
          <w:lang w:val="en-CA"/>
        </w:rPr>
        <w:t xml:space="preserve">bureaucratic incompetence and </w:t>
      </w:r>
      <w:r w:rsidR="008168F6" w:rsidRPr="00366942">
        <w:rPr>
          <w:lang w:val="en-CA"/>
        </w:rPr>
        <w:t xml:space="preserve">gridlock </w:t>
      </w:r>
      <w:r w:rsidR="006E4B27" w:rsidRPr="00366942">
        <w:rPr>
          <w:lang w:val="en-CA"/>
        </w:rPr>
        <w:t>are</w:t>
      </w:r>
      <w:r w:rsidR="00EF0013" w:rsidRPr="00366942">
        <w:rPr>
          <w:lang w:val="en-CA"/>
        </w:rPr>
        <w:t xml:space="preserve"> </w:t>
      </w:r>
      <w:r w:rsidR="0080362C" w:rsidRPr="00366942">
        <w:rPr>
          <w:lang w:val="en-CA"/>
        </w:rPr>
        <w:t xml:space="preserve">not </w:t>
      </w:r>
      <w:r w:rsidR="00EF0013" w:rsidRPr="00366942">
        <w:rPr>
          <w:lang w:val="en-CA"/>
        </w:rPr>
        <w:t>exclusive to reimbursement applications relating to pregnancy-related care or VTP</w:t>
      </w:r>
      <w:r w:rsidR="00961A50" w:rsidRPr="00366942">
        <w:rPr>
          <w:lang w:val="en-CA"/>
        </w:rPr>
        <w:t>.</w:t>
      </w:r>
    </w:p>
    <w:p w14:paraId="29093849" w14:textId="52A2DCC1" w:rsidR="00961A50" w:rsidRPr="00366942" w:rsidRDefault="00594BEE" w:rsidP="00961A50">
      <w:pPr>
        <w:pStyle w:val="Paragraphe"/>
        <w:rPr>
          <w:lang w:val="en-CA"/>
        </w:rPr>
      </w:pPr>
      <w:r w:rsidRPr="00366942">
        <w:rPr>
          <w:lang w:val="en-CA"/>
        </w:rPr>
        <w:t xml:space="preserve">Moreover, </w:t>
      </w:r>
      <w:r w:rsidR="00D203A9" w:rsidRPr="00366942">
        <w:rPr>
          <w:lang w:val="en-CA"/>
        </w:rPr>
        <w:t>expert-witness</w:t>
      </w:r>
      <w:r w:rsidRPr="00366942">
        <w:rPr>
          <w:lang w:val="en-CA"/>
        </w:rPr>
        <w:t xml:space="preserve"> Lévesque further explain</w:t>
      </w:r>
      <w:r w:rsidR="00D203A9" w:rsidRPr="00366942">
        <w:rPr>
          <w:lang w:val="en-CA"/>
        </w:rPr>
        <w:t>ed</w:t>
      </w:r>
      <w:r w:rsidRPr="00366942">
        <w:rPr>
          <w:lang w:val="en-CA"/>
        </w:rPr>
        <w:t xml:space="preserve"> that</w:t>
      </w:r>
      <w:r w:rsidR="00961A50" w:rsidRPr="00366942">
        <w:rPr>
          <w:lang w:val="en-CA"/>
        </w:rPr>
        <w:t xml:space="preserve"> </w:t>
      </w:r>
      <w:r w:rsidRPr="00366942">
        <w:rPr>
          <w:lang w:val="en-CA"/>
        </w:rPr>
        <w:t>[</w:t>
      </w:r>
      <w:r w:rsidRPr="00366942">
        <w:rPr>
          <w:smallCaps/>
          <w:lang w:val="en-CA"/>
        </w:rPr>
        <w:t>translation</w:t>
      </w:r>
      <w:r w:rsidRPr="00366942">
        <w:rPr>
          <w:lang w:val="en-CA"/>
        </w:rPr>
        <w:t xml:space="preserve">] “[t]he costs involved in obtaining an abortion can lead some women to </w:t>
      </w:r>
      <w:r w:rsidR="00D203A9" w:rsidRPr="00366942">
        <w:rPr>
          <w:lang w:val="en-CA"/>
        </w:rPr>
        <w:t>decide against</w:t>
      </w:r>
      <w:r w:rsidRPr="00366942">
        <w:rPr>
          <w:lang w:val="en-CA"/>
        </w:rPr>
        <w:t xml:space="preserve"> </w:t>
      </w:r>
      <w:r w:rsidR="00433DEC" w:rsidRPr="00366942">
        <w:rPr>
          <w:lang w:val="en-CA"/>
        </w:rPr>
        <w:t>terminating their preg</w:t>
      </w:r>
      <w:r w:rsidR="007B7AF4" w:rsidRPr="00366942">
        <w:rPr>
          <w:lang w:val="en-CA"/>
        </w:rPr>
        <w:t>n</w:t>
      </w:r>
      <w:r w:rsidR="00433DEC" w:rsidRPr="00366942">
        <w:rPr>
          <w:lang w:val="en-CA"/>
        </w:rPr>
        <w:t>ancy</w:t>
      </w:r>
      <w:r w:rsidRPr="00366942">
        <w:rPr>
          <w:lang w:val="en-CA"/>
        </w:rPr>
        <w:t>”</w:t>
      </w:r>
      <w:r w:rsidR="00961A50" w:rsidRPr="00366942">
        <w:rPr>
          <w:rStyle w:val="Appelnotedebasdep"/>
          <w:lang w:val="en-CA"/>
        </w:rPr>
        <w:footnoteReference w:id="84"/>
      </w:r>
      <w:r w:rsidR="00961A50" w:rsidRPr="00366942">
        <w:rPr>
          <w:lang w:val="en-CA"/>
        </w:rPr>
        <w:t xml:space="preserve"> </w:t>
      </w:r>
      <w:r w:rsidRPr="00366942">
        <w:rPr>
          <w:lang w:val="en-CA"/>
        </w:rPr>
        <w:t>and</w:t>
      </w:r>
      <w:r w:rsidR="00433DEC" w:rsidRPr="00366942">
        <w:rPr>
          <w:lang w:val="en-CA"/>
        </w:rPr>
        <w:t>, as an example of this,</w:t>
      </w:r>
      <w:r w:rsidRPr="00366942">
        <w:rPr>
          <w:lang w:val="en-CA"/>
        </w:rPr>
        <w:t xml:space="preserve"> </w:t>
      </w:r>
      <w:r w:rsidR="00D203A9" w:rsidRPr="00366942">
        <w:rPr>
          <w:lang w:val="en-CA"/>
        </w:rPr>
        <w:t xml:space="preserve">she </w:t>
      </w:r>
      <w:r w:rsidR="00A9225A" w:rsidRPr="00366942">
        <w:rPr>
          <w:lang w:val="en-CA"/>
        </w:rPr>
        <w:t>points to</w:t>
      </w:r>
      <w:r w:rsidR="00433DEC" w:rsidRPr="00366942">
        <w:rPr>
          <w:lang w:val="en-CA"/>
        </w:rPr>
        <w:t xml:space="preserve"> </w:t>
      </w:r>
      <w:r w:rsidR="00D203A9" w:rsidRPr="00366942">
        <w:rPr>
          <w:lang w:val="en-CA"/>
        </w:rPr>
        <w:t>access to abortion in the United States, referring to various American studies</w:t>
      </w:r>
      <w:r w:rsidR="00961A50" w:rsidRPr="00366942">
        <w:rPr>
          <w:lang w:val="en-CA"/>
        </w:rPr>
        <w:t xml:space="preserve">. </w:t>
      </w:r>
      <w:r w:rsidR="00D203A9" w:rsidRPr="00366942">
        <w:rPr>
          <w:lang w:val="en-CA"/>
        </w:rPr>
        <w:t xml:space="preserve">She also referred to an Australian study </w:t>
      </w:r>
      <w:r w:rsidR="00E0533B" w:rsidRPr="00366942">
        <w:rPr>
          <w:lang w:val="en-CA"/>
        </w:rPr>
        <w:t>in</w:t>
      </w:r>
      <w:r w:rsidR="00D203A9" w:rsidRPr="00366942">
        <w:rPr>
          <w:lang w:val="en-CA"/>
        </w:rPr>
        <w:t xml:space="preserve"> the same </w:t>
      </w:r>
      <w:r w:rsidR="00E0533B" w:rsidRPr="00366942">
        <w:rPr>
          <w:lang w:val="en-CA"/>
        </w:rPr>
        <w:t>vein</w:t>
      </w:r>
      <w:r w:rsidR="00961A50" w:rsidRPr="00366942">
        <w:rPr>
          <w:lang w:val="en-CA"/>
        </w:rPr>
        <w:t xml:space="preserve">. </w:t>
      </w:r>
      <w:r w:rsidR="00E0533B" w:rsidRPr="00366942">
        <w:rPr>
          <w:lang w:val="en-CA"/>
        </w:rPr>
        <w:t>Lastly</w:t>
      </w:r>
      <w:r w:rsidR="00D203A9" w:rsidRPr="00366942">
        <w:rPr>
          <w:lang w:val="en-CA"/>
        </w:rPr>
        <w:t>, the expert</w:t>
      </w:r>
      <w:r w:rsidR="00961A50" w:rsidRPr="00366942">
        <w:rPr>
          <w:lang w:val="en-CA"/>
        </w:rPr>
        <w:t xml:space="preserve"> </w:t>
      </w:r>
      <w:r w:rsidR="00D203A9" w:rsidRPr="00366942">
        <w:rPr>
          <w:lang w:val="en-CA"/>
        </w:rPr>
        <w:t>addressed the physical and psychological consequences</w:t>
      </w:r>
      <w:r w:rsidR="00A9225A" w:rsidRPr="00366942">
        <w:rPr>
          <w:lang w:val="en-CA"/>
        </w:rPr>
        <w:t xml:space="preserve"> </w:t>
      </w:r>
      <w:r w:rsidR="00D203A9" w:rsidRPr="00366942">
        <w:rPr>
          <w:lang w:val="en-CA"/>
        </w:rPr>
        <w:t>o</w:t>
      </w:r>
      <w:r w:rsidR="00A9225A" w:rsidRPr="00366942">
        <w:rPr>
          <w:lang w:val="en-CA"/>
        </w:rPr>
        <w:t>f</w:t>
      </w:r>
      <w:r w:rsidR="00D203A9" w:rsidRPr="00366942">
        <w:rPr>
          <w:lang w:val="en-CA"/>
        </w:rPr>
        <w:t xml:space="preserve"> </w:t>
      </w:r>
      <w:r w:rsidR="00E0533B" w:rsidRPr="00366942">
        <w:rPr>
          <w:lang w:val="en-CA"/>
        </w:rPr>
        <w:t>the inability</w:t>
      </w:r>
      <w:r w:rsidR="00D203A9" w:rsidRPr="00366942">
        <w:rPr>
          <w:lang w:val="en-CA"/>
        </w:rPr>
        <w:t xml:space="preserve"> to access VTP,</w:t>
      </w:r>
      <w:r w:rsidR="00961A50" w:rsidRPr="00366942">
        <w:rPr>
          <w:lang w:val="en-CA"/>
        </w:rPr>
        <w:t xml:space="preserve"> </w:t>
      </w:r>
      <w:r w:rsidR="00D203A9" w:rsidRPr="00366942">
        <w:rPr>
          <w:lang w:val="en-CA"/>
        </w:rPr>
        <w:t>as well as the medium</w:t>
      </w:r>
      <w:r w:rsidR="001C43BE" w:rsidRPr="00366942">
        <w:rPr>
          <w:lang w:val="en-CA"/>
        </w:rPr>
        <w:t>-</w:t>
      </w:r>
      <w:r w:rsidR="00D203A9" w:rsidRPr="00366942">
        <w:rPr>
          <w:lang w:val="en-CA"/>
        </w:rPr>
        <w:t xml:space="preserve"> and long</w:t>
      </w:r>
      <w:r w:rsidR="001C43BE" w:rsidRPr="00366942">
        <w:rPr>
          <w:lang w:val="en-CA"/>
        </w:rPr>
        <w:t>-</w:t>
      </w:r>
      <w:r w:rsidR="00D203A9" w:rsidRPr="00366942">
        <w:rPr>
          <w:lang w:val="en-CA"/>
        </w:rPr>
        <w:t>term repercussions of a [</w:t>
      </w:r>
      <w:r w:rsidR="00D203A9" w:rsidRPr="00366942">
        <w:rPr>
          <w:smallCaps/>
          <w:lang w:val="en-CA"/>
        </w:rPr>
        <w:t>translation</w:t>
      </w:r>
      <w:r w:rsidR="00D203A9" w:rsidRPr="00366942">
        <w:rPr>
          <w:lang w:val="en-CA"/>
        </w:rPr>
        <w:t>] “refusal to obtain an abortion</w:t>
      </w:r>
      <w:r w:rsidR="00A916D0" w:rsidRPr="00366942">
        <w:rPr>
          <w:lang w:val="en-CA"/>
        </w:rPr>
        <w:t>”</w:t>
      </w:r>
      <w:r w:rsidR="00961A50" w:rsidRPr="00366942">
        <w:rPr>
          <w:rStyle w:val="Appelnotedebasdep"/>
          <w:lang w:val="en-CA"/>
        </w:rPr>
        <w:footnoteReference w:id="85"/>
      </w:r>
      <w:r w:rsidR="00961A50" w:rsidRPr="00366942">
        <w:rPr>
          <w:lang w:val="en-CA"/>
        </w:rPr>
        <w:t xml:space="preserve"> </w:t>
      </w:r>
      <w:r w:rsidR="00A916D0" w:rsidRPr="00366942">
        <w:rPr>
          <w:lang w:val="en-CA"/>
        </w:rPr>
        <w:t>on</w:t>
      </w:r>
      <w:r w:rsidR="00A9225A" w:rsidRPr="00366942">
        <w:rPr>
          <w:lang w:val="en-CA"/>
        </w:rPr>
        <w:t xml:space="preserve"> the </w:t>
      </w:r>
      <w:r w:rsidR="00A916D0" w:rsidRPr="00366942">
        <w:rPr>
          <w:lang w:val="en-CA"/>
        </w:rPr>
        <w:t>soci</w:t>
      </w:r>
      <w:r w:rsidR="00A9225A" w:rsidRPr="00366942">
        <w:rPr>
          <w:lang w:val="en-CA"/>
        </w:rPr>
        <w:t>o-professional</w:t>
      </w:r>
      <w:r w:rsidR="00A916D0" w:rsidRPr="00366942">
        <w:rPr>
          <w:lang w:val="en-CA"/>
        </w:rPr>
        <w:t xml:space="preserve"> path of women</w:t>
      </w:r>
      <w:r w:rsidR="00961A50" w:rsidRPr="00366942">
        <w:rPr>
          <w:lang w:val="en-CA"/>
        </w:rPr>
        <w:t xml:space="preserve">, </w:t>
      </w:r>
      <w:r w:rsidR="001C43BE" w:rsidRPr="00366942">
        <w:rPr>
          <w:lang w:val="en-CA"/>
        </w:rPr>
        <w:t xml:space="preserve">i.e, those </w:t>
      </w:r>
      <w:r w:rsidR="00A9225A" w:rsidRPr="00366942">
        <w:rPr>
          <w:lang w:val="en-CA"/>
        </w:rPr>
        <w:t>who</w:t>
      </w:r>
      <w:r w:rsidR="001C43BE" w:rsidRPr="00366942">
        <w:rPr>
          <w:lang w:val="en-CA"/>
        </w:rPr>
        <w:t xml:space="preserve"> generally bear</w:t>
      </w:r>
      <w:r w:rsidR="00A916D0" w:rsidRPr="00366942">
        <w:rPr>
          <w:lang w:val="en-CA"/>
        </w:rPr>
        <w:t xml:space="preserve"> responsibility </w:t>
      </w:r>
      <w:r w:rsidR="00A9225A" w:rsidRPr="00366942">
        <w:rPr>
          <w:lang w:val="en-CA"/>
        </w:rPr>
        <w:t>for</w:t>
      </w:r>
      <w:r w:rsidR="00A916D0" w:rsidRPr="00366942">
        <w:rPr>
          <w:lang w:val="en-CA"/>
        </w:rPr>
        <w:t xml:space="preserve"> reproductive health, financially</w:t>
      </w:r>
      <w:r w:rsidR="00A9225A" w:rsidRPr="00366942">
        <w:rPr>
          <w:lang w:val="en-CA"/>
        </w:rPr>
        <w:t xml:space="preserve"> and otherwise</w:t>
      </w:r>
      <w:r w:rsidR="00961A50" w:rsidRPr="00366942">
        <w:rPr>
          <w:lang w:val="en-CA"/>
        </w:rPr>
        <w:t>.</w:t>
      </w:r>
    </w:p>
    <w:p w14:paraId="61C0FEB1" w14:textId="272D42E2" w:rsidR="00961A50" w:rsidRPr="00366942" w:rsidRDefault="00C17E1D" w:rsidP="00961A50">
      <w:pPr>
        <w:pStyle w:val="Paragraphe"/>
        <w:rPr>
          <w:lang w:val="en-CA"/>
        </w:rPr>
      </w:pPr>
      <w:r w:rsidRPr="00366942">
        <w:rPr>
          <w:lang w:val="en-CA"/>
        </w:rPr>
        <w:t>E</w:t>
      </w:r>
      <w:r w:rsidR="00A9225A" w:rsidRPr="00366942">
        <w:rPr>
          <w:lang w:val="en-CA"/>
        </w:rPr>
        <w:t>xpert-witness</w:t>
      </w:r>
      <w:r w:rsidR="00961A50" w:rsidRPr="00366942">
        <w:rPr>
          <w:lang w:val="en-CA"/>
        </w:rPr>
        <w:t xml:space="preserve"> Lévesque</w:t>
      </w:r>
      <w:r w:rsidR="00A9225A" w:rsidRPr="00366942">
        <w:rPr>
          <w:lang w:val="en-CA"/>
        </w:rPr>
        <w:t>’s findings are</w:t>
      </w:r>
      <w:r w:rsidR="00FA3F19" w:rsidRPr="00366942">
        <w:rPr>
          <w:lang w:val="en-CA"/>
        </w:rPr>
        <w:t>, undoubtedly,</w:t>
      </w:r>
      <w:r w:rsidR="00A9225A" w:rsidRPr="00366942">
        <w:rPr>
          <w:lang w:val="en-CA"/>
        </w:rPr>
        <w:t xml:space="preserve"> correct</w:t>
      </w:r>
      <w:r w:rsidR="00961A50" w:rsidRPr="00366942">
        <w:rPr>
          <w:lang w:val="en-CA"/>
        </w:rPr>
        <w:t xml:space="preserve">, </w:t>
      </w:r>
      <w:r w:rsidR="00A9225A" w:rsidRPr="00366942">
        <w:rPr>
          <w:lang w:val="en-CA"/>
        </w:rPr>
        <w:t>but</w:t>
      </w:r>
      <w:r w:rsidRPr="00366942">
        <w:rPr>
          <w:lang w:val="en-CA"/>
        </w:rPr>
        <w:t xml:space="preserve"> they</w:t>
      </w:r>
      <w:r w:rsidR="00A9225A" w:rsidRPr="00366942">
        <w:rPr>
          <w:lang w:val="en-CA"/>
        </w:rPr>
        <w:t xml:space="preserve"> remain very generic.</w:t>
      </w:r>
      <w:r w:rsidR="00961A50" w:rsidRPr="00366942">
        <w:rPr>
          <w:rStyle w:val="Appelnotedebasdep"/>
          <w:lang w:val="en-CA"/>
        </w:rPr>
        <w:footnoteReference w:id="86"/>
      </w:r>
      <w:r w:rsidRPr="00366942">
        <w:rPr>
          <w:lang w:val="en-CA"/>
        </w:rPr>
        <w:t xml:space="preserve"> They </w:t>
      </w:r>
      <w:r w:rsidR="00BC6A42" w:rsidRPr="00366942">
        <w:rPr>
          <w:lang w:val="en-CA"/>
        </w:rPr>
        <w:t>are</w:t>
      </w:r>
      <w:r w:rsidRPr="00366942">
        <w:rPr>
          <w:lang w:val="en-CA"/>
        </w:rPr>
        <w:t xml:space="preserve"> not suffic</w:t>
      </w:r>
      <w:r w:rsidR="00BC6A42" w:rsidRPr="00366942">
        <w:rPr>
          <w:lang w:val="en-CA"/>
        </w:rPr>
        <w:t>ient</w:t>
      </w:r>
      <w:r w:rsidRPr="00366942">
        <w:rPr>
          <w:lang w:val="en-CA"/>
        </w:rPr>
        <w:t xml:space="preserve"> to establish that s. </w:t>
      </w:r>
      <w:r w:rsidR="00961A50" w:rsidRPr="00366942">
        <w:rPr>
          <w:lang w:val="en-CA"/>
        </w:rPr>
        <w:t>10</w:t>
      </w:r>
      <w:r w:rsidRPr="00366942">
        <w:rPr>
          <w:lang w:val="en-CA"/>
        </w:rPr>
        <w:t>, para</w:t>
      </w:r>
      <w:r w:rsidR="00961A50" w:rsidRPr="00366942">
        <w:rPr>
          <w:lang w:val="en-CA"/>
        </w:rPr>
        <w:t xml:space="preserve">. 4 </w:t>
      </w:r>
      <w:r w:rsidRPr="00366942">
        <w:rPr>
          <w:i/>
          <w:iCs/>
          <w:lang w:val="en-CA"/>
        </w:rPr>
        <w:t>HIA</w:t>
      </w:r>
      <w:r w:rsidR="00961A50" w:rsidRPr="00366942">
        <w:rPr>
          <w:lang w:val="en-CA"/>
        </w:rPr>
        <w:t xml:space="preserve">, </w:t>
      </w:r>
      <w:r w:rsidRPr="00366942">
        <w:rPr>
          <w:lang w:val="en-CA"/>
        </w:rPr>
        <w:t>by the limit that it imposes on the reimbursement or payment of medical services received outside Quebec, affects women disproportionately (which is the appellant’s position), that is to say</w:t>
      </w:r>
      <w:r w:rsidR="00961A50" w:rsidRPr="00366942">
        <w:rPr>
          <w:lang w:val="en-CA"/>
        </w:rPr>
        <w:t xml:space="preserve"> 1° </w:t>
      </w:r>
      <w:r w:rsidRPr="00366942">
        <w:rPr>
          <w:lang w:val="en-CA"/>
        </w:rPr>
        <w:t xml:space="preserve">that by that provision’s effect, women, compared to </w:t>
      </w:r>
      <w:r w:rsidR="00FA3F19" w:rsidRPr="00366942">
        <w:rPr>
          <w:lang w:val="en-CA"/>
        </w:rPr>
        <w:t>other insured persons (most notably men, the ground of discrimination invoked here being sex)</w:t>
      </w:r>
      <w:r w:rsidR="00961A50" w:rsidRPr="00366942">
        <w:rPr>
          <w:lang w:val="en-CA"/>
        </w:rPr>
        <w:t xml:space="preserve">, </w:t>
      </w:r>
      <w:r w:rsidR="00FA3F19" w:rsidRPr="00366942">
        <w:rPr>
          <w:lang w:val="en-CA"/>
        </w:rPr>
        <w:t xml:space="preserve">suffer consequences that others do not, or </w:t>
      </w:r>
      <w:r w:rsidR="00BC6A42" w:rsidRPr="00366942">
        <w:rPr>
          <w:lang w:val="en-CA"/>
        </w:rPr>
        <w:t>that they suffer</w:t>
      </w:r>
      <w:r w:rsidR="00FA3F19" w:rsidRPr="00366942">
        <w:rPr>
          <w:lang w:val="en-CA"/>
        </w:rPr>
        <w:t xml:space="preserve"> more</w:t>
      </w:r>
      <w:r w:rsidR="00BC6A42" w:rsidRPr="00366942">
        <w:rPr>
          <w:lang w:val="en-CA"/>
        </w:rPr>
        <w:t xml:space="preserve"> </w:t>
      </w:r>
      <w:r w:rsidR="00A6154C" w:rsidRPr="00366942">
        <w:rPr>
          <w:lang w:val="en-CA"/>
        </w:rPr>
        <w:t>of these</w:t>
      </w:r>
      <w:r w:rsidR="00FA3F19" w:rsidRPr="00366942">
        <w:rPr>
          <w:lang w:val="en-CA"/>
        </w:rPr>
        <w:t>, and</w:t>
      </w:r>
      <w:r w:rsidR="00961A50" w:rsidRPr="00366942">
        <w:rPr>
          <w:lang w:val="en-CA"/>
        </w:rPr>
        <w:t xml:space="preserve"> 2° </w:t>
      </w:r>
      <w:r w:rsidR="00FA3F19" w:rsidRPr="00366942">
        <w:rPr>
          <w:lang w:val="en-CA"/>
        </w:rPr>
        <w:t xml:space="preserve">that they </w:t>
      </w:r>
      <w:r w:rsidR="00961A50" w:rsidRPr="00366942">
        <w:rPr>
          <w:lang w:val="en-CA"/>
        </w:rPr>
        <w:t>ar</w:t>
      </w:r>
      <w:r w:rsidR="00FA3F19" w:rsidRPr="00366942">
        <w:rPr>
          <w:lang w:val="en-CA"/>
        </w:rPr>
        <w:t xml:space="preserve">e thereby subject to differential treatment which results in, to paraphrase </w:t>
      </w:r>
      <w:r w:rsidR="00961A50" w:rsidRPr="00366942">
        <w:rPr>
          <w:lang w:val="en-CA"/>
        </w:rPr>
        <w:t>McLachlin</w:t>
      </w:r>
      <w:r w:rsidR="00FA3F19" w:rsidRPr="00366942">
        <w:rPr>
          <w:lang w:val="en-CA"/>
        </w:rPr>
        <w:t>, C.J.</w:t>
      </w:r>
      <w:r w:rsidR="00961A50" w:rsidRPr="00366942">
        <w:rPr>
          <w:lang w:val="en-CA"/>
        </w:rPr>
        <w:t xml:space="preserve"> </w:t>
      </w:r>
      <w:r w:rsidR="00FA3F19" w:rsidRPr="00366942">
        <w:rPr>
          <w:lang w:val="en-CA"/>
        </w:rPr>
        <w:t>in</w:t>
      </w:r>
      <w:r w:rsidR="00961A50" w:rsidRPr="00366942">
        <w:rPr>
          <w:lang w:val="en-CA"/>
        </w:rPr>
        <w:t xml:space="preserve"> </w:t>
      </w:r>
      <w:r w:rsidR="00961A50" w:rsidRPr="00366942">
        <w:rPr>
          <w:i/>
          <w:iCs/>
          <w:lang w:val="en-CA"/>
        </w:rPr>
        <w:t>Auton</w:t>
      </w:r>
      <w:r w:rsidR="00961A50" w:rsidRPr="00366942">
        <w:rPr>
          <w:lang w:val="en-CA"/>
        </w:rPr>
        <w:t xml:space="preserve">, </w:t>
      </w:r>
      <w:bookmarkStart w:id="46" w:name="_Ref173147199"/>
      <w:r w:rsidR="00BC6A42" w:rsidRPr="00366942">
        <w:rPr>
          <w:lang w:val="en-CA"/>
        </w:rPr>
        <w:t>their failing to</w:t>
      </w:r>
      <w:r w:rsidR="00FA3F19" w:rsidRPr="00366942">
        <w:rPr>
          <w:lang w:val="en-CA"/>
        </w:rPr>
        <w:t xml:space="preserve"> </w:t>
      </w:r>
      <w:r w:rsidR="00A6154C" w:rsidRPr="00366942">
        <w:rPr>
          <w:lang w:val="en-CA"/>
        </w:rPr>
        <w:t>receive</w:t>
      </w:r>
      <w:r w:rsidR="00FA3F19" w:rsidRPr="00366942">
        <w:rPr>
          <w:lang w:val="en-CA"/>
        </w:rPr>
        <w:t xml:space="preserve">, or </w:t>
      </w:r>
      <w:r w:rsidR="00A6154C" w:rsidRPr="00366942">
        <w:rPr>
          <w:lang w:val="en-CA"/>
        </w:rPr>
        <w:t xml:space="preserve">receiving </w:t>
      </w:r>
      <w:r w:rsidR="00FA3F19" w:rsidRPr="00366942">
        <w:rPr>
          <w:lang w:val="en-CA"/>
        </w:rPr>
        <w:t xml:space="preserve">to the same degree, </w:t>
      </w:r>
      <w:r w:rsidR="00BC6A42" w:rsidRPr="00366942">
        <w:rPr>
          <w:lang w:val="en-CA"/>
        </w:rPr>
        <w:t xml:space="preserve">a benefit </w:t>
      </w:r>
      <w:r w:rsidR="00E0533B" w:rsidRPr="00366942">
        <w:rPr>
          <w:lang w:val="en-CA"/>
        </w:rPr>
        <w:t>provided by law</w:t>
      </w:r>
      <w:r w:rsidR="00FA3F19" w:rsidRPr="00366942">
        <w:rPr>
          <w:lang w:val="en-CA"/>
        </w:rPr>
        <w:t xml:space="preserve">, or </w:t>
      </w:r>
      <w:r w:rsidR="00BC6A42" w:rsidRPr="00366942">
        <w:rPr>
          <w:lang w:val="en-CA"/>
        </w:rPr>
        <w:t xml:space="preserve">their being saddled with a burden the law </w:t>
      </w:r>
      <w:r w:rsidR="0080362C" w:rsidRPr="00366942">
        <w:rPr>
          <w:lang w:val="en-CA"/>
        </w:rPr>
        <w:t xml:space="preserve">does </w:t>
      </w:r>
      <w:r w:rsidR="00BC6A42" w:rsidRPr="00366942">
        <w:rPr>
          <w:lang w:val="en-CA"/>
        </w:rPr>
        <w:t>not impose on someone else</w:t>
      </w:r>
      <w:r w:rsidR="00FA3F19" w:rsidRPr="00366942">
        <w:rPr>
          <w:lang w:val="en-CA"/>
        </w:rPr>
        <w:t>.</w:t>
      </w:r>
      <w:r w:rsidR="00961A50" w:rsidRPr="00366942">
        <w:rPr>
          <w:rStyle w:val="Appelnotedebasdep"/>
          <w:lang w:val="en-CA"/>
        </w:rPr>
        <w:footnoteReference w:id="87"/>
      </w:r>
      <w:bookmarkEnd w:id="46"/>
    </w:p>
    <w:p w14:paraId="43F7B2A7" w14:textId="55007E1C" w:rsidR="00961A50" w:rsidRPr="00366942" w:rsidRDefault="00B064E7" w:rsidP="00961A50">
      <w:pPr>
        <w:pStyle w:val="Paragraphe"/>
        <w:rPr>
          <w:lang w:val="en-CA"/>
        </w:rPr>
      </w:pPr>
      <w:r w:rsidRPr="00366942">
        <w:rPr>
          <w:lang w:val="en-CA"/>
        </w:rPr>
        <w:lastRenderedPageBreak/>
        <w:t xml:space="preserve">It must certainly be </w:t>
      </w:r>
      <w:r w:rsidR="00AF77E3" w:rsidRPr="00366942">
        <w:rPr>
          <w:lang w:val="en-CA"/>
        </w:rPr>
        <w:t>recognized</w:t>
      </w:r>
      <w:r w:rsidRPr="00366942">
        <w:rPr>
          <w:lang w:val="en-CA"/>
        </w:rPr>
        <w:t xml:space="preserve"> that persons belonging to groups protected under s.</w:t>
      </w:r>
      <w:r w:rsidR="00961A50" w:rsidRPr="00366942">
        <w:rPr>
          <w:lang w:val="en-CA"/>
        </w:rPr>
        <w:t xml:space="preserve"> 15(1) </w:t>
      </w:r>
      <w:r w:rsidRPr="00366942">
        <w:rPr>
          <w:lang w:val="en-CA"/>
        </w:rPr>
        <w:t>of the</w:t>
      </w:r>
      <w:r w:rsidR="00961A50" w:rsidRPr="00366942">
        <w:rPr>
          <w:lang w:val="en-CA"/>
        </w:rPr>
        <w:t xml:space="preserve"> </w:t>
      </w:r>
      <w:r w:rsidRPr="00366942">
        <w:rPr>
          <w:i/>
          <w:iCs/>
          <w:lang w:val="en-CA"/>
        </w:rPr>
        <w:t xml:space="preserve">Canadian Charter </w:t>
      </w:r>
      <w:r w:rsidRPr="00366942">
        <w:rPr>
          <w:lang w:val="en-CA"/>
        </w:rPr>
        <w:t>are often</w:t>
      </w:r>
      <w:r w:rsidR="00AF77E3" w:rsidRPr="00366942">
        <w:rPr>
          <w:lang w:val="en-CA"/>
        </w:rPr>
        <w:t xml:space="preserve"> at a</w:t>
      </w:r>
      <w:r w:rsidR="00961A50" w:rsidRPr="00366942">
        <w:rPr>
          <w:lang w:val="en-CA"/>
        </w:rPr>
        <w:t xml:space="preserve"> </w:t>
      </w:r>
      <w:r w:rsidRPr="00366942">
        <w:rPr>
          <w:lang w:val="en-CA"/>
        </w:rPr>
        <w:t>disadvantag</w:t>
      </w:r>
      <w:r w:rsidR="00AF77E3" w:rsidRPr="00366942">
        <w:rPr>
          <w:lang w:val="en-CA"/>
        </w:rPr>
        <w:t>e</w:t>
      </w:r>
      <w:r w:rsidRPr="00366942">
        <w:rPr>
          <w:lang w:val="en-CA"/>
        </w:rPr>
        <w:t xml:space="preserve"> as </w:t>
      </w:r>
      <w:r w:rsidR="00AF77E3" w:rsidRPr="00366942">
        <w:rPr>
          <w:lang w:val="en-CA"/>
        </w:rPr>
        <w:t>far as</w:t>
      </w:r>
      <w:r w:rsidRPr="00366942">
        <w:rPr>
          <w:lang w:val="en-CA"/>
        </w:rPr>
        <w:t xml:space="preserve"> income or resources</w:t>
      </w:r>
      <w:r w:rsidR="00AF77E3" w:rsidRPr="00366942">
        <w:rPr>
          <w:lang w:val="en-CA"/>
        </w:rPr>
        <w:t xml:space="preserve"> are concerned</w:t>
      </w:r>
      <w:r w:rsidRPr="00366942">
        <w:rPr>
          <w:lang w:val="en-CA"/>
        </w:rPr>
        <w:t>. Th</w:t>
      </w:r>
      <w:r w:rsidR="00AF77E3" w:rsidRPr="00366942">
        <w:rPr>
          <w:lang w:val="en-CA"/>
        </w:rPr>
        <w:t>is</w:t>
      </w:r>
      <w:r w:rsidRPr="00366942">
        <w:rPr>
          <w:lang w:val="en-CA"/>
        </w:rPr>
        <w:t xml:space="preserve"> is the case </w:t>
      </w:r>
      <w:r w:rsidR="00AF77E3" w:rsidRPr="00366942">
        <w:rPr>
          <w:lang w:val="en-CA"/>
        </w:rPr>
        <w:t>for</w:t>
      </w:r>
      <w:r w:rsidRPr="00366942">
        <w:rPr>
          <w:lang w:val="en-CA"/>
        </w:rPr>
        <w:t xml:space="preserve"> women</w:t>
      </w:r>
      <w:r w:rsidR="00AF77E3" w:rsidRPr="00366942">
        <w:rPr>
          <w:lang w:val="en-CA"/>
        </w:rPr>
        <w:t xml:space="preserve"> </w:t>
      </w:r>
      <w:r w:rsidRPr="00366942">
        <w:rPr>
          <w:lang w:val="en-CA"/>
        </w:rPr>
        <w:t>and</w:t>
      </w:r>
      <w:r w:rsidR="00AF77E3" w:rsidRPr="00366942">
        <w:rPr>
          <w:lang w:val="en-CA"/>
        </w:rPr>
        <w:t>,</w:t>
      </w:r>
      <w:r w:rsidRPr="00366942">
        <w:rPr>
          <w:lang w:val="en-CA"/>
        </w:rPr>
        <w:t xml:space="preserve"> on that point, one simply has to turn to the findings of the Supreme Court in</w:t>
      </w:r>
      <w:r w:rsidR="00961A50" w:rsidRPr="00366942">
        <w:rPr>
          <w:lang w:val="en-CA"/>
        </w:rPr>
        <w:t xml:space="preserve"> </w:t>
      </w:r>
      <w:r w:rsidR="00961A50" w:rsidRPr="00366942">
        <w:rPr>
          <w:i/>
          <w:iCs/>
          <w:lang w:val="en-CA"/>
        </w:rPr>
        <w:t>Fraser</w:t>
      </w:r>
      <w:r w:rsidR="00961A50" w:rsidRPr="00366942">
        <w:rPr>
          <w:rStyle w:val="Appelnotedebasdep"/>
          <w:lang w:val="en-CA"/>
        </w:rPr>
        <w:footnoteReference w:id="88"/>
      </w:r>
      <w:r w:rsidR="00961A50" w:rsidRPr="00366942">
        <w:rPr>
          <w:lang w:val="en-CA"/>
        </w:rPr>
        <w:t xml:space="preserve"> </w:t>
      </w:r>
      <w:r w:rsidRPr="00366942">
        <w:rPr>
          <w:lang w:val="en-CA"/>
        </w:rPr>
        <w:t>or in</w:t>
      </w:r>
      <w:r w:rsidR="00961A50" w:rsidRPr="00366942">
        <w:rPr>
          <w:lang w:val="en-CA"/>
        </w:rPr>
        <w:t xml:space="preserve"> </w:t>
      </w:r>
      <w:r w:rsidRPr="00366942">
        <w:rPr>
          <w:i/>
          <w:iCs/>
          <w:lang w:val="en-CA"/>
        </w:rPr>
        <w:t>Quebec (Attorney General) v. Alliance du personnel professionnel et technique de la santé et des services sociaux</w:t>
      </w:r>
      <w:r w:rsidR="00961A50" w:rsidRPr="00366942">
        <w:rPr>
          <w:rStyle w:val="Appelnotedebasdep"/>
          <w:lang w:val="en-CA"/>
        </w:rPr>
        <w:footnoteReference w:id="89"/>
      </w:r>
      <w:r w:rsidR="00961A50" w:rsidRPr="00366942">
        <w:rPr>
          <w:lang w:val="en-CA"/>
        </w:rPr>
        <w:t xml:space="preserve"> </w:t>
      </w:r>
      <w:r w:rsidRPr="00366942">
        <w:rPr>
          <w:lang w:val="en-CA"/>
        </w:rPr>
        <w:t>and</w:t>
      </w:r>
      <w:r w:rsidR="00961A50" w:rsidRPr="00366942">
        <w:rPr>
          <w:lang w:val="en-CA"/>
        </w:rPr>
        <w:t xml:space="preserve"> </w:t>
      </w:r>
      <w:r w:rsidRPr="00366942">
        <w:rPr>
          <w:i/>
          <w:iCs/>
          <w:lang w:val="en-CA"/>
        </w:rPr>
        <w:t>Centrale des syndicats du Québec v. Quebec (Attorney General)</w:t>
      </w:r>
      <w:r w:rsidR="00961A50" w:rsidRPr="00366942">
        <w:rPr>
          <w:rStyle w:val="Appelnotedebasdep"/>
          <w:lang w:val="en-CA"/>
        </w:rPr>
        <w:footnoteReference w:id="90"/>
      </w:r>
      <w:r w:rsidR="00C679C4" w:rsidRPr="00366942">
        <w:rPr>
          <w:lang w:val="en-CA"/>
        </w:rPr>
        <w:t>.</w:t>
      </w:r>
      <w:r w:rsidR="00961A50" w:rsidRPr="00366942">
        <w:rPr>
          <w:lang w:val="en-CA"/>
        </w:rPr>
        <w:t xml:space="preserve"> </w:t>
      </w:r>
      <w:r w:rsidR="00C679C4" w:rsidRPr="00366942">
        <w:rPr>
          <w:lang w:val="en-CA"/>
        </w:rPr>
        <w:t xml:space="preserve">These cases </w:t>
      </w:r>
      <w:r w:rsidRPr="00366942">
        <w:rPr>
          <w:lang w:val="en-CA"/>
        </w:rPr>
        <w:t>recall the economic and social devaluation of women’s work</w:t>
      </w:r>
      <w:r w:rsidR="00C679C4" w:rsidRPr="00366942">
        <w:rPr>
          <w:lang w:val="en-CA"/>
        </w:rPr>
        <w:t>,</w:t>
      </w:r>
      <w:r w:rsidRPr="00366942">
        <w:rPr>
          <w:lang w:val="en-CA"/>
        </w:rPr>
        <w:t xml:space="preserve"> </w:t>
      </w:r>
      <w:r w:rsidR="00C679C4" w:rsidRPr="00366942">
        <w:rPr>
          <w:lang w:val="en-CA"/>
        </w:rPr>
        <w:t>hence the pay inequity which endures, as well as, more generally, the systemic disadvantage which is theirs in the labo</w:t>
      </w:r>
      <w:r w:rsidR="0011171A" w:rsidRPr="00366942">
        <w:rPr>
          <w:lang w:val="en-CA"/>
        </w:rPr>
        <w:t>u</w:t>
      </w:r>
      <w:r w:rsidR="00C679C4" w:rsidRPr="00366942">
        <w:rPr>
          <w:lang w:val="en-CA"/>
        </w:rPr>
        <w:t xml:space="preserve">r market and which results in part, as noted in </w:t>
      </w:r>
      <w:r w:rsidR="00C679C4" w:rsidRPr="00366942">
        <w:rPr>
          <w:i/>
          <w:iCs/>
          <w:lang w:val="en-CA"/>
        </w:rPr>
        <w:t>Kanyinda</w:t>
      </w:r>
      <w:r w:rsidR="00C679C4" w:rsidRPr="00366942">
        <w:rPr>
          <w:lang w:val="en-CA"/>
        </w:rPr>
        <w:t xml:space="preserve">, from the reproductive and parental responsibilities that they </w:t>
      </w:r>
      <w:r w:rsidR="00536D65" w:rsidRPr="00366942">
        <w:rPr>
          <w:lang w:val="en-CA"/>
        </w:rPr>
        <w:t>are overwhelmingly saddled with</w:t>
      </w:r>
      <w:r w:rsidR="00961A50" w:rsidRPr="00366942">
        <w:rPr>
          <w:lang w:val="en-CA"/>
        </w:rPr>
        <w:t xml:space="preserve">. </w:t>
      </w:r>
      <w:r w:rsidR="00AF77E3" w:rsidRPr="00366942">
        <w:rPr>
          <w:lang w:val="en-CA"/>
        </w:rPr>
        <w:t>Would</w:t>
      </w:r>
      <w:r w:rsidR="007639D4" w:rsidRPr="00366942">
        <w:rPr>
          <w:lang w:val="en-CA"/>
        </w:rPr>
        <w:t xml:space="preserve"> this not mean</w:t>
      </w:r>
      <w:r w:rsidR="00A91A05" w:rsidRPr="00366942">
        <w:rPr>
          <w:lang w:val="en-CA"/>
        </w:rPr>
        <w:t xml:space="preserve"> – and that is actually what the appellant is saying –</w:t>
      </w:r>
      <w:r w:rsidR="007639D4" w:rsidRPr="00366942">
        <w:rPr>
          <w:lang w:val="en-CA"/>
        </w:rPr>
        <w:t xml:space="preserve"> that they are consequently, and necessarily</w:t>
      </w:r>
      <w:r w:rsidR="00AF77E3" w:rsidRPr="00366942">
        <w:rPr>
          <w:lang w:val="en-CA"/>
        </w:rPr>
        <w:t>,</w:t>
      </w:r>
      <w:r w:rsidR="007639D4" w:rsidRPr="00366942">
        <w:rPr>
          <w:lang w:val="en-CA"/>
        </w:rPr>
        <w:t xml:space="preserve"> “over-disadvantaged” compared to men </w:t>
      </w:r>
      <w:r w:rsidR="00AF77E3" w:rsidRPr="00366942">
        <w:rPr>
          <w:lang w:val="en-CA"/>
        </w:rPr>
        <w:t>as to</w:t>
      </w:r>
      <w:r w:rsidR="007639D4" w:rsidRPr="00366942">
        <w:rPr>
          <w:lang w:val="en-CA"/>
        </w:rPr>
        <w:t xml:space="preserve"> the application of the limit provided in s. </w:t>
      </w:r>
      <w:r w:rsidR="00961A50" w:rsidRPr="00366942">
        <w:rPr>
          <w:lang w:val="en-CA"/>
        </w:rPr>
        <w:t>10</w:t>
      </w:r>
      <w:r w:rsidR="007639D4" w:rsidRPr="00366942">
        <w:rPr>
          <w:lang w:val="en-CA"/>
        </w:rPr>
        <w:t>, para</w:t>
      </w:r>
      <w:r w:rsidR="00961A50" w:rsidRPr="00366942">
        <w:rPr>
          <w:lang w:val="en-CA"/>
        </w:rPr>
        <w:t xml:space="preserve">. 4 </w:t>
      </w:r>
      <w:r w:rsidR="007639D4" w:rsidRPr="00366942">
        <w:rPr>
          <w:i/>
          <w:iCs/>
          <w:lang w:val="en-CA"/>
        </w:rPr>
        <w:t>HIA</w:t>
      </w:r>
      <w:r w:rsidR="00961A50" w:rsidRPr="00366942">
        <w:rPr>
          <w:lang w:val="en-CA"/>
        </w:rPr>
        <w:t xml:space="preserve">, </w:t>
      </w:r>
      <w:r w:rsidR="007639D4" w:rsidRPr="00366942">
        <w:rPr>
          <w:lang w:val="en-CA"/>
        </w:rPr>
        <w:t>particular</w:t>
      </w:r>
      <w:r w:rsidR="00AF77E3" w:rsidRPr="00366942">
        <w:rPr>
          <w:lang w:val="en-CA"/>
        </w:rPr>
        <w:t>ly</w:t>
      </w:r>
      <w:r w:rsidR="007639D4" w:rsidRPr="00366942">
        <w:rPr>
          <w:lang w:val="en-CA"/>
        </w:rPr>
        <w:t xml:space="preserve"> as regards to reproductive health care, including VTP</w:t>
      </w:r>
      <w:r w:rsidR="00961A50" w:rsidRPr="00366942">
        <w:rPr>
          <w:lang w:val="en-CA"/>
        </w:rPr>
        <w:t xml:space="preserve">? </w:t>
      </w:r>
      <w:r w:rsidR="007639D4" w:rsidRPr="00366942">
        <w:rPr>
          <w:lang w:val="en-CA"/>
        </w:rPr>
        <w:t>To restate what was articulated in</w:t>
      </w:r>
      <w:r w:rsidR="00961A50" w:rsidRPr="00366942">
        <w:rPr>
          <w:lang w:val="en-CA"/>
        </w:rPr>
        <w:t xml:space="preserve"> </w:t>
      </w:r>
      <w:r w:rsidR="00961A50" w:rsidRPr="00366942">
        <w:rPr>
          <w:i/>
          <w:iCs/>
          <w:lang w:val="en-CA"/>
        </w:rPr>
        <w:t>Law</w:t>
      </w:r>
      <w:r w:rsidR="007639D4" w:rsidRPr="00366942">
        <w:rPr>
          <w:lang w:val="en-CA"/>
        </w:rPr>
        <w:t>,</w:t>
      </w:r>
      <w:r w:rsidR="00961A50" w:rsidRPr="00366942">
        <w:rPr>
          <w:rStyle w:val="Appelnotedebasdep"/>
          <w:lang w:val="en-CA"/>
        </w:rPr>
        <w:footnoteReference w:id="91"/>
      </w:r>
      <w:r w:rsidR="007639D4" w:rsidRPr="00366942">
        <w:rPr>
          <w:lang w:val="en-CA"/>
        </w:rPr>
        <w:t xml:space="preserve"> </w:t>
      </w:r>
      <w:r w:rsidR="00CC3CFF" w:rsidRPr="00366942">
        <w:rPr>
          <w:lang w:val="en-CA"/>
        </w:rPr>
        <w:t>by</w:t>
      </w:r>
      <w:r w:rsidR="009E1A01" w:rsidRPr="00366942">
        <w:rPr>
          <w:lang w:val="en-CA"/>
        </w:rPr>
        <w:t xml:space="preserve"> failing to take into account women’s continuing disadvantaged position within Canadian society, </w:t>
      </w:r>
      <w:r w:rsidR="00CF2434" w:rsidRPr="00366942">
        <w:rPr>
          <w:lang w:val="en-CA"/>
        </w:rPr>
        <w:t xml:space="preserve">would </w:t>
      </w:r>
      <w:r w:rsidR="00267C23" w:rsidRPr="00366942">
        <w:rPr>
          <w:lang w:val="en-CA"/>
        </w:rPr>
        <w:t>s</w:t>
      </w:r>
      <w:r w:rsidR="009E1A01" w:rsidRPr="00366942">
        <w:rPr>
          <w:lang w:val="en-CA"/>
        </w:rPr>
        <w:t xml:space="preserve">. 10, para. 4 </w:t>
      </w:r>
      <w:r w:rsidR="009E1A01" w:rsidRPr="00366942">
        <w:rPr>
          <w:i/>
          <w:iCs/>
          <w:lang w:val="en-CA"/>
        </w:rPr>
        <w:t>HIA</w:t>
      </w:r>
      <w:r w:rsidR="009E1A01" w:rsidRPr="00366942">
        <w:rPr>
          <w:lang w:val="en-CA"/>
        </w:rPr>
        <w:t xml:space="preserve"> not result in substantively differential treatment between them “and others” (in this case, men) on the basis of one or several personal characteristics, in this case, their sex</w:t>
      </w:r>
      <w:r w:rsidR="00CF2434" w:rsidRPr="00366942">
        <w:rPr>
          <w:lang w:val="en-CA"/>
        </w:rPr>
        <w:t xml:space="preserve"> (an </w:t>
      </w:r>
      <w:r w:rsidR="009E1A01" w:rsidRPr="00366942">
        <w:rPr>
          <w:lang w:val="en-CA"/>
        </w:rPr>
        <w:t>over</w:t>
      </w:r>
      <w:r w:rsidR="0011171A" w:rsidRPr="00366942">
        <w:rPr>
          <w:lang w:val="en-CA"/>
        </w:rPr>
        <w:noBreakHyphen/>
      </w:r>
      <w:r w:rsidR="009E1A01" w:rsidRPr="00366942">
        <w:rPr>
          <w:lang w:val="en-CA"/>
        </w:rPr>
        <w:t>disadvan</w:t>
      </w:r>
      <w:r w:rsidR="00AF77E3" w:rsidRPr="00366942">
        <w:rPr>
          <w:lang w:val="en-CA"/>
        </w:rPr>
        <w:t>ta</w:t>
      </w:r>
      <w:r w:rsidR="009E1A01" w:rsidRPr="00366942">
        <w:rPr>
          <w:lang w:val="en-CA"/>
        </w:rPr>
        <w:t>ge</w:t>
      </w:r>
      <w:r w:rsidR="00961A50" w:rsidRPr="00366942">
        <w:rPr>
          <w:lang w:val="en-CA"/>
        </w:rPr>
        <w:t xml:space="preserve"> </w:t>
      </w:r>
      <w:r w:rsidR="00CF2434" w:rsidRPr="00366942">
        <w:rPr>
          <w:lang w:val="en-CA"/>
        </w:rPr>
        <w:t xml:space="preserve">that </w:t>
      </w:r>
      <w:r w:rsidR="009E1A01" w:rsidRPr="00366942">
        <w:rPr>
          <w:lang w:val="en-CA"/>
        </w:rPr>
        <w:t>could even be greater still whe</w:t>
      </w:r>
      <w:r w:rsidR="004F3314" w:rsidRPr="00366942">
        <w:rPr>
          <w:lang w:val="en-CA"/>
        </w:rPr>
        <w:t>n</w:t>
      </w:r>
      <w:r w:rsidR="009E1A01" w:rsidRPr="00366942">
        <w:rPr>
          <w:lang w:val="en-CA"/>
        </w:rPr>
        <w:t xml:space="preserve"> women also belong to other groups</w:t>
      </w:r>
      <w:r w:rsidR="00367327" w:rsidRPr="00366942">
        <w:rPr>
          <w:lang w:val="en-CA"/>
        </w:rPr>
        <w:t xml:space="preserve"> protected by s. 15 of the </w:t>
      </w:r>
      <w:r w:rsidR="00367327" w:rsidRPr="00366942">
        <w:rPr>
          <w:i/>
          <w:iCs/>
          <w:lang w:val="en-CA"/>
        </w:rPr>
        <w:t>Canadian Charter</w:t>
      </w:r>
      <w:r w:rsidR="009E1A01" w:rsidRPr="00366942">
        <w:rPr>
          <w:lang w:val="en-CA"/>
        </w:rPr>
        <w:t xml:space="preserve">, </w:t>
      </w:r>
      <w:r w:rsidR="00CC3CFF" w:rsidRPr="00366942">
        <w:rPr>
          <w:lang w:val="en-CA"/>
        </w:rPr>
        <w:t>through</w:t>
      </w:r>
      <w:r w:rsidR="009E1A01" w:rsidRPr="00366942">
        <w:rPr>
          <w:lang w:val="en-CA"/>
        </w:rPr>
        <w:t xml:space="preserve"> an intersecting effect</w:t>
      </w:r>
      <w:r w:rsidR="00CF2434" w:rsidRPr="00366942">
        <w:rPr>
          <w:lang w:val="en-CA"/>
        </w:rPr>
        <w:t>)?</w:t>
      </w:r>
    </w:p>
    <w:p w14:paraId="108D8F28" w14:textId="6B79DE34" w:rsidR="00961A50" w:rsidRPr="00366942" w:rsidRDefault="00367327" w:rsidP="00961A50">
      <w:pPr>
        <w:pStyle w:val="Paragraphe"/>
        <w:rPr>
          <w:lang w:val="en-CA"/>
        </w:rPr>
      </w:pPr>
      <w:r w:rsidRPr="00366942">
        <w:rPr>
          <w:lang w:val="en-CA"/>
        </w:rPr>
        <w:t xml:space="preserve">This is what the appellant asserts but fails to </w:t>
      </w:r>
      <w:r w:rsidR="0011171A" w:rsidRPr="00366942">
        <w:rPr>
          <w:lang w:val="en-CA"/>
        </w:rPr>
        <w:t xml:space="preserve">demonstrate. </w:t>
      </w:r>
      <w:r w:rsidR="004F3314" w:rsidRPr="00366942">
        <w:rPr>
          <w:lang w:val="en-CA"/>
        </w:rPr>
        <w:t>Indeed, nothing in the evidence</w:t>
      </w:r>
      <w:r w:rsidR="00961A50" w:rsidRPr="00366942">
        <w:rPr>
          <w:lang w:val="en-CA"/>
        </w:rPr>
        <w:t xml:space="preserve"> </w:t>
      </w:r>
      <w:r w:rsidR="004F3314" w:rsidRPr="00366942">
        <w:rPr>
          <w:lang w:val="en-CA"/>
        </w:rPr>
        <w:t xml:space="preserve">allows </w:t>
      </w:r>
      <w:r w:rsidR="00267C23" w:rsidRPr="00366942">
        <w:rPr>
          <w:lang w:val="en-CA"/>
        </w:rPr>
        <w:t>us</w:t>
      </w:r>
      <w:r w:rsidR="00B76522" w:rsidRPr="00366942">
        <w:rPr>
          <w:lang w:val="en-CA"/>
        </w:rPr>
        <w:t xml:space="preserve"> to </w:t>
      </w:r>
      <w:r w:rsidR="004F3314" w:rsidRPr="00366942">
        <w:rPr>
          <w:lang w:val="en-CA"/>
        </w:rPr>
        <w:t>concretely compare “the actual impact of the impugned law”</w:t>
      </w:r>
      <w:r w:rsidR="00961A50" w:rsidRPr="00366942">
        <w:rPr>
          <w:rStyle w:val="Appelnotedebasdep"/>
          <w:lang w:val="en-CA"/>
        </w:rPr>
        <w:footnoteReference w:id="92"/>
      </w:r>
      <w:r w:rsidR="00961A50" w:rsidRPr="00366942">
        <w:rPr>
          <w:lang w:val="en-CA"/>
        </w:rPr>
        <w:t xml:space="preserve"> </w:t>
      </w:r>
      <w:r w:rsidR="004F3314" w:rsidRPr="00366942">
        <w:rPr>
          <w:lang w:val="en-CA"/>
        </w:rPr>
        <w:t>on women and on men</w:t>
      </w:r>
      <w:r w:rsidR="00961A50" w:rsidRPr="00366942">
        <w:rPr>
          <w:lang w:val="en-CA"/>
        </w:rPr>
        <w:t xml:space="preserve"> (</w:t>
      </w:r>
      <w:r w:rsidR="004F3314" w:rsidRPr="00366942">
        <w:rPr>
          <w:lang w:val="en-CA"/>
        </w:rPr>
        <w:t xml:space="preserve">the only ground of discrimination </w:t>
      </w:r>
      <w:r w:rsidR="00B76522" w:rsidRPr="00366942">
        <w:rPr>
          <w:lang w:val="en-CA"/>
        </w:rPr>
        <w:t xml:space="preserve">invoked </w:t>
      </w:r>
      <w:r w:rsidR="004F3314" w:rsidRPr="00366942">
        <w:rPr>
          <w:lang w:val="en-CA"/>
        </w:rPr>
        <w:t>being sex</w:t>
      </w:r>
      <w:r w:rsidR="00961A50" w:rsidRPr="00366942">
        <w:rPr>
          <w:lang w:val="en-CA"/>
        </w:rPr>
        <w:t xml:space="preserve">) </w:t>
      </w:r>
      <w:r w:rsidR="00B76522" w:rsidRPr="00366942">
        <w:rPr>
          <w:lang w:val="en-CA"/>
        </w:rPr>
        <w:t xml:space="preserve">and the manner in which </w:t>
      </w:r>
      <w:r w:rsidR="00BF4794" w:rsidRPr="00366942">
        <w:rPr>
          <w:lang w:val="en-CA"/>
        </w:rPr>
        <w:t>either</w:t>
      </w:r>
      <w:r w:rsidR="00B76522" w:rsidRPr="00366942">
        <w:rPr>
          <w:lang w:val="en-CA"/>
        </w:rPr>
        <w:t xml:space="preserve"> are affected by that provision</w:t>
      </w:r>
      <w:r w:rsidR="00961A50" w:rsidRPr="00366942">
        <w:rPr>
          <w:lang w:val="en-CA"/>
        </w:rPr>
        <w:t xml:space="preserve">. </w:t>
      </w:r>
      <w:r w:rsidR="00407EE6" w:rsidRPr="00366942">
        <w:rPr>
          <w:lang w:val="en-CA"/>
        </w:rPr>
        <w:t xml:space="preserve">Certainly, s. 10, para. 4 </w:t>
      </w:r>
      <w:r w:rsidR="00407EE6" w:rsidRPr="00366942">
        <w:rPr>
          <w:i/>
          <w:iCs/>
          <w:lang w:val="en-CA"/>
        </w:rPr>
        <w:t>HIA</w:t>
      </w:r>
      <w:r w:rsidR="00407EE6" w:rsidRPr="00366942">
        <w:rPr>
          <w:lang w:val="en-CA"/>
        </w:rPr>
        <w:t xml:space="preserve"> may have a different impact on insured persons, but nothing in the evidence establishes that this impact would be in any way related to or vary according to sex.</w:t>
      </w:r>
    </w:p>
    <w:p w14:paraId="21B9A6E2" w14:textId="690BC155" w:rsidR="00961A50" w:rsidRPr="00366942" w:rsidRDefault="00BE69F8" w:rsidP="00996820">
      <w:pPr>
        <w:pStyle w:val="Paragraphe"/>
        <w:rPr>
          <w:lang w:val="en-CA"/>
        </w:rPr>
      </w:pPr>
      <w:r w:rsidRPr="00366942">
        <w:rPr>
          <w:lang w:val="en-CA"/>
        </w:rPr>
        <w:t xml:space="preserve">It must be recalled here that, from the beginning, the purpose and objective of the implementation of the Canadian and Quebec public health system and the organization of the health system were and still are to provide the population with as wide and continuing access to quality care as possible, without financial or other barriers and </w:t>
      </w:r>
      <w:r w:rsidRPr="00366942">
        <w:rPr>
          <w:i/>
          <w:iCs/>
          <w:lang w:val="en-CA"/>
        </w:rPr>
        <w:t>without difference</w:t>
      </w:r>
      <w:r w:rsidRPr="00366942">
        <w:rPr>
          <w:lang w:val="en-CA"/>
        </w:rPr>
        <w:t xml:space="preserve"> based on individuals’ socioeconomic categories or personal characteristics</w:t>
      </w:r>
      <w:r w:rsidRPr="00366942">
        <w:rPr>
          <w:rFonts w:ascii="Helvetica" w:hAnsi="Helvetica" w:cs="Helvetica"/>
          <w:shd w:val="clear" w:color="auto" w:fill="FFFFFF"/>
          <w:lang w:val="en-CA"/>
        </w:rPr>
        <w:t xml:space="preserve">, which is essential to the welfare of every person and </w:t>
      </w:r>
      <w:r w:rsidR="00AD393C" w:rsidRPr="00366942">
        <w:rPr>
          <w:rFonts w:ascii="Helvetica" w:hAnsi="Helvetica" w:cs="Helvetica"/>
          <w:shd w:val="clear" w:color="auto" w:fill="FFFFFF"/>
          <w:lang w:val="en-CA"/>
        </w:rPr>
        <w:t xml:space="preserve">to </w:t>
      </w:r>
      <w:r w:rsidRPr="00366942">
        <w:rPr>
          <w:rFonts w:ascii="Helvetica" w:hAnsi="Helvetica" w:cs="Helvetica"/>
          <w:shd w:val="clear" w:color="auto" w:fill="FFFFFF"/>
          <w:lang w:val="en-CA"/>
        </w:rPr>
        <w:t>the optimal development of society itself.</w:t>
      </w:r>
      <w:r w:rsidR="00996820" w:rsidRPr="00366942">
        <w:rPr>
          <w:rStyle w:val="Appelnotedebasdep"/>
          <w:rFonts w:ascii="Helvetica" w:hAnsi="Helvetica" w:cs="Helvetica"/>
          <w:shd w:val="clear" w:color="auto" w:fill="FFFFFF"/>
          <w:lang w:val="en-CA"/>
        </w:rPr>
        <w:footnoteReference w:id="93"/>
      </w:r>
      <w:r w:rsidRPr="00366942">
        <w:rPr>
          <w:rFonts w:ascii="Helvetica" w:hAnsi="Helvetica" w:cs="Helvetica"/>
          <w:shd w:val="clear" w:color="auto" w:fill="FFFFFF"/>
          <w:lang w:val="en-CA"/>
        </w:rPr>
        <w:t xml:space="preserve"> </w:t>
      </w:r>
      <w:r w:rsidR="009921AF" w:rsidRPr="00366942">
        <w:rPr>
          <w:rFonts w:ascii="Helvetica" w:hAnsi="Helvetica" w:cs="Helvetica"/>
          <w:shd w:val="clear" w:color="auto" w:fill="FFFFFF"/>
          <w:lang w:val="en-CA"/>
        </w:rPr>
        <w:t xml:space="preserve">In this context, </w:t>
      </w:r>
      <w:r w:rsidR="00E57FE4" w:rsidRPr="00366942">
        <w:rPr>
          <w:rFonts w:ascii="Helvetica" w:hAnsi="Helvetica" w:cs="Helvetica"/>
          <w:shd w:val="clear" w:color="auto" w:fill="FFFFFF"/>
          <w:lang w:val="en-CA"/>
        </w:rPr>
        <w:t xml:space="preserve">it could therefore be considered that </w:t>
      </w:r>
      <w:r w:rsidR="009921AF" w:rsidRPr="00366942">
        <w:rPr>
          <w:rFonts w:ascii="Helvetica" w:hAnsi="Helvetica" w:cs="Helvetica"/>
          <w:shd w:val="clear" w:color="auto" w:fill="FFFFFF"/>
          <w:lang w:val="en-CA"/>
        </w:rPr>
        <w:t xml:space="preserve">the </w:t>
      </w:r>
      <w:r w:rsidR="009921AF" w:rsidRPr="00366942">
        <w:rPr>
          <w:rFonts w:ascii="Helvetica" w:hAnsi="Helvetica" w:cs="Helvetica"/>
          <w:shd w:val="clear" w:color="auto" w:fill="FFFFFF"/>
          <w:lang w:val="en-CA"/>
        </w:rPr>
        <w:lastRenderedPageBreak/>
        <w:t xml:space="preserve">limit imposed by s. 10, para. 4 </w:t>
      </w:r>
      <w:r w:rsidR="009921AF" w:rsidRPr="00366942">
        <w:rPr>
          <w:rFonts w:ascii="Helvetica" w:hAnsi="Helvetica" w:cs="Helvetica"/>
          <w:i/>
          <w:iCs/>
          <w:shd w:val="clear" w:color="auto" w:fill="FFFFFF"/>
          <w:lang w:val="en-CA"/>
        </w:rPr>
        <w:t>HIA</w:t>
      </w:r>
      <w:r w:rsidR="009921AF" w:rsidRPr="00366942">
        <w:rPr>
          <w:rFonts w:ascii="Helvetica" w:hAnsi="Helvetica" w:cs="Helvetica"/>
          <w:shd w:val="clear" w:color="auto" w:fill="FFFFFF"/>
          <w:lang w:val="en-CA"/>
        </w:rPr>
        <w:t xml:space="preserve"> </w:t>
      </w:r>
      <w:r w:rsidR="00E57FE4" w:rsidRPr="00366942">
        <w:rPr>
          <w:rFonts w:ascii="Helvetica" w:hAnsi="Helvetica" w:cs="Helvetica"/>
          <w:shd w:val="clear" w:color="auto" w:fill="FFFFFF"/>
          <w:lang w:val="en-CA"/>
        </w:rPr>
        <w:t>is</w:t>
      </w:r>
      <w:r w:rsidR="009921AF" w:rsidRPr="00366942">
        <w:rPr>
          <w:rFonts w:ascii="Helvetica" w:hAnsi="Helvetica" w:cs="Helvetica"/>
          <w:shd w:val="clear" w:color="auto" w:fill="FFFFFF"/>
          <w:lang w:val="en-CA"/>
        </w:rPr>
        <w:t xml:space="preserve"> intrinsically disadvantageous</w:t>
      </w:r>
      <w:r w:rsidR="00CE6780" w:rsidRPr="00366942">
        <w:rPr>
          <w:rStyle w:val="Appelnotedebasdep"/>
          <w:rFonts w:ascii="Helvetica" w:hAnsi="Helvetica" w:cs="Helvetica"/>
          <w:shd w:val="clear" w:color="auto" w:fill="FFFFFF"/>
        </w:rPr>
        <w:footnoteReference w:id="94"/>
      </w:r>
      <w:r w:rsidR="009921AF" w:rsidRPr="00366942">
        <w:rPr>
          <w:rFonts w:ascii="Helvetica" w:hAnsi="Helvetica" w:cs="Helvetica"/>
          <w:shd w:val="clear" w:color="auto" w:fill="FFFFFF"/>
          <w:lang w:val="en-CA"/>
        </w:rPr>
        <w:t xml:space="preserve"> and </w:t>
      </w:r>
      <w:r w:rsidR="00E57FE4" w:rsidRPr="00366942">
        <w:rPr>
          <w:rFonts w:ascii="Helvetica" w:hAnsi="Helvetica" w:cs="Helvetica"/>
          <w:shd w:val="clear" w:color="auto" w:fill="FFFFFF"/>
          <w:lang w:val="en-CA"/>
        </w:rPr>
        <w:t>that it runs counter to</w:t>
      </w:r>
      <w:r w:rsidR="009921AF" w:rsidRPr="00366942">
        <w:rPr>
          <w:rFonts w:ascii="Helvetica" w:hAnsi="Helvetica" w:cs="Helvetica"/>
          <w:shd w:val="clear" w:color="auto" w:fill="FFFFFF"/>
          <w:lang w:val="en-CA"/>
        </w:rPr>
        <w:t xml:space="preserve"> the principle of equal and universal</w:t>
      </w:r>
      <w:r w:rsidR="00961A50" w:rsidRPr="00366942">
        <w:rPr>
          <w:rFonts w:ascii="Helvetica" w:hAnsi="Helvetica" w:cs="Helvetica"/>
          <w:shd w:val="clear" w:color="auto" w:fill="FFFFFF"/>
          <w:lang w:val="en-CA"/>
        </w:rPr>
        <w:t xml:space="preserve"> </w:t>
      </w:r>
      <w:r w:rsidR="009921AF" w:rsidRPr="00366942">
        <w:rPr>
          <w:rFonts w:ascii="Helvetica" w:hAnsi="Helvetica" w:cs="Helvetica"/>
          <w:shd w:val="clear" w:color="auto" w:fill="FFFFFF"/>
          <w:lang w:val="en-CA"/>
        </w:rPr>
        <w:t xml:space="preserve">access by imposing a potential financial burden on all insured persons </w:t>
      </w:r>
      <w:r w:rsidR="00E57FE4" w:rsidRPr="00366942">
        <w:rPr>
          <w:rFonts w:ascii="Helvetica" w:hAnsi="Helvetica" w:cs="Helvetica"/>
          <w:shd w:val="clear" w:color="auto" w:fill="FFFFFF"/>
          <w:lang w:val="en-CA"/>
        </w:rPr>
        <w:t>who will</w:t>
      </w:r>
      <w:r w:rsidR="009921AF" w:rsidRPr="00366942">
        <w:rPr>
          <w:rFonts w:ascii="Helvetica" w:hAnsi="Helvetica" w:cs="Helvetica"/>
          <w:shd w:val="clear" w:color="auto" w:fill="FFFFFF"/>
          <w:lang w:val="en-CA"/>
        </w:rPr>
        <w:t xml:space="preserve"> receive medical services outside Quebec.</w:t>
      </w:r>
      <w:r w:rsidR="00961A50" w:rsidRPr="00366942">
        <w:rPr>
          <w:rFonts w:ascii="Helvetica" w:hAnsi="Helvetica" w:cs="Helvetica"/>
          <w:shd w:val="clear" w:color="auto" w:fill="FFFFFF"/>
          <w:lang w:val="en-CA"/>
        </w:rPr>
        <w:t xml:space="preserve"> </w:t>
      </w:r>
      <w:r w:rsidR="009921AF" w:rsidRPr="00366942">
        <w:rPr>
          <w:rFonts w:ascii="Helvetica" w:hAnsi="Helvetica" w:cs="Helvetica"/>
          <w:shd w:val="clear" w:color="auto" w:fill="FFFFFF"/>
          <w:lang w:val="en-CA"/>
        </w:rPr>
        <w:t xml:space="preserve">Persons </w:t>
      </w:r>
      <w:r w:rsidR="00E57FE4" w:rsidRPr="00366942">
        <w:rPr>
          <w:rFonts w:ascii="Helvetica" w:hAnsi="Helvetica" w:cs="Helvetica"/>
          <w:shd w:val="clear" w:color="auto" w:fill="FFFFFF"/>
          <w:lang w:val="en-CA"/>
        </w:rPr>
        <w:t>of</w:t>
      </w:r>
      <w:r w:rsidR="009921AF" w:rsidRPr="00366942">
        <w:rPr>
          <w:rFonts w:ascii="Helvetica" w:hAnsi="Helvetica" w:cs="Helvetica"/>
          <w:shd w:val="clear" w:color="auto" w:fill="FFFFFF"/>
          <w:lang w:val="en-CA"/>
        </w:rPr>
        <w:t xml:space="preserve"> little means will be particularly affected (as they were before the public health </w:t>
      </w:r>
      <w:r w:rsidR="00BF76B2" w:rsidRPr="00366942">
        <w:rPr>
          <w:rFonts w:ascii="Helvetica" w:hAnsi="Helvetica" w:cs="Helvetica"/>
          <w:shd w:val="clear" w:color="auto" w:fill="FFFFFF"/>
          <w:lang w:val="en-CA"/>
        </w:rPr>
        <w:t>care plan</w:t>
      </w:r>
      <w:r w:rsidR="009921AF" w:rsidRPr="00366942">
        <w:rPr>
          <w:rFonts w:ascii="Helvetica" w:hAnsi="Helvetica" w:cs="Helvetica"/>
          <w:shd w:val="clear" w:color="auto" w:fill="FFFFFF"/>
          <w:lang w:val="en-CA"/>
        </w:rPr>
        <w:t xml:space="preserve"> was put in place), which can indeed interfere with their access to health care and, ultimately, their integration into society or the </w:t>
      </w:r>
      <w:r w:rsidR="0040088F" w:rsidRPr="00366942">
        <w:rPr>
          <w:rFonts w:ascii="Helvetica" w:hAnsi="Helvetica" w:cs="Helvetica"/>
          <w:shd w:val="clear" w:color="auto" w:fill="FFFFFF"/>
          <w:lang w:val="en-CA"/>
        </w:rPr>
        <w:t>workplace</w:t>
      </w:r>
      <w:r w:rsidR="00961A50" w:rsidRPr="00366942">
        <w:rPr>
          <w:rFonts w:ascii="Helvetica" w:hAnsi="Helvetica" w:cs="Helvetica"/>
          <w:shd w:val="clear" w:color="auto" w:fill="FFFFFF"/>
          <w:lang w:val="en-CA"/>
        </w:rPr>
        <w:t xml:space="preserve">, </w:t>
      </w:r>
      <w:r w:rsidR="00EC7805" w:rsidRPr="00366942">
        <w:rPr>
          <w:rFonts w:ascii="Helvetica" w:hAnsi="Helvetica" w:cs="Helvetica"/>
          <w:shd w:val="clear" w:color="auto" w:fill="FFFFFF"/>
          <w:lang w:val="en-CA"/>
        </w:rPr>
        <w:t>regardless of the group, whether protected or not, to which they belong</w:t>
      </w:r>
      <w:r w:rsidR="00961A50" w:rsidRPr="00366942">
        <w:rPr>
          <w:rFonts w:ascii="Helvetica" w:hAnsi="Helvetica" w:cs="Helvetica"/>
          <w:shd w:val="clear" w:color="auto" w:fill="FFFFFF"/>
          <w:lang w:val="en-CA"/>
        </w:rPr>
        <w:t xml:space="preserve">. </w:t>
      </w:r>
      <w:r w:rsidR="00EC7805" w:rsidRPr="00366942">
        <w:rPr>
          <w:lang w:val="en-CA"/>
        </w:rPr>
        <w:t xml:space="preserve">These are the persons that s. 4, para. 10 </w:t>
      </w:r>
      <w:r w:rsidR="00EC7805" w:rsidRPr="00366942">
        <w:rPr>
          <w:i/>
          <w:iCs/>
          <w:lang w:val="en-CA"/>
        </w:rPr>
        <w:t>HIA</w:t>
      </w:r>
      <w:r w:rsidR="00EC7805" w:rsidRPr="00366942">
        <w:rPr>
          <w:lang w:val="en-CA"/>
        </w:rPr>
        <w:t xml:space="preserve"> likely affects disproportionately, weakness or insufficiency of financial means</w:t>
      </w:r>
      <w:r w:rsidR="005403F4" w:rsidRPr="00366942">
        <w:rPr>
          <w:lang w:val="en-CA"/>
        </w:rPr>
        <w:t xml:space="preserve"> being a </w:t>
      </w:r>
      <w:r w:rsidR="00E57FE4" w:rsidRPr="00366942">
        <w:rPr>
          <w:lang w:val="en-CA"/>
        </w:rPr>
        <w:t>sort</w:t>
      </w:r>
      <w:r w:rsidR="005403F4" w:rsidRPr="00366942">
        <w:rPr>
          <w:lang w:val="en-CA"/>
        </w:rPr>
        <w:t xml:space="preserve"> of transversal</w:t>
      </w:r>
      <w:r w:rsidR="00BF76B2" w:rsidRPr="00366942">
        <w:rPr>
          <w:lang w:val="en-CA"/>
        </w:rPr>
        <w:t xml:space="preserve"> characteristic, which </w:t>
      </w:r>
      <w:r w:rsidR="00E57FE4" w:rsidRPr="00366942">
        <w:rPr>
          <w:lang w:val="en-CA"/>
        </w:rPr>
        <w:t>unites</w:t>
      </w:r>
      <w:r w:rsidR="00BF76B2" w:rsidRPr="00366942">
        <w:rPr>
          <w:lang w:val="en-CA"/>
        </w:rPr>
        <w:t xml:space="preserve"> </w:t>
      </w:r>
      <w:r w:rsidR="00E57FE4" w:rsidRPr="00366942">
        <w:rPr>
          <w:lang w:val="en-CA"/>
        </w:rPr>
        <w:t>many</w:t>
      </w:r>
      <w:r w:rsidR="00BF76B2" w:rsidRPr="00366942">
        <w:rPr>
          <w:lang w:val="en-CA"/>
        </w:rPr>
        <w:t xml:space="preserve"> individuals </w:t>
      </w:r>
      <w:r w:rsidR="00E57FE4" w:rsidRPr="00366942">
        <w:rPr>
          <w:lang w:val="en-CA"/>
        </w:rPr>
        <w:t>across</w:t>
      </w:r>
      <w:r w:rsidR="00BF76B2" w:rsidRPr="00366942">
        <w:rPr>
          <w:lang w:val="en-CA"/>
        </w:rPr>
        <w:t xml:space="preserve"> all the groups</w:t>
      </w:r>
      <w:r w:rsidR="00961A50" w:rsidRPr="00366942">
        <w:rPr>
          <w:lang w:val="en-CA"/>
        </w:rPr>
        <w:t>.</w:t>
      </w:r>
    </w:p>
    <w:p w14:paraId="6A43EC2A" w14:textId="37763995" w:rsidR="00961A50" w:rsidRPr="00366942" w:rsidRDefault="00BF76B2" w:rsidP="00961A50">
      <w:pPr>
        <w:pStyle w:val="Paragraphe"/>
        <w:rPr>
          <w:lang w:val="en-CA"/>
        </w:rPr>
      </w:pPr>
      <w:r w:rsidRPr="00366942">
        <w:rPr>
          <w:lang w:val="en-CA"/>
        </w:rPr>
        <w:t xml:space="preserve">Indeed, that limit is disadvantageous </w:t>
      </w:r>
      <w:r w:rsidR="005A2ACB" w:rsidRPr="00366942">
        <w:rPr>
          <w:lang w:val="en-CA"/>
        </w:rPr>
        <w:t>for all insured persons receiving medical services outside Quebec and it is no less disadvantageous when it is aimed at</w:t>
      </w:r>
      <w:r w:rsidR="008D0C8D" w:rsidRPr="00366942">
        <w:rPr>
          <w:lang w:val="en-CA"/>
        </w:rPr>
        <w:t xml:space="preserve"> groups</w:t>
      </w:r>
      <w:r w:rsidR="005A2ACB" w:rsidRPr="00366942">
        <w:rPr>
          <w:lang w:val="en-CA"/>
        </w:rPr>
        <w:t xml:space="preserve"> other than women (for pregnancy-related care), including protected groups</w:t>
      </w:r>
      <w:r w:rsidR="00961A50" w:rsidRPr="00366942">
        <w:rPr>
          <w:lang w:val="en-CA"/>
        </w:rPr>
        <w:t xml:space="preserve">. </w:t>
      </w:r>
      <w:r w:rsidR="008D0C8D" w:rsidRPr="00366942">
        <w:rPr>
          <w:lang w:val="en-CA"/>
        </w:rPr>
        <w:t>Consider,</w:t>
      </w:r>
      <w:r w:rsidR="005A2ACB" w:rsidRPr="00366942">
        <w:rPr>
          <w:lang w:val="en-CA"/>
        </w:rPr>
        <w:t xml:space="preserve"> for </w:t>
      </w:r>
      <w:r w:rsidR="005603AC" w:rsidRPr="00366942">
        <w:rPr>
          <w:lang w:val="en-CA"/>
        </w:rPr>
        <w:t>instance</w:t>
      </w:r>
      <w:r w:rsidR="008D0C8D" w:rsidRPr="00366942">
        <w:rPr>
          <w:lang w:val="en-CA"/>
        </w:rPr>
        <w:t>,</w:t>
      </w:r>
      <w:r w:rsidR="005A2ACB" w:rsidRPr="00366942">
        <w:rPr>
          <w:lang w:val="en-CA"/>
        </w:rPr>
        <w:t xml:space="preserve"> persons with</w:t>
      </w:r>
      <w:r w:rsidR="008D0C8D" w:rsidRPr="00366942">
        <w:rPr>
          <w:lang w:val="en-CA"/>
        </w:rPr>
        <w:t xml:space="preserve"> </w:t>
      </w:r>
      <w:r w:rsidR="005A2ACB" w:rsidRPr="00366942">
        <w:rPr>
          <w:lang w:val="en-CA"/>
        </w:rPr>
        <w:t>disabilit</w:t>
      </w:r>
      <w:r w:rsidR="008D0C8D" w:rsidRPr="00366942">
        <w:rPr>
          <w:lang w:val="en-CA"/>
        </w:rPr>
        <w:t>ies</w:t>
      </w:r>
      <w:r w:rsidR="00961A50" w:rsidRPr="00366942">
        <w:rPr>
          <w:lang w:val="en-CA"/>
        </w:rPr>
        <w:t xml:space="preserve"> (</w:t>
      </w:r>
      <w:r w:rsidR="005A2ACB" w:rsidRPr="00366942">
        <w:rPr>
          <w:lang w:val="en-CA"/>
        </w:rPr>
        <w:t>whether physical or mental</w:t>
      </w:r>
      <w:r w:rsidR="00961A50" w:rsidRPr="00366942">
        <w:rPr>
          <w:lang w:val="en-CA"/>
        </w:rPr>
        <w:t>). </w:t>
      </w:r>
      <w:r w:rsidR="005A2ACB" w:rsidRPr="00366942">
        <w:rPr>
          <w:lang w:val="en-CA"/>
        </w:rPr>
        <w:t xml:space="preserve">Section 10, para. 4 </w:t>
      </w:r>
      <w:r w:rsidR="005A2ACB" w:rsidRPr="00366942">
        <w:rPr>
          <w:i/>
          <w:iCs/>
          <w:lang w:val="en-CA"/>
        </w:rPr>
        <w:t>HIA</w:t>
      </w:r>
      <w:r w:rsidR="005A2ACB" w:rsidRPr="00366942">
        <w:rPr>
          <w:lang w:val="en-CA"/>
        </w:rPr>
        <w:t xml:space="preserve"> </w:t>
      </w:r>
      <w:r w:rsidR="005603AC" w:rsidRPr="00366942">
        <w:rPr>
          <w:lang w:val="en-CA"/>
        </w:rPr>
        <w:t>equally</w:t>
      </w:r>
      <w:r w:rsidR="008D0C8D" w:rsidRPr="00366942">
        <w:rPr>
          <w:lang w:val="en-CA"/>
        </w:rPr>
        <w:t xml:space="preserve"> </w:t>
      </w:r>
      <w:r w:rsidR="005A2ACB" w:rsidRPr="00366942">
        <w:rPr>
          <w:lang w:val="en-CA"/>
        </w:rPr>
        <w:t>affects access to the care specific to their condition that would be provided to them outside Quebec and, potentially, with</w:t>
      </w:r>
      <w:r w:rsidR="00323EF2" w:rsidRPr="00366942">
        <w:rPr>
          <w:lang w:val="en-CA"/>
        </w:rPr>
        <w:t xml:space="preserve"> the </w:t>
      </w:r>
      <w:r w:rsidR="005A2ACB" w:rsidRPr="00366942">
        <w:rPr>
          <w:lang w:val="en-CA"/>
        </w:rPr>
        <w:t xml:space="preserve">same </w:t>
      </w:r>
      <w:r w:rsidR="00323EF2" w:rsidRPr="00366942">
        <w:rPr>
          <w:lang w:val="en-CA"/>
        </w:rPr>
        <w:t>impacts exactly</w:t>
      </w:r>
      <w:r w:rsidR="00961A50" w:rsidRPr="00366942">
        <w:rPr>
          <w:lang w:val="en-CA"/>
        </w:rPr>
        <w:t xml:space="preserve">. </w:t>
      </w:r>
      <w:r w:rsidR="005603AC" w:rsidRPr="00366942">
        <w:rPr>
          <w:lang w:val="en-CA"/>
        </w:rPr>
        <w:t xml:space="preserve">One can also </w:t>
      </w:r>
      <w:r w:rsidR="00AB6B53" w:rsidRPr="00366942">
        <w:rPr>
          <w:lang w:val="en-CA"/>
        </w:rPr>
        <w:t>think of</w:t>
      </w:r>
      <w:r w:rsidR="004C1722" w:rsidRPr="00366942">
        <w:rPr>
          <w:lang w:val="en-CA"/>
        </w:rPr>
        <w:t xml:space="preserve"> </w:t>
      </w:r>
      <w:r w:rsidR="005A2ACB" w:rsidRPr="00366942">
        <w:rPr>
          <w:lang w:val="en-CA"/>
        </w:rPr>
        <w:t>certain ethnic groups</w:t>
      </w:r>
      <w:r w:rsidR="00961A50" w:rsidRPr="00366942">
        <w:rPr>
          <w:lang w:val="en-CA"/>
        </w:rPr>
        <w:t xml:space="preserve">, </w:t>
      </w:r>
      <w:r w:rsidR="004C1722" w:rsidRPr="00366942">
        <w:rPr>
          <w:lang w:val="en-CA"/>
        </w:rPr>
        <w:t xml:space="preserve">who are often at a disadvantage, including </w:t>
      </w:r>
      <w:r w:rsidR="00323EF2" w:rsidRPr="00366942">
        <w:rPr>
          <w:lang w:val="en-CA"/>
        </w:rPr>
        <w:t>in</w:t>
      </w:r>
      <w:r w:rsidR="004C1722" w:rsidRPr="00366942">
        <w:rPr>
          <w:lang w:val="en-CA"/>
        </w:rPr>
        <w:t xml:space="preserve"> terms of access to health care, which is nevertheless essential to their socioeconomic integration, itself plagued</w:t>
      </w:r>
      <w:r w:rsidR="005603AC" w:rsidRPr="00366942">
        <w:rPr>
          <w:lang w:val="en-CA"/>
        </w:rPr>
        <w:t>, already,</w:t>
      </w:r>
      <w:r w:rsidR="004C1722" w:rsidRPr="00366942">
        <w:rPr>
          <w:lang w:val="en-CA"/>
        </w:rPr>
        <w:t xml:space="preserve"> by other difficulties</w:t>
      </w:r>
      <w:r w:rsidR="00961A50" w:rsidRPr="00366942">
        <w:rPr>
          <w:lang w:val="en-CA"/>
        </w:rPr>
        <w:t xml:space="preserve">. </w:t>
      </w:r>
      <w:r w:rsidR="00872C35" w:rsidRPr="00366942">
        <w:rPr>
          <w:lang w:val="en-CA"/>
        </w:rPr>
        <w:t>Another example would b</w:t>
      </w:r>
      <w:r w:rsidR="004C1722" w:rsidRPr="00366942">
        <w:rPr>
          <w:lang w:val="en-CA"/>
        </w:rPr>
        <w:t xml:space="preserve">e </w:t>
      </w:r>
      <w:r w:rsidR="00872C35" w:rsidRPr="00366942">
        <w:rPr>
          <w:lang w:val="en-CA"/>
        </w:rPr>
        <w:t xml:space="preserve">the </w:t>
      </w:r>
      <w:r w:rsidR="004C1722" w:rsidRPr="00366942">
        <w:rPr>
          <w:lang w:val="en-CA"/>
        </w:rPr>
        <w:t xml:space="preserve">situation of the elderly, or, conversely, </w:t>
      </w:r>
      <w:r w:rsidR="005603AC" w:rsidRPr="00366942">
        <w:rPr>
          <w:lang w:val="en-CA"/>
        </w:rPr>
        <w:t xml:space="preserve">of </w:t>
      </w:r>
      <w:r w:rsidR="004C1722" w:rsidRPr="00366942">
        <w:rPr>
          <w:lang w:val="en-CA"/>
        </w:rPr>
        <w:t>children</w:t>
      </w:r>
      <w:r w:rsidR="00961A50" w:rsidRPr="00366942">
        <w:rPr>
          <w:lang w:val="en-CA"/>
        </w:rPr>
        <w:t xml:space="preserve">. </w:t>
      </w:r>
      <w:r w:rsidR="004C1722" w:rsidRPr="00366942">
        <w:rPr>
          <w:lang w:val="en-CA"/>
        </w:rPr>
        <w:t>In all these cases, problems of access to certain medical services, costs</w:t>
      </w:r>
      <w:r w:rsidR="005603AC" w:rsidRPr="00366942">
        <w:rPr>
          <w:lang w:val="en-CA"/>
        </w:rPr>
        <w:t xml:space="preserve"> being the first</w:t>
      </w:r>
      <w:r w:rsidR="004C1722" w:rsidRPr="00366942">
        <w:rPr>
          <w:lang w:val="en-CA"/>
        </w:rPr>
        <w:t xml:space="preserve">, </w:t>
      </w:r>
      <w:r w:rsidR="00D05CEF" w:rsidRPr="00366942">
        <w:rPr>
          <w:lang w:val="en-CA"/>
        </w:rPr>
        <w:t xml:space="preserve">can have the same type of repercussions, increase a person’s incapacity or generate such an incapacity, </w:t>
      </w:r>
      <w:r w:rsidR="00323EF2" w:rsidRPr="00366942">
        <w:rPr>
          <w:lang w:val="en-CA"/>
        </w:rPr>
        <w:t xml:space="preserve">generally </w:t>
      </w:r>
      <w:r w:rsidR="005603AC" w:rsidRPr="00366942">
        <w:rPr>
          <w:lang w:val="en-CA"/>
        </w:rPr>
        <w:t>undermine</w:t>
      </w:r>
      <w:r w:rsidR="00D05CEF" w:rsidRPr="00366942">
        <w:rPr>
          <w:lang w:val="en-CA"/>
        </w:rPr>
        <w:t xml:space="preserve"> their socioeconomic path or integration or </w:t>
      </w:r>
      <w:r w:rsidR="00323EF2" w:rsidRPr="00366942">
        <w:rPr>
          <w:lang w:val="en-CA"/>
        </w:rPr>
        <w:t>reduce</w:t>
      </w:r>
      <w:r w:rsidR="00D05CEF" w:rsidRPr="00366942">
        <w:rPr>
          <w:lang w:val="en-CA"/>
        </w:rPr>
        <w:t xml:space="preserve"> their chances of development</w:t>
      </w:r>
      <w:r w:rsidR="00961A50" w:rsidRPr="00366942">
        <w:rPr>
          <w:lang w:val="en-CA"/>
        </w:rPr>
        <w:t>.</w:t>
      </w:r>
    </w:p>
    <w:p w14:paraId="4AC7ECB6" w14:textId="59A1FBCB" w:rsidR="00961A50" w:rsidRPr="00366942" w:rsidRDefault="00872C35" w:rsidP="00961A50">
      <w:pPr>
        <w:pStyle w:val="Paragraphe"/>
        <w:rPr>
          <w:lang w:val="en-CA"/>
        </w:rPr>
      </w:pPr>
      <w:r w:rsidRPr="00366942">
        <w:rPr>
          <w:lang w:val="en-CA"/>
        </w:rPr>
        <w:t xml:space="preserve">In fact, even persons that do not belong to a protected group are disadvantaged by the limit set by s. 10, para. 4 </w:t>
      </w:r>
      <w:r w:rsidRPr="00366942">
        <w:rPr>
          <w:i/>
          <w:iCs/>
          <w:lang w:val="en-CA"/>
        </w:rPr>
        <w:t>HIA</w:t>
      </w:r>
      <w:r w:rsidRPr="00366942">
        <w:rPr>
          <w:lang w:val="en-CA"/>
        </w:rPr>
        <w:t xml:space="preserve">, especially </w:t>
      </w:r>
      <w:r w:rsidR="00585597" w:rsidRPr="00366942">
        <w:rPr>
          <w:lang w:val="en-CA"/>
        </w:rPr>
        <w:t xml:space="preserve">in the case of the less </w:t>
      </w:r>
      <w:r w:rsidR="00AB6B53" w:rsidRPr="00366942">
        <w:rPr>
          <w:lang w:val="en-CA"/>
        </w:rPr>
        <w:t>well-off</w:t>
      </w:r>
      <w:r w:rsidRPr="00366942">
        <w:rPr>
          <w:lang w:val="en-CA"/>
        </w:rPr>
        <w:t xml:space="preserve">. One need only take the example of a person that suffers a stroke or is involved in a serious accident in a country </w:t>
      </w:r>
      <w:r w:rsidR="00961A50" w:rsidRPr="00366942">
        <w:rPr>
          <w:lang w:val="en-CA"/>
        </w:rPr>
        <w:t>(</w:t>
      </w:r>
      <w:r w:rsidRPr="00366942">
        <w:rPr>
          <w:lang w:val="en-CA"/>
        </w:rPr>
        <w:t xml:space="preserve">the United States immediately come to mind) with which Quebec </w:t>
      </w:r>
      <w:r w:rsidR="004D24B7" w:rsidRPr="00366942">
        <w:rPr>
          <w:lang w:val="en-CA"/>
        </w:rPr>
        <w:t xml:space="preserve">does not have a reciprocity agreement </w:t>
      </w:r>
      <w:r w:rsidR="00AB6B53" w:rsidRPr="00366942">
        <w:rPr>
          <w:lang w:val="en-CA"/>
        </w:rPr>
        <w:t>for</w:t>
      </w:r>
      <w:r w:rsidR="004D24B7" w:rsidRPr="00366942">
        <w:rPr>
          <w:lang w:val="en-CA"/>
        </w:rPr>
        <w:t xml:space="preserve"> medical and hospital services</w:t>
      </w:r>
      <w:r w:rsidR="00585597" w:rsidRPr="00366942">
        <w:rPr>
          <w:lang w:val="en-CA"/>
        </w:rPr>
        <w:t>,</w:t>
      </w:r>
      <w:r w:rsidR="004D24B7" w:rsidRPr="00366942">
        <w:rPr>
          <w:lang w:val="en-CA"/>
        </w:rPr>
        <w:t xml:space="preserve"> and where the costs of those services are very high</w:t>
      </w:r>
      <w:r w:rsidR="00961A50" w:rsidRPr="00366942">
        <w:rPr>
          <w:lang w:val="en-CA"/>
        </w:rPr>
        <w:t xml:space="preserve">: </w:t>
      </w:r>
      <w:r w:rsidR="004D24B7" w:rsidRPr="00366942">
        <w:rPr>
          <w:lang w:val="en-CA"/>
        </w:rPr>
        <w:t>pursuant to s</w:t>
      </w:r>
      <w:r w:rsidR="00961A50" w:rsidRPr="00366942">
        <w:rPr>
          <w:lang w:val="en-CA"/>
        </w:rPr>
        <w:t>. 10</w:t>
      </w:r>
      <w:r w:rsidR="004D24B7" w:rsidRPr="00366942">
        <w:rPr>
          <w:lang w:val="en-CA"/>
        </w:rPr>
        <w:t>, para</w:t>
      </w:r>
      <w:r w:rsidR="00961A50" w:rsidRPr="00366942">
        <w:rPr>
          <w:lang w:val="en-CA"/>
        </w:rPr>
        <w:t xml:space="preserve">. 4 </w:t>
      </w:r>
      <w:r w:rsidR="004D24B7" w:rsidRPr="00366942">
        <w:rPr>
          <w:i/>
          <w:iCs/>
          <w:lang w:val="en-CA"/>
        </w:rPr>
        <w:t>HIA</w:t>
      </w:r>
      <w:r w:rsidR="00961A50" w:rsidRPr="00366942">
        <w:rPr>
          <w:lang w:val="en-CA"/>
        </w:rPr>
        <w:t xml:space="preserve">, </w:t>
      </w:r>
      <w:r w:rsidR="004D24B7" w:rsidRPr="00366942">
        <w:rPr>
          <w:lang w:val="en-CA"/>
        </w:rPr>
        <w:t xml:space="preserve">the reimbursement (or payment) of the cost of the services received in that country would only be very partial, with all the consequences that </w:t>
      </w:r>
      <w:r w:rsidR="00AB6B53" w:rsidRPr="00366942">
        <w:rPr>
          <w:lang w:val="en-CA"/>
        </w:rPr>
        <w:t xml:space="preserve">one </w:t>
      </w:r>
      <w:r w:rsidR="004D24B7" w:rsidRPr="00366942">
        <w:rPr>
          <w:lang w:val="en-CA"/>
        </w:rPr>
        <w:t xml:space="preserve">may easily imagine. One could of course be tempted to retort that persons who travel outside Quebec </w:t>
      </w:r>
      <w:r w:rsidR="00585597" w:rsidRPr="00366942">
        <w:rPr>
          <w:lang w:val="en-CA"/>
        </w:rPr>
        <w:t>need</w:t>
      </w:r>
      <w:r w:rsidR="004D24B7" w:rsidRPr="00366942">
        <w:rPr>
          <w:lang w:val="en-CA"/>
        </w:rPr>
        <w:t xml:space="preserve"> only obtain private insurance, but </w:t>
      </w:r>
      <w:r w:rsidR="001C47BF" w:rsidRPr="00366942">
        <w:rPr>
          <w:lang w:val="en-CA"/>
        </w:rPr>
        <w:t xml:space="preserve">this is not affordable for everyone </w:t>
      </w:r>
      <w:r w:rsidR="004D24B7" w:rsidRPr="00366942">
        <w:rPr>
          <w:lang w:val="en-CA"/>
        </w:rPr>
        <w:t>(the appellant</w:t>
      </w:r>
      <w:r w:rsidR="001C47BF" w:rsidRPr="00366942">
        <w:rPr>
          <w:lang w:val="en-CA"/>
        </w:rPr>
        <w:t xml:space="preserve">, for </w:t>
      </w:r>
      <w:r w:rsidR="004D24B7" w:rsidRPr="00366942">
        <w:rPr>
          <w:lang w:val="en-CA"/>
        </w:rPr>
        <w:t>example)</w:t>
      </w:r>
      <w:r w:rsidR="001C47BF" w:rsidRPr="00366942">
        <w:rPr>
          <w:lang w:val="en-CA"/>
        </w:rPr>
        <w:t>.</w:t>
      </w:r>
      <w:r w:rsidR="00961A50" w:rsidRPr="00366942">
        <w:rPr>
          <w:rStyle w:val="Appelnotedebasdep"/>
          <w:lang w:val="en-CA"/>
        </w:rPr>
        <w:footnoteReference w:id="95"/>
      </w:r>
      <w:r w:rsidR="00F42ECD" w:rsidRPr="00366942">
        <w:rPr>
          <w:lang w:val="en-CA"/>
        </w:rPr>
        <w:t> </w:t>
      </w:r>
      <w:r w:rsidR="001C47BF" w:rsidRPr="00366942">
        <w:rPr>
          <w:lang w:val="en-CA"/>
        </w:rPr>
        <w:t>From that standpoint, again</w:t>
      </w:r>
      <w:r w:rsidR="00961A50" w:rsidRPr="00366942">
        <w:rPr>
          <w:lang w:val="en-CA"/>
        </w:rPr>
        <w:t xml:space="preserve">, </w:t>
      </w:r>
      <w:r w:rsidR="001C47BF" w:rsidRPr="00366942">
        <w:rPr>
          <w:lang w:val="en-CA"/>
        </w:rPr>
        <w:t>s</w:t>
      </w:r>
      <w:r w:rsidR="00961A50" w:rsidRPr="00366942">
        <w:rPr>
          <w:lang w:val="en-CA"/>
        </w:rPr>
        <w:t>. 10</w:t>
      </w:r>
      <w:r w:rsidR="001C47BF" w:rsidRPr="00366942">
        <w:rPr>
          <w:lang w:val="en-CA"/>
        </w:rPr>
        <w:t>, para</w:t>
      </w:r>
      <w:r w:rsidR="00961A50" w:rsidRPr="00366942">
        <w:rPr>
          <w:lang w:val="en-CA"/>
        </w:rPr>
        <w:t xml:space="preserve">. 4 </w:t>
      </w:r>
      <w:r w:rsidR="001C47BF" w:rsidRPr="00366942">
        <w:rPr>
          <w:i/>
          <w:iCs/>
          <w:lang w:val="en-CA"/>
        </w:rPr>
        <w:t>HIA</w:t>
      </w:r>
      <w:r w:rsidR="00961A50" w:rsidRPr="00366942">
        <w:rPr>
          <w:lang w:val="en-CA"/>
        </w:rPr>
        <w:t xml:space="preserve">, </w:t>
      </w:r>
      <w:r w:rsidR="001C47BF" w:rsidRPr="00366942">
        <w:rPr>
          <w:lang w:val="en-CA"/>
        </w:rPr>
        <w:t xml:space="preserve">by limiting the reimbursement or payment of health costs, can have the same adverse impact on </w:t>
      </w:r>
      <w:r w:rsidR="00585597" w:rsidRPr="00366942">
        <w:rPr>
          <w:lang w:val="en-CA"/>
        </w:rPr>
        <w:t xml:space="preserve">the </w:t>
      </w:r>
      <w:r w:rsidR="00EF3FA8" w:rsidRPr="00366942">
        <w:rPr>
          <w:lang w:val="en-CA"/>
        </w:rPr>
        <w:t xml:space="preserve">less </w:t>
      </w:r>
      <w:r w:rsidR="00AB6B53" w:rsidRPr="00366942">
        <w:rPr>
          <w:lang w:val="en-CA"/>
        </w:rPr>
        <w:t>well-off</w:t>
      </w:r>
      <w:r w:rsidR="00961A50" w:rsidRPr="00366942">
        <w:rPr>
          <w:lang w:val="en-CA"/>
        </w:rPr>
        <w:t xml:space="preserve">. </w:t>
      </w:r>
      <w:r w:rsidR="00EF3FA8" w:rsidRPr="00366942">
        <w:rPr>
          <w:lang w:val="en-CA"/>
        </w:rPr>
        <w:t xml:space="preserve">That limit can even be ruinous in </w:t>
      </w:r>
      <w:r w:rsidR="00EF3FA8" w:rsidRPr="00366942">
        <w:rPr>
          <w:lang w:val="en-CA"/>
        </w:rPr>
        <w:lastRenderedPageBreak/>
        <w:t>certain case</w:t>
      </w:r>
      <w:r w:rsidR="00585597" w:rsidRPr="00366942">
        <w:rPr>
          <w:lang w:val="en-CA"/>
        </w:rPr>
        <w:t>s</w:t>
      </w:r>
      <w:r w:rsidR="00961A50" w:rsidRPr="00366942">
        <w:rPr>
          <w:rStyle w:val="Appelnotedebasdep"/>
          <w:lang w:val="en-CA"/>
        </w:rPr>
        <w:footnoteReference w:id="96"/>
      </w:r>
      <w:r w:rsidR="00961A50" w:rsidRPr="00366942">
        <w:rPr>
          <w:lang w:val="en-CA"/>
        </w:rPr>
        <w:t xml:space="preserve"> </w:t>
      </w:r>
      <w:r w:rsidR="00EF3FA8" w:rsidRPr="00366942">
        <w:rPr>
          <w:lang w:val="en-CA"/>
        </w:rPr>
        <w:t>and, to the extent that it would prevent medical service</w:t>
      </w:r>
      <w:r w:rsidR="000605F7" w:rsidRPr="00366942">
        <w:rPr>
          <w:lang w:val="en-CA"/>
        </w:rPr>
        <w:t xml:space="preserve"> from being obtained</w:t>
      </w:r>
      <w:r w:rsidR="00EF3FA8" w:rsidRPr="00366942">
        <w:rPr>
          <w:lang w:val="en-CA"/>
        </w:rPr>
        <w:t xml:space="preserve">, could jeopardize the life, autonomy and very future of the persons involved </w:t>
      </w:r>
      <w:r w:rsidR="00961A50" w:rsidRPr="00366942">
        <w:rPr>
          <w:lang w:val="en-CA"/>
        </w:rPr>
        <w:t>(</w:t>
      </w:r>
      <w:r w:rsidR="00EF3FA8" w:rsidRPr="00366942">
        <w:rPr>
          <w:lang w:val="en-CA"/>
        </w:rPr>
        <w:t>including women, it goes without saying.</w:t>
      </w:r>
      <w:r w:rsidR="00961A50" w:rsidRPr="00366942">
        <w:rPr>
          <w:lang w:val="en-CA"/>
        </w:rPr>
        <w:t>)</w:t>
      </w:r>
      <w:r w:rsidR="00961A50" w:rsidRPr="00366942">
        <w:rPr>
          <w:rStyle w:val="Appelnotedebasdep"/>
          <w:lang w:val="en-CA"/>
        </w:rPr>
        <w:footnoteReference w:id="97"/>
      </w:r>
    </w:p>
    <w:p w14:paraId="72D0D9B5" w14:textId="03DE8C34" w:rsidR="00961A50" w:rsidRPr="00366942" w:rsidRDefault="001C5B9A" w:rsidP="00961A50">
      <w:pPr>
        <w:pStyle w:val="Paragraphe"/>
        <w:rPr>
          <w:lang w:val="en-CA"/>
        </w:rPr>
      </w:pPr>
      <w:r w:rsidRPr="00366942">
        <w:rPr>
          <w:lang w:val="en-CA"/>
        </w:rPr>
        <w:t xml:space="preserve">It should moreover be noted that in her amended application for judicial review, the appellant indeed alleged that the restriction provided in s. </w:t>
      </w:r>
      <w:r w:rsidR="00961A50" w:rsidRPr="00366942">
        <w:rPr>
          <w:lang w:val="en-CA"/>
        </w:rPr>
        <w:t>10</w:t>
      </w:r>
      <w:r w:rsidRPr="00366942">
        <w:rPr>
          <w:lang w:val="en-CA"/>
        </w:rPr>
        <w:t>, para</w:t>
      </w:r>
      <w:r w:rsidR="00961A50" w:rsidRPr="00366942">
        <w:rPr>
          <w:lang w:val="en-CA"/>
        </w:rPr>
        <w:t>. 4 </w:t>
      </w:r>
      <w:r w:rsidRPr="00366942">
        <w:rPr>
          <w:i/>
          <w:iCs/>
          <w:lang w:val="en-CA"/>
        </w:rPr>
        <w:t>HIA</w:t>
      </w:r>
      <w:r w:rsidR="00961A50" w:rsidRPr="00366942">
        <w:rPr>
          <w:lang w:val="en-CA"/>
        </w:rPr>
        <w:t xml:space="preserve"> </w:t>
      </w:r>
      <w:r w:rsidRPr="00366942">
        <w:rPr>
          <w:lang w:val="en-CA"/>
        </w:rPr>
        <w:t>“</w:t>
      </w:r>
      <w:r w:rsidR="00961A50" w:rsidRPr="00366942">
        <w:rPr>
          <w:lang w:val="en-CA"/>
        </w:rPr>
        <w:t>may force affected persons to decide between paying for necessary medical treatment that might be financially ruinous, or not paying and not receiving that treatment and suffering the health consequences that result</w:t>
      </w:r>
      <w:r w:rsidRPr="00366942">
        <w:rPr>
          <w:lang w:val="en-CA"/>
        </w:rPr>
        <w:t>.”</w:t>
      </w:r>
      <w:r w:rsidR="00961A50" w:rsidRPr="00366942">
        <w:rPr>
          <w:rStyle w:val="Appelnotedebasdep"/>
          <w:lang w:val="en-CA"/>
        </w:rPr>
        <w:footnoteReference w:id="98"/>
      </w:r>
      <w:r w:rsidRPr="00366942">
        <w:rPr>
          <w:lang w:val="en-CA"/>
        </w:rPr>
        <w:t xml:space="preserve"> The amended notice that she addressed to the Attorney General of Quebec under art</w:t>
      </w:r>
      <w:r w:rsidR="00961A50" w:rsidRPr="00366942">
        <w:rPr>
          <w:lang w:val="en-CA"/>
        </w:rPr>
        <w:t xml:space="preserve">. 76 </w:t>
      </w:r>
      <w:r w:rsidR="00961A50" w:rsidRPr="00366942">
        <w:rPr>
          <w:i/>
          <w:iCs/>
          <w:lang w:val="en-CA"/>
        </w:rPr>
        <w:t>C.</w:t>
      </w:r>
      <w:r w:rsidRPr="00366942">
        <w:rPr>
          <w:i/>
          <w:iCs/>
          <w:lang w:val="en-CA"/>
        </w:rPr>
        <w:t>C.P</w:t>
      </w:r>
      <w:r w:rsidR="00961A50" w:rsidRPr="00366942">
        <w:rPr>
          <w:i/>
          <w:iCs/>
          <w:lang w:val="en-CA"/>
        </w:rPr>
        <w:t>.</w:t>
      </w:r>
      <w:r w:rsidR="00961A50" w:rsidRPr="00366942">
        <w:rPr>
          <w:lang w:val="en-CA"/>
        </w:rPr>
        <w:t xml:space="preserve"> </w:t>
      </w:r>
      <w:r w:rsidRPr="00366942">
        <w:rPr>
          <w:lang w:val="en-CA"/>
        </w:rPr>
        <w:t>also contained the following</w:t>
      </w:r>
      <w:r w:rsidR="00961A50" w:rsidRPr="00366942">
        <w:rPr>
          <w:lang w:val="en-CA"/>
        </w:rPr>
        <w:t>:</w:t>
      </w:r>
    </w:p>
    <w:p w14:paraId="513CDB8E" w14:textId="77777777" w:rsidR="00961A50" w:rsidRPr="00366942" w:rsidRDefault="00961A50" w:rsidP="00961A50">
      <w:pPr>
        <w:pStyle w:val="Citationenretrait"/>
        <w:rPr>
          <w:lang w:val="en-CA"/>
        </w:rPr>
      </w:pPr>
      <w:r w:rsidRPr="00366942">
        <w:rPr>
          <w:lang w:val="en-CA"/>
        </w:rPr>
        <w:t>4.</w:t>
      </w:r>
      <w:r w:rsidRPr="00366942">
        <w:rPr>
          <w:lang w:val="en-CA"/>
        </w:rPr>
        <w:tab/>
        <w:t xml:space="preserve">Second, an application of s. 10 of the </w:t>
      </w:r>
      <w:r w:rsidRPr="00366942">
        <w:rPr>
          <w:i/>
          <w:iCs/>
          <w:lang w:val="en-CA"/>
        </w:rPr>
        <w:t>Act</w:t>
      </w:r>
      <w:r w:rsidRPr="00366942">
        <w:rPr>
          <w:lang w:val="en-CA"/>
        </w:rPr>
        <w:t xml:space="preserve"> can actually have the effect of impeding individuals from accessing crucial health services. Some Quebec residents who find themselves having to seek health care in a different province might not be able to afford paying for health services out of pocket, particularly if they are not guaranteed a full reimbursement of the fees they incur. As a result of s. 10, these individuals might be forced to forego necessary treatment and suffering the health consequences of doing so. […]</w:t>
      </w:r>
      <w:r w:rsidRPr="00366942">
        <w:rPr>
          <w:rStyle w:val="Appelnotedebasdep"/>
          <w:lang w:val="en-CA"/>
        </w:rPr>
        <w:footnoteReference w:id="99"/>
      </w:r>
    </w:p>
    <w:p w14:paraId="26BFB885" w14:textId="5DF2DBBF" w:rsidR="00961A50" w:rsidRPr="00366942" w:rsidRDefault="008A16D0" w:rsidP="00961A50">
      <w:pPr>
        <w:pStyle w:val="Paragraphe"/>
        <w:rPr>
          <w:lang w:val="en-CA"/>
        </w:rPr>
      </w:pPr>
      <w:r w:rsidRPr="00366942">
        <w:rPr>
          <w:lang w:val="en-CA"/>
        </w:rPr>
        <w:t xml:space="preserve">It is true that those statements, </w:t>
      </w:r>
      <w:r w:rsidR="00DE7C3C" w:rsidRPr="00366942">
        <w:rPr>
          <w:lang w:val="en-CA"/>
        </w:rPr>
        <w:t xml:space="preserve">which </w:t>
      </w:r>
      <w:r w:rsidR="00CB292A" w:rsidRPr="00366942">
        <w:rPr>
          <w:lang w:val="en-CA"/>
        </w:rPr>
        <w:t>are difficult to dispute</w:t>
      </w:r>
      <w:r w:rsidRPr="00366942">
        <w:rPr>
          <w:lang w:val="en-CA"/>
        </w:rPr>
        <w:t xml:space="preserve">, were made in support </w:t>
      </w:r>
      <w:r w:rsidR="00CB292A" w:rsidRPr="00366942">
        <w:rPr>
          <w:lang w:val="en-CA"/>
        </w:rPr>
        <w:t xml:space="preserve">of </w:t>
      </w:r>
      <w:r w:rsidRPr="00366942">
        <w:rPr>
          <w:lang w:val="en-CA"/>
        </w:rPr>
        <w:t xml:space="preserve">the ground </w:t>
      </w:r>
      <w:r w:rsidR="00CB292A" w:rsidRPr="00366942">
        <w:rPr>
          <w:lang w:val="en-CA"/>
        </w:rPr>
        <w:t>under</w:t>
      </w:r>
      <w:r w:rsidRPr="00366942">
        <w:rPr>
          <w:lang w:val="en-CA"/>
        </w:rPr>
        <w:t xml:space="preserve"> s. 7 of the </w:t>
      </w:r>
      <w:r w:rsidRPr="00366942">
        <w:rPr>
          <w:i/>
          <w:iCs/>
          <w:lang w:val="en-CA"/>
        </w:rPr>
        <w:t>Canadian Charter</w:t>
      </w:r>
      <w:r w:rsidRPr="00366942">
        <w:rPr>
          <w:lang w:val="en-CA"/>
        </w:rPr>
        <w:t>, which the appellant was still advancing in first instance, but that she abandoned in this appeal</w:t>
      </w:r>
      <w:r w:rsidR="00961A50" w:rsidRPr="00366942">
        <w:rPr>
          <w:lang w:val="en-CA"/>
        </w:rPr>
        <w:t xml:space="preserve">. </w:t>
      </w:r>
      <w:r w:rsidRPr="00366942">
        <w:rPr>
          <w:lang w:val="en-CA"/>
        </w:rPr>
        <w:t xml:space="preserve">Still, </w:t>
      </w:r>
      <w:r w:rsidR="00EF041A" w:rsidRPr="00366942">
        <w:rPr>
          <w:lang w:val="en-CA"/>
        </w:rPr>
        <w:t>the impact that she describes is indeed that which s</w:t>
      </w:r>
      <w:r w:rsidR="00961A50" w:rsidRPr="00366942">
        <w:rPr>
          <w:lang w:val="en-CA"/>
        </w:rPr>
        <w:t>. 10</w:t>
      </w:r>
      <w:r w:rsidR="00EF041A" w:rsidRPr="00366942">
        <w:rPr>
          <w:lang w:val="en-CA"/>
        </w:rPr>
        <w:t>, para</w:t>
      </w:r>
      <w:r w:rsidR="00961A50" w:rsidRPr="00366942">
        <w:rPr>
          <w:lang w:val="en-CA"/>
        </w:rPr>
        <w:t>. 4 </w:t>
      </w:r>
      <w:r w:rsidR="00EF041A" w:rsidRPr="00366942">
        <w:rPr>
          <w:i/>
          <w:iCs/>
          <w:lang w:val="en-CA"/>
        </w:rPr>
        <w:t>HIA</w:t>
      </w:r>
      <w:r w:rsidR="00961A50" w:rsidRPr="00366942">
        <w:rPr>
          <w:lang w:val="en-CA"/>
        </w:rPr>
        <w:t xml:space="preserve"> </w:t>
      </w:r>
      <w:r w:rsidR="00EF041A" w:rsidRPr="00366942">
        <w:rPr>
          <w:lang w:val="en-CA"/>
        </w:rPr>
        <w:t>is liable to have on any insured person</w:t>
      </w:r>
      <w:r w:rsidR="00961A50" w:rsidRPr="00366942">
        <w:rPr>
          <w:lang w:val="en-CA"/>
        </w:rPr>
        <w:t xml:space="preserve"> (</w:t>
      </w:r>
      <w:r w:rsidR="00EF041A" w:rsidRPr="00366942">
        <w:rPr>
          <w:lang w:val="en-CA"/>
        </w:rPr>
        <w:t>within the meaning of the</w:t>
      </w:r>
      <w:r w:rsidR="00961A50" w:rsidRPr="00366942">
        <w:rPr>
          <w:lang w:val="en-CA"/>
        </w:rPr>
        <w:t xml:space="preserve"> </w:t>
      </w:r>
      <w:r w:rsidR="00EF041A" w:rsidRPr="00366942">
        <w:rPr>
          <w:i/>
          <w:iCs/>
          <w:lang w:val="en-CA"/>
        </w:rPr>
        <w:t>HIA</w:t>
      </w:r>
      <w:r w:rsidR="00961A50" w:rsidRPr="00366942">
        <w:rPr>
          <w:lang w:val="en-CA"/>
        </w:rPr>
        <w:t xml:space="preserve">) </w:t>
      </w:r>
      <w:r w:rsidR="00CB292A" w:rsidRPr="00366942">
        <w:rPr>
          <w:lang w:val="en-CA"/>
        </w:rPr>
        <w:t>who do</w:t>
      </w:r>
      <w:r w:rsidR="000605F7" w:rsidRPr="00366942">
        <w:rPr>
          <w:lang w:val="en-CA"/>
        </w:rPr>
        <w:t>es</w:t>
      </w:r>
      <w:r w:rsidR="004524E9" w:rsidRPr="00366942">
        <w:rPr>
          <w:lang w:val="en-CA"/>
        </w:rPr>
        <w:t xml:space="preserve"> </w:t>
      </w:r>
      <w:r w:rsidR="00CB292A" w:rsidRPr="00366942">
        <w:rPr>
          <w:lang w:val="en-CA"/>
        </w:rPr>
        <w:t>not have the capacity</w:t>
      </w:r>
      <w:r w:rsidR="00961A50" w:rsidRPr="00366942">
        <w:rPr>
          <w:lang w:val="en-CA"/>
        </w:rPr>
        <w:t xml:space="preserve"> (</w:t>
      </w:r>
      <w:r w:rsidR="00EF041A" w:rsidRPr="00366942">
        <w:rPr>
          <w:lang w:val="en-CA"/>
        </w:rPr>
        <w:t xml:space="preserve">or </w:t>
      </w:r>
      <w:r w:rsidR="00CB292A" w:rsidRPr="00366942">
        <w:rPr>
          <w:lang w:val="en-CA"/>
        </w:rPr>
        <w:t xml:space="preserve">who </w:t>
      </w:r>
      <w:r w:rsidR="000605F7" w:rsidRPr="00366942">
        <w:rPr>
          <w:lang w:val="en-CA"/>
        </w:rPr>
        <w:t xml:space="preserve">has </w:t>
      </w:r>
      <w:r w:rsidR="00CB292A" w:rsidRPr="00366942">
        <w:rPr>
          <w:lang w:val="en-CA"/>
        </w:rPr>
        <w:t>less capacity</w:t>
      </w:r>
      <w:r w:rsidR="00961A50" w:rsidRPr="00366942">
        <w:rPr>
          <w:lang w:val="en-CA"/>
        </w:rPr>
        <w:t xml:space="preserve">) </w:t>
      </w:r>
      <w:r w:rsidR="00EF041A" w:rsidRPr="00366942">
        <w:rPr>
          <w:lang w:val="en-CA"/>
        </w:rPr>
        <w:t xml:space="preserve">to pay the cost of medical services that they </w:t>
      </w:r>
      <w:r w:rsidR="00CB292A" w:rsidRPr="00366942">
        <w:rPr>
          <w:lang w:val="en-CA"/>
        </w:rPr>
        <w:t>require</w:t>
      </w:r>
      <w:r w:rsidR="00EF041A" w:rsidRPr="00366942">
        <w:rPr>
          <w:lang w:val="en-CA"/>
        </w:rPr>
        <w:t xml:space="preserve"> </w:t>
      </w:r>
      <w:r w:rsidR="00CB292A" w:rsidRPr="00366942">
        <w:rPr>
          <w:lang w:val="en-CA"/>
        </w:rPr>
        <w:t>while</w:t>
      </w:r>
      <w:r w:rsidR="00C02DAD" w:rsidRPr="00366942">
        <w:rPr>
          <w:lang w:val="en-CA"/>
        </w:rPr>
        <w:t xml:space="preserve"> temporarily residing</w:t>
      </w:r>
      <w:r w:rsidR="00EF041A" w:rsidRPr="00366942">
        <w:rPr>
          <w:lang w:val="en-CA"/>
        </w:rPr>
        <w:t xml:space="preserve"> outside Quebec</w:t>
      </w:r>
      <w:r w:rsidR="00961A50" w:rsidRPr="00366942">
        <w:rPr>
          <w:lang w:val="en-CA"/>
        </w:rPr>
        <w:t xml:space="preserve">. </w:t>
      </w:r>
      <w:r w:rsidR="00EF041A" w:rsidRPr="00366942">
        <w:rPr>
          <w:lang w:val="en-CA"/>
        </w:rPr>
        <w:t xml:space="preserve">By so doing, the appellant points to the </w:t>
      </w:r>
      <w:r w:rsidR="00EE6011" w:rsidRPr="00366942">
        <w:rPr>
          <w:lang w:val="en-CA"/>
        </w:rPr>
        <w:t>main</w:t>
      </w:r>
      <w:r w:rsidR="00EF041A" w:rsidRPr="00366942">
        <w:rPr>
          <w:lang w:val="en-CA"/>
        </w:rPr>
        <w:t xml:space="preserve"> problem raised by s. </w:t>
      </w:r>
      <w:r w:rsidR="00961A50" w:rsidRPr="00366942">
        <w:rPr>
          <w:lang w:val="en-CA"/>
        </w:rPr>
        <w:t>10</w:t>
      </w:r>
      <w:r w:rsidR="00EF041A" w:rsidRPr="00366942">
        <w:rPr>
          <w:lang w:val="en-CA"/>
        </w:rPr>
        <w:t>,</w:t>
      </w:r>
      <w:r w:rsidR="00961A50" w:rsidRPr="00366942">
        <w:rPr>
          <w:lang w:val="en-CA"/>
        </w:rPr>
        <w:t xml:space="preserve"> </w:t>
      </w:r>
      <w:r w:rsidR="00EF041A" w:rsidRPr="00366942">
        <w:rPr>
          <w:lang w:val="en-CA"/>
        </w:rPr>
        <w:t xml:space="preserve">para. </w:t>
      </w:r>
      <w:r w:rsidR="00961A50" w:rsidRPr="00366942">
        <w:rPr>
          <w:lang w:val="en-CA"/>
        </w:rPr>
        <w:t xml:space="preserve">4 </w:t>
      </w:r>
      <w:r w:rsidR="00EF041A" w:rsidRPr="00366942">
        <w:rPr>
          <w:i/>
          <w:iCs/>
          <w:lang w:val="en-CA"/>
        </w:rPr>
        <w:t>HIA</w:t>
      </w:r>
      <w:r w:rsidR="00961A50" w:rsidRPr="00366942">
        <w:rPr>
          <w:lang w:val="en-CA"/>
        </w:rPr>
        <w:t xml:space="preserve">, </w:t>
      </w:r>
      <w:r w:rsidR="00EF041A" w:rsidRPr="00366942">
        <w:rPr>
          <w:lang w:val="en-CA"/>
        </w:rPr>
        <w:t xml:space="preserve">a problem that </w:t>
      </w:r>
      <w:r w:rsidR="00EE6011" w:rsidRPr="00366942">
        <w:rPr>
          <w:lang w:val="en-CA"/>
        </w:rPr>
        <w:t xml:space="preserve">however </w:t>
      </w:r>
      <w:r w:rsidR="00EF041A" w:rsidRPr="00366942">
        <w:rPr>
          <w:lang w:val="en-CA"/>
        </w:rPr>
        <w:t xml:space="preserve">affects </w:t>
      </w:r>
      <w:r w:rsidR="00EF041A" w:rsidRPr="00366942">
        <w:rPr>
          <w:i/>
          <w:iCs/>
          <w:lang w:val="en-CA"/>
        </w:rPr>
        <w:t>all</w:t>
      </w:r>
      <w:r w:rsidR="00EF041A" w:rsidRPr="00366942">
        <w:rPr>
          <w:lang w:val="en-CA"/>
        </w:rPr>
        <w:t xml:space="preserve"> insured persons in need of health care outside Quebec, and not only women for the</w:t>
      </w:r>
      <w:r w:rsidR="00EE6011" w:rsidRPr="00366942">
        <w:rPr>
          <w:lang w:val="en-CA"/>
        </w:rPr>
        <w:t>ir</w:t>
      </w:r>
      <w:r w:rsidR="00EF041A" w:rsidRPr="00366942">
        <w:rPr>
          <w:lang w:val="en-CA"/>
        </w:rPr>
        <w:t xml:space="preserve"> pregnancy-related care</w:t>
      </w:r>
      <w:r w:rsidR="00961A50" w:rsidRPr="00366942">
        <w:rPr>
          <w:lang w:val="en-CA"/>
        </w:rPr>
        <w:t>.</w:t>
      </w:r>
    </w:p>
    <w:p w14:paraId="2416894E" w14:textId="6FADA868" w:rsidR="00961A50" w:rsidRPr="00366942" w:rsidRDefault="006578FA" w:rsidP="00961A50">
      <w:pPr>
        <w:pStyle w:val="Paragraphe"/>
        <w:rPr>
          <w:lang w:val="en-CA"/>
        </w:rPr>
      </w:pPr>
      <w:r w:rsidRPr="00366942">
        <w:rPr>
          <w:lang w:val="en-CA"/>
        </w:rPr>
        <w:t>The dispute between the parties did not however turn on the issue of whether s</w:t>
      </w:r>
      <w:r w:rsidR="000605F7" w:rsidRPr="00366942">
        <w:rPr>
          <w:lang w:val="en-CA"/>
        </w:rPr>
        <w:t>. </w:t>
      </w:r>
      <w:r w:rsidRPr="00366942">
        <w:rPr>
          <w:lang w:val="en-CA"/>
        </w:rPr>
        <w:t xml:space="preserve">10, para. 4 </w:t>
      </w:r>
      <w:r w:rsidRPr="00366942">
        <w:rPr>
          <w:i/>
          <w:iCs/>
          <w:lang w:val="en-CA"/>
        </w:rPr>
        <w:t>HIA</w:t>
      </w:r>
      <w:r w:rsidRPr="00366942">
        <w:rPr>
          <w:lang w:val="en-CA"/>
        </w:rPr>
        <w:t xml:space="preserve"> can create a potentially discriminatory distinction on the basis of social condition, status or class</w:t>
      </w:r>
      <w:r w:rsidR="00961A50" w:rsidRPr="00366942">
        <w:rPr>
          <w:rStyle w:val="Appelnotedebasdep"/>
          <w:lang w:val="en-CA"/>
        </w:rPr>
        <w:footnoteReference w:id="100"/>
      </w:r>
      <w:r w:rsidR="00961A50" w:rsidRPr="00366942">
        <w:rPr>
          <w:lang w:val="en-CA"/>
        </w:rPr>
        <w:t xml:space="preserve"> </w:t>
      </w:r>
      <w:r w:rsidRPr="00366942">
        <w:rPr>
          <w:lang w:val="en-CA"/>
        </w:rPr>
        <w:t>or of financial means</w:t>
      </w:r>
      <w:r w:rsidR="00961A50" w:rsidRPr="00366942">
        <w:rPr>
          <w:lang w:val="en-CA"/>
        </w:rPr>
        <w:t xml:space="preserve">. </w:t>
      </w:r>
      <w:r w:rsidRPr="00366942">
        <w:rPr>
          <w:lang w:val="en-CA"/>
        </w:rPr>
        <w:t xml:space="preserve">I will not, therefore, consider that </w:t>
      </w:r>
      <w:r w:rsidRPr="00366942">
        <w:rPr>
          <w:lang w:val="en-CA"/>
        </w:rPr>
        <w:lastRenderedPageBreak/>
        <w:t>issue</w:t>
      </w:r>
      <w:r w:rsidR="00961A50" w:rsidRPr="00366942">
        <w:rPr>
          <w:lang w:val="en-CA"/>
        </w:rPr>
        <w:t>.</w:t>
      </w:r>
      <w:r w:rsidR="00371515" w:rsidRPr="00366942">
        <w:rPr>
          <w:lang w:val="en-CA"/>
        </w:rPr>
        <w:t> </w:t>
      </w:r>
      <w:r w:rsidR="00993016" w:rsidRPr="00366942">
        <w:rPr>
          <w:lang w:val="en-CA"/>
        </w:rPr>
        <w:t>Apart from this</w:t>
      </w:r>
      <w:r w:rsidR="00961A50" w:rsidRPr="00366942">
        <w:rPr>
          <w:lang w:val="en-CA"/>
        </w:rPr>
        <w:t xml:space="preserve">, </w:t>
      </w:r>
      <w:r w:rsidR="00993016" w:rsidRPr="00366942">
        <w:rPr>
          <w:lang w:val="en-CA"/>
        </w:rPr>
        <w:t>and as mentioned previously</w:t>
      </w:r>
      <w:r w:rsidR="00961A50" w:rsidRPr="00366942">
        <w:rPr>
          <w:lang w:val="en-CA"/>
        </w:rPr>
        <w:t xml:space="preserve">, </w:t>
      </w:r>
      <w:r w:rsidRPr="00366942">
        <w:rPr>
          <w:lang w:val="en-CA"/>
        </w:rPr>
        <w:t>the evidence does not show that women</w:t>
      </w:r>
      <w:r w:rsidR="00255139" w:rsidRPr="00366942">
        <w:rPr>
          <w:lang w:val="en-CA"/>
        </w:rPr>
        <w:t xml:space="preserve">, in the case of pregnancy care </w:t>
      </w:r>
      <w:r w:rsidR="006F63B2" w:rsidRPr="00366942">
        <w:rPr>
          <w:lang w:val="en-CA"/>
        </w:rPr>
        <w:t>(</w:t>
      </w:r>
      <w:r w:rsidR="00255139" w:rsidRPr="00366942">
        <w:rPr>
          <w:lang w:val="en-CA"/>
        </w:rPr>
        <w:t>including VTP</w:t>
      </w:r>
      <w:r w:rsidR="006F63B2" w:rsidRPr="00366942">
        <w:rPr>
          <w:lang w:val="en-CA"/>
        </w:rPr>
        <w:t>)</w:t>
      </w:r>
      <w:r w:rsidR="00255139" w:rsidRPr="00366942">
        <w:rPr>
          <w:lang w:val="en-CA"/>
        </w:rPr>
        <w:t>,</w:t>
      </w:r>
      <w:r w:rsidRPr="00366942">
        <w:rPr>
          <w:lang w:val="en-CA"/>
        </w:rPr>
        <w:t xml:space="preserve"> ar</w:t>
      </w:r>
      <w:r w:rsidR="00993016" w:rsidRPr="00366942">
        <w:rPr>
          <w:lang w:val="en-CA"/>
        </w:rPr>
        <w:t>e</w:t>
      </w:r>
      <w:r w:rsidRPr="00366942">
        <w:rPr>
          <w:lang w:val="en-CA"/>
        </w:rPr>
        <w:t xml:space="preserve"> more disadvantaged than any other person </w:t>
      </w:r>
      <w:r w:rsidR="00080F21" w:rsidRPr="00366942">
        <w:rPr>
          <w:lang w:val="en-CA"/>
        </w:rPr>
        <w:t>under</w:t>
      </w:r>
      <w:r w:rsidRPr="00366942">
        <w:rPr>
          <w:lang w:val="en-CA"/>
        </w:rPr>
        <w:t xml:space="preserve"> s. 10, para. 4 </w:t>
      </w:r>
      <w:r w:rsidRPr="00366942">
        <w:rPr>
          <w:i/>
          <w:iCs/>
          <w:lang w:val="en-CA"/>
        </w:rPr>
        <w:t>HIA</w:t>
      </w:r>
      <w:r w:rsidR="00961A50" w:rsidRPr="00366942">
        <w:rPr>
          <w:i/>
          <w:iCs/>
          <w:lang w:val="en-CA"/>
        </w:rPr>
        <w:t>.</w:t>
      </w:r>
    </w:p>
    <w:p w14:paraId="0F9E37A7" w14:textId="72E6743D" w:rsidR="00961A50" w:rsidRPr="00366942" w:rsidRDefault="00993016" w:rsidP="00961A50">
      <w:pPr>
        <w:pStyle w:val="Paragraphe"/>
        <w:rPr>
          <w:lang w:val="en-CA"/>
        </w:rPr>
      </w:pPr>
      <w:r w:rsidRPr="00366942">
        <w:rPr>
          <w:lang w:val="en-CA"/>
        </w:rPr>
        <w:t>In</w:t>
      </w:r>
      <w:r w:rsidR="00080F21" w:rsidRPr="00366942">
        <w:rPr>
          <w:lang w:val="en-CA"/>
        </w:rPr>
        <w:t xml:space="preserve"> fact</w:t>
      </w:r>
      <w:r w:rsidRPr="00366942">
        <w:rPr>
          <w:lang w:val="en-CA"/>
        </w:rPr>
        <w:t xml:space="preserve">, </w:t>
      </w:r>
      <w:r w:rsidR="00920C43" w:rsidRPr="00366942">
        <w:rPr>
          <w:lang w:val="en-CA"/>
        </w:rPr>
        <w:t xml:space="preserve">invoking </w:t>
      </w:r>
      <w:r w:rsidRPr="00366942">
        <w:rPr>
          <w:lang w:val="en-CA"/>
        </w:rPr>
        <w:t xml:space="preserve">the general discrimination that women are </w:t>
      </w:r>
      <w:r w:rsidR="004D0E1F" w:rsidRPr="00366942">
        <w:rPr>
          <w:lang w:val="en-CA"/>
        </w:rPr>
        <w:t xml:space="preserve">still </w:t>
      </w:r>
      <w:r w:rsidRPr="00366942">
        <w:rPr>
          <w:lang w:val="en-CA"/>
        </w:rPr>
        <w:t xml:space="preserve">subject to in our society, the appellant, here, seeks </w:t>
      </w:r>
      <w:r w:rsidR="00080F21" w:rsidRPr="00366942">
        <w:rPr>
          <w:lang w:val="en-CA"/>
        </w:rPr>
        <w:t>a benefit</w:t>
      </w:r>
      <w:r w:rsidR="00961A50" w:rsidRPr="00366942">
        <w:rPr>
          <w:lang w:val="en-CA"/>
        </w:rPr>
        <w:t xml:space="preserve"> – </w:t>
      </w:r>
      <w:r w:rsidRPr="00366942">
        <w:rPr>
          <w:lang w:val="en-CA"/>
        </w:rPr>
        <w:t xml:space="preserve">that of the full and </w:t>
      </w:r>
      <w:r w:rsidR="00080F21" w:rsidRPr="00366942">
        <w:rPr>
          <w:lang w:val="en-CA"/>
        </w:rPr>
        <w:t>un</w:t>
      </w:r>
      <w:r w:rsidRPr="00366942">
        <w:rPr>
          <w:lang w:val="en-CA"/>
        </w:rPr>
        <w:t>limit</w:t>
      </w:r>
      <w:r w:rsidR="00080F21" w:rsidRPr="00366942">
        <w:rPr>
          <w:lang w:val="en-CA"/>
        </w:rPr>
        <w:t>ed</w:t>
      </w:r>
      <w:r w:rsidRPr="00366942">
        <w:rPr>
          <w:lang w:val="en-CA"/>
        </w:rPr>
        <w:t xml:space="preserve"> reimbursement or payment of the cost of</w:t>
      </w:r>
      <w:r w:rsidR="00961A50" w:rsidRPr="00366942">
        <w:rPr>
          <w:lang w:val="en-CA"/>
        </w:rPr>
        <w:t xml:space="preserve"> </w:t>
      </w:r>
      <w:r w:rsidRPr="00366942">
        <w:rPr>
          <w:lang w:val="en-CA"/>
        </w:rPr>
        <w:t xml:space="preserve">medical services received outside Quebec </w:t>
      </w:r>
      <w:r w:rsidR="00961A50" w:rsidRPr="00366942">
        <w:rPr>
          <w:lang w:val="en-CA"/>
        </w:rPr>
        <w:t>–</w:t>
      </w:r>
      <w:r w:rsidR="00920C43" w:rsidRPr="00366942">
        <w:rPr>
          <w:lang w:val="en-CA"/>
        </w:rPr>
        <w:t xml:space="preserve"> </w:t>
      </w:r>
      <w:r w:rsidRPr="00366942">
        <w:rPr>
          <w:lang w:val="en-CA"/>
        </w:rPr>
        <w:t>that the law extends to no one</w:t>
      </w:r>
      <w:r w:rsidR="00961A50" w:rsidRPr="00366942">
        <w:rPr>
          <w:lang w:val="en-CA"/>
        </w:rPr>
        <w:t xml:space="preserve">. </w:t>
      </w:r>
      <w:r w:rsidRPr="00366942">
        <w:rPr>
          <w:lang w:val="en-CA"/>
        </w:rPr>
        <w:t xml:space="preserve">However, as </w:t>
      </w:r>
      <w:r w:rsidR="00920C43" w:rsidRPr="00366942">
        <w:rPr>
          <w:lang w:val="en-CA"/>
        </w:rPr>
        <w:t>was clearly pointed out</w:t>
      </w:r>
      <w:r w:rsidRPr="00366942">
        <w:rPr>
          <w:lang w:val="en-CA"/>
        </w:rPr>
        <w:t xml:space="preserve"> in</w:t>
      </w:r>
      <w:r w:rsidR="00961A50" w:rsidRPr="00366942">
        <w:rPr>
          <w:lang w:val="en-CA"/>
        </w:rPr>
        <w:t xml:space="preserve"> </w:t>
      </w:r>
      <w:r w:rsidR="00961A50" w:rsidRPr="00366942">
        <w:rPr>
          <w:i/>
          <w:iCs/>
          <w:lang w:val="en-CA"/>
        </w:rPr>
        <w:t>Auton</w:t>
      </w:r>
      <w:r w:rsidR="00961A50" w:rsidRPr="00366942">
        <w:rPr>
          <w:lang w:val="en-CA"/>
        </w:rPr>
        <w:t xml:space="preserve"> (</w:t>
      </w:r>
      <w:r w:rsidRPr="00366942">
        <w:rPr>
          <w:lang w:val="en-CA"/>
        </w:rPr>
        <w:t xml:space="preserve">whose teaching is </w:t>
      </w:r>
      <w:r w:rsidR="00920C43" w:rsidRPr="00366942">
        <w:rPr>
          <w:lang w:val="en-CA"/>
        </w:rPr>
        <w:t>adopted in</w:t>
      </w:r>
      <w:r w:rsidR="00961A50" w:rsidRPr="00366942">
        <w:rPr>
          <w:lang w:val="en-CA"/>
        </w:rPr>
        <w:t xml:space="preserve"> </w:t>
      </w:r>
      <w:r w:rsidR="00961A50" w:rsidRPr="00366942">
        <w:rPr>
          <w:i/>
          <w:iCs/>
          <w:lang w:val="en-CA"/>
        </w:rPr>
        <w:t>Sharma</w:t>
      </w:r>
      <w:r w:rsidR="00961A50" w:rsidRPr="00366942">
        <w:rPr>
          <w:lang w:val="en-CA"/>
        </w:rPr>
        <w:t xml:space="preserve">), </w:t>
      </w:r>
      <w:r w:rsidR="00920C43" w:rsidRPr="00366942">
        <w:rPr>
          <w:lang w:val="en-CA"/>
        </w:rPr>
        <w:t xml:space="preserve">the question of whether the </w:t>
      </w:r>
      <w:r w:rsidR="00080F21" w:rsidRPr="00366942">
        <w:rPr>
          <w:lang w:val="en-CA"/>
        </w:rPr>
        <w:t>benefit</w:t>
      </w:r>
      <w:r w:rsidR="00920C43" w:rsidRPr="00366942">
        <w:rPr>
          <w:lang w:val="en-CA"/>
        </w:rPr>
        <w:t xml:space="preserve"> sought is provided by the law is an essential element of the analysis required under s. </w:t>
      </w:r>
      <w:r w:rsidR="00961A50" w:rsidRPr="00366942">
        <w:rPr>
          <w:lang w:val="en-CA"/>
        </w:rPr>
        <w:t xml:space="preserve">15(1) </w:t>
      </w:r>
      <w:r w:rsidR="00920C43" w:rsidRPr="00366942">
        <w:rPr>
          <w:lang w:val="en-CA"/>
        </w:rPr>
        <w:t xml:space="preserve">of the </w:t>
      </w:r>
      <w:r w:rsidR="00920C43" w:rsidRPr="00366942">
        <w:rPr>
          <w:i/>
          <w:iCs/>
          <w:lang w:val="en-CA"/>
        </w:rPr>
        <w:t>Canadian Charter</w:t>
      </w:r>
      <w:r w:rsidR="00961A50" w:rsidRPr="00366942">
        <w:rPr>
          <w:lang w:val="en-CA"/>
        </w:rPr>
        <w:t>:</w:t>
      </w:r>
    </w:p>
    <w:p w14:paraId="43C9ABA1" w14:textId="42D531E6" w:rsidR="00961A50" w:rsidRPr="00366942" w:rsidRDefault="00961A50" w:rsidP="00961A50">
      <w:pPr>
        <w:pStyle w:val="Citationenretrait"/>
        <w:rPr>
          <w:lang w:val="en-CA"/>
        </w:rPr>
      </w:pPr>
      <w:r w:rsidRPr="00366942">
        <w:rPr>
          <w:lang w:val="en-CA"/>
        </w:rPr>
        <w:t>28</w:t>
      </w:r>
      <w:r w:rsidRPr="00366942">
        <w:rPr>
          <w:lang w:val="en-CA"/>
        </w:rPr>
        <w:tab/>
      </w:r>
      <w:r w:rsidR="00B1480A" w:rsidRPr="00366942">
        <w:rPr>
          <w:lang w:val="en-CA"/>
        </w:rPr>
        <w:t xml:space="preserve">The specific role of s. 15(1) in achieving this objective is to ensure that when governments choose to enact benefits or burdens, they do so on a non-discriminatory basis. </w:t>
      </w:r>
      <w:r w:rsidR="00B1480A" w:rsidRPr="00366942">
        <w:rPr>
          <w:u w:val="single"/>
          <w:lang w:val="en-CA"/>
        </w:rPr>
        <w:t>This confines s. 15(1) claims to benefits and burdens imposed by law</w:t>
      </w:r>
      <w:r w:rsidRPr="00366942">
        <w:rPr>
          <w:lang w:val="en-CA"/>
        </w:rPr>
        <w:t>. […]</w:t>
      </w:r>
    </w:p>
    <w:p w14:paraId="2ACA0E8A" w14:textId="77777777" w:rsidR="00961A50" w:rsidRPr="00366942" w:rsidRDefault="00961A50" w:rsidP="00961A50">
      <w:pPr>
        <w:pStyle w:val="Citationenretrait"/>
        <w:rPr>
          <w:lang w:val="en-CA"/>
        </w:rPr>
      </w:pPr>
      <w:r w:rsidRPr="00366942">
        <w:rPr>
          <w:lang w:val="en-CA"/>
        </w:rPr>
        <w:t>[…]</w:t>
      </w:r>
    </w:p>
    <w:p w14:paraId="249C8FD0" w14:textId="04C40A82" w:rsidR="00961A50" w:rsidRPr="00366942" w:rsidRDefault="00961A50" w:rsidP="00961A50">
      <w:pPr>
        <w:pStyle w:val="Citationenretrait"/>
        <w:rPr>
          <w:lang w:val="en-CA"/>
        </w:rPr>
      </w:pPr>
      <w:r w:rsidRPr="00366942">
        <w:rPr>
          <w:lang w:val="en-CA"/>
        </w:rPr>
        <w:t>29</w:t>
      </w:r>
      <w:r w:rsidRPr="00366942">
        <w:rPr>
          <w:lang w:val="en-CA"/>
        </w:rPr>
        <w:tab/>
      </w:r>
      <w:r w:rsidR="00B1480A" w:rsidRPr="00366942">
        <w:rPr>
          <w:lang w:val="en-CA"/>
        </w:rPr>
        <w:t>Most s. 15(1) claims relate to a clear statutory benefit or burden. Consequently, the need for the benefit claimed or burden imposed to emanate from law has not been much discussed. Nevertheless, the language of s. 15(1) as well as the jurisprudence demand that it be met before a s. 15(1) claim can succeed</w:t>
      </w:r>
      <w:r w:rsidRPr="00366942">
        <w:rPr>
          <w:lang w:val="en-CA"/>
        </w:rPr>
        <w:t>.</w:t>
      </w:r>
    </w:p>
    <w:p w14:paraId="2545E393" w14:textId="77777777" w:rsidR="00961A50" w:rsidRPr="00366942" w:rsidRDefault="00961A50" w:rsidP="00961A50">
      <w:pPr>
        <w:pStyle w:val="Citationenretrait"/>
        <w:rPr>
          <w:lang w:val="en-CA"/>
        </w:rPr>
      </w:pPr>
      <w:r w:rsidRPr="00366942">
        <w:rPr>
          <w:lang w:val="en-CA"/>
        </w:rPr>
        <w:t>[…]</w:t>
      </w:r>
    </w:p>
    <w:p w14:paraId="05383D0C" w14:textId="5C8C0FBF" w:rsidR="00961A50" w:rsidRPr="00366942" w:rsidRDefault="00961A50" w:rsidP="00961A50">
      <w:pPr>
        <w:pStyle w:val="Citationenretrait"/>
        <w:rPr>
          <w:lang w:val="en-CA"/>
        </w:rPr>
      </w:pPr>
      <w:r w:rsidRPr="00366942">
        <w:rPr>
          <w:lang w:val="en-CA"/>
        </w:rPr>
        <w:t>38</w:t>
      </w:r>
      <w:r w:rsidRPr="00366942">
        <w:rPr>
          <w:lang w:val="en-CA"/>
        </w:rPr>
        <w:tab/>
      </w:r>
      <w:r w:rsidR="00B1480A" w:rsidRPr="00366942">
        <w:rPr>
          <w:lang w:val="en-CA"/>
        </w:rPr>
        <w:t xml:space="preserve">The petitioners rely on </w:t>
      </w:r>
      <w:r w:rsidR="00B1480A" w:rsidRPr="00366942">
        <w:rPr>
          <w:i/>
          <w:iCs/>
          <w:lang w:val="en-CA"/>
        </w:rPr>
        <w:t>Eldridge</w:t>
      </w:r>
      <w:r w:rsidR="00B1480A" w:rsidRPr="00366942">
        <w:rPr>
          <w:lang w:val="en-CA"/>
        </w:rPr>
        <w:t xml:space="preserve"> in arguing for equal provision of medical benefits. In Eldridge, this Court held that the Province was obliged to provide translators to the deaf so that they could have equal access to core benefits accorded to everyone under the British Columbia medicare scheme. </w:t>
      </w:r>
      <w:r w:rsidR="00B1480A" w:rsidRPr="00366942">
        <w:rPr>
          <w:u w:val="single"/>
          <w:lang w:val="en-CA"/>
        </w:rPr>
        <w:t xml:space="preserve">The decision proceeded on the basis that the law provided the benefits at issue — physician-delivered consultation and maternity care. However, by failing to provide translation services for the deaf, the Province effectively denied to one group of disabled people the benefit it had granted by law. </w:t>
      </w:r>
      <w:r w:rsidR="00B1480A" w:rsidRPr="00366942">
        <w:rPr>
          <w:i/>
          <w:iCs/>
          <w:u w:val="single"/>
          <w:lang w:val="en-CA"/>
        </w:rPr>
        <w:t>Eldridge</w:t>
      </w:r>
      <w:r w:rsidR="00B1480A" w:rsidRPr="00366942">
        <w:rPr>
          <w:u w:val="single"/>
          <w:lang w:val="en-CA"/>
        </w:rPr>
        <w:t xml:space="preserve"> was concerned with unequal access to a benefit that the law conferred</w:t>
      </w:r>
      <w:r w:rsidR="00B1480A" w:rsidRPr="00366942">
        <w:rPr>
          <w:lang w:val="en-CA"/>
        </w:rPr>
        <w:t xml:space="preserve"> and with</w:t>
      </w:r>
      <w:r w:rsidR="00B1480A" w:rsidRPr="00366942">
        <w:rPr>
          <w:u w:val="single"/>
          <w:lang w:val="en-CA"/>
        </w:rPr>
        <w:t xml:space="preserve"> applying</w:t>
      </w:r>
      <w:r w:rsidR="00B1480A" w:rsidRPr="00366942">
        <w:rPr>
          <w:lang w:val="en-CA"/>
        </w:rPr>
        <w:t xml:space="preserve"> a benefit-granting law in a non-discriminatory fashion. </w:t>
      </w:r>
      <w:r w:rsidR="00B1480A" w:rsidRPr="00366942">
        <w:rPr>
          <w:u w:val="single"/>
          <w:lang w:val="en-CA"/>
        </w:rPr>
        <w:t>By contrast, this case is concerned with access to a benefit that the law has not conferred</w:t>
      </w:r>
      <w:r w:rsidR="00B1480A" w:rsidRPr="00366942">
        <w:rPr>
          <w:lang w:val="en-CA"/>
        </w:rPr>
        <w:t xml:space="preserve">. For this reason, </w:t>
      </w:r>
      <w:r w:rsidR="00B1480A" w:rsidRPr="00366942">
        <w:rPr>
          <w:i/>
          <w:iCs/>
          <w:lang w:val="en-CA"/>
        </w:rPr>
        <w:t>Eldridge</w:t>
      </w:r>
      <w:r w:rsidR="00B1480A" w:rsidRPr="00366942">
        <w:rPr>
          <w:lang w:val="en-CA"/>
        </w:rPr>
        <w:t xml:space="preserve"> does not assist the petitioners</w:t>
      </w:r>
      <w:r w:rsidRPr="00366942">
        <w:rPr>
          <w:lang w:val="en-CA"/>
        </w:rPr>
        <w:t>.</w:t>
      </w:r>
      <w:r w:rsidRPr="00366942">
        <w:rPr>
          <w:rStyle w:val="Appelnotedebasdep"/>
          <w:lang w:val="en-CA"/>
        </w:rPr>
        <w:footnoteReference w:id="101"/>
      </w:r>
    </w:p>
    <w:p w14:paraId="3C016198" w14:textId="7F69950F" w:rsidR="00101CCF" w:rsidRPr="00366942" w:rsidRDefault="002A409A" w:rsidP="00961A50">
      <w:pPr>
        <w:pStyle w:val="Citationenretrait"/>
        <w:spacing w:before="0"/>
        <w:jc w:val="right"/>
        <w:rPr>
          <w:sz w:val="20"/>
          <w:lang w:val="en-CA"/>
        </w:rPr>
      </w:pPr>
      <w:r w:rsidRPr="00366942">
        <w:rPr>
          <w:sz w:val="20"/>
          <w:lang w:val="en-CA"/>
        </w:rPr>
        <w:t>(</w:t>
      </w:r>
      <w:r w:rsidR="008168F6" w:rsidRPr="00366942">
        <w:rPr>
          <w:sz w:val="20"/>
          <w:lang w:val="en-CA"/>
        </w:rPr>
        <w:t>Underlining</w:t>
      </w:r>
      <w:r w:rsidR="00B1480A" w:rsidRPr="00366942">
        <w:rPr>
          <w:sz w:val="20"/>
          <w:lang w:val="en-CA"/>
        </w:rPr>
        <w:t xml:space="preserve"> added, except for the word “applying” in para.</w:t>
      </w:r>
      <w:r w:rsidR="00961A50" w:rsidRPr="00366942">
        <w:rPr>
          <w:sz w:val="20"/>
          <w:lang w:val="en-CA"/>
        </w:rPr>
        <w:t xml:space="preserve"> 38 </w:t>
      </w:r>
      <w:r w:rsidR="00B1480A" w:rsidRPr="00366942">
        <w:rPr>
          <w:sz w:val="20"/>
          <w:lang w:val="en-CA"/>
        </w:rPr>
        <w:t>above</w:t>
      </w:r>
      <w:r w:rsidR="00961A50" w:rsidRPr="00366942">
        <w:rPr>
          <w:sz w:val="20"/>
          <w:lang w:val="en-CA"/>
        </w:rPr>
        <w:t xml:space="preserve">, </w:t>
      </w:r>
      <w:r w:rsidR="00B1480A" w:rsidRPr="00366942">
        <w:rPr>
          <w:sz w:val="20"/>
          <w:lang w:val="en-CA"/>
        </w:rPr>
        <w:t>which is underlined in the original</w:t>
      </w:r>
      <w:r w:rsidRPr="00366942">
        <w:rPr>
          <w:sz w:val="20"/>
          <w:lang w:val="en-CA"/>
        </w:rPr>
        <w:t>)</w:t>
      </w:r>
    </w:p>
    <w:p w14:paraId="36A1753E" w14:textId="3A337EEC" w:rsidR="00961A50" w:rsidRPr="00366942" w:rsidRDefault="00961A50" w:rsidP="00961A50">
      <w:pPr>
        <w:pStyle w:val="Paragraphe"/>
        <w:rPr>
          <w:lang w:val="en-CA"/>
        </w:rPr>
      </w:pPr>
      <w:r w:rsidRPr="00366942">
        <w:rPr>
          <w:i/>
          <w:iCs/>
          <w:lang w:val="en-CA"/>
        </w:rPr>
        <w:t>Auton</w:t>
      </w:r>
      <w:r w:rsidR="0016247A" w:rsidRPr="00366942">
        <w:rPr>
          <w:lang w:val="en-CA"/>
        </w:rPr>
        <w:t xml:space="preserve"> dealt with a claim</w:t>
      </w:r>
      <w:r w:rsidR="00B85AC7" w:rsidRPr="00366942">
        <w:rPr>
          <w:lang w:val="en-CA"/>
        </w:rPr>
        <w:t xml:space="preserve"> </w:t>
      </w:r>
      <w:r w:rsidR="0016247A" w:rsidRPr="00366942">
        <w:rPr>
          <w:lang w:val="en-CA"/>
        </w:rPr>
        <w:t>on behalf of</w:t>
      </w:r>
      <w:r w:rsidR="00B85AC7" w:rsidRPr="00366942">
        <w:rPr>
          <w:lang w:val="en-CA"/>
        </w:rPr>
        <w:t xml:space="preserve"> autistic children</w:t>
      </w:r>
      <w:r w:rsidR="0016247A" w:rsidRPr="00366942">
        <w:rPr>
          <w:lang w:val="en-CA"/>
        </w:rPr>
        <w:t xml:space="preserve"> </w:t>
      </w:r>
      <w:r w:rsidR="005879FD" w:rsidRPr="00366942">
        <w:rPr>
          <w:lang w:val="en-CA"/>
        </w:rPr>
        <w:t>for the recognition of</w:t>
      </w:r>
      <w:r w:rsidR="00B85AC7" w:rsidRPr="00366942">
        <w:rPr>
          <w:lang w:val="en-CA"/>
        </w:rPr>
        <w:t xml:space="preserve"> a certain therapy, </w:t>
      </w:r>
      <w:r w:rsidR="0016247A" w:rsidRPr="00366942">
        <w:rPr>
          <w:lang w:val="en-CA"/>
        </w:rPr>
        <w:t xml:space="preserve">not yet provided </w:t>
      </w:r>
      <w:r w:rsidR="00B85AC7" w:rsidRPr="00366942">
        <w:rPr>
          <w:lang w:val="en-CA"/>
        </w:rPr>
        <w:t>in the public health network</w:t>
      </w:r>
      <w:r w:rsidR="005879FD" w:rsidRPr="00366942">
        <w:rPr>
          <w:lang w:val="en-CA"/>
        </w:rPr>
        <w:t xml:space="preserve"> and whose</w:t>
      </w:r>
      <w:r w:rsidR="00B85AC7" w:rsidRPr="00366942">
        <w:rPr>
          <w:lang w:val="en-CA"/>
        </w:rPr>
        <w:t xml:space="preserve"> cost, to avoid any discrimination, would be entirely borne by the state under the </w:t>
      </w:r>
      <w:r w:rsidR="005879FD" w:rsidRPr="00366942">
        <w:rPr>
          <w:lang w:val="en-CA"/>
        </w:rPr>
        <w:t xml:space="preserve">health insurance </w:t>
      </w:r>
      <w:r w:rsidR="00611D96" w:rsidRPr="00366942">
        <w:rPr>
          <w:lang w:val="en-CA"/>
        </w:rPr>
        <w:t>plan</w:t>
      </w:r>
      <w:r w:rsidRPr="00366942">
        <w:rPr>
          <w:lang w:val="en-CA"/>
        </w:rPr>
        <w:t xml:space="preserve">. </w:t>
      </w:r>
      <w:r w:rsidR="00B85AC7" w:rsidRPr="00366942">
        <w:rPr>
          <w:lang w:val="en-CA"/>
        </w:rPr>
        <w:lastRenderedPageBreak/>
        <w:t xml:space="preserve">However, </w:t>
      </w:r>
      <w:r w:rsidR="005879FD" w:rsidRPr="00366942">
        <w:rPr>
          <w:lang w:val="en-CA"/>
        </w:rPr>
        <w:t>as</w:t>
      </w:r>
      <w:r w:rsidR="00B85AC7" w:rsidRPr="00366942">
        <w:rPr>
          <w:lang w:val="en-CA"/>
        </w:rPr>
        <w:t xml:space="preserve"> the Supreme Court</w:t>
      </w:r>
      <w:r w:rsidR="005879FD" w:rsidRPr="00366942">
        <w:rPr>
          <w:lang w:val="en-CA"/>
        </w:rPr>
        <w:t xml:space="preserve"> noted</w:t>
      </w:r>
      <w:r w:rsidRPr="00366942">
        <w:rPr>
          <w:lang w:val="en-CA"/>
        </w:rPr>
        <w:t xml:space="preserve">, </w:t>
      </w:r>
      <w:r w:rsidR="0016247A" w:rsidRPr="00366942">
        <w:rPr>
          <w:lang w:val="en-CA"/>
        </w:rPr>
        <w:t>“the benefit claimed, no matter how it is viewed, is not a benefit provided by law”</w:t>
      </w:r>
      <w:r w:rsidRPr="00366942">
        <w:rPr>
          <w:rStyle w:val="Appelnotedebasdep"/>
          <w:lang w:val="en-CA"/>
        </w:rPr>
        <w:footnoteReference w:id="102"/>
      </w:r>
      <w:r w:rsidRPr="00366942">
        <w:rPr>
          <w:lang w:val="en-CA"/>
        </w:rPr>
        <w:t xml:space="preserve"> </w:t>
      </w:r>
      <w:r w:rsidR="0016247A" w:rsidRPr="00366942">
        <w:rPr>
          <w:lang w:val="en-CA"/>
        </w:rPr>
        <w:t xml:space="preserve">and the </w:t>
      </w:r>
      <w:r w:rsidR="005879FD" w:rsidRPr="00366942">
        <w:rPr>
          <w:lang w:val="en-CA"/>
        </w:rPr>
        <w:t>enquiry</w:t>
      </w:r>
      <w:r w:rsidR="0016247A" w:rsidRPr="00366942">
        <w:rPr>
          <w:lang w:val="en-CA"/>
        </w:rPr>
        <w:t xml:space="preserve"> could</w:t>
      </w:r>
      <w:r w:rsidR="005879FD" w:rsidRPr="00366942">
        <w:rPr>
          <w:lang w:val="en-CA"/>
        </w:rPr>
        <w:t xml:space="preserve"> therefore</w:t>
      </w:r>
      <w:r w:rsidR="0016247A" w:rsidRPr="00366942">
        <w:rPr>
          <w:lang w:val="en-CA"/>
        </w:rPr>
        <w:t xml:space="preserve"> end there</w:t>
      </w:r>
      <w:r w:rsidRPr="00366942">
        <w:rPr>
          <w:lang w:val="en-CA"/>
        </w:rPr>
        <w:t xml:space="preserve">. </w:t>
      </w:r>
      <w:r w:rsidR="005879FD" w:rsidRPr="00366942">
        <w:rPr>
          <w:lang w:val="en-CA"/>
        </w:rPr>
        <w:t>Moreover, that benefit was provided to no other person belonging to the comparator group.</w:t>
      </w:r>
      <w:r w:rsidRPr="00366942">
        <w:rPr>
          <w:rStyle w:val="Appelnotedebasdep"/>
          <w:lang w:val="en-CA"/>
        </w:rPr>
        <w:footnoteReference w:id="103"/>
      </w:r>
      <w:r w:rsidR="005879FD" w:rsidRPr="00366942">
        <w:rPr>
          <w:lang w:val="en-CA"/>
        </w:rPr>
        <w:t xml:space="preserve"> The situation here is similar</w:t>
      </w:r>
      <w:r w:rsidRPr="00366942">
        <w:rPr>
          <w:lang w:val="en-CA"/>
        </w:rPr>
        <w:t xml:space="preserve">: </w:t>
      </w:r>
      <w:r w:rsidR="005879FD" w:rsidRPr="00366942">
        <w:rPr>
          <w:lang w:val="en-CA"/>
        </w:rPr>
        <w:t>the benefit claimed by the appellant is not a benefit provided by law</w:t>
      </w:r>
      <w:r w:rsidRPr="00366942">
        <w:rPr>
          <w:lang w:val="en-CA"/>
        </w:rPr>
        <w:t xml:space="preserve">. </w:t>
      </w:r>
      <w:r w:rsidR="005879FD" w:rsidRPr="00366942">
        <w:rPr>
          <w:lang w:val="en-CA"/>
        </w:rPr>
        <w:t>Indeed, the unlimited reimbursement</w:t>
      </w:r>
      <w:r w:rsidRPr="00366942">
        <w:rPr>
          <w:lang w:val="en-CA"/>
        </w:rPr>
        <w:t xml:space="preserve"> (</w:t>
      </w:r>
      <w:r w:rsidR="005879FD" w:rsidRPr="00366942">
        <w:rPr>
          <w:lang w:val="en-CA"/>
        </w:rPr>
        <w:t>or payment</w:t>
      </w:r>
      <w:r w:rsidRPr="00366942">
        <w:rPr>
          <w:lang w:val="en-CA"/>
        </w:rPr>
        <w:t xml:space="preserve">) </w:t>
      </w:r>
      <w:r w:rsidR="005879FD" w:rsidRPr="00366942">
        <w:rPr>
          <w:lang w:val="en-CA"/>
        </w:rPr>
        <w:t xml:space="preserve">of the cost of medical services received outside Quebec </w:t>
      </w:r>
      <w:r w:rsidR="00611D96" w:rsidRPr="00366942">
        <w:rPr>
          <w:lang w:val="en-CA"/>
        </w:rPr>
        <w:t xml:space="preserve">is not a benefit available to anyone else under Quebec’s health insurance plan, which </w:t>
      </w:r>
      <w:r w:rsidR="00884C71" w:rsidRPr="00366942">
        <w:rPr>
          <w:lang w:val="en-CA"/>
        </w:rPr>
        <w:t xml:space="preserve">subjects </w:t>
      </w:r>
      <w:r w:rsidR="00611D96" w:rsidRPr="00366942">
        <w:rPr>
          <w:lang w:val="en-CA"/>
        </w:rPr>
        <w:t xml:space="preserve">any reimbursement or payment </w:t>
      </w:r>
      <w:r w:rsidR="00884C71" w:rsidRPr="00366942">
        <w:rPr>
          <w:lang w:val="en-CA"/>
        </w:rPr>
        <w:t>to</w:t>
      </w:r>
      <w:r w:rsidR="00611D96" w:rsidRPr="00366942">
        <w:rPr>
          <w:lang w:val="en-CA"/>
        </w:rPr>
        <w:t xml:space="preserve"> a </w:t>
      </w:r>
      <w:r w:rsidR="00D613F5" w:rsidRPr="00366942">
        <w:rPr>
          <w:lang w:val="en-CA"/>
        </w:rPr>
        <w:t>limit</w:t>
      </w:r>
      <w:r w:rsidR="00611D96" w:rsidRPr="00366942">
        <w:rPr>
          <w:lang w:val="en-CA"/>
        </w:rPr>
        <w:t xml:space="preserve"> in all cases</w:t>
      </w:r>
      <w:r w:rsidRPr="00366942">
        <w:rPr>
          <w:lang w:val="en-CA"/>
        </w:rPr>
        <w:t>.</w:t>
      </w:r>
    </w:p>
    <w:p w14:paraId="6B1BAB34" w14:textId="11ED16C2" w:rsidR="00961A50" w:rsidRPr="00366942" w:rsidRDefault="00884C71" w:rsidP="00961A50">
      <w:pPr>
        <w:pStyle w:val="Paragraphe"/>
        <w:rPr>
          <w:lang w:val="en-CA"/>
        </w:rPr>
      </w:pPr>
      <w:r w:rsidRPr="00366942">
        <w:rPr>
          <w:lang w:val="en-CA"/>
        </w:rPr>
        <w:t>On another note</w:t>
      </w:r>
      <w:r w:rsidR="00961A50" w:rsidRPr="00366942">
        <w:rPr>
          <w:lang w:val="en-CA"/>
        </w:rPr>
        <w:t xml:space="preserve">, </w:t>
      </w:r>
      <w:r w:rsidRPr="00366942">
        <w:rPr>
          <w:lang w:val="en-CA"/>
        </w:rPr>
        <w:t xml:space="preserve">it must be emphasized that it has not been </w:t>
      </w:r>
      <w:r w:rsidR="006076FD" w:rsidRPr="00366942">
        <w:rPr>
          <w:lang w:val="en-CA"/>
        </w:rPr>
        <w:t>prove</w:t>
      </w:r>
      <w:r w:rsidR="00D613F5" w:rsidRPr="00366942">
        <w:rPr>
          <w:lang w:val="en-CA"/>
        </w:rPr>
        <w:t>n</w:t>
      </w:r>
      <w:r w:rsidRPr="00366942">
        <w:rPr>
          <w:lang w:val="en-CA"/>
        </w:rPr>
        <w:t xml:space="preserve"> here that women receiving pregnancy-related medical services </w:t>
      </w:r>
      <w:r w:rsidR="006076FD" w:rsidRPr="00366942">
        <w:rPr>
          <w:lang w:val="en-CA"/>
        </w:rPr>
        <w:t xml:space="preserve">outside Quebec </w:t>
      </w:r>
      <w:r w:rsidRPr="00366942">
        <w:rPr>
          <w:lang w:val="en-CA"/>
        </w:rPr>
        <w:t>obtain, under ss.</w:t>
      </w:r>
      <w:r w:rsidR="00302FFF" w:rsidRPr="00366942">
        <w:rPr>
          <w:lang w:val="en-CA"/>
        </w:rPr>
        <w:t> </w:t>
      </w:r>
      <w:r w:rsidR="00961A50" w:rsidRPr="00366942">
        <w:rPr>
          <w:lang w:val="en-CA"/>
        </w:rPr>
        <w:t>10 o</w:t>
      </w:r>
      <w:r w:rsidRPr="00366942">
        <w:rPr>
          <w:lang w:val="en-CA"/>
        </w:rPr>
        <w:t>r</w:t>
      </w:r>
      <w:r w:rsidR="00961A50" w:rsidRPr="00366942">
        <w:rPr>
          <w:lang w:val="en-CA"/>
        </w:rPr>
        <w:t xml:space="preserve"> 11 </w:t>
      </w:r>
      <w:r w:rsidRPr="00366942">
        <w:rPr>
          <w:i/>
          <w:iCs/>
          <w:lang w:val="en-CA"/>
        </w:rPr>
        <w:t>HIA</w:t>
      </w:r>
      <w:r w:rsidR="00961A50" w:rsidRPr="00366942">
        <w:rPr>
          <w:lang w:val="en-CA"/>
        </w:rPr>
        <w:t xml:space="preserve">, </w:t>
      </w:r>
      <w:r w:rsidRPr="00366942">
        <w:rPr>
          <w:lang w:val="en-CA"/>
        </w:rPr>
        <w:t>a reimbursement or a payment of a lesser amount than</w:t>
      </w:r>
      <w:r w:rsidR="006076FD" w:rsidRPr="00366942">
        <w:rPr>
          <w:lang w:val="en-CA"/>
        </w:rPr>
        <w:t xml:space="preserve"> that received by</w:t>
      </w:r>
      <w:r w:rsidRPr="00366942">
        <w:rPr>
          <w:lang w:val="en-CA"/>
        </w:rPr>
        <w:t xml:space="preserve"> men or </w:t>
      </w:r>
      <w:r w:rsidR="006076FD" w:rsidRPr="00366942">
        <w:rPr>
          <w:lang w:val="en-CA"/>
        </w:rPr>
        <w:t>any</w:t>
      </w:r>
      <w:r w:rsidRPr="00366942">
        <w:rPr>
          <w:lang w:val="en-CA"/>
        </w:rPr>
        <w:t xml:space="preserve"> insured persons </w:t>
      </w:r>
      <w:r w:rsidR="006076FD" w:rsidRPr="00366942">
        <w:rPr>
          <w:lang w:val="en-CA"/>
        </w:rPr>
        <w:t>who</w:t>
      </w:r>
      <w:r w:rsidRPr="00366942">
        <w:rPr>
          <w:lang w:val="en-CA"/>
        </w:rPr>
        <w:t xml:space="preserve"> received </w:t>
      </w:r>
      <w:r w:rsidR="006076FD" w:rsidRPr="00366942">
        <w:rPr>
          <w:lang w:val="en-CA"/>
        </w:rPr>
        <w:t xml:space="preserve">any other type of </w:t>
      </w:r>
      <w:r w:rsidRPr="00366942">
        <w:rPr>
          <w:lang w:val="en-CA"/>
        </w:rPr>
        <w:t>care</w:t>
      </w:r>
      <w:r w:rsidR="00961A50" w:rsidRPr="00366942">
        <w:rPr>
          <w:lang w:val="en-CA"/>
        </w:rPr>
        <w:t xml:space="preserve">. </w:t>
      </w:r>
      <w:r w:rsidRPr="00366942">
        <w:rPr>
          <w:lang w:val="en-CA"/>
        </w:rPr>
        <w:t>One could have questioned the existence of a distinction if, for example, it had been established that pregnant women, and</w:t>
      </w:r>
      <w:r w:rsidR="00C10B9E" w:rsidRPr="00366942">
        <w:rPr>
          <w:lang w:val="en-CA"/>
        </w:rPr>
        <w:t xml:space="preserve"> here,</w:t>
      </w:r>
      <w:r w:rsidRPr="00366942">
        <w:rPr>
          <w:lang w:val="en-CA"/>
        </w:rPr>
        <w:t xml:space="preserve"> </w:t>
      </w:r>
      <w:r w:rsidR="00C10B9E" w:rsidRPr="00366942">
        <w:rPr>
          <w:lang w:val="en-CA"/>
        </w:rPr>
        <w:t>I give a random number, never recover more than</w:t>
      </w:r>
      <w:r w:rsidR="00961A50" w:rsidRPr="00366942">
        <w:rPr>
          <w:lang w:val="en-CA"/>
        </w:rPr>
        <w:t xml:space="preserve"> 50% </w:t>
      </w:r>
      <w:r w:rsidR="00C10B9E" w:rsidRPr="00366942">
        <w:rPr>
          <w:lang w:val="en-CA"/>
        </w:rPr>
        <w:t>of the costs that the</w:t>
      </w:r>
      <w:r w:rsidR="00302FFF" w:rsidRPr="00366942">
        <w:rPr>
          <w:lang w:val="en-CA"/>
        </w:rPr>
        <w:t>y</w:t>
      </w:r>
      <w:r w:rsidR="00C10B9E" w:rsidRPr="00366942">
        <w:rPr>
          <w:lang w:val="en-CA"/>
        </w:rPr>
        <w:t xml:space="preserve"> claim, whereas men (for gender-specific or any other medical services</w:t>
      </w:r>
      <w:r w:rsidR="00961A50" w:rsidRPr="00366942">
        <w:rPr>
          <w:lang w:val="en-CA"/>
        </w:rPr>
        <w:t xml:space="preserve">), </w:t>
      </w:r>
      <w:r w:rsidR="00C10B9E" w:rsidRPr="00366942">
        <w:rPr>
          <w:lang w:val="en-CA"/>
        </w:rPr>
        <w:t xml:space="preserve">persons belonging to another protected group or insured persons generally recover, for their part, </w:t>
      </w:r>
      <w:r w:rsidR="006076FD" w:rsidRPr="00366942">
        <w:rPr>
          <w:lang w:val="en-CA"/>
        </w:rPr>
        <w:t xml:space="preserve">and still </w:t>
      </w:r>
      <w:r w:rsidR="00C10B9E" w:rsidRPr="00366942">
        <w:rPr>
          <w:lang w:val="en-CA"/>
        </w:rPr>
        <w:t>hypothetically,</w:t>
      </w:r>
      <w:r w:rsidR="00961A50" w:rsidRPr="00366942">
        <w:rPr>
          <w:lang w:val="en-CA"/>
        </w:rPr>
        <w:t xml:space="preserve"> </w:t>
      </w:r>
      <w:r w:rsidR="00C10B9E" w:rsidRPr="00366942">
        <w:rPr>
          <w:lang w:val="en-CA"/>
        </w:rPr>
        <w:t>amounts which, while respecting the cap provided in s</w:t>
      </w:r>
      <w:r w:rsidR="00C46B38" w:rsidRPr="00366942">
        <w:rPr>
          <w:lang w:val="en-CA"/>
        </w:rPr>
        <w:t>. </w:t>
      </w:r>
      <w:r w:rsidR="00C10B9E" w:rsidRPr="00366942">
        <w:rPr>
          <w:lang w:val="en-CA"/>
        </w:rPr>
        <w:t xml:space="preserve">10, para. 4 </w:t>
      </w:r>
      <w:r w:rsidR="00C10B9E" w:rsidRPr="00366942">
        <w:rPr>
          <w:i/>
          <w:iCs/>
          <w:lang w:val="en-CA"/>
        </w:rPr>
        <w:t>HIA</w:t>
      </w:r>
      <w:r w:rsidR="00C10B9E" w:rsidRPr="00366942">
        <w:rPr>
          <w:lang w:val="en-CA"/>
        </w:rPr>
        <w:t xml:space="preserve">, </w:t>
      </w:r>
      <w:r w:rsidR="006076FD" w:rsidRPr="00366942">
        <w:rPr>
          <w:lang w:val="en-CA"/>
        </w:rPr>
        <w:t>represent</w:t>
      </w:r>
      <w:r w:rsidR="00C10B9E" w:rsidRPr="00366942">
        <w:rPr>
          <w:lang w:val="en-CA"/>
        </w:rPr>
        <w:t xml:space="preserve"> 75% of the costs that they assumed outside Quebec</w:t>
      </w:r>
      <w:r w:rsidR="00961A50" w:rsidRPr="00366942">
        <w:rPr>
          <w:lang w:val="en-CA"/>
        </w:rPr>
        <w:t>. </w:t>
      </w:r>
      <w:r w:rsidR="00C10B9E" w:rsidRPr="00366942">
        <w:rPr>
          <w:lang w:val="en-CA"/>
        </w:rPr>
        <w:t>The problem would perhaps</w:t>
      </w:r>
      <w:r w:rsidR="003A794B" w:rsidRPr="00366942">
        <w:rPr>
          <w:lang w:val="en-CA"/>
        </w:rPr>
        <w:t xml:space="preserve"> have been related not only to s.</w:t>
      </w:r>
      <w:r w:rsidR="00961A50" w:rsidRPr="00366942">
        <w:rPr>
          <w:lang w:val="en-CA"/>
        </w:rPr>
        <w:t xml:space="preserve"> 10</w:t>
      </w:r>
      <w:r w:rsidR="003A794B" w:rsidRPr="00366942">
        <w:rPr>
          <w:lang w:val="en-CA"/>
        </w:rPr>
        <w:t>, para</w:t>
      </w:r>
      <w:r w:rsidR="00961A50" w:rsidRPr="00366942">
        <w:rPr>
          <w:lang w:val="en-CA"/>
        </w:rPr>
        <w:t>. 4 </w:t>
      </w:r>
      <w:r w:rsidR="003A794B" w:rsidRPr="00366942">
        <w:rPr>
          <w:i/>
          <w:iCs/>
          <w:lang w:val="en-CA"/>
        </w:rPr>
        <w:t>HIA</w:t>
      </w:r>
      <w:r w:rsidR="00961A50" w:rsidRPr="00366942">
        <w:rPr>
          <w:lang w:val="en-CA"/>
        </w:rPr>
        <w:t xml:space="preserve">, </w:t>
      </w:r>
      <w:r w:rsidR="003A794B" w:rsidRPr="00366942">
        <w:rPr>
          <w:lang w:val="en-CA"/>
        </w:rPr>
        <w:t xml:space="preserve">but also to the </w:t>
      </w:r>
      <w:r w:rsidR="00D613F5" w:rsidRPr="00366942">
        <w:rPr>
          <w:lang w:val="en-CA"/>
        </w:rPr>
        <w:t>inadequacy</w:t>
      </w:r>
      <w:r w:rsidR="003A794B" w:rsidRPr="00366942">
        <w:rPr>
          <w:lang w:val="en-CA"/>
        </w:rPr>
        <w:t xml:space="preserve"> or par</w:t>
      </w:r>
      <w:r w:rsidR="006076FD" w:rsidRPr="00366942">
        <w:rPr>
          <w:lang w:val="en-CA"/>
        </w:rPr>
        <w:t>s</w:t>
      </w:r>
      <w:r w:rsidR="003A794B" w:rsidRPr="00366942">
        <w:rPr>
          <w:lang w:val="en-CA"/>
        </w:rPr>
        <w:t xml:space="preserve">imony of the </w:t>
      </w:r>
      <w:r w:rsidR="00151B84" w:rsidRPr="00366942">
        <w:rPr>
          <w:lang w:val="en-CA"/>
        </w:rPr>
        <w:t>scale</w:t>
      </w:r>
      <w:r w:rsidR="003A794B" w:rsidRPr="00366942">
        <w:rPr>
          <w:lang w:val="en-CA"/>
        </w:rPr>
        <w:t xml:space="preserve"> established by the Board for reproductive health services received in Quebec</w:t>
      </w:r>
      <w:r w:rsidR="00961A50" w:rsidRPr="00366942">
        <w:rPr>
          <w:lang w:val="en-CA"/>
        </w:rPr>
        <w:t xml:space="preserve">. </w:t>
      </w:r>
      <w:r w:rsidR="003A794B" w:rsidRPr="00366942">
        <w:rPr>
          <w:lang w:val="en-CA"/>
        </w:rPr>
        <w:t>The evidence, however, contains nothing of the sort</w:t>
      </w:r>
      <w:r w:rsidR="00961A50" w:rsidRPr="00366942">
        <w:rPr>
          <w:lang w:val="en-CA"/>
        </w:rPr>
        <w:t xml:space="preserve">: </w:t>
      </w:r>
      <w:r w:rsidR="003A794B" w:rsidRPr="00366942">
        <w:rPr>
          <w:lang w:val="en-CA"/>
        </w:rPr>
        <w:t xml:space="preserve">it does not address that scenario (which was not, moreover, evoked by the parties) and we are totally unaware of the </w:t>
      </w:r>
      <w:r w:rsidR="00151B84" w:rsidRPr="00366942">
        <w:rPr>
          <w:lang w:val="en-CA"/>
        </w:rPr>
        <w:t>scales</w:t>
      </w:r>
      <w:r w:rsidR="003A794B" w:rsidRPr="00366942">
        <w:rPr>
          <w:lang w:val="en-CA"/>
        </w:rPr>
        <w:t xml:space="preserve"> used by the Board, which were not themselves challenged</w:t>
      </w:r>
      <w:r w:rsidR="00961A50" w:rsidRPr="00366942">
        <w:rPr>
          <w:lang w:val="en-CA"/>
        </w:rPr>
        <w:t>.</w:t>
      </w:r>
    </w:p>
    <w:p w14:paraId="1F83E85F" w14:textId="78A213C0" w:rsidR="00961A50" w:rsidRPr="00366942" w:rsidRDefault="008A239C" w:rsidP="00961A50">
      <w:pPr>
        <w:pStyle w:val="Paragraphe"/>
        <w:rPr>
          <w:lang w:val="en-CA"/>
        </w:rPr>
      </w:pPr>
      <w:r w:rsidRPr="00366942">
        <w:rPr>
          <w:lang w:val="en-CA"/>
        </w:rPr>
        <w:t>In sum</w:t>
      </w:r>
      <w:r w:rsidR="00961A50" w:rsidRPr="00366942">
        <w:rPr>
          <w:lang w:val="en-CA"/>
        </w:rPr>
        <w:t xml:space="preserve">, </w:t>
      </w:r>
      <w:r w:rsidRPr="00366942">
        <w:rPr>
          <w:lang w:val="en-CA"/>
        </w:rPr>
        <w:t>ss</w:t>
      </w:r>
      <w:r w:rsidR="00961A50" w:rsidRPr="00366942">
        <w:rPr>
          <w:lang w:val="en-CA"/>
        </w:rPr>
        <w:t xml:space="preserve">. 10 </w:t>
      </w:r>
      <w:r w:rsidRPr="00366942">
        <w:rPr>
          <w:lang w:val="en-CA"/>
        </w:rPr>
        <w:t>and</w:t>
      </w:r>
      <w:r w:rsidR="00961A50" w:rsidRPr="00366942">
        <w:rPr>
          <w:lang w:val="en-CA"/>
        </w:rPr>
        <w:t xml:space="preserve"> 11 </w:t>
      </w:r>
      <w:r w:rsidRPr="00366942">
        <w:rPr>
          <w:i/>
          <w:iCs/>
          <w:lang w:val="en-CA"/>
        </w:rPr>
        <w:t>HIA</w:t>
      </w:r>
      <w:r w:rsidR="00961A50" w:rsidRPr="00366942">
        <w:rPr>
          <w:lang w:val="en-CA"/>
        </w:rPr>
        <w:t xml:space="preserve"> </w:t>
      </w:r>
      <w:r w:rsidRPr="00366942">
        <w:rPr>
          <w:lang w:val="en-CA"/>
        </w:rPr>
        <w:t xml:space="preserve">confer to </w:t>
      </w:r>
      <w:r w:rsidR="00ED1499" w:rsidRPr="00366942">
        <w:rPr>
          <w:lang w:val="en-CA"/>
        </w:rPr>
        <w:t xml:space="preserve">insured </w:t>
      </w:r>
      <w:r w:rsidRPr="00366942">
        <w:rPr>
          <w:lang w:val="en-CA"/>
        </w:rPr>
        <w:t xml:space="preserve">persons under that law both the same </w:t>
      </w:r>
      <w:r w:rsidR="00ED1499" w:rsidRPr="00366942">
        <w:rPr>
          <w:lang w:val="en-CA"/>
        </w:rPr>
        <w:t>benefit</w:t>
      </w:r>
      <w:r w:rsidRPr="00366942">
        <w:rPr>
          <w:lang w:val="en-CA"/>
        </w:rPr>
        <w:t xml:space="preserve"> and the same disadvantage</w:t>
      </w:r>
      <w:r w:rsidR="00961A50" w:rsidRPr="00366942">
        <w:rPr>
          <w:lang w:val="en-CA"/>
        </w:rPr>
        <w:t xml:space="preserve">: </w:t>
      </w:r>
      <w:r w:rsidRPr="00366942">
        <w:rPr>
          <w:lang w:val="en-CA"/>
        </w:rPr>
        <w:t xml:space="preserve">any person receiving outside Quebec insured medical services within the meaning of the </w:t>
      </w:r>
      <w:r w:rsidRPr="00366942">
        <w:rPr>
          <w:i/>
          <w:iCs/>
          <w:lang w:val="en-CA"/>
        </w:rPr>
        <w:t>HIA</w:t>
      </w:r>
      <w:r w:rsidRPr="00366942">
        <w:rPr>
          <w:lang w:val="en-CA"/>
        </w:rPr>
        <w:t xml:space="preserve"> is entitled to the reimbursement or the payment of the expenses they assumed, but up to the limit set by s. 10, para. 4 </w:t>
      </w:r>
      <w:r w:rsidRPr="00366942">
        <w:rPr>
          <w:i/>
          <w:iCs/>
          <w:lang w:val="en-CA"/>
        </w:rPr>
        <w:t>HIA</w:t>
      </w:r>
      <w:r w:rsidRPr="00366942">
        <w:rPr>
          <w:lang w:val="en-CA"/>
        </w:rPr>
        <w:t>, a limit that applies in all cases, whether the service is specific to sex, gender or any other characteristic</w:t>
      </w:r>
      <w:r w:rsidR="00961A50" w:rsidRPr="00366942">
        <w:rPr>
          <w:lang w:val="en-CA"/>
        </w:rPr>
        <w:t xml:space="preserve">. </w:t>
      </w:r>
      <w:r w:rsidRPr="00366942">
        <w:rPr>
          <w:rFonts w:ascii="Helvetica" w:hAnsi="Helvetica" w:cs="Helvetica"/>
          <w:shd w:val="clear" w:color="auto" w:fill="FFFFFF"/>
          <w:lang w:val="en-CA"/>
        </w:rPr>
        <w:t>Within the meaning of s</w:t>
      </w:r>
      <w:r w:rsidR="00961A50" w:rsidRPr="00366942">
        <w:rPr>
          <w:rFonts w:ascii="Helvetica" w:hAnsi="Helvetica" w:cs="Helvetica"/>
          <w:shd w:val="clear" w:color="auto" w:fill="FFFFFF"/>
          <w:lang w:val="en-CA"/>
        </w:rPr>
        <w:t xml:space="preserve">. 15 </w:t>
      </w:r>
      <w:r w:rsidRPr="00366942">
        <w:rPr>
          <w:rFonts w:ascii="Helvetica" w:hAnsi="Helvetica" w:cs="Helvetica"/>
          <w:shd w:val="clear" w:color="auto" w:fill="FFFFFF"/>
          <w:lang w:val="en-CA"/>
        </w:rPr>
        <w:t>of</w:t>
      </w:r>
      <w:r w:rsidR="00961A50" w:rsidRPr="00366942">
        <w:rPr>
          <w:rFonts w:ascii="Helvetica" w:hAnsi="Helvetica" w:cs="Helvetica"/>
          <w:shd w:val="clear" w:color="auto" w:fill="FFFFFF"/>
          <w:lang w:val="en-CA"/>
        </w:rPr>
        <w:t xml:space="preserve"> </w:t>
      </w:r>
      <w:r w:rsidRPr="00366942">
        <w:rPr>
          <w:rFonts w:ascii="Helvetica" w:hAnsi="Helvetica" w:cs="Helvetica"/>
          <w:i/>
          <w:iCs/>
          <w:shd w:val="clear" w:color="auto" w:fill="FFFFFF"/>
          <w:lang w:val="en-CA"/>
        </w:rPr>
        <w:t>Canadian Charter</w:t>
      </w:r>
      <w:r w:rsidR="00961A50" w:rsidRPr="00366942">
        <w:rPr>
          <w:rFonts w:ascii="Helvetica" w:hAnsi="Helvetica" w:cs="Helvetica"/>
          <w:shd w:val="clear" w:color="auto" w:fill="FFFFFF"/>
          <w:lang w:val="en-CA"/>
        </w:rPr>
        <w:t xml:space="preserve">, </w:t>
      </w:r>
      <w:r w:rsidRPr="00366942">
        <w:rPr>
          <w:rFonts w:ascii="Helvetica" w:hAnsi="Helvetica" w:cs="Helvetica"/>
          <w:shd w:val="clear" w:color="auto" w:fill="FFFFFF"/>
          <w:lang w:val="en-CA"/>
        </w:rPr>
        <w:t>and quoting</w:t>
      </w:r>
      <w:r w:rsidR="00961A50" w:rsidRPr="00366942">
        <w:rPr>
          <w:rFonts w:ascii="Helvetica" w:hAnsi="Helvetica" w:cs="Helvetica"/>
          <w:shd w:val="clear" w:color="auto" w:fill="FFFFFF"/>
          <w:lang w:val="en-CA"/>
        </w:rPr>
        <w:t xml:space="preserve"> </w:t>
      </w:r>
      <w:r w:rsidR="00961A50" w:rsidRPr="00366942">
        <w:rPr>
          <w:rFonts w:ascii="Helvetica" w:hAnsi="Helvetica" w:cs="Helvetica"/>
          <w:i/>
          <w:iCs/>
          <w:shd w:val="clear" w:color="auto" w:fill="FFFFFF"/>
          <w:lang w:val="en-CA"/>
        </w:rPr>
        <w:t>Sharma</w:t>
      </w:r>
      <w:r w:rsidR="00961A50" w:rsidRPr="00366942">
        <w:rPr>
          <w:rFonts w:ascii="Helvetica" w:hAnsi="Helvetica" w:cs="Helvetica"/>
          <w:shd w:val="clear" w:color="auto" w:fill="FFFFFF"/>
          <w:lang w:val="en-CA"/>
        </w:rPr>
        <w:t xml:space="preserve">, </w:t>
      </w:r>
      <w:r w:rsidRPr="00366942">
        <w:rPr>
          <w:rFonts w:ascii="Helvetica" w:hAnsi="Helvetica" w:cs="Helvetica"/>
          <w:shd w:val="clear" w:color="auto" w:fill="FFFFFF"/>
          <w:lang w:val="en-CA"/>
        </w:rPr>
        <w:t>s</w:t>
      </w:r>
      <w:r w:rsidR="00961A50" w:rsidRPr="00366942">
        <w:rPr>
          <w:rFonts w:ascii="Helvetica" w:hAnsi="Helvetica" w:cs="Helvetica"/>
          <w:shd w:val="clear" w:color="auto" w:fill="FFFFFF"/>
          <w:lang w:val="en-CA"/>
        </w:rPr>
        <w:t>. 10</w:t>
      </w:r>
      <w:r w:rsidRPr="00366942">
        <w:rPr>
          <w:rFonts w:ascii="Helvetica" w:hAnsi="Helvetica" w:cs="Helvetica"/>
          <w:shd w:val="clear" w:color="auto" w:fill="FFFFFF"/>
          <w:lang w:val="en-CA"/>
        </w:rPr>
        <w:t>, para</w:t>
      </w:r>
      <w:r w:rsidR="00961A50" w:rsidRPr="00366942">
        <w:rPr>
          <w:rFonts w:ascii="Helvetica" w:hAnsi="Helvetica" w:cs="Helvetica"/>
          <w:shd w:val="clear" w:color="auto" w:fill="FFFFFF"/>
          <w:lang w:val="en-CA"/>
        </w:rPr>
        <w:t xml:space="preserve">. 4 </w:t>
      </w:r>
      <w:r w:rsidRPr="00366942">
        <w:rPr>
          <w:rFonts w:ascii="Helvetica" w:hAnsi="Helvetica" w:cs="Helvetica"/>
          <w:i/>
          <w:iCs/>
          <w:shd w:val="clear" w:color="auto" w:fill="FFFFFF"/>
          <w:lang w:val="en-CA"/>
        </w:rPr>
        <w:t>HIA</w:t>
      </w:r>
      <w:r w:rsidR="00961A50" w:rsidRPr="00366942">
        <w:rPr>
          <w:rFonts w:ascii="Helvetica" w:hAnsi="Helvetica" w:cs="Helvetica"/>
          <w:shd w:val="clear" w:color="auto" w:fill="FFFFFF"/>
          <w:lang w:val="en-CA"/>
        </w:rPr>
        <w:t xml:space="preserve"> </w:t>
      </w:r>
      <w:r w:rsidRPr="00366942">
        <w:rPr>
          <w:rFonts w:ascii="Helvetica" w:hAnsi="Helvetica" w:cs="Helvetica"/>
          <w:shd w:val="clear" w:color="auto" w:fill="FFFFFF"/>
          <w:lang w:val="en-CA"/>
        </w:rPr>
        <w:t>does not thus</w:t>
      </w:r>
      <w:r w:rsidR="00961A50" w:rsidRPr="00366942">
        <w:rPr>
          <w:rFonts w:ascii="Helvetica" w:hAnsi="Helvetica" w:cs="Helvetica"/>
          <w:shd w:val="clear" w:color="auto" w:fill="FFFFFF"/>
          <w:lang w:val="en-CA"/>
        </w:rPr>
        <w:t xml:space="preserve"> </w:t>
      </w:r>
      <w:r w:rsidRPr="00366942">
        <w:rPr>
          <w:lang w:val="en-CA"/>
        </w:rPr>
        <w:t>create</w:t>
      </w:r>
      <w:r w:rsidR="00961A50" w:rsidRPr="00366942">
        <w:rPr>
          <w:lang w:val="en-CA"/>
        </w:rPr>
        <w:t xml:space="preserve">, </w:t>
      </w:r>
      <w:r w:rsidR="00667A37" w:rsidRPr="00366942">
        <w:rPr>
          <w:lang w:val="en-CA"/>
        </w:rPr>
        <w:t>“on its face or in its impact”</w:t>
      </w:r>
      <w:r w:rsidR="00961A50" w:rsidRPr="00366942">
        <w:rPr>
          <w:rStyle w:val="Appelnotedebasdep"/>
          <w:lang w:val="en-CA"/>
        </w:rPr>
        <w:footnoteReference w:id="104"/>
      </w:r>
      <w:r w:rsidR="00961A50" w:rsidRPr="00366942">
        <w:rPr>
          <w:lang w:val="en-CA"/>
        </w:rPr>
        <w:t xml:space="preserve">, </w:t>
      </w:r>
      <w:r w:rsidRPr="00366942">
        <w:rPr>
          <w:lang w:val="en-CA"/>
        </w:rPr>
        <w:t>a distinction on the basis of sex</w:t>
      </w:r>
      <w:r w:rsidR="009E30DE" w:rsidRPr="00366942">
        <w:rPr>
          <w:lang w:val="en-CA"/>
        </w:rPr>
        <w:t>, the only ground invoked by the appellant, or any enumerated ground or recognized analogous ground</w:t>
      </w:r>
      <w:r w:rsidR="00961A50" w:rsidRPr="00366942">
        <w:rPr>
          <w:lang w:val="en-CA"/>
        </w:rPr>
        <w:t xml:space="preserve">. </w:t>
      </w:r>
      <w:r w:rsidR="009E30DE" w:rsidRPr="00366942">
        <w:rPr>
          <w:lang w:val="en-CA"/>
        </w:rPr>
        <w:t>To the contrary</w:t>
      </w:r>
      <w:r w:rsidR="00961A50" w:rsidRPr="00366942">
        <w:rPr>
          <w:lang w:val="en-CA"/>
        </w:rPr>
        <w:t xml:space="preserve">, </w:t>
      </w:r>
      <w:r w:rsidR="009E30DE" w:rsidRPr="00366942">
        <w:rPr>
          <w:lang w:val="en-CA"/>
        </w:rPr>
        <w:t xml:space="preserve">no matter how restrictive </w:t>
      </w:r>
      <w:r w:rsidR="00AA736C" w:rsidRPr="00366942">
        <w:rPr>
          <w:lang w:val="en-CA"/>
        </w:rPr>
        <w:t>the law</w:t>
      </w:r>
      <w:r w:rsidR="009E30DE" w:rsidRPr="00366942">
        <w:rPr>
          <w:lang w:val="en-CA"/>
        </w:rPr>
        <w:t xml:space="preserve"> may be</w:t>
      </w:r>
      <w:r w:rsidR="00961A50" w:rsidRPr="00366942">
        <w:rPr>
          <w:lang w:val="en-CA"/>
        </w:rPr>
        <w:t xml:space="preserve">, </w:t>
      </w:r>
      <w:r w:rsidR="009E30DE" w:rsidRPr="00366942">
        <w:rPr>
          <w:lang w:val="en-CA"/>
        </w:rPr>
        <w:t>and quoting this time s.</w:t>
      </w:r>
      <w:r w:rsidR="00961A50" w:rsidRPr="00366942">
        <w:rPr>
          <w:lang w:val="en-CA"/>
        </w:rPr>
        <w:t xml:space="preserve"> 15(1) </w:t>
      </w:r>
      <w:r w:rsidR="009E30DE" w:rsidRPr="00366942">
        <w:rPr>
          <w:lang w:val="en-CA"/>
        </w:rPr>
        <w:t>itself</w:t>
      </w:r>
      <w:r w:rsidR="00961A50" w:rsidRPr="00366942">
        <w:rPr>
          <w:lang w:val="en-CA"/>
        </w:rPr>
        <w:t xml:space="preserve">, </w:t>
      </w:r>
      <w:r w:rsidR="009E30DE" w:rsidRPr="00366942">
        <w:rPr>
          <w:lang w:val="en-CA"/>
        </w:rPr>
        <w:t>“[e]very individual is equal before and under the law and has the right to the equal protection and equal benefit of the law”</w:t>
      </w:r>
      <w:r w:rsidR="00961A50" w:rsidRPr="00366942">
        <w:rPr>
          <w:lang w:val="en-CA"/>
        </w:rPr>
        <w:t xml:space="preserve">, </w:t>
      </w:r>
      <w:r w:rsidR="009E30DE" w:rsidRPr="00366942">
        <w:rPr>
          <w:lang w:val="en-CA"/>
        </w:rPr>
        <w:t xml:space="preserve">such </w:t>
      </w:r>
      <w:r w:rsidR="00961A50" w:rsidRPr="00366942">
        <w:rPr>
          <w:lang w:val="en-CA"/>
        </w:rPr>
        <w:t xml:space="preserve">protection </w:t>
      </w:r>
      <w:r w:rsidR="009E30DE" w:rsidRPr="00366942">
        <w:rPr>
          <w:lang w:val="en-CA"/>
        </w:rPr>
        <w:t>and benefit</w:t>
      </w:r>
      <w:r w:rsidR="00961A50" w:rsidRPr="00366942">
        <w:rPr>
          <w:lang w:val="en-CA"/>
        </w:rPr>
        <w:t xml:space="preserve"> </w:t>
      </w:r>
      <w:r w:rsidR="009E30DE" w:rsidRPr="00366942">
        <w:rPr>
          <w:lang w:val="en-CA"/>
        </w:rPr>
        <w:t xml:space="preserve">being </w:t>
      </w:r>
      <w:r w:rsidR="00C46B38" w:rsidRPr="00366942">
        <w:rPr>
          <w:lang w:val="en-CA"/>
        </w:rPr>
        <w:t xml:space="preserve">intrinsically </w:t>
      </w:r>
      <w:r w:rsidR="009E30DE" w:rsidRPr="00366942">
        <w:rPr>
          <w:lang w:val="en-CA"/>
        </w:rPr>
        <w:t>restricted in this case</w:t>
      </w:r>
      <w:r w:rsidR="00961A50" w:rsidRPr="00366942">
        <w:rPr>
          <w:lang w:val="en-CA"/>
        </w:rPr>
        <w:t>.</w:t>
      </w:r>
    </w:p>
    <w:p w14:paraId="22764F5E" w14:textId="7B9AE683" w:rsidR="00961A50" w:rsidRPr="00366942" w:rsidRDefault="002B7F01" w:rsidP="00961A50">
      <w:pPr>
        <w:pStyle w:val="Paragraphe"/>
        <w:rPr>
          <w:lang w:val="en-CA"/>
        </w:rPr>
      </w:pPr>
      <w:r w:rsidRPr="00366942">
        <w:rPr>
          <w:lang w:val="en-CA"/>
        </w:rPr>
        <w:t>In light of all of this</w:t>
      </w:r>
      <w:r w:rsidR="00AA736C" w:rsidRPr="00366942">
        <w:rPr>
          <w:lang w:val="en-CA"/>
        </w:rPr>
        <w:t xml:space="preserve">, the appellant’s proposition is not persuasive, </w:t>
      </w:r>
      <w:r w:rsidR="00ED1499" w:rsidRPr="00366942">
        <w:rPr>
          <w:lang w:val="en-CA"/>
        </w:rPr>
        <w:t>given that it has not been</w:t>
      </w:r>
      <w:r w:rsidRPr="00366942">
        <w:rPr>
          <w:lang w:val="en-CA"/>
        </w:rPr>
        <w:t xml:space="preserve"> </w:t>
      </w:r>
      <w:r w:rsidR="00ED1499" w:rsidRPr="00366942">
        <w:rPr>
          <w:lang w:val="en-CA"/>
        </w:rPr>
        <w:t>shown</w:t>
      </w:r>
      <w:r w:rsidRPr="00366942">
        <w:rPr>
          <w:lang w:val="en-CA"/>
        </w:rPr>
        <w:t xml:space="preserve"> that</w:t>
      </w:r>
      <w:r w:rsidR="00AA736C" w:rsidRPr="00366942">
        <w:rPr>
          <w:lang w:val="en-CA"/>
        </w:rPr>
        <w:t xml:space="preserve"> women are victims, on the basis of their sex, </w:t>
      </w:r>
      <w:r w:rsidRPr="00366942">
        <w:rPr>
          <w:lang w:val="en-CA"/>
        </w:rPr>
        <w:t xml:space="preserve">of </w:t>
      </w:r>
      <w:r w:rsidR="00AA736C" w:rsidRPr="00366942">
        <w:rPr>
          <w:lang w:val="en-CA"/>
        </w:rPr>
        <w:t xml:space="preserve">a distinction </w:t>
      </w:r>
      <w:r w:rsidRPr="00366942">
        <w:rPr>
          <w:lang w:val="en-CA"/>
        </w:rPr>
        <w:t xml:space="preserve">by being </w:t>
      </w:r>
      <w:r w:rsidRPr="00366942">
        <w:rPr>
          <w:lang w:val="en-CA"/>
        </w:rPr>
        <w:lastRenderedPageBreak/>
        <w:t>deprived of</w:t>
      </w:r>
      <w:r w:rsidR="00AA736C" w:rsidRPr="00366942">
        <w:rPr>
          <w:lang w:val="en-CA"/>
        </w:rPr>
        <w:t xml:space="preserve"> a benefit extended to others (most notably men) or by having to bear a heavier burden</w:t>
      </w:r>
      <w:r w:rsidR="00961A50" w:rsidRPr="00366942">
        <w:rPr>
          <w:lang w:val="en-CA"/>
        </w:rPr>
        <w:t>.</w:t>
      </w:r>
    </w:p>
    <w:p w14:paraId="2FCF8E3C" w14:textId="5B3F8866" w:rsidR="00961A50" w:rsidRPr="00366942" w:rsidRDefault="00ED1499" w:rsidP="00961A50">
      <w:pPr>
        <w:pStyle w:val="Paragraphe"/>
        <w:rPr>
          <w:lang w:val="en-CA"/>
        </w:rPr>
      </w:pPr>
      <w:r w:rsidRPr="00366942">
        <w:rPr>
          <w:lang w:val="en-CA"/>
        </w:rPr>
        <w:t>Finall</w:t>
      </w:r>
      <w:r w:rsidR="002B7F01" w:rsidRPr="00366942">
        <w:rPr>
          <w:lang w:val="en-CA"/>
        </w:rPr>
        <w:t>y, the appellant’s argument</w:t>
      </w:r>
      <w:r w:rsidR="00401C71" w:rsidRPr="00366942">
        <w:rPr>
          <w:lang w:val="en-CA"/>
        </w:rPr>
        <w:t xml:space="preserve"> </w:t>
      </w:r>
      <w:r w:rsidR="002B7F01" w:rsidRPr="00366942">
        <w:rPr>
          <w:lang w:val="en-CA"/>
        </w:rPr>
        <w:t xml:space="preserve">that the mere fact that the cost of pregnancy-related medical services is subject to a cap on reimbursement or payment, when such services are received outside Quebec, necessarily establishes a disadvantageous distinction on the basis of sex, and </w:t>
      </w:r>
      <w:r w:rsidR="00D1770A" w:rsidRPr="00366942">
        <w:rPr>
          <w:lang w:val="en-CA"/>
        </w:rPr>
        <w:t xml:space="preserve">one that </w:t>
      </w:r>
      <w:r w:rsidRPr="00366942">
        <w:rPr>
          <w:lang w:val="en-CA"/>
        </w:rPr>
        <w:t xml:space="preserve">is </w:t>
      </w:r>
      <w:r w:rsidR="002B7F01" w:rsidRPr="00366942">
        <w:rPr>
          <w:lang w:val="en-CA"/>
        </w:rPr>
        <w:t>necessarily disproportionate</w:t>
      </w:r>
      <w:r w:rsidR="00401C71" w:rsidRPr="00366942">
        <w:rPr>
          <w:lang w:val="en-CA"/>
        </w:rPr>
        <w:t xml:space="preserve"> given that only women are liable to receive such services, cannot succeed.</w:t>
      </w:r>
      <w:r w:rsidR="00961A50" w:rsidRPr="00366942">
        <w:rPr>
          <w:rStyle w:val="Appelnotedebasdep"/>
          <w:lang w:val="en-CA"/>
        </w:rPr>
        <w:footnoteReference w:id="105"/>
      </w:r>
      <w:r w:rsidR="00961A50" w:rsidRPr="00366942">
        <w:rPr>
          <w:lang w:val="en-CA"/>
        </w:rPr>
        <w:t xml:space="preserve"> </w:t>
      </w:r>
      <w:r w:rsidR="00401C71" w:rsidRPr="00366942">
        <w:rPr>
          <w:lang w:val="en-CA"/>
        </w:rPr>
        <w:t xml:space="preserve">Indeed, it should be noted that </w:t>
      </w:r>
      <w:r w:rsidR="002A4499" w:rsidRPr="00366942">
        <w:rPr>
          <w:lang w:val="en-CA"/>
        </w:rPr>
        <w:t>some</w:t>
      </w:r>
      <w:r w:rsidR="00401C71" w:rsidRPr="00366942">
        <w:rPr>
          <w:lang w:val="en-CA"/>
        </w:rPr>
        <w:t xml:space="preserve"> </w:t>
      </w:r>
      <w:r w:rsidRPr="00366942">
        <w:rPr>
          <w:lang w:val="en-CA"/>
        </w:rPr>
        <w:t xml:space="preserve">types of </w:t>
      </w:r>
      <w:r w:rsidR="00401C71" w:rsidRPr="00366942">
        <w:rPr>
          <w:lang w:val="en-CA"/>
        </w:rPr>
        <w:t>care specifically</w:t>
      </w:r>
      <w:r w:rsidR="002A4499" w:rsidRPr="00366942">
        <w:rPr>
          <w:lang w:val="en-CA"/>
        </w:rPr>
        <w:t xml:space="preserve"> </w:t>
      </w:r>
      <w:r w:rsidR="007A4CA7" w:rsidRPr="00366942">
        <w:rPr>
          <w:lang w:val="en-CA"/>
        </w:rPr>
        <w:t>concern men</w:t>
      </w:r>
      <w:r w:rsidR="00401C71" w:rsidRPr="00366942">
        <w:rPr>
          <w:lang w:val="en-CA"/>
        </w:rPr>
        <w:t xml:space="preserve"> (vasectomy, prostate or t</w:t>
      </w:r>
      <w:r w:rsidR="002A4499" w:rsidRPr="00366942">
        <w:rPr>
          <w:lang w:val="en-CA"/>
        </w:rPr>
        <w:t>esticular</w:t>
      </w:r>
      <w:r w:rsidR="00401C71" w:rsidRPr="00366942">
        <w:rPr>
          <w:lang w:val="en-CA"/>
        </w:rPr>
        <w:t xml:space="preserve"> cancer treatment</w:t>
      </w:r>
      <w:r w:rsidR="002A4499" w:rsidRPr="00366942">
        <w:rPr>
          <w:lang w:val="en-CA"/>
        </w:rPr>
        <w:t xml:space="preserve">, for example) and </w:t>
      </w:r>
      <w:r w:rsidR="000A6005" w:rsidRPr="00366942">
        <w:rPr>
          <w:lang w:val="en-CA"/>
        </w:rPr>
        <w:t>that they are associated with</w:t>
      </w:r>
      <w:r w:rsidR="002A4499" w:rsidRPr="00366942">
        <w:rPr>
          <w:lang w:val="en-CA"/>
        </w:rPr>
        <w:t xml:space="preserve"> medical services</w:t>
      </w:r>
      <w:r w:rsidR="000A6005" w:rsidRPr="00366942">
        <w:rPr>
          <w:lang w:val="en-CA"/>
        </w:rPr>
        <w:t xml:space="preserve"> that only men receive</w:t>
      </w:r>
      <w:r w:rsidR="002A4499" w:rsidRPr="00366942">
        <w:rPr>
          <w:lang w:val="en-CA"/>
        </w:rPr>
        <w:t xml:space="preserve">: </w:t>
      </w:r>
      <w:r w:rsidR="007A4CA7" w:rsidRPr="00366942">
        <w:rPr>
          <w:lang w:val="en-CA"/>
        </w:rPr>
        <w:t>are we therefore to conclude on this basis</w:t>
      </w:r>
      <w:r w:rsidR="002A4499" w:rsidRPr="00366942">
        <w:rPr>
          <w:lang w:val="en-CA"/>
        </w:rPr>
        <w:t xml:space="preserve"> that the limit imposed by s</w:t>
      </w:r>
      <w:r w:rsidR="00C46B38" w:rsidRPr="00366942">
        <w:rPr>
          <w:lang w:val="en-CA"/>
        </w:rPr>
        <w:t>.</w:t>
      </w:r>
      <w:r w:rsidR="00614092">
        <w:rPr>
          <w:lang w:val="en-CA"/>
        </w:rPr>
        <w:t> </w:t>
      </w:r>
      <w:r w:rsidR="002A4499" w:rsidRPr="00366942">
        <w:rPr>
          <w:lang w:val="en-CA"/>
        </w:rPr>
        <w:t xml:space="preserve">10, para. 4 </w:t>
      </w:r>
      <w:r w:rsidR="002A4499" w:rsidRPr="00366942">
        <w:rPr>
          <w:i/>
          <w:iCs/>
          <w:lang w:val="en-CA"/>
        </w:rPr>
        <w:t>HIA</w:t>
      </w:r>
      <w:r w:rsidR="002A4499" w:rsidRPr="00366942">
        <w:rPr>
          <w:lang w:val="en-CA"/>
        </w:rPr>
        <w:t xml:space="preserve"> creates, as to those services, a distinction, </w:t>
      </w:r>
      <w:r w:rsidR="0090449F" w:rsidRPr="00366942">
        <w:rPr>
          <w:lang w:val="en-CA"/>
        </w:rPr>
        <w:t>likewise</w:t>
      </w:r>
      <w:r w:rsidR="002A4499" w:rsidRPr="00366942">
        <w:rPr>
          <w:lang w:val="en-CA"/>
        </w:rPr>
        <w:t xml:space="preserve"> on the basis of sex, having a disadvantageous and disproportionate impact, but in this case on men? To ask the question, and I say this respectfully, is to answer it</w:t>
      </w:r>
      <w:r w:rsidR="00961A50" w:rsidRPr="00366942">
        <w:rPr>
          <w:lang w:val="en-CA"/>
        </w:rPr>
        <w:t>.</w:t>
      </w:r>
    </w:p>
    <w:p w14:paraId="48905968" w14:textId="2DF17615" w:rsidR="00961A50" w:rsidRPr="00366942" w:rsidRDefault="0090449F" w:rsidP="00961A50">
      <w:pPr>
        <w:pStyle w:val="Paragraphe"/>
        <w:rPr>
          <w:lang w:val="en-CA"/>
        </w:rPr>
      </w:pPr>
      <w:r w:rsidRPr="00366942">
        <w:rPr>
          <w:lang w:val="en-CA"/>
        </w:rPr>
        <w:t>Similarly</w:t>
      </w:r>
      <w:r w:rsidR="00961A50" w:rsidRPr="00366942">
        <w:rPr>
          <w:lang w:val="en-CA"/>
        </w:rPr>
        <w:t xml:space="preserve">, </w:t>
      </w:r>
      <w:r w:rsidR="00393F7C" w:rsidRPr="00366942">
        <w:rPr>
          <w:lang w:val="en-CA"/>
        </w:rPr>
        <w:t>why single-out pregnancy-related services</w:t>
      </w:r>
      <w:r w:rsidR="00961A50" w:rsidRPr="00366942">
        <w:rPr>
          <w:lang w:val="en-CA"/>
        </w:rPr>
        <w:t xml:space="preserve">? </w:t>
      </w:r>
      <w:r w:rsidR="00393F7C" w:rsidRPr="00366942">
        <w:rPr>
          <w:lang w:val="en-CA"/>
        </w:rPr>
        <w:t xml:space="preserve">Certain </w:t>
      </w:r>
      <w:r w:rsidR="004115D8" w:rsidRPr="00366942">
        <w:rPr>
          <w:lang w:val="en-CA"/>
        </w:rPr>
        <w:t>ailment</w:t>
      </w:r>
      <w:r w:rsidR="00393F7C" w:rsidRPr="00366942">
        <w:rPr>
          <w:lang w:val="en-CA"/>
        </w:rPr>
        <w:t>s</w:t>
      </w:r>
      <w:r w:rsidR="00961A50" w:rsidRPr="00366942">
        <w:rPr>
          <w:lang w:val="en-CA"/>
        </w:rPr>
        <w:t xml:space="preserve"> (</w:t>
      </w:r>
      <w:r w:rsidR="00393F7C" w:rsidRPr="00366942">
        <w:rPr>
          <w:lang w:val="en-CA"/>
        </w:rPr>
        <w:t>breast cancer or osteoporosis, to name a few</w:t>
      </w:r>
      <w:r w:rsidR="00961A50" w:rsidRPr="00366942">
        <w:rPr>
          <w:lang w:val="en-CA"/>
        </w:rPr>
        <w:t xml:space="preserve">) </w:t>
      </w:r>
      <w:r w:rsidR="00393F7C" w:rsidRPr="00366942">
        <w:rPr>
          <w:lang w:val="en-CA"/>
        </w:rPr>
        <w:t>affect women much more frequently</w:t>
      </w:r>
      <w:r w:rsidR="00961A50" w:rsidRPr="00366942">
        <w:rPr>
          <w:lang w:val="en-CA"/>
        </w:rPr>
        <w:t xml:space="preserve">. </w:t>
      </w:r>
      <w:r w:rsidR="00393F7C" w:rsidRPr="00366942">
        <w:rPr>
          <w:lang w:val="en-CA"/>
        </w:rPr>
        <w:t>Also, what to make of medical conditions to which certain ethnic minorities are especially prone to</w:t>
      </w:r>
      <w:r w:rsidR="00961A50" w:rsidRPr="00366942">
        <w:rPr>
          <w:lang w:val="en-CA"/>
        </w:rPr>
        <w:t>?</w:t>
      </w:r>
      <w:r w:rsidR="004D0E1F" w:rsidRPr="00366942">
        <w:rPr>
          <w:lang w:val="en-CA"/>
        </w:rPr>
        <w:t> </w:t>
      </w:r>
      <w:r w:rsidR="00393F7C" w:rsidRPr="00366942">
        <w:rPr>
          <w:lang w:val="en-CA"/>
        </w:rPr>
        <w:t>How should persons living with a physical or mental disability be treated</w:t>
      </w:r>
      <w:r w:rsidR="00961A50" w:rsidRPr="00366942">
        <w:rPr>
          <w:lang w:val="en-CA"/>
        </w:rPr>
        <w:t>?</w:t>
      </w:r>
    </w:p>
    <w:p w14:paraId="64C2BACE" w14:textId="703443F7" w:rsidR="00961A50" w:rsidRPr="00366942" w:rsidRDefault="00393F7C" w:rsidP="00961A50">
      <w:pPr>
        <w:pStyle w:val="Paragraphe"/>
        <w:rPr>
          <w:lang w:val="en-CA"/>
        </w:rPr>
      </w:pPr>
      <w:r w:rsidRPr="00366942">
        <w:rPr>
          <w:lang w:val="en-CA"/>
        </w:rPr>
        <w:t xml:space="preserve">In fact, were we to accept the appellant’s argument on that point, </w:t>
      </w:r>
      <w:r w:rsidR="00E97D06" w:rsidRPr="00366942">
        <w:rPr>
          <w:lang w:val="en-CA"/>
        </w:rPr>
        <w:t>we would have to conclude that all groups protected by s.</w:t>
      </w:r>
      <w:r w:rsidR="00961A50" w:rsidRPr="00366942">
        <w:rPr>
          <w:lang w:val="en-CA"/>
        </w:rPr>
        <w:t xml:space="preserve"> 15 </w:t>
      </w:r>
      <w:r w:rsidR="00E97D06" w:rsidRPr="00366942">
        <w:rPr>
          <w:lang w:val="en-CA"/>
        </w:rPr>
        <w:t>of the</w:t>
      </w:r>
      <w:r w:rsidR="00961A50" w:rsidRPr="00366942">
        <w:rPr>
          <w:lang w:val="en-CA"/>
        </w:rPr>
        <w:t xml:space="preserve"> </w:t>
      </w:r>
      <w:r w:rsidR="00E97D06" w:rsidRPr="00366942">
        <w:rPr>
          <w:i/>
          <w:iCs/>
          <w:lang w:val="en-CA"/>
        </w:rPr>
        <w:t>Canadian Charter</w:t>
      </w:r>
      <w:r w:rsidR="00961A50" w:rsidRPr="00366942">
        <w:rPr>
          <w:lang w:val="en-CA"/>
        </w:rPr>
        <w:t xml:space="preserve">, </w:t>
      </w:r>
      <w:r w:rsidR="00E97D06" w:rsidRPr="00366942">
        <w:rPr>
          <w:lang w:val="en-CA"/>
        </w:rPr>
        <w:t xml:space="preserve">and that are protected precisely because they are traditionally disadvantaged or marginalized and subject to discrimination, suffer a disadvantage by virtue of s. 10, para. 4 </w:t>
      </w:r>
      <w:r w:rsidR="00E97D06" w:rsidRPr="00366942">
        <w:rPr>
          <w:i/>
          <w:iCs/>
          <w:lang w:val="en-CA"/>
        </w:rPr>
        <w:t>HIA</w:t>
      </w:r>
      <w:r w:rsidR="00E97D06" w:rsidRPr="00366942">
        <w:rPr>
          <w:lang w:val="en-CA"/>
        </w:rPr>
        <w:t>, which</w:t>
      </w:r>
      <w:r w:rsidR="00961A50" w:rsidRPr="00366942">
        <w:rPr>
          <w:lang w:val="en-CA"/>
        </w:rPr>
        <w:t xml:space="preserve">, </w:t>
      </w:r>
      <w:r w:rsidR="00E97D06" w:rsidRPr="00366942">
        <w:rPr>
          <w:lang w:val="en-CA"/>
        </w:rPr>
        <w:t>by imposing a cap on the reimbursement or payment of the costs incurred outside Quebec, exacerbates their precariousness</w:t>
      </w:r>
      <w:r w:rsidR="00302243" w:rsidRPr="00366942">
        <w:rPr>
          <w:lang w:val="en-CA"/>
        </w:rPr>
        <w:t>,</w:t>
      </w:r>
      <w:r w:rsidR="00E97D06" w:rsidRPr="00366942">
        <w:rPr>
          <w:lang w:val="en-CA"/>
        </w:rPr>
        <w:t xml:space="preserve"> and affects their socioeconomic integration by </w:t>
      </w:r>
      <w:r w:rsidR="00302243" w:rsidRPr="00366942">
        <w:rPr>
          <w:lang w:val="en-CA"/>
        </w:rPr>
        <w:t>impeding</w:t>
      </w:r>
      <w:r w:rsidR="00E97D06" w:rsidRPr="00366942">
        <w:rPr>
          <w:lang w:val="en-CA"/>
        </w:rPr>
        <w:t xml:space="preserve"> their access to healthcare</w:t>
      </w:r>
      <w:r w:rsidR="00961A50" w:rsidRPr="00366942">
        <w:rPr>
          <w:lang w:val="en-CA"/>
        </w:rPr>
        <w:t xml:space="preserve">. </w:t>
      </w:r>
      <w:r w:rsidR="004115D8" w:rsidRPr="00366942">
        <w:rPr>
          <w:lang w:val="en-CA"/>
        </w:rPr>
        <w:t>Ultimately</w:t>
      </w:r>
      <w:r w:rsidR="00302243" w:rsidRPr="00366942">
        <w:rPr>
          <w:lang w:val="en-CA"/>
        </w:rPr>
        <w:t>, only men not belonging to a</w:t>
      </w:r>
      <w:r w:rsidR="004115D8" w:rsidRPr="00366942">
        <w:rPr>
          <w:lang w:val="en-CA"/>
        </w:rPr>
        <w:t>n</w:t>
      </w:r>
      <w:r w:rsidR="00302243" w:rsidRPr="00366942">
        <w:rPr>
          <w:lang w:val="en-CA"/>
        </w:rPr>
        <w:t>y protected group would be subject to the limit set by s</w:t>
      </w:r>
      <w:r w:rsidR="00961A50" w:rsidRPr="00366942">
        <w:rPr>
          <w:lang w:val="en-CA"/>
        </w:rPr>
        <w:t>. 10</w:t>
      </w:r>
      <w:r w:rsidR="00302243" w:rsidRPr="00366942">
        <w:rPr>
          <w:lang w:val="en-CA"/>
        </w:rPr>
        <w:t>, para</w:t>
      </w:r>
      <w:r w:rsidR="00961A50" w:rsidRPr="00366942">
        <w:rPr>
          <w:lang w:val="en-CA"/>
        </w:rPr>
        <w:t>. 4 </w:t>
      </w:r>
      <w:r w:rsidR="00302243" w:rsidRPr="00366942">
        <w:rPr>
          <w:i/>
          <w:iCs/>
          <w:lang w:val="en-CA"/>
        </w:rPr>
        <w:t>HIA.</w:t>
      </w:r>
    </w:p>
    <w:p w14:paraId="1D854A61" w14:textId="4FD8E956" w:rsidR="00961A50" w:rsidRPr="00366942" w:rsidRDefault="00302243" w:rsidP="00961A50">
      <w:pPr>
        <w:pStyle w:val="Paragraphe"/>
        <w:rPr>
          <w:lang w:val="en-CA"/>
        </w:rPr>
      </w:pPr>
      <w:r w:rsidRPr="00366942">
        <w:rPr>
          <w:lang w:val="en-CA"/>
        </w:rPr>
        <w:t xml:space="preserve">The argument cannot be sustained and does not </w:t>
      </w:r>
      <w:r w:rsidR="00F20424" w:rsidRPr="00366942">
        <w:rPr>
          <w:lang w:val="en-CA"/>
        </w:rPr>
        <w:t>support a finding</w:t>
      </w:r>
      <w:r w:rsidR="008F38AC" w:rsidRPr="00366942">
        <w:rPr>
          <w:lang w:val="en-CA"/>
        </w:rPr>
        <w:t xml:space="preserve"> that there exists a </w:t>
      </w:r>
      <w:r w:rsidRPr="00366942">
        <w:rPr>
          <w:lang w:val="en-CA"/>
        </w:rPr>
        <w:t>distinction based on a prohibited ground, in this case, sex</w:t>
      </w:r>
      <w:r w:rsidR="00961A50" w:rsidRPr="00366942">
        <w:rPr>
          <w:lang w:val="en-CA"/>
        </w:rPr>
        <w:t xml:space="preserve">. </w:t>
      </w:r>
      <w:r w:rsidR="008F38AC" w:rsidRPr="00366942">
        <w:rPr>
          <w:lang w:val="en-CA"/>
        </w:rPr>
        <w:t>That argument, which infers the disadvantage of the prohibited ground of distinction, would, rather</w:t>
      </w:r>
      <w:r w:rsidR="00F20424" w:rsidRPr="00366942">
        <w:rPr>
          <w:lang w:val="en-CA"/>
        </w:rPr>
        <w:t>,</w:t>
      </w:r>
      <w:r w:rsidR="008F38AC" w:rsidRPr="00366942">
        <w:rPr>
          <w:lang w:val="en-CA"/>
        </w:rPr>
        <w:t xml:space="preserve"> </w:t>
      </w:r>
      <w:r w:rsidR="00F20424" w:rsidRPr="00366942">
        <w:rPr>
          <w:lang w:val="en-CA"/>
        </w:rPr>
        <w:t>provide</w:t>
      </w:r>
      <w:r w:rsidR="008F38AC" w:rsidRPr="00366942">
        <w:rPr>
          <w:lang w:val="en-CA"/>
        </w:rPr>
        <w:t xml:space="preserve"> to any person belonging to a protected group under s. 15 a benefit (that of a full reimbursement of the cost of medical services outside Qu</w:t>
      </w:r>
      <w:r w:rsidR="00F20424" w:rsidRPr="00366942">
        <w:rPr>
          <w:lang w:val="en-CA"/>
        </w:rPr>
        <w:t>e</w:t>
      </w:r>
      <w:r w:rsidR="008F38AC" w:rsidRPr="00366942">
        <w:rPr>
          <w:lang w:val="en-CA"/>
        </w:rPr>
        <w:t xml:space="preserve">bec) which would not be </w:t>
      </w:r>
      <w:r w:rsidR="004115D8" w:rsidRPr="00366942">
        <w:rPr>
          <w:lang w:val="en-CA"/>
        </w:rPr>
        <w:t>available</w:t>
      </w:r>
      <w:r w:rsidR="008F38AC" w:rsidRPr="00366942">
        <w:rPr>
          <w:lang w:val="en-CA"/>
        </w:rPr>
        <w:t xml:space="preserve"> to other insured persons under the </w:t>
      </w:r>
      <w:r w:rsidR="008F38AC" w:rsidRPr="00366942">
        <w:rPr>
          <w:i/>
          <w:iCs/>
          <w:lang w:val="en-CA"/>
        </w:rPr>
        <w:t>HIA</w:t>
      </w:r>
      <w:r w:rsidR="008F38AC" w:rsidRPr="00366942">
        <w:rPr>
          <w:lang w:val="en-CA"/>
        </w:rPr>
        <w:t xml:space="preserve">. </w:t>
      </w:r>
      <w:r w:rsidR="00F20424" w:rsidRPr="00366942">
        <w:rPr>
          <w:lang w:val="en-CA"/>
        </w:rPr>
        <w:t>I cannot accept</w:t>
      </w:r>
      <w:r w:rsidR="008F38AC" w:rsidRPr="00366942">
        <w:rPr>
          <w:lang w:val="en-CA"/>
        </w:rPr>
        <w:t xml:space="preserve"> such</w:t>
      </w:r>
      <w:r w:rsidR="00F20424" w:rsidRPr="00366942">
        <w:rPr>
          <w:lang w:val="en-CA"/>
        </w:rPr>
        <w:t xml:space="preserve"> </w:t>
      </w:r>
      <w:r w:rsidR="008F38AC" w:rsidRPr="00366942">
        <w:rPr>
          <w:lang w:val="en-CA"/>
        </w:rPr>
        <w:t>reasoning, at least in the case at bar</w:t>
      </w:r>
      <w:r w:rsidR="00961A50" w:rsidRPr="00366942">
        <w:rPr>
          <w:lang w:val="en-CA"/>
        </w:rPr>
        <w:t>.</w:t>
      </w:r>
    </w:p>
    <w:p w14:paraId="1D83210A" w14:textId="6F05829D" w:rsidR="00961A50" w:rsidRPr="00366942" w:rsidRDefault="00F20424" w:rsidP="00961A50">
      <w:pPr>
        <w:pStyle w:val="Paragraphe"/>
        <w:rPr>
          <w:lang w:val="en-CA"/>
        </w:rPr>
      </w:pPr>
      <w:r w:rsidRPr="00366942">
        <w:rPr>
          <w:lang w:val="en-CA"/>
        </w:rPr>
        <w:lastRenderedPageBreak/>
        <w:t xml:space="preserve">One may perhaps wish that the reimbursement or payment scheme provided in ss. 10 and 11 </w:t>
      </w:r>
      <w:r w:rsidRPr="00366942">
        <w:rPr>
          <w:i/>
          <w:iCs/>
          <w:lang w:val="en-CA"/>
        </w:rPr>
        <w:t>HIA</w:t>
      </w:r>
      <w:r w:rsidRPr="00366942">
        <w:rPr>
          <w:lang w:val="en-CA"/>
        </w:rPr>
        <w:t xml:space="preserve"> </w:t>
      </w:r>
      <w:r w:rsidR="008864DA" w:rsidRPr="00366942">
        <w:rPr>
          <w:lang w:val="en-CA"/>
        </w:rPr>
        <w:t>was</w:t>
      </w:r>
      <w:r w:rsidRPr="00366942">
        <w:rPr>
          <w:lang w:val="en-CA"/>
        </w:rPr>
        <w:t xml:space="preserve"> more generous</w:t>
      </w:r>
      <w:r w:rsidR="00961A50" w:rsidRPr="00366942">
        <w:rPr>
          <w:lang w:val="en-CA"/>
        </w:rPr>
        <w:t xml:space="preserve"> (</w:t>
      </w:r>
      <w:bookmarkStart w:id="48" w:name="_Ref173508901"/>
      <w:r w:rsidRPr="00366942">
        <w:rPr>
          <w:lang w:val="en-CA"/>
        </w:rPr>
        <w:t>particularly when the services are received elsewhere in Canada.)</w:t>
      </w:r>
      <w:r w:rsidR="00961A50" w:rsidRPr="00366942">
        <w:rPr>
          <w:rStyle w:val="Appelnotedebasdep"/>
          <w:lang w:val="en-CA"/>
        </w:rPr>
        <w:footnoteReference w:id="106"/>
      </w:r>
      <w:bookmarkEnd w:id="48"/>
      <w:r w:rsidR="00961A50" w:rsidRPr="00366942">
        <w:rPr>
          <w:lang w:val="en-CA"/>
        </w:rPr>
        <w:t xml:space="preserve"> </w:t>
      </w:r>
      <w:r w:rsidRPr="00366942">
        <w:rPr>
          <w:lang w:val="en-CA"/>
        </w:rPr>
        <w:t xml:space="preserve">That, however, does not change the fact that the impugned </w:t>
      </w:r>
      <w:r w:rsidR="008864DA" w:rsidRPr="00366942">
        <w:rPr>
          <w:lang w:val="en-CA"/>
        </w:rPr>
        <w:t>statutory</w:t>
      </w:r>
      <w:r w:rsidRPr="00366942">
        <w:rPr>
          <w:lang w:val="en-CA"/>
        </w:rPr>
        <w:t xml:space="preserve"> provision creates no distinction, whether directly or by adverse impact, between members of a protected group, in this case women, for the purposes of care related to the</w:t>
      </w:r>
      <w:r w:rsidR="008864DA" w:rsidRPr="00366942">
        <w:rPr>
          <w:lang w:val="en-CA"/>
        </w:rPr>
        <w:t>ir</w:t>
      </w:r>
      <w:r w:rsidRPr="00366942">
        <w:rPr>
          <w:lang w:val="en-CA"/>
        </w:rPr>
        <w:t xml:space="preserve"> reproductive health</w:t>
      </w:r>
      <w:r w:rsidR="00961A50" w:rsidRPr="00366942">
        <w:rPr>
          <w:lang w:val="en-CA"/>
        </w:rPr>
        <w:t xml:space="preserve"> (</w:t>
      </w:r>
      <w:r w:rsidRPr="00366942">
        <w:rPr>
          <w:lang w:val="en-CA"/>
        </w:rPr>
        <w:t>including VTP</w:t>
      </w:r>
      <w:r w:rsidR="00961A50" w:rsidRPr="00366942">
        <w:rPr>
          <w:lang w:val="en-CA"/>
        </w:rPr>
        <w:t xml:space="preserve">), </w:t>
      </w:r>
      <w:r w:rsidRPr="00366942">
        <w:rPr>
          <w:lang w:val="en-CA"/>
        </w:rPr>
        <w:t>and members of any other comparator group</w:t>
      </w:r>
      <w:r w:rsidR="008864DA" w:rsidRPr="00366942">
        <w:rPr>
          <w:lang w:val="en-CA"/>
        </w:rPr>
        <w:t>, howsoever composed</w:t>
      </w:r>
      <w:r w:rsidR="00961A50" w:rsidRPr="00366942">
        <w:rPr>
          <w:lang w:val="en-CA"/>
        </w:rPr>
        <w:t xml:space="preserve"> (</w:t>
      </w:r>
      <w:r w:rsidR="008864DA" w:rsidRPr="00366942">
        <w:rPr>
          <w:lang w:val="en-CA"/>
        </w:rPr>
        <w:t>men, members of another protected group, the general population</w:t>
      </w:r>
      <w:r w:rsidR="00961A50" w:rsidRPr="00366942">
        <w:rPr>
          <w:lang w:val="en-CA"/>
        </w:rPr>
        <w:t>).</w:t>
      </w:r>
    </w:p>
    <w:p w14:paraId="4A974025" w14:textId="26EC7B15" w:rsidR="00961A50" w:rsidRPr="00366942" w:rsidRDefault="00DC0D83" w:rsidP="00961A50">
      <w:pPr>
        <w:pStyle w:val="Paragraphe"/>
        <w:rPr>
          <w:lang w:val="en-CA"/>
        </w:rPr>
      </w:pPr>
      <w:r w:rsidRPr="00366942">
        <w:rPr>
          <w:lang w:val="en-CA"/>
        </w:rPr>
        <w:lastRenderedPageBreak/>
        <w:t xml:space="preserve">Obviously, things would be quite different if pregnancy-related care generally and VTP </w:t>
      </w:r>
      <w:r w:rsidR="007F2033" w:rsidRPr="00366942">
        <w:rPr>
          <w:lang w:val="en-CA"/>
        </w:rPr>
        <w:t>specifically</w:t>
      </w:r>
      <w:r w:rsidRPr="00366942">
        <w:rPr>
          <w:lang w:val="en-CA"/>
        </w:rPr>
        <w:t xml:space="preserve"> were excluded from the </w:t>
      </w:r>
      <w:r w:rsidR="00761385" w:rsidRPr="00366942">
        <w:rPr>
          <w:lang w:val="en-CA"/>
        </w:rPr>
        <w:t xml:space="preserve">insured </w:t>
      </w:r>
      <w:r w:rsidRPr="00366942">
        <w:rPr>
          <w:lang w:val="en-CA"/>
        </w:rPr>
        <w:t xml:space="preserve">services </w:t>
      </w:r>
      <w:r w:rsidR="00492C7C" w:rsidRPr="00366942">
        <w:rPr>
          <w:lang w:val="en-CA"/>
        </w:rPr>
        <w:t>under the</w:t>
      </w:r>
      <w:r w:rsidR="00961A50" w:rsidRPr="00366942">
        <w:rPr>
          <w:lang w:val="en-CA"/>
        </w:rPr>
        <w:t xml:space="preserve"> </w:t>
      </w:r>
      <w:r w:rsidR="00492C7C" w:rsidRPr="00366942">
        <w:rPr>
          <w:i/>
          <w:iCs/>
          <w:lang w:val="en-CA"/>
        </w:rPr>
        <w:t>HIA</w:t>
      </w:r>
      <w:r w:rsidR="00961A50" w:rsidRPr="00366942">
        <w:rPr>
          <w:i/>
          <w:iCs/>
          <w:lang w:val="en-CA"/>
        </w:rPr>
        <w:t xml:space="preserve"> </w:t>
      </w:r>
      <w:r w:rsidR="00492C7C" w:rsidRPr="00366942">
        <w:rPr>
          <w:lang w:val="en-CA"/>
        </w:rPr>
        <w:t xml:space="preserve">or if they were completely or partially excluded from the reimbursement or payment scheme provided in ss. </w:t>
      </w:r>
      <w:r w:rsidR="00961A50" w:rsidRPr="00366942">
        <w:rPr>
          <w:lang w:val="en-CA"/>
        </w:rPr>
        <w:t xml:space="preserve">10 </w:t>
      </w:r>
      <w:r w:rsidR="00492C7C" w:rsidRPr="00366942">
        <w:rPr>
          <w:lang w:val="en-CA"/>
        </w:rPr>
        <w:t>and</w:t>
      </w:r>
      <w:r w:rsidR="00961A50" w:rsidRPr="00366942">
        <w:rPr>
          <w:lang w:val="en-CA"/>
        </w:rPr>
        <w:t xml:space="preserve"> 11 </w:t>
      </w:r>
      <w:r w:rsidR="00492C7C" w:rsidRPr="00366942">
        <w:rPr>
          <w:i/>
          <w:iCs/>
          <w:lang w:val="en-CA"/>
        </w:rPr>
        <w:t>HIA</w:t>
      </w:r>
      <w:r w:rsidR="007F2033" w:rsidRPr="00366942">
        <w:rPr>
          <w:lang w:val="en-CA"/>
        </w:rPr>
        <w:t>,</w:t>
      </w:r>
      <w:r w:rsidR="00961A50" w:rsidRPr="00366942">
        <w:rPr>
          <w:lang w:val="en-CA"/>
        </w:rPr>
        <w:t xml:space="preserve"> </w:t>
      </w:r>
      <w:r w:rsidR="00492C7C" w:rsidRPr="00366942">
        <w:rPr>
          <w:lang w:val="en-CA"/>
        </w:rPr>
        <w:t xml:space="preserve">or again if it </w:t>
      </w:r>
      <w:r w:rsidR="006B0C51" w:rsidRPr="00366942">
        <w:rPr>
          <w:lang w:val="en-CA"/>
        </w:rPr>
        <w:t>were</w:t>
      </w:r>
      <w:r w:rsidR="00492C7C" w:rsidRPr="00366942">
        <w:rPr>
          <w:lang w:val="en-CA"/>
        </w:rPr>
        <w:t xml:space="preserve"> provided, for that type of services, </w:t>
      </w:r>
      <w:r w:rsidR="00761385" w:rsidRPr="00366942">
        <w:rPr>
          <w:lang w:val="en-CA"/>
        </w:rPr>
        <w:t>that</w:t>
      </w:r>
      <w:r w:rsidR="00492C7C" w:rsidRPr="00366942">
        <w:rPr>
          <w:lang w:val="en-CA"/>
        </w:rPr>
        <w:t xml:space="preserve"> reimbursement or payment </w:t>
      </w:r>
      <w:r w:rsidR="00761385" w:rsidRPr="00366942">
        <w:rPr>
          <w:lang w:val="en-CA"/>
        </w:rPr>
        <w:t>would be at</w:t>
      </w:r>
      <w:r w:rsidR="00492C7C" w:rsidRPr="00366942">
        <w:rPr>
          <w:lang w:val="en-CA"/>
        </w:rPr>
        <w:t xml:space="preserve"> a level lower than that to which other insured persons were entitled, most notably men (since what is alleged here is discrimination on the basis of sex), or, in the case of VTP, </w:t>
      </w:r>
      <w:r w:rsidR="00761385" w:rsidRPr="00366942">
        <w:rPr>
          <w:lang w:val="en-CA"/>
        </w:rPr>
        <w:t>that</w:t>
      </w:r>
      <w:r w:rsidR="00492C7C" w:rsidRPr="00366942">
        <w:rPr>
          <w:lang w:val="en-CA"/>
        </w:rPr>
        <w:t xml:space="preserve"> the reimbursement or payment was conditional </w:t>
      </w:r>
      <w:r w:rsidR="00761385" w:rsidRPr="00366942">
        <w:rPr>
          <w:lang w:val="en-CA"/>
        </w:rPr>
        <w:t xml:space="preserve">on </w:t>
      </w:r>
      <w:r w:rsidR="00492C7C" w:rsidRPr="00366942">
        <w:rPr>
          <w:lang w:val="en-CA"/>
        </w:rPr>
        <w:t>the procedure being provided in a public hospital</w:t>
      </w:r>
      <w:r w:rsidR="00AD08AB" w:rsidRPr="00366942">
        <w:rPr>
          <w:lang w:val="en-CA"/>
        </w:rPr>
        <w:t xml:space="preserve"> only</w:t>
      </w:r>
      <w:r w:rsidR="00492C7C" w:rsidRPr="00366942">
        <w:rPr>
          <w:lang w:val="en-CA"/>
        </w:rPr>
        <w:t xml:space="preserve"> o</w:t>
      </w:r>
      <w:r w:rsidR="00761385" w:rsidRPr="00366942">
        <w:rPr>
          <w:lang w:val="en-CA"/>
        </w:rPr>
        <w:t>r</w:t>
      </w:r>
      <w:r w:rsidR="00492C7C" w:rsidRPr="00366942">
        <w:rPr>
          <w:lang w:val="en-CA"/>
        </w:rPr>
        <w:t xml:space="preserve"> prior to a certain date or subject to the Board’s prior approval or any other condition</w:t>
      </w:r>
      <w:r w:rsidR="00CF778D" w:rsidRPr="00366942">
        <w:rPr>
          <w:lang w:val="en-CA"/>
        </w:rPr>
        <w:t xml:space="preserve"> not imposed upon other insured persons</w:t>
      </w:r>
      <w:r w:rsidR="00492C7C" w:rsidRPr="00366942">
        <w:rPr>
          <w:lang w:val="en-CA"/>
        </w:rPr>
        <w:t>.</w:t>
      </w:r>
      <w:r w:rsidR="00961A50" w:rsidRPr="00366942">
        <w:rPr>
          <w:lang w:val="en-CA"/>
        </w:rPr>
        <w:t xml:space="preserve"> </w:t>
      </w:r>
      <w:r w:rsidR="00492C7C" w:rsidRPr="00366942">
        <w:rPr>
          <w:lang w:val="en-CA"/>
        </w:rPr>
        <w:t>But such is not the case</w:t>
      </w:r>
      <w:r w:rsidR="00961A50" w:rsidRPr="00366942">
        <w:rPr>
          <w:lang w:val="en-CA"/>
        </w:rPr>
        <w:t>.</w:t>
      </w:r>
    </w:p>
    <w:p w14:paraId="2784982B" w14:textId="7673107E" w:rsidR="00961A50" w:rsidRPr="00366942" w:rsidRDefault="00960B47" w:rsidP="00961A50">
      <w:pPr>
        <w:pStyle w:val="Paragraphe"/>
        <w:rPr>
          <w:lang w:val="en-CA"/>
        </w:rPr>
      </w:pPr>
      <w:r w:rsidRPr="00366942">
        <w:rPr>
          <w:lang w:val="en-CA"/>
        </w:rPr>
        <w:t>Consequently</w:t>
      </w:r>
      <w:r w:rsidR="00961A50" w:rsidRPr="00366942">
        <w:rPr>
          <w:lang w:val="en-CA"/>
        </w:rPr>
        <w:t xml:space="preserve">, </w:t>
      </w:r>
      <w:r w:rsidRPr="00366942">
        <w:rPr>
          <w:lang w:val="en-CA"/>
        </w:rPr>
        <w:t>and as the</w:t>
      </w:r>
      <w:r w:rsidR="00961A50" w:rsidRPr="00366942">
        <w:rPr>
          <w:lang w:val="en-CA"/>
        </w:rPr>
        <w:t xml:space="preserve"> TAQ </w:t>
      </w:r>
      <w:r w:rsidRPr="00366942">
        <w:rPr>
          <w:lang w:val="en-CA"/>
        </w:rPr>
        <w:t xml:space="preserve">had </w:t>
      </w:r>
      <w:r w:rsidR="002C48A1" w:rsidRPr="00366942">
        <w:rPr>
          <w:lang w:val="en-CA"/>
        </w:rPr>
        <w:t>correctly</w:t>
      </w:r>
      <w:r w:rsidRPr="00366942">
        <w:rPr>
          <w:lang w:val="en-CA"/>
        </w:rPr>
        <w:t xml:space="preserve"> found in its March 4, 2020</w:t>
      </w:r>
      <w:r w:rsidR="002C48A1" w:rsidRPr="00366942">
        <w:rPr>
          <w:lang w:val="en-CA"/>
        </w:rPr>
        <w:t xml:space="preserve"> decision,</w:t>
      </w:r>
      <w:r w:rsidRPr="00366942">
        <w:rPr>
          <w:lang w:val="en-CA"/>
        </w:rPr>
        <w:t xml:space="preserve"> the appellant’s demonstration does not satisfy </w:t>
      </w:r>
      <w:r w:rsidR="00690E77" w:rsidRPr="00366942">
        <w:rPr>
          <w:lang w:val="en-CA"/>
        </w:rPr>
        <w:t>stage one</w:t>
      </w:r>
      <w:r w:rsidRPr="00366942">
        <w:rPr>
          <w:lang w:val="en-CA"/>
        </w:rPr>
        <w:t xml:space="preserve"> of the two-step test governing the application of s</w:t>
      </w:r>
      <w:r w:rsidR="00961A50" w:rsidRPr="00366942">
        <w:rPr>
          <w:lang w:val="en-CA"/>
        </w:rPr>
        <w:t xml:space="preserve">. 15 </w:t>
      </w:r>
      <w:r w:rsidRPr="00366942">
        <w:rPr>
          <w:lang w:val="en-CA"/>
        </w:rPr>
        <w:t>of the</w:t>
      </w:r>
      <w:r w:rsidR="00961A50" w:rsidRPr="00366942">
        <w:rPr>
          <w:lang w:val="en-CA"/>
        </w:rPr>
        <w:t xml:space="preserve"> </w:t>
      </w:r>
      <w:r w:rsidRPr="00366942">
        <w:rPr>
          <w:i/>
          <w:iCs/>
          <w:lang w:val="en-CA"/>
        </w:rPr>
        <w:t>Canadian Charter</w:t>
      </w:r>
      <w:r w:rsidR="00961A50" w:rsidRPr="00366942">
        <w:rPr>
          <w:lang w:val="en-CA"/>
        </w:rPr>
        <w:t xml:space="preserve">: </w:t>
      </w:r>
      <w:r w:rsidRPr="00366942">
        <w:rPr>
          <w:lang w:val="en-CA"/>
        </w:rPr>
        <w:t xml:space="preserve">having </w:t>
      </w:r>
      <w:r w:rsidR="007F2033" w:rsidRPr="00366942">
        <w:rPr>
          <w:lang w:val="en-CA"/>
        </w:rPr>
        <w:t>disregarded</w:t>
      </w:r>
      <w:r w:rsidRPr="00366942">
        <w:rPr>
          <w:lang w:val="en-CA"/>
        </w:rPr>
        <w:t xml:space="preserve"> the required comparative exercise, she failed to establish the existence of a </w:t>
      </w:r>
      <w:r w:rsidRPr="00366942">
        <w:rPr>
          <w:i/>
          <w:iCs/>
          <w:lang w:val="en-CA"/>
        </w:rPr>
        <w:t>differential</w:t>
      </w:r>
      <w:r w:rsidRPr="00366942">
        <w:rPr>
          <w:lang w:val="en-CA"/>
        </w:rPr>
        <w:t xml:space="preserve"> treatment</w:t>
      </w:r>
      <w:r w:rsidR="00961A50" w:rsidRPr="00366942">
        <w:rPr>
          <w:lang w:val="en-CA"/>
        </w:rPr>
        <w:t xml:space="preserve"> </w:t>
      </w:r>
      <w:r w:rsidRPr="00366942">
        <w:rPr>
          <w:i/>
          <w:iCs/>
          <w:lang w:val="en-CA"/>
        </w:rPr>
        <w:t>associated with sex</w:t>
      </w:r>
      <w:r w:rsidR="00961A50" w:rsidRPr="00366942">
        <w:rPr>
          <w:lang w:val="en-CA"/>
        </w:rPr>
        <w:t xml:space="preserve">. </w:t>
      </w:r>
      <w:r w:rsidRPr="00366942">
        <w:rPr>
          <w:lang w:val="en-CA"/>
        </w:rPr>
        <w:t>Section</w:t>
      </w:r>
      <w:r w:rsidR="00961A50" w:rsidRPr="00366942">
        <w:rPr>
          <w:lang w:val="en-CA"/>
        </w:rPr>
        <w:t> 10</w:t>
      </w:r>
      <w:r w:rsidRPr="00366942">
        <w:rPr>
          <w:lang w:val="en-CA"/>
        </w:rPr>
        <w:t>, para</w:t>
      </w:r>
      <w:r w:rsidR="00961A50" w:rsidRPr="00366942">
        <w:rPr>
          <w:lang w:val="en-CA"/>
        </w:rPr>
        <w:t>. 4 </w:t>
      </w:r>
      <w:r w:rsidRPr="00366942">
        <w:rPr>
          <w:i/>
          <w:iCs/>
          <w:lang w:val="en-CA"/>
        </w:rPr>
        <w:t>HIA</w:t>
      </w:r>
      <w:r w:rsidR="00961A50" w:rsidRPr="00366942">
        <w:rPr>
          <w:lang w:val="en-CA"/>
        </w:rPr>
        <w:t xml:space="preserve"> </w:t>
      </w:r>
      <w:r w:rsidRPr="00366942">
        <w:rPr>
          <w:lang w:val="en-CA"/>
        </w:rPr>
        <w:t>does not articulate such a distinction</w:t>
      </w:r>
      <w:r w:rsidR="00961A50" w:rsidRPr="00366942">
        <w:rPr>
          <w:lang w:val="en-CA"/>
        </w:rPr>
        <w:t xml:space="preserve">, </w:t>
      </w:r>
      <w:r w:rsidRPr="00366942">
        <w:rPr>
          <w:lang w:val="en-CA"/>
        </w:rPr>
        <w:t xml:space="preserve">which cannot </w:t>
      </w:r>
      <w:r w:rsidR="004E262F" w:rsidRPr="00366942">
        <w:rPr>
          <w:lang w:val="en-CA"/>
        </w:rPr>
        <w:t>be inferred or result in an adverse impact either</w:t>
      </w:r>
      <w:r w:rsidR="00961A50" w:rsidRPr="00366942">
        <w:rPr>
          <w:lang w:val="en-CA"/>
        </w:rPr>
        <w:t xml:space="preserve">. </w:t>
      </w:r>
      <w:r w:rsidR="004E262F" w:rsidRPr="00366942">
        <w:rPr>
          <w:lang w:val="en-CA"/>
        </w:rPr>
        <w:t>As the</w:t>
      </w:r>
      <w:r w:rsidR="00961A50" w:rsidRPr="00366942">
        <w:rPr>
          <w:lang w:val="en-CA"/>
        </w:rPr>
        <w:t xml:space="preserve"> TAQ</w:t>
      </w:r>
      <w:r w:rsidR="004E262F" w:rsidRPr="00366942">
        <w:rPr>
          <w:lang w:val="en-CA"/>
        </w:rPr>
        <w:t xml:space="preserve"> wrote</w:t>
      </w:r>
      <w:r w:rsidR="00961A50" w:rsidRPr="00366942">
        <w:rPr>
          <w:lang w:val="en-CA"/>
        </w:rPr>
        <w:t xml:space="preserve">, </w:t>
      </w:r>
      <w:r w:rsidR="004E262F" w:rsidRPr="00366942">
        <w:rPr>
          <w:lang w:val="en-CA"/>
        </w:rPr>
        <w:t>[</w:t>
      </w:r>
      <w:r w:rsidR="004E262F" w:rsidRPr="00366942">
        <w:rPr>
          <w:smallCaps/>
          <w:lang w:val="en-CA"/>
        </w:rPr>
        <w:t>translation</w:t>
      </w:r>
      <w:r w:rsidR="004E262F" w:rsidRPr="00366942">
        <w:rPr>
          <w:lang w:val="en-CA"/>
        </w:rPr>
        <w:t xml:space="preserve">] “[t]he right to equality does not protect against a measure that affects </w:t>
      </w:r>
      <w:r w:rsidR="007F2033" w:rsidRPr="00366942">
        <w:rPr>
          <w:lang w:val="en-CA"/>
        </w:rPr>
        <w:t>one</w:t>
      </w:r>
      <w:r w:rsidR="004E262F" w:rsidRPr="00366942">
        <w:rPr>
          <w:lang w:val="en-CA"/>
        </w:rPr>
        <w:t xml:space="preserve"> group, whe</w:t>
      </w:r>
      <w:r w:rsidR="007F2033" w:rsidRPr="00366942">
        <w:rPr>
          <w:lang w:val="en-CA"/>
        </w:rPr>
        <w:t>n</w:t>
      </w:r>
      <w:r w:rsidR="004E262F" w:rsidRPr="00366942">
        <w:rPr>
          <w:lang w:val="en-CA"/>
        </w:rPr>
        <w:t xml:space="preserve"> i</w:t>
      </w:r>
      <w:r w:rsidR="002C48A1" w:rsidRPr="00366942">
        <w:rPr>
          <w:lang w:val="en-CA"/>
        </w:rPr>
        <w:t>t</w:t>
      </w:r>
      <w:r w:rsidR="004E262F" w:rsidRPr="00366942">
        <w:rPr>
          <w:lang w:val="en-CA"/>
        </w:rPr>
        <w:t xml:space="preserve"> affects all groups generally”</w:t>
      </w:r>
      <w:r w:rsidR="00961A50" w:rsidRPr="00366942">
        <w:rPr>
          <w:rStyle w:val="Appelnotedebasdep"/>
          <w:lang w:val="en-CA"/>
        </w:rPr>
        <w:footnoteReference w:id="107"/>
      </w:r>
      <w:r w:rsidR="00961A50" w:rsidRPr="00366942">
        <w:rPr>
          <w:lang w:val="en-CA"/>
        </w:rPr>
        <w:t xml:space="preserve"> </w:t>
      </w:r>
      <w:r w:rsidR="004E262F" w:rsidRPr="00366942">
        <w:rPr>
          <w:lang w:val="en-CA"/>
        </w:rPr>
        <w:t xml:space="preserve">and, </w:t>
      </w:r>
      <w:r w:rsidR="002C48A1" w:rsidRPr="00366942">
        <w:rPr>
          <w:lang w:val="en-CA"/>
        </w:rPr>
        <w:t>I</w:t>
      </w:r>
      <w:r w:rsidR="004E262F" w:rsidRPr="00366942">
        <w:rPr>
          <w:lang w:val="en-CA"/>
        </w:rPr>
        <w:t xml:space="preserve"> might add, whe</w:t>
      </w:r>
      <w:r w:rsidR="007F2033" w:rsidRPr="00366942">
        <w:rPr>
          <w:lang w:val="en-CA"/>
        </w:rPr>
        <w:t>n</w:t>
      </w:r>
      <w:r w:rsidR="004E262F" w:rsidRPr="00366942">
        <w:rPr>
          <w:lang w:val="en-CA"/>
        </w:rPr>
        <w:t xml:space="preserve"> it affects all groups in the same way</w:t>
      </w:r>
      <w:r w:rsidR="00961A50" w:rsidRPr="00366942">
        <w:rPr>
          <w:lang w:val="en-CA"/>
        </w:rPr>
        <w:t xml:space="preserve">. </w:t>
      </w:r>
      <w:r w:rsidR="004E262F" w:rsidRPr="00366942">
        <w:rPr>
          <w:lang w:val="en-CA"/>
        </w:rPr>
        <w:t xml:space="preserve">The appeal must therefore be dismissed without </w:t>
      </w:r>
      <w:r w:rsidR="002C48A1" w:rsidRPr="00366942">
        <w:rPr>
          <w:lang w:val="en-CA"/>
        </w:rPr>
        <w:t>the need of</w:t>
      </w:r>
      <w:r w:rsidR="004E262F" w:rsidRPr="00366942">
        <w:rPr>
          <w:lang w:val="en-CA"/>
        </w:rPr>
        <w:t xml:space="preserve"> proceed</w:t>
      </w:r>
      <w:r w:rsidR="002C48A1" w:rsidRPr="00366942">
        <w:rPr>
          <w:lang w:val="en-CA"/>
        </w:rPr>
        <w:t>ing</w:t>
      </w:r>
      <w:r w:rsidR="004E262F" w:rsidRPr="00366942">
        <w:rPr>
          <w:lang w:val="en-CA"/>
        </w:rPr>
        <w:t xml:space="preserve"> to the second step</w:t>
      </w:r>
      <w:r w:rsidR="00961A50" w:rsidRPr="00366942">
        <w:rPr>
          <w:lang w:val="en-CA"/>
        </w:rPr>
        <w:t>.</w:t>
      </w:r>
    </w:p>
    <w:p w14:paraId="24CE8376" w14:textId="77777777" w:rsidR="00961A50" w:rsidRPr="00366942" w:rsidRDefault="00961A50" w:rsidP="00961A50">
      <w:pPr>
        <w:pStyle w:val="Paragraphe"/>
        <w:numPr>
          <w:ilvl w:val="0"/>
          <w:numId w:val="0"/>
        </w:numPr>
        <w:jc w:val="center"/>
        <w:rPr>
          <w:lang w:val="en-CA"/>
        </w:rPr>
      </w:pPr>
      <w:r w:rsidRPr="00366942">
        <w:rPr>
          <w:lang w:val="en-CA"/>
        </w:rPr>
        <w:t>* *</w:t>
      </w:r>
    </w:p>
    <w:p w14:paraId="694A513F" w14:textId="34F866E3" w:rsidR="00961A50" w:rsidRPr="00366942" w:rsidRDefault="001824C1" w:rsidP="00B04F45">
      <w:pPr>
        <w:pStyle w:val="Paragraphe"/>
        <w:rPr>
          <w:lang w:val="en-CA"/>
        </w:rPr>
      </w:pPr>
      <w:bookmarkStart w:id="50" w:name="_Ref176173356"/>
      <w:r w:rsidRPr="00366942">
        <w:rPr>
          <w:lang w:val="en-CA"/>
        </w:rPr>
        <w:t>I will allow myself, however, some additional observations.</w:t>
      </w:r>
      <w:bookmarkEnd w:id="50"/>
    </w:p>
    <w:p w14:paraId="38961071" w14:textId="60C7AF59" w:rsidR="00A90ADF" w:rsidRDefault="00953BF7" w:rsidP="00961A50">
      <w:pPr>
        <w:pStyle w:val="Paragraphe"/>
        <w:rPr>
          <w:lang w:val="en-CA"/>
        </w:rPr>
      </w:pPr>
      <w:r w:rsidRPr="00366942">
        <w:rPr>
          <w:lang w:val="en-CA"/>
        </w:rPr>
        <w:t>As we know</w:t>
      </w:r>
      <w:r w:rsidR="00961A50" w:rsidRPr="00366942">
        <w:rPr>
          <w:lang w:val="en-CA"/>
        </w:rPr>
        <w:t xml:space="preserve"> – </w:t>
      </w:r>
      <w:r w:rsidRPr="00366942">
        <w:rPr>
          <w:lang w:val="en-CA"/>
        </w:rPr>
        <w:t xml:space="preserve">for this is a </w:t>
      </w:r>
      <w:r w:rsidR="00FE2A91" w:rsidRPr="00366942">
        <w:rPr>
          <w:lang w:val="en-CA"/>
        </w:rPr>
        <w:t>notorious</w:t>
      </w:r>
      <w:r w:rsidRPr="00366942">
        <w:rPr>
          <w:lang w:val="en-CA"/>
        </w:rPr>
        <w:t xml:space="preserve"> fact</w:t>
      </w:r>
      <w:r w:rsidR="00961A50" w:rsidRPr="00366942">
        <w:rPr>
          <w:lang w:val="en-CA"/>
        </w:rPr>
        <w:t xml:space="preserve"> – </w:t>
      </w:r>
      <w:r w:rsidR="00F37C41" w:rsidRPr="00366942">
        <w:rPr>
          <w:lang w:val="en-CA"/>
        </w:rPr>
        <w:t>maintaining the public health care system is one of the main missions of the Quebec government</w:t>
      </w:r>
      <w:r w:rsidR="0022458F" w:rsidRPr="00366942">
        <w:rPr>
          <w:lang w:val="en-CA"/>
        </w:rPr>
        <w:t>,</w:t>
      </w:r>
      <w:r w:rsidR="00961A50" w:rsidRPr="00366942">
        <w:rPr>
          <w:rStyle w:val="Appelnotedebasdep"/>
          <w:lang w:val="en-CA"/>
        </w:rPr>
        <w:footnoteReference w:id="108"/>
      </w:r>
      <w:r w:rsidR="00961A50" w:rsidRPr="00366942">
        <w:rPr>
          <w:lang w:val="en-CA"/>
        </w:rPr>
        <w:t xml:space="preserve"> </w:t>
      </w:r>
      <w:r w:rsidRPr="00366942">
        <w:rPr>
          <w:lang w:val="en-CA"/>
        </w:rPr>
        <w:t>a system established under the</w:t>
      </w:r>
      <w:r w:rsidR="00961A50" w:rsidRPr="00366942">
        <w:rPr>
          <w:lang w:val="en-CA"/>
        </w:rPr>
        <w:t xml:space="preserve"> </w:t>
      </w:r>
      <w:r w:rsidRPr="00366942">
        <w:rPr>
          <w:i/>
          <w:iCs/>
          <w:lang w:val="en-CA"/>
        </w:rPr>
        <w:t>HIA</w:t>
      </w:r>
      <w:r w:rsidR="00961A50" w:rsidRPr="00366942">
        <w:rPr>
          <w:lang w:val="en-CA"/>
        </w:rPr>
        <w:t xml:space="preserve">, </w:t>
      </w:r>
      <w:r w:rsidRPr="00366942">
        <w:rPr>
          <w:lang w:val="en-CA"/>
        </w:rPr>
        <w:t>the</w:t>
      </w:r>
      <w:r w:rsidR="00961A50" w:rsidRPr="00366942">
        <w:rPr>
          <w:lang w:val="en-CA"/>
        </w:rPr>
        <w:t xml:space="preserve"> </w:t>
      </w:r>
      <w:r w:rsidRPr="00366942">
        <w:rPr>
          <w:i/>
          <w:iCs/>
          <w:lang w:val="en-CA"/>
        </w:rPr>
        <w:t>Act respecting health services and social services</w:t>
      </w:r>
      <w:r w:rsidR="00961A50" w:rsidRPr="00366942">
        <w:rPr>
          <w:lang w:val="en-CA"/>
        </w:rPr>
        <w:t xml:space="preserve">, </w:t>
      </w:r>
      <w:r w:rsidRPr="00366942">
        <w:rPr>
          <w:lang w:val="en-CA"/>
        </w:rPr>
        <w:t>the</w:t>
      </w:r>
      <w:r w:rsidR="00961A50" w:rsidRPr="00366942">
        <w:rPr>
          <w:lang w:val="en-CA"/>
        </w:rPr>
        <w:t xml:space="preserve"> </w:t>
      </w:r>
      <w:r w:rsidRPr="00366942">
        <w:rPr>
          <w:i/>
          <w:iCs/>
          <w:lang w:val="en-CA"/>
        </w:rPr>
        <w:t>Hospital Insurance Act</w:t>
      </w:r>
      <w:r w:rsidR="00961A50" w:rsidRPr="00366942">
        <w:rPr>
          <w:lang w:val="en-CA"/>
        </w:rPr>
        <w:t xml:space="preserve"> </w:t>
      </w:r>
      <w:r w:rsidRPr="00366942">
        <w:rPr>
          <w:lang w:val="en-CA"/>
        </w:rPr>
        <w:t>and, more recently</w:t>
      </w:r>
      <w:r w:rsidR="00961A50" w:rsidRPr="00366942">
        <w:rPr>
          <w:lang w:val="en-CA"/>
        </w:rPr>
        <w:t xml:space="preserve">, </w:t>
      </w:r>
      <w:r w:rsidRPr="00366942">
        <w:rPr>
          <w:i/>
          <w:iCs/>
          <w:lang w:val="en-CA"/>
        </w:rPr>
        <w:t>An Act to make the health and social services system more effective</w:t>
      </w:r>
      <w:r w:rsidRPr="00366942">
        <w:rPr>
          <w:lang w:val="en-CA"/>
        </w:rPr>
        <w:t>,</w:t>
      </w:r>
      <w:r w:rsidR="00961A50" w:rsidRPr="00366942">
        <w:rPr>
          <w:rStyle w:val="Appelnotedebasdep"/>
          <w:lang w:val="en-CA"/>
        </w:rPr>
        <w:footnoteReference w:id="109"/>
      </w:r>
      <w:r w:rsidRPr="00366942">
        <w:rPr>
          <w:lang w:val="en-CA"/>
        </w:rPr>
        <w:t xml:space="preserve"> all </w:t>
      </w:r>
      <w:r w:rsidR="00FE2A91" w:rsidRPr="00366942">
        <w:rPr>
          <w:lang w:val="en-CA"/>
        </w:rPr>
        <w:t xml:space="preserve">of this </w:t>
      </w:r>
      <w:r w:rsidRPr="00366942">
        <w:rPr>
          <w:lang w:val="en-CA"/>
        </w:rPr>
        <w:t xml:space="preserve">within the parameters </w:t>
      </w:r>
      <w:r w:rsidR="00FE2A91" w:rsidRPr="00366942">
        <w:rPr>
          <w:lang w:val="en-CA"/>
        </w:rPr>
        <w:t>established under the</w:t>
      </w:r>
      <w:r w:rsidR="00961A50" w:rsidRPr="00366942">
        <w:rPr>
          <w:lang w:val="en-CA"/>
        </w:rPr>
        <w:t xml:space="preserve"> </w:t>
      </w:r>
      <w:r w:rsidRPr="00366942">
        <w:rPr>
          <w:i/>
          <w:iCs/>
          <w:lang w:val="en-CA"/>
        </w:rPr>
        <w:t>Canada Health Act</w:t>
      </w:r>
      <w:r w:rsidR="00961A50" w:rsidRPr="00366942">
        <w:rPr>
          <w:lang w:val="en-CA"/>
        </w:rPr>
        <w:t xml:space="preserve">. </w:t>
      </w:r>
      <w:r w:rsidRPr="00366942">
        <w:rPr>
          <w:lang w:val="en-CA"/>
        </w:rPr>
        <w:t>Needless to say</w:t>
      </w:r>
      <w:r w:rsidR="00F35C71" w:rsidRPr="00366942">
        <w:rPr>
          <w:lang w:val="en-CA"/>
        </w:rPr>
        <w:t>,</w:t>
      </w:r>
      <w:r w:rsidR="00361D21" w:rsidRPr="00366942">
        <w:rPr>
          <w:lang w:val="en-CA"/>
        </w:rPr>
        <w:t xml:space="preserve"> </w:t>
      </w:r>
      <w:r w:rsidRPr="00366942">
        <w:rPr>
          <w:lang w:val="en-CA"/>
        </w:rPr>
        <w:t>this is</w:t>
      </w:r>
      <w:r w:rsidR="00361D21" w:rsidRPr="00366942">
        <w:rPr>
          <w:lang w:val="en-CA"/>
        </w:rPr>
        <w:t>, in all respects,</w:t>
      </w:r>
      <w:r w:rsidRPr="00366942">
        <w:rPr>
          <w:lang w:val="en-CA"/>
        </w:rPr>
        <w:t xml:space="preserve"> an especially complex and very finely</w:t>
      </w:r>
      <w:r w:rsidR="00FE2A91" w:rsidRPr="00366942">
        <w:rPr>
          <w:lang w:val="en-CA"/>
        </w:rPr>
        <w:t xml:space="preserve"> </w:t>
      </w:r>
      <w:r w:rsidR="00F35C71" w:rsidRPr="00366942">
        <w:rPr>
          <w:lang w:val="en-CA"/>
        </w:rPr>
        <w:t>tun</w:t>
      </w:r>
      <w:r w:rsidRPr="00366942">
        <w:rPr>
          <w:lang w:val="en-CA"/>
        </w:rPr>
        <w:t>ed system</w:t>
      </w:r>
      <w:r w:rsidR="00961A50" w:rsidRPr="00366942">
        <w:rPr>
          <w:lang w:val="en-CA"/>
        </w:rPr>
        <w:t xml:space="preserve">. </w:t>
      </w:r>
      <w:r w:rsidRPr="00366942">
        <w:rPr>
          <w:lang w:val="en-CA"/>
        </w:rPr>
        <w:t xml:space="preserve">Issues surrounding the determination of </w:t>
      </w:r>
      <w:r w:rsidR="00320BCD" w:rsidRPr="00366942">
        <w:rPr>
          <w:lang w:val="en-CA"/>
        </w:rPr>
        <w:t>insured</w:t>
      </w:r>
      <w:r w:rsidRPr="00366942">
        <w:rPr>
          <w:lang w:val="en-CA"/>
        </w:rPr>
        <w:t xml:space="preserve"> services</w:t>
      </w:r>
      <w:r w:rsidR="00320BCD" w:rsidRPr="00366942">
        <w:rPr>
          <w:lang w:val="en-CA"/>
        </w:rPr>
        <w:t>, access to those services</w:t>
      </w:r>
      <w:r w:rsidR="00F35C71" w:rsidRPr="00366942">
        <w:rPr>
          <w:lang w:val="en-CA"/>
        </w:rPr>
        <w:t>,</w:t>
      </w:r>
      <w:r w:rsidR="00320BCD" w:rsidRPr="00366942">
        <w:rPr>
          <w:lang w:val="en-CA"/>
        </w:rPr>
        <w:t xml:space="preserve"> and their funding are inextricably bound to the very structure of </w:t>
      </w:r>
      <w:r w:rsidR="001C08A1" w:rsidRPr="00366942">
        <w:rPr>
          <w:lang w:val="en-CA"/>
        </w:rPr>
        <w:t xml:space="preserve">the </w:t>
      </w:r>
      <w:r w:rsidR="00320BCD" w:rsidRPr="00366942">
        <w:rPr>
          <w:lang w:val="en-CA"/>
        </w:rPr>
        <w:t>system, which counts on a variety of institutional, collective</w:t>
      </w:r>
      <w:r w:rsidR="00557C7A" w:rsidRPr="00366942">
        <w:rPr>
          <w:lang w:val="en-CA"/>
        </w:rPr>
        <w:t>,</w:t>
      </w:r>
      <w:r w:rsidR="00320BCD" w:rsidRPr="00366942">
        <w:rPr>
          <w:lang w:val="en-CA"/>
        </w:rPr>
        <w:t xml:space="preserve"> and individual actors and stakehold</w:t>
      </w:r>
      <w:r w:rsidR="00FE2A91" w:rsidRPr="00366942">
        <w:rPr>
          <w:lang w:val="en-CA"/>
        </w:rPr>
        <w:t>e</w:t>
      </w:r>
      <w:r w:rsidR="00320BCD" w:rsidRPr="00366942">
        <w:rPr>
          <w:lang w:val="en-CA"/>
        </w:rPr>
        <w:t>rs</w:t>
      </w:r>
      <w:r w:rsidR="00557C7A" w:rsidRPr="00366942">
        <w:rPr>
          <w:lang w:val="en-CA"/>
        </w:rPr>
        <w:t xml:space="preserve">, as well as </w:t>
      </w:r>
      <w:r w:rsidR="00F35C71" w:rsidRPr="00366942">
        <w:rPr>
          <w:lang w:val="en-CA"/>
        </w:rPr>
        <w:t>to the</w:t>
      </w:r>
      <w:r w:rsidR="00557C7A" w:rsidRPr="00366942">
        <w:rPr>
          <w:lang w:val="en-CA"/>
        </w:rPr>
        <w:t xml:space="preserve"> capacities and resources of the Quebec government</w:t>
      </w:r>
      <w:r w:rsidR="00320BCD" w:rsidRPr="00366942">
        <w:rPr>
          <w:lang w:val="en-CA"/>
        </w:rPr>
        <w:t xml:space="preserve"> (</w:t>
      </w:r>
      <w:r w:rsidR="00F35C71" w:rsidRPr="00366942">
        <w:rPr>
          <w:lang w:val="en-CA"/>
        </w:rPr>
        <w:t>alongside</w:t>
      </w:r>
      <w:r w:rsidR="00320BCD" w:rsidRPr="00366942">
        <w:rPr>
          <w:lang w:val="en-CA"/>
        </w:rPr>
        <w:t xml:space="preserve"> the </w:t>
      </w:r>
      <w:r w:rsidR="00F35C71" w:rsidRPr="00366942">
        <w:rPr>
          <w:lang w:val="en-CA"/>
        </w:rPr>
        <w:t>f</w:t>
      </w:r>
      <w:r w:rsidR="00320BCD" w:rsidRPr="00366942">
        <w:rPr>
          <w:lang w:val="en-CA"/>
        </w:rPr>
        <w:t xml:space="preserve">ederal contribution under the </w:t>
      </w:r>
      <w:r w:rsidR="00320BCD" w:rsidRPr="00366942">
        <w:rPr>
          <w:i/>
          <w:iCs/>
          <w:lang w:val="en-CA"/>
        </w:rPr>
        <w:t>Canada Health Act</w:t>
      </w:r>
      <w:r w:rsidR="00961A50" w:rsidRPr="00366942">
        <w:rPr>
          <w:lang w:val="en-CA"/>
        </w:rPr>
        <w:t xml:space="preserve">). </w:t>
      </w:r>
      <w:r w:rsidR="00320BCD" w:rsidRPr="00366942">
        <w:rPr>
          <w:lang w:val="en-CA"/>
        </w:rPr>
        <w:t>It is with caution</w:t>
      </w:r>
      <w:r w:rsidR="001C08A1" w:rsidRPr="00366942">
        <w:rPr>
          <w:lang w:val="en-CA"/>
        </w:rPr>
        <w:t xml:space="preserve"> </w:t>
      </w:r>
      <w:r w:rsidR="001C08A1" w:rsidRPr="00366942">
        <w:rPr>
          <w:lang w:val="en-CA"/>
        </w:rPr>
        <w:lastRenderedPageBreak/>
        <w:t>therefore</w:t>
      </w:r>
      <w:r w:rsidR="00320BCD" w:rsidRPr="00366942">
        <w:rPr>
          <w:lang w:val="en-CA"/>
        </w:rPr>
        <w:t xml:space="preserve"> that courts will tread </w:t>
      </w:r>
      <w:r w:rsidR="00557C7A" w:rsidRPr="00366942">
        <w:rPr>
          <w:lang w:val="en-CA"/>
        </w:rPr>
        <w:t>around</w:t>
      </w:r>
      <w:r w:rsidR="00320BCD" w:rsidRPr="00366942">
        <w:rPr>
          <w:lang w:val="en-CA"/>
        </w:rPr>
        <w:t xml:space="preserve"> matters relating to the management or economic direction of the system, </w:t>
      </w:r>
      <w:r w:rsidR="00557C7A" w:rsidRPr="00366942">
        <w:rPr>
          <w:lang w:val="en-CA"/>
        </w:rPr>
        <w:t xml:space="preserve">lest they </w:t>
      </w:r>
      <w:r w:rsidR="00320BCD" w:rsidRPr="00366942">
        <w:rPr>
          <w:lang w:val="en-CA"/>
        </w:rPr>
        <w:t>usurp the legislature’s role and that of the executive</w:t>
      </w:r>
      <w:r w:rsidR="00EB7735">
        <w:rPr>
          <w:lang w:val="en-CA"/>
        </w:rPr>
        <w:t xml:space="preserve"> </w:t>
      </w:r>
      <w:r w:rsidR="00EB7735" w:rsidRPr="00EB7735">
        <w:rPr>
          <w:lang w:val="en-CA"/>
        </w:rPr>
        <w:t>(</w:t>
      </w:r>
      <w:r w:rsidR="00EB7735">
        <w:rPr>
          <w:lang w:val="en-CA"/>
        </w:rPr>
        <w:t xml:space="preserve">we shall </w:t>
      </w:r>
      <w:r w:rsidR="00EB7735" w:rsidRPr="00EB7735">
        <w:rPr>
          <w:lang w:val="en-CA"/>
        </w:rPr>
        <w:t xml:space="preserve">recall here the </w:t>
      </w:r>
      <w:r w:rsidR="00EB7735">
        <w:rPr>
          <w:lang w:val="en-CA"/>
        </w:rPr>
        <w:t>warning</w:t>
      </w:r>
      <w:r w:rsidR="00EB7735" w:rsidRPr="00EB7735">
        <w:rPr>
          <w:lang w:val="en-CA"/>
        </w:rPr>
        <w:t xml:space="preserve"> of Karakatsanis</w:t>
      </w:r>
      <w:r w:rsidR="00EB7735">
        <w:rPr>
          <w:lang w:val="en-CA"/>
        </w:rPr>
        <w:t>,</w:t>
      </w:r>
      <w:r w:rsidR="00EB7735" w:rsidRPr="00EB7735">
        <w:rPr>
          <w:lang w:val="en-CA"/>
        </w:rPr>
        <w:t xml:space="preserve"> J. in </w:t>
      </w:r>
      <w:r w:rsidR="00EB7735" w:rsidRPr="00EB7735">
        <w:rPr>
          <w:i/>
          <w:iCs/>
          <w:lang w:val="en-CA"/>
        </w:rPr>
        <w:t>Ontario v. Criminal Lawyers' Association of Ontario</w:t>
      </w:r>
      <w:r w:rsidR="00EB7735">
        <w:rPr>
          <w:rStyle w:val="Appelnotedebasdep"/>
        </w:rPr>
        <w:footnoteReference w:id="110"/>
      </w:r>
      <w:r w:rsidR="00EB7735" w:rsidRPr="00EB7735">
        <w:rPr>
          <w:lang w:val="en-CA"/>
        </w:rPr>
        <w:t>)</w:t>
      </w:r>
      <w:r w:rsidR="00557C7A" w:rsidRPr="00366942">
        <w:rPr>
          <w:lang w:val="en-CA"/>
        </w:rPr>
        <w:t xml:space="preserve">, </w:t>
      </w:r>
      <w:r w:rsidR="00361D21" w:rsidRPr="00366942">
        <w:rPr>
          <w:lang w:val="en-CA"/>
        </w:rPr>
        <w:t>subvert</w:t>
      </w:r>
      <w:r w:rsidR="00557C7A" w:rsidRPr="00366942">
        <w:rPr>
          <w:lang w:val="en-CA"/>
        </w:rPr>
        <w:t xml:space="preserve"> the scheme</w:t>
      </w:r>
      <w:r w:rsidR="00361D21" w:rsidRPr="00366942">
        <w:rPr>
          <w:lang w:val="en-CA"/>
        </w:rPr>
        <w:t xml:space="preserve"> or undermine its integrity</w:t>
      </w:r>
      <w:r w:rsidR="00961A50" w:rsidRPr="00366942">
        <w:rPr>
          <w:lang w:val="en-CA"/>
        </w:rPr>
        <w:t>.</w:t>
      </w:r>
    </w:p>
    <w:p w14:paraId="502D35B3" w14:textId="331D3A49" w:rsidR="00961A50" w:rsidRPr="00366942" w:rsidRDefault="00FE2A91" w:rsidP="00A90ADF">
      <w:pPr>
        <w:pStyle w:val="Paragraphe"/>
        <w:rPr>
          <w:lang w:val="en-CA"/>
        </w:rPr>
      </w:pPr>
      <w:r w:rsidRPr="00366942">
        <w:rPr>
          <w:lang w:val="en-CA"/>
        </w:rPr>
        <w:t>That caution</w:t>
      </w:r>
      <w:r w:rsidR="00A90ADF">
        <w:rPr>
          <w:lang w:val="en-CA"/>
        </w:rPr>
        <w:t>, of course,</w:t>
      </w:r>
      <w:r w:rsidRPr="00366942">
        <w:rPr>
          <w:lang w:val="en-CA"/>
        </w:rPr>
        <w:t xml:space="preserve"> does not mean that the courts can never intervene</w:t>
      </w:r>
      <w:r w:rsidR="00A90ADF">
        <w:rPr>
          <w:lang w:val="en-CA"/>
        </w:rPr>
        <w:t xml:space="preserve"> in such matter</w:t>
      </w:r>
      <w:r w:rsidRPr="00366942">
        <w:rPr>
          <w:lang w:val="en-CA"/>
        </w:rPr>
        <w:t>,</w:t>
      </w:r>
      <w:r w:rsidR="00A90ADF">
        <w:rPr>
          <w:lang w:val="en-CA"/>
        </w:rPr>
        <w:t xml:space="preserve"> and</w:t>
      </w:r>
      <w:r w:rsidR="00961A50" w:rsidRPr="00366942">
        <w:rPr>
          <w:lang w:val="en-CA"/>
        </w:rPr>
        <w:t xml:space="preserve">, </w:t>
      </w:r>
      <w:r w:rsidR="00361D21" w:rsidRPr="00366942">
        <w:rPr>
          <w:lang w:val="en-CA"/>
        </w:rPr>
        <w:t>as</w:t>
      </w:r>
      <w:r w:rsidR="00961A50" w:rsidRPr="00366942">
        <w:rPr>
          <w:lang w:val="en-CA"/>
        </w:rPr>
        <w:t xml:space="preserve"> McLachlin</w:t>
      </w:r>
      <w:r w:rsidR="00361D21" w:rsidRPr="00366942">
        <w:rPr>
          <w:lang w:val="en-CA"/>
        </w:rPr>
        <w:t>, C.J.</w:t>
      </w:r>
      <w:r w:rsidR="00961A50" w:rsidRPr="00366942">
        <w:rPr>
          <w:lang w:val="en-CA"/>
        </w:rPr>
        <w:t xml:space="preserve"> </w:t>
      </w:r>
      <w:r w:rsidR="00361D21" w:rsidRPr="00366942">
        <w:rPr>
          <w:lang w:val="en-CA"/>
        </w:rPr>
        <w:t>and</w:t>
      </w:r>
      <w:r w:rsidR="00961A50" w:rsidRPr="00366942">
        <w:rPr>
          <w:lang w:val="en-CA"/>
        </w:rPr>
        <w:t xml:space="preserve"> Major</w:t>
      </w:r>
      <w:r w:rsidR="00361D21" w:rsidRPr="00366942">
        <w:rPr>
          <w:lang w:val="en-CA"/>
        </w:rPr>
        <w:t xml:space="preserve">, J. wrote in </w:t>
      </w:r>
      <w:r w:rsidR="00961A50" w:rsidRPr="00366942">
        <w:rPr>
          <w:i/>
          <w:iCs/>
          <w:lang w:val="en-CA"/>
        </w:rPr>
        <w:t>Chaoulli</w:t>
      </w:r>
      <w:r w:rsidR="00961A50" w:rsidRPr="00366942">
        <w:rPr>
          <w:lang w:val="en-CA"/>
        </w:rPr>
        <w:t>:</w:t>
      </w:r>
    </w:p>
    <w:p w14:paraId="7171E6F8" w14:textId="0351E009" w:rsidR="00961A50" w:rsidRPr="00366942" w:rsidRDefault="00961A50" w:rsidP="00961A50">
      <w:pPr>
        <w:pStyle w:val="Citationenretrait"/>
        <w:rPr>
          <w:lang w:val="en-CA"/>
        </w:rPr>
      </w:pPr>
      <w:r w:rsidRPr="00366942">
        <w:rPr>
          <w:lang w:val="en-CA"/>
        </w:rPr>
        <w:t>104</w:t>
      </w:r>
      <w:r w:rsidRPr="00366942">
        <w:rPr>
          <w:lang w:val="en-CA"/>
        </w:rPr>
        <w:tab/>
      </w:r>
      <w:r w:rsidR="00361D21" w:rsidRPr="00366942">
        <w:rPr>
          <w:lang w:val="en-CA"/>
        </w:rPr>
        <w:t xml:space="preserve">The </w:t>
      </w:r>
      <w:r w:rsidR="00361D21" w:rsidRPr="00366942">
        <w:rPr>
          <w:i/>
          <w:iCs/>
          <w:lang w:val="en-CA"/>
        </w:rPr>
        <w:t>Charter</w:t>
      </w:r>
      <w:r w:rsidR="00361D21" w:rsidRPr="00366942">
        <w:rPr>
          <w:lang w:val="en-CA"/>
        </w:rPr>
        <w:t xml:space="preserve"> does not confer a freestanding constitutional right to health care. However, where the government puts in place a scheme to provide health care, that scheme must comply with the </w:t>
      </w:r>
      <w:r w:rsidR="00361D21" w:rsidRPr="00366942">
        <w:rPr>
          <w:i/>
          <w:iCs/>
          <w:lang w:val="en-CA"/>
        </w:rPr>
        <w:t>Charter</w:t>
      </w:r>
      <w:r w:rsidRPr="00366942">
        <w:rPr>
          <w:lang w:val="en-CA"/>
        </w:rPr>
        <w:t>. […]</w:t>
      </w:r>
      <w:bookmarkStart w:id="51" w:name="_Ref185438529"/>
      <w:r w:rsidRPr="00366942">
        <w:rPr>
          <w:rStyle w:val="Appelnotedebasdep"/>
          <w:lang w:val="en-CA"/>
        </w:rPr>
        <w:footnoteReference w:id="111"/>
      </w:r>
      <w:bookmarkEnd w:id="51"/>
    </w:p>
    <w:p w14:paraId="39B6BB38" w14:textId="472D4515" w:rsidR="00961A50" w:rsidRPr="00366942" w:rsidRDefault="00361D21" w:rsidP="00961A50">
      <w:pPr>
        <w:pStyle w:val="Paragraphe"/>
        <w:rPr>
          <w:lang w:val="en-CA"/>
        </w:rPr>
      </w:pPr>
      <w:r w:rsidRPr="00366942">
        <w:rPr>
          <w:lang w:val="en-CA"/>
        </w:rPr>
        <w:t>But th</w:t>
      </w:r>
      <w:r w:rsidR="007A73C8" w:rsidRPr="00366942">
        <w:rPr>
          <w:lang w:val="en-CA"/>
        </w:rPr>
        <w:t>is</w:t>
      </w:r>
      <w:r w:rsidRPr="00366942">
        <w:rPr>
          <w:lang w:val="en-CA"/>
        </w:rPr>
        <w:t xml:space="preserve">, </w:t>
      </w:r>
      <w:r w:rsidR="0025465B" w:rsidRPr="00366942">
        <w:rPr>
          <w:lang w:val="en-CA"/>
        </w:rPr>
        <w:t>which is</w:t>
      </w:r>
      <w:r w:rsidRPr="00366942">
        <w:rPr>
          <w:lang w:val="en-CA"/>
        </w:rPr>
        <w:t xml:space="preserve"> irrefutable, does not mean that courts are well equipped to resolve the difficulties of the health system</w:t>
      </w:r>
      <w:r w:rsidR="0025465B" w:rsidRPr="00366942">
        <w:rPr>
          <w:lang w:val="en-CA"/>
        </w:rPr>
        <w:t xml:space="preserve"> and</w:t>
      </w:r>
      <w:r w:rsidRPr="00366942">
        <w:rPr>
          <w:lang w:val="en-CA"/>
        </w:rPr>
        <w:t xml:space="preserve">, </w:t>
      </w:r>
      <w:r w:rsidR="0025465B" w:rsidRPr="00366942">
        <w:rPr>
          <w:lang w:val="en-CA"/>
        </w:rPr>
        <w:t>aside from exceptions of which</w:t>
      </w:r>
      <w:r w:rsidR="00961A50" w:rsidRPr="00366942">
        <w:rPr>
          <w:lang w:val="en-CA"/>
        </w:rPr>
        <w:t xml:space="preserve"> </w:t>
      </w:r>
      <w:r w:rsidR="00961A50" w:rsidRPr="00366942">
        <w:rPr>
          <w:i/>
          <w:iCs/>
          <w:lang w:val="en-CA"/>
        </w:rPr>
        <w:t>Chaoulli</w:t>
      </w:r>
      <w:r w:rsidR="00961A50" w:rsidRPr="00366942">
        <w:rPr>
          <w:lang w:val="en-CA"/>
        </w:rPr>
        <w:t xml:space="preserve"> </w:t>
      </w:r>
      <w:r w:rsidR="0025465B" w:rsidRPr="00366942">
        <w:rPr>
          <w:lang w:val="en-CA"/>
        </w:rPr>
        <w:t>and</w:t>
      </w:r>
      <w:r w:rsidR="00961A50" w:rsidRPr="00366942">
        <w:rPr>
          <w:lang w:val="en-CA"/>
        </w:rPr>
        <w:t xml:space="preserve"> </w:t>
      </w:r>
      <w:r w:rsidR="00961A50" w:rsidRPr="00366942">
        <w:rPr>
          <w:i/>
          <w:iCs/>
          <w:lang w:val="en-CA"/>
        </w:rPr>
        <w:t>Eldridge</w:t>
      </w:r>
      <w:r w:rsidR="00961A50" w:rsidRPr="00366942">
        <w:rPr>
          <w:rStyle w:val="Appelnotedebasdep"/>
          <w:lang w:val="en-CA"/>
        </w:rPr>
        <w:footnoteReference w:id="112"/>
      </w:r>
      <w:r w:rsidR="00961A50" w:rsidRPr="00366942">
        <w:rPr>
          <w:lang w:val="en-CA"/>
        </w:rPr>
        <w:t xml:space="preserve"> </w:t>
      </w:r>
      <w:r w:rsidR="0025465B" w:rsidRPr="00366942">
        <w:rPr>
          <w:lang w:val="en-CA"/>
        </w:rPr>
        <w:t>are examples</w:t>
      </w:r>
      <w:r w:rsidR="00961A50" w:rsidRPr="00366942">
        <w:rPr>
          <w:lang w:val="en-CA"/>
        </w:rPr>
        <w:t xml:space="preserve">, </w:t>
      </w:r>
      <w:r w:rsidR="0025465B" w:rsidRPr="00366942">
        <w:rPr>
          <w:lang w:val="en-CA"/>
        </w:rPr>
        <w:t>it is not ordinarily within their attributes to remodel it</w:t>
      </w:r>
      <w:r w:rsidR="00961A50" w:rsidRPr="00366942">
        <w:rPr>
          <w:lang w:val="en-CA"/>
        </w:rPr>
        <w:t xml:space="preserve">. </w:t>
      </w:r>
      <w:r w:rsidR="00C15EEC" w:rsidRPr="00366942">
        <w:rPr>
          <w:lang w:val="en-CA"/>
        </w:rPr>
        <w:t xml:space="preserve">This was expressed in the </w:t>
      </w:r>
      <w:r w:rsidR="0025465B" w:rsidRPr="00366942">
        <w:rPr>
          <w:lang w:val="en-CA"/>
        </w:rPr>
        <w:t>Supreme Court</w:t>
      </w:r>
      <w:r w:rsidR="00C15EEC" w:rsidRPr="00366942">
        <w:rPr>
          <w:lang w:val="en-CA"/>
        </w:rPr>
        <w:t>’s decision</w:t>
      </w:r>
      <w:r w:rsidR="0025465B" w:rsidRPr="00366942">
        <w:rPr>
          <w:lang w:val="en-CA"/>
        </w:rPr>
        <w:t xml:space="preserve"> in</w:t>
      </w:r>
      <w:r w:rsidR="00961A50" w:rsidRPr="00366942">
        <w:rPr>
          <w:lang w:val="en-CA"/>
        </w:rPr>
        <w:t xml:space="preserve"> </w:t>
      </w:r>
      <w:r w:rsidR="00961A50" w:rsidRPr="00366942">
        <w:rPr>
          <w:i/>
          <w:iCs/>
          <w:lang w:val="en-CA"/>
        </w:rPr>
        <w:t>Auton</w:t>
      </w:r>
      <w:r w:rsidR="00961A50" w:rsidRPr="00366942">
        <w:rPr>
          <w:rStyle w:val="Appelnotedebasdep"/>
          <w:lang w:val="en-CA"/>
        </w:rPr>
        <w:footnoteReference w:id="113"/>
      </w:r>
      <w:r w:rsidR="00961A50" w:rsidRPr="00366942">
        <w:rPr>
          <w:lang w:val="en-CA"/>
        </w:rPr>
        <w:t xml:space="preserve">, </w:t>
      </w:r>
      <w:r w:rsidR="00C15EEC" w:rsidRPr="00366942">
        <w:rPr>
          <w:lang w:val="en-CA"/>
        </w:rPr>
        <w:t>a case that bears a similarity</w:t>
      </w:r>
      <w:r w:rsidR="00961A50" w:rsidRPr="00366942">
        <w:rPr>
          <w:lang w:val="en-CA"/>
        </w:rPr>
        <w:t xml:space="preserve"> </w:t>
      </w:r>
      <w:r w:rsidR="007A73C8" w:rsidRPr="00366942">
        <w:rPr>
          <w:lang w:val="en-CA"/>
        </w:rPr>
        <w:t>to</w:t>
      </w:r>
      <w:r w:rsidR="00C15EEC" w:rsidRPr="00366942">
        <w:rPr>
          <w:lang w:val="en-CA"/>
        </w:rPr>
        <w:t xml:space="preserve"> the case at bar, since the issue there, as here, </w:t>
      </w:r>
      <w:r w:rsidR="00CA6CB8" w:rsidRPr="00366942">
        <w:rPr>
          <w:lang w:val="en-CA"/>
        </w:rPr>
        <w:t xml:space="preserve">involved </w:t>
      </w:r>
      <w:r w:rsidR="00C15EEC" w:rsidRPr="00366942">
        <w:rPr>
          <w:lang w:val="en-CA"/>
        </w:rPr>
        <w:t xml:space="preserve">a benefit that was not extended to a protected group in a matter of health care </w:t>
      </w:r>
      <w:r w:rsidR="00961A50" w:rsidRPr="00366942">
        <w:rPr>
          <w:lang w:val="en-CA"/>
        </w:rPr>
        <w:t>(</w:t>
      </w:r>
      <w:r w:rsidR="00C15EEC" w:rsidRPr="00366942">
        <w:rPr>
          <w:lang w:val="en-CA"/>
        </w:rPr>
        <w:t>i.e., a treatment that could be provided to autistic children</w:t>
      </w:r>
      <w:r w:rsidR="00CA6CB8" w:rsidRPr="00366942">
        <w:rPr>
          <w:lang w:val="en-CA"/>
        </w:rPr>
        <w:t xml:space="preserve"> that was not covered by the province’s public health plan)</w:t>
      </w:r>
      <w:r w:rsidR="00961A50" w:rsidRPr="00366942">
        <w:rPr>
          <w:lang w:val="en-CA"/>
        </w:rPr>
        <w:t xml:space="preserve">. </w:t>
      </w:r>
      <w:r w:rsidR="00CA6CB8" w:rsidRPr="00366942">
        <w:rPr>
          <w:lang w:val="en-CA"/>
        </w:rPr>
        <w:t>The Supreme Court did not consider this to be a violation of s.</w:t>
      </w:r>
      <w:r w:rsidR="00961A50" w:rsidRPr="00366942">
        <w:rPr>
          <w:lang w:val="en-CA"/>
        </w:rPr>
        <w:t xml:space="preserve"> 15 </w:t>
      </w:r>
      <w:r w:rsidR="00CA6CB8" w:rsidRPr="00366942">
        <w:rPr>
          <w:lang w:val="en-CA"/>
        </w:rPr>
        <w:t>of the</w:t>
      </w:r>
      <w:r w:rsidR="00961A50" w:rsidRPr="00366942">
        <w:rPr>
          <w:lang w:val="en-CA"/>
        </w:rPr>
        <w:t xml:space="preserve"> </w:t>
      </w:r>
      <w:r w:rsidR="00CA6CB8" w:rsidRPr="00366942">
        <w:rPr>
          <w:i/>
          <w:iCs/>
          <w:lang w:val="en-CA"/>
        </w:rPr>
        <w:t>Canadian Charter</w:t>
      </w:r>
      <w:r w:rsidR="00961A50" w:rsidRPr="00366942">
        <w:rPr>
          <w:lang w:val="en-CA"/>
        </w:rPr>
        <w:t xml:space="preserve"> </w:t>
      </w:r>
      <w:r w:rsidR="00CA6CB8" w:rsidRPr="00366942">
        <w:rPr>
          <w:lang w:val="en-CA"/>
        </w:rPr>
        <w:t>and it did not intervene.</w:t>
      </w:r>
      <w:r w:rsidR="00961A50" w:rsidRPr="00366942">
        <w:rPr>
          <w:rStyle w:val="Appelnotedebasdep"/>
          <w:lang w:val="en-CA"/>
        </w:rPr>
        <w:footnoteReference w:id="114"/>
      </w:r>
    </w:p>
    <w:p w14:paraId="32392863" w14:textId="579DC52F" w:rsidR="00961A50" w:rsidRPr="00366942" w:rsidRDefault="00771A81" w:rsidP="00961A50">
      <w:pPr>
        <w:pStyle w:val="Paragraphe"/>
        <w:rPr>
          <w:lang w:val="en-CA"/>
        </w:rPr>
      </w:pPr>
      <w:r w:rsidRPr="00366942">
        <w:rPr>
          <w:lang w:val="en-CA"/>
        </w:rPr>
        <w:t xml:space="preserve">Finally, </w:t>
      </w:r>
      <w:r w:rsidR="005F4F5C" w:rsidRPr="00366942">
        <w:rPr>
          <w:lang w:val="en-CA"/>
        </w:rPr>
        <w:t>and</w:t>
      </w:r>
      <w:r w:rsidR="00961A50" w:rsidRPr="00366942">
        <w:rPr>
          <w:lang w:val="en-CA"/>
        </w:rPr>
        <w:t xml:space="preserve"> Wagner</w:t>
      </w:r>
      <w:r w:rsidRPr="00366942">
        <w:rPr>
          <w:lang w:val="en-CA"/>
        </w:rPr>
        <w:t xml:space="preserve">, C.J. explicitly </w:t>
      </w:r>
      <w:r w:rsidR="005F4F5C" w:rsidRPr="00366942">
        <w:rPr>
          <w:lang w:val="en-CA"/>
        </w:rPr>
        <w:t>recalled this</w:t>
      </w:r>
      <w:r w:rsidRPr="00366942">
        <w:rPr>
          <w:lang w:val="en-CA"/>
        </w:rPr>
        <w:t xml:space="preserve"> in</w:t>
      </w:r>
      <w:r w:rsidR="00961A50" w:rsidRPr="00366942">
        <w:rPr>
          <w:lang w:val="en-CA"/>
        </w:rPr>
        <w:t xml:space="preserve"> </w:t>
      </w:r>
      <w:r w:rsidR="00961A50" w:rsidRPr="00366942">
        <w:rPr>
          <w:i/>
          <w:iCs/>
          <w:lang w:val="en-CA"/>
        </w:rPr>
        <w:t xml:space="preserve">R. </w:t>
      </w:r>
      <w:r w:rsidR="007A73C8" w:rsidRPr="00366942">
        <w:rPr>
          <w:i/>
          <w:iCs/>
          <w:lang w:val="en-CA"/>
        </w:rPr>
        <w:t>v</w:t>
      </w:r>
      <w:r w:rsidR="00961A50" w:rsidRPr="00366942">
        <w:rPr>
          <w:i/>
          <w:iCs/>
          <w:lang w:val="en-CA"/>
        </w:rPr>
        <w:t>. C.P.</w:t>
      </w:r>
      <w:r w:rsidR="00961A50" w:rsidRPr="00366942">
        <w:rPr>
          <w:lang w:val="en-CA"/>
        </w:rPr>
        <w:t xml:space="preserve">, </w:t>
      </w:r>
      <w:r w:rsidRPr="00366942">
        <w:rPr>
          <w:lang w:val="en-CA"/>
        </w:rPr>
        <w:t xml:space="preserve">the analysis to be undertaken under s. 15 of the </w:t>
      </w:r>
      <w:r w:rsidRPr="00366942">
        <w:rPr>
          <w:i/>
          <w:iCs/>
          <w:lang w:val="en-CA"/>
        </w:rPr>
        <w:t>Canadian Charter</w:t>
      </w:r>
      <w:r w:rsidRPr="00366942">
        <w:rPr>
          <w:lang w:val="en-CA"/>
        </w:rPr>
        <w:t xml:space="preserve"> </w:t>
      </w:r>
      <w:r w:rsidR="009A29D8" w:rsidRPr="00366942">
        <w:rPr>
          <w:lang w:val="en-CA"/>
        </w:rPr>
        <w:t>focusses on</w:t>
      </w:r>
      <w:r w:rsidRPr="00366942">
        <w:rPr>
          <w:lang w:val="en-CA"/>
        </w:rPr>
        <w:t xml:space="preserve"> “the actual impact of the provision </w:t>
      </w:r>
      <w:r w:rsidRPr="00366942">
        <w:rPr>
          <w:u w:val="single"/>
          <w:lang w:val="en-CA"/>
        </w:rPr>
        <w:t>in its full context</w:t>
      </w:r>
      <w:r w:rsidRPr="00366942">
        <w:rPr>
          <w:lang w:val="en-CA"/>
        </w:rPr>
        <w:t>”</w:t>
      </w:r>
      <w:r w:rsidR="00961A50" w:rsidRPr="00366942">
        <w:rPr>
          <w:rStyle w:val="Appelnotedebasdep"/>
          <w:lang w:val="en-CA"/>
        </w:rPr>
        <w:footnoteReference w:id="115"/>
      </w:r>
      <w:r w:rsidR="00961A50" w:rsidRPr="00366942">
        <w:rPr>
          <w:lang w:val="en-CA"/>
        </w:rPr>
        <w:t xml:space="preserve"> (</w:t>
      </w:r>
      <w:r w:rsidR="0041554D" w:rsidRPr="00366942">
        <w:rPr>
          <w:lang w:val="en-CA"/>
        </w:rPr>
        <w:t>underlining</w:t>
      </w:r>
      <w:r w:rsidRPr="00366942">
        <w:rPr>
          <w:lang w:val="en-CA"/>
        </w:rPr>
        <w:t xml:space="preserve"> added</w:t>
      </w:r>
      <w:r w:rsidR="00961A50" w:rsidRPr="00366942">
        <w:rPr>
          <w:lang w:val="en-CA"/>
        </w:rPr>
        <w:t xml:space="preserve">). </w:t>
      </w:r>
      <w:r w:rsidRPr="00366942">
        <w:rPr>
          <w:lang w:val="en-CA"/>
        </w:rPr>
        <w:t xml:space="preserve">The Chief Justice also </w:t>
      </w:r>
      <w:r w:rsidR="00370364" w:rsidRPr="00366942">
        <w:rPr>
          <w:lang w:val="en-CA"/>
        </w:rPr>
        <w:t>reminds us of</w:t>
      </w:r>
      <w:r w:rsidRPr="00366942">
        <w:rPr>
          <w:lang w:val="en-CA"/>
        </w:rPr>
        <w:t xml:space="preserve"> the danger of</w:t>
      </w:r>
      <w:r w:rsidR="00961A50" w:rsidRPr="00366942">
        <w:rPr>
          <w:lang w:val="en-CA"/>
        </w:rPr>
        <w:t xml:space="preserve"> </w:t>
      </w:r>
      <w:r w:rsidR="005F4F5C" w:rsidRPr="00366942">
        <w:rPr>
          <w:lang w:val="en-CA"/>
        </w:rPr>
        <w:t>“artificially cherry-picking individual features from a multifaceted legislative scheme”</w:t>
      </w:r>
      <w:r w:rsidR="00961A50" w:rsidRPr="00366942">
        <w:rPr>
          <w:rStyle w:val="Appelnotedebasdep"/>
          <w:lang w:val="en-CA"/>
        </w:rPr>
        <w:footnoteReference w:id="116"/>
      </w:r>
      <w:r w:rsidR="00961A50" w:rsidRPr="00366942">
        <w:rPr>
          <w:lang w:val="en-CA"/>
        </w:rPr>
        <w:t xml:space="preserve"> </w:t>
      </w:r>
      <w:r w:rsidR="005F4F5C" w:rsidRPr="00366942">
        <w:rPr>
          <w:lang w:val="en-CA"/>
        </w:rPr>
        <w:t>in making a finding of discrimination</w:t>
      </w:r>
      <w:r w:rsidR="00961A50" w:rsidRPr="00366942">
        <w:rPr>
          <w:lang w:val="en-CA"/>
        </w:rPr>
        <w:t xml:space="preserve">: </w:t>
      </w:r>
      <w:r w:rsidR="00370364" w:rsidRPr="00366942">
        <w:rPr>
          <w:lang w:val="en-CA"/>
        </w:rPr>
        <w:t>the scheme must be considered as a whole</w:t>
      </w:r>
      <w:r w:rsidR="00961A50" w:rsidRPr="00366942">
        <w:rPr>
          <w:lang w:val="en-CA"/>
        </w:rPr>
        <w:t xml:space="preserve">. </w:t>
      </w:r>
      <w:r w:rsidR="00370364" w:rsidRPr="00366942">
        <w:rPr>
          <w:lang w:val="en-CA"/>
        </w:rPr>
        <w:t xml:space="preserve">Applying these </w:t>
      </w:r>
      <w:r w:rsidR="00386CC6" w:rsidRPr="00366942">
        <w:rPr>
          <w:lang w:val="en-CA"/>
        </w:rPr>
        <w:t>teachings</w:t>
      </w:r>
      <w:r w:rsidR="00961A50" w:rsidRPr="00366942">
        <w:rPr>
          <w:lang w:val="en-CA"/>
        </w:rPr>
        <w:t xml:space="preserve">, </w:t>
      </w:r>
      <w:r w:rsidR="00370364" w:rsidRPr="00366942">
        <w:rPr>
          <w:lang w:val="en-CA"/>
        </w:rPr>
        <w:t>s</w:t>
      </w:r>
      <w:r w:rsidR="00961A50" w:rsidRPr="00366942">
        <w:rPr>
          <w:lang w:val="en-CA"/>
        </w:rPr>
        <w:t>. 10</w:t>
      </w:r>
      <w:r w:rsidR="00370364" w:rsidRPr="00366942">
        <w:rPr>
          <w:lang w:val="en-CA"/>
        </w:rPr>
        <w:t>, para</w:t>
      </w:r>
      <w:r w:rsidR="00961A50" w:rsidRPr="00366942">
        <w:rPr>
          <w:lang w:val="en-CA"/>
        </w:rPr>
        <w:t>. 4 </w:t>
      </w:r>
      <w:r w:rsidR="00370364" w:rsidRPr="00366942">
        <w:rPr>
          <w:i/>
          <w:iCs/>
          <w:lang w:val="en-CA"/>
        </w:rPr>
        <w:t>HIA</w:t>
      </w:r>
      <w:r w:rsidR="00961A50" w:rsidRPr="00366942">
        <w:rPr>
          <w:lang w:val="en-CA"/>
        </w:rPr>
        <w:t xml:space="preserve"> </w:t>
      </w:r>
      <w:r w:rsidR="00370364" w:rsidRPr="00366942">
        <w:rPr>
          <w:lang w:val="en-CA"/>
        </w:rPr>
        <w:t>cannot be considered alone and in isolation</w:t>
      </w:r>
      <w:r w:rsidR="00386CC6" w:rsidRPr="00366942">
        <w:rPr>
          <w:lang w:val="en-CA"/>
        </w:rPr>
        <w:t>, as the appellant would have it</w:t>
      </w:r>
      <w:r w:rsidR="00370364" w:rsidRPr="00366942">
        <w:rPr>
          <w:lang w:val="en-CA"/>
        </w:rPr>
        <w:t xml:space="preserve">; rather, it must be considered in its general legislative context, in light of the </w:t>
      </w:r>
      <w:r w:rsidR="007A73C8" w:rsidRPr="00366942">
        <w:rPr>
          <w:lang w:val="en-CA"/>
        </w:rPr>
        <w:t>features</w:t>
      </w:r>
      <w:r w:rsidR="00370364" w:rsidRPr="00366942">
        <w:rPr>
          <w:lang w:val="en-CA"/>
        </w:rPr>
        <w:t xml:space="preserve"> of the entire scheme</w:t>
      </w:r>
      <w:r w:rsidR="00961A50" w:rsidRPr="00366942">
        <w:rPr>
          <w:lang w:val="en-CA"/>
        </w:rPr>
        <w:t xml:space="preserve">. </w:t>
      </w:r>
      <w:r w:rsidR="005F4F5C" w:rsidRPr="00366942">
        <w:rPr>
          <w:lang w:val="en-CA"/>
        </w:rPr>
        <w:t>Indeed</w:t>
      </w:r>
      <w:r w:rsidR="00961A50" w:rsidRPr="00366942">
        <w:rPr>
          <w:lang w:val="en-CA"/>
        </w:rPr>
        <w:t xml:space="preserve">, </w:t>
      </w:r>
      <w:r w:rsidR="005F4F5C" w:rsidRPr="00366942">
        <w:rPr>
          <w:lang w:val="en-CA"/>
        </w:rPr>
        <w:t>“the ameliorative effect of the law on others and the multiplicity of interests it attempts to balance will also colour the discrimination analysis.”</w:t>
      </w:r>
      <w:r w:rsidR="00961A50" w:rsidRPr="00366942">
        <w:rPr>
          <w:rStyle w:val="Appelnotedebasdep"/>
          <w:lang w:val="en-CA"/>
        </w:rPr>
        <w:footnoteReference w:id="117"/>
      </w:r>
    </w:p>
    <w:p w14:paraId="55CF3E06" w14:textId="5E9616E3" w:rsidR="00961A50" w:rsidRPr="00366942" w:rsidRDefault="00C87C61" w:rsidP="00961A50">
      <w:pPr>
        <w:pStyle w:val="Paragraphe"/>
        <w:rPr>
          <w:lang w:val="en-CA"/>
        </w:rPr>
      </w:pPr>
      <w:r w:rsidRPr="00366942">
        <w:rPr>
          <w:lang w:val="en-CA"/>
        </w:rPr>
        <w:t xml:space="preserve">As indicated earlier, the purpose of </w:t>
      </w:r>
      <w:r w:rsidR="00BB50F4" w:rsidRPr="00366942">
        <w:rPr>
          <w:lang w:val="en-CA"/>
        </w:rPr>
        <w:t xml:space="preserve">the </w:t>
      </w:r>
      <w:r w:rsidRPr="00366942">
        <w:rPr>
          <w:lang w:val="en-CA"/>
        </w:rPr>
        <w:t xml:space="preserve">scheme </w:t>
      </w:r>
      <w:r w:rsidR="00BB50F4" w:rsidRPr="00366942">
        <w:rPr>
          <w:lang w:val="en-CA"/>
        </w:rPr>
        <w:t>set up</w:t>
      </w:r>
      <w:r w:rsidRPr="00366942">
        <w:rPr>
          <w:lang w:val="en-CA"/>
        </w:rPr>
        <w:t xml:space="preserve"> by the Quebec legislature is to guarantee to all persons </w:t>
      </w:r>
      <w:r w:rsidR="009A29D8" w:rsidRPr="00366942">
        <w:rPr>
          <w:lang w:val="en-CA"/>
        </w:rPr>
        <w:t>residing or staying</w:t>
      </w:r>
      <w:r w:rsidRPr="00366942">
        <w:rPr>
          <w:lang w:val="en-CA"/>
        </w:rPr>
        <w:t xml:space="preserve"> in the province and who are registered </w:t>
      </w:r>
      <w:r w:rsidRPr="00366942">
        <w:rPr>
          <w:lang w:val="en-CA"/>
        </w:rPr>
        <w:lastRenderedPageBreak/>
        <w:t>with the Board free and universal access to health care, regardless of individuals’ characteristics, including their ability to pay</w:t>
      </w:r>
      <w:r w:rsidR="00961A50" w:rsidRPr="00366942">
        <w:rPr>
          <w:lang w:val="en-CA"/>
        </w:rPr>
        <w:t xml:space="preserve">: </w:t>
      </w:r>
      <w:r w:rsidR="00BB50F4" w:rsidRPr="00366942">
        <w:rPr>
          <w:lang w:val="en-CA"/>
        </w:rPr>
        <w:t>the aim is to ensure</w:t>
      </w:r>
      <w:r w:rsidRPr="00366942">
        <w:rPr>
          <w:lang w:val="en-CA"/>
        </w:rPr>
        <w:t xml:space="preserve"> equal access, by eliminating</w:t>
      </w:r>
      <w:r w:rsidR="00961A50" w:rsidRPr="00366942">
        <w:rPr>
          <w:lang w:val="en-CA"/>
        </w:rPr>
        <w:t xml:space="preserve"> </w:t>
      </w:r>
      <w:r w:rsidR="00BB50F4" w:rsidRPr="00366942">
        <w:rPr>
          <w:lang w:val="en-CA"/>
        </w:rPr>
        <w:t>[</w:t>
      </w:r>
      <w:r w:rsidR="00BB50F4" w:rsidRPr="00366942">
        <w:rPr>
          <w:smallCaps/>
          <w:lang w:val="en-CA"/>
        </w:rPr>
        <w:t>translation</w:t>
      </w:r>
      <w:r w:rsidR="00BB50F4" w:rsidRPr="00366942">
        <w:rPr>
          <w:lang w:val="en-CA"/>
        </w:rPr>
        <w:t>] “financial barriers to access to those services”,</w:t>
      </w:r>
      <w:r w:rsidR="00961A50" w:rsidRPr="00366942">
        <w:rPr>
          <w:rStyle w:val="Appelnotedebasdep"/>
          <w:lang w:val="en-CA"/>
        </w:rPr>
        <w:footnoteReference w:id="118"/>
      </w:r>
      <w:r w:rsidR="00BB50F4" w:rsidRPr="00366942">
        <w:rPr>
          <w:lang w:val="en-CA"/>
        </w:rPr>
        <w:t xml:space="preserve"> </w:t>
      </w:r>
      <w:r w:rsidRPr="00366942">
        <w:rPr>
          <w:lang w:val="en-CA"/>
        </w:rPr>
        <w:t>including, of course, medical services</w:t>
      </w:r>
      <w:r w:rsidR="00961A50" w:rsidRPr="00366942">
        <w:rPr>
          <w:lang w:val="en-CA"/>
        </w:rPr>
        <w:t>.</w:t>
      </w:r>
      <w:r w:rsidR="00386CC6" w:rsidRPr="00366942">
        <w:rPr>
          <w:lang w:val="en-CA"/>
        </w:rPr>
        <w:t xml:space="preserve"> The services thereby available to insured persons (i.e., the services provided under the law and regulations) are in principle rendered in Quebec,</w:t>
      </w:r>
      <w:r w:rsidR="00386CC6" w:rsidRPr="00366942">
        <w:rPr>
          <w:rStyle w:val="Appelnotedebasdep"/>
          <w:lang w:val="en-CA"/>
        </w:rPr>
        <w:footnoteReference w:id="119"/>
      </w:r>
      <w:r w:rsidR="00386CC6" w:rsidRPr="00366942">
        <w:rPr>
          <w:lang w:val="en-CA"/>
        </w:rPr>
        <w:t xml:space="preserve"> which is natural, given that, to state the obvious, the Quebec government does not control what occurs outside its borders.</w:t>
      </w:r>
    </w:p>
    <w:p w14:paraId="7896139E" w14:textId="79BA3BA2" w:rsidR="00C164F9" w:rsidRPr="00366942" w:rsidRDefault="00B036FD" w:rsidP="00C164F9">
      <w:pPr>
        <w:pStyle w:val="Paragraphe"/>
        <w:rPr>
          <w:lang w:val="en-CA"/>
        </w:rPr>
      </w:pPr>
      <w:r w:rsidRPr="00366942">
        <w:rPr>
          <w:lang w:val="en-CA"/>
        </w:rPr>
        <w:t>Th</w:t>
      </w:r>
      <w:r w:rsidR="00243B2A" w:rsidRPr="00366942">
        <w:rPr>
          <w:lang w:val="en-CA"/>
        </w:rPr>
        <w:t>is</w:t>
      </w:r>
      <w:r w:rsidRPr="00366942">
        <w:rPr>
          <w:lang w:val="en-CA"/>
        </w:rPr>
        <w:t xml:space="preserve"> </w:t>
      </w:r>
      <w:r w:rsidR="00243B2A" w:rsidRPr="00366942">
        <w:rPr>
          <w:lang w:val="en-CA"/>
        </w:rPr>
        <w:t>last</w:t>
      </w:r>
      <w:r w:rsidRPr="00366942">
        <w:rPr>
          <w:lang w:val="en-CA"/>
        </w:rPr>
        <w:t xml:space="preserve"> point is not </w:t>
      </w:r>
      <w:r w:rsidR="00243B2A" w:rsidRPr="00366942">
        <w:rPr>
          <w:lang w:val="en-CA"/>
        </w:rPr>
        <w:t>insignificant</w:t>
      </w:r>
      <w:r w:rsidRPr="00366942">
        <w:rPr>
          <w:lang w:val="en-CA"/>
        </w:rPr>
        <w:t xml:space="preserve">. If the cap provided under s. 10, para. 4 </w:t>
      </w:r>
      <w:r w:rsidRPr="00366942">
        <w:rPr>
          <w:i/>
          <w:iCs/>
          <w:lang w:val="en-CA"/>
        </w:rPr>
        <w:t>HIA</w:t>
      </w:r>
      <w:r w:rsidRPr="00366942">
        <w:rPr>
          <w:lang w:val="en-CA"/>
        </w:rPr>
        <w:t xml:space="preserve"> did not exist, any person insured under the </w:t>
      </w:r>
      <w:r w:rsidRPr="00366942">
        <w:rPr>
          <w:i/>
          <w:iCs/>
          <w:lang w:val="en-CA"/>
        </w:rPr>
        <w:t>HIA</w:t>
      </w:r>
      <w:r w:rsidRPr="00366942">
        <w:rPr>
          <w:lang w:val="en-CA"/>
        </w:rPr>
        <w:t xml:space="preserve"> and receiving care outside Quebec would be entitled</w:t>
      </w:r>
      <w:r w:rsidR="00A90ADF">
        <w:rPr>
          <w:lang w:val="en-CA"/>
        </w:rPr>
        <w:t>, under s. 10, paragr. 1,</w:t>
      </w:r>
      <w:r w:rsidRPr="00366942">
        <w:rPr>
          <w:lang w:val="en-CA"/>
        </w:rPr>
        <w:t xml:space="preserve"> to </w:t>
      </w:r>
      <w:r w:rsidR="00913252" w:rsidRPr="00366942">
        <w:rPr>
          <w:lang w:val="en-CA"/>
        </w:rPr>
        <w:t>be fully</w:t>
      </w:r>
      <w:r w:rsidRPr="00366942">
        <w:rPr>
          <w:lang w:val="en-CA"/>
        </w:rPr>
        <w:t xml:space="preserve"> reimburse</w:t>
      </w:r>
      <w:r w:rsidR="00913252" w:rsidRPr="00366942">
        <w:rPr>
          <w:lang w:val="en-CA"/>
        </w:rPr>
        <w:t>d</w:t>
      </w:r>
      <w:r w:rsidRPr="00366942">
        <w:rPr>
          <w:lang w:val="en-CA"/>
        </w:rPr>
        <w:t xml:space="preserve"> or </w:t>
      </w:r>
      <w:r w:rsidR="00913252" w:rsidRPr="00366942">
        <w:rPr>
          <w:lang w:val="en-CA"/>
        </w:rPr>
        <w:t>paid</w:t>
      </w:r>
      <w:r w:rsidRPr="00366942">
        <w:rPr>
          <w:lang w:val="en-CA"/>
        </w:rPr>
        <w:t xml:space="preserve"> the cost of medical services thus received, whether they </w:t>
      </w:r>
      <w:r w:rsidR="00913252" w:rsidRPr="00366942">
        <w:rPr>
          <w:lang w:val="en-CA"/>
        </w:rPr>
        <w:t>were</w:t>
      </w:r>
      <w:r w:rsidRPr="00366942">
        <w:rPr>
          <w:lang w:val="en-CA"/>
        </w:rPr>
        <w:t xml:space="preserve"> </w:t>
      </w:r>
      <w:r w:rsidR="00777986" w:rsidRPr="00366942">
        <w:rPr>
          <w:lang w:val="en-CA"/>
        </w:rPr>
        <w:t>foreseen</w:t>
      </w:r>
      <w:r w:rsidRPr="00366942">
        <w:rPr>
          <w:lang w:val="en-CA"/>
        </w:rPr>
        <w:t xml:space="preserve"> or un</w:t>
      </w:r>
      <w:r w:rsidR="00777986" w:rsidRPr="00366942">
        <w:rPr>
          <w:lang w:val="en-CA"/>
        </w:rPr>
        <w:t>for</w:t>
      </w:r>
      <w:r w:rsidR="00243B2A" w:rsidRPr="00366942">
        <w:rPr>
          <w:lang w:val="en-CA"/>
        </w:rPr>
        <w:t>e</w:t>
      </w:r>
      <w:r w:rsidR="00777986" w:rsidRPr="00366942">
        <w:rPr>
          <w:lang w:val="en-CA"/>
        </w:rPr>
        <w:t>seen</w:t>
      </w:r>
      <w:r w:rsidRPr="00366942">
        <w:rPr>
          <w:lang w:val="en-CA"/>
        </w:rPr>
        <w:t xml:space="preserve"> (</w:t>
      </w:r>
      <w:r w:rsidR="00913252" w:rsidRPr="00366942">
        <w:rPr>
          <w:lang w:val="en-CA"/>
        </w:rPr>
        <w:t>thereby</w:t>
      </w:r>
      <w:r w:rsidRPr="00366942">
        <w:rPr>
          <w:lang w:val="en-CA"/>
        </w:rPr>
        <w:t xml:space="preserve"> incidentally</w:t>
      </w:r>
      <w:r w:rsidR="00B04E8A" w:rsidRPr="00366942">
        <w:rPr>
          <w:lang w:val="en-CA"/>
        </w:rPr>
        <w:t xml:space="preserve"> </w:t>
      </w:r>
      <w:r w:rsidRPr="00366942">
        <w:rPr>
          <w:lang w:val="en-CA"/>
        </w:rPr>
        <w:t>neutraliz</w:t>
      </w:r>
      <w:r w:rsidR="00913252" w:rsidRPr="00366942">
        <w:rPr>
          <w:lang w:val="en-CA"/>
        </w:rPr>
        <w:t>ing</w:t>
      </w:r>
      <w:r w:rsidRPr="00366942">
        <w:rPr>
          <w:lang w:val="en-CA"/>
        </w:rPr>
        <w:t xml:space="preserve"> s. 10, para. 5 </w:t>
      </w:r>
      <w:r w:rsidRPr="00366942">
        <w:rPr>
          <w:i/>
          <w:iCs/>
          <w:lang w:val="en-CA"/>
        </w:rPr>
        <w:t>HIA</w:t>
      </w:r>
      <w:r w:rsidRPr="00366942">
        <w:rPr>
          <w:lang w:val="en-CA"/>
        </w:rPr>
        <w:t>, which would become useless)</w:t>
      </w:r>
      <w:r w:rsidR="00961A50" w:rsidRPr="00366942">
        <w:rPr>
          <w:lang w:val="en-CA"/>
        </w:rPr>
        <w:t xml:space="preserve">. </w:t>
      </w:r>
      <w:r w:rsidRPr="00366942">
        <w:rPr>
          <w:lang w:val="en-CA"/>
        </w:rPr>
        <w:t>Th</w:t>
      </w:r>
      <w:r w:rsidR="00913252" w:rsidRPr="00366942">
        <w:rPr>
          <w:lang w:val="en-CA"/>
        </w:rPr>
        <w:t>is</w:t>
      </w:r>
      <w:r w:rsidRPr="00366942">
        <w:rPr>
          <w:lang w:val="en-CA"/>
        </w:rPr>
        <w:t xml:space="preserve"> could even encourage insured persons to obtain care outside Quebec, whether elsewhere in Canada or in another country</w:t>
      </w:r>
      <w:r w:rsidR="00961A50" w:rsidRPr="00366942">
        <w:rPr>
          <w:lang w:val="en-CA"/>
        </w:rPr>
        <w:t xml:space="preserve">. </w:t>
      </w:r>
      <w:r w:rsidR="00C164F9" w:rsidRPr="00366942">
        <w:rPr>
          <w:lang w:val="en-CA"/>
        </w:rPr>
        <w:t xml:space="preserve">This is </w:t>
      </w:r>
      <w:r w:rsidR="00654DBF" w:rsidRPr="00366942">
        <w:rPr>
          <w:lang w:val="en-CA"/>
        </w:rPr>
        <w:t>like</w:t>
      </w:r>
      <w:r w:rsidR="00C164F9" w:rsidRPr="00366942">
        <w:rPr>
          <w:lang w:val="en-CA"/>
        </w:rPr>
        <w:t xml:space="preserve">ly why, from the outset, the legislator, while extending the territorial coverage of health insurance (as was already contemplated in 4(1)(d) of the federal </w:t>
      </w:r>
      <w:r w:rsidR="00C164F9" w:rsidRPr="00366942">
        <w:rPr>
          <w:i/>
          <w:iCs/>
          <w:lang w:val="en-CA"/>
        </w:rPr>
        <w:t>Medical Care Act</w:t>
      </w:r>
      <w:bookmarkStart w:id="52" w:name="_Ref174281010"/>
      <w:r w:rsidR="00C164F9" w:rsidRPr="00366942">
        <w:rPr>
          <w:rStyle w:val="Appelnotedebasdep"/>
          <w:lang w:val="en-CA"/>
        </w:rPr>
        <w:footnoteReference w:id="120"/>
      </w:r>
      <w:bookmarkEnd w:id="52"/>
      <w:r w:rsidR="00C164F9" w:rsidRPr="00366942">
        <w:rPr>
          <w:lang w:val="en-CA"/>
        </w:rPr>
        <w:t>)</w:t>
      </w:r>
      <w:r w:rsidR="00FB66EA">
        <w:rPr>
          <w:lang w:val="en-CA"/>
        </w:rPr>
        <w:t>,</w:t>
      </w:r>
      <w:r w:rsidR="00C164F9" w:rsidRPr="00366942">
        <w:rPr>
          <w:lang w:val="en-CA"/>
        </w:rPr>
        <w:t xml:space="preserve"> chose to impose a limit on the reimbursement of medical expenses incurred outside Quebec. Indeed, the principle enshrined in ss. 10 and 11 </w:t>
      </w:r>
      <w:r w:rsidR="00C164F9" w:rsidRPr="00366942">
        <w:rPr>
          <w:i/>
          <w:iCs/>
          <w:lang w:val="en-CA"/>
        </w:rPr>
        <w:t xml:space="preserve">HIA </w:t>
      </w:r>
      <w:r w:rsidR="00C164F9" w:rsidRPr="00366942">
        <w:rPr>
          <w:lang w:val="en-CA"/>
        </w:rPr>
        <w:t xml:space="preserve">exists since the original enactment, in 1970, of the public health system. At the time, this was set forth in ss. 9 and 10 of the </w:t>
      </w:r>
      <w:r w:rsidR="00B266F7">
        <w:rPr>
          <w:lang w:val="en-CA"/>
        </w:rPr>
        <w:t>A</w:t>
      </w:r>
      <w:r w:rsidR="00C164F9" w:rsidRPr="00366942">
        <w:rPr>
          <w:lang w:val="en-CA"/>
        </w:rPr>
        <w:t>ct as it then was</w:t>
      </w:r>
      <w:r w:rsidR="00C164F9" w:rsidRPr="00366942">
        <w:rPr>
          <w:rStyle w:val="Appelnotedebasdep"/>
        </w:rPr>
        <w:footnoteReference w:id="121"/>
      </w:r>
      <w:r w:rsidR="00C164F9" w:rsidRPr="00366942">
        <w:rPr>
          <w:lang w:val="en-CA"/>
        </w:rPr>
        <w:t xml:space="preserve"> and already included the limitation enshrined in the current </w:t>
      </w:r>
      <w:r w:rsidR="00654DBF" w:rsidRPr="00366942">
        <w:rPr>
          <w:i/>
          <w:iCs/>
          <w:lang w:val="en-CA"/>
        </w:rPr>
        <w:t>HIA</w:t>
      </w:r>
      <w:r w:rsidR="00C164F9"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29F1192E" w14:textId="77777777" w:rsidTr="004335D0">
        <w:tc>
          <w:tcPr>
            <w:tcW w:w="4032" w:type="dxa"/>
          </w:tcPr>
          <w:p w14:paraId="307B9247" w14:textId="77777777" w:rsidR="00C164F9" w:rsidRPr="00366942" w:rsidRDefault="00C164F9" w:rsidP="004335D0">
            <w:pPr>
              <w:pStyle w:val="Citationenretrait"/>
              <w:ind w:left="0" w:right="0"/>
              <w:rPr>
                <w:lang w:val="en-CA"/>
              </w:rPr>
            </w:pPr>
            <w:bookmarkStart w:id="53" w:name="_Hlk173006838"/>
            <w:r w:rsidRPr="00366942">
              <w:rPr>
                <w:b/>
                <w:bCs/>
                <w:lang w:val="en-CA"/>
              </w:rPr>
              <w:t>9.</w:t>
            </w:r>
            <w:r w:rsidRPr="00366942">
              <w:rPr>
                <w:lang w:val="en-CA"/>
              </w:rPr>
              <w:tab/>
              <w:t xml:space="preserve">A resident of the province of Québec shall be entitled to exact from the Board the reimbursement of the </w:t>
            </w:r>
            <w:r w:rsidRPr="00366942">
              <w:rPr>
                <w:lang w:val="en-CA"/>
              </w:rPr>
              <w:lastRenderedPageBreak/>
              <w:t>cost of the insured services furnished to him outside the province of Québec by a professional provided that such resident delivers to the Board the receipts for the fees paid by him, and furnished it with the information the Board needs to justify the payment claimed.</w:t>
            </w:r>
          </w:p>
        </w:tc>
        <w:tc>
          <w:tcPr>
            <w:tcW w:w="4032" w:type="dxa"/>
          </w:tcPr>
          <w:p w14:paraId="0FA78DA1" w14:textId="77777777" w:rsidR="00C164F9" w:rsidRPr="00366942" w:rsidRDefault="00C164F9" w:rsidP="004335D0">
            <w:pPr>
              <w:pStyle w:val="Citationenretrait"/>
              <w:ind w:left="0" w:right="0"/>
            </w:pPr>
            <w:r w:rsidRPr="00366942">
              <w:rPr>
                <w:b/>
                <w:bCs/>
              </w:rPr>
              <w:lastRenderedPageBreak/>
              <w:t>9.</w:t>
            </w:r>
            <w:r w:rsidRPr="00366942">
              <w:tab/>
              <w:t xml:space="preserve">Une personne qui réside au Québec a droit d'exiger de la Régie le remboursement du coût des services </w:t>
            </w:r>
            <w:r w:rsidRPr="00366942">
              <w:lastRenderedPageBreak/>
              <w:t>assurés qui lui ont été fournis en dehors du Québec par un professionnel de la santé pourvu qu'elle remette à la Régie les reçus d'honoraires qu'elle a payés et qu'elle lui fournisse les renseignements dont la Régie a besoin pour justifier le paiement réclamé.</w:t>
            </w:r>
          </w:p>
        </w:tc>
      </w:tr>
      <w:tr w:rsidR="00366942" w:rsidRPr="00366942" w14:paraId="572F8579" w14:textId="77777777" w:rsidTr="004335D0">
        <w:tc>
          <w:tcPr>
            <w:tcW w:w="4032" w:type="dxa"/>
          </w:tcPr>
          <w:p w14:paraId="215FBC53" w14:textId="77777777" w:rsidR="00C164F9" w:rsidRPr="00366942" w:rsidRDefault="00C164F9" w:rsidP="004335D0">
            <w:pPr>
              <w:pStyle w:val="Citationenretrait"/>
              <w:ind w:left="0" w:right="0"/>
              <w:rPr>
                <w:lang w:val="en-CA"/>
              </w:rPr>
            </w:pPr>
            <w:r w:rsidRPr="00366942">
              <w:tab/>
            </w:r>
            <w:r w:rsidRPr="00366942">
              <w:rPr>
                <w:lang w:val="en-CA"/>
              </w:rPr>
              <w:t>However, he shall only be entitled to exact the lesser of the amount he actually paid for such services or that which would have been paid by the Board for such services to a professional of the province of Québec under an agreement.</w:t>
            </w:r>
          </w:p>
        </w:tc>
        <w:tc>
          <w:tcPr>
            <w:tcW w:w="4032" w:type="dxa"/>
          </w:tcPr>
          <w:p w14:paraId="70C881FC" w14:textId="77777777" w:rsidR="00C164F9" w:rsidRPr="00366942" w:rsidRDefault="00C164F9" w:rsidP="004335D0">
            <w:pPr>
              <w:pStyle w:val="Citationenretrait"/>
              <w:ind w:left="0" w:right="0"/>
            </w:pPr>
            <w:r w:rsidRPr="00366942">
              <w:rPr>
                <w:lang w:val="en-CA"/>
              </w:rPr>
              <w:tab/>
            </w:r>
            <w:r w:rsidRPr="00366942">
              <w:t>Elle n'a toutefois droit d'exiger que le moindre du montant qu'elle a effectivement payé pour ces services ou de celui qui aurait été payé par le Régie pour de tels services à un professionnel de la santé du Québec en vertu d'une entente.</w:t>
            </w:r>
          </w:p>
        </w:tc>
      </w:tr>
      <w:tr w:rsidR="00366942" w:rsidRPr="00366942" w14:paraId="7BB5BF6E" w14:textId="77777777" w:rsidTr="004335D0">
        <w:tc>
          <w:tcPr>
            <w:tcW w:w="4032" w:type="dxa"/>
          </w:tcPr>
          <w:p w14:paraId="55206692" w14:textId="77777777" w:rsidR="00C164F9" w:rsidRPr="00366942" w:rsidRDefault="00C164F9" w:rsidP="004335D0">
            <w:pPr>
              <w:pStyle w:val="Citationenretrait"/>
              <w:ind w:left="0" w:right="0"/>
              <w:rPr>
                <w:lang w:val="en-CA"/>
              </w:rPr>
            </w:pPr>
            <w:r w:rsidRPr="00366942">
              <w:rPr>
                <w:b/>
                <w:bCs/>
                <w:lang w:val="en-CA"/>
              </w:rPr>
              <w:t>10.</w:t>
            </w:r>
            <w:r w:rsidRPr="00366942">
              <w:rPr>
                <w:lang w:val="en-CA"/>
              </w:rPr>
              <w:tab/>
              <w:t>The Board itself may also assume, on behalf of any resident of the province of Québec, payment of the cost of the services contemplated in section 9 upon presentation of a statement of fees and after having obtained the information it needs to justify the payment claimed.</w:t>
            </w:r>
          </w:p>
        </w:tc>
        <w:tc>
          <w:tcPr>
            <w:tcW w:w="4032" w:type="dxa"/>
          </w:tcPr>
          <w:p w14:paraId="570BD34B" w14:textId="77777777" w:rsidR="00C164F9" w:rsidRPr="00366942" w:rsidRDefault="00C164F9" w:rsidP="004335D0">
            <w:pPr>
              <w:pStyle w:val="Citationenretrait"/>
              <w:ind w:left="0" w:right="0"/>
            </w:pPr>
            <w:r w:rsidRPr="00366942">
              <w:rPr>
                <w:b/>
                <w:bCs/>
              </w:rPr>
              <w:t>10.</w:t>
            </w:r>
            <w:r w:rsidRPr="00366942">
              <w:tab/>
              <w:t>La Régie peut aussi assumer elle-même, pour le compte d'une personne qui réside au Québec, le paiement du coût des services visés à l'article 9, sur présentation d'un relevé d'honoraires et après avoir obtenu les renseignements dont elle a besoin pour justifier le paiement réclamé.</w:t>
            </w:r>
          </w:p>
        </w:tc>
      </w:tr>
      <w:tr w:rsidR="00366942" w:rsidRPr="00366942" w14:paraId="2CBAC5AE" w14:textId="77777777" w:rsidTr="004335D0">
        <w:tc>
          <w:tcPr>
            <w:tcW w:w="4032" w:type="dxa"/>
          </w:tcPr>
          <w:p w14:paraId="067DE157" w14:textId="77777777" w:rsidR="00C164F9" w:rsidRPr="00366942" w:rsidRDefault="00C164F9" w:rsidP="004335D0">
            <w:pPr>
              <w:pStyle w:val="Citationenretrait"/>
              <w:ind w:left="0" w:right="0"/>
              <w:rPr>
                <w:lang w:val="en-CA"/>
              </w:rPr>
            </w:pPr>
            <w:r w:rsidRPr="00366942">
              <w:tab/>
            </w:r>
            <w:r w:rsidRPr="00366942">
              <w:rPr>
                <w:rFonts w:cs="Arial"/>
                <w:szCs w:val="22"/>
                <w:shd w:val="clear" w:color="auto" w:fill="FFFFFF"/>
                <w:lang w:val="en-CA"/>
              </w:rPr>
              <w:t>Nevertheless, it shall not so pay an amount higher than that which it would have paid upon presentation of a receipt for fees under section 9</w:t>
            </w:r>
            <w:r w:rsidRPr="00366942">
              <w:rPr>
                <w:lang w:val="en-CA"/>
              </w:rPr>
              <w:t>.</w:t>
            </w:r>
          </w:p>
        </w:tc>
        <w:tc>
          <w:tcPr>
            <w:tcW w:w="4032" w:type="dxa"/>
          </w:tcPr>
          <w:p w14:paraId="263A7C2E" w14:textId="77777777" w:rsidR="00C164F9" w:rsidRPr="00366942" w:rsidRDefault="00C164F9" w:rsidP="004335D0">
            <w:pPr>
              <w:pStyle w:val="Citationenretrait"/>
              <w:ind w:left="0" w:right="0"/>
              <w:rPr>
                <w:rFonts w:cs="Arial"/>
                <w:szCs w:val="22"/>
                <w:shd w:val="clear" w:color="auto" w:fill="FFFFFF"/>
              </w:rPr>
            </w:pPr>
            <w:r w:rsidRPr="00366942">
              <w:rPr>
                <w:lang w:val="en-CA"/>
              </w:rPr>
              <w:tab/>
            </w:r>
            <w:r w:rsidRPr="00366942">
              <w:t>Elle ne peut toutefois payer ainsi un montant supérieur à celui qu'elle aurait payé sur présentation d'un reçu d'honoraires en vertu de l'article 9</w:t>
            </w:r>
            <w:r w:rsidRPr="00366942">
              <w:rPr>
                <w:rFonts w:cs="Arial"/>
                <w:szCs w:val="22"/>
                <w:shd w:val="clear" w:color="auto" w:fill="FFFFFF"/>
              </w:rPr>
              <w:t>.</w:t>
            </w:r>
          </w:p>
        </w:tc>
      </w:tr>
    </w:tbl>
    <w:bookmarkEnd w:id="53"/>
    <w:p w14:paraId="7656F7C0" w14:textId="5ED13D6B" w:rsidR="00961A50" w:rsidRPr="00366942" w:rsidRDefault="00913252" w:rsidP="00C164F9">
      <w:pPr>
        <w:pStyle w:val="Paragraphe"/>
        <w:rPr>
          <w:lang w:val="en-CA"/>
        </w:rPr>
      </w:pPr>
      <w:r w:rsidRPr="00366942">
        <w:rPr>
          <w:lang w:val="en-CA"/>
        </w:rPr>
        <w:t>In any event, it is difficult</w:t>
      </w:r>
      <w:r w:rsidR="006368BA" w:rsidRPr="00366942">
        <w:rPr>
          <w:lang w:val="en-CA"/>
        </w:rPr>
        <w:t xml:space="preserve"> </w:t>
      </w:r>
      <w:r w:rsidR="00614092">
        <w:rPr>
          <w:lang w:val="en-CA"/>
        </w:rPr>
        <w:t xml:space="preserve">to </w:t>
      </w:r>
      <w:r w:rsidR="006368BA" w:rsidRPr="00366942">
        <w:rPr>
          <w:lang w:val="en-CA"/>
        </w:rPr>
        <w:t>envision</w:t>
      </w:r>
      <w:r w:rsidRPr="00366942">
        <w:rPr>
          <w:lang w:val="en-CA"/>
        </w:rPr>
        <w:t xml:space="preserve"> </w:t>
      </w:r>
      <w:r w:rsidR="006368BA" w:rsidRPr="00366942">
        <w:rPr>
          <w:lang w:val="en-CA"/>
        </w:rPr>
        <w:t xml:space="preserve">any </w:t>
      </w:r>
      <w:r w:rsidRPr="00366942">
        <w:rPr>
          <w:lang w:val="en-CA"/>
        </w:rPr>
        <w:t>reimbursement or payment</w:t>
      </w:r>
      <w:r w:rsidR="006368BA" w:rsidRPr="00366942">
        <w:rPr>
          <w:lang w:val="en-CA"/>
        </w:rPr>
        <w:t xml:space="preserve"> without a cap,</w:t>
      </w:r>
      <w:r w:rsidRPr="00366942">
        <w:rPr>
          <w:lang w:val="en-CA"/>
        </w:rPr>
        <w:t xml:space="preserve"> </w:t>
      </w:r>
      <w:r w:rsidR="006368BA" w:rsidRPr="00366942">
        <w:rPr>
          <w:lang w:val="en-CA"/>
        </w:rPr>
        <w:t>given that</w:t>
      </w:r>
      <w:r w:rsidRPr="00366942">
        <w:rPr>
          <w:lang w:val="en-CA"/>
        </w:rPr>
        <w:t xml:space="preserve"> the resources of the Quebec government</w:t>
      </w:r>
      <w:r w:rsidR="006368BA" w:rsidRPr="00366942">
        <w:rPr>
          <w:lang w:val="en-CA"/>
        </w:rPr>
        <w:t xml:space="preserve"> (and that of taxpayers) are not </w:t>
      </w:r>
      <w:r w:rsidR="00243B2A" w:rsidRPr="00366942">
        <w:rPr>
          <w:lang w:val="en-CA"/>
        </w:rPr>
        <w:t>infinite</w:t>
      </w:r>
      <w:r w:rsidRPr="00366942">
        <w:rPr>
          <w:lang w:val="en-CA"/>
        </w:rPr>
        <w:t xml:space="preserve"> and </w:t>
      </w:r>
      <w:r w:rsidR="006368BA" w:rsidRPr="00366942">
        <w:rPr>
          <w:lang w:val="en-CA"/>
        </w:rPr>
        <w:t xml:space="preserve">that </w:t>
      </w:r>
      <w:r w:rsidRPr="00366942">
        <w:rPr>
          <w:lang w:val="en-CA"/>
        </w:rPr>
        <w:t>the control of</w:t>
      </w:r>
      <w:r w:rsidR="006368BA" w:rsidRPr="00366942">
        <w:rPr>
          <w:lang w:val="en-CA"/>
        </w:rPr>
        <w:t xml:space="preserve"> costs – all costs – is</w:t>
      </w:r>
      <w:r w:rsidR="0019347E" w:rsidRPr="00366942">
        <w:rPr>
          <w:lang w:val="en-CA"/>
        </w:rPr>
        <w:t>, it goes without saying,</w:t>
      </w:r>
      <w:r w:rsidR="006368BA" w:rsidRPr="00366942">
        <w:rPr>
          <w:lang w:val="en-CA"/>
        </w:rPr>
        <w:t xml:space="preserve"> essential to the preservation of</w:t>
      </w:r>
      <w:r w:rsidR="0019347E" w:rsidRPr="00366942">
        <w:rPr>
          <w:lang w:val="en-CA"/>
        </w:rPr>
        <w:t xml:space="preserve"> the</w:t>
      </w:r>
      <w:r w:rsidR="006368BA" w:rsidRPr="00366942">
        <w:rPr>
          <w:lang w:val="en-CA"/>
        </w:rPr>
        <w:t xml:space="preserve"> integrity of the health insurance system and the maintenance of its objectives</w:t>
      </w:r>
      <w:r w:rsidR="00961A50" w:rsidRPr="00366942">
        <w:rPr>
          <w:lang w:val="en-CA"/>
        </w:rPr>
        <w:t xml:space="preserve">. </w:t>
      </w:r>
      <w:r w:rsidR="006368BA" w:rsidRPr="00366942">
        <w:rPr>
          <w:lang w:val="en-CA"/>
        </w:rPr>
        <w:t xml:space="preserve">The fourth paragraph of s. 10 </w:t>
      </w:r>
      <w:r w:rsidR="006368BA" w:rsidRPr="00366942">
        <w:rPr>
          <w:i/>
          <w:iCs/>
          <w:lang w:val="en-CA"/>
        </w:rPr>
        <w:t>HIA</w:t>
      </w:r>
      <w:r w:rsidR="006368BA" w:rsidRPr="00366942">
        <w:rPr>
          <w:lang w:val="en-CA"/>
        </w:rPr>
        <w:t xml:space="preserve">, just as the first, is </w:t>
      </w:r>
      <w:r w:rsidR="00E22B1B" w:rsidRPr="00366942">
        <w:rPr>
          <w:lang w:val="en-CA"/>
        </w:rPr>
        <w:t>attuned to</w:t>
      </w:r>
      <w:r w:rsidR="006368BA" w:rsidRPr="00366942">
        <w:rPr>
          <w:lang w:val="en-CA"/>
        </w:rPr>
        <w:t xml:space="preserve"> </w:t>
      </w:r>
      <w:r w:rsidR="00E35F15" w:rsidRPr="00366942">
        <w:rPr>
          <w:lang w:val="en-CA"/>
        </w:rPr>
        <w:t xml:space="preserve">these </w:t>
      </w:r>
      <w:r w:rsidR="0019347E" w:rsidRPr="00366942">
        <w:rPr>
          <w:lang w:val="en-CA"/>
        </w:rPr>
        <w:t>objectives</w:t>
      </w:r>
      <w:r w:rsidR="006368BA" w:rsidRPr="00366942">
        <w:rPr>
          <w:lang w:val="en-CA"/>
        </w:rPr>
        <w:t xml:space="preserve"> and </w:t>
      </w:r>
      <w:r w:rsidR="00542A31" w:rsidRPr="00366942">
        <w:rPr>
          <w:lang w:val="en-CA"/>
        </w:rPr>
        <w:t>is informed by a</w:t>
      </w:r>
      <w:r w:rsidR="006368BA" w:rsidRPr="00366942">
        <w:rPr>
          <w:lang w:val="en-CA"/>
        </w:rPr>
        <w:t xml:space="preserve"> rational allocation of resources in the context of a public policy crafted for the benefit of the </w:t>
      </w:r>
      <w:r w:rsidR="00E22B1B" w:rsidRPr="00366942">
        <w:rPr>
          <w:lang w:val="en-CA"/>
        </w:rPr>
        <w:t>greatest number</w:t>
      </w:r>
      <w:r w:rsidR="006368BA" w:rsidRPr="00366942">
        <w:rPr>
          <w:lang w:val="en-CA"/>
        </w:rPr>
        <w:t xml:space="preserve"> and whose perennity must be ensured</w:t>
      </w:r>
      <w:r w:rsidR="00961A50" w:rsidRPr="00366942">
        <w:rPr>
          <w:lang w:val="en-CA"/>
        </w:rPr>
        <w:t>.</w:t>
      </w:r>
    </w:p>
    <w:p w14:paraId="016B721F" w14:textId="2520526C" w:rsidR="00961A50" w:rsidRPr="00366942" w:rsidRDefault="004852DA" w:rsidP="00961A50">
      <w:pPr>
        <w:pStyle w:val="Paragraphe"/>
        <w:rPr>
          <w:rFonts w:eastAsia="Calibri"/>
          <w:lang w:val="en-CA" w:eastAsia="en-US"/>
        </w:rPr>
      </w:pPr>
      <w:r w:rsidRPr="00366942">
        <w:rPr>
          <w:lang w:val="en-CA"/>
        </w:rPr>
        <w:t xml:space="preserve">It should be noted, moreover, that the other provinces and territories also impose a cap on the reimbursement or payment of the cost of medical services </w:t>
      </w:r>
      <w:r w:rsidR="00D903AE" w:rsidRPr="00366942">
        <w:rPr>
          <w:lang w:val="en-CA"/>
        </w:rPr>
        <w:t>provided</w:t>
      </w:r>
      <w:r w:rsidRPr="00366942">
        <w:rPr>
          <w:lang w:val="en-CA"/>
        </w:rPr>
        <w:t xml:space="preserve"> outside their boundaries, a cap </w:t>
      </w:r>
      <w:r w:rsidR="00542A31" w:rsidRPr="00366942">
        <w:rPr>
          <w:lang w:val="en-CA"/>
        </w:rPr>
        <w:t>that</w:t>
      </w:r>
      <w:r w:rsidRPr="00366942">
        <w:rPr>
          <w:lang w:val="en-CA"/>
        </w:rPr>
        <w:t xml:space="preserve"> varies depending on whether the services are </w:t>
      </w:r>
      <w:r w:rsidR="00D903AE" w:rsidRPr="00366942">
        <w:rPr>
          <w:lang w:val="en-CA"/>
        </w:rPr>
        <w:t>provided</w:t>
      </w:r>
      <w:r w:rsidRPr="00366942">
        <w:rPr>
          <w:lang w:val="en-CA"/>
        </w:rPr>
        <w:t xml:space="preserve"> in Canada or </w:t>
      </w:r>
      <w:r w:rsidR="00542A31" w:rsidRPr="00366942">
        <w:rPr>
          <w:lang w:val="en-CA"/>
        </w:rPr>
        <w:t>abroad</w:t>
      </w:r>
      <w:r w:rsidRPr="00366942">
        <w:rPr>
          <w:lang w:val="en-CA"/>
        </w:rPr>
        <w:t>,</w:t>
      </w:r>
      <w:r w:rsidR="00961A50" w:rsidRPr="00366942">
        <w:rPr>
          <w:rStyle w:val="Appelnotedebasdep"/>
          <w:lang w:val="en-CA"/>
        </w:rPr>
        <w:footnoteReference w:id="122"/>
      </w:r>
      <w:r w:rsidRPr="00366942">
        <w:rPr>
          <w:lang w:val="en-CA"/>
        </w:rPr>
        <w:t xml:space="preserve"> but which forms an integral part of all provincial and territorial plans, </w:t>
      </w:r>
      <w:r w:rsidRPr="00366942">
        <w:rPr>
          <w:lang w:val="en-CA"/>
        </w:rPr>
        <w:lastRenderedPageBreak/>
        <w:t xml:space="preserve">although </w:t>
      </w:r>
      <w:r w:rsidR="00D903AE" w:rsidRPr="00366942">
        <w:rPr>
          <w:lang w:val="en-CA"/>
        </w:rPr>
        <w:t xml:space="preserve">it is </w:t>
      </w:r>
      <w:r w:rsidRPr="00366942">
        <w:rPr>
          <w:lang w:val="en-CA"/>
        </w:rPr>
        <w:t>not the same everywhere</w:t>
      </w:r>
      <w:r w:rsidR="00961A50" w:rsidRPr="00366942">
        <w:rPr>
          <w:lang w:val="en-CA"/>
        </w:rPr>
        <w:t>.</w:t>
      </w:r>
      <w:bookmarkStart w:id="54" w:name="_Hlk173774763"/>
      <w:r w:rsidR="00961A50" w:rsidRPr="00366942">
        <w:rPr>
          <w:lang w:val="en-CA"/>
        </w:rPr>
        <w:t xml:space="preserve"> </w:t>
      </w:r>
      <w:r w:rsidRPr="00366942">
        <w:rPr>
          <w:lang w:val="en-CA"/>
        </w:rPr>
        <w:t>Although not determinative, the comparison is nevertheless useful and illustrative</w:t>
      </w:r>
      <w:r w:rsidR="00961A50" w:rsidRPr="00366942">
        <w:rPr>
          <w:lang w:val="en-CA"/>
        </w:rPr>
        <w:t>.</w:t>
      </w:r>
    </w:p>
    <w:p w14:paraId="4BC584D5" w14:textId="4B3EB89D" w:rsidR="00C04FDB" w:rsidRPr="00366942" w:rsidRDefault="00D903AE" w:rsidP="00961A50">
      <w:pPr>
        <w:pStyle w:val="Paragraphe"/>
        <w:rPr>
          <w:rFonts w:eastAsia="Calibri"/>
          <w:lang w:val="en-CA" w:eastAsia="en-US"/>
        </w:rPr>
      </w:pPr>
      <w:r w:rsidRPr="00366942">
        <w:rPr>
          <w:rFonts w:eastAsia="Calibri"/>
          <w:lang w:val="en-CA" w:eastAsia="en-US"/>
        </w:rPr>
        <w:t xml:space="preserve">Thus, </w:t>
      </w:r>
      <w:r w:rsidR="004242C4" w:rsidRPr="00366942">
        <w:rPr>
          <w:rFonts w:eastAsia="Calibri"/>
          <w:lang w:val="en-CA" w:eastAsia="en-US"/>
        </w:rPr>
        <w:t xml:space="preserve">subject to any </w:t>
      </w:r>
      <w:r w:rsidRPr="00366942">
        <w:rPr>
          <w:rFonts w:eastAsia="Calibri"/>
          <w:lang w:val="en-CA" w:eastAsia="en-US"/>
        </w:rPr>
        <w:t>interjurisdictional arrangements</w:t>
      </w:r>
      <w:r w:rsidR="00961A50" w:rsidRPr="00366942">
        <w:rPr>
          <w:rFonts w:eastAsia="Calibri"/>
          <w:lang w:val="en-CA" w:eastAsia="en-US"/>
        </w:rPr>
        <w:t xml:space="preserve">, </w:t>
      </w:r>
      <w:r w:rsidRPr="00366942">
        <w:rPr>
          <w:rFonts w:eastAsia="Calibri"/>
          <w:lang w:val="en-CA" w:eastAsia="en-US"/>
        </w:rPr>
        <w:t>in</w:t>
      </w:r>
      <w:r w:rsidR="00961A50" w:rsidRPr="00366942">
        <w:rPr>
          <w:rFonts w:eastAsia="Calibri"/>
          <w:lang w:val="en-CA" w:eastAsia="en-US"/>
        </w:rPr>
        <w:t xml:space="preserve"> Alberta</w:t>
      </w:r>
      <w:r w:rsidRPr="00366942">
        <w:rPr>
          <w:rFonts w:eastAsia="Calibri"/>
          <w:lang w:val="en-CA" w:eastAsia="en-US"/>
        </w:rPr>
        <w:t>,</w:t>
      </w:r>
      <w:r w:rsidR="00961A50" w:rsidRPr="00366942">
        <w:rPr>
          <w:rStyle w:val="Appelnotedebasdep"/>
          <w:rFonts w:eastAsia="Calibri"/>
          <w:lang w:val="en-CA" w:eastAsia="en-US"/>
        </w:rPr>
        <w:footnoteReference w:id="123"/>
      </w:r>
      <w:r w:rsidRPr="00366942">
        <w:rPr>
          <w:rFonts w:eastAsia="Calibri"/>
          <w:lang w:val="en-CA" w:eastAsia="en-US"/>
        </w:rPr>
        <w:t xml:space="preserve"> </w:t>
      </w:r>
      <w:r w:rsidR="00961A50" w:rsidRPr="00366942">
        <w:rPr>
          <w:rFonts w:eastAsia="Calibri"/>
          <w:lang w:val="en-CA" w:eastAsia="en-US"/>
        </w:rPr>
        <w:t>Manitoba</w:t>
      </w:r>
      <w:r w:rsidRPr="00366942">
        <w:rPr>
          <w:rFonts w:eastAsia="Calibri"/>
          <w:lang w:val="en-CA" w:eastAsia="en-US"/>
        </w:rPr>
        <w:t>,</w:t>
      </w:r>
      <w:r w:rsidR="00961A50" w:rsidRPr="00366942">
        <w:rPr>
          <w:rStyle w:val="Appelnotedebasdep"/>
          <w:rFonts w:eastAsia="Calibri"/>
          <w:lang w:val="en-CA" w:eastAsia="en-US"/>
        </w:rPr>
        <w:footnoteReference w:id="124"/>
      </w:r>
      <w:r w:rsidR="00961A50" w:rsidRPr="00366942">
        <w:rPr>
          <w:rFonts w:eastAsia="Calibri"/>
          <w:lang w:val="en-CA" w:eastAsia="en-US"/>
        </w:rPr>
        <w:t xml:space="preserve"> </w:t>
      </w:r>
      <w:r w:rsidRPr="00366942">
        <w:rPr>
          <w:rFonts w:eastAsia="Calibri"/>
          <w:lang w:val="en-CA" w:eastAsia="en-US"/>
        </w:rPr>
        <w:t>New Brunswick,</w:t>
      </w:r>
      <w:r w:rsidR="00961A50" w:rsidRPr="00366942">
        <w:rPr>
          <w:rStyle w:val="Appelnotedebasdep"/>
          <w:rFonts w:eastAsia="Calibri"/>
          <w:lang w:val="en-CA" w:eastAsia="en-US"/>
        </w:rPr>
        <w:footnoteReference w:id="125"/>
      </w:r>
      <w:r w:rsidRPr="00366942">
        <w:rPr>
          <w:rFonts w:eastAsia="Calibri"/>
          <w:lang w:val="en-CA" w:eastAsia="en-US"/>
        </w:rPr>
        <w:t xml:space="preserve"> </w:t>
      </w:r>
      <w:r w:rsidR="00961A50" w:rsidRPr="00366942">
        <w:rPr>
          <w:rFonts w:eastAsia="Calibri"/>
          <w:lang w:val="en-CA" w:eastAsia="en-US"/>
        </w:rPr>
        <w:t>Nunavut</w:t>
      </w:r>
      <w:r w:rsidRPr="00366942">
        <w:rPr>
          <w:rFonts w:eastAsia="Calibri"/>
          <w:lang w:val="en-CA" w:eastAsia="en-US"/>
        </w:rPr>
        <w:t>,</w:t>
      </w:r>
      <w:r w:rsidR="00961A50" w:rsidRPr="00366942">
        <w:rPr>
          <w:rStyle w:val="Appelnotedebasdep"/>
          <w:rFonts w:eastAsia="Calibri"/>
          <w:lang w:val="en-CA" w:eastAsia="en-US"/>
        </w:rPr>
        <w:footnoteReference w:id="126"/>
      </w:r>
      <w:r w:rsidRPr="00366942">
        <w:rPr>
          <w:rFonts w:eastAsia="Calibri"/>
          <w:lang w:val="en-CA" w:eastAsia="en-US"/>
        </w:rPr>
        <w:t xml:space="preserve"> Newfoundland and Labrador,</w:t>
      </w:r>
      <w:r w:rsidR="00961A50" w:rsidRPr="00366942">
        <w:rPr>
          <w:rStyle w:val="Appelnotedebasdep"/>
          <w:rFonts w:eastAsia="Calibri"/>
          <w:lang w:val="en-CA" w:eastAsia="en-US"/>
        </w:rPr>
        <w:footnoteReference w:id="127"/>
      </w:r>
      <w:r w:rsidR="00961A50" w:rsidRPr="00366942">
        <w:rPr>
          <w:rFonts w:eastAsia="Calibri"/>
          <w:lang w:val="en-CA" w:eastAsia="en-US"/>
        </w:rPr>
        <w:t xml:space="preserve"> </w:t>
      </w:r>
      <w:r w:rsidRPr="00366942">
        <w:rPr>
          <w:rFonts w:eastAsia="Calibri"/>
          <w:lang w:val="en-CA" w:eastAsia="en-US"/>
        </w:rPr>
        <w:t>and the Northwest Territories,</w:t>
      </w:r>
      <w:r w:rsidR="00961A50" w:rsidRPr="00366942">
        <w:rPr>
          <w:rStyle w:val="Appelnotedebasdep"/>
          <w:rFonts w:eastAsia="Calibri"/>
          <w:lang w:val="en-CA" w:eastAsia="en-US"/>
        </w:rPr>
        <w:footnoteReference w:id="128"/>
      </w:r>
      <w:r w:rsidRPr="00366942">
        <w:rPr>
          <w:rFonts w:eastAsia="Calibri"/>
          <w:lang w:val="en-CA" w:eastAsia="en-US"/>
        </w:rPr>
        <w:t xml:space="preserve"> the reimbursement of the cost of medical services received in Canada cannot </w:t>
      </w:r>
      <w:r w:rsidR="00542A31" w:rsidRPr="00366942">
        <w:rPr>
          <w:rFonts w:eastAsia="Calibri"/>
          <w:lang w:val="en-CA" w:eastAsia="en-US"/>
        </w:rPr>
        <w:t>in principle</w:t>
      </w:r>
      <w:r w:rsidRPr="00366942">
        <w:rPr>
          <w:rFonts w:eastAsia="Calibri"/>
          <w:lang w:val="en-CA" w:eastAsia="en-US"/>
        </w:rPr>
        <w:t xml:space="preserve"> exceed </w:t>
      </w:r>
      <w:r w:rsidR="002F354D" w:rsidRPr="00366942">
        <w:rPr>
          <w:rFonts w:eastAsia="Calibri"/>
          <w:lang w:val="en-CA" w:eastAsia="en-US"/>
        </w:rPr>
        <w:t xml:space="preserve">an </w:t>
      </w:r>
      <w:r w:rsidRPr="00366942">
        <w:rPr>
          <w:rFonts w:eastAsia="Calibri"/>
          <w:lang w:val="en-CA" w:eastAsia="en-US"/>
        </w:rPr>
        <w:t xml:space="preserve">amount </w:t>
      </w:r>
      <w:r w:rsidR="002F354D" w:rsidRPr="00366942">
        <w:rPr>
          <w:rFonts w:eastAsia="Calibri"/>
          <w:lang w:val="en-CA" w:eastAsia="en-US"/>
        </w:rPr>
        <w:t xml:space="preserve">calculated on the basis of </w:t>
      </w:r>
      <w:r w:rsidRPr="00366942">
        <w:rPr>
          <w:rFonts w:eastAsia="Calibri"/>
          <w:lang w:val="en-CA" w:eastAsia="en-US"/>
        </w:rPr>
        <w:t xml:space="preserve">the rates provided by </w:t>
      </w:r>
      <w:r w:rsidR="001117D2" w:rsidRPr="00366942">
        <w:rPr>
          <w:rFonts w:eastAsia="Calibri"/>
          <w:lang w:val="en-CA" w:eastAsia="en-US"/>
        </w:rPr>
        <w:t xml:space="preserve">the </w:t>
      </w:r>
      <w:r w:rsidRPr="00366942">
        <w:rPr>
          <w:rFonts w:eastAsia="Calibri"/>
          <w:lang w:val="en-CA" w:eastAsia="en-US"/>
        </w:rPr>
        <w:t>public plan of the province or territory</w:t>
      </w:r>
      <w:r w:rsidR="00961A50" w:rsidRPr="00366942">
        <w:rPr>
          <w:rFonts w:eastAsia="Calibri"/>
          <w:lang w:val="en-CA" w:eastAsia="en-US"/>
        </w:rPr>
        <w:t xml:space="preserve"> </w:t>
      </w:r>
      <w:r w:rsidRPr="00366942">
        <w:rPr>
          <w:rFonts w:eastAsia="Calibri"/>
          <w:lang w:val="en-CA" w:eastAsia="en-US"/>
        </w:rPr>
        <w:t xml:space="preserve">in which were they were provided </w:t>
      </w:r>
      <w:r w:rsidR="00961A50" w:rsidRPr="00366942">
        <w:rPr>
          <w:rFonts w:eastAsia="Calibri"/>
          <w:lang w:val="en-CA" w:eastAsia="en-US"/>
        </w:rPr>
        <w:t>(</w:t>
      </w:r>
      <w:r w:rsidRPr="00366942">
        <w:rPr>
          <w:rFonts w:eastAsia="Calibri"/>
          <w:lang w:val="en-CA" w:eastAsia="en-US"/>
        </w:rPr>
        <w:t xml:space="preserve">which appears to </w:t>
      </w:r>
      <w:r w:rsidR="00542A31" w:rsidRPr="00366942">
        <w:rPr>
          <w:rFonts w:eastAsia="Calibri"/>
          <w:lang w:val="en-CA" w:eastAsia="en-US"/>
        </w:rPr>
        <w:t>correspond to</w:t>
      </w:r>
      <w:r w:rsidRPr="00366942">
        <w:rPr>
          <w:rFonts w:eastAsia="Calibri"/>
          <w:lang w:val="en-CA" w:eastAsia="en-US"/>
        </w:rPr>
        <w:t xml:space="preserve"> s</w:t>
      </w:r>
      <w:r w:rsidR="00961A50" w:rsidRPr="00366942">
        <w:rPr>
          <w:rFonts w:eastAsia="Calibri"/>
          <w:lang w:val="en-CA" w:eastAsia="en-US"/>
        </w:rPr>
        <w:t>. 11(1)</w:t>
      </w:r>
      <w:r w:rsidRPr="00366942">
        <w:rPr>
          <w:rFonts w:eastAsia="Calibri"/>
          <w:lang w:val="en-CA" w:eastAsia="en-US"/>
        </w:rPr>
        <w:t>(</w:t>
      </w:r>
      <w:r w:rsidR="00961A50" w:rsidRPr="00366942">
        <w:rPr>
          <w:rFonts w:eastAsia="Calibri"/>
          <w:lang w:val="en-CA" w:eastAsia="en-US"/>
        </w:rPr>
        <w:t xml:space="preserve">b)(i) </w:t>
      </w:r>
      <w:r w:rsidRPr="00366942">
        <w:rPr>
          <w:rFonts w:eastAsia="Calibri"/>
          <w:lang w:val="en-CA" w:eastAsia="en-US"/>
        </w:rPr>
        <w:t>of the</w:t>
      </w:r>
      <w:r w:rsidR="00961A50" w:rsidRPr="00366942">
        <w:rPr>
          <w:rFonts w:eastAsia="Calibri"/>
          <w:lang w:val="en-CA" w:eastAsia="en-US"/>
        </w:rPr>
        <w:t xml:space="preserve"> </w:t>
      </w:r>
      <w:r w:rsidRPr="00366942">
        <w:rPr>
          <w:rFonts w:eastAsia="Calibri"/>
          <w:i/>
          <w:iCs/>
          <w:lang w:val="en-CA" w:eastAsia="en-US"/>
        </w:rPr>
        <w:t>Canada Health Act</w:t>
      </w:r>
      <w:r w:rsidR="00961A50" w:rsidRPr="00366942">
        <w:rPr>
          <w:rFonts w:eastAsia="Calibri"/>
          <w:lang w:val="en-CA" w:eastAsia="en-US"/>
        </w:rPr>
        <w:t>).</w:t>
      </w:r>
    </w:p>
    <w:p w14:paraId="62A33B73" w14:textId="5769E559" w:rsidR="00C04FDB" w:rsidRPr="00366942" w:rsidRDefault="009029D2" w:rsidP="00961A50">
      <w:pPr>
        <w:pStyle w:val="Paragraphe"/>
        <w:rPr>
          <w:rFonts w:eastAsia="Calibri"/>
          <w:lang w:val="en-CA" w:eastAsia="en-US"/>
        </w:rPr>
      </w:pPr>
      <w:r w:rsidRPr="00366942">
        <w:rPr>
          <w:rFonts w:eastAsia="Calibri"/>
          <w:lang w:val="en-CA" w:eastAsia="en-US"/>
        </w:rPr>
        <w:t>By contrast</w:t>
      </w:r>
      <w:r w:rsidR="00961A50" w:rsidRPr="00366942">
        <w:rPr>
          <w:rFonts w:eastAsia="Calibri"/>
          <w:lang w:val="en-CA" w:eastAsia="en-US"/>
        </w:rPr>
        <w:t xml:space="preserve">, </w:t>
      </w:r>
      <w:r w:rsidRPr="00366942">
        <w:rPr>
          <w:rFonts w:eastAsia="Calibri"/>
          <w:lang w:val="en-CA" w:eastAsia="en-US"/>
        </w:rPr>
        <w:t>and subject to interjurisdictional agreements negotiated by their governments, Prince Edward Island,</w:t>
      </w:r>
      <w:r w:rsidR="00961A50" w:rsidRPr="00366942">
        <w:rPr>
          <w:rFonts w:eastAsia="Calibri"/>
          <w:vertAlign w:val="superscript"/>
          <w:lang w:val="en-CA" w:eastAsia="en-US"/>
        </w:rPr>
        <w:footnoteReference w:id="129"/>
      </w:r>
      <w:r w:rsidR="00961A50" w:rsidRPr="00366942">
        <w:rPr>
          <w:rFonts w:eastAsia="Calibri"/>
          <w:lang w:val="en-CA" w:eastAsia="en-US"/>
        </w:rPr>
        <w:t xml:space="preserve"> Ontario</w:t>
      </w:r>
      <w:r w:rsidRPr="00366942">
        <w:rPr>
          <w:rFonts w:eastAsia="Calibri"/>
          <w:lang w:val="en-CA" w:eastAsia="en-US"/>
        </w:rPr>
        <w:t>,</w:t>
      </w:r>
      <w:r w:rsidR="00961A50" w:rsidRPr="00366942">
        <w:rPr>
          <w:rStyle w:val="Appelnotedebasdep"/>
          <w:rFonts w:eastAsia="Calibri"/>
          <w:lang w:val="en-CA" w:eastAsia="en-US"/>
        </w:rPr>
        <w:footnoteReference w:id="130"/>
      </w:r>
      <w:r w:rsidR="00961A50" w:rsidRPr="00366942">
        <w:rPr>
          <w:rFonts w:eastAsia="Calibri"/>
          <w:lang w:val="en-CA" w:eastAsia="en-US"/>
        </w:rPr>
        <w:t xml:space="preserve"> Saskatchewan</w:t>
      </w:r>
      <w:r w:rsidRPr="00366942">
        <w:rPr>
          <w:rFonts w:eastAsia="Calibri"/>
          <w:lang w:val="en-CA" w:eastAsia="en-US"/>
        </w:rPr>
        <w:t>,</w:t>
      </w:r>
      <w:r w:rsidR="00961A50" w:rsidRPr="00366942">
        <w:rPr>
          <w:rStyle w:val="Appelnotedebasdep"/>
          <w:rFonts w:eastAsia="Calibri"/>
          <w:lang w:val="en-CA" w:eastAsia="en-US"/>
        </w:rPr>
        <w:footnoteReference w:id="131"/>
      </w:r>
      <w:r w:rsidR="00961A50" w:rsidRPr="00366942">
        <w:rPr>
          <w:rFonts w:eastAsia="Calibri"/>
          <w:lang w:val="en-CA" w:eastAsia="en-US"/>
        </w:rPr>
        <w:t xml:space="preserve"> </w:t>
      </w:r>
      <w:r w:rsidRPr="00366942">
        <w:rPr>
          <w:rFonts w:eastAsia="Calibri"/>
          <w:lang w:val="en-CA" w:eastAsia="en-US"/>
        </w:rPr>
        <w:t>and</w:t>
      </w:r>
      <w:r w:rsidR="00961A50" w:rsidRPr="00366942">
        <w:rPr>
          <w:rFonts w:eastAsia="Calibri"/>
          <w:lang w:val="en-CA" w:eastAsia="en-US"/>
        </w:rPr>
        <w:t xml:space="preserve"> Yukon</w:t>
      </w:r>
      <w:r w:rsidR="00961A50" w:rsidRPr="00366942">
        <w:rPr>
          <w:rStyle w:val="Appelnotedebasdep"/>
          <w:rFonts w:eastAsia="Calibri"/>
          <w:lang w:val="en-CA" w:eastAsia="en-US"/>
        </w:rPr>
        <w:footnoteReference w:id="132"/>
      </w:r>
      <w:r w:rsidR="00961A50" w:rsidRPr="00366942">
        <w:rPr>
          <w:rFonts w:eastAsia="Calibri"/>
          <w:lang w:val="en-CA" w:eastAsia="en-US"/>
        </w:rPr>
        <w:t xml:space="preserve"> </w:t>
      </w:r>
      <w:r w:rsidRPr="00366942">
        <w:rPr>
          <w:rFonts w:eastAsia="Calibri"/>
          <w:lang w:val="en-CA" w:eastAsia="en-US"/>
        </w:rPr>
        <w:t xml:space="preserve">reimburse or pay medical services obtained outside those jurisdictions according to their own </w:t>
      </w:r>
      <w:r w:rsidR="00151B84" w:rsidRPr="00366942">
        <w:rPr>
          <w:rFonts w:eastAsia="Calibri"/>
          <w:lang w:val="en-CA" w:eastAsia="en-US"/>
        </w:rPr>
        <w:t>scales</w:t>
      </w:r>
      <w:r w:rsidR="00961A50" w:rsidRPr="00366942">
        <w:rPr>
          <w:rFonts w:eastAsia="Calibri"/>
          <w:lang w:val="en-CA" w:eastAsia="en-US"/>
        </w:rPr>
        <w:t xml:space="preserve"> (</w:t>
      </w:r>
      <w:r w:rsidRPr="00366942">
        <w:rPr>
          <w:rFonts w:eastAsia="Calibri"/>
          <w:lang w:val="en-CA" w:eastAsia="en-US"/>
        </w:rPr>
        <w:t>as does</w:t>
      </w:r>
      <w:r w:rsidR="00961A50" w:rsidRPr="00366942">
        <w:rPr>
          <w:rFonts w:eastAsia="Calibri"/>
          <w:lang w:val="en-CA" w:eastAsia="en-US"/>
        </w:rPr>
        <w:t xml:space="preserve"> Qu</w:t>
      </w:r>
      <w:r w:rsidRPr="00366942">
        <w:rPr>
          <w:rFonts w:eastAsia="Calibri"/>
          <w:lang w:val="en-CA" w:eastAsia="en-US"/>
        </w:rPr>
        <w:t>e</w:t>
      </w:r>
      <w:r w:rsidR="00961A50" w:rsidRPr="00366942">
        <w:rPr>
          <w:rFonts w:eastAsia="Calibri"/>
          <w:lang w:val="en-CA" w:eastAsia="en-US"/>
        </w:rPr>
        <w:t>bec)</w:t>
      </w:r>
      <w:bookmarkStart w:id="57" w:name="_Hlk173774725"/>
      <w:r w:rsidR="00961A50" w:rsidRPr="00366942">
        <w:rPr>
          <w:rFonts w:eastAsia="Calibri"/>
          <w:lang w:val="en-CA" w:eastAsia="en-US"/>
        </w:rPr>
        <w:t>.</w:t>
      </w:r>
    </w:p>
    <w:p w14:paraId="1D2B0BCA" w14:textId="6FF8DD8A" w:rsidR="00AC27DC" w:rsidRPr="00366942" w:rsidRDefault="009029D2" w:rsidP="00961A50">
      <w:pPr>
        <w:pStyle w:val="Paragraphe"/>
        <w:rPr>
          <w:rFonts w:eastAsia="Calibri"/>
          <w:lang w:val="en-CA" w:eastAsia="en-US"/>
        </w:rPr>
      </w:pPr>
      <w:r w:rsidRPr="00366942">
        <w:rPr>
          <w:rFonts w:eastAsia="Calibri"/>
          <w:lang w:val="en-CA" w:eastAsia="en-US"/>
        </w:rPr>
        <w:t xml:space="preserve">For its part, </w:t>
      </w:r>
      <w:r w:rsidR="004242C4" w:rsidRPr="00366942">
        <w:rPr>
          <w:rFonts w:eastAsia="Calibri"/>
          <w:lang w:val="en-CA" w:eastAsia="en-US"/>
        </w:rPr>
        <w:t xml:space="preserve">unless an </w:t>
      </w:r>
      <w:r w:rsidRPr="00366942">
        <w:rPr>
          <w:rFonts w:eastAsia="Calibri"/>
          <w:lang w:val="en-CA" w:eastAsia="en-US"/>
        </w:rPr>
        <w:t>interprovincial or other agreement</w:t>
      </w:r>
      <w:r w:rsidR="004242C4" w:rsidRPr="00366942">
        <w:rPr>
          <w:rFonts w:eastAsia="Calibri"/>
          <w:lang w:val="en-CA" w:eastAsia="en-US"/>
        </w:rPr>
        <w:t xml:space="preserve"> is reached</w:t>
      </w:r>
      <w:r w:rsidRPr="00366942">
        <w:rPr>
          <w:rFonts w:eastAsia="Calibri"/>
          <w:lang w:val="en-CA" w:eastAsia="en-US"/>
        </w:rPr>
        <w:t>,</w:t>
      </w:r>
      <w:r w:rsidR="00961A50" w:rsidRPr="00366942">
        <w:rPr>
          <w:rFonts w:eastAsia="Calibri"/>
          <w:lang w:val="en-CA" w:eastAsia="en-US"/>
        </w:rPr>
        <w:t xml:space="preserve"> </w:t>
      </w:r>
      <w:r w:rsidRPr="00366942">
        <w:rPr>
          <w:rFonts w:eastAsia="Calibri"/>
          <w:lang w:val="en-CA" w:eastAsia="en-US"/>
        </w:rPr>
        <w:t>Nova Scotia reimburses or pays the cost of medical services received outside the province up to a reasonable amount determined by the Minister, who can set a maximum.</w:t>
      </w:r>
      <w:r w:rsidR="00961A50" w:rsidRPr="00366942">
        <w:rPr>
          <w:rStyle w:val="Appelnotedebasdep"/>
          <w:rFonts w:eastAsia="Calibri"/>
          <w:lang w:val="en-CA" w:eastAsia="en-US"/>
        </w:rPr>
        <w:footnoteReference w:id="133"/>
      </w:r>
      <w:bookmarkEnd w:id="57"/>
      <w:r w:rsidRPr="00366942">
        <w:rPr>
          <w:rFonts w:eastAsia="Calibri"/>
          <w:lang w:val="en-CA" w:eastAsia="en-US"/>
        </w:rPr>
        <w:t xml:space="preserve"> </w:t>
      </w:r>
      <w:bookmarkStart w:id="58" w:name="_Ref174283902"/>
      <w:r w:rsidRPr="00366942">
        <w:rPr>
          <w:rFonts w:eastAsia="Calibri"/>
          <w:lang w:val="en-CA" w:eastAsia="en-US"/>
        </w:rPr>
        <w:t>The same appears to be the case in British Columbia where, absent any reciprocity agreement, the</w:t>
      </w:r>
      <w:r w:rsidR="00707AB4" w:rsidRPr="00366942">
        <w:rPr>
          <w:rFonts w:eastAsia="Calibri"/>
          <w:lang w:val="en-CA" w:eastAsia="en-US"/>
        </w:rPr>
        <w:t xml:space="preserve"> competent</w:t>
      </w:r>
      <w:r w:rsidRPr="00366942">
        <w:rPr>
          <w:rFonts w:eastAsia="Calibri"/>
          <w:lang w:val="en-CA" w:eastAsia="en-US"/>
        </w:rPr>
        <w:t xml:space="preserve"> </w:t>
      </w:r>
      <w:r w:rsidR="00707AB4" w:rsidRPr="00366942">
        <w:rPr>
          <w:rFonts w:eastAsia="Calibri"/>
          <w:lang w:val="en-CA" w:eastAsia="en-US"/>
        </w:rPr>
        <w:t xml:space="preserve">authority </w:t>
      </w:r>
      <w:r w:rsidRPr="00366942">
        <w:rPr>
          <w:rFonts w:eastAsia="Calibri"/>
          <w:lang w:val="en-CA" w:eastAsia="en-US"/>
        </w:rPr>
        <w:t>determines the amount to be reimbursed.</w:t>
      </w:r>
      <w:r w:rsidR="00961A50" w:rsidRPr="00366942">
        <w:rPr>
          <w:rFonts w:eastAsia="Calibri"/>
          <w:vertAlign w:val="superscript"/>
          <w:lang w:val="en-CA" w:eastAsia="en-US"/>
        </w:rPr>
        <w:footnoteReference w:id="134"/>
      </w:r>
      <w:bookmarkEnd w:id="58"/>
    </w:p>
    <w:p w14:paraId="1205BBFF" w14:textId="3D0DF8AA" w:rsidR="00961A50" w:rsidRPr="00366942" w:rsidRDefault="00707AB4" w:rsidP="00961A50">
      <w:pPr>
        <w:pStyle w:val="Paragraphe"/>
        <w:rPr>
          <w:rFonts w:eastAsia="Calibri"/>
          <w:lang w:val="en-CA" w:eastAsia="en-US"/>
        </w:rPr>
      </w:pPr>
      <w:r w:rsidRPr="00366942">
        <w:rPr>
          <w:lang w:val="en-CA"/>
        </w:rPr>
        <w:lastRenderedPageBreak/>
        <w:t>Finally, some provinces limit reimbursement to case</w:t>
      </w:r>
      <w:r w:rsidR="004242C4" w:rsidRPr="00366942">
        <w:rPr>
          <w:lang w:val="en-CA"/>
        </w:rPr>
        <w:t>s</w:t>
      </w:r>
      <w:r w:rsidRPr="00366942">
        <w:rPr>
          <w:lang w:val="en-CA"/>
        </w:rPr>
        <w:t xml:space="preserve"> of emergency or </w:t>
      </w:r>
      <w:r w:rsidR="002E345C" w:rsidRPr="00366942">
        <w:rPr>
          <w:lang w:val="en-CA"/>
        </w:rPr>
        <w:t>unexpected</w:t>
      </w:r>
      <w:r w:rsidRPr="00366942">
        <w:rPr>
          <w:lang w:val="en-CA"/>
        </w:rPr>
        <w:t xml:space="preserve"> circumstances.</w:t>
      </w:r>
      <w:r w:rsidR="00961A50" w:rsidRPr="00366942">
        <w:rPr>
          <w:rStyle w:val="Appelnotedebasdep"/>
          <w:lang w:val="en-CA"/>
        </w:rPr>
        <w:footnoteReference w:id="135"/>
      </w:r>
    </w:p>
    <w:p w14:paraId="0109E9FA" w14:textId="2256CA01" w:rsidR="00961A50" w:rsidRPr="00366942" w:rsidRDefault="004242C4" w:rsidP="00961A50">
      <w:pPr>
        <w:pStyle w:val="Paragraphe"/>
        <w:rPr>
          <w:rFonts w:eastAsia="Calibri"/>
          <w:lang w:val="en-CA" w:eastAsia="en-US"/>
        </w:rPr>
      </w:pPr>
      <w:r w:rsidRPr="00366942">
        <w:rPr>
          <w:lang w:val="en-CA"/>
        </w:rPr>
        <w:t>For</w:t>
      </w:r>
      <w:r w:rsidR="001A607B" w:rsidRPr="00366942">
        <w:rPr>
          <w:lang w:val="en-CA"/>
        </w:rPr>
        <w:t xml:space="preserve"> services outside</w:t>
      </w:r>
      <w:r w:rsidR="00961A50" w:rsidRPr="00366942">
        <w:rPr>
          <w:lang w:val="en-CA"/>
        </w:rPr>
        <w:t xml:space="preserve"> Canada, </w:t>
      </w:r>
      <w:r w:rsidR="001A607B" w:rsidRPr="00366942">
        <w:rPr>
          <w:lang w:val="en-CA"/>
        </w:rPr>
        <w:t xml:space="preserve">almost all provinces and territories impose a </w:t>
      </w:r>
      <w:r w:rsidRPr="00366942">
        <w:rPr>
          <w:lang w:val="en-CA"/>
        </w:rPr>
        <w:t>cap</w:t>
      </w:r>
      <w:r w:rsidR="001A607B" w:rsidRPr="00366942">
        <w:rPr>
          <w:lang w:val="en-CA"/>
        </w:rPr>
        <w:t xml:space="preserve"> similar to that of s.</w:t>
      </w:r>
      <w:r w:rsidR="00961A50" w:rsidRPr="00366942">
        <w:rPr>
          <w:lang w:val="en-CA"/>
        </w:rPr>
        <w:t> 10 al.</w:t>
      </w:r>
      <w:r w:rsidR="001A607B" w:rsidRPr="00366942">
        <w:rPr>
          <w:lang w:val="en-CA"/>
        </w:rPr>
        <w:t>, para.</w:t>
      </w:r>
      <w:r w:rsidR="00961A50" w:rsidRPr="00366942">
        <w:rPr>
          <w:lang w:val="en-CA"/>
        </w:rPr>
        <w:t> 4 </w:t>
      </w:r>
      <w:r w:rsidR="001A607B" w:rsidRPr="00366942">
        <w:rPr>
          <w:i/>
          <w:iCs/>
          <w:lang w:val="en-CA"/>
        </w:rPr>
        <w:t>HIA,</w:t>
      </w:r>
      <w:r w:rsidR="00961A50" w:rsidRPr="00366942">
        <w:rPr>
          <w:rStyle w:val="Appelnotedebasdep"/>
          <w:lang w:val="en-CA"/>
        </w:rPr>
        <w:footnoteReference w:id="136"/>
      </w:r>
      <w:r w:rsidR="001A607B" w:rsidRPr="00366942">
        <w:rPr>
          <w:lang w:val="en-CA"/>
        </w:rPr>
        <w:t xml:space="preserve"> with a few exceptions or adjustments here and there</w:t>
      </w:r>
      <w:bookmarkEnd w:id="54"/>
      <w:r w:rsidR="00961A50" w:rsidRPr="00366942">
        <w:rPr>
          <w:lang w:val="en-CA"/>
        </w:rPr>
        <w:t xml:space="preserve">. </w:t>
      </w:r>
      <w:r w:rsidR="001A607B" w:rsidRPr="00366942">
        <w:rPr>
          <w:lang w:val="en-CA"/>
        </w:rPr>
        <w:t>Thus, British Columbia reimburses a reasonable amount (</w:t>
      </w:r>
      <w:r w:rsidR="002E345C" w:rsidRPr="00366942">
        <w:rPr>
          <w:lang w:val="en-CA"/>
        </w:rPr>
        <w:t>with the above reservation)</w:t>
      </w:r>
      <w:r w:rsidR="001A607B" w:rsidRPr="00366942">
        <w:rPr>
          <w:lang w:val="en-CA"/>
        </w:rPr>
        <w:t>.</w:t>
      </w:r>
      <w:r w:rsidR="00961A50" w:rsidRPr="00366942">
        <w:rPr>
          <w:rStyle w:val="Appelnotedebasdep"/>
          <w:lang w:val="en-CA"/>
        </w:rPr>
        <w:footnoteReference w:id="137"/>
      </w:r>
      <w:r w:rsidR="001A607B" w:rsidRPr="00366942">
        <w:rPr>
          <w:lang w:val="en-CA"/>
        </w:rPr>
        <w:t xml:space="preserve"> Nova Scotia does not reimburse the cost of medical services received outside Canada, except when they have been preapproved </w:t>
      </w:r>
      <w:r w:rsidR="00961A50" w:rsidRPr="00366942">
        <w:rPr>
          <w:lang w:val="en-CA"/>
        </w:rPr>
        <w:t>(</w:t>
      </w:r>
      <w:r w:rsidR="001A607B" w:rsidRPr="00366942">
        <w:rPr>
          <w:lang w:val="en-CA"/>
        </w:rPr>
        <w:t>under very specific circumstances and conditions provided in the statute.</w:t>
      </w:r>
      <w:r w:rsidR="00961A50" w:rsidRPr="00366942">
        <w:rPr>
          <w:lang w:val="en-CA"/>
        </w:rPr>
        <w:t>)</w:t>
      </w:r>
      <w:r w:rsidR="00961A50" w:rsidRPr="00366942">
        <w:rPr>
          <w:rStyle w:val="Appelnotedebasdep"/>
          <w:lang w:val="en-CA"/>
        </w:rPr>
        <w:footnoteReference w:id="138"/>
      </w:r>
    </w:p>
    <w:p w14:paraId="7461CD9B" w14:textId="0CF12EF8" w:rsidR="00961A50" w:rsidRPr="00366942" w:rsidRDefault="002E345C" w:rsidP="00961A50">
      <w:pPr>
        <w:pStyle w:val="Paragraphe"/>
        <w:rPr>
          <w:lang w:val="en-CA"/>
        </w:rPr>
      </w:pPr>
      <w:r w:rsidRPr="00366942">
        <w:rPr>
          <w:lang w:val="en-CA"/>
        </w:rPr>
        <w:t>This</w:t>
      </w:r>
      <w:r w:rsidR="006610C5" w:rsidRPr="00366942">
        <w:rPr>
          <w:lang w:val="en-CA"/>
        </w:rPr>
        <w:t xml:space="preserve"> context</w:t>
      </w:r>
      <w:r w:rsidRPr="00366942">
        <w:rPr>
          <w:lang w:val="en-CA"/>
        </w:rPr>
        <w:t xml:space="preserve"> shows</w:t>
      </w:r>
      <w:r w:rsidR="006610C5" w:rsidRPr="00366942">
        <w:rPr>
          <w:lang w:val="en-CA"/>
        </w:rPr>
        <w:t xml:space="preserve"> that the </w:t>
      </w:r>
      <w:r w:rsidRPr="00366942">
        <w:rPr>
          <w:lang w:val="en-CA"/>
        </w:rPr>
        <w:t>cap</w:t>
      </w:r>
      <w:r w:rsidR="006610C5" w:rsidRPr="00366942">
        <w:rPr>
          <w:lang w:val="en-CA"/>
        </w:rPr>
        <w:t xml:space="preserve"> imposed by the Quebec legislature on the reimbursement/payment of the cost of health services rendered outside Quebec to a person insured in Quebec is not arbitrary</w:t>
      </w:r>
      <w:r w:rsidR="00961A50" w:rsidRPr="00366942">
        <w:rPr>
          <w:lang w:val="en-CA"/>
        </w:rPr>
        <w:t xml:space="preserve">; </w:t>
      </w:r>
      <w:r w:rsidR="006610C5" w:rsidRPr="00366942">
        <w:rPr>
          <w:lang w:val="en-CA"/>
        </w:rPr>
        <w:t>moreover, it is not based on a stereotype or a prejudice. It is a limit that goes to the very nature of the health care plan</w:t>
      </w:r>
      <w:r w:rsidR="00341273" w:rsidRPr="00366942">
        <w:rPr>
          <w:lang w:val="en-CA"/>
        </w:rPr>
        <w:t xml:space="preserve"> set up by the </w:t>
      </w:r>
      <w:r w:rsidRPr="00366942">
        <w:rPr>
          <w:lang w:val="en-CA"/>
        </w:rPr>
        <w:t>p</w:t>
      </w:r>
      <w:r w:rsidR="00341273" w:rsidRPr="00366942">
        <w:rPr>
          <w:lang w:val="en-CA"/>
        </w:rPr>
        <w:t>rovince and by which the various needs, interests, requirements and constraints</w:t>
      </w:r>
      <w:r w:rsidR="006B4C38">
        <w:rPr>
          <w:lang w:val="en-CA"/>
        </w:rPr>
        <w:t xml:space="preserve"> (including financial)</w:t>
      </w:r>
      <w:r w:rsidR="00341273" w:rsidRPr="00366942">
        <w:rPr>
          <w:lang w:val="en-CA"/>
        </w:rPr>
        <w:t xml:space="preserve"> unique to a public health system can be reconciled, </w:t>
      </w:r>
      <w:r w:rsidRPr="00366942">
        <w:rPr>
          <w:lang w:val="en-CA"/>
        </w:rPr>
        <w:t>for the benefit of as many people as possible</w:t>
      </w:r>
      <w:r w:rsidR="00BF6AD4">
        <w:rPr>
          <w:rStyle w:val="Appelnotedebasdep"/>
        </w:rPr>
        <w:footnoteReference w:id="139"/>
      </w:r>
      <w:r w:rsidR="00961A50" w:rsidRPr="00366942">
        <w:rPr>
          <w:lang w:val="en-CA"/>
        </w:rPr>
        <w:t>.</w:t>
      </w:r>
      <w:r w:rsidR="00F11CB2" w:rsidRPr="00366942">
        <w:rPr>
          <w:lang w:val="en-CA"/>
        </w:rPr>
        <w:t xml:space="preserve"> It creates no more distinction (in this case based on sex) </w:t>
      </w:r>
      <w:r w:rsidR="00F11CB2" w:rsidRPr="00366942">
        <w:rPr>
          <w:lang w:val="en-CA"/>
        </w:rPr>
        <w:lastRenderedPageBreak/>
        <w:t>than if the legislature had instead decided not to reimburse out-of-province medical expenses.</w:t>
      </w:r>
    </w:p>
    <w:p w14:paraId="025E344D" w14:textId="5B239337" w:rsidR="00961A50" w:rsidRPr="00366942" w:rsidRDefault="00CE7354" w:rsidP="00961A50">
      <w:pPr>
        <w:pStyle w:val="Paragraphe"/>
        <w:rPr>
          <w:lang w:val="en-CA"/>
        </w:rPr>
      </w:pPr>
      <w:r w:rsidRPr="00366942">
        <w:rPr>
          <w:lang w:val="en-CA"/>
        </w:rPr>
        <w:t xml:space="preserve">One may regret that Quebec has not, in the matter of medical services, entered into reciprocity agreements with the provinces and territories of Canada, as it has done with respect to hospital care. That, however, is a matter of policy which does not render s. 10, para. 4 </w:t>
      </w:r>
      <w:r w:rsidRPr="00366942">
        <w:rPr>
          <w:i/>
          <w:iCs/>
          <w:lang w:val="en-CA"/>
        </w:rPr>
        <w:t>HIA</w:t>
      </w:r>
      <w:r w:rsidRPr="00366942">
        <w:rPr>
          <w:lang w:val="en-CA"/>
        </w:rPr>
        <w:t xml:space="preserve"> discriminatory, as it does not create a distinction contrary to s. 15 of the </w:t>
      </w:r>
      <w:r w:rsidRPr="00366942">
        <w:rPr>
          <w:i/>
          <w:iCs/>
          <w:lang w:val="en-CA"/>
        </w:rPr>
        <w:t xml:space="preserve">Canadian Charter </w:t>
      </w:r>
      <w:r w:rsidRPr="00366942">
        <w:rPr>
          <w:lang w:val="en-CA"/>
        </w:rPr>
        <w:t>(a distinction that, in the present case, would be based on sex).</w:t>
      </w:r>
      <w:r w:rsidRPr="00366942">
        <w:rPr>
          <w:rStyle w:val="Appelnotedebasdep"/>
        </w:rPr>
        <w:footnoteReference w:id="140"/>
      </w:r>
    </w:p>
    <w:p w14:paraId="3FC550EB" w14:textId="77777777" w:rsidR="00961A50" w:rsidRPr="00366942" w:rsidRDefault="00961A50" w:rsidP="00961A50">
      <w:pPr>
        <w:pStyle w:val="Paragraphe"/>
        <w:numPr>
          <w:ilvl w:val="0"/>
          <w:numId w:val="0"/>
        </w:numPr>
        <w:jc w:val="center"/>
        <w:rPr>
          <w:lang w:val="en-CA"/>
        </w:rPr>
      </w:pPr>
      <w:r w:rsidRPr="00366942">
        <w:rPr>
          <w:lang w:val="en-CA"/>
        </w:rPr>
        <w:t>* *</w:t>
      </w:r>
    </w:p>
    <w:p w14:paraId="0FBE1FB7" w14:textId="3EF7F69D" w:rsidR="00961A50" w:rsidRPr="00366942" w:rsidRDefault="00695E40" w:rsidP="00961A50">
      <w:pPr>
        <w:pStyle w:val="Paragraphe"/>
        <w:rPr>
          <w:lang w:val="en-CA"/>
        </w:rPr>
      </w:pPr>
      <w:r w:rsidRPr="00366942">
        <w:rPr>
          <w:lang w:val="en-CA"/>
        </w:rPr>
        <w:t>For all these reasons, I would dismiss the appeal, with legal costs</w:t>
      </w:r>
      <w:r w:rsidR="00961A50" w:rsidRPr="00366942">
        <w:rPr>
          <w:lang w:val="en-CA"/>
        </w:rPr>
        <w:t>.</w:t>
      </w:r>
    </w:p>
    <w:tbl>
      <w:tblPr>
        <w:tblW w:w="9360" w:type="dxa"/>
        <w:tblInd w:w="70" w:type="dxa"/>
        <w:tblLayout w:type="fixed"/>
        <w:tblCellMar>
          <w:left w:w="70" w:type="dxa"/>
          <w:right w:w="70" w:type="dxa"/>
        </w:tblCellMar>
        <w:tblLook w:val="0000" w:firstRow="0" w:lastRow="0" w:firstColumn="0" w:lastColumn="0" w:noHBand="0" w:noVBand="0"/>
      </w:tblPr>
      <w:tblGrid>
        <w:gridCol w:w="4735"/>
        <w:gridCol w:w="4625"/>
      </w:tblGrid>
      <w:tr w:rsidR="00366942" w:rsidRPr="00493BCF" w14:paraId="486B3875" w14:textId="77777777" w:rsidTr="00961A50">
        <w:trPr>
          <w:cantSplit/>
          <w:trHeight w:val="513"/>
        </w:trPr>
        <w:tc>
          <w:tcPr>
            <w:tcW w:w="9360" w:type="dxa"/>
            <w:gridSpan w:val="2"/>
          </w:tcPr>
          <w:p w14:paraId="0BD368E1" w14:textId="77777777" w:rsidR="00961A50" w:rsidRPr="00366942" w:rsidRDefault="00961A50" w:rsidP="00191C9C">
            <w:pPr>
              <w:rPr>
                <w:lang w:val="en-CA"/>
              </w:rPr>
            </w:pPr>
          </w:p>
        </w:tc>
      </w:tr>
      <w:tr w:rsidR="00366942" w:rsidRPr="00493BCF" w14:paraId="317B21DF" w14:textId="77777777" w:rsidTr="00961A50">
        <w:tblPrEx>
          <w:tblCellMar>
            <w:left w:w="0" w:type="dxa"/>
            <w:right w:w="0" w:type="dxa"/>
          </w:tblCellMar>
        </w:tblPrEx>
        <w:trPr>
          <w:cantSplit/>
          <w:trHeight w:val="277"/>
        </w:trPr>
        <w:tc>
          <w:tcPr>
            <w:tcW w:w="4735" w:type="dxa"/>
            <w:vMerge w:val="restart"/>
          </w:tcPr>
          <w:p w14:paraId="5461CD99" w14:textId="77777777" w:rsidR="00961A50" w:rsidRPr="00366942" w:rsidRDefault="00961A50" w:rsidP="00191C9C">
            <w:pPr>
              <w:rPr>
                <w:lang w:val="en-CA"/>
              </w:rPr>
            </w:pPr>
          </w:p>
        </w:tc>
        <w:tc>
          <w:tcPr>
            <w:tcW w:w="4625" w:type="dxa"/>
            <w:tcBorders>
              <w:bottom w:val="single" w:sz="8" w:space="0" w:color="auto"/>
            </w:tcBorders>
          </w:tcPr>
          <w:p w14:paraId="47195267" w14:textId="77777777" w:rsidR="00961A50" w:rsidRPr="00366942" w:rsidRDefault="00961A50" w:rsidP="00191C9C">
            <w:pPr>
              <w:rPr>
                <w:lang w:val="en-CA"/>
              </w:rPr>
            </w:pPr>
          </w:p>
        </w:tc>
      </w:tr>
      <w:tr w:rsidR="00961A50" w:rsidRPr="00366942" w14:paraId="6F27436D" w14:textId="77777777" w:rsidTr="00961A50">
        <w:tblPrEx>
          <w:tblCellMar>
            <w:left w:w="0" w:type="dxa"/>
            <w:right w:w="0" w:type="dxa"/>
          </w:tblCellMar>
        </w:tblPrEx>
        <w:trPr>
          <w:cantSplit/>
          <w:trHeight w:val="276"/>
        </w:trPr>
        <w:tc>
          <w:tcPr>
            <w:tcW w:w="4735" w:type="dxa"/>
            <w:vMerge/>
          </w:tcPr>
          <w:p w14:paraId="5BCF236E" w14:textId="77777777" w:rsidR="00961A50" w:rsidRPr="00366942" w:rsidRDefault="00961A50" w:rsidP="00191C9C">
            <w:pPr>
              <w:rPr>
                <w:lang w:val="en-CA"/>
              </w:rPr>
            </w:pPr>
          </w:p>
        </w:tc>
        <w:tc>
          <w:tcPr>
            <w:tcW w:w="4625" w:type="dxa"/>
          </w:tcPr>
          <w:p w14:paraId="348F0E60" w14:textId="2BC3F928" w:rsidR="00961A50" w:rsidRPr="00366942" w:rsidRDefault="001C6ED6" w:rsidP="00191C9C">
            <w:r>
              <w:fldChar w:fldCharType="begin"/>
            </w:r>
            <w:r>
              <w:instrText xml:space="preserve"> REF NomJuge1 </w:instrText>
            </w:r>
            <w:r>
              <w:fldChar w:fldCharType="separate"/>
            </w:r>
            <w:r w:rsidRPr="00366942">
              <w:t>MARIE-FRANCE BICH, J.A.</w:t>
            </w:r>
            <w:r>
              <w:fldChar w:fldCharType="end"/>
            </w:r>
          </w:p>
        </w:tc>
      </w:tr>
      <w:bookmarkEnd w:id="11"/>
    </w:tbl>
    <w:p w14:paraId="43FDA331" w14:textId="77777777" w:rsidR="00740A17" w:rsidRPr="00366942" w:rsidRDefault="00740A17" w:rsidP="004D03F2"/>
    <w:sectPr w:rsidR="00740A17" w:rsidRPr="00366942" w:rsidSect="00961A50">
      <w:headerReference w:type="default" r:id="rId10"/>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403C" w14:textId="77777777" w:rsidR="008D453A" w:rsidRDefault="008D453A">
      <w:r>
        <w:separator/>
      </w:r>
    </w:p>
  </w:endnote>
  <w:endnote w:type="continuationSeparator" w:id="0">
    <w:p w14:paraId="5AA05889" w14:textId="77777777" w:rsidR="008D453A" w:rsidRDefault="008D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F951" w14:textId="16628D1A" w:rsidR="00BB7C98" w:rsidRPr="00BB7C98" w:rsidRDefault="00BB7C98" w:rsidP="00BB7C98">
    <w:pPr>
      <w:pStyle w:val="Pieddepage"/>
      <w:jc w:val="right"/>
      <w:rPr>
        <w:lang w:val="en-CA"/>
      </w:rPr>
    </w:pPr>
    <w:r w:rsidRPr="00F64B97">
      <w:rPr>
        <w:lang w:val="en-CA"/>
      </w:rPr>
      <w:t>English translation of the judgment of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4D0A" w14:textId="77777777" w:rsidR="008D453A" w:rsidRDefault="008D453A">
      <w:r>
        <w:separator/>
      </w:r>
    </w:p>
  </w:footnote>
  <w:footnote w:type="continuationSeparator" w:id="0">
    <w:p w14:paraId="22FE469D" w14:textId="77777777" w:rsidR="008D453A" w:rsidRDefault="008D453A">
      <w:r>
        <w:continuationSeparator/>
      </w:r>
    </w:p>
  </w:footnote>
  <w:footnote w:id="1">
    <w:p w14:paraId="5052A289" w14:textId="21C46209"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1A0938" w:rsidRPr="00366942">
        <w:rPr>
          <w:lang w:val="en-CA"/>
        </w:rPr>
        <w:t>CQLR</w:t>
      </w:r>
      <w:r w:rsidRPr="00366942">
        <w:rPr>
          <w:lang w:val="en-CA"/>
        </w:rPr>
        <w:t>, c. A-29 [</w:t>
      </w:r>
      <w:r w:rsidR="001A0938" w:rsidRPr="00366942">
        <w:rPr>
          <w:lang w:val="en-CA"/>
        </w:rPr>
        <w:t>“</w:t>
      </w:r>
      <w:r w:rsidR="001A0938" w:rsidRPr="00366942">
        <w:rPr>
          <w:i/>
          <w:iCs/>
          <w:lang w:val="en-CA"/>
        </w:rPr>
        <w:t>HIA</w:t>
      </w:r>
      <w:r w:rsidR="001A0938" w:rsidRPr="00366942">
        <w:rPr>
          <w:lang w:val="en-CA"/>
        </w:rPr>
        <w:t>”</w:t>
      </w:r>
      <w:r w:rsidRPr="00366942">
        <w:rPr>
          <w:lang w:val="en-CA"/>
        </w:rPr>
        <w:t>].</w:t>
      </w:r>
    </w:p>
  </w:footnote>
  <w:footnote w:id="2">
    <w:p w14:paraId="0D323804" w14:textId="6C7F7EEF"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914A1C" w:rsidRPr="00366942">
        <w:rPr>
          <w:lang w:val="en-CA"/>
        </w:rPr>
        <w:t>Reproductive health care can also include</w:t>
      </w:r>
      <w:r w:rsidR="00512590" w:rsidRPr="00366942">
        <w:rPr>
          <w:lang w:val="en-CA"/>
        </w:rPr>
        <w:t xml:space="preserve">, </w:t>
      </w:r>
      <w:r w:rsidR="00512590" w:rsidRPr="00366942">
        <w:rPr>
          <w:i/>
          <w:iCs/>
          <w:lang w:val="en-CA"/>
        </w:rPr>
        <w:t>inter alia</w:t>
      </w:r>
      <w:r w:rsidR="00512590" w:rsidRPr="00366942">
        <w:rPr>
          <w:lang w:val="en-CA"/>
        </w:rPr>
        <w:t xml:space="preserve">, </w:t>
      </w:r>
      <w:r w:rsidR="00914A1C" w:rsidRPr="00366942">
        <w:rPr>
          <w:lang w:val="en-CA"/>
        </w:rPr>
        <w:t>p</w:t>
      </w:r>
      <w:r w:rsidR="001A0938" w:rsidRPr="00366942">
        <w:rPr>
          <w:lang w:val="en-CA"/>
        </w:rPr>
        <w:t>ost</w:t>
      </w:r>
      <w:r w:rsidR="00914A1C" w:rsidRPr="00366942">
        <w:rPr>
          <w:lang w:val="en-CA"/>
        </w:rPr>
        <w:t>-</w:t>
      </w:r>
      <w:r w:rsidR="001A0938" w:rsidRPr="00366942">
        <w:rPr>
          <w:lang w:val="en-CA"/>
        </w:rPr>
        <w:t>partum care</w:t>
      </w:r>
      <w:r w:rsidR="00512590" w:rsidRPr="00366942">
        <w:rPr>
          <w:lang w:val="en-CA"/>
        </w:rPr>
        <w:t xml:space="preserve"> and</w:t>
      </w:r>
      <w:r w:rsidR="001A0938" w:rsidRPr="00366942">
        <w:rPr>
          <w:lang w:val="en-CA"/>
        </w:rPr>
        <w:t xml:space="preserve"> the prevention and treatment of illnesses or abnormalities </w:t>
      </w:r>
      <w:r w:rsidR="00914A1C" w:rsidRPr="00366942">
        <w:rPr>
          <w:lang w:val="en-CA"/>
        </w:rPr>
        <w:t>of the reproductive system</w:t>
      </w:r>
      <w:r w:rsidRPr="00366942">
        <w:rPr>
          <w:lang w:val="en-CA"/>
        </w:rPr>
        <w:t>.</w:t>
      </w:r>
    </w:p>
  </w:footnote>
  <w:footnote w:id="3">
    <w:p w14:paraId="43974BCB" w14:textId="48A4DD4A" w:rsidR="0030618E" w:rsidRPr="00366942" w:rsidRDefault="0030618E">
      <w:pPr>
        <w:pStyle w:val="Notedebasdepage"/>
        <w:rPr>
          <w:lang w:val="en-CA"/>
        </w:rPr>
      </w:pPr>
      <w:r w:rsidRPr="00366942">
        <w:rPr>
          <w:rStyle w:val="Appelnotedebasdep"/>
        </w:rPr>
        <w:footnoteRef/>
      </w:r>
      <w:r w:rsidRPr="00366942">
        <w:rPr>
          <w:lang w:val="en-CA"/>
        </w:rPr>
        <w:t xml:space="preserve"> </w:t>
      </w:r>
      <w:r w:rsidRPr="00366942">
        <w:rPr>
          <w:lang w:val="en-CA"/>
        </w:rPr>
        <w:tab/>
        <w:t xml:space="preserve">According to the </w:t>
      </w:r>
      <w:r w:rsidR="00BA618B" w:rsidRPr="00366942">
        <w:rPr>
          <w:lang w:val="en-CA"/>
        </w:rPr>
        <w:t>Board</w:t>
      </w:r>
      <w:r w:rsidRPr="00366942">
        <w:rPr>
          <w:lang w:val="en-CA"/>
        </w:rPr>
        <w:t xml:space="preserve">'s first decision, some of the appellant's claims </w:t>
      </w:r>
      <w:r w:rsidR="004779F7" w:rsidRPr="00366942">
        <w:rPr>
          <w:lang w:val="en-CA"/>
        </w:rPr>
        <w:t>were</w:t>
      </w:r>
      <w:r w:rsidRPr="00366942">
        <w:rPr>
          <w:lang w:val="en-CA"/>
        </w:rPr>
        <w:t xml:space="preserve"> not covered by the </w:t>
      </w:r>
      <w:r w:rsidRPr="00366942">
        <w:rPr>
          <w:i/>
          <w:iCs/>
          <w:lang w:val="en-CA"/>
        </w:rPr>
        <w:t>HIA</w:t>
      </w:r>
      <w:r w:rsidRPr="00366942">
        <w:rPr>
          <w:lang w:val="en-CA"/>
        </w:rPr>
        <w:t>. See Exhibit P-4</w:t>
      </w:r>
      <w:r w:rsidR="004779F7" w:rsidRPr="00366942">
        <w:rPr>
          <w:lang w:val="en-CA"/>
        </w:rPr>
        <w:t xml:space="preserve">, </w:t>
      </w:r>
      <w:r w:rsidR="004779F7" w:rsidRPr="00366942">
        <w:rPr>
          <w:i/>
          <w:iCs/>
          <w:lang w:val="en-CA"/>
        </w:rPr>
        <w:t xml:space="preserve">Statement of payments and Reimbursement </w:t>
      </w:r>
      <w:r w:rsidR="004779F7" w:rsidRPr="00366942">
        <w:rPr>
          <w:lang w:val="en-CA"/>
        </w:rPr>
        <w:t>(February 10, 2017).</w:t>
      </w:r>
    </w:p>
  </w:footnote>
  <w:footnote w:id="4">
    <w:p w14:paraId="5A9BA78D" w14:textId="12D6CBEC"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t xml:space="preserve">Part I </w:t>
      </w:r>
      <w:r w:rsidR="008479D8" w:rsidRPr="00366942">
        <w:rPr>
          <w:lang w:val="en-CA"/>
        </w:rPr>
        <w:t>of the</w:t>
      </w:r>
      <w:r w:rsidRPr="00366942">
        <w:rPr>
          <w:lang w:val="en-CA"/>
        </w:rPr>
        <w:t xml:space="preserve"> </w:t>
      </w:r>
      <w:r w:rsidR="008479D8" w:rsidRPr="00366942">
        <w:rPr>
          <w:i/>
          <w:iCs/>
          <w:lang w:val="en-CA"/>
        </w:rPr>
        <w:t>Constitution Act</w:t>
      </w:r>
      <w:r w:rsidR="0054361E" w:rsidRPr="00366942">
        <w:rPr>
          <w:i/>
          <w:iCs/>
          <w:lang w:val="en-CA"/>
        </w:rPr>
        <w:t xml:space="preserve">, 1982, </w:t>
      </w:r>
      <w:r w:rsidR="0054361E" w:rsidRPr="00366942">
        <w:rPr>
          <w:lang w:val="en-CA"/>
        </w:rPr>
        <w:t>being Schedule B to the</w:t>
      </w:r>
      <w:r w:rsidR="0054361E" w:rsidRPr="00366942">
        <w:rPr>
          <w:i/>
          <w:iCs/>
          <w:lang w:val="en-CA"/>
        </w:rPr>
        <w:t xml:space="preserve"> Canada Act 1982 </w:t>
      </w:r>
      <w:r w:rsidR="0054361E" w:rsidRPr="00366942">
        <w:rPr>
          <w:lang w:val="en-CA"/>
        </w:rPr>
        <w:t>(UK)</w:t>
      </w:r>
      <w:r w:rsidR="0054361E" w:rsidRPr="00366942">
        <w:rPr>
          <w:i/>
          <w:iCs/>
          <w:lang w:val="en-CA"/>
        </w:rPr>
        <w:t xml:space="preserve">, </w:t>
      </w:r>
      <w:r w:rsidRPr="00366942">
        <w:rPr>
          <w:lang w:val="en-CA"/>
        </w:rPr>
        <w:t>[</w:t>
      </w:r>
      <w:r w:rsidR="0054361E" w:rsidRPr="00366942">
        <w:rPr>
          <w:lang w:val="en-CA"/>
        </w:rPr>
        <w:t>“</w:t>
      </w:r>
      <w:r w:rsidR="0054361E" w:rsidRPr="00366942">
        <w:rPr>
          <w:i/>
          <w:iCs/>
          <w:lang w:val="en-CA"/>
        </w:rPr>
        <w:t>Canadian Charter</w:t>
      </w:r>
      <w:r w:rsidR="0054361E" w:rsidRPr="00366942">
        <w:rPr>
          <w:lang w:val="en-CA"/>
        </w:rPr>
        <w:t>”</w:t>
      </w:r>
      <w:r w:rsidRPr="00366942">
        <w:rPr>
          <w:lang w:val="en-CA"/>
        </w:rPr>
        <w:t>].</w:t>
      </w:r>
    </w:p>
  </w:footnote>
  <w:footnote w:id="5">
    <w:p w14:paraId="2077AB9C" w14:textId="197645FB" w:rsidR="00961A50" w:rsidRPr="00366942" w:rsidRDefault="00961A50" w:rsidP="00961A50">
      <w:pPr>
        <w:pStyle w:val="Notedebasdepage"/>
      </w:pPr>
      <w:r w:rsidRPr="00366942">
        <w:rPr>
          <w:rStyle w:val="Appelnotedebasdep"/>
          <w:lang w:val="en-CA"/>
        </w:rPr>
        <w:footnoteRef/>
      </w:r>
      <w:r w:rsidRPr="00366942">
        <w:t xml:space="preserve"> </w:t>
      </w:r>
      <w:r w:rsidRPr="00366942">
        <w:tab/>
      </w:r>
      <w:r w:rsidR="0054361E" w:rsidRPr="00366942">
        <w:t>CQLR</w:t>
      </w:r>
      <w:r w:rsidRPr="00366942">
        <w:t>, c. C-12 [</w:t>
      </w:r>
      <w:r w:rsidR="0054361E" w:rsidRPr="00366942">
        <w:t>“Quebec Charter”</w:t>
      </w:r>
      <w:r w:rsidRPr="00366942">
        <w:t>].</w:t>
      </w:r>
    </w:p>
  </w:footnote>
  <w:footnote w:id="6">
    <w:p w14:paraId="29FF3BEA" w14:textId="77777777" w:rsidR="00961A50" w:rsidRPr="00366942" w:rsidRDefault="00961A50" w:rsidP="00961A50">
      <w:pPr>
        <w:pStyle w:val="Notedebasdepage"/>
      </w:pPr>
      <w:r w:rsidRPr="00366942">
        <w:rPr>
          <w:rStyle w:val="Appelnotedebasdep"/>
          <w:lang w:val="en-CA"/>
        </w:rPr>
        <w:footnoteRef/>
      </w:r>
      <w:r w:rsidRPr="00366942">
        <w:t xml:space="preserve"> </w:t>
      </w:r>
      <w:r w:rsidRPr="00366942">
        <w:tab/>
      </w:r>
      <w:r w:rsidRPr="00366942">
        <w:rPr>
          <w:i/>
          <w:iCs/>
        </w:rPr>
        <w:t>A.P. c. Régie de l’assurance maladie du Québec</w:t>
      </w:r>
      <w:r w:rsidRPr="00366942">
        <w:t>, 2020 QCTAQ 02730.</w:t>
      </w:r>
    </w:p>
  </w:footnote>
  <w:footnote w:id="7">
    <w:p w14:paraId="3FAA5B59" w14:textId="7777777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A.P. c. Attorney General of Quebec</w:t>
      </w:r>
      <w:r w:rsidRPr="00366942">
        <w:rPr>
          <w:lang w:val="en-CA"/>
        </w:rPr>
        <w:t>, 2022 QCCS 2875.</w:t>
      </w:r>
    </w:p>
  </w:footnote>
  <w:footnote w:id="8">
    <w:p w14:paraId="057F28EC" w14:textId="03A07576"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3E3EFC" w:rsidRPr="00366942">
        <w:rPr>
          <w:lang w:val="en-CA"/>
        </w:rPr>
        <w:t xml:space="preserve">Although the trial judge did not refer to s. </w:t>
      </w:r>
      <w:r w:rsidRPr="00366942">
        <w:rPr>
          <w:lang w:val="en-CA"/>
        </w:rPr>
        <w:t xml:space="preserve">10 </w:t>
      </w:r>
      <w:r w:rsidR="003E3EFC" w:rsidRPr="00366942">
        <w:rPr>
          <w:lang w:val="en-CA"/>
        </w:rPr>
        <w:t>of the</w:t>
      </w:r>
      <w:r w:rsidRPr="00366942">
        <w:rPr>
          <w:lang w:val="en-CA"/>
        </w:rPr>
        <w:t xml:space="preserve"> </w:t>
      </w:r>
      <w:r w:rsidR="003E3EFC" w:rsidRPr="00366942">
        <w:rPr>
          <w:i/>
          <w:iCs/>
          <w:lang w:val="en-CA"/>
        </w:rPr>
        <w:t>Quebec Charter</w:t>
      </w:r>
      <w:r w:rsidRPr="00366942">
        <w:rPr>
          <w:lang w:val="en-CA"/>
        </w:rPr>
        <w:t xml:space="preserve">, </w:t>
      </w:r>
      <w:r w:rsidR="003E3EFC" w:rsidRPr="00366942">
        <w:rPr>
          <w:lang w:val="en-CA"/>
        </w:rPr>
        <w:t>his reasoning applied thereto by implication</w:t>
      </w:r>
      <w:r w:rsidRPr="00366942">
        <w:rPr>
          <w:lang w:val="en-CA"/>
        </w:rPr>
        <w:t>.</w:t>
      </w:r>
    </w:p>
  </w:footnote>
  <w:footnote w:id="9">
    <w:p w14:paraId="7A519310" w14:textId="16C027D3"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2014 </w:t>
      </w:r>
      <w:r w:rsidR="003E3EFC" w:rsidRPr="00366942">
        <w:rPr>
          <w:lang w:val="en-CA"/>
        </w:rPr>
        <w:t>FC</w:t>
      </w:r>
      <w:r w:rsidRPr="00366942">
        <w:rPr>
          <w:lang w:val="en-CA"/>
        </w:rPr>
        <w:t xml:space="preserve"> 651.</w:t>
      </w:r>
    </w:p>
  </w:footnote>
  <w:footnote w:id="10">
    <w:p w14:paraId="2683C8E5" w14:textId="7777777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A.P. c. Attorney General of Quebec</w:t>
      </w:r>
      <w:r w:rsidRPr="00366942">
        <w:rPr>
          <w:lang w:val="en-CA"/>
        </w:rPr>
        <w:t>, 2022 QCCA 1502.</w:t>
      </w:r>
    </w:p>
  </w:footnote>
  <w:footnote w:id="11">
    <w:p w14:paraId="28BECB3D" w14:textId="6B559698"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2024 QCCA 144 (</w:t>
      </w:r>
      <w:r w:rsidR="003E3EFC" w:rsidRPr="00366942">
        <w:rPr>
          <w:lang w:val="en-CA"/>
        </w:rPr>
        <w:t>application for leave to appeal to the Supreme Court</w:t>
      </w:r>
      <w:r w:rsidRPr="00366942">
        <w:rPr>
          <w:lang w:val="en-CA"/>
        </w:rPr>
        <w:t xml:space="preserve"> </w:t>
      </w:r>
      <w:r w:rsidR="003E3EFC" w:rsidRPr="00366942">
        <w:rPr>
          <w:lang w:val="en-CA"/>
        </w:rPr>
        <w:t>granted</w:t>
      </w:r>
      <w:r w:rsidRPr="00366942">
        <w:rPr>
          <w:lang w:val="en-CA"/>
        </w:rPr>
        <w:t xml:space="preserve">, </w:t>
      </w:r>
      <w:r w:rsidR="003E3EFC" w:rsidRPr="00366942">
        <w:rPr>
          <w:lang w:val="en-CA"/>
        </w:rPr>
        <w:t>October 3,</w:t>
      </w:r>
      <w:r w:rsidRPr="00366942">
        <w:rPr>
          <w:lang w:val="en-CA"/>
        </w:rPr>
        <w:t xml:space="preserve"> 2024, n</w:t>
      </w:r>
      <w:r w:rsidR="003E3EFC" w:rsidRPr="00366942">
        <w:rPr>
          <w:lang w:val="en-CA"/>
        </w:rPr>
        <w:t>o.</w:t>
      </w:r>
      <w:r w:rsidRPr="00366942">
        <w:rPr>
          <w:lang w:val="en-CA"/>
        </w:rPr>
        <w:t> 41210</w:t>
      </w:r>
      <w:r w:rsidRPr="00366942">
        <w:rPr>
          <w:rFonts w:cs="Arial"/>
          <w:sz w:val="21"/>
          <w:szCs w:val="21"/>
          <w:shd w:val="clear" w:color="auto" w:fill="FFFFFF"/>
          <w:lang w:val="en-CA"/>
        </w:rPr>
        <w:t>) [</w:t>
      </w:r>
      <w:r w:rsidR="003E3EFC" w:rsidRPr="00366942">
        <w:rPr>
          <w:rFonts w:cs="Arial"/>
          <w:sz w:val="21"/>
          <w:szCs w:val="21"/>
          <w:shd w:val="clear" w:color="auto" w:fill="FFFFFF"/>
          <w:lang w:val="en-CA"/>
        </w:rPr>
        <w:t>“</w:t>
      </w:r>
      <w:r w:rsidRPr="00366942">
        <w:rPr>
          <w:rFonts w:cs="Arial"/>
          <w:i/>
          <w:iCs/>
          <w:sz w:val="21"/>
          <w:szCs w:val="21"/>
          <w:shd w:val="clear" w:color="auto" w:fill="FFFFFF"/>
          <w:lang w:val="en-CA"/>
        </w:rPr>
        <w:t>Kanyinda</w:t>
      </w:r>
      <w:r w:rsidR="003E3EFC" w:rsidRPr="00366942">
        <w:rPr>
          <w:rFonts w:cs="Arial"/>
          <w:sz w:val="21"/>
          <w:szCs w:val="21"/>
          <w:shd w:val="clear" w:color="auto" w:fill="FFFFFF"/>
          <w:lang w:val="en-CA"/>
        </w:rPr>
        <w:t>”</w:t>
      </w:r>
      <w:r w:rsidRPr="00366942">
        <w:rPr>
          <w:rFonts w:cs="Arial"/>
          <w:sz w:val="21"/>
          <w:szCs w:val="21"/>
          <w:shd w:val="clear" w:color="auto" w:fill="FFFFFF"/>
          <w:lang w:val="en-CA"/>
        </w:rPr>
        <w:t>].</w:t>
      </w:r>
    </w:p>
  </w:footnote>
  <w:footnote w:id="12">
    <w:p w14:paraId="3A87B907" w14:textId="414A32B9"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C30C30" w:rsidRPr="00366942">
        <w:rPr>
          <w:lang w:val="en-CA"/>
        </w:rPr>
        <w:t>Notice of appeal</w:t>
      </w:r>
      <w:r w:rsidRPr="00366942">
        <w:rPr>
          <w:lang w:val="en-CA"/>
        </w:rPr>
        <w:t xml:space="preserve">, para. 16, </w:t>
      </w:r>
      <w:r w:rsidR="003E3EFC" w:rsidRPr="00366942">
        <w:rPr>
          <w:lang w:val="en-CA"/>
        </w:rPr>
        <w:t>and application for leave to appeal</w:t>
      </w:r>
      <w:r w:rsidRPr="00366942">
        <w:rPr>
          <w:lang w:val="en-CA"/>
        </w:rPr>
        <w:t xml:space="preserve">, para. 18: </w:t>
      </w:r>
      <w:r w:rsidR="003E3EFC" w:rsidRPr="00366942">
        <w:rPr>
          <w:lang w:val="en-CA"/>
        </w:rPr>
        <w:t>“</w:t>
      </w:r>
      <w:r w:rsidRPr="00366942">
        <w:rPr>
          <w:i/>
          <w:iCs/>
          <w:lang w:val="en-CA"/>
        </w:rPr>
        <w:t xml:space="preserve">The Judge rejected arguments based on s. 7 of the Canadian Charter and ss. 1 and 10 of the Quebec Charter, </w:t>
      </w:r>
      <w:r w:rsidRPr="00366942">
        <w:rPr>
          <w:i/>
          <w:iCs/>
          <w:u w:val="single"/>
          <w:lang w:val="en-CA"/>
        </w:rPr>
        <w:t>which are not the subject of the present appeal</w:t>
      </w:r>
      <w:r w:rsidR="003E3EFC" w:rsidRPr="00366942">
        <w:rPr>
          <w:u w:val="single"/>
          <w:lang w:val="en-CA"/>
        </w:rPr>
        <w:t>”</w:t>
      </w:r>
      <w:r w:rsidRPr="00366942">
        <w:rPr>
          <w:lang w:val="en-CA"/>
        </w:rPr>
        <w:t xml:space="preserve"> </w:t>
      </w:r>
      <w:r w:rsidR="00C92F18" w:rsidRPr="00366942">
        <w:rPr>
          <w:lang w:val="en-CA"/>
        </w:rPr>
        <w:t>(</w:t>
      </w:r>
      <w:r w:rsidR="003745E4" w:rsidRPr="00366942">
        <w:rPr>
          <w:lang w:val="en-CA"/>
        </w:rPr>
        <w:t>underlining</w:t>
      </w:r>
      <w:r w:rsidR="003E3EFC" w:rsidRPr="00366942">
        <w:rPr>
          <w:lang w:val="en-CA"/>
        </w:rPr>
        <w:t xml:space="preserve"> added</w:t>
      </w:r>
      <w:r w:rsidR="00C92F18" w:rsidRPr="00366942">
        <w:rPr>
          <w:lang w:val="en-CA"/>
        </w:rPr>
        <w:t>)</w:t>
      </w:r>
      <w:r w:rsidRPr="00366942">
        <w:rPr>
          <w:lang w:val="en-CA"/>
        </w:rPr>
        <w:t>.</w:t>
      </w:r>
    </w:p>
  </w:footnote>
  <w:footnote w:id="13">
    <w:p w14:paraId="03D22188" w14:textId="3C248BC8"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4D50EC" w:rsidRPr="00366942">
        <w:rPr>
          <w:lang w:val="en-CA"/>
        </w:rPr>
        <w:t xml:space="preserve">During the hearing, one of the appellant’s </w:t>
      </w:r>
      <w:r w:rsidR="00C17B11" w:rsidRPr="00366942">
        <w:rPr>
          <w:lang w:val="en-CA"/>
        </w:rPr>
        <w:t>counsel</w:t>
      </w:r>
      <w:r w:rsidR="004D50EC" w:rsidRPr="00366942">
        <w:rPr>
          <w:lang w:val="en-CA"/>
        </w:rPr>
        <w:t xml:space="preserve"> </w:t>
      </w:r>
      <w:r w:rsidR="00EB73F0" w:rsidRPr="00366942">
        <w:rPr>
          <w:lang w:val="en-CA"/>
        </w:rPr>
        <w:t>made clear</w:t>
      </w:r>
      <w:r w:rsidR="004D50EC" w:rsidRPr="00366942">
        <w:rPr>
          <w:lang w:val="en-CA"/>
        </w:rPr>
        <w:t xml:space="preserve"> that the declaration of invalidity sought was directed solely to pregnancy-related care, including </w:t>
      </w:r>
      <w:r w:rsidR="00C17B11" w:rsidRPr="00366942">
        <w:rPr>
          <w:lang w:val="en-CA"/>
        </w:rPr>
        <w:t>VTP</w:t>
      </w:r>
      <w:r w:rsidRPr="00366942">
        <w:rPr>
          <w:lang w:val="en-CA"/>
        </w:rPr>
        <w:t>.</w:t>
      </w:r>
    </w:p>
  </w:footnote>
  <w:footnote w:id="14">
    <w:p w14:paraId="2F5D05AC" w14:textId="2B21021E"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6F134D" w:rsidRPr="00366942">
        <w:rPr>
          <w:lang w:val="en-CA"/>
        </w:rPr>
        <w:t>S. 1, para.</w:t>
      </w:r>
      <w:r w:rsidRPr="00366942">
        <w:rPr>
          <w:lang w:val="en-CA"/>
        </w:rPr>
        <w:t xml:space="preserve"> </w:t>
      </w:r>
      <w:r w:rsidRPr="00366942">
        <w:rPr>
          <w:i/>
          <w:iCs/>
          <w:lang w:val="en-CA"/>
        </w:rPr>
        <w:t>g</w:t>
      </w:r>
      <w:r w:rsidRPr="00366942">
        <w:rPr>
          <w:lang w:val="en-CA"/>
        </w:rPr>
        <w:t>.1)</w:t>
      </w:r>
      <w:r w:rsidRPr="00366942">
        <w:rPr>
          <w:i/>
          <w:iCs/>
          <w:lang w:val="en-CA"/>
        </w:rPr>
        <w:t xml:space="preserve"> </w:t>
      </w:r>
      <w:r w:rsidR="006F134D" w:rsidRPr="00366942">
        <w:rPr>
          <w:i/>
          <w:iCs/>
          <w:lang w:val="en-CA"/>
        </w:rPr>
        <w:t>HIA</w:t>
      </w:r>
      <w:r w:rsidRPr="00366942">
        <w:rPr>
          <w:lang w:val="en-CA"/>
        </w:rPr>
        <w:t xml:space="preserve"> </w:t>
      </w:r>
      <w:r w:rsidR="006F134D" w:rsidRPr="00366942">
        <w:rPr>
          <w:lang w:val="en-CA"/>
        </w:rPr>
        <w:t>defines an “insured person” as</w:t>
      </w:r>
      <w:r w:rsidRPr="00366942">
        <w:rPr>
          <w:lang w:val="en-CA"/>
        </w:rPr>
        <w:t xml:space="preserve"> </w:t>
      </w:r>
      <w:r w:rsidR="006F134D" w:rsidRPr="00366942">
        <w:rPr>
          <w:lang w:val="en-CA"/>
        </w:rPr>
        <w:t>“</w:t>
      </w:r>
      <w:r w:rsidR="006F134D" w:rsidRPr="00366942">
        <w:rPr>
          <w:i/>
          <w:iCs/>
          <w:lang w:val="en-CA"/>
        </w:rPr>
        <w:t>a resident or temporary resident of Québec who is duly registered with the Board</w:t>
      </w:r>
      <w:r w:rsidR="006F134D" w:rsidRPr="00366942">
        <w:rPr>
          <w:lang w:val="en-CA"/>
        </w:rPr>
        <w:t xml:space="preserve"> / </w:t>
      </w:r>
      <w:r w:rsidRPr="00366942">
        <w:rPr>
          <w:lang w:val="en-CA"/>
        </w:rPr>
        <w:t>une personne qui réside ou qui séjourne au Québec et qui est dûment inscrite à la Régie</w:t>
      </w:r>
      <w:r w:rsidR="006F134D" w:rsidRPr="00366942">
        <w:rPr>
          <w:lang w:val="en-CA"/>
        </w:rPr>
        <w:t>”</w:t>
      </w:r>
      <w:r w:rsidRPr="00366942">
        <w:rPr>
          <w:lang w:val="en-CA"/>
        </w:rPr>
        <w:t xml:space="preserve">. </w:t>
      </w:r>
      <w:r w:rsidR="006F134D" w:rsidRPr="00366942">
        <w:rPr>
          <w:lang w:val="en-CA"/>
        </w:rPr>
        <w:t>That definition is elaborated upon by ss.</w:t>
      </w:r>
      <w:r w:rsidRPr="00366942">
        <w:rPr>
          <w:lang w:val="en-CA"/>
        </w:rPr>
        <w:t xml:space="preserve"> 5-8 </w:t>
      </w:r>
      <w:r w:rsidR="006F134D" w:rsidRPr="00366942">
        <w:rPr>
          <w:i/>
          <w:iCs/>
          <w:lang w:val="en-CA"/>
        </w:rPr>
        <w:t>HIA</w:t>
      </w:r>
      <w:r w:rsidRPr="00366942">
        <w:rPr>
          <w:i/>
          <w:iCs/>
          <w:lang w:val="en-CA"/>
        </w:rPr>
        <w:t>.</w:t>
      </w:r>
      <w:r w:rsidRPr="00366942">
        <w:rPr>
          <w:lang w:val="en-CA"/>
        </w:rPr>
        <w:t xml:space="preserve"> </w:t>
      </w:r>
      <w:r w:rsidR="006F134D" w:rsidRPr="00366942">
        <w:rPr>
          <w:lang w:val="en-CA"/>
        </w:rPr>
        <w:t>None of those provisions are challenged in this appeal</w:t>
      </w:r>
      <w:r w:rsidR="00D41ADD" w:rsidRPr="00366942">
        <w:rPr>
          <w:lang w:val="en-CA"/>
        </w:rPr>
        <w:t>,</w:t>
      </w:r>
      <w:r w:rsidR="006F134D" w:rsidRPr="00366942">
        <w:rPr>
          <w:lang w:val="en-CA"/>
        </w:rPr>
        <w:t xml:space="preserve"> </w:t>
      </w:r>
      <w:r w:rsidR="00D41ADD" w:rsidRPr="00366942">
        <w:rPr>
          <w:lang w:val="en-CA"/>
        </w:rPr>
        <w:t>nor</w:t>
      </w:r>
      <w:r w:rsidR="006F134D" w:rsidRPr="00366942">
        <w:rPr>
          <w:lang w:val="en-CA"/>
        </w:rPr>
        <w:t xml:space="preserve"> </w:t>
      </w:r>
      <w:r w:rsidR="005669E7" w:rsidRPr="00366942">
        <w:rPr>
          <w:lang w:val="en-CA"/>
        </w:rPr>
        <w:t xml:space="preserve">were they </w:t>
      </w:r>
      <w:r w:rsidR="006F134D" w:rsidRPr="00366942">
        <w:rPr>
          <w:lang w:val="en-CA"/>
        </w:rPr>
        <w:t>even referred to</w:t>
      </w:r>
      <w:r w:rsidRPr="00366942">
        <w:rPr>
          <w:lang w:val="en-CA"/>
        </w:rPr>
        <w:t>.</w:t>
      </w:r>
    </w:p>
  </w:footnote>
  <w:footnote w:id="15">
    <w:p w14:paraId="1EAF51DB" w14:textId="5097744C"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R. </w:t>
      </w:r>
      <w:r w:rsidR="006F134D" w:rsidRPr="00366942">
        <w:rPr>
          <w:i/>
          <w:iCs/>
          <w:lang w:val="en-CA"/>
        </w:rPr>
        <w:t>v</w:t>
      </w:r>
      <w:r w:rsidRPr="00366942">
        <w:rPr>
          <w:i/>
          <w:iCs/>
          <w:lang w:val="en-CA"/>
        </w:rPr>
        <w:t>. Sharma</w:t>
      </w:r>
      <w:r w:rsidRPr="00366942">
        <w:rPr>
          <w:lang w:val="en-CA"/>
        </w:rPr>
        <w:t xml:space="preserve">, 2022 </w:t>
      </w:r>
      <w:r w:rsidR="006F134D" w:rsidRPr="00366942">
        <w:rPr>
          <w:lang w:val="en-CA"/>
        </w:rPr>
        <w:t>SCC</w:t>
      </w:r>
      <w:r w:rsidRPr="00366942">
        <w:rPr>
          <w:lang w:val="en-CA"/>
        </w:rPr>
        <w:t xml:space="preserve"> 39 [</w:t>
      </w:r>
      <w:r w:rsidR="006F134D" w:rsidRPr="00366942">
        <w:rPr>
          <w:lang w:val="en-CA"/>
        </w:rPr>
        <w:t>“</w:t>
      </w:r>
      <w:r w:rsidRPr="00366942">
        <w:rPr>
          <w:i/>
          <w:iCs/>
          <w:lang w:val="en-CA"/>
        </w:rPr>
        <w:t>Sharma</w:t>
      </w:r>
      <w:r w:rsidR="006F134D" w:rsidRPr="00366942">
        <w:rPr>
          <w:lang w:val="en-CA"/>
        </w:rPr>
        <w:t>”</w:t>
      </w:r>
      <w:r w:rsidRPr="00366942">
        <w:rPr>
          <w:lang w:val="en-CA"/>
        </w:rPr>
        <w:t>].</w:t>
      </w:r>
    </w:p>
  </w:footnote>
  <w:footnote w:id="16">
    <w:p w14:paraId="46E40524" w14:textId="64CB3FE0"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A73E41" w:rsidRPr="00366942">
        <w:rPr>
          <w:lang w:val="en-CA"/>
        </w:rPr>
        <w:t>Respondent’s brief</w:t>
      </w:r>
      <w:r w:rsidRPr="00366942">
        <w:rPr>
          <w:lang w:val="en-CA"/>
        </w:rPr>
        <w:t xml:space="preserve">, </w:t>
      </w:r>
      <w:r w:rsidR="00A73E41" w:rsidRPr="00366942">
        <w:rPr>
          <w:lang w:val="en-CA"/>
        </w:rPr>
        <w:t xml:space="preserve">submissions, </w:t>
      </w:r>
      <w:r w:rsidRPr="00366942">
        <w:rPr>
          <w:lang w:val="en-CA"/>
        </w:rPr>
        <w:t xml:space="preserve">para. 13. </w:t>
      </w:r>
      <w:r w:rsidR="00A73E41" w:rsidRPr="00366942">
        <w:rPr>
          <w:lang w:val="en-CA"/>
        </w:rPr>
        <w:t>See also, para</w:t>
      </w:r>
      <w:r w:rsidRPr="00366942">
        <w:rPr>
          <w:lang w:val="en-CA"/>
        </w:rPr>
        <w:t>. 36.</w:t>
      </w:r>
    </w:p>
  </w:footnote>
  <w:footnote w:id="17">
    <w:p w14:paraId="34A613F7" w14:textId="4DEDE612"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B41447" w:rsidRPr="00366942">
        <w:rPr>
          <w:lang w:val="en-CA"/>
        </w:rPr>
        <w:t xml:space="preserve">Respondent’s </w:t>
      </w:r>
      <w:r w:rsidR="004C42A0" w:rsidRPr="00366942">
        <w:rPr>
          <w:lang w:val="en-CA"/>
        </w:rPr>
        <w:t xml:space="preserve">additional </w:t>
      </w:r>
      <w:r w:rsidR="00906121" w:rsidRPr="00366942">
        <w:rPr>
          <w:lang w:val="en-CA"/>
        </w:rPr>
        <w:t>submission</w:t>
      </w:r>
      <w:r w:rsidR="004C42A0" w:rsidRPr="00366942">
        <w:rPr>
          <w:lang w:val="en-CA"/>
        </w:rPr>
        <w:t>s</w:t>
      </w:r>
      <w:r w:rsidRPr="00366942">
        <w:rPr>
          <w:lang w:val="en-CA"/>
        </w:rPr>
        <w:t>, p. 3.</w:t>
      </w:r>
    </w:p>
  </w:footnote>
  <w:footnote w:id="18">
    <w:p w14:paraId="6258B50F" w14:textId="3467A2E1"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Ibid.</w:t>
      </w:r>
    </w:p>
  </w:footnote>
  <w:footnote w:id="19">
    <w:p w14:paraId="0026E17C" w14:textId="72AD6807" w:rsidR="00961A50" w:rsidRPr="00366942" w:rsidRDefault="00961A50" w:rsidP="00961A50">
      <w:pPr>
        <w:pStyle w:val="Notedebasdepage"/>
        <w:rPr>
          <w:lang w:val="en-CA"/>
        </w:rPr>
      </w:pPr>
      <w:r w:rsidRPr="00366942">
        <w:rPr>
          <w:rStyle w:val="Appelnotedebasdep"/>
          <w:lang w:val="en-CA"/>
        </w:rPr>
        <w:footnoteRef/>
      </w:r>
      <w:r w:rsidRPr="00366942">
        <w:t xml:space="preserve"> </w:t>
      </w:r>
      <w:r w:rsidRPr="00366942">
        <w:tab/>
      </w:r>
      <w:r w:rsidRPr="00366942">
        <w:rPr>
          <w:i/>
          <w:iCs/>
        </w:rPr>
        <w:t xml:space="preserve">Société des casinos du Québec inc. </w:t>
      </w:r>
      <w:r w:rsidR="00F0562F" w:rsidRPr="00366942">
        <w:rPr>
          <w:i/>
          <w:iCs/>
        </w:rPr>
        <w:t>v</w:t>
      </w:r>
      <w:r w:rsidRPr="00366942">
        <w:rPr>
          <w:i/>
          <w:iCs/>
        </w:rPr>
        <w:t>. Association des cadres de la Société des casinos du Québec</w:t>
      </w:r>
      <w:r w:rsidRPr="00366942">
        <w:t xml:space="preserve">, 2024 </w:t>
      </w:r>
      <w:r w:rsidR="00F0562F" w:rsidRPr="00366942">
        <w:t>SCC</w:t>
      </w:r>
      <w:r w:rsidRPr="00366942">
        <w:t xml:space="preserve"> 13, </w:t>
      </w:r>
      <w:r w:rsidR="00F0562F" w:rsidRPr="00366942">
        <w:t xml:space="preserve">at </w:t>
      </w:r>
      <w:r w:rsidRPr="00366942">
        <w:t xml:space="preserve">para. </w:t>
      </w:r>
      <w:r w:rsidRPr="00366942">
        <w:rPr>
          <w:lang w:val="en-CA"/>
        </w:rPr>
        <w:t>95 (</w:t>
      </w:r>
      <w:r w:rsidR="00F0562F" w:rsidRPr="00366942">
        <w:rPr>
          <w:lang w:val="en-CA"/>
        </w:rPr>
        <w:t>concurring reasons of</w:t>
      </w:r>
      <w:r w:rsidRPr="00366942">
        <w:rPr>
          <w:lang w:val="en-CA"/>
        </w:rPr>
        <w:t xml:space="preserve"> Côté</w:t>
      </w:r>
      <w:r w:rsidR="00F0562F" w:rsidRPr="00366942">
        <w:rPr>
          <w:lang w:val="en-CA"/>
        </w:rPr>
        <w:t>, J.</w:t>
      </w:r>
      <w:r w:rsidRPr="00366942">
        <w:rPr>
          <w:lang w:val="en-CA"/>
        </w:rPr>
        <w:t xml:space="preserve">, </w:t>
      </w:r>
      <w:r w:rsidR="00F0562F" w:rsidRPr="00366942">
        <w:rPr>
          <w:lang w:val="en-CA"/>
        </w:rPr>
        <w:t>a passage with</w:t>
      </w:r>
      <w:r w:rsidR="005603EB">
        <w:rPr>
          <w:lang w:val="en-CA"/>
        </w:rPr>
        <w:t xml:space="preserve"> which</w:t>
      </w:r>
      <w:r w:rsidRPr="00366942">
        <w:rPr>
          <w:lang w:val="en-CA"/>
        </w:rPr>
        <w:t xml:space="preserve"> Jamal,</w:t>
      </w:r>
      <w:r w:rsidR="00F0562F" w:rsidRPr="00366942">
        <w:rPr>
          <w:lang w:val="en-CA"/>
        </w:rPr>
        <w:t xml:space="preserve"> J. concurred at</w:t>
      </w:r>
      <w:r w:rsidRPr="00366942">
        <w:rPr>
          <w:lang w:val="en-CA"/>
        </w:rPr>
        <w:t xml:space="preserve"> para. 45 </w:t>
      </w:r>
      <w:r w:rsidR="00F0562F" w:rsidRPr="00366942">
        <w:rPr>
          <w:lang w:val="en-CA"/>
        </w:rPr>
        <w:t>of his majority reasons</w:t>
      </w:r>
      <w:r w:rsidRPr="00366942">
        <w:rPr>
          <w:lang w:val="en-CA"/>
        </w:rPr>
        <w:t>).</w:t>
      </w:r>
    </w:p>
  </w:footnote>
  <w:footnote w:id="20">
    <w:p w14:paraId="6EA50E23" w14:textId="60B83E39"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Id.</w:t>
      </w:r>
      <w:r w:rsidRPr="00366942">
        <w:rPr>
          <w:lang w:val="en-CA"/>
        </w:rPr>
        <w:t xml:space="preserve">, </w:t>
      </w:r>
      <w:r w:rsidR="00F0562F" w:rsidRPr="00366942">
        <w:rPr>
          <w:lang w:val="en-CA"/>
        </w:rPr>
        <w:t xml:space="preserve">at </w:t>
      </w:r>
      <w:r w:rsidRPr="00366942">
        <w:rPr>
          <w:lang w:val="en-CA"/>
        </w:rPr>
        <w:t>para. 97 (</w:t>
      </w:r>
      <w:r w:rsidR="00F0562F" w:rsidRPr="00366942">
        <w:rPr>
          <w:lang w:val="en-CA"/>
        </w:rPr>
        <w:t>concurring reasons of Côté, J., a passage with</w:t>
      </w:r>
      <w:r w:rsidR="005603EB">
        <w:rPr>
          <w:lang w:val="en-CA"/>
        </w:rPr>
        <w:t xml:space="preserve"> which</w:t>
      </w:r>
      <w:r w:rsidR="00F0562F" w:rsidRPr="00366942">
        <w:rPr>
          <w:lang w:val="en-CA"/>
        </w:rPr>
        <w:t xml:space="preserve"> Jamal, J. concurred at para. 45 of his majority reasons</w:t>
      </w:r>
      <w:r w:rsidRPr="00366942">
        <w:rPr>
          <w:lang w:val="en-CA"/>
        </w:rPr>
        <w:t xml:space="preserve">). </w:t>
      </w:r>
      <w:r w:rsidR="00F0562F" w:rsidRPr="00366942">
        <w:rPr>
          <w:lang w:val="en-CA"/>
        </w:rPr>
        <w:t>Generally</w:t>
      </w:r>
      <w:r w:rsidRPr="00366942">
        <w:rPr>
          <w:lang w:val="en-CA"/>
        </w:rPr>
        <w:t xml:space="preserve">, </w:t>
      </w:r>
      <w:r w:rsidR="00F0562F" w:rsidRPr="00366942">
        <w:rPr>
          <w:lang w:val="en-CA"/>
        </w:rPr>
        <w:t>see paras</w:t>
      </w:r>
      <w:r w:rsidRPr="00366942">
        <w:rPr>
          <w:lang w:val="en-CA"/>
        </w:rPr>
        <w:t xml:space="preserve">. 92-97 </w:t>
      </w:r>
      <w:r w:rsidR="00F0562F" w:rsidRPr="00366942">
        <w:rPr>
          <w:lang w:val="en-CA"/>
        </w:rPr>
        <w:t>of that decision</w:t>
      </w:r>
      <w:r w:rsidRPr="00366942">
        <w:rPr>
          <w:lang w:val="en-CA"/>
        </w:rPr>
        <w:t>.</w:t>
      </w:r>
    </w:p>
    <w:p w14:paraId="4D1C487B" w14:textId="25611106" w:rsidR="00961A50" w:rsidRPr="00366942" w:rsidRDefault="00961A50" w:rsidP="00961A50">
      <w:pPr>
        <w:pStyle w:val="Notedebasdepage"/>
        <w:rPr>
          <w:lang w:val="en-CA"/>
        </w:rPr>
      </w:pPr>
      <w:r w:rsidRPr="00366942">
        <w:rPr>
          <w:lang w:val="en-CA"/>
        </w:rPr>
        <w:tab/>
      </w:r>
      <w:r w:rsidR="00F0562F" w:rsidRPr="00366942">
        <w:rPr>
          <w:lang w:val="en-CA"/>
        </w:rPr>
        <w:t>On those standards and their respective scope, see also</w:t>
      </w:r>
      <w:r w:rsidRPr="00366942">
        <w:rPr>
          <w:lang w:val="en-CA"/>
        </w:rPr>
        <w:t xml:space="preserve">: </w:t>
      </w:r>
      <w:r w:rsidR="00F0562F" w:rsidRPr="00366942">
        <w:rPr>
          <w:i/>
          <w:iCs/>
          <w:lang w:val="en-CA"/>
        </w:rPr>
        <w:t>York Region District School Board v. Elementary Teachers’ Federation of Ontario</w:t>
      </w:r>
      <w:r w:rsidRPr="00366942">
        <w:rPr>
          <w:lang w:val="en-CA"/>
        </w:rPr>
        <w:t xml:space="preserve">, 2024 CSC 22, </w:t>
      </w:r>
      <w:r w:rsidR="00F0562F" w:rsidRPr="00366942">
        <w:rPr>
          <w:lang w:val="en-CA"/>
        </w:rPr>
        <w:t xml:space="preserve">at </w:t>
      </w:r>
      <w:r w:rsidRPr="00366942">
        <w:rPr>
          <w:lang w:val="en-CA"/>
        </w:rPr>
        <w:t>para</w:t>
      </w:r>
      <w:r w:rsidR="00F0562F" w:rsidRPr="00366942">
        <w:rPr>
          <w:lang w:val="en-CA"/>
        </w:rPr>
        <w:t>s</w:t>
      </w:r>
      <w:r w:rsidRPr="00366942">
        <w:rPr>
          <w:lang w:val="en-CA"/>
        </w:rPr>
        <w:t>. 63-71 (</w:t>
      </w:r>
      <w:r w:rsidR="00F0562F" w:rsidRPr="00366942">
        <w:rPr>
          <w:lang w:val="en-CA"/>
        </w:rPr>
        <w:t>majority reasons of</w:t>
      </w:r>
      <w:r w:rsidRPr="00366942">
        <w:rPr>
          <w:lang w:val="en-CA"/>
        </w:rPr>
        <w:t xml:space="preserve"> Rowe</w:t>
      </w:r>
      <w:r w:rsidR="00F0562F" w:rsidRPr="00366942">
        <w:rPr>
          <w:lang w:val="en-CA"/>
        </w:rPr>
        <w:t>, J.</w:t>
      </w:r>
      <w:r w:rsidRPr="00366942">
        <w:rPr>
          <w:lang w:val="en-CA"/>
        </w:rPr>
        <w:t xml:space="preserve">); </w:t>
      </w:r>
      <w:r w:rsidRPr="00366942">
        <w:rPr>
          <w:i/>
          <w:iCs/>
          <w:lang w:val="en-CA"/>
        </w:rPr>
        <w:t>Canada (Minist</w:t>
      </w:r>
      <w:r w:rsidR="00F0562F" w:rsidRPr="00366942">
        <w:rPr>
          <w:i/>
          <w:iCs/>
          <w:lang w:val="en-CA"/>
        </w:rPr>
        <w:t>er</w:t>
      </w:r>
      <w:r w:rsidRPr="00366942">
        <w:rPr>
          <w:i/>
          <w:iCs/>
          <w:lang w:val="en-CA"/>
        </w:rPr>
        <w:t xml:space="preserve"> </w:t>
      </w:r>
      <w:r w:rsidR="00F0562F" w:rsidRPr="00366942">
        <w:rPr>
          <w:i/>
          <w:iCs/>
          <w:lang w:val="en-CA"/>
        </w:rPr>
        <w:t>of</w:t>
      </w:r>
      <w:r w:rsidRPr="00366942">
        <w:rPr>
          <w:i/>
          <w:iCs/>
          <w:lang w:val="en-CA"/>
        </w:rPr>
        <w:t xml:space="preserve"> Cit</w:t>
      </w:r>
      <w:r w:rsidR="00F0562F" w:rsidRPr="00366942">
        <w:rPr>
          <w:i/>
          <w:iCs/>
          <w:lang w:val="en-CA"/>
        </w:rPr>
        <w:t>izenship and</w:t>
      </w:r>
      <w:r w:rsidRPr="00366942">
        <w:rPr>
          <w:i/>
          <w:iCs/>
          <w:lang w:val="en-CA"/>
        </w:rPr>
        <w:t xml:space="preserve"> Immigration) </w:t>
      </w:r>
      <w:r w:rsidR="00F0562F" w:rsidRPr="00366942">
        <w:rPr>
          <w:i/>
          <w:iCs/>
          <w:lang w:val="en-CA"/>
        </w:rPr>
        <w:t>v</w:t>
      </w:r>
      <w:r w:rsidRPr="00366942">
        <w:rPr>
          <w:i/>
          <w:iCs/>
          <w:lang w:val="en-CA"/>
        </w:rPr>
        <w:t>. Vavilov</w:t>
      </w:r>
      <w:r w:rsidRPr="00366942">
        <w:rPr>
          <w:lang w:val="en-CA"/>
        </w:rPr>
        <w:t xml:space="preserve">, 2019 </w:t>
      </w:r>
      <w:r w:rsidR="00F0562F" w:rsidRPr="00366942">
        <w:rPr>
          <w:lang w:val="en-CA"/>
        </w:rPr>
        <w:t>SCC</w:t>
      </w:r>
      <w:r w:rsidRPr="00366942">
        <w:rPr>
          <w:lang w:val="en-CA"/>
        </w:rPr>
        <w:t xml:space="preserve"> 65, </w:t>
      </w:r>
      <w:r w:rsidR="00F0562F" w:rsidRPr="00366942">
        <w:rPr>
          <w:lang w:val="en-CA"/>
        </w:rPr>
        <w:t xml:space="preserve">at </w:t>
      </w:r>
      <w:r w:rsidRPr="00366942">
        <w:rPr>
          <w:lang w:val="en-CA"/>
        </w:rPr>
        <w:t>para</w:t>
      </w:r>
      <w:r w:rsidR="00F0562F" w:rsidRPr="00366942">
        <w:rPr>
          <w:lang w:val="en-CA"/>
        </w:rPr>
        <w:t>s</w:t>
      </w:r>
      <w:r w:rsidRPr="00366942">
        <w:rPr>
          <w:lang w:val="en-CA"/>
        </w:rPr>
        <w:t xml:space="preserve">. 17 </w:t>
      </w:r>
      <w:r w:rsidR="00F0562F" w:rsidRPr="00366942">
        <w:rPr>
          <w:lang w:val="en-CA"/>
        </w:rPr>
        <w:t>and</w:t>
      </w:r>
      <w:r w:rsidRPr="00366942">
        <w:rPr>
          <w:lang w:val="en-CA"/>
        </w:rPr>
        <w:t xml:space="preserve"> 55-57 (</w:t>
      </w:r>
      <w:r w:rsidR="00F0562F" w:rsidRPr="00366942">
        <w:rPr>
          <w:lang w:val="en-CA"/>
        </w:rPr>
        <w:t xml:space="preserve">majority reasons of </w:t>
      </w:r>
      <w:r w:rsidRPr="00366942">
        <w:rPr>
          <w:lang w:val="en-CA"/>
        </w:rPr>
        <w:t>Wagner</w:t>
      </w:r>
      <w:r w:rsidR="00F0562F" w:rsidRPr="00366942">
        <w:rPr>
          <w:lang w:val="en-CA"/>
        </w:rPr>
        <w:t>, C</w:t>
      </w:r>
      <w:r w:rsidR="0068478B" w:rsidRPr="00366942">
        <w:rPr>
          <w:lang w:val="en-CA"/>
        </w:rPr>
        <w:t>.</w:t>
      </w:r>
      <w:r w:rsidR="00F0562F" w:rsidRPr="00366942">
        <w:rPr>
          <w:lang w:val="en-CA"/>
        </w:rPr>
        <w:t>J</w:t>
      </w:r>
      <w:r w:rsidR="0068478B" w:rsidRPr="00366942">
        <w:rPr>
          <w:lang w:val="en-CA"/>
        </w:rPr>
        <w:t>.</w:t>
      </w:r>
      <w:r w:rsidRPr="00366942">
        <w:rPr>
          <w:lang w:val="en-CA"/>
        </w:rPr>
        <w:t xml:space="preserve"> </w:t>
      </w:r>
      <w:r w:rsidR="00F0562F" w:rsidRPr="00366942">
        <w:rPr>
          <w:lang w:val="en-CA"/>
        </w:rPr>
        <w:t>and</w:t>
      </w:r>
      <w:r w:rsidRPr="00366942">
        <w:rPr>
          <w:lang w:val="en-CA"/>
        </w:rPr>
        <w:t xml:space="preserve"> Moldaver, Gascon, Côté, Brown, Rowe </w:t>
      </w:r>
      <w:r w:rsidR="00F0562F" w:rsidRPr="00366942">
        <w:rPr>
          <w:lang w:val="en-CA"/>
        </w:rPr>
        <w:t>and</w:t>
      </w:r>
      <w:r w:rsidRPr="00366942">
        <w:rPr>
          <w:lang w:val="en-CA"/>
        </w:rPr>
        <w:t xml:space="preserve"> Martin</w:t>
      </w:r>
      <w:r w:rsidR="00F0562F" w:rsidRPr="00366942">
        <w:rPr>
          <w:lang w:val="en-CA"/>
        </w:rPr>
        <w:t>, JJ.</w:t>
      </w:r>
      <w:r w:rsidRPr="00366942">
        <w:rPr>
          <w:lang w:val="en-CA"/>
        </w:rPr>
        <w:t>).</w:t>
      </w:r>
    </w:p>
  </w:footnote>
  <w:footnote w:id="21">
    <w:p w14:paraId="511570F9" w14:textId="1308CD88" w:rsidR="00961A50" w:rsidRPr="00366942" w:rsidRDefault="00961A50" w:rsidP="00961A50">
      <w:pPr>
        <w:pStyle w:val="Notedebasdepage"/>
        <w:rPr>
          <w:lang w:val="en-CA"/>
        </w:rPr>
      </w:pPr>
      <w:r w:rsidRPr="00366942">
        <w:rPr>
          <w:rStyle w:val="Appelnotedebasdep"/>
        </w:rPr>
        <w:footnoteRef/>
      </w:r>
      <w:r w:rsidRPr="00366942">
        <w:t xml:space="preserve"> </w:t>
      </w:r>
      <w:r w:rsidRPr="00366942">
        <w:tab/>
      </w:r>
      <w:r w:rsidRPr="00366942">
        <w:rPr>
          <w:i/>
          <w:iCs/>
        </w:rPr>
        <w:t>Organisation mondiale sikhe du Canada c. Procureur général du Québec</w:t>
      </w:r>
      <w:r w:rsidRPr="00366942">
        <w:t xml:space="preserve">, 2024 QCCA 254, </w:t>
      </w:r>
      <w:r w:rsidR="00624AF1" w:rsidRPr="00366942">
        <w:t xml:space="preserve">at </w:t>
      </w:r>
      <w:r w:rsidRPr="00366942">
        <w:t>para. </w:t>
      </w:r>
      <w:r w:rsidRPr="00366942">
        <w:rPr>
          <w:lang w:val="en-CA"/>
        </w:rPr>
        <w:t>456 (</w:t>
      </w:r>
      <w:r w:rsidR="008B0AB3" w:rsidRPr="00366942">
        <w:rPr>
          <w:lang w:val="en-CA"/>
        </w:rPr>
        <w:t>application for leave to appeal to the Supreme Court</w:t>
      </w:r>
      <w:r w:rsidRPr="00366942">
        <w:rPr>
          <w:lang w:val="en-CA"/>
        </w:rPr>
        <w:t xml:space="preserve">, </w:t>
      </w:r>
      <w:r w:rsidR="008B0AB3" w:rsidRPr="00366942">
        <w:rPr>
          <w:lang w:val="en-CA"/>
        </w:rPr>
        <w:t xml:space="preserve">no. </w:t>
      </w:r>
      <w:r w:rsidRPr="00366942">
        <w:rPr>
          <w:lang w:val="en-CA"/>
        </w:rPr>
        <w:t>41231).</w:t>
      </w:r>
    </w:p>
  </w:footnote>
  <w:footnote w:id="22">
    <w:p w14:paraId="3E9BD593" w14:textId="77777777"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Ibid.</w:t>
      </w:r>
    </w:p>
  </w:footnote>
  <w:footnote w:id="23">
    <w:p w14:paraId="7B5D4F6D" w14:textId="0F582B74"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624AF1" w:rsidRPr="00366942">
        <w:rPr>
          <w:i/>
          <w:iCs/>
          <w:lang w:val="en-CA"/>
        </w:rPr>
        <w:t>Supra</w:t>
      </w:r>
      <w:r w:rsidRPr="00366942">
        <w:rPr>
          <w:lang w:val="en-CA"/>
        </w:rPr>
        <w:t xml:space="preserve">, note </w:t>
      </w:r>
      <w:r w:rsidRPr="00366942">
        <w:fldChar w:fldCharType="begin"/>
      </w:r>
      <w:r w:rsidRPr="00366942">
        <w:rPr>
          <w:lang w:val="en-CA"/>
        </w:rPr>
        <w:instrText xml:space="preserve"> NOTEREF _Ref173269375 \h </w:instrText>
      </w:r>
      <w:r w:rsidRPr="00366942">
        <w:fldChar w:fldCharType="separate"/>
      </w:r>
      <w:r w:rsidR="001C6ED6">
        <w:rPr>
          <w:lang w:val="en-CA"/>
        </w:rPr>
        <w:t>15</w:t>
      </w:r>
      <w:r w:rsidRPr="00366942">
        <w:fldChar w:fldCharType="end"/>
      </w:r>
      <w:r w:rsidRPr="00366942">
        <w:rPr>
          <w:lang w:val="en-CA"/>
        </w:rPr>
        <w:t>.</w:t>
      </w:r>
    </w:p>
  </w:footnote>
  <w:footnote w:id="24">
    <w:p w14:paraId="45BCFF6F" w14:textId="7C8ABA0A"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t>Karakatsanis,</w:t>
      </w:r>
      <w:r w:rsidR="00CF428C" w:rsidRPr="00366942">
        <w:rPr>
          <w:lang w:val="en-CA"/>
        </w:rPr>
        <w:t xml:space="preserve"> J., in her dissent, applied the same two-step test: </w:t>
      </w:r>
      <w:r w:rsidR="00CF428C" w:rsidRPr="00366942">
        <w:rPr>
          <w:i/>
          <w:iCs/>
          <w:lang w:val="en-CA"/>
        </w:rPr>
        <w:t>S</w:t>
      </w:r>
      <w:r w:rsidRPr="00366942">
        <w:rPr>
          <w:i/>
          <w:iCs/>
          <w:lang w:val="en-CA"/>
        </w:rPr>
        <w:t>harma</w:t>
      </w:r>
      <w:r w:rsidRPr="00366942">
        <w:rPr>
          <w:lang w:val="en-CA"/>
        </w:rPr>
        <w:t xml:space="preserve">, </w:t>
      </w:r>
      <w:r w:rsidR="00CF428C" w:rsidRPr="00366942">
        <w:rPr>
          <w:i/>
          <w:iCs/>
          <w:lang w:val="en-CA"/>
        </w:rPr>
        <w:t>supra</w:t>
      </w:r>
      <w:r w:rsidRPr="00366942">
        <w:rPr>
          <w:lang w:val="en-CA"/>
        </w:rPr>
        <w:t>,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CF428C" w:rsidRPr="00366942">
        <w:rPr>
          <w:lang w:val="en-CA"/>
        </w:rPr>
        <w:t xml:space="preserve">at </w:t>
      </w:r>
      <w:r w:rsidRPr="00366942">
        <w:rPr>
          <w:lang w:val="en-CA"/>
        </w:rPr>
        <w:t xml:space="preserve">para. 188. </w:t>
      </w:r>
      <w:r w:rsidR="00CF428C" w:rsidRPr="00366942">
        <w:rPr>
          <w:lang w:val="en-CA"/>
        </w:rPr>
        <w:t>That was also the test applied by</w:t>
      </w:r>
      <w:r w:rsidRPr="00366942">
        <w:rPr>
          <w:lang w:val="en-CA"/>
        </w:rPr>
        <w:t xml:space="preserve"> Kasirer </w:t>
      </w:r>
      <w:r w:rsidR="00CF428C" w:rsidRPr="00366942">
        <w:rPr>
          <w:lang w:val="en-CA"/>
        </w:rPr>
        <w:t>and</w:t>
      </w:r>
      <w:r w:rsidRPr="00366942">
        <w:rPr>
          <w:lang w:val="en-CA"/>
        </w:rPr>
        <w:t xml:space="preserve"> Jamal,</w:t>
      </w:r>
      <w:r w:rsidR="00CF428C" w:rsidRPr="00366942">
        <w:rPr>
          <w:lang w:val="en-CA"/>
        </w:rPr>
        <w:t xml:space="preserve"> JJ.</w:t>
      </w:r>
      <w:r w:rsidRPr="00366942">
        <w:rPr>
          <w:lang w:val="en-CA"/>
        </w:rPr>
        <w:t xml:space="preserve"> </w:t>
      </w:r>
      <w:r w:rsidR="00CF428C" w:rsidRPr="00366942">
        <w:rPr>
          <w:lang w:val="en-CA"/>
        </w:rPr>
        <w:t>for the majority</w:t>
      </w:r>
      <w:r w:rsidRPr="00366942">
        <w:rPr>
          <w:lang w:val="en-CA"/>
        </w:rPr>
        <w:t xml:space="preserve">, </w:t>
      </w:r>
      <w:r w:rsidR="00CF428C" w:rsidRPr="00366942">
        <w:rPr>
          <w:lang w:val="en-CA"/>
        </w:rPr>
        <w:t>in</w:t>
      </w:r>
      <w:r w:rsidRPr="00366942">
        <w:rPr>
          <w:lang w:val="en-CA"/>
        </w:rPr>
        <w:t xml:space="preserve"> </w:t>
      </w:r>
      <w:r w:rsidRPr="00366942">
        <w:rPr>
          <w:i/>
          <w:iCs/>
          <w:lang w:val="en-CA"/>
        </w:rPr>
        <w:t xml:space="preserve">Dickson </w:t>
      </w:r>
      <w:r w:rsidR="00CF428C" w:rsidRPr="00366942">
        <w:rPr>
          <w:i/>
          <w:iCs/>
          <w:lang w:val="en-CA"/>
        </w:rPr>
        <w:t>v</w:t>
      </w:r>
      <w:r w:rsidRPr="00366942">
        <w:rPr>
          <w:i/>
          <w:iCs/>
          <w:lang w:val="en-CA"/>
        </w:rPr>
        <w:t>. Vuntut Gwitchin First Nation</w:t>
      </w:r>
      <w:r w:rsidRPr="00366942">
        <w:rPr>
          <w:lang w:val="en-CA"/>
        </w:rPr>
        <w:t xml:space="preserve">, 2024 </w:t>
      </w:r>
      <w:r w:rsidR="00CF428C" w:rsidRPr="00366942">
        <w:rPr>
          <w:lang w:val="en-CA"/>
        </w:rPr>
        <w:t>SCC</w:t>
      </w:r>
      <w:r w:rsidRPr="00366942">
        <w:rPr>
          <w:lang w:val="en-CA"/>
        </w:rPr>
        <w:t xml:space="preserve"> 10, </w:t>
      </w:r>
      <w:r w:rsidR="00CF428C" w:rsidRPr="00366942">
        <w:rPr>
          <w:lang w:val="en-CA"/>
        </w:rPr>
        <w:t xml:space="preserve">at </w:t>
      </w:r>
      <w:r w:rsidRPr="00366942">
        <w:rPr>
          <w:lang w:val="en-CA"/>
        </w:rPr>
        <w:t>para. 188</w:t>
      </w:r>
      <w:r w:rsidR="00CF428C" w:rsidRPr="00366942">
        <w:rPr>
          <w:lang w:val="en-CA"/>
        </w:rPr>
        <w:t>, as well as</w:t>
      </w:r>
      <w:r w:rsidRPr="00366942">
        <w:rPr>
          <w:lang w:val="en-CA"/>
        </w:rPr>
        <w:t xml:space="preserve"> </w:t>
      </w:r>
      <w:r w:rsidR="004A6B38" w:rsidRPr="00366942">
        <w:rPr>
          <w:lang w:val="en-CA"/>
        </w:rPr>
        <w:t xml:space="preserve">by </w:t>
      </w:r>
      <w:r w:rsidRPr="00366942">
        <w:rPr>
          <w:lang w:val="en-CA"/>
        </w:rPr>
        <w:t>Martin</w:t>
      </w:r>
      <w:r w:rsidR="00CF428C" w:rsidRPr="00366942">
        <w:rPr>
          <w:lang w:val="en-CA"/>
        </w:rPr>
        <w:t xml:space="preserve"> and</w:t>
      </w:r>
      <w:r w:rsidRPr="00366942">
        <w:rPr>
          <w:lang w:val="en-CA"/>
        </w:rPr>
        <w:t xml:space="preserve"> O’Bonsawin, </w:t>
      </w:r>
      <w:r w:rsidR="00FC48FE" w:rsidRPr="00366942">
        <w:rPr>
          <w:lang w:val="en-CA"/>
        </w:rPr>
        <w:t xml:space="preserve">JJ. </w:t>
      </w:r>
      <w:r w:rsidR="00CF428C" w:rsidRPr="00366942">
        <w:rPr>
          <w:lang w:val="en-CA"/>
        </w:rPr>
        <w:t>dissenting</w:t>
      </w:r>
      <w:r w:rsidRPr="00366942">
        <w:rPr>
          <w:lang w:val="en-CA"/>
        </w:rPr>
        <w:t xml:space="preserve">, </w:t>
      </w:r>
      <w:r w:rsidR="00CF428C" w:rsidRPr="00366942">
        <w:rPr>
          <w:lang w:val="en-CA"/>
        </w:rPr>
        <w:t>but not on that point</w:t>
      </w:r>
      <w:r w:rsidRPr="00366942">
        <w:rPr>
          <w:lang w:val="en-CA"/>
        </w:rPr>
        <w:t xml:space="preserve"> (</w:t>
      </w:r>
      <w:r w:rsidRPr="00366942">
        <w:rPr>
          <w:i/>
          <w:iCs/>
          <w:lang w:val="en-CA"/>
        </w:rPr>
        <w:t>id.</w:t>
      </w:r>
      <w:r w:rsidRPr="00366942">
        <w:rPr>
          <w:lang w:val="en-CA"/>
        </w:rPr>
        <w:t xml:space="preserve">, para. 347). </w:t>
      </w:r>
      <w:r w:rsidR="00CF428C" w:rsidRPr="00366942">
        <w:rPr>
          <w:lang w:val="en-CA"/>
        </w:rPr>
        <w:t>Our Court applied that test in</w:t>
      </w:r>
      <w:r w:rsidRPr="00366942">
        <w:rPr>
          <w:lang w:val="en-CA"/>
        </w:rPr>
        <w:t xml:space="preserve"> </w:t>
      </w:r>
      <w:r w:rsidRPr="00366942">
        <w:rPr>
          <w:i/>
          <w:iCs/>
          <w:lang w:val="en-CA"/>
        </w:rPr>
        <w:t>Kanyinda</w:t>
      </w:r>
      <w:r w:rsidRPr="00366942">
        <w:rPr>
          <w:lang w:val="en-CA"/>
        </w:rPr>
        <w:t xml:space="preserve">, </w:t>
      </w:r>
      <w:r w:rsidR="00CF428C"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_Ref172654494 \h </w:instrText>
      </w:r>
      <w:r w:rsidRPr="00366942">
        <w:rPr>
          <w:lang w:val="en-CA"/>
        </w:rPr>
      </w:r>
      <w:r w:rsidRPr="00366942">
        <w:rPr>
          <w:lang w:val="en-CA"/>
        </w:rPr>
        <w:fldChar w:fldCharType="separate"/>
      </w:r>
      <w:r w:rsidR="001C6ED6">
        <w:rPr>
          <w:lang w:val="en-CA"/>
        </w:rPr>
        <w:t>11</w:t>
      </w:r>
      <w:r w:rsidRPr="00366942">
        <w:rPr>
          <w:lang w:val="en-CA"/>
        </w:rPr>
        <w:fldChar w:fldCharType="end"/>
      </w:r>
      <w:r w:rsidRPr="00366942">
        <w:rPr>
          <w:lang w:val="en-CA"/>
        </w:rPr>
        <w:t xml:space="preserve">, </w:t>
      </w:r>
      <w:r w:rsidR="00CF428C" w:rsidRPr="00366942">
        <w:rPr>
          <w:lang w:val="en-CA"/>
        </w:rPr>
        <w:t xml:space="preserve">at </w:t>
      </w:r>
      <w:r w:rsidRPr="00366942">
        <w:rPr>
          <w:lang w:val="en-CA"/>
        </w:rPr>
        <w:t>para. 82.</w:t>
      </w:r>
    </w:p>
  </w:footnote>
  <w:footnote w:id="25">
    <w:p w14:paraId="7EA02275" w14:textId="538A20F6"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[1999] 3 </w:t>
      </w:r>
      <w:r w:rsidR="00CF428C" w:rsidRPr="00366942">
        <w:rPr>
          <w:lang w:val="en-CA"/>
        </w:rPr>
        <w:t>S.C.R</w:t>
      </w:r>
      <w:r w:rsidRPr="00366942">
        <w:rPr>
          <w:lang w:val="en-CA"/>
        </w:rPr>
        <w:t>. 3 [</w:t>
      </w:r>
      <w:r w:rsidR="00CF428C" w:rsidRPr="00366942">
        <w:rPr>
          <w:lang w:val="en-CA"/>
        </w:rPr>
        <w:t>“</w:t>
      </w:r>
      <w:r w:rsidRPr="00366942">
        <w:rPr>
          <w:i/>
          <w:iCs/>
          <w:lang w:val="en-CA"/>
        </w:rPr>
        <w:t>BCGSEU</w:t>
      </w:r>
      <w:r w:rsidR="00CF428C" w:rsidRPr="00366942">
        <w:rPr>
          <w:lang w:val="en-CA"/>
        </w:rPr>
        <w:t>”</w:t>
      </w:r>
      <w:r w:rsidRPr="00366942">
        <w:rPr>
          <w:lang w:val="en-CA"/>
        </w:rPr>
        <w:t>].</w:t>
      </w:r>
    </w:p>
  </w:footnote>
  <w:footnote w:id="26">
    <w:p w14:paraId="6056DA3D" w14:textId="2053C324"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Id.</w:t>
      </w:r>
      <w:r w:rsidRPr="00366942">
        <w:rPr>
          <w:lang w:val="en-CA"/>
        </w:rPr>
        <w:t xml:space="preserve">, </w:t>
      </w:r>
      <w:r w:rsidR="00CF428C" w:rsidRPr="00366942">
        <w:rPr>
          <w:lang w:val="en-CA"/>
        </w:rPr>
        <w:t xml:space="preserve">at </w:t>
      </w:r>
      <w:r w:rsidRPr="00366942">
        <w:rPr>
          <w:lang w:val="en-CA"/>
        </w:rPr>
        <w:t>para. 48.</w:t>
      </w:r>
    </w:p>
  </w:footnote>
  <w:footnote w:id="27">
    <w:p w14:paraId="7EFF3A30" w14:textId="066C9ABF"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CN </w:t>
      </w:r>
      <w:r w:rsidR="00C06F47" w:rsidRPr="00366942">
        <w:rPr>
          <w:i/>
          <w:iCs/>
          <w:lang w:val="en-CA"/>
        </w:rPr>
        <w:t>v</w:t>
      </w:r>
      <w:r w:rsidRPr="00366942">
        <w:rPr>
          <w:i/>
          <w:iCs/>
          <w:lang w:val="en-CA"/>
        </w:rPr>
        <w:t>. Canada (</w:t>
      </w:r>
      <w:r w:rsidR="00C06F47" w:rsidRPr="00366942">
        <w:rPr>
          <w:i/>
          <w:iCs/>
          <w:lang w:val="en-CA"/>
        </w:rPr>
        <w:t>Canadian Human Rights Commission</w:t>
      </w:r>
      <w:r w:rsidRPr="00366942">
        <w:rPr>
          <w:i/>
          <w:iCs/>
          <w:lang w:val="en-CA"/>
        </w:rPr>
        <w:t>)</w:t>
      </w:r>
      <w:r w:rsidRPr="00366942">
        <w:rPr>
          <w:lang w:val="en-CA"/>
        </w:rPr>
        <w:t xml:space="preserve">, [1987] 1 </w:t>
      </w:r>
      <w:r w:rsidR="00C06F47" w:rsidRPr="00366942">
        <w:rPr>
          <w:lang w:val="en-CA"/>
        </w:rPr>
        <w:t>S.C.R</w:t>
      </w:r>
      <w:r w:rsidRPr="00366942">
        <w:rPr>
          <w:lang w:val="en-CA"/>
        </w:rPr>
        <w:t xml:space="preserve">. 1114, </w:t>
      </w:r>
      <w:r w:rsidR="00CF428C" w:rsidRPr="00366942">
        <w:rPr>
          <w:lang w:val="en-CA"/>
        </w:rPr>
        <w:t xml:space="preserve">at </w:t>
      </w:r>
      <w:r w:rsidRPr="00366942">
        <w:rPr>
          <w:lang w:val="en-CA"/>
        </w:rPr>
        <w:t>p. 1137 (</w:t>
      </w:r>
      <w:r w:rsidR="00CF428C" w:rsidRPr="00366942">
        <w:rPr>
          <w:lang w:val="en-CA"/>
        </w:rPr>
        <w:t>per</w:t>
      </w:r>
      <w:r w:rsidRPr="00366942">
        <w:rPr>
          <w:lang w:val="en-CA"/>
        </w:rPr>
        <w:t xml:space="preserve"> Dickson</w:t>
      </w:r>
      <w:r w:rsidR="00CF428C" w:rsidRPr="00366942">
        <w:rPr>
          <w:lang w:val="en-CA"/>
        </w:rPr>
        <w:t>, C.J., for a unanimous Court</w:t>
      </w:r>
      <w:r w:rsidRPr="00366942">
        <w:rPr>
          <w:lang w:val="en-CA"/>
        </w:rPr>
        <w:t xml:space="preserve">). </w:t>
      </w:r>
      <w:r w:rsidR="00CF428C" w:rsidRPr="00366942">
        <w:rPr>
          <w:lang w:val="en-CA"/>
        </w:rPr>
        <w:t>Although that case involved the</w:t>
      </w:r>
      <w:r w:rsidRPr="00366942">
        <w:rPr>
          <w:lang w:val="en-CA"/>
        </w:rPr>
        <w:t xml:space="preserve"> </w:t>
      </w:r>
      <w:r w:rsidR="00CF428C" w:rsidRPr="00366942">
        <w:rPr>
          <w:i/>
          <w:iCs/>
          <w:lang w:val="en-CA"/>
        </w:rPr>
        <w:t>Canadian Human Rights Act</w:t>
      </w:r>
      <w:r w:rsidRPr="00366942">
        <w:rPr>
          <w:lang w:val="en-CA"/>
        </w:rPr>
        <w:t xml:space="preserve"> (</w:t>
      </w:r>
      <w:r w:rsidR="00CF428C" w:rsidRPr="00366942">
        <w:rPr>
          <w:lang w:val="en-CA"/>
        </w:rPr>
        <w:t>then</w:t>
      </w:r>
      <w:r w:rsidRPr="00366942">
        <w:rPr>
          <w:lang w:val="en-CA"/>
        </w:rPr>
        <w:t xml:space="preserve"> S.C. 1976-77, c. 33), </w:t>
      </w:r>
      <w:r w:rsidR="00CF428C" w:rsidRPr="00366942">
        <w:rPr>
          <w:lang w:val="en-CA"/>
        </w:rPr>
        <w:t>the definition of indirect discrimination was no different from that applicable for the purposes of the</w:t>
      </w:r>
      <w:r w:rsidRPr="00366942">
        <w:rPr>
          <w:lang w:val="en-CA"/>
        </w:rPr>
        <w:t xml:space="preserve"> </w:t>
      </w:r>
      <w:r w:rsidR="00CF428C" w:rsidRPr="00366942">
        <w:rPr>
          <w:i/>
          <w:iCs/>
          <w:lang w:val="en-CA"/>
        </w:rPr>
        <w:t>Canadian Charter</w:t>
      </w:r>
      <w:r w:rsidRPr="00366942">
        <w:rPr>
          <w:lang w:val="en-CA"/>
        </w:rPr>
        <w:t>.</w:t>
      </w:r>
    </w:p>
  </w:footnote>
  <w:footnote w:id="28">
    <w:p w14:paraId="20683016" w14:textId="76A392FE"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 xml:space="preserve">Andrews </w:t>
      </w:r>
      <w:r w:rsidR="00FE6B16" w:rsidRPr="00366942">
        <w:rPr>
          <w:i/>
          <w:iCs/>
          <w:lang w:val="en-CA"/>
        </w:rPr>
        <w:t>v</w:t>
      </w:r>
      <w:r w:rsidRPr="00366942">
        <w:rPr>
          <w:i/>
          <w:iCs/>
          <w:lang w:val="en-CA"/>
        </w:rPr>
        <w:t>. Law Society of British Columbia</w:t>
      </w:r>
      <w:r w:rsidRPr="00366942">
        <w:rPr>
          <w:lang w:val="en-CA"/>
        </w:rPr>
        <w:t xml:space="preserve">, [1989] 1 </w:t>
      </w:r>
      <w:r w:rsidR="00FE6B16" w:rsidRPr="00366942">
        <w:rPr>
          <w:lang w:val="en-CA"/>
        </w:rPr>
        <w:t>S.C.R</w:t>
      </w:r>
      <w:r w:rsidRPr="00366942">
        <w:rPr>
          <w:lang w:val="en-CA"/>
        </w:rPr>
        <w:t xml:space="preserve">. 143, </w:t>
      </w:r>
      <w:r w:rsidR="00FE6B16" w:rsidRPr="00366942">
        <w:rPr>
          <w:lang w:val="en-CA"/>
        </w:rPr>
        <w:t xml:space="preserve">at </w:t>
      </w:r>
      <w:r w:rsidRPr="00366942">
        <w:rPr>
          <w:lang w:val="en-CA"/>
        </w:rPr>
        <w:t>p. 164 [</w:t>
      </w:r>
      <w:r w:rsidR="00FE6B16" w:rsidRPr="00366942">
        <w:rPr>
          <w:lang w:val="en-CA"/>
        </w:rPr>
        <w:t>“</w:t>
      </w:r>
      <w:r w:rsidRPr="00366942">
        <w:rPr>
          <w:i/>
          <w:iCs/>
          <w:lang w:val="en-CA"/>
        </w:rPr>
        <w:t>Andrews</w:t>
      </w:r>
      <w:r w:rsidR="00FE6B16" w:rsidRPr="00366942">
        <w:rPr>
          <w:lang w:val="en-CA"/>
        </w:rPr>
        <w:t>”</w:t>
      </w:r>
      <w:r w:rsidRPr="00366942">
        <w:rPr>
          <w:lang w:val="en-CA"/>
        </w:rPr>
        <w:t>].</w:t>
      </w:r>
    </w:p>
  </w:footnote>
  <w:footnote w:id="29">
    <w:p w14:paraId="58097E27" w14:textId="0794B02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Hodge </w:t>
      </w:r>
      <w:r w:rsidR="00EA46CD" w:rsidRPr="00366942">
        <w:rPr>
          <w:i/>
          <w:iCs/>
          <w:lang w:val="en-CA"/>
        </w:rPr>
        <w:t>v</w:t>
      </w:r>
      <w:r w:rsidRPr="00366942">
        <w:rPr>
          <w:i/>
          <w:iCs/>
          <w:lang w:val="en-CA"/>
        </w:rPr>
        <w:t>. Canada (</w:t>
      </w:r>
      <w:r w:rsidR="00EA46CD" w:rsidRPr="00366942">
        <w:rPr>
          <w:i/>
          <w:iCs/>
          <w:lang w:val="en-CA"/>
        </w:rPr>
        <w:t>Minister of Human Resources Development</w:t>
      </w:r>
      <w:r w:rsidRPr="00366942">
        <w:rPr>
          <w:i/>
          <w:iCs/>
          <w:lang w:val="en-CA"/>
        </w:rPr>
        <w:t>)</w:t>
      </w:r>
      <w:r w:rsidRPr="00366942">
        <w:rPr>
          <w:lang w:val="en-CA"/>
        </w:rPr>
        <w:t xml:space="preserve">, 2004 </w:t>
      </w:r>
      <w:r w:rsidR="00EA46CD" w:rsidRPr="00366942">
        <w:rPr>
          <w:lang w:val="en-CA"/>
        </w:rPr>
        <w:t>SCC</w:t>
      </w:r>
      <w:r w:rsidRPr="00366942">
        <w:rPr>
          <w:lang w:val="en-CA"/>
        </w:rPr>
        <w:t xml:space="preserve"> 65, </w:t>
      </w:r>
      <w:r w:rsidR="00EA46CD" w:rsidRPr="00366942">
        <w:rPr>
          <w:lang w:val="en-CA"/>
        </w:rPr>
        <w:t xml:space="preserve">at </w:t>
      </w:r>
      <w:r w:rsidRPr="00366942">
        <w:rPr>
          <w:lang w:val="en-CA"/>
        </w:rPr>
        <w:t xml:space="preserve">para. 1. </w:t>
      </w:r>
      <w:r w:rsidR="00EA46CD" w:rsidRPr="00366942">
        <w:rPr>
          <w:lang w:val="en-CA"/>
        </w:rPr>
        <w:t>See also para</w:t>
      </w:r>
      <w:r w:rsidRPr="00366942">
        <w:rPr>
          <w:lang w:val="en-CA"/>
        </w:rPr>
        <w:t xml:space="preserve">. 17 </w:t>
      </w:r>
      <w:r w:rsidR="00EA46CD" w:rsidRPr="00366942">
        <w:rPr>
          <w:lang w:val="en-CA"/>
        </w:rPr>
        <w:t>of that decision</w:t>
      </w:r>
      <w:r w:rsidRPr="00366942">
        <w:rPr>
          <w:lang w:val="en-CA"/>
        </w:rPr>
        <w:t>.</w:t>
      </w:r>
    </w:p>
  </w:footnote>
  <w:footnote w:id="30">
    <w:p w14:paraId="7F3986EA" w14:textId="0E138CBD"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Andrews</w:t>
      </w:r>
      <w:r w:rsidRPr="00366942">
        <w:rPr>
          <w:lang w:val="en-CA"/>
        </w:rPr>
        <w:t xml:space="preserve">, </w:t>
      </w:r>
      <w:r w:rsidR="00FE6B16" w:rsidRPr="00763600">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_Ref173166169 \h </w:instrText>
      </w:r>
      <w:r w:rsidRPr="00366942">
        <w:rPr>
          <w:lang w:val="en-CA"/>
        </w:rPr>
      </w:r>
      <w:r w:rsidRPr="00366942">
        <w:rPr>
          <w:lang w:val="en-CA"/>
        </w:rPr>
        <w:fldChar w:fldCharType="separate"/>
      </w:r>
      <w:r w:rsidR="001C6ED6">
        <w:rPr>
          <w:lang w:val="en-CA"/>
        </w:rPr>
        <w:t>28</w:t>
      </w:r>
      <w:r w:rsidRPr="00366942">
        <w:rPr>
          <w:lang w:val="en-CA"/>
        </w:rPr>
        <w:fldChar w:fldCharType="end"/>
      </w:r>
      <w:r w:rsidRPr="00366942">
        <w:rPr>
          <w:lang w:val="en-CA"/>
        </w:rPr>
        <w:t xml:space="preserve">, </w:t>
      </w:r>
      <w:r w:rsidR="00EA46CD" w:rsidRPr="00366942">
        <w:rPr>
          <w:lang w:val="en-CA"/>
        </w:rPr>
        <w:t xml:space="preserve">at </w:t>
      </w:r>
      <w:r w:rsidRPr="00366942">
        <w:rPr>
          <w:lang w:val="en-CA"/>
        </w:rPr>
        <w:t>p. 165.</w:t>
      </w:r>
    </w:p>
  </w:footnote>
  <w:footnote w:id="31">
    <w:p w14:paraId="5CF9BCA9" w14:textId="3EDB10B1"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Eldridge </w:t>
      </w:r>
      <w:r w:rsidR="00EA46CD" w:rsidRPr="00366942">
        <w:rPr>
          <w:i/>
          <w:iCs/>
          <w:lang w:val="en-CA"/>
        </w:rPr>
        <w:t>v</w:t>
      </w:r>
      <w:r w:rsidRPr="00366942">
        <w:rPr>
          <w:i/>
          <w:iCs/>
          <w:lang w:val="en-CA"/>
        </w:rPr>
        <w:t xml:space="preserve">. </w:t>
      </w:r>
      <w:r w:rsidR="00EA46CD" w:rsidRPr="00366942">
        <w:rPr>
          <w:i/>
          <w:iCs/>
          <w:lang w:val="en-CA"/>
        </w:rPr>
        <w:t>British Columbia</w:t>
      </w:r>
      <w:r w:rsidRPr="00366942">
        <w:rPr>
          <w:i/>
          <w:iCs/>
          <w:lang w:val="en-CA"/>
        </w:rPr>
        <w:t xml:space="preserve"> (</w:t>
      </w:r>
      <w:r w:rsidR="00EA46CD" w:rsidRPr="00366942">
        <w:rPr>
          <w:i/>
          <w:iCs/>
          <w:lang w:val="en-CA"/>
        </w:rPr>
        <w:t>Attorney General</w:t>
      </w:r>
      <w:r w:rsidRPr="00366942">
        <w:rPr>
          <w:i/>
          <w:iCs/>
          <w:lang w:val="en-CA"/>
        </w:rPr>
        <w:t>)</w:t>
      </w:r>
      <w:r w:rsidRPr="00366942">
        <w:rPr>
          <w:lang w:val="en-CA"/>
        </w:rPr>
        <w:t xml:space="preserve">, [1997] 3 </w:t>
      </w:r>
      <w:r w:rsidR="00EA46CD" w:rsidRPr="00366942">
        <w:rPr>
          <w:lang w:val="en-CA"/>
        </w:rPr>
        <w:t>S.C.R</w:t>
      </w:r>
      <w:r w:rsidRPr="00366942">
        <w:rPr>
          <w:lang w:val="en-CA"/>
        </w:rPr>
        <w:t xml:space="preserve">. 624, </w:t>
      </w:r>
      <w:r w:rsidR="00EA46CD" w:rsidRPr="00366942">
        <w:rPr>
          <w:lang w:val="en-CA"/>
        </w:rPr>
        <w:t xml:space="preserve">at </w:t>
      </w:r>
      <w:r w:rsidRPr="00366942">
        <w:rPr>
          <w:lang w:val="en-CA"/>
        </w:rPr>
        <w:t>para. 58 [</w:t>
      </w:r>
      <w:r w:rsidR="00EA46CD" w:rsidRPr="00366942">
        <w:rPr>
          <w:lang w:val="en-CA"/>
        </w:rPr>
        <w:t>“</w:t>
      </w:r>
      <w:r w:rsidRPr="00366942">
        <w:rPr>
          <w:i/>
          <w:iCs/>
          <w:lang w:val="en-CA"/>
        </w:rPr>
        <w:t>Eldridge</w:t>
      </w:r>
      <w:r w:rsidR="00EA46CD" w:rsidRPr="00366942">
        <w:rPr>
          <w:lang w:val="en-CA"/>
        </w:rPr>
        <w:t>”</w:t>
      </w:r>
      <w:r w:rsidRPr="00366942">
        <w:rPr>
          <w:lang w:val="en-CA"/>
        </w:rPr>
        <w:t>].</w:t>
      </w:r>
    </w:p>
  </w:footnote>
  <w:footnote w:id="32">
    <w:p w14:paraId="73C790C2" w14:textId="08F071E2"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Withler </w:t>
      </w:r>
      <w:r w:rsidR="00EA46CD" w:rsidRPr="00366942">
        <w:rPr>
          <w:i/>
          <w:iCs/>
          <w:lang w:val="en-CA"/>
        </w:rPr>
        <w:t>v</w:t>
      </w:r>
      <w:r w:rsidRPr="00366942">
        <w:rPr>
          <w:i/>
          <w:iCs/>
          <w:lang w:val="en-CA"/>
        </w:rPr>
        <w:t>. Canada (</w:t>
      </w:r>
      <w:r w:rsidR="00EA46CD" w:rsidRPr="00366942">
        <w:rPr>
          <w:i/>
          <w:iCs/>
          <w:lang w:val="en-CA"/>
        </w:rPr>
        <w:t>Attorney General</w:t>
      </w:r>
      <w:r w:rsidRPr="00366942">
        <w:rPr>
          <w:i/>
          <w:iCs/>
          <w:lang w:val="en-CA"/>
        </w:rPr>
        <w:t>)</w:t>
      </w:r>
      <w:r w:rsidRPr="00366942">
        <w:rPr>
          <w:lang w:val="en-CA"/>
        </w:rPr>
        <w:t xml:space="preserve">, </w:t>
      </w:r>
      <w:r w:rsidRPr="00366942">
        <w:rPr>
          <w:rStyle w:val="sccrespondentforindexchar"/>
          <w:lang w:val="en-CA"/>
        </w:rPr>
        <w:t xml:space="preserve">2011 </w:t>
      </w:r>
      <w:r w:rsidR="00EA46CD" w:rsidRPr="00366942">
        <w:rPr>
          <w:rStyle w:val="sccrespondentforindexchar"/>
          <w:lang w:val="en-CA"/>
        </w:rPr>
        <w:t>SCC</w:t>
      </w:r>
      <w:r w:rsidRPr="00366942">
        <w:rPr>
          <w:rStyle w:val="sccrespondentforindexchar"/>
          <w:lang w:val="en-CA"/>
        </w:rPr>
        <w:t xml:space="preserve"> 12 [</w:t>
      </w:r>
      <w:r w:rsidR="00EA46CD" w:rsidRPr="00366942">
        <w:rPr>
          <w:rStyle w:val="sccrespondentforindexchar"/>
          <w:lang w:val="en-CA"/>
        </w:rPr>
        <w:t>“</w:t>
      </w:r>
      <w:r w:rsidRPr="00366942">
        <w:rPr>
          <w:rStyle w:val="sccrespondentforindexchar"/>
          <w:i/>
          <w:iCs/>
          <w:lang w:val="en-CA"/>
        </w:rPr>
        <w:t>Withler</w:t>
      </w:r>
      <w:r w:rsidR="00EA46CD" w:rsidRPr="00366942">
        <w:rPr>
          <w:rStyle w:val="sccrespondentforindexchar"/>
          <w:lang w:val="en-CA"/>
        </w:rPr>
        <w:t>”</w:t>
      </w:r>
      <w:r w:rsidRPr="00366942">
        <w:rPr>
          <w:rStyle w:val="sccrespondentforindexchar"/>
          <w:lang w:val="en-CA"/>
        </w:rPr>
        <w:t>]</w:t>
      </w:r>
      <w:r w:rsidRPr="00366942">
        <w:rPr>
          <w:lang w:val="en-CA"/>
        </w:rPr>
        <w:t xml:space="preserve">. </w:t>
      </w:r>
      <w:r w:rsidR="008739EF" w:rsidRPr="00366942">
        <w:rPr>
          <w:lang w:val="en-CA"/>
        </w:rPr>
        <w:t xml:space="preserve">That decision also explains the risks associated with </w:t>
      </w:r>
      <w:r w:rsidR="001C1E02" w:rsidRPr="00366942">
        <w:rPr>
          <w:lang w:val="en-CA"/>
        </w:rPr>
        <w:t xml:space="preserve">the </w:t>
      </w:r>
      <w:r w:rsidR="008739EF" w:rsidRPr="00366942">
        <w:rPr>
          <w:lang w:val="en-CA"/>
        </w:rPr>
        <w:t>comparative exercise (</w:t>
      </w:r>
      <w:r w:rsidR="00A9303D" w:rsidRPr="00366942">
        <w:rPr>
          <w:lang w:val="en-CA"/>
        </w:rPr>
        <w:t>the goal being the furtherance</w:t>
      </w:r>
      <w:r w:rsidR="001C1E02" w:rsidRPr="00366942">
        <w:rPr>
          <w:lang w:val="en-CA"/>
        </w:rPr>
        <w:t xml:space="preserve"> </w:t>
      </w:r>
      <w:r w:rsidR="00A9303D" w:rsidRPr="00366942">
        <w:rPr>
          <w:lang w:val="en-CA"/>
        </w:rPr>
        <w:t>of</w:t>
      </w:r>
      <w:r w:rsidR="001C1E02" w:rsidRPr="00366942">
        <w:rPr>
          <w:lang w:val="en-CA"/>
        </w:rPr>
        <w:t xml:space="preserve"> </w:t>
      </w:r>
      <w:r w:rsidR="008739EF" w:rsidRPr="00366942">
        <w:rPr>
          <w:lang w:val="en-CA"/>
        </w:rPr>
        <w:t xml:space="preserve">substantive equality </w:t>
      </w:r>
      <w:r w:rsidR="001C1E02" w:rsidRPr="00366942">
        <w:rPr>
          <w:lang w:val="en-CA"/>
        </w:rPr>
        <w:t>rather than</w:t>
      </w:r>
      <w:r w:rsidR="008739EF" w:rsidRPr="00366942">
        <w:rPr>
          <w:lang w:val="en-CA"/>
        </w:rPr>
        <w:t xml:space="preserve"> formal equality</w:t>
      </w:r>
      <w:r w:rsidR="001C1E02" w:rsidRPr="00366942">
        <w:rPr>
          <w:lang w:val="en-CA"/>
        </w:rPr>
        <w:t>)</w:t>
      </w:r>
      <w:r w:rsidR="008739EF" w:rsidRPr="00366942">
        <w:rPr>
          <w:lang w:val="en-CA"/>
        </w:rPr>
        <w:t>, notably in the choice of the comparator group</w:t>
      </w:r>
      <w:r w:rsidRPr="00366942">
        <w:rPr>
          <w:lang w:val="en-CA"/>
        </w:rPr>
        <w:t>.</w:t>
      </w:r>
    </w:p>
  </w:footnote>
  <w:footnote w:id="33">
    <w:p w14:paraId="4A095BDC" w14:textId="02890840"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4E6F53" w:rsidRPr="00366942">
        <w:rPr>
          <w:i/>
          <w:iCs/>
          <w:lang w:val="en-CA"/>
        </w:rPr>
        <w:t>Supra</w:t>
      </w:r>
      <w:r w:rsidRPr="00366942">
        <w:rPr>
          <w:lang w:val="en-CA"/>
        </w:rPr>
        <w:t xml:space="preserve">, note </w:t>
      </w:r>
      <w:r w:rsidRPr="00366942">
        <w:fldChar w:fldCharType="begin"/>
      </w:r>
      <w:r w:rsidRPr="00366942">
        <w:rPr>
          <w:lang w:val="en-CA"/>
        </w:rPr>
        <w:instrText xml:space="preserve"> NOTEREF _Ref173269375 \h </w:instrText>
      </w:r>
      <w:r w:rsidRPr="00366942">
        <w:fldChar w:fldCharType="separate"/>
      </w:r>
      <w:r w:rsidR="001C6ED6">
        <w:rPr>
          <w:lang w:val="en-CA"/>
        </w:rPr>
        <w:t>15</w:t>
      </w:r>
      <w:r w:rsidRPr="00366942">
        <w:fldChar w:fldCharType="end"/>
      </w:r>
      <w:r w:rsidRPr="00366942">
        <w:rPr>
          <w:lang w:val="en-CA"/>
        </w:rPr>
        <w:t>.</w:t>
      </w:r>
    </w:p>
  </w:footnote>
  <w:footnote w:id="34">
    <w:p w14:paraId="6415EAA6" w14:textId="5F9AB3D1"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Kanyinda</w:t>
      </w:r>
      <w:r w:rsidRPr="00366942">
        <w:rPr>
          <w:lang w:val="en-CA"/>
        </w:rPr>
        <w:t xml:space="preserve">, </w:t>
      </w:r>
      <w:r w:rsidR="004B63D3"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_Ref172654494 \h </w:instrText>
      </w:r>
      <w:r w:rsidRPr="00366942">
        <w:rPr>
          <w:lang w:val="en-CA"/>
        </w:rPr>
      </w:r>
      <w:r w:rsidRPr="00366942">
        <w:rPr>
          <w:lang w:val="en-CA"/>
        </w:rPr>
        <w:fldChar w:fldCharType="separate"/>
      </w:r>
      <w:r w:rsidR="001C6ED6">
        <w:rPr>
          <w:lang w:val="en-CA"/>
        </w:rPr>
        <w:t>11</w:t>
      </w:r>
      <w:r w:rsidRPr="00366942">
        <w:rPr>
          <w:lang w:val="en-CA"/>
        </w:rPr>
        <w:fldChar w:fldCharType="end"/>
      </w:r>
      <w:r w:rsidRPr="00366942">
        <w:rPr>
          <w:lang w:val="en-CA"/>
        </w:rPr>
        <w:t xml:space="preserve">, </w:t>
      </w:r>
      <w:r w:rsidR="004B63D3" w:rsidRPr="00366942">
        <w:rPr>
          <w:lang w:val="en-CA"/>
        </w:rPr>
        <w:t>also</w:t>
      </w:r>
      <w:r w:rsidR="00DE44C3" w:rsidRPr="00366942">
        <w:rPr>
          <w:lang w:val="en-CA"/>
        </w:rPr>
        <w:t xml:space="preserve"> adopted that teaching</w:t>
      </w:r>
      <w:r w:rsidRPr="00366942">
        <w:rPr>
          <w:lang w:val="en-CA"/>
        </w:rPr>
        <w:t xml:space="preserve">, </w:t>
      </w:r>
      <w:r w:rsidR="00DE44C3" w:rsidRPr="00366942">
        <w:rPr>
          <w:lang w:val="en-CA"/>
        </w:rPr>
        <w:t>quoting para</w:t>
      </w:r>
      <w:r w:rsidRPr="00366942">
        <w:rPr>
          <w:lang w:val="en-CA"/>
        </w:rPr>
        <w:t xml:space="preserve">. 41 </w:t>
      </w:r>
      <w:r w:rsidR="00DE44C3" w:rsidRPr="00366942">
        <w:rPr>
          <w:lang w:val="en-CA"/>
        </w:rPr>
        <w:t>of</w:t>
      </w:r>
      <w:r w:rsidRPr="00366942">
        <w:rPr>
          <w:lang w:val="en-CA"/>
        </w:rPr>
        <w:t xml:space="preserve"> </w:t>
      </w:r>
      <w:r w:rsidRPr="00366942">
        <w:rPr>
          <w:i/>
          <w:iCs/>
          <w:lang w:val="en-CA"/>
        </w:rPr>
        <w:t>Sharma</w:t>
      </w:r>
      <w:r w:rsidR="00DE44C3" w:rsidRPr="00366942">
        <w:rPr>
          <w:i/>
          <w:iCs/>
          <w:lang w:val="en-CA"/>
        </w:rPr>
        <w:t xml:space="preserve"> </w:t>
      </w:r>
      <w:r w:rsidR="00DE44C3" w:rsidRPr="00366942">
        <w:rPr>
          <w:lang w:val="en-CA"/>
        </w:rPr>
        <w:t>in its entirety</w:t>
      </w:r>
      <w:r w:rsidRPr="00366942">
        <w:rPr>
          <w:lang w:val="en-CA"/>
        </w:rPr>
        <w:t>.</w:t>
      </w:r>
    </w:p>
  </w:footnote>
  <w:footnote w:id="35">
    <w:p w14:paraId="37D7D971" w14:textId="5C327B01" w:rsidR="00961A50" w:rsidRPr="00366942" w:rsidRDefault="00961A50" w:rsidP="00961A50">
      <w:pPr>
        <w:pStyle w:val="Notedebasdepage"/>
        <w:rPr>
          <w:i/>
          <w:iCs/>
          <w:u w:val="single"/>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Sharma</w:t>
      </w:r>
      <w:r w:rsidRPr="00366942">
        <w:rPr>
          <w:lang w:val="en-CA"/>
        </w:rPr>
        <w:t xml:space="preserve">, </w:t>
      </w:r>
      <w:r w:rsidR="00593074" w:rsidRPr="00366942">
        <w:rPr>
          <w:i/>
          <w:iCs/>
          <w:lang w:val="en-CA"/>
        </w:rPr>
        <w:t>supra</w:t>
      </w:r>
      <w:r w:rsidRPr="00366942">
        <w:rPr>
          <w:lang w:val="en-CA"/>
        </w:rPr>
        <w:t>,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593074" w:rsidRPr="00366942">
        <w:rPr>
          <w:lang w:val="en-CA"/>
        </w:rPr>
        <w:t xml:space="preserve">at </w:t>
      </w:r>
      <w:r w:rsidRPr="00366942">
        <w:rPr>
          <w:lang w:val="en-CA"/>
        </w:rPr>
        <w:t>para. 53.</w:t>
      </w:r>
    </w:p>
  </w:footnote>
  <w:footnote w:id="36">
    <w:p w14:paraId="6EBD968B" w14:textId="022E6D08"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2021 </w:t>
      </w:r>
      <w:r w:rsidR="00593074" w:rsidRPr="00366942">
        <w:rPr>
          <w:lang w:val="en-CA"/>
        </w:rPr>
        <w:t>SCC</w:t>
      </w:r>
      <w:r w:rsidRPr="00366942">
        <w:rPr>
          <w:lang w:val="en-CA"/>
        </w:rPr>
        <w:t xml:space="preserve"> 19.</w:t>
      </w:r>
    </w:p>
  </w:footnote>
  <w:footnote w:id="37">
    <w:p w14:paraId="7A45522C" w14:textId="4ACC093A"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Sharma</w:t>
      </w:r>
      <w:r w:rsidRPr="00366942">
        <w:rPr>
          <w:lang w:val="en-CA"/>
        </w:rPr>
        <w:t xml:space="preserve">, </w:t>
      </w:r>
      <w:r w:rsidR="00593074" w:rsidRPr="00366942">
        <w:rPr>
          <w:i/>
          <w:iCs/>
          <w:lang w:val="en-CA"/>
        </w:rPr>
        <w:t>supra</w:t>
      </w:r>
      <w:r w:rsidRPr="00366942">
        <w:rPr>
          <w:lang w:val="en-CA"/>
        </w:rPr>
        <w:t>,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593074" w:rsidRPr="00366942">
        <w:rPr>
          <w:lang w:val="en-CA"/>
        </w:rPr>
        <w:t xml:space="preserve">at </w:t>
      </w:r>
      <w:r w:rsidRPr="00366942">
        <w:rPr>
          <w:lang w:val="en-CA"/>
        </w:rPr>
        <w:t>para. 56.</w:t>
      </w:r>
    </w:p>
  </w:footnote>
  <w:footnote w:id="38">
    <w:p w14:paraId="506E4F9B" w14:textId="36C1A18D"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593074"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_Ref177374137 \h </w:instrText>
      </w:r>
      <w:r w:rsidRPr="00366942">
        <w:rPr>
          <w:lang w:val="en-CA"/>
        </w:rPr>
      </w:r>
      <w:r w:rsidRPr="00366942">
        <w:rPr>
          <w:lang w:val="en-CA"/>
        </w:rPr>
        <w:fldChar w:fldCharType="separate"/>
      </w:r>
      <w:r w:rsidR="001C6ED6">
        <w:rPr>
          <w:lang w:val="en-CA"/>
        </w:rPr>
        <w:t>32</w:t>
      </w:r>
      <w:r w:rsidRPr="00366942">
        <w:rPr>
          <w:lang w:val="en-CA"/>
        </w:rPr>
        <w:fldChar w:fldCharType="end"/>
      </w:r>
      <w:r w:rsidRPr="00366942">
        <w:rPr>
          <w:lang w:val="en-CA"/>
        </w:rPr>
        <w:t>.</w:t>
      </w:r>
    </w:p>
  </w:footnote>
  <w:footnote w:id="39">
    <w:p w14:paraId="32F0BD42" w14:textId="13542690"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Sharma</w:t>
      </w:r>
      <w:r w:rsidRPr="00366942">
        <w:rPr>
          <w:lang w:val="en-CA"/>
        </w:rPr>
        <w:t xml:space="preserve">, </w:t>
      </w:r>
      <w:r w:rsidR="00593074" w:rsidRPr="00366942">
        <w:rPr>
          <w:i/>
          <w:iCs/>
          <w:lang w:val="en-CA"/>
        </w:rPr>
        <w:t>supra</w:t>
      </w:r>
      <w:r w:rsidRPr="00366942">
        <w:rPr>
          <w:lang w:val="en-CA"/>
        </w:rPr>
        <w:t>,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593074" w:rsidRPr="00366942">
        <w:rPr>
          <w:lang w:val="en-CA"/>
        </w:rPr>
        <w:t xml:space="preserve">at </w:t>
      </w:r>
      <w:r w:rsidRPr="00366942">
        <w:rPr>
          <w:lang w:val="en-CA"/>
        </w:rPr>
        <w:t>para. 57 (</w:t>
      </w:r>
      <w:r w:rsidR="007C7A24" w:rsidRPr="00366942">
        <w:rPr>
          <w:lang w:val="en-CA"/>
        </w:rPr>
        <w:t>underl</w:t>
      </w:r>
      <w:r w:rsidR="0005564C" w:rsidRPr="00366942">
        <w:rPr>
          <w:lang w:val="en-CA"/>
        </w:rPr>
        <w:t>in</w:t>
      </w:r>
      <w:r w:rsidR="007C7A24" w:rsidRPr="00366942">
        <w:rPr>
          <w:lang w:val="en-CA"/>
        </w:rPr>
        <w:t>ing</w:t>
      </w:r>
      <w:r w:rsidR="00593074" w:rsidRPr="00366942">
        <w:rPr>
          <w:lang w:val="en-CA"/>
        </w:rPr>
        <w:t xml:space="preserve"> added</w:t>
      </w:r>
      <w:r w:rsidRPr="00366942">
        <w:rPr>
          <w:lang w:val="en-CA"/>
        </w:rPr>
        <w:t>).</w:t>
      </w:r>
    </w:p>
  </w:footnote>
  <w:footnote w:id="40">
    <w:p w14:paraId="58995F8C" w14:textId="3798B1E8"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Sharma</w:t>
      </w:r>
      <w:r w:rsidRPr="00366942">
        <w:rPr>
          <w:lang w:val="en-CA"/>
        </w:rPr>
        <w:t xml:space="preserve">, </w:t>
      </w:r>
      <w:r w:rsidR="00593074" w:rsidRPr="00366942">
        <w:rPr>
          <w:i/>
          <w:iCs/>
          <w:lang w:val="en-CA"/>
        </w:rPr>
        <w:t>supra</w:t>
      </w:r>
      <w:r w:rsidRPr="00366942">
        <w:rPr>
          <w:lang w:val="en-CA"/>
        </w:rPr>
        <w:t>,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593074" w:rsidRPr="00366942">
        <w:rPr>
          <w:lang w:val="en-CA"/>
        </w:rPr>
        <w:t xml:space="preserve">at </w:t>
      </w:r>
      <w:r w:rsidRPr="00366942">
        <w:rPr>
          <w:lang w:val="en-CA"/>
        </w:rPr>
        <w:t>para. 59.</w:t>
      </w:r>
    </w:p>
  </w:footnote>
  <w:footnote w:id="41">
    <w:p w14:paraId="0EF35E25" w14:textId="7959E45C"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C92F18" w:rsidRPr="00366942">
        <w:rPr>
          <w:lang w:val="en-CA"/>
        </w:rPr>
        <w:t>I</w:t>
      </w:r>
      <w:r w:rsidR="00593074" w:rsidRPr="00366942">
        <w:rPr>
          <w:lang w:val="en-CA"/>
        </w:rPr>
        <w:t>n her dissent</w:t>
      </w:r>
      <w:r w:rsidRPr="00366942">
        <w:rPr>
          <w:lang w:val="en-CA"/>
        </w:rPr>
        <w:t>, Karakatsanis</w:t>
      </w:r>
      <w:r w:rsidR="00593074" w:rsidRPr="00366942">
        <w:rPr>
          <w:lang w:val="en-CA"/>
        </w:rPr>
        <w:t>, J.</w:t>
      </w:r>
      <w:r w:rsidRPr="00366942">
        <w:rPr>
          <w:lang w:val="en-CA"/>
        </w:rPr>
        <w:t xml:space="preserve"> </w:t>
      </w:r>
      <w:r w:rsidR="00593074" w:rsidRPr="00366942">
        <w:rPr>
          <w:lang w:val="en-CA"/>
        </w:rPr>
        <w:t>appears to indicate that such a positive obligation of the state cannot be</w:t>
      </w:r>
      <w:r w:rsidR="00D34FD0" w:rsidRPr="00366942">
        <w:rPr>
          <w:lang w:val="en-CA"/>
        </w:rPr>
        <w:t xml:space="preserve"> </w:t>
      </w:r>
      <w:r w:rsidR="00593074" w:rsidRPr="00366942">
        <w:rPr>
          <w:lang w:val="en-CA"/>
        </w:rPr>
        <w:t>excluded</w:t>
      </w:r>
      <w:r w:rsidR="00D34FD0" w:rsidRPr="00366942">
        <w:rPr>
          <w:lang w:val="en-CA"/>
        </w:rPr>
        <w:t xml:space="preserve"> from the outset</w:t>
      </w:r>
      <w:r w:rsidR="00604033" w:rsidRPr="00366942">
        <w:rPr>
          <w:lang w:val="en-CA"/>
        </w:rPr>
        <w:t xml:space="preserve"> (</w:t>
      </w:r>
      <w:r w:rsidR="00604033" w:rsidRPr="00366942">
        <w:rPr>
          <w:i/>
          <w:iCs/>
          <w:lang w:val="en-CA"/>
        </w:rPr>
        <w:t>Sharma</w:t>
      </w:r>
      <w:r w:rsidR="00604033" w:rsidRPr="00366942">
        <w:rPr>
          <w:lang w:val="en-CA"/>
        </w:rPr>
        <w:t xml:space="preserve">, </w:t>
      </w:r>
      <w:r w:rsidR="00593074" w:rsidRPr="00366942">
        <w:rPr>
          <w:i/>
          <w:iCs/>
          <w:lang w:val="en-CA"/>
        </w:rPr>
        <w:t>supra</w:t>
      </w:r>
      <w:r w:rsidR="00604033" w:rsidRPr="00366942">
        <w:rPr>
          <w:lang w:val="en-CA"/>
        </w:rPr>
        <w:t>, note </w:t>
      </w:r>
      <w:r w:rsidR="00604033" w:rsidRPr="00366942">
        <w:rPr>
          <w:lang w:val="en-CA"/>
        </w:rPr>
        <w:fldChar w:fldCharType="begin"/>
      </w:r>
      <w:r w:rsidR="00604033" w:rsidRPr="00366942">
        <w:rPr>
          <w:lang w:val="en-CA"/>
        </w:rPr>
        <w:instrText xml:space="preserve"> NOTEREF _Ref173269375 \h </w:instrText>
      </w:r>
      <w:r w:rsidR="00604033" w:rsidRPr="00366942">
        <w:rPr>
          <w:lang w:val="en-CA"/>
        </w:rPr>
      </w:r>
      <w:r w:rsidR="00604033" w:rsidRPr="00366942">
        <w:rPr>
          <w:lang w:val="en-CA"/>
        </w:rPr>
        <w:fldChar w:fldCharType="separate"/>
      </w:r>
      <w:r w:rsidR="001C6ED6">
        <w:rPr>
          <w:lang w:val="en-CA"/>
        </w:rPr>
        <w:t>15</w:t>
      </w:r>
      <w:r w:rsidR="00604033" w:rsidRPr="00366942">
        <w:rPr>
          <w:lang w:val="en-CA"/>
        </w:rPr>
        <w:fldChar w:fldCharType="end"/>
      </w:r>
      <w:r w:rsidR="00604033" w:rsidRPr="00366942">
        <w:rPr>
          <w:lang w:val="en-CA"/>
        </w:rPr>
        <w:t xml:space="preserve">, </w:t>
      </w:r>
      <w:r w:rsidR="00593074" w:rsidRPr="00366942">
        <w:rPr>
          <w:lang w:val="en-CA"/>
        </w:rPr>
        <w:t xml:space="preserve">at </w:t>
      </w:r>
      <w:r w:rsidR="00604033" w:rsidRPr="00366942">
        <w:rPr>
          <w:lang w:val="en-CA"/>
        </w:rPr>
        <w:t>para. 205)</w:t>
      </w:r>
      <w:r w:rsidRPr="00366942">
        <w:rPr>
          <w:lang w:val="en-CA"/>
        </w:rPr>
        <w:t>.</w:t>
      </w:r>
    </w:p>
  </w:footnote>
  <w:footnote w:id="42">
    <w:p w14:paraId="296F7494" w14:textId="2C0E725C"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Sharma</w:t>
      </w:r>
      <w:r w:rsidRPr="00366942">
        <w:rPr>
          <w:lang w:val="en-CA"/>
        </w:rPr>
        <w:t xml:space="preserve">, </w:t>
      </w:r>
      <w:r w:rsidR="00E55CAB" w:rsidRPr="00366942">
        <w:rPr>
          <w:i/>
          <w:iCs/>
          <w:lang w:val="en-CA"/>
        </w:rPr>
        <w:t>supra</w:t>
      </w:r>
      <w:r w:rsidRPr="00366942">
        <w:rPr>
          <w:lang w:val="en-CA"/>
        </w:rPr>
        <w:t>,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E55CAB" w:rsidRPr="00366942">
        <w:rPr>
          <w:lang w:val="en-CA"/>
        </w:rPr>
        <w:t xml:space="preserve">at </w:t>
      </w:r>
      <w:r w:rsidRPr="00366942">
        <w:rPr>
          <w:lang w:val="en-CA"/>
        </w:rPr>
        <w:t>para. 64 (</w:t>
      </w:r>
      <w:r w:rsidR="007C7A24" w:rsidRPr="00366942">
        <w:rPr>
          <w:lang w:val="en-CA"/>
        </w:rPr>
        <w:t>italics</w:t>
      </w:r>
      <w:r w:rsidR="00E55CAB" w:rsidRPr="00366942">
        <w:rPr>
          <w:lang w:val="en-CA"/>
        </w:rPr>
        <w:t xml:space="preserve"> in the original</w:t>
      </w:r>
      <w:r w:rsidRPr="00366942">
        <w:rPr>
          <w:lang w:val="en-CA"/>
        </w:rPr>
        <w:t>).</w:t>
      </w:r>
    </w:p>
  </w:footnote>
  <w:footnote w:id="43">
    <w:p w14:paraId="33D82204" w14:textId="35864B63"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McKinney </w:t>
      </w:r>
      <w:r w:rsidR="00E55CAB" w:rsidRPr="00366942">
        <w:rPr>
          <w:i/>
          <w:iCs/>
          <w:lang w:val="en-CA"/>
        </w:rPr>
        <w:t>v</w:t>
      </w:r>
      <w:r w:rsidRPr="00366942">
        <w:rPr>
          <w:i/>
          <w:iCs/>
          <w:lang w:val="en-CA"/>
        </w:rPr>
        <w:t>. Universit</w:t>
      </w:r>
      <w:r w:rsidR="00E55CAB" w:rsidRPr="00366942">
        <w:rPr>
          <w:i/>
          <w:iCs/>
          <w:lang w:val="en-CA"/>
        </w:rPr>
        <w:t>y</w:t>
      </w:r>
      <w:r w:rsidRPr="00366942">
        <w:rPr>
          <w:i/>
          <w:iCs/>
          <w:lang w:val="en-CA"/>
        </w:rPr>
        <w:t xml:space="preserve"> </w:t>
      </w:r>
      <w:r w:rsidR="00E55CAB" w:rsidRPr="00366942">
        <w:rPr>
          <w:i/>
          <w:iCs/>
          <w:lang w:val="en-CA"/>
        </w:rPr>
        <w:t>of</w:t>
      </w:r>
      <w:r w:rsidRPr="00366942">
        <w:rPr>
          <w:i/>
          <w:iCs/>
          <w:lang w:val="en-CA"/>
        </w:rPr>
        <w:t xml:space="preserve"> Guelph</w:t>
      </w:r>
      <w:r w:rsidRPr="00366942">
        <w:rPr>
          <w:lang w:val="en-CA"/>
        </w:rPr>
        <w:t xml:space="preserve">, [1990] 3 </w:t>
      </w:r>
      <w:r w:rsidR="00E55CAB" w:rsidRPr="00366942">
        <w:rPr>
          <w:lang w:val="en-CA"/>
        </w:rPr>
        <w:t>S.C.R</w:t>
      </w:r>
      <w:r w:rsidRPr="00366942">
        <w:rPr>
          <w:lang w:val="en-CA"/>
        </w:rPr>
        <w:t xml:space="preserve">. 229, </w:t>
      </w:r>
      <w:r w:rsidR="00E55CAB" w:rsidRPr="00366942">
        <w:rPr>
          <w:lang w:val="en-CA"/>
        </w:rPr>
        <w:t xml:space="preserve">at </w:t>
      </w:r>
      <w:r w:rsidRPr="00366942">
        <w:rPr>
          <w:lang w:val="en-CA"/>
        </w:rPr>
        <w:t xml:space="preserve">p. 317, passage </w:t>
      </w:r>
      <w:r w:rsidR="00E55CAB" w:rsidRPr="00366942">
        <w:rPr>
          <w:lang w:val="en-CA"/>
        </w:rPr>
        <w:t>quoted</w:t>
      </w:r>
      <w:r w:rsidRPr="00366942">
        <w:rPr>
          <w:lang w:val="en-CA"/>
        </w:rPr>
        <w:t xml:space="preserve"> </w:t>
      </w:r>
      <w:r w:rsidR="00E55CAB" w:rsidRPr="00366942">
        <w:rPr>
          <w:lang w:val="en-CA"/>
        </w:rPr>
        <w:t>in</w:t>
      </w:r>
      <w:r w:rsidRPr="00366942">
        <w:rPr>
          <w:lang w:val="en-CA"/>
        </w:rPr>
        <w:t xml:space="preserve"> </w:t>
      </w:r>
      <w:r w:rsidRPr="00366942">
        <w:rPr>
          <w:i/>
          <w:iCs/>
          <w:lang w:val="en-CA"/>
        </w:rPr>
        <w:t>Sharma</w:t>
      </w:r>
      <w:r w:rsidRPr="00366942">
        <w:rPr>
          <w:lang w:val="en-CA"/>
        </w:rPr>
        <w:t xml:space="preserve">, </w:t>
      </w:r>
      <w:r w:rsidR="00E55CAB" w:rsidRPr="00366942">
        <w:rPr>
          <w:i/>
          <w:iCs/>
          <w:lang w:val="en-CA"/>
        </w:rPr>
        <w:t>supra</w:t>
      </w:r>
      <w:r w:rsidRPr="00366942">
        <w:rPr>
          <w:lang w:val="en-CA"/>
        </w:rPr>
        <w:t>,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w:t>
      </w:r>
      <w:r w:rsidR="00E55CAB" w:rsidRPr="00366942">
        <w:rPr>
          <w:lang w:val="en-CA"/>
        </w:rPr>
        <w:t xml:space="preserve"> at</w:t>
      </w:r>
      <w:r w:rsidRPr="00366942">
        <w:rPr>
          <w:lang w:val="en-CA"/>
        </w:rPr>
        <w:t xml:space="preserve"> para. 65 (</w:t>
      </w:r>
      <w:r w:rsidR="00E55CAB" w:rsidRPr="00366942">
        <w:rPr>
          <w:lang w:val="en-CA"/>
        </w:rPr>
        <w:t>per</w:t>
      </w:r>
      <w:r w:rsidRPr="00366942">
        <w:rPr>
          <w:lang w:val="en-CA"/>
        </w:rPr>
        <w:t xml:space="preserve"> Brown</w:t>
      </w:r>
      <w:r w:rsidR="00E55CAB" w:rsidRPr="00366942">
        <w:rPr>
          <w:lang w:val="en-CA"/>
        </w:rPr>
        <w:t xml:space="preserve"> and</w:t>
      </w:r>
      <w:r w:rsidRPr="00366942">
        <w:rPr>
          <w:lang w:val="en-CA"/>
        </w:rPr>
        <w:t xml:space="preserve"> Rowe</w:t>
      </w:r>
      <w:r w:rsidR="00E55CAB" w:rsidRPr="00366942">
        <w:rPr>
          <w:lang w:val="en-CA"/>
        </w:rPr>
        <w:t>, JJ. for the majority</w:t>
      </w:r>
      <w:r w:rsidRPr="00366942">
        <w:rPr>
          <w:lang w:val="en-CA"/>
        </w:rPr>
        <w:t>).</w:t>
      </w:r>
    </w:p>
  </w:footnote>
  <w:footnote w:id="44">
    <w:p w14:paraId="059DBB8A" w14:textId="2E8EA2D5"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Sharma</w:t>
      </w:r>
      <w:r w:rsidRPr="00366942">
        <w:rPr>
          <w:lang w:val="en-CA"/>
        </w:rPr>
        <w:t xml:space="preserve">, </w:t>
      </w:r>
      <w:r w:rsidR="00E55CAB"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E55CAB" w:rsidRPr="00366942">
        <w:rPr>
          <w:lang w:val="en-CA"/>
        </w:rPr>
        <w:t xml:space="preserve">at </w:t>
      </w:r>
      <w:r w:rsidRPr="00366942">
        <w:rPr>
          <w:lang w:val="en-CA"/>
        </w:rPr>
        <w:t>para. 55, point b) (</w:t>
      </w:r>
      <w:r w:rsidR="00E55CAB" w:rsidRPr="00366942">
        <w:rPr>
          <w:lang w:val="en-CA"/>
        </w:rPr>
        <w:t>per Brown and Rowe, JJ. for the majority</w:t>
      </w:r>
      <w:r w:rsidRPr="00366942">
        <w:rPr>
          <w:lang w:val="en-CA"/>
        </w:rPr>
        <w:t>).</w:t>
      </w:r>
    </w:p>
  </w:footnote>
  <w:footnote w:id="45">
    <w:p w14:paraId="0F304692" w14:textId="43F07428" w:rsidR="00961A50" w:rsidRPr="00366942" w:rsidRDefault="00961A50" w:rsidP="00961A50">
      <w:pPr>
        <w:pStyle w:val="Notedebasdepage"/>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Law </w:t>
      </w:r>
      <w:r w:rsidR="00E55CAB" w:rsidRPr="00366942">
        <w:rPr>
          <w:i/>
          <w:iCs/>
          <w:lang w:val="en-CA"/>
        </w:rPr>
        <w:t>v</w:t>
      </w:r>
      <w:r w:rsidRPr="00366942">
        <w:rPr>
          <w:i/>
          <w:iCs/>
          <w:lang w:val="en-CA"/>
        </w:rPr>
        <w:t>. Canada (Minist</w:t>
      </w:r>
      <w:r w:rsidR="00E55CAB" w:rsidRPr="00366942">
        <w:rPr>
          <w:i/>
          <w:iCs/>
          <w:lang w:val="en-CA"/>
        </w:rPr>
        <w:t>er</w:t>
      </w:r>
      <w:r w:rsidRPr="00366942">
        <w:rPr>
          <w:i/>
          <w:iCs/>
          <w:lang w:val="en-CA"/>
        </w:rPr>
        <w:t xml:space="preserve"> </w:t>
      </w:r>
      <w:r w:rsidR="00E55CAB" w:rsidRPr="00366942">
        <w:rPr>
          <w:i/>
          <w:iCs/>
          <w:lang w:val="en-CA"/>
        </w:rPr>
        <w:t xml:space="preserve">of Employment and </w:t>
      </w:r>
      <w:r w:rsidRPr="00366942">
        <w:rPr>
          <w:i/>
          <w:iCs/>
          <w:lang w:val="en-CA"/>
        </w:rPr>
        <w:t>Immigration)</w:t>
      </w:r>
      <w:r w:rsidRPr="00366942">
        <w:rPr>
          <w:lang w:val="en-CA"/>
        </w:rPr>
        <w:t>, [</w:t>
      </w:r>
      <w:r w:rsidR="00F412EB" w:rsidRPr="00366942">
        <w:rPr>
          <w:lang w:val="en-CA"/>
        </w:rPr>
        <w:t>1999</w:t>
      </w:r>
      <w:r w:rsidRPr="00366942">
        <w:rPr>
          <w:lang w:val="en-CA"/>
        </w:rPr>
        <w:t xml:space="preserve">] 1 </w:t>
      </w:r>
      <w:r w:rsidR="00E55CAB" w:rsidRPr="00366942">
        <w:rPr>
          <w:lang w:val="en-CA"/>
        </w:rPr>
        <w:t>S.C.R</w:t>
      </w:r>
      <w:r w:rsidRPr="00366942">
        <w:rPr>
          <w:lang w:val="en-CA"/>
        </w:rPr>
        <w:t xml:space="preserve">. 497, </w:t>
      </w:r>
      <w:r w:rsidR="00E55CAB" w:rsidRPr="00366942">
        <w:rPr>
          <w:lang w:val="en-CA"/>
        </w:rPr>
        <w:t xml:space="preserve">at </w:t>
      </w:r>
      <w:r w:rsidRPr="00366942">
        <w:rPr>
          <w:lang w:val="en-CA"/>
        </w:rPr>
        <w:t>para</w:t>
      </w:r>
      <w:r w:rsidR="00E55CAB" w:rsidRPr="00366942">
        <w:rPr>
          <w:lang w:val="en-CA"/>
        </w:rPr>
        <w:t>s</w:t>
      </w:r>
      <w:r w:rsidRPr="00366942">
        <w:rPr>
          <w:lang w:val="en-CA"/>
        </w:rPr>
        <w:t xml:space="preserve">. </w:t>
      </w:r>
      <w:r w:rsidRPr="00366942">
        <w:t>78-79</w:t>
      </w:r>
      <w:r w:rsidR="002E5DA4" w:rsidRPr="00366942">
        <w:t xml:space="preserve"> [</w:t>
      </w:r>
      <w:r w:rsidR="00E55CAB" w:rsidRPr="00366942">
        <w:t>“</w:t>
      </w:r>
      <w:r w:rsidR="002E5DA4" w:rsidRPr="00366942">
        <w:rPr>
          <w:i/>
          <w:iCs/>
        </w:rPr>
        <w:t>Law</w:t>
      </w:r>
      <w:r w:rsidR="00E55CAB" w:rsidRPr="00366942">
        <w:t>”</w:t>
      </w:r>
      <w:r w:rsidR="002E5DA4" w:rsidRPr="00366942">
        <w:t>]</w:t>
      </w:r>
      <w:r w:rsidRPr="00366942">
        <w:t xml:space="preserve">. </w:t>
      </w:r>
      <w:r w:rsidR="00E55CAB" w:rsidRPr="00366942">
        <w:t>See also</w:t>
      </w:r>
      <w:r w:rsidRPr="00366942">
        <w:t xml:space="preserve">: Julien Fournier, </w:t>
      </w:r>
      <w:r w:rsidR="00E55CAB" w:rsidRPr="00366942">
        <w:t>“</w:t>
      </w:r>
      <w:r w:rsidRPr="00366942">
        <w:t>Tracer la frontière entre la preuve du contexte législatif et social et la plaidoirie : proposition d’un cadre d’analyse pour l’application de la prohibition de l’expertise sur le droit dans le contentieux constitutionnel</w:t>
      </w:r>
      <w:r w:rsidR="00E55CAB" w:rsidRPr="00366942">
        <w:t>”</w:t>
      </w:r>
      <w:r w:rsidRPr="00366942">
        <w:t xml:space="preserve">, (2021) 51 </w:t>
      </w:r>
      <w:r w:rsidRPr="00366942">
        <w:rPr>
          <w:i/>
          <w:iCs/>
        </w:rPr>
        <w:t>R.G.D.</w:t>
      </w:r>
      <w:r w:rsidRPr="00366942">
        <w:t xml:space="preserve"> 279–315.</w:t>
      </w:r>
    </w:p>
  </w:footnote>
  <w:footnote w:id="46">
    <w:p w14:paraId="4A1013AC" w14:textId="711D19A6"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Applicant’s First Application for Review, dated July 19, 2017</w:t>
      </w:r>
      <w:r w:rsidRPr="00366942">
        <w:rPr>
          <w:lang w:val="en-CA"/>
        </w:rPr>
        <w:t xml:space="preserve">, </w:t>
      </w:r>
      <w:r w:rsidR="00500A39" w:rsidRPr="00366942">
        <w:rPr>
          <w:lang w:val="en-CA"/>
        </w:rPr>
        <w:t>Exhibit</w:t>
      </w:r>
      <w:r w:rsidRPr="00366942">
        <w:rPr>
          <w:lang w:val="en-CA"/>
        </w:rPr>
        <w:t xml:space="preserve"> P-5, p. 3/8.</w:t>
      </w:r>
    </w:p>
  </w:footnote>
  <w:footnote w:id="47">
    <w:p w14:paraId="65CF9602" w14:textId="4179283E"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6C6EB8" w:rsidRPr="00366942">
        <w:rPr>
          <w:lang w:val="en-CA"/>
        </w:rPr>
        <w:t>Sections</w:t>
      </w:r>
      <w:r w:rsidRPr="00366942">
        <w:rPr>
          <w:lang w:val="en-CA"/>
        </w:rPr>
        <w:t xml:space="preserve"> 23.1 </w:t>
      </w:r>
      <w:r w:rsidR="006C6EB8" w:rsidRPr="00366942">
        <w:rPr>
          <w:lang w:val="en-CA"/>
        </w:rPr>
        <w:t>and</w:t>
      </w:r>
      <w:r w:rsidRPr="00366942">
        <w:rPr>
          <w:lang w:val="en-CA"/>
        </w:rPr>
        <w:t xml:space="preserve"> 23.2 </w:t>
      </w:r>
      <w:r w:rsidR="006C6EB8" w:rsidRPr="00366942">
        <w:rPr>
          <w:lang w:val="en-CA"/>
        </w:rPr>
        <w:t>of</w:t>
      </w:r>
      <w:r w:rsidRPr="00366942">
        <w:rPr>
          <w:lang w:val="en-CA"/>
        </w:rPr>
        <w:t xml:space="preserve"> </w:t>
      </w:r>
      <w:r w:rsidR="006C6EB8" w:rsidRPr="00366942">
        <w:rPr>
          <w:lang w:val="en-CA"/>
        </w:rPr>
        <w:t xml:space="preserve">the </w:t>
      </w:r>
      <w:r w:rsidR="006C6EB8" w:rsidRPr="00366942">
        <w:rPr>
          <w:i/>
          <w:iCs/>
          <w:lang w:val="en-CA"/>
        </w:rPr>
        <w:t>Regulation respecting the application of the Health Insurance Act</w:t>
      </w:r>
      <w:r w:rsidRPr="00366942">
        <w:rPr>
          <w:lang w:val="en-CA"/>
        </w:rPr>
        <w:t xml:space="preserve">, </w:t>
      </w:r>
      <w:r w:rsidR="006C6EB8" w:rsidRPr="00366942">
        <w:rPr>
          <w:lang w:val="en-CA"/>
        </w:rPr>
        <w:t>CQLR</w:t>
      </w:r>
      <w:r w:rsidRPr="00366942">
        <w:rPr>
          <w:lang w:val="en-CA"/>
        </w:rPr>
        <w:t xml:space="preserve">, c. A-29, r. 5, </w:t>
      </w:r>
      <w:r w:rsidR="006C6EB8" w:rsidRPr="00366942">
        <w:rPr>
          <w:lang w:val="en-CA"/>
        </w:rPr>
        <w:t>thus provide that</w:t>
      </w:r>
      <w:r w:rsidRPr="00366942">
        <w:rPr>
          <w:lang w:val="en-CA"/>
        </w:rPr>
        <w:t xml:space="preserve">, </w:t>
      </w:r>
      <w:r w:rsidR="006C6EB8" w:rsidRPr="00366942">
        <w:rPr>
          <w:lang w:val="en-CA"/>
        </w:rPr>
        <w:t>subject to certain formalities</w:t>
      </w:r>
      <w:r w:rsidRPr="00366942">
        <w:rPr>
          <w:lang w:val="en-CA"/>
        </w:rPr>
        <w:t xml:space="preserve">, </w:t>
      </w:r>
      <w:r w:rsidR="006C6EB8" w:rsidRPr="00366942">
        <w:rPr>
          <w:lang w:val="en-CA"/>
        </w:rPr>
        <w:t>the costs of a</w:t>
      </w:r>
      <w:r w:rsidR="002A628A" w:rsidRPr="00366942">
        <w:rPr>
          <w:lang w:val="en-CA"/>
        </w:rPr>
        <w:t>n</w:t>
      </w:r>
      <w:r w:rsidR="006C6EB8" w:rsidRPr="00366942">
        <w:rPr>
          <w:lang w:val="en-CA"/>
        </w:rPr>
        <w:t xml:space="preserve"> insured service</w:t>
      </w:r>
      <w:r w:rsidR="002A628A" w:rsidRPr="00366942">
        <w:rPr>
          <w:lang w:val="en-CA"/>
        </w:rPr>
        <w:t xml:space="preserve"> required, but not available in Quebec, may by fully assumed or reimbursed by the Board</w:t>
      </w:r>
      <w:r w:rsidRPr="00366942">
        <w:rPr>
          <w:lang w:val="en-CA"/>
        </w:rPr>
        <w:t>.</w:t>
      </w:r>
    </w:p>
  </w:footnote>
  <w:footnote w:id="48">
    <w:p w14:paraId="67BAB379" w14:textId="746B16EC"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4439BC" w:rsidRPr="00366942">
        <w:rPr>
          <w:lang w:val="en-CA"/>
        </w:rPr>
        <w:t xml:space="preserve">I </w:t>
      </w:r>
      <w:r w:rsidR="00642EAA" w:rsidRPr="00366942">
        <w:rPr>
          <w:lang w:val="en-CA"/>
        </w:rPr>
        <w:t>point this out because the</w:t>
      </w:r>
      <w:r w:rsidRPr="00366942">
        <w:rPr>
          <w:lang w:val="en-CA"/>
        </w:rPr>
        <w:t xml:space="preserve"> </w:t>
      </w:r>
      <w:r w:rsidR="00642EAA" w:rsidRPr="00366942">
        <w:rPr>
          <w:i/>
          <w:iCs/>
          <w:lang w:val="en-CA"/>
        </w:rPr>
        <w:t>HIA</w:t>
      </w:r>
      <w:r w:rsidRPr="00366942">
        <w:rPr>
          <w:lang w:val="en-CA"/>
        </w:rPr>
        <w:t xml:space="preserve"> </w:t>
      </w:r>
      <w:r w:rsidR="00642EAA" w:rsidRPr="00366942">
        <w:rPr>
          <w:lang w:val="en-CA"/>
        </w:rPr>
        <w:t xml:space="preserve">does </w:t>
      </w:r>
      <w:r w:rsidR="004439BC" w:rsidRPr="00366942">
        <w:rPr>
          <w:lang w:val="en-CA"/>
        </w:rPr>
        <w:t xml:space="preserve">not </w:t>
      </w:r>
      <w:r w:rsidR="00642EAA" w:rsidRPr="00366942">
        <w:rPr>
          <w:lang w:val="en-CA"/>
        </w:rPr>
        <w:t>cover certain types of health care provided by health professionals other than physicians</w:t>
      </w:r>
      <w:r w:rsidRPr="00366942">
        <w:rPr>
          <w:lang w:val="en-CA"/>
        </w:rPr>
        <w:t>.</w:t>
      </w:r>
    </w:p>
  </w:footnote>
  <w:footnote w:id="49">
    <w:p w14:paraId="0084269E" w14:textId="4B4F2D64"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642EAA" w:rsidRPr="00366942">
        <w:rPr>
          <w:lang w:val="en-CA"/>
        </w:rPr>
        <w:t>CQLR</w:t>
      </w:r>
      <w:r w:rsidRPr="00366942">
        <w:rPr>
          <w:lang w:val="en-CA"/>
        </w:rPr>
        <w:t>, c. A-29.01.</w:t>
      </w:r>
    </w:p>
  </w:footnote>
  <w:footnote w:id="50">
    <w:p w14:paraId="701F578F" w14:textId="752585F3" w:rsidR="001A58AA" w:rsidRPr="00366942" w:rsidRDefault="001A58AA" w:rsidP="001A58AA">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642EAA" w:rsidRPr="00366942">
        <w:rPr>
          <w:lang w:val="en-CA"/>
        </w:rPr>
        <w:t>Sections</w:t>
      </w:r>
      <w:r w:rsidRPr="00366942">
        <w:rPr>
          <w:lang w:val="en-CA"/>
        </w:rPr>
        <w:t xml:space="preserve"> 7 </w:t>
      </w:r>
      <w:r w:rsidR="00642EAA" w:rsidRPr="00366942">
        <w:rPr>
          <w:lang w:val="en-CA"/>
        </w:rPr>
        <w:t>and</w:t>
      </w:r>
      <w:r w:rsidRPr="00366942">
        <w:rPr>
          <w:lang w:val="en-CA"/>
        </w:rPr>
        <w:t xml:space="preserve"> 8 </w:t>
      </w:r>
      <w:r w:rsidR="00642EAA" w:rsidRPr="00366942">
        <w:rPr>
          <w:lang w:val="en-CA"/>
        </w:rPr>
        <w:t xml:space="preserve">of </w:t>
      </w:r>
      <w:r w:rsidR="00D003FB" w:rsidRPr="00366942">
        <w:rPr>
          <w:lang w:val="en-CA"/>
        </w:rPr>
        <w:t>the</w:t>
      </w:r>
      <w:r w:rsidRPr="00366942">
        <w:rPr>
          <w:lang w:val="en-CA"/>
        </w:rPr>
        <w:t xml:space="preserve"> </w:t>
      </w:r>
      <w:r w:rsidR="00642EAA" w:rsidRPr="00366942">
        <w:rPr>
          <w:i/>
          <w:iCs/>
          <w:lang w:val="en-CA"/>
        </w:rPr>
        <w:t>Act respecting prescription drug insurance</w:t>
      </w:r>
      <w:r w:rsidRPr="00366942">
        <w:rPr>
          <w:lang w:val="en-CA"/>
        </w:rPr>
        <w:t xml:space="preserve"> </w:t>
      </w:r>
      <w:r w:rsidR="00642EAA" w:rsidRPr="00366942">
        <w:rPr>
          <w:lang w:val="en-CA"/>
        </w:rPr>
        <w:t>state that</w:t>
      </w:r>
      <w:r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43574096" w14:textId="77777777" w:rsidTr="00292568">
        <w:tc>
          <w:tcPr>
            <w:tcW w:w="4032" w:type="dxa"/>
          </w:tcPr>
          <w:p w14:paraId="7D6F09D3" w14:textId="75735A37" w:rsidR="002A1012" w:rsidRPr="00366942" w:rsidRDefault="002A1012" w:rsidP="002A1012">
            <w:pPr>
              <w:pStyle w:val="Notedebasdepage"/>
              <w:spacing w:before="120"/>
              <w:ind w:left="0" w:firstLine="0"/>
              <w:rPr>
                <w:sz w:val="18"/>
                <w:szCs w:val="18"/>
                <w:lang w:val="en-CA"/>
              </w:rPr>
            </w:pPr>
            <w:r w:rsidRPr="00366942">
              <w:rPr>
                <w:b/>
                <w:bCs/>
                <w:sz w:val="18"/>
                <w:szCs w:val="18"/>
                <w:lang w:val="en-CA"/>
              </w:rPr>
              <w:t>7.</w:t>
            </w:r>
            <w:r w:rsidRPr="00366942">
              <w:rPr>
                <w:sz w:val="18"/>
                <w:szCs w:val="18"/>
                <w:lang w:val="en-CA"/>
              </w:rPr>
              <w:t xml:space="preserve">  The basic plan provides coverage to every eligible person for the </w:t>
            </w:r>
            <w:r w:rsidRPr="00366942">
              <w:rPr>
                <w:sz w:val="18"/>
                <w:szCs w:val="18"/>
                <w:u w:val="single"/>
                <w:lang w:val="en-CA"/>
              </w:rPr>
              <w:t>cost of pharmaceutical services and medications provided in Québec</w:t>
            </w:r>
            <w:r w:rsidRPr="00366942">
              <w:rPr>
                <w:sz w:val="18"/>
                <w:szCs w:val="18"/>
                <w:lang w:val="en-CA"/>
              </w:rPr>
              <w:t>, to the extent provided for in this Act, regardless of the risk associated with that person’s state of health.</w:t>
            </w:r>
          </w:p>
        </w:tc>
        <w:tc>
          <w:tcPr>
            <w:tcW w:w="4032" w:type="dxa"/>
          </w:tcPr>
          <w:p w14:paraId="27D8CDAD" w14:textId="55F42C5A" w:rsidR="002A1012" w:rsidRPr="00366942" w:rsidRDefault="002A1012" w:rsidP="002A1012">
            <w:pPr>
              <w:pStyle w:val="Notedebasdepage"/>
              <w:spacing w:before="120"/>
              <w:ind w:left="0" w:firstLine="0"/>
              <w:rPr>
                <w:b/>
                <w:bCs/>
                <w:sz w:val="18"/>
                <w:szCs w:val="18"/>
              </w:rPr>
            </w:pPr>
            <w:r w:rsidRPr="00366942">
              <w:rPr>
                <w:b/>
                <w:bCs/>
                <w:sz w:val="18"/>
                <w:szCs w:val="18"/>
              </w:rPr>
              <w:t>7.</w:t>
            </w:r>
            <w:r w:rsidRPr="00366942">
              <w:rPr>
                <w:sz w:val="18"/>
                <w:szCs w:val="18"/>
              </w:rPr>
              <w:t xml:space="preserve">  Le régime général garantit à toute personne admissible, dans la mesure prévue par la présente loi, le paiement du </w:t>
            </w:r>
            <w:r w:rsidRPr="00366942">
              <w:rPr>
                <w:sz w:val="18"/>
                <w:szCs w:val="18"/>
                <w:u w:val="single"/>
              </w:rPr>
              <w:t>coût de services pharmaceutiques et de médicaments qui lui sont fournis au Québec</w:t>
            </w:r>
            <w:r w:rsidRPr="00366942">
              <w:rPr>
                <w:sz w:val="18"/>
                <w:szCs w:val="18"/>
              </w:rPr>
              <w:t>, sans égard au risque relié à son état de santé.</w:t>
            </w:r>
          </w:p>
        </w:tc>
      </w:tr>
      <w:tr w:rsidR="00366942" w:rsidRPr="00366942" w14:paraId="3646BC79" w14:textId="77777777" w:rsidTr="00292568">
        <w:tc>
          <w:tcPr>
            <w:tcW w:w="4032" w:type="dxa"/>
          </w:tcPr>
          <w:p w14:paraId="05559310" w14:textId="5BA3EA30" w:rsidR="002A1012" w:rsidRPr="00366942" w:rsidRDefault="002A1012" w:rsidP="002A1012">
            <w:pPr>
              <w:pStyle w:val="Notedebasdepage"/>
              <w:spacing w:before="120"/>
              <w:ind w:left="0" w:firstLine="0"/>
              <w:rPr>
                <w:sz w:val="18"/>
                <w:szCs w:val="18"/>
                <w:lang w:val="en-CA"/>
              </w:rPr>
            </w:pPr>
            <w:r w:rsidRPr="00366942">
              <w:rPr>
                <w:b/>
                <w:bCs/>
                <w:sz w:val="18"/>
                <w:szCs w:val="18"/>
                <w:lang w:val="en-CA"/>
              </w:rPr>
              <w:t>8.</w:t>
            </w:r>
            <w:r w:rsidRPr="00366942">
              <w:rPr>
                <w:sz w:val="18"/>
                <w:szCs w:val="18"/>
                <w:lang w:val="en-CA"/>
              </w:rPr>
              <w:t xml:space="preserve">  Coverage under the basic plan includes, to the extent provided for by this Act, the pharmaceutical services determined by government regulation under subparagraph 1.2 of the first paragraph of section 78 and the medications entered on the list of medications drawn up by the Minister in a regulation made under section 60, </w:t>
            </w:r>
            <w:r w:rsidRPr="00366942">
              <w:rPr>
                <w:sz w:val="18"/>
                <w:szCs w:val="18"/>
                <w:u w:val="single"/>
                <w:lang w:val="en-CA"/>
              </w:rPr>
              <w:t>when provided in Québec</w:t>
            </w:r>
            <w:r w:rsidRPr="00366942">
              <w:rPr>
                <w:sz w:val="18"/>
                <w:szCs w:val="18"/>
                <w:lang w:val="en-CA"/>
              </w:rPr>
              <w:t xml:space="preserve"> by a pharmacist on the prescription of a physician, a medical resident, a dentist, a midwife or another professional authorized by law or a regulation under subparagraph b of the first paragraph of section 19 of the Medical Act (chapter M-9). […]</w:t>
            </w:r>
          </w:p>
        </w:tc>
        <w:tc>
          <w:tcPr>
            <w:tcW w:w="4032" w:type="dxa"/>
          </w:tcPr>
          <w:p w14:paraId="3EF774C0" w14:textId="15EB865C" w:rsidR="002A1012" w:rsidRPr="00366942" w:rsidRDefault="002A1012" w:rsidP="002A1012">
            <w:pPr>
              <w:pStyle w:val="Notedebasdepage"/>
              <w:spacing w:before="120"/>
              <w:ind w:left="0" w:firstLine="0"/>
              <w:rPr>
                <w:sz w:val="18"/>
                <w:szCs w:val="18"/>
                <w:lang w:val="en-CA"/>
              </w:rPr>
            </w:pPr>
            <w:r w:rsidRPr="00366942">
              <w:rPr>
                <w:sz w:val="18"/>
                <w:szCs w:val="18"/>
              </w:rPr>
              <w:t xml:space="preserve">Les garanties du régime général couvrent, dans la mesure prévue par la présente loi, les services pharmaceutiques déterminés par règlement du gouvernement en vertu du paragraphe 1.2° du premier alinéa de l’article 78, ainsi que les médicaments inscrits à la liste des médicaments dressée par règlement du ministre en vertu de l’article 60, </w:t>
            </w:r>
            <w:r w:rsidRPr="00366942">
              <w:rPr>
                <w:sz w:val="18"/>
                <w:szCs w:val="18"/>
                <w:u w:val="single"/>
              </w:rPr>
              <w:t>fournis au Québec</w:t>
            </w:r>
            <w:r w:rsidRPr="00366942">
              <w:rPr>
                <w:sz w:val="18"/>
                <w:szCs w:val="18"/>
              </w:rPr>
              <w:t xml:space="preserve"> par un pharmacien sur ordonnance d’un médecin, d’un résident en médecine, d’un dentiste, d’une sage-femme ou d’un autre professionnel habilité par la loi ou par un règlement pris en application du paragraphe b du premier alinéa de l’article 19 de la Loi médicale (chapitre M-9). […]</w:t>
            </w:r>
          </w:p>
        </w:tc>
      </w:tr>
      <w:tr w:rsidR="00366942" w:rsidRPr="00366942" w14:paraId="3E804249" w14:textId="77777777" w:rsidTr="00292568">
        <w:tc>
          <w:tcPr>
            <w:tcW w:w="4032" w:type="dxa"/>
          </w:tcPr>
          <w:p w14:paraId="52B935D0" w14:textId="03FF0ED0" w:rsidR="002A1012" w:rsidRPr="00366942" w:rsidRDefault="002A1012" w:rsidP="002A1012">
            <w:pPr>
              <w:pStyle w:val="Notedebasdepage"/>
              <w:spacing w:before="120"/>
              <w:ind w:left="0" w:firstLine="0"/>
              <w:rPr>
                <w:b/>
                <w:bCs/>
                <w:sz w:val="18"/>
                <w:szCs w:val="18"/>
                <w:lang w:val="en-CA"/>
              </w:rPr>
            </w:pPr>
            <w:r w:rsidRPr="00366942">
              <w:rPr>
                <w:sz w:val="18"/>
                <w:szCs w:val="18"/>
                <w:lang w:val="en-CA"/>
              </w:rPr>
              <w:t>     The same coverage applies when a person obtains medications in a pharmacy outside Québec from a person legally authorized to practise as a pharmacist in the place concerned and with whom the Board has entered into an individual agreement for that purpose, if the pharmacy is situated in a region bordering on Québec and if no pharmacy situated in Québec within a radius of 32 kilometres of that pharmacy provides services to the public.</w:t>
            </w:r>
          </w:p>
        </w:tc>
        <w:tc>
          <w:tcPr>
            <w:tcW w:w="4032" w:type="dxa"/>
          </w:tcPr>
          <w:p w14:paraId="26524DD2" w14:textId="71D367CD" w:rsidR="002A1012" w:rsidRPr="00366942" w:rsidRDefault="002A1012" w:rsidP="002A1012">
            <w:pPr>
              <w:pStyle w:val="Notedebasdepage"/>
              <w:spacing w:before="120"/>
              <w:ind w:left="0" w:firstLine="0"/>
              <w:rPr>
                <w:sz w:val="18"/>
                <w:szCs w:val="18"/>
              </w:rPr>
            </w:pPr>
            <w:r w:rsidRPr="00366942">
              <w:rPr>
                <w:sz w:val="18"/>
                <w:szCs w:val="18"/>
                <w:lang w:val="en-CA"/>
              </w:rPr>
              <w:t>     </w:t>
            </w:r>
            <w:r w:rsidRPr="00366942">
              <w:rPr>
                <w:sz w:val="18"/>
                <w:szCs w:val="18"/>
              </w:rPr>
              <w:t>La même couverture s’applique dans le cas où une personne obtient des médicaments dans une pharmacie à l’extérieur du Québec d’une personne légalement autorisée à y exercer la profession de pharmacien et avec qui la Régie a conclu une entente particulière à cette fin, lorsque la pharmacie est située dans une région limitrophe au Québec et que, dans un rayon de 32 kilomètres de cette pharmacie, aucune pharmacie au Québec ne dessert la population.</w:t>
            </w:r>
          </w:p>
        </w:tc>
      </w:tr>
      <w:tr w:rsidR="00366942" w:rsidRPr="00366942" w14:paraId="3C668352" w14:textId="77777777" w:rsidTr="00292568">
        <w:tc>
          <w:tcPr>
            <w:tcW w:w="4032" w:type="dxa"/>
          </w:tcPr>
          <w:p w14:paraId="597BD1EB" w14:textId="10E7B4E9" w:rsidR="002A1012" w:rsidRPr="00366942" w:rsidRDefault="002A1012" w:rsidP="002A1012">
            <w:pPr>
              <w:pStyle w:val="Notedebasdepage"/>
              <w:spacing w:before="120" w:after="120"/>
              <w:ind w:left="0" w:firstLine="0"/>
              <w:rPr>
                <w:rStyle w:val="lawlabel"/>
                <w:rFonts w:ascii="Helvetica" w:hAnsi="Helvetica" w:cs="Helvetica"/>
                <w:sz w:val="18"/>
                <w:szCs w:val="18"/>
                <w:shd w:val="clear" w:color="auto" w:fill="FFFFFF"/>
                <w:lang w:val="en-CA"/>
              </w:rPr>
            </w:pPr>
            <w:r w:rsidRPr="009D09FE">
              <w:rPr>
                <w:sz w:val="18"/>
                <w:szCs w:val="18"/>
              </w:rPr>
              <w:t>      </w:t>
            </w:r>
            <w:r w:rsidRPr="00366942">
              <w:rPr>
                <w:sz w:val="18"/>
                <w:szCs w:val="18"/>
                <w:lang w:val="en-CA"/>
              </w:rPr>
              <w:t xml:space="preserve">In addition, coverage includes, in the cases and on the conditions and for the classes of persons determined by government regulation, the medications specified in the regulation that are provided as part of the services provided by an institution within the meaning of the Act respecting health services and social services (chapter S-4.2) or the Act respecting health services and social services for Cree Native persons (chapter S-5) </w:t>
            </w:r>
            <w:r w:rsidRPr="00F24CDE">
              <w:rPr>
                <w:sz w:val="18"/>
                <w:szCs w:val="18"/>
                <w:shd w:val="clear" w:color="auto" w:fill="E7E6E6" w:themeFill="background2"/>
                <w:lang w:val="en-CA"/>
              </w:rPr>
              <w:t>or any other institution recognized for that purpose by the Minister that is situated outside Québec in a region bordering on Québec</w:t>
            </w:r>
            <w:r w:rsidRPr="00366942">
              <w:rPr>
                <w:sz w:val="18"/>
                <w:szCs w:val="18"/>
                <w:lang w:val="en-CA"/>
              </w:rPr>
              <w:t>.</w:t>
            </w:r>
          </w:p>
        </w:tc>
        <w:tc>
          <w:tcPr>
            <w:tcW w:w="4032" w:type="dxa"/>
          </w:tcPr>
          <w:p w14:paraId="7E3117AF" w14:textId="115D1C43" w:rsidR="002A1012" w:rsidRPr="00366942" w:rsidRDefault="002A1012" w:rsidP="002A1012">
            <w:pPr>
              <w:pStyle w:val="Notedebasdepage"/>
              <w:spacing w:before="120"/>
              <w:ind w:left="0" w:firstLine="0"/>
              <w:rPr>
                <w:sz w:val="18"/>
                <w:szCs w:val="18"/>
              </w:rPr>
            </w:pPr>
            <w:r w:rsidRPr="00366942">
              <w:rPr>
                <w:sz w:val="18"/>
                <w:szCs w:val="18"/>
                <w:lang w:val="en-CA"/>
              </w:rPr>
              <w:t>      </w:t>
            </w:r>
            <w:r w:rsidRPr="00366942">
              <w:rPr>
                <w:sz w:val="18"/>
                <w:szCs w:val="18"/>
              </w:rPr>
              <w:t xml:space="preserve">Les garanties couvrent également, dans les cas, aux conditions et pour les catégories de personnes déterminés par règlement du gouvernement, les médicaments indiqués par ce règlement qui sont fournis dans le cadre des activités d’un établissement au sens de la Loi sur les services de santé et les services sociaux (chapitre S-4.2) ou de la Loi sur les services de santé et les services sociaux pour les autochtones cris (chapitre S-5) </w:t>
            </w:r>
            <w:r w:rsidRPr="00F24CDE">
              <w:rPr>
                <w:sz w:val="18"/>
                <w:szCs w:val="18"/>
                <w:shd w:val="clear" w:color="auto" w:fill="E7E6E6" w:themeFill="background2"/>
              </w:rPr>
              <w:t>ou, le cas échéant, d’un établissement reconnu à cette fin par le ministre et situé à l’extérieur du Québec dans une région limitrophe</w:t>
            </w:r>
            <w:r w:rsidRPr="00F24CDE">
              <w:rPr>
                <w:sz w:val="18"/>
                <w:szCs w:val="18"/>
              </w:rPr>
              <w:t>.</w:t>
            </w:r>
          </w:p>
        </w:tc>
      </w:tr>
      <w:tr w:rsidR="00366942" w:rsidRPr="00366942" w14:paraId="78867005" w14:textId="77777777" w:rsidTr="00292568">
        <w:tc>
          <w:tcPr>
            <w:tcW w:w="4032" w:type="dxa"/>
          </w:tcPr>
          <w:p w14:paraId="43C8A63F" w14:textId="77777777" w:rsidR="002A1012" w:rsidRPr="00366942" w:rsidRDefault="002A1012" w:rsidP="002A1012">
            <w:pPr>
              <w:pStyle w:val="Notedebasdepage"/>
              <w:spacing w:before="120" w:after="120"/>
              <w:ind w:left="0" w:firstLine="0"/>
              <w:rPr>
                <w:sz w:val="18"/>
                <w:szCs w:val="18"/>
              </w:rPr>
            </w:pPr>
            <w:r w:rsidRPr="00366942">
              <w:rPr>
                <w:sz w:val="18"/>
                <w:szCs w:val="18"/>
              </w:rPr>
              <w:t>[…]</w:t>
            </w:r>
          </w:p>
        </w:tc>
        <w:tc>
          <w:tcPr>
            <w:tcW w:w="4032" w:type="dxa"/>
          </w:tcPr>
          <w:p w14:paraId="039EA757" w14:textId="45091BCD" w:rsidR="002A1012" w:rsidRPr="00366942" w:rsidRDefault="00A56258" w:rsidP="002A1012">
            <w:pPr>
              <w:pStyle w:val="Notedebasdepage"/>
              <w:spacing w:before="120"/>
              <w:ind w:left="0" w:firstLine="0"/>
              <w:rPr>
                <w:sz w:val="18"/>
                <w:szCs w:val="18"/>
                <w:lang w:val="en-CA"/>
              </w:rPr>
            </w:pPr>
            <w:r w:rsidRPr="00366942">
              <w:rPr>
                <w:sz w:val="18"/>
                <w:szCs w:val="18"/>
                <w:lang w:val="en-CA"/>
              </w:rPr>
              <w:t>[</w:t>
            </w:r>
            <w:r w:rsidR="002A1012" w:rsidRPr="00366942">
              <w:rPr>
                <w:sz w:val="18"/>
                <w:szCs w:val="18"/>
                <w:lang w:val="en-CA"/>
              </w:rPr>
              <w:t>…</w:t>
            </w:r>
            <w:r w:rsidRPr="00366942">
              <w:rPr>
                <w:sz w:val="18"/>
                <w:szCs w:val="18"/>
                <w:lang w:val="en-CA"/>
              </w:rPr>
              <w:t>]</w:t>
            </w:r>
          </w:p>
        </w:tc>
      </w:tr>
    </w:tbl>
    <w:p w14:paraId="58847197" w14:textId="1F622FA1" w:rsidR="001A58AA" w:rsidRPr="00366942" w:rsidRDefault="0005564C" w:rsidP="001A58AA">
      <w:pPr>
        <w:pStyle w:val="Notedebasdepage"/>
        <w:ind w:left="720" w:right="722" w:firstLine="0"/>
        <w:jc w:val="right"/>
        <w:rPr>
          <w:sz w:val="16"/>
          <w:szCs w:val="16"/>
          <w:lang w:val="en-CA"/>
        </w:rPr>
      </w:pPr>
      <w:r w:rsidRPr="002607AB">
        <w:rPr>
          <w:sz w:val="16"/>
          <w:szCs w:val="16"/>
          <w:lang w:val="en-CA"/>
        </w:rPr>
        <w:t>(</w:t>
      </w:r>
      <w:r w:rsidR="002607AB" w:rsidRPr="002607AB">
        <w:rPr>
          <w:sz w:val="16"/>
          <w:szCs w:val="16"/>
          <w:lang w:val="en-CA"/>
        </w:rPr>
        <w:t>Shaded passage</w:t>
      </w:r>
      <w:r w:rsidR="002607AB">
        <w:rPr>
          <w:sz w:val="16"/>
          <w:szCs w:val="16"/>
          <w:lang w:val="en-CA"/>
        </w:rPr>
        <w:t xml:space="preserve"> not</w:t>
      </w:r>
      <w:r w:rsidR="003F582A" w:rsidRPr="002607AB">
        <w:rPr>
          <w:sz w:val="16"/>
          <w:szCs w:val="16"/>
          <w:lang w:val="en-CA"/>
        </w:rPr>
        <w:t xml:space="preserve"> i</w:t>
      </w:r>
      <w:r w:rsidR="007F4ED8" w:rsidRPr="002607AB">
        <w:rPr>
          <w:sz w:val="16"/>
          <w:szCs w:val="16"/>
          <w:lang w:val="en-CA"/>
        </w:rPr>
        <w:t>n</w:t>
      </w:r>
      <w:r w:rsidR="003F582A" w:rsidRPr="002607AB">
        <w:rPr>
          <w:sz w:val="16"/>
          <w:szCs w:val="16"/>
          <w:lang w:val="en-CA"/>
        </w:rPr>
        <w:t xml:space="preserve"> force</w:t>
      </w:r>
      <w:r w:rsidR="001A58AA" w:rsidRPr="002607AB">
        <w:rPr>
          <w:sz w:val="16"/>
          <w:szCs w:val="16"/>
          <w:lang w:val="en-CA"/>
        </w:rPr>
        <w:t>,</w:t>
      </w:r>
      <w:r w:rsidR="001A58AA" w:rsidRPr="00366942">
        <w:rPr>
          <w:sz w:val="16"/>
          <w:szCs w:val="16"/>
          <w:lang w:val="en-CA"/>
        </w:rPr>
        <w:t xml:space="preserve"> </w:t>
      </w:r>
      <w:r w:rsidR="00690E77" w:rsidRPr="00366942">
        <w:rPr>
          <w:sz w:val="16"/>
          <w:szCs w:val="16"/>
          <w:lang w:val="en-CA"/>
        </w:rPr>
        <w:t xml:space="preserve">underlining </w:t>
      </w:r>
      <w:r w:rsidR="003F582A" w:rsidRPr="00366942">
        <w:rPr>
          <w:sz w:val="16"/>
          <w:szCs w:val="16"/>
          <w:lang w:val="en-CA"/>
        </w:rPr>
        <w:t>added</w:t>
      </w:r>
      <w:r w:rsidRPr="00366942">
        <w:rPr>
          <w:sz w:val="16"/>
          <w:szCs w:val="16"/>
          <w:lang w:val="en-CA"/>
        </w:rPr>
        <w:t>)</w:t>
      </w:r>
    </w:p>
    <w:p w14:paraId="6C069EC5" w14:textId="5C4EEE3A" w:rsidR="001A58AA" w:rsidRPr="00366942" w:rsidRDefault="001A58AA" w:rsidP="001A58AA">
      <w:pPr>
        <w:pStyle w:val="Notedebasdepage"/>
        <w:rPr>
          <w:lang w:val="en-CA"/>
        </w:rPr>
      </w:pPr>
      <w:r w:rsidRPr="00366942">
        <w:rPr>
          <w:lang w:val="en-CA"/>
        </w:rPr>
        <w:tab/>
      </w:r>
      <w:r w:rsidR="003F582A" w:rsidRPr="00366942">
        <w:rPr>
          <w:lang w:val="en-CA"/>
        </w:rPr>
        <w:t>As can be seen, the portion of the third paragraph of s. 8 above</w:t>
      </w:r>
      <w:r w:rsidR="00DE5ABE" w:rsidRPr="00366942">
        <w:rPr>
          <w:lang w:val="en-CA"/>
        </w:rPr>
        <w:t xml:space="preserve"> which</w:t>
      </w:r>
      <w:r w:rsidR="003F582A" w:rsidRPr="00366942">
        <w:rPr>
          <w:lang w:val="en-CA"/>
        </w:rPr>
        <w:t xml:space="preserve"> is not in force</w:t>
      </w:r>
      <w:r w:rsidR="00DE5ABE" w:rsidRPr="00366942">
        <w:rPr>
          <w:lang w:val="en-CA"/>
        </w:rPr>
        <w:t xml:space="preserve"> mirrors</w:t>
      </w:r>
      <w:r w:rsidR="003F582A" w:rsidRPr="00366942">
        <w:rPr>
          <w:lang w:val="en-CA"/>
        </w:rPr>
        <w:t xml:space="preserve"> the third paragraph of s. 10</w:t>
      </w:r>
      <w:r w:rsidRPr="00366942">
        <w:rPr>
          <w:lang w:val="en-CA"/>
        </w:rPr>
        <w:t xml:space="preserve"> </w:t>
      </w:r>
      <w:r w:rsidR="003F582A" w:rsidRPr="00366942">
        <w:rPr>
          <w:i/>
          <w:iCs/>
          <w:lang w:val="en-CA"/>
        </w:rPr>
        <w:t>HIA</w:t>
      </w:r>
      <w:r w:rsidRPr="00366942">
        <w:rPr>
          <w:lang w:val="en-CA"/>
        </w:rPr>
        <w:t xml:space="preserve">, </w:t>
      </w:r>
      <w:r w:rsidR="003F582A" w:rsidRPr="00366942">
        <w:rPr>
          <w:lang w:val="en-CA"/>
        </w:rPr>
        <w:t>which itself</w:t>
      </w:r>
      <w:r w:rsidR="00DE5ABE" w:rsidRPr="00366942">
        <w:rPr>
          <w:lang w:val="en-CA"/>
        </w:rPr>
        <w:t xml:space="preserve"> is</w:t>
      </w:r>
      <w:r w:rsidR="003F582A" w:rsidRPr="00366942">
        <w:rPr>
          <w:lang w:val="en-CA"/>
        </w:rPr>
        <w:t xml:space="preserve"> not in force</w:t>
      </w:r>
      <w:r w:rsidR="00DE5ABE" w:rsidRPr="00366942">
        <w:rPr>
          <w:lang w:val="en-CA"/>
        </w:rPr>
        <w:t>.</w:t>
      </w:r>
    </w:p>
  </w:footnote>
  <w:footnote w:id="51">
    <w:p w14:paraId="4336EEF7" w14:textId="2B273D25"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6E4448" w:rsidRPr="00366942">
        <w:rPr>
          <w:lang w:val="en-CA"/>
        </w:rPr>
        <w:t>CQLR</w:t>
      </w:r>
      <w:r w:rsidRPr="00366942">
        <w:rPr>
          <w:lang w:val="en-CA"/>
        </w:rPr>
        <w:t>, c. A-28.</w:t>
      </w:r>
    </w:p>
  </w:footnote>
  <w:footnote w:id="52">
    <w:p w14:paraId="2D7A4197" w14:textId="293F8D0D"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6E4448" w:rsidRPr="00366942">
        <w:rPr>
          <w:lang w:val="en-CA"/>
        </w:rPr>
        <w:t>For interprovincial agreements relating to hospital services, agreements to which Quebec is a party</w:t>
      </w:r>
      <w:r w:rsidRPr="00366942">
        <w:rPr>
          <w:lang w:val="en-CA"/>
        </w:rPr>
        <w:t xml:space="preserve"> (</w:t>
      </w:r>
      <w:r w:rsidR="006E4448" w:rsidRPr="00366942">
        <w:rPr>
          <w:lang w:val="en-CA"/>
        </w:rPr>
        <w:t>services that include VTP since March</w:t>
      </w:r>
      <w:r w:rsidRPr="00366942">
        <w:rPr>
          <w:lang w:val="en-CA"/>
        </w:rPr>
        <w:t xml:space="preserve"> 2016 </w:t>
      </w:r>
      <w:r w:rsidR="006E4448" w:rsidRPr="00366942">
        <w:rPr>
          <w:lang w:val="en-CA"/>
        </w:rPr>
        <w:t xml:space="preserve">and that included it at the date on which the appellant </w:t>
      </w:r>
      <w:r w:rsidR="00EE6C07" w:rsidRPr="00366942">
        <w:rPr>
          <w:lang w:val="en-CA"/>
        </w:rPr>
        <w:t>obtained</w:t>
      </w:r>
      <w:r w:rsidR="006E4448" w:rsidRPr="00366942">
        <w:rPr>
          <w:lang w:val="en-CA"/>
        </w:rPr>
        <w:t xml:space="preserve"> that care</w:t>
      </w:r>
      <w:r w:rsidRPr="00366942">
        <w:rPr>
          <w:lang w:val="en-CA"/>
        </w:rPr>
        <w:t>),</w:t>
      </w:r>
      <w:r w:rsidR="006E4448" w:rsidRPr="00366942">
        <w:rPr>
          <w:lang w:val="en-CA"/>
        </w:rPr>
        <w:t xml:space="preserve"> see</w:t>
      </w:r>
      <w:r w:rsidRPr="00366942">
        <w:rPr>
          <w:lang w:val="en-CA"/>
        </w:rPr>
        <w:t xml:space="preserve">: </w:t>
      </w:r>
      <w:r w:rsidR="006E4448" w:rsidRPr="00366942">
        <w:rPr>
          <w:i/>
          <w:iCs/>
          <w:lang w:val="en-CA"/>
        </w:rPr>
        <w:t>Regulation respecting the application of the Hospital Insurance Act</w:t>
      </w:r>
      <w:r w:rsidRPr="00366942">
        <w:rPr>
          <w:lang w:val="en-CA"/>
        </w:rPr>
        <w:t xml:space="preserve">, </w:t>
      </w:r>
      <w:r w:rsidR="006E4448" w:rsidRPr="00366942">
        <w:rPr>
          <w:lang w:val="en-CA"/>
        </w:rPr>
        <w:t>CQLR</w:t>
      </w:r>
      <w:r w:rsidRPr="00366942">
        <w:rPr>
          <w:lang w:val="en-CA"/>
        </w:rPr>
        <w:t>, c. A</w:t>
      </w:r>
      <w:r w:rsidRPr="00366942">
        <w:rPr>
          <w:lang w:val="en-CA"/>
        </w:rPr>
        <w:noBreakHyphen/>
        <w:t xml:space="preserve">28, r. 1, </w:t>
      </w:r>
      <w:r w:rsidR="006E4448" w:rsidRPr="00366942">
        <w:rPr>
          <w:lang w:val="en-CA"/>
        </w:rPr>
        <w:t>ss</w:t>
      </w:r>
      <w:r w:rsidRPr="00366942">
        <w:rPr>
          <w:lang w:val="en-CA"/>
        </w:rPr>
        <w:t xml:space="preserve">. 14 </w:t>
      </w:r>
      <w:r w:rsidR="006E4448" w:rsidRPr="00366942">
        <w:rPr>
          <w:lang w:val="en-CA"/>
        </w:rPr>
        <w:t>to</w:t>
      </w:r>
      <w:r w:rsidRPr="00366942">
        <w:rPr>
          <w:lang w:val="en-CA"/>
        </w:rPr>
        <w:t xml:space="preserve"> 19 (</w:t>
      </w:r>
      <w:r w:rsidR="006E4448" w:rsidRPr="00366942">
        <w:rPr>
          <w:lang w:val="en-CA"/>
        </w:rPr>
        <w:t>provisions enacte</w:t>
      </w:r>
      <w:r w:rsidR="00FF2D53" w:rsidRPr="00366942">
        <w:rPr>
          <w:lang w:val="en-CA"/>
        </w:rPr>
        <w:t>d</w:t>
      </w:r>
      <w:r w:rsidR="006E4448" w:rsidRPr="00366942">
        <w:rPr>
          <w:lang w:val="en-CA"/>
        </w:rPr>
        <w:t xml:space="preserve"> in</w:t>
      </w:r>
      <w:r w:rsidRPr="00366942">
        <w:rPr>
          <w:lang w:val="en-CA"/>
        </w:rPr>
        <w:t xml:space="preserve"> 1981 o</w:t>
      </w:r>
      <w:r w:rsidR="006E4448" w:rsidRPr="00366942">
        <w:rPr>
          <w:lang w:val="en-CA"/>
        </w:rPr>
        <w:t>r</w:t>
      </w:r>
      <w:r w:rsidRPr="00366942">
        <w:rPr>
          <w:lang w:val="en-CA"/>
        </w:rPr>
        <w:t xml:space="preserve">, </w:t>
      </w:r>
      <w:r w:rsidR="00FF2D53" w:rsidRPr="00366942">
        <w:rPr>
          <w:lang w:val="en-CA"/>
        </w:rPr>
        <w:t>in the case of s</w:t>
      </w:r>
      <w:r w:rsidRPr="00366942">
        <w:rPr>
          <w:lang w:val="en-CA"/>
        </w:rPr>
        <w:t xml:space="preserve">. 15.1, </w:t>
      </w:r>
      <w:r w:rsidR="00FF2D53" w:rsidRPr="00366942">
        <w:rPr>
          <w:lang w:val="en-CA"/>
        </w:rPr>
        <w:t>in</w:t>
      </w:r>
      <w:r w:rsidRPr="00366942">
        <w:rPr>
          <w:lang w:val="en-CA"/>
        </w:rPr>
        <w:t xml:space="preserve"> 1982, </w:t>
      </w:r>
      <w:r w:rsidR="001E722B" w:rsidRPr="00366942">
        <w:rPr>
          <w:lang w:val="en-CA"/>
        </w:rPr>
        <w:t xml:space="preserve">as </w:t>
      </w:r>
      <w:r w:rsidR="00FF2D53" w:rsidRPr="00366942">
        <w:rPr>
          <w:lang w:val="en-CA"/>
        </w:rPr>
        <w:t>amended from time to time</w:t>
      </w:r>
      <w:r w:rsidRPr="00366942">
        <w:rPr>
          <w:lang w:val="en-CA"/>
        </w:rPr>
        <w:t xml:space="preserve">, </w:t>
      </w:r>
      <w:r w:rsidR="00FF2D53" w:rsidRPr="00366942">
        <w:rPr>
          <w:lang w:val="en-CA"/>
        </w:rPr>
        <w:t>but in all cases well before</w:t>
      </w:r>
      <w:r w:rsidRPr="00366942">
        <w:rPr>
          <w:lang w:val="en-CA"/>
        </w:rPr>
        <w:t xml:space="preserve"> 2016, </w:t>
      </w:r>
      <w:r w:rsidR="00FF2D53" w:rsidRPr="00366942">
        <w:rPr>
          <w:lang w:val="en-CA"/>
        </w:rPr>
        <w:t>the material time here</w:t>
      </w:r>
      <w:r w:rsidRPr="00366942">
        <w:rPr>
          <w:lang w:val="en-CA"/>
        </w:rPr>
        <w:t xml:space="preserve">). </w:t>
      </w:r>
      <w:r w:rsidR="00FF2D53" w:rsidRPr="00366942">
        <w:rPr>
          <w:lang w:val="en-CA"/>
        </w:rPr>
        <w:t>See also</w:t>
      </w:r>
      <w:r w:rsidRPr="00366942">
        <w:rPr>
          <w:lang w:val="en-CA"/>
        </w:rPr>
        <w:t>:</w:t>
      </w:r>
    </w:p>
    <w:p w14:paraId="4632F8C0" w14:textId="6F74FCA6" w:rsidR="00961A50" w:rsidRPr="00366942" w:rsidRDefault="00D54407" w:rsidP="00D64BB5">
      <w:pPr>
        <w:pStyle w:val="Notedebasdepage"/>
        <w:numPr>
          <w:ilvl w:val="0"/>
          <w:numId w:val="24"/>
        </w:numPr>
        <w:ind w:right="362"/>
        <w:rPr>
          <w:lang w:val="en-CA"/>
        </w:rPr>
      </w:pPr>
      <w:r w:rsidRPr="00366942">
        <w:rPr>
          <w:lang w:val="en-CA"/>
        </w:rPr>
        <w:t>https://g26.pub.msss.rtss.qc.ca/Formulaires/Circulaire/ConsCirculaire.aspx?enc=fiC/nTJX+J0=</w:t>
      </w:r>
      <w:r w:rsidR="00961A50" w:rsidRPr="00366942">
        <w:rPr>
          <w:lang w:val="en-CA"/>
        </w:rPr>
        <w:t xml:space="preserve"> </w:t>
      </w:r>
      <w:r w:rsidR="00FF2D53" w:rsidRPr="00366942">
        <w:rPr>
          <w:lang w:val="en-CA"/>
        </w:rPr>
        <w:t>and its appendix</w:t>
      </w:r>
      <w:r w:rsidR="00961A50" w:rsidRPr="00366942">
        <w:rPr>
          <w:lang w:val="en-CA"/>
        </w:rPr>
        <w:t xml:space="preserve"> </w:t>
      </w:r>
      <w:r w:rsidRPr="00366942">
        <w:rPr>
          <w:lang w:val="en-CA"/>
        </w:rPr>
        <w:t xml:space="preserve"> 2014-015 Message (2016-05-09).pdf</w:t>
      </w:r>
      <w:r w:rsidR="00961A50" w:rsidRPr="00366942">
        <w:rPr>
          <w:lang w:val="en-CA"/>
        </w:rPr>
        <w:t xml:space="preserve"> (</w:t>
      </w:r>
      <w:r w:rsidR="00FF2D53" w:rsidRPr="00366942">
        <w:rPr>
          <w:lang w:val="en-CA"/>
        </w:rPr>
        <w:t>regarding the withdrawal</w:t>
      </w:r>
      <w:r w:rsidR="00961A50" w:rsidRPr="00366942">
        <w:rPr>
          <w:lang w:val="en-CA"/>
        </w:rPr>
        <w:t xml:space="preserve">, </w:t>
      </w:r>
      <w:r w:rsidR="00FF2D53" w:rsidRPr="00366942">
        <w:rPr>
          <w:lang w:val="en-CA"/>
        </w:rPr>
        <w:t>in March</w:t>
      </w:r>
      <w:r w:rsidR="00961A50" w:rsidRPr="00366942">
        <w:rPr>
          <w:lang w:val="en-CA"/>
        </w:rPr>
        <w:t xml:space="preserve"> 2016, </w:t>
      </w:r>
      <w:r w:rsidR="00FF2D53" w:rsidRPr="00366942">
        <w:rPr>
          <w:lang w:val="en-CA"/>
        </w:rPr>
        <w:t>of the exclusion of [</w:t>
      </w:r>
      <w:r w:rsidR="00FF2D53" w:rsidRPr="00366942">
        <w:rPr>
          <w:smallCaps/>
          <w:lang w:val="en-CA"/>
        </w:rPr>
        <w:t>translation</w:t>
      </w:r>
      <w:r w:rsidR="00FF2D53" w:rsidRPr="00366942">
        <w:rPr>
          <w:lang w:val="en-CA"/>
        </w:rPr>
        <w:t>]</w:t>
      </w:r>
      <w:r w:rsidR="00961A50" w:rsidRPr="00366942">
        <w:rPr>
          <w:lang w:val="en-CA"/>
        </w:rPr>
        <w:t xml:space="preserve"> </w:t>
      </w:r>
      <w:r w:rsidR="00FF2D53" w:rsidRPr="00366942">
        <w:rPr>
          <w:lang w:val="en-CA"/>
        </w:rPr>
        <w:t>“therapeutic abortion and voluntary termination of pregnancy</w:t>
      </w:r>
      <w:r w:rsidRPr="00366942">
        <w:rPr>
          <w:lang w:val="en-CA"/>
        </w:rPr>
        <w:t>”</w:t>
      </w:r>
      <w:r w:rsidR="00961A50" w:rsidRPr="00366942">
        <w:rPr>
          <w:lang w:val="en-CA"/>
        </w:rPr>
        <w:t>);</w:t>
      </w:r>
    </w:p>
    <w:p w14:paraId="2C7DAEC0" w14:textId="4537833E" w:rsidR="00961A50" w:rsidRPr="00366942" w:rsidRDefault="00961A50" w:rsidP="00D64BB5">
      <w:pPr>
        <w:pStyle w:val="Notedebasdepage"/>
        <w:numPr>
          <w:ilvl w:val="0"/>
          <w:numId w:val="24"/>
        </w:numPr>
        <w:ind w:right="362"/>
        <w:rPr>
          <w:lang w:val="en-CA"/>
        </w:rPr>
      </w:pPr>
      <w:r w:rsidRPr="00366942">
        <w:rPr>
          <w:lang w:val="en-CA"/>
        </w:rPr>
        <w:t>https://www.ramq.gouv.qc.ca/SiteCollectionDocuments/professionnels/manuels/425-services-hospitaliers-internes-externes/ententes-interprovinciales.pdf;</w:t>
      </w:r>
    </w:p>
    <w:p w14:paraId="6CA5BCC9" w14:textId="2C48932D" w:rsidR="00961A50" w:rsidRPr="00366942" w:rsidRDefault="001E722B" w:rsidP="00D64BB5">
      <w:pPr>
        <w:pStyle w:val="Notedebasdepage"/>
        <w:numPr>
          <w:ilvl w:val="0"/>
          <w:numId w:val="24"/>
        </w:numPr>
        <w:ind w:right="362"/>
        <w:rPr>
          <w:lang w:val="en-CA"/>
        </w:rPr>
      </w:pPr>
      <w:r w:rsidRPr="00366942">
        <w:rPr>
          <w:lang w:val="en-CA"/>
        </w:rPr>
        <w:t>Health</w:t>
      </w:r>
      <w:r w:rsidR="00961A50" w:rsidRPr="00366942">
        <w:rPr>
          <w:lang w:val="en-CA"/>
        </w:rPr>
        <w:t xml:space="preserve"> Canada, </w:t>
      </w:r>
      <w:r w:rsidRPr="00366942">
        <w:rPr>
          <w:i/>
          <w:iCs/>
          <w:lang w:val="en-CA"/>
        </w:rPr>
        <w:t>Canada Health Act</w:t>
      </w:r>
      <w:r w:rsidR="00961A50" w:rsidRPr="00366942">
        <w:rPr>
          <w:i/>
          <w:iCs/>
          <w:lang w:val="en-CA"/>
        </w:rPr>
        <w:t xml:space="preserve"> – </w:t>
      </w:r>
      <w:r w:rsidRPr="00366942">
        <w:rPr>
          <w:i/>
          <w:iCs/>
          <w:lang w:val="en-CA"/>
        </w:rPr>
        <w:t>Annual Report</w:t>
      </w:r>
      <w:r w:rsidR="00961A50" w:rsidRPr="00366942">
        <w:rPr>
          <w:i/>
          <w:iCs/>
          <w:lang w:val="en-CA"/>
        </w:rPr>
        <w:t xml:space="preserve"> 2022-2023</w:t>
      </w:r>
      <w:r w:rsidR="00961A50" w:rsidRPr="00366942">
        <w:rPr>
          <w:lang w:val="en-CA"/>
        </w:rPr>
        <w:t xml:space="preserve">, Ottawa, </w:t>
      </w:r>
      <w:r w:rsidRPr="00366942">
        <w:rPr>
          <w:lang w:val="en-CA"/>
        </w:rPr>
        <w:t>Health Canada</w:t>
      </w:r>
      <w:r w:rsidR="00961A50" w:rsidRPr="00366942">
        <w:rPr>
          <w:lang w:val="en-CA"/>
        </w:rPr>
        <w:t>,</w:t>
      </w:r>
      <w:r w:rsidRPr="00366942">
        <w:rPr>
          <w:lang w:val="en-CA"/>
        </w:rPr>
        <w:t xml:space="preserve"> February</w:t>
      </w:r>
      <w:r w:rsidR="00961A50" w:rsidRPr="00366942">
        <w:rPr>
          <w:lang w:val="en-CA"/>
        </w:rPr>
        <w:t xml:space="preserve"> 2024, p. </w:t>
      </w:r>
      <w:r w:rsidR="00BF12E2" w:rsidRPr="00366942">
        <w:rPr>
          <w:lang w:val="en-CA"/>
        </w:rPr>
        <w:t>39</w:t>
      </w:r>
      <w:r w:rsidR="00961A50" w:rsidRPr="00366942">
        <w:rPr>
          <w:lang w:val="en-CA"/>
        </w:rPr>
        <w:t xml:space="preserve">, </w:t>
      </w:r>
      <w:r w:rsidRPr="00366942">
        <w:rPr>
          <w:lang w:val="en-CA"/>
        </w:rPr>
        <w:t>https://www.canada.ca/content/dam/hc-sc/documents/services/publications/health-system-services/canada-health-act-annual-report-2022-2023/canada-health-act-annual-report-2022-2023.pdf</w:t>
      </w:r>
      <w:r w:rsidR="00961A50" w:rsidRPr="00366942">
        <w:rPr>
          <w:lang w:val="en-CA"/>
        </w:rPr>
        <w:t>.</w:t>
      </w:r>
    </w:p>
  </w:footnote>
  <w:footnote w:id="53">
    <w:p w14:paraId="2D485E56" w14:textId="3F1C68F3"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BF12E2" w:rsidRPr="00366942">
        <w:rPr>
          <w:lang w:val="en-CA"/>
        </w:rPr>
        <w:t>R.S.C</w:t>
      </w:r>
      <w:r w:rsidRPr="00366942">
        <w:rPr>
          <w:lang w:val="en-CA"/>
        </w:rPr>
        <w:t>. (1985), c. C-6.</w:t>
      </w:r>
    </w:p>
  </w:footnote>
  <w:footnote w:id="54">
    <w:p w14:paraId="4C57D1B3" w14:textId="56651916"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BF12E2" w:rsidRPr="00366942">
        <w:rPr>
          <w:lang w:val="en-CA"/>
        </w:rPr>
        <w:t>One should note here</w:t>
      </w:r>
      <w:r w:rsidRPr="00366942">
        <w:rPr>
          <w:lang w:val="en-CA"/>
        </w:rPr>
        <w:t xml:space="preserve"> </w:t>
      </w:r>
      <w:r w:rsidR="00BF12E2" w:rsidRPr="00366942">
        <w:rPr>
          <w:lang w:val="en-CA"/>
        </w:rPr>
        <w:t>that the</w:t>
      </w:r>
      <w:r w:rsidRPr="00366942">
        <w:rPr>
          <w:lang w:val="en-CA"/>
        </w:rPr>
        <w:t xml:space="preserve"> TAQ</w:t>
      </w:r>
      <w:r w:rsidR="00BF12E2" w:rsidRPr="00366942">
        <w:rPr>
          <w:lang w:val="en-CA"/>
        </w:rPr>
        <w:t>’s decision</w:t>
      </w:r>
      <w:r w:rsidRPr="00366942">
        <w:rPr>
          <w:lang w:val="en-CA"/>
        </w:rPr>
        <w:t xml:space="preserve"> (</w:t>
      </w:r>
      <w:r w:rsidR="00BF12E2"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_Ref173147308 \h </w:instrText>
      </w:r>
      <w:r w:rsidRPr="00366942">
        <w:rPr>
          <w:lang w:val="en-CA"/>
        </w:rPr>
      </w:r>
      <w:r w:rsidRPr="00366942">
        <w:rPr>
          <w:lang w:val="en-CA"/>
        </w:rPr>
        <w:fldChar w:fldCharType="separate"/>
      </w:r>
      <w:r w:rsidR="001C6ED6">
        <w:rPr>
          <w:lang w:val="en-CA"/>
        </w:rPr>
        <w:t>6</w:t>
      </w:r>
      <w:r w:rsidRPr="00366942">
        <w:rPr>
          <w:lang w:val="en-CA"/>
        </w:rPr>
        <w:fldChar w:fldCharType="end"/>
      </w:r>
      <w:r w:rsidRPr="00366942">
        <w:rPr>
          <w:lang w:val="en-CA"/>
        </w:rPr>
        <w:t xml:space="preserve">) </w:t>
      </w:r>
      <w:r w:rsidR="00BF12E2" w:rsidRPr="00366942">
        <w:rPr>
          <w:lang w:val="en-CA"/>
        </w:rPr>
        <w:t>indicated that [</w:t>
      </w:r>
      <w:r w:rsidR="00BF12E2" w:rsidRPr="00366942">
        <w:rPr>
          <w:smallCaps/>
          <w:lang w:val="en-CA"/>
        </w:rPr>
        <w:t>translation</w:t>
      </w:r>
      <w:r w:rsidR="00BF12E2" w:rsidRPr="00366942">
        <w:rPr>
          <w:lang w:val="en-CA"/>
        </w:rPr>
        <w:t>]</w:t>
      </w:r>
      <w:r w:rsidRPr="00366942">
        <w:rPr>
          <w:lang w:val="en-CA"/>
        </w:rPr>
        <w:t xml:space="preserve"> </w:t>
      </w:r>
      <w:r w:rsidR="00BF12E2" w:rsidRPr="00366942">
        <w:rPr>
          <w:lang w:val="en-CA"/>
        </w:rPr>
        <w:t>“</w:t>
      </w:r>
      <w:r w:rsidRPr="00366942">
        <w:rPr>
          <w:lang w:val="en-CA"/>
        </w:rPr>
        <w:t>[</w:t>
      </w:r>
      <w:r w:rsidR="00BF12E2" w:rsidRPr="00366942">
        <w:rPr>
          <w:lang w:val="en-CA"/>
        </w:rPr>
        <w:t>t</w:t>
      </w:r>
      <w:r w:rsidRPr="00366942">
        <w:rPr>
          <w:lang w:val="en-CA"/>
        </w:rPr>
        <w:t>]</w:t>
      </w:r>
      <w:r w:rsidR="00BF12E2" w:rsidRPr="00366942">
        <w:rPr>
          <w:lang w:val="en-CA"/>
        </w:rPr>
        <w:t xml:space="preserve">he </w:t>
      </w:r>
      <w:r w:rsidRPr="00366942">
        <w:rPr>
          <w:lang w:val="en-CA"/>
        </w:rPr>
        <w:t xml:space="preserve">parties </w:t>
      </w:r>
      <w:r w:rsidR="00BF12E2" w:rsidRPr="00366942">
        <w:rPr>
          <w:lang w:val="en-CA"/>
        </w:rPr>
        <w:t>admitted</w:t>
      </w:r>
      <w:r w:rsidRPr="00366942">
        <w:rPr>
          <w:lang w:val="en-CA"/>
        </w:rPr>
        <w:t xml:space="preserve">, </w:t>
      </w:r>
      <w:r w:rsidR="00BF12E2" w:rsidRPr="00366942">
        <w:rPr>
          <w:lang w:val="en-CA"/>
        </w:rPr>
        <w:t>during the hearing</w:t>
      </w:r>
      <w:r w:rsidRPr="00366942">
        <w:rPr>
          <w:lang w:val="en-CA"/>
        </w:rPr>
        <w:t xml:space="preserve">, </w:t>
      </w:r>
      <w:r w:rsidR="00BF12E2" w:rsidRPr="00366942">
        <w:rPr>
          <w:lang w:val="en-CA"/>
        </w:rPr>
        <w:t>that the amounts reimbursed by the</w:t>
      </w:r>
      <w:r w:rsidRPr="00366942">
        <w:rPr>
          <w:lang w:val="en-CA"/>
        </w:rPr>
        <w:t xml:space="preserve"> </w:t>
      </w:r>
      <w:r w:rsidR="00BF12E2" w:rsidRPr="00366942">
        <w:rPr>
          <w:lang w:val="en-CA"/>
        </w:rPr>
        <w:t>Board</w:t>
      </w:r>
      <w:r w:rsidRPr="00366942">
        <w:rPr>
          <w:lang w:val="en-CA"/>
        </w:rPr>
        <w:t xml:space="preserve"> </w:t>
      </w:r>
      <w:r w:rsidR="00BF12E2" w:rsidRPr="00366942">
        <w:rPr>
          <w:lang w:val="en-CA"/>
        </w:rPr>
        <w:t>represented the totality of the amounts that could be reimbursed under the</w:t>
      </w:r>
      <w:r w:rsidR="00BF12E2" w:rsidRPr="00763600">
        <w:rPr>
          <w:i/>
          <w:iCs/>
          <w:lang w:val="en-CA"/>
        </w:rPr>
        <w:t xml:space="preserve"> Health Insurance Act</w:t>
      </w:r>
      <w:r w:rsidR="00BF12E2" w:rsidRPr="00366942">
        <w:rPr>
          <w:lang w:val="en-CA"/>
        </w:rPr>
        <w:t xml:space="preserve"> and regulations</w:t>
      </w:r>
      <w:r w:rsidR="00652878" w:rsidRPr="00366942">
        <w:rPr>
          <w:lang w:val="en-CA"/>
        </w:rPr>
        <w:t xml:space="preserve"> </w:t>
      </w:r>
      <w:r w:rsidRPr="00366942">
        <w:rPr>
          <w:lang w:val="en-CA"/>
        </w:rPr>
        <w:t>(</w:t>
      </w:r>
      <w:r w:rsidR="00BF12E2" w:rsidRPr="00366942">
        <w:rPr>
          <w:lang w:val="en-CA"/>
        </w:rPr>
        <w:t xml:space="preserve">at </w:t>
      </w:r>
      <w:r w:rsidRPr="00366942">
        <w:rPr>
          <w:lang w:val="en-CA"/>
        </w:rPr>
        <w:t xml:space="preserve">para. </w:t>
      </w:r>
      <w:r w:rsidR="00187312" w:rsidRPr="00366942">
        <w:rPr>
          <w:lang w:val="en-CA"/>
        </w:rPr>
        <w:t>55</w:t>
      </w:r>
      <w:r w:rsidRPr="00366942">
        <w:rPr>
          <w:lang w:val="en-CA"/>
        </w:rPr>
        <w:t>).</w:t>
      </w:r>
      <w:r w:rsidR="00F05E1B" w:rsidRPr="00366942">
        <w:rPr>
          <w:lang w:val="en-CA"/>
        </w:rPr>
        <w:t xml:space="preserve"> </w:t>
      </w:r>
      <w:r w:rsidR="00BF12E2" w:rsidRPr="00366942">
        <w:rPr>
          <w:lang w:val="en-CA"/>
        </w:rPr>
        <w:t xml:space="preserve">One </w:t>
      </w:r>
      <w:r w:rsidR="00652878" w:rsidRPr="00366942">
        <w:rPr>
          <w:lang w:val="en-CA"/>
        </w:rPr>
        <w:t>might</w:t>
      </w:r>
      <w:r w:rsidR="00BF12E2" w:rsidRPr="00366942">
        <w:rPr>
          <w:lang w:val="en-CA"/>
        </w:rPr>
        <w:t xml:space="preserve"> nevertheless ask whether the appellant could have obtained a full reimbursement of the $500</w:t>
      </w:r>
      <w:r w:rsidR="007213B9" w:rsidRPr="00366942">
        <w:rPr>
          <w:lang w:val="en-CA"/>
        </w:rPr>
        <w:t xml:space="preserve"> billed by the </w:t>
      </w:r>
      <w:r w:rsidRPr="00366942">
        <w:rPr>
          <w:lang w:val="en-CA"/>
        </w:rPr>
        <w:t>BC Women’s Hospital (</w:t>
      </w:r>
      <w:r w:rsidR="007213B9" w:rsidRPr="00366942">
        <w:rPr>
          <w:lang w:val="en-CA"/>
        </w:rPr>
        <w:t>a public facility</w:t>
      </w:r>
      <w:r w:rsidRPr="00366942">
        <w:rPr>
          <w:lang w:val="en-CA"/>
        </w:rPr>
        <w:t xml:space="preserve">, </w:t>
      </w:r>
      <w:r w:rsidR="007213B9" w:rsidRPr="00366942">
        <w:rPr>
          <w:lang w:val="en-CA"/>
        </w:rPr>
        <w:t>invoice</w:t>
      </w:r>
      <w:r w:rsidRPr="00366942">
        <w:rPr>
          <w:lang w:val="en-CA"/>
        </w:rPr>
        <w:t xml:space="preserve"> 0340, </w:t>
      </w:r>
      <w:r w:rsidR="007213B9" w:rsidRPr="00366942">
        <w:rPr>
          <w:lang w:val="en-CA"/>
        </w:rPr>
        <w:t>May 16,</w:t>
      </w:r>
      <w:r w:rsidRPr="00366942">
        <w:rPr>
          <w:lang w:val="en-CA"/>
        </w:rPr>
        <w:t xml:space="preserve"> 2016, </w:t>
      </w:r>
      <w:r w:rsidR="007213B9" w:rsidRPr="00366942">
        <w:rPr>
          <w:lang w:val="en-CA"/>
        </w:rPr>
        <w:t>Exhibit</w:t>
      </w:r>
      <w:r w:rsidRPr="00366942">
        <w:rPr>
          <w:lang w:val="en-CA"/>
        </w:rPr>
        <w:t xml:space="preserve"> P-2) </w:t>
      </w:r>
      <w:r w:rsidR="00652878" w:rsidRPr="00366942">
        <w:rPr>
          <w:lang w:val="en-CA"/>
        </w:rPr>
        <w:t>for what</w:t>
      </w:r>
      <w:r w:rsidR="007213B9" w:rsidRPr="00366942">
        <w:rPr>
          <w:lang w:val="en-CA"/>
        </w:rPr>
        <w:t xml:space="preserve"> appears to be</w:t>
      </w:r>
      <w:r w:rsidR="00652878" w:rsidRPr="00366942">
        <w:rPr>
          <w:lang w:val="en-CA"/>
        </w:rPr>
        <w:t xml:space="preserve"> </w:t>
      </w:r>
      <w:r w:rsidR="007213B9" w:rsidRPr="00366942">
        <w:rPr>
          <w:lang w:val="en-CA"/>
        </w:rPr>
        <w:t>hospital costs, which were at the time covered by the existing interprovincial agreement</w:t>
      </w:r>
      <w:r w:rsidRPr="00366942">
        <w:rPr>
          <w:lang w:val="en-CA"/>
        </w:rPr>
        <w:t xml:space="preserve">. </w:t>
      </w:r>
      <w:r w:rsidR="007213B9" w:rsidRPr="00366942">
        <w:rPr>
          <w:lang w:val="en-CA"/>
        </w:rPr>
        <w:t xml:space="preserve">Indeed, one </w:t>
      </w:r>
      <w:r w:rsidR="00652878" w:rsidRPr="00366942">
        <w:rPr>
          <w:lang w:val="en-CA"/>
        </w:rPr>
        <w:t>might</w:t>
      </w:r>
      <w:r w:rsidR="007213B9" w:rsidRPr="00366942">
        <w:rPr>
          <w:lang w:val="en-CA"/>
        </w:rPr>
        <w:t xml:space="preserve"> even ask whether the hospital facility in question should have billed her such an amount</w:t>
      </w:r>
      <w:r w:rsidRPr="00366942">
        <w:rPr>
          <w:lang w:val="en-CA"/>
        </w:rPr>
        <w:t xml:space="preserve"> (</w:t>
      </w:r>
      <w:r w:rsidR="007213B9" w:rsidRPr="00366942">
        <w:rPr>
          <w:lang w:val="en-CA"/>
        </w:rPr>
        <w:t>if it is indeed an amount related to hospital services</w:t>
      </w:r>
      <w:r w:rsidRPr="00366942">
        <w:rPr>
          <w:lang w:val="en-CA"/>
        </w:rPr>
        <w:t xml:space="preserve">), </w:t>
      </w:r>
      <w:r w:rsidR="007213B9" w:rsidRPr="00366942">
        <w:rPr>
          <w:lang w:val="en-CA"/>
        </w:rPr>
        <w:t>in view of that agreement</w:t>
      </w:r>
      <w:r w:rsidRPr="00366942">
        <w:rPr>
          <w:lang w:val="en-CA"/>
        </w:rPr>
        <w:t xml:space="preserve">. </w:t>
      </w:r>
      <w:r w:rsidR="007213B9" w:rsidRPr="00366942">
        <w:rPr>
          <w:lang w:val="en-CA"/>
        </w:rPr>
        <w:t>In the absence of the requisite evidence, the Court is unable to answer that question, which</w:t>
      </w:r>
      <w:r w:rsidR="002601CA" w:rsidRPr="00366942">
        <w:rPr>
          <w:lang w:val="en-CA"/>
        </w:rPr>
        <w:t>, incidentally,</w:t>
      </w:r>
      <w:r w:rsidR="007213B9" w:rsidRPr="00366942">
        <w:rPr>
          <w:lang w:val="en-CA"/>
        </w:rPr>
        <w:t xml:space="preserve"> was not addressed, </w:t>
      </w:r>
      <w:r w:rsidR="004760D9" w:rsidRPr="00366942">
        <w:rPr>
          <w:lang w:val="en-CA"/>
        </w:rPr>
        <w:t xml:space="preserve">nor </w:t>
      </w:r>
      <w:r w:rsidR="007213B9" w:rsidRPr="00366942">
        <w:rPr>
          <w:lang w:val="en-CA"/>
        </w:rPr>
        <w:t>even raised by the parties</w:t>
      </w:r>
      <w:r w:rsidRPr="00366942">
        <w:rPr>
          <w:lang w:val="en-CA"/>
        </w:rPr>
        <w:t>.</w:t>
      </w:r>
    </w:p>
  </w:footnote>
  <w:footnote w:id="55">
    <w:p w14:paraId="60148C4D" w14:textId="436873B1"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7A3AB0" w:rsidRPr="00366942">
        <w:rPr>
          <w:lang w:val="en-CA"/>
        </w:rPr>
        <w:t>Which includes intellectual, cognitive, and sensory disabilities, as well as mental illnesses and disorders</w:t>
      </w:r>
      <w:r w:rsidRPr="00366942">
        <w:rPr>
          <w:lang w:val="en-CA"/>
        </w:rPr>
        <w:t>.</w:t>
      </w:r>
    </w:p>
  </w:footnote>
  <w:footnote w:id="56">
    <w:p w14:paraId="0F5762BB" w14:textId="78FB6568"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Egan </w:t>
      </w:r>
      <w:r w:rsidR="007A3AB0" w:rsidRPr="00366942">
        <w:rPr>
          <w:i/>
          <w:iCs/>
          <w:lang w:val="en-CA"/>
        </w:rPr>
        <w:t>v</w:t>
      </w:r>
      <w:r w:rsidRPr="00366942">
        <w:rPr>
          <w:i/>
          <w:iCs/>
          <w:lang w:val="en-CA"/>
        </w:rPr>
        <w:t>. Canada</w:t>
      </w:r>
      <w:r w:rsidRPr="00366942">
        <w:rPr>
          <w:lang w:val="en-CA"/>
        </w:rPr>
        <w:t xml:space="preserve">, [1995] 2 </w:t>
      </w:r>
      <w:r w:rsidR="007A3AB0" w:rsidRPr="00366942">
        <w:rPr>
          <w:lang w:val="en-CA"/>
        </w:rPr>
        <w:t>S.C.R</w:t>
      </w:r>
      <w:r w:rsidRPr="00366942">
        <w:rPr>
          <w:lang w:val="en-CA"/>
        </w:rPr>
        <w:t>. 513 (</w:t>
      </w:r>
      <w:r w:rsidR="00C10735" w:rsidRPr="00366942">
        <w:rPr>
          <w:lang w:val="en-CA"/>
        </w:rPr>
        <w:t>followed,</w:t>
      </w:r>
      <w:r w:rsidR="00C10735" w:rsidRPr="00763600">
        <w:rPr>
          <w:i/>
          <w:iCs/>
          <w:lang w:val="en-CA"/>
        </w:rPr>
        <w:t xml:space="preserve"> inter alia</w:t>
      </w:r>
      <w:r w:rsidR="00C10735" w:rsidRPr="00366942">
        <w:rPr>
          <w:lang w:val="en-CA"/>
        </w:rPr>
        <w:t>, in</w:t>
      </w:r>
      <w:r w:rsidRPr="00366942">
        <w:rPr>
          <w:lang w:val="en-CA"/>
        </w:rPr>
        <w:t xml:space="preserve">: </w:t>
      </w:r>
      <w:r w:rsidRPr="00366942">
        <w:rPr>
          <w:i/>
          <w:iCs/>
          <w:lang w:val="en-CA"/>
        </w:rPr>
        <w:t xml:space="preserve">Vriend </w:t>
      </w:r>
      <w:r w:rsidR="007A3AB0" w:rsidRPr="00366942">
        <w:rPr>
          <w:i/>
          <w:iCs/>
          <w:lang w:val="en-CA"/>
        </w:rPr>
        <w:t>v</w:t>
      </w:r>
      <w:r w:rsidRPr="00366942">
        <w:rPr>
          <w:i/>
          <w:iCs/>
          <w:lang w:val="en-CA"/>
        </w:rPr>
        <w:t>. Alberta</w:t>
      </w:r>
      <w:r w:rsidRPr="00366942">
        <w:rPr>
          <w:lang w:val="en-CA"/>
        </w:rPr>
        <w:t xml:space="preserve">, [1998] 1 </w:t>
      </w:r>
      <w:r w:rsidR="007A3AB0" w:rsidRPr="00366942">
        <w:rPr>
          <w:lang w:val="en-CA"/>
        </w:rPr>
        <w:t xml:space="preserve">S.C.R. </w:t>
      </w:r>
      <w:r w:rsidRPr="00366942">
        <w:rPr>
          <w:lang w:val="en-CA"/>
        </w:rPr>
        <w:t xml:space="preserve">493; </w:t>
      </w:r>
      <w:r w:rsidRPr="00366942">
        <w:rPr>
          <w:i/>
          <w:iCs/>
          <w:lang w:val="en-CA"/>
        </w:rPr>
        <w:t xml:space="preserve">M. </w:t>
      </w:r>
      <w:r w:rsidR="007A3AB0" w:rsidRPr="00366942">
        <w:rPr>
          <w:i/>
          <w:iCs/>
          <w:lang w:val="en-CA"/>
        </w:rPr>
        <w:t>v</w:t>
      </w:r>
      <w:r w:rsidRPr="00366942">
        <w:rPr>
          <w:i/>
          <w:iCs/>
          <w:lang w:val="en-CA"/>
        </w:rPr>
        <w:t>. H.</w:t>
      </w:r>
      <w:r w:rsidRPr="00366942">
        <w:rPr>
          <w:lang w:val="en-CA"/>
        </w:rPr>
        <w:t xml:space="preserve">, [1999] 2 </w:t>
      </w:r>
      <w:r w:rsidR="007A3AB0" w:rsidRPr="00366942">
        <w:rPr>
          <w:lang w:val="en-CA"/>
        </w:rPr>
        <w:t xml:space="preserve">S.C.R. </w:t>
      </w:r>
      <w:r w:rsidRPr="00366942">
        <w:rPr>
          <w:lang w:val="en-CA"/>
        </w:rPr>
        <w:t xml:space="preserve">3; </w:t>
      </w:r>
      <w:r w:rsidRPr="00366942">
        <w:rPr>
          <w:i/>
          <w:iCs/>
          <w:lang w:val="en-CA"/>
        </w:rPr>
        <w:t>Withler</w:t>
      </w:r>
      <w:r w:rsidRPr="00366942">
        <w:rPr>
          <w:lang w:val="en-CA"/>
        </w:rPr>
        <w:t xml:space="preserve">, </w:t>
      </w:r>
      <w:r w:rsidR="007A3AB0"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_Ref177374137 \h </w:instrText>
      </w:r>
      <w:r w:rsidRPr="00366942">
        <w:rPr>
          <w:lang w:val="en-CA"/>
        </w:rPr>
      </w:r>
      <w:r w:rsidRPr="00366942">
        <w:rPr>
          <w:lang w:val="en-CA"/>
        </w:rPr>
        <w:fldChar w:fldCharType="separate"/>
      </w:r>
      <w:r w:rsidR="001C6ED6">
        <w:rPr>
          <w:lang w:val="en-CA"/>
        </w:rPr>
        <w:t>32</w:t>
      </w:r>
      <w:r w:rsidRPr="00366942">
        <w:rPr>
          <w:lang w:val="en-CA"/>
        </w:rPr>
        <w:fldChar w:fldCharType="end"/>
      </w:r>
      <w:r w:rsidRPr="00366942">
        <w:rPr>
          <w:lang w:val="en-CA"/>
        </w:rPr>
        <w:t>).</w:t>
      </w:r>
    </w:p>
  </w:footnote>
  <w:footnote w:id="57">
    <w:p w14:paraId="267363F8" w14:textId="751B766B"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Qu</w:t>
      </w:r>
      <w:r w:rsidR="00DC2ED9" w:rsidRPr="00366942">
        <w:rPr>
          <w:i/>
          <w:iCs/>
          <w:lang w:val="en-CA"/>
        </w:rPr>
        <w:t>e</w:t>
      </w:r>
      <w:r w:rsidRPr="00366942">
        <w:rPr>
          <w:i/>
          <w:iCs/>
          <w:lang w:val="en-CA"/>
        </w:rPr>
        <w:t>bec (</w:t>
      </w:r>
      <w:r w:rsidR="007A3AB0" w:rsidRPr="00366942">
        <w:rPr>
          <w:i/>
          <w:iCs/>
          <w:lang w:val="en-CA"/>
        </w:rPr>
        <w:t>Attorney General</w:t>
      </w:r>
      <w:r w:rsidRPr="00366942">
        <w:rPr>
          <w:i/>
          <w:iCs/>
          <w:lang w:val="en-CA"/>
        </w:rPr>
        <w:t>) </w:t>
      </w:r>
      <w:r w:rsidR="007A3AB0" w:rsidRPr="00366942">
        <w:rPr>
          <w:i/>
          <w:iCs/>
          <w:lang w:val="en-CA"/>
        </w:rPr>
        <w:t>v</w:t>
      </w:r>
      <w:r w:rsidRPr="00366942">
        <w:rPr>
          <w:i/>
          <w:iCs/>
          <w:lang w:val="en-CA"/>
        </w:rPr>
        <w:t>. A</w:t>
      </w:r>
      <w:r w:rsidRPr="00366942">
        <w:rPr>
          <w:lang w:val="en-CA"/>
        </w:rPr>
        <w:t xml:space="preserve">, 2013 CSC 5, [2013] 1 </w:t>
      </w:r>
      <w:r w:rsidR="007A3AB0" w:rsidRPr="00366942">
        <w:rPr>
          <w:lang w:val="en-CA"/>
        </w:rPr>
        <w:t xml:space="preserve">S.C.R. </w:t>
      </w:r>
      <w:r w:rsidRPr="00366942">
        <w:rPr>
          <w:lang w:val="en-CA"/>
        </w:rPr>
        <w:t xml:space="preserve"> 61.</w:t>
      </w:r>
    </w:p>
  </w:footnote>
  <w:footnote w:id="58">
    <w:p w14:paraId="33CEF83D" w14:textId="2130AB21" w:rsidR="00961A50" w:rsidRPr="00366942" w:rsidRDefault="00961A50" w:rsidP="00961A50">
      <w:pPr>
        <w:pStyle w:val="Notedebasdepage"/>
        <w:rPr>
          <w:i/>
          <w:iCs/>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Andrews</w:t>
      </w:r>
      <w:r w:rsidRPr="00366942">
        <w:rPr>
          <w:lang w:val="en-CA"/>
        </w:rPr>
        <w:t xml:space="preserve">, </w:t>
      </w:r>
      <w:r w:rsidR="007A3AB0"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_Ref173166169 \h </w:instrText>
      </w:r>
      <w:r w:rsidRPr="00366942">
        <w:rPr>
          <w:lang w:val="en-CA"/>
        </w:rPr>
      </w:r>
      <w:r w:rsidRPr="00366942">
        <w:rPr>
          <w:lang w:val="en-CA"/>
        </w:rPr>
        <w:fldChar w:fldCharType="separate"/>
      </w:r>
      <w:r w:rsidR="001C6ED6">
        <w:rPr>
          <w:lang w:val="en-CA"/>
        </w:rPr>
        <w:t>28</w:t>
      </w:r>
      <w:r w:rsidRPr="00366942">
        <w:rPr>
          <w:lang w:val="en-CA"/>
        </w:rPr>
        <w:fldChar w:fldCharType="end"/>
      </w:r>
      <w:r w:rsidRPr="00366942">
        <w:rPr>
          <w:lang w:val="en-CA"/>
        </w:rPr>
        <w:t>.</w:t>
      </w:r>
    </w:p>
  </w:footnote>
  <w:footnote w:id="59">
    <w:p w14:paraId="2615F927" w14:textId="3FC78A3B"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Corbiere </w:t>
      </w:r>
      <w:r w:rsidR="007A3AB0" w:rsidRPr="00366942">
        <w:rPr>
          <w:i/>
          <w:iCs/>
          <w:lang w:val="en-CA"/>
        </w:rPr>
        <w:t>v</w:t>
      </w:r>
      <w:r w:rsidRPr="00366942">
        <w:rPr>
          <w:i/>
          <w:iCs/>
          <w:lang w:val="en-CA"/>
        </w:rPr>
        <w:t>. Canada (</w:t>
      </w:r>
      <w:r w:rsidR="00EE6C07" w:rsidRPr="00366942">
        <w:rPr>
          <w:i/>
          <w:iCs/>
          <w:lang w:val="en-CA"/>
        </w:rPr>
        <w:t>Minister of Indian and Northern Affairs</w:t>
      </w:r>
      <w:r w:rsidRPr="00366942">
        <w:rPr>
          <w:i/>
          <w:iCs/>
          <w:lang w:val="en-CA"/>
        </w:rPr>
        <w:t>)</w:t>
      </w:r>
      <w:r w:rsidRPr="00366942">
        <w:rPr>
          <w:lang w:val="en-CA"/>
        </w:rPr>
        <w:t xml:space="preserve">, [1999] 2 </w:t>
      </w:r>
      <w:r w:rsidR="007A3AB0" w:rsidRPr="00366942">
        <w:rPr>
          <w:lang w:val="en-CA"/>
        </w:rPr>
        <w:t xml:space="preserve">S.C.R. </w:t>
      </w:r>
      <w:r w:rsidRPr="00366942">
        <w:rPr>
          <w:lang w:val="en-CA"/>
        </w:rPr>
        <w:t xml:space="preserve"> 203.</w:t>
      </w:r>
    </w:p>
  </w:footnote>
  <w:footnote w:id="60">
    <w:p w14:paraId="34042177" w14:textId="22F369F6"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Dickson </w:t>
      </w:r>
      <w:r w:rsidR="007A3AB0" w:rsidRPr="00366942">
        <w:rPr>
          <w:i/>
          <w:iCs/>
          <w:lang w:val="en-CA"/>
        </w:rPr>
        <w:t>v</w:t>
      </w:r>
      <w:r w:rsidRPr="00366942">
        <w:rPr>
          <w:i/>
          <w:iCs/>
          <w:lang w:val="en-CA"/>
        </w:rPr>
        <w:t>. Vuntut Gwitchin First Nation</w:t>
      </w:r>
      <w:r w:rsidRPr="00366942">
        <w:rPr>
          <w:lang w:val="en-CA"/>
        </w:rPr>
        <w:t xml:space="preserve">, </w:t>
      </w:r>
      <w:r w:rsidR="007A3AB0"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_Ref176172654 \h </w:instrText>
      </w:r>
      <w:r w:rsidRPr="00366942">
        <w:rPr>
          <w:lang w:val="en-CA"/>
        </w:rPr>
      </w:r>
      <w:r w:rsidRPr="00366942">
        <w:rPr>
          <w:lang w:val="en-CA"/>
        </w:rPr>
        <w:fldChar w:fldCharType="separate"/>
      </w:r>
      <w:r w:rsidR="001C6ED6">
        <w:rPr>
          <w:lang w:val="en-CA"/>
        </w:rPr>
        <w:t>24</w:t>
      </w:r>
      <w:r w:rsidRPr="00366942">
        <w:rPr>
          <w:lang w:val="en-CA"/>
        </w:rPr>
        <w:fldChar w:fldCharType="end"/>
      </w:r>
      <w:r w:rsidRPr="00366942">
        <w:rPr>
          <w:lang w:val="en-CA"/>
        </w:rPr>
        <w:t xml:space="preserve">, </w:t>
      </w:r>
      <w:r w:rsidR="007A3AB0" w:rsidRPr="00366942">
        <w:rPr>
          <w:lang w:val="en-CA"/>
        </w:rPr>
        <w:t xml:space="preserve">at </w:t>
      </w:r>
      <w:r w:rsidRPr="00366942">
        <w:rPr>
          <w:lang w:val="en-CA"/>
        </w:rPr>
        <w:t>para. 198 (</w:t>
      </w:r>
      <w:r w:rsidR="007A3AB0" w:rsidRPr="00366942">
        <w:rPr>
          <w:lang w:val="en-CA"/>
        </w:rPr>
        <w:t>per</w:t>
      </w:r>
      <w:r w:rsidRPr="00366942">
        <w:rPr>
          <w:lang w:val="en-CA"/>
        </w:rPr>
        <w:t xml:space="preserve"> Kasirer </w:t>
      </w:r>
      <w:r w:rsidR="007A3AB0" w:rsidRPr="00366942">
        <w:rPr>
          <w:lang w:val="en-CA"/>
        </w:rPr>
        <w:t>and</w:t>
      </w:r>
      <w:r w:rsidRPr="00366942">
        <w:rPr>
          <w:lang w:val="en-CA"/>
        </w:rPr>
        <w:t xml:space="preserve"> Jamal</w:t>
      </w:r>
      <w:r w:rsidR="007A3AB0" w:rsidRPr="00366942">
        <w:rPr>
          <w:lang w:val="en-CA"/>
        </w:rPr>
        <w:t>, JJ. for the majority</w:t>
      </w:r>
      <w:r w:rsidRPr="00366942">
        <w:rPr>
          <w:lang w:val="en-CA"/>
        </w:rPr>
        <w:t>).</w:t>
      </w:r>
    </w:p>
  </w:footnote>
  <w:footnote w:id="61">
    <w:p w14:paraId="1D8492F9" w14:textId="7ABD1AD1"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[1989] 1 </w:t>
      </w:r>
      <w:r w:rsidR="007A3AB0" w:rsidRPr="00366942">
        <w:rPr>
          <w:lang w:val="en-CA"/>
        </w:rPr>
        <w:t xml:space="preserve">S.C.R. </w:t>
      </w:r>
      <w:r w:rsidRPr="00366942">
        <w:rPr>
          <w:lang w:val="en-CA"/>
        </w:rPr>
        <w:t>1219 [</w:t>
      </w:r>
      <w:r w:rsidR="007A3AB0" w:rsidRPr="00366942">
        <w:rPr>
          <w:lang w:val="en-CA"/>
        </w:rPr>
        <w:t>“</w:t>
      </w:r>
      <w:r w:rsidRPr="00366942">
        <w:rPr>
          <w:i/>
          <w:iCs/>
          <w:lang w:val="en-CA"/>
        </w:rPr>
        <w:t>Brooks</w:t>
      </w:r>
      <w:r w:rsidR="007A3AB0" w:rsidRPr="00366942">
        <w:rPr>
          <w:lang w:val="en-CA"/>
        </w:rPr>
        <w:t>”</w:t>
      </w:r>
      <w:r w:rsidRPr="00366942">
        <w:rPr>
          <w:lang w:val="en-CA"/>
        </w:rPr>
        <w:t>].</w:t>
      </w:r>
    </w:p>
  </w:footnote>
  <w:footnote w:id="62">
    <w:p w14:paraId="02070B8A" w14:textId="68F553C9"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[1997] 1 </w:t>
      </w:r>
      <w:r w:rsidR="007A3AB0" w:rsidRPr="00366942">
        <w:rPr>
          <w:lang w:val="en-CA"/>
        </w:rPr>
        <w:t xml:space="preserve">S.C.R. </w:t>
      </w:r>
      <w:r w:rsidRPr="00366942">
        <w:rPr>
          <w:lang w:val="en-CA"/>
        </w:rPr>
        <w:t xml:space="preserve"> 358 [</w:t>
      </w:r>
      <w:r w:rsidR="007A3AB0" w:rsidRPr="00366942">
        <w:rPr>
          <w:lang w:val="en-CA"/>
        </w:rPr>
        <w:t>“</w:t>
      </w:r>
      <w:r w:rsidRPr="00366942">
        <w:rPr>
          <w:i/>
          <w:iCs/>
          <w:lang w:val="en-CA"/>
        </w:rPr>
        <w:t>Benner</w:t>
      </w:r>
      <w:r w:rsidR="007A3AB0" w:rsidRPr="00366942">
        <w:rPr>
          <w:lang w:val="en-CA"/>
        </w:rPr>
        <w:t>”</w:t>
      </w:r>
      <w:r w:rsidRPr="00366942">
        <w:rPr>
          <w:lang w:val="en-CA"/>
        </w:rPr>
        <w:t>].</w:t>
      </w:r>
    </w:p>
  </w:footnote>
  <w:footnote w:id="63">
    <w:p w14:paraId="63525FA2" w14:textId="5975147C"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535523"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_Ref177374509 \h </w:instrText>
      </w:r>
      <w:r w:rsidRPr="00366942">
        <w:rPr>
          <w:lang w:val="en-CA"/>
        </w:rPr>
      </w:r>
      <w:r w:rsidRPr="00366942">
        <w:rPr>
          <w:lang w:val="en-CA"/>
        </w:rPr>
        <w:fldChar w:fldCharType="separate"/>
      </w:r>
      <w:r w:rsidR="001C6ED6">
        <w:rPr>
          <w:lang w:val="en-CA"/>
        </w:rPr>
        <w:t>56</w:t>
      </w:r>
      <w:r w:rsidRPr="00366942">
        <w:rPr>
          <w:lang w:val="en-CA"/>
        </w:rPr>
        <w:fldChar w:fldCharType="end"/>
      </w:r>
      <w:r w:rsidRPr="00366942">
        <w:rPr>
          <w:lang w:val="en-CA"/>
        </w:rPr>
        <w:t>.</w:t>
      </w:r>
    </w:p>
  </w:footnote>
  <w:footnote w:id="64">
    <w:p w14:paraId="6A2BB406" w14:textId="18CF91B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535523" w:rsidRPr="00366942">
        <w:rPr>
          <w:lang w:val="en-CA"/>
        </w:rPr>
        <w:t xml:space="preserve">Although that case dealt with the application of a provincial </w:t>
      </w:r>
      <w:r w:rsidR="00C23BB7" w:rsidRPr="00366942">
        <w:rPr>
          <w:lang w:val="en-CA"/>
        </w:rPr>
        <w:t xml:space="preserve">human rights </w:t>
      </w:r>
      <w:r w:rsidR="00535523" w:rsidRPr="00366942">
        <w:rPr>
          <w:lang w:val="en-CA"/>
        </w:rPr>
        <w:t>statute, its teaching</w:t>
      </w:r>
      <w:r w:rsidR="00096F5A" w:rsidRPr="00366942">
        <w:rPr>
          <w:lang w:val="en-CA"/>
        </w:rPr>
        <w:t xml:space="preserve"> is grounded in principles also recognized in s. </w:t>
      </w:r>
      <w:r w:rsidRPr="00366942">
        <w:rPr>
          <w:lang w:val="en-CA"/>
        </w:rPr>
        <w:t xml:space="preserve">15 </w:t>
      </w:r>
      <w:r w:rsidR="00096F5A" w:rsidRPr="00366942">
        <w:rPr>
          <w:lang w:val="en-CA"/>
        </w:rPr>
        <w:t>of the</w:t>
      </w:r>
      <w:r w:rsidRPr="00366942">
        <w:rPr>
          <w:lang w:val="en-CA"/>
        </w:rPr>
        <w:t xml:space="preserve"> </w:t>
      </w:r>
      <w:r w:rsidR="00096F5A" w:rsidRPr="00366942">
        <w:rPr>
          <w:i/>
          <w:iCs/>
          <w:lang w:val="en-CA"/>
        </w:rPr>
        <w:t>Canadian Charter</w:t>
      </w:r>
      <w:r w:rsidRPr="00366942">
        <w:rPr>
          <w:lang w:val="en-CA"/>
        </w:rPr>
        <w:t>.</w:t>
      </w:r>
    </w:p>
  </w:footnote>
  <w:footnote w:id="65">
    <w:p w14:paraId="29A649C9" w14:textId="083B1268"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S.C. 1974-75-76, c. 108, </w:t>
      </w:r>
      <w:r w:rsidR="00096F5A" w:rsidRPr="00366942">
        <w:rPr>
          <w:lang w:val="en-CA"/>
        </w:rPr>
        <w:t>proclaimed in force February</w:t>
      </w:r>
      <w:r w:rsidRPr="00366942">
        <w:rPr>
          <w:lang w:val="en-CA"/>
        </w:rPr>
        <w:t xml:space="preserve"> 15</w:t>
      </w:r>
      <w:r w:rsidR="00096F5A" w:rsidRPr="00366942">
        <w:rPr>
          <w:lang w:val="en-CA"/>
        </w:rPr>
        <w:t>,</w:t>
      </w:r>
      <w:r w:rsidRPr="00366942">
        <w:rPr>
          <w:lang w:val="en-CA"/>
        </w:rPr>
        <w:t xml:space="preserve"> 1977 </w:t>
      </w:r>
      <w:r w:rsidR="00096F5A" w:rsidRPr="00366942">
        <w:rPr>
          <w:lang w:val="en-CA"/>
        </w:rPr>
        <w:t>by</w:t>
      </w:r>
      <w:r w:rsidRPr="00366942">
        <w:rPr>
          <w:lang w:val="en-CA"/>
        </w:rPr>
        <w:t xml:space="preserve"> </w:t>
      </w:r>
      <w:r w:rsidR="00096F5A" w:rsidRPr="00366942">
        <w:rPr>
          <w:lang w:val="en-CA"/>
        </w:rPr>
        <w:t>SI</w:t>
      </w:r>
      <w:r w:rsidRPr="00366942">
        <w:rPr>
          <w:lang w:val="en-CA"/>
        </w:rPr>
        <w:t>/77</w:t>
      </w:r>
      <w:r w:rsidRPr="00366942">
        <w:rPr>
          <w:lang w:val="en-CA"/>
        </w:rPr>
        <w:noBreakHyphen/>
        <w:t>43 (</w:t>
      </w:r>
      <w:r w:rsidR="00096F5A" w:rsidRPr="00366942">
        <w:rPr>
          <w:lang w:val="en-CA"/>
        </w:rPr>
        <w:t>R.S</w:t>
      </w:r>
      <w:r w:rsidRPr="00366942">
        <w:rPr>
          <w:lang w:val="en-CA"/>
        </w:rPr>
        <w:t>.C.</w:t>
      </w:r>
      <w:r w:rsidR="00096F5A" w:rsidRPr="00366942">
        <w:rPr>
          <w:lang w:val="en-CA"/>
        </w:rPr>
        <w:t>,</w:t>
      </w:r>
      <w:r w:rsidRPr="00366942">
        <w:rPr>
          <w:lang w:val="en-CA"/>
        </w:rPr>
        <w:t>1985, c. C</w:t>
      </w:r>
      <w:r w:rsidRPr="00366942">
        <w:rPr>
          <w:rFonts w:ascii="Cambria Math" w:hAnsi="Cambria Math" w:cs="Cambria Math"/>
          <w:lang w:val="en-CA"/>
        </w:rPr>
        <w:noBreakHyphen/>
      </w:r>
      <w:r w:rsidRPr="00366942">
        <w:rPr>
          <w:lang w:val="en-CA"/>
        </w:rPr>
        <w:t>29).</w:t>
      </w:r>
    </w:p>
  </w:footnote>
  <w:footnote w:id="66">
    <w:p w14:paraId="6B69644E" w14:textId="3C1F57CA"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 xml:space="preserve">M. </w:t>
      </w:r>
      <w:r w:rsidR="00096F5A" w:rsidRPr="00366942">
        <w:rPr>
          <w:i/>
          <w:iCs/>
          <w:lang w:val="en-CA"/>
        </w:rPr>
        <w:t>v</w:t>
      </w:r>
      <w:r w:rsidRPr="00366942">
        <w:rPr>
          <w:i/>
          <w:iCs/>
          <w:lang w:val="en-CA"/>
        </w:rPr>
        <w:t>. H.</w:t>
      </w:r>
      <w:r w:rsidRPr="00366942">
        <w:rPr>
          <w:lang w:val="en-CA"/>
        </w:rPr>
        <w:t xml:space="preserve">, </w:t>
      </w:r>
      <w:r w:rsidR="00096F5A" w:rsidRPr="00763600">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_Ref177374509 \h </w:instrText>
      </w:r>
      <w:r w:rsidRPr="00366942">
        <w:rPr>
          <w:lang w:val="en-CA"/>
        </w:rPr>
      </w:r>
      <w:r w:rsidRPr="00366942">
        <w:rPr>
          <w:lang w:val="en-CA"/>
        </w:rPr>
        <w:fldChar w:fldCharType="separate"/>
      </w:r>
      <w:r w:rsidR="001C6ED6">
        <w:rPr>
          <w:lang w:val="en-CA"/>
        </w:rPr>
        <w:t>56</w:t>
      </w:r>
      <w:r w:rsidRPr="00366942">
        <w:rPr>
          <w:lang w:val="en-CA"/>
        </w:rPr>
        <w:fldChar w:fldCharType="end"/>
      </w:r>
      <w:r w:rsidRPr="00366942">
        <w:rPr>
          <w:lang w:val="en-CA"/>
        </w:rPr>
        <w:t xml:space="preserve">, </w:t>
      </w:r>
      <w:r w:rsidR="00096F5A" w:rsidRPr="00366942">
        <w:rPr>
          <w:lang w:val="en-CA"/>
        </w:rPr>
        <w:t xml:space="preserve">at </w:t>
      </w:r>
      <w:r w:rsidRPr="00366942">
        <w:rPr>
          <w:lang w:val="en-CA"/>
        </w:rPr>
        <w:t>para</w:t>
      </w:r>
      <w:r w:rsidR="00096F5A" w:rsidRPr="00366942">
        <w:rPr>
          <w:lang w:val="en-CA"/>
        </w:rPr>
        <w:t>.</w:t>
      </w:r>
      <w:r w:rsidRPr="00366942">
        <w:rPr>
          <w:lang w:val="en-CA"/>
        </w:rPr>
        <w:t xml:space="preserve"> 6</w:t>
      </w:r>
      <w:r w:rsidR="006B1B23" w:rsidRPr="00366942">
        <w:rPr>
          <w:lang w:val="en-CA"/>
        </w:rPr>
        <w:t>2</w:t>
      </w:r>
      <w:r w:rsidRPr="00366942">
        <w:rPr>
          <w:lang w:val="en-CA"/>
        </w:rPr>
        <w:t xml:space="preserve"> (</w:t>
      </w:r>
      <w:r w:rsidR="00096F5A" w:rsidRPr="00366942">
        <w:rPr>
          <w:lang w:val="en-CA"/>
        </w:rPr>
        <w:t>per</w:t>
      </w:r>
      <w:r w:rsidRPr="00366942">
        <w:rPr>
          <w:lang w:val="en-CA"/>
        </w:rPr>
        <w:t xml:space="preserve"> Cory </w:t>
      </w:r>
      <w:r w:rsidR="00096F5A" w:rsidRPr="00366942">
        <w:rPr>
          <w:lang w:val="en-CA"/>
        </w:rPr>
        <w:t>and</w:t>
      </w:r>
      <w:r w:rsidRPr="00366942">
        <w:rPr>
          <w:lang w:val="en-CA"/>
        </w:rPr>
        <w:t xml:space="preserve"> Iacobucci,</w:t>
      </w:r>
      <w:r w:rsidR="00096F5A" w:rsidRPr="00366942">
        <w:rPr>
          <w:lang w:val="en-CA"/>
        </w:rPr>
        <w:t xml:space="preserve"> JJ. for the majority,</w:t>
      </w:r>
      <w:r w:rsidRPr="00366942">
        <w:rPr>
          <w:lang w:val="en-CA"/>
        </w:rPr>
        <w:t xml:space="preserve"> </w:t>
      </w:r>
      <w:r w:rsidR="00096F5A" w:rsidRPr="00366942">
        <w:rPr>
          <w:lang w:val="en-CA"/>
        </w:rPr>
        <w:t xml:space="preserve">reasons of </w:t>
      </w:r>
      <w:r w:rsidRPr="00366942">
        <w:rPr>
          <w:lang w:val="en-CA"/>
        </w:rPr>
        <w:t>Cory</w:t>
      </w:r>
      <w:r w:rsidR="00096F5A" w:rsidRPr="00366942">
        <w:rPr>
          <w:lang w:val="en-CA"/>
        </w:rPr>
        <w:t>, J.)</w:t>
      </w:r>
      <w:r w:rsidRPr="00366942">
        <w:rPr>
          <w:lang w:val="en-CA"/>
        </w:rPr>
        <w:t>.</w:t>
      </w:r>
    </w:p>
  </w:footnote>
  <w:footnote w:id="67">
    <w:p w14:paraId="4539FEB2" w14:textId="1E2D910A"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FF208A"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_Ref172642613 \h </w:instrText>
      </w:r>
      <w:r w:rsidRPr="00366942">
        <w:rPr>
          <w:lang w:val="en-CA"/>
        </w:rPr>
      </w:r>
      <w:r w:rsidRPr="00366942">
        <w:rPr>
          <w:lang w:val="en-CA"/>
        </w:rPr>
        <w:fldChar w:fldCharType="separate"/>
      </w:r>
      <w:r w:rsidR="001C6ED6">
        <w:rPr>
          <w:lang w:val="en-CA"/>
        </w:rPr>
        <w:t>25</w:t>
      </w:r>
      <w:r w:rsidRPr="00366942">
        <w:rPr>
          <w:lang w:val="en-CA"/>
        </w:rPr>
        <w:fldChar w:fldCharType="end"/>
      </w:r>
      <w:r w:rsidRPr="00366942">
        <w:rPr>
          <w:lang w:val="en-CA"/>
        </w:rPr>
        <w:t>,</w:t>
      </w:r>
      <w:r w:rsidR="00FF208A" w:rsidRPr="00366942">
        <w:rPr>
          <w:lang w:val="en-CA"/>
        </w:rPr>
        <w:t xml:space="preserve"> at</w:t>
      </w:r>
      <w:r w:rsidRPr="00366942">
        <w:rPr>
          <w:lang w:val="en-CA"/>
        </w:rPr>
        <w:t xml:space="preserve"> para</w:t>
      </w:r>
      <w:r w:rsidR="00FF208A" w:rsidRPr="00366942">
        <w:rPr>
          <w:lang w:val="en-CA"/>
        </w:rPr>
        <w:t>s</w:t>
      </w:r>
      <w:r w:rsidRPr="00366942">
        <w:rPr>
          <w:lang w:val="en-CA"/>
        </w:rPr>
        <w:t xml:space="preserve">. 11-12 </w:t>
      </w:r>
      <w:r w:rsidR="00FF208A" w:rsidRPr="00366942">
        <w:rPr>
          <w:lang w:val="en-CA"/>
        </w:rPr>
        <w:t>and</w:t>
      </w:r>
      <w:r w:rsidRPr="00366942">
        <w:rPr>
          <w:lang w:val="en-CA"/>
        </w:rPr>
        <w:t xml:space="preserve"> 69.</w:t>
      </w:r>
    </w:p>
  </w:footnote>
  <w:footnote w:id="68">
    <w:p w14:paraId="5CECBDF7" w14:textId="5633CDAB"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2020 </w:t>
      </w:r>
      <w:r w:rsidR="00FF208A" w:rsidRPr="00366942">
        <w:rPr>
          <w:lang w:val="en-CA"/>
        </w:rPr>
        <w:t>SCC</w:t>
      </w:r>
      <w:r w:rsidRPr="00366942">
        <w:rPr>
          <w:lang w:val="en-CA"/>
        </w:rPr>
        <w:t xml:space="preserve"> 28 [</w:t>
      </w:r>
      <w:r w:rsidR="00FF208A" w:rsidRPr="00366942">
        <w:rPr>
          <w:lang w:val="en-CA"/>
        </w:rPr>
        <w:t>“</w:t>
      </w:r>
      <w:r w:rsidRPr="00366942">
        <w:rPr>
          <w:i/>
          <w:iCs/>
          <w:lang w:val="en-CA"/>
        </w:rPr>
        <w:t>Fraser</w:t>
      </w:r>
      <w:r w:rsidR="00FF208A" w:rsidRPr="00366942">
        <w:rPr>
          <w:lang w:val="en-CA"/>
        </w:rPr>
        <w:t>”</w:t>
      </w:r>
      <w:r w:rsidRPr="00366942">
        <w:rPr>
          <w:lang w:val="en-CA"/>
        </w:rPr>
        <w:t>].</w:t>
      </w:r>
    </w:p>
  </w:footnote>
  <w:footnote w:id="69">
    <w:p w14:paraId="01409BA1" w14:textId="14177060"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FF208A"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_Ref172654494 \h </w:instrText>
      </w:r>
      <w:r w:rsidRPr="00366942">
        <w:rPr>
          <w:lang w:val="en-CA"/>
        </w:rPr>
      </w:r>
      <w:r w:rsidRPr="00366942">
        <w:rPr>
          <w:lang w:val="en-CA"/>
        </w:rPr>
        <w:fldChar w:fldCharType="separate"/>
      </w:r>
      <w:r w:rsidR="001C6ED6">
        <w:rPr>
          <w:lang w:val="en-CA"/>
        </w:rPr>
        <w:t>11</w:t>
      </w:r>
      <w:r w:rsidRPr="00366942">
        <w:rPr>
          <w:lang w:val="en-CA"/>
        </w:rPr>
        <w:fldChar w:fldCharType="end"/>
      </w:r>
      <w:r w:rsidRPr="00366942">
        <w:rPr>
          <w:lang w:val="en-CA"/>
        </w:rPr>
        <w:t>.</w:t>
      </w:r>
    </w:p>
  </w:footnote>
  <w:footnote w:id="70">
    <w:p w14:paraId="269F1C5F" w14:textId="1EA52CDA"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Kanyinda</w:t>
      </w:r>
      <w:r w:rsidRPr="00366942">
        <w:rPr>
          <w:lang w:val="en-CA"/>
        </w:rPr>
        <w:t>,</w:t>
      </w:r>
      <w:r w:rsidRPr="00763600">
        <w:rPr>
          <w:i/>
          <w:iCs/>
          <w:lang w:val="en-CA"/>
        </w:rPr>
        <w:t xml:space="preserve"> </w:t>
      </w:r>
      <w:r w:rsidR="00F72693" w:rsidRPr="00763600">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_Ref172654494 \h </w:instrText>
      </w:r>
      <w:r w:rsidRPr="00366942">
        <w:rPr>
          <w:lang w:val="en-CA"/>
        </w:rPr>
      </w:r>
      <w:r w:rsidRPr="00366942">
        <w:rPr>
          <w:lang w:val="en-CA"/>
        </w:rPr>
        <w:fldChar w:fldCharType="separate"/>
      </w:r>
      <w:r w:rsidR="001C6ED6">
        <w:rPr>
          <w:lang w:val="en-CA"/>
        </w:rPr>
        <w:t>11</w:t>
      </w:r>
      <w:r w:rsidRPr="00366942">
        <w:rPr>
          <w:lang w:val="en-CA"/>
        </w:rPr>
        <w:fldChar w:fldCharType="end"/>
      </w:r>
      <w:r w:rsidRPr="00366942">
        <w:rPr>
          <w:lang w:val="en-CA"/>
        </w:rPr>
        <w:t xml:space="preserve">, </w:t>
      </w:r>
      <w:r w:rsidR="00F72693" w:rsidRPr="00366942">
        <w:rPr>
          <w:lang w:val="en-CA"/>
        </w:rPr>
        <w:t xml:space="preserve">at </w:t>
      </w:r>
      <w:r w:rsidRPr="00366942">
        <w:rPr>
          <w:lang w:val="en-CA"/>
        </w:rPr>
        <w:t>para. 88.</w:t>
      </w:r>
    </w:p>
  </w:footnote>
  <w:footnote w:id="71">
    <w:p w14:paraId="41103AC9" w14:textId="0C5103B2"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A63BCF" w:rsidRPr="00366942">
        <w:rPr>
          <w:i/>
          <w:iCs/>
          <w:lang w:val="en-CA"/>
        </w:rPr>
        <w:t>Kanyinda</w:t>
      </w:r>
      <w:r w:rsidR="00A63BCF" w:rsidRPr="00366942">
        <w:rPr>
          <w:lang w:val="en-CA"/>
        </w:rPr>
        <w:t xml:space="preserve">, </w:t>
      </w:r>
      <w:r w:rsidR="00AD79D4" w:rsidRPr="00763600">
        <w:rPr>
          <w:i/>
          <w:iCs/>
          <w:lang w:val="en-CA"/>
        </w:rPr>
        <w:t>supra</w:t>
      </w:r>
      <w:r w:rsidR="00A63BCF" w:rsidRPr="00366942">
        <w:rPr>
          <w:lang w:val="en-CA"/>
        </w:rPr>
        <w:t xml:space="preserve">, note </w:t>
      </w:r>
      <w:r w:rsidR="00E6309D">
        <w:rPr>
          <w:lang w:val="en-CA"/>
        </w:rPr>
        <w:fldChar w:fldCharType="begin"/>
      </w:r>
      <w:r w:rsidR="00E6309D">
        <w:rPr>
          <w:lang w:val="en-CA"/>
        </w:rPr>
        <w:instrText xml:space="preserve"> NOTEREF _Ref187832781 \h </w:instrText>
      </w:r>
      <w:r w:rsidR="00E6309D">
        <w:rPr>
          <w:lang w:val="en-CA"/>
        </w:rPr>
      </w:r>
      <w:r w:rsidR="00E6309D">
        <w:rPr>
          <w:lang w:val="en-CA"/>
        </w:rPr>
        <w:fldChar w:fldCharType="separate"/>
      </w:r>
      <w:r w:rsidR="001C6ED6">
        <w:rPr>
          <w:lang w:val="en-CA"/>
        </w:rPr>
        <w:t>11</w:t>
      </w:r>
      <w:r w:rsidR="00E6309D">
        <w:rPr>
          <w:lang w:val="en-CA"/>
        </w:rPr>
        <w:fldChar w:fldCharType="end"/>
      </w:r>
      <w:r w:rsidR="00A63BCF" w:rsidRPr="00366942">
        <w:rPr>
          <w:lang w:val="en-CA"/>
        </w:rPr>
        <w:t xml:space="preserve">, </w:t>
      </w:r>
      <w:r w:rsidR="00AD79D4" w:rsidRPr="00366942">
        <w:rPr>
          <w:lang w:val="en-CA"/>
        </w:rPr>
        <w:t xml:space="preserve">at </w:t>
      </w:r>
      <w:r w:rsidR="00A63BCF" w:rsidRPr="00366942">
        <w:rPr>
          <w:lang w:val="en-CA"/>
        </w:rPr>
        <w:t>para. 88.</w:t>
      </w:r>
    </w:p>
  </w:footnote>
  <w:footnote w:id="72">
    <w:p w14:paraId="0993F9F9" w14:textId="0EA54790" w:rsidR="007758A5" w:rsidRPr="00366942" w:rsidRDefault="007758A5">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AD79D4" w:rsidRPr="00366942">
        <w:rPr>
          <w:lang w:val="en-CA"/>
        </w:rPr>
        <w:t>See</w:t>
      </w:r>
      <w:r w:rsidRPr="00366942">
        <w:rPr>
          <w:lang w:val="en-CA"/>
        </w:rPr>
        <w:t xml:space="preserve"> </w:t>
      </w:r>
      <w:r w:rsidRPr="00366942">
        <w:rPr>
          <w:i/>
          <w:iCs/>
          <w:lang w:val="en-CA"/>
        </w:rPr>
        <w:t>supra</w:t>
      </w:r>
      <w:r w:rsidRPr="00366942">
        <w:rPr>
          <w:lang w:val="en-CA"/>
        </w:rPr>
        <w:t>, para</w:t>
      </w:r>
      <w:r w:rsidR="00AD79D4" w:rsidRPr="00366942">
        <w:rPr>
          <w:lang w:val="en-CA"/>
        </w:rPr>
        <w:t>s</w:t>
      </w:r>
      <w:r w:rsidRPr="00366942">
        <w:rPr>
          <w:lang w:val="en-CA"/>
        </w:rPr>
        <w:t xml:space="preserve">. </w:t>
      </w:r>
      <w:r w:rsidRPr="00366942">
        <w:rPr>
          <w:lang w:val="en-CA"/>
        </w:rPr>
        <w:fldChar w:fldCharType="begin"/>
      </w:r>
      <w:r w:rsidRPr="00366942">
        <w:rPr>
          <w:lang w:val="en-CA"/>
        </w:rPr>
        <w:instrText xml:space="preserve"> REF _Ref180586892 \r \h </w:instrText>
      </w:r>
      <w:r w:rsidRPr="00366942">
        <w:rPr>
          <w:lang w:val="en-CA"/>
        </w:rPr>
      </w:r>
      <w:r w:rsidRPr="00366942">
        <w:rPr>
          <w:lang w:val="en-CA"/>
        </w:rPr>
        <w:fldChar w:fldCharType="separate"/>
      </w:r>
      <w:r w:rsidR="001C6ED6">
        <w:rPr>
          <w:lang w:val="en-CA"/>
        </w:rPr>
        <w:t>[66]</w:t>
      </w:r>
      <w:r w:rsidRPr="00366942">
        <w:rPr>
          <w:lang w:val="en-CA"/>
        </w:rPr>
        <w:fldChar w:fldCharType="end"/>
      </w:r>
      <w:r w:rsidRPr="00366942">
        <w:rPr>
          <w:lang w:val="en-CA"/>
        </w:rPr>
        <w:t xml:space="preserve"> </w:t>
      </w:r>
      <w:r w:rsidR="00AD79D4" w:rsidRPr="00366942">
        <w:rPr>
          <w:lang w:val="en-CA"/>
        </w:rPr>
        <w:t>and</w:t>
      </w:r>
      <w:r w:rsidRPr="00366942">
        <w:rPr>
          <w:lang w:val="en-CA"/>
        </w:rPr>
        <w:t xml:space="preserve"> </w:t>
      </w:r>
      <w:r w:rsidRPr="00366942">
        <w:rPr>
          <w:lang w:val="en-CA"/>
        </w:rPr>
        <w:fldChar w:fldCharType="begin"/>
      </w:r>
      <w:r w:rsidRPr="00366942">
        <w:rPr>
          <w:lang w:val="en-CA"/>
        </w:rPr>
        <w:instrText xml:space="preserve"> REF _Ref180586896 \r \h </w:instrText>
      </w:r>
      <w:r w:rsidRPr="00366942">
        <w:rPr>
          <w:lang w:val="en-CA"/>
        </w:rPr>
      </w:r>
      <w:r w:rsidRPr="00366942">
        <w:rPr>
          <w:lang w:val="en-CA"/>
        </w:rPr>
        <w:fldChar w:fldCharType="separate"/>
      </w:r>
      <w:r w:rsidR="001C6ED6">
        <w:rPr>
          <w:lang w:val="en-CA"/>
        </w:rPr>
        <w:t>[67]</w:t>
      </w:r>
      <w:r w:rsidRPr="00366942">
        <w:rPr>
          <w:lang w:val="en-CA"/>
        </w:rPr>
        <w:fldChar w:fldCharType="end"/>
      </w:r>
      <w:r w:rsidRPr="00366942">
        <w:rPr>
          <w:lang w:val="en-CA"/>
        </w:rPr>
        <w:t>.</w:t>
      </w:r>
    </w:p>
  </w:footnote>
  <w:footnote w:id="73">
    <w:p w14:paraId="26AC00EF" w14:textId="236A2D63"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03258F" w:rsidRPr="00366942">
        <w:rPr>
          <w:lang w:val="en-CA"/>
        </w:rPr>
        <w:t>CQLR</w:t>
      </w:r>
      <w:r w:rsidRPr="00366942">
        <w:rPr>
          <w:lang w:val="en-CA"/>
        </w:rPr>
        <w:t>, c. S-4.1.1.</w:t>
      </w:r>
    </w:p>
  </w:footnote>
  <w:footnote w:id="74">
    <w:p w14:paraId="2FAC8CC5" w14:textId="0EF077AC"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Eldridge</w:t>
      </w:r>
      <w:r w:rsidRPr="00366942">
        <w:rPr>
          <w:lang w:val="en-CA"/>
        </w:rPr>
        <w:t xml:space="preserve">, </w:t>
      </w:r>
      <w:r w:rsidR="00EB5D44"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_Ref172657049 \h </w:instrText>
      </w:r>
      <w:r w:rsidRPr="00366942">
        <w:rPr>
          <w:lang w:val="en-CA"/>
        </w:rPr>
      </w:r>
      <w:r w:rsidRPr="00366942">
        <w:rPr>
          <w:lang w:val="en-CA"/>
        </w:rPr>
        <w:fldChar w:fldCharType="separate"/>
      </w:r>
      <w:r w:rsidR="001C6ED6">
        <w:rPr>
          <w:lang w:val="en-CA"/>
        </w:rPr>
        <w:t>31</w:t>
      </w:r>
      <w:r w:rsidRPr="00366942">
        <w:rPr>
          <w:lang w:val="en-CA"/>
        </w:rPr>
        <w:fldChar w:fldCharType="end"/>
      </w:r>
      <w:r w:rsidRPr="00366942">
        <w:rPr>
          <w:lang w:val="en-CA"/>
        </w:rPr>
        <w:t>.</w:t>
      </w:r>
    </w:p>
  </w:footnote>
  <w:footnote w:id="75">
    <w:p w14:paraId="09A12109" w14:textId="3D566A2C"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Fraser</w:t>
      </w:r>
      <w:r w:rsidRPr="00366942">
        <w:rPr>
          <w:lang w:val="en-CA"/>
        </w:rPr>
        <w:t xml:space="preserve">, </w:t>
      </w:r>
      <w:r w:rsidR="00EB5D44"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_Ref172657408 \h </w:instrText>
      </w:r>
      <w:r w:rsidRPr="00366942">
        <w:rPr>
          <w:lang w:val="en-CA"/>
        </w:rPr>
      </w:r>
      <w:r w:rsidRPr="00366942">
        <w:rPr>
          <w:lang w:val="en-CA"/>
        </w:rPr>
        <w:fldChar w:fldCharType="separate"/>
      </w:r>
      <w:r w:rsidR="001C6ED6">
        <w:rPr>
          <w:lang w:val="en-CA"/>
        </w:rPr>
        <w:t>68</w:t>
      </w:r>
      <w:r w:rsidRPr="00366942">
        <w:rPr>
          <w:lang w:val="en-CA"/>
        </w:rPr>
        <w:fldChar w:fldCharType="end"/>
      </w:r>
      <w:r w:rsidRPr="00366942">
        <w:rPr>
          <w:lang w:val="en-CA"/>
        </w:rPr>
        <w:t xml:space="preserve">, </w:t>
      </w:r>
      <w:r w:rsidR="00EB5D44" w:rsidRPr="00366942">
        <w:rPr>
          <w:lang w:val="en-CA"/>
        </w:rPr>
        <w:t xml:space="preserve">at </w:t>
      </w:r>
      <w:r w:rsidRPr="00366942">
        <w:rPr>
          <w:lang w:val="en-CA"/>
        </w:rPr>
        <w:t>para. 54 (</w:t>
      </w:r>
      <w:r w:rsidR="00EB5D44" w:rsidRPr="00366942">
        <w:rPr>
          <w:i/>
          <w:iCs/>
          <w:lang w:val="en-CA"/>
        </w:rPr>
        <w:t>per</w:t>
      </w:r>
      <w:r w:rsidRPr="00366942">
        <w:rPr>
          <w:lang w:val="en-CA"/>
        </w:rPr>
        <w:t xml:space="preserve"> Abella</w:t>
      </w:r>
      <w:r w:rsidR="00EB5D44" w:rsidRPr="00366942">
        <w:rPr>
          <w:lang w:val="en-CA"/>
        </w:rPr>
        <w:t>, J. for the majority</w:t>
      </w:r>
      <w:r w:rsidRPr="00366942">
        <w:rPr>
          <w:lang w:val="en-CA"/>
        </w:rPr>
        <w:t>).</w:t>
      </w:r>
    </w:p>
  </w:footnote>
  <w:footnote w:id="76">
    <w:p w14:paraId="057D03FB" w14:textId="5F5CF47A"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Law</w:t>
      </w:r>
      <w:r w:rsidRPr="00366942">
        <w:rPr>
          <w:lang w:val="en-CA"/>
        </w:rPr>
        <w:t xml:space="preserve">, </w:t>
      </w:r>
      <w:r w:rsidR="00EB5D44"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_Ref174276266 \h </w:instrText>
      </w:r>
      <w:r w:rsidRPr="00366942">
        <w:rPr>
          <w:lang w:val="en-CA"/>
        </w:rPr>
      </w:r>
      <w:r w:rsidRPr="00366942">
        <w:rPr>
          <w:lang w:val="en-CA"/>
        </w:rPr>
        <w:fldChar w:fldCharType="separate"/>
      </w:r>
      <w:r w:rsidR="001C6ED6">
        <w:rPr>
          <w:lang w:val="en-CA"/>
        </w:rPr>
        <w:t>45</w:t>
      </w:r>
      <w:r w:rsidRPr="00366942">
        <w:rPr>
          <w:lang w:val="en-CA"/>
        </w:rPr>
        <w:fldChar w:fldCharType="end"/>
      </w:r>
      <w:r w:rsidRPr="00366942">
        <w:rPr>
          <w:lang w:val="en-CA"/>
        </w:rPr>
        <w:t xml:space="preserve">, </w:t>
      </w:r>
      <w:r w:rsidR="00EB5D44" w:rsidRPr="00366942">
        <w:rPr>
          <w:lang w:val="en-CA"/>
        </w:rPr>
        <w:t xml:space="preserve">at </w:t>
      </w:r>
      <w:r w:rsidRPr="00366942">
        <w:rPr>
          <w:lang w:val="en-CA"/>
        </w:rPr>
        <w:t>par</w:t>
      </w:r>
      <w:r w:rsidR="00EB5D44" w:rsidRPr="00366942">
        <w:rPr>
          <w:lang w:val="en-CA"/>
        </w:rPr>
        <w:t>as</w:t>
      </w:r>
      <w:r w:rsidRPr="00366942">
        <w:rPr>
          <w:lang w:val="en-CA"/>
        </w:rPr>
        <w:t xml:space="preserve">. 39 </w:t>
      </w:r>
      <w:r w:rsidR="00EB5D44" w:rsidRPr="00366942">
        <w:rPr>
          <w:lang w:val="en-CA"/>
        </w:rPr>
        <w:t>and</w:t>
      </w:r>
      <w:r w:rsidRPr="00366942">
        <w:rPr>
          <w:lang w:val="en-CA"/>
        </w:rPr>
        <w:t xml:space="preserve"> 88, point 3A).</w:t>
      </w:r>
    </w:p>
  </w:footnote>
  <w:footnote w:id="77">
    <w:p w14:paraId="280E6005" w14:textId="3014AAED"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EB5D44" w:rsidRPr="00366942">
        <w:rPr>
          <w:lang w:val="en-CA"/>
        </w:rPr>
        <w:t>Testimony of expert witness</w:t>
      </w:r>
      <w:r w:rsidRPr="00366942">
        <w:rPr>
          <w:lang w:val="en-CA"/>
        </w:rPr>
        <w:t xml:space="preserve"> Sylvie Lévesque, </w:t>
      </w:r>
      <w:r w:rsidR="00EB5D44" w:rsidRPr="00366942">
        <w:rPr>
          <w:lang w:val="en-CA"/>
        </w:rPr>
        <w:t xml:space="preserve">stenographic </w:t>
      </w:r>
      <w:r w:rsidRPr="00366942">
        <w:rPr>
          <w:lang w:val="en-CA"/>
        </w:rPr>
        <w:t xml:space="preserve">notes </w:t>
      </w:r>
      <w:r w:rsidR="00EB5D44" w:rsidRPr="00366942">
        <w:rPr>
          <w:lang w:val="en-CA"/>
        </w:rPr>
        <w:t>of November</w:t>
      </w:r>
      <w:r w:rsidRPr="00366942">
        <w:rPr>
          <w:lang w:val="en-CA"/>
        </w:rPr>
        <w:t xml:space="preserve"> 27</w:t>
      </w:r>
      <w:r w:rsidR="00EB5D44" w:rsidRPr="00366942">
        <w:rPr>
          <w:lang w:val="en-CA"/>
        </w:rPr>
        <w:t>,</w:t>
      </w:r>
      <w:r w:rsidRPr="00366942">
        <w:rPr>
          <w:lang w:val="en-CA"/>
        </w:rPr>
        <w:t xml:space="preserve"> 2019, </w:t>
      </w:r>
      <w:r w:rsidR="00EB5D44" w:rsidRPr="00366942">
        <w:rPr>
          <w:lang w:val="en-CA"/>
        </w:rPr>
        <w:t>at p</w:t>
      </w:r>
      <w:r w:rsidRPr="00366942">
        <w:rPr>
          <w:lang w:val="en-CA"/>
        </w:rPr>
        <w:t xml:space="preserve">p. 41-42. </w:t>
      </w:r>
      <w:r w:rsidR="004B63E5" w:rsidRPr="00366942">
        <w:rPr>
          <w:lang w:val="en-CA"/>
        </w:rPr>
        <w:t xml:space="preserve">In </w:t>
      </w:r>
      <w:r w:rsidR="00042150" w:rsidRPr="00366942">
        <w:rPr>
          <w:lang w:val="en-CA"/>
        </w:rPr>
        <w:t>her</w:t>
      </w:r>
      <w:r w:rsidR="004B63E5" w:rsidRPr="00366942">
        <w:rPr>
          <w:lang w:val="en-CA"/>
        </w:rPr>
        <w:t xml:space="preserve"> testimony</w:t>
      </w:r>
      <w:r w:rsidRPr="00366942">
        <w:rPr>
          <w:lang w:val="en-CA"/>
        </w:rPr>
        <w:t xml:space="preserve">, </w:t>
      </w:r>
      <w:r w:rsidR="004B63E5" w:rsidRPr="00366942">
        <w:rPr>
          <w:lang w:val="en-CA"/>
        </w:rPr>
        <w:t>Dr.</w:t>
      </w:r>
      <w:r w:rsidRPr="00366942">
        <w:rPr>
          <w:lang w:val="en-CA"/>
        </w:rPr>
        <w:t xml:space="preserve"> Lévesque </w:t>
      </w:r>
      <w:r w:rsidR="004B63E5" w:rsidRPr="00366942">
        <w:rPr>
          <w:lang w:val="en-CA"/>
        </w:rPr>
        <w:t xml:space="preserve">noted </w:t>
      </w:r>
      <w:r w:rsidR="00042150" w:rsidRPr="00366942">
        <w:rPr>
          <w:lang w:val="en-CA"/>
        </w:rPr>
        <w:t>that there may also be regional differences in access to abortion, mainly between remote regions and large urban centres</w:t>
      </w:r>
      <w:r w:rsidRPr="00366942">
        <w:rPr>
          <w:lang w:val="en-CA"/>
        </w:rPr>
        <w:t xml:space="preserve"> (</w:t>
      </w:r>
      <w:r w:rsidRPr="00366942">
        <w:rPr>
          <w:i/>
          <w:iCs/>
          <w:lang w:val="en-CA"/>
        </w:rPr>
        <w:t>id.</w:t>
      </w:r>
      <w:r w:rsidRPr="00366942">
        <w:rPr>
          <w:lang w:val="en-CA"/>
        </w:rPr>
        <w:t xml:space="preserve">, </w:t>
      </w:r>
      <w:r w:rsidR="004B63E5" w:rsidRPr="00366942">
        <w:rPr>
          <w:lang w:val="en-CA"/>
        </w:rPr>
        <w:t>at p</w:t>
      </w:r>
      <w:r w:rsidRPr="00366942">
        <w:rPr>
          <w:lang w:val="en-CA"/>
        </w:rPr>
        <w:t>p. 61-63).</w:t>
      </w:r>
    </w:p>
  </w:footnote>
  <w:footnote w:id="78">
    <w:p w14:paraId="4A865D42" w14:textId="613A821D" w:rsidR="00961A50" w:rsidRPr="00366942" w:rsidRDefault="00961A50" w:rsidP="00961A50">
      <w:pPr>
        <w:pStyle w:val="Notedebasdepage"/>
      </w:pPr>
      <w:r w:rsidRPr="00366942">
        <w:rPr>
          <w:rStyle w:val="Appelnotedebasdep"/>
        </w:rPr>
        <w:footnoteRef/>
      </w:r>
      <w:r w:rsidRPr="00366942">
        <w:t xml:space="preserve"> </w:t>
      </w:r>
      <w:r w:rsidRPr="00366942">
        <w:tab/>
        <w:t xml:space="preserve">Sylvie Lévesque, </w:t>
      </w:r>
      <w:r w:rsidR="00836541" w:rsidRPr="00366942">
        <w:t>“</w:t>
      </w:r>
      <w:r w:rsidRPr="00366942">
        <w:t>L’accès à l’avortement : quels enjeux pour le bien-être des femmes?</w:t>
      </w:r>
      <w:r w:rsidR="00836541" w:rsidRPr="00366942">
        <w:t>”</w:t>
      </w:r>
      <w:r w:rsidRPr="00366942">
        <w:t xml:space="preserve">, </w:t>
      </w:r>
      <w:r w:rsidR="00836541" w:rsidRPr="00366942">
        <w:t>expert report</w:t>
      </w:r>
      <w:r w:rsidRPr="00366942">
        <w:t xml:space="preserve">, </w:t>
      </w:r>
      <w:r w:rsidR="00836541" w:rsidRPr="00366942">
        <w:t>May 15,</w:t>
      </w:r>
      <w:r w:rsidRPr="00366942">
        <w:t xml:space="preserve"> 2019, </w:t>
      </w:r>
      <w:r w:rsidR="00836541" w:rsidRPr="00366942">
        <w:t>Exhibit</w:t>
      </w:r>
      <w:r w:rsidRPr="00366942">
        <w:t xml:space="preserve"> P-9 [</w:t>
      </w:r>
      <w:r w:rsidR="00836541" w:rsidRPr="00366942">
        <w:t>“</w:t>
      </w:r>
      <w:r w:rsidRPr="00366942">
        <w:t>Lévesque</w:t>
      </w:r>
      <w:r w:rsidR="00836541" w:rsidRPr="00366942">
        <w:t xml:space="preserve"> Report”</w:t>
      </w:r>
      <w:r w:rsidRPr="00366942">
        <w:t xml:space="preserve">], </w:t>
      </w:r>
      <w:r w:rsidR="00836541" w:rsidRPr="00366942">
        <w:t xml:space="preserve">at </w:t>
      </w:r>
      <w:r w:rsidRPr="00366942">
        <w:t>p. 10.</w:t>
      </w:r>
    </w:p>
  </w:footnote>
  <w:footnote w:id="79">
    <w:p w14:paraId="1FB484B8" w14:textId="4F7BA30F"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836541" w:rsidRPr="00366942">
        <w:rPr>
          <w:lang w:val="en-CA"/>
        </w:rPr>
        <w:t>The adjective “free”</w:t>
      </w:r>
      <w:r w:rsidRPr="00366942">
        <w:rPr>
          <w:lang w:val="en-CA"/>
        </w:rPr>
        <w:t xml:space="preserve"> </w:t>
      </w:r>
      <w:r w:rsidR="00836541" w:rsidRPr="00366942">
        <w:rPr>
          <w:lang w:val="en-CA"/>
        </w:rPr>
        <w:t xml:space="preserve">is used here to signify that a </w:t>
      </w:r>
      <w:r w:rsidR="00B67CC1" w:rsidRPr="00366942">
        <w:rPr>
          <w:lang w:val="en-CA"/>
        </w:rPr>
        <w:t>woman</w:t>
      </w:r>
      <w:r w:rsidR="00836541" w:rsidRPr="00366942">
        <w:rPr>
          <w:lang w:val="en-CA"/>
        </w:rPr>
        <w:t xml:space="preserve"> who wishes to interrupt her pregnancy will not have to pay the cost of the intervention out of pocket, </w:t>
      </w:r>
      <w:r w:rsidR="00BD473A" w:rsidRPr="00366942">
        <w:rPr>
          <w:lang w:val="en-CA"/>
        </w:rPr>
        <w:t>althou</w:t>
      </w:r>
      <w:r w:rsidR="003E1B98" w:rsidRPr="00366942">
        <w:rPr>
          <w:lang w:val="en-CA"/>
        </w:rPr>
        <w:t>gh she does help fund the</w:t>
      </w:r>
      <w:r w:rsidR="00836541" w:rsidRPr="00366942">
        <w:rPr>
          <w:lang w:val="en-CA"/>
        </w:rPr>
        <w:t xml:space="preserve"> </w:t>
      </w:r>
      <w:r w:rsidR="003E1B98" w:rsidRPr="00366942">
        <w:rPr>
          <w:lang w:val="en-CA"/>
        </w:rPr>
        <w:t xml:space="preserve">intervention </w:t>
      </w:r>
      <w:r w:rsidR="00836541" w:rsidRPr="00366942">
        <w:rPr>
          <w:lang w:val="en-CA"/>
        </w:rPr>
        <w:t xml:space="preserve">through her tax contributions, as any person insured under the </w:t>
      </w:r>
      <w:r w:rsidR="00836541" w:rsidRPr="00366942">
        <w:rPr>
          <w:i/>
          <w:iCs/>
          <w:lang w:val="en-CA"/>
        </w:rPr>
        <w:t>HIA</w:t>
      </w:r>
      <w:r w:rsidR="00836541" w:rsidRPr="00366942">
        <w:rPr>
          <w:lang w:val="en-CA"/>
        </w:rPr>
        <w:t xml:space="preserve">, </w:t>
      </w:r>
      <w:r w:rsidR="000A5D0B" w:rsidRPr="00366942">
        <w:rPr>
          <w:lang w:val="en-CA"/>
        </w:rPr>
        <w:t>such</w:t>
      </w:r>
      <w:r w:rsidR="00836541" w:rsidRPr="00366942">
        <w:rPr>
          <w:lang w:val="en-CA"/>
        </w:rPr>
        <w:t xml:space="preserve"> contributions supporting the health system and the health insurance </w:t>
      </w:r>
      <w:r w:rsidR="00BD473A" w:rsidRPr="00366942">
        <w:rPr>
          <w:lang w:val="en-CA"/>
        </w:rPr>
        <w:t>scheme</w:t>
      </w:r>
      <w:r w:rsidR="00836541" w:rsidRPr="00366942">
        <w:rPr>
          <w:lang w:val="en-CA"/>
        </w:rPr>
        <w:t xml:space="preserve"> as a whole</w:t>
      </w:r>
      <w:r w:rsidRPr="00366942">
        <w:rPr>
          <w:lang w:val="en-CA"/>
        </w:rPr>
        <w:t>.</w:t>
      </w:r>
    </w:p>
  </w:footnote>
  <w:footnote w:id="80">
    <w:p w14:paraId="6B545537" w14:textId="4B55C20C"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836541" w:rsidRPr="00366942">
        <w:rPr>
          <w:lang w:val="en-CA"/>
        </w:rPr>
        <w:t>There appear to be exceptions to th</w:t>
      </w:r>
      <w:r w:rsidR="003E1B98" w:rsidRPr="00366942">
        <w:rPr>
          <w:lang w:val="en-CA"/>
        </w:rPr>
        <w:t>at</w:t>
      </w:r>
      <w:r w:rsidR="00836541" w:rsidRPr="00366942">
        <w:rPr>
          <w:lang w:val="en-CA"/>
        </w:rPr>
        <w:t xml:space="preserve"> statement, notably in Prince Edward Island and New Brunswick, where </w:t>
      </w:r>
      <w:r w:rsidR="003E1B98" w:rsidRPr="00366942">
        <w:rPr>
          <w:lang w:val="en-CA"/>
        </w:rPr>
        <w:t xml:space="preserve">there is limited availability to </w:t>
      </w:r>
      <w:r w:rsidR="00836541" w:rsidRPr="00366942">
        <w:rPr>
          <w:lang w:val="en-CA"/>
        </w:rPr>
        <w:t>VTP</w:t>
      </w:r>
      <w:r w:rsidRPr="00366942">
        <w:rPr>
          <w:lang w:val="en-CA"/>
        </w:rPr>
        <w:t xml:space="preserve">, </w:t>
      </w:r>
      <w:r w:rsidR="004D00B2" w:rsidRPr="00366942">
        <w:rPr>
          <w:lang w:val="en-CA"/>
        </w:rPr>
        <w:t>and this procedure</w:t>
      </w:r>
      <w:r w:rsidR="00836541" w:rsidRPr="00366942">
        <w:rPr>
          <w:lang w:val="en-CA"/>
        </w:rPr>
        <w:t xml:space="preserve"> is </w:t>
      </w:r>
      <w:r w:rsidR="000A5D0B" w:rsidRPr="00366942">
        <w:rPr>
          <w:lang w:val="en-CA"/>
        </w:rPr>
        <w:t>governe</w:t>
      </w:r>
      <w:r w:rsidR="00836541" w:rsidRPr="00366942">
        <w:rPr>
          <w:lang w:val="en-CA"/>
        </w:rPr>
        <w:t>d in a way that restricts access</w:t>
      </w:r>
      <w:r w:rsidR="00245D27" w:rsidRPr="00366942">
        <w:rPr>
          <w:lang w:val="en-CA"/>
        </w:rPr>
        <w:t xml:space="preserve"> (although New Brunswick's rules have apparently been relaxed lately)</w:t>
      </w:r>
      <w:r w:rsidRPr="00366942">
        <w:rPr>
          <w:lang w:val="en-CA"/>
        </w:rPr>
        <w:t xml:space="preserve">. </w:t>
      </w:r>
      <w:r w:rsidR="003E1B98" w:rsidRPr="00366942">
        <w:rPr>
          <w:lang w:val="en-CA"/>
        </w:rPr>
        <w:t>But t</w:t>
      </w:r>
      <w:r w:rsidR="00836541" w:rsidRPr="00366942">
        <w:rPr>
          <w:lang w:val="en-CA"/>
        </w:rPr>
        <w:t>his</w:t>
      </w:r>
      <w:r w:rsidR="000A5D0B" w:rsidRPr="00366942">
        <w:rPr>
          <w:lang w:val="en-CA"/>
        </w:rPr>
        <w:t xml:space="preserve"> </w:t>
      </w:r>
      <w:r w:rsidR="003E1B98" w:rsidRPr="00366942">
        <w:rPr>
          <w:lang w:val="en-CA"/>
        </w:rPr>
        <w:t>is</w:t>
      </w:r>
      <w:r w:rsidR="000A5D0B" w:rsidRPr="00366942">
        <w:rPr>
          <w:lang w:val="en-CA"/>
        </w:rPr>
        <w:t xml:space="preserve"> not </w:t>
      </w:r>
      <w:r w:rsidR="003E1B98" w:rsidRPr="00366942">
        <w:rPr>
          <w:lang w:val="en-CA"/>
        </w:rPr>
        <w:t>relevant to</w:t>
      </w:r>
      <w:r w:rsidR="000A5D0B" w:rsidRPr="00366942">
        <w:rPr>
          <w:lang w:val="en-CA"/>
        </w:rPr>
        <w:t xml:space="preserve"> the </w:t>
      </w:r>
      <w:r w:rsidR="003E1B98" w:rsidRPr="00366942">
        <w:rPr>
          <w:lang w:val="en-CA"/>
        </w:rPr>
        <w:t>debate</w:t>
      </w:r>
      <w:r w:rsidR="000A5D0B" w:rsidRPr="00366942">
        <w:rPr>
          <w:lang w:val="en-CA"/>
        </w:rPr>
        <w:t xml:space="preserve"> here</w:t>
      </w:r>
      <w:r w:rsidRPr="00366942">
        <w:rPr>
          <w:lang w:val="en-CA"/>
        </w:rPr>
        <w:t xml:space="preserve">. </w:t>
      </w:r>
      <w:r w:rsidR="000A5D0B" w:rsidRPr="00366942">
        <w:rPr>
          <w:lang w:val="en-CA"/>
        </w:rPr>
        <w:t xml:space="preserve">See, </w:t>
      </w:r>
      <w:r w:rsidR="000A5D0B" w:rsidRPr="00366942">
        <w:rPr>
          <w:i/>
          <w:iCs/>
          <w:lang w:val="en-CA"/>
        </w:rPr>
        <w:t>inter alia</w:t>
      </w:r>
      <w:r w:rsidRPr="00366942">
        <w:rPr>
          <w:lang w:val="en-CA"/>
        </w:rPr>
        <w:t xml:space="preserve">: Rachael Johnstone </w:t>
      </w:r>
      <w:r w:rsidR="000A5D0B" w:rsidRPr="00366942">
        <w:rPr>
          <w:lang w:val="en-CA"/>
        </w:rPr>
        <w:t>and</w:t>
      </w:r>
      <w:r w:rsidRPr="00366942">
        <w:rPr>
          <w:lang w:val="en-CA"/>
        </w:rPr>
        <w:t xml:space="preserve"> Emmett Macfarlane, </w:t>
      </w:r>
      <w:r w:rsidR="000A5D0B" w:rsidRPr="00366942">
        <w:rPr>
          <w:lang w:val="en-CA"/>
        </w:rPr>
        <w:t>“</w:t>
      </w:r>
      <w:r w:rsidRPr="00366942">
        <w:rPr>
          <w:lang w:val="en-CA"/>
        </w:rPr>
        <w:t>Public Policy, Rights and Abortion Access in Canada</w:t>
      </w:r>
      <w:r w:rsidR="000A5D0B" w:rsidRPr="00366942">
        <w:rPr>
          <w:lang w:val="en-CA"/>
        </w:rPr>
        <w:t>”</w:t>
      </w:r>
      <w:r w:rsidRPr="00366942">
        <w:rPr>
          <w:lang w:val="en-CA"/>
        </w:rPr>
        <w:t>, (2015) 51 </w:t>
      </w:r>
      <w:r w:rsidRPr="00366942">
        <w:rPr>
          <w:i/>
          <w:iCs/>
          <w:lang w:val="en-CA"/>
        </w:rPr>
        <w:t>International Journal of Canadian Studies</w:t>
      </w:r>
      <w:r w:rsidRPr="00366942">
        <w:rPr>
          <w:lang w:val="en-CA"/>
        </w:rPr>
        <w:t xml:space="preserve"> 97, </w:t>
      </w:r>
      <w:r w:rsidR="000A5D0B" w:rsidRPr="00366942">
        <w:rPr>
          <w:lang w:val="en-CA"/>
        </w:rPr>
        <w:t>notably at pp.</w:t>
      </w:r>
      <w:r w:rsidRPr="00366942">
        <w:rPr>
          <w:lang w:val="en-CA"/>
        </w:rPr>
        <w:t xml:space="preserve"> 108-109; Louise Langevin, </w:t>
      </w:r>
      <w:r w:rsidRPr="00366942">
        <w:rPr>
          <w:i/>
          <w:iCs/>
          <w:lang w:val="en-CA"/>
        </w:rPr>
        <w:t>Le droit à l’autonomie procréative des femmes : entre liberté et contrainte</w:t>
      </w:r>
      <w:r w:rsidRPr="00366942">
        <w:rPr>
          <w:lang w:val="en-CA"/>
        </w:rPr>
        <w:t xml:space="preserve">, Montréal, Éditions Yvon Blais, 2020, </w:t>
      </w:r>
      <w:r w:rsidR="000A5D0B" w:rsidRPr="00366942">
        <w:rPr>
          <w:lang w:val="en-CA"/>
        </w:rPr>
        <w:t xml:space="preserve">at </w:t>
      </w:r>
      <w:r w:rsidRPr="00366942">
        <w:rPr>
          <w:lang w:val="en-CA"/>
        </w:rPr>
        <w:t>para. 67 [</w:t>
      </w:r>
      <w:r w:rsidR="000A5D0B" w:rsidRPr="00366942">
        <w:rPr>
          <w:lang w:val="en-CA"/>
        </w:rPr>
        <w:t>appellant’s Book of Authorities</w:t>
      </w:r>
      <w:r w:rsidRPr="00366942">
        <w:rPr>
          <w:lang w:val="en-CA"/>
        </w:rPr>
        <w:t xml:space="preserve">, </w:t>
      </w:r>
      <w:r w:rsidR="000A5D0B" w:rsidRPr="00366942">
        <w:rPr>
          <w:lang w:val="en-CA"/>
        </w:rPr>
        <w:t>Tab</w:t>
      </w:r>
      <w:r w:rsidRPr="00366942">
        <w:rPr>
          <w:lang w:val="en-CA"/>
        </w:rPr>
        <w:t xml:space="preserve"> 44]. </w:t>
      </w:r>
      <w:r w:rsidR="000A5D0B" w:rsidRPr="00366942">
        <w:rPr>
          <w:lang w:val="en-CA"/>
        </w:rPr>
        <w:t>See also</w:t>
      </w:r>
      <w:r w:rsidRPr="00366942">
        <w:rPr>
          <w:lang w:val="en-CA"/>
        </w:rPr>
        <w:t>: Abortion Services | Government of Prince Edward Island (https://www.princeedwardisland.ca/en/information/health-pei/abortion-services); (</w:t>
      </w:r>
      <w:r w:rsidR="00BB4C6D" w:rsidRPr="00366942">
        <w:rPr>
          <w:lang w:val="en-CA"/>
        </w:rPr>
        <w:t>Abortion - Vitalité | Francophone leader serving its communities (https://vitalitenb.ca/en/services-and-locations/service-directory/abortion</w:t>
      </w:r>
      <w:r w:rsidRPr="00366942">
        <w:rPr>
          <w:lang w:val="en-CA"/>
        </w:rPr>
        <w:t>).</w:t>
      </w:r>
    </w:p>
    <w:p w14:paraId="1D561F09" w14:textId="07DFC92D" w:rsidR="00961A50" w:rsidRPr="00366942" w:rsidRDefault="00961A50" w:rsidP="00961A50">
      <w:pPr>
        <w:pStyle w:val="Notedebasdepage"/>
        <w:rPr>
          <w:lang w:val="en-CA"/>
        </w:rPr>
      </w:pPr>
      <w:r w:rsidRPr="00366942">
        <w:rPr>
          <w:lang w:val="en-CA"/>
        </w:rPr>
        <w:tab/>
      </w:r>
      <w:r w:rsidR="0073386F" w:rsidRPr="00366942">
        <w:rPr>
          <w:lang w:val="en-CA"/>
        </w:rPr>
        <w:t>We could also talk about access to VTP or reproductive health</w:t>
      </w:r>
      <w:r w:rsidR="00FB1660" w:rsidRPr="00366942">
        <w:rPr>
          <w:lang w:val="en-CA"/>
        </w:rPr>
        <w:t xml:space="preserve"> </w:t>
      </w:r>
      <w:r w:rsidR="0073386F" w:rsidRPr="00366942">
        <w:rPr>
          <w:lang w:val="en-CA"/>
        </w:rPr>
        <w:t>care generally in</w:t>
      </w:r>
      <w:r w:rsidR="00C26175" w:rsidRPr="00366942">
        <w:rPr>
          <w:lang w:val="en-CA"/>
        </w:rPr>
        <w:t xml:space="preserve"> </w:t>
      </w:r>
      <w:r w:rsidR="0073386F" w:rsidRPr="00366942">
        <w:rPr>
          <w:lang w:val="en-CA"/>
        </w:rPr>
        <w:t xml:space="preserve">remote regions, but, again, this is not what is at issue here, </w:t>
      </w:r>
      <w:r w:rsidR="00FB1660" w:rsidRPr="00366942">
        <w:rPr>
          <w:lang w:val="en-CA"/>
        </w:rPr>
        <w:t xml:space="preserve">given that </w:t>
      </w:r>
      <w:r w:rsidR="0073386F" w:rsidRPr="00366942">
        <w:rPr>
          <w:lang w:val="en-CA"/>
        </w:rPr>
        <w:t xml:space="preserve">the appellant’s situation does not engage the availability of </w:t>
      </w:r>
      <w:r w:rsidR="00FB1660" w:rsidRPr="00366942">
        <w:rPr>
          <w:lang w:val="en-CA"/>
        </w:rPr>
        <w:t>termination of pregnancy</w:t>
      </w:r>
      <w:r w:rsidR="003E1B98" w:rsidRPr="00366942">
        <w:rPr>
          <w:lang w:val="en-CA"/>
        </w:rPr>
        <w:t xml:space="preserve"> </w:t>
      </w:r>
      <w:r w:rsidR="0073386F" w:rsidRPr="00366942">
        <w:rPr>
          <w:lang w:val="en-CA"/>
        </w:rPr>
        <w:t>services</w:t>
      </w:r>
      <w:r w:rsidRPr="00366942">
        <w:rPr>
          <w:lang w:val="en-CA"/>
        </w:rPr>
        <w:t>.</w:t>
      </w:r>
    </w:p>
  </w:footnote>
  <w:footnote w:id="81">
    <w:p w14:paraId="0BF16015" w14:textId="1003E413"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t>Lévesque</w:t>
      </w:r>
      <w:r w:rsidR="00D01D53" w:rsidRPr="00366942">
        <w:rPr>
          <w:lang w:val="en-CA"/>
        </w:rPr>
        <w:t xml:space="preserve"> Report</w:t>
      </w:r>
      <w:r w:rsidRPr="00366942">
        <w:rPr>
          <w:lang w:val="en-CA"/>
        </w:rPr>
        <w:t xml:space="preserve">, </w:t>
      </w:r>
      <w:r w:rsidR="00D01D53" w:rsidRPr="00366942">
        <w:rPr>
          <w:lang w:val="en-CA"/>
        </w:rPr>
        <w:t>at p</w:t>
      </w:r>
      <w:r w:rsidRPr="00366942">
        <w:rPr>
          <w:lang w:val="en-CA"/>
        </w:rPr>
        <w:t>p. 18-19.</w:t>
      </w:r>
    </w:p>
  </w:footnote>
  <w:footnote w:id="82">
    <w:p w14:paraId="45FFC7DE" w14:textId="0846DAE8"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80362C" w:rsidRPr="00366942">
        <w:rPr>
          <w:lang w:val="en-CA"/>
        </w:rPr>
        <w:t>T</w:t>
      </w:r>
      <w:r w:rsidR="00D01D53" w:rsidRPr="00366942">
        <w:rPr>
          <w:lang w:val="en-CA"/>
        </w:rPr>
        <w:t>his</w:t>
      </w:r>
      <w:r w:rsidR="0080362C" w:rsidRPr="00366942">
        <w:rPr>
          <w:lang w:val="en-CA"/>
        </w:rPr>
        <w:t xml:space="preserve"> appears</w:t>
      </w:r>
      <w:r w:rsidR="00D01D53" w:rsidRPr="00366942">
        <w:rPr>
          <w:lang w:val="en-CA"/>
        </w:rPr>
        <w:t xml:space="preserve"> from her testimony before the</w:t>
      </w:r>
      <w:r w:rsidRPr="00366942">
        <w:rPr>
          <w:lang w:val="en-CA"/>
        </w:rPr>
        <w:t xml:space="preserve"> TAQ, </w:t>
      </w:r>
      <w:r w:rsidR="00D01D53" w:rsidRPr="00366942">
        <w:rPr>
          <w:lang w:val="en-CA"/>
        </w:rPr>
        <w:t>but also from her December 15, 201</w:t>
      </w:r>
      <w:r w:rsidR="00594BEE" w:rsidRPr="00366942">
        <w:rPr>
          <w:lang w:val="en-CA"/>
        </w:rPr>
        <w:t>6</w:t>
      </w:r>
      <w:r w:rsidR="00D01D53" w:rsidRPr="00366942">
        <w:rPr>
          <w:lang w:val="en-CA"/>
        </w:rPr>
        <w:t xml:space="preserve"> letter to the Board</w:t>
      </w:r>
      <w:r w:rsidR="001C43BE" w:rsidRPr="00366942">
        <w:rPr>
          <w:lang w:val="en-CA"/>
        </w:rPr>
        <w:t>, when she submitted her initial reimbursement application</w:t>
      </w:r>
      <w:r w:rsidRPr="00366942">
        <w:rPr>
          <w:lang w:val="en-CA"/>
        </w:rPr>
        <w:t xml:space="preserve"> (</w:t>
      </w:r>
      <w:r w:rsidR="00D01D53" w:rsidRPr="00366942">
        <w:rPr>
          <w:lang w:val="en-CA"/>
        </w:rPr>
        <w:t>Exhibit</w:t>
      </w:r>
      <w:r w:rsidRPr="00366942">
        <w:rPr>
          <w:lang w:val="en-CA"/>
        </w:rPr>
        <w:t xml:space="preserve"> P-3, </w:t>
      </w:r>
      <w:r w:rsidRPr="00366942">
        <w:rPr>
          <w:i/>
          <w:iCs/>
          <w:lang w:val="en-CA"/>
        </w:rPr>
        <w:t>Applicant’s Application for Reimbursement, dated December 15, 2016</w:t>
      </w:r>
      <w:r w:rsidRPr="00366942">
        <w:rPr>
          <w:lang w:val="en-CA"/>
        </w:rPr>
        <w:t xml:space="preserve">, </w:t>
      </w:r>
      <w:r w:rsidR="00D01D53" w:rsidRPr="00366942">
        <w:rPr>
          <w:lang w:val="en-CA"/>
        </w:rPr>
        <w:t>third page</w:t>
      </w:r>
      <w:r w:rsidRPr="00366942">
        <w:rPr>
          <w:lang w:val="en-CA"/>
        </w:rPr>
        <w:t>).</w:t>
      </w:r>
    </w:p>
  </w:footnote>
  <w:footnote w:id="83">
    <w:p w14:paraId="00A35902" w14:textId="2425BB2F" w:rsidR="00961A50" w:rsidRPr="00366942" w:rsidRDefault="00961A50" w:rsidP="00961A50">
      <w:pPr>
        <w:pStyle w:val="Notedebasdepage"/>
        <w:rPr>
          <w:lang w:val="en-CA"/>
        </w:rPr>
      </w:pPr>
      <w:r w:rsidRPr="00366942">
        <w:rPr>
          <w:rStyle w:val="Appelnotedebasdep"/>
          <w:lang w:val="en-CA"/>
        </w:rPr>
        <w:footnoteRef/>
      </w:r>
      <w:r w:rsidRPr="00366942">
        <w:t xml:space="preserve"> </w:t>
      </w:r>
      <w:r w:rsidRPr="00366942">
        <w:tab/>
      </w:r>
      <w:r w:rsidRPr="00366942">
        <w:rPr>
          <w:i/>
          <w:iCs/>
        </w:rPr>
        <w:t>A.P. c. Régie de l’assurance maladie du Québec</w:t>
      </w:r>
      <w:r w:rsidRPr="00366942">
        <w:t xml:space="preserve">, </w:t>
      </w:r>
      <w:r w:rsidR="00D01D53" w:rsidRPr="00366942">
        <w:rPr>
          <w:i/>
          <w:iCs/>
        </w:rPr>
        <w:t>supra</w:t>
      </w:r>
      <w:r w:rsidRPr="00366942">
        <w:t xml:space="preserve">, note </w:t>
      </w:r>
      <w:r w:rsidRPr="00366942">
        <w:rPr>
          <w:lang w:val="en-CA"/>
        </w:rPr>
        <w:fldChar w:fldCharType="begin"/>
      </w:r>
      <w:r w:rsidRPr="00366942">
        <w:instrText xml:space="preserve"> NOTEREF _Ref173147308 \h </w:instrText>
      </w:r>
      <w:r w:rsidRPr="00366942">
        <w:rPr>
          <w:lang w:val="en-CA"/>
        </w:rPr>
      </w:r>
      <w:r w:rsidRPr="00366942">
        <w:rPr>
          <w:lang w:val="en-CA"/>
        </w:rPr>
        <w:fldChar w:fldCharType="separate"/>
      </w:r>
      <w:r w:rsidR="001C6ED6">
        <w:t>6</w:t>
      </w:r>
      <w:r w:rsidRPr="00366942">
        <w:rPr>
          <w:lang w:val="en-CA"/>
        </w:rPr>
        <w:fldChar w:fldCharType="end"/>
      </w:r>
      <w:r w:rsidRPr="00366942">
        <w:t xml:space="preserve">, </w:t>
      </w:r>
      <w:r w:rsidR="00D01D53" w:rsidRPr="00366942">
        <w:t xml:space="preserve">at </w:t>
      </w:r>
      <w:r w:rsidRPr="00366942">
        <w:t xml:space="preserve">para. </w:t>
      </w:r>
      <w:r w:rsidRPr="00366942">
        <w:rPr>
          <w:lang w:val="en-CA"/>
        </w:rPr>
        <w:t>96 (</w:t>
      </w:r>
      <w:r w:rsidR="00D01D53" w:rsidRPr="00366942">
        <w:rPr>
          <w:lang w:val="en-CA"/>
        </w:rPr>
        <w:t>[</w:t>
      </w:r>
      <w:r w:rsidR="00D01D53" w:rsidRPr="00366942">
        <w:rPr>
          <w:smallCaps/>
          <w:lang w:val="en-CA"/>
        </w:rPr>
        <w:t>translation</w:t>
      </w:r>
      <w:r w:rsidR="00D01D53" w:rsidRPr="00366942">
        <w:rPr>
          <w:lang w:val="en-CA"/>
        </w:rPr>
        <w:t xml:space="preserve">] </w:t>
      </w:r>
      <w:r w:rsidR="00594BEE" w:rsidRPr="00366942">
        <w:rPr>
          <w:lang w:val="en-CA"/>
        </w:rPr>
        <w:t>“</w:t>
      </w:r>
      <w:r w:rsidR="00594BEE" w:rsidRPr="00366942">
        <w:rPr>
          <w:rFonts w:eastAsia="Calibri"/>
          <w:lang w:val="en-CA"/>
        </w:rPr>
        <w:t>It</w:t>
      </w:r>
      <w:r w:rsidRPr="00366942">
        <w:rPr>
          <w:rFonts w:eastAsia="Calibri"/>
          <w:lang w:val="en-CA"/>
        </w:rPr>
        <w:t xml:space="preserve"> [</w:t>
      </w:r>
      <w:r w:rsidR="00594BEE" w:rsidRPr="00366942">
        <w:rPr>
          <w:rFonts w:eastAsia="Calibri"/>
          <w:lang w:val="en-CA"/>
        </w:rPr>
        <w:t>the</w:t>
      </w:r>
      <w:r w:rsidRPr="00366942">
        <w:rPr>
          <w:rFonts w:eastAsia="Calibri"/>
          <w:lang w:val="en-CA"/>
        </w:rPr>
        <w:t xml:space="preserve"> Lévesque</w:t>
      </w:r>
      <w:r w:rsidR="00594BEE" w:rsidRPr="00366942">
        <w:rPr>
          <w:rFonts w:eastAsia="Calibri"/>
          <w:lang w:val="en-CA"/>
        </w:rPr>
        <w:t xml:space="preserve"> Report</w:t>
      </w:r>
      <w:r w:rsidRPr="00366942">
        <w:rPr>
          <w:rFonts w:eastAsia="Calibri"/>
          <w:lang w:val="en-CA"/>
        </w:rPr>
        <w:t xml:space="preserve">] </w:t>
      </w:r>
      <w:r w:rsidR="00594BEE" w:rsidRPr="00366942">
        <w:rPr>
          <w:rFonts w:eastAsia="Calibri"/>
          <w:lang w:val="en-CA"/>
        </w:rPr>
        <w:t>shows the impact of costs on access to abortion, but that impact would be the same, in the Tribunal’s view,</w:t>
      </w:r>
      <w:r w:rsidRPr="00366942">
        <w:rPr>
          <w:rFonts w:eastAsia="Calibri"/>
          <w:lang w:val="en-CA"/>
        </w:rPr>
        <w:t xml:space="preserve"> </w:t>
      </w:r>
      <w:r w:rsidR="00594BEE" w:rsidRPr="00366942">
        <w:rPr>
          <w:rFonts w:eastAsia="Calibri"/>
          <w:lang w:val="en-CA"/>
        </w:rPr>
        <w:t>for any type of medical care</w:t>
      </w:r>
      <w:r w:rsidRPr="00366942">
        <w:rPr>
          <w:rFonts w:eastAsia="Calibri"/>
          <w:lang w:val="en-CA"/>
        </w:rPr>
        <w:t xml:space="preserve">. </w:t>
      </w:r>
      <w:r w:rsidR="00594BEE" w:rsidRPr="00366942">
        <w:rPr>
          <w:rFonts w:eastAsia="Calibri"/>
          <w:lang w:val="en-CA"/>
        </w:rPr>
        <w:t>It is not peculiar to abortion.”</w:t>
      </w:r>
      <w:r w:rsidRPr="00366942">
        <w:rPr>
          <w:rFonts w:eastAsia="Calibri"/>
          <w:lang w:val="en-CA"/>
        </w:rPr>
        <w:t>)</w:t>
      </w:r>
    </w:p>
  </w:footnote>
  <w:footnote w:id="84">
    <w:p w14:paraId="159A4E89" w14:textId="680F7DD0"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t>Lévesque</w:t>
      </w:r>
      <w:r w:rsidR="00A9225A" w:rsidRPr="00366942">
        <w:rPr>
          <w:lang w:val="en-CA"/>
        </w:rPr>
        <w:t xml:space="preserve"> Report</w:t>
      </w:r>
      <w:r w:rsidRPr="00366942">
        <w:rPr>
          <w:lang w:val="en-CA"/>
        </w:rPr>
        <w:t xml:space="preserve">, </w:t>
      </w:r>
      <w:r w:rsidR="00A9225A" w:rsidRPr="00366942">
        <w:rPr>
          <w:lang w:val="en-CA"/>
        </w:rPr>
        <w:t xml:space="preserve">at </w:t>
      </w:r>
      <w:r w:rsidRPr="00366942">
        <w:rPr>
          <w:lang w:val="en-CA"/>
        </w:rPr>
        <w:t>p. 20.</w:t>
      </w:r>
    </w:p>
  </w:footnote>
  <w:footnote w:id="85">
    <w:p w14:paraId="5BC3A913" w14:textId="58820F52"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A9225A" w:rsidRPr="00366942">
        <w:rPr>
          <w:lang w:val="en-CA"/>
        </w:rPr>
        <w:t>Lévesque Report</w:t>
      </w:r>
      <w:r w:rsidRPr="00366942">
        <w:rPr>
          <w:lang w:val="en-CA"/>
        </w:rPr>
        <w:t>,</w:t>
      </w:r>
      <w:r w:rsidR="00A9225A" w:rsidRPr="00366942">
        <w:rPr>
          <w:lang w:val="en-CA"/>
        </w:rPr>
        <w:t xml:space="preserve"> at</w:t>
      </w:r>
      <w:r w:rsidRPr="00366942">
        <w:rPr>
          <w:lang w:val="en-CA"/>
        </w:rPr>
        <w:t xml:space="preserve"> p. 24.</w:t>
      </w:r>
    </w:p>
  </w:footnote>
  <w:footnote w:id="86">
    <w:p w14:paraId="7C3A11EE" w14:textId="24B7634A" w:rsidR="00961A50" w:rsidRPr="00366942" w:rsidRDefault="00961A50" w:rsidP="00961A50">
      <w:pPr>
        <w:pStyle w:val="Notedebasdepage"/>
        <w:rPr>
          <w:i/>
          <w:iCs/>
          <w:lang w:val="en-CA"/>
        </w:rPr>
      </w:pPr>
      <w:r w:rsidRPr="00366942">
        <w:rPr>
          <w:rStyle w:val="Appelnotedebasdep"/>
          <w:lang w:val="en-CA"/>
        </w:rPr>
        <w:footnoteRef/>
      </w:r>
      <w:r w:rsidRPr="00366942">
        <w:rPr>
          <w:lang w:val="en-CA"/>
        </w:rPr>
        <w:t xml:space="preserve"> </w:t>
      </w:r>
      <w:r w:rsidRPr="00366942">
        <w:rPr>
          <w:lang w:val="en-CA"/>
        </w:rPr>
        <w:tab/>
      </w:r>
      <w:r w:rsidR="00C17E1D" w:rsidRPr="00366942">
        <w:rPr>
          <w:lang w:val="en-CA"/>
        </w:rPr>
        <w:t>See, generally</w:t>
      </w:r>
      <w:r w:rsidRPr="00366942">
        <w:rPr>
          <w:lang w:val="en-CA"/>
        </w:rPr>
        <w:t xml:space="preserve">: L. Langevin, </w:t>
      </w:r>
      <w:r w:rsidRPr="00366942">
        <w:rPr>
          <w:i/>
          <w:iCs/>
          <w:lang w:val="en-CA"/>
        </w:rPr>
        <w:t>Le droit à l’autonomie procréative des femmes : entre liberté et contrainte</w:t>
      </w:r>
      <w:r w:rsidRPr="00366942">
        <w:rPr>
          <w:lang w:val="en-CA"/>
        </w:rPr>
        <w:t xml:space="preserve">, </w:t>
      </w:r>
      <w:r w:rsidR="00C17E1D"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_Ref173407682 \h </w:instrText>
      </w:r>
      <w:r w:rsidRPr="00366942">
        <w:rPr>
          <w:lang w:val="en-CA"/>
        </w:rPr>
      </w:r>
      <w:r w:rsidRPr="00366942">
        <w:rPr>
          <w:lang w:val="en-CA"/>
        </w:rPr>
        <w:fldChar w:fldCharType="separate"/>
      </w:r>
      <w:r w:rsidR="001C6ED6">
        <w:rPr>
          <w:lang w:val="en-CA"/>
        </w:rPr>
        <w:t>80</w:t>
      </w:r>
      <w:r w:rsidRPr="00366942">
        <w:rPr>
          <w:lang w:val="en-CA"/>
        </w:rPr>
        <w:fldChar w:fldCharType="end"/>
      </w:r>
      <w:r w:rsidRPr="00366942">
        <w:rPr>
          <w:lang w:val="en-CA"/>
        </w:rPr>
        <w:t xml:space="preserve">; Joanna N. Erdman, Vanessa Gruben </w:t>
      </w:r>
      <w:r w:rsidR="00C17E1D" w:rsidRPr="00366942">
        <w:rPr>
          <w:lang w:val="en-CA"/>
        </w:rPr>
        <w:t>and</w:t>
      </w:r>
      <w:r w:rsidRPr="00366942">
        <w:rPr>
          <w:lang w:val="en-CA"/>
        </w:rPr>
        <w:t xml:space="preserve"> Erin Nelson,</w:t>
      </w:r>
      <w:r w:rsidRPr="00366942">
        <w:rPr>
          <w:i/>
          <w:iCs/>
          <w:lang w:val="en-CA"/>
        </w:rPr>
        <w:t xml:space="preserve"> Canadian Health Law and Policty</w:t>
      </w:r>
      <w:r w:rsidRPr="00366942">
        <w:rPr>
          <w:lang w:val="en-CA"/>
        </w:rPr>
        <w:t>, 5</w:t>
      </w:r>
      <w:r w:rsidR="00C17E1D" w:rsidRPr="00366942">
        <w:rPr>
          <w:vertAlign w:val="superscript"/>
          <w:lang w:val="en-CA"/>
        </w:rPr>
        <w:t>th</w:t>
      </w:r>
      <w:r w:rsidR="00C17E1D" w:rsidRPr="00366942">
        <w:rPr>
          <w:lang w:val="en-CA"/>
        </w:rPr>
        <w:t xml:space="preserve"> e</w:t>
      </w:r>
      <w:r w:rsidRPr="00366942">
        <w:rPr>
          <w:lang w:val="en-CA"/>
        </w:rPr>
        <w:t>d., Toronto, Lexis Nexis, chap. 17 (</w:t>
      </w:r>
      <w:r w:rsidR="00C17E1D" w:rsidRPr="00366942">
        <w:rPr>
          <w:lang w:val="en-CA"/>
        </w:rPr>
        <w:t>“</w:t>
      </w:r>
      <w:r w:rsidRPr="00366942">
        <w:rPr>
          <w:lang w:val="en-CA"/>
        </w:rPr>
        <w:t>Regulating Reproduction</w:t>
      </w:r>
      <w:r w:rsidR="00C17E1D" w:rsidRPr="00366942">
        <w:rPr>
          <w:lang w:val="en-CA"/>
        </w:rPr>
        <w:t>”</w:t>
      </w:r>
      <w:r w:rsidRPr="00366942">
        <w:rPr>
          <w:lang w:val="en-CA"/>
        </w:rPr>
        <w:t xml:space="preserve">), </w:t>
      </w:r>
      <w:r w:rsidR="00C17E1D" w:rsidRPr="00366942">
        <w:rPr>
          <w:lang w:val="en-CA"/>
        </w:rPr>
        <w:t xml:space="preserve">at </w:t>
      </w:r>
      <w:r w:rsidRPr="00366942">
        <w:rPr>
          <w:lang w:val="en-CA"/>
        </w:rPr>
        <w:t>p</w:t>
      </w:r>
      <w:r w:rsidR="00C17E1D" w:rsidRPr="00366942">
        <w:rPr>
          <w:lang w:val="en-CA"/>
        </w:rPr>
        <w:t>p</w:t>
      </w:r>
      <w:r w:rsidRPr="00366942">
        <w:rPr>
          <w:lang w:val="en-CA"/>
        </w:rPr>
        <w:t>. 399 et s</w:t>
      </w:r>
      <w:r w:rsidR="00C17E1D" w:rsidRPr="00366942">
        <w:rPr>
          <w:lang w:val="en-CA"/>
        </w:rPr>
        <w:t>eq</w:t>
      </w:r>
      <w:r w:rsidRPr="00366942">
        <w:rPr>
          <w:lang w:val="en-CA"/>
        </w:rPr>
        <w:t>.</w:t>
      </w:r>
    </w:p>
  </w:footnote>
  <w:footnote w:id="87">
    <w:p w14:paraId="5ACEDFAE" w14:textId="42B4A996"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Auton (</w:t>
      </w:r>
      <w:r w:rsidR="00C17E1D" w:rsidRPr="00366942">
        <w:rPr>
          <w:i/>
          <w:iCs/>
          <w:lang w:val="en-CA"/>
        </w:rPr>
        <w:t>Guardian at litem of</w:t>
      </w:r>
      <w:r w:rsidRPr="00366942">
        <w:rPr>
          <w:i/>
          <w:iCs/>
          <w:lang w:val="en-CA"/>
        </w:rPr>
        <w:t xml:space="preserve">) </w:t>
      </w:r>
      <w:r w:rsidR="00C17E1D" w:rsidRPr="00366942">
        <w:rPr>
          <w:i/>
          <w:iCs/>
          <w:lang w:val="en-CA"/>
        </w:rPr>
        <w:t>v</w:t>
      </w:r>
      <w:r w:rsidRPr="00366942">
        <w:rPr>
          <w:i/>
          <w:iCs/>
          <w:lang w:val="en-CA"/>
        </w:rPr>
        <w:t xml:space="preserve">. </w:t>
      </w:r>
      <w:r w:rsidR="00C17E1D" w:rsidRPr="00366942">
        <w:rPr>
          <w:i/>
          <w:iCs/>
          <w:lang w:val="en-CA"/>
        </w:rPr>
        <w:t>British Columbia</w:t>
      </w:r>
      <w:r w:rsidRPr="00366942">
        <w:rPr>
          <w:lang w:val="en-CA"/>
        </w:rPr>
        <w:t xml:space="preserve"> </w:t>
      </w:r>
      <w:r w:rsidRPr="00366942">
        <w:rPr>
          <w:i/>
          <w:iCs/>
          <w:lang w:val="en-CA"/>
        </w:rPr>
        <w:t>(</w:t>
      </w:r>
      <w:r w:rsidR="00C17E1D" w:rsidRPr="00366942">
        <w:rPr>
          <w:i/>
          <w:iCs/>
          <w:lang w:val="en-CA"/>
        </w:rPr>
        <w:t>Attorney General</w:t>
      </w:r>
      <w:r w:rsidRPr="00366942">
        <w:rPr>
          <w:i/>
          <w:iCs/>
          <w:lang w:val="en-CA"/>
        </w:rPr>
        <w:t>)</w:t>
      </w:r>
      <w:r w:rsidRPr="00366942">
        <w:rPr>
          <w:lang w:val="en-CA"/>
        </w:rPr>
        <w:t xml:space="preserve">, 2004 </w:t>
      </w:r>
      <w:r w:rsidR="00C17E1D" w:rsidRPr="00366942">
        <w:rPr>
          <w:lang w:val="en-CA"/>
        </w:rPr>
        <w:t>SCC</w:t>
      </w:r>
      <w:r w:rsidRPr="00366942">
        <w:rPr>
          <w:lang w:val="en-CA"/>
        </w:rPr>
        <w:t xml:space="preserve"> 78, </w:t>
      </w:r>
      <w:r w:rsidR="00C17E1D" w:rsidRPr="00366942">
        <w:rPr>
          <w:lang w:val="en-CA"/>
        </w:rPr>
        <w:t xml:space="preserve">at </w:t>
      </w:r>
      <w:r w:rsidRPr="00366942">
        <w:rPr>
          <w:lang w:val="en-CA"/>
        </w:rPr>
        <w:t>par</w:t>
      </w:r>
      <w:r w:rsidR="00C17E1D" w:rsidRPr="00366942">
        <w:rPr>
          <w:lang w:val="en-CA"/>
        </w:rPr>
        <w:t>a</w:t>
      </w:r>
      <w:r w:rsidRPr="00366942">
        <w:rPr>
          <w:lang w:val="en-CA"/>
        </w:rPr>
        <w:t>. 27 [</w:t>
      </w:r>
      <w:r w:rsidR="00C17E1D" w:rsidRPr="00366942">
        <w:rPr>
          <w:lang w:val="en-CA"/>
        </w:rPr>
        <w:t>“</w:t>
      </w:r>
      <w:r w:rsidRPr="00366942">
        <w:rPr>
          <w:i/>
          <w:iCs/>
          <w:lang w:val="en-CA"/>
        </w:rPr>
        <w:t>Auton</w:t>
      </w:r>
      <w:r w:rsidR="00C17E1D" w:rsidRPr="00366942">
        <w:rPr>
          <w:i/>
          <w:iCs/>
          <w:lang w:val="en-CA"/>
        </w:rPr>
        <w:t>”</w:t>
      </w:r>
      <w:r w:rsidRPr="00366942">
        <w:rPr>
          <w:lang w:val="en-CA"/>
        </w:rPr>
        <w:t>].</w:t>
      </w:r>
    </w:p>
  </w:footnote>
  <w:footnote w:id="88">
    <w:p w14:paraId="4D67F8BE" w14:textId="114A270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C17E1D"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_Ref172657408 \h </w:instrText>
      </w:r>
      <w:r w:rsidRPr="00366942">
        <w:rPr>
          <w:lang w:val="en-CA"/>
        </w:rPr>
      </w:r>
      <w:r w:rsidRPr="00366942">
        <w:rPr>
          <w:lang w:val="en-CA"/>
        </w:rPr>
        <w:fldChar w:fldCharType="separate"/>
      </w:r>
      <w:r w:rsidR="001C6ED6">
        <w:rPr>
          <w:lang w:val="en-CA"/>
        </w:rPr>
        <w:t>68</w:t>
      </w:r>
      <w:r w:rsidRPr="00366942">
        <w:rPr>
          <w:lang w:val="en-CA"/>
        </w:rPr>
        <w:fldChar w:fldCharType="end"/>
      </w:r>
      <w:r w:rsidRPr="00366942">
        <w:rPr>
          <w:lang w:val="en-CA"/>
        </w:rPr>
        <w:t>.</w:t>
      </w:r>
    </w:p>
  </w:footnote>
  <w:footnote w:id="89">
    <w:p w14:paraId="28BE6565" w14:textId="2CA18310"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2018 </w:t>
      </w:r>
      <w:r w:rsidR="00C17E1D" w:rsidRPr="00366942">
        <w:rPr>
          <w:lang w:val="en-CA"/>
        </w:rPr>
        <w:t>SCC</w:t>
      </w:r>
      <w:r w:rsidRPr="00366942">
        <w:rPr>
          <w:lang w:val="en-CA"/>
        </w:rPr>
        <w:t xml:space="preserve"> 17.</w:t>
      </w:r>
    </w:p>
  </w:footnote>
  <w:footnote w:id="90">
    <w:p w14:paraId="2B449B66" w14:textId="6D9DAF4B"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2018 </w:t>
      </w:r>
      <w:r w:rsidR="00C17E1D" w:rsidRPr="00366942">
        <w:rPr>
          <w:lang w:val="en-CA"/>
        </w:rPr>
        <w:t>SCC</w:t>
      </w:r>
      <w:r w:rsidRPr="00366942">
        <w:rPr>
          <w:lang w:val="en-CA"/>
        </w:rPr>
        <w:t xml:space="preserve"> 18.</w:t>
      </w:r>
    </w:p>
  </w:footnote>
  <w:footnote w:id="91">
    <w:p w14:paraId="020A6B61" w14:textId="63763D29"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Law</w:t>
      </w:r>
      <w:r w:rsidRPr="00366942">
        <w:rPr>
          <w:lang w:val="en-CA"/>
        </w:rPr>
        <w:t xml:space="preserve">, </w:t>
      </w:r>
      <w:r w:rsidR="00C17E1D" w:rsidRPr="00366942">
        <w:rPr>
          <w:i/>
          <w:iCs/>
          <w:lang w:val="en-CA"/>
        </w:rPr>
        <w:t>supra</w:t>
      </w:r>
      <w:r w:rsidRPr="00366942">
        <w:rPr>
          <w:lang w:val="en-CA"/>
        </w:rPr>
        <w:t xml:space="preserve">, note </w:t>
      </w:r>
      <w:r w:rsidRPr="00366942">
        <w:fldChar w:fldCharType="begin"/>
      </w:r>
      <w:r w:rsidRPr="00366942">
        <w:rPr>
          <w:lang w:val="en-CA"/>
        </w:rPr>
        <w:instrText xml:space="preserve"> NOTEREF _Ref174276266 \h </w:instrText>
      </w:r>
      <w:r w:rsidRPr="00366942">
        <w:fldChar w:fldCharType="separate"/>
      </w:r>
      <w:r w:rsidR="001C6ED6">
        <w:rPr>
          <w:lang w:val="en-CA"/>
        </w:rPr>
        <w:t>45</w:t>
      </w:r>
      <w:r w:rsidRPr="00366942">
        <w:fldChar w:fldCharType="end"/>
      </w:r>
      <w:r w:rsidRPr="00366942">
        <w:rPr>
          <w:lang w:val="en-CA"/>
        </w:rPr>
        <w:t xml:space="preserve">, </w:t>
      </w:r>
      <w:r w:rsidR="00C17E1D" w:rsidRPr="00366942">
        <w:rPr>
          <w:lang w:val="en-CA"/>
        </w:rPr>
        <w:t xml:space="preserve">at para. </w:t>
      </w:r>
      <w:r w:rsidRPr="00366942">
        <w:rPr>
          <w:lang w:val="en-CA"/>
        </w:rPr>
        <w:t xml:space="preserve">39 </w:t>
      </w:r>
      <w:r w:rsidR="00C17E1D" w:rsidRPr="00366942">
        <w:rPr>
          <w:lang w:val="en-CA"/>
        </w:rPr>
        <w:t>and</w:t>
      </w:r>
      <w:r w:rsidRPr="00366942">
        <w:rPr>
          <w:lang w:val="en-CA"/>
        </w:rPr>
        <w:t xml:space="preserve"> para. 88, point 3A).</w:t>
      </w:r>
    </w:p>
  </w:footnote>
  <w:footnote w:id="92">
    <w:p w14:paraId="64C61B1D" w14:textId="464897CD"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585597" w:rsidRPr="00366942">
        <w:rPr>
          <w:lang w:val="en-CA"/>
        </w:rPr>
        <w:t>Terms borro</w:t>
      </w:r>
      <w:r w:rsidR="009F5422" w:rsidRPr="00366942">
        <w:rPr>
          <w:lang w:val="en-CA"/>
        </w:rPr>
        <w:t>wed</w:t>
      </w:r>
      <w:r w:rsidRPr="00366942">
        <w:rPr>
          <w:lang w:val="en-CA"/>
        </w:rPr>
        <w:t xml:space="preserve"> </w:t>
      </w:r>
      <w:r w:rsidR="00585597" w:rsidRPr="00366942">
        <w:rPr>
          <w:lang w:val="en-CA"/>
        </w:rPr>
        <w:t>from</w:t>
      </w:r>
      <w:r w:rsidRPr="00366942">
        <w:rPr>
          <w:lang w:val="en-CA"/>
        </w:rPr>
        <w:t xml:space="preserve"> </w:t>
      </w:r>
      <w:r w:rsidRPr="00366942">
        <w:rPr>
          <w:i/>
          <w:iCs/>
          <w:lang w:val="en-CA"/>
        </w:rPr>
        <w:t>Withler</w:t>
      </w:r>
      <w:r w:rsidRPr="00366942">
        <w:rPr>
          <w:lang w:val="en-CA"/>
        </w:rPr>
        <w:t xml:space="preserve">, </w:t>
      </w:r>
      <w:r w:rsidR="00585597"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_Ref177374137 \h </w:instrText>
      </w:r>
      <w:r w:rsidRPr="00366942">
        <w:rPr>
          <w:lang w:val="en-CA"/>
        </w:rPr>
      </w:r>
      <w:r w:rsidRPr="00366942">
        <w:rPr>
          <w:lang w:val="en-CA"/>
        </w:rPr>
        <w:fldChar w:fldCharType="separate"/>
      </w:r>
      <w:r w:rsidR="001C6ED6">
        <w:rPr>
          <w:lang w:val="en-CA"/>
        </w:rPr>
        <w:t>32</w:t>
      </w:r>
      <w:r w:rsidRPr="00366942">
        <w:rPr>
          <w:lang w:val="en-CA"/>
        </w:rPr>
        <w:fldChar w:fldCharType="end"/>
      </w:r>
      <w:r w:rsidRPr="00366942">
        <w:rPr>
          <w:lang w:val="en-CA"/>
        </w:rPr>
        <w:t xml:space="preserve">, </w:t>
      </w:r>
      <w:r w:rsidR="00585597" w:rsidRPr="00366942">
        <w:rPr>
          <w:lang w:val="en-CA"/>
        </w:rPr>
        <w:t xml:space="preserve">at </w:t>
      </w:r>
      <w:r w:rsidRPr="00366942">
        <w:rPr>
          <w:lang w:val="en-CA"/>
        </w:rPr>
        <w:t>para. 43 (</w:t>
      </w:r>
      <w:r w:rsidR="00585597" w:rsidRPr="00366942">
        <w:rPr>
          <w:lang w:val="en-CA"/>
        </w:rPr>
        <w:t>see also para</w:t>
      </w:r>
      <w:r w:rsidRPr="00366942">
        <w:rPr>
          <w:lang w:val="en-CA"/>
        </w:rPr>
        <w:t xml:space="preserve">. 39), </w:t>
      </w:r>
      <w:r w:rsidR="009F5422" w:rsidRPr="00366942">
        <w:rPr>
          <w:lang w:val="en-CA"/>
        </w:rPr>
        <w:t>cited</w:t>
      </w:r>
      <w:r w:rsidR="00585597" w:rsidRPr="00366942">
        <w:rPr>
          <w:lang w:val="en-CA"/>
        </w:rPr>
        <w:t xml:space="preserve"> by</w:t>
      </w:r>
      <w:r w:rsidRPr="00366942">
        <w:rPr>
          <w:lang w:val="en-CA"/>
        </w:rPr>
        <w:t xml:space="preserve"> Brown </w:t>
      </w:r>
      <w:r w:rsidR="009F5422" w:rsidRPr="00366942">
        <w:rPr>
          <w:lang w:val="en-CA"/>
        </w:rPr>
        <w:t>and</w:t>
      </w:r>
      <w:r w:rsidRPr="00366942">
        <w:rPr>
          <w:lang w:val="en-CA"/>
        </w:rPr>
        <w:t xml:space="preserve"> Rowe</w:t>
      </w:r>
      <w:r w:rsidR="009F5422" w:rsidRPr="00366942">
        <w:rPr>
          <w:lang w:val="en-CA"/>
        </w:rPr>
        <w:t>, JJ.</w:t>
      </w:r>
      <w:r w:rsidRPr="00366942">
        <w:rPr>
          <w:lang w:val="en-CA"/>
        </w:rPr>
        <w:t xml:space="preserve"> </w:t>
      </w:r>
      <w:r w:rsidR="009F5422" w:rsidRPr="00366942">
        <w:rPr>
          <w:lang w:val="en-CA"/>
        </w:rPr>
        <w:t>in</w:t>
      </w:r>
      <w:r w:rsidRPr="00366942">
        <w:rPr>
          <w:lang w:val="en-CA"/>
        </w:rPr>
        <w:t xml:space="preserve"> </w:t>
      </w:r>
      <w:r w:rsidRPr="00366942">
        <w:rPr>
          <w:i/>
          <w:iCs/>
          <w:lang w:val="en-CA"/>
        </w:rPr>
        <w:t>Sharma</w:t>
      </w:r>
      <w:r w:rsidRPr="00366942">
        <w:rPr>
          <w:lang w:val="en-CA"/>
        </w:rPr>
        <w:t xml:space="preserve">, </w:t>
      </w:r>
      <w:r w:rsidR="009F5422"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_Ref173269375 \h  \* MERGEFORMAT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9F5422" w:rsidRPr="00366942">
        <w:rPr>
          <w:lang w:val="en-CA"/>
        </w:rPr>
        <w:t xml:space="preserve">at </w:t>
      </w:r>
      <w:r w:rsidRPr="00366942">
        <w:rPr>
          <w:lang w:val="en-CA"/>
        </w:rPr>
        <w:t>par</w:t>
      </w:r>
      <w:r w:rsidR="009F5422" w:rsidRPr="00366942">
        <w:rPr>
          <w:lang w:val="en-CA"/>
        </w:rPr>
        <w:t>a</w:t>
      </w:r>
      <w:r w:rsidRPr="00366942">
        <w:rPr>
          <w:lang w:val="en-CA"/>
        </w:rPr>
        <w:t>. 57.</w:t>
      </w:r>
    </w:p>
  </w:footnote>
  <w:footnote w:id="93">
    <w:p w14:paraId="18D8AD5B" w14:textId="4463284A" w:rsidR="00996820" w:rsidRPr="00366942" w:rsidRDefault="00996820" w:rsidP="00996820">
      <w:pPr>
        <w:pStyle w:val="Notedebasdepage"/>
        <w:rPr>
          <w:lang w:val="en-CA"/>
        </w:rPr>
      </w:pPr>
      <w:r w:rsidRPr="00366942">
        <w:rPr>
          <w:rStyle w:val="Appelnotedebasdep"/>
          <w:lang w:val="en-CA"/>
        </w:rPr>
        <w:footnoteRef/>
      </w:r>
      <w:r w:rsidRPr="00366942">
        <w:rPr>
          <w:lang w:val="en-CA"/>
        </w:rPr>
        <w:t xml:space="preserve"> </w:t>
      </w:r>
      <w:r w:rsidRPr="00366942">
        <w:rPr>
          <w:lang w:val="en-CA"/>
        </w:rPr>
        <w:tab/>
        <w:t xml:space="preserve">On that subject, see the preamble and s. 3 of the </w:t>
      </w:r>
      <w:r w:rsidRPr="00366942">
        <w:rPr>
          <w:i/>
          <w:iCs/>
          <w:lang w:val="en-CA"/>
        </w:rPr>
        <w:t>Canada Health Act</w:t>
      </w:r>
      <w:r w:rsidRPr="00366942">
        <w:rPr>
          <w:lang w:val="en-CA"/>
        </w:rPr>
        <w:t xml:space="preserve"> as well as s. 1 of the </w:t>
      </w:r>
      <w:r w:rsidRPr="00366942">
        <w:rPr>
          <w:i/>
          <w:iCs/>
          <w:lang w:val="en-CA"/>
        </w:rPr>
        <w:t>Act respecting health services and social services</w:t>
      </w:r>
      <w:r w:rsidRPr="00366942">
        <w:rPr>
          <w:lang w:val="en-CA"/>
        </w:rPr>
        <w:t xml:space="preserve">, CQLR, c. S-4.2, s. 2 of the </w:t>
      </w:r>
      <w:r w:rsidRPr="00366942">
        <w:rPr>
          <w:i/>
          <w:iCs/>
          <w:lang w:val="en-CA"/>
        </w:rPr>
        <w:t>Hospital Insurance Act</w:t>
      </w:r>
      <w:r w:rsidRPr="00366942">
        <w:rPr>
          <w:lang w:val="en-CA"/>
        </w:rPr>
        <w:t xml:space="preserve">, </w:t>
      </w:r>
      <w:r w:rsidR="00D8172B">
        <w:rPr>
          <w:lang w:val="en-CA"/>
        </w:rPr>
        <w:t>and</w:t>
      </w:r>
      <w:r w:rsidRPr="00366942">
        <w:rPr>
          <w:lang w:val="en-CA"/>
        </w:rPr>
        <w:t xml:space="preserve"> s. 2 of </w:t>
      </w:r>
      <w:r w:rsidRPr="00366942">
        <w:rPr>
          <w:i/>
          <w:iCs/>
          <w:lang w:val="en-CA"/>
        </w:rPr>
        <w:t>An Act to make the health and social services system more effective</w:t>
      </w:r>
      <w:r w:rsidRPr="00366942">
        <w:rPr>
          <w:lang w:val="en-CA"/>
        </w:rPr>
        <w:t xml:space="preserve">, S.Q. 2023, c. 34. See also, to the same effect, s. 2 of the </w:t>
      </w:r>
      <w:r w:rsidRPr="00366942">
        <w:rPr>
          <w:i/>
          <w:iCs/>
          <w:lang w:val="en-CA"/>
        </w:rPr>
        <w:t>Act respecting prescription drug insurance</w:t>
      </w:r>
      <w:r w:rsidRPr="00366942">
        <w:rPr>
          <w:lang w:val="en-CA"/>
        </w:rPr>
        <w:t>.</w:t>
      </w:r>
    </w:p>
  </w:footnote>
  <w:footnote w:id="94">
    <w:p w14:paraId="094E3BD8" w14:textId="52330172" w:rsidR="00CE6780" w:rsidRPr="00366942" w:rsidRDefault="00CE6780">
      <w:pPr>
        <w:pStyle w:val="Notedebasdepage"/>
        <w:rPr>
          <w:lang w:val="en-CA"/>
        </w:rPr>
      </w:pPr>
      <w:r w:rsidRPr="00366942">
        <w:rPr>
          <w:rStyle w:val="Appelnotedebasdep"/>
        </w:rPr>
        <w:footnoteRef/>
      </w:r>
      <w:r w:rsidRPr="00366942">
        <w:rPr>
          <w:lang w:val="en-CA"/>
        </w:rPr>
        <w:t xml:space="preserve"> </w:t>
      </w:r>
      <w:r w:rsidR="00996820" w:rsidRPr="00366942">
        <w:rPr>
          <w:lang w:val="en-CA"/>
        </w:rPr>
        <w:tab/>
      </w:r>
      <w:r w:rsidR="00835312" w:rsidRPr="00366942">
        <w:rPr>
          <w:lang w:val="en-CA"/>
        </w:rPr>
        <w:t>I use the term “disadvantageous” with a degree of circumspection because, of course, the legislative decision to provide for limited reimbursement of the costs of medical services obtained outside Quebec is preferable to the decision to allow none at all and is, in that sense, a net benefit.</w:t>
      </w:r>
    </w:p>
  </w:footnote>
  <w:footnote w:id="95">
    <w:p w14:paraId="062C3270" w14:textId="2EACE7A1"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33655A" w:rsidRPr="00366942">
        <w:rPr>
          <w:lang w:val="en-CA"/>
        </w:rPr>
        <w:t>What is more,</w:t>
      </w:r>
      <w:r w:rsidR="001C5B9A" w:rsidRPr="00366942">
        <w:rPr>
          <w:lang w:val="en-CA"/>
        </w:rPr>
        <w:t xml:space="preserve"> the</w:t>
      </w:r>
      <w:r w:rsidR="0033655A" w:rsidRPr="00366942">
        <w:rPr>
          <w:lang w:val="en-CA"/>
        </w:rPr>
        <w:t xml:space="preserve"> idea of obtaining such insurance</w:t>
      </w:r>
      <w:r w:rsidR="001C5B9A" w:rsidRPr="00366942">
        <w:rPr>
          <w:lang w:val="en-CA"/>
        </w:rPr>
        <w:t xml:space="preserve"> </w:t>
      </w:r>
      <w:r w:rsidR="0033655A" w:rsidRPr="00366942">
        <w:rPr>
          <w:lang w:val="en-CA"/>
        </w:rPr>
        <w:t>will</w:t>
      </w:r>
      <w:r w:rsidR="001C5B9A" w:rsidRPr="00366942">
        <w:rPr>
          <w:lang w:val="en-CA"/>
        </w:rPr>
        <w:t xml:space="preserve"> not necessarily occur to a person from Quebec</w:t>
      </w:r>
      <w:r w:rsidR="0033655A" w:rsidRPr="00366942">
        <w:rPr>
          <w:lang w:val="en-CA"/>
        </w:rPr>
        <w:t xml:space="preserve"> who </w:t>
      </w:r>
      <w:r w:rsidR="00AB6B53" w:rsidRPr="00366942">
        <w:rPr>
          <w:lang w:val="en-CA"/>
        </w:rPr>
        <w:t xml:space="preserve">is </w:t>
      </w:r>
      <w:r w:rsidR="0033655A" w:rsidRPr="00366942">
        <w:rPr>
          <w:lang w:val="en-CA"/>
        </w:rPr>
        <w:t>travelling a day or two in a neighbouring province, Ontario for instance, or in a contiguous American state, or who is driving through New Brunswick and Prince Edward Island to reach the Magdalen Islands</w:t>
      </w:r>
      <w:r w:rsidRPr="00366942">
        <w:rPr>
          <w:lang w:val="en-CA"/>
        </w:rPr>
        <w:t>.</w:t>
      </w:r>
    </w:p>
  </w:footnote>
  <w:footnote w:id="96">
    <w:p w14:paraId="6897B4D9" w14:textId="0120F80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33655A" w:rsidRPr="00366942">
        <w:rPr>
          <w:lang w:val="en-CA"/>
        </w:rPr>
        <w:t xml:space="preserve">And not only in the case of the most </w:t>
      </w:r>
      <w:r w:rsidR="00A32000" w:rsidRPr="00366942">
        <w:rPr>
          <w:lang w:val="en-CA"/>
        </w:rPr>
        <w:t>indigent</w:t>
      </w:r>
      <w:r w:rsidRPr="00366942">
        <w:rPr>
          <w:lang w:val="en-CA"/>
        </w:rPr>
        <w:t>.</w:t>
      </w:r>
    </w:p>
  </w:footnote>
  <w:footnote w:id="97">
    <w:p w14:paraId="1F01D196" w14:textId="48E51DA8"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A32000" w:rsidRPr="00366942">
        <w:rPr>
          <w:lang w:val="en-CA"/>
        </w:rPr>
        <w:t>It should further be added that the actual disadvantage can vary according to the individual and the circumstances of the situation that leads them to receive health care outside Quebec</w:t>
      </w:r>
      <w:r w:rsidRPr="00366942">
        <w:rPr>
          <w:lang w:val="en-CA"/>
        </w:rPr>
        <w:t xml:space="preserve">. </w:t>
      </w:r>
      <w:r w:rsidR="00A32000" w:rsidRPr="00366942">
        <w:rPr>
          <w:lang w:val="en-CA"/>
        </w:rPr>
        <w:t xml:space="preserve">It could thus </w:t>
      </w:r>
      <w:r w:rsidR="00817ACF" w:rsidRPr="00366942">
        <w:rPr>
          <w:lang w:val="en-CA"/>
        </w:rPr>
        <w:t xml:space="preserve">differ </w:t>
      </w:r>
      <w:r w:rsidR="00A32000" w:rsidRPr="00366942">
        <w:rPr>
          <w:lang w:val="en-CA"/>
        </w:rPr>
        <w:t xml:space="preserve">according to the location where the care is received, the </w:t>
      </w:r>
      <w:r w:rsidR="00D16B41" w:rsidRPr="00366942">
        <w:rPr>
          <w:lang w:val="en-CA"/>
        </w:rPr>
        <w:t>impac</w:t>
      </w:r>
      <w:r w:rsidR="00A32000" w:rsidRPr="00366942">
        <w:rPr>
          <w:lang w:val="en-CA"/>
        </w:rPr>
        <w:t xml:space="preserve">t of the limit, </w:t>
      </w:r>
      <w:r w:rsidR="00D16B41" w:rsidRPr="00366942">
        <w:rPr>
          <w:lang w:val="en-CA"/>
        </w:rPr>
        <w:t>on</w:t>
      </w:r>
      <w:r w:rsidR="00A32000" w:rsidRPr="00366942">
        <w:rPr>
          <w:lang w:val="en-CA"/>
        </w:rPr>
        <w:t xml:space="preserve"> whomever does not have private insurance, being greater if the care is provided in the United States, where medical costs are notoriously high, rather than in a Canadian province</w:t>
      </w:r>
      <w:r w:rsidRPr="00366942">
        <w:rPr>
          <w:lang w:val="en-CA"/>
        </w:rPr>
        <w:t xml:space="preserve">. </w:t>
      </w:r>
      <w:r w:rsidR="00A32000" w:rsidRPr="00366942">
        <w:rPr>
          <w:lang w:val="en-CA"/>
        </w:rPr>
        <w:t>The nature of the service required</w:t>
      </w:r>
      <w:r w:rsidR="00D16B41" w:rsidRPr="00366942">
        <w:rPr>
          <w:lang w:val="en-CA"/>
        </w:rPr>
        <w:t>,</w:t>
      </w:r>
      <w:r w:rsidR="00A32000" w:rsidRPr="00366942">
        <w:rPr>
          <w:lang w:val="en-CA"/>
        </w:rPr>
        <w:t xml:space="preserve"> and its urgency also </w:t>
      </w:r>
      <w:r w:rsidR="004D76E1" w:rsidRPr="00366942">
        <w:rPr>
          <w:lang w:val="en-CA"/>
        </w:rPr>
        <w:t>count in the</w:t>
      </w:r>
      <w:r w:rsidR="00A32000" w:rsidRPr="00366942">
        <w:rPr>
          <w:lang w:val="en-CA"/>
        </w:rPr>
        <w:t xml:space="preserve"> equation</w:t>
      </w:r>
      <w:r w:rsidRPr="00366942">
        <w:rPr>
          <w:lang w:val="en-CA"/>
        </w:rPr>
        <w:t xml:space="preserve">: </w:t>
      </w:r>
      <w:r w:rsidR="00A32000" w:rsidRPr="00366942">
        <w:rPr>
          <w:lang w:val="en-CA"/>
        </w:rPr>
        <w:t>treatment of a heart attack will be costlier and potentially more</w:t>
      </w:r>
      <w:r w:rsidR="004D76E1" w:rsidRPr="00366942">
        <w:rPr>
          <w:lang w:val="en-CA"/>
        </w:rPr>
        <w:t xml:space="preserve"> burdensome</w:t>
      </w:r>
      <w:r w:rsidR="00A32000" w:rsidRPr="00366942">
        <w:rPr>
          <w:lang w:val="en-CA"/>
        </w:rPr>
        <w:t xml:space="preserve"> than a routine pregnancy checkup</w:t>
      </w:r>
      <w:r w:rsidRPr="00366942">
        <w:rPr>
          <w:lang w:val="en-CA"/>
        </w:rPr>
        <w:t>.</w:t>
      </w:r>
    </w:p>
  </w:footnote>
  <w:footnote w:id="98">
    <w:p w14:paraId="23D2186C" w14:textId="35D7551F"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Amended Application for Judicial Review, August 13, 2021</w:t>
      </w:r>
      <w:r w:rsidRPr="00366942">
        <w:rPr>
          <w:lang w:val="en-CA"/>
        </w:rPr>
        <w:t xml:space="preserve">, </w:t>
      </w:r>
      <w:r w:rsidR="001C5B9A" w:rsidRPr="00366942">
        <w:rPr>
          <w:lang w:val="en-CA"/>
        </w:rPr>
        <w:t xml:space="preserve">at </w:t>
      </w:r>
      <w:r w:rsidRPr="00366942">
        <w:rPr>
          <w:lang w:val="en-CA"/>
        </w:rPr>
        <w:t>para. 40.</w:t>
      </w:r>
    </w:p>
  </w:footnote>
  <w:footnote w:id="99">
    <w:p w14:paraId="4DFFB22A" w14:textId="77777777"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Amended Notice to the Attorney General of Quebec, November 1, 2017</w:t>
      </w:r>
      <w:r w:rsidRPr="00366942">
        <w:rPr>
          <w:lang w:val="en-CA"/>
        </w:rPr>
        <w:t>.</w:t>
      </w:r>
    </w:p>
  </w:footnote>
  <w:footnote w:id="100">
    <w:p w14:paraId="6562C14F" w14:textId="7C25954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920C43" w:rsidRPr="00366942">
        <w:rPr>
          <w:lang w:val="en-CA"/>
        </w:rPr>
        <w:t>A possibility that was contemplated favourably, but without deciding the issue</w:t>
      </w:r>
      <w:r w:rsidRPr="00366942">
        <w:rPr>
          <w:lang w:val="en-CA"/>
        </w:rPr>
        <w:t xml:space="preserve">, </w:t>
      </w:r>
      <w:r w:rsidR="008E1A37" w:rsidRPr="00366942">
        <w:rPr>
          <w:lang w:val="en-CA"/>
        </w:rPr>
        <w:t>in</w:t>
      </w:r>
      <w:r w:rsidRPr="00366942">
        <w:rPr>
          <w:lang w:val="en-CA"/>
        </w:rPr>
        <w:t xml:space="preserve"> </w:t>
      </w:r>
      <w:r w:rsidRPr="00366942">
        <w:rPr>
          <w:i/>
          <w:iCs/>
          <w:lang w:val="en-CA"/>
        </w:rPr>
        <w:t>R.O. c. Ministre de l'Emploi et de la Solidarité sociale</w:t>
      </w:r>
      <w:r w:rsidRPr="00366942">
        <w:rPr>
          <w:lang w:val="en-CA"/>
        </w:rPr>
        <w:t>, 2021 QCCA 1185 (</w:t>
      </w:r>
      <w:r w:rsidR="008E1A37" w:rsidRPr="00366942">
        <w:rPr>
          <w:lang w:val="en-CA"/>
        </w:rPr>
        <w:t>application for leave to appeal to the Supreme Court</w:t>
      </w:r>
      <w:r w:rsidR="00080F21" w:rsidRPr="00366942">
        <w:rPr>
          <w:lang w:val="en-CA"/>
        </w:rPr>
        <w:t xml:space="preserve"> </w:t>
      </w:r>
      <w:r w:rsidR="008E1A37" w:rsidRPr="00366942">
        <w:rPr>
          <w:lang w:val="en-CA"/>
        </w:rPr>
        <w:t>denied</w:t>
      </w:r>
      <w:r w:rsidRPr="00366942">
        <w:rPr>
          <w:lang w:val="en-CA"/>
        </w:rPr>
        <w:t xml:space="preserve">, </w:t>
      </w:r>
      <w:r w:rsidR="008E1A37" w:rsidRPr="00366942">
        <w:rPr>
          <w:lang w:val="en-CA"/>
        </w:rPr>
        <w:t>March 31,</w:t>
      </w:r>
      <w:r w:rsidRPr="00366942">
        <w:rPr>
          <w:lang w:val="en-CA"/>
        </w:rPr>
        <w:t xml:space="preserve"> 2022, </w:t>
      </w:r>
      <w:r w:rsidR="00080F21" w:rsidRPr="00366942">
        <w:rPr>
          <w:lang w:val="en-CA"/>
        </w:rPr>
        <w:t>N</w:t>
      </w:r>
      <w:r w:rsidR="00B1480A" w:rsidRPr="00366942">
        <w:rPr>
          <w:lang w:val="en-CA"/>
        </w:rPr>
        <w:t>o.</w:t>
      </w:r>
      <w:r w:rsidRPr="00366942">
        <w:rPr>
          <w:lang w:val="en-CA"/>
        </w:rPr>
        <w:t xml:space="preserve"> 39880)</w:t>
      </w:r>
      <w:r w:rsidRPr="00366942">
        <w:rPr>
          <w:rFonts w:cs="Arial"/>
          <w:sz w:val="21"/>
          <w:szCs w:val="21"/>
          <w:shd w:val="clear" w:color="auto" w:fill="FFFFFF"/>
          <w:lang w:val="en-CA"/>
        </w:rPr>
        <w:t>.</w:t>
      </w:r>
    </w:p>
  </w:footnote>
  <w:footnote w:id="101">
    <w:p w14:paraId="189EDB8D" w14:textId="635CCD5A"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bookmarkStart w:id="47" w:name="_Hlk180562413"/>
      <w:r w:rsidRPr="00366942">
        <w:rPr>
          <w:i/>
          <w:iCs/>
          <w:lang w:val="en-CA"/>
        </w:rPr>
        <w:t>Auton</w:t>
      </w:r>
      <w:r w:rsidRPr="00366942">
        <w:rPr>
          <w:lang w:val="en-CA"/>
        </w:rPr>
        <w:t xml:space="preserve">, </w:t>
      </w:r>
      <w:r w:rsidR="008C1C36" w:rsidRPr="00366942">
        <w:rPr>
          <w:i/>
          <w:iCs/>
          <w:lang w:val="en-CA"/>
        </w:rPr>
        <w:t>supra</w:t>
      </w:r>
      <w:r w:rsidR="008C1C36" w:rsidRPr="00366942">
        <w:rPr>
          <w:lang w:val="en-CA"/>
        </w:rPr>
        <w:t>,</w:t>
      </w:r>
      <w:r w:rsidRPr="00366942">
        <w:rPr>
          <w:lang w:val="en-CA"/>
        </w:rPr>
        <w:t xml:space="preserve"> note </w:t>
      </w:r>
      <w:r w:rsidRPr="00366942">
        <w:rPr>
          <w:lang w:val="en-CA"/>
        </w:rPr>
        <w:fldChar w:fldCharType="begin"/>
      </w:r>
      <w:r w:rsidRPr="00366942">
        <w:rPr>
          <w:lang w:val="en-CA"/>
        </w:rPr>
        <w:instrText xml:space="preserve"> NOTEREF _Ref173147199 \h </w:instrText>
      </w:r>
      <w:r w:rsidRPr="00366942">
        <w:rPr>
          <w:lang w:val="en-CA"/>
        </w:rPr>
      </w:r>
      <w:r w:rsidRPr="00366942">
        <w:rPr>
          <w:lang w:val="en-CA"/>
        </w:rPr>
        <w:fldChar w:fldCharType="separate"/>
      </w:r>
      <w:r w:rsidR="001C6ED6">
        <w:rPr>
          <w:lang w:val="en-CA"/>
        </w:rPr>
        <w:t>87</w:t>
      </w:r>
      <w:r w:rsidRPr="00366942">
        <w:rPr>
          <w:lang w:val="en-CA"/>
        </w:rPr>
        <w:fldChar w:fldCharType="end"/>
      </w:r>
      <w:r w:rsidRPr="00366942">
        <w:rPr>
          <w:lang w:val="en-CA"/>
        </w:rPr>
        <w:t>.</w:t>
      </w:r>
      <w:bookmarkEnd w:id="47"/>
    </w:p>
  </w:footnote>
  <w:footnote w:id="102">
    <w:p w14:paraId="2159809F" w14:textId="5719C78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763600" w:rsidRPr="00366942">
        <w:rPr>
          <w:i/>
          <w:iCs/>
          <w:lang w:val="en-CA"/>
        </w:rPr>
        <w:t>Auton</w:t>
      </w:r>
      <w:r w:rsidR="00763600" w:rsidRPr="00366942">
        <w:rPr>
          <w:lang w:val="en-CA"/>
        </w:rPr>
        <w:t xml:space="preserve">, </w:t>
      </w:r>
      <w:r w:rsidR="00763600" w:rsidRPr="00366942">
        <w:rPr>
          <w:i/>
          <w:iCs/>
          <w:lang w:val="en-CA"/>
        </w:rPr>
        <w:t>supra</w:t>
      </w:r>
      <w:r w:rsidR="00763600" w:rsidRPr="00366942">
        <w:rPr>
          <w:lang w:val="en-CA"/>
        </w:rPr>
        <w:t xml:space="preserve">, note </w:t>
      </w:r>
      <w:r w:rsidR="00763600" w:rsidRPr="00366942">
        <w:rPr>
          <w:lang w:val="en-CA"/>
        </w:rPr>
        <w:fldChar w:fldCharType="begin"/>
      </w:r>
      <w:r w:rsidR="00763600" w:rsidRPr="00366942">
        <w:rPr>
          <w:lang w:val="en-CA"/>
        </w:rPr>
        <w:instrText xml:space="preserve"> NOTEREF _Ref173147199 \h </w:instrText>
      </w:r>
      <w:r w:rsidR="00763600" w:rsidRPr="00366942">
        <w:rPr>
          <w:lang w:val="en-CA"/>
        </w:rPr>
      </w:r>
      <w:r w:rsidR="00763600" w:rsidRPr="00366942">
        <w:rPr>
          <w:lang w:val="en-CA"/>
        </w:rPr>
        <w:fldChar w:fldCharType="separate"/>
      </w:r>
      <w:r w:rsidR="001C6ED6">
        <w:rPr>
          <w:lang w:val="en-CA"/>
        </w:rPr>
        <w:t>87</w:t>
      </w:r>
      <w:r w:rsidR="00763600" w:rsidRPr="00366942">
        <w:rPr>
          <w:lang w:val="en-CA"/>
        </w:rPr>
        <w:fldChar w:fldCharType="end"/>
      </w:r>
      <w:r w:rsidRPr="00366942">
        <w:rPr>
          <w:lang w:val="en-CA"/>
        </w:rPr>
        <w:t xml:space="preserve">, </w:t>
      </w:r>
      <w:r w:rsidR="008C1C36" w:rsidRPr="00366942">
        <w:rPr>
          <w:lang w:val="en-CA"/>
        </w:rPr>
        <w:t xml:space="preserve">at </w:t>
      </w:r>
      <w:r w:rsidRPr="00366942">
        <w:rPr>
          <w:lang w:val="en-CA"/>
        </w:rPr>
        <w:t>para. 47.</w:t>
      </w:r>
    </w:p>
  </w:footnote>
  <w:footnote w:id="103">
    <w:p w14:paraId="01A829C9" w14:textId="0C4D37AF"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Id.</w:t>
      </w:r>
      <w:r w:rsidRPr="00366942">
        <w:rPr>
          <w:lang w:val="en-CA"/>
        </w:rPr>
        <w:t xml:space="preserve">, </w:t>
      </w:r>
      <w:r w:rsidR="008C1C36" w:rsidRPr="00366942">
        <w:rPr>
          <w:lang w:val="en-CA"/>
        </w:rPr>
        <w:t xml:space="preserve">at </w:t>
      </w:r>
      <w:r w:rsidRPr="00366942">
        <w:rPr>
          <w:lang w:val="en-CA"/>
        </w:rPr>
        <w:t>para</w:t>
      </w:r>
      <w:r w:rsidR="008C1C36" w:rsidRPr="00366942">
        <w:rPr>
          <w:lang w:val="en-CA"/>
        </w:rPr>
        <w:t>s</w:t>
      </w:r>
      <w:r w:rsidRPr="00366942">
        <w:rPr>
          <w:lang w:val="en-CA"/>
        </w:rPr>
        <w:t>. 57-62.</w:t>
      </w:r>
    </w:p>
  </w:footnote>
  <w:footnote w:id="104">
    <w:p w14:paraId="2B57A537" w14:textId="42C938FB"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Sharma</w:t>
      </w:r>
      <w:r w:rsidRPr="00366942">
        <w:rPr>
          <w:lang w:val="en-CA"/>
        </w:rPr>
        <w:t xml:space="preserve">, </w:t>
      </w:r>
      <w:r w:rsidR="007A4CA7"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862AE2" w:rsidRPr="00366942">
        <w:rPr>
          <w:lang w:val="en-CA"/>
        </w:rPr>
        <w:t xml:space="preserve">at </w:t>
      </w:r>
      <w:r w:rsidRPr="00366942">
        <w:rPr>
          <w:lang w:val="en-CA"/>
        </w:rPr>
        <w:t xml:space="preserve">para. 28 – </w:t>
      </w:r>
      <w:r w:rsidR="00862AE2" w:rsidRPr="00366942">
        <w:rPr>
          <w:lang w:val="en-CA"/>
        </w:rPr>
        <w:t>P</w:t>
      </w:r>
      <w:r w:rsidRPr="00366942">
        <w:rPr>
          <w:lang w:val="en-CA"/>
        </w:rPr>
        <w:t xml:space="preserve">oint </w:t>
      </w:r>
      <w:r w:rsidR="00862AE2" w:rsidRPr="00366942">
        <w:rPr>
          <w:lang w:val="en-CA"/>
        </w:rPr>
        <w:t>(</w:t>
      </w:r>
      <w:r w:rsidRPr="00366942">
        <w:rPr>
          <w:lang w:val="en-CA"/>
        </w:rPr>
        <w:t>a).</w:t>
      </w:r>
    </w:p>
  </w:footnote>
  <w:footnote w:id="105">
    <w:p w14:paraId="5C69F45D" w14:textId="4C4C8BF8"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862AE2" w:rsidRPr="00366942">
        <w:rPr>
          <w:lang w:val="en-CA"/>
        </w:rPr>
        <w:t>An argument that she expresses as follows in para</w:t>
      </w:r>
      <w:r w:rsidRPr="00366942">
        <w:rPr>
          <w:lang w:val="en-CA"/>
        </w:rPr>
        <w:t xml:space="preserve">. 8 </w:t>
      </w:r>
      <w:r w:rsidR="00862AE2" w:rsidRPr="00366942">
        <w:rPr>
          <w:lang w:val="en-CA"/>
        </w:rPr>
        <w:t>of the supplementary submissions addressed to the</w:t>
      </w:r>
      <w:r w:rsidRPr="00366942">
        <w:rPr>
          <w:lang w:val="en-CA"/>
        </w:rPr>
        <w:t xml:space="preserve"> </w:t>
      </w:r>
      <w:r w:rsidR="00862AE2" w:rsidRPr="00366942">
        <w:rPr>
          <w:lang w:val="en-CA"/>
        </w:rPr>
        <w:t>Court following</w:t>
      </w:r>
      <w:r w:rsidRPr="00366942">
        <w:rPr>
          <w:lang w:val="en-CA"/>
        </w:rPr>
        <w:t xml:space="preserve"> </w:t>
      </w:r>
      <w:r w:rsidRPr="00366942">
        <w:rPr>
          <w:i/>
          <w:iCs/>
          <w:lang w:val="en-CA"/>
        </w:rPr>
        <w:t>Kanyinda</w:t>
      </w:r>
      <w:r w:rsidRPr="00366942">
        <w:rPr>
          <w:lang w:val="en-CA"/>
        </w:rPr>
        <w:t xml:space="preserve">: </w:t>
      </w:r>
      <w:r w:rsidR="00862AE2" w:rsidRPr="00366942">
        <w:rPr>
          <w:lang w:val="en-CA"/>
        </w:rPr>
        <w:t>“</w:t>
      </w:r>
      <w:r w:rsidRPr="00366942">
        <w:rPr>
          <w:lang w:val="en-CA"/>
        </w:rPr>
        <w:t xml:space="preserve">In fact, a finding of disproportionate impact is even clearer in this case than in </w:t>
      </w:r>
      <w:r w:rsidRPr="00366942">
        <w:rPr>
          <w:i/>
          <w:iCs/>
          <w:lang w:val="en-CA"/>
        </w:rPr>
        <w:t>Kanyinda</w:t>
      </w:r>
      <w:r w:rsidRPr="00366942">
        <w:rPr>
          <w:lang w:val="en-CA"/>
        </w:rPr>
        <w:t xml:space="preserve">: there, women were disproportionately (through </w:t>
      </w:r>
      <w:r w:rsidR="00914E46">
        <w:rPr>
          <w:lang w:val="en-CA"/>
        </w:rPr>
        <w:t>[</w:t>
      </w:r>
      <w:r w:rsidR="00914E46" w:rsidRPr="00914E46">
        <w:rPr>
          <w:i/>
          <w:iCs/>
          <w:lang w:val="en-CA"/>
        </w:rPr>
        <w:t>sic</w:t>
      </w:r>
      <w:r w:rsidR="00914E46">
        <w:rPr>
          <w:lang w:val="en-CA"/>
        </w:rPr>
        <w:t xml:space="preserve">] </w:t>
      </w:r>
      <w:r w:rsidRPr="00366942">
        <w:rPr>
          <w:lang w:val="en-CA"/>
        </w:rPr>
        <w:t xml:space="preserve">not exclusively) affected by the law. Here, since only women can become pregnant, </w:t>
      </w:r>
      <w:r w:rsidRPr="00366942">
        <w:rPr>
          <w:u w:val="single"/>
          <w:lang w:val="en-CA"/>
        </w:rPr>
        <w:t>only</w:t>
      </w:r>
      <w:r w:rsidRPr="00366942">
        <w:rPr>
          <w:lang w:val="en-CA"/>
        </w:rPr>
        <w:t xml:space="preserve"> women will require pregnancy-related healthcare. The financial burden of pregnancy-related care imposed by para. 4 of s. 10 </w:t>
      </w:r>
      <w:r w:rsidRPr="00366942">
        <w:rPr>
          <w:i/>
          <w:iCs/>
          <w:lang w:val="en-CA"/>
        </w:rPr>
        <w:t>HIA</w:t>
      </w:r>
      <w:r w:rsidRPr="00366942">
        <w:rPr>
          <w:lang w:val="en-CA"/>
        </w:rPr>
        <w:t xml:space="preserve"> will thus be borne disproportionately, if not exclusively, by women […]</w:t>
      </w:r>
      <w:r w:rsidR="00862AE2" w:rsidRPr="00366942">
        <w:rPr>
          <w:lang w:val="en-CA"/>
        </w:rPr>
        <w:t>”</w:t>
      </w:r>
      <w:r w:rsidRPr="00366942">
        <w:rPr>
          <w:lang w:val="en-CA"/>
        </w:rPr>
        <w:t>.</w:t>
      </w:r>
    </w:p>
  </w:footnote>
  <w:footnote w:id="106">
    <w:p w14:paraId="44E8D3CB" w14:textId="0F69254A"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A96B90" w:rsidRPr="00366942">
        <w:rPr>
          <w:lang w:val="en-CA"/>
        </w:rPr>
        <w:t>It should be noted here that</w:t>
      </w:r>
      <w:r w:rsidRPr="00366942">
        <w:rPr>
          <w:lang w:val="en-CA"/>
        </w:rPr>
        <w:t xml:space="preserve"> </w:t>
      </w:r>
      <w:r w:rsidR="00A96B90" w:rsidRPr="00366942">
        <w:rPr>
          <w:lang w:val="en-CA"/>
        </w:rPr>
        <w:t>s</w:t>
      </w:r>
      <w:r w:rsidRPr="00366942">
        <w:rPr>
          <w:lang w:val="en-CA"/>
        </w:rPr>
        <w:t>. 7</w:t>
      </w:r>
      <w:r w:rsidR="00A96B90" w:rsidRPr="00366942">
        <w:rPr>
          <w:lang w:val="en-CA"/>
        </w:rPr>
        <w:t>(</w:t>
      </w:r>
      <w:r w:rsidRPr="00366942">
        <w:rPr>
          <w:lang w:val="en-CA"/>
        </w:rPr>
        <w:t xml:space="preserve">d) </w:t>
      </w:r>
      <w:r w:rsidR="00A96B90" w:rsidRPr="00366942">
        <w:rPr>
          <w:lang w:val="en-CA"/>
        </w:rPr>
        <w:t>of the</w:t>
      </w:r>
      <w:r w:rsidRPr="00366942">
        <w:rPr>
          <w:lang w:val="en-CA"/>
        </w:rPr>
        <w:t xml:space="preserve"> </w:t>
      </w:r>
      <w:r w:rsidR="00A96B90" w:rsidRPr="00366942">
        <w:rPr>
          <w:i/>
          <w:iCs/>
          <w:lang w:val="en-CA"/>
        </w:rPr>
        <w:t>Canada Health Act</w:t>
      </w:r>
      <w:r w:rsidRPr="00366942">
        <w:rPr>
          <w:lang w:val="en-CA"/>
        </w:rPr>
        <w:t xml:space="preserve"> </w:t>
      </w:r>
      <w:r w:rsidR="00A96B90" w:rsidRPr="00366942">
        <w:rPr>
          <w:lang w:val="en-CA"/>
        </w:rPr>
        <w:t xml:space="preserve">conditions payment of the full amount of the </w:t>
      </w:r>
      <w:r w:rsidR="004115D8" w:rsidRPr="00366942">
        <w:rPr>
          <w:lang w:val="en-CA"/>
        </w:rPr>
        <w:t>f</w:t>
      </w:r>
      <w:r w:rsidR="00A96B90" w:rsidRPr="00366942">
        <w:rPr>
          <w:lang w:val="en-CA"/>
        </w:rPr>
        <w:t xml:space="preserve">ederal </w:t>
      </w:r>
      <w:r w:rsidR="004115D8" w:rsidRPr="00366942">
        <w:rPr>
          <w:lang w:val="en-CA"/>
        </w:rPr>
        <w:t>g</w:t>
      </w:r>
      <w:r w:rsidR="00A96B90" w:rsidRPr="00366942">
        <w:rPr>
          <w:lang w:val="en-CA"/>
        </w:rPr>
        <w:t xml:space="preserve">overnment’s </w:t>
      </w:r>
      <w:r w:rsidR="00DC0D83" w:rsidRPr="00366942">
        <w:rPr>
          <w:lang w:val="en-CA"/>
        </w:rPr>
        <w:t>cash contribution</w:t>
      </w:r>
      <w:r w:rsidR="00A96B90" w:rsidRPr="00366942">
        <w:rPr>
          <w:lang w:val="en-CA"/>
        </w:rPr>
        <w:t xml:space="preserve"> on the </w:t>
      </w:r>
      <w:r w:rsidR="00A8121B" w:rsidRPr="00366942">
        <w:rPr>
          <w:lang w:val="en-CA"/>
        </w:rPr>
        <w:t>port</w:t>
      </w:r>
      <w:r w:rsidR="00A96B90" w:rsidRPr="00366942">
        <w:rPr>
          <w:lang w:val="en-CA"/>
        </w:rPr>
        <w:t>ability of provincial health plans</w:t>
      </w:r>
      <w:r w:rsidRPr="00366942">
        <w:rPr>
          <w:lang w:val="en-CA"/>
        </w:rPr>
        <w:t xml:space="preserve">. </w:t>
      </w:r>
      <w:r w:rsidR="00A96B90" w:rsidRPr="00366942">
        <w:rPr>
          <w:lang w:val="en-CA"/>
        </w:rPr>
        <w:t>Section</w:t>
      </w:r>
      <w:r w:rsidRPr="00366942">
        <w:rPr>
          <w:lang w:val="en-CA"/>
        </w:rPr>
        <w:t xml:space="preserve"> 11 </w:t>
      </w:r>
      <w:r w:rsidR="00A96B90" w:rsidRPr="00366942">
        <w:rPr>
          <w:lang w:val="en-CA"/>
        </w:rPr>
        <w:t>of that Act</w:t>
      </w:r>
      <w:r w:rsidRPr="00366942">
        <w:rPr>
          <w:lang w:val="en-CA"/>
        </w:rPr>
        <w:t xml:space="preserve">, </w:t>
      </w:r>
      <w:r w:rsidR="00A96B90" w:rsidRPr="00366942">
        <w:rPr>
          <w:lang w:val="en-CA"/>
        </w:rPr>
        <w:t xml:space="preserve">which defines </w:t>
      </w:r>
      <w:r w:rsidR="00A8121B" w:rsidRPr="00366942">
        <w:rPr>
          <w:lang w:val="en-CA"/>
        </w:rPr>
        <w:t>port</w:t>
      </w:r>
      <w:r w:rsidR="00A96B90" w:rsidRPr="00366942">
        <w:rPr>
          <w:lang w:val="en-CA"/>
        </w:rPr>
        <w:t>ability</w:t>
      </w:r>
      <w:r w:rsidRPr="00366942">
        <w:rPr>
          <w:lang w:val="en-CA"/>
        </w:rPr>
        <w:t xml:space="preserve">, </w:t>
      </w:r>
      <w:r w:rsidR="00A96B90" w:rsidRPr="00366942">
        <w:rPr>
          <w:lang w:val="en-CA"/>
        </w:rPr>
        <w:t>states, in part</w:t>
      </w:r>
      <w:r w:rsidRPr="00366942">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366942" w:rsidRPr="00366942" w14:paraId="20C64934" w14:textId="77777777" w:rsidTr="00FC2C9F">
        <w:tc>
          <w:tcPr>
            <w:tcW w:w="4032" w:type="dxa"/>
          </w:tcPr>
          <w:p w14:paraId="3311DE80" w14:textId="185B94B2" w:rsidR="00961A50" w:rsidRPr="00366942" w:rsidRDefault="00961A50" w:rsidP="00C17B50">
            <w:pPr>
              <w:pStyle w:val="Notedebasdepage"/>
              <w:spacing w:before="120"/>
              <w:ind w:left="0" w:firstLine="0"/>
              <w:rPr>
                <w:sz w:val="18"/>
                <w:szCs w:val="18"/>
                <w:lang w:val="en-CA"/>
              </w:rPr>
            </w:pPr>
            <w:bookmarkStart w:id="49" w:name="_Hlk174026401"/>
            <w:r w:rsidRPr="00366942">
              <w:rPr>
                <w:b/>
                <w:bCs/>
                <w:sz w:val="18"/>
                <w:szCs w:val="18"/>
                <w:lang w:val="en-CA"/>
              </w:rPr>
              <w:t>11</w:t>
            </w:r>
            <w:r w:rsidRPr="00366942">
              <w:rPr>
                <w:sz w:val="18"/>
                <w:szCs w:val="18"/>
                <w:lang w:val="en-CA"/>
              </w:rPr>
              <w:t> </w:t>
            </w:r>
            <w:r w:rsidR="00F45A73" w:rsidRPr="00366942">
              <w:rPr>
                <w:sz w:val="18"/>
                <w:szCs w:val="18"/>
                <w:lang w:val="en-CA"/>
              </w:rPr>
              <w:t> </w:t>
            </w:r>
            <w:r w:rsidRPr="00366942">
              <w:rPr>
                <w:b/>
                <w:bCs/>
                <w:sz w:val="18"/>
                <w:szCs w:val="18"/>
                <w:lang w:val="en-CA"/>
              </w:rPr>
              <w:t>(1)</w:t>
            </w:r>
            <w:r w:rsidRPr="00366942">
              <w:rPr>
                <w:sz w:val="18"/>
                <w:szCs w:val="18"/>
                <w:lang w:val="en-CA"/>
              </w:rPr>
              <w:t>  In order to satisfy the criterion respecting portability, the health care insurance plan of a province</w:t>
            </w:r>
          </w:p>
        </w:tc>
        <w:tc>
          <w:tcPr>
            <w:tcW w:w="4032" w:type="dxa"/>
          </w:tcPr>
          <w:p w14:paraId="4F91A07A" w14:textId="77777777" w:rsidR="00961A50" w:rsidRPr="00366942" w:rsidRDefault="00961A50" w:rsidP="00C17B50">
            <w:pPr>
              <w:pStyle w:val="Notedebasdepage"/>
              <w:spacing w:before="120"/>
              <w:ind w:left="0" w:firstLine="0"/>
              <w:rPr>
                <w:b/>
                <w:bCs/>
                <w:sz w:val="18"/>
                <w:szCs w:val="18"/>
              </w:rPr>
            </w:pPr>
            <w:r w:rsidRPr="00366942">
              <w:rPr>
                <w:b/>
                <w:bCs/>
                <w:sz w:val="18"/>
                <w:szCs w:val="18"/>
              </w:rPr>
              <w:t>11</w:t>
            </w:r>
            <w:r w:rsidRPr="00366942">
              <w:rPr>
                <w:sz w:val="18"/>
                <w:szCs w:val="18"/>
              </w:rPr>
              <w:t> </w:t>
            </w:r>
            <w:r w:rsidRPr="00366942">
              <w:rPr>
                <w:b/>
                <w:bCs/>
                <w:sz w:val="18"/>
                <w:szCs w:val="18"/>
              </w:rPr>
              <w:t>(1)</w:t>
            </w:r>
            <w:r w:rsidRPr="00366942">
              <w:rPr>
                <w:sz w:val="18"/>
                <w:szCs w:val="18"/>
              </w:rPr>
              <w:t>  La condition de transférabilité suppose que le régime provincial d’assurance-santé :</w:t>
            </w:r>
          </w:p>
        </w:tc>
      </w:tr>
      <w:tr w:rsidR="00366942" w:rsidRPr="00366942" w14:paraId="078D018A" w14:textId="77777777" w:rsidTr="00FC2C9F">
        <w:tc>
          <w:tcPr>
            <w:tcW w:w="4032" w:type="dxa"/>
          </w:tcPr>
          <w:p w14:paraId="71F32468" w14:textId="16C3DF8F" w:rsidR="00961A50" w:rsidRPr="00366942" w:rsidRDefault="008D3843" w:rsidP="00C17B50">
            <w:pPr>
              <w:pStyle w:val="Notedebasdepage"/>
              <w:spacing w:before="120"/>
              <w:ind w:left="0" w:firstLine="0"/>
              <w:rPr>
                <w:sz w:val="18"/>
                <w:szCs w:val="18"/>
              </w:rPr>
            </w:pPr>
            <w:r w:rsidRPr="00366942">
              <w:rPr>
                <w:sz w:val="18"/>
                <w:szCs w:val="18"/>
                <w:lang w:val="en-CA"/>
              </w:rPr>
              <w:t>[…]</w:t>
            </w:r>
          </w:p>
        </w:tc>
        <w:tc>
          <w:tcPr>
            <w:tcW w:w="4032" w:type="dxa"/>
          </w:tcPr>
          <w:p w14:paraId="17C8A5CA" w14:textId="77777777" w:rsidR="00961A50" w:rsidRPr="00366942" w:rsidRDefault="00961A50" w:rsidP="00C17B50">
            <w:pPr>
              <w:pStyle w:val="Notedebasdepage"/>
              <w:spacing w:before="120"/>
              <w:ind w:left="0" w:firstLine="0"/>
              <w:rPr>
                <w:sz w:val="18"/>
                <w:szCs w:val="18"/>
                <w:lang w:val="en-CA"/>
              </w:rPr>
            </w:pPr>
            <w:r w:rsidRPr="00366942">
              <w:rPr>
                <w:sz w:val="18"/>
                <w:szCs w:val="18"/>
              </w:rPr>
              <w:t>[…]</w:t>
            </w:r>
          </w:p>
        </w:tc>
      </w:tr>
      <w:tr w:rsidR="00366942" w:rsidRPr="00366942" w14:paraId="3528ACF9" w14:textId="77777777" w:rsidTr="00FC2C9F">
        <w:tc>
          <w:tcPr>
            <w:tcW w:w="4032" w:type="dxa"/>
          </w:tcPr>
          <w:p w14:paraId="4780C5BA" w14:textId="77777777" w:rsidR="00961A50" w:rsidRPr="00366942" w:rsidRDefault="00961A50" w:rsidP="00C17B50">
            <w:pPr>
              <w:pStyle w:val="Notedebasdepage"/>
              <w:spacing w:before="120"/>
              <w:ind w:left="0" w:firstLine="0"/>
              <w:rPr>
                <w:b/>
                <w:bCs/>
                <w:sz w:val="18"/>
                <w:szCs w:val="18"/>
                <w:lang w:val="en-CA"/>
              </w:rPr>
            </w:pPr>
            <w:r w:rsidRPr="00366942">
              <w:rPr>
                <w:b/>
                <w:bCs/>
                <w:sz w:val="18"/>
                <w:szCs w:val="18"/>
                <w:lang w:val="en-CA"/>
              </w:rPr>
              <w:t>(b)</w:t>
            </w:r>
            <w:r w:rsidRPr="00366942">
              <w:rPr>
                <w:sz w:val="18"/>
                <w:szCs w:val="18"/>
                <w:lang w:val="en-CA"/>
              </w:rPr>
              <w:t xml:space="preserve"> must provide for and be administered and operated so as to provide for the payment of amounts for the cost of insured health services provided to insured persons while temporarily absent from the province on the basis that</w:t>
            </w:r>
            <w:r w:rsidRPr="00366942">
              <w:rPr>
                <w:rStyle w:val="lawlabel"/>
                <w:rFonts w:ascii="Helvetica" w:hAnsi="Helvetica" w:cs="Helvetica"/>
                <w:b/>
                <w:bCs/>
                <w:sz w:val="18"/>
                <w:szCs w:val="18"/>
                <w:shd w:val="clear" w:color="auto" w:fill="FFFFFF"/>
                <w:lang w:val="en-CA"/>
              </w:rPr>
              <w:t xml:space="preserve"> </w:t>
            </w:r>
          </w:p>
        </w:tc>
        <w:tc>
          <w:tcPr>
            <w:tcW w:w="4032" w:type="dxa"/>
          </w:tcPr>
          <w:p w14:paraId="322E4C0F" w14:textId="77777777" w:rsidR="00961A50" w:rsidRPr="00366942" w:rsidRDefault="00961A50" w:rsidP="00C17B50">
            <w:pPr>
              <w:pStyle w:val="Notedebasdepage"/>
              <w:spacing w:before="120"/>
              <w:ind w:left="0" w:firstLine="0"/>
              <w:rPr>
                <w:sz w:val="18"/>
                <w:szCs w:val="18"/>
              </w:rPr>
            </w:pPr>
            <w:r w:rsidRPr="00366942">
              <w:rPr>
                <w:rStyle w:val="lawlabel"/>
                <w:rFonts w:ascii="Helvetica" w:hAnsi="Helvetica" w:cs="Helvetica"/>
                <w:b/>
                <w:bCs/>
                <w:sz w:val="18"/>
                <w:szCs w:val="18"/>
                <w:shd w:val="clear" w:color="auto" w:fill="FFFFFF"/>
              </w:rPr>
              <w:t>b)</w:t>
            </w:r>
            <w:r w:rsidRPr="00366942">
              <w:rPr>
                <w:rFonts w:ascii="Helvetica" w:hAnsi="Helvetica" w:cs="Helvetica"/>
                <w:sz w:val="18"/>
                <w:szCs w:val="18"/>
                <w:shd w:val="clear" w:color="auto" w:fill="FFFFFF"/>
              </w:rPr>
              <w:t> prévoie et que ses modalités d’application assurent le paiement des montants pour le coût des services de santé assurés fournis à des assurés temporairement absents de la province :</w:t>
            </w:r>
          </w:p>
        </w:tc>
      </w:tr>
      <w:tr w:rsidR="00366942" w:rsidRPr="00366942" w14:paraId="2381CFB1" w14:textId="77777777" w:rsidTr="00FC2C9F">
        <w:tc>
          <w:tcPr>
            <w:tcW w:w="4032" w:type="dxa"/>
          </w:tcPr>
          <w:p w14:paraId="748097E8" w14:textId="77777777" w:rsidR="00961A50" w:rsidRPr="00366942" w:rsidRDefault="00961A50" w:rsidP="00C17B50">
            <w:pPr>
              <w:pStyle w:val="Notedebasdepage"/>
              <w:spacing w:before="120"/>
              <w:ind w:left="144" w:firstLine="0"/>
              <w:rPr>
                <w:rStyle w:val="lawlabel"/>
                <w:rFonts w:ascii="Helvetica" w:hAnsi="Helvetica" w:cs="Helvetica"/>
                <w:sz w:val="18"/>
                <w:szCs w:val="18"/>
                <w:shd w:val="clear" w:color="auto" w:fill="FFFFFF"/>
                <w:lang w:val="en-CA"/>
              </w:rPr>
            </w:pPr>
            <w:r w:rsidRPr="00366942">
              <w:rPr>
                <w:b/>
                <w:bCs/>
                <w:sz w:val="18"/>
                <w:szCs w:val="18"/>
                <w:lang w:val="en-CA"/>
              </w:rPr>
              <w:t>(i)</w:t>
            </w:r>
            <w:r w:rsidRPr="00366942">
              <w:rPr>
                <w:sz w:val="18"/>
                <w:szCs w:val="18"/>
                <w:lang w:val="en-CA"/>
              </w:rPr>
              <w:t> where the insured health services are provided in Canada, payment for health services is at the rate that is approved by the health care insurance plan of the province in which the services are provided, unless the provinces concerned agree to apportion the cost between them in a different manner, or</w:t>
            </w:r>
            <w:r w:rsidRPr="00366942">
              <w:rPr>
                <w:rStyle w:val="lawlabel"/>
                <w:rFonts w:ascii="Helvetica" w:hAnsi="Helvetica" w:cs="Helvetica"/>
                <w:b/>
                <w:bCs/>
                <w:sz w:val="18"/>
                <w:szCs w:val="18"/>
                <w:shd w:val="clear" w:color="auto" w:fill="FFFFFF"/>
                <w:lang w:val="en-CA"/>
              </w:rPr>
              <w:t xml:space="preserve"> </w:t>
            </w:r>
          </w:p>
        </w:tc>
        <w:tc>
          <w:tcPr>
            <w:tcW w:w="4032" w:type="dxa"/>
          </w:tcPr>
          <w:p w14:paraId="04509C1E" w14:textId="77777777" w:rsidR="00961A50" w:rsidRPr="00366942" w:rsidRDefault="00961A50" w:rsidP="00C17B50">
            <w:pPr>
              <w:pStyle w:val="Notedebasdepage"/>
              <w:spacing w:before="120"/>
              <w:ind w:left="144" w:firstLine="0"/>
              <w:rPr>
                <w:sz w:val="18"/>
                <w:szCs w:val="18"/>
              </w:rPr>
            </w:pPr>
            <w:r w:rsidRPr="00366942">
              <w:rPr>
                <w:rStyle w:val="lawlabel"/>
                <w:rFonts w:ascii="Helvetica" w:hAnsi="Helvetica" w:cs="Helvetica"/>
                <w:b/>
                <w:bCs/>
                <w:sz w:val="18"/>
                <w:szCs w:val="18"/>
                <w:shd w:val="clear" w:color="auto" w:fill="FFFFFF"/>
              </w:rPr>
              <w:t>(i)</w:t>
            </w:r>
            <w:r w:rsidRPr="00366942">
              <w:rPr>
                <w:rStyle w:val="lawlabel"/>
                <w:rFonts w:ascii="Helvetica" w:hAnsi="Helvetica" w:cs="Helvetica"/>
                <w:sz w:val="18"/>
                <w:szCs w:val="18"/>
                <w:shd w:val="clear" w:color="auto" w:fill="FFFFFF"/>
              </w:rPr>
              <w:t> si ces services sont fournis au Canada, selon le taux approuvé par le régime d’assurance-santé de la province où ils sont fournis, sauf accord de répartition différente du coût entre les provinces concernées,</w:t>
            </w:r>
          </w:p>
        </w:tc>
      </w:tr>
      <w:tr w:rsidR="00366942" w:rsidRPr="00366942" w14:paraId="40242BBC" w14:textId="77777777" w:rsidTr="00FC2C9F">
        <w:tc>
          <w:tcPr>
            <w:tcW w:w="4032" w:type="dxa"/>
          </w:tcPr>
          <w:p w14:paraId="460973E5" w14:textId="77777777" w:rsidR="00961A50" w:rsidRPr="00366942" w:rsidRDefault="00961A50" w:rsidP="00C17B50">
            <w:pPr>
              <w:pStyle w:val="Notedebasdepage"/>
              <w:spacing w:before="120"/>
              <w:ind w:left="144" w:firstLine="0"/>
              <w:rPr>
                <w:rStyle w:val="lawlabel"/>
                <w:rFonts w:ascii="Helvetica" w:hAnsi="Helvetica" w:cs="Helvetica"/>
                <w:sz w:val="18"/>
                <w:szCs w:val="18"/>
                <w:shd w:val="clear" w:color="auto" w:fill="FFFFFF"/>
                <w:lang w:val="en-CA"/>
              </w:rPr>
            </w:pPr>
            <w:r w:rsidRPr="00366942">
              <w:rPr>
                <w:b/>
                <w:bCs/>
                <w:sz w:val="18"/>
                <w:szCs w:val="18"/>
                <w:lang w:val="en-CA"/>
              </w:rPr>
              <w:t>(ii)</w:t>
            </w:r>
            <w:r w:rsidRPr="00366942">
              <w:rPr>
                <w:sz w:val="18"/>
                <w:szCs w:val="18"/>
                <w:lang w:val="en-CA"/>
              </w:rPr>
              <w:t> where the insured health services are provided out of Canada, payment is made on the basis of the amount that would have been paid by the province for similar services rendered in the province, with due regard, in the case of hospital services, to the size of the hospital, standards of service and other relevant factors; and</w:t>
            </w:r>
          </w:p>
        </w:tc>
        <w:tc>
          <w:tcPr>
            <w:tcW w:w="4032" w:type="dxa"/>
          </w:tcPr>
          <w:p w14:paraId="73AFF3AD" w14:textId="77777777" w:rsidR="00961A50" w:rsidRPr="00366942" w:rsidRDefault="00961A50" w:rsidP="00C17B50">
            <w:pPr>
              <w:pStyle w:val="Notedebasdepage"/>
              <w:spacing w:before="120"/>
              <w:ind w:left="144" w:firstLine="0"/>
              <w:rPr>
                <w:sz w:val="18"/>
                <w:szCs w:val="18"/>
              </w:rPr>
            </w:pPr>
            <w:r w:rsidRPr="00366942">
              <w:rPr>
                <w:rStyle w:val="lawlabel"/>
                <w:rFonts w:ascii="Helvetica" w:hAnsi="Helvetica" w:cs="Helvetica"/>
                <w:b/>
                <w:bCs/>
                <w:sz w:val="18"/>
                <w:szCs w:val="18"/>
                <w:shd w:val="clear" w:color="auto" w:fill="FFFFFF"/>
              </w:rPr>
              <w:t>(ii)</w:t>
            </w:r>
            <w:r w:rsidRPr="00366942">
              <w:rPr>
                <w:rStyle w:val="lawlabel"/>
                <w:rFonts w:ascii="Helvetica" w:hAnsi="Helvetica" w:cs="Helvetica"/>
                <w:sz w:val="18"/>
                <w:szCs w:val="18"/>
                <w:shd w:val="clear" w:color="auto" w:fill="FFFFFF"/>
              </w:rPr>
              <w:t> s’ils sont fournis à l’étranger, selon le montant qu’aurait versé la province pour des services semblables fournis dans la province, compte tenu, s’il s’agit de services hospitaliers, de l’importance de l’hôpital, de la qualité des services et des autres facteurs utiles;</w:t>
            </w:r>
            <w:r w:rsidRPr="00366942">
              <w:rPr>
                <w:b/>
                <w:bCs/>
                <w:sz w:val="18"/>
                <w:szCs w:val="18"/>
              </w:rPr>
              <w:t xml:space="preserve"> </w:t>
            </w:r>
          </w:p>
        </w:tc>
      </w:tr>
      <w:tr w:rsidR="00366942" w:rsidRPr="00366942" w14:paraId="742CA158" w14:textId="77777777" w:rsidTr="00FC2C9F">
        <w:tc>
          <w:tcPr>
            <w:tcW w:w="4032" w:type="dxa"/>
          </w:tcPr>
          <w:p w14:paraId="46AE96C0" w14:textId="1709AA8E" w:rsidR="00961A50" w:rsidRPr="00366942" w:rsidRDefault="008D3843" w:rsidP="006E2F21">
            <w:pPr>
              <w:pStyle w:val="Notedebasdepage"/>
              <w:spacing w:before="120" w:after="120"/>
              <w:ind w:left="0" w:firstLine="0"/>
              <w:rPr>
                <w:rStyle w:val="lawlabel"/>
                <w:rFonts w:ascii="Helvetica" w:hAnsi="Helvetica" w:cs="Helvetica"/>
                <w:sz w:val="18"/>
                <w:szCs w:val="18"/>
                <w:shd w:val="clear" w:color="auto" w:fill="FFFFFF"/>
              </w:rPr>
            </w:pPr>
            <w:r w:rsidRPr="00366942">
              <w:rPr>
                <w:rStyle w:val="lawlabel"/>
                <w:rFonts w:ascii="Helvetica" w:hAnsi="Helvetica" w:cs="Helvetica"/>
                <w:sz w:val="18"/>
                <w:szCs w:val="18"/>
                <w:shd w:val="clear" w:color="auto" w:fill="FFFFFF"/>
              </w:rPr>
              <w:t>[…]</w:t>
            </w:r>
          </w:p>
        </w:tc>
        <w:tc>
          <w:tcPr>
            <w:tcW w:w="4032" w:type="dxa"/>
          </w:tcPr>
          <w:p w14:paraId="32DA1A38" w14:textId="77777777" w:rsidR="00961A50" w:rsidRPr="00366942" w:rsidRDefault="00961A50" w:rsidP="00C17B50">
            <w:pPr>
              <w:pStyle w:val="Notedebasdepage"/>
              <w:spacing w:before="120"/>
              <w:ind w:left="0" w:firstLine="0"/>
              <w:rPr>
                <w:sz w:val="18"/>
                <w:szCs w:val="18"/>
                <w:lang w:val="en-CA"/>
              </w:rPr>
            </w:pPr>
            <w:r w:rsidRPr="00366942">
              <w:rPr>
                <w:rStyle w:val="lawlabel"/>
                <w:rFonts w:ascii="Helvetica" w:hAnsi="Helvetica" w:cs="Helvetica"/>
                <w:sz w:val="18"/>
                <w:szCs w:val="18"/>
                <w:shd w:val="clear" w:color="auto" w:fill="FFFFFF"/>
              </w:rPr>
              <w:t>[…]</w:t>
            </w:r>
          </w:p>
        </w:tc>
      </w:tr>
    </w:tbl>
    <w:bookmarkEnd w:id="49"/>
    <w:p w14:paraId="6F36A65A" w14:textId="4136A148" w:rsidR="00961A50" w:rsidRPr="00366942" w:rsidRDefault="00961A50" w:rsidP="00961A50">
      <w:pPr>
        <w:pStyle w:val="Notedebasdepage"/>
        <w:rPr>
          <w:lang w:val="en-CA"/>
        </w:rPr>
      </w:pPr>
      <w:r w:rsidRPr="00366942">
        <w:rPr>
          <w:lang w:val="en-CA"/>
        </w:rPr>
        <w:tab/>
      </w:r>
      <w:r w:rsidR="005257F6" w:rsidRPr="00366942">
        <w:rPr>
          <w:lang w:val="en-CA"/>
        </w:rPr>
        <w:t>As we know</w:t>
      </w:r>
      <w:r w:rsidRPr="00366942">
        <w:rPr>
          <w:lang w:val="en-CA"/>
        </w:rPr>
        <w:t xml:space="preserve">, </w:t>
      </w:r>
      <w:r w:rsidR="005257F6" w:rsidRPr="00366942">
        <w:rPr>
          <w:lang w:val="en-CA"/>
        </w:rPr>
        <w:t>s.</w:t>
      </w:r>
      <w:r w:rsidRPr="00366942">
        <w:rPr>
          <w:lang w:val="en-CA"/>
        </w:rPr>
        <w:t xml:space="preserve"> 10</w:t>
      </w:r>
      <w:r w:rsidR="005257F6" w:rsidRPr="00366942">
        <w:rPr>
          <w:lang w:val="en-CA"/>
        </w:rPr>
        <w:t>, para</w:t>
      </w:r>
      <w:r w:rsidRPr="00366942">
        <w:rPr>
          <w:lang w:val="en-CA"/>
        </w:rPr>
        <w:t xml:space="preserve">. 4 </w:t>
      </w:r>
      <w:r w:rsidR="005257F6" w:rsidRPr="00366942">
        <w:rPr>
          <w:i/>
          <w:iCs/>
          <w:lang w:val="en-CA"/>
        </w:rPr>
        <w:t>HIA</w:t>
      </w:r>
      <w:r w:rsidRPr="00366942">
        <w:rPr>
          <w:lang w:val="en-CA"/>
        </w:rPr>
        <w:t xml:space="preserve"> </w:t>
      </w:r>
      <w:r w:rsidR="005257F6" w:rsidRPr="00366942">
        <w:rPr>
          <w:lang w:val="en-CA"/>
        </w:rPr>
        <w:t>provides that the amount reimbursed or paid shall not exceed the amount</w:t>
      </w:r>
      <w:r w:rsidRPr="00366942">
        <w:rPr>
          <w:lang w:val="en-CA"/>
        </w:rPr>
        <w:t xml:space="preserve"> </w:t>
      </w:r>
      <w:r w:rsidR="005257F6" w:rsidRPr="00366942">
        <w:rPr>
          <w:lang w:val="en-CA"/>
        </w:rPr>
        <w:t>“established by the Board for such services paid in Québec”</w:t>
      </w:r>
      <w:r w:rsidRPr="00366942">
        <w:rPr>
          <w:lang w:val="en-CA"/>
        </w:rPr>
        <w:t xml:space="preserve">, </w:t>
      </w:r>
      <w:r w:rsidR="005257F6" w:rsidRPr="00366942">
        <w:rPr>
          <w:lang w:val="en-CA"/>
        </w:rPr>
        <w:t>whereas s</w:t>
      </w:r>
      <w:r w:rsidR="00763600">
        <w:rPr>
          <w:lang w:val="en-CA"/>
        </w:rPr>
        <w:t>ubs</w:t>
      </w:r>
      <w:r w:rsidRPr="00366942">
        <w:rPr>
          <w:lang w:val="en-CA"/>
        </w:rPr>
        <w:t>. 11(1)</w:t>
      </w:r>
      <w:r w:rsidR="005257F6" w:rsidRPr="00366942">
        <w:rPr>
          <w:lang w:val="en-CA"/>
        </w:rPr>
        <w:t>(</w:t>
      </w:r>
      <w:r w:rsidRPr="00366942">
        <w:rPr>
          <w:lang w:val="en-CA"/>
        </w:rPr>
        <w:t xml:space="preserve">b)(i) </w:t>
      </w:r>
      <w:r w:rsidR="005257F6" w:rsidRPr="00366942">
        <w:rPr>
          <w:lang w:val="en-CA"/>
        </w:rPr>
        <w:t xml:space="preserve">of the </w:t>
      </w:r>
      <w:r w:rsidR="005257F6" w:rsidRPr="00366942">
        <w:rPr>
          <w:i/>
          <w:iCs/>
          <w:lang w:val="en-CA"/>
        </w:rPr>
        <w:t>Canada Health Act</w:t>
      </w:r>
      <w:r w:rsidR="005257F6" w:rsidRPr="00366942">
        <w:rPr>
          <w:lang w:val="en-CA"/>
        </w:rPr>
        <w:t xml:space="preserve"> provides, rather, </w:t>
      </w:r>
      <w:r w:rsidR="0050408F" w:rsidRPr="00366942">
        <w:rPr>
          <w:lang w:val="en-CA"/>
        </w:rPr>
        <w:t xml:space="preserve">for the </w:t>
      </w:r>
      <w:r w:rsidR="005257F6" w:rsidRPr="00366942">
        <w:rPr>
          <w:lang w:val="en-CA"/>
        </w:rPr>
        <w:t xml:space="preserve">reimbursement or payment </w:t>
      </w:r>
      <w:r w:rsidR="0050408F" w:rsidRPr="00366942">
        <w:rPr>
          <w:lang w:val="en-CA"/>
        </w:rPr>
        <w:t>equal</w:t>
      </w:r>
      <w:r w:rsidR="005257F6" w:rsidRPr="00366942">
        <w:rPr>
          <w:lang w:val="en-CA"/>
        </w:rPr>
        <w:t xml:space="preserve"> the rate provided by the plan of the province where the service was</w:t>
      </w:r>
      <w:r w:rsidR="006D75A0" w:rsidRPr="00366942">
        <w:rPr>
          <w:lang w:val="en-CA"/>
        </w:rPr>
        <w:t xml:space="preserve"> provided, unless </w:t>
      </w:r>
      <w:r w:rsidR="00DC0D83" w:rsidRPr="00366942">
        <w:rPr>
          <w:lang w:val="en-CA"/>
        </w:rPr>
        <w:t xml:space="preserve">an </w:t>
      </w:r>
      <w:r w:rsidR="006D75A0" w:rsidRPr="00366942">
        <w:rPr>
          <w:lang w:val="en-CA"/>
        </w:rPr>
        <w:t xml:space="preserve">agreement </w:t>
      </w:r>
      <w:r w:rsidR="00DC0D83" w:rsidRPr="00366942">
        <w:rPr>
          <w:lang w:val="en-CA"/>
        </w:rPr>
        <w:t>has been</w:t>
      </w:r>
      <w:r w:rsidR="006D75A0" w:rsidRPr="00366942">
        <w:rPr>
          <w:lang w:val="en-CA"/>
        </w:rPr>
        <w:t xml:space="preserve"> reached</w:t>
      </w:r>
      <w:r w:rsidRPr="00366942">
        <w:rPr>
          <w:lang w:val="en-CA"/>
        </w:rPr>
        <w:t xml:space="preserve">. </w:t>
      </w:r>
      <w:r w:rsidR="006D75A0" w:rsidRPr="00366942">
        <w:rPr>
          <w:lang w:val="en-CA"/>
        </w:rPr>
        <w:t>However</w:t>
      </w:r>
      <w:r w:rsidR="0050408F" w:rsidRPr="00366942">
        <w:rPr>
          <w:lang w:val="en-CA"/>
        </w:rPr>
        <w:t>,</w:t>
      </w:r>
      <w:r w:rsidR="006D75A0" w:rsidRPr="00366942">
        <w:rPr>
          <w:lang w:val="en-CA"/>
        </w:rPr>
        <w:t xml:space="preserve"> Quebec </w:t>
      </w:r>
      <w:r w:rsidR="0050408F" w:rsidRPr="00366942">
        <w:rPr>
          <w:lang w:val="en-CA"/>
        </w:rPr>
        <w:t xml:space="preserve">is </w:t>
      </w:r>
      <w:r w:rsidR="006D75A0" w:rsidRPr="00366942">
        <w:rPr>
          <w:lang w:val="en-CA"/>
        </w:rPr>
        <w:t>apparently not a party to any agreement</w:t>
      </w:r>
      <w:r w:rsidR="0050408F" w:rsidRPr="00366942">
        <w:rPr>
          <w:lang w:val="en-CA"/>
        </w:rPr>
        <w:t xml:space="preserve"> on medical services</w:t>
      </w:r>
      <w:r w:rsidR="006D75A0" w:rsidRPr="00366942">
        <w:rPr>
          <w:lang w:val="en-CA"/>
        </w:rPr>
        <w:t>, although, as dis</w:t>
      </w:r>
      <w:r w:rsidR="0050408F" w:rsidRPr="00366942">
        <w:rPr>
          <w:lang w:val="en-CA"/>
        </w:rPr>
        <w:t>c</w:t>
      </w:r>
      <w:r w:rsidR="006D75A0" w:rsidRPr="00366942">
        <w:rPr>
          <w:lang w:val="en-CA"/>
        </w:rPr>
        <w:t xml:space="preserve">ussed above, it </w:t>
      </w:r>
      <w:r w:rsidR="0050408F" w:rsidRPr="00366942">
        <w:rPr>
          <w:lang w:val="en-CA"/>
        </w:rPr>
        <w:t>is</w:t>
      </w:r>
      <w:r w:rsidR="006D75A0" w:rsidRPr="00366942">
        <w:rPr>
          <w:lang w:val="en-CA"/>
        </w:rPr>
        <w:t xml:space="preserve"> for hospital services. </w:t>
      </w:r>
      <w:r w:rsidR="00DC0D83" w:rsidRPr="00366942">
        <w:rPr>
          <w:lang w:val="en-CA"/>
        </w:rPr>
        <w:t>I r</w:t>
      </w:r>
      <w:r w:rsidR="006D75A0" w:rsidRPr="00366942">
        <w:rPr>
          <w:lang w:val="en-CA"/>
        </w:rPr>
        <w:t xml:space="preserve">ecall that the parties did not argue the issue of whether s. 10, para. 4 </w:t>
      </w:r>
      <w:r w:rsidR="006D75A0" w:rsidRPr="00366942">
        <w:rPr>
          <w:i/>
          <w:iCs/>
          <w:lang w:val="en-CA"/>
        </w:rPr>
        <w:t>HIA</w:t>
      </w:r>
      <w:r w:rsidR="006D75A0" w:rsidRPr="00366942">
        <w:rPr>
          <w:lang w:val="en-CA"/>
        </w:rPr>
        <w:t xml:space="preserve"> complie</w:t>
      </w:r>
      <w:r w:rsidR="007F2033" w:rsidRPr="00366942">
        <w:rPr>
          <w:lang w:val="en-CA"/>
        </w:rPr>
        <w:t>s</w:t>
      </w:r>
      <w:r w:rsidR="006D75A0" w:rsidRPr="00366942">
        <w:rPr>
          <w:lang w:val="en-CA"/>
        </w:rPr>
        <w:t xml:space="preserve"> or not with s</w:t>
      </w:r>
      <w:r w:rsidR="00763600">
        <w:rPr>
          <w:lang w:val="en-CA"/>
        </w:rPr>
        <w:t>ubs</w:t>
      </w:r>
      <w:r w:rsidR="006D75A0" w:rsidRPr="00366942">
        <w:rPr>
          <w:lang w:val="en-CA"/>
        </w:rPr>
        <w:t xml:space="preserve">. </w:t>
      </w:r>
      <w:r w:rsidRPr="00366942">
        <w:rPr>
          <w:lang w:val="en-CA"/>
        </w:rPr>
        <w:t>11(1)</w:t>
      </w:r>
      <w:r w:rsidR="006D75A0" w:rsidRPr="00366942">
        <w:rPr>
          <w:lang w:val="en-CA"/>
        </w:rPr>
        <w:t>(</w:t>
      </w:r>
      <w:r w:rsidRPr="00366942">
        <w:rPr>
          <w:lang w:val="en-CA"/>
        </w:rPr>
        <w:t xml:space="preserve">b)(i) </w:t>
      </w:r>
      <w:r w:rsidR="006D75A0" w:rsidRPr="00366942">
        <w:rPr>
          <w:lang w:val="en-CA"/>
        </w:rPr>
        <w:t>of the</w:t>
      </w:r>
      <w:r w:rsidRPr="00366942">
        <w:rPr>
          <w:lang w:val="en-CA"/>
        </w:rPr>
        <w:t xml:space="preserve"> </w:t>
      </w:r>
      <w:r w:rsidR="006D75A0" w:rsidRPr="00366942">
        <w:rPr>
          <w:i/>
          <w:iCs/>
          <w:lang w:val="en-CA"/>
        </w:rPr>
        <w:t>Canada Health Act</w:t>
      </w:r>
      <w:r w:rsidRPr="00366942">
        <w:rPr>
          <w:i/>
          <w:iCs/>
          <w:lang w:val="en-CA"/>
        </w:rPr>
        <w:t xml:space="preserve"> </w:t>
      </w:r>
      <w:r w:rsidRPr="00366942">
        <w:rPr>
          <w:lang w:val="en-CA"/>
        </w:rPr>
        <w:t>(</w:t>
      </w:r>
      <w:r w:rsidR="006D75A0" w:rsidRPr="00366942">
        <w:rPr>
          <w:lang w:val="en-CA"/>
        </w:rPr>
        <w:t>see</w:t>
      </w:r>
      <w:r w:rsidRPr="00366942">
        <w:rPr>
          <w:lang w:val="en-CA"/>
        </w:rPr>
        <w:t xml:space="preserve"> </w:t>
      </w:r>
      <w:r w:rsidRPr="00366942">
        <w:rPr>
          <w:i/>
          <w:iCs/>
          <w:lang w:val="en-CA"/>
        </w:rPr>
        <w:t>supra</w:t>
      </w:r>
      <w:r w:rsidRPr="00366942">
        <w:rPr>
          <w:lang w:val="en-CA"/>
        </w:rPr>
        <w:t xml:space="preserve">, </w:t>
      </w:r>
      <w:r w:rsidR="006D75A0" w:rsidRPr="00366942">
        <w:rPr>
          <w:lang w:val="en-CA"/>
        </w:rPr>
        <w:t xml:space="preserve">at </w:t>
      </w:r>
      <w:r w:rsidRPr="00366942">
        <w:rPr>
          <w:lang w:val="en-CA"/>
        </w:rPr>
        <w:t xml:space="preserve">para. </w:t>
      </w:r>
      <w:r w:rsidRPr="00366942">
        <w:rPr>
          <w:lang w:val="en-CA"/>
        </w:rPr>
        <w:fldChar w:fldCharType="begin"/>
      </w:r>
      <w:r w:rsidRPr="00366942">
        <w:rPr>
          <w:lang w:val="en-CA"/>
        </w:rPr>
        <w:instrText xml:space="preserve"> REF _Ref173857231 \r \h </w:instrText>
      </w:r>
      <w:r w:rsidRPr="00366942">
        <w:rPr>
          <w:lang w:val="en-CA"/>
        </w:rPr>
      </w:r>
      <w:r w:rsidRPr="00366942">
        <w:rPr>
          <w:lang w:val="en-CA"/>
        </w:rPr>
        <w:fldChar w:fldCharType="separate"/>
      </w:r>
      <w:r w:rsidR="001C6ED6">
        <w:rPr>
          <w:lang w:val="en-CA"/>
        </w:rPr>
        <w:t>[55]</w:t>
      </w:r>
      <w:r w:rsidRPr="00366942">
        <w:rPr>
          <w:lang w:val="en-CA"/>
        </w:rPr>
        <w:fldChar w:fldCharType="end"/>
      </w:r>
      <w:r w:rsidRPr="00366942">
        <w:rPr>
          <w:lang w:val="en-CA"/>
        </w:rPr>
        <w:t xml:space="preserve">), </w:t>
      </w:r>
      <w:r w:rsidR="006D75A0" w:rsidRPr="00366942">
        <w:rPr>
          <w:lang w:val="en-CA"/>
        </w:rPr>
        <w:t>the sanction for non-compliance being a reduction or withholding</w:t>
      </w:r>
      <w:r w:rsidR="00A81FF4" w:rsidRPr="00366942">
        <w:rPr>
          <w:lang w:val="en-CA"/>
        </w:rPr>
        <w:t xml:space="preserve"> of the </w:t>
      </w:r>
      <w:r w:rsidR="007F2033" w:rsidRPr="00366942">
        <w:rPr>
          <w:lang w:val="en-CA"/>
        </w:rPr>
        <w:t>f</w:t>
      </w:r>
      <w:r w:rsidR="00A81FF4" w:rsidRPr="00366942">
        <w:rPr>
          <w:lang w:val="en-CA"/>
        </w:rPr>
        <w:t>ederal contribution to the funding of health care in the province or territory in question</w:t>
      </w:r>
      <w:r w:rsidRPr="00366942">
        <w:rPr>
          <w:lang w:val="en-CA"/>
        </w:rPr>
        <w:t xml:space="preserve">, </w:t>
      </w:r>
      <w:r w:rsidR="00A81FF4" w:rsidRPr="00366942">
        <w:rPr>
          <w:lang w:val="en-CA"/>
        </w:rPr>
        <w:t>pursuant to ss</w:t>
      </w:r>
      <w:r w:rsidRPr="00366942">
        <w:rPr>
          <w:lang w:val="en-CA"/>
        </w:rPr>
        <w:t xml:space="preserve">. 7 </w:t>
      </w:r>
      <w:r w:rsidR="00A81FF4" w:rsidRPr="00366942">
        <w:rPr>
          <w:lang w:val="en-CA"/>
        </w:rPr>
        <w:t>and</w:t>
      </w:r>
      <w:r w:rsidRPr="00366942">
        <w:rPr>
          <w:lang w:val="en-CA"/>
        </w:rPr>
        <w:t xml:space="preserve"> 15 </w:t>
      </w:r>
      <w:r w:rsidR="00A81FF4" w:rsidRPr="00366942">
        <w:rPr>
          <w:lang w:val="en-CA"/>
        </w:rPr>
        <w:t>of the</w:t>
      </w:r>
      <w:r w:rsidRPr="00366942">
        <w:rPr>
          <w:lang w:val="en-CA"/>
        </w:rPr>
        <w:t xml:space="preserve"> </w:t>
      </w:r>
      <w:r w:rsidR="00A81FF4" w:rsidRPr="00366942">
        <w:rPr>
          <w:i/>
          <w:iCs/>
          <w:lang w:val="en-CA"/>
        </w:rPr>
        <w:t>Canada Health Act</w:t>
      </w:r>
      <w:r w:rsidRPr="00366942">
        <w:rPr>
          <w:lang w:val="en-CA"/>
        </w:rPr>
        <w:t xml:space="preserve">. </w:t>
      </w:r>
      <w:r w:rsidR="00A81FF4" w:rsidRPr="00366942">
        <w:rPr>
          <w:lang w:val="en-CA"/>
        </w:rPr>
        <w:t>However</w:t>
      </w:r>
      <w:r w:rsidRPr="00366942">
        <w:rPr>
          <w:lang w:val="en-CA"/>
        </w:rPr>
        <w:t xml:space="preserve">, </w:t>
      </w:r>
      <w:r w:rsidRPr="00366942">
        <w:rPr>
          <w:i/>
          <w:iCs/>
          <w:lang w:val="en-CA"/>
        </w:rPr>
        <w:t>a priori</w:t>
      </w:r>
      <w:r w:rsidRPr="00366942">
        <w:rPr>
          <w:lang w:val="en-CA"/>
        </w:rPr>
        <w:t xml:space="preserve">, </w:t>
      </w:r>
      <w:r w:rsidR="00A81FF4" w:rsidRPr="00366942">
        <w:rPr>
          <w:lang w:val="en-CA"/>
        </w:rPr>
        <w:t>s</w:t>
      </w:r>
      <w:r w:rsidRPr="00366942">
        <w:rPr>
          <w:lang w:val="en-CA"/>
        </w:rPr>
        <w:t>. 10</w:t>
      </w:r>
      <w:r w:rsidR="00A81FF4" w:rsidRPr="00366942">
        <w:rPr>
          <w:lang w:val="en-CA"/>
        </w:rPr>
        <w:t>, para</w:t>
      </w:r>
      <w:r w:rsidRPr="00366942">
        <w:rPr>
          <w:lang w:val="en-CA"/>
        </w:rPr>
        <w:t xml:space="preserve">. 4 </w:t>
      </w:r>
      <w:r w:rsidR="00A81FF4" w:rsidRPr="00366942">
        <w:rPr>
          <w:i/>
          <w:iCs/>
          <w:lang w:val="en-CA"/>
        </w:rPr>
        <w:t>HIA</w:t>
      </w:r>
      <w:r w:rsidRPr="00366942">
        <w:rPr>
          <w:lang w:val="en-CA"/>
        </w:rPr>
        <w:t xml:space="preserve"> </w:t>
      </w:r>
      <w:r w:rsidR="00D773C2" w:rsidRPr="00366942">
        <w:rPr>
          <w:lang w:val="en-CA"/>
        </w:rPr>
        <w:t xml:space="preserve">appears to be in compliance </w:t>
      </w:r>
      <w:r w:rsidR="00A81FF4" w:rsidRPr="00366942">
        <w:rPr>
          <w:lang w:val="en-CA"/>
        </w:rPr>
        <w:t>with s</w:t>
      </w:r>
      <w:r w:rsidR="00763600">
        <w:rPr>
          <w:lang w:val="en-CA"/>
        </w:rPr>
        <w:t>ubs</w:t>
      </w:r>
      <w:r w:rsidRPr="00366942">
        <w:rPr>
          <w:lang w:val="en-CA"/>
        </w:rPr>
        <w:t>. 11(1)</w:t>
      </w:r>
      <w:r w:rsidR="00A81FF4" w:rsidRPr="00366942">
        <w:rPr>
          <w:lang w:val="en-CA"/>
        </w:rPr>
        <w:t>(</w:t>
      </w:r>
      <w:r w:rsidRPr="00366942">
        <w:rPr>
          <w:lang w:val="en-CA"/>
        </w:rPr>
        <w:t xml:space="preserve">b)(ii) </w:t>
      </w:r>
      <w:r w:rsidR="00A81FF4" w:rsidRPr="00366942">
        <w:rPr>
          <w:lang w:val="en-CA"/>
        </w:rPr>
        <w:t xml:space="preserve">as </w:t>
      </w:r>
      <w:r w:rsidR="0050408F" w:rsidRPr="00366942">
        <w:rPr>
          <w:lang w:val="en-CA"/>
        </w:rPr>
        <w:t>regards</w:t>
      </w:r>
      <w:r w:rsidR="00A81FF4" w:rsidRPr="00366942">
        <w:rPr>
          <w:lang w:val="en-CA"/>
        </w:rPr>
        <w:t xml:space="preserve"> services provided abroad, i.e., outside Canada (a point that the parties did not discuss either, but that appears </w:t>
      </w:r>
      <w:r w:rsidR="00E87006" w:rsidRPr="00366942">
        <w:rPr>
          <w:lang w:val="en-CA"/>
        </w:rPr>
        <w:t>on its face</w:t>
      </w:r>
      <w:r w:rsidR="00A81FF4" w:rsidRPr="00366942">
        <w:rPr>
          <w:lang w:val="en-CA"/>
        </w:rPr>
        <w:t xml:space="preserve"> upon a side by side reading of </w:t>
      </w:r>
      <w:r w:rsidR="0050408F" w:rsidRPr="00366942">
        <w:rPr>
          <w:lang w:val="en-CA"/>
        </w:rPr>
        <w:t>both</w:t>
      </w:r>
      <w:r w:rsidR="00A81FF4" w:rsidRPr="00366942">
        <w:rPr>
          <w:lang w:val="en-CA"/>
        </w:rPr>
        <w:t xml:space="preserve"> provisions</w:t>
      </w:r>
      <w:r w:rsidRPr="00366942">
        <w:rPr>
          <w:lang w:val="en-CA"/>
        </w:rPr>
        <w:t>).</w:t>
      </w:r>
    </w:p>
  </w:footnote>
  <w:footnote w:id="107">
    <w:p w14:paraId="1E98AE6D" w14:textId="1CF625B9" w:rsidR="00961A50" w:rsidRPr="00366942" w:rsidRDefault="00961A50" w:rsidP="00961A50">
      <w:pPr>
        <w:pStyle w:val="Notedebasdepage"/>
      </w:pPr>
      <w:r w:rsidRPr="00366942">
        <w:rPr>
          <w:rStyle w:val="Appelnotedebasdep"/>
        </w:rPr>
        <w:footnoteRef/>
      </w:r>
      <w:r w:rsidRPr="00366942">
        <w:t xml:space="preserve"> </w:t>
      </w:r>
      <w:r w:rsidRPr="00366942">
        <w:tab/>
      </w:r>
      <w:r w:rsidRPr="00366942">
        <w:rPr>
          <w:i/>
          <w:iCs/>
        </w:rPr>
        <w:t>A.P. c. Régie de l’assurance maladie du Québec</w:t>
      </w:r>
      <w:r w:rsidRPr="00366942">
        <w:t xml:space="preserve">, </w:t>
      </w:r>
      <w:r w:rsidR="000A544F" w:rsidRPr="00366942">
        <w:rPr>
          <w:i/>
          <w:iCs/>
        </w:rPr>
        <w:t>supra</w:t>
      </w:r>
      <w:r w:rsidRPr="00366942">
        <w:t xml:space="preserve">, note </w:t>
      </w:r>
      <w:r w:rsidRPr="00366942">
        <w:rPr>
          <w:lang w:val="en-CA"/>
        </w:rPr>
        <w:fldChar w:fldCharType="begin"/>
      </w:r>
      <w:r w:rsidRPr="00366942">
        <w:instrText xml:space="preserve"> NOTEREF _Ref173147308 \h </w:instrText>
      </w:r>
      <w:r w:rsidRPr="00366942">
        <w:rPr>
          <w:lang w:val="en-CA"/>
        </w:rPr>
      </w:r>
      <w:r w:rsidRPr="00366942">
        <w:rPr>
          <w:lang w:val="en-CA"/>
        </w:rPr>
        <w:fldChar w:fldCharType="separate"/>
      </w:r>
      <w:r w:rsidR="001C6ED6">
        <w:t>6</w:t>
      </w:r>
      <w:r w:rsidRPr="00366942">
        <w:rPr>
          <w:lang w:val="en-CA"/>
        </w:rPr>
        <w:fldChar w:fldCharType="end"/>
      </w:r>
      <w:r w:rsidRPr="00366942">
        <w:t xml:space="preserve">, </w:t>
      </w:r>
      <w:r w:rsidR="000A544F" w:rsidRPr="00366942">
        <w:t xml:space="preserve">at </w:t>
      </w:r>
      <w:r w:rsidRPr="00366942">
        <w:t>para. 103.</w:t>
      </w:r>
    </w:p>
  </w:footnote>
  <w:footnote w:id="108">
    <w:p w14:paraId="3C2C7D0A" w14:textId="2F6F60AB" w:rsidR="00961A50" w:rsidRPr="00366942" w:rsidRDefault="00961A50" w:rsidP="00961A50">
      <w:pPr>
        <w:pStyle w:val="Notedebasdepage"/>
      </w:pPr>
      <w:r w:rsidRPr="00366942">
        <w:rPr>
          <w:rStyle w:val="Appelnotedebasdep"/>
          <w:lang w:val="en-CA"/>
        </w:rPr>
        <w:footnoteRef/>
      </w:r>
      <w:r w:rsidRPr="00366942">
        <w:t xml:space="preserve"> </w:t>
      </w:r>
      <w:r w:rsidRPr="00366942">
        <w:tab/>
      </w:r>
      <w:r w:rsidR="00F37C41" w:rsidRPr="00366942">
        <w:t xml:space="preserve">It also constitutes a substantial part of its annual budget: </w:t>
      </w:r>
      <w:r w:rsidRPr="00366942">
        <w:t xml:space="preserve">Nicholas-James Clavet, Jean-Yves Duclos, Bernard Fortin, Steeve Marchand, Pierre-Carl Michaud, </w:t>
      </w:r>
      <w:r w:rsidRPr="00366942">
        <w:rPr>
          <w:i/>
          <w:iCs/>
        </w:rPr>
        <w:t>Les dépenses en santé du gouvernement du Québec, 2013-2030 : projections et déterminants</w:t>
      </w:r>
      <w:r w:rsidRPr="00366942">
        <w:t xml:space="preserve">, Série scientifique n°2013s-45, Montréal, Cirano, </w:t>
      </w:r>
      <w:r w:rsidR="00D0794E" w:rsidRPr="00366942">
        <w:t>December</w:t>
      </w:r>
      <w:r w:rsidRPr="00366942">
        <w:t xml:space="preserve"> 2013; Ministère de la Santé et des Services sociaux, </w:t>
      </w:r>
      <w:r w:rsidRPr="00366942">
        <w:rPr>
          <w:i/>
          <w:iCs/>
        </w:rPr>
        <w:t>Comptes de la santé 2020-2021, 2021-2022, 2022-2023</w:t>
      </w:r>
      <w:r w:rsidRPr="00366942">
        <w:t>, Québec, Gouvernement du Québec, 2023.</w:t>
      </w:r>
    </w:p>
  </w:footnote>
  <w:footnote w:id="109">
    <w:p w14:paraId="11C5AE78" w14:textId="1F17DD3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D0794E" w:rsidRPr="00366942">
        <w:rPr>
          <w:lang w:val="en-CA"/>
        </w:rPr>
        <w:t xml:space="preserve">One </w:t>
      </w:r>
      <w:r w:rsidR="007A73C8" w:rsidRPr="00366942">
        <w:rPr>
          <w:lang w:val="en-CA"/>
        </w:rPr>
        <w:t>might</w:t>
      </w:r>
      <w:r w:rsidR="00D0794E" w:rsidRPr="00366942">
        <w:rPr>
          <w:lang w:val="en-CA"/>
        </w:rPr>
        <w:t xml:space="preserve"> add to this the</w:t>
      </w:r>
      <w:r w:rsidRPr="00366942">
        <w:rPr>
          <w:lang w:val="en-CA"/>
        </w:rPr>
        <w:t xml:space="preserve"> </w:t>
      </w:r>
      <w:r w:rsidR="00D0794E" w:rsidRPr="00763600">
        <w:rPr>
          <w:i/>
          <w:iCs/>
          <w:lang w:val="en-CA"/>
        </w:rPr>
        <w:t xml:space="preserve">Act </w:t>
      </w:r>
      <w:r w:rsidR="00D0794E" w:rsidRPr="00366942">
        <w:rPr>
          <w:i/>
          <w:iCs/>
          <w:lang w:val="en-CA"/>
        </w:rPr>
        <w:t>respecting prescription drug insurance</w:t>
      </w:r>
      <w:r w:rsidRPr="00366942">
        <w:rPr>
          <w:lang w:val="en-CA"/>
        </w:rPr>
        <w:t xml:space="preserve">, </w:t>
      </w:r>
      <w:r w:rsidR="00D0794E" w:rsidRPr="00366942">
        <w:rPr>
          <w:lang w:val="en-CA"/>
        </w:rPr>
        <w:t>enacted in</w:t>
      </w:r>
      <w:r w:rsidRPr="00366942">
        <w:rPr>
          <w:lang w:val="en-CA"/>
        </w:rPr>
        <w:t xml:space="preserve"> 1996.</w:t>
      </w:r>
    </w:p>
  </w:footnote>
  <w:footnote w:id="110">
    <w:p w14:paraId="15FC0853" w14:textId="6788A001" w:rsidR="00EB7735" w:rsidRPr="00B0144E" w:rsidRDefault="00EB7735" w:rsidP="00EB7735">
      <w:pPr>
        <w:pStyle w:val="Notedebasdepage"/>
        <w:rPr>
          <w:lang w:val="en-CA"/>
        </w:rPr>
      </w:pPr>
      <w:r>
        <w:rPr>
          <w:rStyle w:val="Appelnotedebasdep"/>
        </w:rPr>
        <w:footnoteRef/>
      </w:r>
      <w:r w:rsidRPr="00B0144E">
        <w:rPr>
          <w:lang w:val="en-CA"/>
        </w:rPr>
        <w:t xml:space="preserve"> </w:t>
      </w:r>
      <w:r w:rsidRPr="00B0144E">
        <w:rPr>
          <w:lang w:val="en-CA"/>
        </w:rPr>
        <w:tab/>
        <w:t xml:space="preserve">2013 SCC 43, </w:t>
      </w:r>
      <w:r w:rsidR="00290618">
        <w:rPr>
          <w:lang w:val="en-CA"/>
        </w:rPr>
        <w:t xml:space="preserve">at </w:t>
      </w:r>
      <w:r w:rsidRPr="00B0144E">
        <w:rPr>
          <w:lang w:val="en-CA"/>
        </w:rPr>
        <w:t>paras. 28</w:t>
      </w:r>
      <w:r w:rsidR="00622734">
        <w:rPr>
          <w:lang w:val="en-CA"/>
        </w:rPr>
        <w:t>-</w:t>
      </w:r>
      <w:r w:rsidRPr="00B0144E">
        <w:rPr>
          <w:lang w:val="en-CA"/>
        </w:rPr>
        <w:t>31 (</w:t>
      </w:r>
      <w:r w:rsidR="00A90ADF" w:rsidRPr="00B0144E">
        <w:rPr>
          <w:lang w:val="en-CA"/>
        </w:rPr>
        <w:t>majority reasons</w:t>
      </w:r>
      <w:r w:rsidRPr="00B0144E">
        <w:rPr>
          <w:lang w:val="en-CA"/>
        </w:rPr>
        <w:t>).</w:t>
      </w:r>
    </w:p>
  </w:footnote>
  <w:footnote w:id="111">
    <w:p w14:paraId="67C2F028" w14:textId="67F29D2B"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Chaoulli</w:t>
      </w:r>
      <w:r w:rsidR="009B25F4" w:rsidRPr="00366942">
        <w:rPr>
          <w:lang w:val="en-CA"/>
        </w:rPr>
        <w:t xml:space="preserve"> </w:t>
      </w:r>
      <w:r w:rsidR="009B25F4" w:rsidRPr="00366942">
        <w:rPr>
          <w:i/>
          <w:iCs/>
          <w:lang w:val="en-CA"/>
        </w:rPr>
        <w:t>v. Quebec (Attorney General),</w:t>
      </w:r>
      <w:r w:rsidR="009B25F4" w:rsidRPr="00366942">
        <w:rPr>
          <w:lang w:val="en-CA"/>
        </w:rPr>
        <w:t xml:space="preserve"> 2005 SCC 35</w:t>
      </w:r>
      <w:r w:rsidRPr="00366942">
        <w:rPr>
          <w:lang w:val="en-CA"/>
        </w:rPr>
        <w:t>.</w:t>
      </w:r>
    </w:p>
  </w:footnote>
  <w:footnote w:id="112">
    <w:p w14:paraId="3C842212" w14:textId="0F465CA4"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D0794E"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_Ref172657049 \h </w:instrText>
      </w:r>
      <w:r w:rsidRPr="00366942">
        <w:rPr>
          <w:lang w:val="en-CA"/>
        </w:rPr>
      </w:r>
      <w:r w:rsidRPr="00366942">
        <w:rPr>
          <w:lang w:val="en-CA"/>
        </w:rPr>
        <w:fldChar w:fldCharType="separate"/>
      </w:r>
      <w:r w:rsidR="001C6ED6">
        <w:rPr>
          <w:lang w:val="en-CA"/>
        </w:rPr>
        <w:t>31</w:t>
      </w:r>
      <w:r w:rsidRPr="00366942">
        <w:rPr>
          <w:lang w:val="en-CA"/>
        </w:rPr>
        <w:fldChar w:fldCharType="end"/>
      </w:r>
      <w:r w:rsidRPr="00366942">
        <w:rPr>
          <w:lang w:val="en-CA"/>
        </w:rPr>
        <w:t>.</w:t>
      </w:r>
    </w:p>
  </w:footnote>
  <w:footnote w:id="113">
    <w:p w14:paraId="341BE9D3" w14:textId="1322FF36"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D0794E"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_Ref173147199 \h </w:instrText>
      </w:r>
      <w:r w:rsidRPr="00366942">
        <w:rPr>
          <w:lang w:val="en-CA"/>
        </w:rPr>
      </w:r>
      <w:r w:rsidRPr="00366942">
        <w:rPr>
          <w:lang w:val="en-CA"/>
        </w:rPr>
        <w:fldChar w:fldCharType="separate"/>
      </w:r>
      <w:r w:rsidR="001C6ED6">
        <w:rPr>
          <w:lang w:val="en-CA"/>
        </w:rPr>
        <w:t>87</w:t>
      </w:r>
      <w:r w:rsidRPr="00366942">
        <w:rPr>
          <w:lang w:val="en-CA"/>
        </w:rPr>
        <w:fldChar w:fldCharType="end"/>
      </w:r>
      <w:r w:rsidRPr="00366942">
        <w:rPr>
          <w:lang w:val="en-CA"/>
        </w:rPr>
        <w:t>.</w:t>
      </w:r>
    </w:p>
  </w:footnote>
  <w:footnote w:id="114">
    <w:p w14:paraId="2DE622F6" w14:textId="2F6131EA" w:rsidR="00961A50" w:rsidRPr="00366942" w:rsidRDefault="00961A50" w:rsidP="00961A50">
      <w:pPr>
        <w:pStyle w:val="Notedebasdepage"/>
        <w:rPr>
          <w:i/>
          <w:iCs/>
          <w:lang w:val="en-CA"/>
        </w:rPr>
      </w:pPr>
      <w:r w:rsidRPr="00366942">
        <w:rPr>
          <w:rStyle w:val="Appelnotedebasdep"/>
        </w:rPr>
        <w:footnoteRef/>
      </w:r>
      <w:r w:rsidRPr="00366942">
        <w:rPr>
          <w:lang w:val="en-CA"/>
        </w:rPr>
        <w:t xml:space="preserve"> </w:t>
      </w:r>
      <w:r w:rsidRPr="00366942">
        <w:rPr>
          <w:lang w:val="en-CA"/>
        </w:rPr>
        <w:tab/>
      </w:r>
      <w:r w:rsidR="00293D3F" w:rsidRPr="00366942">
        <w:rPr>
          <w:lang w:val="en-CA"/>
        </w:rPr>
        <w:t>Given the weakness of the appellant’s argument with respect to s</w:t>
      </w:r>
      <w:r w:rsidRPr="00366942">
        <w:rPr>
          <w:lang w:val="en-CA"/>
        </w:rPr>
        <w:t xml:space="preserve">. 7 </w:t>
      </w:r>
      <w:r w:rsidR="00293D3F" w:rsidRPr="00366942">
        <w:rPr>
          <w:lang w:val="en-CA"/>
        </w:rPr>
        <w:t>of</w:t>
      </w:r>
      <w:r w:rsidRPr="00366942">
        <w:rPr>
          <w:lang w:val="en-CA"/>
        </w:rPr>
        <w:t xml:space="preserve"> </w:t>
      </w:r>
      <w:r w:rsidR="00293D3F" w:rsidRPr="00366942">
        <w:rPr>
          <w:i/>
          <w:iCs/>
          <w:lang w:val="en-CA"/>
        </w:rPr>
        <w:t>Canadian Charter</w:t>
      </w:r>
      <w:r w:rsidRPr="00366942">
        <w:rPr>
          <w:lang w:val="en-CA"/>
        </w:rPr>
        <w:t xml:space="preserve">, </w:t>
      </w:r>
      <w:r w:rsidR="00293D3F" w:rsidRPr="00366942">
        <w:rPr>
          <w:lang w:val="en-CA"/>
        </w:rPr>
        <w:t>the Supreme Court did not consider it to be an infringement of that provision either</w:t>
      </w:r>
      <w:r w:rsidRPr="00366942">
        <w:rPr>
          <w:lang w:val="en-CA"/>
        </w:rPr>
        <w:t>.</w:t>
      </w:r>
    </w:p>
  </w:footnote>
  <w:footnote w:id="115">
    <w:p w14:paraId="70D81300" w14:textId="266915CA"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R. c. C.P.</w:t>
      </w:r>
      <w:r w:rsidRPr="00366942">
        <w:rPr>
          <w:lang w:val="en-CA"/>
        </w:rPr>
        <w:t xml:space="preserve">, </w:t>
      </w:r>
      <w:r w:rsidR="00483C38"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_Ref176172939 \h </w:instrText>
      </w:r>
      <w:r w:rsidRPr="00366942">
        <w:rPr>
          <w:lang w:val="en-CA"/>
        </w:rPr>
      </w:r>
      <w:r w:rsidRPr="00366942">
        <w:rPr>
          <w:lang w:val="en-CA"/>
        </w:rPr>
        <w:fldChar w:fldCharType="separate"/>
      </w:r>
      <w:r w:rsidR="001C6ED6">
        <w:rPr>
          <w:lang w:val="en-CA"/>
        </w:rPr>
        <w:t>36</w:t>
      </w:r>
      <w:r w:rsidRPr="00366942">
        <w:rPr>
          <w:lang w:val="en-CA"/>
        </w:rPr>
        <w:fldChar w:fldCharType="end"/>
      </w:r>
      <w:r w:rsidRPr="00366942">
        <w:rPr>
          <w:lang w:val="en-CA"/>
        </w:rPr>
        <w:t xml:space="preserve">, </w:t>
      </w:r>
      <w:r w:rsidR="00483C38" w:rsidRPr="00366942">
        <w:rPr>
          <w:lang w:val="en-CA"/>
        </w:rPr>
        <w:t xml:space="preserve">at </w:t>
      </w:r>
      <w:r w:rsidRPr="00366942">
        <w:rPr>
          <w:lang w:val="en-CA"/>
        </w:rPr>
        <w:t>para. 145.</w:t>
      </w:r>
    </w:p>
  </w:footnote>
  <w:footnote w:id="116">
    <w:p w14:paraId="2C5DECD3" w14:textId="516EF67D"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906CB6" w:rsidRPr="00366942">
        <w:rPr>
          <w:i/>
          <w:iCs/>
          <w:lang w:val="en-CA"/>
        </w:rPr>
        <w:t>Id.</w:t>
      </w:r>
      <w:r w:rsidR="00A009D9" w:rsidRPr="00366942">
        <w:rPr>
          <w:lang w:val="en-CA"/>
        </w:rPr>
        <w:t xml:space="preserve">, </w:t>
      </w:r>
      <w:r w:rsidR="00483C38" w:rsidRPr="00366942">
        <w:rPr>
          <w:lang w:val="en-CA"/>
        </w:rPr>
        <w:t xml:space="preserve">at </w:t>
      </w:r>
      <w:r w:rsidRPr="00366942">
        <w:rPr>
          <w:lang w:val="en-CA"/>
        </w:rPr>
        <w:t>para. 144.</w:t>
      </w:r>
    </w:p>
  </w:footnote>
  <w:footnote w:id="117">
    <w:p w14:paraId="2A531E04" w14:textId="23810112" w:rsidR="00961A50" w:rsidRPr="00366942" w:rsidRDefault="00961A50" w:rsidP="00961A50">
      <w:pPr>
        <w:pStyle w:val="Notedebasdepage"/>
      </w:pPr>
      <w:r w:rsidRPr="00366942">
        <w:rPr>
          <w:rStyle w:val="Appelnotedebasdep"/>
          <w:lang w:val="en-CA"/>
        </w:rPr>
        <w:footnoteRef/>
      </w:r>
      <w:r w:rsidRPr="00366942">
        <w:rPr>
          <w:lang w:val="en-CA"/>
        </w:rPr>
        <w:t xml:space="preserve"> </w:t>
      </w:r>
      <w:r w:rsidRPr="00366942">
        <w:rPr>
          <w:lang w:val="en-CA"/>
        </w:rPr>
        <w:tab/>
      </w:r>
      <w:r w:rsidRPr="00366942">
        <w:rPr>
          <w:i/>
          <w:iCs/>
          <w:lang w:val="en-CA"/>
        </w:rPr>
        <w:t>Withler</w:t>
      </w:r>
      <w:r w:rsidRPr="00366942">
        <w:rPr>
          <w:lang w:val="en-CA"/>
        </w:rPr>
        <w:t xml:space="preserve">, </w:t>
      </w:r>
      <w:r w:rsidR="00483C38"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_Ref177374137 \h </w:instrText>
      </w:r>
      <w:r w:rsidRPr="00366942">
        <w:rPr>
          <w:lang w:val="en-CA"/>
        </w:rPr>
      </w:r>
      <w:r w:rsidRPr="00366942">
        <w:rPr>
          <w:lang w:val="en-CA"/>
        </w:rPr>
        <w:fldChar w:fldCharType="separate"/>
      </w:r>
      <w:r w:rsidR="001C6ED6">
        <w:rPr>
          <w:lang w:val="en-CA"/>
        </w:rPr>
        <w:t>32</w:t>
      </w:r>
      <w:r w:rsidRPr="00366942">
        <w:rPr>
          <w:lang w:val="en-CA"/>
        </w:rPr>
        <w:fldChar w:fldCharType="end"/>
      </w:r>
      <w:r w:rsidRPr="00366942">
        <w:rPr>
          <w:lang w:val="en-CA"/>
        </w:rPr>
        <w:t xml:space="preserve">, </w:t>
      </w:r>
      <w:r w:rsidR="00483C38" w:rsidRPr="00366942">
        <w:rPr>
          <w:lang w:val="en-CA"/>
        </w:rPr>
        <w:t xml:space="preserve">at </w:t>
      </w:r>
      <w:r w:rsidRPr="00366942">
        <w:rPr>
          <w:lang w:val="en-CA"/>
        </w:rPr>
        <w:t xml:space="preserve">para. 38, </w:t>
      </w:r>
      <w:r w:rsidR="00483C38" w:rsidRPr="00366942">
        <w:rPr>
          <w:lang w:val="en-CA"/>
        </w:rPr>
        <w:t>quoted by</w:t>
      </w:r>
      <w:r w:rsidRPr="00366942">
        <w:rPr>
          <w:lang w:val="en-CA"/>
        </w:rPr>
        <w:t xml:space="preserve"> Brown </w:t>
      </w:r>
      <w:r w:rsidR="00483C38" w:rsidRPr="00366942">
        <w:rPr>
          <w:lang w:val="en-CA"/>
        </w:rPr>
        <w:t>and</w:t>
      </w:r>
      <w:r w:rsidRPr="00366942">
        <w:rPr>
          <w:lang w:val="en-CA"/>
        </w:rPr>
        <w:t xml:space="preserve"> Rowe</w:t>
      </w:r>
      <w:r w:rsidR="00483C38" w:rsidRPr="00366942">
        <w:rPr>
          <w:lang w:val="en-CA"/>
        </w:rPr>
        <w:t>, JJ.</w:t>
      </w:r>
      <w:r w:rsidRPr="00366942">
        <w:rPr>
          <w:lang w:val="en-CA"/>
        </w:rPr>
        <w:t xml:space="preserve"> </w:t>
      </w:r>
      <w:r w:rsidR="00483C38" w:rsidRPr="00366942">
        <w:rPr>
          <w:lang w:val="en-CA"/>
        </w:rPr>
        <w:t>in</w:t>
      </w:r>
      <w:r w:rsidRPr="00366942">
        <w:rPr>
          <w:lang w:val="en-CA"/>
        </w:rPr>
        <w:t xml:space="preserve"> </w:t>
      </w:r>
      <w:r w:rsidRPr="00366942">
        <w:rPr>
          <w:i/>
          <w:iCs/>
          <w:lang w:val="en-CA"/>
        </w:rPr>
        <w:t>Sharma</w:t>
      </w:r>
      <w:r w:rsidRPr="00366942">
        <w:rPr>
          <w:lang w:val="en-CA"/>
        </w:rPr>
        <w:t xml:space="preserve">, </w:t>
      </w:r>
      <w:r w:rsidR="00483C38" w:rsidRPr="00366942">
        <w:rPr>
          <w:i/>
          <w:iCs/>
          <w:lang w:val="en-CA"/>
        </w:rPr>
        <w:t>supra</w:t>
      </w:r>
      <w:r w:rsidRPr="00366942">
        <w:rPr>
          <w:lang w:val="en-CA"/>
        </w:rPr>
        <w:t xml:space="preserve">, note </w:t>
      </w:r>
      <w:r w:rsidRPr="00366942">
        <w:rPr>
          <w:lang w:val="en-CA"/>
        </w:rPr>
        <w:fldChar w:fldCharType="begin"/>
      </w:r>
      <w:r w:rsidRPr="00366942">
        <w:rPr>
          <w:lang w:val="en-CA"/>
        </w:rPr>
        <w:instrText xml:space="preserve"> NOTEREF _Ref173269375 \h </w:instrText>
      </w:r>
      <w:r w:rsidRPr="00366942">
        <w:rPr>
          <w:lang w:val="en-CA"/>
        </w:rPr>
      </w:r>
      <w:r w:rsidRPr="00366942">
        <w:rPr>
          <w:lang w:val="en-CA"/>
        </w:rPr>
        <w:fldChar w:fldCharType="separate"/>
      </w:r>
      <w:r w:rsidR="001C6ED6">
        <w:rPr>
          <w:lang w:val="en-CA"/>
        </w:rPr>
        <w:t>15</w:t>
      </w:r>
      <w:r w:rsidRPr="00366942">
        <w:rPr>
          <w:lang w:val="en-CA"/>
        </w:rPr>
        <w:fldChar w:fldCharType="end"/>
      </w:r>
      <w:r w:rsidRPr="00366942">
        <w:rPr>
          <w:lang w:val="en-CA"/>
        </w:rPr>
        <w:t xml:space="preserve">, </w:t>
      </w:r>
      <w:r w:rsidR="00483C38" w:rsidRPr="00366942">
        <w:rPr>
          <w:lang w:val="en-CA"/>
        </w:rPr>
        <w:t xml:space="preserve">at </w:t>
      </w:r>
      <w:r w:rsidRPr="00366942">
        <w:rPr>
          <w:lang w:val="en-CA"/>
        </w:rPr>
        <w:t>para. </w:t>
      </w:r>
      <w:r w:rsidRPr="00366942">
        <w:t>57 (</w:t>
      </w:r>
      <w:r w:rsidR="00483C38" w:rsidRPr="00366942">
        <w:t>quoted</w:t>
      </w:r>
      <w:r w:rsidRPr="00366942">
        <w:t xml:space="preserve"> </w:t>
      </w:r>
      <w:r w:rsidRPr="00366942">
        <w:rPr>
          <w:i/>
          <w:iCs/>
        </w:rPr>
        <w:t>supra</w:t>
      </w:r>
      <w:r w:rsidRPr="00366942">
        <w:t xml:space="preserve">, </w:t>
      </w:r>
      <w:r w:rsidR="00483C38" w:rsidRPr="00366942">
        <w:t xml:space="preserve">at </w:t>
      </w:r>
      <w:r w:rsidRPr="00366942">
        <w:t xml:space="preserve">para. </w:t>
      </w:r>
      <w:r w:rsidRPr="00366942">
        <w:rPr>
          <w:lang w:val="en-CA"/>
        </w:rPr>
        <w:fldChar w:fldCharType="begin"/>
      </w:r>
      <w:r w:rsidRPr="00366942">
        <w:instrText xml:space="preserve"> REF _Ref172903644 \r \h </w:instrText>
      </w:r>
      <w:r w:rsidRPr="00366942">
        <w:rPr>
          <w:lang w:val="en-CA"/>
        </w:rPr>
      </w:r>
      <w:r w:rsidRPr="00366942">
        <w:rPr>
          <w:lang w:val="en-CA"/>
        </w:rPr>
        <w:fldChar w:fldCharType="separate"/>
      </w:r>
      <w:r w:rsidR="001C6ED6">
        <w:t>[35]</w:t>
      </w:r>
      <w:r w:rsidRPr="00366942">
        <w:rPr>
          <w:lang w:val="en-CA"/>
        </w:rPr>
        <w:fldChar w:fldCharType="end"/>
      </w:r>
      <w:r w:rsidRPr="00366942">
        <w:t>).</w:t>
      </w:r>
    </w:p>
  </w:footnote>
  <w:footnote w:id="118">
    <w:p w14:paraId="51B33E3E" w14:textId="19B2D562" w:rsidR="00961A50" w:rsidRPr="00366942" w:rsidRDefault="00961A50" w:rsidP="00961A50">
      <w:pPr>
        <w:pStyle w:val="Notedebasdepage"/>
        <w:rPr>
          <w:i/>
          <w:iCs/>
          <w:lang w:val="en-CA"/>
        </w:rPr>
      </w:pPr>
      <w:r w:rsidRPr="00366942">
        <w:rPr>
          <w:rStyle w:val="Appelnotedebasdep"/>
          <w:lang w:val="en-CA"/>
        </w:rPr>
        <w:footnoteRef/>
      </w:r>
      <w:r w:rsidRPr="00366942">
        <w:t xml:space="preserve"> </w:t>
      </w:r>
      <w:r w:rsidRPr="00366942">
        <w:tab/>
        <w:t xml:space="preserve">Lorne Giroux, </w:t>
      </w:r>
      <w:r w:rsidR="00483C38" w:rsidRPr="00366942">
        <w:t>“</w:t>
      </w:r>
      <w:r w:rsidRPr="00366942">
        <w:t>L’assurance-maladie</w:t>
      </w:r>
      <w:r w:rsidR="00483C38" w:rsidRPr="00366942">
        <w:t>”</w:t>
      </w:r>
      <w:r w:rsidRPr="00366942">
        <w:t xml:space="preserve">, (1970) 11 </w:t>
      </w:r>
      <w:r w:rsidRPr="00366942">
        <w:rPr>
          <w:i/>
          <w:iCs/>
        </w:rPr>
        <w:t>C. de D.</w:t>
      </w:r>
      <w:r w:rsidRPr="00366942">
        <w:t xml:space="preserve"> 535, p. 535. </w:t>
      </w:r>
      <w:r w:rsidR="00483C38" w:rsidRPr="00366942">
        <w:t>See also</w:t>
      </w:r>
      <w:r w:rsidRPr="00366942">
        <w:t xml:space="preserve">: Marco Laverdière, </w:t>
      </w:r>
      <w:r w:rsidR="00483C38" w:rsidRPr="00366942">
        <w:t>“</w:t>
      </w:r>
      <w:r w:rsidRPr="00366942">
        <w:t xml:space="preserve">Le cadre juridique canadien et québécois relatif au développement parallèle de services privés de santé et l’art. 7 de la </w:t>
      </w:r>
      <w:r w:rsidRPr="00366942">
        <w:rPr>
          <w:i/>
          <w:iCs/>
        </w:rPr>
        <w:t>Charte canadienne des droits et libertés</w:t>
      </w:r>
      <w:r w:rsidR="00483C38" w:rsidRPr="00366942">
        <w:t>”</w:t>
      </w:r>
      <w:r w:rsidRPr="00366942">
        <w:t>, (1998-99) 29</w:t>
      </w:r>
      <w:r w:rsidRPr="00366942">
        <w:rPr>
          <w:i/>
          <w:iCs/>
        </w:rPr>
        <w:t xml:space="preserve"> R.D.U.S.</w:t>
      </w:r>
      <w:r w:rsidRPr="00366942">
        <w:t xml:space="preserve"> 117, </w:t>
      </w:r>
      <w:r w:rsidR="00483C38" w:rsidRPr="00366942">
        <w:t xml:space="preserve">at </w:t>
      </w:r>
      <w:r w:rsidRPr="00366942">
        <w:t>p. 133 (</w:t>
      </w:r>
      <w:r w:rsidR="00483C38" w:rsidRPr="00366942">
        <w:t>[</w:t>
      </w:r>
      <w:r w:rsidR="00483C38" w:rsidRPr="00366942">
        <w:rPr>
          <w:smallCaps/>
        </w:rPr>
        <w:t>translation</w:t>
      </w:r>
      <w:r w:rsidR="00483C38" w:rsidRPr="00366942">
        <w:t>] “</w:t>
      </w:r>
      <w:r w:rsidR="00720FB8" w:rsidRPr="00366942">
        <w:t xml:space="preserve">It is easy to identify and understand the objective of introducing a public health system such as the one that exists in Canada and Quebec. </w:t>
      </w:r>
      <w:r w:rsidR="00720FB8" w:rsidRPr="00366942">
        <w:rPr>
          <w:lang w:val="en-CA"/>
        </w:rPr>
        <w:t>It is easy to see that the aim of such a measure is to ensure that every citizen, regardless of their ability to pay, has access to the health and social services they require. This was the main motivation of the architects of the public system. It is also spelled out in the reports of the major commissions of enquiry that laid the foundations for the system we know today.”</w:t>
      </w:r>
      <w:r w:rsidRPr="00366942">
        <w:rPr>
          <w:lang w:val="en-CA"/>
        </w:rPr>
        <w:t xml:space="preserve">). </w:t>
      </w:r>
      <w:r w:rsidR="00720FB8" w:rsidRPr="00366942">
        <w:rPr>
          <w:lang w:val="en-CA"/>
        </w:rPr>
        <w:t>See also the dissenting reasons of</w:t>
      </w:r>
      <w:r w:rsidRPr="00366942">
        <w:rPr>
          <w:lang w:val="en-CA"/>
        </w:rPr>
        <w:t xml:space="preserve"> Binnie </w:t>
      </w:r>
      <w:r w:rsidR="00720FB8" w:rsidRPr="00366942">
        <w:rPr>
          <w:lang w:val="en-CA"/>
        </w:rPr>
        <w:t>and</w:t>
      </w:r>
      <w:r w:rsidRPr="00366942">
        <w:rPr>
          <w:lang w:val="en-CA"/>
        </w:rPr>
        <w:t xml:space="preserve"> Lebel</w:t>
      </w:r>
      <w:r w:rsidR="00720FB8" w:rsidRPr="00366942">
        <w:rPr>
          <w:lang w:val="en-CA"/>
        </w:rPr>
        <w:t>, JJ.</w:t>
      </w:r>
      <w:r w:rsidRPr="00366942">
        <w:rPr>
          <w:lang w:val="en-CA"/>
        </w:rPr>
        <w:t xml:space="preserve"> </w:t>
      </w:r>
      <w:r w:rsidR="00720FB8" w:rsidRPr="00366942">
        <w:rPr>
          <w:lang w:val="en-CA"/>
        </w:rPr>
        <w:t>in</w:t>
      </w:r>
      <w:r w:rsidRPr="00366942">
        <w:rPr>
          <w:lang w:val="en-CA"/>
        </w:rPr>
        <w:t xml:space="preserve"> </w:t>
      </w:r>
      <w:r w:rsidRPr="00366942">
        <w:rPr>
          <w:i/>
          <w:iCs/>
          <w:lang w:val="en-CA"/>
        </w:rPr>
        <w:t>Chaoulli</w:t>
      </w:r>
      <w:r w:rsidRPr="00366942">
        <w:rPr>
          <w:lang w:val="en-CA"/>
        </w:rPr>
        <w:t xml:space="preserve">, </w:t>
      </w:r>
      <w:r w:rsidR="00720FB8" w:rsidRPr="00366942">
        <w:rPr>
          <w:i/>
          <w:iCs/>
          <w:lang w:val="en-CA"/>
        </w:rPr>
        <w:t>supra</w:t>
      </w:r>
      <w:r w:rsidRPr="00366942">
        <w:rPr>
          <w:lang w:val="en-CA"/>
        </w:rPr>
        <w:t>, note</w:t>
      </w:r>
      <w:r w:rsidR="00386CC6" w:rsidRPr="00366942">
        <w:rPr>
          <w:lang w:val="en-CA"/>
        </w:rPr>
        <w:t xml:space="preserve"> </w:t>
      </w:r>
      <w:r w:rsidR="00386CC6" w:rsidRPr="00366942">
        <w:rPr>
          <w:lang w:val="en-CA"/>
        </w:rPr>
        <w:fldChar w:fldCharType="begin"/>
      </w:r>
      <w:r w:rsidR="00386CC6" w:rsidRPr="00366942">
        <w:rPr>
          <w:lang w:val="en-CA"/>
        </w:rPr>
        <w:instrText xml:space="preserve"> NOTEREF _Ref185438529 \h </w:instrText>
      </w:r>
      <w:r w:rsidR="00C164F9" w:rsidRPr="00366942">
        <w:rPr>
          <w:lang w:val="en-CA"/>
        </w:rPr>
        <w:instrText xml:space="preserve"> \* MERGEFORMAT </w:instrText>
      </w:r>
      <w:r w:rsidR="00386CC6" w:rsidRPr="00366942">
        <w:rPr>
          <w:lang w:val="en-CA"/>
        </w:rPr>
      </w:r>
      <w:r w:rsidR="00386CC6" w:rsidRPr="00366942">
        <w:rPr>
          <w:lang w:val="en-CA"/>
        </w:rPr>
        <w:fldChar w:fldCharType="separate"/>
      </w:r>
      <w:r w:rsidR="001C6ED6">
        <w:rPr>
          <w:lang w:val="en-CA"/>
        </w:rPr>
        <w:t>111</w:t>
      </w:r>
      <w:r w:rsidR="00386CC6" w:rsidRPr="00366942">
        <w:rPr>
          <w:lang w:val="en-CA"/>
        </w:rPr>
        <w:fldChar w:fldCharType="end"/>
      </w:r>
      <w:r w:rsidRPr="00366942">
        <w:rPr>
          <w:lang w:val="en-CA"/>
        </w:rPr>
        <w:t xml:space="preserve">, </w:t>
      </w:r>
      <w:r w:rsidR="00720FB8" w:rsidRPr="00366942">
        <w:rPr>
          <w:lang w:val="en-CA"/>
        </w:rPr>
        <w:t xml:space="preserve">at </w:t>
      </w:r>
      <w:r w:rsidRPr="00366942">
        <w:rPr>
          <w:lang w:val="en-CA"/>
        </w:rPr>
        <w:t>para. 164 (</w:t>
      </w:r>
      <w:r w:rsidR="00720FB8" w:rsidRPr="00366942">
        <w:rPr>
          <w:lang w:val="en-CA"/>
        </w:rPr>
        <w:t xml:space="preserve">“The policy of the </w:t>
      </w:r>
      <w:r w:rsidR="00720FB8" w:rsidRPr="00366942">
        <w:rPr>
          <w:i/>
          <w:iCs/>
          <w:lang w:val="en-CA"/>
        </w:rPr>
        <w:t>Canada Health Act</w:t>
      </w:r>
      <w:r w:rsidR="00720FB8" w:rsidRPr="00366942">
        <w:rPr>
          <w:lang w:val="en-CA"/>
        </w:rPr>
        <w:t>, R.S.C. 1985, c. C-6, and its provincial counterparts is to provide health care based on need rather than on wealth or status.”</w:t>
      </w:r>
      <w:r w:rsidRPr="00366942">
        <w:rPr>
          <w:lang w:val="en-CA"/>
        </w:rPr>
        <w:t>)</w:t>
      </w:r>
    </w:p>
  </w:footnote>
  <w:footnote w:id="119">
    <w:p w14:paraId="3EF8E898" w14:textId="77777777" w:rsidR="00386CC6" w:rsidRPr="00366942" w:rsidRDefault="00386CC6" w:rsidP="00386CC6">
      <w:pPr>
        <w:pStyle w:val="Notedebasdepage"/>
        <w:rPr>
          <w:lang w:val="en-CA"/>
        </w:rPr>
      </w:pPr>
      <w:r w:rsidRPr="00366942">
        <w:rPr>
          <w:rStyle w:val="Appelnotedebasdep"/>
          <w:lang w:val="en-CA"/>
        </w:rPr>
        <w:footnoteRef/>
      </w:r>
      <w:r w:rsidRPr="00366942">
        <w:rPr>
          <w:lang w:val="en-CA"/>
        </w:rPr>
        <w:t xml:space="preserve"> </w:t>
      </w:r>
      <w:r w:rsidRPr="00366942">
        <w:rPr>
          <w:lang w:val="en-CA"/>
        </w:rPr>
        <w:tab/>
        <w:t>And likewise, each province governs the health services provided within its boundaries.</w:t>
      </w:r>
    </w:p>
  </w:footnote>
  <w:footnote w:id="120">
    <w:p w14:paraId="3C59CBB0" w14:textId="77777777" w:rsidR="00C164F9" w:rsidRPr="00366942" w:rsidRDefault="00C164F9" w:rsidP="00C164F9">
      <w:pPr>
        <w:pStyle w:val="Notedebasdepage"/>
        <w:rPr>
          <w:i/>
          <w:iCs/>
          <w:lang w:val="en-CA"/>
        </w:rPr>
      </w:pPr>
      <w:r w:rsidRPr="00366942">
        <w:rPr>
          <w:rStyle w:val="Appelnotedebasdep"/>
        </w:rPr>
        <w:footnoteRef/>
      </w:r>
      <w:r w:rsidRPr="00366942">
        <w:rPr>
          <w:lang w:val="en-CA"/>
        </w:rPr>
        <w:t xml:space="preserve"> </w:t>
      </w:r>
      <w:r w:rsidRPr="00366942">
        <w:rPr>
          <w:lang w:val="en-CA"/>
        </w:rPr>
        <w:tab/>
        <w:t xml:space="preserve">S.C. 1966-67, c. 64, a provision restated in the consolidated version of the Act (R.S.C. 1970, c. M-8). Paragraph 4(1)(d) of that Act stipulated, </w:t>
      </w:r>
      <w:r w:rsidRPr="00366942">
        <w:rPr>
          <w:i/>
          <w:iCs/>
          <w:lang w:val="en-CA"/>
        </w:rPr>
        <w:t>inter alia</w:t>
      </w:r>
      <w:r w:rsidRPr="00366942">
        <w:rPr>
          <w:lang w:val="en-CA"/>
        </w:rPr>
        <w:t>, that a province’s health insurance plan, to the extent that the federal government contributed to it financially, “provides for and is administered and operated so as to provide for the payment of amounts in respect of the cost of insured services furnished to insured persons while temporarily absent from the province</w:t>
      </w:r>
      <w:r w:rsidRPr="00366942">
        <w:rPr>
          <w:i/>
          <w:iCs/>
          <w:lang w:val="en-CA"/>
        </w:rPr>
        <w:t>”</w:t>
      </w:r>
      <w:r w:rsidRPr="00366942">
        <w:rPr>
          <w:lang w:val="en-CA"/>
        </w:rPr>
        <w:t> / « </w:t>
      </w:r>
      <w:r w:rsidRPr="00366942">
        <w:rPr>
          <w:i/>
          <w:iCs/>
          <w:lang w:val="en-CA"/>
        </w:rPr>
        <w:t>doit prévoir, et ses modalités d’administration et d’application doivent assurer, le paiement de montants relatifs aux frais des services assurés dispensés aux personnes assurées alors qu’elles sont temporairement absentes de la province</w:t>
      </w:r>
      <w:r w:rsidRPr="00366942">
        <w:rPr>
          <w:lang w:val="en-CA"/>
        </w:rPr>
        <w:t xml:space="preserve"> ». That provision was the predecessor of s. 11(b) of the </w:t>
      </w:r>
      <w:r w:rsidRPr="00366942">
        <w:rPr>
          <w:i/>
          <w:iCs/>
          <w:lang w:val="en-CA"/>
        </w:rPr>
        <w:t>Canada Health Act</w:t>
      </w:r>
      <w:r w:rsidRPr="00366942">
        <w:rPr>
          <w:lang w:val="en-CA"/>
        </w:rPr>
        <w:t>.</w:t>
      </w:r>
    </w:p>
  </w:footnote>
  <w:footnote w:id="121">
    <w:p w14:paraId="45249235" w14:textId="0C0B48E6" w:rsidR="00C164F9" w:rsidRPr="00366942" w:rsidRDefault="00C164F9">
      <w:pPr>
        <w:pStyle w:val="Notedebasdepage"/>
        <w:rPr>
          <w:lang w:val="en-CA"/>
        </w:rPr>
      </w:pPr>
      <w:r w:rsidRPr="00366942">
        <w:rPr>
          <w:rStyle w:val="Appelnotedebasdep"/>
        </w:rPr>
        <w:footnoteRef/>
      </w:r>
      <w:r w:rsidRPr="00366942">
        <w:rPr>
          <w:lang w:val="en-CA"/>
        </w:rPr>
        <w:t xml:space="preserve"> </w:t>
      </w:r>
      <w:r w:rsidRPr="00366942">
        <w:rPr>
          <w:lang w:val="en-CA"/>
        </w:rPr>
        <w:tab/>
        <w:t>S.Q. 1970, c. 37.</w:t>
      </w:r>
    </w:p>
  </w:footnote>
  <w:footnote w:id="122">
    <w:p w14:paraId="1B986546" w14:textId="3CA156C6"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1117D2" w:rsidRPr="00366942">
        <w:rPr>
          <w:lang w:val="en-CA"/>
        </w:rPr>
        <w:t>It should be noted that most</w:t>
      </w:r>
      <w:r w:rsidRPr="00366942">
        <w:rPr>
          <w:lang w:val="en-CA"/>
        </w:rPr>
        <w:t xml:space="preserve"> provinces </w:t>
      </w:r>
      <w:r w:rsidR="001117D2" w:rsidRPr="00366942">
        <w:rPr>
          <w:lang w:val="en-CA"/>
        </w:rPr>
        <w:t xml:space="preserve">have also enacted provisions </w:t>
      </w:r>
      <w:r w:rsidRPr="00366942">
        <w:rPr>
          <w:lang w:val="en-CA"/>
        </w:rPr>
        <w:t>(</w:t>
      </w:r>
      <w:r w:rsidR="001117D2" w:rsidRPr="00366942">
        <w:rPr>
          <w:lang w:val="en-CA"/>
        </w:rPr>
        <w:t>statutory and/or regulatory</w:t>
      </w:r>
      <w:r w:rsidRPr="00366942">
        <w:rPr>
          <w:lang w:val="en-CA"/>
        </w:rPr>
        <w:t xml:space="preserve">) </w:t>
      </w:r>
      <w:r w:rsidR="001117D2" w:rsidRPr="00366942">
        <w:rPr>
          <w:lang w:val="en-CA"/>
        </w:rPr>
        <w:t xml:space="preserve">analogous to the regulatory provisions enacted under s. </w:t>
      </w:r>
      <w:r w:rsidRPr="00366942">
        <w:rPr>
          <w:lang w:val="en-CA"/>
        </w:rPr>
        <w:t>10</w:t>
      </w:r>
      <w:r w:rsidR="001117D2" w:rsidRPr="00366942">
        <w:rPr>
          <w:lang w:val="en-CA"/>
        </w:rPr>
        <w:t>, para</w:t>
      </w:r>
      <w:r w:rsidRPr="00366942">
        <w:rPr>
          <w:lang w:val="en-CA"/>
        </w:rPr>
        <w:t>. 5 </w:t>
      </w:r>
      <w:r w:rsidR="001117D2" w:rsidRPr="00366942">
        <w:rPr>
          <w:i/>
          <w:iCs/>
          <w:lang w:val="en-CA"/>
        </w:rPr>
        <w:t>HIA</w:t>
      </w:r>
      <w:r w:rsidRPr="00366942">
        <w:rPr>
          <w:lang w:val="en-CA"/>
        </w:rPr>
        <w:t xml:space="preserve">, </w:t>
      </w:r>
      <w:r w:rsidR="001117D2" w:rsidRPr="00366942">
        <w:rPr>
          <w:lang w:val="en-CA"/>
        </w:rPr>
        <w:t>in the case of medical services provided outside the province or country, but with the approval of the relevant authorities thereof</w:t>
      </w:r>
      <w:r w:rsidRPr="00366942">
        <w:rPr>
          <w:lang w:val="en-CA"/>
        </w:rPr>
        <w:t>.</w:t>
      </w:r>
      <w:r w:rsidR="001117D2" w:rsidRPr="00366942">
        <w:rPr>
          <w:lang w:val="en-CA"/>
        </w:rPr>
        <w:t xml:space="preserve"> As discussed above, </w:t>
      </w:r>
      <w:r w:rsidR="00542A31" w:rsidRPr="00366942">
        <w:rPr>
          <w:lang w:val="en-CA"/>
        </w:rPr>
        <w:t>such a</w:t>
      </w:r>
      <w:r w:rsidR="001117D2" w:rsidRPr="00366942">
        <w:rPr>
          <w:lang w:val="en-CA"/>
        </w:rPr>
        <w:t xml:space="preserve"> </w:t>
      </w:r>
      <w:r w:rsidR="00542A31" w:rsidRPr="00366942">
        <w:rPr>
          <w:lang w:val="en-CA"/>
        </w:rPr>
        <w:t>case</w:t>
      </w:r>
      <w:r w:rsidR="001117D2" w:rsidRPr="00366942">
        <w:rPr>
          <w:lang w:val="en-CA"/>
        </w:rPr>
        <w:t xml:space="preserve"> is not at issue </w:t>
      </w:r>
      <w:r w:rsidR="00542A31" w:rsidRPr="00366942">
        <w:rPr>
          <w:lang w:val="en-CA"/>
        </w:rPr>
        <w:t>here</w:t>
      </w:r>
      <w:r w:rsidR="001117D2" w:rsidRPr="00366942">
        <w:rPr>
          <w:lang w:val="en-CA"/>
        </w:rPr>
        <w:t>.</w:t>
      </w:r>
    </w:p>
  </w:footnote>
  <w:footnote w:id="123">
    <w:p w14:paraId="4071E008" w14:textId="0E3ED8A4"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Medical Benefits Regulation</w:t>
      </w:r>
      <w:r w:rsidRPr="00366942">
        <w:rPr>
          <w:lang w:val="en-CA"/>
        </w:rPr>
        <w:t xml:space="preserve">, Alberta Regulation 84/2006, </w:t>
      </w:r>
      <w:r w:rsidR="001117D2" w:rsidRPr="00366942">
        <w:rPr>
          <w:lang w:val="en-CA"/>
        </w:rPr>
        <w:t>s</w:t>
      </w:r>
      <w:r w:rsidRPr="00366942">
        <w:rPr>
          <w:lang w:val="en-CA"/>
        </w:rPr>
        <w:t>. 4(3)(a) (</w:t>
      </w:r>
      <w:r w:rsidR="00E51893" w:rsidRPr="00366942">
        <w:rPr>
          <w:lang w:val="en-CA"/>
        </w:rPr>
        <w:t>except if the service received in the other province or territory is not an insured service, but is i</w:t>
      </w:r>
      <w:r w:rsidRPr="00366942">
        <w:rPr>
          <w:lang w:val="en-CA"/>
        </w:rPr>
        <w:t xml:space="preserve">n Alberta, </w:t>
      </w:r>
      <w:r w:rsidR="00E51893" w:rsidRPr="00366942">
        <w:rPr>
          <w:lang w:val="en-CA"/>
        </w:rPr>
        <w:t xml:space="preserve">in which case the maximum reimbursement will be limited to the cost established </w:t>
      </w:r>
      <w:r w:rsidR="00542A31" w:rsidRPr="00366942">
        <w:rPr>
          <w:lang w:val="en-CA"/>
        </w:rPr>
        <w:t>by the</w:t>
      </w:r>
      <w:r w:rsidR="00E51893" w:rsidRPr="00366942">
        <w:rPr>
          <w:lang w:val="en-CA"/>
        </w:rPr>
        <w:t xml:space="preserve"> Alberta </w:t>
      </w:r>
      <w:r w:rsidR="00542A31" w:rsidRPr="00366942">
        <w:rPr>
          <w:lang w:val="en-CA"/>
        </w:rPr>
        <w:t>scales</w:t>
      </w:r>
      <w:r w:rsidRPr="00366942">
        <w:rPr>
          <w:lang w:val="en-CA"/>
        </w:rPr>
        <w:t xml:space="preserve">, </w:t>
      </w:r>
      <w:r w:rsidR="00E51893" w:rsidRPr="00366942">
        <w:rPr>
          <w:lang w:val="en-CA"/>
        </w:rPr>
        <w:t>s</w:t>
      </w:r>
      <w:r w:rsidRPr="00366942">
        <w:rPr>
          <w:lang w:val="en-CA"/>
        </w:rPr>
        <w:t>. 4)3)(b)).</w:t>
      </w:r>
    </w:p>
  </w:footnote>
  <w:footnote w:id="124">
    <w:p w14:paraId="6BAC762F" w14:textId="1C9FD927"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E51893" w:rsidRPr="00366942">
        <w:rPr>
          <w:i/>
          <w:iCs/>
          <w:lang w:val="en-CA"/>
        </w:rPr>
        <w:t>Medical Services Insurance Regulation</w:t>
      </w:r>
      <w:r w:rsidRPr="00366942">
        <w:rPr>
          <w:lang w:val="en-CA"/>
        </w:rPr>
        <w:t xml:space="preserve">, 49/93, </w:t>
      </w:r>
      <w:r w:rsidR="00E51893" w:rsidRPr="00366942">
        <w:rPr>
          <w:lang w:val="en-CA"/>
        </w:rPr>
        <w:t>s</w:t>
      </w:r>
      <w:r w:rsidRPr="00366942">
        <w:rPr>
          <w:lang w:val="en-CA"/>
        </w:rPr>
        <w:t>. 7(1).</w:t>
      </w:r>
    </w:p>
  </w:footnote>
  <w:footnote w:id="125">
    <w:p w14:paraId="523EDCC3" w14:textId="624665C5"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E51893" w:rsidRPr="00366942">
        <w:rPr>
          <w:lang w:val="en-CA"/>
        </w:rPr>
        <w:t xml:space="preserve">New Brunswick </w:t>
      </w:r>
      <w:r w:rsidR="00E51893" w:rsidRPr="00366942">
        <w:rPr>
          <w:i/>
          <w:iCs/>
          <w:lang w:val="en-CA"/>
        </w:rPr>
        <w:t xml:space="preserve">General Regulation </w:t>
      </w:r>
      <w:r w:rsidRPr="00366942">
        <w:rPr>
          <w:i/>
          <w:iCs/>
          <w:lang w:val="en-CA"/>
        </w:rPr>
        <w:t xml:space="preserve">84-20 </w:t>
      </w:r>
      <w:r w:rsidR="00E51893" w:rsidRPr="00366942">
        <w:rPr>
          <w:lang w:val="en-CA"/>
        </w:rPr>
        <w:t>under the</w:t>
      </w:r>
      <w:r w:rsidRPr="00366942">
        <w:rPr>
          <w:i/>
          <w:iCs/>
          <w:lang w:val="en-CA"/>
        </w:rPr>
        <w:t xml:space="preserve"> </w:t>
      </w:r>
      <w:r w:rsidR="00E51893" w:rsidRPr="00366942">
        <w:rPr>
          <w:i/>
          <w:iCs/>
          <w:lang w:val="en-CA"/>
        </w:rPr>
        <w:t>Medical Services Payment Act</w:t>
      </w:r>
      <w:r w:rsidRPr="00366942">
        <w:rPr>
          <w:lang w:val="en-CA"/>
        </w:rPr>
        <w:t xml:space="preserve"> (</w:t>
      </w:r>
      <w:r w:rsidR="00E51893" w:rsidRPr="00366942">
        <w:rPr>
          <w:lang w:val="en-CA"/>
        </w:rPr>
        <w:t>O</w:t>
      </w:r>
      <w:r w:rsidRPr="00366942">
        <w:rPr>
          <w:lang w:val="en-CA"/>
        </w:rPr>
        <w:t xml:space="preserve">.C. 84-64), </w:t>
      </w:r>
      <w:r w:rsidR="00E51893" w:rsidRPr="00366942">
        <w:rPr>
          <w:lang w:val="en-CA"/>
        </w:rPr>
        <w:t>s</w:t>
      </w:r>
      <w:r w:rsidRPr="00366942">
        <w:rPr>
          <w:lang w:val="en-CA"/>
        </w:rPr>
        <w:t>. 13.1</w:t>
      </w:r>
      <w:r w:rsidR="00E51893" w:rsidRPr="00366942">
        <w:rPr>
          <w:lang w:val="en-CA"/>
        </w:rPr>
        <w:t>(</w:t>
      </w:r>
      <w:r w:rsidRPr="00366942">
        <w:rPr>
          <w:lang w:val="en-CA"/>
        </w:rPr>
        <w:t xml:space="preserve">b) </w:t>
      </w:r>
      <w:r w:rsidR="00E51893" w:rsidRPr="00366942">
        <w:rPr>
          <w:lang w:val="en-CA"/>
        </w:rPr>
        <w:t>and s</w:t>
      </w:r>
      <w:r w:rsidRPr="00366942">
        <w:rPr>
          <w:lang w:val="en-CA"/>
        </w:rPr>
        <w:t>. 14(4)</w:t>
      </w:r>
      <w:r w:rsidR="00E51893" w:rsidRPr="00366942">
        <w:rPr>
          <w:lang w:val="en-CA"/>
        </w:rPr>
        <w:t>(</w:t>
      </w:r>
      <w:r w:rsidRPr="00366942">
        <w:rPr>
          <w:lang w:val="en-CA"/>
        </w:rPr>
        <w:t>a).</w:t>
      </w:r>
    </w:p>
  </w:footnote>
  <w:footnote w:id="126">
    <w:p w14:paraId="50A81010" w14:textId="1C09B730"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bookmarkStart w:id="55" w:name="_Hlk173757500"/>
      <w:r w:rsidR="00E51893" w:rsidRPr="00366942">
        <w:rPr>
          <w:i/>
          <w:iCs/>
          <w:lang w:val="en-CA"/>
        </w:rPr>
        <w:t>Medical Care Act</w:t>
      </w:r>
      <w:r w:rsidRPr="00366942">
        <w:rPr>
          <w:lang w:val="en-CA"/>
        </w:rPr>
        <w:t xml:space="preserve">, </w:t>
      </w:r>
      <w:r w:rsidR="00E14C32" w:rsidRPr="00366942">
        <w:rPr>
          <w:lang w:val="en-CA"/>
        </w:rPr>
        <w:t>C.S.</w:t>
      </w:r>
      <w:r w:rsidR="00E51893" w:rsidRPr="00366942">
        <w:rPr>
          <w:lang w:val="en-CA"/>
        </w:rPr>
        <w:t>Nu</w:t>
      </w:r>
      <w:r w:rsidR="00E14C32" w:rsidRPr="00366942">
        <w:rPr>
          <w:lang w:val="en-CA"/>
        </w:rPr>
        <w:t>.</w:t>
      </w:r>
      <w:r w:rsidR="00E51893" w:rsidRPr="00366942">
        <w:rPr>
          <w:lang w:val="en-CA"/>
        </w:rPr>
        <w:t xml:space="preserve">, </w:t>
      </w:r>
      <w:r w:rsidRPr="00366942">
        <w:rPr>
          <w:lang w:val="en-CA"/>
        </w:rPr>
        <w:t>c.</w:t>
      </w:r>
      <w:r w:rsidR="00573581" w:rsidRPr="00366942">
        <w:rPr>
          <w:lang w:val="en-CA"/>
        </w:rPr>
        <w:t xml:space="preserve"> </w:t>
      </w:r>
      <w:r w:rsidRPr="00366942">
        <w:rPr>
          <w:lang w:val="en-CA"/>
        </w:rPr>
        <w:t xml:space="preserve">M-40, </w:t>
      </w:r>
      <w:r w:rsidR="00E51893" w:rsidRPr="00366942">
        <w:rPr>
          <w:lang w:val="en-CA"/>
        </w:rPr>
        <w:t>s</w:t>
      </w:r>
      <w:r w:rsidRPr="00366942">
        <w:rPr>
          <w:lang w:val="en-CA"/>
        </w:rPr>
        <w:t>. 4(2</w:t>
      </w:r>
      <w:bookmarkEnd w:id="55"/>
      <w:r w:rsidRPr="00366942">
        <w:rPr>
          <w:lang w:val="en-CA"/>
        </w:rPr>
        <w:t>).</w:t>
      </w:r>
    </w:p>
  </w:footnote>
  <w:footnote w:id="127">
    <w:p w14:paraId="5A7D0CE1" w14:textId="13497A03"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Physicians and Fee Regulations under the Medical Care Insurance Act, 1999</w:t>
      </w:r>
      <w:r w:rsidRPr="00366942">
        <w:rPr>
          <w:lang w:val="en-CA"/>
        </w:rPr>
        <w:t xml:space="preserve">, Newfoundland and Labrador Regulation 69/03, </w:t>
      </w:r>
      <w:r w:rsidR="00E51893" w:rsidRPr="00366942">
        <w:rPr>
          <w:lang w:val="en-CA"/>
        </w:rPr>
        <w:t>s</w:t>
      </w:r>
      <w:r w:rsidRPr="00366942">
        <w:rPr>
          <w:lang w:val="en-CA"/>
        </w:rPr>
        <w:t>. 7(1).</w:t>
      </w:r>
    </w:p>
  </w:footnote>
  <w:footnote w:id="128">
    <w:p w14:paraId="0A63F021" w14:textId="3162B79A"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E14C32" w:rsidRPr="00366942">
        <w:rPr>
          <w:i/>
          <w:iCs/>
          <w:lang w:val="en-CA"/>
        </w:rPr>
        <w:t>Medical Care Act</w:t>
      </w:r>
      <w:r w:rsidRPr="00366942">
        <w:rPr>
          <w:i/>
          <w:iCs/>
          <w:lang w:val="en-CA"/>
        </w:rPr>
        <w:t xml:space="preserve">, </w:t>
      </w:r>
      <w:r w:rsidR="00E14C32" w:rsidRPr="00366942">
        <w:rPr>
          <w:lang w:val="en-CA"/>
        </w:rPr>
        <w:t>RSNWT 1988</w:t>
      </w:r>
      <w:r w:rsidRPr="00366942">
        <w:rPr>
          <w:lang w:val="en-CA"/>
        </w:rPr>
        <w:t>, c. M</w:t>
      </w:r>
      <w:r w:rsidRPr="00366942">
        <w:rPr>
          <w:lang w:val="en-CA"/>
        </w:rPr>
        <w:noBreakHyphen/>
        <w:t xml:space="preserve">8, </w:t>
      </w:r>
      <w:r w:rsidR="00E14C32" w:rsidRPr="00366942">
        <w:rPr>
          <w:lang w:val="en-CA"/>
        </w:rPr>
        <w:t>s</w:t>
      </w:r>
      <w:r w:rsidRPr="00366942">
        <w:rPr>
          <w:lang w:val="en-CA"/>
        </w:rPr>
        <w:t>. 4(2).</w:t>
      </w:r>
    </w:p>
  </w:footnote>
  <w:footnote w:id="129">
    <w:p w14:paraId="36FFD40B" w14:textId="60D15D94"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Pr="00366942">
        <w:rPr>
          <w:i/>
          <w:iCs/>
          <w:lang w:val="en-CA"/>
        </w:rPr>
        <w:t>Health Services Payment Act Regulations</w:t>
      </w:r>
      <w:r w:rsidRPr="00366942">
        <w:rPr>
          <w:lang w:val="en-CA"/>
        </w:rPr>
        <w:t xml:space="preserve">, </w:t>
      </w:r>
      <w:r w:rsidR="00777986" w:rsidRPr="00366942">
        <w:rPr>
          <w:lang w:val="en-CA"/>
        </w:rPr>
        <w:t>ss</w:t>
      </w:r>
      <w:r w:rsidRPr="00366942">
        <w:rPr>
          <w:lang w:val="en-CA"/>
        </w:rPr>
        <w:t xml:space="preserve">. 1(c) </w:t>
      </w:r>
      <w:r w:rsidR="00777986" w:rsidRPr="00366942">
        <w:rPr>
          <w:lang w:val="en-CA"/>
        </w:rPr>
        <w:t>and</w:t>
      </w:r>
      <w:r w:rsidRPr="00366942">
        <w:rPr>
          <w:lang w:val="en-CA"/>
        </w:rPr>
        <w:t xml:space="preserve"> 11(1)</w:t>
      </w:r>
      <w:r w:rsidR="002C18A7" w:rsidRPr="00366942">
        <w:rPr>
          <w:lang w:val="en-CA"/>
        </w:rPr>
        <w:t xml:space="preserve"> (</w:t>
      </w:r>
      <w:r w:rsidR="00777986" w:rsidRPr="00366942">
        <w:rPr>
          <w:lang w:val="en-CA"/>
        </w:rPr>
        <w:t>regulation enacted under the</w:t>
      </w:r>
      <w:r w:rsidR="00AC27DC" w:rsidRPr="00366942">
        <w:rPr>
          <w:lang w:val="en-CA"/>
        </w:rPr>
        <w:t xml:space="preserve"> </w:t>
      </w:r>
      <w:r w:rsidR="00AC27DC" w:rsidRPr="00366942">
        <w:rPr>
          <w:i/>
          <w:iCs/>
          <w:lang w:val="en-CA"/>
        </w:rPr>
        <w:t>Health Services Payment Act</w:t>
      </w:r>
      <w:r w:rsidR="00AC27DC" w:rsidRPr="00366942">
        <w:rPr>
          <w:lang w:val="en-CA"/>
        </w:rPr>
        <w:t>, R.S.P.E.I. 1988, cap. H-2)</w:t>
      </w:r>
      <w:r w:rsidRPr="00366942">
        <w:rPr>
          <w:lang w:val="en-CA"/>
        </w:rPr>
        <w:t>.</w:t>
      </w:r>
    </w:p>
  </w:footnote>
  <w:footnote w:id="130">
    <w:p w14:paraId="0F766A5D" w14:textId="22E875A3"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Health Insurance Act</w:t>
      </w:r>
      <w:r w:rsidRPr="00366942">
        <w:rPr>
          <w:lang w:val="en-CA"/>
        </w:rPr>
        <w:t xml:space="preserve">, R.R.O. 1990, </w:t>
      </w:r>
      <w:r w:rsidRPr="00366942">
        <w:rPr>
          <w:i/>
          <w:iCs/>
          <w:lang w:val="en-CA"/>
        </w:rPr>
        <w:t>Regulation 552</w:t>
      </w:r>
      <w:r w:rsidRPr="00366942">
        <w:rPr>
          <w:lang w:val="en-CA"/>
        </w:rPr>
        <w:t xml:space="preserve">, </w:t>
      </w:r>
      <w:r w:rsidR="00777986" w:rsidRPr="00366942">
        <w:rPr>
          <w:lang w:val="en-CA"/>
        </w:rPr>
        <w:t>s</w:t>
      </w:r>
      <w:r w:rsidRPr="00366942">
        <w:rPr>
          <w:lang w:val="en-CA"/>
        </w:rPr>
        <w:t>. 29 (2)(3).</w:t>
      </w:r>
    </w:p>
  </w:footnote>
  <w:footnote w:id="131">
    <w:p w14:paraId="4CDB2662" w14:textId="24F524D5"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The Saskatchewan Medical Care Insurance Act</w:t>
      </w:r>
      <w:r w:rsidRPr="00366942">
        <w:rPr>
          <w:lang w:val="en-CA"/>
        </w:rPr>
        <w:t xml:space="preserve">, R.S.S. 1978, c. S-29, </w:t>
      </w:r>
      <w:r w:rsidR="00777986" w:rsidRPr="00366942">
        <w:rPr>
          <w:lang w:val="en-CA"/>
        </w:rPr>
        <w:t>ss</w:t>
      </w:r>
      <w:r w:rsidRPr="00366942">
        <w:rPr>
          <w:lang w:val="en-CA"/>
        </w:rPr>
        <w:t xml:space="preserve">. 14(3)(3.1) </w:t>
      </w:r>
      <w:r w:rsidR="00777986" w:rsidRPr="00366942">
        <w:rPr>
          <w:lang w:val="en-CA"/>
        </w:rPr>
        <w:t>and</w:t>
      </w:r>
      <w:r w:rsidRPr="00366942">
        <w:rPr>
          <w:lang w:val="en-CA"/>
        </w:rPr>
        <w:t xml:space="preserve"> 18.1; </w:t>
      </w:r>
      <w:r w:rsidRPr="00366942">
        <w:rPr>
          <w:i/>
          <w:iCs/>
          <w:lang w:val="en-CA"/>
        </w:rPr>
        <w:t>The Saskatchewan Medical Care Insurance Payment Regulations, 1994</w:t>
      </w:r>
      <w:r w:rsidRPr="00366942">
        <w:rPr>
          <w:lang w:val="en-CA"/>
        </w:rPr>
        <w:t xml:space="preserve">, chapter S-29 Reg 19, </w:t>
      </w:r>
      <w:r w:rsidR="00777986" w:rsidRPr="00366942">
        <w:rPr>
          <w:lang w:val="en-CA"/>
        </w:rPr>
        <w:t>ss</w:t>
      </w:r>
      <w:r w:rsidRPr="00366942">
        <w:rPr>
          <w:lang w:val="en-CA"/>
        </w:rPr>
        <w:t xml:space="preserve">. 7(4) </w:t>
      </w:r>
      <w:r w:rsidR="00777986" w:rsidRPr="00366942">
        <w:rPr>
          <w:lang w:val="en-CA"/>
        </w:rPr>
        <w:t>and</w:t>
      </w:r>
      <w:r w:rsidR="003A6BBA">
        <w:rPr>
          <w:lang w:val="en-CA"/>
        </w:rPr>
        <w:t> </w:t>
      </w:r>
      <w:r w:rsidRPr="00366942">
        <w:rPr>
          <w:lang w:val="en-CA"/>
        </w:rPr>
        <w:t>8.</w:t>
      </w:r>
    </w:p>
  </w:footnote>
  <w:footnote w:id="132">
    <w:p w14:paraId="0E5C6B13" w14:textId="1B230FB4"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bookmarkStart w:id="56" w:name="_Hlk173770862"/>
      <w:r w:rsidR="001A607B" w:rsidRPr="00366942">
        <w:rPr>
          <w:i/>
          <w:iCs/>
          <w:lang w:val="en-CA"/>
        </w:rPr>
        <w:t>Regulations Respecting Health Care Insurance Services</w:t>
      </w:r>
      <w:r w:rsidRPr="00366942">
        <w:rPr>
          <w:lang w:val="en-CA"/>
        </w:rPr>
        <w:t xml:space="preserve">, </w:t>
      </w:r>
      <w:r w:rsidR="001A607B" w:rsidRPr="00366942">
        <w:rPr>
          <w:lang w:val="en-CA"/>
        </w:rPr>
        <w:t>C.O</w:t>
      </w:r>
      <w:r w:rsidRPr="00366942">
        <w:rPr>
          <w:lang w:val="en-CA"/>
        </w:rPr>
        <w:t xml:space="preserve">. 1971/275 (Yukon), </w:t>
      </w:r>
      <w:r w:rsidR="00777986" w:rsidRPr="00366942">
        <w:rPr>
          <w:lang w:val="en-CA"/>
        </w:rPr>
        <w:t>s</w:t>
      </w:r>
      <w:r w:rsidRPr="00366942">
        <w:rPr>
          <w:lang w:val="en-CA"/>
        </w:rPr>
        <w:t xml:space="preserve">. </w:t>
      </w:r>
      <w:bookmarkEnd w:id="56"/>
      <w:r w:rsidRPr="00366942">
        <w:rPr>
          <w:lang w:val="en-CA"/>
        </w:rPr>
        <w:t>7(14) (</w:t>
      </w:r>
      <w:r w:rsidR="002E345C" w:rsidRPr="00366942">
        <w:rPr>
          <w:lang w:val="en-CA"/>
        </w:rPr>
        <w:t>see also s</w:t>
      </w:r>
      <w:r w:rsidRPr="00366942">
        <w:rPr>
          <w:lang w:val="en-CA"/>
        </w:rPr>
        <w:t>. 10).</w:t>
      </w:r>
    </w:p>
  </w:footnote>
  <w:footnote w:id="133">
    <w:p w14:paraId="0A8479D8" w14:textId="761DA0C4"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Hospital Insurance Regulations made under Section 17 of the Health Services and Insurance Act R.S.N.S. 1989, c. 197</w:t>
      </w:r>
      <w:r w:rsidRPr="00366942">
        <w:rPr>
          <w:lang w:val="en-CA"/>
        </w:rPr>
        <w:t xml:space="preserve">, N.S. Reg. 11/1958 (December 1, 1958), amended to O.I.C. 2023-45 (effective February 7, 2023), N.S. Reg. 33/2023, </w:t>
      </w:r>
      <w:r w:rsidR="00777986" w:rsidRPr="00366942">
        <w:rPr>
          <w:lang w:val="en-CA"/>
        </w:rPr>
        <w:t>ss</w:t>
      </w:r>
      <w:r w:rsidRPr="00366942">
        <w:rPr>
          <w:lang w:val="en-CA"/>
        </w:rPr>
        <w:t xml:space="preserve">. 7(1)(a) </w:t>
      </w:r>
      <w:r w:rsidR="00777986" w:rsidRPr="00366942">
        <w:rPr>
          <w:lang w:val="en-CA"/>
        </w:rPr>
        <w:t>and</w:t>
      </w:r>
      <w:r w:rsidRPr="00366942">
        <w:rPr>
          <w:lang w:val="en-CA"/>
        </w:rPr>
        <w:t xml:space="preserve"> 7(3), (4) </w:t>
      </w:r>
      <w:r w:rsidR="00777986" w:rsidRPr="00366942">
        <w:rPr>
          <w:lang w:val="en-CA"/>
        </w:rPr>
        <w:t>and</w:t>
      </w:r>
      <w:r w:rsidRPr="00366942">
        <w:rPr>
          <w:lang w:val="en-CA"/>
        </w:rPr>
        <w:t xml:space="preserve"> (7).</w:t>
      </w:r>
    </w:p>
  </w:footnote>
  <w:footnote w:id="134">
    <w:p w14:paraId="174300F4" w14:textId="67613C0E"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Medicare Protection Act</w:t>
      </w:r>
      <w:r w:rsidRPr="00366942">
        <w:rPr>
          <w:lang w:val="en-CA"/>
        </w:rPr>
        <w:t xml:space="preserve">, RSBC 1996, c. 286, </w:t>
      </w:r>
      <w:r w:rsidR="00777986" w:rsidRPr="00366942">
        <w:rPr>
          <w:lang w:val="en-CA"/>
        </w:rPr>
        <w:t>s</w:t>
      </w:r>
      <w:r w:rsidRPr="00366942">
        <w:rPr>
          <w:lang w:val="en-CA"/>
        </w:rPr>
        <w:t xml:space="preserve">. 29. </w:t>
      </w:r>
      <w:r w:rsidR="00777986" w:rsidRPr="00366942">
        <w:rPr>
          <w:lang w:val="en-CA"/>
        </w:rPr>
        <w:t>According to the</w:t>
      </w:r>
      <w:r w:rsidRPr="00366942">
        <w:rPr>
          <w:lang w:val="en-CA"/>
        </w:rPr>
        <w:t xml:space="preserve"> </w:t>
      </w:r>
      <w:r w:rsidR="00DE3AEF">
        <w:rPr>
          <w:lang w:val="en-CA"/>
        </w:rPr>
        <w:t xml:space="preserve">official website </w:t>
      </w:r>
      <w:r w:rsidRPr="00366942">
        <w:rPr>
          <w:rFonts w:eastAsia="Calibri"/>
          <w:lang w:val="en-CA" w:eastAsia="en-US"/>
        </w:rPr>
        <w:t>Medical Benefits Outside of B.C. - Province of British Columbia (gov.bc.ca)</w:t>
      </w:r>
      <w:r w:rsidR="00777986" w:rsidRPr="00366942">
        <w:rPr>
          <w:rFonts w:eastAsia="Calibri"/>
          <w:lang w:val="en-CA" w:eastAsia="en-US"/>
        </w:rPr>
        <w:t xml:space="preserve"> official website</w:t>
      </w:r>
      <w:r w:rsidR="00CE7354" w:rsidRPr="00366942">
        <w:rPr>
          <w:rFonts w:eastAsia="Calibri"/>
          <w:lang w:val="en-CA" w:eastAsia="en-US"/>
        </w:rPr>
        <w:t xml:space="preserve"> (https://www2.gov.bc.ca/gov/content/health/health-drug-coverage/msp/bc-residents/benefits/services-covered-by-msp/medical-benefits/medical-benefits-outside-of-british-columbia)</w:t>
      </w:r>
      <w:r w:rsidR="00777986" w:rsidRPr="00366942">
        <w:rPr>
          <w:rFonts w:eastAsia="Calibri"/>
          <w:lang w:val="en-CA" w:eastAsia="en-US"/>
        </w:rPr>
        <w:t>, it appears that the amounted thus reimbursed</w:t>
      </w:r>
      <w:r w:rsidR="008202C4" w:rsidRPr="00366942">
        <w:rPr>
          <w:rFonts w:eastAsia="Calibri"/>
          <w:lang w:val="en-CA" w:eastAsia="en-US"/>
        </w:rPr>
        <w:t xml:space="preserve"> does not exceed that which the Province would pay to its own health professional </w:t>
      </w:r>
      <w:r w:rsidRPr="00366942">
        <w:rPr>
          <w:rFonts w:eastAsia="Calibri"/>
          <w:lang w:val="en-CA" w:eastAsia="en-US"/>
        </w:rPr>
        <w:t>(</w:t>
      </w:r>
      <w:r w:rsidR="008202C4" w:rsidRPr="00366942">
        <w:rPr>
          <w:rFonts w:eastAsia="Calibri"/>
          <w:lang w:val="en-CA" w:eastAsia="en-US"/>
        </w:rPr>
        <w:t>“</w:t>
      </w:r>
      <w:r w:rsidRPr="00366942">
        <w:rPr>
          <w:rFonts w:eastAsia="Calibri"/>
          <w:lang w:val="en-CA" w:eastAsia="en-US"/>
        </w:rPr>
        <w:t>If you are eligible for coverage while temporarily absent from B.C., MSP will help pay for unexpected medical services provided the services are medically required, rendered by a licensed physician and normally insured by MSP. Reimbursement for physician services will be made in Canadian funds and payment will not exceed the amount payable had the same services been performed in B.C. Any excess cost is the responsibility of the beneficiary</w:t>
      </w:r>
      <w:r w:rsidR="008202C4" w:rsidRPr="00366942">
        <w:rPr>
          <w:rFonts w:eastAsia="Calibri"/>
          <w:lang w:val="en-CA" w:eastAsia="en-US"/>
        </w:rPr>
        <w:t>”</w:t>
      </w:r>
      <w:r w:rsidRPr="00366942">
        <w:rPr>
          <w:rFonts w:eastAsia="Calibri"/>
          <w:lang w:val="en-CA" w:eastAsia="en-US"/>
        </w:rPr>
        <w:t>)</w:t>
      </w:r>
      <w:r w:rsidRPr="00366942">
        <w:rPr>
          <w:lang w:val="en-CA"/>
        </w:rPr>
        <w:t>.</w:t>
      </w:r>
    </w:p>
  </w:footnote>
  <w:footnote w:id="135">
    <w:p w14:paraId="00884DF0" w14:textId="4D088016"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008202C4" w:rsidRPr="00366942">
        <w:rPr>
          <w:lang w:val="en-CA"/>
        </w:rPr>
        <w:t>That is the case in British Columbia pursuant to the</w:t>
      </w:r>
      <w:r w:rsidRPr="00366942">
        <w:rPr>
          <w:lang w:val="en-CA"/>
        </w:rPr>
        <w:t xml:space="preserve"> </w:t>
      </w:r>
      <w:r w:rsidRPr="00366942">
        <w:rPr>
          <w:i/>
          <w:iCs/>
          <w:lang w:val="en-CA"/>
        </w:rPr>
        <w:t>Medicare Protection Act</w:t>
      </w:r>
      <w:r w:rsidRPr="00366942">
        <w:rPr>
          <w:lang w:val="en-CA"/>
        </w:rPr>
        <w:t xml:space="preserve">, RSBC 1996, c. 286, </w:t>
      </w:r>
      <w:r w:rsidR="008202C4" w:rsidRPr="00366942">
        <w:rPr>
          <w:lang w:val="en-CA"/>
        </w:rPr>
        <w:t>s</w:t>
      </w:r>
      <w:r w:rsidRPr="00366942">
        <w:rPr>
          <w:lang w:val="en-CA"/>
        </w:rPr>
        <w:t>. 29(4)(a) (</w:t>
      </w:r>
      <w:r w:rsidR="008202C4" w:rsidRPr="00366942">
        <w:rPr>
          <w:lang w:val="en-CA"/>
        </w:rPr>
        <w:t>“</w:t>
      </w:r>
      <w:r w:rsidRPr="00366942">
        <w:rPr>
          <w:lang w:val="en-CA"/>
        </w:rPr>
        <w:t>the need for the service arose unexpectedly</w:t>
      </w:r>
      <w:r w:rsidR="008202C4" w:rsidRPr="00366942">
        <w:rPr>
          <w:lang w:val="en-CA"/>
        </w:rPr>
        <w:t>”</w:t>
      </w:r>
      <w:r w:rsidRPr="00366942">
        <w:rPr>
          <w:lang w:val="en-CA"/>
        </w:rPr>
        <w:t xml:space="preserve">), </w:t>
      </w:r>
      <w:r w:rsidR="008202C4" w:rsidRPr="00366942">
        <w:rPr>
          <w:lang w:val="en-CA"/>
        </w:rPr>
        <w:t>in Prince Edward Island</w:t>
      </w:r>
      <w:r w:rsidRPr="00366942">
        <w:rPr>
          <w:lang w:val="en-CA"/>
        </w:rPr>
        <w:t xml:space="preserve">, </w:t>
      </w:r>
      <w:r w:rsidR="008202C4" w:rsidRPr="00366942">
        <w:rPr>
          <w:lang w:val="en-CA"/>
        </w:rPr>
        <w:t>pursuant to the</w:t>
      </w:r>
      <w:r w:rsidRPr="00366942">
        <w:rPr>
          <w:lang w:val="en-CA"/>
        </w:rPr>
        <w:t xml:space="preserve"> </w:t>
      </w:r>
      <w:r w:rsidRPr="00366942">
        <w:rPr>
          <w:i/>
          <w:iCs/>
          <w:lang w:val="en-CA"/>
        </w:rPr>
        <w:t>Health Services Payment Act Regulations</w:t>
      </w:r>
      <w:r w:rsidRPr="00366942">
        <w:rPr>
          <w:lang w:val="en-CA"/>
        </w:rPr>
        <w:t xml:space="preserve">, </w:t>
      </w:r>
      <w:r w:rsidR="008202C4" w:rsidRPr="00366942">
        <w:rPr>
          <w:lang w:val="en-CA"/>
        </w:rPr>
        <w:t>s</w:t>
      </w:r>
      <w:r w:rsidRPr="00366942">
        <w:rPr>
          <w:lang w:val="en-CA"/>
        </w:rPr>
        <w:t>. 11 (</w:t>
      </w:r>
      <w:r w:rsidR="008202C4" w:rsidRPr="00366942">
        <w:rPr>
          <w:lang w:val="en-CA"/>
        </w:rPr>
        <w:t>the latter provision referring to medical services required outside the Province</w:t>
      </w:r>
      <w:r w:rsidRPr="00366942">
        <w:rPr>
          <w:lang w:val="en-CA"/>
        </w:rPr>
        <w:t xml:space="preserve"> </w:t>
      </w:r>
      <w:r w:rsidR="008202C4" w:rsidRPr="00366942">
        <w:rPr>
          <w:lang w:val="en-CA"/>
        </w:rPr>
        <w:t>“</w:t>
      </w:r>
      <w:r w:rsidRPr="00366942">
        <w:rPr>
          <w:lang w:val="en-CA"/>
        </w:rPr>
        <w:t>as a result of a sudden illness or accident</w:t>
      </w:r>
      <w:r w:rsidR="008202C4" w:rsidRPr="00366942">
        <w:rPr>
          <w:i/>
          <w:iCs/>
          <w:lang w:val="en-CA"/>
        </w:rPr>
        <w:t>”</w:t>
      </w:r>
      <w:r w:rsidRPr="00366942">
        <w:rPr>
          <w:lang w:val="en-CA"/>
        </w:rPr>
        <w:t xml:space="preserve">), </w:t>
      </w:r>
      <w:r w:rsidR="008202C4" w:rsidRPr="00366942">
        <w:rPr>
          <w:lang w:val="en-CA"/>
        </w:rPr>
        <w:t>in</w:t>
      </w:r>
      <w:r w:rsidRPr="00366942">
        <w:rPr>
          <w:lang w:val="en-CA"/>
        </w:rPr>
        <w:t xml:space="preserve"> Manitoba, </w:t>
      </w:r>
      <w:r w:rsidR="008202C4" w:rsidRPr="00366942">
        <w:rPr>
          <w:lang w:val="en-CA"/>
        </w:rPr>
        <w:t>pursuant of the</w:t>
      </w:r>
      <w:r w:rsidRPr="00366942">
        <w:rPr>
          <w:lang w:val="en-CA"/>
        </w:rPr>
        <w:t xml:space="preserve"> </w:t>
      </w:r>
      <w:r w:rsidR="008202C4" w:rsidRPr="00366942">
        <w:rPr>
          <w:i/>
          <w:iCs/>
          <w:lang w:val="en-CA"/>
        </w:rPr>
        <w:t>Medical Services Insurance Regulation</w:t>
      </w:r>
      <w:r w:rsidRPr="00366942">
        <w:rPr>
          <w:lang w:val="en-CA"/>
        </w:rPr>
        <w:t xml:space="preserve">, 49-93, </w:t>
      </w:r>
      <w:r w:rsidR="008202C4" w:rsidRPr="00366942">
        <w:rPr>
          <w:lang w:val="en-CA"/>
        </w:rPr>
        <w:t>s</w:t>
      </w:r>
      <w:r w:rsidRPr="00366942">
        <w:rPr>
          <w:lang w:val="en-CA"/>
        </w:rPr>
        <w:t>. 7(2)</w:t>
      </w:r>
      <w:r w:rsidR="008202C4" w:rsidRPr="00366942">
        <w:rPr>
          <w:lang w:val="en-CA"/>
        </w:rPr>
        <w:t>(</w:t>
      </w:r>
      <w:r w:rsidRPr="00366942">
        <w:rPr>
          <w:lang w:val="en-CA"/>
        </w:rPr>
        <w:t xml:space="preserve">a) (services </w:t>
      </w:r>
      <w:r w:rsidR="008202C4" w:rsidRPr="00366942">
        <w:rPr>
          <w:lang w:val="en-CA"/>
        </w:rPr>
        <w:t>“required because of an accident or sudden attack of illness”</w:t>
      </w:r>
      <w:r w:rsidRPr="00366942">
        <w:rPr>
          <w:lang w:val="en-CA"/>
        </w:rPr>
        <w:t xml:space="preserve">), </w:t>
      </w:r>
      <w:r w:rsidR="008202C4" w:rsidRPr="00366942">
        <w:rPr>
          <w:lang w:val="en-CA"/>
        </w:rPr>
        <w:t>in Nova Scotia</w:t>
      </w:r>
      <w:r w:rsidRPr="00366942">
        <w:rPr>
          <w:lang w:val="en-CA"/>
        </w:rPr>
        <w:t xml:space="preserve">, </w:t>
      </w:r>
      <w:r w:rsidR="008202C4" w:rsidRPr="00366942">
        <w:rPr>
          <w:lang w:val="en-CA"/>
        </w:rPr>
        <w:t>pursuant to the</w:t>
      </w:r>
      <w:r w:rsidRPr="00366942">
        <w:rPr>
          <w:lang w:val="en-CA"/>
        </w:rPr>
        <w:t xml:space="preserve"> </w:t>
      </w:r>
      <w:r w:rsidRPr="00366942">
        <w:rPr>
          <w:i/>
          <w:iCs/>
          <w:lang w:val="en-CA"/>
        </w:rPr>
        <w:t>Hospital Insurance Regulations made under Section 17 of the Health Services and Insurance Act R.S.N.S. 1989, c. 197</w:t>
      </w:r>
      <w:r w:rsidRPr="00366942">
        <w:rPr>
          <w:lang w:val="en-CA"/>
        </w:rPr>
        <w:t xml:space="preserve">, N.S. Reg. 11/1958, </w:t>
      </w:r>
      <w:r w:rsidR="008202C4" w:rsidRPr="00366942">
        <w:rPr>
          <w:lang w:val="en-CA"/>
        </w:rPr>
        <w:t>s.</w:t>
      </w:r>
      <w:r w:rsidRPr="00366942">
        <w:rPr>
          <w:lang w:val="en-CA"/>
        </w:rPr>
        <w:t xml:space="preserve"> 7(4) (</w:t>
      </w:r>
      <w:r w:rsidR="008202C4" w:rsidRPr="00366942">
        <w:rPr>
          <w:lang w:val="en-CA"/>
        </w:rPr>
        <w:t>the service had to be required</w:t>
      </w:r>
      <w:r w:rsidRPr="00366942">
        <w:rPr>
          <w:lang w:val="en-CA"/>
        </w:rPr>
        <w:t xml:space="preserve"> </w:t>
      </w:r>
      <w:r w:rsidR="008202C4" w:rsidRPr="00366942">
        <w:rPr>
          <w:lang w:val="en-CA"/>
        </w:rPr>
        <w:t>“</w:t>
      </w:r>
      <w:r w:rsidRPr="00366942">
        <w:rPr>
          <w:lang w:val="en-CA"/>
        </w:rPr>
        <w:t>because of an accident or sudden attack of illness</w:t>
      </w:r>
      <w:r w:rsidR="008202C4" w:rsidRPr="00366942">
        <w:rPr>
          <w:lang w:val="en-CA"/>
        </w:rPr>
        <w:t>”</w:t>
      </w:r>
      <w:r w:rsidR="00167CB0" w:rsidRPr="00366942">
        <w:rPr>
          <w:lang w:val="en-CA"/>
        </w:rPr>
        <w:t>)</w:t>
      </w:r>
      <w:r w:rsidRPr="00366942">
        <w:rPr>
          <w:lang w:val="en-CA"/>
        </w:rPr>
        <w:t>.</w:t>
      </w:r>
    </w:p>
  </w:footnote>
  <w:footnote w:id="136">
    <w:p w14:paraId="082293A2" w14:textId="7D77A184" w:rsidR="00961A50" w:rsidRPr="00366942" w:rsidRDefault="00961A50" w:rsidP="00961A50">
      <w:pPr>
        <w:pStyle w:val="Notedebasdepage"/>
        <w:rPr>
          <w:lang w:val="en-CA"/>
        </w:rPr>
      </w:pPr>
      <w:r w:rsidRPr="00366942">
        <w:rPr>
          <w:rStyle w:val="Appelnotedebasdep"/>
        </w:rPr>
        <w:footnoteRef/>
      </w:r>
      <w:r w:rsidRPr="00366942">
        <w:rPr>
          <w:lang w:val="en-CA"/>
        </w:rPr>
        <w:t xml:space="preserve"> </w:t>
      </w:r>
      <w:r w:rsidRPr="00366942">
        <w:rPr>
          <w:lang w:val="en-CA"/>
        </w:rPr>
        <w:tab/>
      </w:r>
      <w:r w:rsidR="008202C4" w:rsidRPr="00366942">
        <w:rPr>
          <w:lang w:val="en-CA"/>
        </w:rPr>
        <w:t>See</w:t>
      </w:r>
      <w:r w:rsidRPr="00366942">
        <w:rPr>
          <w:lang w:val="en-CA"/>
        </w:rPr>
        <w:t xml:space="preserve">: </w:t>
      </w:r>
      <w:r w:rsidRPr="00366942">
        <w:rPr>
          <w:i/>
          <w:iCs/>
          <w:lang w:val="en-CA"/>
        </w:rPr>
        <w:t>Medical Benefits Regulation</w:t>
      </w:r>
      <w:r w:rsidRPr="00366942">
        <w:rPr>
          <w:lang w:val="en-CA"/>
        </w:rPr>
        <w:t xml:space="preserve">, Alberta Regulation 84/2006, </w:t>
      </w:r>
      <w:r w:rsidR="00290618">
        <w:rPr>
          <w:lang w:val="en-CA"/>
        </w:rPr>
        <w:t>s</w:t>
      </w:r>
      <w:r w:rsidRPr="00366942">
        <w:rPr>
          <w:lang w:val="en-CA"/>
        </w:rPr>
        <w:t xml:space="preserve">. 5 (Alberta); </w:t>
      </w:r>
      <w:r w:rsidRPr="00366942">
        <w:rPr>
          <w:i/>
          <w:iCs/>
          <w:lang w:val="en-CA"/>
        </w:rPr>
        <w:t>Health Services Payment Act Regulations</w:t>
      </w:r>
      <w:r w:rsidRPr="00366942">
        <w:rPr>
          <w:lang w:val="en-CA"/>
        </w:rPr>
        <w:t xml:space="preserve">, </w:t>
      </w:r>
      <w:r w:rsidR="008202C4" w:rsidRPr="00366942">
        <w:rPr>
          <w:lang w:val="en-CA"/>
        </w:rPr>
        <w:t>ss</w:t>
      </w:r>
      <w:r w:rsidRPr="00366942">
        <w:rPr>
          <w:lang w:val="en-CA"/>
        </w:rPr>
        <w:t xml:space="preserve">. 1(c) </w:t>
      </w:r>
      <w:r w:rsidR="008202C4" w:rsidRPr="00366942">
        <w:rPr>
          <w:lang w:val="en-CA"/>
        </w:rPr>
        <w:t>and</w:t>
      </w:r>
      <w:r w:rsidRPr="00366942">
        <w:rPr>
          <w:lang w:val="en-CA"/>
        </w:rPr>
        <w:t xml:space="preserve"> 11(1)(b) (</w:t>
      </w:r>
      <w:r w:rsidR="008202C4" w:rsidRPr="00366942">
        <w:rPr>
          <w:lang w:val="en-CA"/>
        </w:rPr>
        <w:t>Prince Edward Island</w:t>
      </w:r>
      <w:r w:rsidRPr="00366942">
        <w:rPr>
          <w:lang w:val="en-CA"/>
        </w:rPr>
        <w:t xml:space="preserve">); </w:t>
      </w:r>
      <w:r w:rsidR="008202C4" w:rsidRPr="00366942">
        <w:rPr>
          <w:i/>
          <w:iCs/>
          <w:lang w:val="en-CA"/>
        </w:rPr>
        <w:t>Medical Services Insurance Regulation</w:t>
      </w:r>
      <w:r w:rsidRPr="00366942">
        <w:rPr>
          <w:lang w:val="en-CA"/>
        </w:rPr>
        <w:t xml:space="preserve">, 49-93, </w:t>
      </w:r>
      <w:r w:rsidR="008202C4" w:rsidRPr="00366942">
        <w:rPr>
          <w:lang w:val="en-CA"/>
        </w:rPr>
        <w:t>s</w:t>
      </w:r>
      <w:r w:rsidRPr="00366942">
        <w:rPr>
          <w:lang w:val="en-CA"/>
        </w:rPr>
        <w:t xml:space="preserve">. 7(2) (Manitoba); </w:t>
      </w:r>
      <w:r w:rsidR="009E4234" w:rsidRPr="00366942">
        <w:rPr>
          <w:i/>
          <w:iCs/>
          <w:lang w:val="en-CA"/>
        </w:rPr>
        <w:t>New Brunswick Regulation</w:t>
      </w:r>
      <w:r w:rsidRPr="00366942">
        <w:rPr>
          <w:i/>
          <w:iCs/>
          <w:lang w:val="en-CA"/>
        </w:rPr>
        <w:t xml:space="preserve"> 84-20 </w:t>
      </w:r>
      <w:r w:rsidR="009E4234" w:rsidRPr="00366942">
        <w:rPr>
          <w:i/>
          <w:iCs/>
          <w:lang w:val="en-CA"/>
        </w:rPr>
        <w:t>under the Medical Services Payment Act</w:t>
      </w:r>
      <w:r w:rsidRPr="00366942">
        <w:rPr>
          <w:lang w:val="en-CA"/>
        </w:rPr>
        <w:t>, (</w:t>
      </w:r>
      <w:r w:rsidR="009E4234" w:rsidRPr="00366942">
        <w:rPr>
          <w:lang w:val="en-CA"/>
        </w:rPr>
        <w:t>O</w:t>
      </w:r>
      <w:r w:rsidRPr="00366942">
        <w:rPr>
          <w:lang w:val="en-CA"/>
        </w:rPr>
        <w:t xml:space="preserve">.C. 84-64), </w:t>
      </w:r>
      <w:r w:rsidR="009E4234" w:rsidRPr="00366942">
        <w:rPr>
          <w:lang w:val="en-CA"/>
        </w:rPr>
        <w:t>ss</w:t>
      </w:r>
      <w:r w:rsidRPr="00366942">
        <w:rPr>
          <w:lang w:val="en-CA"/>
        </w:rPr>
        <w:t xml:space="preserve">. 13.1(b) </w:t>
      </w:r>
      <w:r w:rsidR="009E4234" w:rsidRPr="00366942">
        <w:rPr>
          <w:lang w:val="en-CA"/>
        </w:rPr>
        <w:t>and</w:t>
      </w:r>
      <w:r w:rsidRPr="00366942">
        <w:rPr>
          <w:lang w:val="en-CA"/>
        </w:rPr>
        <w:t>. 14(4)</w:t>
      </w:r>
      <w:r w:rsidR="009E4234" w:rsidRPr="00366942">
        <w:rPr>
          <w:lang w:val="en-CA"/>
        </w:rPr>
        <w:t>(</w:t>
      </w:r>
      <w:r w:rsidRPr="00366942">
        <w:rPr>
          <w:lang w:val="en-CA"/>
        </w:rPr>
        <w:t>b)(i) (</w:t>
      </w:r>
      <w:r w:rsidR="009E4234" w:rsidRPr="00366942">
        <w:rPr>
          <w:lang w:val="en-CA"/>
        </w:rPr>
        <w:t xml:space="preserve">New </w:t>
      </w:r>
      <w:r w:rsidRPr="00366942">
        <w:rPr>
          <w:lang w:val="en-CA"/>
        </w:rPr>
        <w:t xml:space="preserve">Brunswick); </w:t>
      </w:r>
      <w:r w:rsidR="009E4234" w:rsidRPr="00366942">
        <w:rPr>
          <w:i/>
          <w:iCs/>
          <w:lang w:val="en-CA"/>
        </w:rPr>
        <w:t>Medical Care Act</w:t>
      </w:r>
      <w:r w:rsidRPr="00366942">
        <w:rPr>
          <w:lang w:val="en-CA"/>
        </w:rPr>
        <w:t xml:space="preserve">, </w:t>
      </w:r>
      <w:r w:rsidR="009E4234" w:rsidRPr="00366942">
        <w:rPr>
          <w:lang w:val="en-CA"/>
        </w:rPr>
        <w:t>C.S</w:t>
      </w:r>
      <w:r w:rsidRPr="00366942">
        <w:rPr>
          <w:lang w:val="en-CA"/>
        </w:rPr>
        <w:t xml:space="preserve">. Nu., c. M-40, </w:t>
      </w:r>
      <w:r w:rsidR="009E4234" w:rsidRPr="00366942">
        <w:rPr>
          <w:lang w:val="en-CA"/>
        </w:rPr>
        <w:t>s</w:t>
      </w:r>
      <w:r w:rsidRPr="00366942">
        <w:rPr>
          <w:lang w:val="en-CA"/>
        </w:rPr>
        <w:t xml:space="preserve">. 4(3) </w:t>
      </w:r>
      <w:r w:rsidR="009E4234" w:rsidRPr="00366942">
        <w:rPr>
          <w:lang w:val="en-CA"/>
        </w:rPr>
        <w:t>and</w:t>
      </w:r>
      <w:r w:rsidRPr="00366942">
        <w:rPr>
          <w:lang w:val="en-CA"/>
        </w:rPr>
        <w:t xml:space="preserve"> </w:t>
      </w:r>
      <w:r w:rsidR="009E4234" w:rsidRPr="00366942">
        <w:rPr>
          <w:i/>
          <w:iCs/>
          <w:lang w:val="en-CA"/>
        </w:rPr>
        <w:t>Medical Care Regulation</w:t>
      </w:r>
      <w:r w:rsidRPr="00366942">
        <w:rPr>
          <w:lang w:val="en-CA"/>
        </w:rPr>
        <w:t>, R.R.</w:t>
      </w:r>
      <w:r w:rsidR="009E4234" w:rsidRPr="00366942">
        <w:rPr>
          <w:lang w:val="en-CA"/>
        </w:rPr>
        <w:t>N.W.T</w:t>
      </w:r>
      <w:r w:rsidRPr="00366942">
        <w:rPr>
          <w:lang w:val="en-CA"/>
        </w:rPr>
        <w:t xml:space="preserve">. 1990, c. M-4, </w:t>
      </w:r>
      <w:r w:rsidR="009E4234" w:rsidRPr="00366942">
        <w:rPr>
          <w:lang w:val="en-CA"/>
        </w:rPr>
        <w:t>s</w:t>
      </w:r>
      <w:r w:rsidRPr="00366942">
        <w:rPr>
          <w:lang w:val="en-CA"/>
        </w:rPr>
        <w:t xml:space="preserve">. 4(2) (Nunavut); </w:t>
      </w:r>
      <w:r w:rsidRPr="00366942">
        <w:rPr>
          <w:i/>
          <w:iCs/>
          <w:lang w:val="en-CA"/>
        </w:rPr>
        <w:t>Health Insurance Act</w:t>
      </w:r>
      <w:r w:rsidRPr="00366942">
        <w:rPr>
          <w:lang w:val="en-CA"/>
        </w:rPr>
        <w:t xml:space="preserve">, R.R.O. 1990, </w:t>
      </w:r>
      <w:r w:rsidRPr="00366942">
        <w:rPr>
          <w:i/>
          <w:iCs/>
          <w:lang w:val="en-CA"/>
        </w:rPr>
        <w:t>Regulation 552</w:t>
      </w:r>
      <w:r w:rsidRPr="00366942">
        <w:rPr>
          <w:lang w:val="en-CA"/>
        </w:rPr>
        <w:t xml:space="preserve">, </w:t>
      </w:r>
      <w:r w:rsidR="009E4234" w:rsidRPr="00366942">
        <w:rPr>
          <w:lang w:val="en-CA"/>
        </w:rPr>
        <w:t>s</w:t>
      </w:r>
      <w:r w:rsidRPr="00366942">
        <w:rPr>
          <w:lang w:val="en-CA"/>
        </w:rPr>
        <w:t xml:space="preserve">. 29 (Ontario); </w:t>
      </w:r>
      <w:r w:rsidRPr="00366942">
        <w:rPr>
          <w:i/>
          <w:iCs/>
          <w:lang w:val="en-CA"/>
        </w:rPr>
        <w:t>The Saskatchewan Medical Care Insurance Act</w:t>
      </w:r>
      <w:r w:rsidRPr="00366942">
        <w:rPr>
          <w:lang w:val="en-CA"/>
        </w:rPr>
        <w:t xml:space="preserve">, R.S.S. 1978, c. S-29, </w:t>
      </w:r>
      <w:r w:rsidR="009E4234" w:rsidRPr="00366942">
        <w:rPr>
          <w:lang w:val="en-CA"/>
        </w:rPr>
        <w:t>s</w:t>
      </w:r>
      <w:r w:rsidRPr="00366942">
        <w:rPr>
          <w:lang w:val="en-CA"/>
        </w:rPr>
        <w:t xml:space="preserve">. 14(3)(3.1), </w:t>
      </w:r>
      <w:r w:rsidR="009E4234" w:rsidRPr="00366942">
        <w:rPr>
          <w:lang w:val="en-CA"/>
        </w:rPr>
        <w:t>and</w:t>
      </w:r>
      <w:r w:rsidRPr="00366942">
        <w:rPr>
          <w:lang w:val="en-CA"/>
        </w:rPr>
        <w:t xml:space="preserve"> </w:t>
      </w:r>
      <w:r w:rsidRPr="00366942">
        <w:rPr>
          <w:i/>
          <w:iCs/>
          <w:lang w:val="en-CA"/>
        </w:rPr>
        <w:t>The Saskatchewan Medical Care Insurance Payment Regulations, 1994</w:t>
      </w:r>
      <w:r w:rsidRPr="00366942">
        <w:rPr>
          <w:lang w:val="en-CA"/>
        </w:rPr>
        <w:t>,</w:t>
      </w:r>
      <w:r w:rsidRPr="00366942">
        <w:rPr>
          <w:i/>
          <w:iCs/>
          <w:lang w:val="en-CA"/>
        </w:rPr>
        <w:t xml:space="preserve"> c. S-29</w:t>
      </w:r>
      <w:r w:rsidRPr="00366942">
        <w:rPr>
          <w:lang w:val="en-CA"/>
        </w:rPr>
        <w:t xml:space="preserve">, Reg 19, </w:t>
      </w:r>
      <w:r w:rsidR="009E4234" w:rsidRPr="00366942">
        <w:rPr>
          <w:lang w:val="en-CA"/>
        </w:rPr>
        <w:t>ss</w:t>
      </w:r>
      <w:r w:rsidRPr="00366942">
        <w:rPr>
          <w:lang w:val="en-CA"/>
        </w:rPr>
        <w:t xml:space="preserve">. 7(4) </w:t>
      </w:r>
      <w:r w:rsidR="009E4234" w:rsidRPr="00366942">
        <w:rPr>
          <w:lang w:val="en-CA"/>
        </w:rPr>
        <w:t>and</w:t>
      </w:r>
      <w:r w:rsidRPr="00366942">
        <w:rPr>
          <w:lang w:val="en-CA"/>
        </w:rPr>
        <w:t xml:space="preserve">. 8 (Saskatchewan); </w:t>
      </w:r>
      <w:r w:rsidR="009E4234" w:rsidRPr="00366942">
        <w:rPr>
          <w:i/>
          <w:iCs/>
          <w:lang w:val="en-CA"/>
        </w:rPr>
        <w:t>Medical Care Act</w:t>
      </w:r>
      <w:r w:rsidRPr="00366942">
        <w:rPr>
          <w:lang w:val="en-CA"/>
        </w:rPr>
        <w:t xml:space="preserve">, LRTN-O 1988, c. M-8, </w:t>
      </w:r>
      <w:r w:rsidR="009E4234" w:rsidRPr="00366942">
        <w:rPr>
          <w:lang w:val="en-CA"/>
        </w:rPr>
        <w:t>s</w:t>
      </w:r>
      <w:r w:rsidRPr="00366942">
        <w:rPr>
          <w:lang w:val="en-CA"/>
        </w:rPr>
        <w:t>. 4(3) (</w:t>
      </w:r>
      <w:r w:rsidR="009E4234" w:rsidRPr="00366942">
        <w:rPr>
          <w:lang w:val="en-CA"/>
        </w:rPr>
        <w:t>Northwest Territories</w:t>
      </w:r>
      <w:r w:rsidRPr="00366942">
        <w:rPr>
          <w:lang w:val="en-CA"/>
        </w:rPr>
        <w:t xml:space="preserve">); </w:t>
      </w:r>
      <w:r w:rsidRPr="00366942">
        <w:rPr>
          <w:i/>
          <w:iCs/>
          <w:lang w:val="en-CA"/>
        </w:rPr>
        <w:t>Newfoundland and Labrador Regulation 69/03</w:t>
      </w:r>
      <w:r w:rsidRPr="00366942">
        <w:rPr>
          <w:lang w:val="en-CA"/>
        </w:rPr>
        <w:t xml:space="preserve">, </w:t>
      </w:r>
      <w:r w:rsidR="009E4234" w:rsidRPr="00366942">
        <w:rPr>
          <w:lang w:val="en-CA"/>
        </w:rPr>
        <w:t>s</w:t>
      </w:r>
      <w:r w:rsidRPr="00366942">
        <w:rPr>
          <w:lang w:val="en-CA"/>
        </w:rPr>
        <w:t>. 7(2)(3) (</w:t>
      </w:r>
      <w:r w:rsidR="009E4234" w:rsidRPr="00366942">
        <w:rPr>
          <w:lang w:val="en-CA"/>
        </w:rPr>
        <w:t>Newfoundland and Labrador</w:t>
      </w:r>
      <w:r w:rsidRPr="00366942">
        <w:rPr>
          <w:lang w:val="en-CA"/>
        </w:rPr>
        <w:t xml:space="preserve">); </w:t>
      </w:r>
      <w:bookmarkStart w:id="59" w:name="_Hlk184028562"/>
      <w:r w:rsidR="001A607B" w:rsidRPr="00366942">
        <w:rPr>
          <w:i/>
          <w:iCs/>
          <w:lang w:val="en-CA"/>
        </w:rPr>
        <w:t>Regulations Respecting Health Care Insurance Services</w:t>
      </w:r>
      <w:bookmarkEnd w:id="59"/>
      <w:r w:rsidRPr="00366942">
        <w:rPr>
          <w:lang w:val="en-CA"/>
        </w:rPr>
        <w:t xml:space="preserve">, </w:t>
      </w:r>
      <w:r w:rsidR="001A607B" w:rsidRPr="00366942">
        <w:rPr>
          <w:lang w:val="en-CA"/>
        </w:rPr>
        <w:t>C.O</w:t>
      </w:r>
      <w:r w:rsidRPr="00366942">
        <w:rPr>
          <w:lang w:val="en-CA"/>
        </w:rPr>
        <w:t xml:space="preserve">. 1971/275, </w:t>
      </w:r>
      <w:r w:rsidR="001A607B" w:rsidRPr="00366942">
        <w:rPr>
          <w:lang w:val="en-CA"/>
        </w:rPr>
        <w:t>s</w:t>
      </w:r>
      <w:r w:rsidRPr="00366942">
        <w:rPr>
          <w:lang w:val="en-CA"/>
        </w:rPr>
        <w:t>. 10(3) (Yukon).</w:t>
      </w:r>
    </w:p>
  </w:footnote>
  <w:footnote w:id="137">
    <w:p w14:paraId="31865E1C" w14:textId="235690D6"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Medicare Protection Act</w:t>
      </w:r>
      <w:r w:rsidRPr="00366942">
        <w:rPr>
          <w:lang w:val="en-CA"/>
        </w:rPr>
        <w:t xml:space="preserve">, RSBC 1996, c. 286, </w:t>
      </w:r>
      <w:r w:rsidR="00801A7B" w:rsidRPr="00366942">
        <w:rPr>
          <w:lang w:val="en-CA"/>
        </w:rPr>
        <w:t>s</w:t>
      </w:r>
      <w:r w:rsidRPr="00366942">
        <w:rPr>
          <w:lang w:val="en-CA"/>
        </w:rPr>
        <w:t xml:space="preserve">. 29, </w:t>
      </w:r>
      <w:r w:rsidR="00801A7B" w:rsidRPr="00366942">
        <w:rPr>
          <w:lang w:val="en-CA"/>
        </w:rPr>
        <w:t>and</w:t>
      </w:r>
      <w:r w:rsidRPr="00366942">
        <w:rPr>
          <w:lang w:val="en-CA"/>
        </w:rPr>
        <w:t xml:space="preserve"> note </w:t>
      </w:r>
      <w:r w:rsidRPr="00366942">
        <w:rPr>
          <w:lang w:val="en-CA"/>
        </w:rPr>
        <w:fldChar w:fldCharType="begin"/>
      </w:r>
      <w:r w:rsidRPr="00366942">
        <w:rPr>
          <w:lang w:val="en-CA"/>
        </w:rPr>
        <w:instrText xml:space="preserve"> NOTEREF _Ref174283902 \h </w:instrText>
      </w:r>
      <w:r w:rsidRPr="00366942">
        <w:rPr>
          <w:lang w:val="en-CA"/>
        </w:rPr>
      </w:r>
      <w:r w:rsidRPr="00366942">
        <w:rPr>
          <w:lang w:val="en-CA"/>
        </w:rPr>
        <w:fldChar w:fldCharType="separate"/>
      </w:r>
      <w:r w:rsidR="001C6ED6">
        <w:rPr>
          <w:lang w:val="en-CA"/>
        </w:rPr>
        <w:t>134</w:t>
      </w:r>
      <w:r w:rsidRPr="00366942">
        <w:rPr>
          <w:lang w:val="en-CA"/>
        </w:rPr>
        <w:fldChar w:fldCharType="end"/>
      </w:r>
      <w:r w:rsidRPr="00366942">
        <w:rPr>
          <w:i/>
          <w:iCs/>
          <w:lang w:val="en-CA"/>
        </w:rPr>
        <w:t xml:space="preserve"> supra</w:t>
      </w:r>
      <w:r w:rsidRPr="00366942">
        <w:rPr>
          <w:lang w:val="en-CA"/>
        </w:rPr>
        <w:t>.</w:t>
      </w:r>
    </w:p>
  </w:footnote>
  <w:footnote w:id="138">
    <w:p w14:paraId="0AD51641" w14:textId="4B468E12" w:rsidR="00961A50" w:rsidRPr="00366942" w:rsidRDefault="00961A50" w:rsidP="00961A50">
      <w:pPr>
        <w:pStyle w:val="Notedebasdepage"/>
        <w:rPr>
          <w:lang w:val="en-CA"/>
        </w:rPr>
      </w:pPr>
      <w:r w:rsidRPr="00366942">
        <w:rPr>
          <w:rStyle w:val="Appelnotedebasdep"/>
          <w:lang w:val="en-CA"/>
        </w:rPr>
        <w:footnoteRef/>
      </w:r>
      <w:r w:rsidRPr="00366942">
        <w:rPr>
          <w:lang w:val="en-CA"/>
        </w:rPr>
        <w:t xml:space="preserve"> </w:t>
      </w:r>
      <w:r w:rsidRPr="00366942">
        <w:rPr>
          <w:lang w:val="en-CA"/>
        </w:rPr>
        <w:tab/>
      </w:r>
      <w:r w:rsidRPr="00366942">
        <w:rPr>
          <w:i/>
          <w:iCs/>
          <w:lang w:val="en-CA"/>
        </w:rPr>
        <w:t>Hospital Insurance Regulations made under Section 17 of the Health Services and Insurance Act R.S.N.S. 1989, c. 197</w:t>
      </w:r>
      <w:r w:rsidRPr="00366942">
        <w:rPr>
          <w:lang w:val="en-CA"/>
        </w:rPr>
        <w:t xml:space="preserve">, N.S. Reg. 11/1958, </w:t>
      </w:r>
      <w:r w:rsidR="00801A7B" w:rsidRPr="00366942">
        <w:rPr>
          <w:lang w:val="en-CA"/>
        </w:rPr>
        <w:t>s</w:t>
      </w:r>
      <w:r w:rsidRPr="00366942">
        <w:rPr>
          <w:lang w:val="en-CA"/>
        </w:rPr>
        <w:t>. 7(4)(5).</w:t>
      </w:r>
    </w:p>
  </w:footnote>
  <w:footnote w:id="139">
    <w:p w14:paraId="1BA39106" w14:textId="77777777" w:rsidR="00BF6AD4" w:rsidRPr="0036546C" w:rsidRDefault="00BF6AD4" w:rsidP="00BF6AD4">
      <w:pPr>
        <w:pStyle w:val="Notedebasdepage"/>
        <w:rPr>
          <w:lang w:val="en-CA"/>
        </w:rPr>
      </w:pPr>
      <w:r>
        <w:rPr>
          <w:rStyle w:val="Appelnotedebasdep"/>
        </w:rPr>
        <w:footnoteRef/>
      </w:r>
      <w:r w:rsidRPr="0036546C">
        <w:rPr>
          <w:lang w:val="en-CA"/>
        </w:rPr>
        <w:t xml:space="preserve"> </w:t>
      </w:r>
      <w:r w:rsidRPr="0036546C">
        <w:rPr>
          <w:lang w:val="en-CA"/>
        </w:rPr>
        <w:tab/>
        <w:t xml:space="preserve">In this regard, the situation </w:t>
      </w:r>
      <w:r>
        <w:rPr>
          <w:lang w:val="en-CA"/>
        </w:rPr>
        <w:t>here</w:t>
      </w:r>
      <w:r w:rsidRPr="0036546C">
        <w:rPr>
          <w:lang w:val="en-CA"/>
        </w:rPr>
        <w:t xml:space="preserve"> is very different from that which was at issue in </w:t>
      </w:r>
      <w:r w:rsidRPr="0036546C">
        <w:rPr>
          <w:i/>
          <w:iCs/>
          <w:lang w:val="en-CA"/>
        </w:rPr>
        <w:t>Quebec (Commission des droits de la personne et des droits de la jeunesse) v. Directrice de la protection de la jeunesse du CISSS A</w:t>
      </w:r>
      <w:r w:rsidRPr="0036546C">
        <w:rPr>
          <w:lang w:val="en-CA"/>
        </w:rPr>
        <w:t xml:space="preserve">, 2024 </w:t>
      </w:r>
      <w:r>
        <w:rPr>
          <w:lang w:val="en-CA"/>
        </w:rPr>
        <w:t>SCC</w:t>
      </w:r>
      <w:r w:rsidRPr="0036546C">
        <w:rPr>
          <w:lang w:val="en-CA"/>
        </w:rPr>
        <w:t xml:space="preserve"> 43, where the Supreme Court</w:t>
      </w:r>
      <w:r>
        <w:rPr>
          <w:lang w:val="en-CA"/>
        </w:rPr>
        <w:t>, per Wagner</w:t>
      </w:r>
      <w:r w:rsidRPr="00366942">
        <w:rPr>
          <w:lang w:val="en-CA"/>
        </w:rPr>
        <w:t xml:space="preserve">, C.J., </w:t>
      </w:r>
      <w:r w:rsidRPr="0036546C">
        <w:rPr>
          <w:lang w:val="en-CA"/>
        </w:rPr>
        <w:t xml:space="preserve">excludes the consideration of the budgetary implications of an order pronounced by the Court of Quebec, under the </w:t>
      </w:r>
      <w:r w:rsidRPr="0086406B">
        <w:rPr>
          <w:i/>
          <w:iCs/>
          <w:lang w:val="en-CA"/>
        </w:rPr>
        <w:t>Youth Protection Act</w:t>
      </w:r>
      <w:r w:rsidRPr="0036546C">
        <w:rPr>
          <w:lang w:val="en-CA"/>
        </w:rPr>
        <w:t xml:space="preserve"> (</w:t>
      </w:r>
      <w:r>
        <w:rPr>
          <w:lang w:val="en-CA"/>
        </w:rPr>
        <w:t>CQLR</w:t>
      </w:r>
      <w:r w:rsidRPr="0036546C">
        <w:rPr>
          <w:lang w:val="en-CA"/>
        </w:rPr>
        <w:t xml:space="preserve">, c. </w:t>
      </w:r>
      <w:r>
        <w:rPr>
          <w:lang w:val="en-CA"/>
        </w:rPr>
        <w:t>P-</w:t>
      </w:r>
      <w:r w:rsidRPr="0036546C">
        <w:rPr>
          <w:lang w:val="en-CA"/>
        </w:rPr>
        <w:t>34.1)</w:t>
      </w:r>
      <w:r>
        <w:rPr>
          <w:lang w:val="en-CA"/>
        </w:rPr>
        <w:t>,</w:t>
      </w:r>
      <w:r w:rsidRPr="0036546C">
        <w:rPr>
          <w:lang w:val="en-CA"/>
        </w:rPr>
        <w:t xml:space="preserve"> in the examination of the question of whether such order is consistent with the </w:t>
      </w:r>
      <w:r w:rsidRPr="00A127BD">
        <w:rPr>
          <w:color w:val="000000"/>
          <w:lang w:val="en-CA"/>
        </w:rPr>
        <w:t>statutory enablement</w:t>
      </w:r>
      <w:r>
        <w:rPr>
          <w:lang w:val="en-CA"/>
        </w:rPr>
        <w:t>: “</w:t>
      </w:r>
      <w:r w:rsidRPr="00A127BD">
        <w:rPr>
          <w:lang w:val="en-CA"/>
        </w:rPr>
        <w:t>There is no rule whereby the legislature is presumed to intend to limit the powers it confers on a statutory tribunal on the basis of the magnitude of the budgetary impact of their exercise</w:t>
      </w:r>
      <w:r w:rsidRPr="0036546C">
        <w:rPr>
          <w:lang w:val="en-CA"/>
        </w:rPr>
        <w:t>” (para. 27), “</w:t>
      </w:r>
      <w:r w:rsidRPr="00A127BD">
        <w:rPr>
          <w:lang w:val="en-CA"/>
        </w:rPr>
        <w:t>such a validity criterion ha</w:t>
      </w:r>
      <w:r>
        <w:rPr>
          <w:lang w:val="en-CA"/>
        </w:rPr>
        <w:t>[ving]</w:t>
      </w:r>
      <w:r w:rsidRPr="00A127BD">
        <w:rPr>
          <w:lang w:val="en-CA"/>
        </w:rPr>
        <w:t xml:space="preserve"> no basis in the </w:t>
      </w:r>
      <w:r w:rsidRPr="00A127BD">
        <w:rPr>
          <w:i/>
          <w:iCs/>
          <w:lang w:val="en-CA"/>
        </w:rPr>
        <w:t>YPA</w:t>
      </w:r>
      <w:r w:rsidRPr="0036546C">
        <w:rPr>
          <w:lang w:val="en-CA"/>
        </w:rPr>
        <w:t xml:space="preserve">” (para. </w:t>
      </w:r>
      <w:r>
        <w:rPr>
          <w:lang w:val="en-CA"/>
        </w:rPr>
        <w:t>94</w:t>
      </w:r>
      <w:r w:rsidRPr="00A127BD">
        <w:rPr>
          <w:lang w:val="en-CA"/>
        </w:rPr>
        <w:t>).</w:t>
      </w:r>
    </w:p>
  </w:footnote>
  <w:footnote w:id="140">
    <w:p w14:paraId="3579046C" w14:textId="7DCA814A" w:rsidR="00CE7354" w:rsidRPr="00366942" w:rsidRDefault="00CE7354" w:rsidP="00CE7354">
      <w:pPr>
        <w:pStyle w:val="Notedebasdepage"/>
        <w:rPr>
          <w:lang w:val="en-CA"/>
        </w:rPr>
      </w:pPr>
      <w:r w:rsidRPr="00366942">
        <w:rPr>
          <w:rStyle w:val="Appelnotedebasdep"/>
        </w:rPr>
        <w:footnoteRef/>
      </w:r>
      <w:r w:rsidRPr="00366942">
        <w:rPr>
          <w:lang w:val="en-CA"/>
        </w:rPr>
        <w:t xml:space="preserve"> </w:t>
      </w:r>
      <w:r w:rsidR="00327643" w:rsidRPr="00366942">
        <w:rPr>
          <w:lang w:val="en-CA"/>
        </w:rPr>
        <w:tab/>
      </w:r>
      <w:r w:rsidRPr="00366942">
        <w:rPr>
          <w:lang w:val="en-CA"/>
        </w:rPr>
        <w:t xml:space="preserve">As earlier noted, the issue of </w:t>
      </w:r>
      <w:r w:rsidR="00327643" w:rsidRPr="00366942">
        <w:rPr>
          <w:lang w:val="en-CA"/>
        </w:rPr>
        <w:t xml:space="preserve">the </w:t>
      </w:r>
      <w:r w:rsidRPr="00366942">
        <w:rPr>
          <w:lang w:val="en-CA"/>
        </w:rPr>
        <w:t xml:space="preserve">validity of that choice under the </w:t>
      </w:r>
      <w:r w:rsidRPr="00366942">
        <w:rPr>
          <w:i/>
          <w:iCs/>
          <w:lang w:val="en-CA"/>
        </w:rPr>
        <w:t>Canada Health Act</w:t>
      </w:r>
      <w:r w:rsidRPr="00366942">
        <w:rPr>
          <w:lang w:val="en-CA"/>
        </w:rPr>
        <w:t xml:space="preserve"> was not argued on this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A5EF" w14:textId="77777777" w:rsidR="00961A50" w:rsidRDefault="00961A50" w:rsidP="00E623AC">
    <w:pPr>
      <w:tabs>
        <w:tab w:val="center" w:pos="4709"/>
        <w:tab w:val="right" w:pos="9360"/>
      </w:tabs>
      <w:spacing w:line="360" w:lineRule="auto"/>
      <w:ind w:right="524"/>
    </w:pPr>
    <w:r>
      <w:t>500-09-030178-222</w:t>
    </w:r>
    <w:r w:rsidRPr="007462D6">
      <w:t xml:space="preserve"> </w:t>
    </w:r>
    <w:r>
      <w:tab/>
    </w:r>
    <w:r>
      <w:tab/>
      <w:t xml:space="preserve">PAGE : </w:t>
    </w:r>
    <w:r>
      <w:fldChar w:fldCharType="begin"/>
    </w:r>
    <w:r>
      <w:instrText xml:space="preserve"> PAGE </w:instrText>
    </w:r>
    <w:r>
      <w:fldChar w:fldCharType="separate"/>
    </w:r>
    <w:r>
      <w:t>1</w:t>
    </w:r>
    <w:r>
      <w:fldChar w:fldCharType="end"/>
    </w:r>
  </w:p>
  <w:p w14:paraId="1CF69D4F" w14:textId="77777777" w:rsidR="007F4ED8" w:rsidRDefault="007F4ED8" w:rsidP="00E623AC">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B4F1" w14:textId="77777777" w:rsidR="007E33E4" w:rsidRDefault="002C4AA3" w:rsidP="00DB2119">
    <w:pPr>
      <w:tabs>
        <w:tab w:val="center" w:pos="4709"/>
        <w:tab w:val="right" w:pos="9360"/>
      </w:tabs>
      <w:spacing w:line="360" w:lineRule="auto"/>
      <w:ind w:right="524"/>
    </w:pPr>
    <w:bookmarkStart w:id="60" w:name="EntDossier"/>
    <w:r>
      <w:t>500-09-030178-222</w:t>
    </w:r>
    <w:bookmarkEnd w:id="60"/>
    <w:r w:rsidR="007E33E4" w:rsidRPr="007462D6">
      <w:t xml:space="preserve"> </w:t>
    </w:r>
    <w:r w:rsidR="007E33E4">
      <w:tab/>
    </w:r>
    <w:r w:rsidR="007E33E4">
      <w:tab/>
      <w:t xml:space="preserve">PAGE : </w:t>
    </w:r>
    <w:r w:rsidR="007E33E4">
      <w:fldChar w:fldCharType="begin"/>
    </w:r>
    <w:r w:rsidR="007E33E4">
      <w:instrText xml:space="preserve"> PAGE </w:instrText>
    </w:r>
    <w:r w:rsidR="007E33E4">
      <w:fldChar w:fldCharType="separate"/>
    </w:r>
    <w:r w:rsidR="008D18FC">
      <w:rPr>
        <w:noProof/>
      </w:rPr>
      <w:t>2</w:t>
    </w:r>
    <w:r w:rsidR="007E33E4">
      <w:fldChar w:fldCharType="end"/>
    </w:r>
  </w:p>
  <w:p w14:paraId="53C45685"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93AA7"/>
    <w:multiLevelType w:val="hybridMultilevel"/>
    <w:tmpl w:val="C21078B0"/>
    <w:lvl w:ilvl="0" w:tplc="86306884">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1E18406E"/>
    <w:multiLevelType w:val="hybridMultilevel"/>
    <w:tmpl w:val="AFDC3A4A"/>
    <w:lvl w:ilvl="0" w:tplc="0C0C0001">
      <w:start w:val="1"/>
      <w:numFmt w:val="bullet"/>
      <w:lvlText w:val=""/>
      <w:lvlJc w:val="left"/>
      <w:pPr>
        <w:ind w:left="1440" w:hanging="360"/>
      </w:pPr>
      <w:rPr>
        <w:rFonts w:ascii="Symbol" w:hAnsi="Symbol" w:hint="default"/>
      </w:rPr>
    </w:lvl>
    <w:lvl w:ilvl="1" w:tplc="86306884">
      <w:numFmt w:val="bullet"/>
      <w:lvlText w:val="•"/>
      <w:lvlJc w:val="left"/>
      <w:pPr>
        <w:ind w:left="2160" w:hanging="360"/>
      </w:pPr>
      <w:rPr>
        <w:rFonts w:ascii="Arial" w:eastAsia="Times New Roman" w:hAnsi="Arial" w:cs="Arial"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27191DEE"/>
    <w:multiLevelType w:val="singleLevel"/>
    <w:tmpl w:val="33441578"/>
    <w:lvl w:ilvl="0">
      <w:start w:val="1"/>
      <w:numFmt w:val="decimal"/>
      <w:pStyle w:val="F02-Texte"/>
      <w:lvlText w:val="[%1]"/>
      <w:lvlJc w:val="left"/>
      <w:pPr>
        <w:tabs>
          <w:tab w:val="num" w:pos="851"/>
        </w:tabs>
        <w:ind w:left="0" w:firstLine="0"/>
      </w:pPr>
      <w:rPr>
        <w:rFonts w:ascii="Arial" w:hAnsi="Arial" w:hint="default"/>
        <w:b w:val="0"/>
        <w:i w:val="0"/>
        <w:sz w:val="24"/>
      </w:rPr>
    </w:lvl>
  </w:abstractNum>
  <w:abstractNum w:abstractNumId="13" w15:restartNumberingAfterBreak="0">
    <w:nsid w:val="28BB52DE"/>
    <w:multiLevelType w:val="multilevel"/>
    <w:tmpl w:val="DFC6429E"/>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7F85F0F"/>
    <w:multiLevelType w:val="hybridMultilevel"/>
    <w:tmpl w:val="3354A0A4"/>
    <w:lvl w:ilvl="0" w:tplc="0C0C0001">
      <w:start w:val="1"/>
      <w:numFmt w:val="bullet"/>
      <w:lvlText w:val=""/>
      <w:lvlJc w:val="left"/>
      <w:pPr>
        <w:ind w:left="1798" w:hanging="360"/>
      </w:pPr>
      <w:rPr>
        <w:rFonts w:ascii="Symbol" w:hAnsi="Symbol" w:hint="default"/>
      </w:rPr>
    </w:lvl>
    <w:lvl w:ilvl="1" w:tplc="0C0C0003" w:tentative="1">
      <w:start w:val="1"/>
      <w:numFmt w:val="bullet"/>
      <w:lvlText w:val="o"/>
      <w:lvlJc w:val="left"/>
      <w:pPr>
        <w:ind w:left="2518" w:hanging="360"/>
      </w:pPr>
      <w:rPr>
        <w:rFonts w:ascii="Courier New" w:hAnsi="Courier New" w:cs="Courier New" w:hint="default"/>
      </w:rPr>
    </w:lvl>
    <w:lvl w:ilvl="2" w:tplc="0C0C0005" w:tentative="1">
      <w:start w:val="1"/>
      <w:numFmt w:val="bullet"/>
      <w:lvlText w:val=""/>
      <w:lvlJc w:val="left"/>
      <w:pPr>
        <w:ind w:left="3238" w:hanging="360"/>
      </w:pPr>
      <w:rPr>
        <w:rFonts w:ascii="Wingdings" w:hAnsi="Wingdings" w:hint="default"/>
      </w:rPr>
    </w:lvl>
    <w:lvl w:ilvl="3" w:tplc="0C0C0001" w:tentative="1">
      <w:start w:val="1"/>
      <w:numFmt w:val="bullet"/>
      <w:lvlText w:val=""/>
      <w:lvlJc w:val="left"/>
      <w:pPr>
        <w:ind w:left="3958" w:hanging="360"/>
      </w:pPr>
      <w:rPr>
        <w:rFonts w:ascii="Symbol" w:hAnsi="Symbol" w:hint="default"/>
      </w:rPr>
    </w:lvl>
    <w:lvl w:ilvl="4" w:tplc="0C0C0003" w:tentative="1">
      <w:start w:val="1"/>
      <w:numFmt w:val="bullet"/>
      <w:lvlText w:val="o"/>
      <w:lvlJc w:val="left"/>
      <w:pPr>
        <w:ind w:left="4678" w:hanging="360"/>
      </w:pPr>
      <w:rPr>
        <w:rFonts w:ascii="Courier New" w:hAnsi="Courier New" w:cs="Courier New" w:hint="default"/>
      </w:rPr>
    </w:lvl>
    <w:lvl w:ilvl="5" w:tplc="0C0C0005" w:tentative="1">
      <w:start w:val="1"/>
      <w:numFmt w:val="bullet"/>
      <w:lvlText w:val=""/>
      <w:lvlJc w:val="left"/>
      <w:pPr>
        <w:ind w:left="5398" w:hanging="360"/>
      </w:pPr>
      <w:rPr>
        <w:rFonts w:ascii="Wingdings" w:hAnsi="Wingdings" w:hint="default"/>
      </w:rPr>
    </w:lvl>
    <w:lvl w:ilvl="6" w:tplc="0C0C0001" w:tentative="1">
      <w:start w:val="1"/>
      <w:numFmt w:val="bullet"/>
      <w:lvlText w:val=""/>
      <w:lvlJc w:val="left"/>
      <w:pPr>
        <w:ind w:left="6118" w:hanging="360"/>
      </w:pPr>
      <w:rPr>
        <w:rFonts w:ascii="Symbol" w:hAnsi="Symbol" w:hint="default"/>
      </w:rPr>
    </w:lvl>
    <w:lvl w:ilvl="7" w:tplc="0C0C0003" w:tentative="1">
      <w:start w:val="1"/>
      <w:numFmt w:val="bullet"/>
      <w:lvlText w:val="o"/>
      <w:lvlJc w:val="left"/>
      <w:pPr>
        <w:ind w:left="6838" w:hanging="360"/>
      </w:pPr>
      <w:rPr>
        <w:rFonts w:ascii="Courier New" w:hAnsi="Courier New" w:cs="Courier New" w:hint="default"/>
      </w:rPr>
    </w:lvl>
    <w:lvl w:ilvl="8" w:tplc="0C0C0005" w:tentative="1">
      <w:start w:val="1"/>
      <w:numFmt w:val="bullet"/>
      <w:lvlText w:val=""/>
      <w:lvlJc w:val="left"/>
      <w:pPr>
        <w:ind w:left="7558" w:hanging="360"/>
      </w:pPr>
      <w:rPr>
        <w:rFonts w:ascii="Wingdings" w:hAnsi="Wingdings" w:hint="default"/>
      </w:rPr>
    </w:lvl>
  </w:abstractNum>
  <w:abstractNum w:abstractNumId="15"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4D145E9"/>
    <w:multiLevelType w:val="hybridMultilevel"/>
    <w:tmpl w:val="610804A8"/>
    <w:lvl w:ilvl="0" w:tplc="0C0C0001">
      <w:start w:val="1"/>
      <w:numFmt w:val="bullet"/>
      <w:lvlText w:val=""/>
      <w:lvlJc w:val="left"/>
      <w:pPr>
        <w:ind w:left="144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2026205419">
    <w:abstractNumId w:val="16"/>
  </w:num>
  <w:num w:numId="2" w16cid:durableId="1592079243">
    <w:abstractNumId w:val="16"/>
  </w:num>
  <w:num w:numId="3" w16cid:durableId="863522613">
    <w:abstractNumId w:val="16"/>
  </w:num>
  <w:num w:numId="4" w16cid:durableId="2021664214">
    <w:abstractNumId w:val="8"/>
  </w:num>
  <w:num w:numId="5" w16cid:durableId="1883443851">
    <w:abstractNumId w:val="3"/>
  </w:num>
  <w:num w:numId="6" w16cid:durableId="82575437">
    <w:abstractNumId w:val="2"/>
  </w:num>
  <w:num w:numId="7" w16cid:durableId="1618566074">
    <w:abstractNumId w:val="1"/>
  </w:num>
  <w:num w:numId="8" w16cid:durableId="1042553663">
    <w:abstractNumId w:val="0"/>
  </w:num>
  <w:num w:numId="9" w16cid:durableId="249510055">
    <w:abstractNumId w:val="9"/>
  </w:num>
  <w:num w:numId="10" w16cid:durableId="1074475190">
    <w:abstractNumId w:val="7"/>
  </w:num>
  <w:num w:numId="11" w16cid:durableId="1077366886">
    <w:abstractNumId w:val="6"/>
  </w:num>
  <w:num w:numId="12" w16cid:durableId="210847908">
    <w:abstractNumId w:val="5"/>
  </w:num>
  <w:num w:numId="13" w16cid:durableId="1845432911">
    <w:abstractNumId w:val="4"/>
  </w:num>
  <w:num w:numId="14" w16cid:durableId="1272085741">
    <w:abstractNumId w:val="16"/>
  </w:num>
  <w:num w:numId="15" w16cid:durableId="1710761396">
    <w:abstractNumId w:val="16"/>
  </w:num>
  <w:num w:numId="16" w16cid:durableId="1021011041">
    <w:abstractNumId w:val="16"/>
  </w:num>
  <w:num w:numId="17" w16cid:durableId="19087744">
    <w:abstractNumId w:val="15"/>
  </w:num>
  <w:num w:numId="18" w16cid:durableId="983924520">
    <w:abstractNumId w:val="13"/>
  </w:num>
  <w:num w:numId="19" w16cid:durableId="720907497">
    <w:abstractNumId w:val="12"/>
  </w:num>
  <w:num w:numId="20" w16cid:durableId="595939433">
    <w:abstractNumId w:val="11"/>
  </w:num>
  <w:num w:numId="21" w16cid:durableId="467164881">
    <w:abstractNumId w:val="14"/>
  </w:num>
  <w:num w:numId="22" w16cid:durableId="1135489771">
    <w:abstractNumId w:val="17"/>
  </w:num>
  <w:num w:numId="23" w16cid:durableId="14352516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0964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E LA JUGE"/>
    <w:docVar w:name="MotifJuge2" w:val="MOTIFS DU JUGE"/>
    <w:docVar w:name="MotifJuge3" w:val="MOTIFS DU JUGE"/>
    <w:docVar w:name="NomFamJuge1" w:val="BICH"/>
    <w:docVar w:name="NomFamJuge2" w:val="HEALY"/>
    <w:docVar w:name="NomFamJuge3" w:val="MOORE"/>
    <w:docVar w:name="NomFamJuge4" w:val="MAILHOT"/>
    <w:docVar w:name="NomFamJuge5" w:val="BAUDOUIN"/>
    <w:docVar w:name="QteJuge1" w:val=", J.C.A."/>
    <w:docVar w:name="QteJuge2" w:val=", J.C.A."/>
    <w:docVar w:name="QteJuge3" w:val=", J.C.A."/>
    <w:docVar w:name="stPremiereFois" w:val="Non"/>
  </w:docVars>
  <w:rsids>
    <w:rsidRoot w:val="002C4AA3"/>
    <w:rsid w:val="00000CAC"/>
    <w:rsid w:val="00003305"/>
    <w:rsid w:val="000038AE"/>
    <w:rsid w:val="00004073"/>
    <w:rsid w:val="00005506"/>
    <w:rsid w:val="0000580C"/>
    <w:rsid w:val="00007DAD"/>
    <w:rsid w:val="000130C3"/>
    <w:rsid w:val="000131E1"/>
    <w:rsid w:val="0001379D"/>
    <w:rsid w:val="00015072"/>
    <w:rsid w:val="0001786B"/>
    <w:rsid w:val="00021CC7"/>
    <w:rsid w:val="000248EC"/>
    <w:rsid w:val="00026D17"/>
    <w:rsid w:val="00031FAF"/>
    <w:rsid w:val="00032528"/>
    <w:rsid w:val="0003258F"/>
    <w:rsid w:val="000341EA"/>
    <w:rsid w:val="000409D3"/>
    <w:rsid w:val="00042150"/>
    <w:rsid w:val="0004394C"/>
    <w:rsid w:val="00052224"/>
    <w:rsid w:val="00053691"/>
    <w:rsid w:val="0005564C"/>
    <w:rsid w:val="0005570B"/>
    <w:rsid w:val="000605F7"/>
    <w:rsid w:val="00060A62"/>
    <w:rsid w:val="00065BFE"/>
    <w:rsid w:val="00066372"/>
    <w:rsid w:val="00066A1A"/>
    <w:rsid w:val="00067131"/>
    <w:rsid w:val="00071349"/>
    <w:rsid w:val="00077D69"/>
    <w:rsid w:val="00080F21"/>
    <w:rsid w:val="000813C6"/>
    <w:rsid w:val="00087FB5"/>
    <w:rsid w:val="00091F9C"/>
    <w:rsid w:val="000958D0"/>
    <w:rsid w:val="00096F5A"/>
    <w:rsid w:val="000A544F"/>
    <w:rsid w:val="000A5D0B"/>
    <w:rsid w:val="000A6005"/>
    <w:rsid w:val="000A7516"/>
    <w:rsid w:val="000B1E12"/>
    <w:rsid w:val="000B4164"/>
    <w:rsid w:val="000B42AF"/>
    <w:rsid w:val="000B4688"/>
    <w:rsid w:val="000B6C7D"/>
    <w:rsid w:val="000C4EC8"/>
    <w:rsid w:val="000D33AA"/>
    <w:rsid w:val="000E61EC"/>
    <w:rsid w:val="000F2C14"/>
    <w:rsid w:val="000F39FC"/>
    <w:rsid w:val="000F4331"/>
    <w:rsid w:val="000F66E6"/>
    <w:rsid w:val="00101CCF"/>
    <w:rsid w:val="00110B53"/>
    <w:rsid w:val="0011171A"/>
    <w:rsid w:val="001117D2"/>
    <w:rsid w:val="00112321"/>
    <w:rsid w:val="00113283"/>
    <w:rsid w:val="00117914"/>
    <w:rsid w:val="00124E8B"/>
    <w:rsid w:val="00127837"/>
    <w:rsid w:val="0013028C"/>
    <w:rsid w:val="00131412"/>
    <w:rsid w:val="00141334"/>
    <w:rsid w:val="00144444"/>
    <w:rsid w:val="00144ECC"/>
    <w:rsid w:val="00150F8B"/>
    <w:rsid w:val="00151B84"/>
    <w:rsid w:val="00153E3C"/>
    <w:rsid w:val="0015610F"/>
    <w:rsid w:val="001579BE"/>
    <w:rsid w:val="00160B31"/>
    <w:rsid w:val="00160E2F"/>
    <w:rsid w:val="0016247A"/>
    <w:rsid w:val="00163CF7"/>
    <w:rsid w:val="0016431B"/>
    <w:rsid w:val="00167CB0"/>
    <w:rsid w:val="001716E6"/>
    <w:rsid w:val="0018126F"/>
    <w:rsid w:val="00181F56"/>
    <w:rsid w:val="001824C1"/>
    <w:rsid w:val="00187312"/>
    <w:rsid w:val="00190FA7"/>
    <w:rsid w:val="0019267B"/>
    <w:rsid w:val="00192E38"/>
    <w:rsid w:val="0019347E"/>
    <w:rsid w:val="001972F2"/>
    <w:rsid w:val="001A0938"/>
    <w:rsid w:val="001A4A5D"/>
    <w:rsid w:val="001A58AA"/>
    <w:rsid w:val="001A607B"/>
    <w:rsid w:val="001A7830"/>
    <w:rsid w:val="001B271E"/>
    <w:rsid w:val="001B3A7F"/>
    <w:rsid w:val="001B51FD"/>
    <w:rsid w:val="001B714D"/>
    <w:rsid w:val="001C08A1"/>
    <w:rsid w:val="001C1E02"/>
    <w:rsid w:val="001C43BE"/>
    <w:rsid w:val="001C4519"/>
    <w:rsid w:val="001C47BF"/>
    <w:rsid w:val="001C4C60"/>
    <w:rsid w:val="001C5B9A"/>
    <w:rsid w:val="001C6ED6"/>
    <w:rsid w:val="001D3DD0"/>
    <w:rsid w:val="001D7F5C"/>
    <w:rsid w:val="001E5637"/>
    <w:rsid w:val="001E722B"/>
    <w:rsid w:val="001F057F"/>
    <w:rsid w:val="001F273E"/>
    <w:rsid w:val="001F3110"/>
    <w:rsid w:val="001F5077"/>
    <w:rsid w:val="00202B14"/>
    <w:rsid w:val="00205DC4"/>
    <w:rsid w:val="00207885"/>
    <w:rsid w:val="0021548E"/>
    <w:rsid w:val="00216A14"/>
    <w:rsid w:val="00217480"/>
    <w:rsid w:val="002230D4"/>
    <w:rsid w:val="0022458F"/>
    <w:rsid w:val="002269A1"/>
    <w:rsid w:val="002269BD"/>
    <w:rsid w:val="002272BB"/>
    <w:rsid w:val="002273F5"/>
    <w:rsid w:val="00227929"/>
    <w:rsid w:val="002302C1"/>
    <w:rsid w:val="002304F6"/>
    <w:rsid w:val="00236CC8"/>
    <w:rsid w:val="00240C23"/>
    <w:rsid w:val="002434D9"/>
    <w:rsid w:val="00243B2A"/>
    <w:rsid w:val="00245D27"/>
    <w:rsid w:val="0025465B"/>
    <w:rsid w:val="00255139"/>
    <w:rsid w:val="00256AD6"/>
    <w:rsid w:val="002601CA"/>
    <w:rsid w:val="00260509"/>
    <w:rsid w:val="002607AB"/>
    <w:rsid w:val="00262113"/>
    <w:rsid w:val="00262152"/>
    <w:rsid w:val="0026222C"/>
    <w:rsid w:val="002622E4"/>
    <w:rsid w:val="00266AD3"/>
    <w:rsid w:val="00267C23"/>
    <w:rsid w:val="00280787"/>
    <w:rsid w:val="00281A03"/>
    <w:rsid w:val="00286827"/>
    <w:rsid w:val="00290618"/>
    <w:rsid w:val="00290FCF"/>
    <w:rsid w:val="002921F9"/>
    <w:rsid w:val="0029258C"/>
    <w:rsid w:val="00293D3F"/>
    <w:rsid w:val="002A06F1"/>
    <w:rsid w:val="002A1012"/>
    <w:rsid w:val="002A2A62"/>
    <w:rsid w:val="002A409A"/>
    <w:rsid w:val="002A4499"/>
    <w:rsid w:val="002A628A"/>
    <w:rsid w:val="002B06E0"/>
    <w:rsid w:val="002B085F"/>
    <w:rsid w:val="002B105A"/>
    <w:rsid w:val="002B21BA"/>
    <w:rsid w:val="002B4A07"/>
    <w:rsid w:val="002B7F01"/>
    <w:rsid w:val="002C0B03"/>
    <w:rsid w:val="002C18A7"/>
    <w:rsid w:val="002C4107"/>
    <w:rsid w:val="002C42A0"/>
    <w:rsid w:val="002C48A1"/>
    <w:rsid w:val="002C4AA3"/>
    <w:rsid w:val="002C74E3"/>
    <w:rsid w:val="002D2FB2"/>
    <w:rsid w:val="002D4CD1"/>
    <w:rsid w:val="002D7B33"/>
    <w:rsid w:val="002E1A7C"/>
    <w:rsid w:val="002E1F0E"/>
    <w:rsid w:val="002E229C"/>
    <w:rsid w:val="002E345C"/>
    <w:rsid w:val="002E3468"/>
    <w:rsid w:val="002E3D2A"/>
    <w:rsid w:val="002E51F1"/>
    <w:rsid w:val="002E5DA4"/>
    <w:rsid w:val="002F1350"/>
    <w:rsid w:val="002F2872"/>
    <w:rsid w:val="002F354D"/>
    <w:rsid w:val="002F41BE"/>
    <w:rsid w:val="002F4554"/>
    <w:rsid w:val="002F53C0"/>
    <w:rsid w:val="002F5B83"/>
    <w:rsid w:val="002F6136"/>
    <w:rsid w:val="002F6B87"/>
    <w:rsid w:val="00302243"/>
    <w:rsid w:val="00302FFF"/>
    <w:rsid w:val="0030618E"/>
    <w:rsid w:val="0031218F"/>
    <w:rsid w:val="003125D7"/>
    <w:rsid w:val="00312D16"/>
    <w:rsid w:val="003166F1"/>
    <w:rsid w:val="00316A1F"/>
    <w:rsid w:val="00320BCD"/>
    <w:rsid w:val="00322DE0"/>
    <w:rsid w:val="0032363D"/>
    <w:rsid w:val="00323EF2"/>
    <w:rsid w:val="00327643"/>
    <w:rsid w:val="0033190E"/>
    <w:rsid w:val="003330F7"/>
    <w:rsid w:val="0033655A"/>
    <w:rsid w:val="00341273"/>
    <w:rsid w:val="00342917"/>
    <w:rsid w:val="00347A71"/>
    <w:rsid w:val="00357CF0"/>
    <w:rsid w:val="00361325"/>
    <w:rsid w:val="00361D21"/>
    <w:rsid w:val="003634C1"/>
    <w:rsid w:val="00363504"/>
    <w:rsid w:val="0036546C"/>
    <w:rsid w:val="00366942"/>
    <w:rsid w:val="00367327"/>
    <w:rsid w:val="00370364"/>
    <w:rsid w:val="00371515"/>
    <w:rsid w:val="003745E4"/>
    <w:rsid w:val="00374888"/>
    <w:rsid w:val="00374E40"/>
    <w:rsid w:val="00376936"/>
    <w:rsid w:val="00377649"/>
    <w:rsid w:val="00384AE7"/>
    <w:rsid w:val="00386CC6"/>
    <w:rsid w:val="0038736C"/>
    <w:rsid w:val="00390EF2"/>
    <w:rsid w:val="00393F7C"/>
    <w:rsid w:val="00397E8C"/>
    <w:rsid w:val="003A2C10"/>
    <w:rsid w:val="003A2F0F"/>
    <w:rsid w:val="003A352D"/>
    <w:rsid w:val="003A6BBA"/>
    <w:rsid w:val="003A7044"/>
    <w:rsid w:val="003A746C"/>
    <w:rsid w:val="003A794B"/>
    <w:rsid w:val="003D3A11"/>
    <w:rsid w:val="003D427E"/>
    <w:rsid w:val="003D487D"/>
    <w:rsid w:val="003D5F56"/>
    <w:rsid w:val="003E1B98"/>
    <w:rsid w:val="003E3239"/>
    <w:rsid w:val="003E3E3C"/>
    <w:rsid w:val="003E3EFC"/>
    <w:rsid w:val="003F5238"/>
    <w:rsid w:val="003F582A"/>
    <w:rsid w:val="003F7069"/>
    <w:rsid w:val="0040088F"/>
    <w:rsid w:val="00400F83"/>
    <w:rsid w:val="00401C71"/>
    <w:rsid w:val="00402992"/>
    <w:rsid w:val="00403172"/>
    <w:rsid w:val="00407EE6"/>
    <w:rsid w:val="004112A8"/>
    <w:rsid w:val="004115D8"/>
    <w:rsid w:val="00411C3C"/>
    <w:rsid w:val="00413742"/>
    <w:rsid w:val="0041554D"/>
    <w:rsid w:val="004158BE"/>
    <w:rsid w:val="00423DF1"/>
    <w:rsid w:val="004242C4"/>
    <w:rsid w:val="004246A0"/>
    <w:rsid w:val="0042521F"/>
    <w:rsid w:val="00426F17"/>
    <w:rsid w:val="004278F5"/>
    <w:rsid w:val="00430C58"/>
    <w:rsid w:val="004331C4"/>
    <w:rsid w:val="00433DEC"/>
    <w:rsid w:val="00434383"/>
    <w:rsid w:val="0043564D"/>
    <w:rsid w:val="0043798E"/>
    <w:rsid w:val="00437DD2"/>
    <w:rsid w:val="00440F13"/>
    <w:rsid w:val="00441C19"/>
    <w:rsid w:val="00441C25"/>
    <w:rsid w:val="004439BC"/>
    <w:rsid w:val="00446452"/>
    <w:rsid w:val="004465D5"/>
    <w:rsid w:val="004511E6"/>
    <w:rsid w:val="004524E9"/>
    <w:rsid w:val="00454266"/>
    <w:rsid w:val="00461BE5"/>
    <w:rsid w:val="004646EA"/>
    <w:rsid w:val="00472DC8"/>
    <w:rsid w:val="0047608C"/>
    <w:rsid w:val="004760D9"/>
    <w:rsid w:val="004779F7"/>
    <w:rsid w:val="004802EC"/>
    <w:rsid w:val="00483C38"/>
    <w:rsid w:val="004852DA"/>
    <w:rsid w:val="00491B40"/>
    <w:rsid w:val="00492C7C"/>
    <w:rsid w:val="00493BCF"/>
    <w:rsid w:val="00495494"/>
    <w:rsid w:val="004A29F1"/>
    <w:rsid w:val="004A6641"/>
    <w:rsid w:val="004A6B38"/>
    <w:rsid w:val="004B1E94"/>
    <w:rsid w:val="004B2900"/>
    <w:rsid w:val="004B33FF"/>
    <w:rsid w:val="004B63D3"/>
    <w:rsid w:val="004B63E5"/>
    <w:rsid w:val="004B67A4"/>
    <w:rsid w:val="004B6B8C"/>
    <w:rsid w:val="004B70BB"/>
    <w:rsid w:val="004C1722"/>
    <w:rsid w:val="004C42A0"/>
    <w:rsid w:val="004C5B25"/>
    <w:rsid w:val="004D00B2"/>
    <w:rsid w:val="004D03F2"/>
    <w:rsid w:val="004D0E1F"/>
    <w:rsid w:val="004D24B7"/>
    <w:rsid w:val="004D2F69"/>
    <w:rsid w:val="004D50EC"/>
    <w:rsid w:val="004D76E1"/>
    <w:rsid w:val="004D7898"/>
    <w:rsid w:val="004E11D2"/>
    <w:rsid w:val="004E262F"/>
    <w:rsid w:val="004E4FBA"/>
    <w:rsid w:val="004E6F53"/>
    <w:rsid w:val="004F3314"/>
    <w:rsid w:val="004F5296"/>
    <w:rsid w:val="00500A39"/>
    <w:rsid w:val="0050408F"/>
    <w:rsid w:val="0050717A"/>
    <w:rsid w:val="00512590"/>
    <w:rsid w:val="005131F1"/>
    <w:rsid w:val="0051484F"/>
    <w:rsid w:val="00516B3E"/>
    <w:rsid w:val="005257F6"/>
    <w:rsid w:val="005262C9"/>
    <w:rsid w:val="00531D70"/>
    <w:rsid w:val="005328C1"/>
    <w:rsid w:val="00535523"/>
    <w:rsid w:val="00536D65"/>
    <w:rsid w:val="005403F4"/>
    <w:rsid w:val="00542A31"/>
    <w:rsid w:val="0054361E"/>
    <w:rsid w:val="00543A80"/>
    <w:rsid w:val="00543DD2"/>
    <w:rsid w:val="00545B36"/>
    <w:rsid w:val="00557C7A"/>
    <w:rsid w:val="00560231"/>
    <w:rsid w:val="005603AC"/>
    <w:rsid w:val="005603EB"/>
    <w:rsid w:val="00562011"/>
    <w:rsid w:val="00566706"/>
    <w:rsid w:val="005669E7"/>
    <w:rsid w:val="00566BF6"/>
    <w:rsid w:val="00567F43"/>
    <w:rsid w:val="00572C4A"/>
    <w:rsid w:val="00573581"/>
    <w:rsid w:val="00576503"/>
    <w:rsid w:val="00577ABA"/>
    <w:rsid w:val="00583434"/>
    <w:rsid w:val="0058349F"/>
    <w:rsid w:val="00583810"/>
    <w:rsid w:val="005848A9"/>
    <w:rsid w:val="00585597"/>
    <w:rsid w:val="005879FD"/>
    <w:rsid w:val="00590F25"/>
    <w:rsid w:val="00592B02"/>
    <w:rsid w:val="00593074"/>
    <w:rsid w:val="00594BEE"/>
    <w:rsid w:val="005A29DC"/>
    <w:rsid w:val="005A2ACB"/>
    <w:rsid w:val="005A4621"/>
    <w:rsid w:val="005A49D4"/>
    <w:rsid w:val="005A6A51"/>
    <w:rsid w:val="005A6CE8"/>
    <w:rsid w:val="005A78BF"/>
    <w:rsid w:val="005B0DF7"/>
    <w:rsid w:val="005B4182"/>
    <w:rsid w:val="005B5163"/>
    <w:rsid w:val="005B6B4C"/>
    <w:rsid w:val="005C7516"/>
    <w:rsid w:val="005D1522"/>
    <w:rsid w:val="005D4F2C"/>
    <w:rsid w:val="005D678F"/>
    <w:rsid w:val="005D7E4B"/>
    <w:rsid w:val="005D7E5C"/>
    <w:rsid w:val="005E10A9"/>
    <w:rsid w:val="005E74D5"/>
    <w:rsid w:val="005F06ED"/>
    <w:rsid w:val="005F4F5C"/>
    <w:rsid w:val="005F5B42"/>
    <w:rsid w:val="005F5F5F"/>
    <w:rsid w:val="005F6F61"/>
    <w:rsid w:val="005F7192"/>
    <w:rsid w:val="006025AE"/>
    <w:rsid w:val="00604033"/>
    <w:rsid w:val="006076FD"/>
    <w:rsid w:val="00611D96"/>
    <w:rsid w:val="00611F2B"/>
    <w:rsid w:val="00614092"/>
    <w:rsid w:val="00621C65"/>
    <w:rsid w:val="006222E9"/>
    <w:rsid w:val="00622734"/>
    <w:rsid w:val="00624770"/>
    <w:rsid w:val="00624AF1"/>
    <w:rsid w:val="006264D5"/>
    <w:rsid w:val="006357C2"/>
    <w:rsid w:val="006368BA"/>
    <w:rsid w:val="0064250B"/>
    <w:rsid w:val="00642EAA"/>
    <w:rsid w:val="006439AC"/>
    <w:rsid w:val="0065134A"/>
    <w:rsid w:val="006520DC"/>
    <w:rsid w:val="00652878"/>
    <w:rsid w:val="00654DBF"/>
    <w:rsid w:val="006578FA"/>
    <w:rsid w:val="006610C5"/>
    <w:rsid w:val="006639A6"/>
    <w:rsid w:val="006664A9"/>
    <w:rsid w:val="00667A37"/>
    <w:rsid w:val="006735FA"/>
    <w:rsid w:val="006750CD"/>
    <w:rsid w:val="00675B4A"/>
    <w:rsid w:val="006810AC"/>
    <w:rsid w:val="006826AA"/>
    <w:rsid w:val="0068356A"/>
    <w:rsid w:val="0068478B"/>
    <w:rsid w:val="00686A91"/>
    <w:rsid w:val="00690E77"/>
    <w:rsid w:val="00695E40"/>
    <w:rsid w:val="006A0DB0"/>
    <w:rsid w:val="006A6629"/>
    <w:rsid w:val="006B0C51"/>
    <w:rsid w:val="006B1B23"/>
    <w:rsid w:val="006B4C38"/>
    <w:rsid w:val="006B52BF"/>
    <w:rsid w:val="006B5F6B"/>
    <w:rsid w:val="006C0C1D"/>
    <w:rsid w:val="006C3F0D"/>
    <w:rsid w:val="006C59B5"/>
    <w:rsid w:val="006C6D88"/>
    <w:rsid w:val="006C6EB8"/>
    <w:rsid w:val="006D00BB"/>
    <w:rsid w:val="006D0317"/>
    <w:rsid w:val="006D583F"/>
    <w:rsid w:val="006D62AC"/>
    <w:rsid w:val="006D655B"/>
    <w:rsid w:val="006D6990"/>
    <w:rsid w:val="006D75A0"/>
    <w:rsid w:val="006E4448"/>
    <w:rsid w:val="006E4B27"/>
    <w:rsid w:val="006E535E"/>
    <w:rsid w:val="006F134D"/>
    <w:rsid w:val="006F565F"/>
    <w:rsid w:val="006F63B2"/>
    <w:rsid w:val="006F7227"/>
    <w:rsid w:val="007036EB"/>
    <w:rsid w:val="00705457"/>
    <w:rsid w:val="00705B19"/>
    <w:rsid w:val="00707AAC"/>
    <w:rsid w:val="00707AB4"/>
    <w:rsid w:val="00715F4D"/>
    <w:rsid w:val="007165FA"/>
    <w:rsid w:val="00720FB8"/>
    <w:rsid w:val="007213B9"/>
    <w:rsid w:val="00726CAE"/>
    <w:rsid w:val="0073386F"/>
    <w:rsid w:val="007407DF"/>
    <w:rsid w:val="00740A17"/>
    <w:rsid w:val="007455FB"/>
    <w:rsid w:val="007462D6"/>
    <w:rsid w:val="0074738B"/>
    <w:rsid w:val="00752FA1"/>
    <w:rsid w:val="0076062E"/>
    <w:rsid w:val="00760A78"/>
    <w:rsid w:val="00761385"/>
    <w:rsid w:val="00763600"/>
    <w:rsid w:val="007639D4"/>
    <w:rsid w:val="00771A81"/>
    <w:rsid w:val="007743D9"/>
    <w:rsid w:val="007758A5"/>
    <w:rsid w:val="00777986"/>
    <w:rsid w:val="00781C57"/>
    <w:rsid w:val="00782D21"/>
    <w:rsid w:val="00782EB0"/>
    <w:rsid w:val="00785324"/>
    <w:rsid w:val="00787FC6"/>
    <w:rsid w:val="00791800"/>
    <w:rsid w:val="00794A6A"/>
    <w:rsid w:val="007953F3"/>
    <w:rsid w:val="00795431"/>
    <w:rsid w:val="007A3AB0"/>
    <w:rsid w:val="007A4CA7"/>
    <w:rsid w:val="007A73C8"/>
    <w:rsid w:val="007A7803"/>
    <w:rsid w:val="007B061E"/>
    <w:rsid w:val="007B0EBA"/>
    <w:rsid w:val="007B189E"/>
    <w:rsid w:val="007B3865"/>
    <w:rsid w:val="007B3BC1"/>
    <w:rsid w:val="007B48D5"/>
    <w:rsid w:val="007B50AC"/>
    <w:rsid w:val="007B7AF4"/>
    <w:rsid w:val="007C0221"/>
    <w:rsid w:val="007C7A24"/>
    <w:rsid w:val="007D087C"/>
    <w:rsid w:val="007D369B"/>
    <w:rsid w:val="007E2687"/>
    <w:rsid w:val="007E33E4"/>
    <w:rsid w:val="007E4CC9"/>
    <w:rsid w:val="007E5EB2"/>
    <w:rsid w:val="007F07EB"/>
    <w:rsid w:val="007F114E"/>
    <w:rsid w:val="007F2033"/>
    <w:rsid w:val="007F2185"/>
    <w:rsid w:val="007F4ED8"/>
    <w:rsid w:val="007F72C4"/>
    <w:rsid w:val="007F7C2C"/>
    <w:rsid w:val="00800B82"/>
    <w:rsid w:val="00800D23"/>
    <w:rsid w:val="00801A7B"/>
    <w:rsid w:val="00803205"/>
    <w:rsid w:val="0080362C"/>
    <w:rsid w:val="0080496D"/>
    <w:rsid w:val="00804F9D"/>
    <w:rsid w:val="0081602D"/>
    <w:rsid w:val="00816273"/>
    <w:rsid w:val="008168F6"/>
    <w:rsid w:val="00817ACF"/>
    <w:rsid w:val="008202C4"/>
    <w:rsid w:val="00824ED4"/>
    <w:rsid w:val="00825FCA"/>
    <w:rsid w:val="0082717B"/>
    <w:rsid w:val="00827B04"/>
    <w:rsid w:val="0083032E"/>
    <w:rsid w:val="008318BC"/>
    <w:rsid w:val="00832F95"/>
    <w:rsid w:val="00835312"/>
    <w:rsid w:val="00836541"/>
    <w:rsid w:val="00841907"/>
    <w:rsid w:val="00842EA3"/>
    <w:rsid w:val="008479D8"/>
    <w:rsid w:val="008509F7"/>
    <w:rsid w:val="0086036A"/>
    <w:rsid w:val="00862AE2"/>
    <w:rsid w:val="00863DC2"/>
    <w:rsid w:val="0086406B"/>
    <w:rsid w:val="008649B2"/>
    <w:rsid w:val="008653A3"/>
    <w:rsid w:val="008654FE"/>
    <w:rsid w:val="008657A2"/>
    <w:rsid w:val="008659B5"/>
    <w:rsid w:val="00865E2C"/>
    <w:rsid w:val="00866645"/>
    <w:rsid w:val="008673E3"/>
    <w:rsid w:val="0087137A"/>
    <w:rsid w:val="00872C35"/>
    <w:rsid w:val="00873260"/>
    <w:rsid w:val="008739EF"/>
    <w:rsid w:val="008809BC"/>
    <w:rsid w:val="00882210"/>
    <w:rsid w:val="00884C71"/>
    <w:rsid w:val="008864DA"/>
    <w:rsid w:val="00894C82"/>
    <w:rsid w:val="00897CD0"/>
    <w:rsid w:val="008A0CF8"/>
    <w:rsid w:val="008A16D0"/>
    <w:rsid w:val="008A239C"/>
    <w:rsid w:val="008A566E"/>
    <w:rsid w:val="008A6185"/>
    <w:rsid w:val="008A70D2"/>
    <w:rsid w:val="008B0AB3"/>
    <w:rsid w:val="008B282B"/>
    <w:rsid w:val="008B72DD"/>
    <w:rsid w:val="008B7B62"/>
    <w:rsid w:val="008C1C36"/>
    <w:rsid w:val="008C1FE9"/>
    <w:rsid w:val="008C7DCE"/>
    <w:rsid w:val="008D0C8D"/>
    <w:rsid w:val="008D18FC"/>
    <w:rsid w:val="008D3843"/>
    <w:rsid w:val="008D398B"/>
    <w:rsid w:val="008D453A"/>
    <w:rsid w:val="008D733C"/>
    <w:rsid w:val="008D7E49"/>
    <w:rsid w:val="008E1A37"/>
    <w:rsid w:val="008E3AC5"/>
    <w:rsid w:val="008F1069"/>
    <w:rsid w:val="008F364A"/>
    <w:rsid w:val="008F38AC"/>
    <w:rsid w:val="008F3F53"/>
    <w:rsid w:val="008F4A37"/>
    <w:rsid w:val="009029D2"/>
    <w:rsid w:val="0090449F"/>
    <w:rsid w:val="00906121"/>
    <w:rsid w:val="00906CB6"/>
    <w:rsid w:val="009130EE"/>
    <w:rsid w:val="00913252"/>
    <w:rsid w:val="00913E03"/>
    <w:rsid w:val="00914A1C"/>
    <w:rsid w:val="00914BE3"/>
    <w:rsid w:val="00914E46"/>
    <w:rsid w:val="00920C43"/>
    <w:rsid w:val="009229E9"/>
    <w:rsid w:val="00926953"/>
    <w:rsid w:val="00932703"/>
    <w:rsid w:val="00932B66"/>
    <w:rsid w:val="00936469"/>
    <w:rsid w:val="009400B7"/>
    <w:rsid w:val="00940423"/>
    <w:rsid w:val="00941434"/>
    <w:rsid w:val="009426C0"/>
    <w:rsid w:val="009451E5"/>
    <w:rsid w:val="00946DC2"/>
    <w:rsid w:val="009473F6"/>
    <w:rsid w:val="00953BF7"/>
    <w:rsid w:val="00954DC2"/>
    <w:rsid w:val="009561A5"/>
    <w:rsid w:val="00957B92"/>
    <w:rsid w:val="00960B47"/>
    <w:rsid w:val="00961A50"/>
    <w:rsid w:val="009635D1"/>
    <w:rsid w:val="00970966"/>
    <w:rsid w:val="00974442"/>
    <w:rsid w:val="00977EA1"/>
    <w:rsid w:val="009824F1"/>
    <w:rsid w:val="00985FA7"/>
    <w:rsid w:val="00991E92"/>
    <w:rsid w:val="009921AF"/>
    <w:rsid w:val="00993016"/>
    <w:rsid w:val="00994D1E"/>
    <w:rsid w:val="00996820"/>
    <w:rsid w:val="009A12AD"/>
    <w:rsid w:val="009A173B"/>
    <w:rsid w:val="009A29D8"/>
    <w:rsid w:val="009A355A"/>
    <w:rsid w:val="009B25F4"/>
    <w:rsid w:val="009B68A0"/>
    <w:rsid w:val="009B7E64"/>
    <w:rsid w:val="009C1062"/>
    <w:rsid w:val="009C58FF"/>
    <w:rsid w:val="009C6A11"/>
    <w:rsid w:val="009D09FE"/>
    <w:rsid w:val="009D1412"/>
    <w:rsid w:val="009D7752"/>
    <w:rsid w:val="009E0514"/>
    <w:rsid w:val="009E1A01"/>
    <w:rsid w:val="009E1A1F"/>
    <w:rsid w:val="009E2D06"/>
    <w:rsid w:val="009E30DE"/>
    <w:rsid w:val="009E4234"/>
    <w:rsid w:val="009F1F69"/>
    <w:rsid w:val="009F5422"/>
    <w:rsid w:val="009F5B16"/>
    <w:rsid w:val="009F5BF5"/>
    <w:rsid w:val="009F6FB1"/>
    <w:rsid w:val="00A009D9"/>
    <w:rsid w:val="00A126F8"/>
    <w:rsid w:val="00A127BD"/>
    <w:rsid w:val="00A136BC"/>
    <w:rsid w:val="00A1410E"/>
    <w:rsid w:val="00A23BF4"/>
    <w:rsid w:val="00A2593B"/>
    <w:rsid w:val="00A312D9"/>
    <w:rsid w:val="00A32000"/>
    <w:rsid w:val="00A34953"/>
    <w:rsid w:val="00A34E05"/>
    <w:rsid w:val="00A43D8B"/>
    <w:rsid w:val="00A4453D"/>
    <w:rsid w:val="00A454F1"/>
    <w:rsid w:val="00A50F4A"/>
    <w:rsid w:val="00A543CC"/>
    <w:rsid w:val="00A56258"/>
    <w:rsid w:val="00A6154C"/>
    <w:rsid w:val="00A61C83"/>
    <w:rsid w:val="00A63BCF"/>
    <w:rsid w:val="00A73E41"/>
    <w:rsid w:val="00A743D8"/>
    <w:rsid w:val="00A8121B"/>
    <w:rsid w:val="00A81FF4"/>
    <w:rsid w:val="00A90ADF"/>
    <w:rsid w:val="00A916D0"/>
    <w:rsid w:val="00A91A05"/>
    <w:rsid w:val="00A91D8F"/>
    <w:rsid w:val="00A9225A"/>
    <w:rsid w:val="00A92336"/>
    <w:rsid w:val="00A9303D"/>
    <w:rsid w:val="00A93CFF"/>
    <w:rsid w:val="00A95512"/>
    <w:rsid w:val="00A96B90"/>
    <w:rsid w:val="00AA03C2"/>
    <w:rsid w:val="00AA1E29"/>
    <w:rsid w:val="00AA250A"/>
    <w:rsid w:val="00AA2B5D"/>
    <w:rsid w:val="00AA4F7D"/>
    <w:rsid w:val="00AA736C"/>
    <w:rsid w:val="00AB1F8C"/>
    <w:rsid w:val="00AB2B6C"/>
    <w:rsid w:val="00AB423E"/>
    <w:rsid w:val="00AB6B53"/>
    <w:rsid w:val="00AB775D"/>
    <w:rsid w:val="00AB7DD2"/>
    <w:rsid w:val="00AC27DC"/>
    <w:rsid w:val="00AC5304"/>
    <w:rsid w:val="00AC7192"/>
    <w:rsid w:val="00AC7D15"/>
    <w:rsid w:val="00AD08AB"/>
    <w:rsid w:val="00AD14B3"/>
    <w:rsid w:val="00AD168C"/>
    <w:rsid w:val="00AD393C"/>
    <w:rsid w:val="00AD4E16"/>
    <w:rsid w:val="00AD79D4"/>
    <w:rsid w:val="00AE3ABA"/>
    <w:rsid w:val="00AF0C7C"/>
    <w:rsid w:val="00AF688E"/>
    <w:rsid w:val="00AF77E3"/>
    <w:rsid w:val="00B0144E"/>
    <w:rsid w:val="00B01D86"/>
    <w:rsid w:val="00B036FD"/>
    <w:rsid w:val="00B04E8A"/>
    <w:rsid w:val="00B04F45"/>
    <w:rsid w:val="00B064E7"/>
    <w:rsid w:val="00B0705E"/>
    <w:rsid w:val="00B07E4E"/>
    <w:rsid w:val="00B107B1"/>
    <w:rsid w:val="00B11FD1"/>
    <w:rsid w:val="00B1285A"/>
    <w:rsid w:val="00B12A1E"/>
    <w:rsid w:val="00B137E9"/>
    <w:rsid w:val="00B1480A"/>
    <w:rsid w:val="00B17C68"/>
    <w:rsid w:val="00B17E72"/>
    <w:rsid w:val="00B2437F"/>
    <w:rsid w:val="00B25046"/>
    <w:rsid w:val="00B262AB"/>
    <w:rsid w:val="00B266F7"/>
    <w:rsid w:val="00B30EA2"/>
    <w:rsid w:val="00B36ED3"/>
    <w:rsid w:val="00B40537"/>
    <w:rsid w:val="00B41447"/>
    <w:rsid w:val="00B460DB"/>
    <w:rsid w:val="00B46F1D"/>
    <w:rsid w:val="00B513C9"/>
    <w:rsid w:val="00B54844"/>
    <w:rsid w:val="00B56EF4"/>
    <w:rsid w:val="00B648BC"/>
    <w:rsid w:val="00B67CC1"/>
    <w:rsid w:val="00B70485"/>
    <w:rsid w:val="00B7074D"/>
    <w:rsid w:val="00B7319B"/>
    <w:rsid w:val="00B73371"/>
    <w:rsid w:val="00B76522"/>
    <w:rsid w:val="00B80A63"/>
    <w:rsid w:val="00B81817"/>
    <w:rsid w:val="00B82A13"/>
    <w:rsid w:val="00B85AC7"/>
    <w:rsid w:val="00B861A2"/>
    <w:rsid w:val="00B8703A"/>
    <w:rsid w:val="00B87A0E"/>
    <w:rsid w:val="00B9616E"/>
    <w:rsid w:val="00BA0F0D"/>
    <w:rsid w:val="00BA1E52"/>
    <w:rsid w:val="00BA618B"/>
    <w:rsid w:val="00BB2CD2"/>
    <w:rsid w:val="00BB3160"/>
    <w:rsid w:val="00BB4C6D"/>
    <w:rsid w:val="00BB4DD0"/>
    <w:rsid w:val="00BB50F4"/>
    <w:rsid w:val="00BB5832"/>
    <w:rsid w:val="00BB7C98"/>
    <w:rsid w:val="00BC6A42"/>
    <w:rsid w:val="00BD473A"/>
    <w:rsid w:val="00BE08F1"/>
    <w:rsid w:val="00BE69F8"/>
    <w:rsid w:val="00BF12E2"/>
    <w:rsid w:val="00BF1BA5"/>
    <w:rsid w:val="00BF4794"/>
    <w:rsid w:val="00BF6AD4"/>
    <w:rsid w:val="00BF7542"/>
    <w:rsid w:val="00BF76B2"/>
    <w:rsid w:val="00C02AF8"/>
    <w:rsid w:val="00C02DAD"/>
    <w:rsid w:val="00C04FDB"/>
    <w:rsid w:val="00C06F47"/>
    <w:rsid w:val="00C10735"/>
    <w:rsid w:val="00C10B9E"/>
    <w:rsid w:val="00C11FEE"/>
    <w:rsid w:val="00C12B90"/>
    <w:rsid w:val="00C15DDB"/>
    <w:rsid w:val="00C15EEC"/>
    <w:rsid w:val="00C164F9"/>
    <w:rsid w:val="00C17B11"/>
    <w:rsid w:val="00C17E01"/>
    <w:rsid w:val="00C17E1D"/>
    <w:rsid w:val="00C20235"/>
    <w:rsid w:val="00C23BB7"/>
    <w:rsid w:val="00C26175"/>
    <w:rsid w:val="00C26F49"/>
    <w:rsid w:val="00C30C30"/>
    <w:rsid w:val="00C31AC4"/>
    <w:rsid w:val="00C34CAE"/>
    <w:rsid w:val="00C34F9B"/>
    <w:rsid w:val="00C36358"/>
    <w:rsid w:val="00C36B1C"/>
    <w:rsid w:val="00C409BE"/>
    <w:rsid w:val="00C423CA"/>
    <w:rsid w:val="00C44186"/>
    <w:rsid w:val="00C44CB7"/>
    <w:rsid w:val="00C46B38"/>
    <w:rsid w:val="00C50B56"/>
    <w:rsid w:val="00C61A4C"/>
    <w:rsid w:val="00C61C2C"/>
    <w:rsid w:val="00C62A7C"/>
    <w:rsid w:val="00C652ED"/>
    <w:rsid w:val="00C679C4"/>
    <w:rsid w:val="00C70A30"/>
    <w:rsid w:val="00C75B7F"/>
    <w:rsid w:val="00C75EF4"/>
    <w:rsid w:val="00C7793C"/>
    <w:rsid w:val="00C84663"/>
    <w:rsid w:val="00C8644F"/>
    <w:rsid w:val="00C87C61"/>
    <w:rsid w:val="00C91865"/>
    <w:rsid w:val="00C922FF"/>
    <w:rsid w:val="00C9257F"/>
    <w:rsid w:val="00C92DEF"/>
    <w:rsid w:val="00C92F18"/>
    <w:rsid w:val="00C939A8"/>
    <w:rsid w:val="00C94CD7"/>
    <w:rsid w:val="00C97145"/>
    <w:rsid w:val="00CA6CB8"/>
    <w:rsid w:val="00CA6CCD"/>
    <w:rsid w:val="00CA7E11"/>
    <w:rsid w:val="00CB292A"/>
    <w:rsid w:val="00CB50DD"/>
    <w:rsid w:val="00CB78DA"/>
    <w:rsid w:val="00CC3CFF"/>
    <w:rsid w:val="00CD03A4"/>
    <w:rsid w:val="00CD4A58"/>
    <w:rsid w:val="00CE4360"/>
    <w:rsid w:val="00CE6780"/>
    <w:rsid w:val="00CE6F01"/>
    <w:rsid w:val="00CE7354"/>
    <w:rsid w:val="00CE75BB"/>
    <w:rsid w:val="00CE76D0"/>
    <w:rsid w:val="00CF0259"/>
    <w:rsid w:val="00CF2434"/>
    <w:rsid w:val="00CF428C"/>
    <w:rsid w:val="00CF778D"/>
    <w:rsid w:val="00D003FB"/>
    <w:rsid w:val="00D010FD"/>
    <w:rsid w:val="00D01D53"/>
    <w:rsid w:val="00D02812"/>
    <w:rsid w:val="00D03BA1"/>
    <w:rsid w:val="00D04863"/>
    <w:rsid w:val="00D05CEF"/>
    <w:rsid w:val="00D0794E"/>
    <w:rsid w:val="00D10A05"/>
    <w:rsid w:val="00D10E2C"/>
    <w:rsid w:val="00D11A6E"/>
    <w:rsid w:val="00D12AB4"/>
    <w:rsid w:val="00D16B41"/>
    <w:rsid w:val="00D16B97"/>
    <w:rsid w:val="00D1770A"/>
    <w:rsid w:val="00D17816"/>
    <w:rsid w:val="00D20056"/>
    <w:rsid w:val="00D203A9"/>
    <w:rsid w:val="00D207B9"/>
    <w:rsid w:val="00D21DAE"/>
    <w:rsid w:val="00D21E15"/>
    <w:rsid w:val="00D23170"/>
    <w:rsid w:val="00D24FB7"/>
    <w:rsid w:val="00D34FD0"/>
    <w:rsid w:val="00D41ADD"/>
    <w:rsid w:val="00D42FA0"/>
    <w:rsid w:val="00D51427"/>
    <w:rsid w:val="00D52075"/>
    <w:rsid w:val="00D54407"/>
    <w:rsid w:val="00D5731A"/>
    <w:rsid w:val="00D578A3"/>
    <w:rsid w:val="00D613F5"/>
    <w:rsid w:val="00D62DB7"/>
    <w:rsid w:val="00D638B8"/>
    <w:rsid w:val="00D64BB5"/>
    <w:rsid w:val="00D70F62"/>
    <w:rsid w:val="00D76B12"/>
    <w:rsid w:val="00D773C2"/>
    <w:rsid w:val="00D8172B"/>
    <w:rsid w:val="00D82D5E"/>
    <w:rsid w:val="00D8737F"/>
    <w:rsid w:val="00D903AE"/>
    <w:rsid w:val="00D93F82"/>
    <w:rsid w:val="00D96F0A"/>
    <w:rsid w:val="00DA0B90"/>
    <w:rsid w:val="00DA38B5"/>
    <w:rsid w:val="00DA47AA"/>
    <w:rsid w:val="00DB2119"/>
    <w:rsid w:val="00DB3DFF"/>
    <w:rsid w:val="00DC05BC"/>
    <w:rsid w:val="00DC0D83"/>
    <w:rsid w:val="00DC2ED9"/>
    <w:rsid w:val="00DD3A24"/>
    <w:rsid w:val="00DD5C67"/>
    <w:rsid w:val="00DE0008"/>
    <w:rsid w:val="00DE3589"/>
    <w:rsid w:val="00DE35A7"/>
    <w:rsid w:val="00DE3AEF"/>
    <w:rsid w:val="00DE44C3"/>
    <w:rsid w:val="00DE5723"/>
    <w:rsid w:val="00DE5ABE"/>
    <w:rsid w:val="00DE7C3C"/>
    <w:rsid w:val="00DF1760"/>
    <w:rsid w:val="00DF217B"/>
    <w:rsid w:val="00DF289F"/>
    <w:rsid w:val="00DF3516"/>
    <w:rsid w:val="00DF7F16"/>
    <w:rsid w:val="00E03C07"/>
    <w:rsid w:val="00E0533B"/>
    <w:rsid w:val="00E10687"/>
    <w:rsid w:val="00E11FFF"/>
    <w:rsid w:val="00E12D2B"/>
    <w:rsid w:val="00E13E38"/>
    <w:rsid w:val="00E14C32"/>
    <w:rsid w:val="00E17FFB"/>
    <w:rsid w:val="00E20E3C"/>
    <w:rsid w:val="00E21D47"/>
    <w:rsid w:val="00E22B1B"/>
    <w:rsid w:val="00E24A7A"/>
    <w:rsid w:val="00E25B30"/>
    <w:rsid w:val="00E27186"/>
    <w:rsid w:val="00E35F15"/>
    <w:rsid w:val="00E36290"/>
    <w:rsid w:val="00E41FF0"/>
    <w:rsid w:val="00E432EC"/>
    <w:rsid w:val="00E51893"/>
    <w:rsid w:val="00E55CAB"/>
    <w:rsid w:val="00E57858"/>
    <w:rsid w:val="00E57FE4"/>
    <w:rsid w:val="00E57FEC"/>
    <w:rsid w:val="00E62871"/>
    <w:rsid w:val="00E6309D"/>
    <w:rsid w:val="00E6538F"/>
    <w:rsid w:val="00E664D4"/>
    <w:rsid w:val="00E76E48"/>
    <w:rsid w:val="00E77F6B"/>
    <w:rsid w:val="00E81E61"/>
    <w:rsid w:val="00E848B4"/>
    <w:rsid w:val="00E86C47"/>
    <w:rsid w:val="00E87006"/>
    <w:rsid w:val="00E87278"/>
    <w:rsid w:val="00E91417"/>
    <w:rsid w:val="00E9253C"/>
    <w:rsid w:val="00E94329"/>
    <w:rsid w:val="00E95344"/>
    <w:rsid w:val="00E96217"/>
    <w:rsid w:val="00E97D06"/>
    <w:rsid w:val="00EA3074"/>
    <w:rsid w:val="00EA3441"/>
    <w:rsid w:val="00EA46CD"/>
    <w:rsid w:val="00EA7958"/>
    <w:rsid w:val="00EB1377"/>
    <w:rsid w:val="00EB5D44"/>
    <w:rsid w:val="00EB73F0"/>
    <w:rsid w:val="00EB7735"/>
    <w:rsid w:val="00EC159B"/>
    <w:rsid w:val="00EC1996"/>
    <w:rsid w:val="00EC1E33"/>
    <w:rsid w:val="00EC7805"/>
    <w:rsid w:val="00ED1499"/>
    <w:rsid w:val="00ED5507"/>
    <w:rsid w:val="00EE38F7"/>
    <w:rsid w:val="00EE549D"/>
    <w:rsid w:val="00EE6011"/>
    <w:rsid w:val="00EE6C07"/>
    <w:rsid w:val="00EF0013"/>
    <w:rsid w:val="00EF041A"/>
    <w:rsid w:val="00EF1FC4"/>
    <w:rsid w:val="00EF2841"/>
    <w:rsid w:val="00EF2DCD"/>
    <w:rsid w:val="00EF384F"/>
    <w:rsid w:val="00EF3FA8"/>
    <w:rsid w:val="00EF783F"/>
    <w:rsid w:val="00F0562F"/>
    <w:rsid w:val="00F05E1B"/>
    <w:rsid w:val="00F07022"/>
    <w:rsid w:val="00F07AF7"/>
    <w:rsid w:val="00F10F5F"/>
    <w:rsid w:val="00F1119E"/>
    <w:rsid w:val="00F11CB2"/>
    <w:rsid w:val="00F129CA"/>
    <w:rsid w:val="00F20424"/>
    <w:rsid w:val="00F230E5"/>
    <w:rsid w:val="00F24CDE"/>
    <w:rsid w:val="00F302D3"/>
    <w:rsid w:val="00F33E30"/>
    <w:rsid w:val="00F35A34"/>
    <w:rsid w:val="00F35C71"/>
    <w:rsid w:val="00F37C41"/>
    <w:rsid w:val="00F40882"/>
    <w:rsid w:val="00F412EB"/>
    <w:rsid w:val="00F42ECD"/>
    <w:rsid w:val="00F43559"/>
    <w:rsid w:val="00F45A73"/>
    <w:rsid w:val="00F5789B"/>
    <w:rsid w:val="00F70F1A"/>
    <w:rsid w:val="00F71F0A"/>
    <w:rsid w:val="00F72693"/>
    <w:rsid w:val="00F7391B"/>
    <w:rsid w:val="00F75AAB"/>
    <w:rsid w:val="00F75C76"/>
    <w:rsid w:val="00F800A2"/>
    <w:rsid w:val="00F81234"/>
    <w:rsid w:val="00F90F97"/>
    <w:rsid w:val="00F91AE1"/>
    <w:rsid w:val="00F96A0F"/>
    <w:rsid w:val="00FA0522"/>
    <w:rsid w:val="00FA1DB3"/>
    <w:rsid w:val="00FA389A"/>
    <w:rsid w:val="00FA3B3F"/>
    <w:rsid w:val="00FA3F19"/>
    <w:rsid w:val="00FB1660"/>
    <w:rsid w:val="00FB4A82"/>
    <w:rsid w:val="00FB501F"/>
    <w:rsid w:val="00FB66EA"/>
    <w:rsid w:val="00FC225C"/>
    <w:rsid w:val="00FC2C39"/>
    <w:rsid w:val="00FC38B9"/>
    <w:rsid w:val="00FC3D97"/>
    <w:rsid w:val="00FC48FE"/>
    <w:rsid w:val="00FC569F"/>
    <w:rsid w:val="00FC5DF4"/>
    <w:rsid w:val="00FC70C1"/>
    <w:rsid w:val="00FC720B"/>
    <w:rsid w:val="00FE2A91"/>
    <w:rsid w:val="00FE3FE9"/>
    <w:rsid w:val="00FE6A10"/>
    <w:rsid w:val="00FE6B16"/>
    <w:rsid w:val="00FF208A"/>
    <w:rsid w:val="00FF2D53"/>
    <w:rsid w:val="00FF64B5"/>
    <w:rsid w:val="00FF6D62"/>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402D6"/>
  <w15:chartTrackingRefBased/>
  <w15:docId w15:val="{1D44C0DE-AB0C-4DC4-9748-5EB913E9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rsid w:val="00991E92"/>
    <w:pPr>
      <w:keepNext/>
      <w:spacing w:after="60" w:line="500" w:lineRule="exact"/>
      <w:jc w:val="both"/>
      <w:outlineLvl w:val="0"/>
    </w:pPr>
    <w:rPr>
      <w:rFonts w:ascii="Arial Gras" w:hAnsi="Arial Gras"/>
      <w:b/>
      <w:smallCaps/>
      <w:kern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9B7E64"/>
    <w:pPr>
      <w:numPr>
        <w:numId w:val="18"/>
      </w:numPr>
      <w:spacing w:before="120" w:after="120"/>
      <w:jc w:val="both"/>
    </w:pPr>
    <w:rPr>
      <w:kern w:val="28"/>
    </w:rPr>
  </w:style>
  <w:style w:type="paragraph" w:customStyle="1" w:styleId="Citationenretrait">
    <w:name w:val="Citation en retrait"/>
    <w:basedOn w:val="Normal"/>
    <w:rsid w:val="008318BC"/>
    <w:pPr>
      <w:spacing w:before="120" w:after="120" w:line="240" w:lineRule="auto"/>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customStyle="1" w:styleId="F02-Texte">
    <w:name w:val="F02-Texte"/>
    <w:basedOn w:val="Normal"/>
    <w:rsid w:val="00961A50"/>
    <w:pPr>
      <w:numPr>
        <w:numId w:val="19"/>
      </w:numPr>
      <w:spacing w:before="420" w:line="240" w:lineRule="auto"/>
      <w:jc w:val="both"/>
    </w:pPr>
    <w:rPr>
      <w:lang w:eastAsia="en-US"/>
    </w:rPr>
  </w:style>
  <w:style w:type="character" w:customStyle="1" w:styleId="NotedebasdepageCar">
    <w:name w:val="Note de bas de page Car"/>
    <w:link w:val="Notedebasdepage"/>
    <w:rsid w:val="00961A50"/>
    <w:rPr>
      <w:rFonts w:ascii="Arial" w:hAnsi="Arial"/>
      <w:lang w:eastAsia="fr-FR"/>
    </w:rPr>
  </w:style>
  <w:style w:type="paragraph" w:styleId="Rvision">
    <w:name w:val="Revision"/>
    <w:hidden/>
    <w:uiPriority w:val="99"/>
    <w:semiHidden/>
    <w:rsid w:val="00961A50"/>
    <w:rPr>
      <w:rFonts w:ascii="Arial" w:hAnsi="Arial"/>
      <w:sz w:val="24"/>
      <w:lang w:eastAsia="fr-FR"/>
    </w:rPr>
  </w:style>
  <w:style w:type="character" w:customStyle="1" w:styleId="lawlabel">
    <w:name w:val="lawlabel"/>
    <w:basedOn w:val="Policepardfaut"/>
    <w:rsid w:val="00961A50"/>
  </w:style>
  <w:style w:type="character" w:styleId="Hyperlien">
    <w:name w:val="Hyperlink"/>
    <w:basedOn w:val="Policepardfaut"/>
    <w:uiPriority w:val="99"/>
    <w:unhideWhenUsed/>
    <w:rsid w:val="00961A50"/>
    <w:rPr>
      <w:color w:val="0000FF"/>
      <w:u w:val="single"/>
    </w:rPr>
  </w:style>
  <w:style w:type="character" w:styleId="Mentionnonrsolue">
    <w:name w:val="Unresolved Mention"/>
    <w:basedOn w:val="Policepardfaut"/>
    <w:uiPriority w:val="99"/>
    <w:semiHidden/>
    <w:unhideWhenUsed/>
    <w:rsid w:val="00961A50"/>
    <w:rPr>
      <w:color w:val="605E5C"/>
      <w:shd w:val="clear" w:color="auto" w:fill="E1DFDD"/>
    </w:rPr>
  </w:style>
  <w:style w:type="character" w:styleId="Lienvisit">
    <w:name w:val="FollowedHyperlink"/>
    <w:basedOn w:val="Policepardfaut"/>
    <w:uiPriority w:val="99"/>
    <w:semiHidden/>
    <w:unhideWhenUsed/>
    <w:rsid w:val="00961A50"/>
    <w:rPr>
      <w:color w:val="954F72" w:themeColor="followedHyperlink"/>
      <w:u w:val="single"/>
    </w:rPr>
  </w:style>
  <w:style w:type="character" w:customStyle="1" w:styleId="subsection">
    <w:name w:val="subsection"/>
    <w:basedOn w:val="Policepardfaut"/>
    <w:rsid w:val="00961A50"/>
  </w:style>
  <w:style w:type="character" w:styleId="Marquedecommentaire">
    <w:name w:val="annotation reference"/>
    <w:basedOn w:val="Policepardfaut"/>
    <w:uiPriority w:val="99"/>
    <w:semiHidden/>
    <w:unhideWhenUsed/>
    <w:rsid w:val="00961A50"/>
    <w:rPr>
      <w:sz w:val="16"/>
      <w:szCs w:val="16"/>
    </w:rPr>
  </w:style>
  <w:style w:type="paragraph" w:styleId="Commentaire">
    <w:name w:val="annotation text"/>
    <w:basedOn w:val="Normal"/>
    <w:link w:val="CommentaireCar"/>
    <w:uiPriority w:val="99"/>
    <w:unhideWhenUsed/>
    <w:rsid w:val="00961A50"/>
    <w:pPr>
      <w:spacing w:line="240" w:lineRule="auto"/>
    </w:pPr>
    <w:rPr>
      <w:sz w:val="20"/>
    </w:rPr>
  </w:style>
  <w:style w:type="character" w:customStyle="1" w:styleId="CommentaireCar">
    <w:name w:val="Commentaire Car"/>
    <w:basedOn w:val="Policepardfaut"/>
    <w:link w:val="Commentaire"/>
    <w:uiPriority w:val="99"/>
    <w:rsid w:val="00961A50"/>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961A50"/>
    <w:rPr>
      <w:b/>
      <w:bCs/>
    </w:rPr>
  </w:style>
  <w:style w:type="character" w:customStyle="1" w:styleId="ObjetducommentaireCar">
    <w:name w:val="Objet du commentaire Car"/>
    <w:basedOn w:val="CommentaireCar"/>
    <w:link w:val="Objetducommentaire"/>
    <w:uiPriority w:val="99"/>
    <w:semiHidden/>
    <w:rsid w:val="00961A50"/>
    <w:rPr>
      <w:rFonts w:ascii="Arial" w:hAnsi="Arial"/>
      <w:b/>
      <w:bCs/>
      <w:lang w:eastAsia="fr-FR"/>
    </w:rPr>
  </w:style>
  <w:style w:type="character" w:customStyle="1" w:styleId="sccrespondentforindexchar">
    <w:name w:val="sccrespondentforindexchar"/>
    <w:basedOn w:val="Policepardfaut"/>
    <w:rsid w:val="0096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017">
      <w:bodyDiv w:val="1"/>
      <w:marLeft w:val="0"/>
      <w:marRight w:val="0"/>
      <w:marTop w:val="0"/>
      <w:marBottom w:val="0"/>
      <w:divBdr>
        <w:top w:val="none" w:sz="0" w:space="0" w:color="auto"/>
        <w:left w:val="none" w:sz="0" w:space="0" w:color="auto"/>
        <w:bottom w:val="none" w:sz="0" w:space="0" w:color="auto"/>
        <w:right w:val="none" w:sz="0" w:space="0" w:color="auto"/>
      </w:divBdr>
    </w:div>
    <w:div w:id="279066941">
      <w:bodyDiv w:val="1"/>
      <w:marLeft w:val="0"/>
      <w:marRight w:val="0"/>
      <w:marTop w:val="0"/>
      <w:marBottom w:val="0"/>
      <w:divBdr>
        <w:top w:val="none" w:sz="0" w:space="0" w:color="auto"/>
        <w:left w:val="none" w:sz="0" w:space="0" w:color="auto"/>
        <w:bottom w:val="none" w:sz="0" w:space="0" w:color="auto"/>
        <w:right w:val="none" w:sz="0" w:space="0" w:color="auto"/>
      </w:divBdr>
    </w:div>
    <w:div w:id="1226261016">
      <w:bodyDiv w:val="1"/>
      <w:marLeft w:val="0"/>
      <w:marRight w:val="0"/>
      <w:marTop w:val="0"/>
      <w:marBottom w:val="0"/>
      <w:divBdr>
        <w:top w:val="none" w:sz="0" w:space="0" w:color="auto"/>
        <w:left w:val="none" w:sz="0" w:space="0" w:color="auto"/>
        <w:bottom w:val="none" w:sz="0" w:space="0" w:color="auto"/>
        <w:right w:val="none" w:sz="0" w:space="0" w:color="auto"/>
      </w:divBdr>
    </w:div>
    <w:div w:id="1628703440">
      <w:bodyDiv w:val="1"/>
      <w:marLeft w:val="0"/>
      <w:marRight w:val="0"/>
      <w:marTop w:val="0"/>
      <w:marBottom w:val="0"/>
      <w:divBdr>
        <w:top w:val="none" w:sz="0" w:space="0" w:color="auto"/>
        <w:left w:val="none" w:sz="0" w:space="0" w:color="auto"/>
        <w:bottom w:val="none" w:sz="0" w:space="0" w:color="auto"/>
        <w:right w:val="none" w:sz="0" w:space="0" w:color="auto"/>
      </w:divBdr>
    </w:div>
    <w:div w:id="1703245292">
      <w:bodyDiv w:val="1"/>
      <w:marLeft w:val="0"/>
      <w:marRight w:val="0"/>
      <w:marTop w:val="0"/>
      <w:marBottom w:val="0"/>
      <w:divBdr>
        <w:top w:val="none" w:sz="0" w:space="0" w:color="auto"/>
        <w:left w:val="none" w:sz="0" w:space="0" w:color="auto"/>
        <w:bottom w:val="none" w:sz="0" w:space="0" w:color="auto"/>
        <w:right w:val="none" w:sz="0" w:space="0" w:color="auto"/>
      </w:divBdr>
      <w:divsChild>
        <w:div w:id="892813185">
          <w:marLeft w:val="0"/>
          <w:marRight w:val="0"/>
          <w:marTop w:val="0"/>
          <w:marBottom w:val="0"/>
          <w:divBdr>
            <w:top w:val="none" w:sz="0" w:space="0" w:color="auto"/>
            <w:left w:val="none" w:sz="0" w:space="0" w:color="auto"/>
            <w:bottom w:val="none" w:sz="0" w:space="0" w:color="auto"/>
            <w:right w:val="none" w:sz="0" w:space="0" w:color="auto"/>
          </w:divBdr>
          <w:divsChild>
            <w:div w:id="1657298692">
              <w:marLeft w:val="0"/>
              <w:marRight w:val="0"/>
              <w:marTop w:val="0"/>
              <w:marBottom w:val="0"/>
              <w:divBdr>
                <w:top w:val="none" w:sz="0" w:space="0" w:color="auto"/>
                <w:left w:val="none" w:sz="0" w:space="0" w:color="auto"/>
                <w:bottom w:val="none" w:sz="0" w:space="0" w:color="auto"/>
                <w:right w:val="none" w:sz="0" w:space="0" w:color="auto"/>
              </w:divBdr>
              <w:divsChild>
                <w:div w:id="1781297619">
                  <w:marLeft w:val="0"/>
                  <w:marRight w:val="0"/>
                  <w:marTop w:val="0"/>
                  <w:marBottom w:val="0"/>
                  <w:divBdr>
                    <w:top w:val="none" w:sz="0" w:space="0" w:color="auto"/>
                    <w:left w:val="none" w:sz="0" w:space="0" w:color="auto"/>
                    <w:bottom w:val="none" w:sz="0" w:space="0" w:color="auto"/>
                    <w:right w:val="none" w:sz="0" w:space="0" w:color="auto"/>
                  </w:divBdr>
                  <w:divsChild>
                    <w:div w:id="1752580250">
                      <w:marLeft w:val="0"/>
                      <w:marRight w:val="0"/>
                      <w:marTop w:val="0"/>
                      <w:marBottom w:val="0"/>
                      <w:divBdr>
                        <w:top w:val="none" w:sz="0" w:space="0" w:color="auto"/>
                        <w:left w:val="none" w:sz="0" w:space="0" w:color="auto"/>
                        <w:bottom w:val="none" w:sz="0" w:space="0" w:color="auto"/>
                        <w:right w:val="none" w:sz="0" w:space="0" w:color="auto"/>
                      </w:divBdr>
                      <w:divsChild>
                        <w:div w:id="2046901812">
                          <w:marLeft w:val="0"/>
                          <w:marRight w:val="0"/>
                          <w:marTop w:val="0"/>
                          <w:marBottom w:val="0"/>
                          <w:divBdr>
                            <w:top w:val="none" w:sz="0" w:space="0" w:color="auto"/>
                            <w:left w:val="none" w:sz="0" w:space="0" w:color="auto"/>
                            <w:bottom w:val="none" w:sz="0" w:space="0" w:color="auto"/>
                            <w:right w:val="none" w:sz="0" w:space="0" w:color="auto"/>
                          </w:divBdr>
                          <w:divsChild>
                            <w:div w:id="637566601">
                              <w:marLeft w:val="0"/>
                              <w:marRight w:val="0"/>
                              <w:marTop w:val="0"/>
                              <w:marBottom w:val="0"/>
                              <w:divBdr>
                                <w:top w:val="none" w:sz="0" w:space="0" w:color="auto"/>
                                <w:left w:val="none" w:sz="0" w:space="0" w:color="auto"/>
                                <w:bottom w:val="none" w:sz="0" w:space="0" w:color="auto"/>
                                <w:right w:val="none" w:sz="0" w:space="0" w:color="auto"/>
                              </w:divBdr>
                              <w:divsChild>
                                <w:div w:id="262568326">
                                  <w:marLeft w:val="0"/>
                                  <w:marRight w:val="0"/>
                                  <w:marTop w:val="0"/>
                                  <w:marBottom w:val="0"/>
                                  <w:divBdr>
                                    <w:top w:val="none" w:sz="0" w:space="0" w:color="auto"/>
                                    <w:left w:val="none" w:sz="0" w:space="0" w:color="auto"/>
                                    <w:bottom w:val="none" w:sz="0" w:space="0" w:color="auto"/>
                                    <w:right w:val="none" w:sz="0" w:space="0" w:color="auto"/>
                                  </w:divBdr>
                                  <w:divsChild>
                                    <w:div w:id="1788307500">
                                      <w:marLeft w:val="0"/>
                                      <w:marRight w:val="0"/>
                                      <w:marTop w:val="0"/>
                                      <w:marBottom w:val="0"/>
                                      <w:divBdr>
                                        <w:top w:val="none" w:sz="0" w:space="0" w:color="auto"/>
                                        <w:left w:val="none" w:sz="0" w:space="0" w:color="auto"/>
                                        <w:bottom w:val="none" w:sz="0" w:space="0" w:color="auto"/>
                                        <w:right w:val="none" w:sz="0" w:space="0" w:color="auto"/>
                                      </w:divBdr>
                                      <w:divsChild>
                                        <w:div w:id="162480132">
                                          <w:marLeft w:val="0"/>
                                          <w:marRight w:val="0"/>
                                          <w:marTop w:val="0"/>
                                          <w:marBottom w:val="0"/>
                                          <w:divBdr>
                                            <w:top w:val="none" w:sz="0" w:space="0" w:color="auto"/>
                                            <w:left w:val="none" w:sz="0" w:space="0" w:color="auto"/>
                                            <w:bottom w:val="none" w:sz="0" w:space="0" w:color="auto"/>
                                            <w:right w:val="none" w:sz="0" w:space="0" w:color="auto"/>
                                          </w:divBdr>
                                          <w:divsChild>
                                            <w:div w:id="1854758422">
                                              <w:marLeft w:val="0"/>
                                              <w:marRight w:val="0"/>
                                              <w:marTop w:val="0"/>
                                              <w:marBottom w:val="0"/>
                                              <w:divBdr>
                                                <w:top w:val="none" w:sz="0" w:space="0" w:color="auto"/>
                                                <w:left w:val="none" w:sz="0" w:space="0" w:color="auto"/>
                                                <w:bottom w:val="none" w:sz="0" w:space="0" w:color="auto"/>
                                                <w:right w:val="none" w:sz="0" w:space="0" w:color="auto"/>
                                              </w:divBdr>
                                              <w:divsChild>
                                                <w:div w:id="1469082858">
                                                  <w:marLeft w:val="0"/>
                                                  <w:marRight w:val="0"/>
                                                  <w:marTop w:val="0"/>
                                                  <w:marBottom w:val="0"/>
                                                  <w:divBdr>
                                                    <w:top w:val="none" w:sz="0" w:space="0" w:color="auto"/>
                                                    <w:left w:val="none" w:sz="0" w:space="0" w:color="auto"/>
                                                    <w:bottom w:val="none" w:sz="0" w:space="0" w:color="auto"/>
                                                    <w:right w:val="none" w:sz="0" w:space="0" w:color="auto"/>
                                                  </w:divBdr>
                                                  <w:divsChild>
                                                    <w:div w:id="1850438109">
                                                      <w:marLeft w:val="0"/>
                                                      <w:marRight w:val="0"/>
                                                      <w:marTop w:val="0"/>
                                                      <w:marBottom w:val="0"/>
                                                      <w:divBdr>
                                                        <w:top w:val="none" w:sz="0" w:space="0" w:color="auto"/>
                                                        <w:left w:val="none" w:sz="0" w:space="0" w:color="auto"/>
                                                        <w:bottom w:val="none" w:sz="0" w:space="0" w:color="auto"/>
                                                        <w:right w:val="none" w:sz="0" w:space="0" w:color="auto"/>
                                                      </w:divBdr>
                                                      <w:divsChild>
                                                        <w:div w:id="1709836478">
                                                          <w:marLeft w:val="0"/>
                                                          <w:marRight w:val="0"/>
                                                          <w:marTop w:val="0"/>
                                                          <w:marBottom w:val="0"/>
                                                          <w:divBdr>
                                                            <w:top w:val="none" w:sz="0" w:space="0" w:color="auto"/>
                                                            <w:left w:val="none" w:sz="0" w:space="0" w:color="auto"/>
                                                            <w:bottom w:val="none" w:sz="0" w:space="0" w:color="auto"/>
                                                            <w:right w:val="none" w:sz="0" w:space="0" w:color="auto"/>
                                                          </w:divBdr>
                                                          <w:divsChild>
                                                            <w:div w:id="19621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17807</Words>
  <Characters>97940</Characters>
  <Application>Microsoft Office Word</Application>
  <DocSecurity>0</DocSecurity>
  <Lines>816</Lines>
  <Paragraphs>231</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115516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Lyne Stromei</dc:creator>
  <cp:keywords/>
  <dc:description/>
  <cp:lastModifiedBy>Gauthier, François</cp:lastModifiedBy>
  <cp:revision>5</cp:revision>
  <cp:lastPrinted>2025-01-16T15:32:00Z</cp:lastPrinted>
  <dcterms:created xsi:type="dcterms:W3CDTF">2025-01-15T16:56:00Z</dcterms:created>
  <dcterms:modified xsi:type="dcterms:W3CDTF">2025-01-16T18:50:00Z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