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5" w:type="dxa"/>
        <w:tblLayout w:type="fixed"/>
        <w:tblCellMar>
          <w:left w:w="70" w:type="dxa"/>
          <w:right w:w="70" w:type="dxa"/>
        </w:tblCellMar>
        <w:tblLook w:val="0000" w:firstRow="0" w:lastRow="0" w:firstColumn="0" w:lastColumn="0" w:noHBand="0" w:noVBand="0"/>
      </w:tblPr>
      <w:tblGrid>
        <w:gridCol w:w="1036"/>
        <w:gridCol w:w="69"/>
        <w:gridCol w:w="510"/>
        <w:gridCol w:w="1585"/>
        <w:gridCol w:w="1826"/>
        <w:gridCol w:w="2064"/>
        <w:gridCol w:w="2415"/>
      </w:tblGrid>
      <w:tr w:rsidR="006141B8" w14:paraId="40331F49" w14:textId="77777777">
        <w:trPr>
          <w:trHeight w:val="360"/>
        </w:trPr>
        <w:tc>
          <w:tcPr>
            <w:tcW w:w="7090" w:type="dxa"/>
            <w:gridSpan w:val="6"/>
          </w:tcPr>
          <w:p w14:paraId="568E4077" w14:textId="4A0559A0" w:rsidR="00121A72" w:rsidRPr="0034273B" w:rsidRDefault="0034273B" w:rsidP="0034273B">
            <w:pPr>
              <w:pStyle w:val="zSoquijdatRepertorie"/>
              <w:rPr>
                <w:rFonts w:cs="Arial"/>
              </w:rPr>
            </w:pPr>
            <w:r>
              <w:rPr>
                <w:rFonts w:cs="Arial"/>
              </w:rPr>
              <w:t>S.N. c. Miller</w:t>
            </w:r>
          </w:p>
        </w:tc>
        <w:tc>
          <w:tcPr>
            <w:tcW w:w="2415" w:type="dxa"/>
          </w:tcPr>
          <w:p w14:paraId="2A4BFCEF" w14:textId="0132E9B6" w:rsidR="00121A72" w:rsidRPr="0021195B" w:rsidRDefault="0021195B" w:rsidP="0021195B">
            <w:pPr>
              <w:pStyle w:val="zSoquijdatRefNeutre"/>
              <w:jc w:val="right"/>
              <w:rPr>
                <w:rFonts w:cs="Arial"/>
              </w:rPr>
            </w:pPr>
            <w:r w:rsidRPr="0021195B">
              <w:rPr>
                <w:rFonts w:cs="Arial"/>
              </w:rPr>
              <w:t>2025 QCCS 85</w:t>
            </w:r>
          </w:p>
        </w:tc>
      </w:tr>
      <w:tr w:rsidR="006141B8" w14:paraId="1AFE5DA9" w14:textId="77777777">
        <w:trPr>
          <w:trHeight w:val="900"/>
        </w:trPr>
        <w:tc>
          <w:tcPr>
            <w:tcW w:w="9505" w:type="dxa"/>
            <w:gridSpan w:val="7"/>
            <w:vAlign w:val="bottom"/>
          </w:tcPr>
          <w:p w14:paraId="044411C9" w14:textId="77777777" w:rsidR="00121A72" w:rsidRPr="00103606" w:rsidRDefault="00E21D39" w:rsidP="00D26929">
            <w:pPr>
              <w:pStyle w:val="zSoquijlblCour"/>
              <w:rPr>
                <w:rFonts w:cs="Arial"/>
              </w:rPr>
            </w:pPr>
            <w:r w:rsidRPr="00103606">
              <w:rPr>
                <w:rFonts w:cs="Arial"/>
              </w:rPr>
              <w:t>COUR SUPÉRIEURE</w:t>
            </w:r>
          </w:p>
          <w:p w14:paraId="426AEC77" w14:textId="77777777" w:rsidR="00DA5396" w:rsidRPr="002546F1" w:rsidRDefault="00E21D39" w:rsidP="00D26929">
            <w:pPr>
              <w:pStyle w:val="zSoquijlblCour"/>
              <w:rPr>
                <w:rFonts w:cs="Arial"/>
                <w:b w:val="0"/>
                <w:bCs/>
              </w:rPr>
            </w:pPr>
            <w:r w:rsidRPr="002546F1">
              <w:rPr>
                <w:rFonts w:cs="Arial"/>
                <w:b w:val="0"/>
                <w:bCs/>
                <w:sz w:val="24"/>
                <w:szCs w:val="14"/>
              </w:rPr>
              <w:t>(Chambre des actions collectives)</w:t>
            </w:r>
          </w:p>
        </w:tc>
      </w:tr>
      <w:tr w:rsidR="006141B8" w14:paraId="7DD4DD93" w14:textId="77777777">
        <w:trPr>
          <w:trHeight w:val="540"/>
        </w:trPr>
        <w:tc>
          <w:tcPr>
            <w:tcW w:w="9505" w:type="dxa"/>
            <w:gridSpan w:val="7"/>
          </w:tcPr>
          <w:p w14:paraId="2B5BDA5D" w14:textId="77777777" w:rsidR="00121A72" w:rsidRPr="00103606" w:rsidRDefault="00121A72" w:rsidP="00D26929">
            <w:pPr>
              <w:pStyle w:val="zSoquijdatDivision"/>
              <w:rPr>
                <w:rFonts w:cs="Arial"/>
              </w:rPr>
            </w:pPr>
          </w:p>
        </w:tc>
      </w:tr>
      <w:tr w:rsidR="006141B8" w14:paraId="7FE75F6A" w14:textId="77777777">
        <w:tc>
          <w:tcPr>
            <w:tcW w:w="9505" w:type="dxa"/>
            <w:gridSpan w:val="7"/>
          </w:tcPr>
          <w:p w14:paraId="6A454EA7" w14:textId="77777777" w:rsidR="00121A72" w:rsidRPr="00103606" w:rsidRDefault="00E21D39" w:rsidP="00D26929">
            <w:pPr>
              <w:pStyle w:val="zSoquijlblPays"/>
              <w:rPr>
                <w:rFonts w:cs="Arial"/>
              </w:rPr>
            </w:pPr>
            <w:r w:rsidRPr="00103606">
              <w:rPr>
                <w:rFonts w:cs="Arial"/>
              </w:rPr>
              <w:t>CANADA</w:t>
            </w:r>
          </w:p>
        </w:tc>
      </w:tr>
      <w:tr w:rsidR="006141B8" w14:paraId="5CC82B3F" w14:textId="77777777">
        <w:tc>
          <w:tcPr>
            <w:tcW w:w="9505" w:type="dxa"/>
            <w:gridSpan w:val="7"/>
          </w:tcPr>
          <w:p w14:paraId="6A446449" w14:textId="77777777" w:rsidR="00121A72" w:rsidRPr="00103606" w:rsidRDefault="00E21D39" w:rsidP="00D26929">
            <w:pPr>
              <w:pStyle w:val="zSoquijlblProvince"/>
              <w:rPr>
                <w:rFonts w:cs="Arial"/>
              </w:rPr>
            </w:pPr>
            <w:r w:rsidRPr="00103606">
              <w:rPr>
                <w:rFonts w:cs="Arial"/>
              </w:rPr>
              <w:t>PROVINCE DE QUÉBEC</w:t>
            </w:r>
          </w:p>
        </w:tc>
      </w:tr>
      <w:tr w:rsidR="006141B8" w14:paraId="0AE79647" w14:textId="77777777">
        <w:tblPrEx>
          <w:tblCellMar>
            <w:left w:w="0" w:type="dxa"/>
            <w:right w:w="0" w:type="dxa"/>
          </w:tblCellMar>
        </w:tblPrEx>
        <w:trPr>
          <w:cantSplit/>
        </w:trPr>
        <w:tc>
          <w:tcPr>
            <w:tcW w:w="1615" w:type="dxa"/>
            <w:gridSpan w:val="3"/>
          </w:tcPr>
          <w:p w14:paraId="062FEADB" w14:textId="77777777" w:rsidR="00121A72" w:rsidRPr="00103606" w:rsidRDefault="00E21D39" w:rsidP="00D26929">
            <w:pPr>
              <w:pStyle w:val="zSoquijlblGreffe"/>
              <w:rPr>
                <w:rFonts w:cs="Arial"/>
              </w:rPr>
            </w:pPr>
            <w:r w:rsidRPr="00103606">
              <w:rPr>
                <w:rFonts w:cs="Arial"/>
              </w:rPr>
              <w:t>DISTRICT DE</w:t>
            </w:r>
          </w:p>
        </w:tc>
        <w:tc>
          <w:tcPr>
            <w:tcW w:w="7890" w:type="dxa"/>
            <w:gridSpan w:val="4"/>
          </w:tcPr>
          <w:p w14:paraId="7751744D" w14:textId="77777777" w:rsidR="00121A72" w:rsidRPr="00103606" w:rsidRDefault="00E21D39" w:rsidP="00D26929">
            <w:pPr>
              <w:pStyle w:val="zSoquijdatGreffe"/>
              <w:rPr>
                <w:rFonts w:cs="Arial"/>
              </w:rPr>
            </w:pPr>
            <w:r w:rsidRPr="00103606">
              <w:rPr>
                <w:rFonts w:cs="Arial"/>
              </w:rPr>
              <w:t>MONTRÉAL</w:t>
            </w:r>
          </w:p>
        </w:tc>
      </w:tr>
      <w:tr w:rsidR="006141B8" w14:paraId="5C289415" w14:textId="77777777">
        <w:trPr>
          <w:trHeight w:val="540"/>
        </w:trPr>
        <w:tc>
          <w:tcPr>
            <w:tcW w:w="9505" w:type="dxa"/>
            <w:gridSpan w:val="7"/>
          </w:tcPr>
          <w:p w14:paraId="717CCF46" w14:textId="77777777" w:rsidR="00121A72" w:rsidRPr="00103606" w:rsidRDefault="00121A72" w:rsidP="00D26929">
            <w:pPr>
              <w:pStyle w:val="zSoquijlblNomChambre"/>
              <w:rPr>
                <w:rFonts w:cs="Arial"/>
              </w:rPr>
            </w:pPr>
          </w:p>
        </w:tc>
      </w:tr>
      <w:tr w:rsidR="006141B8" w14:paraId="0E76B54B" w14:textId="77777777">
        <w:tc>
          <w:tcPr>
            <w:tcW w:w="1105" w:type="dxa"/>
            <w:gridSpan w:val="2"/>
          </w:tcPr>
          <w:p w14:paraId="1BC5D9F3" w14:textId="77777777" w:rsidR="00121A72" w:rsidRPr="00103606" w:rsidRDefault="00E21D39" w:rsidP="00D26929">
            <w:pPr>
              <w:pStyle w:val="zSoquijlblNoDossier"/>
              <w:rPr>
                <w:rFonts w:cs="Arial"/>
              </w:rPr>
            </w:pPr>
            <w:r w:rsidRPr="00103606">
              <w:rPr>
                <w:rFonts w:cs="Arial"/>
              </w:rPr>
              <w:t>N</w:t>
            </w:r>
            <w:r w:rsidR="008A7DDE" w:rsidRPr="00103606">
              <w:rPr>
                <w:rFonts w:cs="Arial"/>
                <w:vertAlign w:val="superscript"/>
              </w:rPr>
              <w:t>o</w:t>
            </w:r>
            <w:r w:rsidRPr="00103606">
              <w:rPr>
                <w:rFonts w:cs="Arial"/>
              </w:rPr>
              <w:t> :</w:t>
            </w:r>
          </w:p>
        </w:tc>
        <w:tc>
          <w:tcPr>
            <w:tcW w:w="8400" w:type="dxa"/>
            <w:gridSpan w:val="5"/>
          </w:tcPr>
          <w:p w14:paraId="1046FD79" w14:textId="77777777" w:rsidR="00121A72" w:rsidRPr="00103606" w:rsidRDefault="00E21D39" w:rsidP="009E7E11">
            <w:pPr>
              <w:pStyle w:val="zSoquijdatNoDossier"/>
              <w:ind w:left="-69"/>
              <w:rPr>
                <w:rFonts w:cs="Arial"/>
              </w:rPr>
            </w:pPr>
            <w:r w:rsidRPr="00103606">
              <w:rPr>
                <w:rFonts w:cs="Arial"/>
              </w:rPr>
              <w:t>500-</w:t>
            </w:r>
            <w:r w:rsidR="0012332B" w:rsidRPr="00103606">
              <w:rPr>
                <w:rFonts w:cs="Arial"/>
              </w:rPr>
              <w:t>06-001225-230</w:t>
            </w:r>
          </w:p>
        </w:tc>
      </w:tr>
      <w:tr w:rsidR="006141B8" w14:paraId="0DEA8E5E" w14:textId="77777777">
        <w:trPr>
          <w:cantSplit/>
          <w:trHeight w:val="235"/>
        </w:trPr>
        <w:tc>
          <w:tcPr>
            <w:tcW w:w="9505" w:type="dxa"/>
            <w:gridSpan w:val="7"/>
          </w:tcPr>
          <w:p w14:paraId="7B15C9C5" w14:textId="77777777" w:rsidR="00121A72" w:rsidRPr="00103606" w:rsidRDefault="00121A72" w:rsidP="00D26929">
            <w:pPr>
              <w:rPr>
                <w:rFonts w:cs="Arial"/>
              </w:rPr>
            </w:pPr>
          </w:p>
        </w:tc>
      </w:tr>
      <w:tr w:rsidR="006141B8" w14:paraId="01204D3A" w14:textId="77777777">
        <w:tc>
          <w:tcPr>
            <w:tcW w:w="1036" w:type="dxa"/>
          </w:tcPr>
          <w:p w14:paraId="7A64731A" w14:textId="77777777" w:rsidR="00121A72" w:rsidRPr="00103606" w:rsidRDefault="00E21D39" w:rsidP="00D26929">
            <w:pPr>
              <w:pStyle w:val="zSoquijlblDateJugement"/>
              <w:rPr>
                <w:rFonts w:cs="Arial"/>
              </w:rPr>
            </w:pPr>
            <w:r w:rsidRPr="00103606">
              <w:rPr>
                <w:rFonts w:cs="Arial"/>
              </w:rPr>
              <w:t>DATE :</w:t>
            </w:r>
          </w:p>
        </w:tc>
        <w:tc>
          <w:tcPr>
            <w:tcW w:w="8469" w:type="dxa"/>
            <w:gridSpan w:val="6"/>
          </w:tcPr>
          <w:p w14:paraId="7AA0AD2B" w14:textId="77777777" w:rsidR="00121A72" w:rsidRPr="001652CA" w:rsidRDefault="00E21D39" w:rsidP="00D26929">
            <w:pPr>
              <w:pStyle w:val="zSoquijdatDateJugement"/>
              <w:rPr>
                <w:rFonts w:cs="Arial"/>
              </w:rPr>
            </w:pPr>
            <w:r w:rsidRPr="001652CA">
              <w:rPr>
                <w:rFonts w:cs="Arial"/>
              </w:rPr>
              <w:t>1</w:t>
            </w:r>
            <w:r w:rsidR="00D2743B">
              <w:rPr>
                <w:rFonts w:cs="Arial"/>
              </w:rPr>
              <w:t>4</w:t>
            </w:r>
            <w:r w:rsidRPr="001652CA">
              <w:rPr>
                <w:rFonts w:cs="Arial"/>
              </w:rPr>
              <w:t xml:space="preserve"> </w:t>
            </w:r>
            <w:r w:rsidR="00D05077" w:rsidRPr="001652CA">
              <w:rPr>
                <w:rFonts w:cs="Arial"/>
              </w:rPr>
              <w:t xml:space="preserve">janvier </w:t>
            </w:r>
            <w:r w:rsidR="003F7BF2" w:rsidRPr="001652CA">
              <w:rPr>
                <w:rFonts w:cs="Arial"/>
              </w:rPr>
              <w:t>2025</w:t>
            </w:r>
          </w:p>
        </w:tc>
      </w:tr>
      <w:tr w:rsidR="006141B8" w14:paraId="4AAA2FEA" w14:textId="77777777">
        <w:tc>
          <w:tcPr>
            <w:tcW w:w="9505" w:type="dxa"/>
            <w:gridSpan w:val="7"/>
          </w:tcPr>
          <w:p w14:paraId="4F3F4E43" w14:textId="77777777" w:rsidR="00121A72" w:rsidRPr="00103606" w:rsidRDefault="00E21D39" w:rsidP="00D26929">
            <w:pPr>
              <w:ind w:left="14" w:right="-67"/>
              <w:rPr>
                <w:rFonts w:cs="Arial"/>
              </w:rPr>
            </w:pPr>
            <w:r w:rsidRPr="00103606">
              <w:rPr>
                <w:rFonts w:cs="Arial"/>
              </w:rPr>
              <w:t>______________________________________________________________________</w:t>
            </w:r>
          </w:p>
        </w:tc>
      </w:tr>
      <w:tr w:rsidR="006141B8" w14:paraId="6ECB522E" w14:textId="77777777">
        <w:tc>
          <w:tcPr>
            <w:tcW w:w="9505" w:type="dxa"/>
            <w:gridSpan w:val="7"/>
          </w:tcPr>
          <w:p w14:paraId="7DFD0590" w14:textId="77777777" w:rsidR="00121A72" w:rsidRPr="00103606" w:rsidRDefault="00121A72" w:rsidP="00D26929">
            <w:pPr>
              <w:rPr>
                <w:rFonts w:cs="Arial"/>
              </w:rPr>
            </w:pPr>
          </w:p>
        </w:tc>
      </w:tr>
      <w:tr w:rsidR="006141B8" w14:paraId="0033F85C" w14:textId="77777777">
        <w:tblPrEx>
          <w:tblCellMar>
            <w:left w:w="0" w:type="dxa"/>
            <w:right w:w="0" w:type="dxa"/>
          </w:tblCellMar>
        </w:tblPrEx>
        <w:tc>
          <w:tcPr>
            <w:tcW w:w="3200" w:type="dxa"/>
            <w:gridSpan w:val="4"/>
          </w:tcPr>
          <w:p w14:paraId="091CAC12" w14:textId="77777777" w:rsidR="00121A72" w:rsidRPr="00103606" w:rsidRDefault="00E21D39" w:rsidP="00D26929">
            <w:pPr>
              <w:pStyle w:val="zSoquijlblJuge"/>
              <w:rPr>
                <w:rFonts w:cs="Arial"/>
              </w:rPr>
            </w:pPr>
            <w:r w:rsidRPr="00103606">
              <w:rPr>
                <w:rFonts w:cs="Arial"/>
              </w:rPr>
              <w:t>SOUS LA PRÉSIDENCE DE</w:t>
            </w:r>
          </w:p>
        </w:tc>
        <w:tc>
          <w:tcPr>
            <w:tcW w:w="1826" w:type="dxa"/>
          </w:tcPr>
          <w:p w14:paraId="2C01DDAC" w14:textId="77777777" w:rsidR="00121A72" w:rsidRPr="00103606" w:rsidRDefault="00E21D39" w:rsidP="00D26929">
            <w:pPr>
              <w:pStyle w:val="zSoquijdatQteJuge"/>
              <w:rPr>
                <w:rFonts w:cs="Arial"/>
              </w:rPr>
            </w:pPr>
            <w:r w:rsidRPr="00103606">
              <w:rPr>
                <w:rFonts w:cs="Arial"/>
              </w:rPr>
              <w:t>L’HONORABLE</w:t>
            </w:r>
          </w:p>
        </w:tc>
        <w:tc>
          <w:tcPr>
            <w:tcW w:w="4479" w:type="dxa"/>
            <w:gridSpan w:val="2"/>
          </w:tcPr>
          <w:p w14:paraId="5EA1CCA0" w14:textId="77777777" w:rsidR="00121A72" w:rsidRPr="00103606" w:rsidRDefault="00E21D39" w:rsidP="00D26929">
            <w:pPr>
              <w:pStyle w:val="zSoquijdatJuge"/>
              <w:rPr>
                <w:rFonts w:cs="Arial"/>
                <w:lang w:val="en-CA"/>
              </w:rPr>
            </w:pPr>
            <w:r w:rsidRPr="00103606">
              <w:rPr>
                <w:rFonts w:cs="Arial"/>
                <w:lang w:val="en-CA"/>
              </w:rPr>
              <w:t>CATHERINE PICHÉ</w:t>
            </w:r>
            <w:r w:rsidR="008A4532" w:rsidRPr="00103606">
              <w:rPr>
                <w:rFonts w:cs="Arial"/>
                <w:lang w:val="en-CA"/>
              </w:rPr>
              <w:t>, J.C.S.</w:t>
            </w:r>
          </w:p>
        </w:tc>
      </w:tr>
      <w:tr w:rsidR="006141B8" w14:paraId="71DCA48F" w14:textId="77777777">
        <w:tc>
          <w:tcPr>
            <w:tcW w:w="9505" w:type="dxa"/>
            <w:gridSpan w:val="7"/>
          </w:tcPr>
          <w:p w14:paraId="64CB99EA" w14:textId="77777777" w:rsidR="00121A72" w:rsidRPr="00103606" w:rsidRDefault="00E21D39" w:rsidP="00D26929">
            <w:pPr>
              <w:ind w:left="14" w:right="-67"/>
              <w:rPr>
                <w:rFonts w:cs="Arial"/>
              </w:rPr>
            </w:pPr>
            <w:r w:rsidRPr="00103606">
              <w:rPr>
                <w:rFonts w:cs="Arial"/>
              </w:rPr>
              <w:t>______________________________________________________________________</w:t>
            </w:r>
          </w:p>
        </w:tc>
      </w:tr>
      <w:tr w:rsidR="006141B8" w14:paraId="3B2DB8D9" w14:textId="77777777">
        <w:tc>
          <w:tcPr>
            <w:tcW w:w="9505" w:type="dxa"/>
            <w:gridSpan w:val="7"/>
          </w:tcPr>
          <w:p w14:paraId="38A20885" w14:textId="77777777" w:rsidR="00121A72" w:rsidRPr="00103606" w:rsidRDefault="00121A72" w:rsidP="00D26929">
            <w:pPr>
              <w:pStyle w:val="zSoquijlblTitrePartie"/>
              <w:rPr>
                <w:rFonts w:cs="Arial"/>
              </w:rPr>
            </w:pPr>
          </w:p>
        </w:tc>
      </w:tr>
      <w:tr w:rsidR="006141B8" w14:paraId="35815F99" w14:textId="77777777">
        <w:tc>
          <w:tcPr>
            <w:tcW w:w="9505" w:type="dxa"/>
            <w:gridSpan w:val="7"/>
          </w:tcPr>
          <w:p w14:paraId="64193133" w14:textId="77777777" w:rsidR="00121A72" w:rsidRPr="00103606" w:rsidRDefault="00121A72" w:rsidP="00756FAD">
            <w:pPr>
              <w:rPr>
                <w:rFonts w:cs="Arial"/>
              </w:rPr>
            </w:pPr>
          </w:p>
        </w:tc>
      </w:tr>
      <w:tr w:rsidR="006141B8" w14:paraId="2C62CE29" w14:textId="77777777">
        <w:tc>
          <w:tcPr>
            <w:tcW w:w="9505" w:type="dxa"/>
            <w:gridSpan w:val="7"/>
          </w:tcPr>
          <w:p w14:paraId="3F3D43E7" w14:textId="77777777" w:rsidR="00756FAD" w:rsidRPr="00103606" w:rsidRDefault="00E21D39" w:rsidP="00D26929">
            <w:pPr>
              <w:pStyle w:val="zSoquijdatNomPartieDem"/>
              <w:rPr>
                <w:rFonts w:cs="Arial"/>
              </w:rPr>
            </w:pPr>
            <w:r w:rsidRPr="00103606">
              <w:rPr>
                <w:rFonts w:cs="Arial"/>
              </w:rPr>
              <w:t>S.N.</w:t>
            </w:r>
          </w:p>
        </w:tc>
      </w:tr>
      <w:tr w:rsidR="006141B8" w14:paraId="3C98CE12" w14:textId="77777777">
        <w:tc>
          <w:tcPr>
            <w:tcW w:w="9505" w:type="dxa"/>
            <w:gridSpan w:val="7"/>
          </w:tcPr>
          <w:p w14:paraId="658BBB2E" w14:textId="77777777" w:rsidR="00756FAD" w:rsidRPr="00103606" w:rsidRDefault="00E21D39" w:rsidP="00756FAD">
            <w:pPr>
              <w:rPr>
                <w:rFonts w:cs="Arial"/>
              </w:rPr>
            </w:pPr>
            <w:r w:rsidRPr="00103606">
              <w:rPr>
                <w:rFonts w:cs="Arial"/>
              </w:rPr>
              <w:t>et</w:t>
            </w:r>
          </w:p>
        </w:tc>
      </w:tr>
      <w:tr w:rsidR="006141B8" w14:paraId="0B55BF5C" w14:textId="77777777">
        <w:tc>
          <w:tcPr>
            <w:tcW w:w="9505" w:type="dxa"/>
            <w:gridSpan w:val="7"/>
          </w:tcPr>
          <w:p w14:paraId="4D2653C4" w14:textId="77777777" w:rsidR="00756FAD" w:rsidRPr="00103606" w:rsidRDefault="00E21D39" w:rsidP="00756FAD">
            <w:pPr>
              <w:rPr>
                <w:rFonts w:cs="Arial"/>
                <w:b/>
                <w:bCs/>
                <w:lang w:val="en-CA"/>
              </w:rPr>
            </w:pPr>
            <w:r w:rsidRPr="00103606">
              <w:rPr>
                <w:rFonts w:cs="Arial"/>
                <w:b/>
                <w:bCs/>
                <w:lang w:val="en-CA"/>
              </w:rPr>
              <w:t xml:space="preserve">B.N. (Madame 42) </w:t>
            </w:r>
          </w:p>
          <w:p w14:paraId="52686E21" w14:textId="77777777" w:rsidR="00756FAD" w:rsidRPr="00103606" w:rsidRDefault="00E21D39" w:rsidP="00756FAD">
            <w:pPr>
              <w:rPr>
                <w:rFonts w:cs="Arial"/>
              </w:rPr>
            </w:pPr>
            <w:r w:rsidRPr="00103606">
              <w:rPr>
                <w:rFonts w:cs="Arial"/>
                <w:lang w:val="en-CA"/>
              </w:rPr>
              <w:t xml:space="preserve">et </w:t>
            </w:r>
          </w:p>
        </w:tc>
      </w:tr>
      <w:tr w:rsidR="006141B8" w14:paraId="165B99F0" w14:textId="77777777">
        <w:tc>
          <w:tcPr>
            <w:tcW w:w="9505" w:type="dxa"/>
            <w:gridSpan w:val="7"/>
          </w:tcPr>
          <w:p w14:paraId="739AD7F4" w14:textId="77777777" w:rsidR="00756FAD" w:rsidRPr="00103606" w:rsidRDefault="00E21D39" w:rsidP="00D26929">
            <w:pPr>
              <w:pStyle w:val="zSoquijdatNomPartieDem"/>
              <w:rPr>
                <w:rFonts w:cs="Arial"/>
              </w:rPr>
            </w:pPr>
            <w:r w:rsidRPr="00103606">
              <w:rPr>
                <w:rFonts w:cs="Arial"/>
              </w:rPr>
              <w:t>V.R. (Madame 13)</w:t>
            </w:r>
          </w:p>
        </w:tc>
      </w:tr>
      <w:tr w:rsidR="006141B8" w14:paraId="0C18159A" w14:textId="77777777">
        <w:tc>
          <w:tcPr>
            <w:tcW w:w="9505" w:type="dxa"/>
            <w:gridSpan w:val="7"/>
          </w:tcPr>
          <w:p w14:paraId="532D4E0C" w14:textId="77777777" w:rsidR="00121A72" w:rsidRPr="00103606" w:rsidRDefault="00E21D39" w:rsidP="00D26929">
            <w:pPr>
              <w:pStyle w:val="zSoquijdatQtePartieDem"/>
              <w:rPr>
                <w:rFonts w:cs="Arial"/>
              </w:rPr>
            </w:pPr>
            <w:r w:rsidRPr="00103606">
              <w:rPr>
                <w:rFonts w:cs="Arial"/>
              </w:rPr>
              <w:t>Demanderesse</w:t>
            </w:r>
            <w:r w:rsidR="00756FAD" w:rsidRPr="00103606">
              <w:rPr>
                <w:rFonts w:cs="Arial"/>
              </w:rPr>
              <w:t>s</w:t>
            </w:r>
          </w:p>
        </w:tc>
      </w:tr>
      <w:tr w:rsidR="006141B8" w14:paraId="3A2670DA" w14:textId="77777777">
        <w:tc>
          <w:tcPr>
            <w:tcW w:w="9505" w:type="dxa"/>
            <w:gridSpan w:val="7"/>
          </w:tcPr>
          <w:p w14:paraId="1301765C" w14:textId="77777777" w:rsidR="00121A72" w:rsidRPr="00103606" w:rsidRDefault="00E21D39" w:rsidP="00573001">
            <w:pPr>
              <w:pStyle w:val="zSoquijlblLienParties"/>
              <w:spacing w:after="40"/>
              <w:rPr>
                <w:rFonts w:cs="Arial"/>
              </w:rPr>
            </w:pPr>
            <w:r w:rsidRPr="00103606">
              <w:rPr>
                <w:rFonts w:cs="Arial"/>
              </w:rPr>
              <w:t>c.</w:t>
            </w:r>
          </w:p>
        </w:tc>
      </w:tr>
      <w:tr w:rsidR="006141B8" w14:paraId="7BBBF52F" w14:textId="77777777">
        <w:tc>
          <w:tcPr>
            <w:tcW w:w="9505" w:type="dxa"/>
            <w:gridSpan w:val="7"/>
          </w:tcPr>
          <w:p w14:paraId="6FC43555" w14:textId="77777777" w:rsidR="0012332B" w:rsidRPr="00103606" w:rsidRDefault="00E21D39" w:rsidP="00573001">
            <w:pPr>
              <w:pStyle w:val="zSoquijdatNomPartieDef"/>
              <w:spacing w:after="40"/>
              <w:rPr>
                <w:rFonts w:cs="Arial"/>
                <w:lang w:val="en-CA"/>
              </w:rPr>
            </w:pPr>
            <w:r w:rsidRPr="00103606">
              <w:rPr>
                <w:rFonts w:cs="Arial"/>
                <w:lang w:val="en-CA"/>
              </w:rPr>
              <w:t>ROBERT GERALD MILLER</w:t>
            </w:r>
          </w:p>
          <w:p w14:paraId="553EEB6C" w14:textId="77777777" w:rsidR="00756FAD" w:rsidRPr="00103606" w:rsidRDefault="00E21D39" w:rsidP="00573001">
            <w:pPr>
              <w:pStyle w:val="zSoquijdatNomPartieDef"/>
              <w:spacing w:after="40"/>
              <w:rPr>
                <w:rFonts w:cs="Arial"/>
                <w:b w:val="0"/>
                <w:bCs w:val="0"/>
                <w:lang w:val="en-CA"/>
              </w:rPr>
            </w:pPr>
            <w:r w:rsidRPr="00103606">
              <w:rPr>
                <w:rFonts w:cs="Arial"/>
                <w:b w:val="0"/>
                <w:bCs w:val="0"/>
                <w:lang w:val="en-CA"/>
              </w:rPr>
              <w:t>et</w:t>
            </w:r>
          </w:p>
          <w:p w14:paraId="69DA7DA7" w14:textId="77777777" w:rsidR="0012332B" w:rsidRPr="00103606" w:rsidRDefault="00E21D39" w:rsidP="00573001">
            <w:pPr>
              <w:pStyle w:val="zSoquijdatNomPartieDef"/>
              <w:spacing w:after="40"/>
              <w:rPr>
                <w:rFonts w:cs="Arial"/>
                <w:lang w:val="en-CA"/>
              </w:rPr>
            </w:pPr>
            <w:r w:rsidRPr="00103606">
              <w:rPr>
                <w:rFonts w:cs="Arial"/>
                <w:lang w:val="en-CA"/>
              </w:rPr>
              <w:t>HELMUT LIPPMANN</w:t>
            </w:r>
          </w:p>
          <w:p w14:paraId="7E134D53" w14:textId="77777777" w:rsidR="00756FAD" w:rsidRPr="00103606" w:rsidRDefault="00E21D39" w:rsidP="00573001">
            <w:pPr>
              <w:pStyle w:val="zSoquijdatNomPartieDef"/>
              <w:spacing w:after="40"/>
              <w:rPr>
                <w:rFonts w:cs="Arial"/>
                <w:b w:val="0"/>
                <w:bCs w:val="0"/>
              </w:rPr>
            </w:pPr>
            <w:r w:rsidRPr="00103606">
              <w:rPr>
                <w:rFonts w:cs="Arial"/>
                <w:b w:val="0"/>
                <w:bCs w:val="0"/>
              </w:rPr>
              <w:t>et</w:t>
            </w:r>
          </w:p>
          <w:p w14:paraId="458A6B4E" w14:textId="77777777" w:rsidR="0012332B" w:rsidRPr="00103606" w:rsidRDefault="00E21D39" w:rsidP="00573001">
            <w:pPr>
              <w:pStyle w:val="zSoquijdatNomPartieDef"/>
              <w:spacing w:after="40"/>
              <w:rPr>
                <w:rFonts w:cs="Arial"/>
              </w:rPr>
            </w:pPr>
            <w:r w:rsidRPr="00103606">
              <w:rPr>
                <w:rFonts w:cs="Arial"/>
              </w:rPr>
              <w:t>RAYMOND POULET</w:t>
            </w:r>
          </w:p>
          <w:p w14:paraId="6A435671" w14:textId="77777777" w:rsidR="00756FAD" w:rsidRPr="00103606" w:rsidRDefault="00E21D39" w:rsidP="00573001">
            <w:pPr>
              <w:pStyle w:val="zSoquijdatNomPartieDef"/>
              <w:spacing w:after="40"/>
              <w:rPr>
                <w:rFonts w:cs="Arial"/>
                <w:b w:val="0"/>
                <w:bCs w:val="0"/>
              </w:rPr>
            </w:pPr>
            <w:r w:rsidRPr="00103606">
              <w:rPr>
                <w:rFonts w:cs="Arial"/>
                <w:b w:val="0"/>
                <w:bCs w:val="0"/>
              </w:rPr>
              <w:t>et</w:t>
            </w:r>
          </w:p>
          <w:p w14:paraId="3458155A" w14:textId="77777777" w:rsidR="0012332B" w:rsidRPr="00103606" w:rsidRDefault="00E21D39" w:rsidP="00573001">
            <w:pPr>
              <w:pStyle w:val="zSoquijdatNomPartieDef"/>
              <w:spacing w:after="40"/>
              <w:rPr>
                <w:rFonts w:cs="Arial"/>
              </w:rPr>
            </w:pPr>
            <w:r w:rsidRPr="00103606">
              <w:rPr>
                <w:rFonts w:cs="Arial"/>
              </w:rPr>
              <w:t>FUTURE ELECTRONICS INC.</w:t>
            </w:r>
          </w:p>
          <w:p w14:paraId="3237F18B" w14:textId="77777777" w:rsidR="00756FAD" w:rsidRPr="00103606" w:rsidRDefault="00E21D39" w:rsidP="00573001">
            <w:pPr>
              <w:pStyle w:val="zSoquijdatNomPartieDef"/>
              <w:spacing w:after="40"/>
              <w:rPr>
                <w:rFonts w:cs="Arial"/>
                <w:b w:val="0"/>
                <w:bCs w:val="0"/>
                <w:lang w:val="en-US"/>
              </w:rPr>
            </w:pPr>
            <w:r w:rsidRPr="00103606">
              <w:rPr>
                <w:rFonts w:cs="Arial"/>
                <w:b w:val="0"/>
                <w:bCs w:val="0"/>
                <w:lang w:val="en-US"/>
              </w:rPr>
              <w:t>et</w:t>
            </w:r>
          </w:p>
          <w:p w14:paraId="273A1ECA" w14:textId="77777777" w:rsidR="00121A72" w:rsidRPr="00103606" w:rsidRDefault="00E21D39" w:rsidP="00573001">
            <w:pPr>
              <w:pStyle w:val="zSoquijdatNomPartieDef"/>
              <w:spacing w:after="40"/>
              <w:rPr>
                <w:rFonts w:cs="Arial"/>
                <w:lang w:val="en-US"/>
              </w:rPr>
            </w:pPr>
            <w:r w:rsidRPr="00103606">
              <w:rPr>
                <w:rFonts w:cs="Arial"/>
                <w:lang w:val="en-US"/>
              </w:rPr>
              <w:t>SAM JOSEPH ABRAMS</w:t>
            </w:r>
          </w:p>
        </w:tc>
      </w:tr>
      <w:tr w:rsidR="006141B8" w14:paraId="1FFA3707" w14:textId="77777777">
        <w:tc>
          <w:tcPr>
            <w:tcW w:w="9505" w:type="dxa"/>
            <w:gridSpan w:val="7"/>
          </w:tcPr>
          <w:p w14:paraId="74BA090D" w14:textId="77777777" w:rsidR="00121A72" w:rsidRPr="00103606" w:rsidRDefault="00E21D39" w:rsidP="00C61A30">
            <w:pPr>
              <w:pStyle w:val="zSoquijdatQtePartieDef"/>
              <w:rPr>
                <w:rFonts w:cs="Arial"/>
              </w:rPr>
            </w:pPr>
            <w:r w:rsidRPr="00103606">
              <w:rPr>
                <w:rFonts w:cs="Arial"/>
              </w:rPr>
              <w:t>Défendeurs</w:t>
            </w:r>
          </w:p>
        </w:tc>
      </w:tr>
      <w:tr w:rsidR="006141B8" w14:paraId="5C1D5823" w14:textId="77777777">
        <w:tc>
          <w:tcPr>
            <w:tcW w:w="9505" w:type="dxa"/>
            <w:gridSpan w:val="7"/>
          </w:tcPr>
          <w:p w14:paraId="5D1DD265" w14:textId="77777777" w:rsidR="00121A72" w:rsidRPr="00103606" w:rsidRDefault="00121A72" w:rsidP="00D26929">
            <w:pPr>
              <w:ind w:left="14" w:right="-95"/>
              <w:rPr>
                <w:rFonts w:cs="Arial"/>
              </w:rPr>
            </w:pPr>
          </w:p>
        </w:tc>
      </w:tr>
      <w:tr w:rsidR="006141B8" w14:paraId="47FE89F6" w14:textId="77777777">
        <w:tc>
          <w:tcPr>
            <w:tcW w:w="9505" w:type="dxa"/>
            <w:gridSpan w:val="7"/>
          </w:tcPr>
          <w:p w14:paraId="6CCB22AF" w14:textId="77777777" w:rsidR="00121A72" w:rsidRPr="00103606" w:rsidRDefault="00E21D39" w:rsidP="00D26929">
            <w:pPr>
              <w:ind w:left="14" w:right="-95"/>
              <w:rPr>
                <w:rFonts w:cs="Arial"/>
              </w:rPr>
            </w:pPr>
            <w:r w:rsidRPr="00103606">
              <w:rPr>
                <w:rFonts w:cs="Arial"/>
              </w:rPr>
              <w:t>_____________________________________________________________________</w:t>
            </w:r>
          </w:p>
        </w:tc>
      </w:tr>
      <w:tr w:rsidR="006141B8" w14:paraId="06414F72" w14:textId="77777777">
        <w:tc>
          <w:tcPr>
            <w:tcW w:w="9505" w:type="dxa"/>
            <w:gridSpan w:val="7"/>
          </w:tcPr>
          <w:p w14:paraId="0AFF7BE9" w14:textId="77777777" w:rsidR="00121A72" w:rsidRPr="00103606" w:rsidRDefault="00121A72" w:rsidP="00D26929">
            <w:pPr>
              <w:jc w:val="center"/>
              <w:rPr>
                <w:rFonts w:cs="Arial"/>
              </w:rPr>
            </w:pPr>
          </w:p>
        </w:tc>
      </w:tr>
      <w:tr w:rsidR="006141B8" w14:paraId="647EAB7D" w14:textId="77777777">
        <w:tc>
          <w:tcPr>
            <w:tcW w:w="9505" w:type="dxa"/>
            <w:gridSpan w:val="7"/>
          </w:tcPr>
          <w:p w14:paraId="12918BED" w14:textId="77777777" w:rsidR="00121A72" w:rsidRPr="00103606" w:rsidRDefault="00E21D39" w:rsidP="00D26929">
            <w:pPr>
              <w:pStyle w:val="zSoquijlblTypeDocument"/>
              <w:rPr>
                <w:rFonts w:cs="Arial"/>
              </w:rPr>
            </w:pPr>
            <w:r w:rsidRPr="00103606">
              <w:rPr>
                <w:rFonts w:cs="Arial"/>
              </w:rPr>
              <w:t>JUGEMENT</w:t>
            </w:r>
          </w:p>
          <w:p w14:paraId="74B1CFD2" w14:textId="77777777" w:rsidR="00DA5396" w:rsidRPr="00103606" w:rsidRDefault="00E21D39" w:rsidP="00D26929">
            <w:pPr>
              <w:pStyle w:val="zSoquijlblTypeDocument"/>
              <w:rPr>
                <w:rFonts w:cs="Arial"/>
              </w:rPr>
            </w:pPr>
            <w:r w:rsidRPr="00103606">
              <w:rPr>
                <w:rFonts w:cs="Arial"/>
              </w:rPr>
              <w:t xml:space="preserve">(autorisation </w:t>
            </w:r>
            <w:r w:rsidR="00436229" w:rsidRPr="00103606">
              <w:rPr>
                <w:rFonts w:cs="Arial"/>
              </w:rPr>
              <w:t>D’ACTION</w:t>
            </w:r>
            <w:r w:rsidRPr="00103606">
              <w:rPr>
                <w:rFonts w:cs="Arial"/>
              </w:rPr>
              <w:t xml:space="preserve"> collective)</w:t>
            </w:r>
          </w:p>
        </w:tc>
      </w:tr>
      <w:tr w:rsidR="006141B8" w14:paraId="2AEA18AD" w14:textId="77777777">
        <w:tc>
          <w:tcPr>
            <w:tcW w:w="9505" w:type="dxa"/>
            <w:gridSpan w:val="7"/>
          </w:tcPr>
          <w:p w14:paraId="6A85D285" w14:textId="77777777" w:rsidR="00121A72" w:rsidRPr="00103606" w:rsidRDefault="00E21D39" w:rsidP="00D26929">
            <w:pPr>
              <w:ind w:left="14" w:right="-70"/>
              <w:rPr>
                <w:rFonts w:cs="Arial"/>
              </w:rPr>
            </w:pPr>
            <w:r w:rsidRPr="00103606">
              <w:rPr>
                <w:rFonts w:cs="Arial"/>
              </w:rPr>
              <w:t>______________________________________________________________________</w:t>
            </w:r>
          </w:p>
        </w:tc>
      </w:tr>
      <w:tr w:rsidR="006141B8" w14:paraId="24CA52C5" w14:textId="77777777">
        <w:tc>
          <w:tcPr>
            <w:tcW w:w="9505" w:type="dxa"/>
            <w:gridSpan w:val="7"/>
          </w:tcPr>
          <w:p w14:paraId="71C16EF3" w14:textId="77777777" w:rsidR="00121A72" w:rsidRPr="00103606" w:rsidRDefault="00121A72" w:rsidP="007E50B9">
            <w:pPr>
              <w:spacing w:after="840"/>
              <w:rPr>
                <w:rFonts w:cs="Arial"/>
              </w:rPr>
            </w:pPr>
          </w:p>
        </w:tc>
      </w:tr>
    </w:tbl>
    <w:bookmarkStart w:id="0" w:name="_Toc45807135" w:displacedByCustomXml="next"/>
    <w:bookmarkStart w:id="1" w:name="_Toc56788859" w:displacedByCustomXml="next"/>
    <w:bookmarkStart w:id="2" w:name="_Toc430945543" w:displacedByCustomXml="next"/>
    <w:sdt>
      <w:sdtPr>
        <w:rPr>
          <w:rFonts w:ascii="Arial" w:hAnsi="Arial" w:cs="Arial"/>
          <w:b w:val="0"/>
          <w:bCs w:val="0"/>
          <w:color w:val="auto"/>
          <w:sz w:val="22"/>
          <w:szCs w:val="22"/>
          <w:lang w:val="fr-FR" w:eastAsia="fr-FR"/>
        </w:rPr>
        <w:id w:val="-414553897"/>
        <w:docPartObj>
          <w:docPartGallery w:val="Table of Contents"/>
          <w:docPartUnique/>
        </w:docPartObj>
      </w:sdtPr>
      <w:sdtEndPr/>
      <w:sdtContent>
        <w:p w14:paraId="00D61807" w14:textId="77777777" w:rsidR="003A05FA" w:rsidRPr="007E50B9" w:rsidRDefault="00E21D39" w:rsidP="007E50B9">
          <w:pPr>
            <w:pStyle w:val="En-ttedetabledesmatires"/>
            <w:spacing w:before="0"/>
            <w:jc w:val="both"/>
            <w:rPr>
              <w:rFonts w:ascii="Arial" w:hAnsi="Arial" w:cs="Arial"/>
              <w:b w:val="0"/>
              <w:bCs w:val="0"/>
              <w:color w:val="auto"/>
              <w:sz w:val="21"/>
              <w:szCs w:val="21"/>
              <w:u w:val="single"/>
            </w:rPr>
          </w:pPr>
          <w:r w:rsidRPr="00573001">
            <w:rPr>
              <w:rFonts w:ascii="Arial" w:hAnsi="Arial" w:cs="Arial"/>
              <w:b w:val="0"/>
              <w:bCs w:val="0"/>
              <w:color w:val="auto"/>
              <w:sz w:val="21"/>
              <w:szCs w:val="21"/>
              <w:u w:val="single"/>
              <w:lang w:val="fr-FR"/>
            </w:rPr>
            <w:t>TABLE DES MATIÈRES</w:t>
          </w:r>
        </w:p>
        <w:p w14:paraId="30646A75" w14:textId="77777777" w:rsidR="006141B8" w:rsidRDefault="00E21D39">
          <w:pPr>
            <w:pStyle w:val="TM1"/>
            <w:rPr>
              <w:rFonts w:asciiTheme="minorHAnsi" w:hAnsiTheme="minorHAnsi"/>
              <w:noProof/>
              <w:sz w:val="22"/>
            </w:rPr>
          </w:pPr>
          <w:r>
            <w:rPr>
              <w:rStyle w:val="Hyperlien"/>
              <w:rFonts w:cs="Arial"/>
              <w:color w:val="auto"/>
              <w:u w:val="none"/>
            </w:rPr>
            <w:t>I.</w:t>
          </w:r>
          <w:r>
            <w:rPr>
              <w:rFonts w:asciiTheme="minorHAnsi" w:hAnsiTheme="minorHAnsi" w:cs="Arial"/>
              <w:noProof/>
              <w:sz w:val="22"/>
            </w:rPr>
            <w:tab/>
          </w:r>
          <w:r w:rsidRPr="00103606">
            <w:rPr>
              <w:rStyle w:val="Hyperlien"/>
              <w:rFonts w:cs="Arial"/>
              <w:color w:val="auto"/>
              <w:u w:val="none"/>
            </w:rPr>
            <w:t>APERÇU</w:t>
          </w:r>
          <w:r>
            <w:tab/>
            <w:t>3</w:t>
          </w:r>
        </w:p>
        <w:p w14:paraId="1754E0E6" w14:textId="77777777" w:rsidR="006141B8" w:rsidRDefault="00E21D39">
          <w:pPr>
            <w:pStyle w:val="TM1"/>
            <w:rPr>
              <w:rFonts w:asciiTheme="minorHAnsi" w:hAnsiTheme="minorHAnsi"/>
              <w:noProof/>
              <w:sz w:val="22"/>
            </w:rPr>
          </w:pPr>
          <w:r>
            <w:rPr>
              <w:rStyle w:val="Hyperlien"/>
              <w:rFonts w:cs="Arial"/>
              <w:color w:val="auto"/>
              <w:u w:val="none"/>
            </w:rPr>
            <w:t>II.</w:t>
          </w:r>
          <w:r>
            <w:rPr>
              <w:rFonts w:asciiTheme="minorHAnsi" w:hAnsiTheme="minorHAnsi" w:cs="Arial"/>
              <w:noProof/>
              <w:sz w:val="22"/>
            </w:rPr>
            <w:tab/>
          </w:r>
          <w:r w:rsidRPr="008573E6">
            <w:rPr>
              <w:rStyle w:val="Hyperlien"/>
              <w:rFonts w:cs="Arial"/>
              <w:bCs/>
              <w:color w:val="auto"/>
              <w:u w:val="none"/>
            </w:rPr>
            <w:t>CONTEXTE LÉGISLATIF</w:t>
          </w:r>
          <w:r>
            <w:tab/>
            <w:t>5</w:t>
          </w:r>
        </w:p>
        <w:p w14:paraId="2E44A718" w14:textId="77777777" w:rsidR="006141B8" w:rsidRDefault="00E21D39">
          <w:pPr>
            <w:pStyle w:val="TM1"/>
            <w:rPr>
              <w:rFonts w:asciiTheme="minorHAnsi" w:hAnsiTheme="minorHAnsi"/>
              <w:noProof/>
              <w:sz w:val="22"/>
            </w:rPr>
          </w:pPr>
          <w:r>
            <w:rPr>
              <w:rStyle w:val="Hyperlien"/>
              <w:rFonts w:cs="Arial"/>
              <w:color w:val="auto"/>
              <w:u w:val="none"/>
            </w:rPr>
            <w:t>III.</w:t>
          </w:r>
          <w:r>
            <w:rPr>
              <w:rFonts w:asciiTheme="minorHAnsi" w:hAnsiTheme="minorHAnsi" w:cs="Arial"/>
              <w:noProof/>
              <w:sz w:val="22"/>
            </w:rPr>
            <w:tab/>
          </w:r>
          <w:r w:rsidRPr="00BF17E4">
            <w:rPr>
              <w:rStyle w:val="Hyperlien"/>
              <w:rFonts w:cs="Arial"/>
              <w:color w:val="auto"/>
              <w:u w:val="none"/>
            </w:rPr>
            <w:t>CONTEXTE</w:t>
          </w:r>
          <w:r w:rsidR="00436229" w:rsidRPr="00BF17E4">
            <w:rPr>
              <w:rStyle w:val="Hyperlien"/>
              <w:rFonts w:cs="Arial"/>
              <w:color w:val="auto"/>
              <w:u w:val="none"/>
            </w:rPr>
            <w:t xml:space="preserve"> FACTUEL</w:t>
          </w:r>
          <w:r>
            <w:tab/>
            <w:t>11</w:t>
          </w:r>
        </w:p>
        <w:p w14:paraId="1ACB0326" w14:textId="77777777" w:rsidR="006141B8" w:rsidRDefault="00E21D39">
          <w:pPr>
            <w:pStyle w:val="TM1"/>
            <w:rPr>
              <w:rFonts w:asciiTheme="minorHAnsi" w:hAnsiTheme="minorHAnsi"/>
              <w:noProof/>
              <w:sz w:val="22"/>
            </w:rPr>
          </w:pPr>
          <w:r>
            <w:rPr>
              <w:rStyle w:val="Hyperlien"/>
              <w:rFonts w:cs="Arial"/>
              <w:color w:val="auto"/>
              <w:u w:val="none"/>
            </w:rPr>
            <w:t>IV.</w:t>
          </w:r>
          <w:r>
            <w:rPr>
              <w:rFonts w:asciiTheme="minorHAnsi" w:hAnsiTheme="minorHAnsi" w:cs="Arial"/>
              <w:noProof/>
              <w:sz w:val="22"/>
            </w:rPr>
            <w:tab/>
          </w:r>
          <w:r w:rsidRPr="00103606">
            <w:rPr>
              <w:rStyle w:val="Hyperlien"/>
              <w:rFonts w:cs="Arial"/>
              <w:color w:val="auto"/>
              <w:u w:val="none"/>
            </w:rPr>
            <w:t>QUESTIONS PRÉLIMINAIRES</w:t>
          </w:r>
          <w:r>
            <w:tab/>
            <w:t>18</w:t>
          </w:r>
        </w:p>
        <w:p w14:paraId="79448635" w14:textId="77777777" w:rsidR="006141B8" w:rsidRDefault="00E21D39">
          <w:pPr>
            <w:pStyle w:val="TM2"/>
            <w:rPr>
              <w:rFonts w:asciiTheme="minorHAnsi" w:hAnsiTheme="minorHAnsi"/>
              <w:noProof/>
              <w:sz w:val="22"/>
            </w:rPr>
          </w:pPr>
          <w:r>
            <w:rPr>
              <w:rStyle w:val="Hyperlien"/>
              <w:rFonts w:cs="Arial"/>
              <w:color w:val="auto"/>
              <w:u w:val="none"/>
            </w:rPr>
            <w:t>A.</w:t>
          </w:r>
          <w:r>
            <w:rPr>
              <w:rFonts w:asciiTheme="minorHAnsi" w:hAnsiTheme="minorHAnsi" w:cs="Arial"/>
              <w:noProof/>
              <w:sz w:val="22"/>
            </w:rPr>
            <w:tab/>
          </w:r>
          <w:r w:rsidRPr="00103606">
            <w:rPr>
              <w:rStyle w:val="Hyperlien"/>
              <w:rFonts w:cs="Arial"/>
              <w:color w:val="auto"/>
              <w:u w:val="none"/>
            </w:rPr>
            <w:t xml:space="preserve">LA </w:t>
          </w:r>
          <w:r w:rsidR="00D144FC" w:rsidRPr="00103606">
            <w:rPr>
              <w:rStyle w:val="Hyperlien"/>
              <w:rFonts w:cs="Arial"/>
              <w:color w:val="auto"/>
              <w:u w:val="none"/>
            </w:rPr>
            <w:t xml:space="preserve">Demande </w:t>
          </w:r>
          <w:r w:rsidR="00C73595" w:rsidRPr="00103606">
            <w:rPr>
              <w:rStyle w:val="Hyperlien"/>
              <w:rFonts w:cs="Arial"/>
              <w:color w:val="auto"/>
              <w:u w:val="none"/>
            </w:rPr>
            <w:t>de</w:t>
          </w:r>
          <w:r w:rsidR="00213636">
            <w:rPr>
              <w:rStyle w:val="Hyperlien"/>
              <w:rFonts w:cs="Arial"/>
              <w:color w:val="auto"/>
              <w:u w:val="none"/>
            </w:rPr>
            <w:t xml:space="preserve"> MILLER </w:t>
          </w:r>
          <w:r w:rsidR="00D144FC" w:rsidRPr="00103606">
            <w:rPr>
              <w:rStyle w:val="Hyperlien"/>
              <w:rFonts w:cs="Arial"/>
              <w:color w:val="auto"/>
              <w:u w:val="none"/>
            </w:rPr>
            <w:t xml:space="preserve">de </w:t>
          </w:r>
          <w:r w:rsidR="00C73595" w:rsidRPr="00103606">
            <w:rPr>
              <w:rStyle w:val="Hyperlien"/>
              <w:rFonts w:cs="Arial"/>
              <w:color w:val="auto"/>
              <w:u w:val="none"/>
            </w:rPr>
            <w:t>produ</w:t>
          </w:r>
          <w:r w:rsidRPr="00103606">
            <w:rPr>
              <w:rStyle w:val="Hyperlien"/>
              <w:rFonts w:cs="Arial"/>
              <w:color w:val="auto"/>
              <w:u w:val="none"/>
            </w:rPr>
            <w:t>CTION</w:t>
          </w:r>
          <w:r w:rsidR="00D144FC" w:rsidRPr="00103606">
            <w:rPr>
              <w:rStyle w:val="Hyperlien"/>
              <w:rFonts w:cs="Arial"/>
              <w:color w:val="auto"/>
              <w:u w:val="none"/>
            </w:rPr>
            <w:t xml:space="preserve"> </w:t>
          </w:r>
          <w:r w:rsidR="00C73595" w:rsidRPr="00103606">
            <w:rPr>
              <w:rStyle w:val="Hyperlien"/>
              <w:rFonts w:cs="Arial"/>
              <w:color w:val="auto"/>
              <w:u w:val="none"/>
            </w:rPr>
            <w:t>comme</w:t>
          </w:r>
          <w:r w:rsidR="00D144FC" w:rsidRPr="00103606">
            <w:rPr>
              <w:rStyle w:val="Hyperlien"/>
              <w:rFonts w:cs="Arial"/>
              <w:color w:val="auto"/>
              <w:u w:val="none"/>
            </w:rPr>
            <w:t xml:space="preserve"> preuve appropriée </w:t>
          </w:r>
          <w:r w:rsidRPr="00103606">
            <w:rPr>
              <w:rStyle w:val="Hyperlien"/>
              <w:rFonts w:cs="Arial"/>
              <w:color w:val="auto"/>
              <w:u w:val="none"/>
            </w:rPr>
            <w:t xml:space="preserve">DE </w:t>
          </w:r>
          <w:r w:rsidR="00C73595" w:rsidRPr="00103606">
            <w:rPr>
              <w:rStyle w:val="Hyperlien"/>
              <w:rFonts w:cs="Arial"/>
              <w:color w:val="auto"/>
              <w:u w:val="none"/>
            </w:rPr>
            <w:t>la Déclaration du 19 septembre 2008</w:t>
          </w:r>
          <w:r w:rsidRPr="00103606">
            <w:rPr>
              <w:rStyle w:val="Hyperlien"/>
              <w:rFonts w:cs="Arial"/>
              <w:color w:val="auto"/>
              <w:u w:val="none"/>
            </w:rPr>
            <w:t xml:space="preserve"> EST REJETÉE</w:t>
          </w:r>
          <w:r>
            <w:tab/>
            <w:t>18</w:t>
          </w:r>
        </w:p>
        <w:p w14:paraId="54DD86B1" w14:textId="77777777" w:rsidR="006141B8" w:rsidRDefault="00E21D39">
          <w:pPr>
            <w:pStyle w:val="TM2"/>
            <w:rPr>
              <w:rFonts w:asciiTheme="minorHAnsi" w:hAnsiTheme="minorHAnsi"/>
              <w:noProof/>
              <w:sz w:val="22"/>
            </w:rPr>
          </w:pPr>
          <w:r>
            <w:rPr>
              <w:rStyle w:val="Hyperlien"/>
              <w:rFonts w:cs="Arial"/>
              <w:color w:val="auto"/>
              <w:u w:val="none"/>
              <w:lang w:eastAsia="fr-CA"/>
            </w:rPr>
            <w:t>B.</w:t>
          </w:r>
          <w:r>
            <w:rPr>
              <w:rFonts w:asciiTheme="minorHAnsi" w:hAnsiTheme="minorHAnsi" w:cs="Arial"/>
              <w:noProof/>
              <w:sz w:val="22"/>
              <w:lang w:eastAsia="fr-CA"/>
            </w:rPr>
            <w:tab/>
          </w:r>
          <w:r w:rsidRPr="00103606">
            <w:rPr>
              <w:rStyle w:val="Hyperlien"/>
              <w:rFonts w:cs="Arial"/>
              <w:color w:val="auto"/>
              <w:u w:val="none"/>
              <w:lang w:eastAsia="fr-CA"/>
            </w:rPr>
            <w:t>LES 4</w:t>
          </w:r>
          <w:r w:rsidR="00D1782E" w:rsidRPr="00103606">
            <w:rPr>
              <w:rStyle w:val="Hyperlien"/>
              <w:rFonts w:cs="Arial"/>
              <w:color w:val="auto"/>
              <w:u w:val="none"/>
              <w:lang w:eastAsia="fr-CA"/>
            </w:rPr>
            <w:t>6</w:t>
          </w:r>
          <w:r w:rsidR="00C73595" w:rsidRPr="00103606">
            <w:rPr>
              <w:rStyle w:val="Hyperlien"/>
              <w:rFonts w:cs="Arial"/>
              <w:color w:val="auto"/>
              <w:u w:val="none"/>
              <w:lang w:eastAsia="fr-CA"/>
            </w:rPr>
            <w:t xml:space="preserve"> déclarations anonymes signées</w:t>
          </w:r>
          <w:r w:rsidR="00E03EB1">
            <w:rPr>
              <w:rStyle w:val="Hyperlien"/>
              <w:rFonts w:cs="Arial"/>
              <w:color w:val="auto"/>
              <w:u w:val="none"/>
              <w:lang w:eastAsia="fr-CA"/>
            </w:rPr>
            <w:t>,</w:t>
          </w:r>
          <w:r w:rsidR="00C73595" w:rsidRPr="00103606">
            <w:rPr>
              <w:rStyle w:val="Hyperlien"/>
              <w:rFonts w:cs="Arial"/>
              <w:color w:val="auto"/>
              <w:u w:val="none"/>
              <w:lang w:eastAsia="fr-CA"/>
            </w:rPr>
            <w:t xml:space="preserve"> </w:t>
          </w:r>
          <w:r w:rsidR="001E16D8" w:rsidRPr="00103606">
            <w:rPr>
              <w:rStyle w:val="Hyperlien"/>
              <w:rFonts w:cs="Arial"/>
              <w:color w:val="auto"/>
              <w:u w:val="none"/>
              <w:lang w:eastAsia="fr-CA"/>
            </w:rPr>
            <w:t xml:space="preserve">mais </w:t>
          </w:r>
          <w:r w:rsidR="00C73595" w:rsidRPr="00103606">
            <w:rPr>
              <w:rStyle w:val="Hyperlien"/>
              <w:rFonts w:cs="Arial"/>
              <w:color w:val="auto"/>
              <w:u w:val="none"/>
            </w:rPr>
            <w:t>NON ASSERMENTÉES DES MEMBRES POTENTIELLES DU GROUPE</w:t>
          </w:r>
          <w:r w:rsidRPr="00103606">
            <w:rPr>
              <w:rStyle w:val="Hyperlien"/>
              <w:rFonts w:cs="Arial"/>
              <w:color w:val="auto"/>
              <w:u w:val="none"/>
            </w:rPr>
            <w:t xml:space="preserve"> SONT INCORPORÉES PAR RÉFÉRENCE </w:t>
          </w:r>
          <w:r w:rsidR="00586AFF" w:rsidRPr="00103606">
            <w:rPr>
              <w:rStyle w:val="Hyperlien"/>
              <w:rFonts w:cs="Arial"/>
              <w:color w:val="auto"/>
              <w:u w:val="none"/>
            </w:rPr>
            <w:t xml:space="preserve">AUX ALLÉGUÉS DE LA </w:t>
          </w:r>
          <w:r w:rsidR="00B80370">
            <w:rPr>
              <w:rStyle w:val="Hyperlien"/>
              <w:rFonts w:cs="Arial"/>
              <w:color w:val="auto"/>
              <w:u w:val="none"/>
            </w:rPr>
            <w:t>SIXIÈME</w:t>
          </w:r>
          <w:r w:rsidR="00B80370" w:rsidRPr="00103606">
            <w:rPr>
              <w:rStyle w:val="Hyperlien"/>
              <w:rFonts w:cs="Arial"/>
              <w:color w:val="auto"/>
              <w:u w:val="none"/>
            </w:rPr>
            <w:t xml:space="preserve"> </w:t>
          </w:r>
          <w:r w:rsidR="00586AFF" w:rsidRPr="00103606">
            <w:rPr>
              <w:rStyle w:val="Hyperlien"/>
              <w:rFonts w:cs="Arial"/>
              <w:color w:val="auto"/>
              <w:u w:val="none"/>
            </w:rPr>
            <w:t>DEMANDE D’AUTORISATION</w:t>
          </w:r>
          <w:r>
            <w:tab/>
            <w:t>21</w:t>
          </w:r>
        </w:p>
        <w:p w14:paraId="51851808" w14:textId="77777777" w:rsidR="006141B8" w:rsidRDefault="00E21D39">
          <w:pPr>
            <w:pStyle w:val="TM1"/>
            <w:rPr>
              <w:rFonts w:asciiTheme="minorHAnsi" w:hAnsiTheme="minorHAnsi"/>
              <w:noProof/>
              <w:sz w:val="22"/>
            </w:rPr>
          </w:pPr>
          <w:r>
            <w:rPr>
              <w:rStyle w:val="Hyperlien"/>
              <w:rFonts w:cs="Arial"/>
              <w:color w:val="auto"/>
              <w:u w:val="none"/>
              <w:lang w:eastAsia="fr-CA"/>
            </w:rPr>
            <w:t>V.</w:t>
          </w:r>
          <w:r>
            <w:rPr>
              <w:rFonts w:asciiTheme="minorHAnsi" w:hAnsiTheme="minorHAnsi" w:cs="Arial"/>
              <w:noProof/>
              <w:sz w:val="22"/>
              <w:lang w:eastAsia="fr-CA"/>
            </w:rPr>
            <w:tab/>
          </w:r>
          <w:r w:rsidRPr="00103606">
            <w:rPr>
              <w:rStyle w:val="Hyperlien"/>
              <w:rFonts w:cs="Arial"/>
              <w:color w:val="auto"/>
              <w:u w:val="none"/>
              <w:lang w:eastAsia="fr-CA"/>
            </w:rPr>
            <w:t>ANALYSE</w:t>
          </w:r>
          <w:r>
            <w:tab/>
            <w:t>25</w:t>
          </w:r>
        </w:p>
        <w:p w14:paraId="79F7BBAD" w14:textId="77777777" w:rsidR="006141B8" w:rsidRDefault="00E21D39">
          <w:pPr>
            <w:pStyle w:val="TM2"/>
            <w:rPr>
              <w:rFonts w:asciiTheme="minorHAnsi" w:hAnsiTheme="minorHAnsi"/>
              <w:noProof/>
              <w:sz w:val="22"/>
            </w:rPr>
          </w:pPr>
          <w:r>
            <w:rPr>
              <w:rStyle w:val="Hyperlien"/>
              <w:rFonts w:cs="Arial"/>
              <w:color w:val="auto"/>
              <w:u w:val="none"/>
            </w:rPr>
            <w:t>A.</w:t>
          </w:r>
          <w:r>
            <w:rPr>
              <w:rFonts w:asciiTheme="minorHAnsi" w:hAnsiTheme="minorHAnsi" w:cs="Arial"/>
              <w:noProof/>
              <w:sz w:val="22"/>
            </w:rPr>
            <w:tab/>
          </w:r>
          <w:r w:rsidRPr="00103606">
            <w:rPr>
              <w:rStyle w:val="Hyperlien"/>
              <w:rFonts w:cs="Arial"/>
              <w:color w:val="auto"/>
              <w:u w:val="none"/>
            </w:rPr>
            <w:t>Le droit</w:t>
          </w:r>
          <w:r w:rsidR="00E97BD5" w:rsidRPr="00103606">
            <w:rPr>
              <w:rStyle w:val="Hyperlien"/>
              <w:rFonts w:cs="Arial"/>
              <w:color w:val="auto"/>
              <w:u w:val="none"/>
            </w:rPr>
            <w:t xml:space="preserve"> à l’autorisation</w:t>
          </w:r>
          <w:r w:rsidRPr="00103606">
            <w:rPr>
              <w:rStyle w:val="Hyperlien"/>
              <w:rFonts w:cs="Arial"/>
              <w:color w:val="auto"/>
              <w:u w:val="none"/>
            </w:rPr>
            <w:t xml:space="preserve"> d’action collective – principes généraux</w:t>
          </w:r>
          <w:r>
            <w:tab/>
            <w:t>25</w:t>
          </w:r>
        </w:p>
        <w:p w14:paraId="2FE7D4B5" w14:textId="77777777" w:rsidR="006141B8" w:rsidRDefault="00E21D39">
          <w:pPr>
            <w:pStyle w:val="TM2"/>
            <w:rPr>
              <w:rFonts w:asciiTheme="minorHAnsi" w:hAnsiTheme="minorHAnsi"/>
              <w:noProof/>
              <w:sz w:val="22"/>
            </w:rPr>
          </w:pPr>
          <w:r>
            <w:rPr>
              <w:rStyle w:val="Hyperlien"/>
              <w:rFonts w:cs="Arial"/>
              <w:color w:val="auto"/>
              <w:u w:val="none"/>
            </w:rPr>
            <w:t>B.</w:t>
          </w:r>
          <w:r>
            <w:rPr>
              <w:rFonts w:asciiTheme="minorHAnsi" w:hAnsiTheme="minorHAnsi" w:cs="Arial"/>
              <w:noProof/>
              <w:sz w:val="22"/>
            </w:rPr>
            <w:tab/>
          </w:r>
          <w:r w:rsidRPr="00103606">
            <w:rPr>
              <w:rStyle w:val="Hyperlien"/>
              <w:rFonts w:cs="Arial"/>
              <w:color w:val="auto"/>
              <w:u w:val="none"/>
            </w:rPr>
            <w:t>Les faits allégués paraissent justifier les conclusions recherchées (575(2) C.p.c.)</w:t>
          </w:r>
          <w:r>
            <w:tab/>
            <w:t>27</w:t>
          </w:r>
        </w:p>
        <w:p w14:paraId="6BD7FD24" w14:textId="77777777" w:rsidR="006141B8" w:rsidRDefault="00E21D39">
          <w:pPr>
            <w:pStyle w:val="TM3"/>
            <w:rPr>
              <w:rFonts w:asciiTheme="minorHAnsi" w:hAnsiTheme="minorHAnsi"/>
              <w:noProof/>
              <w:sz w:val="22"/>
            </w:rPr>
          </w:pPr>
          <w:r>
            <w:rPr>
              <w:rStyle w:val="Hyperlien"/>
              <w:rFonts w:cs="Arial"/>
              <w:color w:val="auto"/>
              <w:u w:val="none"/>
            </w:rPr>
            <w:t>1.</w:t>
          </w:r>
          <w:r>
            <w:rPr>
              <w:rFonts w:asciiTheme="minorHAnsi" w:hAnsiTheme="minorHAnsi" w:cs="Arial"/>
              <w:noProof/>
              <w:sz w:val="22"/>
            </w:rPr>
            <w:tab/>
          </w:r>
          <w:r>
            <w:rPr>
              <w:rStyle w:val="Hyperlien"/>
              <w:rFonts w:cs="Arial"/>
              <w:color w:val="auto"/>
              <w:u w:val="none"/>
            </w:rPr>
            <w:t>Le c</w:t>
          </w:r>
          <w:r w:rsidRPr="00103606">
            <w:rPr>
              <w:rStyle w:val="Hyperlien"/>
              <w:rFonts w:cs="Arial"/>
              <w:color w:val="auto"/>
              <w:u w:val="none"/>
            </w:rPr>
            <w:t xml:space="preserve">adre </w:t>
          </w:r>
          <w:r w:rsidR="001833D3" w:rsidRPr="00103606">
            <w:rPr>
              <w:rStyle w:val="Hyperlien"/>
              <w:rFonts w:cs="Arial"/>
              <w:color w:val="auto"/>
              <w:u w:val="none"/>
            </w:rPr>
            <w:t>juridique</w:t>
          </w:r>
          <w:r w:rsidR="00076CD4" w:rsidRPr="00103606">
            <w:rPr>
              <w:rStyle w:val="Hyperlien"/>
              <w:rFonts w:cs="Arial"/>
              <w:color w:val="auto"/>
              <w:u w:val="none"/>
            </w:rPr>
            <w:t xml:space="preserve"> applicable à l’examen du paragraphe 575(2) C.p.c.</w:t>
          </w:r>
          <w:r>
            <w:tab/>
            <w:t>28</w:t>
          </w:r>
        </w:p>
        <w:p w14:paraId="581742AA" w14:textId="77777777" w:rsidR="006141B8" w:rsidRDefault="00E21D39">
          <w:pPr>
            <w:pStyle w:val="TM3"/>
            <w:rPr>
              <w:rFonts w:asciiTheme="minorHAnsi" w:hAnsiTheme="minorHAnsi"/>
              <w:noProof/>
              <w:sz w:val="22"/>
            </w:rPr>
          </w:pPr>
          <w:r>
            <w:rPr>
              <w:rStyle w:val="Hyperlien"/>
              <w:rFonts w:cs="Arial"/>
              <w:color w:val="auto"/>
              <w:u w:val="none"/>
            </w:rPr>
            <w:t>2.</w:t>
          </w:r>
          <w:r>
            <w:rPr>
              <w:rFonts w:asciiTheme="minorHAnsi" w:hAnsiTheme="minorHAnsi" w:cs="Arial"/>
              <w:noProof/>
              <w:sz w:val="22"/>
            </w:rPr>
            <w:tab/>
          </w:r>
          <w:r w:rsidRPr="00103606">
            <w:rPr>
              <w:rStyle w:val="Hyperlien"/>
              <w:rFonts w:cs="Arial"/>
              <w:color w:val="auto"/>
              <w:u w:val="none"/>
            </w:rPr>
            <w:t>Les causes d’actions des codemanderesses ne sont pas prescrites</w:t>
          </w:r>
          <w:r w:rsidR="00020BEB" w:rsidRPr="00103606">
            <w:rPr>
              <w:rStyle w:val="Hyperlien"/>
              <w:rFonts w:cs="Arial"/>
              <w:color w:val="auto"/>
              <w:u w:val="none"/>
            </w:rPr>
            <w:t xml:space="preserve"> à leur face</w:t>
          </w:r>
          <w:r w:rsidR="00ED7675">
            <w:rPr>
              <w:rStyle w:val="Hyperlien"/>
              <w:rFonts w:cs="Arial"/>
              <w:color w:val="auto"/>
              <w:u w:val="none"/>
            </w:rPr>
            <w:t xml:space="preserve"> </w:t>
          </w:r>
          <w:r w:rsidR="00020BEB" w:rsidRPr="00103606">
            <w:rPr>
              <w:rStyle w:val="Hyperlien"/>
              <w:rFonts w:cs="Arial"/>
              <w:color w:val="auto"/>
              <w:u w:val="none"/>
            </w:rPr>
            <w:t>même</w:t>
          </w:r>
          <w:r>
            <w:tab/>
            <w:t>30</w:t>
          </w:r>
        </w:p>
        <w:p w14:paraId="0F6565E0" w14:textId="77777777" w:rsidR="006141B8" w:rsidRDefault="00E21D39">
          <w:pPr>
            <w:pStyle w:val="TM3"/>
            <w:rPr>
              <w:rFonts w:asciiTheme="minorHAnsi" w:hAnsiTheme="minorHAnsi"/>
              <w:noProof/>
              <w:sz w:val="22"/>
            </w:rPr>
          </w:pPr>
          <w:r>
            <w:rPr>
              <w:rStyle w:val="Hyperlien"/>
              <w:rFonts w:cs="Arial"/>
              <w:color w:val="auto"/>
              <w:u w:val="none"/>
            </w:rPr>
            <w:t>3.</w:t>
          </w:r>
          <w:r>
            <w:rPr>
              <w:rFonts w:asciiTheme="minorHAnsi" w:hAnsiTheme="minorHAnsi" w:cs="Arial"/>
              <w:noProof/>
              <w:sz w:val="22"/>
            </w:rPr>
            <w:tab/>
          </w:r>
          <w:r w:rsidRPr="00103606">
            <w:rPr>
              <w:rStyle w:val="Hyperlien"/>
              <w:rFonts w:cs="Arial"/>
              <w:color w:val="auto"/>
              <w:u w:val="none"/>
            </w:rPr>
            <w:t>La suffisance des allégations quant à la faute, au dommage et au lien de causalité</w:t>
          </w:r>
          <w:r>
            <w:tab/>
            <w:t>35</w:t>
          </w:r>
        </w:p>
        <w:p w14:paraId="40020E5A" w14:textId="77777777" w:rsidR="006141B8" w:rsidRDefault="00E21D39">
          <w:pPr>
            <w:pStyle w:val="TM4"/>
            <w:rPr>
              <w:rFonts w:asciiTheme="minorHAnsi" w:hAnsiTheme="minorHAnsi"/>
              <w:noProof/>
              <w:sz w:val="22"/>
            </w:rPr>
          </w:pPr>
          <w:r>
            <w:rPr>
              <w:rStyle w:val="Hyperlien"/>
              <w:rFonts w:cs="Arial"/>
              <w:color w:val="auto"/>
              <w:u w:val="none"/>
            </w:rPr>
            <w:t>a)</w:t>
          </w:r>
          <w:r>
            <w:rPr>
              <w:rFonts w:asciiTheme="minorHAnsi" w:hAnsiTheme="minorHAnsi" w:cs="Arial"/>
              <w:noProof/>
              <w:sz w:val="22"/>
            </w:rPr>
            <w:tab/>
          </w:r>
          <w:r w:rsidRPr="00103606">
            <w:rPr>
              <w:rStyle w:val="Hyperlien"/>
              <w:rFonts w:cs="Arial"/>
              <w:color w:val="auto"/>
              <w:u w:val="none"/>
            </w:rPr>
            <w:t>Introduction</w:t>
          </w:r>
          <w:r>
            <w:tab/>
            <w:t>35</w:t>
          </w:r>
        </w:p>
        <w:p w14:paraId="29ED7394" w14:textId="77777777" w:rsidR="006141B8" w:rsidRDefault="00E21D39">
          <w:pPr>
            <w:pStyle w:val="TM4"/>
            <w:rPr>
              <w:rFonts w:asciiTheme="minorHAnsi" w:hAnsiTheme="minorHAnsi"/>
              <w:noProof/>
              <w:sz w:val="22"/>
            </w:rPr>
          </w:pPr>
          <w:r>
            <w:rPr>
              <w:rStyle w:val="Hyperlien"/>
              <w:rFonts w:cs="Arial"/>
              <w:color w:val="auto"/>
              <w:u w:val="none"/>
            </w:rPr>
            <w:t>b)</w:t>
          </w:r>
          <w:r>
            <w:rPr>
              <w:rFonts w:asciiTheme="minorHAnsi" w:hAnsiTheme="minorHAnsi" w:cs="Arial"/>
              <w:noProof/>
              <w:sz w:val="22"/>
            </w:rPr>
            <w:tab/>
          </w:r>
          <w:r w:rsidRPr="00103606">
            <w:rPr>
              <w:rStyle w:val="Hyperlien"/>
              <w:rFonts w:cs="Arial"/>
              <w:color w:val="auto"/>
              <w:u w:val="none"/>
            </w:rPr>
            <w:t>L’existence d’une</w:t>
          </w:r>
          <w:r w:rsidR="000A4E33" w:rsidRPr="00103606">
            <w:rPr>
              <w:rStyle w:val="Hyperlien"/>
              <w:rFonts w:cs="Arial"/>
              <w:color w:val="auto"/>
              <w:u w:val="none"/>
            </w:rPr>
            <w:t xml:space="preserve"> </w:t>
          </w:r>
          <w:r w:rsidR="00327CE3" w:rsidRPr="00103606">
            <w:rPr>
              <w:rStyle w:val="Hyperlien"/>
              <w:rFonts w:cs="Arial"/>
              <w:color w:val="auto"/>
              <w:u w:val="none"/>
            </w:rPr>
            <w:t>cause défendable envers</w:t>
          </w:r>
          <w:r w:rsidRPr="00103606">
            <w:rPr>
              <w:rStyle w:val="Hyperlien"/>
              <w:rFonts w:cs="Arial"/>
              <w:color w:val="auto"/>
              <w:u w:val="none"/>
            </w:rPr>
            <w:t xml:space="preserve"> Miller</w:t>
          </w:r>
          <w:r>
            <w:tab/>
            <w:t>40</w:t>
          </w:r>
        </w:p>
        <w:p w14:paraId="1577C94A" w14:textId="77777777" w:rsidR="006141B8" w:rsidRDefault="00E21D39">
          <w:pPr>
            <w:pStyle w:val="TM4"/>
            <w:rPr>
              <w:rFonts w:asciiTheme="minorHAnsi" w:hAnsiTheme="minorHAnsi"/>
              <w:noProof/>
              <w:sz w:val="22"/>
            </w:rPr>
          </w:pPr>
          <w:r>
            <w:rPr>
              <w:rStyle w:val="Hyperlien"/>
              <w:rFonts w:cs="Arial"/>
              <w:color w:val="auto"/>
              <w:u w:val="none"/>
            </w:rPr>
            <w:t>c)</w:t>
          </w:r>
          <w:r>
            <w:rPr>
              <w:rFonts w:asciiTheme="minorHAnsi" w:hAnsiTheme="minorHAnsi" w:cs="Arial"/>
              <w:noProof/>
              <w:sz w:val="22"/>
            </w:rPr>
            <w:tab/>
          </w:r>
          <w:r w:rsidRPr="00103606">
            <w:rPr>
              <w:rStyle w:val="Hyperlien"/>
              <w:rFonts w:cs="Arial"/>
              <w:color w:val="auto"/>
              <w:u w:val="none"/>
            </w:rPr>
            <w:t xml:space="preserve">L’existence d’une </w:t>
          </w:r>
          <w:r w:rsidR="00327CE3" w:rsidRPr="00103606">
            <w:rPr>
              <w:rStyle w:val="Hyperlien"/>
              <w:rFonts w:cs="Arial"/>
              <w:color w:val="auto"/>
              <w:u w:val="none"/>
            </w:rPr>
            <w:t>cause défendable</w:t>
          </w:r>
          <w:r w:rsidR="006436A0" w:rsidRPr="00103606">
            <w:rPr>
              <w:rStyle w:val="Hyperlien"/>
              <w:rFonts w:cs="Arial"/>
              <w:color w:val="auto"/>
              <w:u w:val="none"/>
            </w:rPr>
            <w:t xml:space="preserve"> </w:t>
          </w:r>
          <w:r w:rsidR="00327CE3" w:rsidRPr="00103606">
            <w:rPr>
              <w:rStyle w:val="Hyperlien"/>
              <w:rFonts w:cs="Arial"/>
              <w:color w:val="auto"/>
              <w:u w:val="none"/>
            </w:rPr>
            <w:t>envers</w:t>
          </w:r>
          <w:r w:rsidR="006436A0" w:rsidRPr="00103606">
            <w:rPr>
              <w:rStyle w:val="Hyperlien"/>
              <w:rFonts w:cs="Arial"/>
              <w:color w:val="auto"/>
              <w:u w:val="none"/>
            </w:rPr>
            <w:t xml:space="preserve"> </w:t>
          </w:r>
          <w:r w:rsidRPr="00103606">
            <w:rPr>
              <w:rStyle w:val="Hyperlien"/>
              <w:rFonts w:cs="Arial"/>
              <w:color w:val="auto"/>
              <w:u w:val="none"/>
            </w:rPr>
            <w:t>Abrams</w:t>
          </w:r>
          <w:r>
            <w:tab/>
            <w:t>43</w:t>
          </w:r>
        </w:p>
        <w:p w14:paraId="2F71CB2A" w14:textId="77777777" w:rsidR="006141B8" w:rsidRDefault="00E21D39">
          <w:pPr>
            <w:pStyle w:val="TM4"/>
            <w:rPr>
              <w:rFonts w:asciiTheme="minorHAnsi" w:hAnsiTheme="minorHAnsi"/>
              <w:noProof/>
              <w:sz w:val="22"/>
            </w:rPr>
          </w:pPr>
          <w:r>
            <w:rPr>
              <w:rStyle w:val="Hyperlien"/>
              <w:rFonts w:cs="Arial"/>
              <w:color w:val="auto"/>
              <w:u w:val="none"/>
            </w:rPr>
            <w:t>d)</w:t>
          </w:r>
          <w:r>
            <w:rPr>
              <w:rFonts w:asciiTheme="minorHAnsi" w:hAnsiTheme="minorHAnsi" w:cs="Arial"/>
              <w:noProof/>
              <w:sz w:val="22"/>
            </w:rPr>
            <w:tab/>
          </w:r>
          <w:r w:rsidRPr="00103606">
            <w:rPr>
              <w:rStyle w:val="Hyperlien"/>
              <w:rFonts w:cs="Arial"/>
              <w:color w:val="auto"/>
              <w:u w:val="none"/>
            </w:rPr>
            <w:t xml:space="preserve">L’existence d’une </w:t>
          </w:r>
          <w:r w:rsidR="00327CE3" w:rsidRPr="00103606">
            <w:rPr>
              <w:rStyle w:val="Hyperlien"/>
              <w:rFonts w:cs="Arial"/>
              <w:color w:val="auto"/>
              <w:u w:val="none"/>
            </w:rPr>
            <w:t>cause défendable envers</w:t>
          </w:r>
          <w:r w:rsidRPr="00103606">
            <w:rPr>
              <w:rStyle w:val="Hyperlien"/>
              <w:rFonts w:cs="Arial"/>
              <w:color w:val="auto"/>
              <w:u w:val="none"/>
            </w:rPr>
            <w:t xml:space="preserve"> Poulet</w:t>
          </w:r>
          <w:r>
            <w:tab/>
            <w:t>44</w:t>
          </w:r>
        </w:p>
        <w:p w14:paraId="3B8BD556" w14:textId="77777777" w:rsidR="006141B8" w:rsidRDefault="00E21D39">
          <w:pPr>
            <w:pStyle w:val="TM4"/>
            <w:rPr>
              <w:rFonts w:asciiTheme="minorHAnsi" w:hAnsiTheme="minorHAnsi"/>
              <w:noProof/>
              <w:sz w:val="22"/>
            </w:rPr>
          </w:pPr>
          <w:r>
            <w:rPr>
              <w:rStyle w:val="Hyperlien"/>
              <w:rFonts w:cs="Arial"/>
              <w:color w:val="auto"/>
              <w:u w:val="none"/>
            </w:rPr>
            <w:t>e)</w:t>
          </w:r>
          <w:r>
            <w:rPr>
              <w:rFonts w:asciiTheme="minorHAnsi" w:hAnsiTheme="minorHAnsi" w:cs="Arial"/>
              <w:noProof/>
              <w:sz w:val="22"/>
            </w:rPr>
            <w:tab/>
          </w:r>
          <w:r w:rsidRPr="00103606">
            <w:rPr>
              <w:rStyle w:val="Hyperlien"/>
              <w:rFonts w:cs="Arial"/>
              <w:color w:val="auto"/>
              <w:u w:val="none"/>
            </w:rPr>
            <w:t xml:space="preserve">L’existence d’une </w:t>
          </w:r>
          <w:r w:rsidR="00327CE3" w:rsidRPr="00103606">
            <w:rPr>
              <w:rStyle w:val="Hyperlien"/>
              <w:rFonts w:cs="Arial"/>
              <w:color w:val="auto"/>
              <w:u w:val="none"/>
            </w:rPr>
            <w:t>cause défendable envers</w:t>
          </w:r>
          <w:r w:rsidRPr="00103606">
            <w:rPr>
              <w:rStyle w:val="Hyperlien"/>
              <w:rFonts w:cs="Arial"/>
              <w:color w:val="auto"/>
              <w:u w:val="none"/>
            </w:rPr>
            <w:t xml:space="preserve"> Lippmann</w:t>
          </w:r>
          <w:r>
            <w:tab/>
            <w:t>46</w:t>
          </w:r>
        </w:p>
        <w:p w14:paraId="7E841E3A" w14:textId="77777777" w:rsidR="006141B8" w:rsidRDefault="00E21D39">
          <w:pPr>
            <w:pStyle w:val="TM4"/>
            <w:rPr>
              <w:rFonts w:asciiTheme="minorHAnsi" w:hAnsiTheme="minorHAnsi"/>
              <w:noProof/>
              <w:sz w:val="22"/>
            </w:rPr>
          </w:pPr>
          <w:r>
            <w:rPr>
              <w:rStyle w:val="Hyperlien"/>
              <w:rFonts w:cs="Arial"/>
              <w:color w:val="auto"/>
              <w:u w:val="none"/>
            </w:rPr>
            <w:t>f)</w:t>
          </w:r>
          <w:r>
            <w:rPr>
              <w:rFonts w:asciiTheme="minorHAnsi" w:hAnsiTheme="minorHAnsi" w:cs="Arial"/>
              <w:noProof/>
              <w:sz w:val="22"/>
            </w:rPr>
            <w:tab/>
          </w:r>
          <w:r w:rsidRPr="00103606">
            <w:rPr>
              <w:rStyle w:val="Hyperlien"/>
              <w:rFonts w:cs="Arial"/>
              <w:color w:val="auto"/>
              <w:u w:val="none"/>
            </w:rPr>
            <w:t xml:space="preserve">L’existence d’une </w:t>
          </w:r>
          <w:r w:rsidR="00327CE3" w:rsidRPr="00103606">
            <w:rPr>
              <w:rStyle w:val="Hyperlien"/>
              <w:rFonts w:cs="Arial"/>
              <w:color w:val="auto"/>
              <w:u w:val="none"/>
            </w:rPr>
            <w:t>cause défendable envers</w:t>
          </w:r>
          <w:r w:rsidRPr="00103606">
            <w:rPr>
              <w:rStyle w:val="Hyperlien"/>
              <w:rFonts w:cs="Arial"/>
              <w:color w:val="auto"/>
              <w:u w:val="none"/>
            </w:rPr>
            <w:t xml:space="preserve"> Future</w:t>
          </w:r>
          <w:r>
            <w:tab/>
            <w:t>47</w:t>
          </w:r>
        </w:p>
        <w:p w14:paraId="2D889D0B" w14:textId="77777777" w:rsidR="006141B8" w:rsidRDefault="00E21D39">
          <w:pPr>
            <w:pStyle w:val="TM3"/>
            <w:rPr>
              <w:rFonts w:asciiTheme="minorHAnsi" w:hAnsiTheme="minorHAnsi"/>
              <w:noProof/>
              <w:sz w:val="22"/>
            </w:rPr>
          </w:pPr>
          <w:r>
            <w:rPr>
              <w:rStyle w:val="Hyperlien"/>
              <w:rFonts w:cs="Arial"/>
              <w:color w:val="auto"/>
              <w:u w:val="none"/>
            </w:rPr>
            <w:t>4.</w:t>
          </w:r>
          <w:r>
            <w:rPr>
              <w:rFonts w:asciiTheme="minorHAnsi" w:hAnsiTheme="minorHAnsi" w:cs="Arial"/>
              <w:noProof/>
              <w:sz w:val="22"/>
            </w:rPr>
            <w:tab/>
          </w:r>
          <w:r w:rsidRPr="00103606">
            <w:rPr>
              <w:rStyle w:val="Hyperlien"/>
              <w:rFonts w:cs="Arial"/>
              <w:color w:val="auto"/>
              <w:u w:val="none"/>
            </w:rPr>
            <w:t>L</w:t>
          </w:r>
          <w:r w:rsidR="00A95AC9" w:rsidRPr="00A95AC9">
            <w:rPr>
              <w:rStyle w:val="Hyperlien"/>
              <w:rFonts w:cs="Arial"/>
              <w:color w:val="auto"/>
              <w:u w:val="none"/>
            </w:rPr>
            <w:t>a suffisance des allégations relatives aux</w:t>
          </w:r>
          <w:r w:rsidRPr="00103606">
            <w:rPr>
              <w:rStyle w:val="Hyperlien"/>
              <w:rFonts w:cs="Arial"/>
              <w:color w:val="auto"/>
              <w:u w:val="none"/>
            </w:rPr>
            <w:t xml:space="preserve"> dommages punitifs</w:t>
          </w:r>
          <w:r>
            <w:tab/>
            <w:t>50</w:t>
          </w:r>
        </w:p>
        <w:p w14:paraId="6CFD8024" w14:textId="77777777" w:rsidR="006141B8" w:rsidRDefault="00E21D39">
          <w:pPr>
            <w:pStyle w:val="TM3"/>
            <w:rPr>
              <w:rFonts w:asciiTheme="minorHAnsi" w:hAnsiTheme="minorHAnsi"/>
              <w:noProof/>
              <w:sz w:val="22"/>
            </w:rPr>
          </w:pPr>
          <w:r>
            <w:rPr>
              <w:rStyle w:val="Hyperlien"/>
              <w:rFonts w:cs="Arial"/>
              <w:color w:val="auto"/>
              <w:u w:val="none"/>
            </w:rPr>
            <w:t>5.</w:t>
          </w:r>
          <w:r>
            <w:rPr>
              <w:rFonts w:asciiTheme="minorHAnsi" w:hAnsiTheme="minorHAnsi" w:cs="Arial"/>
              <w:noProof/>
              <w:sz w:val="22"/>
            </w:rPr>
            <w:tab/>
          </w:r>
          <w:r>
            <w:rPr>
              <w:rStyle w:val="Hyperlien"/>
              <w:rFonts w:cs="Arial"/>
              <w:color w:val="auto"/>
              <w:u w:val="none"/>
            </w:rPr>
            <w:t xml:space="preserve">La </w:t>
          </w:r>
          <w:r w:rsidR="00E87347">
            <w:rPr>
              <w:rStyle w:val="Hyperlien"/>
              <w:rFonts w:cs="Arial"/>
              <w:color w:val="auto"/>
              <w:u w:val="none"/>
            </w:rPr>
            <w:t xml:space="preserve">suffisance </w:t>
          </w:r>
          <w:r w:rsidR="00F03888">
            <w:rPr>
              <w:rStyle w:val="Hyperlien"/>
              <w:rFonts w:cs="Arial"/>
              <w:color w:val="auto"/>
              <w:u w:val="none"/>
            </w:rPr>
            <w:t>des allégations</w:t>
          </w:r>
          <w:r w:rsidR="00E87347">
            <w:rPr>
              <w:rStyle w:val="Hyperlien"/>
              <w:rFonts w:cs="Arial"/>
              <w:color w:val="auto"/>
              <w:u w:val="none"/>
            </w:rPr>
            <w:t xml:space="preserve"> de </w:t>
          </w:r>
          <w:r>
            <w:rPr>
              <w:rStyle w:val="Hyperlien"/>
              <w:rFonts w:cs="Arial"/>
              <w:color w:val="auto"/>
              <w:u w:val="none"/>
            </w:rPr>
            <w:t>solidarité des dommages</w:t>
          </w:r>
          <w:r>
            <w:tab/>
            <w:t>52</w:t>
          </w:r>
        </w:p>
        <w:p w14:paraId="5429DA6A" w14:textId="77777777" w:rsidR="006141B8" w:rsidRDefault="00E21D39">
          <w:pPr>
            <w:pStyle w:val="TM5"/>
            <w:tabs>
              <w:tab w:val="left" w:pos="1540"/>
              <w:tab w:val="right" w:leader="dot" w:pos="9352"/>
            </w:tabs>
            <w:rPr>
              <w:rFonts w:asciiTheme="minorHAnsi" w:hAnsiTheme="minorHAnsi"/>
              <w:noProof/>
              <w:sz w:val="22"/>
            </w:rPr>
          </w:pPr>
          <w:r>
            <w:rPr>
              <w:rStyle w:val="Hyperlien"/>
              <w:color w:val="auto"/>
              <w:u w:val="none"/>
            </w:rPr>
            <w:t>6.</w:t>
          </w:r>
          <w:r>
            <w:rPr>
              <w:rFonts w:asciiTheme="minorHAnsi" w:hAnsiTheme="minorHAnsi"/>
              <w:noProof/>
              <w:sz w:val="22"/>
            </w:rPr>
            <w:tab/>
          </w:r>
          <w:r>
            <w:rPr>
              <w:rStyle w:val="Hyperlien"/>
              <w:color w:val="auto"/>
              <w:u w:val="none"/>
            </w:rPr>
            <w:t>Conclusion</w:t>
          </w:r>
          <w:r>
            <w:tab/>
            <w:t>53</w:t>
          </w:r>
        </w:p>
        <w:p w14:paraId="64ACFFBA" w14:textId="77777777" w:rsidR="006141B8" w:rsidRDefault="00E21D39">
          <w:pPr>
            <w:pStyle w:val="TM2"/>
            <w:rPr>
              <w:rFonts w:asciiTheme="minorHAnsi" w:hAnsiTheme="minorHAnsi"/>
              <w:noProof/>
              <w:sz w:val="22"/>
            </w:rPr>
          </w:pPr>
          <w:r>
            <w:rPr>
              <w:rStyle w:val="Hyperlien"/>
              <w:rFonts w:cs="Arial"/>
              <w:color w:val="auto"/>
              <w:u w:val="none"/>
            </w:rPr>
            <w:t>C.</w:t>
          </w:r>
          <w:r>
            <w:rPr>
              <w:rFonts w:asciiTheme="minorHAnsi" w:hAnsiTheme="minorHAnsi" w:cs="Arial"/>
              <w:noProof/>
              <w:sz w:val="22"/>
            </w:rPr>
            <w:tab/>
          </w:r>
          <w:r w:rsidRPr="00103606">
            <w:rPr>
              <w:rStyle w:val="Hyperlien"/>
              <w:rFonts w:cs="Arial"/>
              <w:color w:val="auto"/>
              <w:u w:val="none"/>
            </w:rPr>
            <w:t>Les questions communes en vertu de l’article 575(1) C.p.c.</w:t>
          </w:r>
          <w:r>
            <w:tab/>
            <w:t>54</w:t>
          </w:r>
        </w:p>
        <w:p w14:paraId="5BDB8000" w14:textId="77777777" w:rsidR="006141B8" w:rsidRDefault="00E21D39">
          <w:pPr>
            <w:pStyle w:val="TM4"/>
            <w:rPr>
              <w:rFonts w:asciiTheme="minorHAnsi" w:hAnsiTheme="minorHAnsi"/>
              <w:noProof/>
              <w:sz w:val="22"/>
            </w:rPr>
          </w:pPr>
          <w:r>
            <w:rPr>
              <w:rStyle w:val="Hyperlien"/>
              <w:rFonts w:cs="Arial"/>
              <w:color w:val="auto"/>
              <w:u w:val="none"/>
            </w:rPr>
            <w:t>1.</w:t>
          </w:r>
          <w:r>
            <w:rPr>
              <w:rFonts w:asciiTheme="minorHAnsi" w:hAnsiTheme="minorHAnsi" w:cs="Arial"/>
              <w:noProof/>
              <w:sz w:val="22"/>
            </w:rPr>
            <w:tab/>
          </w:r>
          <w:r w:rsidRPr="00103606">
            <w:rPr>
              <w:rStyle w:val="Hyperlien"/>
              <w:rFonts w:cs="Arial"/>
              <w:color w:val="auto"/>
              <w:u w:val="none"/>
            </w:rPr>
            <w:t>Les principes juridiques</w:t>
          </w:r>
          <w:r>
            <w:tab/>
            <w:t>54</w:t>
          </w:r>
        </w:p>
        <w:p w14:paraId="0ECA5C64" w14:textId="77777777" w:rsidR="006141B8" w:rsidRDefault="00E21D39">
          <w:pPr>
            <w:pStyle w:val="TM4"/>
            <w:rPr>
              <w:rFonts w:asciiTheme="minorHAnsi" w:hAnsiTheme="minorHAnsi"/>
              <w:noProof/>
              <w:sz w:val="22"/>
            </w:rPr>
          </w:pPr>
          <w:r>
            <w:rPr>
              <w:rStyle w:val="Hyperlien"/>
              <w:rFonts w:cs="Arial"/>
              <w:color w:val="auto"/>
              <w:u w:val="none"/>
            </w:rPr>
            <w:t>2.</w:t>
          </w:r>
          <w:r>
            <w:rPr>
              <w:rFonts w:asciiTheme="minorHAnsi" w:hAnsiTheme="minorHAnsi" w:cs="Arial"/>
              <w:noProof/>
              <w:sz w:val="22"/>
            </w:rPr>
            <w:tab/>
          </w:r>
          <w:r>
            <w:rPr>
              <w:rStyle w:val="Hyperlien"/>
              <w:rFonts w:cs="Arial"/>
              <w:color w:val="auto"/>
              <w:u w:val="none"/>
            </w:rPr>
            <w:t>Les questions communes</w:t>
          </w:r>
          <w:r>
            <w:tab/>
            <w:t>56</w:t>
          </w:r>
        </w:p>
        <w:p w14:paraId="04471A62" w14:textId="77777777" w:rsidR="006141B8" w:rsidRDefault="00E21D39">
          <w:pPr>
            <w:pStyle w:val="TM2"/>
            <w:rPr>
              <w:rFonts w:asciiTheme="minorHAnsi" w:hAnsiTheme="minorHAnsi"/>
              <w:noProof/>
              <w:sz w:val="22"/>
            </w:rPr>
          </w:pPr>
          <w:r>
            <w:rPr>
              <w:rStyle w:val="Hyperlien"/>
              <w:rFonts w:cs="Arial"/>
              <w:color w:val="auto"/>
              <w:u w:val="none"/>
            </w:rPr>
            <w:t>D.</w:t>
          </w:r>
          <w:r>
            <w:rPr>
              <w:rFonts w:asciiTheme="minorHAnsi" w:hAnsiTheme="minorHAnsi" w:cs="Arial"/>
              <w:noProof/>
              <w:sz w:val="22"/>
            </w:rPr>
            <w:tab/>
          </w:r>
          <w:r w:rsidRPr="00103606">
            <w:rPr>
              <w:rStyle w:val="Hyperlien"/>
              <w:rFonts w:cs="Arial"/>
              <w:color w:val="auto"/>
              <w:u w:val="none"/>
            </w:rPr>
            <w:t>La composition du groupe rend difficile ou peu pratique l’application des règles sur le mandat d’ester ou sur la jonction d’instances</w:t>
          </w:r>
          <w:r w:rsidR="00B243EE" w:rsidRPr="00103606">
            <w:rPr>
              <w:rStyle w:val="Hyperlien"/>
              <w:rFonts w:cs="Arial"/>
              <w:color w:val="auto"/>
              <w:u w:val="none"/>
            </w:rPr>
            <w:t xml:space="preserve"> en vertu de l’article 5757(3)</w:t>
          </w:r>
          <w:r>
            <w:tab/>
            <w:t>63</w:t>
          </w:r>
        </w:p>
        <w:p w14:paraId="36CBE1F7" w14:textId="77777777" w:rsidR="006141B8" w:rsidRDefault="00E21D39">
          <w:pPr>
            <w:pStyle w:val="TM2"/>
            <w:rPr>
              <w:rFonts w:asciiTheme="minorHAnsi" w:hAnsiTheme="minorHAnsi"/>
              <w:noProof/>
              <w:sz w:val="22"/>
            </w:rPr>
          </w:pPr>
          <w:r>
            <w:rPr>
              <w:rStyle w:val="Hyperlien"/>
              <w:rFonts w:cs="Arial"/>
              <w:color w:val="auto"/>
              <w:kern w:val="28"/>
              <w:u w:val="none"/>
            </w:rPr>
            <w:t>E.</w:t>
          </w:r>
          <w:r>
            <w:rPr>
              <w:rFonts w:asciiTheme="minorHAnsi" w:hAnsiTheme="minorHAnsi" w:cs="Arial"/>
              <w:noProof/>
              <w:kern w:val="28"/>
              <w:sz w:val="22"/>
            </w:rPr>
            <w:tab/>
          </w:r>
          <w:r w:rsidRPr="00103606">
            <w:rPr>
              <w:rStyle w:val="Hyperlien"/>
              <w:rFonts w:cs="Arial"/>
              <w:color w:val="auto"/>
              <w:u w:val="none"/>
            </w:rPr>
            <w:t>La représentation par les trois codemanderesses est adéquate en vertu de l’article 575 (4) C.p.c.</w:t>
          </w:r>
          <w:r>
            <w:tab/>
            <w:t>65</w:t>
          </w:r>
        </w:p>
        <w:p w14:paraId="46A89BB1" w14:textId="77777777" w:rsidR="006141B8" w:rsidRDefault="00E21D39">
          <w:pPr>
            <w:pStyle w:val="TM1"/>
            <w:rPr>
              <w:rFonts w:asciiTheme="minorHAnsi" w:hAnsiTheme="minorHAnsi"/>
              <w:noProof/>
              <w:sz w:val="22"/>
            </w:rPr>
          </w:pPr>
          <w:r>
            <w:rPr>
              <w:rStyle w:val="Hyperlien"/>
              <w:rFonts w:cs="Arial"/>
              <w:color w:val="auto"/>
              <w:u w:val="none"/>
              <w:lang w:eastAsia="fr-CA"/>
            </w:rPr>
            <w:t>VI.</w:t>
          </w:r>
          <w:r>
            <w:rPr>
              <w:rFonts w:asciiTheme="minorHAnsi" w:hAnsiTheme="minorHAnsi" w:cs="Arial"/>
              <w:noProof/>
              <w:sz w:val="22"/>
              <w:lang w:eastAsia="fr-CA"/>
            </w:rPr>
            <w:tab/>
          </w:r>
          <w:r w:rsidRPr="00103606">
            <w:rPr>
              <w:rStyle w:val="Hyperlien"/>
              <w:rFonts w:cs="Arial"/>
              <w:color w:val="auto"/>
              <w:u w:val="none"/>
              <w:lang w:eastAsia="fr-CA"/>
            </w:rPr>
            <w:t>DEMANDES EN ABUS DE PROCÉDURE</w:t>
          </w:r>
          <w:r>
            <w:tab/>
            <w:t>68</w:t>
          </w:r>
        </w:p>
        <w:p w14:paraId="4D69C2C5" w14:textId="77777777" w:rsidR="006141B8" w:rsidRDefault="00E21D39">
          <w:pPr>
            <w:pStyle w:val="TM2"/>
            <w:rPr>
              <w:rFonts w:asciiTheme="minorHAnsi" w:hAnsiTheme="minorHAnsi"/>
              <w:noProof/>
              <w:sz w:val="22"/>
            </w:rPr>
          </w:pPr>
          <w:r>
            <w:rPr>
              <w:rStyle w:val="Hyperlien"/>
              <w:rFonts w:cs="Arial"/>
              <w:color w:val="auto"/>
              <w:u w:val="none"/>
              <w:lang w:eastAsia="fr-CA"/>
            </w:rPr>
            <w:t>A.</w:t>
          </w:r>
          <w:r>
            <w:rPr>
              <w:rFonts w:asciiTheme="minorHAnsi" w:hAnsiTheme="minorHAnsi" w:cs="Arial"/>
              <w:noProof/>
              <w:sz w:val="22"/>
              <w:lang w:eastAsia="fr-CA"/>
            </w:rPr>
            <w:tab/>
          </w:r>
          <w:r w:rsidRPr="00103606">
            <w:rPr>
              <w:rStyle w:val="Hyperlien"/>
              <w:rFonts w:cs="Arial"/>
              <w:color w:val="auto"/>
              <w:u w:val="none"/>
              <w:lang w:eastAsia="fr-CA"/>
            </w:rPr>
            <w:t>Principes applicables</w:t>
          </w:r>
          <w:r>
            <w:tab/>
            <w:t>68</w:t>
          </w:r>
        </w:p>
        <w:p w14:paraId="6D61E7DD" w14:textId="77777777" w:rsidR="006141B8" w:rsidRDefault="00E21D39">
          <w:pPr>
            <w:pStyle w:val="TM2"/>
            <w:rPr>
              <w:rFonts w:asciiTheme="minorHAnsi" w:hAnsiTheme="minorHAnsi"/>
              <w:noProof/>
              <w:sz w:val="22"/>
            </w:rPr>
          </w:pPr>
          <w:r>
            <w:rPr>
              <w:rStyle w:val="Hyperlien"/>
              <w:rFonts w:cs="Arial"/>
              <w:color w:val="auto"/>
              <w:u w:val="none"/>
              <w:lang w:eastAsia="fr-CA"/>
            </w:rPr>
            <w:t>B.</w:t>
          </w:r>
          <w:r>
            <w:rPr>
              <w:rFonts w:asciiTheme="minorHAnsi" w:hAnsiTheme="minorHAnsi" w:cs="Arial"/>
              <w:noProof/>
              <w:sz w:val="22"/>
              <w:lang w:eastAsia="fr-CA"/>
            </w:rPr>
            <w:tab/>
          </w:r>
          <w:r w:rsidRPr="00103606">
            <w:rPr>
              <w:rStyle w:val="Hyperlien"/>
              <w:rFonts w:cs="Arial"/>
              <w:color w:val="auto"/>
              <w:u w:val="none"/>
              <w:lang w:eastAsia="fr-CA"/>
            </w:rPr>
            <w:t>APPLICATION AUX FAITS</w:t>
          </w:r>
          <w:r>
            <w:tab/>
            <w:t>69</w:t>
          </w:r>
        </w:p>
        <w:p w14:paraId="6009037E" w14:textId="77777777" w:rsidR="006141B8" w:rsidRDefault="00E21D39">
          <w:pPr>
            <w:pStyle w:val="TM1"/>
            <w:rPr>
              <w:rFonts w:asciiTheme="minorHAnsi" w:hAnsiTheme="minorHAnsi"/>
              <w:noProof/>
              <w:sz w:val="22"/>
            </w:rPr>
          </w:pPr>
          <w:r w:rsidRPr="00103606">
            <w:rPr>
              <w:rStyle w:val="Hyperlien"/>
              <w:rFonts w:cs="Arial"/>
              <w:color w:val="auto"/>
              <w:u w:val="none"/>
            </w:rPr>
            <w:t>CONCLUSION</w:t>
          </w:r>
          <w:r>
            <w:tab/>
            <w:t>74</w:t>
          </w:r>
        </w:p>
        <w:p w14:paraId="54D7DC81" w14:textId="77777777" w:rsidR="006141B8" w:rsidRPr="007E50B9" w:rsidRDefault="0021195B" w:rsidP="007E50B9">
          <w:pPr>
            <w:spacing w:line="276" w:lineRule="auto"/>
            <w:jc w:val="both"/>
            <w:rPr>
              <w:rFonts w:cs="Arial"/>
              <w:sz w:val="22"/>
              <w:szCs w:val="22"/>
            </w:rPr>
          </w:pPr>
        </w:p>
      </w:sdtContent>
    </w:sdt>
    <w:p w14:paraId="783311A2" w14:textId="77777777" w:rsidR="00772542" w:rsidRPr="00103606" w:rsidRDefault="00E21D39" w:rsidP="007E50B9">
      <w:pPr>
        <w:pStyle w:val="Titre1"/>
        <w:numPr>
          <w:ilvl w:val="0"/>
          <w:numId w:val="6"/>
        </w:numPr>
        <w:spacing w:before="1080"/>
        <w:ind w:left="709" w:hanging="567"/>
        <w:rPr>
          <w:rFonts w:cs="Arial"/>
        </w:rPr>
      </w:pPr>
      <w:bookmarkStart w:id="3" w:name="_Toc256000000"/>
      <w:bookmarkStart w:id="4" w:name="_Toc187475759"/>
      <w:r w:rsidRPr="00103606">
        <w:rPr>
          <w:rFonts w:cs="Arial"/>
        </w:rPr>
        <w:t>APERÇU</w:t>
      </w:r>
      <w:bookmarkEnd w:id="3"/>
      <w:bookmarkEnd w:id="4"/>
      <w:bookmarkEnd w:id="1"/>
      <w:bookmarkEnd w:id="0"/>
    </w:p>
    <w:p w14:paraId="5A386CB6" w14:textId="77777777" w:rsidR="00657FC0" w:rsidRPr="00103606" w:rsidRDefault="00E21D39" w:rsidP="00F4232B">
      <w:pPr>
        <w:numPr>
          <w:ilvl w:val="0"/>
          <w:numId w:val="1"/>
        </w:numPr>
        <w:tabs>
          <w:tab w:val="clear" w:pos="360"/>
        </w:tabs>
        <w:spacing w:before="120" w:after="120" w:line="276" w:lineRule="auto"/>
        <w:jc w:val="both"/>
        <w:rPr>
          <w:rFonts w:cs="Arial"/>
        </w:rPr>
      </w:pPr>
      <w:r w:rsidRPr="00103606">
        <w:rPr>
          <w:rFonts w:cs="Arial"/>
        </w:rPr>
        <w:t xml:space="preserve">La présente demande </w:t>
      </w:r>
      <w:r w:rsidR="00836583" w:rsidRPr="00103606">
        <w:rPr>
          <w:rFonts w:cs="Arial"/>
        </w:rPr>
        <w:t xml:space="preserve">d’autorisation d’agir sur une base collective </w:t>
      </w:r>
      <w:r w:rsidRPr="00103606">
        <w:rPr>
          <w:rFonts w:cs="Arial"/>
        </w:rPr>
        <w:t xml:space="preserve">est présentée par </w:t>
      </w:r>
      <w:r w:rsidR="002B3DF3" w:rsidRPr="00103606">
        <w:rPr>
          <w:rFonts w:cs="Arial"/>
        </w:rPr>
        <w:t>trois codemanderesses</w:t>
      </w:r>
      <w:r w:rsidRPr="00103606">
        <w:rPr>
          <w:rFonts w:cs="Arial"/>
        </w:rPr>
        <w:t xml:space="preserve"> </w:t>
      </w:r>
      <w:r w:rsidR="002B3DF3" w:rsidRPr="00103606">
        <w:rPr>
          <w:rFonts w:cs="Arial"/>
        </w:rPr>
        <w:t xml:space="preserve">qui </w:t>
      </w:r>
      <w:r w:rsidR="00E86E1F" w:rsidRPr="00103606">
        <w:rPr>
          <w:rFonts w:cs="Arial"/>
        </w:rPr>
        <w:t>prétendent</w:t>
      </w:r>
      <w:r w:rsidRPr="00103606">
        <w:rPr>
          <w:rFonts w:cs="Arial"/>
        </w:rPr>
        <w:t xml:space="preserve"> avoir été victimes d’</w:t>
      </w:r>
      <w:r w:rsidR="00E86E1F" w:rsidRPr="00103606">
        <w:rPr>
          <w:rFonts w:cs="Arial"/>
        </w:rPr>
        <w:t>un</w:t>
      </w:r>
      <w:r w:rsidR="00050CDF" w:rsidRPr="00103606">
        <w:rPr>
          <w:rFonts w:cs="Arial"/>
        </w:rPr>
        <w:t xml:space="preserve"> système de prostitution juvénile</w:t>
      </w:r>
      <w:r w:rsidR="00E41A45" w:rsidRPr="00103606">
        <w:rPr>
          <w:rFonts w:cs="Arial"/>
        </w:rPr>
        <w:t xml:space="preserve"> </w:t>
      </w:r>
      <w:r w:rsidR="00050CDF" w:rsidRPr="00103606">
        <w:rPr>
          <w:rFonts w:cs="Arial"/>
        </w:rPr>
        <w:t xml:space="preserve">organisé pour le bénéfice </w:t>
      </w:r>
      <w:r w:rsidR="00E86E1F" w:rsidRPr="00103606">
        <w:rPr>
          <w:rFonts w:cs="Arial"/>
        </w:rPr>
        <w:t xml:space="preserve">sexuel </w:t>
      </w:r>
      <w:r w:rsidR="00050CDF" w:rsidRPr="00103606">
        <w:rPr>
          <w:rFonts w:cs="Arial"/>
        </w:rPr>
        <w:t>de</w:t>
      </w:r>
      <w:r w:rsidRPr="00103606">
        <w:rPr>
          <w:rFonts w:cs="Arial"/>
        </w:rPr>
        <w:t xml:space="preserve"> Robert G. Miller</w:t>
      </w:r>
      <w:r w:rsidR="00EE5606" w:rsidRPr="00103606">
        <w:rPr>
          <w:rFonts w:cs="Arial"/>
        </w:rPr>
        <w:t xml:space="preserve"> </w:t>
      </w:r>
      <w:r w:rsidR="00D15F0F" w:rsidRPr="00103606">
        <w:rPr>
          <w:rFonts w:cs="Arial"/>
        </w:rPr>
        <w:t>(« </w:t>
      </w:r>
      <w:r w:rsidR="00D15F0F" w:rsidRPr="00103606">
        <w:rPr>
          <w:rFonts w:cs="Arial"/>
          <w:b/>
          <w:bCs/>
        </w:rPr>
        <w:t>Miller</w:t>
      </w:r>
      <w:r w:rsidR="00D15F0F" w:rsidRPr="00103606">
        <w:rPr>
          <w:rFonts w:cs="Arial"/>
        </w:rPr>
        <w:t> </w:t>
      </w:r>
      <w:r>
        <w:rPr>
          <w:rStyle w:val="Appelnotedebasdep"/>
          <w:rFonts w:cs="Arial"/>
        </w:rPr>
        <w:footnoteReference w:id="2"/>
      </w:r>
      <w:r w:rsidR="00D15F0F" w:rsidRPr="00103606">
        <w:rPr>
          <w:rFonts w:cs="Arial"/>
        </w:rPr>
        <w:t xml:space="preserve">») </w:t>
      </w:r>
      <w:r w:rsidR="00D065AA" w:rsidRPr="00103606">
        <w:rPr>
          <w:rFonts w:cs="Arial"/>
        </w:rPr>
        <w:t>par</w:t>
      </w:r>
      <w:r w:rsidR="00050CDF" w:rsidRPr="00103606">
        <w:rPr>
          <w:rFonts w:cs="Arial"/>
        </w:rPr>
        <w:t xml:space="preserve"> certains </w:t>
      </w:r>
      <w:r w:rsidR="00971B2E" w:rsidRPr="00103606">
        <w:rPr>
          <w:rFonts w:cs="Arial"/>
        </w:rPr>
        <w:t>employés de la compagnie Future Electronics Inc.</w:t>
      </w:r>
      <w:r w:rsidR="00993574" w:rsidRPr="00103606">
        <w:rPr>
          <w:rFonts w:cs="Arial"/>
        </w:rPr>
        <w:t xml:space="preserve"> (« </w:t>
      </w:r>
      <w:r w:rsidR="00993574" w:rsidRPr="00103606">
        <w:rPr>
          <w:rFonts w:cs="Arial"/>
          <w:b/>
          <w:bCs/>
        </w:rPr>
        <w:t>Future</w:t>
      </w:r>
      <w:r w:rsidR="00993574" w:rsidRPr="00103606">
        <w:rPr>
          <w:rFonts w:cs="Arial"/>
        </w:rPr>
        <w:t> »)</w:t>
      </w:r>
      <w:r w:rsidR="00050CDF" w:rsidRPr="00103606">
        <w:rPr>
          <w:rFonts w:cs="Arial"/>
        </w:rPr>
        <w:t>, que Miller dirigeait alors.</w:t>
      </w:r>
      <w:r w:rsidR="002B3DF3" w:rsidRPr="00103606">
        <w:rPr>
          <w:rFonts w:cs="Arial"/>
        </w:rPr>
        <w:t xml:space="preserve"> </w:t>
      </w:r>
      <w:r w:rsidR="00D065AA" w:rsidRPr="00103606">
        <w:rPr>
          <w:rFonts w:cs="Arial"/>
        </w:rPr>
        <w:t xml:space="preserve">Ces agissements extrêmement graves se seraient déroulés sur plusieurs années, alors </w:t>
      </w:r>
      <w:r w:rsidRPr="00103606">
        <w:rPr>
          <w:rFonts w:cs="Arial"/>
        </w:rPr>
        <w:t>qu’elles</w:t>
      </w:r>
      <w:r w:rsidR="00D065AA" w:rsidRPr="00103606">
        <w:rPr>
          <w:rFonts w:cs="Arial"/>
        </w:rPr>
        <w:t xml:space="preserve"> avaient entre 11 ans et 17 ans. </w:t>
      </w:r>
    </w:p>
    <w:p w14:paraId="41AF5B82" w14:textId="77777777" w:rsidR="00971B2E" w:rsidRPr="00103606" w:rsidRDefault="00E21D39" w:rsidP="00F4232B">
      <w:pPr>
        <w:numPr>
          <w:ilvl w:val="0"/>
          <w:numId w:val="1"/>
        </w:numPr>
        <w:tabs>
          <w:tab w:val="clear" w:pos="360"/>
        </w:tabs>
        <w:spacing w:before="120" w:after="120" w:line="276" w:lineRule="auto"/>
        <w:jc w:val="both"/>
        <w:rPr>
          <w:rFonts w:cs="Arial"/>
        </w:rPr>
      </w:pPr>
      <w:r w:rsidRPr="00103606">
        <w:rPr>
          <w:rFonts w:cs="Arial"/>
        </w:rPr>
        <w:t xml:space="preserve">Précisément, </w:t>
      </w:r>
      <w:r w:rsidR="00050CDF" w:rsidRPr="00103606">
        <w:rPr>
          <w:rFonts w:cs="Arial"/>
        </w:rPr>
        <w:t xml:space="preserve">les </w:t>
      </w:r>
      <w:r w:rsidR="003B0DBA">
        <w:rPr>
          <w:rFonts w:cs="Arial"/>
        </w:rPr>
        <w:t>codemanderesses</w:t>
      </w:r>
      <w:r w:rsidR="003B0DBA" w:rsidRPr="00103606">
        <w:rPr>
          <w:rFonts w:cs="Arial"/>
        </w:rPr>
        <w:t xml:space="preserve"> </w:t>
      </w:r>
      <w:r w:rsidR="00E86E1F" w:rsidRPr="00103606">
        <w:rPr>
          <w:rFonts w:cs="Arial"/>
        </w:rPr>
        <w:t>allèguent</w:t>
      </w:r>
      <w:r w:rsidR="00050CDF" w:rsidRPr="00103606">
        <w:rPr>
          <w:rFonts w:cs="Arial"/>
        </w:rPr>
        <w:t xml:space="preserve"> que les défendeurs </w:t>
      </w:r>
      <w:r w:rsidR="00993574" w:rsidRPr="00103606">
        <w:rPr>
          <w:rFonts w:cs="Arial"/>
        </w:rPr>
        <w:t>Miller, Future, Sam Joseph Abrams (« </w:t>
      </w:r>
      <w:r w:rsidR="00993574" w:rsidRPr="00103606">
        <w:rPr>
          <w:rFonts w:cs="Arial"/>
          <w:b/>
          <w:bCs/>
        </w:rPr>
        <w:t>Abrams</w:t>
      </w:r>
      <w:r w:rsidR="00993574" w:rsidRPr="00103606">
        <w:rPr>
          <w:rFonts w:cs="Arial"/>
        </w:rPr>
        <w:t> »), Raymond Poulet (« </w:t>
      </w:r>
      <w:r w:rsidR="00993574" w:rsidRPr="00103606">
        <w:rPr>
          <w:rFonts w:cs="Arial"/>
          <w:b/>
          <w:bCs/>
        </w:rPr>
        <w:t>Poulet</w:t>
      </w:r>
      <w:r w:rsidR="00993574" w:rsidRPr="00103606">
        <w:rPr>
          <w:rFonts w:cs="Arial"/>
        </w:rPr>
        <w:t> ») et Helmut Lippmann (« </w:t>
      </w:r>
      <w:r w:rsidR="00993574" w:rsidRPr="00103606">
        <w:rPr>
          <w:rFonts w:cs="Arial"/>
          <w:b/>
          <w:bCs/>
        </w:rPr>
        <w:t>Lippmann</w:t>
      </w:r>
      <w:r w:rsidR="00993574" w:rsidRPr="00103606">
        <w:rPr>
          <w:rFonts w:cs="Arial"/>
        </w:rPr>
        <w:t xml:space="preserve"> ») </w:t>
      </w:r>
      <w:r w:rsidR="00050CDF" w:rsidRPr="00103606">
        <w:rPr>
          <w:rFonts w:cs="Arial"/>
        </w:rPr>
        <w:t xml:space="preserve">sont responsables </w:t>
      </w:r>
      <w:r w:rsidR="00E27597" w:rsidRPr="00103606">
        <w:rPr>
          <w:rFonts w:cs="Arial"/>
        </w:rPr>
        <w:t>de manière</w:t>
      </w:r>
      <w:r w:rsidR="00755EF5" w:rsidRPr="00103606">
        <w:rPr>
          <w:rFonts w:cs="Arial"/>
        </w:rPr>
        <w:t xml:space="preserve"> solidaire </w:t>
      </w:r>
      <w:r w:rsidR="00050CDF" w:rsidRPr="00103606">
        <w:rPr>
          <w:rFonts w:cs="Arial"/>
        </w:rPr>
        <w:t>de</w:t>
      </w:r>
      <w:r w:rsidR="00DE5A95">
        <w:rPr>
          <w:rFonts w:cs="Arial"/>
        </w:rPr>
        <w:t>s</w:t>
      </w:r>
      <w:r w:rsidR="00050CDF" w:rsidRPr="00103606">
        <w:rPr>
          <w:rFonts w:cs="Arial"/>
        </w:rPr>
        <w:t xml:space="preserve"> fautes </w:t>
      </w:r>
      <w:r w:rsidR="00D065AA" w:rsidRPr="00103606">
        <w:rPr>
          <w:rFonts w:cs="Arial"/>
        </w:rPr>
        <w:t xml:space="preserve">civiles </w:t>
      </w:r>
      <w:r w:rsidR="00050CDF" w:rsidRPr="00103606">
        <w:rPr>
          <w:rFonts w:cs="Arial"/>
        </w:rPr>
        <w:t xml:space="preserve">découlant </w:t>
      </w:r>
      <w:r w:rsidR="00D065AA" w:rsidRPr="00103606">
        <w:rPr>
          <w:rFonts w:cs="Arial"/>
        </w:rPr>
        <w:t>d’actes criminels</w:t>
      </w:r>
      <w:r w:rsidR="00050CDF" w:rsidRPr="00103606">
        <w:rPr>
          <w:rFonts w:cs="Arial"/>
        </w:rPr>
        <w:t xml:space="preserve"> d’exploitation sexuelle, d’</w:t>
      </w:r>
      <w:r w:rsidRPr="00103606">
        <w:rPr>
          <w:rFonts w:cs="Arial"/>
        </w:rPr>
        <w:t>incitations à des contacts sexuels, et d’actes de prostitution.</w:t>
      </w:r>
      <w:r w:rsidR="00D15F0F" w:rsidRPr="00103606">
        <w:rPr>
          <w:rFonts w:cs="Arial"/>
        </w:rPr>
        <w:t xml:space="preserve"> </w:t>
      </w:r>
      <w:r w:rsidR="00657FC0" w:rsidRPr="00103606">
        <w:rPr>
          <w:rFonts w:cs="Arial"/>
        </w:rPr>
        <w:t xml:space="preserve">Elles </w:t>
      </w:r>
      <w:r w:rsidR="00D15F0F" w:rsidRPr="00103606">
        <w:rPr>
          <w:rFonts w:cs="Arial"/>
        </w:rPr>
        <w:t xml:space="preserve">prétendent que Miller a fait de même avec environ cent (100) mineures, entre les années 1994 et 2006, </w:t>
      </w:r>
      <w:r w:rsidR="00D065AA" w:rsidRPr="00103606">
        <w:rPr>
          <w:rFonts w:cs="Arial"/>
        </w:rPr>
        <w:t xml:space="preserve">toujours </w:t>
      </w:r>
      <w:r w:rsidR="00D15F0F" w:rsidRPr="00103606">
        <w:rPr>
          <w:rFonts w:cs="Arial"/>
        </w:rPr>
        <w:t xml:space="preserve">avec </w:t>
      </w:r>
      <w:r w:rsidR="00755EF5" w:rsidRPr="00103606">
        <w:rPr>
          <w:rFonts w:cs="Arial"/>
        </w:rPr>
        <w:t>l’assistance</w:t>
      </w:r>
      <w:r w:rsidR="00D15F0F" w:rsidRPr="00103606">
        <w:rPr>
          <w:rFonts w:cs="Arial"/>
        </w:rPr>
        <w:t xml:space="preserve"> de plusieurs employés de Future qui auraient </w:t>
      </w:r>
      <w:r w:rsidR="00D065AA" w:rsidRPr="00103606">
        <w:rPr>
          <w:rFonts w:cs="Arial"/>
        </w:rPr>
        <w:t xml:space="preserve">participé </w:t>
      </w:r>
      <w:r w:rsidR="003B0DBA">
        <w:rPr>
          <w:rFonts w:cs="Arial"/>
        </w:rPr>
        <w:t>au</w:t>
      </w:r>
      <w:r w:rsidR="0039676C">
        <w:rPr>
          <w:rFonts w:cs="Arial"/>
        </w:rPr>
        <w:t xml:space="preserve"> </w:t>
      </w:r>
      <w:r w:rsidR="00D15F0F" w:rsidRPr="00103606">
        <w:rPr>
          <w:rFonts w:cs="Arial"/>
        </w:rPr>
        <w:t xml:space="preserve">réseau de recrutement de mineures </w:t>
      </w:r>
      <w:r w:rsidR="00051DE0">
        <w:rPr>
          <w:rFonts w:cs="Arial"/>
        </w:rPr>
        <w:t>au</w:t>
      </w:r>
      <w:r w:rsidR="00D065AA" w:rsidRPr="00103606">
        <w:rPr>
          <w:rFonts w:cs="Arial"/>
        </w:rPr>
        <w:t xml:space="preserve"> bénéfice de </w:t>
      </w:r>
      <w:r w:rsidR="00D15F0F" w:rsidRPr="00103606">
        <w:rPr>
          <w:rFonts w:cs="Arial"/>
        </w:rPr>
        <w:t xml:space="preserve">Miller. </w:t>
      </w:r>
      <w:r w:rsidR="00E27597" w:rsidRPr="00103606">
        <w:rPr>
          <w:rFonts w:cs="Arial"/>
        </w:rPr>
        <w:t>Ces dernières</w:t>
      </w:r>
      <w:r w:rsidR="00657FC0" w:rsidRPr="00103606">
        <w:rPr>
          <w:rFonts w:cs="Arial"/>
        </w:rPr>
        <w:t xml:space="preserve"> </w:t>
      </w:r>
      <w:r w:rsidR="00D15F0F" w:rsidRPr="00103606">
        <w:rPr>
          <w:rFonts w:cs="Arial"/>
        </w:rPr>
        <w:t xml:space="preserve">étaient </w:t>
      </w:r>
      <w:r w:rsidR="00D065AA" w:rsidRPr="00103606">
        <w:rPr>
          <w:rFonts w:cs="Arial"/>
        </w:rPr>
        <w:t xml:space="preserve">initialement </w:t>
      </w:r>
      <w:r w:rsidR="00D15F0F" w:rsidRPr="00103606">
        <w:rPr>
          <w:rFonts w:cs="Arial"/>
        </w:rPr>
        <w:t>« </w:t>
      </w:r>
      <w:r w:rsidR="00767A39" w:rsidRPr="00103606">
        <w:rPr>
          <w:rFonts w:cs="Arial"/>
        </w:rPr>
        <w:t xml:space="preserve">choisies » pour Miller, </w:t>
      </w:r>
      <w:r w:rsidR="00ED26CC">
        <w:rPr>
          <w:rFonts w:cs="Arial"/>
        </w:rPr>
        <w:t>invit</w:t>
      </w:r>
      <w:r w:rsidR="00ED26CC" w:rsidRPr="00103606">
        <w:rPr>
          <w:rFonts w:cs="Arial"/>
        </w:rPr>
        <w:t xml:space="preserve">ées </w:t>
      </w:r>
      <w:r w:rsidR="00D065AA" w:rsidRPr="00103606">
        <w:rPr>
          <w:rFonts w:cs="Arial"/>
        </w:rPr>
        <w:t>à venir</w:t>
      </w:r>
      <w:r w:rsidR="00ED26CC">
        <w:rPr>
          <w:rFonts w:cs="Arial"/>
        </w:rPr>
        <w:t xml:space="preserve"> le</w:t>
      </w:r>
      <w:r w:rsidR="00D065AA" w:rsidRPr="00103606">
        <w:rPr>
          <w:rFonts w:cs="Arial"/>
        </w:rPr>
        <w:t xml:space="preserve"> rencontrer sur promesse de gain, </w:t>
      </w:r>
      <w:r w:rsidR="00D15F0F" w:rsidRPr="00103606">
        <w:rPr>
          <w:rFonts w:cs="Arial"/>
        </w:rPr>
        <w:t xml:space="preserve">des chambres d’hôtel étant louées pour </w:t>
      </w:r>
      <w:r w:rsidR="00755EF5" w:rsidRPr="00103606">
        <w:rPr>
          <w:rFonts w:cs="Arial"/>
        </w:rPr>
        <w:t>les fins d</w:t>
      </w:r>
      <w:r w:rsidR="00D065AA" w:rsidRPr="00103606">
        <w:rPr>
          <w:rFonts w:cs="Arial"/>
        </w:rPr>
        <w:t xml:space="preserve">e les </w:t>
      </w:r>
      <w:r w:rsidR="00755EF5" w:rsidRPr="00103606">
        <w:rPr>
          <w:rFonts w:cs="Arial"/>
        </w:rPr>
        <w:t>accueillir</w:t>
      </w:r>
      <w:r w:rsidR="00A03FC8">
        <w:rPr>
          <w:rFonts w:cs="Arial"/>
        </w:rPr>
        <w:t xml:space="preserve"> et de permettre la relation sexuelle</w:t>
      </w:r>
      <w:r w:rsidR="00D15F0F" w:rsidRPr="00103606">
        <w:rPr>
          <w:rFonts w:cs="Arial"/>
        </w:rPr>
        <w:t xml:space="preserve">, </w:t>
      </w:r>
      <w:r w:rsidR="00767A39" w:rsidRPr="00103606">
        <w:rPr>
          <w:rFonts w:cs="Arial"/>
        </w:rPr>
        <w:t xml:space="preserve">et de généreux cadeaux </w:t>
      </w:r>
      <w:r w:rsidR="00755EF5" w:rsidRPr="00103606">
        <w:rPr>
          <w:rFonts w:cs="Arial"/>
        </w:rPr>
        <w:t xml:space="preserve">leur </w:t>
      </w:r>
      <w:r w:rsidR="00D065AA" w:rsidRPr="00103606">
        <w:rPr>
          <w:rFonts w:cs="Arial"/>
        </w:rPr>
        <w:t>étant</w:t>
      </w:r>
      <w:r w:rsidR="00755EF5" w:rsidRPr="00103606">
        <w:rPr>
          <w:rFonts w:cs="Arial"/>
        </w:rPr>
        <w:t xml:space="preserve"> </w:t>
      </w:r>
      <w:r w:rsidR="009547C0">
        <w:rPr>
          <w:rFonts w:cs="Arial"/>
        </w:rPr>
        <w:t>offert</w:t>
      </w:r>
      <w:r w:rsidR="009547C0" w:rsidRPr="00103606">
        <w:rPr>
          <w:rFonts w:cs="Arial"/>
        </w:rPr>
        <w:t xml:space="preserve">s </w:t>
      </w:r>
      <w:r w:rsidR="00767A39" w:rsidRPr="00103606">
        <w:rPr>
          <w:rFonts w:cs="Arial"/>
        </w:rPr>
        <w:t xml:space="preserve">en </w:t>
      </w:r>
      <w:r w:rsidR="000D096D" w:rsidRPr="00103606">
        <w:rPr>
          <w:rFonts w:cs="Arial"/>
        </w:rPr>
        <w:t>argent, vêtements</w:t>
      </w:r>
      <w:r w:rsidR="00767A39" w:rsidRPr="00103606">
        <w:rPr>
          <w:rFonts w:cs="Arial"/>
        </w:rPr>
        <w:t xml:space="preserve">, bijoux ou voyages, </w:t>
      </w:r>
      <w:r w:rsidR="00755EF5" w:rsidRPr="00103606">
        <w:rPr>
          <w:rFonts w:cs="Arial"/>
        </w:rPr>
        <w:t>parfois avant l</w:t>
      </w:r>
      <w:r w:rsidR="009616C8">
        <w:rPr>
          <w:rFonts w:cs="Arial"/>
        </w:rPr>
        <w:t>a</w:t>
      </w:r>
      <w:r w:rsidR="00755EF5" w:rsidRPr="00103606">
        <w:rPr>
          <w:rFonts w:cs="Arial"/>
        </w:rPr>
        <w:t xml:space="preserve"> </w:t>
      </w:r>
      <w:r w:rsidR="009616C8">
        <w:rPr>
          <w:rFonts w:cs="Arial"/>
        </w:rPr>
        <w:t>relation</w:t>
      </w:r>
      <w:r w:rsidR="009616C8" w:rsidRPr="00103606">
        <w:rPr>
          <w:rFonts w:cs="Arial"/>
        </w:rPr>
        <w:t xml:space="preserve"> </w:t>
      </w:r>
      <w:r w:rsidR="00755EF5" w:rsidRPr="00103606">
        <w:rPr>
          <w:rFonts w:cs="Arial"/>
        </w:rPr>
        <w:t>sexuel</w:t>
      </w:r>
      <w:r w:rsidR="009616C8">
        <w:rPr>
          <w:rFonts w:cs="Arial"/>
        </w:rPr>
        <w:t>le</w:t>
      </w:r>
      <w:r w:rsidR="00755EF5" w:rsidRPr="00103606">
        <w:rPr>
          <w:rFonts w:cs="Arial"/>
        </w:rPr>
        <w:t>, et systématiquement après ce</w:t>
      </w:r>
      <w:r w:rsidR="009616C8">
        <w:rPr>
          <w:rFonts w:cs="Arial"/>
        </w:rPr>
        <w:t>tte</w:t>
      </w:r>
      <w:r w:rsidR="00755EF5" w:rsidRPr="00103606">
        <w:rPr>
          <w:rFonts w:cs="Arial"/>
        </w:rPr>
        <w:t xml:space="preserve"> </w:t>
      </w:r>
      <w:r w:rsidR="009616C8" w:rsidRPr="00103606">
        <w:rPr>
          <w:rFonts w:cs="Arial"/>
        </w:rPr>
        <w:t>dernièr</w:t>
      </w:r>
      <w:r w:rsidR="009616C8">
        <w:rPr>
          <w:rFonts w:cs="Arial"/>
        </w:rPr>
        <w:t>e</w:t>
      </w:r>
      <w:r w:rsidR="00D15F0F" w:rsidRPr="00103606">
        <w:rPr>
          <w:rFonts w:cs="Arial"/>
        </w:rPr>
        <w:t>.</w:t>
      </w:r>
    </w:p>
    <w:p w14:paraId="7F565873" w14:textId="77777777" w:rsidR="00B33033" w:rsidRPr="00103606" w:rsidRDefault="00E21D39" w:rsidP="00B33033">
      <w:pPr>
        <w:numPr>
          <w:ilvl w:val="0"/>
          <w:numId w:val="1"/>
        </w:numPr>
        <w:tabs>
          <w:tab w:val="clear" w:pos="360"/>
        </w:tabs>
        <w:spacing w:before="120" w:after="120" w:line="276" w:lineRule="auto"/>
        <w:jc w:val="both"/>
        <w:rPr>
          <w:rFonts w:cs="Arial"/>
          <w:kern w:val="28"/>
        </w:rPr>
      </w:pPr>
      <w:r w:rsidRPr="00103606">
        <w:rPr>
          <w:rFonts w:cs="Arial"/>
          <w:kern w:val="28"/>
        </w:rPr>
        <w:t xml:space="preserve">La Cour suprême du Canada ces dernières années a sanctionné sévèrement </w:t>
      </w:r>
      <w:r w:rsidR="000D096D">
        <w:rPr>
          <w:rFonts w:cs="Arial"/>
          <w:kern w:val="28"/>
        </w:rPr>
        <w:br/>
      </w:r>
      <w:r w:rsidRPr="00103606">
        <w:rPr>
          <w:rFonts w:cs="Arial"/>
          <w:kern w:val="28"/>
        </w:rPr>
        <w:t>la violence sexuelle envers les femmes et les enfants. Selon cette haute Cour, l’éradication de la violence sexuelle envers les femmes est « l’un des défis les plus urgents auxquels est confrontée notre société »</w:t>
      </w:r>
      <w:r>
        <w:rPr>
          <w:rStyle w:val="Appelnotedebasdep"/>
          <w:rFonts w:cs="Arial"/>
          <w:kern w:val="28"/>
        </w:rPr>
        <w:footnoteReference w:id="3"/>
      </w:r>
      <w:r w:rsidRPr="00103606">
        <w:rPr>
          <w:rFonts w:cs="Arial"/>
          <w:kern w:val="28"/>
        </w:rPr>
        <w:t xml:space="preserve">. Pour ce qui est des enfants, cette Cour affirme que leur protection est « l’une des valeurs les plus fondamentales de la société canadienne. La violence sexuelle contre des enfants est </w:t>
      </w:r>
      <w:r w:rsidR="005E49FC" w:rsidRPr="00103606">
        <w:rPr>
          <w:rFonts w:cs="Arial"/>
          <w:kern w:val="28"/>
        </w:rPr>
        <w:t>particulièrement</w:t>
      </w:r>
      <w:r w:rsidRPr="00103606">
        <w:rPr>
          <w:rFonts w:cs="Arial"/>
          <w:kern w:val="28"/>
        </w:rPr>
        <w:t xml:space="preserve"> </w:t>
      </w:r>
      <w:r w:rsidR="005E49FC" w:rsidRPr="00103606">
        <w:rPr>
          <w:rFonts w:cs="Arial"/>
          <w:kern w:val="28"/>
        </w:rPr>
        <w:t>r</w:t>
      </w:r>
      <w:r w:rsidR="00051DE0">
        <w:rPr>
          <w:rFonts w:cs="Arial"/>
          <w:kern w:val="28"/>
        </w:rPr>
        <w:t>é</w:t>
      </w:r>
      <w:r w:rsidR="005E49FC" w:rsidRPr="00103606">
        <w:rPr>
          <w:rFonts w:cs="Arial"/>
          <w:kern w:val="28"/>
        </w:rPr>
        <w:t>préhensible</w:t>
      </w:r>
      <w:r w:rsidRPr="00103606">
        <w:rPr>
          <w:rFonts w:cs="Arial"/>
          <w:kern w:val="28"/>
        </w:rPr>
        <w:t xml:space="preserve"> parce qu’elle</w:t>
      </w:r>
      <w:r w:rsidR="00087FC3">
        <w:rPr>
          <w:rFonts w:cs="Arial"/>
          <w:kern w:val="28"/>
        </w:rPr>
        <w:t xml:space="preserve"> </w:t>
      </w:r>
      <w:r w:rsidR="00FF1735" w:rsidRPr="00103606">
        <w:rPr>
          <w:rFonts w:cs="Arial"/>
          <w:kern w:val="28"/>
        </w:rPr>
        <w:t>représente</w:t>
      </w:r>
      <w:r w:rsidRPr="00103606">
        <w:rPr>
          <w:rFonts w:cs="Arial"/>
          <w:kern w:val="28"/>
        </w:rPr>
        <w:t xml:space="preserve"> tout le contraire de cette valeur</w:t>
      </w:r>
      <w:r w:rsidR="00813072">
        <w:rPr>
          <w:rFonts w:cs="Arial"/>
          <w:kern w:val="28"/>
        </w:rPr>
        <w:t xml:space="preserve"> par la gravité des allégations</w:t>
      </w:r>
      <w:r w:rsidR="00A03FC8">
        <w:rPr>
          <w:rFonts w:cs="Arial"/>
          <w:kern w:val="28"/>
        </w:rPr>
        <w:t>.</w:t>
      </w:r>
      <w:r>
        <w:rPr>
          <w:rStyle w:val="Appelnotedebasdep"/>
          <w:rFonts w:cs="Arial"/>
          <w:kern w:val="28"/>
        </w:rPr>
        <w:footnoteReference w:id="4"/>
      </w:r>
      <w:r w:rsidRPr="00103606">
        <w:rPr>
          <w:rFonts w:cs="Arial"/>
          <w:kern w:val="28"/>
        </w:rPr>
        <w:t>»</w:t>
      </w:r>
    </w:p>
    <w:p w14:paraId="2E8C25E5" w14:textId="77777777" w:rsidR="007E50B9" w:rsidRPr="00103606" w:rsidRDefault="00E21D39" w:rsidP="007E50B9">
      <w:pPr>
        <w:numPr>
          <w:ilvl w:val="0"/>
          <w:numId w:val="1"/>
        </w:numPr>
        <w:tabs>
          <w:tab w:val="clear" w:pos="360"/>
        </w:tabs>
        <w:spacing w:before="120" w:after="120" w:line="276" w:lineRule="auto"/>
        <w:jc w:val="both"/>
        <w:rPr>
          <w:rFonts w:cs="Arial"/>
          <w:kern w:val="28"/>
        </w:rPr>
      </w:pPr>
      <w:r w:rsidRPr="00103606">
        <w:rPr>
          <w:rFonts w:cs="Arial"/>
          <w:kern w:val="28"/>
        </w:rPr>
        <w:t xml:space="preserve">L’action collective vise à rendre la justice accessible à certaines personnes, des groupes souvent marginalisés, vulnérables. Moyen de procédure original et exceptionnel, </w:t>
      </w:r>
      <w:r w:rsidRPr="00103606">
        <w:rPr>
          <w:rFonts w:cs="Arial"/>
          <w:kern w:val="28"/>
        </w:rPr>
        <w:lastRenderedPageBreak/>
        <w:t>instrument de justice sociale</w:t>
      </w:r>
      <w:r>
        <w:rPr>
          <w:rStyle w:val="Appelnotedebasdep"/>
          <w:rFonts w:cs="Arial"/>
          <w:kern w:val="28"/>
        </w:rPr>
        <w:footnoteReference w:id="5"/>
      </w:r>
      <w:r w:rsidRPr="00103606">
        <w:rPr>
          <w:rFonts w:cs="Arial"/>
          <w:kern w:val="28"/>
        </w:rPr>
        <w:t>, l’action collective reflète le fonctionnement de la société.</w:t>
      </w:r>
      <w:r>
        <w:rPr>
          <w:rStyle w:val="Appelnotedebasdep"/>
          <w:rFonts w:cs="Arial"/>
          <w:kern w:val="28"/>
        </w:rPr>
        <w:footnoteReference w:id="6"/>
      </w:r>
      <w:r w:rsidRPr="00103606">
        <w:rPr>
          <w:rFonts w:cs="Arial"/>
          <w:kern w:val="28"/>
        </w:rPr>
        <w:t xml:space="preserve"> C’est ainsi que depuis son introduction en droit québécois, elle ne cesse de se déployer dans de nouveaux domaines du droit, y inclus pour faire valoir les droits de victimes d’infractions de nature sexuelle. </w:t>
      </w:r>
    </w:p>
    <w:p w14:paraId="51968E3E" w14:textId="77777777" w:rsidR="00753333" w:rsidRPr="00103606" w:rsidRDefault="00E21D39" w:rsidP="00753333">
      <w:pPr>
        <w:numPr>
          <w:ilvl w:val="0"/>
          <w:numId w:val="1"/>
        </w:numPr>
        <w:tabs>
          <w:tab w:val="clear" w:pos="360"/>
        </w:tabs>
        <w:spacing w:before="120" w:after="120" w:line="276" w:lineRule="auto"/>
        <w:jc w:val="both"/>
        <w:rPr>
          <w:rFonts w:cs="Arial"/>
          <w:kern w:val="28"/>
        </w:rPr>
      </w:pPr>
      <w:r w:rsidRPr="00103606">
        <w:rPr>
          <w:rFonts w:cs="Arial"/>
          <w:kern w:val="28"/>
        </w:rPr>
        <w:t xml:space="preserve">Au-delà des émotions vives que </w:t>
      </w:r>
      <w:r w:rsidR="00755EF5" w:rsidRPr="00103606">
        <w:rPr>
          <w:rFonts w:cs="Arial"/>
          <w:kern w:val="28"/>
        </w:rPr>
        <w:t>le présent dossier</w:t>
      </w:r>
      <w:r w:rsidRPr="00103606">
        <w:rPr>
          <w:rFonts w:cs="Arial"/>
          <w:kern w:val="28"/>
        </w:rPr>
        <w:t xml:space="preserve"> suscite,</w:t>
      </w:r>
      <w:r w:rsidR="00755EF5" w:rsidRPr="00103606">
        <w:rPr>
          <w:rFonts w:cs="Arial"/>
          <w:kern w:val="28"/>
        </w:rPr>
        <w:t xml:space="preserve"> de même que de l’attention médiatique qui l’entoure,</w:t>
      </w:r>
      <w:r w:rsidRPr="00103606">
        <w:rPr>
          <w:rFonts w:cs="Arial"/>
          <w:kern w:val="28"/>
        </w:rPr>
        <w:t xml:space="preserve"> il s’agit ici </w:t>
      </w:r>
      <w:r w:rsidR="00755EF5" w:rsidRPr="00103606">
        <w:rPr>
          <w:rFonts w:cs="Arial"/>
          <w:kern w:val="28"/>
        </w:rPr>
        <w:t xml:space="preserve">précisément et uniquement </w:t>
      </w:r>
      <w:r w:rsidRPr="00103606">
        <w:rPr>
          <w:rFonts w:cs="Arial"/>
          <w:kern w:val="28"/>
        </w:rPr>
        <w:t xml:space="preserve">de déterminer si l’action collective est le véhicule procédural approprié dans le cas d’un individu poursuivi avec </w:t>
      </w:r>
      <w:r w:rsidR="00E86E1F" w:rsidRPr="00103606">
        <w:rPr>
          <w:rFonts w:cs="Arial"/>
          <w:kern w:val="28"/>
        </w:rPr>
        <w:t>d</w:t>
      </w:r>
      <w:r w:rsidR="00755EF5" w:rsidRPr="00103606">
        <w:rPr>
          <w:rFonts w:cs="Arial"/>
          <w:kern w:val="28"/>
        </w:rPr>
        <w:t>es acolytes</w:t>
      </w:r>
      <w:r w:rsidRPr="00103606">
        <w:rPr>
          <w:rFonts w:cs="Arial"/>
          <w:kern w:val="28"/>
        </w:rPr>
        <w:t xml:space="preserve"> pour </w:t>
      </w:r>
      <w:r w:rsidR="00D1782E" w:rsidRPr="00103606">
        <w:rPr>
          <w:rFonts w:cs="Arial"/>
          <w:kern w:val="28"/>
        </w:rPr>
        <w:t>violences</w:t>
      </w:r>
      <w:r w:rsidRPr="00103606">
        <w:rPr>
          <w:rFonts w:cs="Arial"/>
          <w:kern w:val="28"/>
        </w:rPr>
        <w:t xml:space="preserve"> sexuelles </w:t>
      </w:r>
      <w:r w:rsidR="00B33033" w:rsidRPr="00103606">
        <w:rPr>
          <w:rFonts w:cs="Arial"/>
          <w:kern w:val="28"/>
        </w:rPr>
        <w:t xml:space="preserve">envers </w:t>
      </w:r>
      <w:r w:rsidR="00755EF5" w:rsidRPr="00103606">
        <w:rPr>
          <w:rFonts w:cs="Arial"/>
          <w:kern w:val="28"/>
        </w:rPr>
        <w:t xml:space="preserve">des mineures </w:t>
      </w:r>
      <w:r w:rsidR="00D1782E" w:rsidRPr="00103606">
        <w:rPr>
          <w:rFonts w:cs="Arial"/>
          <w:kern w:val="28"/>
        </w:rPr>
        <w:t>pendant</w:t>
      </w:r>
      <w:r w:rsidRPr="00103606">
        <w:rPr>
          <w:rFonts w:cs="Arial"/>
          <w:kern w:val="28"/>
        </w:rPr>
        <w:t xml:space="preserve"> une longue période. </w:t>
      </w:r>
    </w:p>
    <w:p w14:paraId="17DBC860" w14:textId="77777777" w:rsidR="00EE5606" w:rsidRPr="00103606" w:rsidRDefault="00E21D39" w:rsidP="00EE5606">
      <w:pPr>
        <w:numPr>
          <w:ilvl w:val="0"/>
          <w:numId w:val="1"/>
        </w:numPr>
        <w:tabs>
          <w:tab w:val="clear" w:pos="360"/>
        </w:tabs>
        <w:spacing w:before="120" w:after="120" w:line="276" w:lineRule="auto"/>
        <w:jc w:val="both"/>
        <w:rPr>
          <w:rFonts w:cs="Arial"/>
          <w:kern w:val="28"/>
        </w:rPr>
      </w:pPr>
      <w:r>
        <w:rPr>
          <w:rFonts w:cs="Arial"/>
          <w:kern w:val="28"/>
        </w:rPr>
        <w:t>Il faudra donc</w:t>
      </w:r>
      <w:r w:rsidR="007E50B9">
        <w:rPr>
          <w:rFonts w:cs="Arial"/>
          <w:kern w:val="28"/>
        </w:rPr>
        <w:t>,</w:t>
      </w:r>
      <w:r w:rsidR="00E86E1F" w:rsidRPr="00103606">
        <w:rPr>
          <w:rFonts w:cs="Arial"/>
          <w:kern w:val="28"/>
        </w:rPr>
        <w:t xml:space="preserve"> </w:t>
      </w:r>
      <w:r w:rsidR="007E50B9">
        <w:rPr>
          <w:rFonts w:cs="Arial"/>
          <w:kern w:val="28"/>
        </w:rPr>
        <w:t xml:space="preserve">en outre, </w:t>
      </w:r>
      <w:r w:rsidR="00E86E1F" w:rsidRPr="00103606">
        <w:rPr>
          <w:rFonts w:cs="Arial"/>
          <w:kern w:val="28"/>
        </w:rPr>
        <w:t>déterminer</w:t>
      </w:r>
      <w:r w:rsidRPr="00103606">
        <w:rPr>
          <w:rFonts w:cs="Arial"/>
          <w:kern w:val="28"/>
        </w:rPr>
        <w:t xml:space="preserve"> si </w:t>
      </w:r>
      <w:r w:rsidR="00E86E1F" w:rsidRPr="00103606">
        <w:rPr>
          <w:rFonts w:cs="Arial"/>
          <w:kern w:val="28"/>
        </w:rPr>
        <w:t>la</w:t>
      </w:r>
      <w:r w:rsidR="00836583" w:rsidRPr="00103606">
        <w:rPr>
          <w:rFonts w:cs="Arial"/>
          <w:kern w:val="28"/>
        </w:rPr>
        <w:t xml:space="preserve"> </w:t>
      </w:r>
      <w:r w:rsidR="005E49FC" w:rsidRPr="00103606">
        <w:rPr>
          <w:rFonts w:cs="Arial"/>
          <w:kern w:val="28"/>
        </w:rPr>
        <w:t xml:space="preserve">présente </w:t>
      </w:r>
      <w:r w:rsidR="00836583" w:rsidRPr="00103606">
        <w:rPr>
          <w:rFonts w:cs="Arial"/>
          <w:kern w:val="28"/>
        </w:rPr>
        <w:t>demande invoquant des</w:t>
      </w:r>
      <w:r w:rsidRPr="00103606">
        <w:rPr>
          <w:rFonts w:cs="Arial"/>
          <w:kern w:val="28"/>
        </w:rPr>
        <w:t xml:space="preserve"> </w:t>
      </w:r>
      <w:r w:rsidR="00E86E1F" w:rsidRPr="00103606">
        <w:rPr>
          <w:rFonts w:cs="Arial"/>
          <w:kern w:val="28"/>
        </w:rPr>
        <w:t>violences sexuelles</w:t>
      </w:r>
      <w:r w:rsidRPr="00103606">
        <w:rPr>
          <w:rFonts w:cs="Arial"/>
          <w:kern w:val="28"/>
        </w:rPr>
        <w:t xml:space="preserve"> soulève </w:t>
      </w:r>
      <w:r w:rsidR="00D1782E" w:rsidRPr="00103606">
        <w:rPr>
          <w:rFonts w:cs="Arial"/>
          <w:kern w:val="28"/>
        </w:rPr>
        <w:t xml:space="preserve">au moins </w:t>
      </w:r>
      <w:r w:rsidRPr="00103606">
        <w:rPr>
          <w:rFonts w:cs="Arial"/>
          <w:kern w:val="28"/>
        </w:rPr>
        <w:t xml:space="preserve">une question identique, similaire ou connexe permettant l’exercice d’une action collective. </w:t>
      </w:r>
      <w:r w:rsidR="00836583" w:rsidRPr="00103606">
        <w:rPr>
          <w:rFonts w:cs="Arial"/>
          <w:kern w:val="28"/>
        </w:rPr>
        <w:t xml:space="preserve">En effet, les codemanderesses </w:t>
      </w:r>
      <w:r w:rsidR="00E86E1F" w:rsidRPr="00103606">
        <w:rPr>
          <w:rFonts w:cs="Arial"/>
          <w:kern w:val="28"/>
        </w:rPr>
        <w:t>cherchent à faire autoriser</w:t>
      </w:r>
      <w:r w:rsidR="00836583" w:rsidRPr="00103606">
        <w:rPr>
          <w:rFonts w:cs="Arial"/>
          <w:kern w:val="28"/>
        </w:rPr>
        <w:t xml:space="preserve"> </w:t>
      </w:r>
      <w:r w:rsidR="00E86E1F" w:rsidRPr="00103606">
        <w:rPr>
          <w:rFonts w:cs="Arial"/>
          <w:kern w:val="28"/>
        </w:rPr>
        <w:t>l’</w:t>
      </w:r>
      <w:r w:rsidR="00836583" w:rsidRPr="00103606">
        <w:rPr>
          <w:rFonts w:cs="Arial"/>
          <w:kern w:val="28"/>
        </w:rPr>
        <w:t>action collective pour le compte du groupe suivant :</w:t>
      </w:r>
    </w:p>
    <w:p w14:paraId="65A2DB45" w14:textId="77777777" w:rsidR="001D4BB3" w:rsidRPr="00103606" w:rsidRDefault="00E21D39" w:rsidP="00573001">
      <w:pPr>
        <w:spacing w:before="120" w:after="40"/>
        <w:ind w:left="731" w:right="857" w:hanging="164"/>
        <w:jc w:val="both"/>
        <w:rPr>
          <w:rFonts w:cs="Arial"/>
          <w:kern w:val="28"/>
          <w:sz w:val="22"/>
          <w:szCs w:val="18"/>
          <w:lang w:val="en-US"/>
        </w:rPr>
      </w:pPr>
      <w:r w:rsidRPr="00103606">
        <w:rPr>
          <w:rFonts w:cs="Arial"/>
          <w:kern w:val="28"/>
          <w:sz w:val="22"/>
          <w:szCs w:val="18"/>
          <w:lang w:val="en-US"/>
        </w:rPr>
        <w:t>“</w:t>
      </w:r>
      <w:r w:rsidR="00087FC3">
        <w:rPr>
          <w:rFonts w:cs="Arial"/>
          <w:kern w:val="28"/>
          <w:sz w:val="22"/>
          <w:szCs w:val="18"/>
          <w:lang w:val="en-US"/>
        </w:rPr>
        <w:tab/>
      </w:r>
      <w:r w:rsidRPr="00103606">
        <w:rPr>
          <w:rFonts w:cs="Arial"/>
          <w:kern w:val="28"/>
          <w:sz w:val="22"/>
          <w:szCs w:val="18"/>
          <w:lang w:val="en-US"/>
        </w:rPr>
        <w:t>All persons who, while under the age of 18 years, performed sexual services in exchange for consideration with and/or were victims of sexual exploitation and/or were victims of sexual interference by Robert G. Miller or any other group to be determined by the Court.”</w:t>
      </w:r>
    </w:p>
    <w:p w14:paraId="33C2E273" w14:textId="77777777" w:rsidR="0009015E" w:rsidRPr="00103606" w:rsidRDefault="00E21D39" w:rsidP="00573001">
      <w:pPr>
        <w:spacing w:before="120" w:after="40"/>
        <w:ind w:left="731" w:right="857" w:hanging="164"/>
        <w:jc w:val="both"/>
        <w:rPr>
          <w:rFonts w:cs="Arial"/>
          <w:kern w:val="28"/>
        </w:rPr>
      </w:pPr>
      <w:r w:rsidRPr="00103606">
        <w:rPr>
          <w:rFonts w:cs="Arial"/>
          <w:kern w:val="28"/>
          <w:sz w:val="22"/>
          <w:szCs w:val="18"/>
        </w:rPr>
        <w:t>« </w:t>
      </w:r>
      <w:r w:rsidR="00753333" w:rsidRPr="00103606">
        <w:rPr>
          <w:rFonts w:cs="Arial"/>
          <w:kern w:val="28"/>
          <w:sz w:val="22"/>
          <w:szCs w:val="18"/>
        </w:rPr>
        <w:t xml:space="preserve">Toutes les personnes qui, alors qu’elles étaient âgées de moins de 18 ans, ont fourni des services sexuels à Robert G. Miller en échange d’une </w:t>
      </w:r>
      <w:r w:rsidR="001E29CE">
        <w:rPr>
          <w:rFonts w:cs="Arial"/>
          <w:kern w:val="28"/>
          <w:sz w:val="22"/>
          <w:szCs w:val="18"/>
        </w:rPr>
        <w:t>rétribution</w:t>
      </w:r>
      <w:r w:rsidR="00753333" w:rsidRPr="00103606">
        <w:rPr>
          <w:rFonts w:cs="Arial"/>
          <w:kern w:val="28"/>
          <w:sz w:val="22"/>
          <w:szCs w:val="18"/>
        </w:rPr>
        <w:t>, et/ou ont été victimes d’exploitation sexuelle</w:t>
      </w:r>
      <w:r w:rsidR="001D4BB3" w:rsidRPr="00103606">
        <w:rPr>
          <w:rFonts w:cs="Arial"/>
          <w:kern w:val="28"/>
          <w:sz w:val="22"/>
          <w:szCs w:val="18"/>
        </w:rPr>
        <w:t>, et/ou ont été victimes de contacts sexuels</w:t>
      </w:r>
      <w:r w:rsidR="00753333" w:rsidRPr="00103606">
        <w:rPr>
          <w:rFonts w:cs="Arial"/>
          <w:kern w:val="28"/>
          <w:sz w:val="22"/>
          <w:szCs w:val="18"/>
        </w:rPr>
        <w:t xml:space="preserve"> de la part de Robert G. Miller ou tout autre groupe à être déterminé par le Tribunal.</w:t>
      </w:r>
      <w:r w:rsidRPr="00103606">
        <w:rPr>
          <w:rFonts w:cs="Arial"/>
          <w:kern w:val="28"/>
          <w:sz w:val="22"/>
          <w:szCs w:val="18"/>
        </w:rPr>
        <w:t> »</w:t>
      </w:r>
      <w:r w:rsidR="00836583" w:rsidRPr="00103606">
        <w:rPr>
          <w:rFonts w:cs="Arial"/>
          <w:kern w:val="28"/>
        </w:rPr>
        <w:t xml:space="preserve"> </w:t>
      </w:r>
    </w:p>
    <w:p w14:paraId="56761D55" w14:textId="77777777" w:rsidR="00753333" w:rsidRPr="00573001" w:rsidRDefault="00E21D39" w:rsidP="0009015E">
      <w:pPr>
        <w:spacing w:before="60" w:after="120" w:line="276" w:lineRule="auto"/>
        <w:ind w:left="731" w:right="857"/>
        <w:jc w:val="right"/>
        <w:rPr>
          <w:rFonts w:cs="Arial"/>
          <w:kern w:val="28"/>
          <w:sz w:val="22"/>
          <w:szCs w:val="18"/>
        </w:rPr>
      </w:pPr>
      <w:r w:rsidRPr="00573001">
        <w:rPr>
          <w:rFonts w:ascii="Symbol" w:hAnsi="Symbol" w:cs="Arial"/>
          <w:kern w:val="28"/>
          <w:sz w:val="22"/>
          <w:szCs w:val="18"/>
        </w:rPr>
        <w:sym w:font="Symbol" w:char="F05B"/>
      </w:r>
      <w:r w:rsidRPr="00573001">
        <w:rPr>
          <w:rFonts w:cs="Arial"/>
          <w:kern w:val="28"/>
          <w:sz w:val="22"/>
          <w:szCs w:val="18"/>
        </w:rPr>
        <w:t>Notre traduction</w:t>
      </w:r>
      <w:r w:rsidRPr="00573001">
        <w:rPr>
          <w:rFonts w:ascii="Symbol" w:hAnsi="Symbol" w:cs="Arial"/>
          <w:kern w:val="28"/>
          <w:sz w:val="22"/>
          <w:szCs w:val="18"/>
        </w:rPr>
        <w:sym w:font="Symbol" w:char="F05D"/>
      </w:r>
    </w:p>
    <w:p w14:paraId="0C5031A1" w14:textId="77777777" w:rsidR="007B32A0" w:rsidRDefault="00E21D39" w:rsidP="006951C3">
      <w:pPr>
        <w:numPr>
          <w:ilvl w:val="0"/>
          <w:numId w:val="1"/>
        </w:numPr>
        <w:tabs>
          <w:tab w:val="clear" w:pos="360"/>
        </w:tabs>
        <w:spacing w:before="120" w:after="120" w:line="276" w:lineRule="auto"/>
        <w:jc w:val="both"/>
        <w:rPr>
          <w:rFonts w:cs="Arial"/>
          <w:kern w:val="28"/>
        </w:rPr>
      </w:pPr>
      <w:r>
        <w:rPr>
          <w:rFonts w:cs="Arial"/>
          <w:kern w:val="28"/>
        </w:rPr>
        <w:t>C’est</w:t>
      </w:r>
      <w:r w:rsidR="00813072" w:rsidRPr="00103606">
        <w:rPr>
          <w:rFonts w:cs="Arial"/>
          <w:kern w:val="28"/>
        </w:rPr>
        <w:t xml:space="preserve"> </w:t>
      </w:r>
      <w:r w:rsidR="006951C3" w:rsidRPr="00103606">
        <w:rPr>
          <w:rFonts w:cs="Arial"/>
          <w:kern w:val="28"/>
        </w:rPr>
        <w:t>la deuxième fois</w:t>
      </w:r>
      <w:r>
        <w:rPr>
          <w:rFonts w:cs="Arial"/>
          <w:kern w:val="28"/>
        </w:rPr>
        <w:t xml:space="preserve"> qu’un</w:t>
      </w:r>
      <w:r w:rsidR="006951C3" w:rsidRPr="00103606">
        <w:rPr>
          <w:rFonts w:cs="Arial"/>
          <w:kern w:val="28"/>
        </w:rPr>
        <w:t xml:space="preserve"> tribunal québécois doit </w:t>
      </w:r>
      <w:r>
        <w:rPr>
          <w:rFonts w:cs="Arial"/>
          <w:kern w:val="28"/>
        </w:rPr>
        <w:t>décider d’</w:t>
      </w:r>
      <w:r w:rsidR="00813072" w:rsidRPr="00103606">
        <w:rPr>
          <w:rFonts w:cs="Arial"/>
          <w:kern w:val="28"/>
        </w:rPr>
        <w:t xml:space="preserve">une </w:t>
      </w:r>
      <w:r w:rsidR="006951C3" w:rsidRPr="00103606">
        <w:rPr>
          <w:rFonts w:cs="Arial"/>
          <w:kern w:val="28"/>
        </w:rPr>
        <w:t xml:space="preserve">demande </w:t>
      </w:r>
      <w:r>
        <w:rPr>
          <w:rFonts w:cs="Arial"/>
          <w:kern w:val="28"/>
        </w:rPr>
        <w:t>comme celle-ci</w:t>
      </w:r>
      <w:r w:rsidR="006951C3" w:rsidRPr="00103606">
        <w:rPr>
          <w:rFonts w:cs="Arial"/>
          <w:kern w:val="28"/>
        </w:rPr>
        <w:t xml:space="preserve">. La première fois, la Cour suprême du Canada a </w:t>
      </w:r>
      <w:r w:rsidR="00B33033" w:rsidRPr="00103606">
        <w:rPr>
          <w:rFonts w:cs="Arial"/>
          <w:kern w:val="28"/>
        </w:rPr>
        <w:t>rejeté la permission d’en appeler de</w:t>
      </w:r>
      <w:r w:rsidR="006951C3" w:rsidRPr="00103606">
        <w:rPr>
          <w:rFonts w:cs="Arial"/>
          <w:kern w:val="28"/>
        </w:rPr>
        <w:t xml:space="preserve"> la Cour d‘appel du Québec de ne pas autoriser l’action collective des Courageuses, au nom de toutes les personnes harcelées et/ou agressées par Gilbert Rozon, magnat déchu de l’humour</w:t>
      </w:r>
      <w:r>
        <w:rPr>
          <w:rStyle w:val="Appelnotedebasdep"/>
          <w:rFonts w:cs="Arial"/>
          <w:kern w:val="28"/>
        </w:rPr>
        <w:footnoteReference w:id="7"/>
      </w:r>
      <w:r w:rsidR="006951C3" w:rsidRPr="00103606">
        <w:rPr>
          <w:rFonts w:cs="Arial"/>
          <w:kern w:val="28"/>
        </w:rPr>
        <w:t xml:space="preserve">. </w:t>
      </w:r>
      <w:r>
        <w:rPr>
          <w:rFonts w:cs="Arial"/>
          <w:kern w:val="28"/>
        </w:rPr>
        <w:t>Comme il en sera fait état</w:t>
      </w:r>
      <w:r w:rsidR="007E50B9">
        <w:rPr>
          <w:rFonts w:cs="Arial"/>
          <w:kern w:val="28"/>
        </w:rPr>
        <w:t xml:space="preserve"> ci-après</w:t>
      </w:r>
      <w:r>
        <w:rPr>
          <w:rFonts w:cs="Arial"/>
          <w:kern w:val="28"/>
        </w:rPr>
        <w:t>, l</w:t>
      </w:r>
      <w:r w:rsidR="006951C3" w:rsidRPr="00103606">
        <w:rPr>
          <w:rFonts w:cs="Arial"/>
          <w:kern w:val="28"/>
        </w:rPr>
        <w:t>e présent dossier se distingue nettement du cas de Rozon, de telle sorte à justifier l’exercice du véhicule procédural d’action collective dans ce dossier de violence sexuelle envers des mineures.</w:t>
      </w:r>
    </w:p>
    <w:p w14:paraId="7B8CA89A" w14:textId="77777777" w:rsidR="00573001" w:rsidRPr="00573001" w:rsidRDefault="00E21D39" w:rsidP="00573001">
      <w:pPr>
        <w:numPr>
          <w:ilvl w:val="0"/>
          <w:numId w:val="1"/>
        </w:numPr>
        <w:tabs>
          <w:tab w:val="clear" w:pos="360"/>
        </w:tabs>
        <w:spacing w:before="120" w:after="120" w:line="276" w:lineRule="auto"/>
        <w:jc w:val="both"/>
        <w:rPr>
          <w:rFonts w:cs="Arial"/>
          <w:kern w:val="28"/>
        </w:rPr>
      </w:pPr>
      <w:r>
        <w:t xml:space="preserve">Ainsi, pour les motifs qui suivent, l’action collective est autorisée contre tous les défendeurs, pour le compte du groupe suivant : </w:t>
      </w:r>
    </w:p>
    <w:p w14:paraId="5E2D2836" w14:textId="77777777" w:rsidR="007B32A0" w:rsidRPr="00573001" w:rsidRDefault="00E21D39" w:rsidP="00573001">
      <w:pPr>
        <w:spacing w:before="120" w:after="120" w:line="276" w:lineRule="auto"/>
        <w:ind w:left="731"/>
        <w:jc w:val="both"/>
        <w:rPr>
          <w:rFonts w:cs="Arial"/>
          <w:kern w:val="28"/>
        </w:rPr>
      </w:pPr>
      <w:r w:rsidRPr="007B32A0">
        <w:lastRenderedPageBreak/>
        <w:t xml:space="preserve">« Toutes les personnes qui, alors qu’elles étaient âgées de moins de 18 ans, ont fourni des services sexuels en échange d’une rétribution, et/ou ont été victimes d’exploitation sexuelle, et/ou ont été victimes d’incitation à des contacts sexuels de la part de Robert G. Miller, </w:t>
      </w:r>
      <w:r w:rsidRPr="00573001">
        <w:rPr>
          <w:rFonts w:cs="Arial"/>
        </w:rPr>
        <w:t xml:space="preserve">Raymond Poulet, Sam Joseph Abrams, Helmut Lippmann et/ou Future Electronics Inc. » </w:t>
      </w:r>
    </w:p>
    <w:p w14:paraId="056C7AA9" w14:textId="77777777" w:rsidR="008263E5" w:rsidRDefault="00E21D39" w:rsidP="00573001">
      <w:pPr>
        <w:numPr>
          <w:ilvl w:val="0"/>
          <w:numId w:val="1"/>
        </w:numPr>
        <w:tabs>
          <w:tab w:val="clear" w:pos="360"/>
        </w:tabs>
        <w:spacing w:before="120" w:after="120" w:line="276" w:lineRule="auto"/>
        <w:jc w:val="both"/>
      </w:pPr>
      <w:r>
        <w:t>Les quatre critères de l’article 575 C.p.c. sont donc remplis et les codemanderesses sont autorisées à agir de manière collective contre Miller, Poulet, Abrams</w:t>
      </w:r>
      <w:r w:rsidR="00A03FC8">
        <w:t xml:space="preserve">, </w:t>
      </w:r>
      <w:r>
        <w:t>Lippmann</w:t>
      </w:r>
      <w:r w:rsidR="00A03FC8">
        <w:t xml:space="preserve"> et Future</w:t>
      </w:r>
      <w:r>
        <w:t>, puisque :</w:t>
      </w:r>
    </w:p>
    <w:p w14:paraId="2DAA4D1C" w14:textId="77777777" w:rsidR="008263E5" w:rsidRDefault="00E21D39" w:rsidP="00573001">
      <w:pPr>
        <w:pStyle w:val="Paragrdouble"/>
        <w:numPr>
          <w:ilvl w:val="0"/>
          <w:numId w:val="44"/>
        </w:numPr>
        <w:spacing w:line="276" w:lineRule="auto"/>
      </w:pPr>
      <w:r>
        <w:t xml:space="preserve">Les allégations des codemanderesses de fautes civiles découlant d’agissements de violence sexuelle </w:t>
      </w:r>
      <w:r w:rsidR="00A03FC8">
        <w:t>commis par</w:t>
      </w:r>
      <w:r>
        <w:t xml:space="preserve"> Miller, Poulet, Abrams</w:t>
      </w:r>
      <w:r w:rsidR="00A03FC8">
        <w:t xml:space="preserve">, </w:t>
      </w:r>
      <w:r>
        <w:t>Lippmann</w:t>
      </w:r>
      <w:r w:rsidR="00A03FC8">
        <w:t xml:space="preserve"> et</w:t>
      </w:r>
      <w:r w:rsidR="005C3D9B">
        <w:t>/ou</w:t>
      </w:r>
      <w:r w:rsidR="00A03FC8">
        <w:t xml:space="preserve"> Future</w:t>
      </w:r>
      <w:r>
        <w:t>,</w:t>
      </w:r>
      <w:r w:rsidR="005C3D9B">
        <w:t xml:space="preserve"> </w:t>
      </w:r>
      <w:r>
        <w:t xml:space="preserve">de </w:t>
      </w:r>
      <w:r w:rsidR="00A03FC8">
        <w:t>dommages compensatoires et punitifs</w:t>
      </w:r>
      <w:r w:rsidR="005C3D9B">
        <w:t xml:space="preserve"> et de lien causal,</w:t>
      </w:r>
      <w:r>
        <w:t xml:space="preserve"> sont énoncées de manière suffisamment claire de telle sorte à justifier les conclusions recherchées et à offrir un syllogisme défendable;</w:t>
      </w:r>
    </w:p>
    <w:p w14:paraId="795CE8FC" w14:textId="77777777" w:rsidR="008263E5" w:rsidRDefault="00E21D39" w:rsidP="00573001">
      <w:pPr>
        <w:pStyle w:val="Paragrdouble"/>
        <w:numPr>
          <w:ilvl w:val="0"/>
          <w:numId w:val="44"/>
        </w:numPr>
        <w:spacing w:line="276" w:lineRule="auto"/>
      </w:pPr>
      <w:r>
        <w:t xml:space="preserve">Le recours des codemanderesses n’est pas disproportionnel et soulève des questions communes qui permettent de faire avancer le recours de manière non négligeable, notamment </w:t>
      </w:r>
      <w:r w:rsidR="005C3D9B">
        <w:t>en ce qui a trait</w:t>
      </w:r>
      <w:r>
        <w:t xml:space="preserve"> aux </w:t>
      </w:r>
      <w:r w:rsidR="005C3D9B">
        <w:t xml:space="preserve">fautes civiles découlant des crimes de </w:t>
      </w:r>
      <w:r>
        <w:t xml:space="preserve">services sexuels de mineures pour rétribution, </w:t>
      </w:r>
      <w:r w:rsidR="005C3D9B">
        <w:t>de</w:t>
      </w:r>
      <w:r>
        <w:t xml:space="preserve"> l’exploitation sexuelle de mineures, </w:t>
      </w:r>
      <w:r w:rsidR="005C3D9B">
        <w:t>de</w:t>
      </w:r>
      <w:r>
        <w:t xml:space="preserve"> l’incitation de mineures à contacts sexuels</w:t>
      </w:r>
      <w:r w:rsidR="005C3D9B">
        <w:t xml:space="preserve"> et</w:t>
      </w:r>
      <w:r>
        <w:t xml:space="preserve"> </w:t>
      </w:r>
      <w:r w:rsidR="005C3D9B">
        <w:t>de</w:t>
      </w:r>
      <w:r>
        <w:t xml:space="preserve"> la complicité, </w:t>
      </w:r>
      <w:r w:rsidR="003B0DBA">
        <w:t>ainsi qu’à</w:t>
      </w:r>
      <w:r>
        <w:t xml:space="preserve"> la responsabilité solidaire, aux violations de droits prévus à la </w:t>
      </w:r>
      <w:r w:rsidRPr="00573001">
        <w:rPr>
          <w:i/>
          <w:iCs/>
        </w:rPr>
        <w:t>Charte québécoise</w:t>
      </w:r>
      <w:r>
        <w:t>, au quantum de dommages compensatoires et punitifs, et à la prescription et/ou suspension du recours;</w:t>
      </w:r>
    </w:p>
    <w:p w14:paraId="7C630620" w14:textId="77777777" w:rsidR="008263E5" w:rsidRDefault="00E21D39" w:rsidP="00573001">
      <w:pPr>
        <w:pStyle w:val="Paragrdouble"/>
        <w:numPr>
          <w:ilvl w:val="0"/>
          <w:numId w:val="44"/>
        </w:numPr>
        <w:spacing w:line="276" w:lineRule="auto"/>
      </w:pPr>
      <w:r>
        <w:t>La composition du groupe rend difficile l’exercice d’un recours autre que l’action collective, lequel est approprié dans les circonstances;</w:t>
      </w:r>
    </w:p>
    <w:p w14:paraId="7DEF001E" w14:textId="77777777" w:rsidR="008263E5" w:rsidRDefault="00E21D39" w:rsidP="00573001">
      <w:pPr>
        <w:pStyle w:val="Paragrdouble"/>
        <w:numPr>
          <w:ilvl w:val="0"/>
          <w:numId w:val="44"/>
        </w:numPr>
        <w:spacing w:line="276" w:lineRule="auto"/>
      </w:pPr>
      <w:r>
        <w:t>Les codemanderesses sont des représentantes adéquates du groupe.</w:t>
      </w:r>
    </w:p>
    <w:p w14:paraId="54E480E6" w14:textId="77777777" w:rsidR="005402D0" w:rsidRPr="008573E6" w:rsidRDefault="00E21D39" w:rsidP="00F4232B">
      <w:pPr>
        <w:pStyle w:val="Titre1"/>
        <w:numPr>
          <w:ilvl w:val="0"/>
          <w:numId w:val="6"/>
        </w:numPr>
        <w:ind w:left="709" w:hanging="567"/>
        <w:rPr>
          <w:rFonts w:cs="Arial"/>
          <w:bCs/>
        </w:rPr>
      </w:pPr>
      <w:bookmarkStart w:id="6" w:name="_Toc256000001"/>
      <w:bookmarkStart w:id="7" w:name="_Toc187475760"/>
      <w:r w:rsidRPr="008573E6">
        <w:rPr>
          <w:rFonts w:cs="Arial"/>
          <w:bCs/>
        </w:rPr>
        <w:t>CONTEXTE LÉGISLATIF</w:t>
      </w:r>
      <w:bookmarkEnd w:id="6"/>
      <w:bookmarkEnd w:id="7"/>
    </w:p>
    <w:p w14:paraId="5D31D716" w14:textId="77777777" w:rsidR="005402D0" w:rsidRPr="00103606" w:rsidRDefault="00E21D39" w:rsidP="00F440DB">
      <w:pPr>
        <w:numPr>
          <w:ilvl w:val="0"/>
          <w:numId w:val="1"/>
        </w:numPr>
        <w:tabs>
          <w:tab w:val="clear" w:pos="360"/>
        </w:tabs>
        <w:spacing w:before="120" w:after="120" w:line="276" w:lineRule="auto"/>
        <w:jc w:val="both"/>
        <w:rPr>
          <w:rFonts w:cs="Arial"/>
          <w:kern w:val="28"/>
          <w:szCs w:val="24"/>
        </w:rPr>
      </w:pPr>
      <w:r w:rsidRPr="00103606">
        <w:rPr>
          <w:rFonts w:cs="Arial"/>
          <w:kern w:val="28"/>
          <w:szCs w:val="24"/>
        </w:rPr>
        <w:t>Par la présente Demande, les codemanderesses invoquent, au nom d</w:t>
      </w:r>
      <w:r w:rsidR="00BF17E4">
        <w:rPr>
          <w:rFonts w:cs="Arial"/>
          <w:kern w:val="28"/>
          <w:szCs w:val="24"/>
        </w:rPr>
        <w:t>’</w:t>
      </w:r>
      <w:r w:rsidRPr="00103606">
        <w:rPr>
          <w:rFonts w:cs="Arial"/>
          <w:kern w:val="28"/>
          <w:szCs w:val="24"/>
        </w:rPr>
        <w:t>u</w:t>
      </w:r>
      <w:r w:rsidR="00BF17E4">
        <w:rPr>
          <w:rFonts w:cs="Arial"/>
          <w:kern w:val="28"/>
          <w:szCs w:val="24"/>
        </w:rPr>
        <w:t>n</w:t>
      </w:r>
      <w:r w:rsidRPr="00103606">
        <w:rPr>
          <w:rFonts w:cs="Arial"/>
          <w:kern w:val="28"/>
          <w:szCs w:val="24"/>
        </w:rPr>
        <w:t xml:space="preserve"> groupe</w:t>
      </w:r>
      <w:r w:rsidR="00BF17E4">
        <w:rPr>
          <w:rFonts w:cs="Arial"/>
          <w:kern w:val="28"/>
          <w:szCs w:val="24"/>
        </w:rPr>
        <w:t xml:space="preserve"> de personnes défini</w:t>
      </w:r>
      <w:r w:rsidRPr="00103606">
        <w:rPr>
          <w:rFonts w:cs="Arial"/>
          <w:kern w:val="28"/>
          <w:szCs w:val="24"/>
        </w:rPr>
        <w:t xml:space="preserve">, une série de </w:t>
      </w:r>
      <w:r w:rsidRPr="008573E6">
        <w:rPr>
          <w:rFonts w:cs="Arial"/>
          <w:color w:val="212121"/>
          <w:szCs w:val="24"/>
        </w:rPr>
        <w:t xml:space="preserve">contraventions à plusieurs dispositions du </w:t>
      </w:r>
      <w:r w:rsidRPr="008573E6">
        <w:rPr>
          <w:rFonts w:cs="Arial"/>
          <w:i/>
          <w:iCs/>
          <w:color w:val="212121"/>
          <w:szCs w:val="24"/>
        </w:rPr>
        <w:t>Code criminel</w:t>
      </w:r>
      <w:r w:rsidR="001C1544">
        <w:rPr>
          <w:rFonts w:cs="Arial"/>
          <w:i/>
          <w:iCs/>
          <w:color w:val="212121"/>
          <w:szCs w:val="24"/>
        </w:rPr>
        <w:t xml:space="preserve"> </w:t>
      </w:r>
      <w:r w:rsidR="00146F6E" w:rsidRPr="00573001">
        <w:rPr>
          <w:rFonts w:cs="Arial"/>
          <w:color w:val="212121"/>
          <w:szCs w:val="24"/>
        </w:rPr>
        <w:t>(</w:t>
      </w:r>
      <w:r w:rsidR="001C1544" w:rsidRPr="00146F6E">
        <w:rPr>
          <w:rFonts w:cs="Arial"/>
          <w:color w:val="212121"/>
          <w:szCs w:val="24"/>
        </w:rPr>
        <w:t>«</w:t>
      </w:r>
      <w:r w:rsidR="001C1544">
        <w:rPr>
          <w:rFonts w:cs="Arial"/>
          <w:color w:val="212121"/>
          <w:szCs w:val="24"/>
        </w:rPr>
        <w:t> C.cr. »</w:t>
      </w:r>
      <w:r w:rsidR="00146F6E">
        <w:rPr>
          <w:rFonts w:cs="Arial"/>
          <w:color w:val="212121"/>
          <w:szCs w:val="24"/>
        </w:rPr>
        <w:t>)</w:t>
      </w:r>
      <w:r w:rsidRPr="008573E6">
        <w:rPr>
          <w:rStyle w:val="apple-converted-space"/>
          <w:rFonts w:cs="Arial"/>
          <w:color w:val="212121"/>
          <w:szCs w:val="24"/>
        </w:rPr>
        <w:t>, lesquelles imposent des normes de conduites qui auraient été violées de telle sorte à constituer une faute en vertu de l’article 1457 C.c.Q.</w:t>
      </w:r>
      <w:r w:rsidR="00146F6E">
        <w:rPr>
          <w:rStyle w:val="apple-converted-space"/>
          <w:rFonts w:cs="Arial"/>
          <w:color w:val="212121"/>
          <w:szCs w:val="24"/>
        </w:rPr>
        <w:t>,</w:t>
      </w:r>
      <w:r w:rsidRPr="008573E6">
        <w:rPr>
          <w:rStyle w:val="apple-converted-space"/>
          <w:rFonts w:cs="Arial"/>
          <w:color w:val="212121"/>
          <w:szCs w:val="24"/>
        </w:rPr>
        <w:t xml:space="preserve"> et de 1463 C.c.Q. quant à Future</w:t>
      </w:r>
      <w:r w:rsidR="00146F6E">
        <w:rPr>
          <w:rStyle w:val="apple-converted-space"/>
          <w:rFonts w:cs="Arial"/>
          <w:color w:val="212121"/>
          <w:szCs w:val="24"/>
        </w:rPr>
        <w:t>.</w:t>
      </w:r>
      <w:r w:rsidRPr="008573E6">
        <w:rPr>
          <w:rStyle w:val="apple-converted-space"/>
          <w:rFonts w:cs="Arial"/>
          <w:color w:val="212121"/>
          <w:szCs w:val="24"/>
        </w:rPr>
        <w:t xml:space="preserve"> </w:t>
      </w:r>
      <w:r w:rsidRPr="00103606">
        <w:rPr>
          <w:rStyle w:val="apple-converted-space"/>
          <w:rFonts w:cs="Arial"/>
          <w:color w:val="212121"/>
          <w:szCs w:val="24"/>
        </w:rPr>
        <w:t xml:space="preserve">Puisque les faits en cause se sont déroulés </w:t>
      </w:r>
      <w:r w:rsidR="00F440DB" w:rsidRPr="00103606">
        <w:rPr>
          <w:rStyle w:val="apple-converted-space"/>
          <w:rFonts w:cs="Arial"/>
          <w:color w:val="212121"/>
          <w:szCs w:val="24"/>
        </w:rPr>
        <w:t xml:space="preserve">entre 1996 et 2006 (environ), et que les articles pertinents du </w:t>
      </w:r>
      <w:r w:rsidR="001C1544" w:rsidRPr="00573001">
        <w:rPr>
          <w:rStyle w:val="apple-converted-space"/>
          <w:rFonts w:cs="Arial"/>
          <w:color w:val="212121"/>
          <w:szCs w:val="24"/>
        </w:rPr>
        <w:t>C.cr.</w:t>
      </w:r>
      <w:r w:rsidR="00573001">
        <w:rPr>
          <w:rStyle w:val="apple-converted-space"/>
          <w:rFonts w:cs="Arial"/>
          <w:color w:val="212121"/>
          <w:szCs w:val="24"/>
        </w:rPr>
        <w:t xml:space="preserve"> </w:t>
      </w:r>
      <w:r w:rsidR="00F440DB" w:rsidRPr="00103606">
        <w:rPr>
          <w:rStyle w:val="apple-converted-space"/>
          <w:rFonts w:cs="Arial"/>
          <w:color w:val="212121"/>
          <w:szCs w:val="24"/>
        </w:rPr>
        <w:t>ont été amendés durant cette période, il est utile de reproduire l’historique législatif suivant :</w:t>
      </w:r>
    </w:p>
    <w:p w14:paraId="5C155788" w14:textId="77777777" w:rsidR="005402D0" w:rsidRPr="00103606" w:rsidRDefault="00E21D39" w:rsidP="008573E6">
      <w:pPr>
        <w:pStyle w:val="Paragrdouble"/>
        <w:spacing w:line="276" w:lineRule="auto"/>
        <w:rPr>
          <w:rFonts w:cs="Arial"/>
        </w:rPr>
      </w:pPr>
      <w:r w:rsidRPr="00103606">
        <w:rPr>
          <w:rFonts w:cs="Arial"/>
        </w:rPr>
        <w:t>Pour ce qui est du crime d’« </w:t>
      </w:r>
      <w:r w:rsidRPr="003513B6">
        <w:rPr>
          <w:rFonts w:cs="Arial"/>
        </w:rPr>
        <w:t>O</w:t>
      </w:r>
      <w:r w:rsidRPr="00103606">
        <w:rPr>
          <w:rFonts w:cs="Arial"/>
        </w:rPr>
        <w:t>btention de services sexuels moyennant rétribution — personne âgée de moins de dix-huit ans », a</w:t>
      </w:r>
      <w:r w:rsidR="00F440DB" w:rsidRPr="00103606">
        <w:rPr>
          <w:rFonts w:cs="Arial"/>
        </w:rPr>
        <w:t>vant d’être remplacé par l’article 286.1(2) en 2014, l’article</w:t>
      </w:r>
      <w:r w:rsidRPr="00103606">
        <w:rPr>
          <w:rFonts w:cs="Arial"/>
        </w:rPr>
        <w:t xml:space="preserve"> 212(4)</w:t>
      </w:r>
      <w:r w:rsidR="00F440DB" w:rsidRPr="00103606">
        <w:rPr>
          <w:rFonts w:cs="Arial"/>
        </w:rPr>
        <w:t xml:space="preserve"> du </w:t>
      </w:r>
      <w:r w:rsidR="001C1544" w:rsidRPr="00573001">
        <w:rPr>
          <w:rFonts w:cs="Arial"/>
        </w:rPr>
        <w:t>C.cr.</w:t>
      </w:r>
      <w:r w:rsidR="001C1544">
        <w:rPr>
          <w:rFonts w:cs="Arial"/>
          <w:i/>
          <w:iCs/>
        </w:rPr>
        <w:t xml:space="preserve"> </w:t>
      </w:r>
      <w:r w:rsidR="00F440DB" w:rsidRPr="00103606">
        <w:rPr>
          <w:rFonts w:cs="Arial"/>
        </w:rPr>
        <w:t>se lisait comme suit :</w:t>
      </w:r>
    </w:p>
    <w:tbl>
      <w:tblPr>
        <w:tblStyle w:val="Grilledutableau"/>
        <w:tblW w:w="0" w:type="auto"/>
        <w:tblLook w:val="04A0" w:firstRow="1" w:lastRow="0" w:firstColumn="1" w:lastColumn="0" w:noHBand="0" w:noVBand="1"/>
      </w:tblPr>
      <w:tblGrid>
        <w:gridCol w:w="1696"/>
        <w:gridCol w:w="6940"/>
      </w:tblGrid>
      <w:tr w:rsidR="006141B8" w14:paraId="101FD534" w14:textId="77777777" w:rsidTr="0098356A">
        <w:tc>
          <w:tcPr>
            <w:tcW w:w="1696" w:type="dxa"/>
          </w:tcPr>
          <w:p w14:paraId="39CBF5DE" w14:textId="77777777" w:rsidR="005402D0" w:rsidRPr="008573E6" w:rsidRDefault="00E21D39" w:rsidP="00573001">
            <w:pPr>
              <w:spacing w:before="60" w:after="60"/>
              <w:rPr>
                <w:rFonts w:cs="Arial"/>
                <w:sz w:val="22"/>
                <w:szCs w:val="22"/>
              </w:rPr>
            </w:pPr>
            <w:r w:rsidRPr="008573E6">
              <w:rPr>
                <w:rFonts w:cs="Arial"/>
                <w:sz w:val="22"/>
                <w:szCs w:val="22"/>
              </w:rPr>
              <w:lastRenderedPageBreak/>
              <w:t>De 1996</w:t>
            </w:r>
            <w:bookmarkStart w:id="8" w:name="_Ref185512626"/>
            <w:r>
              <w:rPr>
                <w:rStyle w:val="Appelnotedebasdep"/>
                <w:rFonts w:cs="Arial"/>
                <w:sz w:val="22"/>
                <w:szCs w:val="22"/>
              </w:rPr>
              <w:footnoteReference w:id="8"/>
            </w:r>
            <w:bookmarkEnd w:id="8"/>
            <w:r w:rsidRPr="008573E6">
              <w:rPr>
                <w:rFonts w:cs="Arial"/>
                <w:sz w:val="22"/>
                <w:szCs w:val="22"/>
              </w:rPr>
              <w:t xml:space="preserve"> au 1997-05-25</w:t>
            </w:r>
          </w:p>
        </w:tc>
        <w:tc>
          <w:tcPr>
            <w:tcW w:w="6940" w:type="dxa"/>
          </w:tcPr>
          <w:p w14:paraId="60A409FB" w14:textId="77777777" w:rsidR="005402D0" w:rsidRPr="008573E6" w:rsidRDefault="00E21D39" w:rsidP="00573001">
            <w:pPr>
              <w:spacing w:before="60" w:after="60"/>
              <w:jc w:val="both"/>
              <w:rPr>
                <w:rFonts w:cs="Arial"/>
                <w:sz w:val="22"/>
                <w:szCs w:val="22"/>
              </w:rPr>
            </w:pPr>
            <w:r w:rsidRPr="008573E6">
              <w:rPr>
                <w:rFonts w:cs="Arial"/>
                <w:b/>
                <w:bCs/>
                <w:sz w:val="22"/>
                <w:szCs w:val="22"/>
              </w:rPr>
              <w:t>(4)</w:t>
            </w:r>
            <w:r w:rsidRPr="008573E6">
              <w:rPr>
                <w:rFonts w:cs="Arial"/>
                <w:sz w:val="22"/>
                <w:szCs w:val="22"/>
              </w:rPr>
              <w:t xml:space="preserve"> Est coupable d’un acte criminel et passible d’un emprisonnement maximal de cinq ans quiconque, en quelque endroit que ce soit, obtient ou tente d’obtenir, moyennant rétribution, les services sexuels d’une personne âgée de moins de dix-huit ans.</w:t>
            </w:r>
          </w:p>
        </w:tc>
      </w:tr>
      <w:tr w:rsidR="006141B8" w14:paraId="06CBDBDA" w14:textId="77777777" w:rsidTr="0098356A">
        <w:tc>
          <w:tcPr>
            <w:tcW w:w="1696" w:type="dxa"/>
          </w:tcPr>
          <w:p w14:paraId="3042D866" w14:textId="77777777" w:rsidR="005402D0" w:rsidRPr="008573E6" w:rsidRDefault="00E21D39" w:rsidP="00573001">
            <w:pPr>
              <w:pStyle w:val="historicalnotesubitem"/>
              <w:shd w:val="clear" w:color="auto" w:fill="FFFFFF"/>
              <w:spacing w:before="60" w:beforeAutospacing="0" w:after="60" w:afterAutospacing="0"/>
              <w:rPr>
                <w:rFonts w:ascii="Arial" w:hAnsi="Arial" w:cs="Arial"/>
                <w:sz w:val="22"/>
                <w:szCs w:val="22"/>
              </w:rPr>
            </w:pPr>
            <w:r w:rsidRPr="008573E6">
              <w:rPr>
                <w:rFonts w:ascii="Arial" w:hAnsi="Arial" w:cs="Arial"/>
                <w:sz w:val="22"/>
                <w:szCs w:val="22"/>
              </w:rPr>
              <w:t>1997-05-26</w:t>
            </w:r>
            <w:r>
              <w:rPr>
                <w:rStyle w:val="Appelnotedebasdep"/>
                <w:rFonts w:ascii="Arial" w:hAnsi="Arial" w:cs="Arial"/>
                <w:sz w:val="22"/>
                <w:szCs w:val="22"/>
              </w:rPr>
              <w:footnoteReference w:id="9"/>
            </w:r>
            <w:r w:rsidRPr="008573E6">
              <w:rPr>
                <w:rFonts w:ascii="Arial" w:hAnsi="Arial" w:cs="Arial"/>
                <w:sz w:val="22"/>
                <w:szCs w:val="22"/>
              </w:rPr>
              <w:t xml:space="preserve"> au 1999-04-30</w:t>
            </w:r>
          </w:p>
        </w:tc>
        <w:tc>
          <w:tcPr>
            <w:tcW w:w="6940" w:type="dxa"/>
          </w:tcPr>
          <w:p w14:paraId="0F7496DA" w14:textId="77777777" w:rsidR="005402D0" w:rsidRPr="007E50B9" w:rsidRDefault="00E21D39" w:rsidP="00573001">
            <w:pPr>
              <w:spacing w:before="60" w:after="60"/>
              <w:jc w:val="both"/>
              <w:rPr>
                <w:rFonts w:cs="Arial"/>
                <w:color w:val="000000" w:themeColor="text1"/>
                <w:sz w:val="22"/>
                <w:szCs w:val="22"/>
              </w:rPr>
            </w:pPr>
            <w:r w:rsidRPr="007E50B9">
              <w:rPr>
                <w:rFonts w:cs="Arial"/>
                <w:b/>
                <w:bCs/>
                <w:color w:val="000000" w:themeColor="text1"/>
                <w:sz w:val="22"/>
                <w:szCs w:val="22"/>
              </w:rPr>
              <w:t>(4)</w:t>
            </w:r>
            <w:r w:rsidRPr="007E50B9">
              <w:rPr>
                <w:rFonts w:cs="Arial"/>
                <w:color w:val="000000" w:themeColor="text1"/>
                <w:sz w:val="22"/>
                <w:szCs w:val="22"/>
              </w:rPr>
              <w:t xml:space="preserve"> Est coupable d’un acte criminel et passible d’un emprisonnement maximal de cinq ans quiconque, en quelque endroit que ce soit, obtient ou tente d’obtenir, moyennant rétribution, les services sexuels d’une personne </w:t>
            </w:r>
            <w:r w:rsidRPr="007E50B9">
              <w:rPr>
                <w:rFonts w:cs="Arial"/>
                <w:color w:val="000000" w:themeColor="text1"/>
                <w:sz w:val="22"/>
                <w:szCs w:val="22"/>
                <w:u w:val="single"/>
              </w:rPr>
              <w:t>qui est</w:t>
            </w:r>
            <w:r w:rsidRPr="007E50B9">
              <w:rPr>
                <w:rFonts w:cs="Arial"/>
                <w:color w:val="000000" w:themeColor="text1"/>
                <w:sz w:val="22"/>
                <w:szCs w:val="22"/>
              </w:rPr>
              <w:t xml:space="preserve"> âgée de moins de dix-huit ans </w:t>
            </w:r>
            <w:r w:rsidRPr="007E50B9">
              <w:rPr>
                <w:rFonts w:cs="Arial"/>
                <w:color w:val="000000" w:themeColor="text1"/>
                <w:sz w:val="22"/>
                <w:szCs w:val="22"/>
                <w:u w:val="single"/>
              </w:rPr>
              <w:t>ou qu’il croit</w:t>
            </w:r>
            <w:r w:rsidRPr="007E50B9">
              <w:rPr>
                <w:rFonts w:cs="Arial"/>
                <w:color w:val="000000" w:themeColor="text1"/>
                <w:sz w:val="22"/>
                <w:szCs w:val="22"/>
              </w:rPr>
              <w:t xml:space="preserve"> </w:t>
            </w:r>
            <w:r w:rsidRPr="007E50B9">
              <w:rPr>
                <w:rFonts w:cs="Arial"/>
                <w:color w:val="000000" w:themeColor="text1"/>
                <w:sz w:val="22"/>
                <w:szCs w:val="22"/>
                <w:u w:val="single"/>
              </w:rPr>
              <w:t>telle</w:t>
            </w:r>
            <w:r w:rsidRPr="007E50B9">
              <w:rPr>
                <w:rFonts w:cs="Arial"/>
                <w:color w:val="000000" w:themeColor="text1"/>
                <w:sz w:val="22"/>
                <w:szCs w:val="22"/>
              </w:rPr>
              <w:t>.</w:t>
            </w:r>
          </w:p>
        </w:tc>
      </w:tr>
      <w:tr w:rsidR="006141B8" w14:paraId="0A0B78BC" w14:textId="77777777" w:rsidTr="0098356A">
        <w:tc>
          <w:tcPr>
            <w:tcW w:w="1696" w:type="dxa"/>
          </w:tcPr>
          <w:p w14:paraId="55BDE594" w14:textId="77777777" w:rsidR="005402D0" w:rsidRPr="008573E6" w:rsidRDefault="00E21D39" w:rsidP="00573001">
            <w:pPr>
              <w:spacing w:before="60" w:after="60"/>
              <w:rPr>
                <w:rFonts w:cs="Arial"/>
                <w:sz w:val="22"/>
                <w:szCs w:val="22"/>
              </w:rPr>
            </w:pPr>
            <w:r w:rsidRPr="008573E6">
              <w:rPr>
                <w:rFonts w:cs="Arial"/>
                <w:sz w:val="22"/>
                <w:szCs w:val="22"/>
              </w:rPr>
              <w:t>1999-05-01</w:t>
            </w:r>
            <w:r>
              <w:rPr>
                <w:rStyle w:val="Appelnotedebasdep"/>
                <w:rFonts w:cs="Arial"/>
                <w:sz w:val="22"/>
                <w:szCs w:val="22"/>
              </w:rPr>
              <w:footnoteReference w:id="10"/>
            </w:r>
            <w:r w:rsidRPr="008573E6">
              <w:rPr>
                <w:rFonts w:cs="Arial"/>
                <w:sz w:val="22"/>
                <w:szCs w:val="22"/>
              </w:rPr>
              <w:t xml:space="preserve"> </w:t>
            </w:r>
            <w:r w:rsidRPr="008573E6">
              <w:rPr>
                <w:rFonts w:cs="Arial"/>
                <w:sz w:val="22"/>
                <w:szCs w:val="22"/>
                <w:shd w:val="clear" w:color="auto" w:fill="FFFFFF"/>
              </w:rPr>
              <w:t>au 2005-10-31</w:t>
            </w:r>
          </w:p>
        </w:tc>
        <w:tc>
          <w:tcPr>
            <w:tcW w:w="6940" w:type="dxa"/>
          </w:tcPr>
          <w:p w14:paraId="711D3F1F" w14:textId="77777777" w:rsidR="005402D0" w:rsidRPr="007E50B9" w:rsidRDefault="00E21D39" w:rsidP="00573001">
            <w:pPr>
              <w:spacing w:before="60" w:after="60"/>
              <w:jc w:val="both"/>
              <w:rPr>
                <w:rFonts w:cs="Arial"/>
                <w:color w:val="000000" w:themeColor="text1"/>
                <w:sz w:val="22"/>
                <w:szCs w:val="22"/>
                <w:shd w:val="clear" w:color="auto" w:fill="FFFFFF"/>
              </w:rPr>
            </w:pPr>
            <w:r w:rsidRPr="007E50B9">
              <w:rPr>
                <w:rStyle w:val="lawlabel"/>
                <w:rFonts w:eastAsia="Calibri" w:cs="Arial"/>
                <w:b/>
                <w:bCs/>
                <w:color w:val="000000" w:themeColor="text1"/>
                <w:sz w:val="22"/>
                <w:szCs w:val="22"/>
                <w:shd w:val="clear" w:color="auto" w:fill="FFFFFF"/>
              </w:rPr>
              <w:t>(4)</w:t>
            </w:r>
            <w:r w:rsidR="00087FC3" w:rsidRPr="007E50B9">
              <w:rPr>
                <w:color w:val="000000" w:themeColor="text1"/>
              </w:rPr>
              <w:t xml:space="preserve"> </w:t>
            </w:r>
            <w:r w:rsidRPr="007E50B9">
              <w:rPr>
                <w:rFonts w:cs="Arial"/>
                <w:color w:val="000000" w:themeColor="text1"/>
                <w:sz w:val="22"/>
                <w:szCs w:val="22"/>
                <w:shd w:val="clear" w:color="auto" w:fill="FFFFFF"/>
              </w:rPr>
              <w:t xml:space="preserve">Est coupable d’un acte criminel et passible d’un emprisonnement maximal de cinq ans quiconque, en quelque endroit que ce soit, obtient, moyennant rétribution, les services sexuels d’une personne âgée de moins de dix-huit ans </w:t>
            </w:r>
            <w:r w:rsidRPr="007E50B9">
              <w:rPr>
                <w:rFonts w:cs="Arial"/>
                <w:color w:val="000000" w:themeColor="text1"/>
                <w:sz w:val="22"/>
                <w:szCs w:val="22"/>
                <w:u w:val="single"/>
                <w:shd w:val="clear" w:color="auto" w:fill="FFFFFF"/>
              </w:rPr>
              <w:t>ou communique avec quiconque en vue d’obtenir</w:t>
            </w:r>
            <w:r w:rsidRPr="007E50B9">
              <w:rPr>
                <w:rFonts w:cs="Arial"/>
                <w:color w:val="000000" w:themeColor="text1"/>
                <w:sz w:val="22"/>
                <w:szCs w:val="22"/>
                <w:shd w:val="clear" w:color="auto" w:fill="FFFFFF"/>
              </w:rPr>
              <w:t xml:space="preserve">, moyennant rétribution, </w:t>
            </w:r>
            <w:r w:rsidRPr="007E50B9">
              <w:rPr>
                <w:rFonts w:cs="Arial"/>
                <w:color w:val="000000" w:themeColor="text1"/>
                <w:sz w:val="22"/>
                <w:szCs w:val="22"/>
                <w:u w:val="single"/>
                <w:shd w:val="clear" w:color="auto" w:fill="FFFFFF"/>
              </w:rPr>
              <w:t>de tels services</w:t>
            </w:r>
            <w:r w:rsidRPr="007E50B9">
              <w:rPr>
                <w:rFonts w:cs="Arial"/>
                <w:color w:val="000000" w:themeColor="text1"/>
                <w:sz w:val="22"/>
                <w:szCs w:val="22"/>
                <w:shd w:val="clear" w:color="auto" w:fill="FFFFFF"/>
              </w:rPr>
              <w:t>.</w:t>
            </w:r>
          </w:p>
        </w:tc>
      </w:tr>
      <w:tr w:rsidR="006141B8" w14:paraId="52C57D3C" w14:textId="77777777" w:rsidTr="0098356A">
        <w:tc>
          <w:tcPr>
            <w:tcW w:w="1696" w:type="dxa"/>
          </w:tcPr>
          <w:p w14:paraId="75236A22" w14:textId="77777777" w:rsidR="005402D0" w:rsidRPr="008573E6" w:rsidRDefault="00E21D39" w:rsidP="00573001">
            <w:pPr>
              <w:spacing w:before="60" w:after="60"/>
              <w:rPr>
                <w:rFonts w:cs="Arial"/>
                <w:sz w:val="22"/>
                <w:szCs w:val="22"/>
              </w:rPr>
            </w:pPr>
            <w:r w:rsidRPr="008573E6">
              <w:rPr>
                <w:rFonts w:cs="Arial"/>
                <w:sz w:val="22"/>
                <w:szCs w:val="22"/>
                <w:shd w:val="clear" w:color="auto" w:fill="FFFFFF"/>
              </w:rPr>
              <w:t>2005-11-01</w:t>
            </w:r>
            <w:bookmarkStart w:id="9" w:name="_Ref185502161"/>
            <w:r>
              <w:rPr>
                <w:rStyle w:val="Appelnotedebasdep"/>
                <w:rFonts w:cs="Arial"/>
                <w:sz w:val="22"/>
                <w:szCs w:val="22"/>
                <w:shd w:val="clear" w:color="auto" w:fill="FFFFFF"/>
              </w:rPr>
              <w:footnoteReference w:id="11"/>
            </w:r>
            <w:bookmarkEnd w:id="9"/>
            <w:r w:rsidRPr="008573E6">
              <w:rPr>
                <w:rFonts w:cs="Arial"/>
                <w:sz w:val="22"/>
                <w:szCs w:val="22"/>
                <w:shd w:val="clear" w:color="auto" w:fill="FFFFFF"/>
              </w:rPr>
              <w:t xml:space="preserve"> au 2014-12-05</w:t>
            </w:r>
          </w:p>
        </w:tc>
        <w:tc>
          <w:tcPr>
            <w:tcW w:w="6940" w:type="dxa"/>
          </w:tcPr>
          <w:p w14:paraId="6AAB9023" w14:textId="77777777" w:rsidR="005402D0" w:rsidRPr="007E50B9" w:rsidRDefault="00E21D39" w:rsidP="00573001">
            <w:pPr>
              <w:spacing w:before="60" w:after="60"/>
              <w:jc w:val="both"/>
              <w:rPr>
                <w:rFonts w:cs="Arial"/>
                <w:color w:val="000000" w:themeColor="text1"/>
                <w:sz w:val="22"/>
                <w:szCs w:val="22"/>
              </w:rPr>
            </w:pPr>
            <w:r w:rsidRPr="007E50B9">
              <w:rPr>
                <w:rStyle w:val="lawlabel"/>
                <w:rFonts w:eastAsia="Calibri" w:cs="Arial"/>
                <w:b/>
                <w:bCs/>
                <w:color w:val="000000" w:themeColor="text1"/>
                <w:sz w:val="22"/>
                <w:szCs w:val="22"/>
                <w:shd w:val="clear" w:color="auto" w:fill="FFFFFF"/>
              </w:rPr>
              <w:t>(4)</w:t>
            </w:r>
            <w:r w:rsidRPr="007E50B9">
              <w:rPr>
                <w:rFonts w:cs="Arial"/>
                <w:color w:val="000000" w:themeColor="text1"/>
                <w:sz w:val="22"/>
                <w:szCs w:val="22"/>
                <w:shd w:val="clear" w:color="auto" w:fill="FFFFFF"/>
              </w:rPr>
              <w:t xml:space="preserve"> Quiconque, en quelque endroit que ce soit, obtient, moyennant rétribution, les services sexuels d’une personne âgée de moins de dix-huit ans ou communique avec quiconque en vue d’obtenir, moyennant rétribution, de tels services est coupable d’un acte criminel et passible d’un emprisonnement maximal de cinq ans, </w:t>
            </w:r>
            <w:r w:rsidRPr="007E50B9">
              <w:rPr>
                <w:rFonts w:cs="Arial"/>
                <w:color w:val="000000" w:themeColor="text1"/>
                <w:sz w:val="22"/>
                <w:szCs w:val="22"/>
                <w:u w:val="single"/>
                <w:shd w:val="clear" w:color="auto" w:fill="FFFFFF"/>
              </w:rPr>
              <w:t>la peine minimale étant de six mois</w:t>
            </w:r>
            <w:r w:rsidRPr="007E50B9">
              <w:rPr>
                <w:rFonts w:cs="Arial"/>
                <w:color w:val="000000" w:themeColor="text1"/>
                <w:sz w:val="22"/>
                <w:szCs w:val="22"/>
                <w:shd w:val="clear" w:color="auto" w:fill="FFFFFF"/>
              </w:rPr>
              <w:t>.</w:t>
            </w:r>
          </w:p>
        </w:tc>
      </w:tr>
      <w:tr w:rsidR="006141B8" w14:paraId="11F09489" w14:textId="77777777" w:rsidTr="0098356A">
        <w:tc>
          <w:tcPr>
            <w:tcW w:w="1696" w:type="dxa"/>
          </w:tcPr>
          <w:p w14:paraId="7D623D8F" w14:textId="77777777" w:rsidR="00A94D75" w:rsidRPr="008573E6" w:rsidRDefault="00E21D39" w:rsidP="00573001">
            <w:pPr>
              <w:spacing w:before="60" w:after="60"/>
              <w:rPr>
                <w:rFonts w:cs="Arial"/>
                <w:sz w:val="22"/>
                <w:szCs w:val="22"/>
                <w:shd w:val="clear" w:color="auto" w:fill="FFFFFF"/>
              </w:rPr>
            </w:pPr>
            <w:r w:rsidRPr="008573E6">
              <w:rPr>
                <w:rFonts w:cs="Arial"/>
                <w:sz w:val="22"/>
                <w:szCs w:val="22"/>
                <w:shd w:val="clear" w:color="auto" w:fill="FFFFFF"/>
              </w:rPr>
              <w:t>D</w:t>
            </w:r>
            <w:r w:rsidRPr="008573E6">
              <w:rPr>
                <w:rFonts w:cs="Arial"/>
                <w:sz w:val="22"/>
                <w:szCs w:val="22"/>
              </w:rPr>
              <w:t xml:space="preserve">epuis 2014 … l’article 286.1(2) se lit : </w:t>
            </w:r>
          </w:p>
        </w:tc>
        <w:tc>
          <w:tcPr>
            <w:tcW w:w="6940" w:type="dxa"/>
          </w:tcPr>
          <w:p w14:paraId="3CE0A431" w14:textId="77777777" w:rsidR="00A94D75" w:rsidRPr="007E50B9" w:rsidRDefault="00E21D39" w:rsidP="00573001">
            <w:pPr>
              <w:spacing w:before="60" w:after="60"/>
              <w:rPr>
                <w:rStyle w:val="lawlabel"/>
                <w:rFonts w:eastAsia="Calibri" w:cs="Arial"/>
                <w:color w:val="000000" w:themeColor="text1"/>
                <w:sz w:val="22"/>
                <w:szCs w:val="22"/>
                <w:shd w:val="clear" w:color="auto" w:fill="FFFFFF"/>
              </w:rPr>
            </w:pPr>
            <w:r w:rsidRPr="007E50B9">
              <w:rPr>
                <w:rStyle w:val="lawlabel"/>
                <w:rFonts w:eastAsia="Calibri" w:cs="Arial"/>
                <w:color w:val="000000" w:themeColor="text1"/>
                <w:sz w:val="22"/>
                <w:szCs w:val="22"/>
                <w:shd w:val="clear" w:color="auto" w:fill="FFFFFF"/>
              </w:rPr>
              <w:t>(2) Quiconque, en quelque endroit que ce soit, obtient, moyennant rétribution, les services sexuels d’une personne âgée de moins de dix-huit ans ou communique avec quiconque en vue d’obtenir, moyennant rétribution, les services sexuels d’une telle personne est coupable d’un acte criminel passible d’un emprisonnement maximal de dix ans, la peine minimale étant :</w:t>
            </w:r>
          </w:p>
          <w:p w14:paraId="1107AE6A" w14:textId="77777777" w:rsidR="00A94D75" w:rsidRPr="007E50B9" w:rsidRDefault="00E21D39" w:rsidP="00573001">
            <w:pPr>
              <w:spacing w:before="60" w:after="60"/>
              <w:rPr>
                <w:rStyle w:val="lawlabel"/>
                <w:rFonts w:eastAsia="Calibri" w:cs="Arial"/>
                <w:color w:val="000000" w:themeColor="text1"/>
                <w:sz w:val="22"/>
                <w:szCs w:val="22"/>
                <w:shd w:val="clear" w:color="auto" w:fill="FFFFFF"/>
              </w:rPr>
            </w:pPr>
            <w:r w:rsidRPr="007E50B9">
              <w:rPr>
                <w:rStyle w:val="lawlabel"/>
                <w:rFonts w:eastAsia="Calibri" w:cs="Arial"/>
                <w:color w:val="000000" w:themeColor="text1"/>
                <w:sz w:val="22"/>
                <w:szCs w:val="22"/>
                <w:shd w:val="clear" w:color="auto" w:fill="FFFFFF"/>
              </w:rPr>
              <w:t>a) de six mois, dans le cas d’une première infraction;</w:t>
            </w:r>
          </w:p>
          <w:p w14:paraId="6EBADE57" w14:textId="77777777" w:rsidR="00A94D75" w:rsidRPr="007E50B9" w:rsidRDefault="00E21D39" w:rsidP="00573001">
            <w:pPr>
              <w:spacing w:before="60" w:after="60"/>
              <w:rPr>
                <w:rStyle w:val="lawlabel"/>
                <w:rFonts w:eastAsia="Calibri" w:cs="Arial"/>
                <w:b/>
                <w:bCs/>
                <w:color w:val="000000" w:themeColor="text1"/>
                <w:sz w:val="22"/>
                <w:szCs w:val="22"/>
                <w:shd w:val="clear" w:color="auto" w:fill="FFFFFF"/>
              </w:rPr>
            </w:pPr>
            <w:r w:rsidRPr="007E50B9">
              <w:rPr>
                <w:rStyle w:val="lawlabel"/>
                <w:rFonts w:eastAsia="Calibri" w:cs="Arial"/>
                <w:color w:val="000000" w:themeColor="text1"/>
                <w:sz w:val="22"/>
                <w:szCs w:val="22"/>
                <w:shd w:val="clear" w:color="auto" w:fill="FFFFFF"/>
              </w:rPr>
              <w:t>b) d’un an, en cas de récidive.</w:t>
            </w:r>
          </w:p>
        </w:tc>
      </w:tr>
    </w:tbl>
    <w:p w14:paraId="557F1905" w14:textId="77777777" w:rsidR="003B0DBA" w:rsidRPr="007E50B9" w:rsidRDefault="00E21D39" w:rsidP="007E50B9">
      <w:pPr>
        <w:pStyle w:val="Paragrdouble"/>
        <w:numPr>
          <w:ilvl w:val="0"/>
          <w:numId w:val="0"/>
        </w:numPr>
        <w:spacing w:line="240" w:lineRule="auto"/>
        <w:ind w:left="731" w:right="715" w:hanging="164"/>
        <w:jc w:val="right"/>
        <w:rPr>
          <w:rFonts w:cs="Arial"/>
          <w:sz w:val="22"/>
          <w:szCs w:val="18"/>
        </w:rPr>
      </w:pPr>
      <w:r>
        <w:rPr>
          <w:rFonts w:cs="Arial"/>
          <w:sz w:val="22"/>
          <w:szCs w:val="18"/>
        </w:rPr>
        <w:t>[Les soulignements visent à montrer l’évolution législative]</w:t>
      </w:r>
    </w:p>
    <w:p w14:paraId="07EFB913" w14:textId="77777777" w:rsidR="005402D0" w:rsidRPr="00103606" w:rsidRDefault="00E21D39" w:rsidP="00087FC3">
      <w:pPr>
        <w:pStyle w:val="Paragrdouble"/>
        <w:spacing w:line="276" w:lineRule="auto"/>
        <w:rPr>
          <w:rFonts w:cs="Arial"/>
        </w:rPr>
      </w:pPr>
      <w:r w:rsidRPr="00103606">
        <w:rPr>
          <w:rFonts w:cs="Arial"/>
        </w:rPr>
        <w:t xml:space="preserve">Pour ce qui est du crime de « Contacts sexuels », en tout temps avant les amendements </w:t>
      </w:r>
      <w:r w:rsidR="005B4C24" w:rsidRPr="00103606">
        <w:rPr>
          <w:rFonts w:cs="Arial"/>
        </w:rPr>
        <w:t>de</w:t>
      </w:r>
      <w:r w:rsidR="00087FC3">
        <w:rPr>
          <w:rFonts w:cs="Arial"/>
        </w:rPr>
        <w:t xml:space="preserve"> </w:t>
      </w:r>
      <w:r w:rsidRPr="00103606">
        <w:rPr>
          <w:rFonts w:cs="Arial"/>
        </w:rPr>
        <w:t>2008, l’article 152 C.</w:t>
      </w:r>
      <w:r w:rsidR="00087FC3">
        <w:rPr>
          <w:rFonts w:cs="Arial"/>
        </w:rPr>
        <w:t>c</w:t>
      </w:r>
      <w:r w:rsidRPr="00103606">
        <w:rPr>
          <w:rFonts w:cs="Arial"/>
        </w:rPr>
        <w:t xml:space="preserve">r. se lisait ainsi : </w:t>
      </w:r>
    </w:p>
    <w:tbl>
      <w:tblPr>
        <w:tblStyle w:val="Grilledutableau"/>
        <w:tblW w:w="0" w:type="auto"/>
        <w:tblLook w:val="04A0" w:firstRow="1" w:lastRow="0" w:firstColumn="1" w:lastColumn="0" w:noHBand="0" w:noVBand="1"/>
      </w:tblPr>
      <w:tblGrid>
        <w:gridCol w:w="1696"/>
        <w:gridCol w:w="6940"/>
      </w:tblGrid>
      <w:tr w:rsidR="006141B8" w14:paraId="5D367111" w14:textId="77777777" w:rsidTr="0098356A">
        <w:tc>
          <w:tcPr>
            <w:tcW w:w="1696" w:type="dxa"/>
          </w:tcPr>
          <w:p w14:paraId="129BC2BB" w14:textId="77777777" w:rsidR="005402D0" w:rsidRPr="004315EC" w:rsidRDefault="00E21D39" w:rsidP="00573001">
            <w:pPr>
              <w:spacing w:after="60"/>
              <w:rPr>
                <w:rFonts w:cs="Arial"/>
                <w:sz w:val="22"/>
                <w:szCs w:val="22"/>
                <w:shd w:val="clear" w:color="auto" w:fill="FFFFFF"/>
              </w:rPr>
            </w:pPr>
            <w:r w:rsidRPr="004315EC">
              <w:rPr>
                <w:rFonts w:cs="Arial"/>
                <w:sz w:val="22"/>
                <w:szCs w:val="22"/>
                <w:shd w:val="clear" w:color="auto" w:fill="FFFFFF"/>
              </w:rPr>
              <w:t>De 1996</w:t>
            </w:r>
            <w:bookmarkStart w:id="10" w:name="_Ref185508443"/>
            <w:r>
              <w:rPr>
                <w:rStyle w:val="Appelnotedebasdep"/>
                <w:rFonts w:cs="Arial"/>
                <w:sz w:val="22"/>
                <w:szCs w:val="22"/>
                <w:shd w:val="clear" w:color="auto" w:fill="FFFFFF"/>
              </w:rPr>
              <w:footnoteReference w:id="12"/>
            </w:r>
            <w:bookmarkEnd w:id="10"/>
            <w:r w:rsidRPr="004315EC">
              <w:rPr>
                <w:rFonts w:cs="Arial"/>
                <w:sz w:val="22"/>
                <w:szCs w:val="22"/>
                <w:shd w:val="clear" w:color="auto" w:fill="FFFFFF"/>
              </w:rPr>
              <w:t xml:space="preserve"> au 2005-10-31</w:t>
            </w:r>
            <w:r w:rsidR="005B4C24" w:rsidRPr="004315EC">
              <w:rPr>
                <w:rFonts w:cs="Arial"/>
                <w:sz w:val="22"/>
                <w:szCs w:val="22"/>
                <w:shd w:val="clear" w:color="auto" w:fill="FFFFFF"/>
              </w:rPr>
              <w:t> :</w:t>
            </w:r>
          </w:p>
        </w:tc>
        <w:tc>
          <w:tcPr>
            <w:tcW w:w="6940" w:type="dxa"/>
          </w:tcPr>
          <w:p w14:paraId="7C8A3594" w14:textId="77777777" w:rsidR="005402D0" w:rsidRPr="004315EC" w:rsidRDefault="00E21D39" w:rsidP="00573001">
            <w:pPr>
              <w:spacing w:after="60"/>
              <w:jc w:val="both"/>
              <w:rPr>
                <w:rFonts w:cs="Arial"/>
                <w:sz w:val="22"/>
                <w:szCs w:val="22"/>
                <w:shd w:val="clear" w:color="auto" w:fill="FFFFFF"/>
              </w:rPr>
            </w:pPr>
            <w:r w:rsidRPr="004315EC">
              <w:rPr>
                <w:rStyle w:val="sectionlabel"/>
                <w:rFonts w:cs="Arial"/>
                <w:b/>
                <w:sz w:val="22"/>
                <w:szCs w:val="22"/>
                <w:shd w:val="clear" w:color="auto" w:fill="FFFFFF"/>
              </w:rPr>
              <w:t>152</w:t>
            </w:r>
            <w:r w:rsidRPr="004315EC">
              <w:rPr>
                <w:rFonts w:cs="Arial"/>
                <w:sz w:val="22"/>
                <w:szCs w:val="22"/>
                <w:shd w:val="clear" w:color="auto" w:fill="FFFFFF"/>
              </w:rPr>
              <w:t xml:space="preserve"> Est coupable soit d’un acte criminel et passible d’un emprisonnement maximal de dix ans, soit d’une infraction punissable sur déclaration de culpabilité par procédure sommaire, toute personne </w:t>
            </w:r>
            <w:r w:rsidRPr="004315EC">
              <w:rPr>
                <w:rFonts w:cs="Arial"/>
                <w:sz w:val="22"/>
                <w:szCs w:val="22"/>
                <w:shd w:val="clear" w:color="auto" w:fill="FFFFFF"/>
              </w:rPr>
              <w:lastRenderedPageBreak/>
              <w:t>qui, à des fins d’ordre sexuel, invite, engage ou incite un enfant âgé de moins de quatorze ans à la toucher, à se toucher ou à toucher un tiers, directement ou indirectement, avec une partie du corps ou avec un objet.</w:t>
            </w:r>
          </w:p>
        </w:tc>
      </w:tr>
      <w:tr w:rsidR="006141B8" w14:paraId="789EF958" w14:textId="77777777" w:rsidTr="0098356A">
        <w:tc>
          <w:tcPr>
            <w:tcW w:w="1696" w:type="dxa"/>
          </w:tcPr>
          <w:p w14:paraId="0C9C6E39" w14:textId="77777777" w:rsidR="005402D0" w:rsidRPr="004315EC" w:rsidRDefault="00E21D39" w:rsidP="00573001">
            <w:pPr>
              <w:spacing w:after="60"/>
              <w:rPr>
                <w:rFonts w:cs="Arial"/>
                <w:sz w:val="22"/>
                <w:szCs w:val="22"/>
              </w:rPr>
            </w:pPr>
            <w:r w:rsidRPr="004315EC">
              <w:rPr>
                <w:rFonts w:cs="Arial"/>
                <w:sz w:val="22"/>
                <w:szCs w:val="22"/>
                <w:shd w:val="clear" w:color="auto" w:fill="FFFFFF"/>
              </w:rPr>
              <w:lastRenderedPageBreak/>
              <w:t>2005-11-01</w:t>
            </w:r>
            <w:r>
              <w:rPr>
                <w:rStyle w:val="Appelnotedebasdep"/>
                <w:rFonts w:cs="Arial"/>
                <w:sz w:val="22"/>
                <w:szCs w:val="22"/>
                <w:shd w:val="clear" w:color="auto" w:fill="FFFFFF"/>
              </w:rPr>
              <w:footnoteReference w:id="13"/>
            </w:r>
            <w:r w:rsidRPr="004315EC">
              <w:rPr>
                <w:rFonts w:cs="Arial"/>
                <w:sz w:val="22"/>
                <w:szCs w:val="22"/>
                <w:shd w:val="clear" w:color="auto" w:fill="FFFFFF"/>
              </w:rPr>
              <w:t xml:space="preserve"> au 2008-04-30</w:t>
            </w:r>
            <w:r w:rsidR="005B4C24" w:rsidRPr="004315EC">
              <w:rPr>
                <w:rFonts w:cs="Arial"/>
                <w:sz w:val="22"/>
                <w:szCs w:val="22"/>
                <w:shd w:val="clear" w:color="auto" w:fill="FFFFFF"/>
              </w:rPr>
              <w:t> :</w:t>
            </w:r>
          </w:p>
        </w:tc>
        <w:tc>
          <w:tcPr>
            <w:tcW w:w="6940" w:type="dxa"/>
          </w:tcPr>
          <w:p w14:paraId="683D3A66" w14:textId="77777777" w:rsidR="005402D0" w:rsidRPr="007E50B9" w:rsidRDefault="00E21D39" w:rsidP="00573001">
            <w:pPr>
              <w:pStyle w:val="section"/>
              <w:shd w:val="clear" w:color="auto" w:fill="FFFFFF"/>
              <w:spacing w:before="0" w:beforeAutospacing="0" w:after="60" w:afterAutospacing="0"/>
              <w:jc w:val="both"/>
              <w:rPr>
                <w:rFonts w:ascii="Arial" w:hAnsi="Arial" w:cs="Arial"/>
                <w:color w:val="000000" w:themeColor="text1"/>
                <w:sz w:val="22"/>
                <w:szCs w:val="22"/>
              </w:rPr>
            </w:pPr>
            <w:r w:rsidRPr="007E50B9">
              <w:rPr>
                <w:rStyle w:val="sectionlabel"/>
                <w:rFonts w:ascii="Arial" w:hAnsi="Arial" w:cs="Arial"/>
                <w:b/>
                <w:color w:val="000000" w:themeColor="text1"/>
                <w:sz w:val="22"/>
                <w:szCs w:val="22"/>
              </w:rPr>
              <w:t>152</w:t>
            </w:r>
            <w:r w:rsidRPr="007E50B9">
              <w:rPr>
                <w:rFonts w:ascii="Arial" w:hAnsi="Arial" w:cs="Arial"/>
                <w:color w:val="000000" w:themeColor="text1"/>
                <w:sz w:val="22"/>
                <w:szCs w:val="22"/>
              </w:rPr>
              <w:t> Toute personne qui, à des fins d’ordre sexuel, invite, engage ou incite un enfant âgé de moins de quatorze ans à la toucher, à se toucher ou à toucher un tiers, directement ou indirectement, avec une partie du corps ou avec un objet est coupable :</w:t>
            </w:r>
          </w:p>
          <w:p w14:paraId="0FF65604" w14:textId="77777777" w:rsidR="005402D0" w:rsidRPr="007E50B9" w:rsidRDefault="00E21D39" w:rsidP="00573001">
            <w:pPr>
              <w:pStyle w:val="paragraph"/>
              <w:shd w:val="clear" w:color="auto" w:fill="FFFFFF"/>
              <w:spacing w:before="0" w:beforeAutospacing="0" w:after="60" w:afterAutospacing="0"/>
              <w:ind w:left="312"/>
              <w:jc w:val="both"/>
              <w:rPr>
                <w:rFonts w:ascii="Arial" w:hAnsi="Arial" w:cs="Arial"/>
                <w:color w:val="000000" w:themeColor="text1"/>
                <w:sz w:val="22"/>
                <w:szCs w:val="22"/>
              </w:rPr>
            </w:pPr>
            <w:r w:rsidRPr="007E50B9">
              <w:rPr>
                <w:rStyle w:val="lawlabel"/>
                <w:rFonts w:ascii="Arial" w:eastAsia="Calibri" w:hAnsi="Arial" w:cs="Arial"/>
                <w:b/>
                <w:bCs/>
                <w:color w:val="000000" w:themeColor="text1"/>
                <w:sz w:val="22"/>
                <w:szCs w:val="22"/>
              </w:rPr>
              <w:t>a)</w:t>
            </w:r>
            <w:r w:rsidRPr="007E50B9">
              <w:rPr>
                <w:rFonts w:ascii="Arial" w:hAnsi="Arial" w:cs="Arial"/>
                <w:color w:val="000000" w:themeColor="text1"/>
                <w:sz w:val="22"/>
                <w:szCs w:val="22"/>
              </w:rPr>
              <w:t xml:space="preserve"> soit d’un acte criminel passible d’un emprisonnement maximal de dix ans, </w:t>
            </w:r>
            <w:r w:rsidRPr="007E50B9">
              <w:rPr>
                <w:rFonts w:ascii="Arial" w:hAnsi="Arial" w:cs="Arial"/>
                <w:color w:val="000000" w:themeColor="text1"/>
                <w:sz w:val="22"/>
                <w:szCs w:val="22"/>
                <w:u w:val="single"/>
              </w:rPr>
              <w:t>la peine minimale étant de quarante-cinq jours</w:t>
            </w:r>
            <w:r w:rsidRPr="007E50B9">
              <w:rPr>
                <w:rFonts w:ascii="Arial" w:hAnsi="Arial" w:cs="Arial"/>
                <w:color w:val="000000" w:themeColor="text1"/>
                <w:sz w:val="22"/>
                <w:szCs w:val="22"/>
              </w:rPr>
              <w:t>;</w:t>
            </w:r>
          </w:p>
          <w:p w14:paraId="784E8DB3" w14:textId="77777777" w:rsidR="005402D0" w:rsidRPr="007E50B9" w:rsidRDefault="00E21D39" w:rsidP="00573001">
            <w:pPr>
              <w:pStyle w:val="paragraph"/>
              <w:shd w:val="clear" w:color="auto" w:fill="FFFFFF"/>
              <w:spacing w:before="0" w:beforeAutospacing="0" w:after="60" w:afterAutospacing="0"/>
              <w:ind w:left="312"/>
              <w:jc w:val="both"/>
              <w:rPr>
                <w:rFonts w:ascii="Arial" w:hAnsi="Arial" w:cs="Arial"/>
                <w:color w:val="000000" w:themeColor="text1"/>
                <w:sz w:val="22"/>
                <w:szCs w:val="22"/>
              </w:rPr>
            </w:pPr>
            <w:r w:rsidRPr="007E50B9">
              <w:rPr>
                <w:rStyle w:val="lawlabel"/>
                <w:rFonts w:ascii="Arial" w:eastAsia="Calibri" w:hAnsi="Arial" w:cs="Arial"/>
                <w:b/>
                <w:bCs/>
                <w:color w:val="000000" w:themeColor="text1"/>
                <w:sz w:val="22"/>
                <w:szCs w:val="22"/>
              </w:rPr>
              <w:t>b)</w:t>
            </w:r>
            <w:r w:rsidRPr="007E50B9">
              <w:rPr>
                <w:rFonts w:ascii="Arial" w:hAnsi="Arial" w:cs="Arial"/>
                <w:color w:val="000000" w:themeColor="text1"/>
                <w:sz w:val="22"/>
                <w:szCs w:val="22"/>
              </w:rPr>
              <w:t xml:space="preserve"> soit d’une infraction punissable sur déclaration de culpabilité par procédure sommaire </w:t>
            </w:r>
            <w:r w:rsidRPr="007E50B9">
              <w:rPr>
                <w:rFonts w:ascii="Arial" w:hAnsi="Arial" w:cs="Arial"/>
                <w:color w:val="000000" w:themeColor="text1"/>
                <w:sz w:val="22"/>
                <w:szCs w:val="22"/>
                <w:u w:val="single"/>
              </w:rPr>
              <w:t>et passible d’un emprisonnement maximal de dix-huit mois, la peine minimale étant de quatorze jours</w:t>
            </w:r>
            <w:r w:rsidRPr="007E50B9">
              <w:rPr>
                <w:rFonts w:ascii="Arial" w:hAnsi="Arial" w:cs="Arial"/>
                <w:color w:val="000000" w:themeColor="text1"/>
                <w:sz w:val="22"/>
                <w:szCs w:val="22"/>
              </w:rPr>
              <w:t>.</w:t>
            </w:r>
          </w:p>
        </w:tc>
      </w:tr>
      <w:tr w:rsidR="006141B8" w14:paraId="65F2E6D9" w14:textId="77777777" w:rsidTr="0098356A">
        <w:tc>
          <w:tcPr>
            <w:tcW w:w="1696" w:type="dxa"/>
          </w:tcPr>
          <w:p w14:paraId="05D0A5C6" w14:textId="77777777" w:rsidR="005402D0" w:rsidRPr="004315EC" w:rsidRDefault="00E21D39" w:rsidP="00573001">
            <w:pPr>
              <w:spacing w:after="60"/>
              <w:rPr>
                <w:rFonts w:cs="Arial"/>
                <w:sz w:val="22"/>
                <w:szCs w:val="22"/>
              </w:rPr>
            </w:pPr>
            <w:r w:rsidRPr="004315EC">
              <w:rPr>
                <w:rFonts w:cs="Arial"/>
                <w:sz w:val="22"/>
                <w:szCs w:val="22"/>
                <w:shd w:val="clear" w:color="auto" w:fill="FFFFFF"/>
              </w:rPr>
              <w:t>2008-05-01</w:t>
            </w:r>
            <w:bookmarkStart w:id="11" w:name="_Ref185503146"/>
            <w:r>
              <w:rPr>
                <w:rStyle w:val="Appelnotedebasdep"/>
                <w:rFonts w:cs="Arial"/>
                <w:sz w:val="22"/>
                <w:szCs w:val="22"/>
                <w:shd w:val="clear" w:color="auto" w:fill="FFFFFF"/>
              </w:rPr>
              <w:footnoteReference w:id="14"/>
            </w:r>
            <w:bookmarkEnd w:id="11"/>
            <w:r w:rsidRPr="004315EC">
              <w:rPr>
                <w:rFonts w:cs="Arial"/>
                <w:sz w:val="22"/>
                <w:szCs w:val="22"/>
                <w:shd w:val="clear" w:color="auto" w:fill="FFFFFF"/>
              </w:rPr>
              <w:t xml:space="preserve"> au 2012-08-08</w:t>
            </w:r>
            <w:r w:rsidR="005B4C24" w:rsidRPr="004315EC">
              <w:rPr>
                <w:rFonts w:cs="Arial"/>
                <w:sz w:val="22"/>
                <w:szCs w:val="22"/>
                <w:shd w:val="clear" w:color="auto" w:fill="FFFFFF"/>
              </w:rPr>
              <w:t> :</w:t>
            </w:r>
          </w:p>
        </w:tc>
        <w:tc>
          <w:tcPr>
            <w:tcW w:w="6940" w:type="dxa"/>
          </w:tcPr>
          <w:p w14:paraId="307459B3" w14:textId="77777777" w:rsidR="005402D0" w:rsidRPr="007E50B9" w:rsidRDefault="00E21D39" w:rsidP="00573001">
            <w:pPr>
              <w:pStyle w:val="section"/>
              <w:shd w:val="clear" w:color="auto" w:fill="FFFFFF"/>
              <w:spacing w:before="0" w:beforeAutospacing="0" w:after="60" w:afterAutospacing="0"/>
              <w:jc w:val="both"/>
              <w:rPr>
                <w:rFonts w:ascii="Arial" w:hAnsi="Arial" w:cs="Arial"/>
                <w:color w:val="000000" w:themeColor="text1"/>
                <w:sz w:val="22"/>
                <w:szCs w:val="22"/>
              </w:rPr>
            </w:pPr>
            <w:r w:rsidRPr="007E50B9">
              <w:rPr>
                <w:rStyle w:val="sectionlabel"/>
                <w:rFonts w:ascii="Arial" w:hAnsi="Arial" w:cs="Arial"/>
                <w:b/>
                <w:color w:val="000000" w:themeColor="text1"/>
                <w:sz w:val="22"/>
                <w:szCs w:val="22"/>
              </w:rPr>
              <w:t>152</w:t>
            </w:r>
            <w:r w:rsidRPr="007E50B9">
              <w:rPr>
                <w:rFonts w:ascii="Arial" w:hAnsi="Arial" w:cs="Arial"/>
                <w:color w:val="000000" w:themeColor="text1"/>
                <w:sz w:val="22"/>
                <w:szCs w:val="22"/>
              </w:rPr>
              <w:t xml:space="preserve"> Toute personne qui, à des fins d’ordre sexuel, invite, engage ou incite un enfant âgé de moins de </w:t>
            </w:r>
            <w:r w:rsidRPr="007E50B9">
              <w:rPr>
                <w:rFonts w:ascii="Arial" w:hAnsi="Arial" w:cs="Arial"/>
                <w:color w:val="000000" w:themeColor="text1"/>
                <w:sz w:val="22"/>
                <w:szCs w:val="22"/>
                <w:u w:val="single"/>
              </w:rPr>
              <w:t>seize ans</w:t>
            </w:r>
            <w:r w:rsidRPr="007E50B9">
              <w:rPr>
                <w:rFonts w:ascii="Arial" w:hAnsi="Arial" w:cs="Arial"/>
                <w:color w:val="000000" w:themeColor="text1"/>
                <w:sz w:val="22"/>
                <w:szCs w:val="22"/>
              </w:rPr>
              <w:t xml:space="preserve"> à la toucher, à se toucher ou à toucher un tiers, directement ou indirectement, avec une partie du corps ou avec un objet est coupable :</w:t>
            </w:r>
          </w:p>
          <w:p w14:paraId="7AA1E76A" w14:textId="77777777" w:rsidR="005402D0" w:rsidRPr="007E50B9" w:rsidRDefault="00E21D39" w:rsidP="00573001">
            <w:pPr>
              <w:pStyle w:val="paragraph"/>
              <w:shd w:val="clear" w:color="auto" w:fill="FFFFFF"/>
              <w:spacing w:before="0" w:beforeAutospacing="0" w:after="60" w:afterAutospacing="0"/>
              <w:ind w:left="313"/>
              <w:jc w:val="both"/>
              <w:rPr>
                <w:rFonts w:ascii="Arial" w:hAnsi="Arial" w:cs="Arial"/>
                <w:color w:val="000000" w:themeColor="text1"/>
                <w:sz w:val="22"/>
                <w:szCs w:val="22"/>
              </w:rPr>
            </w:pPr>
            <w:r w:rsidRPr="007E50B9">
              <w:rPr>
                <w:rStyle w:val="lawlabel"/>
                <w:rFonts w:ascii="Arial" w:eastAsia="Calibri" w:hAnsi="Arial" w:cs="Arial"/>
                <w:b/>
                <w:bCs/>
                <w:color w:val="000000" w:themeColor="text1"/>
                <w:sz w:val="22"/>
                <w:szCs w:val="22"/>
              </w:rPr>
              <w:t>a)</w:t>
            </w:r>
            <w:r w:rsidRPr="007E50B9">
              <w:rPr>
                <w:rFonts w:ascii="Arial" w:hAnsi="Arial" w:cs="Arial"/>
                <w:color w:val="000000" w:themeColor="text1"/>
                <w:sz w:val="22"/>
                <w:szCs w:val="22"/>
              </w:rPr>
              <w:t> soit d’un acte criminel passible d’un emprisonnement maximal de dix ans, la peine minimale étant de quarante-cinq jours;</w:t>
            </w:r>
          </w:p>
          <w:p w14:paraId="3037C0F9" w14:textId="77777777" w:rsidR="005402D0" w:rsidRPr="007E50B9" w:rsidRDefault="00E21D39" w:rsidP="00573001">
            <w:pPr>
              <w:pStyle w:val="paragraph"/>
              <w:shd w:val="clear" w:color="auto" w:fill="FFFFFF"/>
              <w:spacing w:before="0" w:beforeAutospacing="0" w:after="60" w:afterAutospacing="0"/>
              <w:ind w:left="313"/>
              <w:jc w:val="both"/>
              <w:rPr>
                <w:rFonts w:ascii="Arial" w:hAnsi="Arial" w:cs="Arial"/>
                <w:color w:val="000000" w:themeColor="text1"/>
                <w:sz w:val="22"/>
                <w:szCs w:val="22"/>
              </w:rPr>
            </w:pPr>
            <w:r w:rsidRPr="007E50B9">
              <w:rPr>
                <w:rStyle w:val="lawlabel"/>
                <w:rFonts w:ascii="Arial" w:eastAsia="Calibri" w:hAnsi="Arial" w:cs="Arial"/>
                <w:b/>
                <w:bCs/>
                <w:color w:val="000000" w:themeColor="text1"/>
                <w:sz w:val="22"/>
                <w:szCs w:val="22"/>
              </w:rPr>
              <w:t>b)</w:t>
            </w:r>
            <w:r w:rsidRPr="007E50B9">
              <w:rPr>
                <w:rFonts w:ascii="Arial" w:hAnsi="Arial" w:cs="Arial"/>
                <w:color w:val="000000" w:themeColor="text1"/>
                <w:sz w:val="22"/>
                <w:szCs w:val="22"/>
              </w:rPr>
              <w:t> soit d’une infraction punissable sur déclaration de culpabilité par procédure sommaire et passible d’un emprisonnement maximal de dix-huit mois, la peine minimale étant de quatorze jours.</w:t>
            </w:r>
          </w:p>
        </w:tc>
      </w:tr>
      <w:tr w:rsidR="006141B8" w14:paraId="0259C72E" w14:textId="77777777" w:rsidTr="0098356A">
        <w:tc>
          <w:tcPr>
            <w:tcW w:w="1696" w:type="dxa"/>
          </w:tcPr>
          <w:p w14:paraId="328EFD3B" w14:textId="77777777" w:rsidR="005B4C24" w:rsidRPr="004315EC" w:rsidRDefault="00E21D39" w:rsidP="00573001">
            <w:pPr>
              <w:spacing w:after="60"/>
              <w:rPr>
                <w:rFonts w:cs="Arial"/>
                <w:sz w:val="22"/>
                <w:szCs w:val="22"/>
                <w:shd w:val="clear" w:color="auto" w:fill="FFFFFF"/>
              </w:rPr>
            </w:pPr>
            <w:r w:rsidRPr="004315EC">
              <w:rPr>
                <w:rFonts w:cs="Arial"/>
                <w:sz w:val="22"/>
                <w:szCs w:val="22"/>
                <w:shd w:val="clear" w:color="auto" w:fill="FFFFFF"/>
              </w:rPr>
              <w:t>2012-08-09 au 2015-07-16 :</w:t>
            </w:r>
          </w:p>
        </w:tc>
        <w:tc>
          <w:tcPr>
            <w:tcW w:w="6940" w:type="dxa"/>
          </w:tcPr>
          <w:p w14:paraId="32959794" w14:textId="77777777" w:rsidR="005B4C24" w:rsidRPr="00573001" w:rsidRDefault="00E21D39" w:rsidP="00573001">
            <w:pPr>
              <w:spacing w:after="60"/>
              <w:rPr>
                <w:rStyle w:val="sectionlabel"/>
                <w:rFonts w:cs="Arial"/>
                <w:color w:val="000000"/>
                <w:sz w:val="22"/>
                <w:szCs w:val="22"/>
              </w:rPr>
            </w:pPr>
            <w:r w:rsidRPr="00573001">
              <w:rPr>
                <w:rStyle w:val="sectionlabel"/>
                <w:rFonts w:cs="Arial"/>
                <w:b/>
                <w:bCs/>
                <w:color w:val="000000"/>
                <w:sz w:val="22"/>
                <w:szCs w:val="22"/>
              </w:rPr>
              <w:t>151</w:t>
            </w:r>
            <w:r w:rsidRPr="00573001">
              <w:rPr>
                <w:rStyle w:val="sectionlabel"/>
                <w:rFonts w:cs="Arial"/>
                <w:color w:val="000000"/>
                <w:sz w:val="22"/>
                <w:szCs w:val="22"/>
              </w:rPr>
              <w:t xml:space="preserve"> Toute personne qui, à des fins d’ordre sexuel, touche directement ou indirectement, avec une partie de son corps ou avec un objet, une partie du corps d’un enfant âgé de moins de seize ans est coupable :</w:t>
            </w:r>
          </w:p>
          <w:p w14:paraId="2FE4C5C2" w14:textId="77777777" w:rsidR="005B4C24" w:rsidRPr="00573001" w:rsidRDefault="005B4C24" w:rsidP="00573001">
            <w:pPr>
              <w:spacing w:after="60"/>
              <w:rPr>
                <w:rStyle w:val="sectionlabel"/>
                <w:rFonts w:cs="Arial"/>
                <w:color w:val="000000"/>
                <w:sz w:val="22"/>
                <w:szCs w:val="22"/>
              </w:rPr>
            </w:pPr>
          </w:p>
          <w:p w14:paraId="768377C5" w14:textId="77777777" w:rsidR="005B4C24" w:rsidRPr="00573001" w:rsidRDefault="00E21D39" w:rsidP="00573001">
            <w:pPr>
              <w:spacing w:after="60"/>
              <w:rPr>
                <w:rStyle w:val="sectionlabel"/>
                <w:rFonts w:cs="Arial"/>
                <w:color w:val="000000"/>
                <w:sz w:val="22"/>
                <w:szCs w:val="22"/>
              </w:rPr>
            </w:pPr>
            <w:r w:rsidRPr="00573001">
              <w:rPr>
                <w:rStyle w:val="sectionlabel"/>
                <w:rFonts w:cs="Arial"/>
                <w:color w:val="000000"/>
                <w:sz w:val="22"/>
                <w:szCs w:val="22"/>
              </w:rPr>
              <w:t>a) soit d’un acte criminel passible d’un emprisonnement maximal de dix ans, la peine minimale étant de un an;</w:t>
            </w:r>
          </w:p>
          <w:p w14:paraId="2C96A7AB" w14:textId="77777777" w:rsidR="005B4C24" w:rsidRPr="00573001" w:rsidRDefault="005B4C24" w:rsidP="00573001">
            <w:pPr>
              <w:spacing w:after="60"/>
              <w:rPr>
                <w:rStyle w:val="sectionlabel"/>
                <w:rFonts w:cs="Arial"/>
                <w:color w:val="000000"/>
                <w:sz w:val="22"/>
                <w:szCs w:val="22"/>
              </w:rPr>
            </w:pPr>
          </w:p>
          <w:p w14:paraId="2AAB2290" w14:textId="77777777" w:rsidR="005B4C24" w:rsidRPr="00573001" w:rsidRDefault="00E21D39" w:rsidP="00573001">
            <w:pPr>
              <w:spacing w:after="60"/>
              <w:rPr>
                <w:rStyle w:val="sectionlabel"/>
                <w:rFonts w:cs="Arial"/>
                <w:b/>
                <w:bCs/>
                <w:color w:val="000000"/>
                <w:sz w:val="22"/>
                <w:szCs w:val="22"/>
              </w:rPr>
            </w:pPr>
            <w:r w:rsidRPr="00573001">
              <w:rPr>
                <w:rStyle w:val="sectionlabel"/>
                <w:rFonts w:cs="Arial"/>
                <w:color w:val="000000"/>
                <w:sz w:val="22"/>
                <w:szCs w:val="22"/>
              </w:rPr>
              <w:t>b) soit d’une infraction punissable sur déclaration de culpabilité par procédure sommaire et passible d’un emprisonnement maximal de dix-huit mois, la peine minimale étant de quatre-vingt-dix jours.</w:t>
            </w:r>
          </w:p>
        </w:tc>
      </w:tr>
      <w:tr w:rsidR="006141B8" w14:paraId="3C40C05E" w14:textId="77777777" w:rsidTr="0098356A">
        <w:tc>
          <w:tcPr>
            <w:tcW w:w="1696" w:type="dxa"/>
          </w:tcPr>
          <w:p w14:paraId="493AF385" w14:textId="77777777" w:rsidR="00A94D75" w:rsidRPr="004315EC" w:rsidRDefault="00E21D39" w:rsidP="00573001">
            <w:pPr>
              <w:spacing w:after="60"/>
              <w:rPr>
                <w:rFonts w:cs="Arial"/>
                <w:sz w:val="22"/>
                <w:szCs w:val="22"/>
                <w:shd w:val="clear" w:color="auto" w:fill="FFFFFF"/>
              </w:rPr>
            </w:pPr>
            <w:r w:rsidRPr="004315EC">
              <w:rPr>
                <w:rFonts w:cs="Arial"/>
                <w:sz w:val="22"/>
                <w:szCs w:val="22"/>
                <w:shd w:val="clear" w:color="auto" w:fill="FFFFFF"/>
              </w:rPr>
              <w:t>2015-07-17 au 2024-11-26 :</w:t>
            </w:r>
          </w:p>
        </w:tc>
        <w:tc>
          <w:tcPr>
            <w:tcW w:w="6940" w:type="dxa"/>
          </w:tcPr>
          <w:p w14:paraId="759D1DEA" w14:textId="77777777" w:rsidR="005B4C24" w:rsidRPr="00573001" w:rsidRDefault="00E21D39" w:rsidP="00573001">
            <w:pPr>
              <w:spacing w:after="60"/>
              <w:rPr>
                <w:rStyle w:val="sectionlabel"/>
                <w:rFonts w:cs="Arial"/>
                <w:color w:val="000000"/>
                <w:sz w:val="22"/>
                <w:szCs w:val="22"/>
              </w:rPr>
            </w:pPr>
            <w:r w:rsidRPr="00573001">
              <w:rPr>
                <w:rStyle w:val="sectionlabel"/>
                <w:rFonts w:cs="Arial"/>
                <w:b/>
                <w:bCs/>
                <w:color w:val="000000"/>
                <w:sz w:val="22"/>
                <w:szCs w:val="22"/>
              </w:rPr>
              <w:t>151</w:t>
            </w:r>
            <w:r w:rsidRPr="00573001">
              <w:rPr>
                <w:rStyle w:val="sectionlabel"/>
                <w:rFonts w:cs="Arial"/>
                <w:color w:val="000000"/>
                <w:sz w:val="22"/>
                <w:szCs w:val="22"/>
              </w:rPr>
              <w:t xml:space="preserve"> Toute personne qui, à des fins d’ordre sexuel, touche directement ou indirectement, avec une partie de son corps ou avec un objet, une partie du corps d’un enfant âgé de moins de seize ans est coupable :</w:t>
            </w:r>
          </w:p>
          <w:p w14:paraId="2791A0BB" w14:textId="77777777" w:rsidR="005B4C24" w:rsidRPr="00573001" w:rsidRDefault="005B4C24" w:rsidP="00573001">
            <w:pPr>
              <w:spacing w:after="60"/>
              <w:rPr>
                <w:rStyle w:val="sectionlabel"/>
                <w:rFonts w:cs="Arial"/>
                <w:color w:val="000000"/>
                <w:sz w:val="22"/>
                <w:szCs w:val="22"/>
              </w:rPr>
            </w:pPr>
          </w:p>
          <w:p w14:paraId="18CFF031" w14:textId="77777777" w:rsidR="005B4C24" w:rsidRPr="00573001" w:rsidRDefault="00E21D39" w:rsidP="00573001">
            <w:pPr>
              <w:spacing w:after="60"/>
              <w:rPr>
                <w:rStyle w:val="sectionlabel"/>
                <w:rFonts w:cs="Arial"/>
                <w:color w:val="000000"/>
                <w:sz w:val="22"/>
                <w:szCs w:val="22"/>
              </w:rPr>
            </w:pPr>
            <w:r w:rsidRPr="00573001">
              <w:rPr>
                <w:rStyle w:val="sectionlabel"/>
                <w:rFonts w:cs="Arial"/>
                <w:color w:val="000000"/>
                <w:sz w:val="22"/>
                <w:szCs w:val="22"/>
              </w:rPr>
              <w:t>a) soit d’un acte criminel passible d’un emprisonnement maximal de quatorze ans, la peine minimale étant de un an;</w:t>
            </w:r>
          </w:p>
          <w:p w14:paraId="7C3E3B7F" w14:textId="77777777" w:rsidR="005B4C24" w:rsidRPr="00573001" w:rsidRDefault="005B4C24" w:rsidP="00573001">
            <w:pPr>
              <w:spacing w:after="60"/>
              <w:rPr>
                <w:rStyle w:val="sectionlabel"/>
                <w:rFonts w:cs="Arial"/>
                <w:color w:val="000000"/>
                <w:sz w:val="22"/>
                <w:szCs w:val="22"/>
              </w:rPr>
            </w:pPr>
          </w:p>
          <w:p w14:paraId="7A7D8413" w14:textId="77777777" w:rsidR="00A94D75" w:rsidRPr="00573001" w:rsidRDefault="00E21D39" w:rsidP="00573001">
            <w:pPr>
              <w:spacing w:after="60"/>
              <w:rPr>
                <w:rStyle w:val="sectionlabel"/>
                <w:rFonts w:cs="Arial"/>
                <w:sz w:val="22"/>
                <w:szCs w:val="22"/>
              </w:rPr>
            </w:pPr>
            <w:r w:rsidRPr="00573001">
              <w:rPr>
                <w:rStyle w:val="sectionlabel"/>
                <w:rFonts w:cs="Arial"/>
                <w:color w:val="000000"/>
                <w:sz w:val="22"/>
                <w:szCs w:val="22"/>
              </w:rPr>
              <w:t xml:space="preserve">b) soit d’une infraction punissable sur déclaration de culpabilité par procédure sommaire et passible d’un emprisonnement maximal de </w:t>
            </w:r>
            <w:r w:rsidRPr="00573001">
              <w:rPr>
                <w:rStyle w:val="sectionlabel"/>
                <w:rFonts w:cs="Arial"/>
                <w:color w:val="000000"/>
                <w:sz w:val="22"/>
                <w:szCs w:val="22"/>
              </w:rPr>
              <w:lastRenderedPageBreak/>
              <w:t>deux ans moins un jour, la peine minimale étant de quatre-vingt-dix jours.</w:t>
            </w:r>
          </w:p>
        </w:tc>
      </w:tr>
      <w:tr w:rsidR="006141B8" w14:paraId="4DB840D9" w14:textId="77777777" w:rsidTr="0098356A">
        <w:tc>
          <w:tcPr>
            <w:tcW w:w="1696" w:type="dxa"/>
          </w:tcPr>
          <w:p w14:paraId="1B20AC8B" w14:textId="77777777" w:rsidR="005B4C24" w:rsidRPr="004315EC" w:rsidRDefault="00E21D39" w:rsidP="00573001">
            <w:pPr>
              <w:spacing w:after="60"/>
              <w:rPr>
                <w:rFonts w:cs="Arial"/>
                <w:sz w:val="22"/>
                <w:szCs w:val="22"/>
                <w:shd w:val="clear" w:color="auto" w:fill="FFFFFF"/>
              </w:rPr>
            </w:pPr>
            <w:r w:rsidRPr="004315EC">
              <w:rPr>
                <w:rFonts w:cs="Arial"/>
                <w:sz w:val="22"/>
                <w:szCs w:val="22"/>
                <w:shd w:val="clear" w:color="auto" w:fill="FFFFFF"/>
              </w:rPr>
              <w:lastRenderedPageBreak/>
              <w:t>Version actuelle :</w:t>
            </w:r>
          </w:p>
        </w:tc>
        <w:tc>
          <w:tcPr>
            <w:tcW w:w="6940" w:type="dxa"/>
          </w:tcPr>
          <w:p w14:paraId="4F881488" w14:textId="77777777" w:rsidR="005B4C24" w:rsidRPr="00573001" w:rsidRDefault="00E21D39" w:rsidP="00573001">
            <w:pPr>
              <w:spacing w:after="60"/>
              <w:rPr>
                <w:rStyle w:val="sectionlabel"/>
                <w:rFonts w:cs="Arial"/>
                <w:color w:val="000000"/>
                <w:sz w:val="22"/>
                <w:szCs w:val="22"/>
              </w:rPr>
            </w:pPr>
            <w:r w:rsidRPr="00573001">
              <w:rPr>
                <w:rStyle w:val="sectionlabel"/>
                <w:rFonts w:cs="Arial"/>
                <w:b/>
                <w:bCs/>
                <w:color w:val="000000"/>
                <w:sz w:val="22"/>
                <w:szCs w:val="22"/>
              </w:rPr>
              <w:t xml:space="preserve">151 </w:t>
            </w:r>
            <w:r w:rsidRPr="00573001">
              <w:rPr>
                <w:rStyle w:val="sectionlabel"/>
                <w:rFonts w:cs="Arial"/>
                <w:color w:val="000000"/>
                <w:sz w:val="22"/>
                <w:szCs w:val="22"/>
              </w:rPr>
              <w:t>Toute personne qui, à des fins d’ordre sexuel, touche directement ou indirectement, avec une partie de son corps ou avec un objet, une partie du corps d’un enfant âgé de moins de seize ans est coupable :</w:t>
            </w:r>
          </w:p>
          <w:p w14:paraId="32887C8D" w14:textId="77777777" w:rsidR="005B4C24" w:rsidRPr="00573001" w:rsidRDefault="005B4C24" w:rsidP="00573001">
            <w:pPr>
              <w:spacing w:after="60"/>
              <w:rPr>
                <w:rStyle w:val="sectionlabel"/>
                <w:rFonts w:cs="Arial"/>
                <w:color w:val="000000"/>
                <w:sz w:val="22"/>
                <w:szCs w:val="22"/>
              </w:rPr>
            </w:pPr>
          </w:p>
          <w:p w14:paraId="391EEA37" w14:textId="77777777" w:rsidR="005B4C24" w:rsidRPr="00573001" w:rsidRDefault="00E21D39" w:rsidP="00573001">
            <w:pPr>
              <w:spacing w:after="60"/>
              <w:rPr>
                <w:rStyle w:val="sectionlabel"/>
                <w:rFonts w:cs="Arial"/>
                <w:color w:val="000000"/>
                <w:sz w:val="22"/>
                <w:szCs w:val="22"/>
              </w:rPr>
            </w:pPr>
            <w:r w:rsidRPr="00573001">
              <w:rPr>
                <w:rStyle w:val="sectionlabel"/>
                <w:rFonts w:cs="Arial"/>
                <w:color w:val="000000"/>
                <w:sz w:val="22"/>
                <w:szCs w:val="22"/>
              </w:rPr>
              <w:t>a) soit d’un acte criminel passible d’un emprisonnement maximal de quatorze ans, la peine minimale étant de un an;</w:t>
            </w:r>
          </w:p>
          <w:p w14:paraId="720C1446" w14:textId="77777777" w:rsidR="005B4C24" w:rsidRPr="00573001" w:rsidRDefault="005B4C24" w:rsidP="00573001">
            <w:pPr>
              <w:spacing w:after="60"/>
              <w:rPr>
                <w:rStyle w:val="sectionlabel"/>
                <w:rFonts w:cs="Arial"/>
                <w:color w:val="000000"/>
                <w:sz w:val="22"/>
                <w:szCs w:val="22"/>
              </w:rPr>
            </w:pPr>
          </w:p>
          <w:p w14:paraId="5472A888" w14:textId="77777777" w:rsidR="005B4C24" w:rsidRPr="00573001" w:rsidRDefault="00E21D39" w:rsidP="00573001">
            <w:pPr>
              <w:spacing w:after="60"/>
              <w:rPr>
                <w:rStyle w:val="sectionlabel"/>
                <w:rFonts w:cs="Arial"/>
                <w:b/>
                <w:bCs/>
                <w:color w:val="000000"/>
                <w:sz w:val="22"/>
                <w:szCs w:val="22"/>
              </w:rPr>
            </w:pPr>
            <w:r w:rsidRPr="00573001">
              <w:rPr>
                <w:rStyle w:val="sectionlabel"/>
                <w:rFonts w:cs="Arial"/>
                <w:color w:val="000000"/>
                <w:sz w:val="22"/>
                <w:szCs w:val="22"/>
              </w:rPr>
              <w:t>b) soit d’une infraction punissable sur déclaration de culpabilité par procédure sommaire et passible d’un emprisonnement maximal de deux ans moins un jour, la peine minimale étant de quatre-vingt-dix jours.</w:t>
            </w:r>
          </w:p>
        </w:tc>
      </w:tr>
    </w:tbl>
    <w:p w14:paraId="309C9DB3" w14:textId="77777777" w:rsidR="004820E6" w:rsidRPr="004728E6" w:rsidRDefault="00E21D39" w:rsidP="004820E6">
      <w:pPr>
        <w:pStyle w:val="Paragrdouble"/>
        <w:numPr>
          <w:ilvl w:val="0"/>
          <w:numId w:val="0"/>
        </w:numPr>
        <w:spacing w:line="240" w:lineRule="auto"/>
        <w:ind w:left="731" w:right="715" w:hanging="164"/>
        <w:jc w:val="right"/>
        <w:rPr>
          <w:rFonts w:cs="Arial"/>
          <w:sz w:val="22"/>
          <w:szCs w:val="18"/>
        </w:rPr>
      </w:pPr>
      <w:r>
        <w:rPr>
          <w:rFonts w:cs="Arial"/>
          <w:sz w:val="22"/>
          <w:szCs w:val="18"/>
        </w:rPr>
        <w:t>[Les soulignements visent à montrer l’évolution législative]</w:t>
      </w:r>
    </w:p>
    <w:p w14:paraId="035A9FD7" w14:textId="77777777" w:rsidR="005402D0" w:rsidRPr="00103606" w:rsidRDefault="00E21D39" w:rsidP="00087FC3">
      <w:pPr>
        <w:pStyle w:val="Paragrdouble"/>
        <w:spacing w:line="276" w:lineRule="auto"/>
        <w:rPr>
          <w:rFonts w:cs="Arial"/>
        </w:rPr>
      </w:pPr>
      <w:r w:rsidRPr="00103606">
        <w:rPr>
          <w:rFonts w:cs="Arial"/>
        </w:rPr>
        <w:t xml:space="preserve">Pour ce qui est du crime </w:t>
      </w:r>
      <w:r w:rsidR="00800CDC" w:rsidRPr="00103606">
        <w:rPr>
          <w:rFonts w:cs="Arial"/>
        </w:rPr>
        <w:t>d’«</w:t>
      </w:r>
      <w:r w:rsidRPr="00103606">
        <w:rPr>
          <w:rFonts w:cs="Arial"/>
        </w:rPr>
        <w:t xml:space="preserve"> Exploitation sexuelle », l’article 153 C.cr. se </w:t>
      </w:r>
      <w:r w:rsidR="00800CDC">
        <w:rPr>
          <w:rFonts w:cs="Arial"/>
        </w:rPr>
        <w:t xml:space="preserve">lit comme suit : </w:t>
      </w:r>
    </w:p>
    <w:tbl>
      <w:tblPr>
        <w:tblStyle w:val="Grilledutableau"/>
        <w:tblW w:w="0" w:type="auto"/>
        <w:tblLook w:val="04A0" w:firstRow="1" w:lastRow="0" w:firstColumn="1" w:lastColumn="0" w:noHBand="0" w:noVBand="1"/>
      </w:tblPr>
      <w:tblGrid>
        <w:gridCol w:w="1696"/>
        <w:gridCol w:w="6940"/>
      </w:tblGrid>
      <w:tr w:rsidR="006141B8" w14:paraId="3DF47D84" w14:textId="77777777" w:rsidTr="0098356A">
        <w:tc>
          <w:tcPr>
            <w:tcW w:w="1696" w:type="dxa"/>
          </w:tcPr>
          <w:p w14:paraId="46B2BD58" w14:textId="77777777" w:rsidR="005402D0" w:rsidRPr="008E4723" w:rsidRDefault="00E21D39" w:rsidP="00573001">
            <w:pPr>
              <w:spacing w:before="80"/>
              <w:rPr>
                <w:rFonts w:cs="Arial"/>
                <w:sz w:val="22"/>
                <w:szCs w:val="22"/>
              </w:rPr>
            </w:pPr>
            <w:r w:rsidRPr="008E4723">
              <w:rPr>
                <w:rFonts w:cs="Arial"/>
                <w:sz w:val="22"/>
                <w:szCs w:val="22"/>
                <w:shd w:val="clear" w:color="auto" w:fill="FFFFFF"/>
              </w:rPr>
              <w:t>De 1996</w:t>
            </w:r>
            <w:r>
              <w:rPr>
                <w:rStyle w:val="Appelnotedebasdep"/>
                <w:rFonts w:cs="Arial"/>
                <w:sz w:val="22"/>
                <w:szCs w:val="22"/>
                <w:shd w:val="clear" w:color="auto" w:fill="FFFFFF"/>
              </w:rPr>
              <w:footnoteReference w:id="15"/>
            </w:r>
            <w:r w:rsidRPr="008E4723">
              <w:rPr>
                <w:rFonts w:cs="Arial"/>
                <w:sz w:val="22"/>
                <w:szCs w:val="22"/>
                <w:shd w:val="clear" w:color="auto" w:fill="FFFFFF"/>
              </w:rPr>
              <w:t xml:space="preserve"> au 2005-10-31</w:t>
            </w:r>
            <w:r w:rsidR="005B4C24" w:rsidRPr="008E4723">
              <w:rPr>
                <w:rFonts w:cs="Arial"/>
                <w:sz w:val="22"/>
                <w:szCs w:val="22"/>
                <w:shd w:val="clear" w:color="auto" w:fill="FFFFFF"/>
              </w:rPr>
              <w:t> :</w:t>
            </w:r>
          </w:p>
        </w:tc>
        <w:tc>
          <w:tcPr>
            <w:tcW w:w="6940" w:type="dxa"/>
          </w:tcPr>
          <w:p w14:paraId="5216A253" w14:textId="77777777" w:rsidR="005402D0" w:rsidRPr="008E4723" w:rsidRDefault="00E21D39" w:rsidP="00573001">
            <w:pPr>
              <w:pStyle w:val="subsection"/>
              <w:shd w:val="clear" w:color="auto" w:fill="FFFFFF"/>
              <w:spacing w:before="80" w:beforeAutospacing="0" w:after="0" w:afterAutospacing="0"/>
              <w:jc w:val="both"/>
              <w:rPr>
                <w:rFonts w:ascii="Arial" w:hAnsi="Arial" w:cs="Arial"/>
                <w:sz w:val="22"/>
                <w:szCs w:val="22"/>
              </w:rPr>
            </w:pPr>
            <w:r w:rsidRPr="008E4723">
              <w:rPr>
                <w:rStyle w:val="sectionlabel"/>
                <w:rFonts w:ascii="Arial" w:hAnsi="Arial" w:cs="Arial"/>
                <w:b/>
                <w:sz w:val="22"/>
                <w:szCs w:val="22"/>
              </w:rPr>
              <w:t>153</w:t>
            </w:r>
            <w:r w:rsidRPr="008E4723">
              <w:rPr>
                <w:rFonts w:ascii="Arial" w:hAnsi="Arial" w:cs="Arial"/>
                <w:sz w:val="22"/>
                <w:szCs w:val="22"/>
              </w:rPr>
              <w:t> </w:t>
            </w:r>
            <w:r w:rsidRPr="008E4723">
              <w:rPr>
                <w:rStyle w:val="lawlabel"/>
                <w:rFonts w:ascii="Arial" w:eastAsia="Calibri" w:hAnsi="Arial" w:cs="Arial"/>
                <w:b/>
                <w:bCs/>
                <w:sz w:val="22"/>
                <w:szCs w:val="22"/>
              </w:rPr>
              <w:t>(1)</w:t>
            </w:r>
            <w:r w:rsidRPr="008E4723">
              <w:rPr>
                <w:rFonts w:ascii="Arial" w:hAnsi="Arial" w:cs="Arial"/>
                <w:sz w:val="22"/>
                <w:szCs w:val="22"/>
              </w:rPr>
              <w:t> Est coupable soit d’un acte criminel et passible d’un emprisonnement maximal de cinq ans, soit d’une infraction punissable sur déclaration de culpabilité par procédure sommaire, toute personne qui est en situation d’autorité ou de confiance vis-à-vis d’un adolescent ou à l’égard de laquelle l’adolescent est en situation de dépendance et qui, selon le cas :</w:t>
            </w:r>
          </w:p>
          <w:p w14:paraId="495E1D53"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a)</w:t>
            </w:r>
            <w:r w:rsidRPr="008E4723">
              <w:rPr>
                <w:rFonts w:ascii="Arial" w:hAnsi="Arial" w:cs="Arial"/>
                <w:sz w:val="22"/>
                <w:szCs w:val="22"/>
              </w:rPr>
              <w:t> à des fins d’ordre sexuel, touche, directement ou indirectement, avec une partie de son corps ou avec un objet, une partie du corps de l’adolescent;</w:t>
            </w:r>
          </w:p>
          <w:p w14:paraId="3A97C475"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b)</w:t>
            </w:r>
            <w:r w:rsidRPr="008E4723">
              <w:rPr>
                <w:rFonts w:ascii="Arial" w:hAnsi="Arial" w:cs="Arial"/>
                <w:sz w:val="22"/>
                <w:szCs w:val="22"/>
              </w:rPr>
              <w:t> à des fins d’ordre sexuel, invite, engage ou incite un adolescent à la toucher, à se toucher ou à toucher un tiers, directement ou indirectement, avec une partie du corps ou avec un objet.</w:t>
            </w:r>
          </w:p>
          <w:p w14:paraId="6B588508" w14:textId="77777777" w:rsidR="005402D0" w:rsidRPr="008E4723" w:rsidRDefault="00E21D39" w:rsidP="00573001">
            <w:pPr>
              <w:pStyle w:val="subsection"/>
              <w:shd w:val="clear" w:color="auto" w:fill="FFFFFF"/>
              <w:spacing w:before="80" w:beforeAutospacing="0" w:after="0" w:afterAutospacing="0"/>
              <w:jc w:val="both"/>
              <w:rPr>
                <w:rFonts w:ascii="Arial" w:hAnsi="Arial" w:cs="Arial"/>
                <w:sz w:val="22"/>
                <w:szCs w:val="22"/>
              </w:rPr>
            </w:pPr>
            <w:r w:rsidRPr="008E4723">
              <w:rPr>
                <w:rStyle w:val="lawlabel"/>
                <w:rFonts w:ascii="Arial" w:eastAsia="Calibri" w:hAnsi="Arial" w:cs="Arial"/>
                <w:b/>
                <w:bCs/>
                <w:sz w:val="22"/>
                <w:szCs w:val="22"/>
              </w:rPr>
              <w:t>(2)</w:t>
            </w:r>
            <w:r w:rsidRPr="008E4723">
              <w:rPr>
                <w:rFonts w:ascii="Arial" w:hAnsi="Arial" w:cs="Arial"/>
                <w:sz w:val="22"/>
                <w:szCs w:val="22"/>
              </w:rPr>
              <w:t> Pour l’application du présent article, </w:t>
            </w:r>
            <w:r w:rsidRPr="008E4723">
              <w:rPr>
                <w:rStyle w:val="DfinitionHTML"/>
                <w:rFonts w:ascii="Arial" w:hAnsi="Arial" w:cs="Arial"/>
                <w:sz w:val="22"/>
                <w:szCs w:val="22"/>
              </w:rPr>
              <w:t>adolescent</w:t>
            </w:r>
            <w:r w:rsidRPr="008E4723">
              <w:rPr>
                <w:rFonts w:ascii="Arial" w:hAnsi="Arial" w:cs="Arial"/>
                <w:sz w:val="22"/>
                <w:szCs w:val="22"/>
              </w:rPr>
              <w:t> s’entend d’une personne âgée de quatorze ans au moins</w:t>
            </w:r>
            <w:r w:rsidR="00E03EB1" w:rsidRPr="008E4723">
              <w:rPr>
                <w:rFonts w:ascii="Arial" w:hAnsi="Arial" w:cs="Arial"/>
                <w:sz w:val="22"/>
                <w:szCs w:val="22"/>
              </w:rPr>
              <w:t>,</w:t>
            </w:r>
            <w:r w:rsidRPr="008E4723">
              <w:rPr>
                <w:rFonts w:ascii="Arial" w:hAnsi="Arial" w:cs="Arial"/>
                <w:sz w:val="22"/>
                <w:szCs w:val="22"/>
              </w:rPr>
              <w:t xml:space="preserve"> mais de moins de dix-huit ans.</w:t>
            </w:r>
          </w:p>
        </w:tc>
      </w:tr>
      <w:tr w:rsidR="006141B8" w14:paraId="4AAEF1AB" w14:textId="77777777" w:rsidTr="0098356A">
        <w:tc>
          <w:tcPr>
            <w:tcW w:w="1696" w:type="dxa"/>
          </w:tcPr>
          <w:p w14:paraId="6780034C" w14:textId="77777777" w:rsidR="005402D0" w:rsidRPr="008E4723" w:rsidRDefault="00E21D39" w:rsidP="00573001">
            <w:pPr>
              <w:spacing w:before="80"/>
              <w:rPr>
                <w:rFonts w:cs="Arial"/>
                <w:sz w:val="22"/>
                <w:szCs w:val="22"/>
              </w:rPr>
            </w:pPr>
            <w:r w:rsidRPr="008E4723">
              <w:rPr>
                <w:rFonts w:cs="Arial"/>
                <w:sz w:val="22"/>
                <w:szCs w:val="22"/>
                <w:shd w:val="clear" w:color="auto" w:fill="FFFFFF"/>
              </w:rPr>
              <w:t>2005-11-01</w:t>
            </w:r>
            <w:r>
              <w:rPr>
                <w:rStyle w:val="Appelnotedebasdep"/>
                <w:rFonts w:cs="Arial"/>
                <w:sz w:val="22"/>
                <w:szCs w:val="22"/>
                <w:shd w:val="clear" w:color="auto" w:fill="FFFFFF"/>
              </w:rPr>
              <w:footnoteReference w:id="16"/>
            </w:r>
            <w:r w:rsidRPr="008E4723">
              <w:rPr>
                <w:rFonts w:cs="Arial"/>
                <w:sz w:val="22"/>
                <w:szCs w:val="22"/>
                <w:shd w:val="clear" w:color="auto" w:fill="FFFFFF"/>
              </w:rPr>
              <w:t xml:space="preserve"> au 2008-04-30</w:t>
            </w:r>
            <w:r w:rsidR="005B4C24" w:rsidRPr="008E4723">
              <w:rPr>
                <w:rFonts w:cs="Arial"/>
                <w:sz w:val="22"/>
                <w:szCs w:val="22"/>
                <w:shd w:val="clear" w:color="auto" w:fill="FFFFFF"/>
              </w:rPr>
              <w:t> :</w:t>
            </w:r>
          </w:p>
        </w:tc>
        <w:tc>
          <w:tcPr>
            <w:tcW w:w="6940" w:type="dxa"/>
          </w:tcPr>
          <w:p w14:paraId="350B6C5A" w14:textId="77777777" w:rsidR="005402D0" w:rsidRPr="007E50B9" w:rsidRDefault="00E21D39" w:rsidP="00573001">
            <w:pPr>
              <w:pStyle w:val="subsection"/>
              <w:shd w:val="clear" w:color="auto" w:fill="FFFFFF"/>
              <w:spacing w:before="80" w:beforeAutospacing="0" w:after="0" w:afterAutospacing="0"/>
              <w:jc w:val="both"/>
              <w:rPr>
                <w:rFonts w:ascii="Arial" w:hAnsi="Arial" w:cs="Arial"/>
                <w:color w:val="000000" w:themeColor="text1"/>
                <w:sz w:val="22"/>
                <w:szCs w:val="22"/>
              </w:rPr>
            </w:pPr>
            <w:r w:rsidRPr="007E50B9">
              <w:rPr>
                <w:rStyle w:val="sectionlabel"/>
                <w:rFonts w:ascii="Arial" w:hAnsi="Arial" w:cs="Arial"/>
                <w:b/>
                <w:color w:val="000000" w:themeColor="text1"/>
                <w:sz w:val="22"/>
                <w:szCs w:val="22"/>
              </w:rPr>
              <w:t>153</w:t>
            </w:r>
            <w:r w:rsidRPr="007E50B9">
              <w:rPr>
                <w:rFonts w:ascii="Arial" w:hAnsi="Arial" w:cs="Arial"/>
                <w:color w:val="000000" w:themeColor="text1"/>
                <w:sz w:val="22"/>
                <w:szCs w:val="22"/>
              </w:rPr>
              <w:t> </w:t>
            </w:r>
            <w:r w:rsidRPr="007E50B9">
              <w:rPr>
                <w:rStyle w:val="lawlabel"/>
                <w:rFonts w:ascii="Arial" w:eastAsia="Calibri" w:hAnsi="Arial" w:cs="Arial"/>
                <w:b/>
                <w:bCs/>
                <w:color w:val="000000" w:themeColor="text1"/>
                <w:sz w:val="22"/>
                <w:szCs w:val="22"/>
              </w:rPr>
              <w:t>(1)</w:t>
            </w:r>
            <w:r w:rsidRPr="007E50B9">
              <w:rPr>
                <w:rFonts w:ascii="Arial" w:hAnsi="Arial" w:cs="Arial"/>
                <w:color w:val="000000" w:themeColor="text1"/>
                <w:sz w:val="22"/>
                <w:szCs w:val="22"/>
              </w:rPr>
              <w:t> </w:t>
            </w:r>
            <w:r w:rsidRPr="007E50B9">
              <w:rPr>
                <w:rFonts w:ascii="Arial" w:hAnsi="Arial" w:cs="Arial"/>
                <w:color w:val="000000" w:themeColor="text1"/>
                <w:sz w:val="22"/>
                <w:szCs w:val="22"/>
                <w:u w:val="single"/>
              </w:rPr>
              <w:t>Commet une infraction toute personne qui est en situation d’autorité ou de confiance vis-à-vis d’un adolescent, à l’égard de laquelle l’adolescent est en situation de dépendance ou qui est dans une relation où elle exploite l’adolescent et qui, selon le cas</w:t>
            </w:r>
            <w:r w:rsidRPr="007E50B9">
              <w:rPr>
                <w:rFonts w:ascii="Arial" w:hAnsi="Arial" w:cs="Arial"/>
                <w:color w:val="000000" w:themeColor="text1"/>
                <w:sz w:val="22"/>
                <w:szCs w:val="22"/>
              </w:rPr>
              <w:t> :</w:t>
            </w:r>
          </w:p>
          <w:p w14:paraId="12488833" w14:textId="77777777" w:rsidR="005402D0" w:rsidRPr="007E50B9" w:rsidRDefault="00E21D39" w:rsidP="00573001">
            <w:pPr>
              <w:pStyle w:val="paragraph"/>
              <w:shd w:val="clear" w:color="auto" w:fill="FFFFFF"/>
              <w:spacing w:before="80" w:beforeAutospacing="0" w:after="0" w:afterAutospacing="0"/>
              <w:ind w:left="313"/>
              <w:jc w:val="both"/>
              <w:rPr>
                <w:rFonts w:ascii="Arial" w:hAnsi="Arial" w:cs="Arial"/>
                <w:color w:val="000000" w:themeColor="text1"/>
                <w:sz w:val="22"/>
                <w:szCs w:val="22"/>
              </w:rPr>
            </w:pPr>
            <w:r w:rsidRPr="007E50B9">
              <w:rPr>
                <w:rStyle w:val="lawlabel"/>
                <w:rFonts w:ascii="Arial" w:eastAsia="Calibri" w:hAnsi="Arial" w:cs="Arial"/>
                <w:b/>
                <w:bCs/>
                <w:color w:val="000000" w:themeColor="text1"/>
                <w:sz w:val="22"/>
                <w:szCs w:val="22"/>
              </w:rPr>
              <w:t>a) </w:t>
            </w:r>
            <w:r w:rsidRPr="007E50B9">
              <w:rPr>
                <w:rFonts w:ascii="Arial" w:hAnsi="Arial" w:cs="Arial"/>
                <w:color w:val="000000" w:themeColor="text1"/>
                <w:sz w:val="22"/>
                <w:szCs w:val="22"/>
              </w:rPr>
              <w:t> à des fins d’ordre sexuel, touche, directement ou indirectement, avec une partie de son corps ou avec un objet, une partie du corps de l’adolescent;</w:t>
            </w:r>
          </w:p>
          <w:p w14:paraId="039DB54B" w14:textId="77777777" w:rsidR="005402D0" w:rsidRPr="007E50B9" w:rsidRDefault="00E21D39" w:rsidP="00573001">
            <w:pPr>
              <w:pStyle w:val="paragraph"/>
              <w:shd w:val="clear" w:color="auto" w:fill="FFFFFF"/>
              <w:spacing w:before="80" w:beforeAutospacing="0" w:after="0" w:afterAutospacing="0"/>
              <w:ind w:left="313"/>
              <w:jc w:val="both"/>
              <w:rPr>
                <w:rFonts w:ascii="Arial" w:hAnsi="Arial" w:cs="Arial"/>
                <w:color w:val="000000" w:themeColor="text1"/>
                <w:sz w:val="22"/>
                <w:szCs w:val="22"/>
              </w:rPr>
            </w:pPr>
            <w:r w:rsidRPr="007E50B9">
              <w:rPr>
                <w:rStyle w:val="lawlabel"/>
                <w:rFonts w:ascii="Arial" w:eastAsia="Calibri" w:hAnsi="Arial" w:cs="Arial"/>
                <w:b/>
                <w:bCs/>
                <w:color w:val="000000" w:themeColor="text1"/>
                <w:sz w:val="22"/>
                <w:szCs w:val="22"/>
              </w:rPr>
              <w:t>b) </w:t>
            </w:r>
            <w:r w:rsidRPr="007E50B9">
              <w:rPr>
                <w:rFonts w:ascii="Arial" w:hAnsi="Arial" w:cs="Arial"/>
                <w:color w:val="000000" w:themeColor="text1"/>
                <w:sz w:val="22"/>
                <w:szCs w:val="22"/>
              </w:rPr>
              <w:t> à des fins d’ordre sexuel, invite, engage ou incite un adolescent à la toucher, à se toucher ou à toucher un tiers, directement ou indirectement, avec une partie du corps ou avec un objet.</w:t>
            </w:r>
          </w:p>
          <w:p w14:paraId="5440AA87" w14:textId="77777777" w:rsidR="005402D0" w:rsidRPr="007E50B9" w:rsidRDefault="00E21D39" w:rsidP="00573001">
            <w:pPr>
              <w:pStyle w:val="subsection"/>
              <w:shd w:val="clear" w:color="auto" w:fill="FFFFFF"/>
              <w:spacing w:before="80" w:beforeAutospacing="0" w:after="0" w:afterAutospacing="0"/>
              <w:jc w:val="both"/>
              <w:rPr>
                <w:rFonts w:ascii="Arial" w:hAnsi="Arial" w:cs="Arial"/>
                <w:color w:val="000000" w:themeColor="text1"/>
                <w:sz w:val="22"/>
                <w:szCs w:val="22"/>
              </w:rPr>
            </w:pPr>
            <w:r w:rsidRPr="007E50B9">
              <w:rPr>
                <w:rStyle w:val="lawlabel"/>
                <w:rFonts w:ascii="Arial" w:eastAsia="Calibri" w:hAnsi="Arial" w:cs="Arial"/>
                <w:b/>
                <w:bCs/>
                <w:color w:val="000000" w:themeColor="text1"/>
                <w:sz w:val="22"/>
                <w:szCs w:val="22"/>
              </w:rPr>
              <w:lastRenderedPageBreak/>
              <w:t>(1.1)</w:t>
            </w:r>
            <w:r w:rsidRPr="007E50B9">
              <w:rPr>
                <w:rFonts w:ascii="Arial" w:hAnsi="Arial" w:cs="Arial"/>
                <w:color w:val="000000" w:themeColor="text1"/>
                <w:sz w:val="22"/>
                <w:szCs w:val="22"/>
              </w:rPr>
              <w:t> Quiconque commet l’infraction visée au paragraphe (1) est coupable :</w:t>
            </w:r>
          </w:p>
          <w:p w14:paraId="4FDAE44B" w14:textId="77777777" w:rsidR="005402D0" w:rsidRPr="007E50B9" w:rsidRDefault="00E21D39" w:rsidP="00573001">
            <w:pPr>
              <w:pStyle w:val="paragraph"/>
              <w:shd w:val="clear" w:color="auto" w:fill="FFFFFF"/>
              <w:spacing w:before="80" w:beforeAutospacing="0" w:after="0" w:afterAutospacing="0"/>
              <w:ind w:left="313"/>
              <w:jc w:val="both"/>
              <w:rPr>
                <w:rFonts w:ascii="Arial" w:hAnsi="Arial" w:cs="Arial"/>
                <w:color w:val="000000" w:themeColor="text1"/>
                <w:sz w:val="22"/>
                <w:szCs w:val="22"/>
              </w:rPr>
            </w:pPr>
            <w:r w:rsidRPr="007E50B9">
              <w:rPr>
                <w:rStyle w:val="lawlabel"/>
                <w:rFonts w:ascii="Arial" w:eastAsia="Calibri" w:hAnsi="Arial" w:cs="Arial"/>
                <w:b/>
                <w:bCs/>
                <w:color w:val="000000" w:themeColor="text1"/>
                <w:sz w:val="22"/>
                <w:szCs w:val="22"/>
              </w:rPr>
              <w:t>a) </w:t>
            </w:r>
            <w:r w:rsidRPr="007E50B9">
              <w:rPr>
                <w:rFonts w:ascii="Arial" w:hAnsi="Arial" w:cs="Arial"/>
                <w:color w:val="000000" w:themeColor="text1"/>
                <w:sz w:val="22"/>
                <w:szCs w:val="22"/>
              </w:rPr>
              <w:t xml:space="preserve"> soit d’un acte criminel passible d’un </w:t>
            </w:r>
            <w:r w:rsidRPr="007E50B9">
              <w:rPr>
                <w:rFonts w:ascii="Arial" w:hAnsi="Arial" w:cs="Arial"/>
                <w:color w:val="000000" w:themeColor="text1"/>
                <w:sz w:val="22"/>
                <w:szCs w:val="22"/>
                <w:u w:val="single"/>
              </w:rPr>
              <w:t>emprisonnement maximal de dix ans, la peine minimale étant de quarante-cinq jours</w:t>
            </w:r>
            <w:r w:rsidRPr="007E50B9">
              <w:rPr>
                <w:rFonts w:ascii="Arial" w:hAnsi="Arial" w:cs="Arial"/>
                <w:color w:val="000000" w:themeColor="text1"/>
                <w:sz w:val="22"/>
                <w:szCs w:val="22"/>
              </w:rPr>
              <w:t>;</w:t>
            </w:r>
          </w:p>
          <w:p w14:paraId="1B74F6A0" w14:textId="77777777" w:rsidR="005402D0" w:rsidRPr="007E50B9" w:rsidRDefault="00E21D39" w:rsidP="00573001">
            <w:pPr>
              <w:pStyle w:val="paragraph"/>
              <w:shd w:val="clear" w:color="auto" w:fill="FFFFFF"/>
              <w:spacing w:before="80" w:beforeAutospacing="0" w:after="0" w:afterAutospacing="0"/>
              <w:ind w:left="313"/>
              <w:jc w:val="both"/>
              <w:rPr>
                <w:rFonts w:ascii="Arial" w:hAnsi="Arial" w:cs="Arial"/>
                <w:color w:val="000000" w:themeColor="text1"/>
                <w:sz w:val="22"/>
                <w:szCs w:val="22"/>
                <w:u w:val="single"/>
              </w:rPr>
            </w:pPr>
            <w:r w:rsidRPr="007E50B9">
              <w:rPr>
                <w:rStyle w:val="lawlabel"/>
                <w:rFonts w:ascii="Arial" w:eastAsia="Calibri" w:hAnsi="Arial" w:cs="Arial"/>
                <w:b/>
                <w:bCs/>
                <w:color w:val="000000" w:themeColor="text1"/>
                <w:sz w:val="22"/>
                <w:szCs w:val="22"/>
              </w:rPr>
              <w:t>b) </w:t>
            </w:r>
            <w:r w:rsidRPr="007E50B9">
              <w:rPr>
                <w:rFonts w:ascii="Arial" w:hAnsi="Arial" w:cs="Arial"/>
                <w:color w:val="000000" w:themeColor="text1"/>
                <w:sz w:val="22"/>
                <w:szCs w:val="22"/>
              </w:rPr>
              <w:t xml:space="preserve"> soit d’une infraction punissable sur déclaration de culpabilité par procédure sommaire et </w:t>
            </w:r>
            <w:r w:rsidRPr="007E50B9">
              <w:rPr>
                <w:rFonts w:ascii="Arial" w:hAnsi="Arial" w:cs="Arial"/>
                <w:color w:val="000000" w:themeColor="text1"/>
                <w:sz w:val="22"/>
                <w:szCs w:val="22"/>
                <w:u w:val="single"/>
              </w:rPr>
              <w:t>passible d’un emprisonnement maximal de dix-huit mois, la peine minimale étant de quatorze jours.</w:t>
            </w:r>
          </w:p>
          <w:p w14:paraId="712628BF" w14:textId="77777777" w:rsidR="005402D0" w:rsidRPr="007E50B9" w:rsidRDefault="00E21D39" w:rsidP="00573001">
            <w:pPr>
              <w:pStyle w:val="subsection"/>
              <w:shd w:val="clear" w:color="auto" w:fill="FFFFFF"/>
              <w:spacing w:before="80" w:beforeAutospacing="0" w:after="0" w:afterAutospacing="0"/>
              <w:jc w:val="both"/>
              <w:rPr>
                <w:rFonts w:ascii="Arial" w:hAnsi="Arial" w:cs="Arial"/>
                <w:color w:val="000000" w:themeColor="text1"/>
                <w:sz w:val="22"/>
                <w:szCs w:val="22"/>
                <w:u w:val="single"/>
              </w:rPr>
            </w:pPr>
            <w:r w:rsidRPr="007E50B9">
              <w:rPr>
                <w:rStyle w:val="lawlabel"/>
                <w:rFonts w:ascii="Arial" w:eastAsia="Calibri" w:hAnsi="Arial" w:cs="Arial"/>
                <w:b/>
                <w:bCs/>
                <w:color w:val="000000" w:themeColor="text1"/>
                <w:sz w:val="22"/>
                <w:szCs w:val="22"/>
                <w:u w:val="single"/>
              </w:rPr>
              <w:t>(1.2)</w:t>
            </w:r>
            <w:r w:rsidRPr="007E50B9">
              <w:rPr>
                <w:rFonts w:ascii="Arial" w:hAnsi="Arial" w:cs="Arial"/>
                <w:color w:val="000000" w:themeColor="text1"/>
                <w:sz w:val="22"/>
                <w:szCs w:val="22"/>
                <w:u w:val="single"/>
              </w:rPr>
              <w:t> Le juge peut déduire de la nature de la relation entre la personne et l’adolescent et des circonstances qui l’entourent, notamment des éléments ci-après, que celle-ci est dans une relation où elle exploite l’adolescent :</w:t>
            </w:r>
          </w:p>
          <w:p w14:paraId="5FF6124F" w14:textId="77777777" w:rsidR="005402D0" w:rsidRPr="007E50B9" w:rsidRDefault="00E21D39" w:rsidP="00573001">
            <w:pPr>
              <w:pStyle w:val="paragraph"/>
              <w:shd w:val="clear" w:color="auto" w:fill="FFFFFF"/>
              <w:spacing w:before="80" w:beforeAutospacing="0" w:after="0" w:afterAutospacing="0"/>
              <w:ind w:left="313"/>
              <w:jc w:val="both"/>
              <w:rPr>
                <w:rFonts w:ascii="Arial" w:hAnsi="Arial" w:cs="Arial"/>
                <w:color w:val="000000" w:themeColor="text1"/>
                <w:sz w:val="22"/>
                <w:szCs w:val="22"/>
                <w:u w:val="single"/>
              </w:rPr>
            </w:pPr>
            <w:r w:rsidRPr="007E50B9">
              <w:rPr>
                <w:rStyle w:val="lawlabel"/>
                <w:rFonts w:ascii="Arial" w:eastAsia="Calibri" w:hAnsi="Arial" w:cs="Arial"/>
                <w:b/>
                <w:bCs/>
                <w:color w:val="000000" w:themeColor="text1"/>
                <w:sz w:val="22"/>
                <w:szCs w:val="22"/>
                <w:u w:val="single"/>
              </w:rPr>
              <w:t>a)</w:t>
            </w:r>
            <w:r w:rsidRPr="007E50B9">
              <w:rPr>
                <w:rFonts w:ascii="Arial" w:hAnsi="Arial" w:cs="Arial"/>
                <w:color w:val="000000" w:themeColor="text1"/>
                <w:sz w:val="22"/>
                <w:szCs w:val="22"/>
                <w:u w:val="single"/>
              </w:rPr>
              <w:t> l’âge de l’adolescent;</w:t>
            </w:r>
          </w:p>
          <w:p w14:paraId="7E294254" w14:textId="77777777" w:rsidR="005402D0" w:rsidRPr="007E50B9" w:rsidRDefault="00E21D39" w:rsidP="00573001">
            <w:pPr>
              <w:pStyle w:val="paragraph"/>
              <w:shd w:val="clear" w:color="auto" w:fill="FFFFFF"/>
              <w:spacing w:before="80" w:beforeAutospacing="0" w:after="0" w:afterAutospacing="0"/>
              <w:ind w:left="313"/>
              <w:jc w:val="both"/>
              <w:rPr>
                <w:rFonts w:ascii="Arial" w:hAnsi="Arial" w:cs="Arial"/>
                <w:color w:val="000000" w:themeColor="text1"/>
                <w:sz w:val="22"/>
                <w:szCs w:val="22"/>
                <w:u w:val="single"/>
              </w:rPr>
            </w:pPr>
            <w:r w:rsidRPr="007E50B9">
              <w:rPr>
                <w:rStyle w:val="lawlabel"/>
                <w:rFonts w:ascii="Arial" w:eastAsia="Calibri" w:hAnsi="Arial" w:cs="Arial"/>
                <w:b/>
                <w:bCs/>
                <w:color w:val="000000" w:themeColor="text1"/>
                <w:sz w:val="22"/>
                <w:szCs w:val="22"/>
                <w:u w:val="single"/>
              </w:rPr>
              <w:t>b)</w:t>
            </w:r>
            <w:r w:rsidRPr="007E50B9">
              <w:rPr>
                <w:rFonts w:ascii="Arial" w:hAnsi="Arial" w:cs="Arial"/>
                <w:color w:val="000000" w:themeColor="text1"/>
                <w:sz w:val="22"/>
                <w:szCs w:val="22"/>
                <w:u w:val="single"/>
              </w:rPr>
              <w:t> la différence d’âge entre la personne et l’adolescent;</w:t>
            </w:r>
          </w:p>
          <w:p w14:paraId="0FE2845C" w14:textId="77777777" w:rsidR="005402D0" w:rsidRPr="007E50B9" w:rsidRDefault="00E21D39" w:rsidP="00573001">
            <w:pPr>
              <w:pStyle w:val="paragraph"/>
              <w:shd w:val="clear" w:color="auto" w:fill="FFFFFF"/>
              <w:spacing w:before="80" w:beforeAutospacing="0" w:after="0" w:afterAutospacing="0"/>
              <w:ind w:left="313"/>
              <w:jc w:val="both"/>
              <w:rPr>
                <w:rFonts w:ascii="Arial" w:hAnsi="Arial" w:cs="Arial"/>
                <w:color w:val="000000" w:themeColor="text1"/>
                <w:sz w:val="22"/>
                <w:szCs w:val="22"/>
                <w:u w:val="single"/>
              </w:rPr>
            </w:pPr>
            <w:r w:rsidRPr="007E50B9">
              <w:rPr>
                <w:rStyle w:val="lawlabel"/>
                <w:rFonts w:ascii="Arial" w:eastAsia="Calibri" w:hAnsi="Arial" w:cs="Arial"/>
                <w:b/>
                <w:bCs/>
                <w:color w:val="000000" w:themeColor="text1"/>
                <w:sz w:val="22"/>
                <w:szCs w:val="22"/>
                <w:u w:val="single"/>
              </w:rPr>
              <w:t>c)</w:t>
            </w:r>
            <w:r w:rsidRPr="007E50B9">
              <w:rPr>
                <w:rFonts w:ascii="Arial" w:hAnsi="Arial" w:cs="Arial"/>
                <w:color w:val="000000" w:themeColor="text1"/>
                <w:sz w:val="22"/>
                <w:szCs w:val="22"/>
                <w:u w:val="single"/>
              </w:rPr>
              <w:t> l’évolution de leur relation;</w:t>
            </w:r>
          </w:p>
          <w:p w14:paraId="7FFC6A00" w14:textId="77777777" w:rsidR="005402D0" w:rsidRPr="007E50B9" w:rsidRDefault="00E21D39" w:rsidP="00573001">
            <w:pPr>
              <w:pStyle w:val="paragraph"/>
              <w:shd w:val="clear" w:color="auto" w:fill="FFFFFF"/>
              <w:spacing w:before="80" w:beforeAutospacing="0" w:after="0" w:afterAutospacing="0"/>
              <w:ind w:left="313"/>
              <w:jc w:val="both"/>
              <w:rPr>
                <w:rFonts w:ascii="Arial" w:hAnsi="Arial" w:cs="Arial"/>
                <w:color w:val="000000" w:themeColor="text1"/>
                <w:sz w:val="22"/>
                <w:szCs w:val="22"/>
                <w:u w:val="single"/>
              </w:rPr>
            </w:pPr>
            <w:r w:rsidRPr="007E50B9">
              <w:rPr>
                <w:rStyle w:val="lawlabel"/>
                <w:rFonts w:ascii="Arial" w:eastAsia="Calibri" w:hAnsi="Arial" w:cs="Arial"/>
                <w:b/>
                <w:bCs/>
                <w:color w:val="000000" w:themeColor="text1"/>
                <w:sz w:val="22"/>
                <w:szCs w:val="22"/>
                <w:u w:val="single"/>
              </w:rPr>
              <w:t>d)</w:t>
            </w:r>
            <w:r w:rsidRPr="007E50B9">
              <w:rPr>
                <w:rFonts w:ascii="Arial" w:hAnsi="Arial" w:cs="Arial"/>
                <w:color w:val="000000" w:themeColor="text1"/>
                <w:sz w:val="22"/>
                <w:szCs w:val="22"/>
                <w:u w:val="single"/>
              </w:rPr>
              <w:t> l’emprise ou l’influence de la personne sur l’adolescent.</w:t>
            </w:r>
          </w:p>
          <w:p w14:paraId="117B8521" w14:textId="77777777" w:rsidR="005402D0" w:rsidRPr="007E50B9" w:rsidRDefault="00E21D39" w:rsidP="00573001">
            <w:pPr>
              <w:pStyle w:val="subsection"/>
              <w:shd w:val="clear" w:color="auto" w:fill="FFFFFF"/>
              <w:spacing w:before="80" w:beforeAutospacing="0" w:after="0" w:afterAutospacing="0"/>
              <w:jc w:val="both"/>
              <w:rPr>
                <w:rFonts w:ascii="Arial" w:hAnsi="Arial" w:cs="Arial"/>
                <w:color w:val="000000" w:themeColor="text1"/>
                <w:sz w:val="22"/>
                <w:szCs w:val="22"/>
              </w:rPr>
            </w:pPr>
            <w:r w:rsidRPr="007E50B9">
              <w:rPr>
                <w:rStyle w:val="lawlabel"/>
                <w:rFonts w:ascii="Arial" w:eastAsia="Calibri" w:hAnsi="Arial" w:cs="Arial"/>
                <w:b/>
                <w:bCs/>
                <w:color w:val="000000" w:themeColor="text1"/>
                <w:sz w:val="22"/>
                <w:szCs w:val="22"/>
              </w:rPr>
              <w:t>(2)</w:t>
            </w:r>
            <w:r w:rsidRPr="007E50B9">
              <w:rPr>
                <w:rFonts w:ascii="Arial" w:hAnsi="Arial" w:cs="Arial"/>
                <w:color w:val="000000" w:themeColor="text1"/>
                <w:sz w:val="22"/>
                <w:szCs w:val="22"/>
              </w:rPr>
              <w:t> Pour l’application du présent article, </w:t>
            </w:r>
            <w:r w:rsidRPr="007E50B9">
              <w:rPr>
                <w:rStyle w:val="DfinitionHTML"/>
                <w:rFonts w:ascii="Arial" w:hAnsi="Arial" w:cs="Arial"/>
                <w:color w:val="000000" w:themeColor="text1"/>
                <w:sz w:val="22"/>
                <w:szCs w:val="22"/>
              </w:rPr>
              <w:t>adolescent</w:t>
            </w:r>
            <w:r w:rsidRPr="007E50B9">
              <w:rPr>
                <w:rFonts w:ascii="Arial" w:hAnsi="Arial" w:cs="Arial"/>
                <w:color w:val="000000" w:themeColor="text1"/>
                <w:sz w:val="22"/>
                <w:szCs w:val="22"/>
              </w:rPr>
              <w:t> s’entend d’une personne âgée de quatorze ans au moins</w:t>
            </w:r>
            <w:r w:rsidR="00E03EB1" w:rsidRPr="007E50B9">
              <w:rPr>
                <w:rFonts w:ascii="Arial" w:hAnsi="Arial" w:cs="Arial"/>
                <w:color w:val="000000" w:themeColor="text1"/>
                <w:sz w:val="22"/>
                <w:szCs w:val="22"/>
              </w:rPr>
              <w:t>,</w:t>
            </w:r>
            <w:r w:rsidRPr="007E50B9">
              <w:rPr>
                <w:rFonts w:ascii="Arial" w:hAnsi="Arial" w:cs="Arial"/>
                <w:color w:val="000000" w:themeColor="text1"/>
                <w:sz w:val="22"/>
                <w:szCs w:val="22"/>
              </w:rPr>
              <w:t xml:space="preserve"> mais de moins de dix-huit ans.</w:t>
            </w:r>
          </w:p>
        </w:tc>
      </w:tr>
      <w:tr w:rsidR="006141B8" w14:paraId="1A595396" w14:textId="77777777" w:rsidTr="0098356A">
        <w:tc>
          <w:tcPr>
            <w:tcW w:w="1696" w:type="dxa"/>
          </w:tcPr>
          <w:p w14:paraId="347A0D2E" w14:textId="77777777" w:rsidR="005402D0" w:rsidRPr="008E4723" w:rsidRDefault="00E21D39" w:rsidP="00573001">
            <w:pPr>
              <w:spacing w:before="80"/>
              <w:rPr>
                <w:rFonts w:cs="Arial"/>
                <w:sz w:val="22"/>
                <w:szCs w:val="22"/>
              </w:rPr>
            </w:pPr>
            <w:r w:rsidRPr="008E4723">
              <w:rPr>
                <w:rFonts w:cs="Arial"/>
                <w:sz w:val="22"/>
                <w:szCs w:val="22"/>
                <w:shd w:val="clear" w:color="auto" w:fill="FFFFFF"/>
              </w:rPr>
              <w:lastRenderedPageBreak/>
              <w:t>2008-05-01</w:t>
            </w:r>
            <w:r>
              <w:rPr>
                <w:rStyle w:val="Appelnotedebasdep"/>
                <w:rFonts w:cs="Arial"/>
                <w:sz w:val="22"/>
                <w:szCs w:val="22"/>
                <w:shd w:val="clear" w:color="auto" w:fill="FFFFFF"/>
              </w:rPr>
              <w:footnoteReference w:id="17"/>
            </w:r>
            <w:r w:rsidRPr="008E4723">
              <w:rPr>
                <w:rFonts w:cs="Arial"/>
                <w:sz w:val="22"/>
                <w:szCs w:val="22"/>
                <w:shd w:val="clear" w:color="auto" w:fill="FFFFFF"/>
              </w:rPr>
              <w:t xml:space="preserve"> au 2012-08-08</w:t>
            </w:r>
            <w:r w:rsidR="005B4C24" w:rsidRPr="008E4723">
              <w:rPr>
                <w:rFonts w:cs="Arial"/>
                <w:sz w:val="22"/>
                <w:szCs w:val="22"/>
                <w:shd w:val="clear" w:color="auto" w:fill="FFFFFF"/>
              </w:rPr>
              <w:t> :</w:t>
            </w:r>
          </w:p>
        </w:tc>
        <w:tc>
          <w:tcPr>
            <w:tcW w:w="6940" w:type="dxa"/>
          </w:tcPr>
          <w:p w14:paraId="4958724E" w14:textId="77777777" w:rsidR="005402D0" w:rsidRPr="008E4723" w:rsidRDefault="00E21D39" w:rsidP="00573001">
            <w:pPr>
              <w:pStyle w:val="subsection"/>
              <w:shd w:val="clear" w:color="auto" w:fill="FFFFFF"/>
              <w:spacing w:before="80" w:beforeAutospacing="0" w:after="0" w:afterAutospacing="0"/>
              <w:jc w:val="both"/>
              <w:rPr>
                <w:rFonts w:ascii="Arial" w:hAnsi="Arial" w:cs="Arial"/>
                <w:sz w:val="22"/>
                <w:szCs w:val="22"/>
              </w:rPr>
            </w:pPr>
            <w:r w:rsidRPr="008E4723">
              <w:rPr>
                <w:rStyle w:val="sectionlabel"/>
                <w:rFonts w:ascii="Arial" w:hAnsi="Arial" w:cs="Arial"/>
                <w:b/>
                <w:sz w:val="22"/>
                <w:szCs w:val="22"/>
              </w:rPr>
              <w:t>153</w:t>
            </w:r>
            <w:r w:rsidRPr="008E4723">
              <w:rPr>
                <w:rFonts w:ascii="Arial" w:hAnsi="Arial" w:cs="Arial"/>
                <w:sz w:val="22"/>
                <w:szCs w:val="22"/>
              </w:rPr>
              <w:t> </w:t>
            </w:r>
            <w:r w:rsidRPr="008E4723">
              <w:rPr>
                <w:rStyle w:val="lawlabel"/>
                <w:rFonts w:ascii="Arial" w:eastAsia="Calibri" w:hAnsi="Arial" w:cs="Arial"/>
                <w:b/>
                <w:bCs/>
                <w:sz w:val="22"/>
                <w:szCs w:val="22"/>
              </w:rPr>
              <w:t>(1)</w:t>
            </w:r>
            <w:r w:rsidRPr="008E4723">
              <w:rPr>
                <w:rFonts w:ascii="Arial" w:hAnsi="Arial" w:cs="Arial"/>
                <w:sz w:val="22"/>
                <w:szCs w:val="22"/>
              </w:rPr>
              <w:t> Commet une infraction toute personne qui est en situation d’autorité ou de confiance vis-à-vis d’un adolescent, à l’égard de laquelle l’adolescent est en situation de dépendance ou qui est dans une relation où elle exploite l’adolescent et qui, selon le cas :</w:t>
            </w:r>
          </w:p>
          <w:p w14:paraId="6125F6F2"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a)</w:t>
            </w:r>
            <w:r w:rsidRPr="008E4723">
              <w:rPr>
                <w:rFonts w:ascii="Arial" w:hAnsi="Arial" w:cs="Arial"/>
                <w:sz w:val="22"/>
                <w:szCs w:val="22"/>
              </w:rPr>
              <w:t> à des fins d’ordre sexuel, touche, directement ou indirectement, avec une partie de son corps ou avec un objet, une partie du corps de l’adolescent;</w:t>
            </w:r>
          </w:p>
          <w:p w14:paraId="087F8F3D"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b)</w:t>
            </w:r>
            <w:r w:rsidRPr="008E4723">
              <w:rPr>
                <w:rFonts w:ascii="Arial" w:hAnsi="Arial" w:cs="Arial"/>
                <w:sz w:val="22"/>
                <w:szCs w:val="22"/>
              </w:rPr>
              <w:t> à des fins d’ordre sexuel, invite, engage ou incite un adolescent à la toucher, à se toucher ou à toucher un tiers, directement ou indirectement, avec une partie du corps ou avec un objet.</w:t>
            </w:r>
          </w:p>
          <w:p w14:paraId="20A6CB2A" w14:textId="77777777" w:rsidR="005402D0" w:rsidRPr="008E4723" w:rsidRDefault="00E21D39" w:rsidP="00573001">
            <w:pPr>
              <w:pStyle w:val="subsection"/>
              <w:shd w:val="clear" w:color="auto" w:fill="FFFFFF"/>
              <w:spacing w:before="80" w:beforeAutospacing="0" w:after="0" w:afterAutospacing="0"/>
              <w:jc w:val="both"/>
              <w:rPr>
                <w:rFonts w:ascii="Arial" w:hAnsi="Arial" w:cs="Arial"/>
                <w:sz w:val="22"/>
                <w:szCs w:val="22"/>
              </w:rPr>
            </w:pPr>
            <w:r w:rsidRPr="008E4723">
              <w:rPr>
                <w:rStyle w:val="lawlabel"/>
                <w:rFonts w:ascii="Arial" w:eastAsia="Calibri" w:hAnsi="Arial" w:cs="Arial"/>
                <w:b/>
                <w:bCs/>
                <w:sz w:val="22"/>
                <w:szCs w:val="22"/>
              </w:rPr>
              <w:t>(1.1)</w:t>
            </w:r>
            <w:r w:rsidRPr="008E4723">
              <w:rPr>
                <w:rFonts w:ascii="Arial" w:hAnsi="Arial" w:cs="Arial"/>
                <w:sz w:val="22"/>
                <w:szCs w:val="22"/>
              </w:rPr>
              <w:t> Quiconque commet l’infraction visée au paragraphe (1) est coupable :</w:t>
            </w:r>
          </w:p>
          <w:p w14:paraId="39CCBFFB"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a)</w:t>
            </w:r>
            <w:r w:rsidRPr="008E4723">
              <w:rPr>
                <w:rFonts w:ascii="Arial" w:hAnsi="Arial" w:cs="Arial"/>
                <w:sz w:val="22"/>
                <w:szCs w:val="22"/>
              </w:rPr>
              <w:t> soit d’un acte criminel passible d’un emprisonnement maximal de dix ans, la peine minimale étant de quarante-cinq jours;</w:t>
            </w:r>
          </w:p>
          <w:p w14:paraId="7EEDE316"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b)</w:t>
            </w:r>
            <w:r w:rsidRPr="008E4723">
              <w:rPr>
                <w:rFonts w:ascii="Arial" w:hAnsi="Arial" w:cs="Arial"/>
                <w:sz w:val="22"/>
                <w:szCs w:val="22"/>
              </w:rPr>
              <w:t> soit d’une infraction punissable sur déclaration de culpabilité par procédure sommaire et passible d’un emprisonnement maximal de dix-huit mois, la peine minimale étant de quatorze jours.</w:t>
            </w:r>
          </w:p>
          <w:p w14:paraId="072DBA35" w14:textId="77777777" w:rsidR="005402D0" w:rsidRPr="008E4723" w:rsidRDefault="00E21D39" w:rsidP="00573001">
            <w:pPr>
              <w:pStyle w:val="subsection"/>
              <w:shd w:val="clear" w:color="auto" w:fill="FFFFFF"/>
              <w:spacing w:before="80" w:beforeAutospacing="0" w:after="0" w:afterAutospacing="0"/>
              <w:jc w:val="both"/>
              <w:rPr>
                <w:rFonts w:ascii="Arial" w:hAnsi="Arial" w:cs="Arial"/>
                <w:sz w:val="22"/>
                <w:szCs w:val="22"/>
              </w:rPr>
            </w:pPr>
            <w:r w:rsidRPr="008E4723">
              <w:rPr>
                <w:rStyle w:val="lawlabel"/>
                <w:rFonts w:ascii="Arial" w:eastAsia="Calibri" w:hAnsi="Arial" w:cs="Arial"/>
                <w:b/>
                <w:bCs/>
                <w:sz w:val="22"/>
                <w:szCs w:val="22"/>
              </w:rPr>
              <w:t>(1.2)</w:t>
            </w:r>
            <w:r w:rsidRPr="008E4723">
              <w:rPr>
                <w:rFonts w:ascii="Arial" w:hAnsi="Arial" w:cs="Arial"/>
                <w:sz w:val="22"/>
                <w:szCs w:val="22"/>
              </w:rPr>
              <w:t> Le juge peut déduire de la nature de la relation entre la personne et l’adolescent et des circonstances qui l’entourent, notamment des éléments ci-après, que celle-ci est dans une relation où elle exploite l’adolescent :</w:t>
            </w:r>
          </w:p>
          <w:p w14:paraId="004D366F"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a)</w:t>
            </w:r>
            <w:r w:rsidRPr="008E4723">
              <w:rPr>
                <w:rFonts w:ascii="Arial" w:hAnsi="Arial" w:cs="Arial"/>
                <w:sz w:val="22"/>
                <w:szCs w:val="22"/>
              </w:rPr>
              <w:t> l’âge de l’adolescent;</w:t>
            </w:r>
          </w:p>
          <w:p w14:paraId="2D2DF620"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b)</w:t>
            </w:r>
            <w:r w:rsidRPr="008E4723">
              <w:rPr>
                <w:rFonts w:ascii="Arial" w:hAnsi="Arial" w:cs="Arial"/>
                <w:sz w:val="22"/>
                <w:szCs w:val="22"/>
              </w:rPr>
              <w:t> la différence d’âge entre la personne et l’adolescent;</w:t>
            </w:r>
          </w:p>
          <w:p w14:paraId="5747ED23"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c)</w:t>
            </w:r>
            <w:r w:rsidRPr="008E4723">
              <w:rPr>
                <w:rFonts w:ascii="Arial" w:hAnsi="Arial" w:cs="Arial"/>
                <w:sz w:val="22"/>
                <w:szCs w:val="22"/>
              </w:rPr>
              <w:t> l’évolution de leur relation;</w:t>
            </w:r>
          </w:p>
          <w:p w14:paraId="7D6132D3" w14:textId="77777777" w:rsidR="005402D0" w:rsidRPr="008E4723" w:rsidRDefault="00E21D39" w:rsidP="00573001">
            <w:pPr>
              <w:pStyle w:val="paragraph"/>
              <w:shd w:val="clear" w:color="auto" w:fill="FFFFFF"/>
              <w:spacing w:before="80" w:beforeAutospacing="0" w:after="0" w:afterAutospacing="0"/>
              <w:ind w:left="313"/>
              <w:jc w:val="both"/>
              <w:rPr>
                <w:rFonts w:ascii="Arial" w:hAnsi="Arial" w:cs="Arial"/>
                <w:sz w:val="22"/>
                <w:szCs w:val="22"/>
              </w:rPr>
            </w:pPr>
            <w:r w:rsidRPr="008E4723">
              <w:rPr>
                <w:rStyle w:val="lawlabel"/>
                <w:rFonts w:ascii="Arial" w:eastAsia="Calibri" w:hAnsi="Arial" w:cs="Arial"/>
                <w:b/>
                <w:bCs/>
                <w:sz w:val="22"/>
                <w:szCs w:val="22"/>
              </w:rPr>
              <w:t>d)</w:t>
            </w:r>
            <w:r w:rsidRPr="008E4723">
              <w:rPr>
                <w:rFonts w:ascii="Arial" w:hAnsi="Arial" w:cs="Arial"/>
                <w:sz w:val="22"/>
                <w:szCs w:val="22"/>
              </w:rPr>
              <w:t> l’emprise ou l’influence de la personne sur l’adolescent.</w:t>
            </w:r>
          </w:p>
          <w:p w14:paraId="14E7C410" w14:textId="77777777" w:rsidR="005402D0" w:rsidRPr="008E4723" w:rsidRDefault="00E21D39" w:rsidP="00573001">
            <w:pPr>
              <w:pStyle w:val="subsection"/>
              <w:shd w:val="clear" w:color="auto" w:fill="FFFFFF"/>
              <w:spacing w:before="80" w:beforeAutospacing="0" w:after="0" w:afterAutospacing="0"/>
              <w:jc w:val="both"/>
              <w:rPr>
                <w:rFonts w:ascii="Arial" w:hAnsi="Arial" w:cs="Arial"/>
                <w:sz w:val="22"/>
                <w:szCs w:val="22"/>
              </w:rPr>
            </w:pPr>
            <w:r w:rsidRPr="008E4723">
              <w:rPr>
                <w:rStyle w:val="lawlabel"/>
                <w:rFonts w:ascii="Arial" w:eastAsia="Calibri" w:hAnsi="Arial" w:cs="Arial"/>
                <w:b/>
                <w:bCs/>
                <w:sz w:val="22"/>
                <w:szCs w:val="22"/>
              </w:rPr>
              <w:t>(2)</w:t>
            </w:r>
            <w:r w:rsidRPr="008E4723">
              <w:rPr>
                <w:rFonts w:ascii="Arial" w:hAnsi="Arial" w:cs="Arial"/>
                <w:sz w:val="22"/>
                <w:szCs w:val="22"/>
              </w:rPr>
              <w:t> Pour l’application du présent article, </w:t>
            </w:r>
            <w:r w:rsidRPr="008E4723">
              <w:rPr>
                <w:rStyle w:val="DfinitionHTML"/>
                <w:rFonts w:ascii="Arial" w:hAnsi="Arial" w:cs="Arial"/>
                <w:sz w:val="22"/>
                <w:szCs w:val="22"/>
              </w:rPr>
              <w:t>adolescent</w:t>
            </w:r>
            <w:r w:rsidRPr="008E4723">
              <w:rPr>
                <w:rFonts w:ascii="Arial" w:hAnsi="Arial" w:cs="Arial"/>
                <w:sz w:val="22"/>
                <w:szCs w:val="22"/>
              </w:rPr>
              <w:t xml:space="preserve"> s’entend d’une personne âgée de </w:t>
            </w:r>
            <w:r w:rsidRPr="007E50B9">
              <w:rPr>
                <w:rFonts w:ascii="Arial" w:hAnsi="Arial" w:cs="Arial"/>
                <w:color w:val="000000" w:themeColor="text1"/>
                <w:sz w:val="22"/>
                <w:szCs w:val="22"/>
                <w:u w:val="single"/>
              </w:rPr>
              <w:t>seize ans</w:t>
            </w:r>
            <w:r w:rsidRPr="007E50B9">
              <w:rPr>
                <w:rFonts w:ascii="Arial" w:hAnsi="Arial" w:cs="Arial"/>
                <w:color w:val="000000" w:themeColor="text1"/>
                <w:sz w:val="22"/>
                <w:szCs w:val="22"/>
              </w:rPr>
              <w:t xml:space="preserve"> au moins</w:t>
            </w:r>
            <w:r w:rsidR="00E03EB1" w:rsidRPr="008E4723">
              <w:rPr>
                <w:rFonts w:ascii="Arial" w:hAnsi="Arial" w:cs="Arial"/>
                <w:sz w:val="22"/>
                <w:szCs w:val="22"/>
              </w:rPr>
              <w:t>,</w:t>
            </w:r>
            <w:r w:rsidRPr="008E4723">
              <w:rPr>
                <w:rFonts w:ascii="Arial" w:hAnsi="Arial" w:cs="Arial"/>
                <w:sz w:val="22"/>
                <w:szCs w:val="22"/>
              </w:rPr>
              <w:t xml:space="preserve"> mais de moins de dix-huit ans.</w:t>
            </w:r>
          </w:p>
        </w:tc>
      </w:tr>
      <w:tr w:rsidR="006141B8" w14:paraId="7FA2DF5F" w14:textId="77777777" w:rsidTr="0098356A">
        <w:tc>
          <w:tcPr>
            <w:tcW w:w="1696" w:type="dxa"/>
          </w:tcPr>
          <w:p w14:paraId="6FE856B0" w14:textId="77777777" w:rsidR="005B4C24" w:rsidRPr="008E4723" w:rsidRDefault="00E21D39" w:rsidP="00573001">
            <w:pPr>
              <w:spacing w:before="80"/>
              <w:rPr>
                <w:rFonts w:cs="Arial"/>
                <w:sz w:val="22"/>
                <w:szCs w:val="22"/>
                <w:shd w:val="clear" w:color="auto" w:fill="FFFFFF"/>
              </w:rPr>
            </w:pPr>
            <w:r w:rsidRPr="008E4723">
              <w:rPr>
                <w:rFonts w:cs="Arial"/>
                <w:sz w:val="22"/>
                <w:szCs w:val="22"/>
                <w:shd w:val="clear" w:color="auto" w:fill="FFFFFF"/>
              </w:rPr>
              <w:t>V</w:t>
            </w:r>
            <w:r w:rsidRPr="00573001">
              <w:rPr>
                <w:rFonts w:cs="Arial"/>
                <w:sz w:val="22"/>
                <w:szCs w:val="22"/>
                <w:shd w:val="clear" w:color="auto" w:fill="FFFFFF"/>
              </w:rPr>
              <w:t>ersion actuelle :</w:t>
            </w:r>
          </w:p>
        </w:tc>
        <w:tc>
          <w:tcPr>
            <w:tcW w:w="6940" w:type="dxa"/>
          </w:tcPr>
          <w:p w14:paraId="3F529CCB"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sz w:val="22"/>
                <w:szCs w:val="22"/>
                <w:lang w:eastAsia="fr-FR"/>
              </w:rPr>
            </w:pPr>
            <w:r w:rsidRPr="008E4723">
              <w:rPr>
                <w:rStyle w:val="sectionlabel"/>
                <w:rFonts w:ascii="Arial" w:hAnsi="Arial" w:cs="Arial"/>
                <w:b/>
                <w:sz w:val="22"/>
                <w:szCs w:val="22"/>
              </w:rPr>
              <w:t xml:space="preserve">153 (1) </w:t>
            </w:r>
            <w:r w:rsidRPr="008E4723">
              <w:rPr>
                <w:rStyle w:val="sectionlabel"/>
                <w:rFonts w:ascii="Arial" w:hAnsi="Arial" w:cs="Arial"/>
                <w:bCs/>
                <w:sz w:val="22"/>
                <w:szCs w:val="22"/>
              </w:rPr>
              <w:t>Commet une infraction toute personne qui est en situation d’autorité ou de confiance vis-à-vis d’un adolescent, à l’égard de laquelle l’adolescent est en situation de dépendance ou qui est dans une relation où elle exploite l’adolescent et qui, selon le cas :</w:t>
            </w:r>
          </w:p>
          <w:p w14:paraId="5F55DF27"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a) à des fins d’ordre sexuel, touche, directement ou indirectement, avec une partie de son corps ou avec un objet, une partie du corps de l’adolescent;</w:t>
            </w:r>
          </w:p>
          <w:p w14:paraId="7C5EB8FA"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b) à des fins d’ordre sexuel, invite, engage ou incite un adolescent à la toucher, à se toucher ou à toucher un tiers, directement ou indirectement, avec une partie du corps ou avec un objet.</w:t>
            </w:r>
          </w:p>
          <w:p w14:paraId="58EB388B"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Peine</w:t>
            </w:r>
          </w:p>
          <w:p w14:paraId="52E511B9"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(1.1) Quiconque commet l’infraction visée au paragraphe (1) est coupable :</w:t>
            </w:r>
          </w:p>
          <w:p w14:paraId="38E5CF42"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a) soit d’un acte criminel passible d’un emprisonnement maximal de quatorze ans, la peine minimale étant de un an;</w:t>
            </w:r>
          </w:p>
          <w:p w14:paraId="634CE3C7"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b) soit d’une infraction punissable sur déclaration de culpabilité par procédure sommaire et passible d’un emprisonnement maximal de deux ans moins un jour, la peine minimale étant de quatre-vingt-dix jours.</w:t>
            </w:r>
          </w:p>
          <w:p w14:paraId="17CB2A1A"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Déduction</w:t>
            </w:r>
          </w:p>
          <w:p w14:paraId="681AF4FE"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(1.2) Le juge peut déduire de la nature de la relation entre la personne et l’adolescent et des circonstances qui l’entourent, notamment des éléments ci-après, que celle-ci est dans une relation où elle exploite l’adolescent :</w:t>
            </w:r>
          </w:p>
          <w:p w14:paraId="6D35B466"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a) l’âge de l’adolescent;</w:t>
            </w:r>
          </w:p>
          <w:p w14:paraId="40569E1F"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b) la différence d’âge entre la personne et l’adolescent;</w:t>
            </w:r>
          </w:p>
          <w:p w14:paraId="55FCE8D9"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c) l’évolution de leur relation;</w:t>
            </w:r>
          </w:p>
          <w:p w14:paraId="627DA1A6"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d) l’emprise ou l’influence de la personne sur l’adolescent.</w:t>
            </w:r>
          </w:p>
          <w:p w14:paraId="08AF4ED3" w14:textId="77777777" w:rsidR="005B4C24" w:rsidRPr="008E4723" w:rsidRDefault="00E21D39" w:rsidP="00573001">
            <w:pPr>
              <w:pStyle w:val="subsection"/>
              <w:shd w:val="clear" w:color="auto" w:fill="FFFFFF"/>
              <w:spacing w:before="80" w:beforeAutospacing="0" w:after="0" w:afterAutospacing="0"/>
              <w:jc w:val="both"/>
              <w:rPr>
                <w:rStyle w:val="sectionlabel"/>
                <w:rFonts w:ascii="Arial" w:hAnsi="Arial" w:cs="Arial"/>
                <w:bCs/>
                <w:sz w:val="22"/>
                <w:szCs w:val="22"/>
              </w:rPr>
            </w:pPr>
            <w:r w:rsidRPr="008E4723">
              <w:rPr>
                <w:rStyle w:val="sectionlabel"/>
                <w:rFonts w:ascii="Arial" w:hAnsi="Arial" w:cs="Arial"/>
                <w:bCs/>
                <w:sz w:val="22"/>
                <w:szCs w:val="22"/>
              </w:rPr>
              <w:t>Définition de adolescent</w:t>
            </w:r>
          </w:p>
          <w:p w14:paraId="486FAF3F" w14:textId="77777777" w:rsidR="005B4C24" w:rsidRPr="008E4723" w:rsidRDefault="00E21D39" w:rsidP="00573001">
            <w:pPr>
              <w:pStyle w:val="subsection"/>
              <w:shd w:val="clear" w:color="auto" w:fill="FFFFFF"/>
              <w:spacing w:before="80" w:beforeAutospacing="0" w:after="60" w:afterAutospacing="0"/>
              <w:jc w:val="both"/>
              <w:rPr>
                <w:rStyle w:val="sectionlabel"/>
                <w:rFonts w:ascii="Arial" w:hAnsi="Arial" w:cs="Arial"/>
                <w:b/>
                <w:sz w:val="22"/>
                <w:szCs w:val="22"/>
              </w:rPr>
            </w:pPr>
            <w:r w:rsidRPr="008E4723">
              <w:rPr>
                <w:rStyle w:val="sectionlabel"/>
                <w:rFonts w:ascii="Arial" w:hAnsi="Arial" w:cs="Arial"/>
                <w:bCs/>
                <w:sz w:val="22"/>
                <w:szCs w:val="22"/>
              </w:rPr>
              <w:t>(2) Pour l’application du présent article, adolescent s’entend d’une personne âgée de seize ans au moins</w:t>
            </w:r>
            <w:r w:rsidR="00E03EB1" w:rsidRPr="008E4723">
              <w:rPr>
                <w:rStyle w:val="sectionlabel"/>
                <w:rFonts w:ascii="Arial" w:hAnsi="Arial" w:cs="Arial"/>
                <w:bCs/>
                <w:sz w:val="22"/>
                <w:szCs w:val="22"/>
              </w:rPr>
              <w:t>,</w:t>
            </w:r>
            <w:r w:rsidRPr="008E4723">
              <w:rPr>
                <w:rStyle w:val="sectionlabel"/>
                <w:rFonts w:ascii="Arial" w:hAnsi="Arial" w:cs="Arial"/>
                <w:bCs/>
                <w:sz w:val="22"/>
                <w:szCs w:val="22"/>
              </w:rPr>
              <w:t xml:space="preserve"> mais de moins de dix-huit ans.</w:t>
            </w:r>
          </w:p>
        </w:tc>
      </w:tr>
    </w:tbl>
    <w:p w14:paraId="26603766" w14:textId="77777777" w:rsidR="004820E6" w:rsidRPr="004728E6" w:rsidRDefault="00E21D39" w:rsidP="004820E6">
      <w:pPr>
        <w:pStyle w:val="Paragrdouble"/>
        <w:numPr>
          <w:ilvl w:val="0"/>
          <w:numId w:val="0"/>
        </w:numPr>
        <w:spacing w:line="240" w:lineRule="auto"/>
        <w:ind w:left="731" w:right="715" w:hanging="164"/>
        <w:jc w:val="right"/>
        <w:rPr>
          <w:rFonts w:cs="Arial"/>
          <w:sz w:val="22"/>
          <w:szCs w:val="18"/>
        </w:rPr>
      </w:pPr>
      <w:r>
        <w:rPr>
          <w:rFonts w:cs="Arial"/>
          <w:sz w:val="22"/>
          <w:szCs w:val="18"/>
        </w:rPr>
        <w:t>[Les soulignements visent à montrer l’évolution législative]</w:t>
      </w:r>
    </w:p>
    <w:p w14:paraId="543A0F82" w14:textId="77777777" w:rsidR="005402D0" w:rsidRPr="00103606" w:rsidRDefault="00E21D39" w:rsidP="00573001">
      <w:pPr>
        <w:pStyle w:val="Paragrdouble"/>
        <w:spacing w:before="80" w:after="0" w:line="276" w:lineRule="auto"/>
        <w:rPr>
          <w:rFonts w:cs="Arial"/>
        </w:rPr>
      </w:pPr>
      <w:r w:rsidRPr="008573E6">
        <w:rPr>
          <w:rFonts w:cs="Arial"/>
        </w:rPr>
        <w:t xml:space="preserve">Enfin, </w:t>
      </w:r>
      <w:r w:rsidRPr="00103606">
        <w:rPr>
          <w:rFonts w:cs="Arial"/>
        </w:rPr>
        <w:t>les articles</w:t>
      </w:r>
      <w:r w:rsidRPr="008573E6">
        <w:rPr>
          <w:rFonts w:cs="Arial"/>
        </w:rPr>
        <w:t xml:space="preserve"> 21(1)(b) </w:t>
      </w:r>
      <w:r w:rsidRPr="00103606">
        <w:rPr>
          <w:rFonts w:cs="Arial"/>
        </w:rPr>
        <w:t xml:space="preserve">et 23(1) </w:t>
      </w:r>
      <w:r w:rsidRPr="008573E6">
        <w:rPr>
          <w:rFonts w:cs="Arial"/>
        </w:rPr>
        <w:t xml:space="preserve">du </w:t>
      </w:r>
      <w:r w:rsidR="001C1544" w:rsidRPr="001C1544">
        <w:rPr>
          <w:rFonts w:cs="Arial"/>
        </w:rPr>
        <w:t xml:space="preserve">C.cr. </w:t>
      </w:r>
      <w:r w:rsidR="001C1544">
        <w:rPr>
          <w:rFonts w:cs="Arial"/>
        </w:rPr>
        <w:t>C.cr.</w:t>
      </w:r>
      <w:r w:rsidRPr="008573E6">
        <w:rPr>
          <w:rFonts w:cs="Arial"/>
        </w:rPr>
        <w:t xml:space="preserve"> </w:t>
      </w:r>
      <w:r w:rsidRPr="00103606">
        <w:rPr>
          <w:rFonts w:cs="Arial"/>
        </w:rPr>
        <w:t>sont</w:t>
      </w:r>
      <w:r w:rsidRPr="008573E6">
        <w:rPr>
          <w:rFonts w:cs="Arial"/>
        </w:rPr>
        <w:t xml:space="preserve"> également invoqué</w:t>
      </w:r>
      <w:r w:rsidRPr="00103606">
        <w:rPr>
          <w:rFonts w:cs="Arial"/>
        </w:rPr>
        <w:t>s</w:t>
      </w:r>
      <w:r w:rsidRPr="008573E6">
        <w:rPr>
          <w:rFonts w:cs="Arial"/>
        </w:rPr>
        <w:t xml:space="preserve"> </w:t>
      </w:r>
      <w:r w:rsidRPr="00103606">
        <w:rPr>
          <w:rFonts w:cs="Arial"/>
        </w:rPr>
        <w:t>pour ce qui est de la complicité de certains des défendeurs :</w:t>
      </w:r>
    </w:p>
    <w:tbl>
      <w:tblPr>
        <w:tblStyle w:val="Grilledutableau"/>
        <w:tblW w:w="0" w:type="auto"/>
        <w:tblLook w:val="04A0" w:firstRow="1" w:lastRow="0" w:firstColumn="1" w:lastColumn="0" w:noHBand="0" w:noVBand="1"/>
      </w:tblPr>
      <w:tblGrid>
        <w:gridCol w:w="1696"/>
        <w:gridCol w:w="7656"/>
      </w:tblGrid>
      <w:tr w:rsidR="006141B8" w14:paraId="2C90DA53" w14:textId="77777777" w:rsidTr="008573E6">
        <w:tc>
          <w:tcPr>
            <w:tcW w:w="1696" w:type="dxa"/>
          </w:tcPr>
          <w:p w14:paraId="5271C4B1" w14:textId="77777777" w:rsidR="00103606" w:rsidRPr="00800CDC" w:rsidRDefault="00E21D39" w:rsidP="00573001">
            <w:pPr>
              <w:spacing w:before="80"/>
            </w:pPr>
            <w:r w:rsidRPr="00800CDC">
              <w:t>Version actuelle de 21(1)(b)</w:t>
            </w:r>
            <w:r w:rsidR="00800CDC" w:rsidRPr="00800CDC">
              <w:t> :</w:t>
            </w:r>
          </w:p>
        </w:tc>
        <w:tc>
          <w:tcPr>
            <w:tcW w:w="7656" w:type="dxa"/>
          </w:tcPr>
          <w:p w14:paraId="7193ABAA" w14:textId="77777777" w:rsidR="00103606" w:rsidRPr="008573E6" w:rsidRDefault="00E21D39" w:rsidP="00573001">
            <w:pPr>
              <w:spacing w:before="80"/>
              <w:rPr>
                <w:rFonts w:cs="Arial"/>
                <w:sz w:val="22"/>
                <w:szCs w:val="22"/>
              </w:rPr>
            </w:pPr>
            <w:r w:rsidRPr="008573E6">
              <w:rPr>
                <w:rFonts w:cs="Arial"/>
                <w:sz w:val="22"/>
                <w:szCs w:val="22"/>
              </w:rPr>
              <w:t>Participants à une infraction</w:t>
            </w:r>
          </w:p>
          <w:p w14:paraId="492D9224" w14:textId="77777777" w:rsidR="00103606" w:rsidRPr="008573E6" w:rsidRDefault="00E21D39" w:rsidP="00573001">
            <w:pPr>
              <w:spacing w:before="80"/>
              <w:rPr>
                <w:rFonts w:cs="Arial"/>
                <w:sz w:val="22"/>
                <w:szCs w:val="22"/>
              </w:rPr>
            </w:pPr>
            <w:r w:rsidRPr="008573E6">
              <w:rPr>
                <w:rFonts w:cs="Arial"/>
                <w:sz w:val="22"/>
                <w:szCs w:val="22"/>
              </w:rPr>
              <w:t>21 (1) Participent à une infraction :</w:t>
            </w:r>
          </w:p>
          <w:p w14:paraId="744C52CE" w14:textId="77777777" w:rsidR="00103606" w:rsidRPr="008573E6" w:rsidRDefault="00E21D39" w:rsidP="00573001">
            <w:pPr>
              <w:spacing w:before="80"/>
              <w:rPr>
                <w:rFonts w:cs="Arial"/>
                <w:sz w:val="22"/>
                <w:szCs w:val="22"/>
              </w:rPr>
            </w:pPr>
            <w:r w:rsidRPr="008573E6">
              <w:rPr>
                <w:rFonts w:cs="Arial"/>
                <w:sz w:val="22"/>
                <w:szCs w:val="22"/>
              </w:rPr>
              <w:t>a) quiconque la commet réellement;</w:t>
            </w:r>
          </w:p>
          <w:p w14:paraId="2F119FF9" w14:textId="77777777" w:rsidR="00103606" w:rsidRPr="008573E6" w:rsidRDefault="00E21D39" w:rsidP="00573001">
            <w:pPr>
              <w:spacing w:before="80"/>
              <w:rPr>
                <w:rFonts w:cs="Arial"/>
                <w:sz w:val="22"/>
                <w:szCs w:val="22"/>
              </w:rPr>
            </w:pPr>
            <w:r w:rsidRPr="008573E6">
              <w:rPr>
                <w:rFonts w:cs="Arial"/>
                <w:sz w:val="22"/>
                <w:szCs w:val="22"/>
              </w:rPr>
              <w:t>b) quiconque accomplit ou omet d’accomplir quelque chose en vue d’aider quelqu’un à la commettre;</w:t>
            </w:r>
          </w:p>
          <w:p w14:paraId="5232E61A" w14:textId="77777777" w:rsidR="00103606" w:rsidRPr="008573E6" w:rsidRDefault="00E21D39" w:rsidP="00573001">
            <w:pPr>
              <w:spacing w:before="80"/>
              <w:rPr>
                <w:rFonts w:cs="Arial"/>
                <w:sz w:val="22"/>
                <w:szCs w:val="22"/>
              </w:rPr>
            </w:pPr>
            <w:r w:rsidRPr="008573E6">
              <w:rPr>
                <w:rFonts w:cs="Arial"/>
                <w:sz w:val="22"/>
                <w:szCs w:val="22"/>
              </w:rPr>
              <w:t>c) quiconque encourage quelqu’un à la commettre.</w:t>
            </w:r>
          </w:p>
          <w:p w14:paraId="05B25AB3" w14:textId="77777777" w:rsidR="00103606" w:rsidRPr="008573E6" w:rsidRDefault="00E21D39" w:rsidP="00573001">
            <w:pPr>
              <w:spacing w:before="80"/>
              <w:rPr>
                <w:rFonts w:cs="Arial"/>
                <w:sz w:val="22"/>
                <w:szCs w:val="22"/>
              </w:rPr>
            </w:pPr>
            <w:r w:rsidRPr="008573E6">
              <w:rPr>
                <w:rFonts w:cs="Arial"/>
                <w:sz w:val="22"/>
                <w:szCs w:val="22"/>
              </w:rPr>
              <w:t>Intention commune</w:t>
            </w:r>
          </w:p>
          <w:p w14:paraId="264E440B" w14:textId="77777777" w:rsidR="00103606" w:rsidRPr="008573E6" w:rsidRDefault="00E21D39" w:rsidP="00573001">
            <w:pPr>
              <w:spacing w:before="80"/>
              <w:rPr>
                <w:rFonts w:cs="Arial"/>
                <w:sz w:val="22"/>
                <w:szCs w:val="22"/>
              </w:rPr>
            </w:pPr>
            <w:r w:rsidRPr="008573E6">
              <w:rPr>
                <w:rFonts w:cs="Arial"/>
                <w:sz w:val="22"/>
                <w:szCs w:val="22"/>
              </w:rPr>
              <w:t>(2) Quand deux ou plusieurs personnes forment ensemble le projet de poursuivre une fin illégale et de s’y entraider et que l’une d’entre elles commet une infraction en réalisant cette fin commune, chacune d’elles qui savait ou devait savoir que la réalisation de l’intention commune aurait pour conséquence probable la perpétration de l’infraction, participe à cette infraction.</w:t>
            </w:r>
          </w:p>
          <w:p w14:paraId="23952A9F" w14:textId="77777777" w:rsidR="00103606" w:rsidRPr="008573E6" w:rsidRDefault="00103606" w:rsidP="00573001">
            <w:pPr>
              <w:spacing w:before="80"/>
              <w:rPr>
                <w:rFonts w:cs="Arial"/>
                <w:sz w:val="22"/>
                <w:szCs w:val="22"/>
              </w:rPr>
            </w:pPr>
          </w:p>
        </w:tc>
      </w:tr>
      <w:tr w:rsidR="006141B8" w14:paraId="32B8A539" w14:textId="77777777" w:rsidTr="008573E6">
        <w:tc>
          <w:tcPr>
            <w:tcW w:w="1696" w:type="dxa"/>
          </w:tcPr>
          <w:p w14:paraId="4C145D58" w14:textId="77777777" w:rsidR="00103606" w:rsidRPr="00800CDC" w:rsidRDefault="00E21D39" w:rsidP="00573001">
            <w:pPr>
              <w:spacing w:before="80"/>
            </w:pPr>
            <w:r w:rsidRPr="00800CDC">
              <w:t>Version actuelle de 23(1) :</w:t>
            </w:r>
          </w:p>
        </w:tc>
        <w:tc>
          <w:tcPr>
            <w:tcW w:w="7656" w:type="dxa"/>
          </w:tcPr>
          <w:p w14:paraId="444DE5D7" w14:textId="77777777" w:rsidR="00800CDC" w:rsidRPr="008573E6" w:rsidRDefault="00E21D39" w:rsidP="00573001">
            <w:pPr>
              <w:spacing w:before="80"/>
              <w:rPr>
                <w:sz w:val="22"/>
                <w:szCs w:val="18"/>
              </w:rPr>
            </w:pPr>
            <w:r w:rsidRPr="008573E6">
              <w:rPr>
                <w:sz w:val="22"/>
                <w:szCs w:val="18"/>
              </w:rPr>
              <w:t>Complice après le fait</w:t>
            </w:r>
          </w:p>
          <w:p w14:paraId="7B774005" w14:textId="77777777" w:rsidR="00800CDC" w:rsidRPr="008573E6" w:rsidRDefault="00800CDC" w:rsidP="00573001">
            <w:pPr>
              <w:spacing w:before="80"/>
              <w:rPr>
                <w:sz w:val="22"/>
                <w:szCs w:val="18"/>
              </w:rPr>
            </w:pPr>
          </w:p>
          <w:p w14:paraId="28DFF4A2" w14:textId="77777777" w:rsidR="00103606" w:rsidRPr="00103606" w:rsidRDefault="00E21D39" w:rsidP="00573001">
            <w:pPr>
              <w:spacing w:before="80" w:after="60"/>
            </w:pPr>
            <w:r w:rsidRPr="008573E6">
              <w:rPr>
                <w:sz w:val="22"/>
                <w:szCs w:val="18"/>
              </w:rPr>
              <w:t>23 (1) Un complice après le fait d’une infraction est celui qui, sachant qu’une personne a participé à l’infraction, la reçoit, l’aide ou assiste en vue de lui permettre de s’échapper.</w:t>
            </w:r>
          </w:p>
        </w:tc>
      </w:tr>
    </w:tbl>
    <w:p w14:paraId="70A74249" w14:textId="77777777" w:rsidR="004820E6" w:rsidRPr="004728E6" w:rsidRDefault="00E21D39" w:rsidP="007E50B9">
      <w:pPr>
        <w:pStyle w:val="Paragrdouble"/>
        <w:numPr>
          <w:ilvl w:val="0"/>
          <w:numId w:val="0"/>
        </w:numPr>
        <w:spacing w:line="240" w:lineRule="auto"/>
        <w:ind w:left="731" w:right="6" w:hanging="164"/>
        <w:jc w:val="right"/>
        <w:rPr>
          <w:rFonts w:cs="Arial"/>
          <w:sz w:val="22"/>
          <w:szCs w:val="18"/>
        </w:rPr>
      </w:pPr>
      <w:r>
        <w:rPr>
          <w:rFonts w:cs="Arial"/>
          <w:sz w:val="22"/>
          <w:szCs w:val="18"/>
        </w:rPr>
        <w:t>[Les soulignements visent à montrer l’évolution législative]</w:t>
      </w:r>
    </w:p>
    <w:p w14:paraId="5BA6EEC4" w14:textId="77777777" w:rsidR="00103606" w:rsidRPr="00103606" w:rsidRDefault="00103606" w:rsidP="00F4232B">
      <w:pPr>
        <w:pStyle w:val="Paragrdouble"/>
        <w:numPr>
          <w:ilvl w:val="0"/>
          <w:numId w:val="0"/>
        </w:numPr>
        <w:spacing w:before="0" w:line="276" w:lineRule="auto"/>
        <w:rPr>
          <w:rFonts w:cs="Arial"/>
        </w:rPr>
      </w:pPr>
    </w:p>
    <w:p w14:paraId="2E22C5F9" w14:textId="77777777" w:rsidR="0096291E" w:rsidRPr="00BF17E4" w:rsidRDefault="00E21D39" w:rsidP="00BF17E4">
      <w:pPr>
        <w:pStyle w:val="Titre1"/>
        <w:numPr>
          <w:ilvl w:val="0"/>
          <w:numId w:val="6"/>
        </w:numPr>
        <w:ind w:left="709" w:hanging="567"/>
        <w:rPr>
          <w:rFonts w:cs="Arial"/>
        </w:rPr>
      </w:pPr>
      <w:bookmarkStart w:id="12" w:name="_Toc256000002"/>
      <w:bookmarkStart w:id="13" w:name="_Toc187475761"/>
      <w:r w:rsidRPr="00BF17E4">
        <w:rPr>
          <w:rFonts w:cs="Arial"/>
        </w:rPr>
        <w:t>CONTEXTE</w:t>
      </w:r>
      <w:r w:rsidR="00436229" w:rsidRPr="00BF17E4">
        <w:rPr>
          <w:rFonts w:cs="Arial"/>
        </w:rPr>
        <w:t xml:space="preserve"> FACTUEL</w:t>
      </w:r>
      <w:bookmarkEnd w:id="12"/>
      <w:bookmarkEnd w:id="13"/>
    </w:p>
    <w:p w14:paraId="0711A319" w14:textId="77777777" w:rsidR="00355411" w:rsidRPr="00103606" w:rsidRDefault="00E21D39" w:rsidP="00355411">
      <w:pPr>
        <w:pStyle w:val="Paragrdouble"/>
        <w:spacing w:line="276" w:lineRule="auto"/>
        <w:rPr>
          <w:rFonts w:cs="Arial"/>
        </w:rPr>
      </w:pPr>
      <w:r w:rsidRPr="00103606">
        <w:rPr>
          <w:rFonts w:cs="Arial"/>
        </w:rPr>
        <w:t>Je reprends</w:t>
      </w:r>
      <w:r w:rsidR="00436229" w:rsidRPr="00103606">
        <w:rPr>
          <w:rFonts w:cs="Arial"/>
        </w:rPr>
        <w:t xml:space="preserve"> pour fins pratiques</w:t>
      </w:r>
      <w:r w:rsidRPr="00103606">
        <w:rPr>
          <w:rFonts w:cs="Arial"/>
        </w:rPr>
        <w:t xml:space="preserve"> l’exposé des faits allégués à la Demande d’autorisation initiale, te</w:t>
      </w:r>
      <w:r w:rsidR="00DF17A2">
        <w:rPr>
          <w:rFonts w:cs="Arial"/>
        </w:rPr>
        <w:t>ls</w:t>
      </w:r>
      <w:r w:rsidRPr="00103606">
        <w:rPr>
          <w:rFonts w:cs="Arial"/>
        </w:rPr>
        <w:t xml:space="preserve"> que résumés par </w:t>
      </w:r>
      <w:r w:rsidR="00B15A79">
        <w:rPr>
          <w:rFonts w:cs="Arial"/>
        </w:rPr>
        <w:t>l’honorable</w:t>
      </w:r>
      <w:r w:rsidRPr="00103606">
        <w:rPr>
          <w:rFonts w:cs="Arial"/>
        </w:rPr>
        <w:t xml:space="preserve"> </w:t>
      </w:r>
      <w:r w:rsidR="005C3D9B">
        <w:rPr>
          <w:rFonts w:cs="Arial"/>
        </w:rPr>
        <w:t xml:space="preserve">juge </w:t>
      </w:r>
      <w:r w:rsidRPr="00103606">
        <w:rPr>
          <w:rFonts w:cs="Arial"/>
        </w:rPr>
        <w:t>Christian Immer, précédent gestionnaire du dossier :</w:t>
      </w:r>
    </w:p>
    <w:p w14:paraId="4AAAAE0E" w14:textId="77777777" w:rsidR="00355411" w:rsidRPr="00103606" w:rsidRDefault="00E21D39" w:rsidP="00573001">
      <w:pPr>
        <w:pStyle w:val="Paragrdouble"/>
        <w:numPr>
          <w:ilvl w:val="0"/>
          <w:numId w:val="0"/>
        </w:numPr>
        <w:spacing w:after="0" w:line="240" w:lineRule="auto"/>
        <w:ind w:left="731" w:right="715" w:hanging="164"/>
        <w:rPr>
          <w:rFonts w:cs="Arial"/>
          <w:sz w:val="22"/>
          <w:szCs w:val="18"/>
        </w:rPr>
      </w:pPr>
      <w:r w:rsidRPr="00103606">
        <w:rPr>
          <w:rFonts w:cs="Arial"/>
          <w:sz w:val="22"/>
          <w:szCs w:val="18"/>
        </w:rPr>
        <w:t>« [18] La demande d’autorisation originale a été déposée en février 2023. Elle était dirigée contre Future Electronics Inc. et Robert Gerald Miller, son fondateur, président et chef de la direction. Il y est allégué, entre autres, ce qui suit :</w:t>
      </w:r>
    </w:p>
    <w:p w14:paraId="10E41CDD"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 xml:space="preserve">18.1. Des émissions de la série </w:t>
      </w:r>
      <w:r w:rsidRPr="00573001">
        <w:rPr>
          <w:rFonts w:cs="Arial"/>
          <w:i/>
          <w:iCs/>
          <w:sz w:val="22"/>
          <w:szCs w:val="18"/>
        </w:rPr>
        <w:t>Enquête</w:t>
      </w:r>
      <w:r w:rsidRPr="00103606">
        <w:rPr>
          <w:rFonts w:cs="Arial"/>
          <w:sz w:val="22"/>
          <w:szCs w:val="18"/>
        </w:rPr>
        <w:t xml:space="preserve"> et du Fifth Estate sont diffusées le 2 février qui relatent que six femmes ont eu des relations sexuelles avec Miller lorsqu’elles étaient mineures et qu’elles ont toutes décrit des expériences semblables impliquant des faveurs sexuelles rémunérées à coups de milliers de dollars, de voyages et de sacs de hockey remplis de cadeaux. Un récit semblable était aussi relaté dans la The Gazette.</w:t>
      </w:r>
    </w:p>
    <w:p w14:paraId="1A341298"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 xml:space="preserve">18.2. Le lendemain, Miller démissionne et Future met fin à la relation d’emploi de Sam Abrams, </w:t>
      </w:r>
      <w:r w:rsidR="008E4723" w:rsidRPr="00103606">
        <w:rPr>
          <w:rFonts w:cs="Arial"/>
          <w:sz w:val="22"/>
          <w:szCs w:val="18"/>
        </w:rPr>
        <w:t>Vice-président</w:t>
      </w:r>
      <w:r w:rsidRPr="00103606">
        <w:rPr>
          <w:rFonts w:cs="Arial"/>
          <w:sz w:val="22"/>
          <w:szCs w:val="18"/>
        </w:rPr>
        <w:t xml:space="preserve"> exécutif et de Raymond Poulet, un conseiller privé de Miller et aux services de la société National Criminal Investigation Service (« NCIS »).</w:t>
      </w:r>
    </w:p>
    <w:p w14:paraId="5ABA0F8F"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18.3. Née en 1978, la demanderesse (S.N.) a répondu à une annonce cherchant à recruter des « accessory models » à laquelle elle a donné suite en se rendant à un hôtel du centre-ville où un homme a pris une photo d’elle et lui a fait signer un contrat. Ensuite, Miller, s’identifiant comme Bob Abrams, un homme d’affaires de New York, l’a contacté par téléphone et ils se sont entretenus à plusieurs reprises.</w:t>
      </w:r>
    </w:p>
    <w:p w14:paraId="2EF3BF96"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18.4. Il lui a envoyé un autre homme pour l’aider à louer un appartement pour la demanderesse et pour payer le dépôt.</w:t>
      </w:r>
    </w:p>
    <w:p w14:paraId="5809A0C7"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18.5. Peu de temps après cela, alors qu’elle n’avait que 17 ans, elle a rencontré Miller pour une durée de deux heures et ils se sont embrassés. Lors d’une deuxième rencontre qui a eu lieu dans la première moitié de 1996, elle a eu une première relation sexuelle avec Miller. Ils ont continué à se voir et d’avoir des relations sexuelles jusqu’en 1999, à sept ou dix reprises. Il lui versait 1 000$ à 2 000$ en espèces à chaque occasion et à une reprise, 3 000$.</w:t>
      </w:r>
    </w:p>
    <w:p w14:paraId="0469D07B"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18.6. À la dernière occasion, elle a réalisé qu’il ne s’appelait pas Bob Abrams lorsqu’il lui a exhibé un certificat de détection du SIDA négatif qui ne portait pas ce nom.</w:t>
      </w:r>
    </w:p>
    <w:p w14:paraId="6A6FBE85"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18.7. La demanderesse allègue que la responsabilité de Future est engagée à titre de commettant pour les actes de plusieurs de ses employés qui ont aidé Miller à commettre ses actes fautifs. Par ailleurs, les liens étroits (close ties) entre les défendeurs les rend solidairement responsables.</w:t>
      </w:r>
    </w:p>
    <w:p w14:paraId="5BECEB3A"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18.8. Abrams a œuvré pour Future pendant 45 ans, gravissant les échelons de manutentionnaires à vice-président exécutif.  Connu par le nom « Joseph » par les membres putatives, il louait les chambres d’hôtel, approuvait la sélection des jeunes filles, organisait les voyages et remettait des enveloppes d’argent supplémentaire à certaines d’entre elles.</w:t>
      </w:r>
    </w:p>
    <w:p w14:paraId="2B08F407"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18.9. Poulet agit comme entremetteur en présentant des jeunes filles et en les accueillant dans sa chambre d’hôtel avant qu’elles ne se rendent dans celle de Miller.</w:t>
      </w:r>
    </w:p>
    <w:p w14:paraId="11866FDC" w14:textId="7C72425C"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 xml:space="preserve">18.10. Au départ les filles étaient rencontrées dans des hôtels, mais ensuite au </w:t>
      </w:r>
      <w:r>
        <w:rPr>
          <w:rFonts w:cs="Arial"/>
          <w:sz w:val="22"/>
          <w:szCs w:val="18"/>
        </w:rPr>
        <w:t>[...]</w:t>
      </w:r>
      <w:r w:rsidRPr="00103606">
        <w:rPr>
          <w:rFonts w:cs="Arial"/>
          <w:sz w:val="22"/>
          <w:szCs w:val="18"/>
        </w:rPr>
        <w:t xml:space="preserve"> à Westmount.</w:t>
      </w:r>
    </w:p>
    <w:p w14:paraId="6D7E110D" w14:textId="3D00190B"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 xml:space="preserve">18.11. Helmut Lippman [l’orthographe varie] acquiert le </w:t>
      </w:r>
      <w:r>
        <w:rPr>
          <w:rFonts w:cs="Arial"/>
          <w:sz w:val="22"/>
          <w:szCs w:val="18"/>
        </w:rPr>
        <w:t>[...]</w:t>
      </w:r>
      <w:r w:rsidRPr="00103606">
        <w:rPr>
          <w:rFonts w:cs="Arial"/>
          <w:sz w:val="22"/>
          <w:szCs w:val="18"/>
        </w:rPr>
        <w:t xml:space="preserve"> en 2004 alors qu’il est à l’emploi de Future. En fait, il a œuvré pour Future pendant 40 ans et était notamment directeur général du magasin de Toronto.</w:t>
      </w:r>
    </w:p>
    <w:p w14:paraId="18612087"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18.12. En 2004, Lippman transfère la maison à la société 4306805 Canada Inc. L’adresse de cette société est située, de 2007 à 2021, aux bureaux du siège social de Future et son unique actionnaire, officier et administrateur de l’entreprise est à l’origine un avocat de l’étude Davies Ward Phillips &amp; Vineberg S.E.N.C.R.L. et au moment de l’institution des procédures, par un autre avocat de l’étude Norton Rose Fulbright Canada S.E.N.C.R.L.</w:t>
      </w:r>
    </w:p>
    <w:p w14:paraId="612997CF"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18.13. La demanderesse allègue que cette expérience a un effet psychologique délétère sérieux. Cela a porté atteinte à son estime d’elle-même. Elle s’est sentie honteuse, coupable et elle était déprimée; elle a consommé de la drogue et de l’alcool.</w:t>
      </w:r>
    </w:p>
    <w:p w14:paraId="13B1C5F4"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lang w:val="en-US"/>
        </w:rPr>
        <w:t xml:space="preserve">18.14. Elle n’a pas fait le lien entre « these paid sexual encounters and her negative feelings toward herself ». </w:t>
      </w:r>
      <w:r w:rsidRPr="00103606">
        <w:rPr>
          <w:rFonts w:cs="Arial"/>
          <w:sz w:val="22"/>
          <w:szCs w:val="18"/>
        </w:rPr>
        <w:t>Elle n’en a parlé à personne jusqu’à ce qu’elle voie l’épisode de l’émission du Fifth Estate. Tous les sentiments négatifs sont alors réapparus et elle en a été « re-traumatized ».</w:t>
      </w:r>
    </w:p>
    <w:p w14:paraId="2603EEBE"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18.15. Elle n’avait pas l’état d’esprit requis pour entreprendre une poursuite avant aujourd’hui. Elle ne connaissait pas le nom de Miller et elle avait subi « too much emotional scarring and repression ».</w:t>
      </w:r>
    </w:p>
    <w:p w14:paraId="7FEAC556"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 xml:space="preserve">18.16. Elle réclame 1 million$ à titre de préjudice moral et </w:t>
      </w:r>
      <w:r w:rsidR="00631C60">
        <w:rPr>
          <w:rFonts w:cs="Arial"/>
          <w:sz w:val="22"/>
          <w:szCs w:val="18"/>
        </w:rPr>
        <w:t>1,5 million</w:t>
      </w:r>
      <w:r w:rsidRPr="00103606">
        <w:rPr>
          <w:rFonts w:cs="Arial"/>
          <w:sz w:val="22"/>
          <w:szCs w:val="18"/>
        </w:rPr>
        <w:t xml:space="preserve"> $ comme dommage punitif.</w:t>
      </w:r>
    </w:p>
    <w:p w14:paraId="6CA17E08"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lang w:val="en-US"/>
        </w:rPr>
        <w:t xml:space="preserve">18.17. Puisque les événements se sont déroulés de 1994 à 2006, « it is safe to estimate that the number may be fairly significant, though still modest ». </w:t>
      </w:r>
      <w:r w:rsidRPr="00103606">
        <w:rPr>
          <w:rFonts w:cs="Arial"/>
          <w:sz w:val="22"/>
          <w:szCs w:val="18"/>
        </w:rPr>
        <w:t>Elle espère que plusieurs femmes se manifesteront.</w:t>
      </w:r>
    </w:p>
    <w:p w14:paraId="0A6CFA9C" w14:textId="77777777" w:rsidR="00355411"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[19]</w:t>
      </w:r>
      <w:r w:rsidR="0073141D">
        <w:rPr>
          <w:rFonts w:cs="Arial"/>
          <w:sz w:val="22"/>
          <w:szCs w:val="18"/>
        </w:rPr>
        <w:tab/>
      </w:r>
      <w:r w:rsidRPr="00103606">
        <w:rPr>
          <w:rFonts w:cs="Arial"/>
          <w:sz w:val="22"/>
          <w:szCs w:val="18"/>
        </w:rPr>
        <w:t>La demanderesse allègue que les questions de faits et de droit similaires sont les suivantes :</w:t>
      </w:r>
    </w:p>
    <w:p w14:paraId="11D6F656" w14:textId="77777777" w:rsidR="00355411" w:rsidRPr="00103606" w:rsidRDefault="00E21D39" w:rsidP="00573001">
      <w:pPr>
        <w:pStyle w:val="Paragrdouble"/>
        <w:numPr>
          <w:ilvl w:val="0"/>
          <w:numId w:val="0"/>
        </w:numPr>
        <w:spacing w:after="0" w:line="240" w:lineRule="auto"/>
        <w:ind w:left="731" w:right="715"/>
        <w:rPr>
          <w:rFonts w:cs="Arial"/>
          <w:sz w:val="22"/>
          <w:szCs w:val="18"/>
          <w:lang w:val="en-US"/>
        </w:rPr>
      </w:pPr>
      <w:r w:rsidRPr="00103606">
        <w:rPr>
          <w:rFonts w:cs="Arial"/>
          <w:sz w:val="22"/>
          <w:szCs w:val="18"/>
          <w:lang w:val="en-US"/>
        </w:rPr>
        <w:t>a) Did Defendant Robert G. Miller obtain for consideration the sexual services of persons who were under the age of 18 years in contravention of section 286.1 of the Criminal Code?</w:t>
      </w:r>
    </w:p>
    <w:p w14:paraId="7EB4F58A" w14:textId="77777777" w:rsidR="00355411" w:rsidRPr="00103606" w:rsidRDefault="00E21D39" w:rsidP="00573001">
      <w:pPr>
        <w:pStyle w:val="Paragrdouble"/>
        <w:numPr>
          <w:ilvl w:val="0"/>
          <w:numId w:val="0"/>
        </w:numPr>
        <w:spacing w:after="0" w:line="240" w:lineRule="auto"/>
        <w:ind w:left="731" w:right="715"/>
        <w:rPr>
          <w:rFonts w:cs="Arial"/>
          <w:sz w:val="22"/>
          <w:szCs w:val="18"/>
          <w:lang w:val="en-US"/>
        </w:rPr>
      </w:pPr>
      <w:r w:rsidRPr="00103606">
        <w:rPr>
          <w:rFonts w:cs="Arial"/>
          <w:sz w:val="22"/>
          <w:szCs w:val="18"/>
          <w:lang w:val="en-US"/>
        </w:rPr>
        <w:t>b) Did Defendant Robert G. Miller sexual exploit young persons in contravention of section 153 of the Criminal Code?</w:t>
      </w:r>
    </w:p>
    <w:p w14:paraId="7F3CA717" w14:textId="77777777" w:rsidR="00355411" w:rsidRPr="00103606" w:rsidRDefault="00E21D39" w:rsidP="00573001">
      <w:pPr>
        <w:pStyle w:val="Paragrdouble"/>
        <w:numPr>
          <w:ilvl w:val="0"/>
          <w:numId w:val="0"/>
        </w:numPr>
        <w:spacing w:after="0" w:line="240" w:lineRule="auto"/>
        <w:ind w:left="731" w:right="715"/>
        <w:rPr>
          <w:rFonts w:cs="Arial"/>
          <w:sz w:val="22"/>
          <w:szCs w:val="18"/>
          <w:lang w:val="en-US"/>
        </w:rPr>
      </w:pPr>
      <w:r w:rsidRPr="00103606">
        <w:rPr>
          <w:rFonts w:cs="Arial"/>
          <w:sz w:val="22"/>
          <w:szCs w:val="18"/>
          <w:lang w:val="en-US"/>
        </w:rPr>
        <w:t>c) Did Defendant Robert G. Miller unlawfully interfere with Class Members’ dignity, inviolability, and honour in contravention with articles 1 and 4 of the Quebec Charter of Human Rights and Freedoms? If so, was such unlawful interference intentional under article 49 of the Quebec Charter of Human Rights and Freedoms?</w:t>
      </w:r>
    </w:p>
    <w:p w14:paraId="54E31637" w14:textId="77777777" w:rsidR="00355411" w:rsidRPr="00103606" w:rsidRDefault="00E21D39" w:rsidP="00573001">
      <w:pPr>
        <w:pStyle w:val="Paragrdouble"/>
        <w:numPr>
          <w:ilvl w:val="0"/>
          <w:numId w:val="0"/>
        </w:numPr>
        <w:spacing w:after="0" w:line="240" w:lineRule="auto"/>
        <w:ind w:left="731" w:right="715"/>
        <w:rPr>
          <w:rFonts w:cs="Arial"/>
          <w:sz w:val="22"/>
          <w:szCs w:val="18"/>
          <w:lang w:val="en-US"/>
        </w:rPr>
      </w:pPr>
      <w:r w:rsidRPr="00103606">
        <w:rPr>
          <w:rFonts w:cs="Arial"/>
          <w:sz w:val="22"/>
          <w:szCs w:val="18"/>
          <w:lang w:val="en-US"/>
        </w:rPr>
        <w:t>d) Did Defendant Robert G. Miller commit a civil fault under article 1457 C.C.Q.?</w:t>
      </w:r>
    </w:p>
    <w:p w14:paraId="26D8155F" w14:textId="77777777" w:rsidR="00355411" w:rsidRPr="00103606" w:rsidRDefault="00E21D39" w:rsidP="00573001">
      <w:pPr>
        <w:pStyle w:val="Paragrdouble"/>
        <w:numPr>
          <w:ilvl w:val="0"/>
          <w:numId w:val="0"/>
        </w:numPr>
        <w:spacing w:after="0" w:line="240" w:lineRule="auto"/>
        <w:ind w:left="731" w:right="715"/>
        <w:rPr>
          <w:rFonts w:cs="Arial"/>
          <w:sz w:val="22"/>
          <w:szCs w:val="18"/>
          <w:lang w:val="en-US"/>
        </w:rPr>
      </w:pPr>
      <w:r w:rsidRPr="00103606">
        <w:rPr>
          <w:rFonts w:cs="Arial"/>
          <w:sz w:val="22"/>
          <w:szCs w:val="18"/>
          <w:lang w:val="en-US"/>
        </w:rPr>
        <w:t>e) Did any of Defendant Future Electronics’ subordinates commit any wrongful acts engaging the vicariously liability of its principal in accordance with article 1463 C.C.Q.?</w:t>
      </w:r>
    </w:p>
    <w:p w14:paraId="4AB8ABBD" w14:textId="77777777" w:rsidR="00355411" w:rsidRPr="00103606" w:rsidRDefault="00E21D39" w:rsidP="00573001">
      <w:pPr>
        <w:pStyle w:val="Paragrdouble"/>
        <w:numPr>
          <w:ilvl w:val="0"/>
          <w:numId w:val="0"/>
        </w:numPr>
        <w:spacing w:after="0" w:line="240" w:lineRule="auto"/>
        <w:ind w:left="731" w:right="715"/>
        <w:rPr>
          <w:rFonts w:cs="Arial"/>
          <w:sz w:val="22"/>
          <w:szCs w:val="18"/>
          <w:lang w:val="en-US"/>
        </w:rPr>
      </w:pPr>
      <w:r w:rsidRPr="00103606">
        <w:rPr>
          <w:rFonts w:cs="Arial"/>
          <w:sz w:val="22"/>
          <w:szCs w:val="18"/>
          <w:lang w:val="en-US"/>
        </w:rPr>
        <w:t>f) Has prescription been interrupted for Class Members due to psychological inability to act or impossibility in fact to act in accordance with article 2904 C.C.Q.?</w:t>
      </w:r>
    </w:p>
    <w:p w14:paraId="29A13D6A" w14:textId="77777777" w:rsidR="00355411" w:rsidRPr="00103606" w:rsidRDefault="00E21D39" w:rsidP="00573001">
      <w:pPr>
        <w:pStyle w:val="Paragrdouble"/>
        <w:numPr>
          <w:ilvl w:val="0"/>
          <w:numId w:val="0"/>
        </w:numPr>
        <w:spacing w:after="0" w:line="240" w:lineRule="auto"/>
        <w:ind w:left="731" w:right="715"/>
        <w:rPr>
          <w:rFonts w:cs="Arial"/>
          <w:sz w:val="22"/>
          <w:szCs w:val="18"/>
          <w:lang w:val="en-US"/>
        </w:rPr>
      </w:pPr>
      <w:r w:rsidRPr="00103606">
        <w:rPr>
          <w:rFonts w:cs="Arial"/>
          <w:sz w:val="22"/>
          <w:szCs w:val="18"/>
          <w:lang w:val="en-US"/>
        </w:rPr>
        <w:t>g) When, if at all, would prescription begin to run against Class Members in accordance with article 2926.1 C.C.Q.?</w:t>
      </w:r>
    </w:p>
    <w:p w14:paraId="29BDD77D" w14:textId="77777777" w:rsidR="00355411" w:rsidRPr="00103606" w:rsidRDefault="00E21D39" w:rsidP="00B351BF">
      <w:pPr>
        <w:pStyle w:val="Paragrdouble"/>
        <w:numPr>
          <w:ilvl w:val="0"/>
          <w:numId w:val="0"/>
        </w:numPr>
        <w:spacing w:line="240" w:lineRule="auto"/>
        <w:ind w:left="731" w:right="715"/>
        <w:rPr>
          <w:rFonts w:cs="Arial"/>
          <w:sz w:val="22"/>
          <w:szCs w:val="18"/>
        </w:rPr>
      </w:pPr>
      <w:r w:rsidRPr="00103606">
        <w:rPr>
          <w:rFonts w:cs="Arial"/>
          <w:sz w:val="22"/>
          <w:szCs w:val="18"/>
        </w:rPr>
        <w:t>[20] À partir d’août 2023, la demanderesse a déposé quatre modifications de la demande, la dernière telle modification étant en date du 31 octobre 2022. </w:t>
      </w:r>
      <w:r>
        <w:rPr>
          <w:rStyle w:val="Appelnotedebasdep"/>
          <w:rFonts w:cs="Arial"/>
          <w:sz w:val="22"/>
          <w:szCs w:val="18"/>
        </w:rPr>
        <w:footnoteReference w:id="18"/>
      </w:r>
      <w:r w:rsidRPr="00103606">
        <w:rPr>
          <w:rFonts w:cs="Arial"/>
          <w:sz w:val="22"/>
          <w:szCs w:val="18"/>
        </w:rPr>
        <w:t>»</w:t>
      </w:r>
    </w:p>
    <w:p w14:paraId="730090ED" w14:textId="77777777" w:rsidR="00A02D63" w:rsidRPr="00103606" w:rsidRDefault="00E21D39" w:rsidP="00A02D63">
      <w:pPr>
        <w:pStyle w:val="Paragrdouble"/>
        <w:spacing w:line="276" w:lineRule="auto"/>
        <w:rPr>
          <w:rFonts w:cs="Arial"/>
        </w:rPr>
      </w:pPr>
      <w:r w:rsidRPr="00103606">
        <w:rPr>
          <w:rFonts w:cs="Arial"/>
        </w:rPr>
        <w:t xml:space="preserve">Plusieurs </w:t>
      </w:r>
      <w:r w:rsidR="00D1782E" w:rsidRPr="00103606">
        <w:rPr>
          <w:rFonts w:cs="Arial"/>
        </w:rPr>
        <w:t>modifications</w:t>
      </w:r>
      <w:r w:rsidRPr="00103606">
        <w:rPr>
          <w:rFonts w:cs="Arial"/>
        </w:rPr>
        <w:t xml:space="preserve"> ont été faites à la Demande d’</w:t>
      </w:r>
      <w:r w:rsidR="00D1782E" w:rsidRPr="00103606">
        <w:rPr>
          <w:rFonts w:cs="Arial"/>
        </w:rPr>
        <w:t>autorisation</w:t>
      </w:r>
      <w:r w:rsidRPr="00103606">
        <w:rPr>
          <w:rFonts w:cs="Arial"/>
        </w:rPr>
        <w:t xml:space="preserve"> initiale. </w:t>
      </w:r>
      <w:r w:rsidR="0095486F">
        <w:rPr>
          <w:rFonts w:cs="Arial"/>
        </w:rPr>
        <w:br/>
      </w:r>
      <w:r w:rsidRPr="00103606">
        <w:rPr>
          <w:rFonts w:cs="Arial"/>
        </w:rPr>
        <w:t xml:space="preserve">Le 27 mars 2024, le juge Immer approuve une quatrième modification (la </w:t>
      </w:r>
      <w:r w:rsidRPr="007E50B9">
        <w:rPr>
          <w:rFonts w:cs="Arial"/>
          <w:i/>
          <w:iCs/>
        </w:rPr>
        <w:t>Fourth Amended Application to Authorize the Bringing of a Class Action &amp; to Appoint the Applicants as Representative Plaintiffs</w:t>
      </w:r>
      <w:r w:rsidRPr="00103606">
        <w:rPr>
          <w:rFonts w:cs="Arial"/>
        </w:rPr>
        <w:t>), laquelle vise à ajouter B.N. comme requérante.</w:t>
      </w:r>
    </w:p>
    <w:p w14:paraId="77C4CEFA" w14:textId="77777777" w:rsidR="00A02D63" w:rsidRPr="00103606" w:rsidRDefault="00E21D39" w:rsidP="00A02D63">
      <w:pPr>
        <w:pStyle w:val="Paragrdouble"/>
        <w:spacing w:line="276" w:lineRule="auto"/>
        <w:rPr>
          <w:rFonts w:cs="Arial"/>
          <w:lang w:val="en-US"/>
        </w:rPr>
      </w:pPr>
      <w:r w:rsidRPr="00103606">
        <w:rPr>
          <w:rFonts w:cs="Arial"/>
        </w:rPr>
        <w:t xml:space="preserve">Précisons que contrairement à S.N. qui allègue avoir été âgée de 17 ans au moment des faits impliquant Miller, B.N. </w:t>
      </w:r>
      <w:r w:rsidR="007A5828" w:rsidRPr="00103606">
        <w:rPr>
          <w:rFonts w:cs="Arial"/>
        </w:rPr>
        <w:t xml:space="preserve">(Madame 42) </w:t>
      </w:r>
      <w:r w:rsidRPr="00103606">
        <w:rPr>
          <w:rFonts w:cs="Arial"/>
        </w:rPr>
        <w:t xml:space="preserve">avance qu’elle n’avait que 11 ans lorsqu’elle a eu sa première relation sexuelle avec lui. </w:t>
      </w:r>
      <w:r w:rsidRPr="00103606">
        <w:rPr>
          <w:rFonts w:cs="Arial"/>
          <w:lang w:val="en-US"/>
        </w:rPr>
        <w:t xml:space="preserve">Elle </w:t>
      </w:r>
      <w:r w:rsidR="00DD1F95" w:rsidRPr="00103606">
        <w:rPr>
          <w:rFonts w:cs="Arial"/>
          <w:lang w:val="en-US"/>
        </w:rPr>
        <w:t>explique</w:t>
      </w:r>
      <w:r w:rsidRPr="00103606">
        <w:rPr>
          <w:rFonts w:cs="Arial"/>
          <w:lang w:val="en-US"/>
        </w:rPr>
        <w:t xml:space="preserve"> </w:t>
      </w:r>
      <w:r w:rsidR="00DD1F95" w:rsidRPr="00103606">
        <w:rPr>
          <w:rFonts w:cs="Arial"/>
          <w:lang w:val="en-US"/>
        </w:rPr>
        <w:t>qu’elle a</w:t>
      </w:r>
      <w:r w:rsidRPr="00103606">
        <w:rPr>
          <w:rFonts w:cs="Arial"/>
          <w:lang w:val="en-US"/>
        </w:rPr>
        <w:t xml:space="preserve"> eu des «</w:t>
      </w:r>
      <w:r w:rsidR="006E7779" w:rsidRPr="00103606">
        <w:rPr>
          <w:rFonts w:cs="Arial"/>
          <w:lang w:val="en-US"/>
        </w:rPr>
        <w:t> </w:t>
      </w:r>
      <w:r w:rsidRPr="00103606">
        <w:rPr>
          <w:rFonts w:cs="Arial"/>
          <w:lang w:val="en-US"/>
        </w:rPr>
        <w:t>ongoing sexual relations with him starting while she was 11 and it lasted until she was 20 years old. In total, the Applicant B.N. saw Defendant Miller at least 30 times, at a frequency of sometimes a few times per month and other times many months apart</w:t>
      </w:r>
      <w:r w:rsidR="006E7779" w:rsidRPr="00103606">
        <w:rPr>
          <w:rFonts w:cs="Arial"/>
          <w:lang w:val="en-US"/>
        </w:rPr>
        <w:t> </w:t>
      </w:r>
      <w:r w:rsidRPr="00103606">
        <w:rPr>
          <w:rFonts w:cs="Arial"/>
          <w:lang w:val="en-US"/>
        </w:rPr>
        <w:t>».</w:t>
      </w:r>
    </w:p>
    <w:p w14:paraId="544548D3" w14:textId="77777777" w:rsidR="00DD1F95" w:rsidRPr="00103606" w:rsidRDefault="00E21D39" w:rsidP="00A02D63">
      <w:pPr>
        <w:pStyle w:val="Paragrdouble"/>
        <w:spacing w:line="276" w:lineRule="auto"/>
        <w:rPr>
          <w:rFonts w:cs="Arial"/>
        </w:rPr>
      </w:pPr>
      <w:r w:rsidRPr="00103606">
        <w:rPr>
          <w:rFonts w:cs="Arial"/>
        </w:rPr>
        <w:t>B.N. réitère dans la demande d’autorisation le contenu complet de sa Déclaration anonyme signée non assermentée (nous y reviendrons) en pièce R-60, et ajoute qu’elle a parlé au téléphone 5 à 6 fois avec Abrams, après que les rendez-vous sexuels se déplacent de l’Hôtel Reine</w:t>
      </w:r>
      <w:r w:rsidR="00800CDC">
        <w:rPr>
          <w:rFonts w:cs="Arial"/>
        </w:rPr>
        <w:t xml:space="preserve"> </w:t>
      </w:r>
      <w:r w:rsidRPr="00103606">
        <w:rPr>
          <w:rFonts w:cs="Arial"/>
        </w:rPr>
        <w:t>Élizabeth aux maisons de Westmount au début des années 2000. Spécifiquement, elle explique que les rencontres étaient organisées avec une certaine S.G., mais qu’elle recevait également occasionnellement un appel d’un certain « Joseph », soit Abrams</w:t>
      </w:r>
      <w:r w:rsidR="00B15A79">
        <w:rPr>
          <w:rFonts w:cs="Arial"/>
        </w:rPr>
        <w:t>,</w:t>
      </w:r>
      <w:r w:rsidRPr="00103606">
        <w:rPr>
          <w:rFonts w:cs="Arial"/>
        </w:rPr>
        <w:t xml:space="preserve"> 24 à 48 heures avant la rencontre, pour lui préciser les détails de ladite rencontre.</w:t>
      </w:r>
    </w:p>
    <w:p w14:paraId="0107B82C" w14:textId="77777777" w:rsidR="007A5828" w:rsidRPr="00103606" w:rsidRDefault="00E21D39" w:rsidP="00A02D63">
      <w:pPr>
        <w:pStyle w:val="Paragrdouble"/>
        <w:spacing w:line="276" w:lineRule="auto"/>
        <w:rPr>
          <w:rFonts w:cs="Arial"/>
        </w:rPr>
      </w:pPr>
      <w:r w:rsidRPr="00103606">
        <w:rPr>
          <w:rFonts w:cs="Arial"/>
        </w:rPr>
        <w:t xml:space="preserve">Pour ce qui est de l’impact psychologique des évènements, elle indique s’être sentie sale et triste, avoir eu des problèmes d’estime de soi, de culpabilité et d’agressivité. En plus de cauchemars et d’insomnie, elle a dû </w:t>
      </w:r>
      <w:r w:rsidR="00B15A79">
        <w:rPr>
          <w:rFonts w:cs="Arial"/>
        </w:rPr>
        <w:t>suivre une</w:t>
      </w:r>
      <w:r w:rsidRPr="00103606">
        <w:rPr>
          <w:rFonts w:cs="Arial"/>
        </w:rPr>
        <w:t xml:space="preserve"> thérapie dès ses 18 ans et est devenue dépendante aux drogues.</w:t>
      </w:r>
    </w:p>
    <w:p w14:paraId="20312A95" w14:textId="77777777" w:rsidR="00C03F8C" w:rsidRPr="00103606" w:rsidRDefault="00E21D39" w:rsidP="00A02D63">
      <w:pPr>
        <w:pStyle w:val="Paragrdouble"/>
        <w:spacing w:line="276" w:lineRule="auto"/>
        <w:rPr>
          <w:rFonts w:cs="Arial"/>
        </w:rPr>
      </w:pPr>
      <w:r w:rsidRPr="00103606">
        <w:rPr>
          <w:rFonts w:cs="Arial"/>
        </w:rPr>
        <w:t xml:space="preserve">B.N. ajoute à sa déclaration sur l’incapacité </w:t>
      </w:r>
      <w:r w:rsidR="00015680" w:rsidRPr="00103606">
        <w:rPr>
          <w:rFonts w:cs="Arial"/>
        </w:rPr>
        <w:t>d’agir</w:t>
      </w:r>
      <w:r w:rsidR="007A5828" w:rsidRPr="00103606">
        <w:rPr>
          <w:rFonts w:cs="Arial"/>
        </w:rPr>
        <w:t xml:space="preserve"> (par. 38 à 41) </w:t>
      </w:r>
      <w:r w:rsidRPr="00103606">
        <w:rPr>
          <w:rFonts w:cs="Arial"/>
        </w:rPr>
        <w:t xml:space="preserve">un rapport d’expert </w:t>
      </w:r>
      <w:r w:rsidR="007A5828" w:rsidRPr="00103606">
        <w:rPr>
          <w:rFonts w:cs="Arial"/>
        </w:rPr>
        <w:t xml:space="preserve">d’un </w:t>
      </w:r>
      <w:r w:rsidRPr="00103606">
        <w:rPr>
          <w:rFonts w:cs="Arial"/>
        </w:rPr>
        <w:t>psycholog</w:t>
      </w:r>
      <w:r w:rsidR="007A5828" w:rsidRPr="00103606">
        <w:rPr>
          <w:rFonts w:cs="Arial"/>
        </w:rPr>
        <w:t>ue</w:t>
      </w:r>
      <w:r w:rsidRPr="00103606">
        <w:rPr>
          <w:rFonts w:cs="Arial"/>
        </w:rPr>
        <w:t xml:space="preserve"> produit en pièce R-76.</w:t>
      </w:r>
      <w:r w:rsidR="00015680" w:rsidRPr="00103606">
        <w:rPr>
          <w:rFonts w:cs="Arial"/>
        </w:rPr>
        <w:t xml:space="preserve"> </w:t>
      </w:r>
    </w:p>
    <w:p w14:paraId="193B4B42" w14:textId="77777777" w:rsidR="00DD1F95" w:rsidRPr="00103606" w:rsidRDefault="00E21D39" w:rsidP="00A02D63">
      <w:pPr>
        <w:pStyle w:val="Paragrdouble"/>
        <w:spacing w:line="276" w:lineRule="auto"/>
        <w:rPr>
          <w:rFonts w:cs="Arial"/>
        </w:rPr>
      </w:pPr>
      <w:r w:rsidRPr="00103606">
        <w:rPr>
          <w:rFonts w:cs="Arial"/>
        </w:rPr>
        <w:t>Elle prétend</w:t>
      </w:r>
      <w:r w:rsidR="00C03F8C" w:rsidRPr="00103606">
        <w:rPr>
          <w:rFonts w:cs="Arial"/>
        </w:rPr>
        <w:t xml:space="preserve"> </w:t>
      </w:r>
      <w:r w:rsidRPr="00103606">
        <w:rPr>
          <w:rFonts w:cs="Arial"/>
        </w:rPr>
        <w:t xml:space="preserve">que ses dommages sont la cause directe des agissements des </w:t>
      </w:r>
      <w:r w:rsidR="008D1E5E">
        <w:rPr>
          <w:rFonts w:cs="Arial"/>
        </w:rPr>
        <w:t>d</w:t>
      </w:r>
      <w:r w:rsidR="008D1E5E" w:rsidRPr="00103606">
        <w:rPr>
          <w:rFonts w:cs="Arial"/>
        </w:rPr>
        <w:t xml:space="preserve">éfendeurs </w:t>
      </w:r>
      <w:r w:rsidRPr="00103606">
        <w:rPr>
          <w:rFonts w:cs="Arial"/>
        </w:rPr>
        <w:t xml:space="preserve">et qu’elle est donc justifiée de réclamer 5 millions </w:t>
      </w:r>
      <w:r w:rsidR="00D5660C" w:rsidRPr="00103606">
        <w:rPr>
          <w:rFonts w:cs="Arial"/>
        </w:rPr>
        <w:t xml:space="preserve">de dollars </w:t>
      </w:r>
      <w:r w:rsidRPr="00103606">
        <w:rPr>
          <w:rFonts w:cs="Arial"/>
        </w:rPr>
        <w:t>en dommages compensatoires et 1</w:t>
      </w:r>
      <w:r w:rsidR="00ED3290">
        <w:rPr>
          <w:rFonts w:cs="Arial"/>
        </w:rPr>
        <w:t>,5 million</w:t>
      </w:r>
      <w:r w:rsidRPr="00103606">
        <w:rPr>
          <w:rFonts w:cs="Arial"/>
        </w:rPr>
        <w:t xml:space="preserve"> </w:t>
      </w:r>
      <w:r w:rsidR="00D5660C" w:rsidRPr="00103606">
        <w:rPr>
          <w:rFonts w:cs="Arial"/>
        </w:rPr>
        <w:t xml:space="preserve">de dollars </w:t>
      </w:r>
      <w:r w:rsidRPr="00103606">
        <w:rPr>
          <w:rFonts w:cs="Arial"/>
        </w:rPr>
        <w:t xml:space="preserve">en dommages punitifs. </w:t>
      </w:r>
    </w:p>
    <w:p w14:paraId="12C2D9A4" w14:textId="77777777" w:rsidR="00715FCB" w:rsidRPr="00103606" w:rsidRDefault="00E21D39" w:rsidP="00715FCB">
      <w:pPr>
        <w:pStyle w:val="Paragrdouble"/>
        <w:spacing w:line="276" w:lineRule="auto"/>
        <w:rPr>
          <w:rFonts w:cs="Arial"/>
        </w:rPr>
      </w:pPr>
      <w:r w:rsidRPr="00103606">
        <w:rPr>
          <w:rFonts w:cs="Arial"/>
        </w:rPr>
        <w:t xml:space="preserve">Par le biais d’une cinquième demande de modification de leur demande d’autorisation, les codemanderesses </w:t>
      </w:r>
      <w:r w:rsidR="002D23B5" w:rsidRPr="00103606">
        <w:rPr>
          <w:rFonts w:cs="Arial"/>
        </w:rPr>
        <w:t xml:space="preserve">S.N. et B.N. </w:t>
      </w:r>
      <w:r w:rsidR="00015680" w:rsidRPr="00103606">
        <w:rPr>
          <w:rFonts w:cs="Arial"/>
        </w:rPr>
        <w:t>demandent d’ajouter</w:t>
      </w:r>
      <w:r w:rsidR="002D23B5" w:rsidRPr="00103606">
        <w:rPr>
          <w:rFonts w:cs="Arial"/>
        </w:rPr>
        <w:t xml:space="preserve"> V.R. comme cod</w:t>
      </w:r>
      <w:r w:rsidR="00015680" w:rsidRPr="00103606">
        <w:rPr>
          <w:rFonts w:cs="Arial"/>
        </w:rPr>
        <w:t>ema</w:t>
      </w:r>
      <w:r w:rsidR="002D23B5" w:rsidRPr="00103606">
        <w:rPr>
          <w:rFonts w:cs="Arial"/>
        </w:rPr>
        <w:t xml:space="preserve">nderesse. Cette dernière était initialement demanderesse au recours intenté en août 2023 dans le dossier numéro </w:t>
      </w:r>
      <w:r w:rsidR="002D23B5" w:rsidRPr="005C3D9B">
        <w:rPr>
          <w:rFonts w:cs="Arial"/>
        </w:rPr>
        <w:t>500-06-00125</w:t>
      </w:r>
      <w:r w:rsidR="00B15A79" w:rsidRPr="00573001">
        <w:rPr>
          <w:rFonts w:cs="Arial"/>
        </w:rPr>
        <w:t>6</w:t>
      </w:r>
      <w:r w:rsidR="002D23B5" w:rsidRPr="005C3D9B">
        <w:rPr>
          <w:rFonts w:cs="Arial"/>
        </w:rPr>
        <w:t>-235</w:t>
      </w:r>
      <w:r w:rsidR="00015680" w:rsidRPr="00103606">
        <w:rPr>
          <w:rFonts w:cs="Arial"/>
        </w:rPr>
        <w:t>, mais s’en désiste</w:t>
      </w:r>
      <w:r>
        <w:rPr>
          <w:rStyle w:val="Appelnotedebasdep"/>
          <w:rFonts w:cs="Arial"/>
        </w:rPr>
        <w:footnoteReference w:id="19"/>
      </w:r>
      <w:r w:rsidR="002D23B5" w:rsidRPr="00103606">
        <w:rPr>
          <w:rFonts w:cs="Arial"/>
        </w:rPr>
        <w:t xml:space="preserve">. </w:t>
      </w:r>
      <w:r w:rsidR="00015680" w:rsidRPr="00103606">
        <w:rPr>
          <w:rFonts w:cs="Arial"/>
        </w:rPr>
        <w:t>La</w:t>
      </w:r>
      <w:r w:rsidR="006C076E" w:rsidRPr="00103606">
        <w:rPr>
          <w:rFonts w:cs="Arial"/>
        </w:rPr>
        <w:t xml:space="preserve"> demande de modification </w:t>
      </w:r>
      <w:r w:rsidR="00015680" w:rsidRPr="00103606">
        <w:rPr>
          <w:rFonts w:cs="Arial"/>
        </w:rPr>
        <w:t xml:space="preserve">est approuvée </w:t>
      </w:r>
      <w:r w:rsidR="006C076E" w:rsidRPr="00103606">
        <w:rPr>
          <w:rFonts w:cs="Arial"/>
        </w:rPr>
        <w:t>le 9 septembre 2024</w:t>
      </w:r>
      <w:r w:rsidR="000076C9" w:rsidRPr="00103606">
        <w:rPr>
          <w:rFonts w:cs="Arial"/>
        </w:rPr>
        <w:t xml:space="preserve">, donnant lieu à la </w:t>
      </w:r>
      <w:r w:rsidR="000076C9" w:rsidRPr="007E50B9">
        <w:rPr>
          <w:rFonts w:cs="Arial"/>
          <w:i/>
          <w:iCs/>
        </w:rPr>
        <w:t>Fifth Amended Application to Authorize the Bringing of a Class Action &amp; to Appoint the Applicants as Representative Plaintiffs</w:t>
      </w:r>
      <w:r w:rsidR="000076C9" w:rsidRPr="00103606">
        <w:rPr>
          <w:rFonts w:cs="Arial"/>
        </w:rPr>
        <w:t xml:space="preserve"> (la « </w:t>
      </w:r>
      <w:r w:rsidR="000076C9" w:rsidRPr="00103606">
        <w:rPr>
          <w:rFonts w:cs="Arial"/>
          <w:b/>
          <w:bCs/>
        </w:rPr>
        <w:t>Cinquième Demande</w:t>
      </w:r>
      <w:r w:rsidR="0020642B">
        <w:rPr>
          <w:rFonts w:cs="Arial"/>
          <w:b/>
          <w:bCs/>
        </w:rPr>
        <w:t> </w:t>
      </w:r>
      <w:r w:rsidR="000076C9" w:rsidRPr="00103606">
        <w:rPr>
          <w:rFonts w:cs="Arial"/>
        </w:rPr>
        <w:t>»)</w:t>
      </w:r>
      <w:r w:rsidR="006C076E" w:rsidRPr="00103606">
        <w:rPr>
          <w:rFonts w:cs="Arial"/>
        </w:rPr>
        <w:t>.</w:t>
      </w:r>
    </w:p>
    <w:p w14:paraId="58241C51" w14:textId="77777777" w:rsidR="00974EC8" w:rsidRPr="00103606" w:rsidRDefault="00E21D39" w:rsidP="00715FCB">
      <w:pPr>
        <w:pStyle w:val="Paragrdouble"/>
        <w:spacing w:line="276" w:lineRule="auto"/>
        <w:rPr>
          <w:rFonts w:cs="Arial"/>
        </w:rPr>
      </w:pPr>
      <w:r w:rsidRPr="00103606">
        <w:rPr>
          <w:rFonts w:cs="Arial"/>
        </w:rPr>
        <w:t xml:space="preserve">V.R. réitère dans la Cinquième Demande le contenu de sa déclaration </w:t>
      </w:r>
      <w:r w:rsidR="007A5828" w:rsidRPr="00103606">
        <w:rPr>
          <w:rFonts w:cs="Arial"/>
        </w:rPr>
        <w:t>anonyme</w:t>
      </w:r>
      <w:r w:rsidRPr="00103606">
        <w:rPr>
          <w:rFonts w:cs="Arial"/>
        </w:rPr>
        <w:t xml:space="preserve"> signée et non assermentée produite en R-29. Elle ajoute qu’elle a rencontré Miller à 16 ans à travers S.G. et a commencé à avoir des relations sexuelles avec lui à ce moment. S.G. lui a alors expliqué qu’un homme riche prénommé « Bob » lui donnerait de l’argent et des cadeaux si elle acceptait de le rencontrer. </w:t>
      </w:r>
    </w:p>
    <w:p w14:paraId="7C5F264D" w14:textId="77777777" w:rsidR="00015680" w:rsidRPr="00103606" w:rsidRDefault="00E21D39" w:rsidP="00715FCB">
      <w:pPr>
        <w:pStyle w:val="Paragrdouble"/>
        <w:spacing w:line="276" w:lineRule="auto"/>
        <w:rPr>
          <w:rFonts w:cs="Arial"/>
        </w:rPr>
      </w:pPr>
      <w:r w:rsidRPr="00103606">
        <w:rPr>
          <w:rFonts w:cs="Arial"/>
        </w:rPr>
        <w:t>V.R. rencontre</w:t>
      </w:r>
      <w:r w:rsidR="003F7BF2">
        <w:rPr>
          <w:rFonts w:cs="Arial"/>
        </w:rPr>
        <w:t xml:space="preserve"> donc</w:t>
      </w:r>
      <w:r w:rsidRPr="00103606">
        <w:rPr>
          <w:rFonts w:cs="Arial"/>
        </w:rPr>
        <w:t xml:space="preserve"> Miller dans une chambre de l’Hôtel Reine</w:t>
      </w:r>
      <w:r w:rsidR="00800CDC">
        <w:rPr>
          <w:rFonts w:cs="Arial"/>
        </w:rPr>
        <w:t xml:space="preserve"> É</w:t>
      </w:r>
      <w:r w:rsidRPr="00103606">
        <w:rPr>
          <w:rFonts w:cs="Arial"/>
        </w:rPr>
        <w:t xml:space="preserve">lizabeth. </w:t>
      </w:r>
      <w:r w:rsidR="008A0DE8" w:rsidRPr="00103606">
        <w:rPr>
          <w:rFonts w:cs="Arial"/>
        </w:rPr>
        <w:t xml:space="preserve">Ils discutent </w:t>
      </w:r>
      <w:r w:rsidR="003F7BF2">
        <w:rPr>
          <w:rFonts w:cs="Arial"/>
        </w:rPr>
        <w:t>de ses</w:t>
      </w:r>
      <w:r w:rsidR="008A0DE8" w:rsidRPr="00103606">
        <w:rPr>
          <w:rFonts w:cs="Arial"/>
        </w:rPr>
        <w:t xml:space="preserve"> étud</w:t>
      </w:r>
      <w:r w:rsidR="003F7BF2">
        <w:rPr>
          <w:rFonts w:cs="Arial"/>
        </w:rPr>
        <w:t>es</w:t>
      </w:r>
      <w:r w:rsidR="008A0DE8" w:rsidRPr="00103606">
        <w:rPr>
          <w:rFonts w:cs="Arial"/>
        </w:rPr>
        <w:t xml:space="preserve"> en secondaire 4</w:t>
      </w:r>
      <w:r w:rsidR="003F7BF2">
        <w:rPr>
          <w:rFonts w:cs="Arial"/>
        </w:rPr>
        <w:t>,</w:t>
      </w:r>
      <w:r w:rsidR="008A0DE8" w:rsidRPr="00103606">
        <w:rPr>
          <w:rFonts w:cs="Arial"/>
        </w:rPr>
        <w:t xml:space="preserve"> </w:t>
      </w:r>
      <w:r w:rsidR="003F7BF2">
        <w:rPr>
          <w:rFonts w:cs="Arial"/>
        </w:rPr>
        <w:t>de</w:t>
      </w:r>
      <w:r w:rsidR="008A0DE8" w:rsidRPr="00103606">
        <w:rPr>
          <w:rFonts w:cs="Arial"/>
        </w:rPr>
        <w:t xml:space="preserve"> </w:t>
      </w:r>
      <w:r w:rsidR="003F7BF2">
        <w:rPr>
          <w:rFonts w:cs="Arial"/>
        </w:rPr>
        <w:t>s</w:t>
      </w:r>
      <w:r w:rsidR="008A0DE8" w:rsidRPr="00103606">
        <w:rPr>
          <w:rFonts w:cs="Arial"/>
        </w:rPr>
        <w:t>es ambitions et de</w:t>
      </w:r>
      <w:r w:rsidR="003F7BF2">
        <w:rPr>
          <w:rFonts w:cs="Arial"/>
        </w:rPr>
        <w:t xml:space="preserve"> se</w:t>
      </w:r>
      <w:r w:rsidR="008A0DE8" w:rsidRPr="00103606">
        <w:rPr>
          <w:rFonts w:cs="Arial"/>
        </w:rPr>
        <w:t>s rêves. Miller lui promet de l’aide</w:t>
      </w:r>
      <w:r w:rsidR="003F7BF2">
        <w:rPr>
          <w:rFonts w:cs="Arial"/>
        </w:rPr>
        <w:t>r</w:t>
      </w:r>
      <w:r w:rsidR="008A0DE8" w:rsidRPr="00103606">
        <w:rPr>
          <w:rFonts w:cs="Arial"/>
        </w:rPr>
        <w:t xml:space="preserve"> à les réaliser. </w:t>
      </w:r>
    </w:p>
    <w:p w14:paraId="694D5C72" w14:textId="77777777" w:rsidR="008A0DE8" w:rsidRPr="00103606" w:rsidRDefault="00E21D39" w:rsidP="00715FCB">
      <w:pPr>
        <w:pStyle w:val="Paragrdouble"/>
        <w:spacing w:line="276" w:lineRule="auto"/>
        <w:rPr>
          <w:rFonts w:cs="Arial"/>
        </w:rPr>
      </w:pPr>
      <w:r w:rsidRPr="00103606">
        <w:rPr>
          <w:rFonts w:cs="Arial"/>
        </w:rPr>
        <w:t>Il lui demande alors d’aller prendre un bain et de le rejoindre à la chambre. Ils ont une relation sexuelle complète non protégée. Elle reçoit une enveloppe de 3</w:t>
      </w:r>
      <w:r w:rsidR="002E468C">
        <w:rPr>
          <w:rFonts w:cs="Arial"/>
        </w:rPr>
        <w:t> </w:t>
      </w:r>
      <w:r w:rsidRPr="00103606">
        <w:rPr>
          <w:rFonts w:cs="Arial"/>
        </w:rPr>
        <w:t>000</w:t>
      </w:r>
      <w:r w:rsidR="002E468C">
        <w:rPr>
          <w:rFonts w:cs="Arial"/>
        </w:rPr>
        <w:t> </w:t>
      </w:r>
      <w:r w:rsidRPr="00103606">
        <w:rPr>
          <w:rFonts w:cs="Arial"/>
        </w:rPr>
        <w:t>$ en quittant et remet 500</w:t>
      </w:r>
      <w:r w:rsidR="002E468C">
        <w:rPr>
          <w:rFonts w:cs="Arial"/>
        </w:rPr>
        <w:t> </w:t>
      </w:r>
      <w:r w:rsidRPr="00103606">
        <w:rPr>
          <w:rFonts w:cs="Arial"/>
        </w:rPr>
        <w:t>$ à S.G.</w:t>
      </w:r>
    </w:p>
    <w:p w14:paraId="57E060A6" w14:textId="77777777" w:rsidR="008A0DE8" w:rsidRPr="00103606" w:rsidRDefault="00E21D39" w:rsidP="00715FCB">
      <w:pPr>
        <w:pStyle w:val="Paragrdouble"/>
        <w:spacing w:line="276" w:lineRule="auto"/>
        <w:rPr>
          <w:rFonts w:cs="Arial"/>
        </w:rPr>
      </w:pPr>
      <w:r w:rsidRPr="00103606">
        <w:rPr>
          <w:rFonts w:cs="Arial"/>
        </w:rPr>
        <w:t xml:space="preserve">V.R. continue d’avoir des relations sexuelles avec Miller environ deux fois par mois pendant la prochaine année et demie, et chaque fois elle reçoit la même somme, en plus de cadeaux en vêtements et sacs </w:t>
      </w:r>
      <w:r w:rsidR="007803A3" w:rsidRPr="00103606">
        <w:rPr>
          <w:rFonts w:cs="Arial"/>
        </w:rPr>
        <w:t>lux</w:t>
      </w:r>
      <w:r w:rsidR="007803A3">
        <w:rPr>
          <w:rFonts w:cs="Arial"/>
        </w:rPr>
        <w:t>ueux</w:t>
      </w:r>
      <w:r w:rsidRPr="00103606">
        <w:rPr>
          <w:rFonts w:cs="Arial"/>
        </w:rPr>
        <w:t xml:space="preserve">. </w:t>
      </w:r>
    </w:p>
    <w:p w14:paraId="55E894F9" w14:textId="77777777" w:rsidR="008A0DE8" w:rsidRPr="00103606" w:rsidRDefault="00E21D39" w:rsidP="00715FCB">
      <w:pPr>
        <w:pStyle w:val="Paragrdouble"/>
        <w:spacing w:line="276" w:lineRule="auto"/>
        <w:rPr>
          <w:rFonts w:cs="Arial"/>
        </w:rPr>
      </w:pPr>
      <w:r w:rsidRPr="00103606">
        <w:rPr>
          <w:rFonts w:cs="Arial"/>
        </w:rPr>
        <w:t xml:space="preserve">Après un certain temps, c’est Joseph (Abrams) qui devient la personne contact pour organiser les rencontres. Elle fréquente Miller plus régulièrement, soit 4 fois par mois. Miller organise une visite au médecin pour qu’elle </w:t>
      </w:r>
      <w:r w:rsidR="006F1730">
        <w:rPr>
          <w:rFonts w:cs="Arial"/>
        </w:rPr>
        <w:t xml:space="preserve">passe </w:t>
      </w:r>
      <w:r w:rsidR="00F03888" w:rsidRPr="00F03888">
        <w:rPr>
          <w:rFonts w:cs="Arial"/>
        </w:rPr>
        <w:t>qu'elle effectue un test de dépistage de maladie sexuellement transmissible</w:t>
      </w:r>
      <w:r w:rsidRPr="00103606">
        <w:rPr>
          <w:rFonts w:cs="Arial"/>
        </w:rPr>
        <w:t>.</w:t>
      </w:r>
    </w:p>
    <w:p w14:paraId="56A7F809" w14:textId="77777777" w:rsidR="008A0DE8" w:rsidRPr="00103606" w:rsidRDefault="00E21D39" w:rsidP="00715FCB">
      <w:pPr>
        <w:pStyle w:val="Paragrdouble"/>
        <w:spacing w:line="276" w:lineRule="auto"/>
        <w:rPr>
          <w:rFonts w:cs="Arial"/>
        </w:rPr>
      </w:pPr>
      <w:r w:rsidRPr="00103606">
        <w:rPr>
          <w:rFonts w:cs="Arial"/>
        </w:rPr>
        <w:t>Les rencontres prennent fin lorsque la mère de V.R. apprend les évènements et l’expulse de la maison familiale. Au même moment, Miller se désintéresse d’elle. V.R. a alors 18 ans.</w:t>
      </w:r>
    </w:p>
    <w:p w14:paraId="04E35A79" w14:textId="77777777" w:rsidR="008A0DE8" w:rsidRPr="00103606" w:rsidRDefault="00E21D39" w:rsidP="00715FCB">
      <w:pPr>
        <w:pStyle w:val="Paragrdouble"/>
        <w:spacing w:line="276" w:lineRule="auto"/>
        <w:rPr>
          <w:rFonts w:cs="Arial"/>
        </w:rPr>
      </w:pPr>
      <w:r w:rsidRPr="00103606">
        <w:rPr>
          <w:rFonts w:cs="Arial"/>
        </w:rPr>
        <w:t xml:space="preserve">L’expérience </w:t>
      </w:r>
      <w:r w:rsidR="006F1730">
        <w:rPr>
          <w:rFonts w:cs="Arial"/>
        </w:rPr>
        <w:t xml:space="preserve">vécue </w:t>
      </w:r>
      <w:r w:rsidRPr="00103606">
        <w:rPr>
          <w:rFonts w:cs="Arial"/>
        </w:rPr>
        <w:t xml:space="preserve">avec Miller a eu un profond impact psychologique sur V.R., </w:t>
      </w:r>
      <w:r w:rsidR="00D5660C" w:rsidRPr="00103606">
        <w:rPr>
          <w:rFonts w:cs="Arial"/>
        </w:rPr>
        <w:t>entre autres</w:t>
      </w:r>
      <w:r w:rsidRPr="00103606">
        <w:rPr>
          <w:rFonts w:cs="Arial"/>
        </w:rPr>
        <w:t xml:space="preserve"> sur ses relations avec sa mère, son frère et son conjoint de l’époque qui rompt avec elle et l’insulte de tous les noms. Par la suite, </w:t>
      </w:r>
      <w:r w:rsidR="00D5660C" w:rsidRPr="00103606">
        <w:rPr>
          <w:rFonts w:cs="Arial"/>
        </w:rPr>
        <w:t>elle commence à consommer des drogues</w:t>
      </w:r>
      <w:r w:rsidR="006F1730">
        <w:rPr>
          <w:rFonts w:cs="Arial"/>
        </w:rPr>
        <w:t>,</w:t>
      </w:r>
      <w:r w:rsidR="00D5660C" w:rsidRPr="00103606">
        <w:rPr>
          <w:rFonts w:cs="Arial"/>
        </w:rPr>
        <w:t xml:space="preserve"> perd complètement confiance en elle</w:t>
      </w:r>
      <w:r w:rsidR="00AE12C4">
        <w:rPr>
          <w:rFonts w:cs="Arial"/>
        </w:rPr>
        <w:t>,</w:t>
      </w:r>
      <w:r w:rsidR="00D5660C" w:rsidRPr="00103606">
        <w:rPr>
          <w:rFonts w:cs="Arial"/>
        </w:rPr>
        <w:t xml:space="preserve"> et est profondément affectée dans ses relations intimes. Elle se sent sale, honteuse</w:t>
      </w:r>
      <w:r w:rsidR="00AE12C4">
        <w:rPr>
          <w:rFonts w:cs="Arial"/>
        </w:rPr>
        <w:t xml:space="preserve"> et</w:t>
      </w:r>
      <w:r w:rsidR="00AE12C4" w:rsidRPr="00103606">
        <w:rPr>
          <w:rFonts w:cs="Arial"/>
        </w:rPr>
        <w:t xml:space="preserve"> </w:t>
      </w:r>
      <w:r w:rsidR="00D5660C" w:rsidRPr="00103606">
        <w:rPr>
          <w:rFonts w:cs="Arial"/>
        </w:rPr>
        <w:t>dépressive. Elle réussit à compléter ses études à 29 ans.</w:t>
      </w:r>
    </w:p>
    <w:p w14:paraId="21128856" w14:textId="77777777" w:rsidR="00D5660C" w:rsidRPr="00103606" w:rsidRDefault="00E21D39" w:rsidP="00715FCB">
      <w:pPr>
        <w:pStyle w:val="Paragrdouble"/>
        <w:spacing w:line="276" w:lineRule="auto"/>
        <w:rPr>
          <w:rFonts w:cs="Arial"/>
        </w:rPr>
      </w:pPr>
      <w:r w:rsidRPr="00103606">
        <w:rPr>
          <w:rFonts w:cs="Arial"/>
        </w:rPr>
        <w:t>V.R. réprime ses sentiments et son expérience pendant de nombreuses années et ce n’est que lorsqu’elle visionne le reportage d’</w:t>
      </w:r>
      <w:r w:rsidRPr="00573001">
        <w:rPr>
          <w:rFonts w:cs="Arial"/>
          <w:i/>
          <w:iCs/>
        </w:rPr>
        <w:t>Enquête</w:t>
      </w:r>
      <w:r w:rsidRPr="00103606">
        <w:rPr>
          <w:rFonts w:cs="Arial"/>
        </w:rPr>
        <w:t xml:space="preserve"> </w:t>
      </w:r>
      <w:r w:rsidR="006F1730">
        <w:rPr>
          <w:rFonts w:cs="Arial"/>
        </w:rPr>
        <w:t xml:space="preserve">intitulé « Le Système Miller – des jeunes filles, de l’argent, des hôtels » </w:t>
      </w:r>
      <w:r w:rsidRPr="00103606">
        <w:rPr>
          <w:rFonts w:cs="Arial"/>
        </w:rPr>
        <w:t xml:space="preserve">qu’elle réussit à en </w:t>
      </w:r>
      <w:r w:rsidR="005C3D9B">
        <w:rPr>
          <w:rFonts w:cs="Arial"/>
        </w:rPr>
        <w:t>partager son expérience vécue</w:t>
      </w:r>
      <w:r w:rsidRPr="00103606">
        <w:rPr>
          <w:rFonts w:cs="Arial"/>
        </w:rPr>
        <w:t>, pour « obtenir justice » pour elle-même et pour d’autres. Elle réclame 2 millions de dollars en dommages compensatoires et 1</w:t>
      </w:r>
      <w:r w:rsidR="00ED3290">
        <w:rPr>
          <w:rFonts w:cs="Arial"/>
        </w:rPr>
        <w:t>,5 million</w:t>
      </w:r>
      <w:r w:rsidRPr="00103606">
        <w:rPr>
          <w:rFonts w:cs="Arial"/>
        </w:rPr>
        <w:t xml:space="preserve"> de dollars en dommages punitifs. </w:t>
      </w:r>
    </w:p>
    <w:p w14:paraId="5F04FD71" w14:textId="77777777" w:rsidR="00B80370" w:rsidRPr="00AD1ED4" w:rsidRDefault="00E21D39" w:rsidP="00AD1ED4">
      <w:pPr>
        <w:pStyle w:val="Paragrdouble"/>
        <w:spacing w:line="276" w:lineRule="auto"/>
        <w:rPr>
          <w:rFonts w:cs="Arial"/>
        </w:rPr>
      </w:pPr>
      <w:r>
        <w:rPr>
          <w:rFonts w:cs="Arial"/>
        </w:rPr>
        <w:t>L</w:t>
      </w:r>
      <w:r w:rsidRPr="00103606">
        <w:rPr>
          <w:rFonts w:cs="Arial"/>
        </w:rPr>
        <w:t>es codemanderesses proposent, le troisième matin de l’audience sur l’autorisation, la modification suivante</w:t>
      </w:r>
      <w:r w:rsidR="00AE12C4">
        <w:rPr>
          <w:rFonts w:cs="Arial"/>
        </w:rPr>
        <w:t xml:space="preserve"> </w:t>
      </w:r>
      <w:r>
        <w:rPr>
          <w:rFonts w:cs="Arial"/>
        </w:rPr>
        <w:t>à la Cinquième Demande</w:t>
      </w:r>
      <w:r w:rsidRPr="00103606">
        <w:rPr>
          <w:rFonts w:cs="Arial"/>
        </w:rPr>
        <w:t xml:space="preserve">: </w:t>
      </w:r>
    </w:p>
    <w:p w14:paraId="5D7BCCB6" w14:textId="77777777" w:rsidR="00B80370" w:rsidRPr="00103606" w:rsidRDefault="00E21D39" w:rsidP="00573001">
      <w:pPr>
        <w:pStyle w:val="Paragrdouble"/>
        <w:numPr>
          <w:ilvl w:val="0"/>
          <w:numId w:val="0"/>
        </w:numPr>
        <w:spacing w:after="0" w:line="240" w:lineRule="auto"/>
        <w:ind w:left="851" w:right="857" w:hanging="164"/>
        <w:rPr>
          <w:rFonts w:cs="Arial"/>
          <w:sz w:val="22"/>
          <w:szCs w:val="18"/>
          <w:lang w:val="en-US"/>
        </w:rPr>
      </w:pPr>
      <w:r w:rsidRPr="00103606">
        <w:rPr>
          <w:rFonts w:cs="Arial"/>
          <w:sz w:val="22"/>
          <w:szCs w:val="18"/>
          <w:lang w:val="en-US"/>
        </w:rPr>
        <w:t>“</w:t>
      </w:r>
      <w:r>
        <w:rPr>
          <w:rFonts w:cs="Arial"/>
          <w:sz w:val="22"/>
          <w:szCs w:val="18"/>
          <w:lang w:val="en-US"/>
        </w:rPr>
        <w:tab/>
      </w:r>
      <w:r w:rsidRPr="00103606">
        <w:rPr>
          <w:rFonts w:cs="Arial"/>
          <w:sz w:val="22"/>
          <w:szCs w:val="18"/>
          <w:lang w:val="en-US"/>
        </w:rPr>
        <w:t> h) Are one or all Defendants liable, whether solidarily or not, to Class Members for compensatory damages (…)?</w:t>
      </w:r>
    </w:p>
    <w:p w14:paraId="71695B33" w14:textId="77777777" w:rsidR="00B80370" w:rsidRPr="00103606" w:rsidRDefault="00E21D39" w:rsidP="00573001">
      <w:pPr>
        <w:pStyle w:val="Paragrdouble"/>
        <w:numPr>
          <w:ilvl w:val="0"/>
          <w:numId w:val="0"/>
        </w:numPr>
        <w:spacing w:line="240" w:lineRule="auto"/>
        <w:ind w:left="851" w:right="857"/>
        <w:rPr>
          <w:rFonts w:cs="Arial"/>
          <w:lang w:val="en-US"/>
        </w:rPr>
      </w:pPr>
      <w:r w:rsidRPr="00103606">
        <w:rPr>
          <w:rFonts w:cs="Arial"/>
          <w:sz w:val="22"/>
          <w:szCs w:val="18"/>
          <w:lang w:val="en-US"/>
        </w:rPr>
        <w:t xml:space="preserve">h.1) What is the quantum of damages that can be established collectively and what damages must be established at the stage of individual claims, </w:t>
      </w:r>
      <w:r w:rsidR="00C642AB">
        <w:rPr>
          <w:rFonts w:cs="Arial"/>
          <w:sz w:val="22"/>
          <w:szCs w:val="18"/>
          <w:lang w:val="en-US"/>
        </w:rPr>
        <w:br/>
      </w:r>
      <w:r w:rsidRPr="00103606">
        <w:rPr>
          <w:rFonts w:cs="Arial"/>
          <w:sz w:val="22"/>
          <w:szCs w:val="18"/>
          <w:lang w:val="en-US"/>
        </w:rPr>
        <w:t>if applicable</w:t>
      </w:r>
      <w:r w:rsidR="00AE12C4" w:rsidRPr="00103606">
        <w:rPr>
          <w:rFonts w:cs="Arial"/>
          <w:sz w:val="22"/>
          <w:szCs w:val="18"/>
          <w:lang w:val="en-US"/>
        </w:rPr>
        <w:t>?</w:t>
      </w:r>
      <w:r w:rsidRPr="00103606">
        <w:rPr>
          <w:rFonts w:cs="Arial"/>
          <w:sz w:val="22"/>
          <w:szCs w:val="18"/>
          <w:lang w:val="en-US"/>
        </w:rPr>
        <w:t>”</w:t>
      </w:r>
    </w:p>
    <w:p w14:paraId="71DCA1BF" w14:textId="77777777" w:rsidR="00B80370" w:rsidRPr="00103606" w:rsidRDefault="00E21D39" w:rsidP="00B80370">
      <w:pPr>
        <w:pStyle w:val="Paragrdouble"/>
        <w:spacing w:line="276" w:lineRule="auto"/>
        <w:rPr>
          <w:rFonts w:cs="Arial"/>
        </w:rPr>
      </w:pPr>
      <w:r w:rsidRPr="00103606">
        <w:rPr>
          <w:rFonts w:cs="Arial"/>
        </w:rPr>
        <w:t>Cette dernière modification fut approuvée le jour</w:t>
      </w:r>
      <w:r w:rsidR="00ED3290">
        <w:rPr>
          <w:rFonts w:cs="Arial"/>
        </w:rPr>
        <w:t xml:space="preserve"> </w:t>
      </w:r>
      <w:r w:rsidRPr="00103606">
        <w:rPr>
          <w:rFonts w:cs="Arial"/>
        </w:rPr>
        <w:t>même par la soussignée</w:t>
      </w:r>
      <w:r>
        <w:rPr>
          <w:rFonts w:cs="Arial"/>
        </w:rPr>
        <w:t xml:space="preserve"> (la</w:t>
      </w:r>
      <w:r w:rsidR="00C642AB">
        <w:rPr>
          <w:rFonts w:cs="Arial"/>
        </w:rPr>
        <w:t> </w:t>
      </w:r>
      <w:r>
        <w:rPr>
          <w:rFonts w:cs="Arial"/>
        </w:rPr>
        <w:t>« </w:t>
      </w:r>
      <w:r w:rsidRPr="008573E6">
        <w:rPr>
          <w:rFonts w:cs="Arial"/>
          <w:b/>
          <w:bCs/>
        </w:rPr>
        <w:t>Sixième Demande</w:t>
      </w:r>
      <w:r>
        <w:rPr>
          <w:rFonts w:cs="Arial"/>
        </w:rPr>
        <w:t> »).</w:t>
      </w:r>
    </w:p>
    <w:p w14:paraId="3835FDB8" w14:textId="77777777" w:rsidR="00A02D63" w:rsidRPr="00103606" w:rsidRDefault="00E21D39" w:rsidP="00A02D63">
      <w:pPr>
        <w:pStyle w:val="Paragrdouble"/>
        <w:spacing w:line="276" w:lineRule="auto"/>
        <w:rPr>
          <w:rFonts w:cs="Arial"/>
        </w:rPr>
      </w:pPr>
      <w:r w:rsidRPr="00103606">
        <w:rPr>
          <w:rFonts w:cs="Arial"/>
        </w:rPr>
        <w:t>En somme</w:t>
      </w:r>
      <w:r w:rsidR="006C076E" w:rsidRPr="00103606">
        <w:rPr>
          <w:rFonts w:cs="Arial"/>
        </w:rPr>
        <w:t xml:space="preserve">, </w:t>
      </w:r>
      <w:r w:rsidR="00B80370">
        <w:rPr>
          <w:rFonts w:cs="Arial"/>
        </w:rPr>
        <w:t>par</w:t>
      </w:r>
      <w:r w:rsidR="00B80370" w:rsidRPr="00103606">
        <w:rPr>
          <w:rFonts w:cs="Arial"/>
        </w:rPr>
        <w:t xml:space="preserve"> </w:t>
      </w:r>
      <w:r w:rsidR="0096291E" w:rsidRPr="00103606">
        <w:rPr>
          <w:rFonts w:cs="Arial"/>
        </w:rPr>
        <w:t>l</w:t>
      </w:r>
      <w:r w:rsidRPr="00103606">
        <w:rPr>
          <w:rFonts w:cs="Arial"/>
        </w:rPr>
        <w:t>eur</w:t>
      </w:r>
      <w:r w:rsidR="0096291E" w:rsidRPr="00103606">
        <w:rPr>
          <w:rFonts w:cs="Arial"/>
        </w:rPr>
        <w:t xml:space="preserve"> </w:t>
      </w:r>
      <w:r w:rsidR="00B80370">
        <w:rPr>
          <w:rFonts w:cs="Arial"/>
        </w:rPr>
        <w:t>Sixième</w:t>
      </w:r>
      <w:r w:rsidR="00B80370" w:rsidRPr="00103606">
        <w:rPr>
          <w:rFonts w:cs="Arial"/>
        </w:rPr>
        <w:t xml:space="preserve"> </w:t>
      </w:r>
      <w:r w:rsidR="0096291E" w:rsidRPr="00103606">
        <w:rPr>
          <w:rFonts w:cs="Arial"/>
        </w:rPr>
        <w:t>Demande, l</w:t>
      </w:r>
      <w:r w:rsidRPr="00103606">
        <w:rPr>
          <w:rFonts w:cs="Arial"/>
        </w:rPr>
        <w:t>es</w:t>
      </w:r>
      <w:r w:rsidR="0096291E" w:rsidRPr="00103606">
        <w:rPr>
          <w:rFonts w:cs="Arial"/>
        </w:rPr>
        <w:t xml:space="preserve"> </w:t>
      </w:r>
      <w:r w:rsidRPr="00103606">
        <w:rPr>
          <w:rFonts w:cs="Arial"/>
        </w:rPr>
        <w:t>co</w:t>
      </w:r>
      <w:r w:rsidR="0096291E" w:rsidRPr="00103606">
        <w:rPr>
          <w:rFonts w:cs="Arial"/>
        </w:rPr>
        <w:t>demanderesse</w:t>
      </w:r>
      <w:r w:rsidRPr="00103606">
        <w:rPr>
          <w:rFonts w:cs="Arial"/>
        </w:rPr>
        <w:t>s</w:t>
      </w:r>
      <w:r w:rsidR="0096291E" w:rsidRPr="00103606">
        <w:rPr>
          <w:rFonts w:cs="Arial"/>
        </w:rPr>
        <w:t xml:space="preserve"> reproche</w:t>
      </w:r>
      <w:r w:rsidRPr="00103606">
        <w:rPr>
          <w:rFonts w:cs="Arial"/>
        </w:rPr>
        <w:t>nt</w:t>
      </w:r>
      <w:r w:rsidR="0096291E" w:rsidRPr="00103606">
        <w:rPr>
          <w:rFonts w:cs="Arial"/>
        </w:rPr>
        <w:t xml:space="preserve"> aux défendeurs </w:t>
      </w:r>
      <w:r w:rsidR="00C03F8C" w:rsidRPr="00103606">
        <w:rPr>
          <w:rFonts w:cs="Arial"/>
        </w:rPr>
        <w:t>les points suivants :</w:t>
      </w:r>
    </w:p>
    <w:p w14:paraId="0A5353E3" w14:textId="77777777" w:rsidR="00C03F8C" w:rsidRPr="00103606" w:rsidRDefault="00E21D39" w:rsidP="00C03F8C">
      <w:pPr>
        <w:pStyle w:val="Paragrdouble"/>
        <w:numPr>
          <w:ilvl w:val="0"/>
          <w:numId w:val="0"/>
        </w:numPr>
        <w:spacing w:line="276" w:lineRule="auto"/>
        <w:rPr>
          <w:rFonts w:cs="Arial"/>
        </w:rPr>
      </w:pPr>
      <w:r w:rsidRPr="00103606">
        <w:rPr>
          <w:rFonts w:cs="Arial"/>
        </w:rPr>
        <w:t>En ce qui concerne Miller :</w:t>
      </w:r>
    </w:p>
    <w:p w14:paraId="39C5EF5A" w14:textId="77777777" w:rsidR="00A02D63" w:rsidRPr="00103606" w:rsidRDefault="00E21D39" w:rsidP="009F319B">
      <w:pPr>
        <w:pStyle w:val="Paragrdouble"/>
        <w:numPr>
          <w:ilvl w:val="0"/>
          <w:numId w:val="8"/>
        </w:numPr>
        <w:spacing w:line="276" w:lineRule="auto"/>
        <w:rPr>
          <w:rFonts w:cs="Arial"/>
        </w:rPr>
      </w:pPr>
      <w:r w:rsidRPr="00103606">
        <w:rPr>
          <w:rFonts w:cs="Arial"/>
        </w:rPr>
        <w:t>Qu’i</w:t>
      </w:r>
      <w:r w:rsidR="0096291E" w:rsidRPr="00103606">
        <w:rPr>
          <w:rFonts w:cs="Arial"/>
        </w:rPr>
        <w:t xml:space="preserve">l y a eu obtention illégale de services sexuels moyennant rétribution auprès de personnes âgées de moins de 18 ans, violant ainsi l’article </w:t>
      </w:r>
      <w:r w:rsidR="00C03F8C" w:rsidRPr="00103606">
        <w:rPr>
          <w:rFonts w:cs="Arial"/>
        </w:rPr>
        <w:t xml:space="preserve">212(4) (ancien article </w:t>
      </w:r>
      <w:r w:rsidR="0096291E" w:rsidRPr="00103606">
        <w:rPr>
          <w:rFonts w:cs="Arial"/>
        </w:rPr>
        <w:t>286.1</w:t>
      </w:r>
      <w:r w:rsidR="00C03F8C" w:rsidRPr="00103606">
        <w:rPr>
          <w:rFonts w:cs="Arial"/>
        </w:rPr>
        <w:t>)</w:t>
      </w:r>
      <w:r w:rsidR="0096291E" w:rsidRPr="00103606">
        <w:rPr>
          <w:rFonts w:cs="Arial"/>
        </w:rPr>
        <w:t xml:space="preserve"> du </w:t>
      </w:r>
      <w:r w:rsidR="001C1544" w:rsidRPr="00573001">
        <w:rPr>
          <w:rFonts w:cs="Arial"/>
        </w:rPr>
        <w:t>C.cr.</w:t>
      </w:r>
      <w:r w:rsidR="0096291E" w:rsidRPr="001C1544">
        <w:rPr>
          <w:rFonts w:cs="Arial"/>
        </w:rPr>
        <w:t>;</w:t>
      </w:r>
    </w:p>
    <w:p w14:paraId="797C18E6" w14:textId="77777777" w:rsidR="000F092F" w:rsidRPr="00103606" w:rsidRDefault="00E21D39" w:rsidP="009F319B">
      <w:pPr>
        <w:pStyle w:val="Paragrdouble"/>
        <w:numPr>
          <w:ilvl w:val="0"/>
          <w:numId w:val="8"/>
        </w:numPr>
        <w:spacing w:line="276" w:lineRule="auto"/>
        <w:rPr>
          <w:rFonts w:cs="Arial"/>
        </w:rPr>
      </w:pPr>
      <w:r w:rsidRPr="00103606">
        <w:rPr>
          <w:rFonts w:cs="Arial"/>
        </w:rPr>
        <w:t>Qu’i</w:t>
      </w:r>
      <w:r w:rsidR="0096291E" w:rsidRPr="00103606">
        <w:rPr>
          <w:rFonts w:cs="Arial"/>
        </w:rPr>
        <w:t xml:space="preserve">l y a eu exploitation sexuelle de personnes </w:t>
      </w:r>
      <w:r w:rsidR="001049D1" w:rsidRPr="00103606">
        <w:rPr>
          <w:rFonts w:cs="Arial"/>
        </w:rPr>
        <w:t>entre quatorze et dix-huit ans</w:t>
      </w:r>
      <w:r w:rsidR="0096291E" w:rsidRPr="00103606">
        <w:rPr>
          <w:rFonts w:cs="Arial"/>
        </w:rPr>
        <w:t xml:space="preserve">, violant ainsi l’article 153 du </w:t>
      </w:r>
      <w:r w:rsidR="001C1544" w:rsidRPr="00573001">
        <w:rPr>
          <w:rFonts w:cs="Arial"/>
        </w:rPr>
        <w:t>C.cr</w:t>
      </w:r>
      <w:r w:rsidR="001C1544">
        <w:rPr>
          <w:rFonts w:cs="Arial"/>
          <w:i/>
          <w:iCs/>
        </w:rPr>
        <w:t>.</w:t>
      </w:r>
      <w:r w:rsidR="0096291E" w:rsidRPr="00103606">
        <w:rPr>
          <w:rFonts w:cs="Arial"/>
        </w:rPr>
        <w:t>;</w:t>
      </w:r>
    </w:p>
    <w:p w14:paraId="28D41B27" w14:textId="77777777" w:rsidR="000F092F" w:rsidRPr="00103606" w:rsidRDefault="00E21D39" w:rsidP="009F319B">
      <w:pPr>
        <w:pStyle w:val="Paragrdouble"/>
        <w:numPr>
          <w:ilvl w:val="0"/>
          <w:numId w:val="8"/>
        </w:numPr>
        <w:spacing w:line="276" w:lineRule="auto"/>
        <w:rPr>
          <w:rFonts w:cs="Arial"/>
        </w:rPr>
      </w:pPr>
      <w:r w:rsidRPr="00103606">
        <w:rPr>
          <w:rFonts w:cs="Arial"/>
        </w:rPr>
        <w:t xml:space="preserve">Qu’il y a eu incitation à des contacts sexuels de personnes de moins de quatorze ans, violant ainsi l’article 152 du </w:t>
      </w:r>
      <w:r w:rsidR="001C1544" w:rsidRPr="00573001">
        <w:rPr>
          <w:rFonts w:cs="Arial"/>
        </w:rPr>
        <w:t>C.cr.</w:t>
      </w:r>
      <w:r w:rsidRPr="001C1544">
        <w:rPr>
          <w:rFonts w:cs="Arial"/>
        </w:rPr>
        <w:t>;</w:t>
      </w:r>
    </w:p>
    <w:p w14:paraId="6C227AB6" w14:textId="77777777" w:rsidR="00A02D63" w:rsidRPr="00103606" w:rsidRDefault="00E21D39" w:rsidP="009F319B">
      <w:pPr>
        <w:pStyle w:val="Paragrdouble"/>
        <w:numPr>
          <w:ilvl w:val="0"/>
          <w:numId w:val="8"/>
        </w:numPr>
        <w:spacing w:line="276" w:lineRule="auto"/>
        <w:rPr>
          <w:rFonts w:cs="Arial"/>
        </w:rPr>
      </w:pPr>
      <w:r w:rsidRPr="00103606">
        <w:rPr>
          <w:rFonts w:cs="Arial"/>
        </w:rPr>
        <w:t>Que c</w:t>
      </w:r>
      <w:r w:rsidR="0096291E" w:rsidRPr="00103606">
        <w:rPr>
          <w:rFonts w:cs="Arial"/>
        </w:rPr>
        <w:t xml:space="preserve">e faisant, </w:t>
      </w:r>
      <w:r w:rsidR="001049D1" w:rsidRPr="00103606">
        <w:rPr>
          <w:rFonts w:cs="Arial"/>
        </w:rPr>
        <w:t>Miller</w:t>
      </w:r>
      <w:r w:rsidR="0096291E" w:rsidRPr="00103606">
        <w:rPr>
          <w:rFonts w:cs="Arial"/>
        </w:rPr>
        <w:t xml:space="preserve"> a commis une faute extracontractuelle en vertu de l’article 1457 du </w:t>
      </w:r>
      <w:r w:rsidR="0096291E" w:rsidRPr="00103606">
        <w:rPr>
          <w:rFonts w:cs="Arial"/>
          <w:i/>
          <w:iCs/>
        </w:rPr>
        <w:t>Code civil du Québec</w:t>
      </w:r>
      <w:r w:rsidR="0096291E" w:rsidRPr="00103606">
        <w:rPr>
          <w:rFonts w:cs="Arial"/>
        </w:rPr>
        <w:t xml:space="preserve"> envers l</w:t>
      </w:r>
      <w:r w:rsidRPr="00103606">
        <w:rPr>
          <w:rFonts w:cs="Arial"/>
        </w:rPr>
        <w:t>es</w:t>
      </w:r>
      <w:r w:rsidR="0096291E" w:rsidRPr="00103606">
        <w:rPr>
          <w:rFonts w:cs="Arial"/>
        </w:rPr>
        <w:t xml:space="preserve"> </w:t>
      </w:r>
      <w:r w:rsidRPr="00103606">
        <w:rPr>
          <w:rFonts w:cs="Arial"/>
        </w:rPr>
        <w:t>co</w:t>
      </w:r>
      <w:r w:rsidR="0096291E" w:rsidRPr="00103606">
        <w:rPr>
          <w:rFonts w:cs="Arial"/>
        </w:rPr>
        <w:t>demanderesse</w:t>
      </w:r>
      <w:r w:rsidRPr="00103606">
        <w:rPr>
          <w:rFonts w:cs="Arial"/>
        </w:rPr>
        <w:t>s</w:t>
      </w:r>
      <w:r w:rsidR="0096291E" w:rsidRPr="00103606">
        <w:rPr>
          <w:rFonts w:cs="Arial"/>
        </w:rPr>
        <w:t xml:space="preserve"> et les membres du groupe, lesquel</w:t>
      </w:r>
      <w:r w:rsidR="00C03F8C" w:rsidRPr="00103606">
        <w:rPr>
          <w:rFonts w:cs="Arial"/>
        </w:rPr>
        <w:t>le</w:t>
      </w:r>
      <w:r w:rsidR="0096291E" w:rsidRPr="00103606">
        <w:rPr>
          <w:rFonts w:cs="Arial"/>
        </w:rPr>
        <w:t xml:space="preserve">s ont subi des dommages psychologiques dont </w:t>
      </w:r>
      <w:r w:rsidR="001049D1" w:rsidRPr="00103606">
        <w:rPr>
          <w:rFonts w:cs="Arial"/>
        </w:rPr>
        <w:t>il</w:t>
      </w:r>
      <w:r w:rsidR="0096291E" w:rsidRPr="00103606">
        <w:rPr>
          <w:rFonts w:cs="Arial"/>
        </w:rPr>
        <w:t xml:space="preserve"> est </w:t>
      </w:r>
      <w:r w:rsidR="00531E2A">
        <w:rPr>
          <w:rFonts w:cs="Arial"/>
        </w:rPr>
        <w:t xml:space="preserve">tenu pour </w:t>
      </w:r>
      <w:r w:rsidR="0096291E" w:rsidRPr="00103606">
        <w:rPr>
          <w:rFonts w:cs="Arial"/>
        </w:rPr>
        <w:t>responsable;</w:t>
      </w:r>
    </w:p>
    <w:p w14:paraId="01CA8644" w14:textId="77777777" w:rsidR="001049D1" w:rsidRPr="00103606" w:rsidRDefault="00E21D39" w:rsidP="009F319B">
      <w:pPr>
        <w:pStyle w:val="Paragrdouble"/>
        <w:numPr>
          <w:ilvl w:val="0"/>
          <w:numId w:val="8"/>
        </w:numPr>
        <w:spacing w:line="276" w:lineRule="auto"/>
        <w:rPr>
          <w:rFonts w:cs="Arial"/>
        </w:rPr>
      </w:pPr>
      <w:r w:rsidRPr="00103606">
        <w:rPr>
          <w:rFonts w:cs="Arial"/>
        </w:rPr>
        <w:t xml:space="preserve">Qu’il </w:t>
      </w:r>
      <w:r w:rsidR="0096291E" w:rsidRPr="00103606">
        <w:rPr>
          <w:rFonts w:cs="Arial"/>
        </w:rPr>
        <w:t xml:space="preserve">est également tenu de payer des dommages compensatoires et dommages punitifs à la demanderesse et aux membres du groupe pour violation du droit à l’intégrité de la personne et du droit de la personne à la sauvegarde de sa dignité et de son honneur, le tout en vertu des articles 1, 4 et 49 de la </w:t>
      </w:r>
      <w:r w:rsidR="0096291E" w:rsidRPr="00103606">
        <w:rPr>
          <w:rFonts w:cs="Arial"/>
          <w:i/>
          <w:iCs/>
        </w:rPr>
        <w:t>Charte des droits et libertés de la personne</w:t>
      </w:r>
      <w:r w:rsidR="00CB342F">
        <w:rPr>
          <w:rFonts w:cs="Arial"/>
          <w:i/>
          <w:iCs/>
        </w:rPr>
        <w:t xml:space="preserve"> </w:t>
      </w:r>
      <w:r w:rsidR="00CB342F" w:rsidRPr="00573001">
        <w:rPr>
          <w:rFonts w:cs="Arial"/>
        </w:rPr>
        <w:t>(</w:t>
      </w:r>
      <w:r w:rsidR="008C7AEA" w:rsidRPr="008C7AEA">
        <w:rPr>
          <w:rFonts w:cs="Arial"/>
        </w:rPr>
        <w:t>RLRQ, c. C-12</w:t>
      </w:r>
      <w:r w:rsidR="00FC2F80">
        <w:rPr>
          <w:rFonts w:cs="Arial"/>
        </w:rPr>
        <w:t xml:space="preserve"> </w:t>
      </w:r>
      <w:r w:rsidR="00633D98">
        <w:rPr>
          <w:rFonts w:cs="Arial"/>
        </w:rPr>
        <w:t xml:space="preserve">: </w:t>
      </w:r>
      <w:r w:rsidR="00B03568" w:rsidRPr="00103606">
        <w:rPr>
          <w:rFonts w:cs="Arial"/>
        </w:rPr>
        <w:t xml:space="preserve">la « </w:t>
      </w:r>
      <w:r w:rsidR="00B03568" w:rsidRPr="00103606">
        <w:rPr>
          <w:rFonts w:cs="Arial"/>
          <w:b/>
          <w:bCs/>
        </w:rPr>
        <w:t>Charte</w:t>
      </w:r>
      <w:r w:rsidR="00633D98">
        <w:rPr>
          <w:rFonts w:cs="Arial"/>
          <w:b/>
          <w:bCs/>
        </w:rPr>
        <w:t xml:space="preserve"> québécoise</w:t>
      </w:r>
      <w:r w:rsidR="00B03568" w:rsidRPr="00103606">
        <w:rPr>
          <w:rFonts w:cs="Arial"/>
        </w:rPr>
        <w:t xml:space="preserve"> »)</w:t>
      </w:r>
      <w:r w:rsidR="0096291E" w:rsidRPr="00CB342F">
        <w:rPr>
          <w:rFonts w:cs="Arial"/>
        </w:rPr>
        <w:t>;</w:t>
      </w:r>
    </w:p>
    <w:p w14:paraId="518D92C7" w14:textId="77777777" w:rsidR="001049D1" w:rsidRPr="00103606" w:rsidRDefault="00E21D39" w:rsidP="001049D1">
      <w:pPr>
        <w:pStyle w:val="Paragrdouble"/>
        <w:numPr>
          <w:ilvl w:val="0"/>
          <w:numId w:val="0"/>
        </w:numPr>
        <w:spacing w:line="276" w:lineRule="auto"/>
        <w:rPr>
          <w:rFonts w:cs="Arial"/>
        </w:rPr>
      </w:pPr>
      <w:r w:rsidRPr="00103606">
        <w:rPr>
          <w:rFonts w:cs="Arial"/>
        </w:rPr>
        <w:t>En ce qui concerne Abrams :</w:t>
      </w:r>
    </w:p>
    <w:p w14:paraId="3F44BF5A" w14:textId="77777777" w:rsidR="001049D1" w:rsidRPr="00103606" w:rsidRDefault="00E21D39" w:rsidP="009F319B">
      <w:pPr>
        <w:pStyle w:val="Paragrdouble"/>
        <w:numPr>
          <w:ilvl w:val="0"/>
          <w:numId w:val="8"/>
        </w:numPr>
        <w:spacing w:line="276" w:lineRule="auto"/>
        <w:rPr>
          <w:rFonts w:cs="Arial"/>
        </w:rPr>
      </w:pPr>
      <w:r w:rsidRPr="00103606">
        <w:rPr>
          <w:rFonts w:cs="Arial"/>
        </w:rPr>
        <w:t xml:space="preserve">Qu’il y a eu actes de violence sexuelle commis envers B.N. et V.R. de nature de services sexuels moyennant rétribution, d’incitation à des contacts sexuels et d’exploitation sexuelle, en vertu des articles du </w:t>
      </w:r>
      <w:r w:rsidR="001C1544" w:rsidRPr="00573001">
        <w:rPr>
          <w:rFonts w:cs="Arial"/>
        </w:rPr>
        <w:t>C.cr</w:t>
      </w:r>
      <w:r w:rsidR="001C1544">
        <w:rPr>
          <w:rFonts w:cs="Arial"/>
          <w:i/>
          <w:iCs/>
        </w:rPr>
        <w:t>.</w:t>
      </w:r>
      <w:r w:rsidRPr="00103606">
        <w:rPr>
          <w:rFonts w:cs="Arial"/>
        </w:rPr>
        <w:t xml:space="preserve">, et </w:t>
      </w:r>
      <w:r w:rsidR="00316FDD">
        <w:rPr>
          <w:rFonts w:cs="Arial"/>
        </w:rPr>
        <w:t>particulièrement l</w:t>
      </w:r>
      <w:r w:rsidR="00316FDD" w:rsidRPr="00103606">
        <w:rPr>
          <w:rFonts w:cs="Arial"/>
        </w:rPr>
        <w:t>e</w:t>
      </w:r>
      <w:r w:rsidR="00316FDD">
        <w:rPr>
          <w:rFonts w:cs="Arial"/>
        </w:rPr>
        <w:t>s</w:t>
      </w:r>
      <w:r w:rsidR="00316FDD" w:rsidRPr="00103606">
        <w:rPr>
          <w:rFonts w:cs="Arial"/>
        </w:rPr>
        <w:t xml:space="preserve"> </w:t>
      </w:r>
      <w:r w:rsidRPr="00103606">
        <w:rPr>
          <w:rFonts w:cs="Arial"/>
        </w:rPr>
        <w:t>article</w:t>
      </w:r>
      <w:r w:rsidR="00B22227">
        <w:rPr>
          <w:rFonts w:cs="Arial"/>
        </w:rPr>
        <w:t>s</w:t>
      </w:r>
      <w:r w:rsidRPr="00103606">
        <w:rPr>
          <w:rFonts w:cs="Arial"/>
        </w:rPr>
        <w:t xml:space="preserve"> 21(1) (b) et (c) et 23(1);</w:t>
      </w:r>
    </w:p>
    <w:p w14:paraId="4B6DAF1E" w14:textId="77777777" w:rsidR="001049D1" w:rsidRPr="00103606" w:rsidRDefault="00E21D39" w:rsidP="009F319B">
      <w:pPr>
        <w:pStyle w:val="Paragrdouble"/>
        <w:numPr>
          <w:ilvl w:val="0"/>
          <w:numId w:val="8"/>
        </w:numPr>
        <w:spacing w:line="276" w:lineRule="auto"/>
        <w:rPr>
          <w:rFonts w:cs="Arial"/>
        </w:rPr>
      </w:pPr>
      <w:r w:rsidRPr="00103606">
        <w:rPr>
          <w:rFonts w:cs="Arial"/>
        </w:rPr>
        <w:t xml:space="preserve">Que ce faisant, Abrams a commis une faute extracontractuelle en vertu de l’article 1457 du </w:t>
      </w:r>
      <w:r w:rsidRPr="00103606">
        <w:rPr>
          <w:rFonts w:cs="Arial"/>
          <w:i/>
          <w:iCs/>
        </w:rPr>
        <w:t>Code civil du Québec</w:t>
      </w:r>
      <w:r w:rsidRPr="00103606">
        <w:rPr>
          <w:rFonts w:cs="Arial"/>
        </w:rPr>
        <w:t xml:space="preserve"> envers les codemanderesses et les membres du groupe, lesquelles ont subi des dommages psychologiques dont il est </w:t>
      </w:r>
      <w:r w:rsidR="00B22227">
        <w:rPr>
          <w:rFonts w:cs="Arial"/>
        </w:rPr>
        <w:t xml:space="preserve">tenu </w:t>
      </w:r>
      <w:r w:rsidR="001515E6">
        <w:rPr>
          <w:rFonts w:cs="Arial"/>
        </w:rPr>
        <w:t xml:space="preserve">pour </w:t>
      </w:r>
      <w:r w:rsidRPr="00103606">
        <w:rPr>
          <w:rFonts w:cs="Arial"/>
        </w:rPr>
        <w:t>responsable;</w:t>
      </w:r>
    </w:p>
    <w:p w14:paraId="49E4006B" w14:textId="77777777" w:rsidR="001049D1" w:rsidRPr="00103606" w:rsidRDefault="00E21D39" w:rsidP="009F319B">
      <w:pPr>
        <w:pStyle w:val="Paragrdouble"/>
        <w:numPr>
          <w:ilvl w:val="0"/>
          <w:numId w:val="8"/>
        </w:numPr>
        <w:spacing w:line="276" w:lineRule="auto"/>
        <w:rPr>
          <w:rFonts w:cs="Arial"/>
        </w:rPr>
      </w:pPr>
      <w:r w:rsidRPr="00103606">
        <w:rPr>
          <w:rFonts w:cs="Arial"/>
        </w:rPr>
        <w:t>Qu’il est également tenu de payer des dommages compensatoires et dommages punitifs à la demanderesse et aux membres du groupe pour violation du droit à</w:t>
      </w:r>
      <w:r w:rsidR="00B22227">
        <w:rPr>
          <w:rFonts w:cs="Arial"/>
        </w:rPr>
        <w:t> </w:t>
      </w:r>
      <w:r w:rsidRPr="00103606">
        <w:rPr>
          <w:rFonts w:cs="Arial"/>
        </w:rPr>
        <w:t xml:space="preserve">l’intégrité de la personne et du droit de la personne à la sauvegarde de sa dignité et de son honneur, le tout en vertu des articles 1, 4 et 49 de la </w:t>
      </w:r>
      <w:r w:rsidRPr="00103606">
        <w:rPr>
          <w:rFonts w:cs="Arial"/>
          <w:i/>
          <w:iCs/>
        </w:rPr>
        <w:t>Charte des droits et libertés de la personne</w:t>
      </w:r>
      <w:r w:rsidRPr="00103606">
        <w:rPr>
          <w:rFonts w:cs="Arial"/>
        </w:rPr>
        <w:t>;</w:t>
      </w:r>
    </w:p>
    <w:p w14:paraId="4AF0DFA3" w14:textId="77777777" w:rsidR="001049D1" w:rsidRPr="00103606" w:rsidRDefault="00E21D39" w:rsidP="001049D1">
      <w:pPr>
        <w:pStyle w:val="Paragrdouble"/>
        <w:numPr>
          <w:ilvl w:val="0"/>
          <w:numId w:val="0"/>
        </w:numPr>
        <w:spacing w:line="276" w:lineRule="auto"/>
        <w:rPr>
          <w:rFonts w:cs="Arial"/>
        </w:rPr>
      </w:pPr>
      <w:r w:rsidRPr="00103606">
        <w:rPr>
          <w:rFonts w:cs="Arial"/>
        </w:rPr>
        <w:t xml:space="preserve">En ce qui concerne </w:t>
      </w:r>
      <w:bookmarkStart w:id="14" w:name="_Hlk186718514"/>
      <w:r w:rsidRPr="00103606">
        <w:rPr>
          <w:rFonts w:cs="Arial"/>
        </w:rPr>
        <w:t>Poulet</w:t>
      </w:r>
      <w:bookmarkEnd w:id="14"/>
      <w:r w:rsidRPr="00103606">
        <w:rPr>
          <w:rFonts w:cs="Arial"/>
        </w:rPr>
        <w:t> :</w:t>
      </w:r>
    </w:p>
    <w:p w14:paraId="15C05718" w14:textId="77777777" w:rsidR="001049D1" w:rsidRPr="00103606" w:rsidRDefault="00E21D39" w:rsidP="009F319B">
      <w:pPr>
        <w:pStyle w:val="Paragrdouble"/>
        <w:numPr>
          <w:ilvl w:val="0"/>
          <w:numId w:val="8"/>
        </w:numPr>
        <w:spacing w:line="276" w:lineRule="auto"/>
        <w:rPr>
          <w:rFonts w:cs="Arial"/>
        </w:rPr>
      </w:pPr>
      <w:r w:rsidRPr="00103606">
        <w:rPr>
          <w:rFonts w:cs="Arial"/>
        </w:rPr>
        <w:t xml:space="preserve">Qu’il y a eu actes de violence sexuelle commis envers </w:t>
      </w:r>
      <w:r w:rsidR="00993574" w:rsidRPr="00103606">
        <w:rPr>
          <w:rFonts w:cs="Arial"/>
        </w:rPr>
        <w:t>S</w:t>
      </w:r>
      <w:r w:rsidRPr="00103606">
        <w:rPr>
          <w:rFonts w:cs="Arial"/>
        </w:rPr>
        <w:t xml:space="preserve">.N. et </w:t>
      </w:r>
      <w:r w:rsidR="00993574" w:rsidRPr="00103606">
        <w:rPr>
          <w:rFonts w:cs="Arial"/>
        </w:rPr>
        <w:t>B.N</w:t>
      </w:r>
      <w:r w:rsidRPr="00103606">
        <w:rPr>
          <w:rFonts w:cs="Arial"/>
        </w:rPr>
        <w:t xml:space="preserve">. de nature de services sexuels moyennant rétribution, d’incitation à des contacts sexuels et d’exploitation sexuelle, en vertu des articles du </w:t>
      </w:r>
      <w:r w:rsidR="001C1544" w:rsidRPr="00573001">
        <w:rPr>
          <w:rFonts w:cs="Arial"/>
        </w:rPr>
        <w:t>C.cr.</w:t>
      </w:r>
      <w:r w:rsidRPr="00103606">
        <w:rPr>
          <w:rFonts w:cs="Arial"/>
        </w:rPr>
        <w:t xml:space="preserve">, et </w:t>
      </w:r>
      <w:r w:rsidR="00531E2A">
        <w:rPr>
          <w:rFonts w:cs="Arial"/>
        </w:rPr>
        <w:t>particulièrement</w:t>
      </w:r>
      <w:r w:rsidR="00531E2A" w:rsidRPr="00103606">
        <w:rPr>
          <w:rFonts w:cs="Arial"/>
        </w:rPr>
        <w:t xml:space="preserve"> </w:t>
      </w:r>
      <w:r w:rsidRPr="00103606">
        <w:rPr>
          <w:rFonts w:cs="Arial"/>
        </w:rPr>
        <w:t>l</w:t>
      </w:r>
      <w:r w:rsidR="00531E2A">
        <w:rPr>
          <w:rFonts w:cs="Arial"/>
        </w:rPr>
        <w:t xml:space="preserve">es </w:t>
      </w:r>
      <w:r w:rsidRPr="00103606">
        <w:rPr>
          <w:rFonts w:cs="Arial"/>
        </w:rPr>
        <w:t>article</w:t>
      </w:r>
      <w:r w:rsidR="00531E2A">
        <w:rPr>
          <w:rFonts w:cs="Arial"/>
        </w:rPr>
        <w:t>s</w:t>
      </w:r>
      <w:r w:rsidRPr="00103606">
        <w:rPr>
          <w:rFonts w:cs="Arial"/>
        </w:rPr>
        <w:t xml:space="preserve"> 21(1) (b) et (c) et 23(1);</w:t>
      </w:r>
    </w:p>
    <w:p w14:paraId="0ED9F642" w14:textId="77777777" w:rsidR="001049D1" w:rsidRPr="00103606" w:rsidRDefault="00E21D39" w:rsidP="009F319B">
      <w:pPr>
        <w:pStyle w:val="Paragrdouble"/>
        <w:numPr>
          <w:ilvl w:val="0"/>
          <w:numId w:val="8"/>
        </w:numPr>
        <w:spacing w:line="276" w:lineRule="auto"/>
        <w:rPr>
          <w:rFonts w:cs="Arial"/>
        </w:rPr>
      </w:pPr>
      <w:r w:rsidRPr="00103606">
        <w:rPr>
          <w:rFonts w:cs="Arial"/>
        </w:rPr>
        <w:t xml:space="preserve">Que ce faisant, </w:t>
      </w:r>
      <w:r w:rsidR="00531E2A" w:rsidRPr="00531E2A">
        <w:rPr>
          <w:rFonts w:cs="Arial"/>
        </w:rPr>
        <w:t>Poulet</w:t>
      </w:r>
      <w:r w:rsidRPr="00103606">
        <w:rPr>
          <w:rFonts w:cs="Arial"/>
        </w:rPr>
        <w:t xml:space="preserve"> a commis une faute extracontractuelle en vertu de l’article 1457 du </w:t>
      </w:r>
      <w:r w:rsidRPr="00103606">
        <w:rPr>
          <w:rFonts w:cs="Arial"/>
          <w:i/>
          <w:iCs/>
        </w:rPr>
        <w:t>Code civil du Québec</w:t>
      </w:r>
      <w:r w:rsidRPr="00103606">
        <w:rPr>
          <w:rFonts w:cs="Arial"/>
        </w:rPr>
        <w:t xml:space="preserve"> envers les codemanderesses et les membres du groupe, lesquelles ont subi des dommages psychologiques dont il est </w:t>
      </w:r>
      <w:r w:rsidR="00531E2A">
        <w:rPr>
          <w:rFonts w:cs="Arial"/>
        </w:rPr>
        <w:t xml:space="preserve">tenu pour </w:t>
      </w:r>
      <w:r w:rsidRPr="00103606">
        <w:rPr>
          <w:rFonts w:cs="Arial"/>
        </w:rPr>
        <w:t>responsable;</w:t>
      </w:r>
    </w:p>
    <w:p w14:paraId="5AC900D7" w14:textId="77777777" w:rsidR="001049D1" w:rsidRPr="00103606" w:rsidRDefault="00E21D39" w:rsidP="009F319B">
      <w:pPr>
        <w:pStyle w:val="Paragrdouble"/>
        <w:numPr>
          <w:ilvl w:val="0"/>
          <w:numId w:val="8"/>
        </w:numPr>
        <w:spacing w:line="276" w:lineRule="auto"/>
        <w:rPr>
          <w:rFonts w:cs="Arial"/>
        </w:rPr>
      </w:pPr>
      <w:r w:rsidRPr="00103606">
        <w:rPr>
          <w:rFonts w:cs="Arial"/>
        </w:rPr>
        <w:t xml:space="preserve">Qu’il est également tenu de payer des dommages compensatoires et dommages punitifs à la demanderesse et aux membres du groupe pour violation du droit </w:t>
      </w:r>
      <w:r w:rsidR="00531E2A">
        <w:rPr>
          <w:rFonts w:cs="Arial"/>
        </w:rPr>
        <w:br/>
      </w:r>
      <w:r w:rsidRPr="00103606">
        <w:rPr>
          <w:rFonts w:cs="Arial"/>
        </w:rPr>
        <w:t xml:space="preserve">à l’intégrité de la personne et du droit de la personne à la sauvegarde de sa dignité et de son honneur, le tout en vertu des articles 1, 4 et 49 de la </w:t>
      </w:r>
      <w:r w:rsidRPr="00103606">
        <w:rPr>
          <w:rFonts w:cs="Arial"/>
          <w:i/>
          <w:iCs/>
        </w:rPr>
        <w:t>Charte des droits et libertés de la personne</w:t>
      </w:r>
      <w:r w:rsidRPr="00103606">
        <w:rPr>
          <w:rFonts w:cs="Arial"/>
        </w:rPr>
        <w:t>;</w:t>
      </w:r>
    </w:p>
    <w:p w14:paraId="6C322127" w14:textId="77777777" w:rsidR="00993574" w:rsidRPr="00103606" w:rsidRDefault="00E21D39" w:rsidP="00993574">
      <w:pPr>
        <w:pStyle w:val="Paragrdouble"/>
        <w:numPr>
          <w:ilvl w:val="0"/>
          <w:numId w:val="0"/>
        </w:numPr>
        <w:spacing w:line="276" w:lineRule="auto"/>
        <w:rPr>
          <w:rFonts w:cs="Arial"/>
        </w:rPr>
      </w:pPr>
      <w:r w:rsidRPr="00103606">
        <w:rPr>
          <w:rFonts w:cs="Arial"/>
        </w:rPr>
        <w:t>En ce qui concerne Lippmann :</w:t>
      </w:r>
    </w:p>
    <w:p w14:paraId="5A2EC855" w14:textId="77777777" w:rsidR="00993574" w:rsidRPr="00103606" w:rsidRDefault="00E21D39" w:rsidP="009F319B">
      <w:pPr>
        <w:pStyle w:val="Paragrdouble"/>
        <w:numPr>
          <w:ilvl w:val="0"/>
          <w:numId w:val="8"/>
        </w:numPr>
        <w:spacing w:line="276" w:lineRule="auto"/>
        <w:rPr>
          <w:rFonts w:cs="Arial"/>
        </w:rPr>
      </w:pPr>
      <w:r w:rsidRPr="00103606">
        <w:rPr>
          <w:rFonts w:cs="Arial"/>
        </w:rPr>
        <w:t xml:space="preserve">Qu’il y a eu actes de violence sexuelle commis envers S.N. de nature de services sexuels moyennant rétribution, d’incitation à des contacts sexuels et d’exploitation sexuelle, en vertu des articles du </w:t>
      </w:r>
      <w:r w:rsidR="001C1544" w:rsidRPr="00573001">
        <w:rPr>
          <w:rFonts w:cs="Arial"/>
        </w:rPr>
        <w:t>C.cr</w:t>
      </w:r>
      <w:r w:rsidR="001C1544">
        <w:rPr>
          <w:rFonts w:cs="Arial"/>
          <w:i/>
          <w:iCs/>
        </w:rPr>
        <w:t>.</w:t>
      </w:r>
      <w:r w:rsidRPr="00103606">
        <w:rPr>
          <w:rFonts w:cs="Arial"/>
        </w:rPr>
        <w:t xml:space="preserve">, et </w:t>
      </w:r>
      <w:r w:rsidR="00316FDD">
        <w:rPr>
          <w:rFonts w:cs="Arial"/>
        </w:rPr>
        <w:t>particulièrement</w:t>
      </w:r>
      <w:r w:rsidRPr="00103606">
        <w:rPr>
          <w:rFonts w:cs="Arial"/>
        </w:rPr>
        <w:t xml:space="preserve"> </w:t>
      </w:r>
      <w:r w:rsidR="00316FDD">
        <w:rPr>
          <w:rFonts w:cs="Arial"/>
        </w:rPr>
        <w:t xml:space="preserve">les </w:t>
      </w:r>
      <w:r w:rsidR="00316FDD" w:rsidRPr="00103606">
        <w:rPr>
          <w:rFonts w:cs="Arial"/>
        </w:rPr>
        <w:t>article</w:t>
      </w:r>
      <w:r w:rsidR="00316FDD">
        <w:rPr>
          <w:rFonts w:cs="Arial"/>
        </w:rPr>
        <w:t>s</w:t>
      </w:r>
      <w:r w:rsidR="00316FDD" w:rsidRPr="00103606">
        <w:rPr>
          <w:rFonts w:cs="Arial"/>
        </w:rPr>
        <w:t xml:space="preserve"> </w:t>
      </w:r>
      <w:r w:rsidRPr="00103606">
        <w:rPr>
          <w:rFonts w:cs="Arial"/>
        </w:rPr>
        <w:t>21(1) (b) et (c) et 23(1);</w:t>
      </w:r>
    </w:p>
    <w:p w14:paraId="4FC845C3" w14:textId="77777777" w:rsidR="00993574" w:rsidRPr="00103606" w:rsidRDefault="00E21D39" w:rsidP="009F319B">
      <w:pPr>
        <w:pStyle w:val="Paragrdouble"/>
        <w:numPr>
          <w:ilvl w:val="0"/>
          <w:numId w:val="8"/>
        </w:numPr>
        <w:spacing w:line="276" w:lineRule="auto"/>
        <w:rPr>
          <w:rFonts w:cs="Arial"/>
        </w:rPr>
      </w:pPr>
      <w:r w:rsidRPr="00103606">
        <w:rPr>
          <w:rFonts w:cs="Arial"/>
        </w:rPr>
        <w:t xml:space="preserve">Que ce faisant, </w:t>
      </w:r>
      <w:r w:rsidR="00531E2A" w:rsidRPr="00103606">
        <w:rPr>
          <w:rFonts w:cs="Arial"/>
        </w:rPr>
        <w:t>Lippmann</w:t>
      </w:r>
      <w:r w:rsidRPr="00103606">
        <w:rPr>
          <w:rFonts w:cs="Arial"/>
        </w:rPr>
        <w:t xml:space="preserve"> a commis une faute extracontractuelle en vertu de l’article 1457 du </w:t>
      </w:r>
      <w:r w:rsidRPr="00103606">
        <w:rPr>
          <w:rFonts w:cs="Arial"/>
          <w:i/>
          <w:iCs/>
        </w:rPr>
        <w:t>Code civil du Québec</w:t>
      </w:r>
      <w:r w:rsidRPr="00103606">
        <w:rPr>
          <w:rFonts w:cs="Arial"/>
        </w:rPr>
        <w:t xml:space="preserve"> envers les codemanderesses et les membres du groupe, lesquelles ont subi des dommages psychologiques dont il est </w:t>
      </w:r>
      <w:r w:rsidR="00531E2A">
        <w:rPr>
          <w:rFonts w:cs="Arial"/>
        </w:rPr>
        <w:t xml:space="preserve">tenu pour </w:t>
      </w:r>
      <w:r w:rsidRPr="00103606">
        <w:rPr>
          <w:rFonts w:cs="Arial"/>
        </w:rPr>
        <w:t>responsable;</w:t>
      </w:r>
    </w:p>
    <w:p w14:paraId="51291E5C" w14:textId="77777777" w:rsidR="00993574" w:rsidRPr="00103606" w:rsidRDefault="00E21D39" w:rsidP="009F319B">
      <w:pPr>
        <w:pStyle w:val="Paragrdouble"/>
        <w:numPr>
          <w:ilvl w:val="0"/>
          <w:numId w:val="8"/>
        </w:numPr>
        <w:spacing w:line="276" w:lineRule="auto"/>
        <w:rPr>
          <w:rFonts w:cs="Arial"/>
        </w:rPr>
      </w:pPr>
      <w:r w:rsidRPr="00103606">
        <w:rPr>
          <w:rFonts w:cs="Arial"/>
        </w:rPr>
        <w:t xml:space="preserve">Qu’il est également tenu de payer des dommages compensatoires et dommages punitifs à la demanderesse et aux membres du groupe pour violation du droit </w:t>
      </w:r>
      <w:r w:rsidR="00531E2A">
        <w:rPr>
          <w:rFonts w:cs="Arial"/>
        </w:rPr>
        <w:br/>
      </w:r>
      <w:r w:rsidRPr="00103606">
        <w:rPr>
          <w:rFonts w:cs="Arial"/>
        </w:rPr>
        <w:t xml:space="preserve">à l’intégrité de la personne et du droit de la personne à la sauvegarde de sa dignité et de son honneur, le tout en vertu des articles 1, 4 et 49 de la </w:t>
      </w:r>
      <w:r w:rsidRPr="00103606">
        <w:rPr>
          <w:rFonts w:cs="Arial"/>
          <w:i/>
          <w:iCs/>
        </w:rPr>
        <w:t>Charte des droits et libertés de la personne</w:t>
      </w:r>
      <w:r w:rsidRPr="00103606">
        <w:rPr>
          <w:rFonts w:cs="Arial"/>
        </w:rPr>
        <w:t>;</w:t>
      </w:r>
    </w:p>
    <w:p w14:paraId="317E8511" w14:textId="77777777" w:rsidR="001049D1" w:rsidRPr="00103606" w:rsidRDefault="00E21D39" w:rsidP="00993574">
      <w:pPr>
        <w:pStyle w:val="Paragrdouble"/>
        <w:numPr>
          <w:ilvl w:val="0"/>
          <w:numId w:val="0"/>
        </w:numPr>
        <w:spacing w:line="276" w:lineRule="auto"/>
        <w:rPr>
          <w:rFonts w:cs="Arial"/>
        </w:rPr>
      </w:pPr>
      <w:r w:rsidRPr="00103606">
        <w:rPr>
          <w:rFonts w:cs="Arial"/>
        </w:rPr>
        <w:t xml:space="preserve">En ce qui concerne Future : </w:t>
      </w:r>
    </w:p>
    <w:p w14:paraId="5DC3A841" w14:textId="77777777" w:rsidR="002B3352" w:rsidRPr="00103606" w:rsidRDefault="00E21D39" w:rsidP="009F319B">
      <w:pPr>
        <w:pStyle w:val="Paragrdouble"/>
        <w:numPr>
          <w:ilvl w:val="0"/>
          <w:numId w:val="8"/>
        </w:numPr>
        <w:spacing w:line="276" w:lineRule="auto"/>
        <w:rPr>
          <w:rFonts w:cs="Arial"/>
        </w:rPr>
      </w:pPr>
      <w:r w:rsidRPr="00103606">
        <w:rPr>
          <w:rFonts w:cs="Arial"/>
        </w:rPr>
        <w:t xml:space="preserve">Qu’elle est directement </w:t>
      </w:r>
      <w:r w:rsidR="00531E2A">
        <w:rPr>
          <w:rFonts w:cs="Arial"/>
        </w:rPr>
        <w:t>tenu</w:t>
      </w:r>
      <w:r w:rsidR="0013008D">
        <w:rPr>
          <w:rFonts w:cs="Arial"/>
        </w:rPr>
        <w:t>e</w:t>
      </w:r>
      <w:r w:rsidR="00531E2A">
        <w:rPr>
          <w:rFonts w:cs="Arial"/>
        </w:rPr>
        <w:t xml:space="preserve"> pour </w:t>
      </w:r>
      <w:r w:rsidRPr="00103606">
        <w:rPr>
          <w:rFonts w:cs="Arial"/>
        </w:rPr>
        <w:t xml:space="preserve">responsable de fautes extracontractuelles commises à l’égard des trois codemanderesses en vertu de l’article 1457 C.c.Q. et de fautes en vertu des articles 1, 4 et 49 de la </w:t>
      </w:r>
      <w:r w:rsidRPr="00103606">
        <w:rPr>
          <w:rFonts w:cs="Arial"/>
          <w:i/>
          <w:iCs/>
        </w:rPr>
        <w:t>Charte des droits et libertés de la personne</w:t>
      </w:r>
      <w:r w:rsidRPr="00103606">
        <w:rPr>
          <w:rFonts w:cs="Arial"/>
        </w:rPr>
        <w:t>, lesquelles conduisent à une condamnation en dommages compensatoires et punitifs;</w:t>
      </w:r>
    </w:p>
    <w:p w14:paraId="361A9F9A" w14:textId="77777777" w:rsidR="0096291E" w:rsidRPr="00103606" w:rsidRDefault="00E21D39" w:rsidP="009F319B">
      <w:pPr>
        <w:pStyle w:val="Paragrdouble"/>
        <w:numPr>
          <w:ilvl w:val="0"/>
          <w:numId w:val="8"/>
        </w:numPr>
        <w:spacing w:line="276" w:lineRule="auto"/>
        <w:rPr>
          <w:rFonts w:cs="Arial"/>
        </w:rPr>
      </w:pPr>
      <w:r w:rsidRPr="00103606">
        <w:rPr>
          <w:rFonts w:cs="Arial"/>
        </w:rPr>
        <w:t xml:space="preserve">Que Future est responsable de </w:t>
      </w:r>
      <w:r w:rsidR="002B3352" w:rsidRPr="00103606">
        <w:rPr>
          <w:rFonts w:cs="Arial"/>
        </w:rPr>
        <w:t xml:space="preserve">manière indirecte et </w:t>
      </w:r>
      <w:r w:rsidRPr="00103606">
        <w:rPr>
          <w:rFonts w:cs="Arial"/>
        </w:rPr>
        <w:t>solidaire avec Miller</w:t>
      </w:r>
      <w:r w:rsidR="00FA69AB" w:rsidRPr="00103606">
        <w:rPr>
          <w:rFonts w:cs="Arial"/>
        </w:rPr>
        <w:t xml:space="preserve"> et les défendeurs</w:t>
      </w:r>
      <w:r w:rsidRPr="00103606">
        <w:rPr>
          <w:rFonts w:cs="Arial"/>
        </w:rPr>
        <w:t xml:space="preserve"> pour tous les dommages compensatoires et punitifs réclamés quant aux fautes et violations commises par Miller</w:t>
      </w:r>
      <w:r w:rsidR="008E1C96">
        <w:rPr>
          <w:rFonts w:cs="Arial"/>
        </w:rPr>
        <w:t>,</w:t>
      </w:r>
      <w:r w:rsidRPr="00103606">
        <w:rPr>
          <w:rFonts w:cs="Arial"/>
        </w:rPr>
        <w:t xml:space="preserve"> car des employés de Future ont aidé Miller dans les actes reprochés et les ont facilités, le tout en vertu de</w:t>
      </w:r>
      <w:r w:rsidR="00FA69AB" w:rsidRPr="00103606">
        <w:rPr>
          <w:rFonts w:cs="Arial"/>
        </w:rPr>
        <w:t xml:space="preserve">s </w:t>
      </w:r>
      <w:r w:rsidRPr="00103606">
        <w:rPr>
          <w:rFonts w:cs="Arial"/>
        </w:rPr>
        <w:t>article</w:t>
      </w:r>
      <w:r w:rsidR="00FA69AB" w:rsidRPr="00103606">
        <w:rPr>
          <w:rFonts w:cs="Arial"/>
        </w:rPr>
        <w:t>s</w:t>
      </w:r>
      <w:r w:rsidRPr="00103606">
        <w:rPr>
          <w:rFonts w:cs="Arial"/>
        </w:rPr>
        <w:t xml:space="preserve"> 1463 C</w:t>
      </w:r>
      <w:r w:rsidR="00993574" w:rsidRPr="00103606">
        <w:rPr>
          <w:rFonts w:cs="Arial"/>
        </w:rPr>
        <w:t>.</w:t>
      </w:r>
      <w:r w:rsidRPr="00103606">
        <w:rPr>
          <w:rFonts w:cs="Arial"/>
        </w:rPr>
        <w:t>c</w:t>
      </w:r>
      <w:r w:rsidR="00993574" w:rsidRPr="00103606">
        <w:rPr>
          <w:rFonts w:cs="Arial"/>
        </w:rPr>
        <w:t>.</w:t>
      </w:r>
      <w:r w:rsidRPr="00103606">
        <w:rPr>
          <w:rFonts w:cs="Arial"/>
        </w:rPr>
        <w:t>Q.</w:t>
      </w:r>
      <w:r w:rsidR="00FA69AB" w:rsidRPr="00103606">
        <w:rPr>
          <w:rFonts w:cs="Arial"/>
        </w:rPr>
        <w:t xml:space="preserve"> et/ou 1526 C.c.Q. et/ou 1480 C.c.Q;</w:t>
      </w:r>
    </w:p>
    <w:p w14:paraId="3669B68E" w14:textId="77777777" w:rsidR="00863934" w:rsidRPr="00F03888" w:rsidRDefault="00E21D39" w:rsidP="00573001">
      <w:pPr>
        <w:pStyle w:val="Paragrdouble"/>
        <w:spacing w:line="276" w:lineRule="auto"/>
        <w:rPr>
          <w:rFonts w:cs="Arial"/>
        </w:rPr>
      </w:pPr>
      <w:r w:rsidRPr="00103606">
        <w:rPr>
          <w:rFonts w:cs="Arial"/>
        </w:rPr>
        <w:t>Les défendeurs contestent tous les critères de l’article 575 C.p.c</w:t>
      </w:r>
      <w:r w:rsidR="008A5D57" w:rsidRPr="00103606">
        <w:rPr>
          <w:rFonts w:cs="Arial"/>
        </w:rPr>
        <w:t xml:space="preserve">., en plus de </w:t>
      </w:r>
      <w:r w:rsidR="006F1730" w:rsidRPr="00103606">
        <w:rPr>
          <w:rFonts w:cs="Arial"/>
        </w:rPr>
        <w:t>prétend</w:t>
      </w:r>
      <w:r w:rsidR="006F1730">
        <w:rPr>
          <w:rFonts w:cs="Arial"/>
        </w:rPr>
        <w:t>re</w:t>
      </w:r>
      <w:r w:rsidR="006F1730" w:rsidRPr="00103606">
        <w:rPr>
          <w:rFonts w:cs="Arial"/>
        </w:rPr>
        <w:t xml:space="preserve"> </w:t>
      </w:r>
      <w:r w:rsidR="008A5D57" w:rsidRPr="00103606">
        <w:rPr>
          <w:rFonts w:cs="Arial"/>
        </w:rPr>
        <w:t>que la demande est contraire au principe de proportionnalité et que les codemanderesses doivent être condamnées à des dommages pour abus de procédure découlant de la seconde demande de sauvegarde qu’elles ont présentée.</w:t>
      </w:r>
    </w:p>
    <w:p w14:paraId="108D36BD" w14:textId="77777777" w:rsidR="00772542" w:rsidRPr="00103606" w:rsidRDefault="00E21D39" w:rsidP="00F4232B">
      <w:pPr>
        <w:pStyle w:val="Titre1"/>
        <w:numPr>
          <w:ilvl w:val="0"/>
          <w:numId w:val="6"/>
        </w:numPr>
        <w:ind w:left="709" w:hanging="567"/>
        <w:rPr>
          <w:rFonts w:cs="Arial"/>
        </w:rPr>
      </w:pPr>
      <w:bookmarkStart w:id="15" w:name="_Toc256000003"/>
      <w:bookmarkStart w:id="16" w:name="_Toc187475762"/>
      <w:r w:rsidRPr="00103606">
        <w:rPr>
          <w:rFonts w:cs="Arial"/>
        </w:rPr>
        <w:t>QUESTIONS PRÉLIMINAIRES</w:t>
      </w:r>
      <w:bookmarkEnd w:id="15"/>
      <w:bookmarkEnd w:id="16"/>
    </w:p>
    <w:p w14:paraId="14799946" w14:textId="77777777" w:rsidR="00D144FC" w:rsidRPr="00103606" w:rsidRDefault="00E21D39" w:rsidP="00925441">
      <w:pPr>
        <w:pStyle w:val="Titre2"/>
        <w:jc w:val="both"/>
        <w:rPr>
          <w:rFonts w:cs="Arial"/>
          <w:u w:val="none"/>
        </w:rPr>
      </w:pPr>
      <w:bookmarkStart w:id="17" w:name="_Toc256000004"/>
      <w:bookmarkStart w:id="18" w:name="_Toc187475763"/>
      <w:r w:rsidRPr="00103606">
        <w:rPr>
          <w:rFonts w:cs="Arial"/>
          <w:u w:val="none"/>
        </w:rPr>
        <w:t xml:space="preserve">LA Demande </w:t>
      </w:r>
      <w:r w:rsidR="00C73595" w:rsidRPr="00103606">
        <w:rPr>
          <w:rFonts w:cs="Arial"/>
          <w:u w:val="none"/>
        </w:rPr>
        <w:t>de</w:t>
      </w:r>
      <w:r w:rsidR="00213636">
        <w:rPr>
          <w:rFonts w:cs="Arial"/>
          <w:u w:val="none"/>
        </w:rPr>
        <w:t xml:space="preserve"> MILLER </w:t>
      </w:r>
      <w:r w:rsidRPr="00103606">
        <w:rPr>
          <w:rFonts w:cs="Arial"/>
          <w:u w:val="none"/>
        </w:rPr>
        <w:t xml:space="preserve">de </w:t>
      </w:r>
      <w:r w:rsidR="00C73595" w:rsidRPr="00103606">
        <w:rPr>
          <w:rFonts w:cs="Arial"/>
          <w:u w:val="none"/>
        </w:rPr>
        <w:t>produ</w:t>
      </w:r>
      <w:r w:rsidRPr="00103606">
        <w:rPr>
          <w:rFonts w:cs="Arial"/>
          <w:u w:val="none"/>
        </w:rPr>
        <w:t xml:space="preserve">CTION </w:t>
      </w:r>
      <w:r w:rsidR="00C73595" w:rsidRPr="00103606">
        <w:rPr>
          <w:rFonts w:cs="Arial"/>
          <w:u w:val="none"/>
        </w:rPr>
        <w:t>comme</w:t>
      </w:r>
      <w:r w:rsidRPr="00103606">
        <w:rPr>
          <w:rFonts w:cs="Arial"/>
          <w:u w:val="none"/>
        </w:rPr>
        <w:t xml:space="preserve"> preuve appropriée DE </w:t>
      </w:r>
      <w:r w:rsidR="00C73595" w:rsidRPr="00103606">
        <w:rPr>
          <w:rFonts w:cs="Arial"/>
          <w:u w:val="none"/>
        </w:rPr>
        <w:t>la Déclaration du 19 septembre 2008</w:t>
      </w:r>
      <w:r w:rsidRPr="00103606">
        <w:rPr>
          <w:rFonts w:cs="Arial"/>
          <w:u w:val="none"/>
        </w:rPr>
        <w:t xml:space="preserve"> EST REJETÉE</w:t>
      </w:r>
      <w:bookmarkEnd w:id="17"/>
      <w:bookmarkEnd w:id="18"/>
    </w:p>
    <w:p w14:paraId="17F9D724" w14:textId="77777777" w:rsidR="00554611" w:rsidRPr="00103606" w:rsidRDefault="00E21D39" w:rsidP="00971B2E">
      <w:pPr>
        <w:pStyle w:val="Paragrdouble"/>
        <w:spacing w:line="276" w:lineRule="auto"/>
        <w:rPr>
          <w:rFonts w:cs="Arial"/>
        </w:rPr>
      </w:pPr>
      <w:r w:rsidRPr="00103606">
        <w:rPr>
          <w:rFonts w:cs="Arial"/>
        </w:rPr>
        <w:t xml:space="preserve">Au début février 2024, </w:t>
      </w:r>
      <w:r w:rsidR="00971B2E" w:rsidRPr="00103606">
        <w:rPr>
          <w:rFonts w:cs="Arial"/>
        </w:rPr>
        <w:t>la demanderesse initiale</w:t>
      </w:r>
      <w:r w:rsidRPr="00103606">
        <w:rPr>
          <w:rFonts w:cs="Arial"/>
        </w:rPr>
        <w:t xml:space="preserve"> S.N. </w:t>
      </w:r>
      <w:r w:rsidR="00971B2E" w:rsidRPr="00103606">
        <w:rPr>
          <w:rFonts w:cs="Arial"/>
        </w:rPr>
        <w:t xml:space="preserve">dépose une demande d’autorisation d’exercer une action collective </w:t>
      </w:r>
      <w:r w:rsidRPr="00103606">
        <w:rPr>
          <w:rFonts w:cs="Arial"/>
        </w:rPr>
        <w:t>contre Miller</w:t>
      </w:r>
      <w:r w:rsidR="008A5D57" w:rsidRPr="00103606">
        <w:rPr>
          <w:rFonts w:cs="Arial"/>
        </w:rPr>
        <w:t>.</w:t>
      </w:r>
    </w:p>
    <w:p w14:paraId="66BF4935" w14:textId="77777777" w:rsidR="00554611" w:rsidRPr="00103606" w:rsidRDefault="00E21D39" w:rsidP="00554611">
      <w:pPr>
        <w:pStyle w:val="Paragrdouble"/>
        <w:spacing w:line="276" w:lineRule="auto"/>
        <w:rPr>
          <w:rFonts w:cs="Arial"/>
        </w:rPr>
      </w:pPr>
      <w:r w:rsidRPr="00103606">
        <w:rPr>
          <w:rFonts w:cs="Arial"/>
        </w:rPr>
        <w:t xml:space="preserve">Le 2 février 2024, les demandeurs déposent leur quatrième demande modifiée pour permission d'autoriser une action collective et désigner les demanderesses en qualité de représentantes. Cette demande modifiée vise à inclure B.N. en tant que codemanderesse à l’action collective. </w:t>
      </w:r>
    </w:p>
    <w:p w14:paraId="53685AE2" w14:textId="77777777" w:rsidR="00554611" w:rsidRPr="00103606" w:rsidRDefault="00E21D39" w:rsidP="00554611">
      <w:pPr>
        <w:pStyle w:val="Paragrdouble"/>
        <w:spacing w:line="276" w:lineRule="auto"/>
        <w:rPr>
          <w:rFonts w:cs="Arial"/>
        </w:rPr>
      </w:pPr>
      <w:r w:rsidRPr="00103606">
        <w:rPr>
          <w:rFonts w:cs="Arial"/>
        </w:rPr>
        <w:t>Le 27 mars 2024, le juge Christian Immer autorise les modifications apportées par la quatrième demande modifiée.</w:t>
      </w:r>
    </w:p>
    <w:p w14:paraId="657367C4" w14:textId="77777777" w:rsidR="00554611" w:rsidRPr="00103606" w:rsidRDefault="00E21D39" w:rsidP="00554611">
      <w:pPr>
        <w:pStyle w:val="Paragrdouble"/>
        <w:spacing w:line="276" w:lineRule="auto"/>
        <w:rPr>
          <w:rFonts w:cs="Arial"/>
        </w:rPr>
      </w:pPr>
      <w:r>
        <w:rPr>
          <w:rFonts w:cs="Arial"/>
        </w:rPr>
        <w:t xml:space="preserve">Comme </w:t>
      </w:r>
      <w:r w:rsidR="008A5D57" w:rsidRPr="00103606">
        <w:rPr>
          <w:rFonts w:cs="Arial"/>
        </w:rPr>
        <w:t>indiqué ci-haut, la C</w:t>
      </w:r>
      <w:r w:rsidRPr="00103606">
        <w:rPr>
          <w:rFonts w:cs="Arial"/>
        </w:rPr>
        <w:t xml:space="preserve">inquième </w:t>
      </w:r>
      <w:r w:rsidR="008A5D57" w:rsidRPr="00103606">
        <w:rPr>
          <w:rFonts w:cs="Arial"/>
        </w:rPr>
        <w:t>D</w:t>
      </w:r>
      <w:r w:rsidRPr="00103606">
        <w:rPr>
          <w:rFonts w:cs="Arial"/>
        </w:rPr>
        <w:t>emande est subséquemment déposée le 19 août 2024, souhaitant ajouter V.R. comme représentante désignée. Le 9 septembre suivant, les modifications demandées</w:t>
      </w:r>
      <w:r w:rsidR="008A5D57" w:rsidRPr="00103606">
        <w:rPr>
          <w:rFonts w:cs="Arial"/>
        </w:rPr>
        <w:t xml:space="preserve"> sont autorisées</w:t>
      </w:r>
      <w:r w:rsidRPr="00103606">
        <w:rPr>
          <w:rFonts w:cs="Arial"/>
        </w:rPr>
        <w:t>.</w:t>
      </w:r>
    </w:p>
    <w:p w14:paraId="1760B7FA" w14:textId="77777777" w:rsidR="00554611" w:rsidRPr="00103606" w:rsidRDefault="00E21D39" w:rsidP="00E70506">
      <w:pPr>
        <w:pStyle w:val="Paragrdouble"/>
        <w:spacing w:line="276" w:lineRule="auto"/>
        <w:rPr>
          <w:rFonts w:cs="Arial"/>
        </w:rPr>
      </w:pPr>
      <w:r w:rsidRPr="00103606">
        <w:rPr>
          <w:rFonts w:cs="Arial"/>
        </w:rPr>
        <w:t xml:space="preserve">Le même jour, </w:t>
      </w:r>
      <w:r w:rsidR="008A5D57" w:rsidRPr="00103606">
        <w:rPr>
          <w:rFonts w:cs="Arial"/>
        </w:rPr>
        <w:t>Miller</w:t>
      </w:r>
      <w:r w:rsidRPr="00103606">
        <w:rPr>
          <w:rFonts w:cs="Arial"/>
        </w:rPr>
        <w:t xml:space="preserve"> </w:t>
      </w:r>
      <w:r w:rsidR="008A5D57" w:rsidRPr="00103606">
        <w:rPr>
          <w:rFonts w:cs="Arial"/>
        </w:rPr>
        <w:t>annonce</w:t>
      </w:r>
      <w:r w:rsidRPr="00103606">
        <w:rPr>
          <w:rFonts w:cs="Arial"/>
        </w:rPr>
        <w:t xml:space="preserve"> son intention</w:t>
      </w:r>
      <w:r w:rsidR="00E70506" w:rsidRPr="00103606">
        <w:rPr>
          <w:rFonts w:cs="Arial"/>
        </w:rPr>
        <w:t xml:space="preserve"> </w:t>
      </w:r>
      <w:r w:rsidRPr="00103606">
        <w:rPr>
          <w:rFonts w:cs="Arial"/>
        </w:rPr>
        <w:t xml:space="preserve">de </w:t>
      </w:r>
      <w:r w:rsidR="00E70506" w:rsidRPr="00103606">
        <w:rPr>
          <w:rFonts w:cs="Arial"/>
        </w:rPr>
        <w:t>présenter une demande de preuve appropriée</w:t>
      </w:r>
      <w:r w:rsidRPr="00103606">
        <w:rPr>
          <w:rFonts w:cs="Arial"/>
        </w:rPr>
        <w:t xml:space="preserve"> </w:t>
      </w:r>
      <w:r w:rsidR="00E70506" w:rsidRPr="00103606">
        <w:rPr>
          <w:rFonts w:cs="Arial"/>
        </w:rPr>
        <w:t xml:space="preserve">en lien avec les allégations </w:t>
      </w:r>
      <w:r w:rsidRPr="00103606">
        <w:rPr>
          <w:rFonts w:cs="Arial"/>
        </w:rPr>
        <w:t>avancées par V.R.</w:t>
      </w:r>
      <w:r w:rsidR="00E70506" w:rsidRPr="00103606">
        <w:rPr>
          <w:rFonts w:cs="Arial"/>
        </w:rPr>
        <w:t xml:space="preserve"> </w:t>
      </w:r>
    </w:p>
    <w:p w14:paraId="747EA944" w14:textId="77777777" w:rsidR="00E70506" w:rsidRPr="00103606" w:rsidRDefault="00E21D39" w:rsidP="00E70506">
      <w:pPr>
        <w:pStyle w:val="Paragrdouble"/>
        <w:spacing w:line="276" w:lineRule="auto"/>
        <w:rPr>
          <w:rFonts w:cs="Arial"/>
        </w:rPr>
      </w:pPr>
      <w:r w:rsidRPr="00103606">
        <w:rPr>
          <w:rFonts w:cs="Arial"/>
        </w:rPr>
        <w:t>Le</w:t>
      </w:r>
      <w:r w:rsidR="00554611" w:rsidRPr="00103606">
        <w:rPr>
          <w:rFonts w:cs="Arial"/>
        </w:rPr>
        <w:t xml:space="preserve"> 20 septembre 2024, </w:t>
      </w:r>
      <w:r w:rsidR="008A5D57" w:rsidRPr="00103606">
        <w:rPr>
          <w:rFonts w:cs="Arial"/>
        </w:rPr>
        <w:t>Miller</w:t>
      </w:r>
      <w:r w:rsidR="00554611" w:rsidRPr="00103606">
        <w:rPr>
          <w:rFonts w:cs="Arial"/>
        </w:rPr>
        <w:t xml:space="preserve"> </w:t>
      </w:r>
      <w:r w:rsidRPr="00103606">
        <w:rPr>
          <w:rFonts w:cs="Arial"/>
        </w:rPr>
        <w:t>notifie</w:t>
      </w:r>
      <w:r w:rsidR="00554611" w:rsidRPr="00103606">
        <w:rPr>
          <w:rFonts w:cs="Arial"/>
        </w:rPr>
        <w:t xml:space="preserve"> s</w:t>
      </w:r>
      <w:r w:rsidRPr="00103606">
        <w:rPr>
          <w:rFonts w:cs="Arial"/>
        </w:rPr>
        <w:t xml:space="preserve">a Demande de type « Wagg » visant la communication de documents en la possession d’un tiers et donc l’autorisation de pouvoir utiliser une partie de la preuve qui a été divulguée à ses avocats par le Directeur des poursuites criminelles et pénales (« DPCP ») dans le cadre des dossiers en Cour du Québec </w:t>
      </w:r>
      <w:r w:rsidR="008E1C96">
        <w:rPr>
          <w:rFonts w:cs="Arial"/>
        </w:rPr>
        <w:t xml:space="preserve">portant les numéros </w:t>
      </w:r>
      <w:r w:rsidRPr="00103606">
        <w:rPr>
          <w:rFonts w:cs="Arial"/>
        </w:rPr>
        <w:t>500-01-257044-243 et 500-01-266714-242.</w:t>
      </w:r>
      <w:r w:rsidR="00B37544" w:rsidRPr="00103606">
        <w:rPr>
          <w:rFonts w:cs="Arial"/>
        </w:rPr>
        <w:t xml:space="preserve"> J’ai accueilli cette demande et reporté à l’audience sur l’autorisation la demande de preuve appropriée en vertu de l’article 574 C.p.c.</w:t>
      </w:r>
      <w:r>
        <w:rPr>
          <w:rStyle w:val="Appelnotedebasdep"/>
          <w:rFonts w:cs="Arial"/>
        </w:rPr>
        <w:footnoteReference w:id="20"/>
      </w:r>
    </w:p>
    <w:p w14:paraId="3A307F6D" w14:textId="77777777" w:rsidR="00FA2ACD" w:rsidRPr="00103606" w:rsidRDefault="00E21D39" w:rsidP="00FA2ACD">
      <w:pPr>
        <w:pStyle w:val="Paragrdouble"/>
        <w:spacing w:line="276" w:lineRule="auto"/>
        <w:rPr>
          <w:rFonts w:cs="Arial"/>
          <w:color w:val="000000"/>
          <w:szCs w:val="24"/>
          <w:lang w:eastAsia="fr-CA"/>
        </w:rPr>
      </w:pPr>
      <w:r w:rsidRPr="00103606">
        <w:rPr>
          <w:rFonts w:cs="Arial"/>
        </w:rPr>
        <w:t xml:space="preserve">Il s’agit donc de déterminer si </w:t>
      </w:r>
      <w:r w:rsidRPr="00103606">
        <w:rPr>
          <w:rFonts w:cs="Arial"/>
          <w:color w:val="000000"/>
          <w:szCs w:val="24"/>
          <w:lang w:eastAsia="fr-CA"/>
        </w:rPr>
        <w:t>la déclaration sous serment de V.R., laquelle est datée du 19 septembre 2008 et comprend 10 pages de question</w:t>
      </w:r>
      <w:r w:rsidR="008A5D57" w:rsidRPr="00103606">
        <w:rPr>
          <w:rFonts w:cs="Arial"/>
          <w:color w:val="000000"/>
          <w:szCs w:val="24"/>
          <w:lang w:eastAsia="fr-CA"/>
        </w:rPr>
        <w:t>s</w:t>
      </w:r>
      <w:r w:rsidRPr="00103606">
        <w:rPr>
          <w:rFonts w:cs="Arial"/>
          <w:color w:val="000000"/>
          <w:szCs w:val="24"/>
          <w:lang w:eastAsia="fr-CA"/>
        </w:rPr>
        <w:t xml:space="preserve"> et réponses </w:t>
      </w:r>
      <w:r w:rsidR="008A5D57" w:rsidRPr="00103606">
        <w:rPr>
          <w:rFonts w:cs="Arial"/>
          <w:color w:val="000000"/>
          <w:szCs w:val="24"/>
          <w:lang w:eastAsia="fr-CA"/>
        </w:rPr>
        <w:t>recueillies</w:t>
      </w:r>
      <w:r w:rsidRPr="00103606">
        <w:rPr>
          <w:rFonts w:cs="Arial"/>
          <w:color w:val="000000"/>
          <w:szCs w:val="24"/>
          <w:lang w:eastAsia="fr-CA"/>
        </w:rPr>
        <w:t xml:space="preserve"> par une dénommée Le</w:t>
      </w:r>
      <w:r w:rsidR="00CE3798">
        <w:rPr>
          <w:rFonts w:cs="Arial"/>
          <w:color w:val="000000"/>
          <w:szCs w:val="24"/>
          <w:lang w:eastAsia="fr-CA"/>
        </w:rPr>
        <w:t>e</w:t>
      </w:r>
      <w:r w:rsidRPr="00103606">
        <w:rPr>
          <w:rFonts w:cs="Arial"/>
          <w:color w:val="000000"/>
          <w:szCs w:val="24"/>
          <w:lang w:eastAsia="fr-CA"/>
        </w:rPr>
        <w:t>anne Bastos Couto, devant témoin, est admissible à ce stade des procédures (la « </w:t>
      </w:r>
      <w:r w:rsidRPr="00103606">
        <w:rPr>
          <w:rFonts w:cs="Arial"/>
          <w:b/>
          <w:bCs/>
          <w:color w:val="000000"/>
          <w:szCs w:val="24"/>
          <w:lang w:eastAsia="fr-CA"/>
        </w:rPr>
        <w:t>Déclaration du 19 septembre 2008</w:t>
      </w:r>
      <w:r w:rsidRPr="00103606">
        <w:rPr>
          <w:rFonts w:cs="Arial"/>
          <w:color w:val="000000"/>
          <w:szCs w:val="24"/>
          <w:lang w:eastAsia="fr-CA"/>
        </w:rPr>
        <w:t xml:space="preserve"> »). </w:t>
      </w:r>
    </w:p>
    <w:p w14:paraId="71955DD3" w14:textId="77777777" w:rsidR="00B37544" w:rsidRPr="00103606" w:rsidRDefault="00E21D39" w:rsidP="00B37544">
      <w:pPr>
        <w:pStyle w:val="Paragrdouble"/>
        <w:spacing w:line="276" w:lineRule="auto"/>
        <w:rPr>
          <w:rFonts w:cs="Arial"/>
          <w:color w:val="000000"/>
          <w:szCs w:val="24"/>
          <w:lang w:eastAsia="fr-CA"/>
        </w:rPr>
      </w:pPr>
      <w:r w:rsidRPr="00103606">
        <w:rPr>
          <w:rFonts w:cs="Arial"/>
        </w:rPr>
        <w:t>Il est désormais acquis qu'</w:t>
      </w:r>
      <w:r w:rsidR="00FA2ACD" w:rsidRPr="00103606">
        <w:rPr>
          <w:rFonts w:cs="Arial"/>
        </w:rPr>
        <w:t xml:space="preserve">au stade de l’autorisation, </w:t>
      </w:r>
      <w:r w:rsidRPr="00103606">
        <w:rPr>
          <w:rFonts w:cs="Arial"/>
        </w:rPr>
        <w:t>une preuve n'est appropriée que si elle est pertinente et utile à la vérification des critères de l'article 575 C.p.c. et qu'elle respecte les principes des articles 18 et 19 C.p.c.</w:t>
      </w:r>
    </w:p>
    <w:p w14:paraId="0A3D50B5" w14:textId="77777777" w:rsidR="00437B0A" w:rsidRPr="00103606" w:rsidRDefault="00E21D39" w:rsidP="00F01504">
      <w:pPr>
        <w:pStyle w:val="Paragrdouble"/>
        <w:spacing w:line="276" w:lineRule="auto"/>
        <w:rPr>
          <w:rFonts w:cs="Arial"/>
          <w:color w:val="000000"/>
          <w:szCs w:val="24"/>
          <w:lang w:eastAsia="fr-CA"/>
        </w:rPr>
      </w:pPr>
      <w:r w:rsidRPr="00103606">
        <w:rPr>
          <w:rFonts w:cs="Arial"/>
          <w:color w:val="000000"/>
          <w:szCs w:val="24"/>
          <w:lang w:eastAsia="fr-CA"/>
        </w:rPr>
        <w:t>Les critères applicables à toute demande de preuve appropriée en vertu de l’article 574 C</w:t>
      </w:r>
      <w:r w:rsidR="008A5D57" w:rsidRPr="00103606">
        <w:rPr>
          <w:rFonts w:cs="Arial"/>
          <w:color w:val="000000"/>
          <w:szCs w:val="24"/>
          <w:lang w:eastAsia="fr-CA"/>
        </w:rPr>
        <w:t>.</w:t>
      </w:r>
      <w:r w:rsidRPr="00103606">
        <w:rPr>
          <w:rFonts w:cs="Arial"/>
          <w:color w:val="000000"/>
          <w:szCs w:val="24"/>
          <w:lang w:eastAsia="fr-CA"/>
        </w:rPr>
        <w:t>p</w:t>
      </w:r>
      <w:r w:rsidR="008A5D57" w:rsidRPr="00103606">
        <w:rPr>
          <w:rFonts w:cs="Arial"/>
          <w:color w:val="000000"/>
          <w:szCs w:val="24"/>
          <w:lang w:eastAsia="fr-CA"/>
        </w:rPr>
        <w:t>.</w:t>
      </w:r>
      <w:r w:rsidRPr="00103606">
        <w:rPr>
          <w:rFonts w:cs="Arial"/>
          <w:color w:val="000000"/>
          <w:szCs w:val="24"/>
          <w:lang w:eastAsia="fr-CA"/>
        </w:rPr>
        <w:t>c</w:t>
      </w:r>
      <w:r w:rsidR="008A5D57" w:rsidRPr="00103606">
        <w:rPr>
          <w:rFonts w:cs="Arial"/>
          <w:color w:val="000000"/>
          <w:szCs w:val="24"/>
          <w:lang w:eastAsia="fr-CA"/>
        </w:rPr>
        <w:t>.</w:t>
      </w:r>
      <w:r w:rsidRPr="00103606">
        <w:rPr>
          <w:rFonts w:cs="Arial"/>
          <w:color w:val="000000"/>
          <w:szCs w:val="24"/>
          <w:lang w:eastAsia="fr-CA"/>
        </w:rPr>
        <w:t xml:space="preserve"> </w:t>
      </w:r>
      <w:r w:rsidR="002E65C4" w:rsidRPr="00103606">
        <w:rPr>
          <w:rFonts w:cs="Arial"/>
          <w:color w:val="000000"/>
          <w:szCs w:val="24"/>
          <w:lang w:eastAsia="fr-CA"/>
        </w:rPr>
        <w:t xml:space="preserve">sont clairement énoncés par la Cour d’appel dans </w:t>
      </w:r>
      <w:r w:rsidRPr="008573E6">
        <w:rPr>
          <w:rFonts w:cs="Arial"/>
          <w:i/>
          <w:iCs/>
        </w:rPr>
        <w:t>Durand c. Subway Franchise Systems of Canada</w:t>
      </w:r>
      <w:r w:rsidRPr="00103606">
        <w:rPr>
          <w:rFonts w:cs="Arial"/>
          <w:color w:val="000000"/>
          <w:szCs w:val="24"/>
          <w:lang w:eastAsia="fr-CA"/>
        </w:rPr>
        <w:t xml:space="preserve">: </w:t>
      </w:r>
    </w:p>
    <w:p w14:paraId="6D4DD657" w14:textId="77777777" w:rsidR="00437B0A" w:rsidRPr="008573E6" w:rsidRDefault="00E21D39" w:rsidP="00573001">
      <w:pPr>
        <w:pStyle w:val="Paragrdouble"/>
        <w:numPr>
          <w:ilvl w:val="0"/>
          <w:numId w:val="0"/>
        </w:numPr>
        <w:spacing w:after="0" w:line="240" w:lineRule="auto"/>
        <w:ind w:left="731" w:right="715" w:hanging="164"/>
        <w:rPr>
          <w:rFonts w:cs="Arial"/>
          <w:color w:val="000000"/>
          <w:sz w:val="22"/>
          <w:szCs w:val="22"/>
          <w:lang w:eastAsia="fr-CA"/>
        </w:rPr>
      </w:pPr>
      <w:r w:rsidRPr="008573E6">
        <w:rPr>
          <w:rFonts w:cs="Arial"/>
          <w:color w:val="000000"/>
          <w:sz w:val="22"/>
          <w:szCs w:val="22"/>
          <w:lang w:eastAsia="fr-CA"/>
        </w:rPr>
        <w:t>« [51]</w:t>
      </w:r>
      <w:r w:rsidR="002B69F6">
        <w:rPr>
          <w:rFonts w:cs="Arial"/>
          <w:color w:val="000000"/>
          <w:sz w:val="22"/>
          <w:szCs w:val="22"/>
          <w:lang w:eastAsia="fr-CA"/>
        </w:rPr>
        <w:tab/>
      </w:r>
      <w:r w:rsidRPr="008573E6">
        <w:rPr>
          <w:rFonts w:cs="Arial"/>
          <w:color w:val="000000"/>
          <w:sz w:val="22"/>
          <w:szCs w:val="22"/>
          <w:lang w:eastAsia="fr-CA"/>
        </w:rPr>
        <w:t xml:space="preserve">Cette preuve doit </w:t>
      </w:r>
      <w:r w:rsidRPr="00103606">
        <w:rPr>
          <w:rFonts w:cs="Arial"/>
          <w:color w:val="000000"/>
          <w:sz w:val="22"/>
          <w:szCs w:val="22"/>
          <w:lang w:eastAsia="fr-CA"/>
        </w:rPr>
        <w:t xml:space="preserve">[…] </w:t>
      </w:r>
      <w:r w:rsidRPr="008573E6">
        <w:rPr>
          <w:rFonts w:cs="Arial"/>
          <w:color w:val="000000"/>
          <w:sz w:val="22"/>
          <w:szCs w:val="22"/>
          <w:lang w:eastAsia="fr-CA"/>
        </w:rPr>
        <w:t>être essentielle, indispensable et limitée à ce qui permet de démontrer sans conteste que les faits allégués sont invraisemblables ou faux. Elle ne doit pas avoir pour effet de forcer la tenue d’un débat contradictoire sur une question de fond ou, dit autrement, entraîner la tenue d’un procès avant le procès.</w:t>
      </w:r>
    </w:p>
    <w:p w14:paraId="5E24B659" w14:textId="77777777" w:rsidR="00437B0A" w:rsidRPr="008573E6" w:rsidRDefault="00E21D39" w:rsidP="00573001">
      <w:pPr>
        <w:pStyle w:val="Paragrdouble"/>
        <w:numPr>
          <w:ilvl w:val="0"/>
          <w:numId w:val="0"/>
        </w:numPr>
        <w:spacing w:after="0" w:line="240" w:lineRule="auto"/>
        <w:ind w:left="731" w:right="715"/>
        <w:rPr>
          <w:rFonts w:cs="Arial"/>
          <w:color w:val="000000"/>
          <w:sz w:val="22"/>
          <w:szCs w:val="22"/>
          <w:lang w:eastAsia="fr-CA"/>
        </w:rPr>
      </w:pPr>
      <w:r w:rsidRPr="008573E6">
        <w:rPr>
          <w:rFonts w:cs="Arial"/>
          <w:color w:val="000000"/>
          <w:sz w:val="22"/>
          <w:szCs w:val="22"/>
          <w:lang w:eastAsia="fr-CA"/>
        </w:rPr>
        <w:t xml:space="preserve">[52] </w:t>
      </w:r>
      <w:r w:rsidR="002B69F6">
        <w:rPr>
          <w:rFonts w:cs="Arial"/>
          <w:color w:val="000000"/>
          <w:sz w:val="22"/>
          <w:szCs w:val="22"/>
          <w:lang w:eastAsia="fr-CA"/>
        </w:rPr>
        <w:tab/>
      </w:r>
      <w:r w:rsidRPr="008573E6">
        <w:rPr>
          <w:rFonts w:cs="Arial"/>
          <w:color w:val="000000"/>
          <w:sz w:val="22"/>
          <w:szCs w:val="22"/>
          <w:lang w:eastAsia="fr-CA"/>
        </w:rPr>
        <w:t>Si la preuve déposée est susceptible d’être éventuellement contredite par le requérant, le juge de l’autorisation doit faire preuve de prudence et ne pas tenir pour acquis qu’elle est vraie. Il doit se rappeler qu’il ne doit tenir pour avérés que les faits allégués par le requérant et non pas ceux allégués par l’intimé, même lorsque la preuve produite par ce dernier démontre prima facie l’existence de ces faits.</w:t>
      </w:r>
    </w:p>
    <w:p w14:paraId="41746027" w14:textId="77777777" w:rsidR="00437B0A" w:rsidRPr="008573E6" w:rsidRDefault="00E21D39" w:rsidP="00573001">
      <w:pPr>
        <w:pStyle w:val="Paragrdouble"/>
        <w:numPr>
          <w:ilvl w:val="0"/>
          <w:numId w:val="0"/>
        </w:numPr>
        <w:spacing w:after="0" w:line="240" w:lineRule="auto"/>
        <w:ind w:left="731" w:right="715"/>
        <w:rPr>
          <w:rFonts w:cs="Arial"/>
          <w:color w:val="000000"/>
          <w:sz w:val="22"/>
          <w:szCs w:val="22"/>
          <w:lang w:eastAsia="fr-CA"/>
        </w:rPr>
      </w:pPr>
      <w:r w:rsidRPr="008573E6">
        <w:rPr>
          <w:rFonts w:cs="Arial"/>
          <w:color w:val="000000"/>
          <w:sz w:val="22"/>
          <w:szCs w:val="22"/>
          <w:lang w:eastAsia="fr-CA"/>
        </w:rPr>
        <w:t xml:space="preserve">[53] </w:t>
      </w:r>
      <w:r w:rsidR="002B69F6">
        <w:rPr>
          <w:rFonts w:cs="Arial"/>
          <w:color w:val="000000"/>
          <w:sz w:val="22"/>
          <w:szCs w:val="22"/>
          <w:lang w:eastAsia="fr-CA"/>
        </w:rPr>
        <w:tab/>
      </w:r>
      <w:r w:rsidRPr="008573E6">
        <w:rPr>
          <w:rFonts w:cs="Arial"/>
          <w:color w:val="000000"/>
          <w:sz w:val="22"/>
          <w:szCs w:val="22"/>
          <w:lang w:eastAsia="fr-CA"/>
        </w:rPr>
        <w:t>À ce stade, le fardeau du requérant en étant un de logique (également qualifié de fardeau de démonstration) et non de preuve, il n’a d’ailleurs pas à offrir une preuve prépondérante de ce qu’il avance, mais bien, tout au plus, une « certaine preuve » et n’a pas l’obligation de contester la preuve que l’intimé dépose, ni d’y répondre. D’ailleurs, il n’est souvent pas en mesure de le faire puisqu’il n’a pas toujours toute la preuve en main, une bonne partie de celle-ci pouvant être en possession de l’intimé.</w:t>
      </w:r>
    </w:p>
    <w:p w14:paraId="2899A09F" w14:textId="77777777" w:rsidR="00437B0A" w:rsidRPr="00103606" w:rsidRDefault="00E21D39" w:rsidP="00573001">
      <w:pPr>
        <w:pStyle w:val="Paragrdouble"/>
        <w:numPr>
          <w:ilvl w:val="0"/>
          <w:numId w:val="0"/>
        </w:numPr>
        <w:spacing w:after="0" w:line="240" w:lineRule="auto"/>
        <w:ind w:left="731" w:right="715"/>
        <w:rPr>
          <w:rFonts w:cs="Arial"/>
          <w:color w:val="000000"/>
          <w:szCs w:val="24"/>
          <w:lang w:eastAsia="fr-CA"/>
        </w:rPr>
      </w:pPr>
      <w:r w:rsidRPr="008573E6">
        <w:rPr>
          <w:rFonts w:cs="Arial"/>
          <w:color w:val="000000"/>
          <w:sz w:val="22"/>
          <w:szCs w:val="22"/>
          <w:lang w:eastAsia="fr-CA"/>
        </w:rPr>
        <w:t>[54]</w:t>
      </w:r>
      <w:r w:rsidR="002B69F6">
        <w:rPr>
          <w:rFonts w:cs="Arial"/>
          <w:color w:val="000000"/>
          <w:sz w:val="22"/>
          <w:szCs w:val="22"/>
          <w:lang w:eastAsia="fr-CA"/>
        </w:rPr>
        <w:tab/>
      </w:r>
      <w:r w:rsidRPr="008573E6">
        <w:rPr>
          <w:rFonts w:cs="Arial"/>
          <w:color w:val="000000"/>
          <w:sz w:val="22"/>
          <w:szCs w:val="22"/>
          <w:lang w:eastAsia="fr-CA"/>
        </w:rPr>
        <w:t xml:space="preserve"> Bref, la preuve déposée par un intimé au soutien de sa contestation ne change pas le rôle du juge de l’autorisation qui peut, certes, trancher une pure question de droit et interpréter la loi pour déterminer si l’action collective projetée est frivole, mais qui ne peut, pour ce faire, apprécier la preuve comme s’il y avait eu un débat contradictoire ou encore présumer vraie celle déposée par l’intimé alors qu’elle est contestée ou simplement contestable. »</w:t>
      </w:r>
      <w:r>
        <w:rPr>
          <w:rStyle w:val="Appelnotedebasdep"/>
          <w:rFonts w:cs="Arial"/>
          <w:color w:val="000000"/>
          <w:sz w:val="22"/>
          <w:szCs w:val="22"/>
          <w:lang w:eastAsia="fr-CA"/>
        </w:rPr>
        <w:footnoteReference w:id="21"/>
      </w:r>
    </w:p>
    <w:p w14:paraId="28B3AF2E" w14:textId="77777777" w:rsidR="00437B0A" w:rsidRPr="00573001" w:rsidRDefault="00E21D39" w:rsidP="00F4232B">
      <w:pPr>
        <w:pStyle w:val="Paragrdouble"/>
        <w:numPr>
          <w:ilvl w:val="0"/>
          <w:numId w:val="0"/>
        </w:numPr>
        <w:spacing w:line="276" w:lineRule="auto"/>
        <w:ind w:right="715"/>
        <w:jc w:val="right"/>
        <w:rPr>
          <w:rFonts w:cs="Arial"/>
          <w:color w:val="000000"/>
          <w:sz w:val="22"/>
          <w:szCs w:val="22"/>
          <w:lang w:eastAsia="fr-CA"/>
        </w:rPr>
      </w:pPr>
      <w:r w:rsidRPr="00573001">
        <w:rPr>
          <w:rFonts w:ascii="Symbol" w:hAnsi="Symbol" w:cs="Arial"/>
          <w:color w:val="000000"/>
          <w:sz w:val="22"/>
          <w:szCs w:val="22"/>
          <w:lang w:eastAsia="fr-CA"/>
        </w:rPr>
        <w:sym w:font="Symbol" w:char="F05B"/>
      </w:r>
      <w:r w:rsidRPr="00573001">
        <w:rPr>
          <w:rFonts w:cs="Arial"/>
          <w:color w:val="000000"/>
          <w:sz w:val="22"/>
          <w:szCs w:val="22"/>
          <w:lang w:eastAsia="fr-CA"/>
        </w:rPr>
        <w:t>Référence</w:t>
      </w:r>
      <w:r w:rsidR="00A02663" w:rsidRPr="00573001">
        <w:rPr>
          <w:rFonts w:cs="Arial"/>
          <w:color w:val="000000"/>
          <w:sz w:val="22"/>
          <w:szCs w:val="22"/>
          <w:lang w:eastAsia="fr-CA"/>
        </w:rPr>
        <w:t>s</w:t>
      </w:r>
      <w:r w:rsidRPr="00573001">
        <w:rPr>
          <w:rFonts w:cs="Arial"/>
          <w:color w:val="000000"/>
          <w:sz w:val="22"/>
          <w:szCs w:val="22"/>
          <w:lang w:eastAsia="fr-CA"/>
        </w:rPr>
        <w:t xml:space="preserve"> omise</w:t>
      </w:r>
      <w:r w:rsidR="00A02663" w:rsidRPr="00573001">
        <w:rPr>
          <w:rFonts w:cs="Arial"/>
          <w:color w:val="000000"/>
          <w:sz w:val="22"/>
          <w:szCs w:val="22"/>
          <w:lang w:eastAsia="fr-CA"/>
        </w:rPr>
        <w:t>s</w:t>
      </w:r>
      <w:r w:rsidRPr="00573001">
        <w:rPr>
          <w:rFonts w:ascii="Symbol" w:hAnsi="Symbol" w:cs="Arial"/>
          <w:color w:val="000000"/>
          <w:sz w:val="22"/>
          <w:szCs w:val="22"/>
          <w:lang w:eastAsia="fr-CA"/>
        </w:rPr>
        <w:sym w:font="Symbol" w:char="F05D"/>
      </w:r>
    </w:p>
    <w:p w14:paraId="10545320" w14:textId="77777777" w:rsidR="00B37544" w:rsidRPr="00103606" w:rsidRDefault="00E21D39" w:rsidP="006B6B4E">
      <w:pPr>
        <w:pStyle w:val="Paragrdouble"/>
        <w:spacing w:line="276" w:lineRule="auto"/>
        <w:rPr>
          <w:rFonts w:cs="Arial"/>
          <w:color w:val="000000"/>
          <w:szCs w:val="24"/>
          <w:lang w:eastAsia="fr-CA"/>
        </w:rPr>
      </w:pPr>
      <w:r w:rsidRPr="00103606">
        <w:rPr>
          <w:rFonts w:cs="Arial"/>
          <w:color w:val="000000"/>
          <w:szCs w:val="24"/>
          <w:lang w:eastAsia="fr-CA"/>
        </w:rPr>
        <w:t>Il</w:t>
      </w:r>
      <w:r w:rsidR="00F01504" w:rsidRPr="00103606">
        <w:rPr>
          <w:rFonts w:cs="Arial"/>
          <w:color w:val="000000"/>
          <w:szCs w:val="24"/>
          <w:lang w:eastAsia="fr-CA"/>
        </w:rPr>
        <w:t xml:space="preserve"> faut ajouter à ces considérations</w:t>
      </w:r>
      <w:r w:rsidRPr="00103606">
        <w:rPr>
          <w:rFonts w:cs="Arial"/>
          <w:color w:val="000000"/>
          <w:szCs w:val="24"/>
          <w:lang w:eastAsia="fr-CA"/>
        </w:rPr>
        <w:t xml:space="preserve"> </w:t>
      </w:r>
      <w:r w:rsidR="00F01504" w:rsidRPr="00103606">
        <w:rPr>
          <w:rFonts w:cs="Arial"/>
          <w:color w:val="000000"/>
          <w:szCs w:val="24"/>
          <w:lang w:eastAsia="fr-CA"/>
        </w:rPr>
        <w:t>l</w:t>
      </w:r>
      <w:r w:rsidRPr="00103606">
        <w:rPr>
          <w:rFonts w:cs="Arial"/>
          <w:color w:val="000000"/>
          <w:szCs w:val="24"/>
          <w:lang w:eastAsia="fr-CA"/>
        </w:rPr>
        <w:t xml:space="preserve">es critères </w:t>
      </w:r>
      <w:r w:rsidR="00F01504" w:rsidRPr="00103606">
        <w:rPr>
          <w:rFonts w:cs="Arial"/>
          <w:color w:val="000000"/>
          <w:szCs w:val="24"/>
          <w:lang w:eastAsia="fr-CA"/>
        </w:rPr>
        <w:t xml:space="preserve">de </w:t>
      </w:r>
      <w:r w:rsidRPr="00103606">
        <w:rPr>
          <w:rFonts w:cs="Arial"/>
          <w:color w:val="000000"/>
          <w:szCs w:val="24"/>
          <w:lang w:eastAsia="fr-CA"/>
        </w:rPr>
        <w:t xml:space="preserve">l’arrêt </w:t>
      </w:r>
      <w:r w:rsidRPr="00103606">
        <w:rPr>
          <w:rFonts w:cs="Arial"/>
          <w:i/>
          <w:iCs/>
          <w:color w:val="000000"/>
          <w:szCs w:val="24"/>
          <w:lang w:eastAsia="fr-CA"/>
        </w:rPr>
        <w:t>Homsy c. Google</w:t>
      </w:r>
      <w:r w:rsidRPr="00103606">
        <w:rPr>
          <w:rFonts w:cs="Arial"/>
          <w:color w:val="000000"/>
          <w:szCs w:val="24"/>
          <w:lang w:eastAsia="fr-CA"/>
        </w:rPr>
        <w:t xml:space="preserve"> </w:t>
      </w:r>
      <w:r w:rsidR="00F01504" w:rsidRPr="00103606">
        <w:rPr>
          <w:rFonts w:cs="Arial"/>
          <w:color w:val="000000"/>
          <w:szCs w:val="24"/>
          <w:lang w:eastAsia="fr-CA"/>
        </w:rPr>
        <w:t>relativement</w:t>
      </w:r>
      <w:r w:rsidRPr="00103606">
        <w:rPr>
          <w:rFonts w:cs="Arial"/>
          <w:color w:val="000000"/>
          <w:szCs w:val="24"/>
          <w:lang w:eastAsia="fr-CA"/>
        </w:rPr>
        <w:t xml:space="preserve"> au critère de l’apparence de droit à l’autorisation d’exercer une action collective (art. 575(2) C</w:t>
      </w:r>
      <w:r w:rsidR="00A02663">
        <w:rPr>
          <w:rFonts w:cs="Arial"/>
          <w:color w:val="000000"/>
          <w:szCs w:val="24"/>
          <w:lang w:eastAsia="fr-CA"/>
        </w:rPr>
        <w:t>.</w:t>
      </w:r>
      <w:r w:rsidRPr="00103606">
        <w:rPr>
          <w:rFonts w:cs="Arial"/>
          <w:color w:val="000000"/>
          <w:szCs w:val="24"/>
          <w:lang w:eastAsia="fr-CA"/>
        </w:rPr>
        <w:t>p</w:t>
      </w:r>
      <w:r w:rsidR="00A02663">
        <w:rPr>
          <w:rFonts w:cs="Arial"/>
          <w:color w:val="000000"/>
          <w:szCs w:val="24"/>
          <w:lang w:eastAsia="fr-CA"/>
        </w:rPr>
        <w:t>.</w:t>
      </w:r>
      <w:r w:rsidRPr="00103606">
        <w:rPr>
          <w:rFonts w:cs="Arial"/>
          <w:color w:val="000000"/>
          <w:szCs w:val="24"/>
          <w:lang w:eastAsia="fr-CA"/>
        </w:rPr>
        <w:t>c</w:t>
      </w:r>
      <w:r w:rsidR="00A02663">
        <w:rPr>
          <w:rFonts w:cs="Arial"/>
          <w:color w:val="000000"/>
          <w:szCs w:val="24"/>
          <w:lang w:eastAsia="fr-CA"/>
        </w:rPr>
        <w:t>.</w:t>
      </w:r>
      <w:r w:rsidRPr="00103606">
        <w:rPr>
          <w:rFonts w:cs="Arial"/>
          <w:color w:val="000000"/>
          <w:szCs w:val="24"/>
          <w:lang w:eastAsia="fr-CA"/>
        </w:rPr>
        <w:t>)</w:t>
      </w:r>
      <w:r>
        <w:rPr>
          <w:rStyle w:val="Appelnotedebasdep"/>
          <w:rFonts w:cs="Arial"/>
          <w:color w:val="000000"/>
          <w:szCs w:val="24"/>
          <w:lang w:eastAsia="fr-CA"/>
        </w:rPr>
        <w:footnoteReference w:id="22"/>
      </w:r>
      <w:r w:rsidRPr="00103606">
        <w:rPr>
          <w:rFonts w:cs="Arial"/>
          <w:color w:val="000000"/>
          <w:szCs w:val="24"/>
          <w:lang w:eastAsia="fr-CA"/>
        </w:rPr>
        <w:t>:</w:t>
      </w:r>
      <w:r w:rsidR="009C147B">
        <w:rPr>
          <w:rFonts w:cs="Arial"/>
          <w:color w:val="000000"/>
          <w:szCs w:val="24"/>
          <w:lang w:eastAsia="fr-CA"/>
        </w:rPr>
        <w:t xml:space="preserve"> </w:t>
      </w:r>
    </w:p>
    <w:p w14:paraId="0E05BD2F" w14:textId="77777777" w:rsidR="00D65DA7" w:rsidRPr="00103606" w:rsidRDefault="00E21D39" w:rsidP="00573001">
      <w:pPr>
        <w:pStyle w:val="Paragrdouble"/>
        <w:numPr>
          <w:ilvl w:val="0"/>
          <w:numId w:val="16"/>
        </w:numPr>
        <w:spacing w:after="0" w:line="240" w:lineRule="auto"/>
        <w:ind w:right="857"/>
        <w:rPr>
          <w:rFonts w:cs="Arial"/>
          <w:color w:val="000000"/>
          <w:sz w:val="22"/>
          <w:szCs w:val="22"/>
          <w:lang w:eastAsia="fr-CA"/>
        </w:rPr>
      </w:pPr>
      <w:r w:rsidRPr="009C147B">
        <w:rPr>
          <w:rFonts w:cs="Arial"/>
          <w:noProof/>
          <w:color w:val="000000"/>
          <w:sz w:val="22"/>
          <w:szCs w:val="22"/>
          <w:lang w:eastAsia="fr-CA"/>
        </w:rPr>
        <mc:AlternateContent>
          <mc:Choice Requires="wps">
            <w:drawing>
              <wp:anchor distT="45720" distB="45720" distL="114300" distR="114300" simplePos="0" relativeHeight="251660288" behindDoc="1" locked="0" layoutInCell="1" allowOverlap="1" wp14:anchorId="368E1FA2" wp14:editId="05604C51">
                <wp:simplePos x="0" y="0"/>
                <wp:positionH relativeFrom="column">
                  <wp:posOffset>504866</wp:posOffset>
                </wp:positionH>
                <wp:positionV relativeFrom="paragraph">
                  <wp:posOffset>6985</wp:posOffset>
                </wp:positionV>
                <wp:extent cx="290830" cy="226060"/>
                <wp:effectExtent l="0" t="0" r="13970" b="215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chemeClr val="bg1"/>
                          </a:solidFill>
                          <a:miter lim="800000"/>
                          <a:headEnd/>
                          <a:tailEnd/>
                        </a:ln>
                      </wps:spPr>
                      <wps:txbx>
                        <w:txbxContent>
                          <w:p w14:paraId="27E276D5" w14:textId="77777777" w:rsidR="009C147B" w:rsidRDefault="00E21D39">
                            <w:r w:rsidRPr="00103606">
                              <w:rPr>
                                <w:rFonts w:cs="Arial"/>
                                <w:color w:val="000000"/>
                                <w:sz w:val="22"/>
                                <w:szCs w:val="22"/>
                                <w:lang w:eastAsia="fr-CA"/>
                              </w:rPr>
                              <w:t>«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Zone de texte 2" o:spid="_x0000_s1026" type="#_x0000_t202" style="width:22.9pt;height:17.8pt;margin-top:0.55pt;margin-left:39.75pt;mso-height-percent:0;mso-height-relative:margin;mso-width-percent:0;mso-width-relative:margin;mso-wrap-distance-bottom:3.6pt;mso-wrap-distance-left:9pt;mso-wrap-distance-right:9pt;mso-wrap-distance-top:3.6pt;mso-wrap-style:square;position:absolute;visibility:visible;v-text-anchor:top;z-index:-251655168" strokecolor="white">
                <v:textbox>
                  <w:txbxContent>
                    <w:p w:rsidR="009C147B" w14:paraId="6124C696" w14:textId="69F4B1F3">
                      <w:r w:rsidRPr="00103606">
                        <w:rPr>
                          <w:rFonts w:cs="Arial"/>
                          <w:color w:val="000000"/>
                          <w:sz w:val="22"/>
                          <w:szCs w:val="22"/>
                          <w:lang w:eastAsia="fr-CA"/>
                        </w:rPr>
                        <w:t>« </w:t>
                      </w:r>
                    </w:p>
                  </w:txbxContent>
                </v:textbox>
              </v:shape>
            </w:pict>
          </mc:Fallback>
        </mc:AlternateContent>
      </w:r>
      <w:r w:rsidR="00B37544" w:rsidRPr="00103606">
        <w:rPr>
          <w:rFonts w:cs="Arial"/>
          <w:color w:val="000000"/>
          <w:sz w:val="22"/>
          <w:szCs w:val="22"/>
          <w:lang w:eastAsia="fr-CA"/>
        </w:rPr>
        <w:t>Quant à l’apparence de droit, le requérant n’a qu’un fardeau de démonstration et non de preuve. Il doit démontrer l’existence d’une « apparence sérieuse de droit », d’une « cause défendable »;</w:t>
      </w:r>
    </w:p>
    <w:p w14:paraId="0D375D4A" w14:textId="77777777" w:rsidR="00D65DA7" w:rsidRPr="00103606" w:rsidRDefault="00E21D39" w:rsidP="00573001">
      <w:pPr>
        <w:pStyle w:val="Paragrdouble"/>
        <w:numPr>
          <w:ilvl w:val="0"/>
          <w:numId w:val="16"/>
        </w:numPr>
        <w:spacing w:after="0" w:line="240" w:lineRule="auto"/>
        <w:ind w:right="857"/>
        <w:rPr>
          <w:rFonts w:cs="Arial"/>
          <w:color w:val="000000"/>
          <w:sz w:val="22"/>
          <w:szCs w:val="22"/>
          <w:lang w:eastAsia="fr-CA"/>
        </w:rPr>
      </w:pPr>
      <w:r w:rsidRPr="00103606">
        <w:rPr>
          <w:rFonts w:cs="Arial"/>
          <w:color w:val="000000"/>
          <w:sz w:val="22"/>
          <w:szCs w:val="22"/>
          <w:lang w:eastAsia="fr-CA"/>
        </w:rPr>
        <w:t>Les faits qui ne sont pas à la connaissance personnelle du demandeur n’ont pas à être appuyés d’une « certaine preuve » si les allégations qui les décrivent ne sont pas vagues et imprécises. La Cour d’appel explique que la jurisprudence québécoise (dont la sienne) avait mal lu et interprété la jurisprudence de la Cour suprême du Canada. Le test de l’apparence de droit est donc le suivant : si les faits allégués sont suffisamment clairs, précis et spécifiques, la partie en demande est dispensée de fournir une « certaine preuve » au soutien de ce qu’elle allègue;</w:t>
      </w:r>
    </w:p>
    <w:p w14:paraId="20028F9D" w14:textId="77777777" w:rsidR="00D65DA7" w:rsidRPr="00103606" w:rsidRDefault="00E21D39" w:rsidP="00573001">
      <w:pPr>
        <w:pStyle w:val="Paragrdouble"/>
        <w:numPr>
          <w:ilvl w:val="0"/>
          <w:numId w:val="16"/>
        </w:numPr>
        <w:spacing w:after="0" w:line="240" w:lineRule="auto"/>
        <w:ind w:right="857"/>
        <w:rPr>
          <w:rFonts w:cs="Arial"/>
          <w:color w:val="000000"/>
          <w:sz w:val="22"/>
          <w:szCs w:val="22"/>
          <w:lang w:eastAsia="fr-CA"/>
        </w:rPr>
      </w:pPr>
      <w:r w:rsidRPr="00103606">
        <w:rPr>
          <w:rFonts w:cs="Arial"/>
          <w:color w:val="000000"/>
          <w:sz w:val="22"/>
          <w:szCs w:val="22"/>
          <w:u w:val="single"/>
          <w:lang w:eastAsia="fr-CA"/>
        </w:rPr>
        <w:t>Le Tribunal ne doit pas, à ce stade, se pencher sur le fond du litige et il doit prendre les faits pour avérés, sauf s’ils apparaissent invraisemblables ou manifestement inexacts</w:t>
      </w:r>
      <w:r w:rsidRPr="00103606">
        <w:rPr>
          <w:rFonts w:cs="Arial"/>
          <w:color w:val="000000"/>
          <w:sz w:val="22"/>
          <w:szCs w:val="22"/>
          <w:lang w:eastAsia="fr-CA"/>
        </w:rPr>
        <w:t xml:space="preserve">. </w:t>
      </w:r>
      <w:r w:rsidRPr="00103606">
        <w:rPr>
          <w:rFonts w:cs="Arial"/>
          <w:color w:val="000000"/>
          <w:sz w:val="22"/>
          <w:szCs w:val="22"/>
          <w:u w:val="single"/>
          <w:lang w:eastAsia="fr-CA"/>
        </w:rPr>
        <w:t>Le Tribunal doit prêter une attention particulière, non seulement aux faits allégués, mais aussi aux inférences ou présomptions de fait ou de droit qui sont susceptibles d’en découler et qui peuvent servir à établir l’existence d’une « cause défendable »;</w:t>
      </w:r>
    </w:p>
    <w:p w14:paraId="1D4C4890" w14:textId="77777777" w:rsidR="00D65DA7" w:rsidRPr="00103606" w:rsidRDefault="00E21D39" w:rsidP="00573001">
      <w:pPr>
        <w:pStyle w:val="Paragrdouble"/>
        <w:numPr>
          <w:ilvl w:val="0"/>
          <w:numId w:val="16"/>
        </w:numPr>
        <w:spacing w:after="0" w:line="240" w:lineRule="auto"/>
        <w:ind w:right="857"/>
        <w:rPr>
          <w:rFonts w:cs="Arial"/>
          <w:color w:val="000000"/>
          <w:sz w:val="22"/>
          <w:szCs w:val="22"/>
          <w:lang w:eastAsia="fr-CA"/>
        </w:rPr>
      </w:pPr>
      <w:r w:rsidRPr="00103606">
        <w:rPr>
          <w:rFonts w:cs="Arial"/>
          <w:color w:val="000000"/>
          <w:sz w:val="22"/>
          <w:szCs w:val="22"/>
          <w:lang w:eastAsia="fr-CA"/>
        </w:rPr>
        <w:t>Il faut garder à l’esprit qu’</w:t>
      </w:r>
      <w:r w:rsidRPr="00103606">
        <w:rPr>
          <w:rFonts w:cs="Arial"/>
          <w:color w:val="000000"/>
          <w:sz w:val="22"/>
          <w:szCs w:val="22"/>
          <w:u w:val="single"/>
          <w:lang w:eastAsia="fr-CA"/>
        </w:rPr>
        <w:t>avant le jugement d’autorisation, le recours n’existe pas sur une base collective. C’est donc à la lumière du recours individuel de la personne demanderesse qu’il sera déterminé si les conditions de l’article 575 C</w:t>
      </w:r>
      <w:r w:rsidR="002D016E">
        <w:rPr>
          <w:rFonts w:cs="Arial"/>
          <w:color w:val="000000"/>
          <w:sz w:val="22"/>
          <w:szCs w:val="22"/>
          <w:u w:val="single"/>
          <w:lang w:eastAsia="fr-CA"/>
        </w:rPr>
        <w:t>.</w:t>
      </w:r>
      <w:r w:rsidRPr="00103606">
        <w:rPr>
          <w:rFonts w:cs="Arial"/>
          <w:color w:val="000000"/>
          <w:sz w:val="22"/>
          <w:szCs w:val="22"/>
          <w:u w:val="single"/>
          <w:lang w:eastAsia="fr-CA"/>
        </w:rPr>
        <w:t>p</w:t>
      </w:r>
      <w:r w:rsidR="002D016E">
        <w:rPr>
          <w:rFonts w:cs="Arial"/>
          <w:color w:val="000000"/>
          <w:sz w:val="22"/>
          <w:szCs w:val="22"/>
          <w:u w:val="single"/>
          <w:lang w:eastAsia="fr-CA"/>
        </w:rPr>
        <w:t>.</w:t>
      </w:r>
      <w:r w:rsidRPr="00103606">
        <w:rPr>
          <w:rFonts w:cs="Arial"/>
          <w:color w:val="000000"/>
          <w:sz w:val="22"/>
          <w:szCs w:val="22"/>
          <w:u w:val="single"/>
          <w:lang w:eastAsia="fr-CA"/>
        </w:rPr>
        <w:t>c</w:t>
      </w:r>
      <w:r w:rsidR="002D016E">
        <w:rPr>
          <w:rFonts w:cs="Arial"/>
          <w:color w:val="000000"/>
          <w:sz w:val="22"/>
          <w:szCs w:val="22"/>
          <w:u w:val="single"/>
          <w:lang w:eastAsia="fr-CA"/>
        </w:rPr>
        <w:t>.</w:t>
      </w:r>
      <w:r w:rsidRPr="00103606">
        <w:rPr>
          <w:rFonts w:cs="Arial"/>
          <w:color w:val="000000"/>
          <w:sz w:val="22"/>
          <w:szCs w:val="22"/>
          <w:u w:val="single"/>
          <w:lang w:eastAsia="fr-CA"/>
        </w:rPr>
        <w:t xml:space="preserve"> sont remplies.</w:t>
      </w:r>
      <w:r w:rsidR="006B6B4E" w:rsidRPr="00103606">
        <w:rPr>
          <w:rFonts w:cs="Arial"/>
          <w:color w:val="000000"/>
          <w:sz w:val="22"/>
          <w:szCs w:val="22"/>
          <w:u w:val="single"/>
          <w:lang w:eastAsia="fr-CA"/>
        </w:rPr>
        <w:t> »</w:t>
      </w:r>
    </w:p>
    <w:p w14:paraId="12887D94" w14:textId="77777777" w:rsidR="00482CCA" w:rsidRPr="00573001" w:rsidRDefault="00E21D39" w:rsidP="00672075">
      <w:pPr>
        <w:pStyle w:val="Paragrdouble"/>
        <w:numPr>
          <w:ilvl w:val="0"/>
          <w:numId w:val="0"/>
        </w:numPr>
        <w:spacing w:line="276" w:lineRule="auto"/>
        <w:ind w:left="1451" w:right="857"/>
        <w:jc w:val="right"/>
        <w:rPr>
          <w:rFonts w:cs="Arial"/>
          <w:color w:val="000000"/>
          <w:sz w:val="20"/>
          <w:lang w:eastAsia="fr-CA"/>
        </w:rPr>
      </w:pPr>
      <w:r w:rsidRPr="00573001">
        <w:rPr>
          <w:rFonts w:ascii="Symbol" w:hAnsi="Symbol" w:cs="Arial"/>
          <w:color w:val="000000"/>
          <w:sz w:val="22"/>
          <w:szCs w:val="22"/>
          <w:lang w:eastAsia="fr-CA"/>
        </w:rPr>
        <w:sym w:font="Symbol" w:char="F05B"/>
      </w:r>
      <w:r w:rsidR="00767A8F">
        <w:rPr>
          <w:rFonts w:cs="Arial"/>
          <w:color w:val="000000"/>
          <w:sz w:val="22"/>
          <w:szCs w:val="22"/>
          <w:lang w:eastAsia="fr-CA"/>
        </w:rPr>
        <w:t> </w:t>
      </w:r>
      <w:r w:rsidR="00883452">
        <w:rPr>
          <w:rFonts w:cs="Arial"/>
          <w:color w:val="000000"/>
          <w:sz w:val="22"/>
          <w:szCs w:val="22"/>
          <w:lang w:eastAsia="fr-CA"/>
        </w:rPr>
        <w:t>R</w:t>
      </w:r>
      <w:r w:rsidR="00883452" w:rsidRPr="00B221CF">
        <w:rPr>
          <w:rFonts w:cs="Arial"/>
          <w:color w:val="000000"/>
          <w:sz w:val="22"/>
          <w:szCs w:val="22"/>
          <w:lang w:eastAsia="fr-CA"/>
        </w:rPr>
        <w:t>éférences omises</w:t>
      </w:r>
      <w:r w:rsidR="00883452">
        <w:rPr>
          <w:rFonts w:cs="Arial"/>
          <w:color w:val="000000"/>
          <w:sz w:val="22"/>
          <w:szCs w:val="22"/>
          <w:lang w:eastAsia="fr-CA"/>
        </w:rPr>
        <w:t>; Nos</w:t>
      </w:r>
      <w:r w:rsidRPr="00573001">
        <w:rPr>
          <w:rFonts w:cs="Arial"/>
          <w:color w:val="000000"/>
          <w:sz w:val="22"/>
          <w:szCs w:val="22"/>
          <w:lang w:eastAsia="fr-CA"/>
        </w:rPr>
        <w:t xml:space="preserve"> soulignements</w:t>
      </w:r>
      <w:r w:rsidR="00767A8F">
        <w:rPr>
          <w:rFonts w:cs="Arial"/>
          <w:color w:val="000000"/>
          <w:sz w:val="22"/>
          <w:szCs w:val="22"/>
          <w:lang w:eastAsia="fr-CA"/>
        </w:rPr>
        <w:t> </w:t>
      </w:r>
      <w:r w:rsidRPr="00573001">
        <w:rPr>
          <w:rFonts w:ascii="Symbol" w:hAnsi="Symbol" w:cs="Arial"/>
          <w:color w:val="000000"/>
          <w:sz w:val="22"/>
          <w:szCs w:val="22"/>
          <w:lang w:eastAsia="fr-CA"/>
        </w:rPr>
        <w:sym w:font="Symbol" w:char="F05D"/>
      </w:r>
    </w:p>
    <w:p w14:paraId="19465243" w14:textId="77777777" w:rsidR="006B6B4E" w:rsidRPr="00103606" w:rsidRDefault="00E21D39" w:rsidP="001E16D8">
      <w:pPr>
        <w:pStyle w:val="Paragrdouble"/>
        <w:spacing w:line="276" w:lineRule="auto"/>
        <w:rPr>
          <w:rFonts w:cs="Arial"/>
        </w:rPr>
      </w:pPr>
      <w:r>
        <w:rPr>
          <w:rFonts w:cs="Arial"/>
          <w:color w:val="000000"/>
          <w:szCs w:val="24"/>
          <w:lang w:eastAsia="fr-CA"/>
        </w:rPr>
        <w:t>Le défendeur Miller prétend</w:t>
      </w:r>
      <w:r w:rsidR="00971B2E" w:rsidRPr="00103606">
        <w:rPr>
          <w:rFonts w:cs="Arial"/>
          <w:color w:val="000000"/>
          <w:szCs w:val="24"/>
          <w:lang w:eastAsia="fr-CA"/>
        </w:rPr>
        <w:t xml:space="preserve"> que </w:t>
      </w:r>
      <w:r w:rsidR="008A5D57" w:rsidRPr="00103606">
        <w:rPr>
          <w:rFonts w:cs="Arial"/>
          <w:color w:val="000000"/>
          <w:szCs w:val="24"/>
          <w:lang w:eastAsia="fr-CA"/>
        </w:rPr>
        <w:t>la Déclaration du 19 septembre 2008</w:t>
      </w:r>
      <w:r w:rsidR="00971B2E" w:rsidRPr="00103606">
        <w:rPr>
          <w:rFonts w:cs="Arial"/>
          <w:color w:val="000000"/>
          <w:szCs w:val="24"/>
          <w:lang w:eastAsia="fr-CA"/>
        </w:rPr>
        <w:t xml:space="preserve"> doit être admise en preuve puisqu’elle permet de démontrer la fausseté et l’absence de plausibilité des faits allégués par V.R. à la Demande d’autorisation. Les </w:t>
      </w:r>
      <w:r w:rsidR="008A5D57" w:rsidRPr="00103606">
        <w:rPr>
          <w:rFonts w:cs="Arial"/>
          <w:color w:val="000000"/>
          <w:szCs w:val="24"/>
          <w:lang w:eastAsia="fr-CA"/>
        </w:rPr>
        <w:t>co</w:t>
      </w:r>
      <w:r w:rsidR="00971B2E" w:rsidRPr="00103606">
        <w:rPr>
          <w:rFonts w:cs="Arial"/>
          <w:color w:val="000000"/>
          <w:szCs w:val="24"/>
          <w:lang w:eastAsia="fr-CA"/>
        </w:rPr>
        <w:t>demanderesses s’opposent à ladite demande, pour des raisons évidentes</w:t>
      </w:r>
      <w:r w:rsidR="00604906" w:rsidRPr="00103606">
        <w:rPr>
          <w:rFonts w:cs="Arial"/>
        </w:rPr>
        <w:t>, en outre</w:t>
      </w:r>
      <w:r w:rsidR="00784924" w:rsidRPr="00103606">
        <w:rPr>
          <w:rFonts w:cs="Arial"/>
        </w:rPr>
        <w:t>,</w:t>
      </w:r>
      <w:r w:rsidR="00604906" w:rsidRPr="00103606">
        <w:rPr>
          <w:rFonts w:cs="Arial"/>
        </w:rPr>
        <w:t xml:space="preserve"> parce que la déclaration </w:t>
      </w:r>
      <w:r w:rsidR="008A5D57" w:rsidRPr="00103606">
        <w:rPr>
          <w:rFonts w:cs="Arial"/>
        </w:rPr>
        <w:t>ne serait</w:t>
      </w:r>
      <w:r w:rsidR="00604906" w:rsidRPr="00103606">
        <w:rPr>
          <w:rFonts w:cs="Arial"/>
        </w:rPr>
        <w:t xml:space="preserve"> ni crédible ni fiable</w:t>
      </w:r>
      <w:r w:rsidR="008A5D57" w:rsidRPr="00103606">
        <w:rPr>
          <w:rFonts w:cs="Arial"/>
        </w:rPr>
        <w:t>, la déclaration ayant été prise à un moment où V.R. ne souhaitait pas collaborer en partageant son expérience et en dénonçant les faits</w:t>
      </w:r>
      <w:r w:rsidR="00604906" w:rsidRPr="00103606">
        <w:rPr>
          <w:rFonts w:cs="Arial"/>
        </w:rPr>
        <w:t>.</w:t>
      </w:r>
    </w:p>
    <w:p w14:paraId="39CE905C" w14:textId="77777777" w:rsidR="00811274" w:rsidRDefault="00E21D39" w:rsidP="00482CCA">
      <w:pPr>
        <w:pStyle w:val="Paragrdouble"/>
        <w:spacing w:line="276" w:lineRule="auto"/>
        <w:rPr>
          <w:rFonts w:cs="Arial"/>
          <w:color w:val="000000"/>
          <w:szCs w:val="24"/>
          <w:lang w:eastAsia="fr-CA"/>
        </w:rPr>
      </w:pPr>
      <w:r w:rsidRPr="00103606">
        <w:rPr>
          <w:rFonts w:cs="Arial"/>
          <w:color w:val="000000"/>
          <w:szCs w:val="24"/>
          <w:lang w:eastAsia="fr-CA"/>
        </w:rPr>
        <w:t xml:space="preserve">Cette preuve n’est pas </w:t>
      </w:r>
      <w:r w:rsidR="008A5D57" w:rsidRPr="00103606">
        <w:rPr>
          <w:rFonts w:cs="Arial"/>
          <w:color w:val="000000"/>
          <w:szCs w:val="24"/>
          <w:lang w:eastAsia="fr-CA"/>
        </w:rPr>
        <w:t>autorisée</w:t>
      </w:r>
      <w:r w:rsidRPr="00103606">
        <w:rPr>
          <w:rFonts w:cs="Arial"/>
          <w:color w:val="000000"/>
          <w:szCs w:val="24"/>
          <w:lang w:eastAsia="fr-CA"/>
        </w:rPr>
        <w:t xml:space="preserve">, pour les raisons qui suivent. </w:t>
      </w:r>
    </w:p>
    <w:p w14:paraId="4484DFDB" w14:textId="77777777" w:rsidR="006B6B4E" w:rsidRPr="00103606" w:rsidRDefault="00E21D39" w:rsidP="00482CCA">
      <w:pPr>
        <w:pStyle w:val="Paragrdouble"/>
        <w:spacing w:line="276" w:lineRule="auto"/>
        <w:rPr>
          <w:rFonts w:cs="Arial"/>
          <w:color w:val="000000"/>
          <w:szCs w:val="24"/>
          <w:lang w:eastAsia="fr-CA"/>
        </w:rPr>
      </w:pPr>
      <w:r w:rsidRPr="00103606">
        <w:rPr>
          <w:rFonts w:cs="Arial"/>
          <w:color w:val="000000"/>
          <w:szCs w:val="24"/>
          <w:lang w:eastAsia="fr-CA"/>
        </w:rPr>
        <w:t xml:space="preserve">D’abord, </w:t>
      </w:r>
      <w:r w:rsidR="001E16D8" w:rsidRPr="00103606">
        <w:rPr>
          <w:rFonts w:cs="Arial"/>
          <w:color w:val="000000"/>
          <w:szCs w:val="24"/>
          <w:lang w:eastAsia="fr-CA"/>
        </w:rPr>
        <w:t>bien qu’elle puisse être</w:t>
      </w:r>
      <w:r w:rsidRPr="00103606">
        <w:rPr>
          <w:rFonts w:cs="Arial"/>
          <w:color w:val="000000"/>
          <w:szCs w:val="24"/>
          <w:lang w:eastAsia="fr-CA"/>
        </w:rPr>
        <w:t xml:space="preserve"> pertinente aux fins de détermination de la cause d’action de V.R. et des critères de l’article 575 C.p.c., </w:t>
      </w:r>
      <w:r w:rsidR="008A5D57" w:rsidRPr="00103606">
        <w:rPr>
          <w:rFonts w:cs="Arial"/>
          <w:color w:val="000000"/>
          <w:szCs w:val="24"/>
          <w:lang w:eastAsia="fr-CA"/>
        </w:rPr>
        <w:t xml:space="preserve">le défendeur Miller </w:t>
      </w:r>
      <w:r w:rsidRPr="00103606">
        <w:rPr>
          <w:rFonts w:cs="Arial"/>
          <w:color w:val="000000"/>
          <w:szCs w:val="24"/>
          <w:lang w:eastAsia="fr-CA"/>
        </w:rPr>
        <w:t xml:space="preserve">ne peut mettre en preuve des éléments qui relèvent de la nature d’un moyen de défense au mérite. </w:t>
      </w:r>
      <w:r w:rsidR="008A5D57" w:rsidRPr="00103606">
        <w:rPr>
          <w:rFonts w:cs="Arial"/>
          <w:color w:val="000000"/>
          <w:szCs w:val="24"/>
          <w:lang w:eastAsia="fr-CA"/>
        </w:rPr>
        <w:t>La</w:t>
      </w:r>
      <w:r w:rsidRPr="00103606">
        <w:rPr>
          <w:rFonts w:cs="Arial"/>
          <w:color w:val="000000"/>
          <w:szCs w:val="24"/>
          <w:lang w:eastAsia="fr-CA"/>
        </w:rPr>
        <w:t xml:space="preserve"> preuve appropriée ne doit pas avoir pour effet de forcer la tenue d’un débat contradictoire sur une question de fond ou, </w:t>
      </w:r>
      <w:r w:rsidR="002D016E">
        <w:rPr>
          <w:rFonts w:cs="Arial"/>
          <w:color w:val="000000"/>
          <w:szCs w:val="24"/>
          <w:lang w:eastAsia="fr-CA"/>
        </w:rPr>
        <w:t>autrement dit</w:t>
      </w:r>
      <w:r w:rsidRPr="00103606">
        <w:rPr>
          <w:rFonts w:cs="Arial"/>
          <w:color w:val="000000"/>
          <w:szCs w:val="24"/>
          <w:lang w:eastAsia="fr-CA"/>
        </w:rPr>
        <w:t>, entraîner la tenue d’un procès avant le procès</w:t>
      </w:r>
      <w:r>
        <w:rPr>
          <w:rStyle w:val="Appelnotedebasdep"/>
          <w:rFonts w:cs="Arial"/>
          <w:color w:val="000000"/>
          <w:szCs w:val="24"/>
          <w:lang w:eastAsia="fr-CA"/>
        </w:rPr>
        <w:footnoteReference w:id="23"/>
      </w:r>
      <w:r w:rsidRPr="00103606">
        <w:rPr>
          <w:rFonts w:cs="Arial"/>
          <w:color w:val="000000"/>
          <w:szCs w:val="24"/>
          <w:lang w:eastAsia="fr-CA"/>
        </w:rPr>
        <w:t>.</w:t>
      </w:r>
    </w:p>
    <w:p w14:paraId="388CA482" w14:textId="77777777" w:rsidR="00604906" w:rsidRPr="00103606" w:rsidRDefault="00E21D39" w:rsidP="00604906">
      <w:pPr>
        <w:pStyle w:val="Paragrdouble"/>
        <w:spacing w:line="276" w:lineRule="auto"/>
        <w:rPr>
          <w:rFonts w:cs="Arial"/>
        </w:rPr>
      </w:pPr>
      <w:r w:rsidRPr="00103606">
        <w:rPr>
          <w:rFonts w:cs="Arial"/>
          <w:color w:val="000000"/>
          <w:szCs w:val="24"/>
          <w:lang w:eastAsia="fr-CA"/>
        </w:rPr>
        <w:t xml:space="preserve">Or, c’est bien ce que cette déclaration </w:t>
      </w:r>
      <w:r w:rsidR="001E16D8" w:rsidRPr="00103606">
        <w:rPr>
          <w:rFonts w:cs="Arial"/>
          <w:color w:val="000000"/>
          <w:szCs w:val="24"/>
          <w:lang w:eastAsia="fr-CA"/>
        </w:rPr>
        <w:t>contribue à faire</w:t>
      </w:r>
      <w:r w:rsidRPr="00103606">
        <w:rPr>
          <w:rFonts w:cs="Arial"/>
          <w:color w:val="000000"/>
          <w:szCs w:val="24"/>
          <w:lang w:eastAsia="fr-CA"/>
        </w:rPr>
        <w:t xml:space="preserve">, puisque, comme le révèle d’ailleurs le plan d’argumentation du défendeur Miller, </w:t>
      </w:r>
      <w:r w:rsidR="001E16D8" w:rsidRPr="00103606">
        <w:rPr>
          <w:rFonts w:cs="Arial"/>
          <w:color w:val="000000"/>
          <w:szCs w:val="24"/>
          <w:lang w:eastAsia="fr-CA"/>
        </w:rPr>
        <w:t>elle</w:t>
      </w:r>
      <w:r w:rsidRPr="00103606">
        <w:rPr>
          <w:rFonts w:cs="Arial"/>
          <w:color w:val="000000"/>
          <w:szCs w:val="24"/>
          <w:lang w:eastAsia="fr-CA"/>
        </w:rPr>
        <w:t xml:space="preserve"> viendrait contredire, à six égards, les allégations de V.R. à la </w:t>
      </w:r>
      <w:r w:rsidR="00B80370">
        <w:rPr>
          <w:rFonts w:cs="Arial"/>
          <w:color w:val="000000"/>
          <w:szCs w:val="24"/>
          <w:lang w:eastAsia="fr-CA"/>
        </w:rPr>
        <w:t>Sixième</w:t>
      </w:r>
      <w:r w:rsidR="00B80370" w:rsidRPr="00103606">
        <w:rPr>
          <w:rFonts w:cs="Arial"/>
          <w:color w:val="000000"/>
          <w:szCs w:val="24"/>
          <w:lang w:eastAsia="fr-CA"/>
        </w:rPr>
        <w:t xml:space="preserve"> </w:t>
      </w:r>
      <w:r w:rsidRPr="00103606">
        <w:rPr>
          <w:rFonts w:cs="Arial"/>
          <w:color w:val="000000"/>
          <w:szCs w:val="24"/>
          <w:lang w:eastAsia="fr-CA"/>
        </w:rPr>
        <w:t xml:space="preserve">Demande (voir par. 19 du Plan). </w:t>
      </w:r>
      <w:r w:rsidR="00E864E6">
        <w:rPr>
          <w:rFonts w:cs="Arial"/>
          <w:color w:val="000000"/>
          <w:szCs w:val="24"/>
          <w:lang w:eastAsia="fr-CA"/>
        </w:rPr>
        <w:br/>
      </w:r>
      <w:r w:rsidRPr="00103606">
        <w:rPr>
          <w:rFonts w:cs="Arial"/>
          <w:color w:val="000000"/>
          <w:szCs w:val="24"/>
          <w:lang w:eastAsia="fr-CA"/>
        </w:rPr>
        <w:t xml:space="preserve">Cette déclaration </w:t>
      </w:r>
      <w:r w:rsidR="003B5ED3">
        <w:rPr>
          <w:rFonts w:cs="Arial"/>
          <w:color w:val="000000"/>
          <w:szCs w:val="24"/>
          <w:lang w:eastAsia="fr-CA"/>
        </w:rPr>
        <w:t>atteste</w:t>
      </w:r>
      <w:r w:rsidR="001E16D8" w:rsidRPr="00103606">
        <w:rPr>
          <w:rFonts w:cs="Arial"/>
          <w:color w:val="000000"/>
          <w:szCs w:val="24"/>
          <w:lang w:eastAsia="fr-CA"/>
        </w:rPr>
        <w:t xml:space="preserve"> que V.R.</w:t>
      </w:r>
      <w:r w:rsidRPr="00103606">
        <w:rPr>
          <w:rFonts w:cs="Arial"/>
        </w:rPr>
        <w:t xml:space="preserve"> n</w:t>
      </w:r>
      <w:r w:rsidR="00883452">
        <w:rPr>
          <w:rFonts w:cs="Arial"/>
        </w:rPr>
        <w:t>’</w:t>
      </w:r>
      <w:r w:rsidRPr="00103606">
        <w:rPr>
          <w:rFonts w:cs="Arial"/>
        </w:rPr>
        <w:t xml:space="preserve">aurait jamais rencontré </w:t>
      </w:r>
      <w:r w:rsidR="00053325">
        <w:rPr>
          <w:rFonts w:cs="Arial"/>
        </w:rPr>
        <w:br/>
      </w:r>
      <w:r w:rsidRPr="00103606">
        <w:rPr>
          <w:rFonts w:cs="Arial"/>
        </w:rPr>
        <w:t>le défendeur Miller, n</w:t>
      </w:r>
      <w:r w:rsidR="00883452">
        <w:rPr>
          <w:rFonts w:cs="Arial"/>
        </w:rPr>
        <w:t>’</w:t>
      </w:r>
      <w:r w:rsidRPr="00103606">
        <w:rPr>
          <w:rFonts w:cs="Arial"/>
        </w:rPr>
        <w:t xml:space="preserve">aurait jamais eu de relation sexuelle avec lui ou été rémunérée pour </w:t>
      </w:r>
      <w:r w:rsidR="003B5ED3">
        <w:rPr>
          <w:rFonts w:cs="Arial"/>
        </w:rPr>
        <w:t>de tels rapports</w:t>
      </w:r>
      <w:r w:rsidR="0070057D">
        <w:rPr>
          <w:rFonts w:cs="Arial"/>
        </w:rPr>
        <w:t>,</w:t>
      </w:r>
      <w:r w:rsidRPr="00103606">
        <w:rPr>
          <w:rFonts w:cs="Arial"/>
        </w:rPr>
        <w:t xml:space="preserve"> ne connaitrait pas l</w:t>
      </w:r>
      <w:r w:rsidR="00883452">
        <w:rPr>
          <w:rFonts w:cs="Arial"/>
        </w:rPr>
        <w:t>’</w:t>
      </w:r>
      <w:r w:rsidRPr="00103606">
        <w:rPr>
          <w:rFonts w:cs="Arial"/>
        </w:rPr>
        <w:t xml:space="preserve">hôtel Reine </w:t>
      </w:r>
      <w:r w:rsidR="00800CDC">
        <w:rPr>
          <w:rFonts w:cs="Arial"/>
        </w:rPr>
        <w:t>É</w:t>
      </w:r>
      <w:r w:rsidRPr="00103606">
        <w:rPr>
          <w:rFonts w:cs="Arial"/>
        </w:rPr>
        <w:t xml:space="preserve">lizabeth </w:t>
      </w:r>
      <w:r w:rsidR="009C147B">
        <w:rPr>
          <w:rFonts w:cs="Arial"/>
        </w:rPr>
        <w:t>ni</w:t>
      </w:r>
      <w:r w:rsidRPr="00103606">
        <w:rPr>
          <w:rFonts w:cs="Arial"/>
        </w:rPr>
        <w:t xml:space="preserve"> le défendeur Abrams, faits qui </w:t>
      </w:r>
      <w:r w:rsidR="002E5D4E" w:rsidRPr="00103606">
        <w:rPr>
          <w:rFonts w:cs="Arial"/>
        </w:rPr>
        <w:t xml:space="preserve">apparaissent </w:t>
      </w:r>
      <w:r w:rsidRPr="00103606">
        <w:rPr>
          <w:rFonts w:cs="Arial"/>
        </w:rPr>
        <w:t>contra</w:t>
      </w:r>
      <w:r w:rsidR="00FF1735">
        <w:rPr>
          <w:rFonts w:cs="Arial"/>
        </w:rPr>
        <w:t>ires</w:t>
      </w:r>
      <w:r w:rsidRPr="00103606">
        <w:rPr>
          <w:rFonts w:cs="Arial"/>
        </w:rPr>
        <w:t xml:space="preserve"> à ceux invoqués à la demande d</w:t>
      </w:r>
      <w:r w:rsidR="00883452">
        <w:rPr>
          <w:rFonts w:cs="Arial"/>
        </w:rPr>
        <w:t>’</w:t>
      </w:r>
      <w:r w:rsidRPr="00103606">
        <w:rPr>
          <w:rFonts w:cs="Arial"/>
        </w:rPr>
        <w:t>autorisation.</w:t>
      </w:r>
    </w:p>
    <w:p w14:paraId="068FE1CD" w14:textId="77777777" w:rsidR="00482CCA" w:rsidRPr="00103606" w:rsidRDefault="00E21D39" w:rsidP="00482CCA">
      <w:pPr>
        <w:pStyle w:val="Paragrdouble"/>
        <w:spacing w:line="276" w:lineRule="auto"/>
        <w:rPr>
          <w:rFonts w:cs="Arial"/>
          <w:color w:val="000000"/>
          <w:szCs w:val="24"/>
          <w:lang w:eastAsia="fr-CA"/>
        </w:rPr>
      </w:pPr>
      <w:r w:rsidRPr="00103606">
        <w:rPr>
          <w:rFonts w:cs="Arial"/>
          <w:color w:val="000000"/>
          <w:szCs w:val="24"/>
          <w:lang w:eastAsia="fr-CA"/>
        </w:rPr>
        <w:t>Or, j</w:t>
      </w:r>
      <w:r w:rsidR="001E16D8" w:rsidRPr="00103606">
        <w:rPr>
          <w:rFonts w:cs="Arial"/>
          <w:color w:val="000000"/>
          <w:szCs w:val="24"/>
          <w:lang w:eastAsia="fr-CA"/>
        </w:rPr>
        <w:t>e rappelle qu’i</w:t>
      </w:r>
      <w:r w:rsidRPr="00103606">
        <w:rPr>
          <w:rFonts w:cs="Arial"/>
          <w:color w:val="000000"/>
          <w:szCs w:val="24"/>
          <w:lang w:eastAsia="fr-CA"/>
        </w:rPr>
        <w:t xml:space="preserve">l ne s’agit pas ici de tenir un débat contradictoire. </w:t>
      </w:r>
    </w:p>
    <w:p w14:paraId="58D62F64" w14:textId="77777777" w:rsidR="002E5D4E" w:rsidRPr="00103606" w:rsidRDefault="00E21D39" w:rsidP="00482CCA">
      <w:pPr>
        <w:pStyle w:val="Paragrdouble"/>
        <w:spacing w:line="276" w:lineRule="auto"/>
        <w:rPr>
          <w:rFonts w:cs="Arial"/>
        </w:rPr>
      </w:pPr>
      <w:r w:rsidRPr="00103606">
        <w:rPr>
          <w:rFonts w:cs="Arial"/>
        </w:rPr>
        <w:t>La Cour d</w:t>
      </w:r>
      <w:r w:rsidR="00883452">
        <w:rPr>
          <w:rFonts w:cs="Arial"/>
        </w:rPr>
        <w:t>’</w:t>
      </w:r>
      <w:r w:rsidRPr="00103606">
        <w:rPr>
          <w:rFonts w:cs="Arial"/>
        </w:rPr>
        <w:t xml:space="preserve">appel dans </w:t>
      </w:r>
      <w:bookmarkStart w:id="20" w:name="_Hlk186727061"/>
      <w:r w:rsidRPr="00103606">
        <w:rPr>
          <w:rFonts w:cs="Arial"/>
          <w:i/>
          <w:iCs/>
        </w:rPr>
        <w:t>Asselin</w:t>
      </w:r>
      <w:bookmarkEnd w:id="20"/>
      <w:r>
        <w:rPr>
          <w:rStyle w:val="Appelnotedebasdep"/>
          <w:rFonts w:cs="Arial"/>
          <w:i/>
          <w:iCs/>
        </w:rPr>
        <w:footnoteReference w:id="24"/>
      </w:r>
      <w:r w:rsidRPr="00103606">
        <w:rPr>
          <w:rFonts w:cs="Arial"/>
        </w:rPr>
        <w:t>, a d’ailleurs statué que l</w:t>
      </w:r>
      <w:r w:rsidR="00883452">
        <w:rPr>
          <w:rFonts w:cs="Arial"/>
        </w:rPr>
        <w:t>’</w:t>
      </w:r>
      <w:r w:rsidRPr="00103606">
        <w:rPr>
          <w:rFonts w:cs="Arial"/>
        </w:rPr>
        <w:t>admission de preuve appropriée doit être faite avec modération et être réservée à l</w:t>
      </w:r>
      <w:r w:rsidR="00883452">
        <w:rPr>
          <w:rFonts w:cs="Arial"/>
        </w:rPr>
        <w:t>’</w:t>
      </w:r>
      <w:r w:rsidRPr="00103606">
        <w:rPr>
          <w:rFonts w:cs="Arial"/>
        </w:rPr>
        <w:t>essentiel et l</w:t>
      </w:r>
      <w:r w:rsidR="00883452">
        <w:rPr>
          <w:rFonts w:cs="Arial"/>
        </w:rPr>
        <w:t>’</w:t>
      </w:r>
      <w:r w:rsidRPr="00103606">
        <w:rPr>
          <w:rFonts w:cs="Arial"/>
        </w:rPr>
        <w:t>indispensable; l</w:t>
      </w:r>
      <w:r w:rsidR="00883452">
        <w:rPr>
          <w:rFonts w:cs="Arial"/>
        </w:rPr>
        <w:t>’</w:t>
      </w:r>
      <w:r w:rsidRPr="00103606">
        <w:rPr>
          <w:rFonts w:cs="Arial"/>
        </w:rPr>
        <w:t>essentiel et l</w:t>
      </w:r>
      <w:r w:rsidR="00883452">
        <w:rPr>
          <w:rFonts w:cs="Arial"/>
        </w:rPr>
        <w:t>’</w:t>
      </w:r>
      <w:r w:rsidRPr="00103606">
        <w:rPr>
          <w:rFonts w:cs="Arial"/>
        </w:rPr>
        <w:t>indispensable, du côté de la défense, limite la preuve à ce qui permet d</w:t>
      </w:r>
      <w:r w:rsidR="00883452">
        <w:rPr>
          <w:rFonts w:cs="Arial"/>
        </w:rPr>
        <w:t>’</w:t>
      </w:r>
      <w:r w:rsidRPr="00103606">
        <w:rPr>
          <w:rFonts w:cs="Arial"/>
        </w:rPr>
        <w:t>établir sans conteste l</w:t>
      </w:r>
      <w:r w:rsidR="00883452">
        <w:rPr>
          <w:rFonts w:cs="Arial"/>
        </w:rPr>
        <w:t>’</w:t>
      </w:r>
      <w:r w:rsidRPr="00103606">
        <w:rPr>
          <w:rFonts w:cs="Arial"/>
        </w:rPr>
        <w:t xml:space="preserve">invraisemblance ou la fausseté de la demande. </w:t>
      </w:r>
    </w:p>
    <w:p w14:paraId="2BE4F8D4" w14:textId="77777777" w:rsidR="00482CCA" w:rsidRPr="00103606" w:rsidRDefault="00E21D39" w:rsidP="00482CCA">
      <w:pPr>
        <w:pStyle w:val="Paragrdouble"/>
        <w:spacing w:line="276" w:lineRule="auto"/>
        <w:rPr>
          <w:rFonts w:cs="Arial"/>
        </w:rPr>
      </w:pPr>
      <w:r w:rsidRPr="00103606">
        <w:rPr>
          <w:rFonts w:cs="Arial"/>
        </w:rPr>
        <w:t xml:space="preserve">Or, même s’il est difficile d’apprécier la teneur ou </w:t>
      </w:r>
      <w:r w:rsidR="00604906" w:rsidRPr="00103606">
        <w:rPr>
          <w:rFonts w:cs="Arial"/>
        </w:rPr>
        <w:t>le portrait complet d</w:t>
      </w:r>
      <w:r w:rsidRPr="00103606">
        <w:rPr>
          <w:rFonts w:cs="Arial"/>
        </w:rPr>
        <w:t xml:space="preserve">es circonstances de cette déclaration du 19 septembre 2008, en l’espèce, </w:t>
      </w:r>
      <w:r w:rsidR="002E5D4E" w:rsidRPr="00103606">
        <w:rPr>
          <w:rFonts w:cs="Arial"/>
        </w:rPr>
        <w:t>et qu’il n’est pas non plus approprié à ce stade d’en faire l’exercice, je souligne qu’</w:t>
      </w:r>
      <w:r w:rsidRPr="00103606">
        <w:rPr>
          <w:rFonts w:cs="Arial"/>
        </w:rPr>
        <w:t>elle n’établit pas à mon sens « sans conteste » l’invraisemblance ou la fausseté de la demande</w:t>
      </w:r>
      <w:r w:rsidR="002E5D4E" w:rsidRPr="00103606">
        <w:rPr>
          <w:rFonts w:cs="Arial"/>
        </w:rPr>
        <w:t xml:space="preserve">. En effet, </w:t>
      </w:r>
      <w:r w:rsidRPr="00103606">
        <w:rPr>
          <w:rFonts w:cs="Arial"/>
        </w:rPr>
        <w:t xml:space="preserve">la déclarante a pu livrer une version </w:t>
      </w:r>
      <w:r w:rsidR="002E5D4E" w:rsidRPr="00103606">
        <w:rPr>
          <w:rFonts w:cs="Arial"/>
        </w:rPr>
        <w:t>faussée</w:t>
      </w:r>
      <w:r w:rsidR="00604906" w:rsidRPr="00103606">
        <w:rPr>
          <w:rFonts w:cs="Arial"/>
        </w:rPr>
        <w:t xml:space="preserve"> sous l’emprise de la </w:t>
      </w:r>
      <w:r w:rsidR="004F04A3" w:rsidRPr="00103606">
        <w:rPr>
          <w:rFonts w:cs="Arial"/>
        </w:rPr>
        <w:t>crainte</w:t>
      </w:r>
      <w:r w:rsidR="00604906" w:rsidRPr="00103606">
        <w:rPr>
          <w:rFonts w:cs="Arial"/>
        </w:rPr>
        <w:t xml:space="preserve"> de livrer sa version des faits à un moment </w:t>
      </w:r>
      <w:r w:rsidR="004F04A3" w:rsidRPr="00103606">
        <w:rPr>
          <w:rFonts w:cs="Arial"/>
        </w:rPr>
        <w:t>trop précoce où sa</w:t>
      </w:r>
      <w:r w:rsidR="00604906" w:rsidRPr="00103606">
        <w:rPr>
          <w:rFonts w:cs="Arial"/>
        </w:rPr>
        <w:t xml:space="preserve"> fragil</w:t>
      </w:r>
      <w:r w:rsidR="004F04A3" w:rsidRPr="00103606">
        <w:rPr>
          <w:rFonts w:cs="Arial"/>
        </w:rPr>
        <w:t>ité perdure</w:t>
      </w:r>
      <w:r w:rsidR="00604906" w:rsidRPr="00103606">
        <w:rPr>
          <w:rFonts w:cs="Arial"/>
        </w:rPr>
        <w:t>.</w:t>
      </w:r>
      <w:r w:rsidRPr="00103606">
        <w:rPr>
          <w:rFonts w:cs="Arial"/>
        </w:rPr>
        <w:t xml:space="preserve"> </w:t>
      </w:r>
    </w:p>
    <w:p w14:paraId="0A2AAD44" w14:textId="77777777" w:rsidR="00604906" w:rsidRPr="00103606" w:rsidRDefault="00E21D39" w:rsidP="00604906">
      <w:pPr>
        <w:pStyle w:val="Paragrdouble"/>
        <w:spacing w:line="276" w:lineRule="auto"/>
        <w:rPr>
          <w:rFonts w:cs="Arial"/>
        </w:rPr>
      </w:pPr>
      <w:r w:rsidRPr="00103606">
        <w:rPr>
          <w:rFonts w:cs="Arial"/>
        </w:rPr>
        <w:t xml:space="preserve">Si la preuve déposée est </w:t>
      </w:r>
      <w:r w:rsidR="001A678D" w:rsidRPr="00103606">
        <w:rPr>
          <w:rFonts w:cs="Arial"/>
        </w:rPr>
        <w:t xml:space="preserve">contradictoire et </w:t>
      </w:r>
      <w:r w:rsidRPr="00103606">
        <w:rPr>
          <w:rFonts w:cs="Arial"/>
        </w:rPr>
        <w:t>susceptible d</w:t>
      </w:r>
      <w:r w:rsidR="00883452">
        <w:rPr>
          <w:rFonts w:cs="Arial"/>
        </w:rPr>
        <w:t>’</w:t>
      </w:r>
      <w:r w:rsidRPr="00103606">
        <w:rPr>
          <w:rFonts w:cs="Arial"/>
        </w:rPr>
        <w:t>être éventuellement contredite, l</w:t>
      </w:r>
      <w:r w:rsidR="001A678D" w:rsidRPr="00103606">
        <w:rPr>
          <w:rFonts w:cs="Arial"/>
        </w:rPr>
        <w:t>a</w:t>
      </w:r>
      <w:r w:rsidRPr="00103606">
        <w:rPr>
          <w:rFonts w:cs="Arial"/>
        </w:rPr>
        <w:t xml:space="preserve"> juge de l</w:t>
      </w:r>
      <w:r w:rsidR="00883452">
        <w:rPr>
          <w:rFonts w:cs="Arial"/>
        </w:rPr>
        <w:t>’</w:t>
      </w:r>
      <w:r w:rsidRPr="00103606">
        <w:rPr>
          <w:rFonts w:cs="Arial"/>
        </w:rPr>
        <w:t>autorisation doit faire preuve de prudence et ne pas tenir pour acquis qu</w:t>
      </w:r>
      <w:r w:rsidR="00883452">
        <w:rPr>
          <w:rFonts w:cs="Arial"/>
        </w:rPr>
        <w:t>’</w:t>
      </w:r>
      <w:r w:rsidRPr="00103606">
        <w:rPr>
          <w:rFonts w:cs="Arial"/>
        </w:rPr>
        <w:t>elle est vraie.</w:t>
      </w:r>
      <w:r w:rsidR="004F04A3" w:rsidRPr="00103606">
        <w:rPr>
          <w:rFonts w:cs="Arial"/>
        </w:rPr>
        <w:t xml:space="preserve"> </w:t>
      </w:r>
      <w:r w:rsidR="001A678D" w:rsidRPr="00103606">
        <w:rPr>
          <w:rFonts w:cs="Arial"/>
        </w:rPr>
        <w:t>Elle doit tenir les faits de la demande pour avérés.</w:t>
      </w:r>
    </w:p>
    <w:p w14:paraId="2245D1C9" w14:textId="77777777" w:rsidR="00554611" w:rsidRPr="00103606" w:rsidRDefault="00E21D39" w:rsidP="00604906">
      <w:pPr>
        <w:pStyle w:val="Paragrdouble"/>
        <w:spacing w:line="276" w:lineRule="auto"/>
        <w:rPr>
          <w:rFonts w:cs="Arial"/>
          <w:color w:val="000000"/>
          <w:szCs w:val="24"/>
          <w:lang w:eastAsia="fr-CA"/>
        </w:rPr>
      </w:pPr>
      <w:r w:rsidRPr="00103606">
        <w:rPr>
          <w:rFonts w:cs="Arial"/>
          <w:color w:val="000000"/>
          <w:szCs w:val="24"/>
          <w:lang w:eastAsia="fr-CA"/>
        </w:rPr>
        <w:t>Ainsi, l</w:t>
      </w:r>
      <w:r w:rsidR="00482CCA" w:rsidRPr="00103606">
        <w:rPr>
          <w:rFonts w:cs="Arial"/>
          <w:color w:val="000000"/>
          <w:szCs w:val="24"/>
          <w:lang w:eastAsia="fr-CA"/>
        </w:rPr>
        <w:t xml:space="preserve">’exercice auquel je suis tenue à l’autorisation en est un d’examen sommaire des </w:t>
      </w:r>
      <w:r w:rsidR="001E16D8" w:rsidRPr="00103606">
        <w:rPr>
          <w:rFonts w:cs="Arial"/>
          <w:color w:val="000000"/>
          <w:szCs w:val="24"/>
          <w:lang w:eastAsia="fr-CA"/>
        </w:rPr>
        <w:t xml:space="preserve">faits </w:t>
      </w:r>
      <w:r w:rsidR="00482CCA" w:rsidRPr="00103606">
        <w:rPr>
          <w:rFonts w:cs="Arial"/>
          <w:color w:val="000000"/>
          <w:szCs w:val="24"/>
          <w:lang w:eastAsia="fr-CA"/>
        </w:rPr>
        <w:t xml:space="preserve">allégués de la Demande d’autorisation, tel que pris pour avérés. Il n’est donc pas approprié ici de considérer, à ce stade, la </w:t>
      </w:r>
      <w:r w:rsidR="001E16D8" w:rsidRPr="00103606">
        <w:rPr>
          <w:rFonts w:cs="Arial"/>
          <w:color w:val="000000"/>
          <w:szCs w:val="24"/>
          <w:lang w:eastAsia="fr-CA"/>
        </w:rPr>
        <w:t>D</w:t>
      </w:r>
      <w:r w:rsidR="00482CCA" w:rsidRPr="00103606">
        <w:rPr>
          <w:rFonts w:cs="Arial"/>
          <w:color w:val="000000"/>
          <w:szCs w:val="24"/>
          <w:lang w:eastAsia="fr-CA"/>
        </w:rPr>
        <w:t>éclaration de V.R</w:t>
      </w:r>
      <w:r w:rsidR="0070057D">
        <w:rPr>
          <w:rFonts w:cs="Arial"/>
          <w:color w:val="000000"/>
          <w:szCs w:val="24"/>
          <w:lang w:eastAsia="fr-CA"/>
        </w:rPr>
        <w:t>.</w:t>
      </w:r>
      <w:r w:rsidR="00482CCA" w:rsidRPr="00103606">
        <w:rPr>
          <w:rFonts w:cs="Arial"/>
          <w:color w:val="000000"/>
          <w:szCs w:val="24"/>
          <w:lang w:eastAsia="fr-CA"/>
        </w:rPr>
        <w:t xml:space="preserve"> du 19 septembre 2008.</w:t>
      </w:r>
    </w:p>
    <w:p w14:paraId="6B8DDBD1" w14:textId="77777777" w:rsidR="00C73595" w:rsidRPr="00103606" w:rsidRDefault="00E21D39" w:rsidP="00672075">
      <w:pPr>
        <w:pStyle w:val="Titre2"/>
        <w:ind w:left="709" w:hanging="425"/>
        <w:jc w:val="both"/>
        <w:rPr>
          <w:rFonts w:cs="Arial"/>
          <w:u w:val="none"/>
          <w:lang w:eastAsia="fr-CA"/>
        </w:rPr>
      </w:pPr>
      <w:bookmarkStart w:id="21" w:name="_Toc256000005"/>
      <w:bookmarkStart w:id="22" w:name="_Toc187475764"/>
      <w:r w:rsidRPr="00103606">
        <w:rPr>
          <w:rFonts w:cs="Arial"/>
          <w:u w:val="none"/>
          <w:lang w:eastAsia="fr-CA"/>
        </w:rPr>
        <w:t>LES 4</w:t>
      </w:r>
      <w:r w:rsidR="00D1782E" w:rsidRPr="00103606">
        <w:rPr>
          <w:rFonts w:cs="Arial"/>
          <w:u w:val="none"/>
          <w:lang w:eastAsia="fr-CA"/>
        </w:rPr>
        <w:t>6</w:t>
      </w:r>
      <w:r w:rsidRPr="00103606">
        <w:rPr>
          <w:rFonts w:cs="Arial"/>
          <w:u w:val="none"/>
          <w:lang w:eastAsia="fr-CA"/>
        </w:rPr>
        <w:t xml:space="preserve"> déclarations anonymes signées</w:t>
      </w:r>
      <w:r w:rsidR="00E03EB1">
        <w:rPr>
          <w:rFonts w:cs="Arial"/>
          <w:u w:val="none"/>
          <w:lang w:eastAsia="fr-CA"/>
        </w:rPr>
        <w:t>,</w:t>
      </w:r>
      <w:r w:rsidRPr="00103606">
        <w:rPr>
          <w:rFonts w:cs="Arial"/>
          <w:u w:val="none"/>
          <w:lang w:eastAsia="fr-CA"/>
        </w:rPr>
        <w:t xml:space="preserve"> </w:t>
      </w:r>
      <w:r w:rsidR="001E16D8" w:rsidRPr="00103606">
        <w:rPr>
          <w:rFonts w:cs="Arial"/>
          <w:u w:val="none"/>
          <w:lang w:eastAsia="fr-CA"/>
        </w:rPr>
        <w:t xml:space="preserve">mais </w:t>
      </w:r>
      <w:r w:rsidRPr="00103606">
        <w:rPr>
          <w:rFonts w:cs="Arial"/>
          <w:u w:val="none"/>
        </w:rPr>
        <w:t xml:space="preserve">NON ASSERMENTÉES DES MEMBRES POTENTIELLES DU GROUPE SONT INCORPORÉES PAR RÉFÉRENCE </w:t>
      </w:r>
      <w:r w:rsidR="00586AFF" w:rsidRPr="00103606">
        <w:rPr>
          <w:rFonts w:cs="Arial"/>
          <w:u w:val="none"/>
        </w:rPr>
        <w:t xml:space="preserve">AUX ALLÉGUÉS DE LA </w:t>
      </w:r>
      <w:r w:rsidR="00B80370">
        <w:rPr>
          <w:rFonts w:cs="Arial"/>
          <w:u w:val="none"/>
        </w:rPr>
        <w:t>SIXIÈME</w:t>
      </w:r>
      <w:r w:rsidR="00B80370" w:rsidRPr="00103606">
        <w:rPr>
          <w:rFonts w:cs="Arial"/>
          <w:u w:val="none"/>
        </w:rPr>
        <w:t xml:space="preserve"> </w:t>
      </w:r>
      <w:r w:rsidR="00586AFF" w:rsidRPr="00103606">
        <w:rPr>
          <w:rFonts w:cs="Arial"/>
          <w:u w:val="none"/>
        </w:rPr>
        <w:t>DEMANDE D’AUTORISATION</w:t>
      </w:r>
      <w:bookmarkEnd w:id="21"/>
      <w:bookmarkEnd w:id="22"/>
    </w:p>
    <w:p w14:paraId="3C36CBED" w14:textId="77777777" w:rsidR="001E16D8" w:rsidRPr="00103606" w:rsidRDefault="00E21D39" w:rsidP="00C73595">
      <w:pPr>
        <w:pStyle w:val="Paragrdouble"/>
        <w:spacing w:line="276" w:lineRule="auto"/>
        <w:rPr>
          <w:rFonts w:cs="Arial"/>
        </w:rPr>
      </w:pPr>
      <w:r w:rsidRPr="00103606">
        <w:rPr>
          <w:rFonts w:cs="Arial"/>
        </w:rPr>
        <w:t>Les défendeurs s’o</w:t>
      </w:r>
      <w:r w:rsidR="00E75633" w:rsidRPr="00103606">
        <w:rPr>
          <w:rFonts w:cs="Arial"/>
        </w:rPr>
        <w:t>bjecten</w:t>
      </w:r>
      <w:r w:rsidRPr="00103606">
        <w:rPr>
          <w:rFonts w:cs="Arial"/>
        </w:rPr>
        <w:t xml:space="preserve">t à </w:t>
      </w:r>
      <w:r w:rsidR="00D1782E" w:rsidRPr="00103606">
        <w:rPr>
          <w:rFonts w:cs="Arial"/>
        </w:rPr>
        <w:t>« </w:t>
      </w:r>
      <w:r w:rsidRPr="00103606">
        <w:rPr>
          <w:rFonts w:cs="Arial"/>
        </w:rPr>
        <w:t>l’admission en preuve</w:t>
      </w:r>
      <w:r w:rsidR="00D1782E" w:rsidRPr="00103606">
        <w:rPr>
          <w:rFonts w:cs="Arial"/>
        </w:rPr>
        <w:t> »</w:t>
      </w:r>
      <w:r w:rsidRPr="00103606">
        <w:rPr>
          <w:rFonts w:cs="Arial"/>
        </w:rPr>
        <w:t xml:space="preserve"> des </w:t>
      </w:r>
      <w:r w:rsidR="005432E9" w:rsidRPr="00103606">
        <w:rPr>
          <w:rFonts w:cs="Arial"/>
        </w:rPr>
        <w:t>quarante-s</w:t>
      </w:r>
      <w:r w:rsidR="00D1782E" w:rsidRPr="00103606">
        <w:rPr>
          <w:rFonts w:cs="Arial"/>
        </w:rPr>
        <w:t>ix</w:t>
      </w:r>
      <w:r w:rsidR="005432E9" w:rsidRPr="00103606">
        <w:rPr>
          <w:rFonts w:cs="Arial"/>
        </w:rPr>
        <w:t xml:space="preserve"> (4</w:t>
      </w:r>
      <w:r w:rsidR="00D1782E" w:rsidRPr="00103606">
        <w:rPr>
          <w:rFonts w:cs="Arial"/>
        </w:rPr>
        <w:t>6</w:t>
      </w:r>
      <w:r w:rsidR="005432E9" w:rsidRPr="00103606">
        <w:rPr>
          <w:rFonts w:cs="Arial"/>
        </w:rPr>
        <w:t xml:space="preserve">) </w:t>
      </w:r>
      <w:r w:rsidRPr="00103606">
        <w:rPr>
          <w:rFonts w:cs="Arial"/>
        </w:rPr>
        <w:t>déclarations anonymes signé</w:t>
      </w:r>
      <w:r w:rsidR="00087915" w:rsidRPr="00103606">
        <w:rPr>
          <w:rFonts w:cs="Arial"/>
        </w:rPr>
        <w:t>e</w:t>
      </w:r>
      <w:r w:rsidRPr="00103606">
        <w:rPr>
          <w:rFonts w:cs="Arial"/>
        </w:rPr>
        <w:t>s</w:t>
      </w:r>
      <w:r w:rsidR="00E03EB1">
        <w:rPr>
          <w:rFonts w:cs="Arial"/>
        </w:rPr>
        <w:t>,</w:t>
      </w:r>
      <w:r w:rsidRPr="00103606">
        <w:rPr>
          <w:rFonts w:cs="Arial"/>
        </w:rPr>
        <w:t xml:space="preserve"> </w:t>
      </w:r>
      <w:r w:rsidR="005432E9" w:rsidRPr="00103606">
        <w:rPr>
          <w:rFonts w:cs="Arial"/>
        </w:rPr>
        <w:t xml:space="preserve">mais non </w:t>
      </w:r>
      <w:r w:rsidR="00087915" w:rsidRPr="00103606">
        <w:rPr>
          <w:rFonts w:cs="Arial"/>
        </w:rPr>
        <w:t>assermentées</w:t>
      </w:r>
      <w:r w:rsidR="005432E9" w:rsidRPr="00103606">
        <w:rPr>
          <w:rFonts w:cs="Arial"/>
        </w:rPr>
        <w:t xml:space="preserve">, </w:t>
      </w:r>
      <w:r w:rsidRPr="00103606">
        <w:rPr>
          <w:rFonts w:cs="Arial"/>
        </w:rPr>
        <w:t>produites par les codemanderesses</w:t>
      </w:r>
      <w:r w:rsidR="005432E9" w:rsidRPr="00103606">
        <w:rPr>
          <w:rFonts w:cs="Arial"/>
        </w:rPr>
        <w:t xml:space="preserve"> au soutien de leur </w:t>
      </w:r>
      <w:r w:rsidR="00B80370">
        <w:rPr>
          <w:rFonts w:cs="Arial"/>
        </w:rPr>
        <w:t>Sixième</w:t>
      </w:r>
      <w:r w:rsidR="00B80370" w:rsidRPr="00103606">
        <w:rPr>
          <w:rFonts w:cs="Arial"/>
        </w:rPr>
        <w:t xml:space="preserve"> </w:t>
      </w:r>
      <w:r w:rsidR="005432E9" w:rsidRPr="00103606">
        <w:rPr>
          <w:rFonts w:cs="Arial"/>
        </w:rPr>
        <w:t>Demande.</w:t>
      </w:r>
      <w:r w:rsidR="00087915" w:rsidRPr="00103606">
        <w:rPr>
          <w:rFonts w:cs="Arial"/>
        </w:rPr>
        <w:t xml:space="preserve"> </w:t>
      </w:r>
      <w:r w:rsidR="002729C7" w:rsidRPr="00103606">
        <w:rPr>
          <w:rFonts w:cs="Arial"/>
        </w:rPr>
        <w:t>Ils prétendent que p</w:t>
      </w:r>
      <w:r w:rsidR="00D1782E" w:rsidRPr="00103606">
        <w:rPr>
          <w:rFonts w:cs="Arial"/>
        </w:rPr>
        <w:t>uisque</w:t>
      </w:r>
      <w:r w:rsidR="00087915" w:rsidRPr="00103606">
        <w:rPr>
          <w:rFonts w:cs="Arial"/>
        </w:rPr>
        <w:t xml:space="preserve"> ces déclarations constituent des témoignages d</w:t>
      </w:r>
      <w:r w:rsidR="00D1782E" w:rsidRPr="00103606">
        <w:rPr>
          <w:rFonts w:cs="Arial"/>
        </w:rPr>
        <w:t>’individus (chacune des déclarations référant à une différente « Madame »)</w:t>
      </w:r>
      <w:r w:rsidR="00087915" w:rsidRPr="00103606">
        <w:rPr>
          <w:rFonts w:cs="Arial"/>
        </w:rPr>
        <w:t xml:space="preserve"> qui ne sont pas </w:t>
      </w:r>
      <w:r w:rsidR="00D1782E" w:rsidRPr="00103606">
        <w:rPr>
          <w:rFonts w:cs="Arial"/>
        </w:rPr>
        <w:t>parties</w:t>
      </w:r>
      <w:r w:rsidR="00087915" w:rsidRPr="00103606">
        <w:rPr>
          <w:rFonts w:cs="Arial"/>
        </w:rPr>
        <w:t xml:space="preserve"> au </w:t>
      </w:r>
      <w:r w:rsidR="00D1782E" w:rsidRPr="00103606">
        <w:rPr>
          <w:rFonts w:cs="Arial"/>
        </w:rPr>
        <w:t>litige</w:t>
      </w:r>
      <w:r w:rsidR="00087915" w:rsidRPr="00103606">
        <w:rPr>
          <w:rFonts w:cs="Arial"/>
        </w:rPr>
        <w:t xml:space="preserve">, </w:t>
      </w:r>
      <w:r w:rsidR="002729C7" w:rsidRPr="00103606">
        <w:rPr>
          <w:rFonts w:cs="Arial"/>
        </w:rPr>
        <w:t>leur admission</w:t>
      </w:r>
      <w:r w:rsidR="00087915" w:rsidRPr="00103606">
        <w:rPr>
          <w:rFonts w:cs="Arial"/>
        </w:rPr>
        <w:t xml:space="preserve"> en preuve au stade de l’autorisation</w:t>
      </w:r>
      <w:r w:rsidR="002729C7" w:rsidRPr="00103606">
        <w:rPr>
          <w:rFonts w:cs="Arial"/>
        </w:rPr>
        <w:t xml:space="preserve"> implique qu’ils puissent</w:t>
      </w:r>
      <w:r w:rsidR="00087915" w:rsidRPr="00103606">
        <w:rPr>
          <w:rFonts w:cs="Arial"/>
        </w:rPr>
        <w:t xml:space="preserve"> avoir droit </w:t>
      </w:r>
      <w:r w:rsidR="00E75633" w:rsidRPr="00103606">
        <w:rPr>
          <w:rFonts w:cs="Arial"/>
        </w:rPr>
        <w:t>de déposer une preuve pour les contredire</w:t>
      </w:r>
      <w:r w:rsidR="00087915" w:rsidRPr="00103606">
        <w:rPr>
          <w:rFonts w:cs="Arial"/>
        </w:rPr>
        <w:t>.</w:t>
      </w:r>
      <w:r w:rsidR="00E75633" w:rsidRPr="00103606">
        <w:rPr>
          <w:rFonts w:cs="Arial"/>
        </w:rPr>
        <w:t xml:space="preserve"> Les défendeurs auraient donc voulu voir la Déclaration du 19 septembre 2008 considérée en preuve pour contredire la déclaration de V.R. en pièce </w:t>
      </w:r>
      <w:r w:rsidR="003B5ED3">
        <w:rPr>
          <w:rFonts w:cs="Arial"/>
        </w:rPr>
        <w:br/>
      </w:r>
      <w:r w:rsidR="00E75633" w:rsidRPr="00103606">
        <w:rPr>
          <w:rFonts w:cs="Arial"/>
        </w:rPr>
        <w:t>R-29.</w:t>
      </w:r>
    </w:p>
    <w:p w14:paraId="1D3A0543" w14:textId="77777777" w:rsidR="00CF40E6" w:rsidRPr="00103606" w:rsidRDefault="00E21D39" w:rsidP="00CF40E6">
      <w:pPr>
        <w:pStyle w:val="Paragrdouble"/>
        <w:spacing w:line="276" w:lineRule="auto"/>
        <w:rPr>
          <w:rFonts w:cs="Arial"/>
        </w:rPr>
      </w:pPr>
      <w:r w:rsidRPr="00103606">
        <w:rPr>
          <w:rFonts w:cs="Arial"/>
        </w:rPr>
        <w:t>Je souligne ici que c’est le précédent juge gestionnaire</w:t>
      </w:r>
      <w:r w:rsidR="003A129B">
        <w:rPr>
          <w:rFonts w:cs="Arial"/>
        </w:rPr>
        <w:t xml:space="preserve"> </w:t>
      </w:r>
      <w:r w:rsidRPr="00103606">
        <w:rPr>
          <w:rFonts w:cs="Arial"/>
        </w:rPr>
        <w:t xml:space="preserve">Immer qui a eu à déterminer, lors d’une audience du 2 novembre 2023, s’il y avait lieu de décider de la troisième demande de modifications de la demande d’autorisation et du rejet </w:t>
      </w:r>
      <w:r w:rsidR="001A678D" w:rsidRPr="00103606">
        <w:rPr>
          <w:rFonts w:cs="Arial"/>
        </w:rPr>
        <w:t>d</w:t>
      </w:r>
      <w:r w:rsidRPr="00103606">
        <w:rPr>
          <w:rFonts w:cs="Arial"/>
        </w:rPr>
        <w:t>es déclarations en cause parce qu’elles étaient assermentées</w:t>
      </w:r>
      <w:r w:rsidR="00E03EB1">
        <w:rPr>
          <w:rFonts w:cs="Arial"/>
        </w:rPr>
        <w:t>,</w:t>
      </w:r>
      <w:r w:rsidRPr="00103606">
        <w:rPr>
          <w:rFonts w:cs="Arial"/>
        </w:rPr>
        <w:t xml:space="preserve"> mais que les défendeurs n’avaient pas </w:t>
      </w:r>
      <w:r w:rsidR="009C147B">
        <w:rPr>
          <w:rFonts w:cs="Arial"/>
        </w:rPr>
        <w:t>eu droit de</w:t>
      </w:r>
      <w:r w:rsidR="009C147B" w:rsidRPr="00103606">
        <w:rPr>
          <w:rFonts w:cs="Arial"/>
        </w:rPr>
        <w:t xml:space="preserve"> </w:t>
      </w:r>
      <w:r w:rsidRPr="00103606">
        <w:rPr>
          <w:rFonts w:cs="Arial"/>
        </w:rPr>
        <w:t>contre interroger</w:t>
      </w:r>
      <w:r w:rsidR="002729C7" w:rsidRPr="00103606">
        <w:rPr>
          <w:rFonts w:cs="Arial"/>
        </w:rPr>
        <w:t xml:space="preserve"> les déclarantes</w:t>
      </w:r>
      <w:r w:rsidRPr="00103606">
        <w:rPr>
          <w:rFonts w:cs="Arial"/>
        </w:rPr>
        <w:t>.</w:t>
      </w:r>
    </w:p>
    <w:p w14:paraId="55E89DBA" w14:textId="77777777" w:rsidR="00CF40E6" w:rsidRPr="00103606" w:rsidRDefault="00E21D39" w:rsidP="00CF40E6">
      <w:pPr>
        <w:pStyle w:val="Paragrdouble"/>
        <w:spacing w:line="276" w:lineRule="auto"/>
        <w:rPr>
          <w:rFonts w:cs="Arial"/>
        </w:rPr>
      </w:pPr>
      <w:r w:rsidRPr="00103606">
        <w:rPr>
          <w:rFonts w:cs="Arial"/>
        </w:rPr>
        <w:t>À cette audience, le juge a mentionné son inquiétude relativement à</w:t>
      </w:r>
      <w:r w:rsidR="00E75633" w:rsidRPr="00103606">
        <w:rPr>
          <w:rFonts w:cs="Arial"/>
        </w:rPr>
        <w:t xml:space="preserve"> la présence </w:t>
      </w:r>
      <w:r w:rsidRPr="00103606">
        <w:rPr>
          <w:rFonts w:cs="Arial"/>
        </w:rPr>
        <w:t xml:space="preserve">au dossier </w:t>
      </w:r>
      <w:r w:rsidR="00E75633" w:rsidRPr="00103606">
        <w:rPr>
          <w:rFonts w:cs="Arial"/>
        </w:rPr>
        <w:t xml:space="preserve">de déclarations sous serment anonymisées </w:t>
      </w:r>
      <w:r w:rsidR="00B24F95" w:rsidRPr="00103606">
        <w:rPr>
          <w:rFonts w:cs="Arial"/>
        </w:rPr>
        <w:t xml:space="preserve">de victimes qui pourraient être </w:t>
      </w:r>
      <w:r w:rsidR="00C642AB" w:rsidRPr="00103606">
        <w:rPr>
          <w:rFonts w:cs="Arial"/>
        </w:rPr>
        <w:t>des membres potentiel</w:t>
      </w:r>
      <w:r w:rsidR="00D31908">
        <w:rPr>
          <w:rFonts w:cs="Arial"/>
        </w:rPr>
        <w:t>le</w:t>
      </w:r>
      <w:r w:rsidR="00C642AB" w:rsidRPr="00103606">
        <w:rPr>
          <w:rFonts w:cs="Arial"/>
        </w:rPr>
        <w:t>s</w:t>
      </w:r>
      <w:r w:rsidR="00B24F95" w:rsidRPr="00103606">
        <w:rPr>
          <w:rFonts w:cs="Arial"/>
        </w:rPr>
        <w:t xml:space="preserve"> du groupe</w:t>
      </w:r>
      <w:r w:rsidRPr="00103606">
        <w:rPr>
          <w:rFonts w:cs="Arial"/>
        </w:rPr>
        <w:t xml:space="preserve">. </w:t>
      </w:r>
      <w:r w:rsidR="00E75633" w:rsidRPr="00103606">
        <w:rPr>
          <w:rFonts w:cs="Arial"/>
        </w:rPr>
        <w:t xml:space="preserve">Les défendeurs s’opposaient </w:t>
      </w:r>
      <w:r w:rsidRPr="00103606">
        <w:rPr>
          <w:rFonts w:cs="Arial"/>
        </w:rPr>
        <w:t xml:space="preserve">alors </w:t>
      </w:r>
      <w:r w:rsidR="00E75633" w:rsidRPr="00103606">
        <w:rPr>
          <w:rFonts w:cs="Arial"/>
        </w:rPr>
        <w:t xml:space="preserve">au droit de la demanderesse de déposer des déclarations sous serment anonymes et </w:t>
      </w:r>
      <w:r w:rsidRPr="00103606">
        <w:rPr>
          <w:rFonts w:cs="Arial"/>
        </w:rPr>
        <w:t xml:space="preserve">annonçaient </w:t>
      </w:r>
      <w:r w:rsidR="00E75633" w:rsidRPr="00103606">
        <w:rPr>
          <w:rFonts w:cs="Arial"/>
        </w:rPr>
        <w:t xml:space="preserve">vouloir interroger les déclarantes, </w:t>
      </w:r>
      <w:r w:rsidRPr="00103606">
        <w:rPr>
          <w:rFonts w:cs="Arial"/>
        </w:rPr>
        <w:t>invoquant</w:t>
      </w:r>
      <w:r w:rsidR="00E75633" w:rsidRPr="00103606">
        <w:rPr>
          <w:rFonts w:cs="Arial"/>
        </w:rPr>
        <w:t xml:space="preserve"> </w:t>
      </w:r>
      <w:r w:rsidRPr="00103606">
        <w:rPr>
          <w:rFonts w:cs="Arial"/>
        </w:rPr>
        <w:t xml:space="preserve">leur </w:t>
      </w:r>
      <w:r w:rsidR="00E75633" w:rsidRPr="00103606">
        <w:rPr>
          <w:rFonts w:cs="Arial"/>
        </w:rPr>
        <w:t>droit strict de ce faire, autant en vertu de l’article 85 C.p.c. que dans une perspective plus large de leur droit à une défense pleine et entière.</w:t>
      </w:r>
      <w:r w:rsidRPr="00103606">
        <w:rPr>
          <w:rFonts w:cs="Arial"/>
        </w:rPr>
        <w:t xml:space="preserve"> Le juge Immer s’inquiétait alors du</w:t>
      </w:r>
      <w:r w:rsidR="00E75633" w:rsidRPr="00103606">
        <w:rPr>
          <w:rFonts w:cs="Arial"/>
        </w:rPr>
        <w:t xml:space="preserve"> dérapage</w:t>
      </w:r>
      <w:r w:rsidRPr="00103606">
        <w:rPr>
          <w:rFonts w:cs="Arial"/>
        </w:rPr>
        <w:t xml:space="preserve"> procédural</w:t>
      </w:r>
      <w:r w:rsidR="00E75633" w:rsidRPr="00103606">
        <w:rPr>
          <w:rFonts w:cs="Arial"/>
        </w:rPr>
        <w:t xml:space="preserve"> et du manque de proportionnalité que </w:t>
      </w:r>
      <w:r w:rsidRPr="00103606">
        <w:rPr>
          <w:rFonts w:cs="Arial"/>
        </w:rPr>
        <w:t>ces mesures</w:t>
      </w:r>
      <w:r w:rsidR="00E75633" w:rsidRPr="00103606">
        <w:rPr>
          <w:rFonts w:cs="Arial"/>
        </w:rPr>
        <w:t xml:space="preserve"> engendrerai</w:t>
      </w:r>
      <w:r w:rsidRPr="00103606">
        <w:rPr>
          <w:rFonts w:cs="Arial"/>
        </w:rPr>
        <w:t>en</w:t>
      </w:r>
      <w:r w:rsidR="00E75633" w:rsidRPr="00103606">
        <w:rPr>
          <w:rFonts w:cs="Arial"/>
        </w:rPr>
        <w:t>t.</w:t>
      </w:r>
    </w:p>
    <w:p w14:paraId="57F7BFDC" w14:textId="77777777" w:rsidR="00CF40E6" w:rsidRPr="00103606" w:rsidRDefault="00E21D39" w:rsidP="00CF40E6">
      <w:pPr>
        <w:pStyle w:val="Paragrdouble"/>
        <w:spacing w:line="276" w:lineRule="auto"/>
        <w:rPr>
          <w:rFonts w:cs="Arial"/>
        </w:rPr>
      </w:pPr>
      <w:r w:rsidRPr="00103606">
        <w:rPr>
          <w:rFonts w:cs="Arial"/>
        </w:rPr>
        <w:t xml:space="preserve">Le juge rappela </w:t>
      </w:r>
      <w:r w:rsidR="002729C7" w:rsidRPr="00103606">
        <w:rPr>
          <w:rFonts w:cs="Arial"/>
        </w:rPr>
        <w:t xml:space="preserve">alors </w:t>
      </w:r>
      <w:r w:rsidR="00E75633" w:rsidRPr="00103606">
        <w:rPr>
          <w:rFonts w:cs="Arial"/>
        </w:rPr>
        <w:t xml:space="preserve">les enseignements de la Cour d’appel, particulièrement dans </w:t>
      </w:r>
      <w:r w:rsidRPr="00103606">
        <w:rPr>
          <w:rFonts w:cs="Arial"/>
        </w:rPr>
        <w:t>l’arrêt</w:t>
      </w:r>
      <w:r w:rsidR="00E75633" w:rsidRPr="00103606">
        <w:rPr>
          <w:rFonts w:cs="Arial"/>
        </w:rPr>
        <w:t xml:space="preserve"> </w:t>
      </w:r>
      <w:r w:rsidR="00E75633" w:rsidRPr="00103606">
        <w:rPr>
          <w:rFonts w:cs="Arial"/>
          <w:i/>
          <w:iCs/>
        </w:rPr>
        <w:t>Homsy</w:t>
      </w:r>
      <w:r w:rsidR="00E75633" w:rsidRPr="00103606">
        <w:rPr>
          <w:rFonts w:cs="Arial"/>
        </w:rPr>
        <w:t xml:space="preserve">, à l’effet que l’autorisation ne </w:t>
      </w:r>
      <w:r w:rsidRPr="00103606">
        <w:rPr>
          <w:rFonts w:cs="Arial"/>
        </w:rPr>
        <w:t>doit</w:t>
      </w:r>
      <w:r w:rsidR="00E75633" w:rsidRPr="00103606">
        <w:rPr>
          <w:rFonts w:cs="Arial"/>
        </w:rPr>
        <w:t xml:space="preserve"> pas servir de forum pour débattre du fond du dossier</w:t>
      </w:r>
      <w:r w:rsidRPr="00103606">
        <w:rPr>
          <w:rFonts w:cs="Arial"/>
        </w:rPr>
        <w:t>, et que</w:t>
      </w:r>
      <w:r w:rsidR="00E75633" w:rsidRPr="00103606">
        <w:rPr>
          <w:rFonts w:cs="Arial"/>
        </w:rPr>
        <w:t xml:space="preserve"> les allégations </w:t>
      </w:r>
      <w:r w:rsidRPr="00103606">
        <w:rPr>
          <w:rFonts w:cs="Arial"/>
        </w:rPr>
        <w:t xml:space="preserve">doivent être tenues </w:t>
      </w:r>
      <w:r w:rsidR="00E75633" w:rsidRPr="00103606">
        <w:rPr>
          <w:rFonts w:cs="Arial"/>
        </w:rPr>
        <w:t xml:space="preserve">pour avérées </w:t>
      </w:r>
      <w:r w:rsidR="00647BCF">
        <w:rPr>
          <w:rFonts w:cs="Arial"/>
        </w:rPr>
        <w:t>dans la mesure où</w:t>
      </w:r>
      <w:r w:rsidR="00E75633" w:rsidRPr="00103606">
        <w:rPr>
          <w:rFonts w:cs="Arial"/>
        </w:rPr>
        <w:t xml:space="preserve"> «</w:t>
      </w:r>
      <w:r w:rsidR="00FA53BC">
        <w:rPr>
          <w:rFonts w:cs="Arial"/>
        </w:rPr>
        <w:t> </w:t>
      </w:r>
      <w:r w:rsidR="00E75633" w:rsidRPr="00103606">
        <w:rPr>
          <w:rFonts w:cs="Arial"/>
        </w:rPr>
        <w:t xml:space="preserve">les faits allégués sont suffisamment clairs, précis et spécifiques, la partie en demande </w:t>
      </w:r>
      <w:r w:rsidRPr="00103606">
        <w:rPr>
          <w:rFonts w:cs="Arial"/>
        </w:rPr>
        <w:t xml:space="preserve">[étant] </w:t>
      </w:r>
      <w:r w:rsidR="00E75633" w:rsidRPr="00103606">
        <w:rPr>
          <w:rFonts w:cs="Arial"/>
        </w:rPr>
        <w:t>dispensée de fournir une «</w:t>
      </w:r>
      <w:r w:rsidR="00FA53BC">
        <w:rPr>
          <w:rFonts w:cs="Arial"/>
        </w:rPr>
        <w:t> </w:t>
      </w:r>
      <w:r w:rsidR="00E75633" w:rsidRPr="00103606">
        <w:rPr>
          <w:rFonts w:cs="Arial"/>
        </w:rPr>
        <w:t>certaine preuve</w:t>
      </w:r>
      <w:r w:rsidR="00FA53BC">
        <w:rPr>
          <w:rFonts w:cs="Arial"/>
        </w:rPr>
        <w:t> </w:t>
      </w:r>
      <w:r w:rsidR="00E75633" w:rsidRPr="00103606">
        <w:rPr>
          <w:rFonts w:cs="Arial"/>
        </w:rPr>
        <w:t>» au soutien de ce qu’elle allègue</w:t>
      </w:r>
      <w:r w:rsidR="00FA53BC">
        <w:rPr>
          <w:rFonts w:cs="Arial"/>
        </w:rPr>
        <w:t> </w:t>
      </w:r>
      <w:r w:rsidR="00E75633" w:rsidRPr="00103606">
        <w:rPr>
          <w:rFonts w:cs="Arial"/>
        </w:rPr>
        <w:t>»</w:t>
      </w:r>
      <w:r>
        <w:rPr>
          <w:rStyle w:val="Appelnotedebasdep"/>
          <w:rFonts w:cs="Arial"/>
        </w:rPr>
        <w:footnoteReference w:id="25"/>
      </w:r>
      <w:r w:rsidR="00E75633" w:rsidRPr="00103606">
        <w:rPr>
          <w:rFonts w:cs="Arial"/>
        </w:rPr>
        <w:t>.</w:t>
      </w:r>
      <w:r w:rsidRPr="00103606">
        <w:rPr>
          <w:rFonts w:cs="Arial"/>
        </w:rPr>
        <w:t xml:space="preserve"> Il précisa que ce principe est aussi vrai pour la demande que pour la défense. </w:t>
      </w:r>
    </w:p>
    <w:p w14:paraId="56884C36" w14:textId="77777777" w:rsidR="00E75633" w:rsidRPr="00103606" w:rsidRDefault="00E21D39" w:rsidP="0098356A">
      <w:pPr>
        <w:pStyle w:val="Paragrdouble"/>
        <w:spacing w:line="276" w:lineRule="auto"/>
        <w:rPr>
          <w:rFonts w:cs="Arial"/>
        </w:rPr>
      </w:pPr>
      <w:r w:rsidRPr="00103606">
        <w:rPr>
          <w:rFonts w:cs="Arial"/>
        </w:rPr>
        <w:t xml:space="preserve">Référant à l’arrêt </w:t>
      </w:r>
      <w:r w:rsidRPr="00103606">
        <w:rPr>
          <w:rFonts w:cs="Arial"/>
          <w:i/>
          <w:iCs/>
        </w:rPr>
        <w:t>Haroch</w:t>
      </w:r>
      <w:r w:rsidRPr="00103606">
        <w:rPr>
          <w:rFonts w:cs="Arial"/>
        </w:rPr>
        <w:t>, il précisa que la partie demanderesse ne dépose pas les pièces «</w:t>
      </w:r>
      <w:r w:rsidR="009A5369">
        <w:rPr>
          <w:rFonts w:cs="Arial"/>
        </w:rPr>
        <w:t> </w:t>
      </w:r>
      <w:r w:rsidRPr="00103606">
        <w:rPr>
          <w:rFonts w:cs="Arial"/>
        </w:rPr>
        <w:t>en preuve à proprement parler, car son fardeau en est un de démonstration et non de preuve</w:t>
      </w:r>
      <w:r w:rsidR="009A5369">
        <w:rPr>
          <w:rFonts w:cs="Arial"/>
        </w:rPr>
        <w:t> </w:t>
      </w:r>
      <w:r w:rsidRPr="00103606">
        <w:rPr>
          <w:rFonts w:cs="Arial"/>
        </w:rPr>
        <w:t>» et qu’«</w:t>
      </w:r>
      <w:r w:rsidR="009A5369">
        <w:t> </w:t>
      </w:r>
      <w:r w:rsidRPr="00103606">
        <w:rPr>
          <w:rFonts w:cs="Arial"/>
        </w:rPr>
        <w:t>il est désormais acquis qu’elle n’est pas limitée à invoquer des pièces qui seraient recevables en preuve lors de l’instruction au fond</w:t>
      </w:r>
      <w:r w:rsidR="009A5369">
        <w:rPr>
          <w:rFonts w:cs="Arial"/>
        </w:rPr>
        <w:t> </w:t>
      </w:r>
      <w:r w:rsidRPr="00103606">
        <w:rPr>
          <w:rFonts w:cs="Arial"/>
        </w:rPr>
        <w:t>»</w:t>
      </w:r>
      <w:r>
        <w:rPr>
          <w:rStyle w:val="Appelnotedebasdep"/>
          <w:rFonts w:cs="Arial"/>
        </w:rPr>
        <w:footnoteReference w:id="26"/>
      </w:r>
      <w:r w:rsidRPr="00103606">
        <w:rPr>
          <w:rFonts w:cs="Arial"/>
        </w:rPr>
        <w:t xml:space="preserve">. </w:t>
      </w:r>
    </w:p>
    <w:p w14:paraId="45E0A608" w14:textId="77777777" w:rsidR="00E75633" w:rsidRPr="00103606" w:rsidRDefault="00E21D39" w:rsidP="00C73595">
      <w:pPr>
        <w:pStyle w:val="Paragrdouble"/>
        <w:spacing w:line="276" w:lineRule="auto"/>
        <w:rPr>
          <w:rFonts w:cs="Arial"/>
        </w:rPr>
      </w:pPr>
      <w:r w:rsidRPr="00103606">
        <w:rPr>
          <w:rFonts w:cs="Arial"/>
        </w:rPr>
        <w:t xml:space="preserve">Le juge Immer </w:t>
      </w:r>
      <w:r w:rsidR="00007CFF" w:rsidRPr="00103606">
        <w:rPr>
          <w:rFonts w:cs="Arial"/>
        </w:rPr>
        <w:t>statuait</w:t>
      </w:r>
      <w:r w:rsidRPr="00103606">
        <w:rPr>
          <w:rFonts w:cs="Arial"/>
        </w:rPr>
        <w:t xml:space="preserve"> que</w:t>
      </w:r>
      <w:r w:rsidR="00883452">
        <w:rPr>
          <w:rFonts w:cs="Arial"/>
        </w:rPr>
        <w:t> </w:t>
      </w:r>
      <w:r w:rsidRPr="00103606">
        <w:rPr>
          <w:rFonts w:cs="Arial"/>
        </w:rPr>
        <w:t xml:space="preserve">: </w:t>
      </w:r>
    </w:p>
    <w:p w14:paraId="564E68C1" w14:textId="77777777" w:rsidR="00E75633" w:rsidRPr="00103606" w:rsidRDefault="00E21D39" w:rsidP="00573001">
      <w:pPr>
        <w:pStyle w:val="Paragrdouble"/>
        <w:numPr>
          <w:ilvl w:val="0"/>
          <w:numId w:val="0"/>
        </w:numPr>
        <w:spacing w:after="0" w:line="240" w:lineRule="auto"/>
        <w:ind w:left="731" w:right="857" w:hanging="164"/>
        <w:rPr>
          <w:rFonts w:cs="Arial"/>
          <w:sz w:val="22"/>
          <w:szCs w:val="18"/>
          <w:u w:val="single"/>
        </w:rPr>
      </w:pPr>
      <w:r w:rsidRPr="00103606">
        <w:rPr>
          <w:rFonts w:cs="Arial"/>
          <w:sz w:val="22"/>
          <w:szCs w:val="18"/>
        </w:rPr>
        <w:t>« [44] […]</w:t>
      </w:r>
      <w:r w:rsidR="00007CFF" w:rsidRPr="00103606">
        <w:rPr>
          <w:rFonts w:cs="Arial"/>
          <w:sz w:val="22"/>
          <w:szCs w:val="18"/>
        </w:rPr>
        <w:t xml:space="preserve"> </w:t>
      </w:r>
      <w:r w:rsidRPr="00103606">
        <w:rPr>
          <w:rFonts w:cs="Arial"/>
          <w:sz w:val="22"/>
          <w:szCs w:val="18"/>
          <w:u w:val="single"/>
        </w:rPr>
        <w:t>le fait que ces déclarations soient signées n’en fait pas un témoignage, ni ne rehausse, leur crédibilité</w:t>
      </w:r>
      <w:r w:rsidRPr="00103606">
        <w:rPr>
          <w:rFonts w:cs="Arial"/>
          <w:sz w:val="22"/>
          <w:szCs w:val="18"/>
        </w:rPr>
        <w:t>. Le Tribunal considère qu’</w:t>
      </w:r>
      <w:r w:rsidRPr="00103606">
        <w:rPr>
          <w:rFonts w:cs="Arial"/>
          <w:sz w:val="22"/>
          <w:szCs w:val="18"/>
          <w:u w:val="single"/>
        </w:rPr>
        <w:t>elles ne servent qu’à alléger la demande qui autrement devrait contenir les 51 récits relatés dans les déclarations et que leur contenu est donc incorporé par référence pour fins de commodité</w:t>
      </w:r>
      <w:r w:rsidRPr="00103606">
        <w:rPr>
          <w:rFonts w:cs="Arial"/>
          <w:sz w:val="22"/>
          <w:szCs w:val="18"/>
        </w:rPr>
        <w:t xml:space="preserve">. </w:t>
      </w:r>
      <w:r w:rsidRPr="00103606">
        <w:rPr>
          <w:rFonts w:cs="Arial"/>
          <w:sz w:val="22"/>
          <w:szCs w:val="18"/>
          <w:u w:val="single"/>
        </w:rPr>
        <w:t>Le Tribunal les traitera donc comme des allégations.</w:t>
      </w:r>
    </w:p>
    <w:p w14:paraId="1915AAE1" w14:textId="77777777" w:rsidR="00E75633" w:rsidRPr="00103606" w:rsidRDefault="00E21D39" w:rsidP="00573001">
      <w:pPr>
        <w:pStyle w:val="Paragrdouble"/>
        <w:numPr>
          <w:ilvl w:val="0"/>
          <w:numId w:val="0"/>
        </w:numPr>
        <w:spacing w:after="0" w:line="240" w:lineRule="auto"/>
        <w:ind w:left="731" w:right="857"/>
        <w:rPr>
          <w:rFonts w:cs="Arial"/>
          <w:sz w:val="22"/>
          <w:szCs w:val="18"/>
        </w:rPr>
      </w:pPr>
      <w:r w:rsidRPr="00103606">
        <w:rPr>
          <w:rFonts w:cs="Arial"/>
          <w:sz w:val="22"/>
          <w:szCs w:val="18"/>
        </w:rPr>
        <w:t xml:space="preserve">[45] Or, </w:t>
      </w:r>
      <w:r w:rsidRPr="00103606">
        <w:rPr>
          <w:rFonts w:cs="Arial"/>
          <w:sz w:val="22"/>
          <w:szCs w:val="18"/>
          <w:u w:val="single"/>
        </w:rPr>
        <w:t>ces déclarations ne sont pas de la preuve à proprement parler, la demanderesse n’ayant qu’un fardeau de démonstration</w:t>
      </w:r>
      <w:r w:rsidRPr="00103606">
        <w:rPr>
          <w:rFonts w:cs="Arial"/>
          <w:sz w:val="22"/>
          <w:szCs w:val="18"/>
        </w:rPr>
        <w:t xml:space="preserve">. La partie demanderesse n’est pas limitée « à invoquer des pièces qui seraient recevables en preuve lors de l’instruction au fond ». </w:t>
      </w:r>
      <w:r w:rsidRPr="00103606">
        <w:rPr>
          <w:rFonts w:cs="Arial"/>
          <w:sz w:val="22"/>
          <w:szCs w:val="18"/>
          <w:u w:val="single"/>
        </w:rPr>
        <w:t>Le Tribunal devra, à l’audience sur l’autorisation, leur donner « plus ou moins de poids selon leur utilité dans l’analyse du caractère soutenable du syllogisme juridique proposé</w:t>
      </w:r>
      <w:r w:rsidRPr="00103606">
        <w:rPr>
          <w:rFonts w:cs="Arial"/>
          <w:sz w:val="22"/>
          <w:szCs w:val="18"/>
        </w:rPr>
        <w:t xml:space="preserve"> ». Comme l’explique la Cour d’appel dans </w:t>
      </w:r>
      <w:r w:rsidRPr="00573001">
        <w:rPr>
          <w:rFonts w:cs="Arial"/>
          <w:i/>
          <w:iCs/>
          <w:sz w:val="22"/>
          <w:szCs w:val="18"/>
        </w:rPr>
        <w:t>Haroch</w:t>
      </w:r>
      <w:r w:rsidR="00883452">
        <w:rPr>
          <w:rFonts w:cs="Arial"/>
          <w:sz w:val="22"/>
          <w:szCs w:val="18"/>
        </w:rPr>
        <w:t> </w:t>
      </w:r>
      <w:r w:rsidRPr="00103606">
        <w:rPr>
          <w:rFonts w:cs="Arial"/>
          <w:sz w:val="22"/>
          <w:szCs w:val="18"/>
        </w:rPr>
        <w:t>:</w:t>
      </w:r>
    </w:p>
    <w:p w14:paraId="6F492964" w14:textId="77777777" w:rsidR="00E75633" w:rsidRDefault="00E21D39">
      <w:pPr>
        <w:pStyle w:val="Paragrdouble"/>
        <w:numPr>
          <w:ilvl w:val="0"/>
          <w:numId w:val="0"/>
        </w:numPr>
        <w:spacing w:line="240" w:lineRule="auto"/>
        <w:ind w:left="1462" w:right="857"/>
        <w:rPr>
          <w:rFonts w:cs="Arial"/>
          <w:sz w:val="22"/>
          <w:szCs w:val="18"/>
        </w:rPr>
      </w:pPr>
      <w:r w:rsidRPr="00103606">
        <w:rPr>
          <w:rFonts w:cs="Arial"/>
          <w:sz w:val="22"/>
          <w:szCs w:val="18"/>
        </w:rPr>
        <w:t>[15]  Il s’ensuit logiquement que, lorsque le tribunal est invité à rejeter une pièce à l’étape de l’autorisation d’exercer une action collective, la question qui doit le guider sur le plan substantiel n’est pas de savoir si la pièce en question satisfait aux conditions de recevabilité posées par le droit de la preuve. La question est plutôt de savoir si cette pièce est susceptible d’être d’une quelconque utilité dans l’appréciation du caractère soutenable du syllogisme juridique proposé par la partie demanderesse. »</w:t>
      </w:r>
      <w:r>
        <w:rPr>
          <w:rStyle w:val="Appelnotedebasdep"/>
          <w:rFonts w:cs="Arial"/>
          <w:sz w:val="22"/>
          <w:szCs w:val="18"/>
        </w:rPr>
        <w:footnoteReference w:id="27"/>
      </w:r>
    </w:p>
    <w:p w14:paraId="64C5CF3F" w14:textId="77777777" w:rsidR="00D31908" w:rsidRPr="00103606" w:rsidRDefault="00E21D39" w:rsidP="00573001">
      <w:pPr>
        <w:pStyle w:val="Paragrdouble"/>
        <w:numPr>
          <w:ilvl w:val="0"/>
          <w:numId w:val="0"/>
        </w:numPr>
        <w:spacing w:after="240" w:line="240" w:lineRule="auto"/>
        <w:ind w:right="857"/>
        <w:jc w:val="right"/>
        <w:rPr>
          <w:rFonts w:cs="Arial"/>
          <w:sz w:val="22"/>
          <w:szCs w:val="18"/>
        </w:rPr>
      </w:pPr>
      <w:r w:rsidRPr="00333C8F">
        <w:rPr>
          <w:rFonts w:cs="Arial"/>
          <w:sz w:val="22"/>
          <w:szCs w:val="18"/>
        </w:rPr>
        <w:t>[</w:t>
      </w:r>
      <w:r>
        <w:t>Références</w:t>
      </w:r>
      <w:r w:rsidRPr="00333C8F">
        <w:rPr>
          <w:rFonts w:cs="Arial"/>
          <w:sz w:val="22"/>
          <w:szCs w:val="18"/>
        </w:rPr>
        <w:t xml:space="preserve"> omises; </w:t>
      </w:r>
      <w:r>
        <w:rPr>
          <w:rFonts w:cs="Arial"/>
          <w:sz w:val="22"/>
          <w:szCs w:val="18"/>
        </w:rPr>
        <w:t>N</w:t>
      </w:r>
      <w:r w:rsidRPr="00333C8F">
        <w:rPr>
          <w:rFonts w:cs="Arial"/>
          <w:sz w:val="22"/>
          <w:szCs w:val="18"/>
        </w:rPr>
        <w:t>os soulignements]</w:t>
      </w:r>
    </w:p>
    <w:p w14:paraId="13AC8FB6" w14:textId="77777777" w:rsidR="00E75633" w:rsidRPr="00103606" w:rsidRDefault="00E21D39" w:rsidP="00C73595">
      <w:pPr>
        <w:pStyle w:val="Paragrdouble"/>
        <w:spacing w:line="276" w:lineRule="auto"/>
        <w:rPr>
          <w:rFonts w:cs="Arial"/>
        </w:rPr>
      </w:pPr>
      <w:r w:rsidRPr="00103606">
        <w:rPr>
          <w:rFonts w:cs="Arial"/>
        </w:rPr>
        <w:t>Finalement</w:t>
      </w:r>
      <w:r w:rsidR="00007CFF" w:rsidRPr="00103606">
        <w:rPr>
          <w:rFonts w:cs="Arial"/>
        </w:rPr>
        <w:t>, l</w:t>
      </w:r>
      <w:r w:rsidRPr="00103606">
        <w:rPr>
          <w:rFonts w:cs="Arial"/>
        </w:rPr>
        <w:t>e juge Immer accorda à la demanderesse un délai supplémentaire pour déposer une nouvelle demande remodifiée ainsi que de nouvelles pièces, précisant que le contenu des déclarations anonymes</w:t>
      </w:r>
      <w:r w:rsidR="00007CFF" w:rsidRPr="00103606">
        <w:rPr>
          <w:rFonts w:cs="Arial"/>
        </w:rPr>
        <w:t xml:space="preserve"> non assermentées</w:t>
      </w:r>
      <w:r w:rsidRPr="00103606">
        <w:rPr>
          <w:rFonts w:cs="Arial"/>
        </w:rPr>
        <w:t xml:space="preserve"> </w:t>
      </w:r>
      <w:r w:rsidR="00007CFF" w:rsidRPr="00103606">
        <w:rPr>
          <w:rFonts w:cs="Arial"/>
        </w:rPr>
        <w:t>devait</w:t>
      </w:r>
      <w:r w:rsidRPr="00103606">
        <w:rPr>
          <w:rFonts w:cs="Arial"/>
        </w:rPr>
        <w:t xml:space="preserve"> notamment être intégré dans la procédure pour en faire des allégations.</w:t>
      </w:r>
    </w:p>
    <w:p w14:paraId="5E11FB34" w14:textId="77777777" w:rsidR="002729C7" w:rsidRPr="00103606" w:rsidRDefault="00E21D39" w:rsidP="00C73595">
      <w:pPr>
        <w:pStyle w:val="Paragrdouble"/>
        <w:spacing w:line="276" w:lineRule="auto"/>
        <w:rPr>
          <w:rFonts w:cs="Arial"/>
        </w:rPr>
      </w:pPr>
      <w:r w:rsidRPr="00103606">
        <w:rPr>
          <w:rFonts w:cs="Arial"/>
        </w:rPr>
        <w:t xml:space="preserve">Je reproduis </w:t>
      </w:r>
      <w:r w:rsidR="00B24F95" w:rsidRPr="00103606">
        <w:rPr>
          <w:rFonts w:cs="Arial"/>
        </w:rPr>
        <w:t>ci-après</w:t>
      </w:r>
      <w:r w:rsidRPr="00103606">
        <w:rPr>
          <w:rFonts w:cs="Arial"/>
        </w:rPr>
        <w:t xml:space="preserve"> </w:t>
      </w:r>
      <w:r w:rsidR="00D65DA7" w:rsidRPr="00103606">
        <w:rPr>
          <w:rFonts w:cs="Arial"/>
        </w:rPr>
        <w:t xml:space="preserve">un extrait de l’arrêt </w:t>
      </w:r>
      <w:r w:rsidR="00D65DA7" w:rsidRPr="00103606">
        <w:rPr>
          <w:rFonts w:cs="Arial"/>
          <w:i/>
          <w:iCs/>
        </w:rPr>
        <w:t>Haroch</w:t>
      </w:r>
      <w:r w:rsidR="00D65DA7" w:rsidRPr="00103606">
        <w:rPr>
          <w:rFonts w:cs="Arial"/>
        </w:rPr>
        <w:t xml:space="preserve"> qui met l’emphase sur l’usage de</w:t>
      </w:r>
      <w:r w:rsidR="00647BCF">
        <w:rPr>
          <w:rFonts w:cs="Arial"/>
        </w:rPr>
        <w:t>s</w:t>
      </w:r>
      <w:r w:rsidR="00D65DA7" w:rsidRPr="00103606">
        <w:rPr>
          <w:rFonts w:cs="Arial"/>
        </w:rPr>
        <w:t xml:space="preserve"> pièces en demande au stade de l’autorisation pour appuyer </w:t>
      </w:r>
      <w:r w:rsidR="008E21AC" w:rsidRPr="00103606">
        <w:rPr>
          <w:rFonts w:cs="Arial"/>
        </w:rPr>
        <w:t xml:space="preserve">simplement </w:t>
      </w:r>
      <w:r w:rsidR="00D65DA7" w:rsidRPr="00103606">
        <w:rPr>
          <w:rFonts w:cs="Arial"/>
        </w:rPr>
        <w:t>le syllogisme juridique proposé,</w:t>
      </w:r>
      <w:r w:rsidR="008E21AC" w:rsidRPr="00103606">
        <w:rPr>
          <w:rFonts w:cs="Arial"/>
        </w:rPr>
        <w:t xml:space="preserve"> sans que ne soit véritablement appréciée</w:t>
      </w:r>
      <w:r w:rsidR="00647BCF">
        <w:rPr>
          <w:rFonts w:cs="Arial"/>
        </w:rPr>
        <w:t xml:space="preserve"> leur force probante</w:t>
      </w:r>
      <w:r w:rsidR="008E21AC" w:rsidRPr="00103606">
        <w:rPr>
          <w:rFonts w:cs="Arial"/>
        </w:rPr>
        <w:t> :</w:t>
      </w:r>
    </w:p>
    <w:p w14:paraId="72DEDBAB" w14:textId="77777777" w:rsidR="002729C7" w:rsidRPr="00103606" w:rsidRDefault="00E21D39" w:rsidP="00573001">
      <w:pPr>
        <w:pStyle w:val="Paragrdouble"/>
        <w:numPr>
          <w:ilvl w:val="0"/>
          <w:numId w:val="0"/>
        </w:numPr>
        <w:spacing w:after="0" w:line="240" w:lineRule="auto"/>
        <w:ind w:left="731" w:right="857" w:hanging="164"/>
        <w:rPr>
          <w:rFonts w:cs="Arial"/>
          <w:sz w:val="22"/>
          <w:szCs w:val="18"/>
        </w:rPr>
      </w:pPr>
      <w:r w:rsidRPr="00103606">
        <w:rPr>
          <w:rFonts w:cs="Arial"/>
          <w:sz w:val="22"/>
          <w:szCs w:val="18"/>
        </w:rPr>
        <w:t xml:space="preserve">« [8] […] l’audience relative à une demande d’autorisation d’exercer une action collective ne saurait être assimilée à l’instruction au fond, car l’étape de l’autorisation ne constitue qu’un simple mécanisme de filtrage dans le cadre duquel le fardeau de la partie demanderesse n’en est pas un de preuve, mais simplement « de “démonstration” du caractère soutenable du “syllogisme juridique” proposé ». La partie demanderesse n’a donc pas à prouver que son recours repose sur un fondement factuel suffisant, et le tribunal doit analyser le caractère soutenable du syllogisme juridique qu’elle propose en tenant pour avérés les faits allégués dans sa demande. Il s’ensuit que, </w:t>
      </w:r>
      <w:r w:rsidRPr="00103606">
        <w:rPr>
          <w:rFonts w:cs="Arial"/>
          <w:sz w:val="22"/>
          <w:szCs w:val="18"/>
          <w:u w:val="single"/>
        </w:rPr>
        <w:t>lorsque, comme en l’espèce, la partie demanderesse choisit de joindre à sa demande certaines pièces, elle ne le fait pas dans le but de les produire en preuve au sens strict du terme : elle n’invoque pas ces pièces dans le but de convaincre le tribunal de tirer quelque conclusion de fait que ce soit — le tribunal devant d’ailleurs se garder de se prononcer sur leur force probante; elle le fait seulement afin d’appuyer ses prétentions quant au caractère soutenable du syllogisme juridique qu’elle propose</w:t>
      </w:r>
      <w:r w:rsidRPr="00103606">
        <w:rPr>
          <w:rFonts w:cs="Arial"/>
          <w:sz w:val="22"/>
          <w:szCs w:val="18"/>
        </w:rPr>
        <w:t>.</w:t>
      </w:r>
    </w:p>
    <w:p w14:paraId="6A9E30E5" w14:textId="77777777" w:rsidR="007B6415" w:rsidRPr="00103606" w:rsidRDefault="00E21D39" w:rsidP="00573001">
      <w:pPr>
        <w:pStyle w:val="Paragrdouble"/>
        <w:numPr>
          <w:ilvl w:val="0"/>
          <w:numId w:val="0"/>
        </w:numPr>
        <w:spacing w:after="0" w:line="240" w:lineRule="auto"/>
        <w:ind w:left="731" w:right="857"/>
        <w:rPr>
          <w:rFonts w:cs="Arial"/>
          <w:sz w:val="22"/>
          <w:szCs w:val="18"/>
        </w:rPr>
      </w:pPr>
      <w:r w:rsidRPr="00103606">
        <w:rPr>
          <w:rFonts w:cs="Arial"/>
          <w:sz w:val="22"/>
          <w:szCs w:val="18"/>
        </w:rPr>
        <w:t>[…]</w:t>
      </w:r>
    </w:p>
    <w:p w14:paraId="51C6B21C" w14:textId="77777777" w:rsidR="007B6415" w:rsidRPr="00103606" w:rsidRDefault="00E21D39" w:rsidP="00573001">
      <w:pPr>
        <w:pStyle w:val="Paragrdouble"/>
        <w:numPr>
          <w:ilvl w:val="0"/>
          <w:numId w:val="0"/>
        </w:numPr>
        <w:tabs>
          <w:tab w:val="left" w:pos="1276"/>
        </w:tabs>
        <w:spacing w:after="0" w:line="240" w:lineRule="auto"/>
        <w:ind w:left="731" w:right="857"/>
        <w:rPr>
          <w:rFonts w:cs="Arial"/>
          <w:sz w:val="22"/>
          <w:szCs w:val="18"/>
        </w:rPr>
      </w:pPr>
      <w:r w:rsidRPr="00103606">
        <w:rPr>
          <w:rFonts w:cs="Arial"/>
          <w:sz w:val="22"/>
          <w:szCs w:val="18"/>
        </w:rPr>
        <w:t>[14]</w:t>
      </w:r>
      <w:r w:rsidR="000638F8">
        <w:rPr>
          <w:rFonts w:cs="Arial"/>
          <w:sz w:val="22"/>
          <w:szCs w:val="18"/>
        </w:rPr>
        <w:tab/>
      </w:r>
      <w:r w:rsidRPr="00103606">
        <w:rPr>
          <w:rFonts w:cs="Arial"/>
          <w:sz w:val="22"/>
          <w:szCs w:val="18"/>
        </w:rPr>
        <w:t xml:space="preserve">[…] la partie demanderesse qui choisit d’invoquer des pièces au soutien de sa demande d’autorisation ne cherche pas à les produire en preuve à proprement parler, car son fardeau en est un de démonstration et non de preuve. Voilà pourquoi il est désormais acquis qu’elle n’est pas limitée à invoquer des pièces qui seraient recevables en preuve lors de l’instruction au fond. </w:t>
      </w:r>
      <w:r w:rsidRPr="00103606">
        <w:rPr>
          <w:rFonts w:cs="Arial"/>
          <w:sz w:val="22"/>
          <w:szCs w:val="18"/>
          <w:u w:val="single"/>
        </w:rPr>
        <w:t>Le juge autorisateur est généralement tenu de prendre en considération tous les éléments invoqués en demande, et il lui revient de faire la part des choses, en leur accordant plus ou moins de poids selon leur utilité dans l’analyse du caractère soutenable du syllogisme juridique proposé</w:t>
      </w:r>
      <w:r w:rsidR="005E49FC" w:rsidRPr="00103606">
        <w:rPr>
          <w:rFonts w:cs="Arial"/>
          <w:sz w:val="22"/>
          <w:szCs w:val="18"/>
        </w:rPr>
        <w:t>.</w:t>
      </w:r>
      <w:r w:rsidR="00F05333">
        <w:rPr>
          <w:rFonts w:cs="Arial"/>
          <w:sz w:val="22"/>
          <w:szCs w:val="18"/>
        </w:rPr>
        <w:t> </w:t>
      </w:r>
      <w:r w:rsidRPr="00103606">
        <w:rPr>
          <w:rFonts w:cs="Arial"/>
          <w:sz w:val="22"/>
          <w:szCs w:val="18"/>
        </w:rPr>
        <w:t>»</w:t>
      </w:r>
      <w:r w:rsidR="00F05333" w:rsidRPr="00F05333">
        <w:rPr>
          <w:rStyle w:val="Appelnotedebasdep"/>
          <w:rFonts w:cs="Arial"/>
          <w:sz w:val="22"/>
          <w:szCs w:val="18"/>
        </w:rPr>
        <w:t xml:space="preserve"> </w:t>
      </w:r>
      <w:r>
        <w:rPr>
          <w:rStyle w:val="Appelnotedebasdep"/>
          <w:rFonts w:cs="Arial"/>
          <w:sz w:val="22"/>
          <w:szCs w:val="18"/>
        </w:rPr>
        <w:footnoteReference w:id="28"/>
      </w:r>
    </w:p>
    <w:p w14:paraId="4EABABBF" w14:textId="77777777" w:rsidR="007B6415" w:rsidRPr="00573001" w:rsidRDefault="00E21D39" w:rsidP="00573001">
      <w:pPr>
        <w:pStyle w:val="Paragrdouble"/>
        <w:numPr>
          <w:ilvl w:val="0"/>
          <w:numId w:val="0"/>
        </w:numPr>
        <w:spacing w:line="240" w:lineRule="auto"/>
        <w:ind w:right="857"/>
        <w:jc w:val="right"/>
        <w:rPr>
          <w:rFonts w:cs="Arial"/>
          <w:sz w:val="22"/>
          <w:szCs w:val="18"/>
        </w:rPr>
      </w:pPr>
      <w:r w:rsidRPr="00573001">
        <w:rPr>
          <w:rFonts w:cs="Arial"/>
          <w:sz w:val="22"/>
          <w:szCs w:val="18"/>
        </w:rPr>
        <w:t xml:space="preserve">[Références omises; </w:t>
      </w:r>
      <w:r w:rsidR="00883452">
        <w:rPr>
          <w:rFonts w:cs="Arial"/>
          <w:sz w:val="22"/>
          <w:szCs w:val="18"/>
        </w:rPr>
        <w:t>N</w:t>
      </w:r>
      <w:r w:rsidRPr="00573001">
        <w:rPr>
          <w:rFonts w:cs="Arial"/>
          <w:sz w:val="22"/>
          <w:szCs w:val="18"/>
        </w:rPr>
        <w:t>os soulignements]</w:t>
      </w:r>
    </w:p>
    <w:p w14:paraId="2AE8947B" w14:textId="77777777" w:rsidR="00B24F95" w:rsidRPr="00103606" w:rsidRDefault="00E21D39" w:rsidP="00C73595">
      <w:pPr>
        <w:pStyle w:val="Paragrdouble"/>
        <w:spacing w:line="276" w:lineRule="auto"/>
        <w:rPr>
          <w:rFonts w:cs="Arial"/>
        </w:rPr>
      </w:pPr>
      <w:r w:rsidRPr="00103606">
        <w:rPr>
          <w:rFonts w:cs="Arial"/>
        </w:rPr>
        <w:t xml:space="preserve">Ainsi, de la même manière, les </w:t>
      </w:r>
      <w:r w:rsidR="00D31908">
        <w:rPr>
          <w:rFonts w:cs="Arial"/>
        </w:rPr>
        <w:t xml:space="preserve">présentes </w:t>
      </w:r>
      <w:r w:rsidRPr="00103606">
        <w:rPr>
          <w:rFonts w:cs="Arial"/>
        </w:rPr>
        <w:t>déclarations anonymes signées</w:t>
      </w:r>
      <w:r w:rsidR="00E03EB1">
        <w:rPr>
          <w:rFonts w:cs="Arial"/>
        </w:rPr>
        <w:t>,</w:t>
      </w:r>
      <w:r w:rsidRPr="00103606">
        <w:rPr>
          <w:rFonts w:cs="Arial"/>
        </w:rPr>
        <w:t xml:space="preserve"> mais non assermentées</w:t>
      </w:r>
      <w:r w:rsidR="00D31908">
        <w:rPr>
          <w:rFonts w:cs="Arial"/>
        </w:rPr>
        <w:t>,</w:t>
      </w:r>
      <w:r w:rsidRPr="00103606">
        <w:rPr>
          <w:rFonts w:cs="Arial"/>
        </w:rPr>
        <w:t xml:space="preserve"> serviront à appuyer le syllogisme juridique des codemanderesses, sans que leur force probante ne soit appréciée.</w:t>
      </w:r>
    </w:p>
    <w:p w14:paraId="37950136" w14:textId="77777777" w:rsidR="002729C7" w:rsidRPr="00103606" w:rsidRDefault="00E21D39" w:rsidP="00C73595">
      <w:pPr>
        <w:pStyle w:val="Paragrdouble"/>
        <w:spacing w:line="276" w:lineRule="auto"/>
        <w:rPr>
          <w:rFonts w:cs="Arial"/>
          <w:lang w:val="en-US"/>
        </w:rPr>
      </w:pPr>
      <w:r w:rsidRPr="00103606">
        <w:rPr>
          <w:rFonts w:cs="Arial"/>
        </w:rPr>
        <w:t xml:space="preserve">Or, au paragraphe 7.1 de la </w:t>
      </w:r>
      <w:r w:rsidR="00B80370">
        <w:rPr>
          <w:rFonts w:cs="Arial"/>
        </w:rPr>
        <w:t>Sixième</w:t>
      </w:r>
      <w:r w:rsidR="00B80370" w:rsidRPr="00103606">
        <w:rPr>
          <w:rFonts w:cs="Arial"/>
        </w:rPr>
        <w:t xml:space="preserve"> </w:t>
      </w:r>
      <w:r w:rsidRPr="00103606">
        <w:rPr>
          <w:rFonts w:cs="Arial"/>
        </w:rPr>
        <w:t>Demande, les codemanderesses incluent un tableau des victimes indiquant leur âge au moment d</w:t>
      </w:r>
      <w:r w:rsidR="009616C8">
        <w:rPr>
          <w:rFonts w:cs="Arial"/>
        </w:rPr>
        <w:t>e</w:t>
      </w:r>
      <w:r w:rsidRPr="00103606">
        <w:rPr>
          <w:rFonts w:cs="Arial"/>
        </w:rPr>
        <w:t xml:space="preserve"> </w:t>
      </w:r>
      <w:r w:rsidR="009616C8">
        <w:rPr>
          <w:rFonts w:cs="Arial"/>
        </w:rPr>
        <w:t xml:space="preserve">la </w:t>
      </w:r>
      <w:r w:rsidR="009616C8" w:rsidRPr="00103606">
        <w:rPr>
          <w:rFonts w:cs="Arial"/>
        </w:rPr>
        <w:t>premi</w:t>
      </w:r>
      <w:r w:rsidR="009616C8">
        <w:rPr>
          <w:rFonts w:cs="Arial"/>
        </w:rPr>
        <w:t>ère</w:t>
      </w:r>
      <w:r w:rsidR="009616C8" w:rsidRPr="00103606">
        <w:rPr>
          <w:rFonts w:cs="Arial"/>
        </w:rPr>
        <w:t xml:space="preserve"> r</w:t>
      </w:r>
      <w:r w:rsidR="009616C8">
        <w:rPr>
          <w:rFonts w:cs="Arial"/>
        </w:rPr>
        <w:t xml:space="preserve">elation </w:t>
      </w:r>
      <w:r w:rsidRPr="00103606">
        <w:rPr>
          <w:rFonts w:cs="Arial"/>
        </w:rPr>
        <w:t>sexuel</w:t>
      </w:r>
      <w:r w:rsidR="009616C8">
        <w:rPr>
          <w:rFonts w:cs="Arial"/>
        </w:rPr>
        <w:t>le</w:t>
      </w:r>
      <w:r w:rsidRPr="00103606">
        <w:rPr>
          <w:rFonts w:cs="Arial"/>
        </w:rPr>
        <w:t xml:space="preserve"> avec Miller, les années de fréquentation sexuelle avec Miller, les sommes </w:t>
      </w:r>
      <w:r w:rsidR="00CF0F10">
        <w:rPr>
          <w:rFonts w:cs="Arial"/>
        </w:rPr>
        <w:t>reçues de</w:t>
      </w:r>
      <w:r w:rsidRPr="00103606">
        <w:rPr>
          <w:rFonts w:cs="Arial"/>
        </w:rPr>
        <w:t xml:space="preserve"> Miller, et le numéro de pièce qui détaille ces informations. </w:t>
      </w:r>
      <w:r w:rsidRPr="00103606">
        <w:rPr>
          <w:rFonts w:cs="Arial"/>
          <w:lang w:val="en-US"/>
        </w:rPr>
        <w:t xml:space="preserve">Elles ajoutent que </w:t>
      </w:r>
      <w:r w:rsidR="008E21AC" w:rsidRPr="00103606">
        <w:rPr>
          <w:rFonts w:cs="Arial"/>
          <w:lang w:val="en-US"/>
        </w:rPr>
        <w:t>“</w:t>
      </w:r>
      <w:r w:rsidRPr="00103606">
        <w:rPr>
          <w:rFonts w:cs="Arial"/>
          <w:lang w:val="en-US"/>
        </w:rPr>
        <w:t>Most of these women have signed anonymous declarations detailing their personal experiences, which are produced as if recited at full-length herein”.</w:t>
      </w:r>
    </w:p>
    <w:p w14:paraId="6A5C35E1" w14:textId="77777777" w:rsidR="005E49FC" w:rsidRPr="008573E6" w:rsidRDefault="00E21D39" w:rsidP="005E49FC">
      <w:pPr>
        <w:pStyle w:val="Paragrdouble"/>
        <w:spacing w:line="276" w:lineRule="auto"/>
        <w:rPr>
          <w:rFonts w:cs="Arial"/>
        </w:rPr>
      </w:pPr>
      <w:r w:rsidRPr="00103606">
        <w:rPr>
          <w:rFonts w:cs="Arial"/>
        </w:rPr>
        <w:t xml:space="preserve">Je souligne que ce type de tableau des victimes a servi à soutenir l’autorisation du recours collectif dans </w:t>
      </w:r>
      <w:r w:rsidR="00585D97">
        <w:rPr>
          <w:rFonts w:cs="Arial"/>
          <w:i/>
          <w:iCs/>
        </w:rPr>
        <w:t>L</w:t>
      </w:r>
      <w:r w:rsidR="00585D97" w:rsidRPr="00103606">
        <w:rPr>
          <w:rFonts w:cs="Arial"/>
          <w:i/>
          <w:iCs/>
        </w:rPr>
        <w:t>’Oratoire</w:t>
      </w:r>
      <w:r>
        <w:rPr>
          <w:rStyle w:val="Appelnotedebasdep"/>
          <w:rFonts w:cs="Arial"/>
          <w:i/>
          <w:iCs/>
        </w:rPr>
        <w:footnoteReference w:id="29"/>
      </w:r>
      <w:r w:rsidRPr="00103606">
        <w:rPr>
          <w:rFonts w:cs="Arial"/>
        </w:rPr>
        <w:t>. La Cour suprême statuait que le tableau servait à déterminer la «</w:t>
      </w:r>
      <w:r w:rsidR="00A11E58">
        <w:rPr>
          <w:rFonts w:cs="Arial"/>
        </w:rPr>
        <w:t> </w:t>
      </w:r>
      <w:r w:rsidRPr="00103606">
        <w:rPr>
          <w:rFonts w:cs="Arial"/>
        </w:rPr>
        <w:t>cause défendable</w:t>
      </w:r>
      <w:r w:rsidR="00A11E58">
        <w:rPr>
          <w:rFonts w:cs="Arial"/>
        </w:rPr>
        <w:t> </w:t>
      </w:r>
      <w:r w:rsidRPr="00103606">
        <w:rPr>
          <w:rFonts w:cs="Arial"/>
        </w:rPr>
        <w:t>», puisqu’il exposait des faits «</w:t>
      </w:r>
      <w:r w:rsidR="001A0908">
        <w:rPr>
          <w:rFonts w:cs="Arial"/>
        </w:rPr>
        <w:t> </w:t>
      </w:r>
      <w:r w:rsidRPr="00103606">
        <w:rPr>
          <w:rFonts w:cs="Arial"/>
        </w:rPr>
        <w:t>précis et palpables</w:t>
      </w:r>
      <w:r w:rsidR="001A0908">
        <w:rPr>
          <w:rFonts w:cs="Arial"/>
        </w:rPr>
        <w:t> </w:t>
      </w:r>
      <w:r w:rsidRPr="00103606">
        <w:rPr>
          <w:rFonts w:cs="Arial"/>
        </w:rPr>
        <w:t xml:space="preserve">» qui soutenaient en eux-mêmes la prétention du demandeur selon laquelle </w:t>
      </w:r>
      <w:r w:rsidR="001A0908">
        <w:rPr>
          <w:rFonts w:cs="Arial"/>
        </w:rPr>
        <w:br/>
      </w:r>
      <w:r w:rsidRPr="00103606">
        <w:rPr>
          <w:rFonts w:cs="Arial"/>
        </w:rPr>
        <w:t>la congrégation avait connaissance des agressions qui auraient été commises par ses membres sur des enfants</w:t>
      </w:r>
      <w:r w:rsidR="001A0908">
        <w:rPr>
          <w:rFonts w:cs="Arial"/>
        </w:rPr>
        <w:t>,</w:t>
      </w:r>
      <w:r w:rsidRPr="00103606">
        <w:rPr>
          <w:rFonts w:cs="Arial"/>
        </w:rPr>
        <w:t xml:space="preserve"> et faisait en sorte qu’il était « possible de soutenir, au stade de l’autorisation, qu’il y aurait lieu lors de l’audition de l’action sur le fond d’en tirer l’inférence que la Congrégation savait ou ne pouvait ignorer que certains de ses membres se livraient à des agressions sur des enfants »</w:t>
      </w:r>
      <w:r>
        <w:rPr>
          <w:rStyle w:val="Appelnotedebasdep"/>
          <w:rFonts w:cs="Arial"/>
        </w:rPr>
        <w:footnoteReference w:id="30"/>
      </w:r>
      <w:r w:rsidRPr="00103606">
        <w:rPr>
          <w:rFonts w:cs="Arial"/>
        </w:rPr>
        <w:t>.</w:t>
      </w:r>
    </w:p>
    <w:p w14:paraId="6E8BDA98" w14:textId="77777777" w:rsidR="00B24F95" w:rsidRPr="00103606" w:rsidRDefault="00E21D39" w:rsidP="00C73595">
      <w:pPr>
        <w:pStyle w:val="Paragrdouble"/>
        <w:spacing w:line="276" w:lineRule="auto"/>
        <w:rPr>
          <w:rFonts w:cs="Arial"/>
        </w:rPr>
      </w:pPr>
      <w:r w:rsidRPr="00103606">
        <w:rPr>
          <w:rFonts w:cs="Arial"/>
        </w:rPr>
        <w:t xml:space="preserve">Ainsi, pour les fins des présentes, je considèrerai toutes les pièces au dossier, </w:t>
      </w:r>
      <w:r w:rsidR="001A0908">
        <w:rPr>
          <w:rFonts w:cs="Arial"/>
        </w:rPr>
        <w:br/>
      </w:r>
      <w:r w:rsidRPr="00103606">
        <w:rPr>
          <w:rFonts w:cs="Arial"/>
        </w:rPr>
        <w:t>y inclus les déclarations anonymes signées</w:t>
      </w:r>
      <w:r w:rsidR="00E03EB1">
        <w:rPr>
          <w:rFonts w:cs="Arial"/>
        </w:rPr>
        <w:t>,</w:t>
      </w:r>
      <w:r w:rsidRPr="00103606">
        <w:rPr>
          <w:rFonts w:cs="Arial"/>
        </w:rPr>
        <w:t xml:space="preserve"> mais non assermentées, lesquelles sont intégrées par référence aux allégations de la </w:t>
      </w:r>
      <w:r w:rsidR="00B80370">
        <w:rPr>
          <w:rFonts w:cs="Arial"/>
        </w:rPr>
        <w:t>Sixième</w:t>
      </w:r>
      <w:r w:rsidR="00B80370" w:rsidRPr="00103606">
        <w:rPr>
          <w:rFonts w:cs="Arial"/>
        </w:rPr>
        <w:t xml:space="preserve"> </w:t>
      </w:r>
      <w:r w:rsidRPr="00103606">
        <w:rPr>
          <w:rFonts w:cs="Arial"/>
        </w:rPr>
        <w:t>Demande. Ces</w:t>
      </w:r>
      <w:r w:rsidR="00007CFF" w:rsidRPr="00103606">
        <w:rPr>
          <w:rFonts w:cs="Arial"/>
        </w:rPr>
        <w:t xml:space="preserve"> déclarations sont utiles à la détermination du syllogisme proposé en demande. </w:t>
      </w:r>
    </w:p>
    <w:p w14:paraId="064DDB9A" w14:textId="77777777" w:rsidR="00007CFF" w:rsidRPr="00103606" w:rsidRDefault="00E21D39" w:rsidP="00C73595">
      <w:pPr>
        <w:pStyle w:val="Paragrdouble"/>
        <w:spacing w:line="276" w:lineRule="auto"/>
        <w:rPr>
          <w:rFonts w:cs="Arial"/>
        </w:rPr>
      </w:pPr>
      <w:r w:rsidRPr="00103606">
        <w:rPr>
          <w:rFonts w:cs="Arial"/>
        </w:rPr>
        <w:t xml:space="preserve">Les allégations de la demande sont considérées pour avérées et </w:t>
      </w:r>
      <w:r w:rsidR="001A0908">
        <w:rPr>
          <w:rFonts w:cs="Arial"/>
        </w:rPr>
        <w:br/>
      </w:r>
      <w:r w:rsidR="002729C7" w:rsidRPr="00103606">
        <w:rPr>
          <w:rFonts w:cs="Arial"/>
        </w:rPr>
        <w:t>l</w:t>
      </w:r>
      <w:r w:rsidRPr="00103606">
        <w:rPr>
          <w:rFonts w:cs="Arial"/>
        </w:rPr>
        <w:t xml:space="preserve">es </w:t>
      </w:r>
      <w:r w:rsidR="00B24F95" w:rsidRPr="00103606">
        <w:rPr>
          <w:rFonts w:cs="Arial"/>
        </w:rPr>
        <w:t>46</w:t>
      </w:r>
      <w:r w:rsidR="001A0908">
        <w:rPr>
          <w:rFonts w:cs="Arial"/>
        </w:rPr>
        <w:t> </w:t>
      </w:r>
      <w:r w:rsidRPr="00103606">
        <w:rPr>
          <w:rFonts w:cs="Arial"/>
        </w:rPr>
        <w:t xml:space="preserve">déclarations </w:t>
      </w:r>
      <w:r w:rsidR="002729C7" w:rsidRPr="00103606">
        <w:rPr>
          <w:rFonts w:cs="Arial"/>
        </w:rPr>
        <w:t>ser</w:t>
      </w:r>
      <w:r w:rsidR="007B6415" w:rsidRPr="00103606">
        <w:rPr>
          <w:rFonts w:cs="Arial"/>
        </w:rPr>
        <w:t>vir</w:t>
      </w:r>
      <w:r w:rsidR="00B24F95" w:rsidRPr="00103606">
        <w:rPr>
          <w:rFonts w:cs="Arial"/>
        </w:rPr>
        <w:t>ont</w:t>
      </w:r>
      <w:r w:rsidR="007B6415" w:rsidRPr="00103606">
        <w:rPr>
          <w:rFonts w:cs="Arial"/>
        </w:rPr>
        <w:t xml:space="preserve"> </w:t>
      </w:r>
      <w:r w:rsidRPr="00103606">
        <w:rPr>
          <w:rFonts w:cs="Arial"/>
        </w:rPr>
        <w:t>à</w:t>
      </w:r>
      <w:r w:rsidR="00B24F95" w:rsidRPr="00103606">
        <w:rPr>
          <w:rFonts w:cs="Arial"/>
        </w:rPr>
        <w:t xml:space="preserve"> </w:t>
      </w:r>
      <w:r w:rsidRPr="00103606">
        <w:rPr>
          <w:rFonts w:cs="Arial"/>
        </w:rPr>
        <w:t xml:space="preserve">éclairer </w:t>
      </w:r>
      <w:r w:rsidR="00B24F95" w:rsidRPr="00103606">
        <w:rPr>
          <w:rFonts w:cs="Arial"/>
        </w:rPr>
        <w:t xml:space="preserve">l’examen des critères de l’art. 575 C.p.c., </w:t>
      </w:r>
      <w:r w:rsidRPr="00103606">
        <w:rPr>
          <w:rFonts w:cs="Arial"/>
        </w:rPr>
        <w:t xml:space="preserve">à ce stade préliminaire du dossier. </w:t>
      </w:r>
    </w:p>
    <w:p w14:paraId="73EE6973" w14:textId="77777777" w:rsidR="00C73595" w:rsidRPr="00103606" w:rsidRDefault="00E21D39" w:rsidP="00F4232B">
      <w:pPr>
        <w:pStyle w:val="Titre1"/>
        <w:numPr>
          <w:ilvl w:val="0"/>
          <w:numId w:val="6"/>
        </w:numPr>
        <w:ind w:left="709" w:hanging="567"/>
        <w:rPr>
          <w:rFonts w:cs="Arial"/>
          <w:lang w:eastAsia="fr-CA"/>
        </w:rPr>
      </w:pPr>
      <w:bookmarkStart w:id="23" w:name="_Toc256000006"/>
      <w:bookmarkStart w:id="24" w:name="_Toc187475765"/>
      <w:r w:rsidRPr="00103606">
        <w:rPr>
          <w:rFonts w:cs="Arial"/>
          <w:lang w:eastAsia="fr-CA"/>
        </w:rPr>
        <w:t>ANALYSE</w:t>
      </w:r>
      <w:bookmarkEnd w:id="23"/>
      <w:bookmarkEnd w:id="24"/>
    </w:p>
    <w:p w14:paraId="1C505E0F" w14:textId="77777777" w:rsidR="006D3866" w:rsidRPr="00103606" w:rsidRDefault="00E21D39" w:rsidP="009F319B">
      <w:pPr>
        <w:pStyle w:val="Titre2"/>
        <w:numPr>
          <w:ilvl w:val="0"/>
          <w:numId w:val="20"/>
        </w:numPr>
        <w:rPr>
          <w:rFonts w:cs="Arial"/>
        </w:rPr>
      </w:pPr>
      <w:bookmarkStart w:id="25" w:name="_Toc256000007"/>
      <w:bookmarkStart w:id="26" w:name="_Toc187475766"/>
      <w:r w:rsidRPr="00103606">
        <w:rPr>
          <w:rFonts w:cs="Arial"/>
        </w:rPr>
        <w:t>Le droit</w:t>
      </w:r>
      <w:r w:rsidR="00E97BD5" w:rsidRPr="00103606">
        <w:rPr>
          <w:rFonts w:cs="Arial"/>
        </w:rPr>
        <w:t xml:space="preserve"> à l’autorisation</w:t>
      </w:r>
      <w:r w:rsidRPr="00103606">
        <w:rPr>
          <w:rFonts w:cs="Arial"/>
        </w:rPr>
        <w:t xml:space="preserve"> d’action collective – principes généraux</w:t>
      </w:r>
      <w:bookmarkEnd w:id="25"/>
      <w:bookmarkEnd w:id="26"/>
    </w:p>
    <w:p w14:paraId="523533E6" w14:textId="77777777" w:rsidR="003775D5" w:rsidRPr="00103606" w:rsidRDefault="00E21D39" w:rsidP="003775D5">
      <w:pPr>
        <w:pStyle w:val="Paragrdouble"/>
        <w:spacing w:line="276" w:lineRule="auto"/>
        <w:rPr>
          <w:rFonts w:cs="Arial"/>
        </w:rPr>
      </w:pPr>
      <w:r w:rsidRPr="00103606">
        <w:rPr>
          <w:rFonts w:cs="Arial"/>
        </w:rPr>
        <w:t>L’action collective est un moyen procédural permettant à une personne d’agir en demande, sans mandat, pour le compte de tous les membres d’un groupe dont elle fait partie et de les représenter, en vertu de l’art. 571 C.p.c.</w:t>
      </w:r>
    </w:p>
    <w:p w14:paraId="5E14DF36" w14:textId="77777777" w:rsidR="003775D5" w:rsidRPr="00103606" w:rsidRDefault="00E21D39" w:rsidP="003775D5">
      <w:pPr>
        <w:pStyle w:val="Paragrdouble"/>
        <w:spacing w:line="276" w:lineRule="auto"/>
        <w:rPr>
          <w:rFonts w:cs="Arial"/>
        </w:rPr>
      </w:pPr>
      <w:r w:rsidRPr="00103606">
        <w:rPr>
          <w:rFonts w:cs="Arial"/>
        </w:rPr>
        <w:t>Ce véhicule procédural poursuit plusieurs objectifs dont ceux de faciliter l’accès à la justice, de modifier des comportements préjudiciables et d’économiser les ressources judiciaires</w:t>
      </w:r>
      <w:r>
        <w:rPr>
          <w:rStyle w:val="Appelnotedebasdep"/>
          <w:rFonts w:cs="Arial"/>
        </w:rPr>
        <w:footnoteReference w:id="31"/>
      </w:r>
      <w:r w:rsidRPr="00103606">
        <w:rPr>
          <w:rFonts w:cs="Arial"/>
        </w:rPr>
        <w:t>.</w:t>
      </w:r>
    </w:p>
    <w:p w14:paraId="61C40098" w14:textId="77777777" w:rsidR="003B13F9" w:rsidRPr="00103606" w:rsidRDefault="00E21D39" w:rsidP="00672075">
      <w:pPr>
        <w:pStyle w:val="Paragrdouble"/>
        <w:spacing w:after="240" w:line="276" w:lineRule="auto"/>
        <w:rPr>
          <w:rFonts w:cs="Arial"/>
        </w:rPr>
      </w:pPr>
      <w:r w:rsidRPr="00103606">
        <w:rPr>
          <w:rFonts w:cs="Arial"/>
        </w:rPr>
        <w:t xml:space="preserve">L’article 575 du </w:t>
      </w:r>
      <w:r w:rsidRPr="00103606">
        <w:rPr>
          <w:rFonts w:cs="Arial"/>
          <w:i/>
          <w:iCs/>
        </w:rPr>
        <w:t>Code de procédure civile</w:t>
      </w:r>
      <w:r w:rsidRPr="00103606">
        <w:rPr>
          <w:rFonts w:cs="Arial"/>
        </w:rPr>
        <w:t xml:space="preserve"> («</w:t>
      </w:r>
      <w:r w:rsidR="002D438C">
        <w:rPr>
          <w:rFonts w:cs="Arial"/>
        </w:rPr>
        <w:t> </w:t>
      </w:r>
      <w:r w:rsidRPr="00103606">
        <w:rPr>
          <w:rFonts w:cs="Arial"/>
        </w:rPr>
        <w:t>C.p.c.</w:t>
      </w:r>
      <w:r w:rsidR="002D438C">
        <w:rPr>
          <w:rFonts w:cs="Arial"/>
        </w:rPr>
        <w:t> </w:t>
      </w:r>
      <w:r w:rsidRPr="00103606">
        <w:rPr>
          <w:rFonts w:cs="Arial"/>
        </w:rPr>
        <w:t>») prévoit les quatre (4) critères applicables aux fins de l’autorisation de l’exercice d’une action collective:</w:t>
      </w:r>
    </w:p>
    <w:tbl>
      <w:tblPr>
        <w:tblStyle w:val="Grilledutableau"/>
        <w:tblW w:w="0" w:type="auto"/>
        <w:tblLook w:val="04A0" w:firstRow="1" w:lastRow="0" w:firstColumn="1" w:lastColumn="0" w:noHBand="0" w:noVBand="1"/>
      </w:tblPr>
      <w:tblGrid>
        <w:gridCol w:w="4676"/>
        <w:gridCol w:w="4676"/>
      </w:tblGrid>
      <w:tr w:rsidR="006141B8" w14:paraId="4F336A02" w14:textId="77777777" w:rsidTr="003B13F9">
        <w:tc>
          <w:tcPr>
            <w:tcW w:w="4676" w:type="dxa"/>
          </w:tcPr>
          <w:p w14:paraId="3757A93A" w14:textId="77777777" w:rsidR="003B13F9" w:rsidRPr="00573001" w:rsidRDefault="00E21D39" w:rsidP="00573001">
            <w:pPr>
              <w:spacing w:before="120"/>
              <w:rPr>
                <w:rFonts w:cs="Arial"/>
                <w:sz w:val="22"/>
                <w:szCs w:val="18"/>
              </w:rPr>
            </w:pPr>
            <w:r w:rsidRPr="00573001">
              <w:rPr>
                <w:rFonts w:cs="Arial"/>
                <w:sz w:val="22"/>
                <w:szCs w:val="18"/>
              </w:rPr>
              <w:t>575. Le tribunal autorise l’exercice de l’action collective et attribue le statut de représentant au membre qu’il désigne s’il est d’avis que:</w:t>
            </w:r>
          </w:p>
          <w:p w14:paraId="3903E006" w14:textId="77777777" w:rsidR="003B13F9" w:rsidRPr="00573001" w:rsidRDefault="00E21D39" w:rsidP="00573001">
            <w:pPr>
              <w:spacing w:before="120"/>
              <w:rPr>
                <w:rFonts w:cs="Arial"/>
                <w:sz w:val="22"/>
                <w:szCs w:val="18"/>
              </w:rPr>
            </w:pPr>
            <w:r w:rsidRPr="00573001">
              <w:rPr>
                <w:rFonts w:cs="Arial"/>
                <w:sz w:val="22"/>
                <w:szCs w:val="18"/>
              </w:rPr>
              <w:t>1° les demandes des membres soulèvent des questions de droit ou de fait identiques, similaires ou connexes;</w:t>
            </w:r>
          </w:p>
          <w:p w14:paraId="64B62ABB" w14:textId="77777777" w:rsidR="003B13F9" w:rsidRPr="00573001" w:rsidRDefault="00E21D39" w:rsidP="00573001">
            <w:pPr>
              <w:spacing w:before="120"/>
              <w:rPr>
                <w:rFonts w:cs="Arial"/>
                <w:sz w:val="22"/>
                <w:szCs w:val="18"/>
              </w:rPr>
            </w:pPr>
            <w:r w:rsidRPr="00573001">
              <w:rPr>
                <w:rFonts w:cs="Arial"/>
                <w:sz w:val="22"/>
                <w:szCs w:val="18"/>
              </w:rPr>
              <w:t>2° les faits allégués paraissent justifier les conclusions recherchées;</w:t>
            </w:r>
          </w:p>
          <w:p w14:paraId="3B923EFF" w14:textId="77777777" w:rsidR="003B13F9" w:rsidRPr="00573001" w:rsidRDefault="00E21D39" w:rsidP="00573001">
            <w:pPr>
              <w:spacing w:before="120"/>
              <w:rPr>
                <w:rFonts w:cs="Arial"/>
                <w:sz w:val="22"/>
                <w:szCs w:val="18"/>
              </w:rPr>
            </w:pPr>
            <w:r w:rsidRPr="00573001">
              <w:rPr>
                <w:rFonts w:cs="Arial"/>
                <w:sz w:val="22"/>
                <w:szCs w:val="18"/>
              </w:rPr>
              <w:t>3° la composition du groupe rend difficile ou peu pratique l’application des règles sur le mandat d’ester en justice pour le compte d’autrui ou sur la jonction d’instance;</w:t>
            </w:r>
          </w:p>
          <w:p w14:paraId="74878829" w14:textId="77777777" w:rsidR="003B13F9" w:rsidRPr="00573001" w:rsidRDefault="00E21D39" w:rsidP="00573001">
            <w:pPr>
              <w:spacing w:before="120"/>
              <w:rPr>
                <w:rFonts w:cs="Arial"/>
                <w:sz w:val="22"/>
                <w:szCs w:val="18"/>
              </w:rPr>
            </w:pPr>
            <w:r w:rsidRPr="00573001">
              <w:rPr>
                <w:rFonts w:cs="Arial"/>
                <w:sz w:val="22"/>
                <w:szCs w:val="18"/>
              </w:rPr>
              <w:t>4° le membre auquel il entend attribuer le statut de représentant est en mesure d’assurer une représentation adéquate des membres.</w:t>
            </w:r>
          </w:p>
          <w:p w14:paraId="0E7F90B2" w14:textId="77777777" w:rsidR="003B13F9" w:rsidRPr="00573001" w:rsidRDefault="003B13F9" w:rsidP="00573001">
            <w:pPr>
              <w:spacing w:before="120"/>
              <w:rPr>
                <w:rFonts w:cs="Arial"/>
                <w:sz w:val="22"/>
                <w:szCs w:val="18"/>
              </w:rPr>
            </w:pPr>
          </w:p>
        </w:tc>
        <w:tc>
          <w:tcPr>
            <w:tcW w:w="4676" w:type="dxa"/>
          </w:tcPr>
          <w:p w14:paraId="4EDEC39F" w14:textId="77777777" w:rsidR="003B13F9" w:rsidRPr="00573001" w:rsidRDefault="00E21D39" w:rsidP="00573001">
            <w:pPr>
              <w:spacing w:before="120"/>
              <w:rPr>
                <w:rFonts w:cs="Arial"/>
                <w:sz w:val="22"/>
                <w:szCs w:val="18"/>
                <w:lang w:val="en-US"/>
              </w:rPr>
            </w:pPr>
            <w:r w:rsidRPr="00573001">
              <w:rPr>
                <w:rFonts w:cs="Arial"/>
                <w:sz w:val="22"/>
                <w:szCs w:val="18"/>
                <w:lang w:val="en-US"/>
              </w:rPr>
              <w:t xml:space="preserve">575. The court authorizes the class action and appoints the class member it designates as representative plaintiff if it is of the opinion that </w:t>
            </w:r>
          </w:p>
          <w:p w14:paraId="53038520" w14:textId="77777777" w:rsidR="003B13F9" w:rsidRPr="00573001" w:rsidRDefault="00E21D39" w:rsidP="00573001">
            <w:pPr>
              <w:spacing w:before="120"/>
              <w:rPr>
                <w:rFonts w:cs="Arial"/>
                <w:sz w:val="22"/>
                <w:szCs w:val="18"/>
                <w:lang w:val="en-US"/>
              </w:rPr>
            </w:pPr>
            <w:r w:rsidRPr="00573001">
              <w:rPr>
                <w:rFonts w:cs="Arial"/>
                <w:sz w:val="22"/>
                <w:szCs w:val="18"/>
                <w:lang w:val="en-US"/>
              </w:rPr>
              <w:t>(1) the claims of the members of the class raise identical, similar or related issues of law or fact;</w:t>
            </w:r>
          </w:p>
          <w:p w14:paraId="4916F8B6" w14:textId="77777777" w:rsidR="003B13F9" w:rsidRPr="00573001" w:rsidRDefault="00E21D39" w:rsidP="00573001">
            <w:pPr>
              <w:spacing w:before="120"/>
              <w:rPr>
                <w:rFonts w:cs="Arial"/>
                <w:sz w:val="22"/>
                <w:szCs w:val="18"/>
                <w:lang w:val="en-US"/>
              </w:rPr>
            </w:pPr>
            <w:r w:rsidRPr="00573001">
              <w:rPr>
                <w:rFonts w:cs="Arial"/>
                <w:sz w:val="22"/>
                <w:szCs w:val="18"/>
                <w:lang w:val="en-US"/>
              </w:rPr>
              <w:t>(2) the facts alleged appear to justify the conclusions sought;</w:t>
            </w:r>
          </w:p>
          <w:p w14:paraId="11504107" w14:textId="77777777" w:rsidR="003B13F9" w:rsidRPr="00573001" w:rsidRDefault="00E21D39" w:rsidP="00573001">
            <w:pPr>
              <w:spacing w:before="120"/>
              <w:rPr>
                <w:rFonts w:cs="Arial"/>
                <w:sz w:val="22"/>
                <w:szCs w:val="18"/>
                <w:lang w:val="en-US"/>
              </w:rPr>
            </w:pPr>
            <w:r w:rsidRPr="00573001">
              <w:rPr>
                <w:rFonts w:cs="Arial"/>
                <w:sz w:val="22"/>
                <w:szCs w:val="18"/>
                <w:lang w:val="en-US"/>
              </w:rPr>
              <w:t>(3) the composition of the class makes it difficult or impracticable to apply the rules for mandates to take part in judicial proceedings on behalf of others or for consolidation of proceedings; and</w:t>
            </w:r>
          </w:p>
          <w:p w14:paraId="4EDB5407" w14:textId="77777777" w:rsidR="003B13F9" w:rsidRPr="00573001" w:rsidRDefault="00E21D39" w:rsidP="00573001">
            <w:pPr>
              <w:spacing w:before="120"/>
              <w:rPr>
                <w:rFonts w:cs="Arial"/>
                <w:sz w:val="22"/>
                <w:szCs w:val="18"/>
                <w:lang w:val="en-US"/>
              </w:rPr>
            </w:pPr>
            <w:r w:rsidRPr="00573001">
              <w:rPr>
                <w:rFonts w:cs="Arial"/>
                <w:sz w:val="22"/>
                <w:szCs w:val="18"/>
                <w:lang w:val="en-US"/>
              </w:rPr>
              <w:t>(4) the class member appointed as representative plaintiff is in a position to properly represent the class members.</w:t>
            </w:r>
          </w:p>
        </w:tc>
      </w:tr>
    </w:tbl>
    <w:p w14:paraId="0276A3ED" w14:textId="77777777" w:rsidR="007304E1" w:rsidRPr="00103606" w:rsidRDefault="00E21D39" w:rsidP="004B57B2">
      <w:pPr>
        <w:pStyle w:val="Paragrdouble"/>
        <w:spacing w:line="276" w:lineRule="auto"/>
        <w:rPr>
          <w:rFonts w:cs="Arial"/>
        </w:rPr>
      </w:pPr>
      <w:r w:rsidRPr="00103606">
        <w:rPr>
          <w:rFonts w:cs="Arial"/>
        </w:rPr>
        <w:t xml:space="preserve">Ces conditions sont exhaustives, de sorte que si </w:t>
      </w:r>
      <w:r w:rsidR="00B24F95" w:rsidRPr="00103606">
        <w:rPr>
          <w:rFonts w:cs="Arial"/>
        </w:rPr>
        <w:t>elles</w:t>
      </w:r>
      <w:r w:rsidRPr="00103606">
        <w:rPr>
          <w:rFonts w:cs="Arial"/>
        </w:rPr>
        <w:t xml:space="preserve"> sont toutes satisfaites, l</w:t>
      </w:r>
      <w:r w:rsidR="00883452">
        <w:rPr>
          <w:rFonts w:cs="Arial"/>
        </w:rPr>
        <w:t>a</w:t>
      </w:r>
      <w:r w:rsidRPr="00103606">
        <w:rPr>
          <w:rFonts w:cs="Arial"/>
        </w:rPr>
        <w:t xml:space="preserve"> juge d’autorisation doit autoriser l’action collective. </w:t>
      </w:r>
      <w:r w:rsidR="00883452">
        <w:rPr>
          <w:rFonts w:cs="Arial"/>
        </w:rPr>
        <w:t>Celle-ci</w:t>
      </w:r>
      <w:r w:rsidRPr="00103606">
        <w:rPr>
          <w:rFonts w:cs="Arial"/>
        </w:rPr>
        <w:t xml:space="preserve"> exerce une certaine forme de discrétion dans l'appréciation de la satisfaction des conditions d'autorisation. Ainsi,</w:t>
      </w:r>
      <w:r w:rsidR="004B57B2" w:rsidRPr="00103606">
        <w:rPr>
          <w:rFonts w:cs="Arial"/>
        </w:rPr>
        <w:t xml:space="preserve"> </w:t>
      </w:r>
      <w:r w:rsidRPr="00103606">
        <w:rPr>
          <w:rFonts w:cs="Arial"/>
        </w:rPr>
        <w:t xml:space="preserve">si l'une des conditions énoncées à l'article 575 C.p.c. n'est pas satisfaite, </w:t>
      </w:r>
      <w:r w:rsidR="00883452">
        <w:rPr>
          <w:rFonts w:cs="Arial"/>
        </w:rPr>
        <w:t>ell</w:t>
      </w:r>
      <w:r w:rsidRPr="00103606">
        <w:rPr>
          <w:rFonts w:cs="Arial"/>
        </w:rPr>
        <w:t xml:space="preserve">e doit rejeter la </w:t>
      </w:r>
      <w:r w:rsidR="00883452">
        <w:rPr>
          <w:rFonts w:cs="Arial"/>
        </w:rPr>
        <w:t>d</w:t>
      </w:r>
      <w:r w:rsidR="00586AFF" w:rsidRPr="00103606">
        <w:rPr>
          <w:rFonts w:cs="Arial"/>
        </w:rPr>
        <w:t>emande</w:t>
      </w:r>
      <w:r w:rsidR="00883452">
        <w:rPr>
          <w:rFonts w:cs="Arial"/>
        </w:rPr>
        <w:t xml:space="preserve"> d’autorisation</w:t>
      </w:r>
      <w:r w:rsidRPr="00103606">
        <w:rPr>
          <w:rFonts w:cs="Arial"/>
        </w:rPr>
        <w:t>.</w:t>
      </w:r>
    </w:p>
    <w:p w14:paraId="1C7B5C5E" w14:textId="77777777" w:rsidR="0096291E" w:rsidRPr="00103606" w:rsidRDefault="00E21D39" w:rsidP="00A550CA">
      <w:pPr>
        <w:pStyle w:val="Paragrdouble"/>
        <w:spacing w:line="276" w:lineRule="auto"/>
        <w:rPr>
          <w:rFonts w:cs="Arial"/>
        </w:rPr>
      </w:pPr>
      <w:r w:rsidRPr="00103606">
        <w:rPr>
          <w:rFonts w:cs="Arial"/>
        </w:rPr>
        <w:t>Le droit applicable à</w:t>
      </w:r>
      <w:r w:rsidR="007F3058">
        <w:rPr>
          <w:rFonts w:cs="Arial"/>
        </w:rPr>
        <w:t xml:space="preserve"> </w:t>
      </w:r>
      <w:r w:rsidRPr="00103606">
        <w:rPr>
          <w:rFonts w:cs="Arial"/>
        </w:rPr>
        <w:t xml:space="preserve">l’étape de l’autorisation fut maintes fois réitéré, et est clairement énoncé par la juge </w:t>
      </w:r>
      <w:r w:rsidR="00586AFF" w:rsidRPr="00103606">
        <w:rPr>
          <w:rFonts w:cs="Arial"/>
        </w:rPr>
        <w:t xml:space="preserve">Marie-France </w:t>
      </w:r>
      <w:r w:rsidRPr="00103606">
        <w:rPr>
          <w:rFonts w:cs="Arial"/>
        </w:rPr>
        <w:t xml:space="preserve">Bich dans l’arrêt </w:t>
      </w:r>
      <w:r w:rsidRPr="00103606">
        <w:rPr>
          <w:rFonts w:cs="Arial"/>
          <w:i/>
          <w:iCs/>
        </w:rPr>
        <w:t>Tessier</w:t>
      </w:r>
      <w:r>
        <w:rPr>
          <w:rStyle w:val="Appelnotedebasdep"/>
          <w:rFonts w:cs="Arial"/>
          <w:i/>
          <w:iCs/>
        </w:rPr>
        <w:footnoteReference w:id="32"/>
      </w:r>
      <w:r w:rsidRPr="00103606">
        <w:rPr>
          <w:rFonts w:cs="Arial"/>
        </w:rPr>
        <w:t>:</w:t>
      </w:r>
    </w:p>
    <w:p w14:paraId="43934E81" w14:textId="77777777" w:rsidR="0096291E" w:rsidRPr="00103606" w:rsidRDefault="00E21D39" w:rsidP="00573001">
      <w:pPr>
        <w:pStyle w:val="Paragrdouble"/>
        <w:numPr>
          <w:ilvl w:val="0"/>
          <w:numId w:val="0"/>
        </w:numPr>
        <w:spacing w:after="0" w:line="240" w:lineRule="auto"/>
        <w:ind w:left="731" w:right="857" w:hanging="164"/>
        <w:rPr>
          <w:rFonts w:cs="Arial"/>
          <w:sz w:val="22"/>
          <w:szCs w:val="18"/>
        </w:rPr>
      </w:pPr>
      <w:r w:rsidRPr="00103606">
        <w:rPr>
          <w:rFonts w:cs="Arial"/>
          <w:sz w:val="22"/>
          <w:szCs w:val="18"/>
        </w:rPr>
        <w:t>« [25] Conformément à l’enseignement de la Cour suprême, ces quatre conditions doivent être interprétées de façon libérale, souple, généreuse, en vue de faciliter l’exercice de l’action collective, véhicule d’accès à la justice et « moyen d’atteindre le double objectif de la dissuasion et de l’indemnisation des victimes ».</w:t>
      </w:r>
    </w:p>
    <w:p w14:paraId="053778DE" w14:textId="77777777" w:rsidR="00A550CA" w:rsidRPr="00103606" w:rsidRDefault="00E21D39" w:rsidP="00573001">
      <w:pPr>
        <w:pStyle w:val="Paragrdouble"/>
        <w:numPr>
          <w:ilvl w:val="0"/>
          <w:numId w:val="0"/>
        </w:numPr>
        <w:spacing w:after="0" w:line="240" w:lineRule="auto"/>
        <w:ind w:left="731" w:right="857"/>
        <w:rPr>
          <w:rFonts w:cs="Arial"/>
          <w:sz w:val="22"/>
          <w:szCs w:val="18"/>
        </w:rPr>
      </w:pPr>
      <w:r w:rsidRPr="00103606">
        <w:rPr>
          <w:rFonts w:cs="Arial"/>
          <w:sz w:val="22"/>
          <w:szCs w:val="18"/>
        </w:rPr>
        <w:t xml:space="preserve">[26] C’est ainsi </w:t>
      </w:r>
      <w:r w:rsidRPr="00103606">
        <w:rPr>
          <w:rFonts w:cs="Arial"/>
          <w:sz w:val="22"/>
          <w:szCs w:val="18"/>
          <w:u w:val="single"/>
        </w:rPr>
        <w:t>qu’une seule question commune peut suffire à satisfaire l’exigence du paragr. 575(1)</w:t>
      </w:r>
      <w:r w:rsidRPr="00103606">
        <w:rPr>
          <w:rFonts w:cs="Arial"/>
          <w:sz w:val="22"/>
          <w:szCs w:val="18"/>
        </w:rPr>
        <w:t xml:space="preserve">, si elle permet de faire avancer le débat ou de favoriser son règlement d’une manière non négligeable, </w:t>
      </w:r>
      <w:r w:rsidRPr="00103606">
        <w:rPr>
          <w:rFonts w:cs="Arial"/>
          <w:sz w:val="22"/>
          <w:szCs w:val="18"/>
          <w:u w:val="single"/>
        </w:rPr>
        <w:t>sans qu’on doive nécessairement y apporter une réponse commune</w:t>
      </w:r>
      <w:r w:rsidRPr="00103606">
        <w:rPr>
          <w:rFonts w:cs="Arial"/>
          <w:sz w:val="22"/>
          <w:szCs w:val="18"/>
        </w:rPr>
        <w:t>.</w:t>
      </w:r>
    </w:p>
    <w:p w14:paraId="3C24937F" w14:textId="77777777" w:rsidR="00A550CA" w:rsidRPr="00103606" w:rsidRDefault="00E21D39" w:rsidP="00573001">
      <w:pPr>
        <w:pStyle w:val="Paragrdouble"/>
        <w:numPr>
          <w:ilvl w:val="0"/>
          <w:numId w:val="0"/>
        </w:numPr>
        <w:spacing w:after="0" w:line="240" w:lineRule="auto"/>
        <w:ind w:left="731" w:right="857"/>
        <w:rPr>
          <w:rFonts w:cs="Arial"/>
          <w:sz w:val="22"/>
          <w:szCs w:val="18"/>
        </w:rPr>
      </w:pPr>
      <w:r w:rsidRPr="00103606">
        <w:rPr>
          <w:rFonts w:cs="Arial"/>
          <w:sz w:val="22"/>
          <w:szCs w:val="18"/>
        </w:rPr>
        <w:t xml:space="preserve">[27] Aux fins du paragr. 575(2), les allégations factuelles de la demande d’autorisation (à distinguer des allégations de nature juridique) doivent être tenues pour avérées à moins qu’elles ne soient génériques ou générales, vagues, imprécises, manifestement inexactes ou autrement contredites par la preuve de la partie demanderesse elle-même ou qu’elles ne relèvent de l’opinion, de l’hypothèse ou de la spéculation. </w:t>
      </w:r>
      <w:r w:rsidRPr="00103606">
        <w:rPr>
          <w:rFonts w:cs="Arial"/>
          <w:sz w:val="22"/>
          <w:szCs w:val="18"/>
          <w:u w:val="single"/>
        </w:rPr>
        <w:t>Les faits ainsi tenus pour avérés doivent justifier les conclusions recherchées en offrant un syllogisme juridique non pas certain, mais simplement défendable, soutenable, qui ne soit ni frivole ni nettement mal fondé, la partie demanderesse n’ayant qu’à « établir une simple “possibilité” d’avoir gain de cause sur le fond, pas même une possibilité “réaliste” ou “raisonnable” »</w:t>
      </w:r>
      <w:r w:rsidRPr="00103606">
        <w:rPr>
          <w:rFonts w:cs="Arial"/>
          <w:sz w:val="22"/>
          <w:szCs w:val="18"/>
        </w:rPr>
        <w:t>.</w:t>
      </w:r>
    </w:p>
    <w:p w14:paraId="623B477A" w14:textId="77777777" w:rsidR="00A550CA" w:rsidRPr="00103606" w:rsidRDefault="00E21D39" w:rsidP="00573001">
      <w:pPr>
        <w:pStyle w:val="Paragrdouble"/>
        <w:numPr>
          <w:ilvl w:val="0"/>
          <w:numId w:val="0"/>
        </w:numPr>
        <w:spacing w:after="0" w:line="240" w:lineRule="auto"/>
        <w:ind w:left="731" w:right="857"/>
        <w:rPr>
          <w:rFonts w:cs="Arial"/>
          <w:sz w:val="22"/>
          <w:szCs w:val="18"/>
        </w:rPr>
      </w:pPr>
      <w:r w:rsidRPr="00103606">
        <w:rPr>
          <w:rFonts w:cs="Arial"/>
          <w:sz w:val="22"/>
          <w:szCs w:val="18"/>
        </w:rPr>
        <w:t>[28] Quant au paragr. 57</w:t>
      </w:r>
      <w:r w:rsidR="00066342">
        <w:rPr>
          <w:rFonts w:cs="Arial"/>
          <w:sz w:val="22"/>
          <w:szCs w:val="18"/>
        </w:rPr>
        <w:t>5</w:t>
      </w:r>
      <w:r w:rsidRPr="00103606">
        <w:rPr>
          <w:rFonts w:cs="Arial"/>
          <w:sz w:val="22"/>
          <w:szCs w:val="18"/>
        </w:rPr>
        <w:t xml:space="preserve">(3), les juges autorisateurs doivent simplement se demander </w:t>
      </w:r>
      <w:r w:rsidRPr="00103606">
        <w:rPr>
          <w:rFonts w:cs="Arial"/>
          <w:sz w:val="22"/>
          <w:szCs w:val="18"/>
          <w:u w:val="single"/>
        </w:rPr>
        <w:t>s’il existe un groupe et si sa composition rend difficile ou peu pratique l’application des règles sur le mandat d’ester en justice</w:t>
      </w:r>
      <w:r w:rsidRPr="00103606">
        <w:rPr>
          <w:rFonts w:cs="Arial"/>
          <w:sz w:val="22"/>
          <w:szCs w:val="18"/>
        </w:rPr>
        <w:t xml:space="preserve"> pour le compte d’autrui (art. 91 C.p.c.) ou sur la jonction d’instance (210 C.p.c.), ce qui est habituellement le cas des demandes visant un grand nombre de personnes dont l’identité n’est pas facilement déterminée. L’action envisagée n’a par ailleurs pas à être le meilleur recours possible pour les intéressés, sauf l’exception particulière de l’action déclaratoire de droit public.</w:t>
      </w:r>
    </w:p>
    <w:p w14:paraId="1731F315" w14:textId="77777777" w:rsidR="00B3797A" w:rsidRPr="00103606" w:rsidRDefault="00E21D39" w:rsidP="00573001">
      <w:pPr>
        <w:pStyle w:val="Paragrdouble"/>
        <w:numPr>
          <w:ilvl w:val="0"/>
          <w:numId w:val="0"/>
        </w:numPr>
        <w:spacing w:after="0" w:line="240" w:lineRule="auto"/>
        <w:ind w:left="731" w:right="857"/>
        <w:rPr>
          <w:rFonts w:cs="Arial"/>
          <w:sz w:val="22"/>
          <w:szCs w:val="18"/>
        </w:rPr>
      </w:pPr>
      <w:r w:rsidRPr="00103606">
        <w:rPr>
          <w:rFonts w:cs="Arial"/>
          <w:sz w:val="22"/>
          <w:szCs w:val="18"/>
        </w:rPr>
        <w:t xml:space="preserve">[29] Finalement, le paragr. 575(4) exige que la personne destinée à représenter les membres puisse </w:t>
      </w:r>
      <w:r w:rsidRPr="00103606">
        <w:rPr>
          <w:rFonts w:cs="Arial"/>
          <w:sz w:val="22"/>
          <w:szCs w:val="18"/>
          <w:u w:val="single"/>
        </w:rPr>
        <w:t>assurer cette fonction de manière adéquate</w:t>
      </w:r>
      <w:r w:rsidRPr="00103606">
        <w:rPr>
          <w:rFonts w:cs="Arial"/>
          <w:sz w:val="22"/>
          <w:szCs w:val="18"/>
        </w:rPr>
        <w:t>, ce qui suppose qu’elle ait elle-même un intérêt (juridique) à poursuivre, qu’elle ne soit pas en conflit d’intérêts avec les autres membres du groupe et qu’elle soit minimalement compétente (elle doit ainsi s’intéresser, au sens ordinaire du terme, à l’affaire, en avoir une compréhension générale et être en mesure de prendre, au besoin, les décisions qui s'imposent au bénéfice de l'ensemble du groupe, étant entendu qu’elle sera assistée et conseillée dans ces tâches par l’avocat·e au dossier).</w:t>
      </w:r>
      <w:r w:rsidR="003C2C5A" w:rsidRPr="00103606">
        <w:rPr>
          <w:rFonts w:cs="Arial"/>
          <w:sz w:val="22"/>
          <w:szCs w:val="18"/>
        </w:rPr>
        <w:t> </w:t>
      </w:r>
    </w:p>
    <w:p w14:paraId="72472559" w14:textId="77777777" w:rsidR="00B3797A" w:rsidRPr="00103606" w:rsidRDefault="00E21D39" w:rsidP="00573001">
      <w:pPr>
        <w:pStyle w:val="Paragrdouble"/>
        <w:numPr>
          <w:ilvl w:val="0"/>
          <w:numId w:val="0"/>
        </w:numPr>
        <w:spacing w:after="0" w:line="240" w:lineRule="auto"/>
        <w:ind w:left="731" w:right="857"/>
        <w:rPr>
          <w:rFonts w:cs="Arial"/>
          <w:sz w:val="22"/>
          <w:szCs w:val="18"/>
        </w:rPr>
      </w:pPr>
      <w:r w:rsidRPr="00103606">
        <w:rPr>
          <w:rFonts w:cs="Arial"/>
          <w:sz w:val="22"/>
          <w:szCs w:val="18"/>
        </w:rPr>
        <w:t xml:space="preserve">[30] La partie qui demande l’autorisation d’exercer une action collective a donc un </w:t>
      </w:r>
      <w:r w:rsidRPr="00103606">
        <w:rPr>
          <w:rFonts w:cs="Arial"/>
          <w:sz w:val="22"/>
          <w:szCs w:val="18"/>
          <w:u w:val="single"/>
        </w:rPr>
        <w:t>fardeau de démonstration léger, qui ne lui impose pas le fardeau de preuve (par prépondérance) qui lui incombera au stade du fond de l’affaire, si elle est autorisée.</w:t>
      </w:r>
      <w:r w:rsidRPr="00103606">
        <w:rPr>
          <w:rFonts w:cs="Arial"/>
          <w:sz w:val="22"/>
          <w:szCs w:val="18"/>
        </w:rPr>
        <w:t xml:space="preserve"> Comme le rappelle la Cour suprême dans Vivendi, « [l]’étape de l’autorisation permet l’exercice d’une fonction de </w:t>
      </w:r>
      <w:r w:rsidRPr="00103606">
        <w:rPr>
          <w:rFonts w:cs="Arial"/>
          <w:sz w:val="22"/>
          <w:szCs w:val="18"/>
          <w:u w:val="single"/>
        </w:rPr>
        <w:t>filtrage des requêtes</w:t>
      </w:r>
      <w:r w:rsidRPr="00103606">
        <w:rPr>
          <w:rFonts w:cs="Arial"/>
          <w:sz w:val="22"/>
          <w:szCs w:val="18"/>
        </w:rPr>
        <w:t>, pour éviter que les parties défenderesses doivent se défendre au fond contre des réclamations insoutenables », et rien de plus.</w:t>
      </w:r>
      <w:r w:rsidR="00CB39DC">
        <w:rPr>
          <w:rFonts w:cs="Arial"/>
          <w:sz w:val="22"/>
          <w:szCs w:val="18"/>
        </w:rPr>
        <w:t> </w:t>
      </w:r>
      <w:r w:rsidR="003C2C5A" w:rsidRPr="00103606">
        <w:rPr>
          <w:rFonts w:cs="Arial"/>
          <w:sz w:val="22"/>
          <w:szCs w:val="18"/>
        </w:rPr>
        <w:t xml:space="preserve">» </w:t>
      </w:r>
    </w:p>
    <w:p w14:paraId="2E70B46E" w14:textId="77777777" w:rsidR="0096291E" w:rsidRPr="00573001" w:rsidRDefault="00E21D39" w:rsidP="004315EC">
      <w:pPr>
        <w:pStyle w:val="Paragrdouble"/>
        <w:numPr>
          <w:ilvl w:val="0"/>
          <w:numId w:val="0"/>
        </w:numPr>
        <w:spacing w:line="240" w:lineRule="auto"/>
        <w:ind w:left="731" w:right="857"/>
        <w:jc w:val="right"/>
        <w:rPr>
          <w:rFonts w:cs="Arial"/>
          <w:sz w:val="22"/>
          <w:szCs w:val="22"/>
        </w:rPr>
      </w:pPr>
      <w:r w:rsidRPr="00573001">
        <w:rPr>
          <w:rFonts w:cs="Arial"/>
          <w:sz w:val="22"/>
          <w:szCs w:val="22"/>
        </w:rPr>
        <w:t>[</w:t>
      </w:r>
      <w:r w:rsidR="00883452">
        <w:rPr>
          <w:rFonts w:cs="Arial"/>
          <w:sz w:val="22"/>
          <w:szCs w:val="22"/>
        </w:rPr>
        <w:t>R</w:t>
      </w:r>
      <w:r w:rsidR="00883452" w:rsidRPr="00BE4082">
        <w:rPr>
          <w:rFonts w:cs="Arial"/>
          <w:sz w:val="22"/>
          <w:szCs w:val="22"/>
        </w:rPr>
        <w:t>éférences omises</w:t>
      </w:r>
      <w:r w:rsidR="00883452">
        <w:rPr>
          <w:rFonts w:cs="Arial"/>
          <w:sz w:val="22"/>
          <w:szCs w:val="22"/>
        </w:rPr>
        <w:t>;</w:t>
      </w:r>
      <w:r w:rsidR="00883452" w:rsidRPr="00883452">
        <w:rPr>
          <w:rFonts w:cs="Arial"/>
          <w:sz w:val="22"/>
          <w:szCs w:val="22"/>
        </w:rPr>
        <w:t xml:space="preserve"> </w:t>
      </w:r>
      <w:r w:rsidR="00883452">
        <w:rPr>
          <w:rFonts w:cs="Arial"/>
          <w:sz w:val="22"/>
          <w:szCs w:val="22"/>
        </w:rPr>
        <w:t>No</w:t>
      </w:r>
      <w:r w:rsidR="00883452" w:rsidRPr="00573001">
        <w:rPr>
          <w:rFonts w:cs="Arial"/>
          <w:sz w:val="22"/>
          <w:szCs w:val="22"/>
        </w:rPr>
        <w:t xml:space="preserve">s </w:t>
      </w:r>
      <w:r w:rsidR="00AB001C" w:rsidRPr="00573001">
        <w:rPr>
          <w:rFonts w:cs="Arial"/>
          <w:sz w:val="22"/>
          <w:szCs w:val="22"/>
        </w:rPr>
        <w:t>soulignements]</w:t>
      </w:r>
    </w:p>
    <w:p w14:paraId="34C6A56C" w14:textId="77777777" w:rsidR="00603B9B" w:rsidRPr="00103606" w:rsidRDefault="00E21D39" w:rsidP="00152227">
      <w:pPr>
        <w:pStyle w:val="Paragrdouble"/>
        <w:spacing w:line="276" w:lineRule="auto"/>
        <w:rPr>
          <w:rFonts w:cs="Arial"/>
        </w:rPr>
      </w:pPr>
      <w:r w:rsidRPr="00103606">
        <w:rPr>
          <w:rFonts w:cs="Arial"/>
        </w:rPr>
        <w:t xml:space="preserve">Je souligne l’opinion fournie par les auteures et professeures Nathalie Des Rosiers et Louise Langevin sur la question de l’opportunité </w:t>
      </w:r>
      <w:r w:rsidR="00CB39DC">
        <w:rPr>
          <w:rFonts w:cs="Arial"/>
        </w:rPr>
        <w:br/>
      </w:r>
      <w:r w:rsidRPr="00103606">
        <w:rPr>
          <w:rFonts w:cs="Arial"/>
        </w:rPr>
        <w:t>du véhicule procédural de l’action collective dans le domaine des infractions de nature sexuelle, lesquelles soulignent le caractère de grande vulnérabilité des victimes :</w:t>
      </w:r>
    </w:p>
    <w:p w14:paraId="43C4E252" w14:textId="77777777" w:rsidR="00603B9B" w:rsidRPr="00103606" w:rsidRDefault="00E21D39" w:rsidP="00573001">
      <w:pPr>
        <w:pStyle w:val="Paragrdouble"/>
        <w:numPr>
          <w:ilvl w:val="0"/>
          <w:numId w:val="0"/>
        </w:numPr>
        <w:spacing w:after="0" w:line="240" w:lineRule="auto"/>
        <w:ind w:left="731" w:right="857"/>
        <w:rPr>
          <w:rFonts w:cs="Arial"/>
          <w:sz w:val="22"/>
          <w:szCs w:val="18"/>
        </w:rPr>
      </w:pPr>
      <w:r w:rsidRPr="00103606">
        <w:rPr>
          <w:rFonts w:cs="Arial"/>
          <w:sz w:val="22"/>
          <w:szCs w:val="18"/>
        </w:rPr>
        <w:t xml:space="preserve">« […] si le recours collectif est dirigé contre un établissement, fréquenté par plusieurs personnes et pour des gestes posés sur une longue période de temps, il nous apparaît que le nombre possiblement élevé de victimes potentielles, bien qu’inconnu au début des procédures, justifie pleinement l’exercice d’un recours collectif. Il se peut qu’une seule victime se manifeste, et qu’elle décide d’exercer un recours collectif en son nom et celui de toutes les autres victimes. Si un enseignant ou un prêtre l’a agressée pendant un an, et qu’il a œuvré auprès de l’établissement pendant quelques années, n’est-il pas logique de conclure que d’autres enfants ont pu subir le même sort? </w:t>
      </w:r>
      <w:r w:rsidRPr="00103606">
        <w:rPr>
          <w:rFonts w:cs="Arial"/>
          <w:sz w:val="22"/>
          <w:szCs w:val="18"/>
          <w:u w:val="single"/>
        </w:rPr>
        <w:t>Il importe peu à notre avis que cinq, dix, cinquante ou cent victimes se joignent au recours collectif une fois qu’il est autorisé. Bien qu’au départ, ce nombre ne puisse être déterminé, le recours collectif devrait être autorisé pour favoriser l’accessibilité à la justice aux victimes de violence sexuelle, qui doivent déjà surmonter d’énormes difficultés dans l’exercice de leurs recours individuels. D’ailleurs, certains tribunaux canadiens ont même conclu que le recours collectif est susceptible d’aider les victimes, qui sont particulièrement vulnérables</w:t>
      </w:r>
      <w:r w:rsidRPr="00103606">
        <w:rPr>
          <w:rFonts w:cs="Arial"/>
          <w:sz w:val="22"/>
          <w:szCs w:val="18"/>
        </w:rPr>
        <w:t>.</w:t>
      </w:r>
      <w:r>
        <w:rPr>
          <w:rStyle w:val="Appelnotedebasdep"/>
          <w:rFonts w:cs="Arial"/>
          <w:sz w:val="22"/>
          <w:szCs w:val="18"/>
        </w:rPr>
        <w:footnoteReference w:id="33"/>
      </w:r>
      <w:r w:rsidRPr="00103606">
        <w:rPr>
          <w:rFonts w:cs="Arial"/>
          <w:sz w:val="22"/>
          <w:szCs w:val="18"/>
        </w:rPr>
        <w:t>»</w:t>
      </w:r>
    </w:p>
    <w:p w14:paraId="732B4591" w14:textId="77777777" w:rsidR="00603B9B" w:rsidRPr="00573001" w:rsidRDefault="00E21D39" w:rsidP="00672075">
      <w:pPr>
        <w:pStyle w:val="Paragrdouble"/>
        <w:numPr>
          <w:ilvl w:val="0"/>
          <w:numId w:val="0"/>
        </w:numPr>
        <w:spacing w:line="276" w:lineRule="auto"/>
        <w:ind w:left="731" w:right="857"/>
        <w:jc w:val="right"/>
        <w:rPr>
          <w:rFonts w:cs="Arial"/>
          <w:sz w:val="20"/>
          <w:szCs w:val="16"/>
        </w:rPr>
      </w:pPr>
      <w:r w:rsidRPr="00573001">
        <w:rPr>
          <w:rFonts w:cs="Arial"/>
          <w:sz w:val="22"/>
          <w:szCs w:val="18"/>
        </w:rPr>
        <w:t>[</w:t>
      </w:r>
      <w:r w:rsidR="002E11E3">
        <w:rPr>
          <w:rFonts w:cs="Arial"/>
          <w:sz w:val="22"/>
          <w:szCs w:val="18"/>
        </w:rPr>
        <w:t> No</w:t>
      </w:r>
      <w:r w:rsidRPr="00573001">
        <w:rPr>
          <w:rFonts w:cs="Arial"/>
          <w:sz w:val="22"/>
          <w:szCs w:val="18"/>
        </w:rPr>
        <w:t>s soulignements</w:t>
      </w:r>
      <w:r w:rsidR="002E11E3">
        <w:rPr>
          <w:rFonts w:cs="Arial"/>
          <w:sz w:val="22"/>
          <w:szCs w:val="18"/>
        </w:rPr>
        <w:t> </w:t>
      </w:r>
      <w:r w:rsidRPr="00573001">
        <w:rPr>
          <w:rFonts w:cs="Arial"/>
          <w:sz w:val="22"/>
          <w:szCs w:val="18"/>
        </w:rPr>
        <w:t>]</w:t>
      </w:r>
    </w:p>
    <w:p w14:paraId="5E18CD73" w14:textId="77777777" w:rsidR="00603B9B" w:rsidRPr="00103606" w:rsidRDefault="00E21D39" w:rsidP="00603B9B">
      <w:pPr>
        <w:pStyle w:val="Paragrdouble"/>
        <w:spacing w:line="276" w:lineRule="auto"/>
        <w:rPr>
          <w:rFonts w:cs="Arial"/>
        </w:rPr>
      </w:pPr>
      <w:r w:rsidRPr="00103606">
        <w:rPr>
          <w:rFonts w:cs="Arial"/>
        </w:rPr>
        <w:t xml:space="preserve">Ainsi, </w:t>
      </w:r>
      <w:r w:rsidR="009C147B">
        <w:rPr>
          <w:rFonts w:cs="Arial"/>
        </w:rPr>
        <w:t>quoique la question ultime demeure strictement procédurale,</w:t>
      </w:r>
      <w:r w:rsidR="00FF1735">
        <w:rPr>
          <w:rFonts w:cs="Arial"/>
        </w:rPr>
        <w:t xml:space="preserve"> il faut souligner que </w:t>
      </w:r>
      <w:r w:rsidR="009C147B">
        <w:rPr>
          <w:rFonts w:cs="Arial"/>
        </w:rPr>
        <w:t xml:space="preserve">le </w:t>
      </w:r>
      <w:r w:rsidR="00FF1735">
        <w:rPr>
          <w:rFonts w:cs="Arial"/>
        </w:rPr>
        <w:t xml:space="preserve">débat se présente en </w:t>
      </w:r>
      <w:r w:rsidR="009C147B">
        <w:rPr>
          <w:rFonts w:cs="Arial"/>
        </w:rPr>
        <w:t xml:space="preserve">contexte </w:t>
      </w:r>
      <w:r w:rsidRPr="00103606">
        <w:rPr>
          <w:rFonts w:cs="Arial"/>
        </w:rPr>
        <w:t xml:space="preserve">de </w:t>
      </w:r>
      <w:r w:rsidR="00B92C09" w:rsidRPr="00103606">
        <w:rPr>
          <w:rFonts w:cs="Arial"/>
        </w:rPr>
        <w:t xml:space="preserve">personnes </w:t>
      </w:r>
      <w:r w:rsidR="00883452">
        <w:rPr>
          <w:rFonts w:cs="Arial"/>
        </w:rPr>
        <w:t xml:space="preserve">vulnérables </w:t>
      </w:r>
      <w:r w:rsidR="003A129B">
        <w:rPr>
          <w:rFonts w:cs="Arial"/>
        </w:rPr>
        <w:t>s</w:t>
      </w:r>
      <w:r w:rsidR="00B92C09" w:rsidRPr="00103606">
        <w:rPr>
          <w:rFonts w:cs="Arial"/>
        </w:rPr>
        <w:t>e dis</w:t>
      </w:r>
      <w:r w:rsidR="003A129B">
        <w:rPr>
          <w:rFonts w:cs="Arial"/>
        </w:rPr>
        <w:t>a</w:t>
      </w:r>
      <w:r w:rsidR="00B92C09" w:rsidRPr="00103606">
        <w:rPr>
          <w:rFonts w:cs="Arial"/>
        </w:rPr>
        <w:t xml:space="preserve">nt victimes </w:t>
      </w:r>
      <w:r w:rsidRPr="00103606">
        <w:rPr>
          <w:rFonts w:cs="Arial"/>
        </w:rPr>
        <w:t xml:space="preserve">d’abus sexuels </w:t>
      </w:r>
      <w:r w:rsidR="00FF1735">
        <w:rPr>
          <w:rFonts w:cs="Arial"/>
        </w:rPr>
        <w:t>qui</w:t>
      </w:r>
      <w:r w:rsidR="00FF1735" w:rsidRPr="00103606">
        <w:rPr>
          <w:rFonts w:cs="Arial"/>
        </w:rPr>
        <w:t xml:space="preserve"> </w:t>
      </w:r>
      <w:r w:rsidRPr="00103606">
        <w:rPr>
          <w:rFonts w:cs="Arial"/>
        </w:rPr>
        <w:t>ne souhait</w:t>
      </w:r>
      <w:r w:rsidR="00FF1735">
        <w:rPr>
          <w:rFonts w:cs="Arial"/>
        </w:rPr>
        <w:t>e</w:t>
      </w:r>
      <w:r w:rsidRPr="00103606">
        <w:rPr>
          <w:rFonts w:cs="Arial"/>
        </w:rPr>
        <w:t xml:space="preserve">nt pas que leur identité soit dévoilée, </w:t>
      </w:r>
      <w:r w:rsidR="00FF1735">
        <w:rPr>
          <w:rFonts w:cs="Arial"/>
        </w:rPr>
        <w:t>insistant</w:t>
      </w:r>
      <w:r w:rsidR="00FF1735" w:rsidRPr="00103606">
        <w:rPr>
          <w:rFonts w:cs="Arial"/>
        </w:rPr>
        <w:t xml:space="preserve"> </w:t>
      </w:r>
      <w:r w:rsidR="003A129B">
        <w:rPr>
          <w:rFonts w:cs="Arial"/>
        </w:rPr>
        <w:t xml:space="preserve">toutefois </w:t>
      </w:r>
      <w:r w:rsidR="00FF1735">
        <w:rPr>
          <w:rFonts w:cs="Arial"/>
        </w:rPr>
        <w:t xml:space="preserve">pour </w:t>
      </w:r>
      <w:r w:rsidRPr="00103606">
        <w:rPr>
          <w:rFonts w:cs="Arial"/>
        </w:rPr>
        <w:t>faire valoir leurs droits en justice</w:t>
      </w:r>
      <w:r w:rsidR="00152227" w:rsidRPr="00103606">
        <w:rPr>
          <w:rFonts w:cs="Arial"/>
        </w:rPr>
        <w:t xml:space="preserve"> plusieurs années après les faits</w:t>
      </w:r>
      <w:r w:rsidRPr="00103606">
        <w:rPr>
          <w:rFonts w:cs="Arial"/>
        </w:rPr>
        <w:t>.</w:t>
      </w:r>
    </w:p>
    <w:p w14:paraId="788EA5B1" w14:textId="77777777" w:rsidR="00076CD4" w:rsidRPr="00103606" w:rsidRDefault="00E21D39" w:rsidP="009F319B">
      <w:pPr>
        <w:pStyle w:val="Titre2"/>
        <w:numPr>
          <w:ilvl w:val="0"/>
          <w:numId w:val="20"/>
        </w:numPr>
        <w:rPr>
          <w:rFonts w:cs="Arial"/>
        </w:rPr>
      </w:pPr>
      <w:bookmarkStart w:id="28" w:name="_Toc256000008"/>
      <w:bookmarkStart w:id="29" w:name="_Toc187475767"/>
      <w:r w:rsidRPr="00103606">
        <w:rPr>
          <w:rFonts w:cs="Arial"/>
        </w:rPr>
        <w:t>Les faits allégués paraissent justifier les conclusions recherchées (575(2) C.p.c.)</w:t>
      </w:r>
      <w:bookmarkEnd w:id="28"/>
      <w:bookmarkEnd w:id="29"/>
    </w:p>
    <w:p w14:paraId="13776D3E" w14:textId="77777777" w:rsidR="000666C5" w:rsidRPr="00103606" w:rsidRDefault="00E21D39" w:rsidP="000666C5">
      <w:pPr>
        <w:pStyle w:val="Paragrdouble"/>
        <w:spacing w:line="276" w:lineRule="auto"/>
        <w:rPr>
          <w:rFonts w:cs="Arial"/>
        </w:rPr>
      </w:pPr>
      <w:r w:rsidRPr="00103606">
        <w:rPr>
          <w:rFonts w:cs="Arial"/>
        </w:rPr>
        <w:t>Selon les défendeurs, les codemanderesses avancent un syllogisme insoutenable</w:t>
      </w:r>
      <w:r w:rsidR="00E4279E" w:rsidRPr="00103606">
        <w:rPr>
          <w:rFonts w:cs="Arial"/>
        </w:rPr>
        <w:t>,</w:t>
      </w:r>
      <w:r w:rsidRPr="00103606">
        <w:rPr>
          <w:rFonts w:cs="Arial"/>
        </w:rPr>
        <w:t xml:space="preserve"> les faits allégués </w:t>
      </w:r>
      <w:r w:rsidR="00E4279E" w:rsidRPr="00103606">
        <w:rPr>
          <w:rFonts w:cs="Arial"/>
        </w:rPr>
        <w:t xml:space="preserve">étant de simples affirmations vagues, non fondées et contredites par d’autres preuves. </w:t>
      </w:r>
      <w:r w:rsidRPr="00103606">
        <w:rPr>
          <w:rFonts w:cs="Arial"/>
        </w:rPr>
        <w:t>Miller oppose</w:t>
      </w:r>
      <w:r w:rsidR="00E4279E" w:rsidRPr="00103606">
        <w:rPr>
          <w:rFonts w:cs="Arial"/>
        </w:rPr>
        <w:t>,</w:t>
      </w:r>
      <w:r w:rsidRPr="00103606">
        <w:rPr>
          <w:rFonts w:cs="Arial"/>
        </w:rPr>
        <w:t xml:space="preserve"> en outre</w:t>
      </w:r>
      <w:r w:rsidR="00E4279E" w:rsidRPr="00103606">
        <w:rPr>
          <w:rFonts w:cs="Arial"/>
        </w:rPr>
        <w:t>,</w:t>
      </w:r>
      <w:r w:rsidRPr="00103606">
        <w:rPr>
          <w:rFonts w:cs="Arial"/>
        </w:rPr>
        <w:t xml:space="preserve"> la Déclaration du 19 septembre 2008 aux allégués de la </w:t>
      </w:r>
      <w:r w:rsidR="00B80370">
        <w:rPr>
          <w:rFonts w:cs="Arial"/>
        </w:rPr>
        <w:t>Sixième</w:t>
      </w:r>
      <w:r w:rsidR="00B80370" w:rsidRPr="00103606">
        <w:rPr>
          <w:rFonts w:cs="Arial"/>
        </w:rPr>
        <w:t xml:space="preserve"> </w:t>
      </w:r>
      <w:r w:rsidRPr="00103606">
        <w:rPr>
          <w:rFonts w:cs="Arial"/>
        </w:rPr>
        <w:t xml:space="preserve">Demande pour affirmer que les faits </w:t>
      </w:r>
      <w:r w:rsidR="00E4279E" w:rsidRPr="00103606">
        <w:rPr>
          <w:rFonts w:cs="Arial"/>
        </w:rPr>
        <w:t>de la</w:t>
      </w:r>
      <w:r w:rsidRPr="00103606">
        <w:rPr>
          <w:rFonts w:cs="Arial"/>
        </w:rPr>
        <w:t xml:space="preserve"> demande ne sont pas plausibles, de telle sorte à ce que le deuxième critère de l’article 575 ne puisse être rempli. </w:t>
      </w:r>
      <w:r w:rsidR="00DA4849">
        <w:rPr>
          <w:rFonts w:cs="Arial"/>
        </w:rPr>
        <w:t xml:space="preserve">Cette </w:t>
      </w:r>
      <w:r w:rsidR="003A129B">
        <w:rPr>
          <w:rFonts w:cs="Arial"/>
        </w:rPr>
        <w:t>d</w:t>
      </w:r>
      <w:r w:rsidR="00DA4849">
        <w:rPr>
          <w:rFonts w:cs="Arial"/>
        </w:rPr>
        <w:t>éclaration a déjà été écartée.</w:t>
      </w:r>
    </w:p>
    <w:p w14:paraId="67A69367" w14:textId="77777777" w:rsidR="000666C5" w:rsidRPr="00103606" w:rsidRDefault="00E21D39" w:rsidP="000666C5">
      <w:pPr>
        <w:pStyle w:val="Paragrdouble"/>
        <w:spacing w:line="276" w:lineRule="auto"/>
        <w:rPr>
          <w:rFonts w:cs="Arial"/>
        </w:rPr>
      </w:pPr>
      <w:r w:rsidRPr="00103606">
        <w:rPr>
          <w:rFonts w:cs="Arial"/>
        </w:rPr>
        <w:t>Les codemanderesses, au contraire, prétendent que les syllogismes qu’elles proposent sont soutenables, au stade de l’autorisation.</w:t>
      </w:r>
    </w:p>
    <w:p w14:paraId="7C71B2E0" w14:textId="77777777" w:rsidR="00076CD4" w:rsidRPr="00103606" w:rsidRDefault="00E21D39" w:rsidP="000666C5">
      <w:pPr>
        <w:pStyle w:val="Paragrdouble"/>
        <w:spacing w:line="276" w:lineRule="auto"/>
        <w:rPr>
          <w:rFonts w:cs="Arial"/>
        </w:rPr>
      </w:pPr>
      <w:r w:rsidRPr="00103606">
        <w:rPr>
          <w:rFonts w:cs="Arial"/>
        </w:rPr>
        <w:t>Seront abordés</w:t>
      </w:r>
      <w:r w:rsidR="00704644" w:rsidRPr="00103606">
        <w:rPr>
          <w:rFonts w:cs="Arial"/>
        </w:rPr>
        <w:t xml:space="preserve"> dans cette section :</w:t>
      </w:r>
      <w:r w:rsidR="000666C5" w:rsidRPr="00103606">
        <w:rPr>
          <w:rFonts w:cs="Arial"/>
        </w:rPr>
        <w:t xml:space="preserve"> </w:t>
      </w:r>
      <w:r w:rsidRPr="00103606">
        <w:rPr>
          <w:rFonts w:cs="Arial"/>
        </w:rPr>
        <w:t>(1) le</w:t>
      </w:r>
      <w:r w:rsidR="000666C5" w:rsidRPr="00103606">
        <w:rPr>
          <w:rFonts w:cs="Arial"/>
        </w:rPr>
        <w:t xml:space="preserve"> </w:t>
      </w:r>
      <w:r w:rsidRPr="00103606">
        <w:rPr>
          <w:rFonts w:cs="Arial"/>
        </w:rPr>
        <w:t>cadre juridique applicable à l’examen du paragraphe 575(2) C.p.c.</w:t>
      </w:r>
      <w:r w:rsidR="00A95AC9">
        <w:rPr>
          <w:rFonts w:cs="Arial"/>
        </w:rPr>
        <w:t>;</w:t>
      </w:r>
      <w:r w:rsidR="000666C5" w:rsidRPr="00103606">
        <w:rPr>
          <w:rFonts w:cs="Arial"/>
        </w:rPr>
        <w:t xml:space="preserve"> </w:t>
      </w:r>
      <w:r w:rsidRPr="00103606">
        <w:rPr>
          <w:rFonts w:cs="Arial"/>
        </w:rPr>
        <w:t xml:space="preserve">(2) la question de la prescription des recours; </w:t>
      </w:r>
      <w:r w:rsidR="000666C5" w:rsidRPr="00103606">
        <w:rPr>
          <w:rFonts w:cs="Arial"/>
        </w:rPr>
        <w:t xml:space="preserve">et </w:t>
      </w:r>
      <w:r w:rsidRPr="00103606">
        <w:rPr>
          <w:rFonts w:cs="Arial"/>
        </w:rPr>
        <w:t xml:space="preserve">(3) </w:t>
      </w:r>
      <w:r w:rsidR="00A95AC9" w:rsidRPr="00A95AC9">
        <w:rPr>
          <w:rFonts w:cs="Arial"/>
        </w:rPr>
        <w:t>la suffisance des allégations quant à la faute, au dommage et au lien de causalité;</w:t>
      </w:r>
      <w:r w:rsidR="00A95AC9">
        <w:rPr>
          <w:rFonts w:cs="Arial"/>
        </w:rPr>
        <w:t xml:space="preserve"> </w:t>
      </w:r>
      <w:r w:rsidR="00A95AC9" w:rsidRPr="00A95AC9">
        <w:rPr>
          <w:rFonts w:cs="Arial"/>
        </w:rPr>
        <w:t xml:space="preserve">(4) la suffisance des allégations relatives aux dommages punitifs ; (5) </w:t>
      </w:r>
      <w:r w:rsidR="009C147B">
        <w:rPr>
          <w:rFonts w:cs="Arial"/>
        </w:rPr>
        <w:t>la suffisance des a</w:t>
      </w:r>
      <w:r w:rsidR="00F66773">
        <w:rPr>
          <w:rFonts w:cs="Arial"/>
        </w:rPr>
        <w:t xml:space="preserve">llégations de solidarité des dommages; et (6) </w:t>
      </w:r>
      <w:r w:rsidR="003A129B">
        <w:rPr>
          <w:rFonts w:cs="Arial"/>
        </w:rPr>
        <w:t xml:space="preserve">la </w:t>
      </w:r>
      <w:r w:rsidR="00A95AC9">
        <w:rPr>
          <w:rFonts w:cs="Arial"/>
        </w:rPr>
        <w:t>c</w:t>
      </w:r>
      <w:r w:rsidR="00A95AC9" w:rsidRPr="00A95AC9">
        <w:rPr>
          <w:rFonts w:cs="Arial"/>
        </w:rPr>
        <w:t>onclusion sur le critère de l’article 575(2) C.p.c.</w:t>
      </w:r>
    </w:p>
    <w:p w14:paraId="30E84120" w14:textId="77777777" w:rsidR="00076CD4" w:rsidRPr="00103606" w:rsidRDefault="00E21D39" w:rsidP="009F319B">
      <w:pPr>
        <w:pStyle w:val="Titre3"/>
        <w:numPr>
          <w:ilvl w:val="0"/>
          <w:numId w:val="17"/>
        </w:numPr>
        <w:ind w:left="1134"/>
        <w:rPr>
          <w:rFonts w:cs="Arial"/>
        </w:rPr>
      </w:pPr>
      <w:bookmarkStart w:id="30" w:name="_Toc256000009"/>
      <w:bookmarkStart w:id="31" w:name="_Toc187475768"/>
      <w:r>
        <w:rPr>
          <w:rFonts w:cs="Arial"/>
        </w:rPr>
        <w:t>Le c</w:t>
      </w:r>
      <w:r w:rsidRPr="00103606">
        <w:rPr>
          <w:rFonts w:cs="Arial"/>
        </w:rPr>
        <w:t xml:space="preserve">adre </w:t>
      </w:r>
      <w:r w:rsidR="001833D3" w:rsidRPr="00103606">
        <w:rPr>
          <w:rFonts w:cs="Arial"/>
        </w:rPr>
        <w:t>juridique</w:t>
      </w:r>
      <w:r w:rsidRPr="00103606">
        <w:rPr>
          <w:rFonts w:cs="Arial"/>
        </w:rPr>
        <w:t xml:space="preserve"> applicable à l’examen du paragraphe 575(2) C.p.c.</w:t>
      </w:r>
      <w:bookmarkEnd w:id="30"/>
      <w:bookmarkEnd w:id="31"/>
    </w:p>
    <w:p w14:paraId="591724F1" w14:textId="77777777" w:rsidR="00B64DFE" w:rsidRPr="00103606" w:rsidRDefault="00E21D39" w:rsidP="00DE5BEC">
      <w:pPr>
        <w:pStyle w:val="Paragrdouble"/>
        <w:spacing w:line="276" w:lineRule="auto"/>
        <w:rPr>
          <w:rFonts w:cs="Arial"/>
        </w:rPr>
      </w:pPr>
      <w:r w:rsidRPr="00103606">
        <w:rPr>
          <w:rFonts w:cs="Arial"/>
        </w:rPr>
        <w:t xml:space="preserve">Les faits allégués par </w:t>
      </w:r>
      <w:r w:rsidR="001833D3" w:rsidRPr="00103606">
        <w:rPr>
          <w:rFonts w:cs="Arial"/>
        </w:rPr>
        <w:t>les</w:t>
      </w:r>
      <w:r w:rsidR="00603B9B" w:rsidRPr="00103606">
        <w:rPr>
          <w:rFonts w:cs="Arial"/>
        </w:rPr>
        <w:t xml:space="preserve"> cod</w:t>
      </w:r>
      <w:r w:rsidRPr="00103606">
        <w:rPr>
          <w:rFonts w:cs="Arial"/>
        </w:rPr>
        <w:t>emanderesse</w:t>
      </w:r>
      <w:r w:rsidR="00603B9B" w:rsidRPr="00103606">
        <w:rPr>
          <w:rFonts w:cs="Arial"/>
        </w:rPr>
        <w:t>s</w:t>
      </w:r>
      <w:r w:rsidRPr="00103606">
        <w:rPr>
          <w:rFonts w:cs="Arial"/>
        </w:rPr>
        <w:t xml:space="preserve"> paraissent-ils justifier les conclusions recherchées? Autrement dit, </w:t>
      </w:r>
      <w:r w:rsidR="00603B9B" w:rsidRPr="00103606">
        <w:rPr>
          <w:rFonts w:cs="Arial"/>
        </w:rPr>
        <w:t>chacune</w:t>
      </w:r>
      <w:r w:rsidRPr="00103606">
        <w:rPr>
          <w:rFonts w:cs="Arial"/>
        </w:rPr>
        <w:t xml:space="preserve"> établit-elle une cause défendable envers </w:t>
      </w:r>
      <w:r w:rsidR="00500C56">
        <w:rPr>
          <w:rFonts w:cs="Arial"/>
        </w:rPr>
        <w:br/>
      </w:r>
      <w:r w:rsidRPr="00103606">
        <w:rPr>
          <w:rFonts w:cs="Arial"/>
        </w:rPr>
        <w:t>l’un ou l’autre des défendeurs?</w:t>
      </w:r>
      <w:r w:rsidR="001E18BE" w:rsidRPr="00103606">
        <w:rPr>
          <w:rFonts w:cs="Arial"/>
        </w:rPr>
        <w:t xml:space="preserve"> Cette question est la première en importance dans le présent dossier, ayant été </w:t>
      </w:r>
      <w:r w:rsidRPr="00103606">
        <w:rPr>
          <w:rFonts w:cs="Arial"/>
        </w:rPr>
        <w:t>plaidée en premier</w:t>
      </w:r>
      <w:r w:rsidR="001E18BE" w:rsidRPr="00103606">
        <w:rPr>
          <w:rFonts w:cs="Arial"/>
        </w:rPr>
        <w:t xml:space="preserve"> par chacune des parties en l’instance.</w:t>
      </w:r>
    </w:p>
    <w:p w14:paraId="67F113DB" w14:textId="77777777" w:rsidR="00152227" w:rsidRPr="00103606" w:rsidRDefault="00E21D39" w:rsidP="007E50B9">
      <w:pPr>
        <w:pStyle w:val="Paragrdouble"/>
        <w:spacing w:after="240" w:line="276" w:lineRule="auto"/>
        <w:rPr>
          <w:rFonts w:cs="Arial"/>
        </w:rPr>
      </w:pPr>
      <w:r w:rsidRPr="00103606">
        <w:rPr>
          <w:rFonts w:cs="Arial"/>
        </w:rPr>
        <w:t>La juge d’autorisation examine d’abord le recours individuel et la situation propre de la personne désignée pour conclure si sa demande remplit le critère du paragraphe 575(2) C.p.c.</w:t>
      </w:r>
      <w:r>
        <w:rPr>
          <w:rStyle w:val="Appelnotedebasdep"/>
          <w:rFonts w:cs="Arial"/>
        </w:rPr>
        <w:footnoteReference w:id="34"/>
      </w:r>
      <w:r w:rsidRPr="00103606">
        <w:rPr>
          <w:rFonts w:cs="Arial"/>
        </w:rPr>
        <w:t xml:space="preserve"> </w:t>
      </w:r>
    </w:p>
    <w:p w14:paraId="26939E63" w14:textId="77777777" w:rsidR="00B01F7D" w:rsidRPr="00103606" w:rsidRDefault="00E21D39" w:rsidP="007E50B9">
      <w:pPr>
        <w:pStyle w:val="Paragrdouble"/>
        <w:spacing w:after="240" w:line="276" w:lineRule="auto"/>
        <w:rPr>
          <w:rFonts w:cs="Arial"/>
        </w:rPr>
      </w:pPr>
      <w:r w:rsidRPr="00103606">
        <w:rPr>
          <w:rFonts w:cs="Arial"/>
        </w:rPr>
        <w:t xml:space="preserve">L’analyse de la question de l’apparence de droit en vertu de l’article 575(2) C.p.c. se fait selon un fardeau de démonstration « léger » </w:t>
      </w:r>
      <w:r w:rsidR="001E18BE" w:rsidRPr="00103606">
        <w:rPr>
          <w:rFonts w:cs="Arial"/>
        </w:rPr>
        <w:t>et moindre</w:t>
      </w:r>
      <w:r w:rsidRPr="00103606">
        <w:rPr>
          <w:rFonts w:cs="Arial"/>
        </w:rPr>
        <w:t>. L’exercice de filtrage à</w:t>
      </w:r>
      <w:r w:rsidR="00500C56">
        <w:rPr>
          <w:rFonts w:cs="Arial"/>
        </w:rPr>
        <w:t> </w:t>
      </w:r>
      <w:r w:rsidRPr="00103606">
        <w:rPr>
          <w:rFonts w:cs="Arial"/>
        </w:rPr>
        <w:t>l’autorisation vise à éviter que les parties défenderesses ne soient confrontées à des réclamations insoutenables</w:t>
      </w:r>
      <w:r>
        <w:rPr>
          <w:rStyle w:val="Appelnotedebasdep"/>
          <w:rFonts w:cs="Arial"/>
        </w:rPr>
        <w:footnoteReference w:id="35"/>
      </w:r>
      <w:r w:rsidRPr="00103606">
        <w:rPr>
          <w:rFonts w:cs="Arial"/>
        </w:rPr>
        <w:t xml:space="preserve">. </w:t>
      </w:r>
      <w:r w:rsidR="001833D3" w:rsidRPr="00103606">
        <w:rPr>
          <w:rFonts w:cs="Arial"/>
        </w:rPr>
        <w:t xml:space="preserve">Comme le résume </w:t>
      </w:r>
      <w:r w:rsidR="00E75D3C">
        <w:rPr>
          <w:rFonts w:cs="Arial"/>
        </w:rPr>
        <w:t>l’honorable juge Frédéric</w:t>
      </w:r>
      <w:r w:rsidR="001833D3" w:rsidRPr="00103606">
        <w:rPr>
          <w:rFonts w:cs="Arial"/>
        </w:rPr>
        <w:t xml:space="preserve"> Bachand dans l’arrêt </w:t>
      </w:r>
      <w:r w:rsidR="001833D3" w:rsidRPr="00103606">
        <w:rPr>
          <w:rFonts w:cs="Arial"/>
          <w:i/>
          <w:iCs/>
        </w:rPr>
        <w:t>Benjamin</w:t>
      </w:r>
      <w:r w:rsidR="001833D3" w:rsidRPr="00103606">
        <w:rPr>
          <w:rFonts w:cs="Arial"/>
        </w:rPr>
        <w:t>, «</w:t>
      </w:r>
      <w:r w:rsidR="00500C56">
        <w:rPr>
          <w:rFonts w:cs="Arial"/>
        </w:rPr>
        <w:t> </w:t>
      </w:r>
      <w:r w:rsidR="001833D3" w:rsidRPr="00103606">
        <w:rPr>
          <w:rFonts w:cs="Arial"/>
        </w:rPr>
        <w:t>le demandeur n’a qu’à établir une simple “ possibilité ˮ d’avoir gain de cause sur le fond, pas même une possibilité “réalisteˮ ou “raisonnableˮ</w:t>
      </w:r>
      <w:r w:rsidR="00500C56">
        <w:rPr>
          <w:rFonts w:cs="Arial"/>
        </w:rPr>
        <w:t> </w:t>
      </w:r>
      <w:r w:rsidR="001833D3" w:rsidRPr="00103606">
        <w:rPr>
          <w:rFonts w:cs="Arial"/>
        </w:rPr>
        <w:t>»</w:t>
      </w:r>
      <w:r>
        <w:rPr>
          <w:rStyle w:val="Appelnotedebasdep"/>
          <w:rFonts w:cs="Arial"/>
        </w:rPr>
        <w:footnoteReference w:id="36"/>
      </w:r>
      <w:r w:rsidR="001833D3" w:rsidRPr="00103606">
        <w:rPr>
          <w:rFonts w:cs="Arial"/>
        </w:rPr>
        <w:t>.</w:t>
      </w:r>
      <w:r w:rsidR="00CB1B4A" w:rsidRPr="00103606">
        <w:rPr>
          <w:rFonts w:cs="Arial"/>
        </w:rPr>
        <w:t xml:space="preserve"> </w:t>
      </w:r>
    </w:p>
    <w:p w14:paraId="0830100A" w14:textId="77777777" w:rsidR="00CB1B4A" w:rsidRPr="00103606" w:rsidRDefault="00E21D39" w:rsidP="007E50B9">
      <w:pPr>
        <w:pStyle w:val="Paragrdouble"/>
        <w:spacing w:after="240" w:line="276" w:lineRule="auto"/>
        <w:rPr>
          <w:rFonts w:cs="Arial"/>
        </w:rPr>
      </w:pPr>
      <w:r w:rsidRPr="00103606">
        <w:rPr>
          <w:rFonts w:cs="Arial"/>
        </w:rPr>
        <w:t>Ainsi, la juge autorisatrice doit donc respecter les limites inhérentes à son rôle de filtrage, qui se résume à «</w:t>
      </w:r>
      <w:r w:rsidR="00500C56">
        <w:rPr>
          <w:rFonts w:cs="Arial"/>
        </w:rPr>
        <w:t> </w:t>
      </w:r>
      <w:r w:rsidRPr="00103606">
        <w:rPr>
          <w:rFonts w:cs="Arial"/>
        </w:rPr>
        <w:t>écarter les demandes frivoles, sans plus</w:t>
      </w:r>
      <w:r w:rsidR="00500C56">
        <w:rPr>
          <w:rFonts w:cs="Arial"/>
        </w:rPr>
        <w:t> </w:t>
      </w:r>
      <w:r w:rsidRPr="00103606">
        <w:rPr>
          <w:rFonts w:cs="Arial"/>
        </w:rPr>
        <w:t>»</w:t>
      </w:r>
      <w:r>
        <w:rPr>
          <w:rStyle w:val="Appelnotedebasdep"/>
          <w:rFonts w:cs="Arial"/>
        </w:rPr>
        <w:footnoteReference w:id="37"/>
      </w:r>
      <w:r w:rsidRPr="00103606">
        <w:rPr>
          <w:rFonts w:cs="Arial"/>
        </w:rPr>
        <w:t xml:space="preserve">. </w:t>
      </w:r>
    </w:p>
    <w:p w14:paraId="36E3FB77" w14:textId="77777777" w:rsidR="001833D3" w:rsidRPr="00103606" w:rsidRDefault="00E21D39" w:rsidP="007E50B9">
      <w:pPr>
        <w:pStyle w:val="Paragrdouble"/>
        <w:spacing w:after="240" w:line="276" w:lineRule="auto"/>
        <w:rPr>
          <w:rFonts w:cs="Arial"/>
        </w:rPr>
      </w:pPr>
      <w:r w:rsidRPr="00103606">
        <w:rPr>
          <w:rFonts w:cs="Arial"/>
        </w:rPr>
        <w:t>Puisque le fardeau en demande en est un de logique et non de preuve</w:t>
      </w:r>
      <w:r>
        <w:rPr>
          <w:rStyle w:val="Appelnotedebasdep"/>
          <w:rFonts w:cs="Arial"/>
        </w:rPr>
        <w:footnoteReference w:id="38"/>
      </w:r>
      <w:r w:rsidRPr="00103606">
        <w:rPr>
          <w:rFonts w:cs="Arial"/>
        </w:rPr>
        <w:t xml:space="preserve">, </w:t>
      </w:r>
      <w:r w:rsidR="00D3035B">
        <w:rPr>
          <w:rFonts w:cs="Arial"/>
        </w:rPr>
        <w:t>il s’agit de</w:t>
      </w:r>
      <w:r w:rsidRPr="00103606">
        <w:rPr>
          <w:rFonts w:cs="Arial"/>
        </w:rPr>
        <w:t xml:space="preserve"> prêter attention non seulement aux faits allégués, mais aussi aux inférences ou aux présomptions de fait ou de droit qui sont susceptibles d’en découler</w:t>
      </w:r>
      <w:r>
        <w:rPr>
          <w:rStyle w:val="Appelnotedebasdep"/>
          <w:rFonts w:cs="Arial"/>
        </w:rPr>
        <w:footnoteReference w:id="39"/>
      </w:r>
      <w:r w:rsidRPr="00103606">
        <w:rPr>
          <w:rFonts w:cs="Arial"/>
        </w:rPr>
        <w:t>, sans se prononcer sur la valeur probante de la preuve</w:t>
      </w:r>
      <w:r>
        <w:rPr>
          <w:rStyle w:val="Appelnotedebasdep"/>
          <w:rFonts w:cs="Arial"/>
        </w:rPr>
        <w:footnoteReference w:id="40"/>
      </w:r>
      <w:r w:rsidRPr="00103606">
        <w:rPr>
          <w:rFonts w:cs="Arial"/>
        </w:rPr>
        <w:t>.</w:t>
      </w:r>
    </w:p>
    <w:p w14:paraId="6332E808" w14:textId="77777777" w:rsidR="009A0CAF" w:rsidRPr="00AD1ED4" w:rsidRDefault="00E21D39" w:rsidP="00AD1ED4">
      <w:pPr>
        <w:pStyle w:val="Paragrdouble"/>
        <w:spacing w:after="240" w:line="276" w:lineRule="auto"/>
        <w:rPr>
          <w:rFonts w:cs="Arial"/>
        </w:rPr>
      </w:pPr>
      <w:r w:rsidRPr="00103606">
        <w:rPr>
          <w:rFonts w:cs="Arial"/>
        </w:rPr>
        <w:t>Les allégations de la demande sont tenues pour avérées, dans la mesure où elles sont suffisamment précises ou, si ce n’est pas le cas, dans la mesure où elles sont accompagnées d’une certaine preuve</w:t>
      </w:r>
      <w:r>
        <w:rPr>
          <w:rStyle w:val="Appelnotedebasdep"/>
          <w:rFonts w:cs="Arial"/>
        </w:rPr>
        <w:footnoteReference w:id="41"/>
      </w:r>
      <w:r w:rsidRPr="00103606">
        <w:rPr>
          <w:rFonts w:cs="Arial"/>
        </w:rPr>
        <w:t xml:space="preserve">. </w:t>
      </w:r>
      <w:r w:rsidR="009B3743" w:rsidRPr="00103606">
        <w:rPr>
          <w:rFonts w:cs="Arial"/>
        </w:rPr>
        <w:t xml:space="preserve">Elles peuvent être </w:t>
      </w:r>
      <w:r w:rsidR="00B01F7D" w:rsidRPr="00103606">
        <w:rPr>
          <w:rFonts w:cs="Arial"/>
        </w:rPr>
        <w:t>« </w:t>
      </w:r>
      <w:r w:rsidR="009B3743" w:rsidRPr="00103606">
        <w:rPr>
          <w:rFonts w:cs="Arial"/>
        </w:rPr>
        <w:t>imparfaites</w:t>
      </w:r>
      <w:r w:rsidR="00500C56">
        <w:rPr>
          <w:rFonts w:cs="Arial"/>
        </w:rPr>
        <w:t> </w:t>
      </w:r>
      <w:r w:rsidR="009B3743" w:rsidRPr="00103606">
        <w:rPr>
          <w:rFonts w:cs="Arial"/>
        </w:rPr>
        <w:t xml:space="preserve">», sans qu’elles contiennent « le menu détail de la preuve qu’un demandeur entend présenter </w:t>
      </w:r>
      <w:r w:rsidR="00051F63">
        <w:rPr>
          <w:rFonts w:cs="Arial"/>
        </w:rPr>
        <w:br/>
      </w:r>
      <w:r w:rsidR="009B3743" w:rsidRPr="00103606">
        <w:rPr>
          <w:rFonts w:cs="Arial"/>
        </w:rPr>
        <w:t>au mérite</w:t>
      </w:r>
      <w:r w:rsidR="00051F63">
        <w:rPr>
          <w:rFonts w:cs="Arial"/>
        </w:rPr>
        <w:t> </w:t>
      </w:r>
      <w:r w:rsidR="009B3743" w:rsidRPr="00103606">
        <w:rPr>
          <w:rFonts w:cs="Arial"/>
        </w:rPr>
        <w:t>»</w:t>
      </w:r>
      <w:r>
        <w:rPr>
          <w:rStyle w:val="Appelnotedebasdep"/>
          <w:rFonts w:cs="Arial"/>
        </w:rPr>
        <w:footnoteReference w:id="42"/>
      </w:r>
      <w:r w:rsidR="009B3743" w:rsidRPr="00103606">
        <w:rPr>
          <w:rFonts w:cs="Arial"/>
        </w:rPr>
        <w:t xml:space="preserve">. </w:t>
      </w:r>
      <w:r w:rsidRPr="00103606">
        <w:rPr>
          <w:rFonts w:cs="Arial"/>
        </w:rPr>
        <w:t xml:space="preserve">Comme l’explique la Cour suprême dans l’arrêt </w:t>
      </w:r>
      <w:r w:rsidR="00585D97" w:rsidRPr="00573001">
        <w:rPr>
          <w:rFonts w:cs="Arial"/>
          <w:i/>
          <w:iCs/>
        </w:rPr>
        <w:t>L</w:t>
      </w:r>
      <w:r w:rsidR="00811274" w:rsidRPr="00573001">
        <w:rPr>
          <w:rFonts w:cs="Arial"/>
          <w:i/>
          <w:iCs/>
        </w:rPr>
        <w:t>’</w:t>
      </w:r>
      <w:r w:rsidRPr="00585D97">
        <w:rPr>
          <w:rFonts w:cs="Arial"/>
          <w:i/>
          <w:iCs/>
        </w:rPr>
        <w:t>Oratoire</w:t>
      </w:r>
      <w:r w:rsidRPr="00103606">
        <w:rPr>
          <w:rFonts w:cs="Arial"/>
        </w:rPr>
        <w:t xml:space="preserve"> : </w:t>
      </w:r>
    </w:p>
    <w:p w14:paraId="32FC7903" w14:textId="77777777" w:rsidR="00D144FC" w:rsidRPr="00103606" w:rsidRDefault="00E21D39" w:rsidP="00811274">
      <w:pPr>
        <w:pStyle w:val="Paragrdouble"/>
        <w:numPr>
          <w:ilvl w:val="0"/>
          <w:numId w:val="0"/>
        </w:numPr>
        <w:spacing w:line="276" w:lineRule="auto"/>
        <w:ind w:left="731" w:right="857"/>
        <w:rPr>
          <w:rFonts w:cs="Arial"/>
          <w:sz w:val="22"/>
          <w:szCs w:val="18"/>
        </w:rPr>
      </w:pPr>
      <w:r w:rsidRPr="00103606">
        <w:rPr>
          <w:rFonts w:cs="Arial"/>
        </w:rPr>
        <w:t>«</w:t>
      </w:r>
      <w:r w:rsidR="00552A6A" w:rsidRPr="00103606">
        <w:rPr>
          <w:rFonts w:cs="Arial"/>
        </w:rPr>
        <w:t> </w:t>
      </w:r>
      <w:r w:rsidRPr="00103606">
        <w:rPr>
          <w:rFonts w:cs="Arial"/>
          <w:sz w:val="22"/>
          <w:szCs w:val="18"/>
        </w:rPr>
        <w:t>[…]</w:t>
      </w:r>
      <w:r w:rsidRPr="00103606">
        <w:rPr>
          <w:rFonts w:cs="Arial"/>
        </w:rPr>
        <w:t> </w:t>
      </w:r>
      <w:r w:rsidRPr="00103606">
        <w:rPr>
          <w:rFonts w:cs="Arial"/>
          <w:sz w:val="22"/>
          <w:szCs w:val="18"/>
        </w:rPr>
        <w:t xml:space="preserve">il est possible que la preuve présentée au soutien de la demande contienne des faits « concrets », « précis » ou « palpables », lesquels sont susceptibles d’établir l’existence d’une cause défendable, et ce, en dépit du caractère apparemment « vague », « général » ou « imprécis » des allégations de la demande. Il est d’ailleurs bien établi que le tribunal appelé à décider si le demandeur s’est acquitté du fardeau qui lui incombe, à savoir démontrer l’existence d’une « cause défendable », doit étudier les allégations </w:t>
      </w:r>
      <w:r w:rsidR="00811274">
        <w:rPr>
          <w:rFonts w:cs="Arial"/>
          <w:sz w:val="22"/>
          <w:szCs w:val="18"/>
        </w:rPr>
        <w:br/>
      </w:r>
      <w:r w:rsidRPr="00103606">
        <w:rPr>
          <w:rFonts w:cs="Arial"/>
          <w:sz w:val="22"/>
          <w:szCs w:val="18"/>
        </w:rPr>
        <w:t xml:space="preserve">de la demande d’autorisation à la lumière de l’ensemble des éléments de preuve documentaire, déclarations sous serment ou transcriptions déposés </w:t>
      </w:r>
      <w:r w:rsidR="00051F63">
        <w:rPr>
          <w:rFonts w:cs="Arial"/>
          <w:sz w:val="22"/>
          <w:szCs w:val="18"/>
        </w:rPr>
        <w:br/>
      </w:r>
      <w:r w:rsidRPr="00103606">
        <w:rPr>
          <w:rFonts w:cs="Arial"/>
          <w:sz w:val="22"/>
          <w:szCs w:val="18"/>
        </w:rPr>
        <w:t>au dossier […].</w:t>
      </w:r>
      <w:r w:rsidR="00051F63">
        <w:rPr>
          <w:rFonts w:cs="Arial"/>
          <w:sz w:val="22"/>
          <w:szCs w:val="18"/>
        </w:rPr>
        <w:t> </w:t>
      </w:r>
      <w:r w:rsidR="00552A6A" w:rsidRPr="00103606">
        <w:rPr>
          <w:rFonts w:cs="Arial"/>
          <w:sz w:val="22"/>
          <w:szCs w:val="18"/>
        </w:rPr>
        <w:t>»</w:t>
      </w:r>
      <w:r>
        <w:rPr>
          <w:rStyle w:val="Appelnotedebasdep"/>
          <w:rFonts w:cs="Arial"/>
          <w:sz w:val="22"/>
          <w:szCs w:val="18"/>
        </w:rPr>
        <w:footnoteReference w:id="43"/>
      </w:r>
    </w:p>
    <w:p w14:paraId="1ABB3678" w14:textId="77777777" w:rsidR="00D144FC" w:rsidRPr="00573001" w:rsidRDefault="00E21D39" w:rsidP="00672075">
      <w:pPr>
        <w:pStyle w:val="Paragrdouble"/>
        <w:numPr>
          <w:ilvl w:val="0"/>
          <w:numId w:val="0"/>
        </w:numPr>
        <w:spacing w:line="240" w:lineRule="auto"/>
        <w:ind w:right="857" w:firstLine="731"/>
        <w:jc w:val="right"/>
        <w:rPr>
          <w:rFonts w:cs="Arial"/>
          <w:sz w:val="20"/>
          <w:szCs w:val="16"/>
        </w:rPr>
      </w:pPr>
      <w:r w:rsidRPr="00573001">
        <w:rPr>
          <w:rFonts w:cs="Arial"/>
          <w:sz w:val="22"/>
          <w:szCs w:val="18"/>
        </w:rPr>
        <w:t>[Références omises]</w:t>
      </w:r>
    </w:p>
    <w:p w14:paraId="1B254CEC" w14:textId="77777777" w:rsidR="00B01F7D" w:rsidRPr="00103606" w:rsidRDefault="00E21D39" w:rsidP="00B01F7D">
      <w:pPr>
        <w:pStyle w:val="Paragrdouble"/>
        <w:spacing w:line="276" w:lineRule="auto"/>
        <w:rPr>
          <w:rFonts w:cs="Arial"/>
        </w:rPr>
      </w:pPr>
      <w:r w:rsidRPr="00103606">
        <w:rPr>
          <w:rFonts w:cs="Arial"/>
        </w:rPr>
        <w:t>De plus, il faut apprécier le contexte entourant des «</w:t>
      </w:r>
      <w:r w:rsidR="00051F63">
        <w:rPr>
          <w:rFonts w:cs="Arial"/>
        </w:rPr>
        <w:t> </w:t>
      </w:r>
      <w:r w:rsidRPr="00103606">
        <w:rPr>
          <w:rFonts w:cs="Arial"/>
        </w:rPr>
        <w:t>événements [de nature sexuelle] survenus il y a de nombreuses années</w:t>
      </w:r>
      <w:r w:rsidR="00051F63">
        <w:rPr>
          <w:rFonts w:cs="Arial"/>
        </w:rPr>
        <w:t> </w:t>
      </w:r>
      <w:r w:rsidRPr="00103606">
        <w:rPr>
          <w:rFonts w:cs="Arial"/>
        </w:rPr>
        <w:t>» lorsque l’on considère le caractère en apparence vague, général ou imprécis des allégations</w:t>
      </w:r>
      <w:r>
        <w:rPr>
          <w:rStyle w:val="Appelnotedebasdep"/>
          <w:rFonts w:cs="Arial"/>
        </w:rPr>
        <w:footnoteReference w:id="44"/>
      </w:r>
      <w:r w:rsidRPr="00103606">
        <w:rPr>
          <w:rFonts w:cs="Arial"/>
        </w:rPr>
        <w:t>.</w:t>
      </w:r>
    </w:p>
    <w:p w14:paraId="0104BD79" w14:textId="77777777" w:rsidR="00D144FC" w:rsidRPr="00103606" w:rsidRDefault="00E21D39" w:rsidP="00B01F7D">
      <w:pPr>
        <w:pStyle w:val="Paragrdouble"/>
        <w:spacing w:line="276" w:lineRule="auto"/>
        <w:rPr>
          <w:rFonts w:cs="Arial"/>
          <w:szCs w:val="24"/>
        </w:rPr>
      </w:pPr>
      <w:r w:rsidRPr="00103606">
        <w:rPr>
          <w:rFonts w:cs="Arial"/>
          <w:szCs w:val="24"/>
        </w:rPr>
        <w:t>Pour ce qui est des</w:t>
      </w:r>
      <w:r w:rsidR="009B3743" w:rsidRPr="00103606">
        <w:rPr>
          <w:rFonts w:cs="Arial"/>
          <w:szCs w:val="24"/>
        </w:rPr>
        <w:t xml:space="preserve"> pièces </w:t>
      </w:r>
      <w:r w:rsidRPr="00103606">
        <w:rPr>
          <w:rFonts w:cs="Arial"/>
          <w:szCs w:val="24"/>
        </w:rPr>
        <w:t>au soutien de la demande d’autorisation, elles visent seulement à « </w:t>
      </w:r>
      <w:r w:rsidR="009B3743" w:rsidRPr="00103606">
        <w:rPr>
          <w:rFonts w:cs="Arial"/>
          <w:szCs w:val="24"/>
        </w:rPr>
        <w:t>étayer le caractère soutenable des prétentions et ne servent aucunement à établir – en clair, à prouver – l’existence d’un fait quelconque »</w:t>
      </w:r>
      <w:r>
        <w:rPr>
          <w:rStyle w:val="Appelnotedebasdep"/>
          <w:rFonts w:cs="Arial"/>
          <w:szCs w:val="24"/>
        </w:rPr>
        <w:footnoteReference w:id="45"/>
      </w:r>
      <w:r w:rsidR="009B3743" w:rsidRPr="00103606">
        <w:rPr>
          <w:rFonts w:cs="Arial"/>
          <w:szCs w:val="24"/>
        </w:rPr>
        <w:t xml:space="preserve">. </w:t>
      </w:r>
      <w:r w:rsidRPr="00103606">
        <w:rPr>
          <w:rFonts w:cs="Arial"/>
          <w:szCs w:val="24"/>
        </w:rPr>
        <w:t>Ainsi, la prudence est de mise</w:t>
      </w:r>
      <w:r w:rsidR="009B3743" w:rsidRPr="00103606">
        <w:rPr>
          <w:rFonts w:cs="Arial"/>
          <w:szCs w:val="24"/>
        </w:rPr>
        <w:t xml:space="preserve"> à l’examen du deuxième critère</w:t>
      </w:r>
      <w:r w:rsidRPr="00103606">
        <w:rPr>
          <w:rFonts w:cs="Arial"/>
          <w:szCs w:val="24"/>
        </w:rPr>
        <w:t>, pour « </w:t>
      </w:r>
      <w:r w:rsidR="00076CD4" w:rsidRPr="00103606">
        <w:rPr>
          <w:rFonts w:cs="Arial"/>
          <w:szCs w:val="24"/>
        </w:rPr>
        <w:t>se garder d’apprécier la preuve contradictoir</w:t>
      </w:r>
      <w:r w:rsidR="009B3743" w:rsidRPr="00103606">
        <w:rPr>
          <w:rFonts w:cs="Arial"/>
          <w:szCs w:val="24"/>
        </w:rPr>
        <w:t>e</w:t>
      </w:r>
      <w:r w:rsidR="00076CD4" w:rsidRPr="00103606">
        <w:rPr>
          <w:rFonts w:cs="Arial"/>
          <w:szCs w:val="24"/>
        </w:rPr>
        <w:t xml:space="preserve"> soumise, de tenir pour avérés les faits et la preuve allégués par la partie défenderesse ou encore de se prononcer sur les moyens soulevés par cette dernière.</w:t>
      </w:r>
      <w:r>
        <w:rPr>
          <w:rStyle w:val="Appelnotedebasdep"/>
          <w:rFonts w:cs="Arial"/>
          <w:szCs w:val="24"/>
        </w:rPr>
        <w:footnoteReference w:id="46"/>
      </w:r>
      <w:r w:rsidR="00076CD4" w:rsidRPr="00103606">
        <w:rPr>
          <w:rFonts w:cs="Arial"/>
          <w:szCs w:val="24"/>
        </w:rPr>
        <w:t xml:space="preserve">» </w:t>
      </w:r>
      <w:r w:rsidR="00603B9B" w:rsidRPr="00103606">
        <w:rPr>
          <w:rFonts w:cs="Arial"/>
        </w:rPr>
        <w:t>Les défendeurs ont tenté d’introduire la déclaration du 19 septembre 2008</w:t>
      </w:r>
      <w:r w:rsidR="009B3743" w:rsidRPr="00103606">
        <w:rPr>
          <w:rFonts w:cs="Arial"/>
        </w:rPr>
        <w:t xml:space="preserve"> pour discréditer les faits exposés par la demanderesse V.R</w:t>
      </w:r>
      <w:r w:rsidR="00603B9B" w:rsidRPr="00103606">
        <w:rPr>
          <w:rFonts w:cs="Arial"/>
        </w:rPr>
        <w:t>. J’ai disposé de cette question ci-haut, refusant l’admission en preuve de cette déclaration.</w:t>
      </w:r>
    </w:p>
    <w:p w14:paraId="2DE5863A" w14:textId="77777777" w:rsidR="00287164" w:rsidRPr="00103606" w:rsidRDefault="00E21D39" w:rsidP="009F319B">
      <w:pPr>
        <w:pStyle w:val="Titre3"/>
        <w:numPr>
          <w:ilvl w:val="0"/>
          <w:numId w:val="17"/>
        </w:numPr>
        <w:ind w:left="1134"/>
        <w:rPr>
          <w:rFonts w:cs="Arial"/>
          <w:szCs w:val="24"/>
        </w:rPr>
      </w:pPr>
      <w:bookmarkStart w:id="32" w:name="_Toc256000010"/>
      <w:bookmarkStart w:id="33" w:name="_Toc187475769"/>
      <w:r w:rsidRPr="00103606">
        <w:rPr>
          <w:rFonts w:cs="Arial"/>
        </w:rPr>
        <w:t>Les causes d’actions des codemanderesses ne sont pas prescrites</w:t>
      </w:r>
      <w:r w:rsidR="00020BEB" w:rsidRPr="00103606">
        <w:rPr>
          <w:rFonts w:cs="Arial"/>
        </w:rPr>
        <w:t xml:space="preserve"> à leur face</w:t>
      </w:r>
      <w:r w:rsidR="00ED7675">
        <w:rPr>
          <w:rFonts w:cs="Arial"/>
        </w:rPr>
        <w:t xml:space="preserve"> </w:t>
      </w:r>
      <w:r w:rsidR="00020BEB" w:rsidRPr="00103606">
        <w:rPr>
          <w:rFonts w:cs="Arial"/>
        </w:rPr>
        <w:t>même</w:t>
      </w:r>
      <w:bookmarkEnd w:id="32"/>
      <w:bookmarkEnd w:id="33"/>
    </w:p>
    <w:p w14:paraId="595B2C8C" w14:textId="77777777" w:rsidR="00811274" w:rsidRPr="00811274" w:rsidRDefault="00E21D39" w:rsidP="00A93925">
      <w:pPr>
        <w:pStyle w:val="Paragrdouble"/>
        <w:spacing w:line="276" w:lineRule="auto"/>
        <w:rPr>
          <w:rFonts w:cs="Arial"/>
          <w:szCs w:val="24"/>
        </w:rPr>
      </w:pPr>
      <w:r w:rsidRPr="00103606">
        <w:rPr>
          <w:rFonts w:cs="Arial"/>
        </w:rPr>
        <w:t xml:space="preserve">Il convient d’entrée de jeu </w:t>
      </w:r>
      <w:r w:rsidR="00CF1997" w:rsidRPr="00103606">
        <w:rPr>
          <w:rFonts w:cs="Arial"/>
        </w:rPr>
        <w:t>de constater</w:t>
      </w:r>
      <w:r w:rsidRPr="00103606">
        <w:rPr>
          <w:rFonts w:cs="Arial"/>
        </w:rPr>
        <w:t xml:space="preserve"> que</w:t>
      </w:r>
      <w:r w:rsidR="00287164" w:rsidRPr="00103606">
        <w:rPr>
          <w:rFonts w:cs="Arial"/>
        </w:rPr>
        <w:t xml:space="preserve"> les causes d’action des codemanderesses </w:t>
      </w:r>
      <w:r w:rsidRPr="00103606">
        <w:rPr>
          <w:rFonts w:cs="Arial"/>
        </w:rPr>
        <w:t xml:space="preserve">ne </w:t>
      </w:r>
      <w:r w:rsidR="00287164" w:rsidRPr="00103606">
        <w:rPr>
          <w:rFonts w:cs="Arial"/>
        </w:rPr>
        <w:t xml:space="preserve">sont </w:t>
      </w:r>
      <w:r w:rsidRPr="00103606">
        <w:rPr>
          <w:rFonts w:cs="Arial"/>
        </w:rPr>
        <w:t xml:space="preserve">pas </w:t>
      </w:r>
      <w:r w:rsidR="00287164" w:rsidRPr="00103606">
        <w:rPr>
          <w:rFonts w:cs="Arial"/>
        </w:rPr>
        <w:t>prescrites</w:t>
      </w:r>
      <w:r w:rsidR="00CF1997" w:rsidRPr="00103606">
        <w:rPr>
          <w:rFonts w:cs="Arial"/>
        </w:rPr>
        <w:t xml:space="preserve"> à leur face</w:t>
      </w:r>
      <w:r w:rsidR="00ED7675">
        <w:rPr>
          <w:rFonts w:cs="Arial"/>
        </w:rPr>
        <w:t xml:space="preserve"> </w:t>
      </w:r>
      <w:r w:rsidR="00CF1997" w:rsidRPr="00103606">
        <w:rPr>
          <w:rFonts w:cs="Arial"/>
        </w:rPr>
        <w:t>même</w:t>
      </w:r>
      <w:r w:rsidR="00287164" w:rsidRPr="00103606">
        <w:rPr>
          <w:rFonts w:cs="Arial"/>
        </w:rPr>
        <w:t xml:space="preserve">. </w:t>
      </w:r>
    </w:p>
    <w:p w14:paraId="19C8D529" w14:textId="77777777" w:rsidR="00A93925" w:rsidRPr="00103606" w:rsidRDefault="00E21D39" w:rsidP="00A93925">
      <w:pPr>
        <w:pStyle w:val="Paragrdouble"/>
        <w:spacing w:line="276" w:lineRule="auto"/>
        <w:rPr>
          <w:rFonts w:cs="Arial"/>
          <w:szCs w:val="24"/>
        </w:rPr>
      </w:pPr>
      <w:r w:rsidRPr="00103606">
        <w:rPr>
          <w:rFonts w:cs="Arial"/>
        </w:rPr>
        <w:t xml:space="preserve">La Cour d’appel a bien établi dans l’arrêt </w:t>
      </w:r>
      <w:r w:rsidRPr="00103606">
        <w:rPr>
          <w:rFonts w:cs="Arial"/>
          <w:i/>
          <w:iCs/>
        </w:rPr>
        <w:t>Godin c</w:t>
      </w:r>
      <w:r w:rsidR="00051F63">
        <w:rPr>
          <w:rFonts w:cs="Arial"/>
          <w:i/>
          <w:iCs/>
        </w:rPr>
        <w:t>.</w:t>
      </w:r>
      <w:r w:rsidRPr="00103606">
        <w:rPr>
          <w:rFonts w:cs="Arial"/>
          <w:i/>
          <w:iCs/>
        </w:rPr>
        <w:t xml:space="preserve"> Société canadienne de la Croix-Rouge</w:t>
      </w:r>
      <w:r>
        <w:rPr>
          <w:rStyle w:val="Appelnotedebasdep"/>
          <w:rFonts w:cs="Arial"/>
          <w:i/>
          <w:iCs/>
        </w:rPr>
        <w:footnoteReference w:id="47"/>
      </w:r>
      <w:r w:rsidRPr="00103606">
        <w:rPr>
          <w:rFonts w:cs="Arial"/>
        </w:rPr>
        <w:t xml:space="preserve"> qu’au stade de l’autorisation d’une action collective, si la prescription apparaît à la face même des procédures, la Cour peut rejeter la demande d’autorisation d’exercer une action collective sur cette base.</w:t>
      </w:r>
      <w:r w:rsidRPr="00103606">
        <w:rPr>
          <w:rFonts w:cs="Arial"/>
          <w:szCs w:val="24"/>
        </w:rPr>
        <w:t xml:space="preserve"> </w:t>
      </w:r>
      <w:r w:rsidR="003A129B">
        <w:rPr>
          <w:rFonts w:cs="Arial"/>
          <w:szCs w:val="24"/>
        </w:rPr>
        <w:t>Ce n’est pas le cas ici.</w:t>
      </w:r>
    </w:p>
    <w:p w14:paraId="48A63D0B" w14:textId="77777777" w:rsidR="00494BAB" w:rsidRPr="00103606" w:rsidRDefault="00E21D39" w:rsidP="00494BAB">
      <w:pPr>
        <w:pStyle w:val="Paragrdouble"/>
        <w:spacing w:line="276" w:lineRule="auto"/>
        <w:rPr>
          <w:rFonts w:cs="Arial"/>
        </w:rPr>
      </w:pPr>
      <w:r w:rsidRPr="00103606">
        <w:rPr>
          <w:rFonts w:cs="Arial"/>
        </w:rPr>
        <w:t>Soulignons aussi que la question de la prescription est prématurée au stade de l’autorisation. De la même manière que la prudence est de mise dans l’application de l’article 2926.1</w:t>
      </w:r>
      <w:r w:rsidR="003803F0">
        <w:rPr>
          <w:rFonts w:cs="Arial"/>
        </w:rPr>
        <w:t xml:space="preserve"> </w:t>
      </w:r>
      <w:r w:rsidR="003803F0" w:rsidRPr="00103606">
        <w:rPr>
          <w:rFonts w:cs="Arial"/>
        </w:rPr>
        <w:t>C.c.Q.</w:t>
      </w:r>
      <w:r w:rsidRPr="00103606">
        <w:rPr>
          <w:rFonts w:cs="Arial"/>
        </w:rPr>
        <w:t>, particulièrement au stade préliminaire d’une demande d’irrecevabilité</w:t>
      </w:r>
      <w:r>
        <w:rPr>
          <w:rStyle w:val="Appelnotedebasdep"/>
          <w:rFonts w:cs="Arial"/>
        </w:rPr>
        <w:footnoteReference w:id="48"/>
      </w:r>
      <w:r w:rsidRPr="00103606">
        <w:rPr>
          <w:rFonts w:cs="Arial"/>
        </w:rPr>
        <w:t>, les allégations des codemanderesses à l’effet que leurs causes d’actions ne sont pas prescrites sont suffisantes.</w:t>
      </w:r>
    </w:p>
    <w:p w14:paraId="2C809CD9" w14:textId="77777777" w:rsidR="00915ABA" w:rsidRPr="00103606" w:rsidRDefault="00E21D39" w:rsidP="00BA3E52">
      <w:pPr>
        <w:pStyle w:val="Paragrdouble"/>
        <w:spacing w:line="276" w:lineRule="auto"/>
        <w:rPr>
          <w:rFonts w:cs="Arial"/>
          <w:szCs w:val="24"/>
        </w:rPr>
      </w:pPr>
      <w:r w:rsidRPr="00103606">
        <w:rPr>
          <w:rFonts w:cs="Arial"/>
        </w:rPr>
        <w:t xml:space="preserve">La Demande d’autorisation initiale fut déposée le 22 février 2023. </w:t>
      </w:r>
    </w:p>
    <w:p w14:paraId="5D0E001B" w14:textId="77777777" w:rsidR="00C04DAA" w:rsidRPr="00103606" w:rsidRDefault="00E21D39" w:rsidP="00BA3E52">
      <w:pPr>
        <w:pStyle w:val="Paragrdouble"/>
        <w:spacing w:line="276" w:lineRule="auto"/>
        <w:rPr>
          <w:rFonts w:cs="Arial"/>
          <w:szCs w:val="24"/>
        </w:rPr>
      </w:pPr>
      <w:r w:rsidRPr="00103606">
        <w:rPr>
          <w:rFonts w:cs="Arial"/>
          <w:szCs w:val="24"/>
        </w:rPr>
        <w:t>Or, l</w:t>
      </w:r>
      <w:r w:rsidR="00FE37D8" w:rsidRPr="00103606">
        <w:rPr>
          <w:rFonts w:cs="Arial"/>
        </w:rPr>
        <w:t xml:space="preserve">e </w:t>
      </w:r>
      <w:r w:rsidR="00BA3E52" w:rsidRPr="00103606">
        <w:rPr>
          <w:rFonts w:cs="Arial"/>
        </w:rPr>
        <w:t>12</w:t>
      </w:r>
      <w:r w:rsidR="00FE37D8" w:rsidRPr="00103606">
        <w:rPr>
          <w:rFonts w:cs="Arial"/>
        </w:rPr>
        <w:t xml:space="preserve"> juin 2020, une version </w:t>
      </w:r>
      <w:r w:rsidRPr="00103606">
        <w:rPr>
          <w:rFonts w:cs="Arial"/>
        </w:rPr>
        <w:t xml:space="preserve">amendée de l’article 2926.1 C.c.Q. </w:t>
      </w:r>
      <w:r w:rsidR="005A5664" w:rsidRPr="00103606">
        <w:rPr>
          <w:rFonts w:cs="Arial"/>
        </w:rPr>
        <w:t>entr</w:t>
      </w:r>
      <w:r w:rsidR="005A5664">
        <w:rPr>
          <w:rFonts w:cs="Arial"/>
        </w:rPr>
        <w:t>ait</w:t>
      </w:r>
      <w:r w:rsidR="005A5664" w:rsidRPr="00103606">
        <w:rPr>
          <w:rFonts w:cs="Arial"/>
        </w:rPr>
        <w:t xml:space="preserve"> </w:t>
      </w:r>
      <w:r w:rsidRPr="00103606">
        <w:rPr>
          <w:rFonts w:cs="Arial"/>
        </w:rPr>
        <w:t xml:space="preserve">en vigueur, rendant du coup imprescriptibles les réclamations en dommages </w:t>
      </w:r>
      <w:r w:rsidR="00BA3E52" w:rsidRPr="00103606">
        <w:rPr>
          <w:rFonts w:cs="Arial"/>
        </w:rPr>
        <w:t xml:space="preserve">découlant d’un préjudice corporel résultant d’une agression à caractère sexuel. </w:t>
      </w:r>
    </w:p>
    <w:p w14:paraId="7D26EC63" w14:textId="77777777" w:rsidR="00CF1997" w:rsidRPr="00103606" w:rsidRDefault="00E21D39" w:rsidP="00BA3E52">
      <w:pPr>
        <w:pStyle w:val="Paragrdouble"/>
        <w:spacing w:line="276" w:lineRule="auto"/>
        <w:rPr>
          <w:rFonts w:cs="Arial"/>
          <w:szCs w:val="24"/>
        </w:rPr>
      </w:pPr>
      <w:r w:rsidRPr="00103606">
        <w:rPr>
          <w:rFonts w:cs="Arial"/>
          <w:szCs w:val="24"/>
        </w:rPr>
        <w:t>L’article se l</w:t>
      </w:r>
      <w:r w:rsidR="00C51075" w:rsidRPr="00103606">
        <w:rPr>
          <w:rFonts w:cs="Arial"/>
          <w:szCs w:val="24"/>
        </w:rPr>
        <w:t>i</w:t>
      </w:r>
      <w:r w:rsidRPr="00103606">
        <w:rPr>
          <w:rFonts w:cs="Arial"/>
          <w:szCs w:val="24"/>
        </w:rPr>
        <w:t>t comme suit :</w:t>
      </w:r>
    </w:p>
    <w:tbl>
      <w:tblPr>
        <w:tblStyle w:val="Grilledutableau"/>
        <w:tblW w:w="0" w:type="auto"/>
        <w:tblInd w:w="562" w:type="dxa"/>
        <w:tblLook w:val="04A0" w:firstRow="1" w:lastRow="0" w:firstColumn="1" w:lastColumn="0" w:noHBand="0" w:noVBand="1"/>
      </w:tblPr>
      <w:tblGrid>
        <w:gridCol w:w="4114"/>
        <w:gridCol w:w="3966"/>
      </w:tblGrid>
      <w:tr w:rsidR="006141B8" w14:paraId="5BBFE35B" w14:textId="77777777" w:rsidTr="00573001">
        <w:tc>
          <w:tcPr>
            <w:tcW w:w="4114" w:type="dxa"/>
          </w:tcPr>
          <w:p w14:paraId="59479756" w14:textId="77777777" w:rsidR="00BA3E52" w:rsidRPr="00103606" w:rsidRDefault="00E21D39" w:rsidP="00573001">
            <w:pPr>
              <w:spacing w:before="120"/>
              <w:ind w:left="57" w:right="57"/>
              <w:jc w:val="both"/>
              <w:rPr>
                <w:rFonts w:cs="Arial"/>
                <w:sz w:val="22"/>
                <w:szCs w:val="18"/>
              </w:rPr>
            </w:pPr>
            <w:r w:rsidRPr="00103606">
              <w:rPr>
                <w:rFonts w:cs="Arial"/>
                <w:b/>
                <w:bCs/>
                <w:sz w:val="22"/>
                <w:szCs w:val="18"/>
              </w:rPr>
              <w:t>2926.1.</w:t>
            </w:r>
            <w:r w:rsidRPr="00103606">
              <w:rPr>
                <w:rFonts w:cs="Arial"/>
                <w:sz w:val="22"/>
                <w:szCs w:val="18"/>
              </w:rPr>
              <w:t xml:space="preserve"> L’action en réparation du préjudice corporel résultant d’un acte pouvant constituer une infraction criminelle se prescrit par 10 ans à compter du jour où la victime a connaissance que son préjudice est attribuable à cet acte. Cette action est </w:t>
            </w:r>
            <w:r w:rsidRPr="00103606">
              <w:rPr>
                <w:rFonts w:cs="Arial"/>
                <w:sz w:val="22"/>
                <w:szCs w:val="18"/>
                <w:u w:val="single"/>
              </w:rPr>
              <w:t>cependant imprescriptible si le préjudice résulte d’une agression à caractère sexuel</w:t>
            </w:r>
            <w:r w:rsidRPr="00103606">
              <w:rPr>
                <w:rFonts w:cs="Arial"/>
                <w:sz w:val="22"/>
                <w:szCs w:val="18"/>
              </w:rPr>
              <w:t>, de la violence subie pendant l’enfance, ou de la violence d’un conjoint ou d’un ancien conjoint.</w:t>
            </w:r>
          </w:p>
          <w:p w14:paraId="2A85A45F" w14:textId="77777777" w:rsidR="00BA3E52" w:rsidRPr="00103606" w:rsidRDefault="00E21D39" w:rsidP="00573001">
            <w:pPr>
              <w:spacing w:before="120"/>
              <w:jc w:val="both"/>
              <w:rPr>
                <w:rFonts w:cs="Arial"/>
                <w:sz w:val="22"/>
                <w:szCs w:val="18"/>
              </w:rPr>
            </w:pPr>
            <w:r w:rsidRPr="00103606">
              <w:rPr>
                <w:rFonts w:cs="Arial"/>
                <w:sz w:val="22"/>
                <w:szCs w:val="18"/>
              </w:rPr>
              <w:t>Toutefois, l’action contre l’héritier, le légataire particulier ou le successible de l’auteur de l’acte, ou contre le liquidateur de la succession de celui-ci, doit être intentée dans les trois ans du décès de l’auteur de l’acte, sous peine de déchéance, sauf si le défendeur est poursuivi pour sa propre faute ou à titre de commettant. De même, l’action exercée en raison du préjudice subi par la victime doit être intentée dans les trois ans du décès de celle-ci, sous peine de déchéance. </w:t>
            </w:r>
          </w:p>
          <w:p w14:paraId="63FF9A17" w14:textId="77777777" w:rsidR="00C51075" w:rsidRPr="00103606" w:rsidRDefault="00E21D39" w:rsidP="004315EC">
            <w:pPr>
              <w:spacing w:before="120" w:after="120"/>
              <w:jc w:val="right"/>
              <w:rPr>
                <w:rFonts w:cs="Arial"/>
                <w:sz w:val="22"/>
                <w:szCs w:val="18"/>
              </w:rPr>
            </w:pPr>
            <w:r w:rsidRPr="00103606">
              <w:rPr>
                <w:rFonts w:cs="Arial"/>
                <w:sz w:val="22"/>
                <w:szCs w:val="18"/>
              </w:rPr>
              <w:t>[Notre soulignement]</w:t>
            </w:r>
          </w:p>
        </w:tc>
        <w:tc>
          <w:tcPr>
            <w:tcW w:w="3966" w:type="dxa"/>
          </w:tcPr>
          <w:p w14:paraId="5FC74C6E" w14:textId="77777777" w:rsidR="00BA3E52" w:rsidRPr="00103606" w:rsidRDefault="00E21D39" w:rsidP="00573001">
            <w:pPr>
              <w:spacing w:before="120"/>
              <w:ind w:left="57" w:right="57"/>
              <w:jc w:val="both"/>
              <w:rPr>
                <w:rFonts w:cs="Arial"/>
                <w:sz w:val="22"/>
                <w:szCs w:val="18"/>
                <w:lang w:val="en-US"/>
              </w:rPr>
            </w:pPr>
            <w:r w:rsidRPr="00103606">
              <w:rPr>
                <w:rFonts w:cs="Arial"/>
                <w:b/>
                <w:bCs/>
                <w:sz w:val="22"/>
                <w:szCs w:val="18"/>
                <w:lang w:val="en-US"/>
              </w:rPr>
              <w:t>2926.1</w:t>
            </w:r>
            <w:r w:rsidRPr="00103606">
              <w:rPr>
                <w:rFonts w:cs="Arial"/>
                <w:sz w:val="22"/>
                <w:szCs w:val="18"/>
                <w:lang w:val="en-US"/>
              </w:rPr>
              <w:t>. An action for damages for bodily injury resulting from an act which could constitute a criminal offence is prescribed by 10 years from the date the victim becomes aware that the injury suffered is attributable to that act. Nevertheless, such an action cannot be prescribed if the injury results from a sexual aggression, violent behaviour suffered during childhood, or the violent behaviour of a spouse or former spouse.</w:t>
            </w:r>
          </w:p>
          <w:p w14:paraId="7BCBFD43" w14:textId="77777777" w:rsidR="00BA3E52" w:rsidRPr="00103606" w:rsidRDefault="00E21D39" w:rsidP="00573001">
            <w:pPr>
              <w:spacing w:before="120"/>
              <w:jc w:val="both"/>
              <w:rPr>
                <w:rFonts w:cs="Arial"/>
                <w:sz w:val="22"/>
                <w:szCs w:val="18"/>
                <w:lang w:val="en-US"/>
              </w:rPr>
            </w:pPr>
            <w:r w:rsidRPr="00103606">
              <w:rPr>
                <w:rFonts w:cs="Arial"/>
                <w:sz w:val="22"/>
                <w:szCs w:val="18"/>
                <w:lang w:val="en-US"/>
              </w:rPr>
              <w:t>However, an action against an heir, a legatee by particular title or a successor of the author of the act or against the liquidator of the author’s succession must, under pain of forfeiture, be instituted within three years after the author’s death, unless the defendant is sued for the defendant’s own fault or as a principal. Likewise, an action brought for injury suffered by the victim must, under pain of forfeiture, be instituted within three years after the victim’s death.</w:t>
            </w:r>
          </w:p>
        </w:tc>
      </w:tr>
    </w:tbl>
    <w:p w14:paraId="6B82092D" w14:textId="77777777" w:rsidR="00CF1997" w:rsidRPr="00103606" w:rsidRDefault="00CF1997" w:rsidP="00573001">
      <w:pPr>
        <w:pStyle w:val="Paragrdouble"/>
        <w:numPr>
          <w:ilvl w:val="0"/>
          <w:numId w:val="0"/>
        </w:numPr>
        <w:spacing w:after="0" w:line="240" w:lineRule="auto"/>
        <w:rPr>
          <w:rFonts w:cs="Arial"/>
          <w:sz w:val="22"/>
          <w:szCs w:val="22"/>
          <w:lang w:val="en-US"/>
        </w:rPr>
      </w:pPr>
    </w:p>
    <w:p w14:paraId="76A6EB7F" w14:textId="77777777" w:rsidR="00CF1997" w:rsidRPr="00103606" w:rsidRDefault="00E21D39" w:rsidP="00DD4566">
      <w:pPr>
        <w:pStyle w:val="Paragrdouble"/>
        <w:spacing w:line="276" w:lineRule="auto"/>
        <w:rPr>
          <w:rFonts w:cs="Arial"/>
          <w:szCs w:val="24"/>
        </w:rPr>
      </w:pPr>
      <w:r w:rsidRPr="00103606">
        <w:rPr>
          <w:rFonts w:cs="Arial"/>
          <w:szCs w:val="24"/>
        </w:rPr>
        <w:t>Cette modification étend le champ d’application de l’article 2926.1 C.c.Q. en offrant dorénavant l’imprescriptibilité du recours à la victime d’un préjudice corporel résultant d’une agression à caractère sexuel.</w:t>
      </w:r>
      <w:r w:rsidR="00E40925" w:rsidRPr="00103606">
        <w:rPr>
          <w:rFonts w:cs="Arial"/>
          <w:szCs w:val="24"/>
        </w:rPr>
        <w:t xml:space="preserve"> En effet, l’art. 2926.1 a été introduit dans le </w:t>
      </w:r>
      <w:r w:rsidR="00E40925" w:rsidRPr="00103606">
        <w:rPr>
          <w:rFonts w:cs="Arial"/>
          <w:i/>
          <w:iCs/>
          <w:szCs w:val="24"/>
        </w:rPr>
        <w:t xml:space="preserve">Code civil du Québec </w:t>
      </w:r>
      <w:r w:rsidR="00E40925" w:rsidRPr="00103606">
        <w:rPr>
          <w:rFonts w:cs="Arial"/>
          <w:szCs w:val="24"/>
        </w:rPr>
        <w:t>afin de «</w:t>
      </w:r>
      <w:r w:rsidR="005A5664">
        <w:t> </w:t>
      </w:r>
      <w:r w:rsidR="00E40925" w:rsidRPr="00103606">
        <w:rPr>
          <w:rFonts w:cs="Arial"/>
          <w:szCs w:val="24"/>
        </w:rPr>
        <w:t>faciliter l’accès à la justice civile aux personnes victimes d’actes pouvant constituer une infraction criminelle</w:t>
      </w:r>
      <w:r w:rsidR="005A5664">
        <w:t> </w:t>
      </w:r>
      <w:r w:rsidR="00E40925" w:rsidRPr="00103606">
        <w:rPr>
          <w:rFonts w:cs="Arial"/>
          <w:szCs w:val="24"/>
        </w:rPr>
        <w:t>»</w:t>
      </w:r>
      <w:r>
        <w:rPr>
          <w:rStyle w:val="Appelnotedebasdep"/>
          <w:rFonts w:cs="Arial"/>
          <w:szCs w:val="24"/>
        </w:rPr>
        <w:footnoteReference w:id="49"/>
      </w:r>
      <w:r w:rsidR="00ED7675">
        <w:rPr>
          <w:rFonts w:cs="Arial"/>
          <w:szCs w:val="24"/>
        </w:rPr>
        <w:t>.</w:t>
      </w:r>
    </w:p>
    <w:p w14:paraId="7CA5538E" w14:textId="77777777" w:rsidR="00CF1997" w:rsidRPr="00103606" w:rsidRDefault="00E21D39" w:rsidP="00DD4566">
      <w:pPr>
        <w:pStyle w:val="Paragrdouble"/>
        <w:spacing w:line="276" w:lineRule="auto"/>
        <w:rPr>
          <w:rFonts w:cs="Arial"/>
          <w:szCs w:val="24"/>
        </w:rPr>
      </w:pPr>
      <w:r w:rsidRPr="00103606">
        <w:rPr>
          <w:rFonts w:cs="Arial"/>
          <w:szCs w:val="24"/>
        </w:rPr>
        <w:t>De plus, l’article 4 de la loi modificatrice</w:t>
      </w:r>
      <w:r>
        <w:rPr>
          <w:rStyle w:val="Appelnotedebasdep"/>
          <w:rFonts w:cs="Arial"/>
          <w:szCs w:val="24"/>
        </w:rPr>
        <w:footnoteReference w:id="50"/>
      </w:r>
      <w:r w:rsidRPr="00103606">
        <w:rPr>
          <w:rFonts w:cs="Arial"/>
          <w:szCs w:val="24"/>
        </w:rPr>
        <w:t xml:space="preserve">, dans la section des Dispositions </w:t>
      </w:r>
      <w:r w:rsidR="00ED7675">
        <w:rPr>
          <w:rFonts w:cs="Arial"/>
          <w:szCs w:val="24"/>
        </w:rPr>
        <w:t>t</w:t>
      </w:r>
      <w:r w:rsidRPr="00103606">
        <w:rPr>
          <w:rFonts w:cs="Arial"/>
          <w:szCs w:val="24"/>
        </w:rPr>
        <w:t xml:space="preserve">ransitoires et </w:t>
      </w:r>
      <w:r w:rsidR="00ED7675">
        <w:rPr>
          <w:rFonts w:cs="Arial"/>
          <w:szCs w:val="24"/>
        </w:rPr>
        <w:t>f</w:t>
      </w:r>
      <w:r w:rsidRPr="00103606">
        <w:rPr>
          <w:rFonts w:cs="Arial"/>
          <w:szCs w:val="24"/>
        </w:rPr>
        <w:t>inales, prévoit ce qui suit:</w:t>
      </w:r>
    </w:p>
    <w:tbl>
      <w:tblPr>
        <w:tblStyle w:val="Grilledutableau"/>
        <w:tblW w:w="0" w:type="auto"/>
        <w:tblInd w:w="562" w:type="dxa"/>
        <w:tblLook w:val="04A0" w:firstRow="1" w:lastRow="0" w:firstColumn="1" w:lastColumn="0" w:noHBand="0" w:noVBand="1"/>
      </w:tblPr>
      <w:tblGrid>
        <w:gridCol w:w="3972"/>
        <w:gridCol w:w="3824"/>
      </w:tblGrid>
      <w:tr w:rsidR="006141B8" w14:paraId="4A092E46" w14:textId="77777777" w:rsidTr="00573001">
        <w:tc>
          <w:tcPr>
            <w:tcW w:w="3972" w:type="dxa"/>
          </w:tcPr>
          <w:p w14:paraId="6D83687E" w14:textId="77777777" w:rsidR="00CF1997" w:rsidRPr="00103606" w:rsidRDefault="00E21D39" w:rsidP="00573001">
            <w:pPr>
              <w:pStyle w:val="Paragrdouble"/>
              <w:numPr>
                <w:ilvl w:val="0"/>
                <w:numId w:val="0"/>
              </w:numPr>
              <w:spacing w:after="0" w:line="240" w:lineRule="auto"/>
              <w:ind w:left="57" w:right="57"/>
              <w:rPr>
                <w:rFonts w:cs="Arial"/>
                <w:sz w:val="22"/>
                <w:szCs w:val="18"/>
              </w:rPr>
            </w:pPr>
            <w:r w:rsidRPr="00103606">
              <w:rPr>
                <w:rFonts w:cs="Arial"/>
                <w:sz w:val="22"/>
                <w:szCs w:val="18"/>
              </w:rPr>
              <w:t xml:space="preserve">L’article 2926.1 du Code civil, modifié par l’article 2 de la présente loi, </w:t>
            </w:r>
            <w:r w:rsidRPr="00103606">
              <w:rPr>
                <w:rFonts w:cs="Arial"/>
                <w:sz w:val="22"/>
                <w:szCs w:val="18"/>
                <w:u w:val="single"/>
              </w:rPr>
              <w:t>s’applique à toute action en réparation du préjudice corporel résultant d’un acte pouvant constituer une infraction criminelle si le préjudice résulte d’une agression à caractère sexuel</w:t>
            </w:r>
            <w:r w:rsidRPr="00103606">
              <w:rPr>
                <w:rFonts w:cs="Arial"/>
                <w:sz w:val="22"/>
                <w:szCs w:val="18"/>
              </w:rPr>
              <w:t>, de la violence subie pendant l’enfance, ou de la violence d’un conjoint ou d’un ancien conjoint, et ce, sans égard à tout délai de prescription applicable avant l’entrée en vigueur de la présente loi.</w:t>
            </w:r>
          </w:p>
          <w:p w14:paraId="654C97FE" w14:textId="77777777" w:rsidR="00ED372E" w:rsidRPr="00103606" w:rsidRDefault="00E21D39" w:rsidP="00573001">
            <w:pPr>
              <w:pStyle w:val="Paragrdouble"/>
              <w:numPr>
                <w:ilvl w:val="0"/>
                <w:numId w:val="0"/>
              </w:numPr>
              <w:spacing w:line="240" w:lineRule="auto"/>
              <w:jc w:val="right"/>
              <w:rPr>
                <w:rFonts w:cs="Arial"/>
                <w:sz w:val="22"/>
                <w:szCs w:val="18"/>
              </w:rPr>
            </w:pPr>
            <w:r w:rsidRPr="00103606">
              <w:rPr>
                <w:rFonts w:cs="Arial"/>
                <w:sz w:val="22"/>
                <w:szCs w:val="18"/>
              </w:rPr>
              <w:t>[No</w:t>
            </w:r>
            <w:r w:rsidR="00C51075" w:rsidRPr="00103606">
              <w:rPr>
                <w:rFonts w:cs="Arial"/>
                <w:sz w:val="22"/>
                <w:szCs w:val="18"/>
              </w:rPr>
              <w:t>tre</w:t>
            </w:r>
            <w:r w:rsidRPr="00103606">
              <w:rPr>
                <w:rFonts w:cs="Arial"/>
                <w:sz w:val="22"/>
                <w:szCs w:val="18"/>
              </w:rPr>
              <w:t xml:space="preserve"> soulignement]</w:t>
            </w:r>
          </w:p>
        </w:tc>
        <w:tc>
          <w:tcPr>
            <w:tcW w:w="3824" w:type="dxa"/>
          </w:tcPr>
          <w:p w14:paraId="466FCC9B" w14:textId="77777777" w:rsidR="00CF1997" w:rsidRPr="00103606" w:rsidRDefault="00E21D39" w:rsidP="00573001">
            <w:pPr>
              <w:pStyle w:val="Paragrdouble"/>
              <w:numPr>
                <w:ilvl w:val="0"/>
                <w:numId w:val="0"/>
              </w:numPr>
              <w:spacing w:after="0" w:line="240" w:lineRule="auto"/>
              <w:ind w:left="57" w:right="57"/>
              <w:rPr>
                <w:rFonts w:cs="Arial"/>
                <w:sz w:val="22"/>
                <w:szCs w:val="18"/>
                <w:lang w:val="en-US"/>
              </w:rPr>
            </w:pPr>
            <w:r w:rsidRPr="00103606">
              <w:rPr>
                <w:rFonts w:cs="Arial"/>
                <w:sz w:val="22"/>
                <w:szCs w:val="18"/>
                <w:lang w:val="en-US"/>
              </w:rPr>
              <w:t>Article 2926.1 of the Civil Code, amended by section 2, applies to all actions for damages for bodily injury resulting from an act which could constitute a criminal offence if the injury results from a sexual aggression, violent behaviour suffered during childhood, or the violent behaviour of a spouse or former spouse, regardless of any prescriptive period applicable before the coming into force of this Act.</w:t>
            </w:r>
          </w:p>
        </w:tc>
      </w:tr>
    </w:tbl>
    <w:p w14:paraId="5D4116B5" w14:textId="77777777" w:rsidR="00CF1997" w:rsidRPr="00103606" w:rsidRDefault="00E21D39" w:rsidP="00573001">
      <w:pPr>
        <w:pStyle w:val="Paragrdouble"/>
        <w:spacing w:before="480" w:line="276" w:lineRule="auto"/>
        <w:rPr>
          <w:rFonts w:cs="Arial"/>
        </w:rPr>
      </w:pPr>
      <w:r w:rsidRPr="00103606">
        <w:rPr>
          <w:rFonts w:cs="Arial"/>
        </w:rPr>
        <w:t>Madame Sonia LeBel a d’ailleurs expliqué, lors des débats de l’Assemblée nationale précédant ces modifications, que l’abolition rétroactive du délai de prescription vis</w:t>
      </w:r>
      <w:r w:rsidR="00C04DAA" w:rsidRPr="00103606">
        <w:rPr>
          <w:rFonts w:cs="Arial"/>
        </w:rPr>
        <w:t>e</w:t>
      </w:r>
      <w:r w:rsidRPr="00103606">
        <w:rPr>
          <w:rFonts w:cs="Arial"/>
        </w:rPr>
        <w:t xml:space="preserve"> à « faciliter les recours civils contre les agresseurs ou toute autre personne dont la responsabilité pourrait être invoquée dans les cas d'agression sexuelle, de violence conjugale et de violence contre les enfants</w:t>
      </w:r>
      <w:r>
        <w:rPr>
          <w:rStyle w:val="Appelnotedebasdep"/>
          <w:rFonts w:cs="Arial"/>
        </w:rPr>
        <w:footnoteReference w:id="51"/>
      </w:r>
      <w:r w:rsidRPr="00103606">
        <w:rPr>
          <w:rFonts w:cs="Arial"/>
        </w:rPr>
        <w:t>»</w:t>
      </w:r>
      <w:r w:rsidR="00D85A1A" w:rsidRPr="00103606">
        <w:rPr>
          <w:rFonts w:cs="Arial"/>
        </w:rPr>
        <w:t>, et que « </w:t>
      </w:r>
      <w:r w:rsidRPr="00103606">
        <w:rPr>
          <w:rFonts w:cs="Arial"/>
        </w:rPr>
        <w:t xml:space="preserve">de manière exceptionnelle, les actions passées qui ont été rejetées parce que le délai de prescription était déchu, pour le seul motif que le délai de prescription était déchu, pourront être intentées à nouveau par les victimes, et ce, pour une période de trois ans à partir de l'entrée en vigueur </w:t>
      </w:r>
      <w:r w:rsidR="00E50D78">
        <w:rPr>
          <w:rFonts w:cs="Arial"/>
        </w:rPr>
        <w:br/>
      </w:r>
      <w:r w:rsidRPr="00103606">
        <w:rPr>
          <w:rFonts w:cs="Arial"/>
        </w:rPr>
        <w:t>de la loi.</w:t>
      </w:r>
      <w:r w:rsidR="00D85A1A" w:rsidRPr="00103606">
        <w:rPr>
          <w:rFonts w:cs="Arial"/>
        </w:rPr>
        <w:t> »</w:t>
      </w:r>
    </w:p>
    <w:p w14:paraId="25111172" w14:textId="77777777" w:rsidR="007135A7" w:rsidRPr="00103606" w:rsidRDefault="00E21D39" w:rsidP="00573001">
      <w:pPr>
        <w:pStyle w:val="Paragrdouble"/>
        <w:spacing w:after="600" w:line="276" w:lineRule="auto"/>
        <w:rPr>
          <w:rFonts w:cs="Arial"/>
        </w:rPr>
      </w:pPr>
      <w:r w:rsidRPr="00103606">
        <w:rPr>
          <w:rFonts w:cs="Arial"/>
        </w:rPr>
        <w:t>Le 8 juin 2022, un amendement subséquent à l’article 2926.1 C.c.Q. substitue la phrase « agression à caractère sexuel » pour « violence sexuelle »</w:t>
      </w:r>
      <w:r>
        <w:rPr>
          <w:rStyle w:val="Appelnotedebasdep"/>
          <w:rFonts w:cs="Arial"/>
        </w:rPr>
        <w:footnoteReference w:id="52"/>
      </w:r>
      <w:r w:rsidRPr="00103606">
        <w:rPr>
          <w:rFonts w:cs="Arial"/>
        </w:rPr>
        <w:t>. Ainsi, l’article 2926.1 C.c.Q.</w:t>
      </w:r>
      <w:r w:rsidR="00C04DAA" w:rsidRPr="00103606">
        <w:rPr>
          <w:rFonts w:cs="Arial"/>
        </w:rPr>
        <w:t>, tel qu’aujourd’hui en vigueur,</w:t>
      </w:r>
      <w:r w:rsidRPr="00103606">
        <w:rPr>
          <w:rFonts w:cs="Arial"/>
        </w:rPr>
        <w:t xml:space="preserve"> se lit comme suit : </w:t>
      </w:r>
    </w:p>
    <w:tbl>
      <w:tblPr>
        <w:tblStyle w:val="Grilledutableau"/>
        <w:tblW w:w="0" w:type="auto"/>
        <w:tblInd w:w="562" w:type="dxa"/>
        <w:tblLook w:val="04A0" w:firstRow="1" w:lastRow="0" w:firstColumn="1" w:lastColumn="0" w:noHBand="0" w:noVBand="1"/>
      </w:tblPr>
      <w:tblGrid>
        <w:gridCol w:w="4114"/>
        <w:gridCol w:w="3966"/>
      </w:tblGrid>
      <w:tr w:rsidR="006141B8" w14:paraId="5FA86B44" w14:textId="77777777" w:rsidTr="00573001">
        <w:tc>
          <w:tcPr>
            <w:tcW w:w="4114" w:type="dxa"/>
          </w:tcPr>
          <w:p w14:paraId="1AD70747" w14:textId="77777777" w:rsidR="007135A7" w:rsidRPr="00103606" w:rsidRDefault="00E21D39" w:rsidP="00573001">
            <w:pPr>
              <w:spacing w:before="120"/>
              <w:ind w:left="57" w:right="57"/>
              <w:jc w:val="both"/>
              <w:rPr>
                <w:rFonts w:cs="Arial"/>
                <w:sz w:val="22"/>
                <w:szCs w:val="18"/>
              </w:rPr>
            </w:pPr>
            <w:r w:rsidRPr="00103606">
              <w:rPr>
                <w:rFonts w:cs="Arial"/>
                <w:b/>
                <w:bCs/>
                <w:sz w:val="22"/>
                <w:szCs w:val="18"/>
              </w:rPr>
              <w:t>2926.1</w:t>
            </w:r>
            <w:r w:rsidRPr="00103606">
              <w:rPr>
                <w:rFonts w:cs="Arial"/>
                <w:sz w:val="22"/>
                <w:szCs w:val="18"/>
              </w:rPr>
              <w:t xml:space="preserve"> L’action en réparation du préjudice corporel résultant d’un acte pouvant constituer une infraction criminelle se prescrit par 10 ans à compter du jour où la personne victime a connaissance que son préjudice est attribuable à cet acte. </w:t>
            </w:r>
            <w:r w:rsidRPr="00103606">
              <w:rPr>
                <w:rFonts w:cs="Arial"/>
                <w:sz w:val="22"/>
                <w:szCs w:val="18"/>
                <w:u w:val="single"/>
              </w:rPr>
              <w:t xml:space="preserve">Cette action est cependant imprescriptible si le préjudice résulte </w:t>
            </w:r>
            <w:r w:rsidRPr="00103606">
              <w:rPr>
                <w:rFonts w:cs="Arial"/>
                <w:sz w:val="22"/>
                <w:szCs w:val="18"/>
              </w:rPr>
              <w:t xml:space="preserve">de la violence subie pendant l’enfance, </w:t>
            </w:r>
            <w:r w:rsidRPr="00103606">
              <w:rPr>
                <w:rFonts w:cs="Arial"/>
                <w:sz w:val="22"/>
                <w:szCs w:val="18"/>
                <w:u w:val="single"/>
              </w:rPr>
              <w:t>de la violence sexuelle</w:t>
            </w:r>
            <w:r w:rsidRPr="00103606">
              <w:rPr>
                <w:rFonts w:cs="Arial"/>
                <w:sz w:val="22"/>
                <w:szCs w:val="18"/>
              </w:rPr>
              <w:t xml:space="preserve"> ou de la violence conjugale. Constitue une violence subie pendant l’enfance au sens du présent article, une thérapie de conversion, telle que définie par l’article 1 de la Loi visant à protéger les personnes contre les thérapies de conversion dispensées pour changer leur orientation sexuelle, leur identité de genre ou leur expression de genre (chapitre P-42.2).</w:t>
            </w:r>
          </w:p>
          <w:p w14:paraId="463EDF7F" w14:textId="77777777" w:rsidR="007135A7" w:rsidRPr="00103606" w:rsidRDefault="007135A7" w:rsidP="00573001">
            <w:pPr>
              <w:spacing w:before="120"/>
              <w:jc w:val="both"/>
              <w:rPr>
                <w:rFonts w:cs="Arial"/>
                <w:sz w:val="22"/>
                <w:szCs w:val="18"/>
              </w:rPr>
            </w:pPr>
          </w:p>
          <w:p w14:paraId="7510E785" w14:textId="77777777" w:rsidR="007135A7" w:rsidRPr="00103606" w:rsidRDefault="00E21D39" w:rsidP="00573001">
            <w:pPr>
              <w:spacing w:before="120"/>
              <w:jc w:val="both"/>
              <w:rPr>
                <w:rFonts w:cs="Arial"/>
                <w:sz w:val="22"/>
                <w:szCs w:val="18"/>
              </w:rPr>
            </w:pPr>
            <w:r w:rsidRPr="00103606">
              <w:rPr>
                <w:rFonts w:cs="Arial"/>
                <w:sz w:val="22"/>
                <w:szCs w:val="18"/>
              </w:rPr>
              <w:t>Toutefois, l’action contre l’héritier, le légataire particulier ou le successible de l’auteur de l’acte, ou contre le liquidateur de la succession de celui-ci, doit être intentée dans les trois ans du décès de l’auteur de l’acte, sous peine de déchéance, sauf si le défendeur est poursuivi pour sa propre faute ou à titre de commettant. De même, l’action exercée en raison du préjudice subi par la personne victime doit être intentée dans les trois ans du décès de celle-ci, sous peine de déchéance.</w:t>
            </w:r>
          </w:p>
          <w:p w14:paraId="248ED819" w14:textId="77777777" w:rsidR="007135A7" w:rsidRPr="00103606" w:rsidRDefault="00E21D39" w:rsidP="004315EC">
            <w:pPr>
              <w:spacing w:before="120" w:after="120"/>
              <w:jc w:val="right"/>
              <w:rPr>
                <w:rFonts w:cs="Arial"/>
                <w:sz w:val="22"/>
                <w:szCs w:val="18"/>
              </w:rPr>
            </w:pPr>
            <w:r w:rsidRPr="00103606">
              <w:rPr>
                <w:rFonts w:cs="Arial"/>
                <w:sz w:val="22"/>
                <w:szCs w:val="18"/>
              </w:rPr>
              <w:t>[Notre soulignement]</w:t>
            </w:r>
          </w:p>
        </w:tc>
        <w:tc>
          <w:tcPr>
            <w:tcW w:w="3966" w:type="dxa"/>
          </w:tcPr>
          <w:p w14:paraId="1704F773" w14:textId="77777777" w:rsidR="00C51075" w:rsidRPr="00103606" w:rsidRDefault="00E21D39" w:rsidP="00573001">
            <w:pPr>
              <w:spacing w:before="120"/>
              <w:ind w:left="57" w:right="57"/>
              <w:jc w:val="both"/>
              <w:rPr>
                <w:rFonts w:cs="Arial"/>
                <w:sz w:val="22"/>
                <w:szCs w:val="18"/>
                <w:lang w:val="en-US"/>
              </w:rPr>
            </w:pPr>
            <w:r w:rsidRPr="00103606">
              <w:rPr>
                <w:rFonts w:cs="Arial"/>
                <w:b/>
                <w:bCs/>
                <w:sz w:val="22"/>
                <w:szCs w:val="18"/>
                <w:lang w:val="en-US"/>
              </w:rPr>
              <w:t>2926.1</w:t>
            </w:r>
            <w:r w:rsidRPr="00103606">
              <w:rPr>
                <w:rFonts w:cs="Arial"/>
                <w:sz w:val="22"/>
                <w:szCs w:val="18"/>
                <w:lang w:val="en-US"/>
              </w:rPr>
              <w:t xml:space="preserve"> An action for damages for bodily injury resulting from an act which could constitute a criminal offence is prescribed by 10 years from the date the person who is a victim becomes aware that the injury suffered is attributable to that act. Nevertheless, such an action cannot be prescribed if the injury results from violent behaviour suffered during childhood, sexual violence or spousal violence. Conversion therapy, as defined by section 1 of the Act to protect persons from conversion therapy provided to change their sexual orientation, gender identity or gender expression (chapter P-42.2), constitutes violent behaviour suffered during childhood within the meaning of this article.</w:t>
            </w:r>
          </w:p>
          <w:p w14:paraId="3495AB61" w14:textId="77777777" w:rsidR="00C51075" w:rsidRPr="00103606" w:rsidRDefault="00C51075" w:rsidP="00573001">
            <w:pPr>
              <w:spacing w:before="120"/>
              <w:jc w:val="both"/>
              <w:rPr>
                <w:rFonts w:cs="Arial"/>
                <w:sz w:val="22"/>
                <w:szCs w:val="18"/>
                <w:lang w:val="en-US"/>
              </w:rPr>
            </w:pPr>
          </w:p>
          <w:p w14:paraId="6CDC6F58" w14:textId="77777777" w:rsidR="007135A7" w:rsidRPr="00103606" w:rsidRDefault="00E21D39" w:rsidP="00573001">
            <w:pPr>
              <w:spacing w:before="120"/>
              <w:jc w:val="both"/>
              <w:rPr>
                <w:rFonts w:cs="Arial"/>
                <w:sz w:val="22"/>
                <w:szCs w:val="18"/>
                <w:lang w:val="en-US"/>
              </w:rPr>
            </w:pPr>
            <w:r w:rsidRPr="00103606">
              <w:rPr>
                <w:rFonts w:cs="Arial"/>
                <w:sz w:val="22"/>
                <w:szCs w:val="18"/>
                <w:lang w:val="en-US"/>
              </w:rPr>
              <w:t>However, an action against an heir, a legatee by particular title or a successor of the author of the act or against the liquidator of the author’s succession must, under pain of forfeiture, be instituted within three years after the author’s death, unless the defendant is sued for the defendant’s own fault or as a principal. Likewise, an action brought for injury suffered by the person who is a victim must, under pain of forfeiture, be instituted within three years after the death of the person who is a victim.</w:t>
            </w:r>
          </w:p>
        </w:tc>
      </w:tr>
    </w:tbl>
    <w:p w14:paraId="5B2809E9" w14:textId="77777777" w:rsidR="007135A7" w:rsidRPr="00103606" w:rsidRDefault="007135A7" w:rsidP="007135A7">
      <w:pPr>
        <w:pStyle w:val="Paragrdouble"/>
        <w:numPr>
          <w:ilvl w:val="0"/>
          <w:numId w:val="0"/>
        </w:numPr>
        <w:spacing w:line="276" w:lineRule="auto"/>
        <w:rPr>
          <w:rFonts w:cs="Arial"/>
          <w:lang w:val="en-US"/>
        </w:rPr>
      </w:pPr>
    </w:p>
    <w:p w14:paraId="2A11134D" w14:textId="77777777" w:rsidR="00E40925" w:rsidRPr="00103606" w:rsidRDefault="00E21D39" w:rsidP="00E40925">
      <w:pPr>
        <w:pStyle w:val="Paragrdouble"/>
        <w:spacing w:line="276" w:lineRule="auto"/>
        <w:rPr>
          <w:rFonts w:cs="Arial"/>
        </w:rPr>
      </w:pPr>
      <w:r w:rsidRPr="00103606">
        <w:rPr>
          <w:rFonts w:cs="Arial"/>
        </w:rPr>
        <w:t xml:space="preserve">Le terme « violence sexuelle » </w:t>
      </w:r>
      <w:r w:rsidR="00A93925" w:rsidRPr="00103606">
        <w:rPr>
          <w:rFonts w:cs="Arial"/>
        </w:rPr>
        <w:t>inclut</w:t>
      </w:r>
      <w:r w:rsidRPr="00103606">
        <w:rPr>
          <w:rFonts w:cs="Arial"/>
        </w:rPr>
        <w:t xml:space="preserve"> toutes les formes de violence sexuelle, y inclus l’exposition à des «</w:t>
      </w:r>
      <w:r w:rsidR="00374AD5">
        <w:rPr>
          <w:rFonts w:cs="Arial"/>
        </w:rPr>
        <w:t> </w:t>
      </w:r>
      <w:r w:rsidRPr="00103606">
        <w:rPr>
          <w:rFonts w:cs="Arial"/>
        </w:rPr>
        <w:t>gestes à caractère sexuel, avec ou sans contact physique</w:t>
      </w:r>
      <w:r w:rsidR="00374AD5">
        <w:rPr>
          <w:rFonts w:cs="Arial"/>
        </w:rPr>
        <w:t> </w:t>
      </w:r>
      <w:r w:rsidRPr="00103606">
        <w:rPr>
          <w:rFonts w:cs="Arial"/>
        </w:rPr>
        <w:t>»</w:t>
      </w:r>
      <w:r>
        <w:rPr>
          <w:rStyle w:val="Appelnotedebasdep"/>
          <w:rFonts w:cs="Arial"/>
        </w:rPr>
        <w:footnoteReference w:id="53"/>
      </w:r>
      <w:r w:rsidRPr="00103606">
        <w:rPr>
          <w:rFonts w:cs="Arial"/>
        </w:rPr>
        <w:t>, et sans nécessité que l’agissement constitue une infraction criminelle.</w:t>
      </w:r>
    </w:p>
    <w:p w14:paraId="6C1E3AC6" w14:textId="77777777" w:rsidR="00C04DAA" w:rsidRPr="00103606" w:rsidRDefault="00E21D39" w:rsidP="00A93925">
      <w:pPr>
        <w:pStyle w:val="Paragrdouble"/>
        <w:spacing w:line="276" w:lineRule="auto"/>
        <w:rPr>
          <w:rFonts w:cs="Arial"/>
        </w:rPr>
      </w:pPr>
      <w:r w:rsidRPr="00103606">
        <w:rPr>
          <w:rFonts w:cs="Arial"/>
        </w:rPr>
        <w:t xml:space="preserve">Il s’agit donc ici de déterminer si </w:t>
      </w:r>
      <w:r w:rsidR="00D85A1A" w:rsidRPr="00103606">
        <w:rPr>
          <w:rFonts w:cs="Arial"/>
        </w:rPr>
        <w:t xml:space="preserve">la </w:t>
      </w:r>
      <w:r w:rsidR="00B80370">
        <w:rPr>
          <w:rFonts w:cs="Arial"/>
        </w:rPr>
        <w:t>Sixième</w:t>
      </w:r>
      <w:r w:rsidR="00B80370" w:rsidRPr="00103606">
        <w:rPr>
          <w:rFonts w:cs="Arial"/>
        </w:rPr>
        <w:t xml:space="preserve"> </w:t>
      </w:r>
      <w:r w:rsidR="007135A7" w:rsidRPr="00103606">
        <w:rPr>
          <w:rFonts w:cs="Arial"/>
        </w:rPr>
        <w:t>D</w:t>
      </w:r>
      <w:r w:rsidR="00D85A1A" w:rsidRPr="00103606">
        <w:rPr>
          <w:rFonts w:cs="Arial"/>
        </w:rPr>
        <w:t xml:space="preserve">emande </w:t>
      </w:r>
      <w:r w:rsidR="00B92C09" w:rsidRPr="00103606">
        <w:rPr>
          <w:rFonts w:cs="Arial"/>
        </w:rPr>
        <w:t xml:space="preserve">est formulée de manière </w:t>
      </w:r>
      <w:r w:rsidR="00D85A1A" w:rsidRPr="00103606">
        <w:rPr>
          <w:rFonts w:cs="Arial"/>
        </w:rPr>
        <w:t xml:space="preserve">suffisamment large pour </w:t>
      </w:r>
      <w:r w:rsidR="00FA71BF" w:rsidRPr="00103606">
        <w:rPr>
          <w:rFonts w:cs="Arial"/>
        </w:rPr>
        <w:t xml:space="preserve">rendre soutenables </w:t>
      </w:r>
      <w:r w:rsidR="00D85A1A" w:rsidRPr="00103606">
        <w:rPr>
          <w:rFonts w:cs="Arial"/>
        </w:rPr>
        <w:t>l</w:t>
      </w:r>
      <w:r w:rsidR="007135A7" w:rsidRPr="00103606">
        <w:rPr>
          <w:rFonts w:cs="Arial"/>
        </w:rPr>
        <w:t>es</w:t>
      </w:r>
      <w:r w:rsidR="00D85A1A" w:rsidRPr="00103606">
        <w:rPr>
          <w:rFonts w:cs="Arial"/>
        </w:rPr>
        <w:t xml:space="preserve"> </w:t>
      </w:r>
      <w:r w:rsidR="00B92C09" w:rsidRPr="00103606">
        <w:rPr>
          <w:rFonts w:cs="Arial"/>
        </w:rPr>
        <w:t xml:space="preserve">allégations </w:t>
      </w:r>
      <w:r w:rsidR="00D85A1A" w:rsidRPr="00103606">
        <w:rPr>
          <w:rFonts w:cs="Arial"/>
        </w:rPr>
        <w:t>des codemanderesse</w:t>
      </w:r>
      <w:r w:rsidR="00A11D10" w:rsidRPr="00103606">
        <w:rPr>
          <w:rFonts w:cs="Arial"/>
        </w:rPr>
        <w:t>s</w:t>
      </w:r>
      <w:r w:rsidR="00D85A1A" w:rsidRPr="00103606">
        <w:rPr>
          <w:rFonts w:cs="Arial"/>
        </w:rPr>
        <w:t xml:space="preserve"> qu’un </w:t>
      </w:r>
      <w:r w:rsidR="00A11D10" w:rsidRPr="00103606">
        <w:rPr>
          <w:rFonts w:cs="Arial"/>
        </w:rPr>
        <w:t>acte</w:t>
      </w:r>
      <w:r w:rsidR="00D85A1A" w:rsidRPr="00103606">
        <w:rPr>
          <w:rFonts w:cs="Arial"/>
        </w:rPr>
        <w:t xml:space="preserve"> </w:t>
      </w:r>
      <w:r w:rsidR="00A11D10" w:rsidRPr="00103606">
        <w:rPr>
          <w:rFonts w:cs="Arial"/>
        </w:rPr>
        <w:t xml:space="preserve">de </w:t>
      </w:r>
      <w:r w:rsidR="00A93925" w:rsidRPr="00103606">
        <w:rPr>
          <w:rFonts w:cs="Arial"/>
        </w:rPr>
        <w:t>« </w:t>
      </w:r>
      <w:r w:rsidR="00A11D10" w:rsidRPr="00103606">
        <w:rPr>
          <w:rFonts w:cs="Arial"/>
        </w:rPr>
        <w:t>violence sexuelle</w:t>
      </w:r>
      <w:r w:rsidR="00A93925" w:rsidRPr="00103606">
        <w:rPr>
          <w:rFonts w:cs="Arial"/>
        </w:rPr>
        <w:t xml:space="preserve"> » </w:t>
      </w:r>
      <w:r w:rsidR="00D85A1A" w:rsidRPr="00103606">
        <w:rPr>
          <w:rFonts w:cs="Arial"/>
        </w:rPr>
        <w:t xml:space="preserve">leur a été </w:t>
      </w:r>
      <w:r w:rsidR="00325506">
        <w:rPr>
          <w:rFonts w:cs="Arial"/>
        </w:rPr>
        <w:t>infligé</w:t>
      </w:r>
      <w:r w:rsidR="00D85A1A" w:rsidRPr="00103606">
        <w:rPr>
          <w:rFonts w:cs="Arial"/>
        </w:rPr>
        <w:t xml:space="preserve"> </w:t>
      </w:r>
      <w:r w:rsidR="00A11D10" w:rsidRPr="00103606">
        <w:rPr>
          <w:rFonts w:cs="Arial"/>
        </w:rPr>
        <w:t xml:space="preserve">par les défendeurs </w:t>
      </w:r>
      <w:r w:rsidR="00A93925" w:rsidRPr="00103606">
        <w:rPr>
          <w:rFonts w:cs="Arial"/>
        </w:rPr>
        <w:t xml:space="preserve">au sens de 2926.1 C.c.Q. </w:t>
      </w:r>
      <w:r w:rsidR="00A11D10" w:rsidRPr="00103606">
        <w:rPr>
          <w:rFonts w:cs="Arial"/>
        </w:rPr>
        <w:t>et qu’elles en ont subi un dommage</w:t>
      </w:r>
      <w:r w:rsidR="00D85A1A" w:rsidRPr="00103606">
        <w:rPr>
          <w:rFonts w:cs="Arial"/>
        </w:rPr>
        <w:t xml:space="preserve">. </w:t>
      </w:r>
      <w:r w:rsidR="00220E1E">
        <w:rPr>
          <w:rFonts w:cs="Arial"/>
        </w:rPr>
        <w:t>Je suis d’avis que cela est bien le cas.</w:t>
      </w:r>
    </w:p>
    <w:p w14:paraId="5EC1BAE9" w14:textId="77777777" w:rsidR="00D85A1A" w:rsidRPr="00103606" w:rsidRDefault="00E21D39" w:rsidP="00A93925">
      <w:pPr>
        <w:pStyle w:val="Paragrdouble"/>
        <w:spacing w:line="276" w:lineRule="auto"/>
        <w:rPr>
          <w:rFonts w:cs="Arial"/>
        </w:rPr>
      </w:pPr>
      <w:r w:rsidRPr="00103606">
        <w:rPr>
          <w:rFonts w:cs="Arial"/>
        </w:rPr>
        <w:t xml:space="preserve">Dans leur </w:t>
      </w:r>
      <w:r w:rsidR="00B80370">
        <w:rPr>
          <w:rFonts w:cs="Arial"/>
        </w:rPr>
        <w:t>Sixième</w:t>
      </w:r>
      <w:r w:rsidR="00B80370" w:rsidRPr="00103606">
        <w:rPr>
          <w:rFonts w:cs="Arial"/>
        </w:rPr>
        <w:t xml:space="preserve"> </w:t>
      </w:r>
      <w:r w:rsidR="00A11D10" w:rsidRPr="00103606">
        <w:rPr>
          <w:rFonts w:cs="Arial"/>
        </w:rPr>
        <w:t>D</w:t>
      </w:r>
      <w:r w:rsidRPr="00103606">
        <w:rPr>
          <w:rFonts w:cs="Arial"/>
        </w:rPr>
        <w:t xml:space="preserve">emande, </w:t>
      </w:r>
      <w:r w:rsidR="00C04DAA" w:rsidRPr="00103606">
        <w:rPr>
          <w:rFonts w:cs="Arial"/>
        </w:rPr>
        <w:t>les codemanderesses</w:t>
      </w:r>
      <w:r w:rsidRPr="00103606">
        <w:rPr>
          <w:rFonts w:cs="Arial"/>
        </w:rPr>
        <w:t xml:space="preserve"> allèguent notamment </w:t>
      </w:r>
      <w:r w:rsidR="00A11D10" w:rsidRPr="00103606">
        <w:rPr>
          <w:rFonts w:cs="Arial"/>
        </w:rPr>
        <w:t>ce qui suit :</w:t>
      </w:r>
    </w:p>
    <w:p w14:paraId="492C5596" w14:textId="77777777" w:rsidR="00A11D10" w:rsidRPr="00103606" w:rsidRDefault="00E21D39" w:rsidP="009F319B">
      <w:pPr>
        <w:pStyle w:val="Paragrdouble"/>
        <w:numPr>
          <w:ilvl w:val="0"/>
          <w:numId w:val="11"/>
        </w:numPr>
        <w:spacing w:line="276" w:lineRule="auto"/>
        <w:rPr>
          <w:rFonts w:cs="Arial"/>
        </w:rPr>
      </w:pPr>
      <w:r w:rsidRPr="00103606">
        <w:rPr>
          <w:rFonts w:cs="Arial"/>
        </w:rPr>
        <w:t>Pour ce qui est de B.N., elle prétend avoir eu des relations sexuelles régulières et nombreuses (environ 30 rencontres) avec Miller entre l’âge de 11 et 20 ans, entre 1999 et 2008, en échange desquelles elle a reçu de l’argent de sa part</w:t>
      </w:r>
      <w:r>
        <w:rPr>
          <w:rStyle w:val="Appelnotedebasdep"/>
          <w:rFonts w:cs="Arial"/>
        </w:rPr>
        <w:footnoteReference w:id="54"/>
      </w:r>
      <w:r w:rsidRPr="00103606">
        <w:rPr>
          <w:rFonts w:cs="Arial"/>
        </w:rPr>
        <w:t>;</w:t>
      </w:r>
    </w:p>
    <w:p w14:paraId="44DC2645" w14:textId="77777777" w:rsidR="00A11D10" w:rsidRPr="00103606" w:rsidRDefault="00E21D39" w:rsidP="009F319B">
      <w:pPr>
        <w:pStyle w:val="Paragrdouble"/>
        <w:numPr>
          <w:ilvl w:val="0"/>
          <w:numId w:val="11"/>
        </w:numPr>
        <w:spacing w:line="276" w:lineRule="auto"/>
        <w:rPr>
          <w:rFonts w:cs="Arial"/>
        </w:rPr>
      </w:pPr>
      <w:r w:rsidRPr="00103606">
        <w:rPr>
          <w:rFonts w:cs="Arial"/>
        </w:rPr>
        <w:t>Pour ce qui est de S.N., elle prétend avoir eu des relations sexuelles régulières avec Miller entre l’âge de 17 et 19 ans, entre 1996 et 1998, et avoir reçu en échange, de sa part, des sommes variant entre 1</w:t>
      </w:r>
      <w:r w:rsidR="00E252D6">
        <w:rPr>
          <w:rFonts w:cs="Arial"/>
        </w:rPr>
        <w:t> </w:t>
      </w:r>
      <w:r w:rsidRPr="00103606">
        <w:rPr>
          <w:rFonts w:cs="Arial"/>
        </w:rPr>
        <w:t xml:space="preserve">000 et </w:t>
      </w:r>
      <w:r w:rsidRPr="00E252D6">
        <w:t>3</w:t>
      </w:r>
      <w:r w:rsidR="00E252D6">
        <w:t> </w:t>
      </w:r>
      <w:r w:rsidRPr="00E252D6">
        <w:t>000</w:t>
      </w:r>
      <w:r w:rsidR="00E252D6">
        <w:t> </w:t>
      </w:r>
      <w:r w:rsidRPr="00103606">
        <w:rPr>
          <w:rFonts w:cs="Arial"/>
        </w:rPr>
        <w:t>$</w:t>
      </w:r>
      <w:r>
        <w:rPr>
          <w:rStyle w:val="Appelnotedebasdep"/>
          <w:rFonts w:cs="Arial"/>
        </w:rPr>
        <w:footnoteReference w:id="55"/>
      </w:r>
      <w:r w:rsidRPr="00103606">
        <w:rPr>
          <w:rFonts w:cs="Arial"/>
        </w:rPr>
        <w:t>;</w:t>
      </w:r>
    </w:p>
    <w:p w14:paraId="4CB5098B" w14:textId="77777777" w:rsidR="00EA3A0D" w:rsidRPr="00103606" w:rsidRDefault="00E21D39" w:rsidP="009F319B">
      <w:pPr>
        <w:pStyle w:val="Paragrdouble"/>
        <w:numPr>
          <w:ilvl w:val="0"/>
          <w:numId w:val="11"/>
        </w:numPr>
        <w:spacing w:line="276" w:lineRule="auto"/>
        <w:rPr>
          <w:rFonts w:cs="Arial"/>
        </w:rPr>
      </w:pPr>
      <w:r w:rsidRPr="00103606">
        <w:rPr>
          <w:rFonts w:cs="Arial"/>
        </w:rPr>
        <w:t xml:space="preserve">Pour ce qui est de V.R., elle prétend avoir eu des relations sexuelles régulières et nombreuses (au moins 20 rencontres) avec Miller entre l’âge de 16 et 18 ans, entre 2000 et 2002, en échange desquelles elle a reçu des compensations monétaires de ce dernier de </w:t>
      </w:r>
      <w:r w:rsidRPr="00E252D6">
        <w:t>3</w:t>
      </w:r>
      <w:r w:rsidR="00E252D6">
        <w:t> </w:t>
      </w:r>
      <w:r w:rsidRPr="00E252D6">
        <w:t>000</w:t>
      </w:r>
      <w:r w:rsidR="00E252D6">
        <w:t> </w:t>
      </w:r>
      <w:r w:rsidRPr="00103606">
        <w:rPr>
          <w:rFonts w:cs="Arial"/>
        </w:rPr>
        <w:t>$ en plus de cadeaux occasionnels;</w:t>
      </w:r>
    </w:p>
    <w:p w14:paraId="583C0996" w14:textId="77777777" w:rsidR="00A008BF" w:rsidRPr="00103606" w:rsidRDefault="00E21D39" w:rsidP="00A11D10">
      <w:pPr>
        <w:pStyle w:val="Paragrdouble"/>
        <w:spacing w:line="276" w:lineRule="auto"/>
        <w:rPr>
          <w:rFonts w:cs="Arial"/>
        </w:rPr>
      </w:pPr>
      <w:r w:rsidRPr="008573E6">
        <w:rPr>
          <w:rFonts w:cs="Arial"/>
        </w:rPr>
        <w:t xml:space="preserve">Il est </w:t>
      </w:r>
      <w:r w:rsidR="00220E1E">
        <w:rPr>
          <w:rFonts w:cs="Arial"/>
        </w:rPr>
        <w:t xml:space="preserve">donc </w:t>
      </w:r>
      <w:r w:rsidRPr="008573E6">
        <w:rPr>
          <w:rFonts w:cs="Arial"/>
        </w:rPr>
        <w:t>soutenable que</w:t>
      </w:r>
      <w:r w:rsidRPr="00103606">
        <w:rPr>
          <w:rFonts w:cs="Arial"/>
        </w:rPr>
        <w:t xml:space="preserve"> </w:t>
      </w:r>
      <w:r w:rsidR="00FA71BF" w:rsidRPr="00103606">
        <w:rPr>
          <w:rFonts w:cs="Arial"/>
        </w:rPr>
        <w:t xml:space="preserve">le comportement décrit dans </w:t>
      </w:r>
      <w:r w:rsidRPr="00103606">
        <w:rPr>
          <w:rFonts w:cs="Arial"/>
        </w:rPr>
        <w:t>ces allégations relativement à Miller constitue de</w:t>
      </w:r>
      <w:r w:rsidR="00FA71BF" w:rsidRPr="00103606">
        <w:rPr>
          <w:rFonts w:cs="Arial"/>
        </w:rPr>
        <w:t xml:space="preserve"> la</w:t>
      </w:r>
      <w:r w:rsidRPr="00103606">
        <w:rPr>
          <w:rFonts w:cs="Arial"/>
        </w:rPr>
        <w:t xml:space="preserve"> « violence sexuelle » </w:t>
      </w:r>
      <w:r w:rsidR="00864980" w:rsidRPr="00103606">
        <w:rPr>
          <w:rFonts w:cs="Arial"/>
        </w:rPr>
        <w:t xml:space="preserve">au sens de l’article 2926.1 C.c.Q., </w:t>
      </w:r>
      <w:r w:rsidRPr="00103606">
        <w:rPr>
          <w:rFonts w:cs="Arial"/>
        </w:rPr>
        <w:t>puisque ces agissements constitue</w:t>
      </w:r>
      <w:r w:rsidR="00220E1E">
        <w:rPr>
          <w:rFonts w:cs="Arial"/>
        </w:rPr>
        <w:t>raie</w:t>
      </w:r>
      <w:r w:rsidRPr="00103606">
        <w:rPr>
          <w:rFonts w:cs="Arial"/>
        </w:rPr>
        <w:t>nt une infraction criminelle</w:t>
      </w:r>
      <w:r w:rsidR="00D31284" w:rsidRPr="00103606">
        <w:rPr>
          <w:rFonts w:cs="Arial"/>
        </w:rPr>
        <w:t xml:space="preserve">, précisément en regard des articles </w:t>
      </w:r>
      <w:r w:rsidR="00220E1E">
        <w:rPr>
          <w:rFonts w:cs="Arial"/>
        </w:rPr>
        <w:t>151, 152, 153 et 212(4)</w:t>
      </w:r>
      <w:r w:rsidR="00220E1E" w:rsidRPr="00103606">
        <w:rPr>
          <w:rFonts w:cs="Arial"/>
        </w:rPr>
        <w:t xml:space="preserve"> </w:t>
      </w:r>
      <w:r w:rsidR="00D31284" w:rsidRPr="00103606">
        <w:rPr>
          <w:rFonts w:cs="Arial"/>
        </w:rPr>
        <w:t xml:space="preserve">du </w:t>
      </w:r>
      <w:r w:rsidR="001C1544" w:rsidRPr="00573001">
        <w:rPr>
          <w:rFonts w:cs="Arial"/>
        </w:rPr>
        <w:t>C.cr.</w:t>
      </w:r>
      <w:r w:rsidR="00220E1E" w:rsidRPr="008A17B0">
        <w:rPr>
          <w:rFonts w:cs="Arial"/>
        </w:rPr>
        <w:t>.</w:t>
      </w:r>
    </w:p>
    <w:p w14:paraId="1248B582" w14:textId="77777777" w:rsidR="00E13BED" w:rsidRPr="00103606" w:rsidRDefault="00E21D39" w:rsidP="009F319B">
      <w:pPr>
        <w:pStyle w:val="Paragrdouble"/>
        <w:numPr>
          <w:ilvl w:val="0"/>
          <w:numId w:val="11"/>
        </w:numPr>
        <w:spacing w:line="276" w:lineRule="auto"/>
        <w:rPr>
          <w:rFonts w:cs="Arial"/>
        </w:rPr>
      </w:pPr>
      <w:r w:rsidRPr="00103606">
        <w:rPr>
          <w:rFonts w:cs="Arial"/>
        </w:rPr>
        <w:t xml:space="preserve">Pour ce qui est de S.N., </w:t>
      </w:r>
      <w:r w:rsidR="00220E1E">
        <w:rPr>
          <w:rFonts w:cs="Arial"/>
        </w:rPr>
        <w:t>elle aurait subi des</w:t>
      </w:r>
      <w:r w:rsidR="00220E1E" w:rsidRPr="00103606">
        <w:rPr>
          <w:rFonts w:cs="Arial"/>
        </w:rPr>
        <w:t xml:space="preserve"> </w:t>
      </w:r>
      <w:r w:rsidRPr="00103606">
        <w:rPr>
          <w:rFonts w:cs="Arial"/>
        </w:rPr>
        <w:t xml:space="preserve">infractions </w:t>
      </w:r>
      <w:r w:rsidR="00220E1E">
        <w:rPr>
          <w:rFonts w:cs="Arial"/>
        </w:rPr>
        <w:t>de</w:t>
      </w:r>
      <w:r w:rsidRPr="00103606">
        <w:rPr>
          <w:rFonts w:cs="Arial"/>
        </w:rPr>
        <w:t xml:space="preserve"> violence sexuelle entre 1996 et 1998, alors qu’elle avait entre 16 et 18 ans;</w:t>
      </w:r>
    </w:p>
    <w:p w14:paraId="0A67F2EE" w14:textId="77777777" w:rsidR="00E13BED" w:rsidRPr="00103606" w:rsidRDefault="00E21D39" w:rsidP="00573001">
      <w:pPr>
        <w:pStyle w:val="Paragrdouble"/>
        <w:numPr>
          <w:ilvl w:val="0"/>
          <w:numId w:val="11"/>
        </w:numPr>
        <w:spacing w:after="160" w:line="276" w:lineRule="auto"/>
        <w:rPr>
          <w:rFonts w:cs="Arial"/>
        </w:rPr>
      </w:pPr>
      <w:r w:rsidRPr="00103606">
        <w:rPr>
          <w:rFonts w:cs="Arial"/>
        </w:rPr>
        <w:t xml:space="preserve">Pour ce qui est de V.R., </w:t>
      </w:r>
      <w:r w:rsidR="00220E1E">
        <w:rPr>
          <w:rFonts w:cs="Arial"/>
        </w:rPr>
        <w:t>elle aurait subi d</w:t>
      </w:r>
      <w:r w:rsidRPr="00103606">
        <w:rPr>
          <w:rFonts w:cs="Arial"/>
        </w:rPr>
        <w:t xml:space="preserve">es infractions </w:t>
      </w:r>
      <w:r w:rsidR="00220E1E">
        <w:rPr>
          <w:rFonts w:cs="Arial"/>
        </w:rPr>
        <w:t>de</w:t>
      </w:r>
      <w:r w:rsidRPr="00103606">
        <w:rPr>
          <w:rFonts w:cs="Arial"/>
        </w:rPr>
        <w:t xml:space="preserve"> violence sexuelle entre 2000 et 2002, alors qu’elle avait entre 16 et 18 ans;</w:t>
      </w:r>
    </w:p>
    <w:p w14:paraId="50DF3880" w14:textId="77777777" w:rsidR="00E13BED" w:rsidRPr="00103606" w:rsidRDefault="00E21D39" w:rsidP="00573001">
      <w:pPr>
        <w:pStyle w:val="Paragrdouble"/>
        <w:numPr>
          <w:ilvl w:val="0"/>
          <w:numId w:val="11"/>
        </w:numPr>
        <w:spacing w:after="160" w:line="276" w:lineRule="auto"/>
        <w:rPr>
          <w:rFonts w:cs="Arial"/>
        </w:rPr>
      </w:pPr>
      <w:r w:rsidRPr="00103606">
        <w:rPr>
          <w:rFonts w:cs="Arial"/>
        </w:rPr>
        <w:t xml:space="preserve">Pour ce qui est de B.N., </w:t>
      </w:r>
      <w:r w:rsidR="00220E1E">
        <w:rPr>
          <w:rFonts w:cs="Arial"/>
        </w:rPr>
        <w:t>elle aurait subi d</w:t>
      </w:r>
      <w:r w:rsidRPr="00103606">
        <w:rPr>
          <w:rFonts w:cs="Arial"/>
        </w:rPr>
        <w:t xml:space="preserve">es infractions </w:t>
      </w:r>
      <w:r w:rsidR="00220E1E">
        <w:rPr>
          <w:rFonts w:cs="Arial"/>
        </w:rPr>
        <w:t>de</w:t>
      </w:r>
      <w:r w:rsidRPr="00103606">
        <w:rPr>
          <w:rFonts w:cs="Arial"/>
        </w:rPr>
        <w:t xml:space="preserve"> violence sexuelle entre les années 1999 et 2007</w:t>
      </w:r>
      <w:r w:rsidR="00220E1E">
        <w:rPr>
          <w:rFonts w:cs="Arial"/>
        </w:rPr>
        <w:t>, entre ses 11 et 18 ans</w:t>
      </w:r>
      <w:r w:rsidRPr="00103606">
        <w:rPr>
          <w:rFonts w:cs="Arial"/>
        </w:rPr>
        <w:t>;</w:t>
      </w:r>
    </w:p>
    <w:p w14:paraId="1E876E81" w14:textId="77777777" w:rsidR="00E13BED" w:rsidRPr="00103606" w:rsidRDefault="00E21D39" w:rsidP="00573001">
      <w:pPr>
        <w:pStyle w:val="Paragrdouble"/>
        <w:spacing w:after="240" w:line="276" w:lineRule="auto"/>
        <w:rPr>
          <w:rFonts w:cs="Arial"/>
        </w:rPr>
      </w:pPr>
      <w:r w:rsidRPr="00103606">
        <w:rPr>
          <w:rFonts w:cs="Arial"/>
        </w:rPr>
        <w:t xml:space="preserve">Ainsi, </w:t>
      </w:r>
      <w:r w:rsidR="00220E1E">
        <w:rPr>
          <w:rFonts w:cs="Arial"/>
        </w:rPr>
        <w:t>quant à</w:t>
      </w:r>
      <w:r w:rsidRPr="00103606">
        <w:rPr>
          <w:rFonts w:cs="Arial"/>
        </w:rPr>
        <w:t xml:space="preserve"> Miller, les causes d’action des codemanderesses ne sont pas prescrites</w:t>
      </w:r>
      <w:r w:rsidR="00C04DAA" w:rsidRPr="00103606">
        <w:rPr>
          <w:rFonts w:cs="Arial"/>
        </w:rPr>
        <w:t xml:space="preserve"> à leur face</w:t>
      </w:r>
      <w:r w:rsidR="00DD4566">
        <w:rPr>
          <w:rFonts w:cs="Arial"/>
        </w:rPr>
        <w:t xml:space="preserve"> </w:t>
      </w:r>
      <w:r w:rsidR="00C04DAA" w:rsidRPr="00103606">
        <w:rPr>
          <w:rFonts w:cs="Arial"/>
        </w:rPr>
        <w:t>même</w:t>
      </w:r>
      <w:r w:rsidR="00DD4566">
        <w:rPr>
          <w:rFonts w:cs="Arial"/>
        </w:rPr>
        <w:t>,</w:t>
      </w:r>
      <w:r w:rsidRPr="00103606">
        <w:rPr>
          <w:rFonts w:cs="Arial"/>
        </w:rPr>
        <w:t xml:space="preserve"> car elles seraient imprescriptibles en vertu de l’article 2926.1 C.c.Q.</w:t>
      </w:r>
    </w:p>
    <w:p w14:paraId="4CA702D6" w14:textId="77777777" w:rsidR="00BF5121" w:rsidRPr="00103606" w:rsidRDefault="00E21D39" w:rsidP="00573001">
      <w:pPr>
        <w:pStyle w:val="Paragrdouble"/>
        <w:spacing w:after="240" w:line="276" w:lineRule="auto"/>
        <w:rPr>
          <w:rFonts w:cs="Arial"/>
        </w:rPr>
      </w:pPr>
      <w:r w:rsidRPr="00103606">
        <w:rPr>
          <w:rFonts w:cs="Arial"/>
        </w:rPr>
        <w:t>Pour ce qui est des autres défendeurs, les causes d’action des codemanderesses pour violences sexuelles n’apparaissent pas non plus prescrites à leur face</w:t>
      </w:r>
      <w:r w:rsidR="00ED7675">
        <w:rPr>
          <w:rFonts w:cs="Arial"/>
        </w:rPr>
        <w:t xml:space="preserve"> </w:t>
      </w:r>
      <w:r w:rsidRPr="00103606">
        <w:rPr>
          <w:rFonts w:cs="Arial"/>
        </w:rPr>
        <w:t>même puisqu’elles seraient imprescriptibles en vertu de l’article 2926.1 C.c.Q.</w:t>
      </w:r>
    </w:p>
    <w:p w14:paraId="3E249985" w14:textId="77777777" w:rsidR="00921F9C" w:rsidRDefault="00E21D39" w:rsidP="00573001">
      <w:pPr>
        <w:pStyle w:val="Paragrdouble"/>
        <w:spacing w:after="240" w:line="276" w:lineRule="auto"/>
        <w:rPr>
          <w:rFonts w:cs="Arial"/>
        </w:rPr>
      </w:pPr>
      <w:r>
        <w:rPr>
          <w:rFonts w:cs="Arial"/>
        </w:rPr>
        <w:t xml:space="preserve">En effet, </w:t>
      </w:r>
      <w:r w:rsidR="00220E1E">
        <w:rPr>
          <w:rFonts w:cs="Arial"/>
        </w:rPr>
        <w:t>les codemanderesses allèguent être victimes de</w:t>
      </w:r>
      <w:r w:rsidR="00E13BED" w:rsidRPr="00103606">
        <w:rPr>
          <w:rFonts w:cs="Arial"/>
        </w:rPr>
        <w:t xml:space="preserve"> violence sexuelle</w:t>
      </w:r>
      <w:r w:rsidR="00E252D6">
        <w:rPr>
          <w:rFonts w:cs="Arial"/>
        </w:rPr>
        <w:t xml:space="preserve"> </w:t>
      </w:r>
      <w:r>
        <w:rPr>
          <w:rFonts w:cs="Arial"/>
        </w:rPr>
        <w:t xml:space="preserve">en ce qu’il y aurait eu, quant aux </w:t>
      </w:r>
      <w:r w:rsidRPr="00103606">
        <w:rPr>
          <w:rFonts w:cs="Arial"/>
        </w:rPr>
        <w:t>défendeurs Poulet, Abrams, Lippmann et Future</w:t>
      </w:r>
      <w:r>
        <w:rPr>
          <w:rFonts w:cs="Arial"/>
        </w:rPr>
        <w:t xml:space="preserve"> : </w:t>
      </w:r>
      <w:r w:rsidR="0091012F" w:rsidRPr="00BF5121">
        <w:rPr>
          <w:rFonts w:cs="Arial"/>
        </w:rPr>
        <w:t>1) incitation d’</w:t>
      </w:r>
      <w:r w:rsidR="00E13BED" w:rsidRPr="00BF5121">
        <w:rPr>
          <w:rFonts w:cs="Arial"/>
        </w:rPr>
        <w:t>un enfant âgé de moins de 14 ans à le toucher, à se toucher ou à toucher un tiers (Miller), directement ou indirectement</w:t>
      </w:r>
      <w:r w:rsidR="0091012F" w:rsidRPr="00BF5121">
        <w:rPr>
          <w:rFonts w:cs="Arial"/>
        </w:rPr>
        <w:t xml:space="preserve">, le tout en vertu de l’ancien article 212(1) du </w:t>
      </w:r>
      <w:r w:rsidR="001C1544" w:rsidRPr="00573001">
        <w:rPr>
          <w:rFonts w:cs="Arial"/>
        </w:rPr>
        <w:t>C.cr.</w:t>
      </w:r>
      <w:r w:rsidR="0091012F" w:rsidRPr="008A17B0">
        <w:rPr>
          <w:rFonts w:cs="Arial"/>
        </w:rPr>
        <w:t>,</w:t>
      </w:r>
      <w:r w:rsidR="0091012F" w:rsidRPr="00BF5121">
        <w:rPr>
          <w:rFonts w:cs="Arial"/>
        </w:rPr>
        <w:t xml:space="preserve"> 2) contacts sexuels, soit directement ou indirectement</w:t>
      </w:r>
      <w:r>
        <w:rPr>
          <w:rFonts w:cs="Arial"/>
        </w:rPr>
        <w:t>,</w:t>
      </w:r>
      <w:r w:rsidR="0091012F" w:rsidRPr="00BF5121">
        <w:rPr>
          <w:rFonts w:cs="Arial"/>
        </w:rPr>
        <w:t xml:space="preserve"> en complicité avec Miller</w:t>
      </w:r>
      <w:r>
        <w:rPr>
          <w:rFonts w:cs="Arial"/>
        </w:rPr>
        <w:t xml:space="preserve">, </w:t>
      </w:r>
      <w:r w:rsidR="0091012F" w:rsidRPr="00BF5121">
        <w:rPr>
          <w:rFonts w:cs="Arial"/>
        </w:rPr>
        <w:t>3) l’exploitation sexuelle, directement ou indirectement en complicité avec Miller, 4) la prostitution d’une personne mineure, soit directement ou indirectement en complicité avec Miller</w:t>
      </w:r>
      <w:r>
        <w:rPr>
          <w:rFonts w:cs="Arial"/>
        </w:rPr>
        <w:t xml:space="preserve"> (en vertu des articles 21(1)(b), 21(1)(c) et 23(1) C.cr</w:t>
      </w:r>
      <w:r w:rsidR="008A17B0">
        <w:rPr>
          <w:rFonts w:cs="Arial"/>
        </w:rPr>
        <w:t>.</w:t>
      </w:r>
      <w:r>
        <w:rPr>
          <w:rFonts w:cs="Arial"/>
        </w:rPr>
        <w:t>. pour ce qui est des allégations de complicité)</w:t>
      </w:r>
      <w:r w:rsidR="0091012F" w:rsidRPr="00BF5121">
        <w:rPr>
          <w:rFonts w:cs="Arial"/>
        </w:rPr>
        <w:t xml:space="preserve">. </w:t>
      </w:r>
    </w:p>
    <w:p w14:paraId="1D224BA0" w14:textId="77777777" w:rsidR="00E13BED" w:rsidRDefault="00E21D39" w:rsidP="00573001">
      <w:pPr>
        <w:pStyle w:val="Paragrdouble"/>
        <w:spacing w:after="240" w:line="276" w:lineRule="auto"/>
        <w:rPr>
          <w:rFonts w:cs="Arial"/>
        </w:rPr>
      </w:pPr>
      <w:r w:rsidRPr="00BF5121">
        <w:rPr>
          <w:rFonts w:cs="Arial"/>
        </w:rPr>
        <w:t xml:space="preserve">En somme, les dommages moraux et punitifs réclamés </w:t>
      </w:r>
      <w:r w:rsidR="00921F9C">
        <w:rPr>
          <w:rFonts w:cs="Arial"/>
        </w:rPr>
        <w:t xml:space="preserve">des acolytes </w:t>
      </w:r>
      <w:r w:rsidRPr="00BF5121">
        <w:rPr>
          <w:rFonts w:cs="Arial"/>
        </w:rPr>
        <w:t xml:space="preserve">sont liés aux rôles individuels et collectifs des défendeurs </w:t>
      </w:r>
      <w:r w:rsidR="00921F9C">
        <w:rPr>
          <w:rFonts w:cs="Arial"/>
        </w:rPr>
        <w:t>lorsqu’ils ont contribué à permettre et/ou n’ont pas empêché</w:t>
      </w:r>
      <w:r w:rsidRPr="00BF5121">
        <w:rPr>
          <w:rFonts w:cs="Arial"/>
        </w:rPr>
        <w:t xml:space="preserve"> Miller de commettre les infractions en cause, et </w:t>
      </w:r>
      <w:r w:rsidR="003A129B">
        <w:rPr>
          <w:rFonts w:cs="Arial"/>
        </w:rPr>
        <w:t>négligé</w:t>
      </w:r>
      <w:r w:rsidRPr="00BF5121">
        <w:rPr>
          <w:rFonts w:cs="Arial"/>
        </w:rPr>
        <w:t xml:space="preserve"> de le déclarer aux autorités. </w:t>
      </w:r>
    </w:p>
    <w:p w14:paraId="47BBF777" w14:textId="77777777" w:rsidR="00B33033" w:rsidRPr="003A129B" w:rsidRDefault="00E21D39" w:rsidP="00573001">
      <w:pPr>
        <w:pStyle w:val="Paragrdouble"/>
        <w:spacing w:after="240" w:line="276" w:lineRule="auto"/>
        <w:rPr>
          <w:rFonts w:cs="Arial"/>
        </w:rPr>
      </w:pPr>
      <w:r>
        <w:rPr>
          <w:rFonts w:cs="Arial"/>
        </w:rPr>
        <w:t>La question de la prescription impliquant l</w:t>
      </w:r>
      <w:r w:rsidRPr="00103606">
        <w:rPr>
          <w:rFonts w:cs="Arial"/>
        </w:rPr>
        <w:t xml:space="preserve">’interprétation formelle de l’article 2926.1 </w:t>
      </w:r>
      <w:r w:rsidR="00BF5121">
        <w:rPr>
          <w:rFonts w:cs="Arial"/>
        </w:rPr>
        <w:t xml:space="preserve">C.c.Q. </w:t>
      </w:r>
      <w:r>
        <w:rPr>
          <w:rFonts w:cs="Arial"/>
        </w:rPr>
        <w:t>ainsi que</w:t>
      </w:r>
      <w:r w:rsidRPr="00103606">
        <w:rPr>
          <w:rFonts w:cs="Arial"/>
        </w:rPr>
        <w:t xml:space="preserve"> son application à la preuve</w:t>
      </w:r>
      <w:r>
        <w:rPr>
          <w:rFonts w:cs="Arial"/>
        </w:rPr>
        <w:t>,</w:t>
      </w:r>
      <w:r w:rsidRPr="00103606">
        <w:rPr>
          <w:rFonts w:cs="Arial"/>
        </w:rPr>
        <w:t xml:space="preserve"> </w:t>
      </w:r>
      <w:r>
        <w:rPr>
          <w:rFonts w:cs="Arial"/>
        </w:rPr>
        <w:t>cette question mixte de faits et de droit sera</w:t>
      </w:r>
      <w:r w:rsidRPr="00103606">
        <w:rPr>
          <w:rFonts w:cs="Arial"/>
        </w:rPr>
        <w:t xml:space="preserve"> traitée au mérite</w:t>
      </w:r>
      <w:r w:rsidR="00BF5121">
        <w:rPr>
          <w:rFonts w:cs="Arial"/>
        </w:rPr>
        <w:t>, en considération</w:t>
      </w:r>
      <w:r w:rsidRPr="00103606">
        <w:rPr>
          <w:rFonts w:cs="Arial"/>
        </w:rPr>
        <w:t xml:space="preserve"> d</w:t>
      </w:r>
      <w:r w:rsidR="00BF5121">
        <w:rPr>
          <w:rFonts w:cs="Arial"/>
        </w:rPr>
        <w:t>u</w:t>
      </w:r>
      <w:r w:rsidRPr="00103606">
        <w:rPr>
          <w:rFonts w:cs="Arial"/>
        </w:rPr>
        <w:t xml:space="preserve"> contexte factuel complet.</w:t>
      </w:r>
    </w:p>
    <w:p w14:paraId="11116EDE" w14:textId="77777777" w:rsidR="000666C5" w:rsidRPr="00103606" w:rsidRDefault="00E21D39" w:rsidP="009F319B">
      <w:pPr>
        <w:pStyle w:val="Titre3"/>
        <w:numPr>
          <w:ilvl w:val="0"/>
          <w:numId w:val="17"/>
        </w:numPr>
        <w:ind w:left="1134"/>
        <w:rPr>
          <w:rFonts w:cs="Arial"/>
        </w:rPr>
      </w:pPr>
      <w:bookmarkStart w:id="34" w:name="_Toc256000011"/>
      <w:bookmarkStart w:id="35" w:name="_Toc187475770"/>
      <w:r w:rsidRPr="00103606">
        <w:rPr>
          <w:rFonts w:cs="Arial"/>
        </w:rPr>
        <w:t>La suffisance des allégations quant à la faute, au dommage et au lien de causalité</w:t>
      </w:r>
      <w:bookmarkEnd w:id="34"/>
      <w:bookmarkEnd w:id="35"/>
    </w:p>
    <w:p w14:paraId="64D6FDEF" w14:textId="77777777" w:rsidR="000A4E33" w:rsidRPr="00103606" w:rsidRDefault="00E21D39" w:rsidP="009F319B">
      <w:pPr>
        <w:pStyle w:val="Titre4"/>
        <w:numPr>
          <w:ilvl w:val="1"/>
          <w:numId w:val="21"/>
        </w:numPr>
        <w:ind w:left="1560" w:hanging="425"/>
        <w:rPr>
          <w:rFonts w:cs="Arial"/>
        </w:rPr>
      </w:pPr>
      <w:bookmarkStart w:id="36" w:name="_Toc256000012"/>
      <w:bookmarkStart w:id="37" w:name="_Toc187475771"/>
      <w:r w:rsidRPr="00103606">
        <w:rPr>
          <w:rFonts w:cs="Arial"/>
        </w:rPr>
        <w:t>Introduction</w:t>
      </w:r>
      <w:bookmarkEnd w:id="36"/>
      <w:bookmarkEnd w:id="37"/>
    </w:p>
    <w:p w14:paraId="26D89803" w14:textId="77777777" w:rsidR="0065438C" w:rsidRPr="00103606" w:rsidRDefault="00E21D39" w:rsidP="0065438C">
      <w:pPr>
        <w:pStyle w:val="Paragrdouble"/>
        <w:spacing w:line="276" w:lineRule="auto"/>
        <w:rPr>
          <w:rFonts w:cs="Arial"/>
        </w:rPr>
      </w:pPr>
      <w:r w:rsidRPr="00103606">
        <w:rPr>
          <w:rFonts w:cs="Arial"/>
        </w:rPr>
        <w:t>Dans l</w:t>
      </w:r>
      <w:r w:rsidR="00704644" w:rsidRPr="00103606">
        <w:rPr>
          <w:rFonts w:cs="Arial"/>
        </w:rPr>
        <w:t xml:space="preserve">eur </w:t>
      </w:r>
      <w:r w:rsidR="00B80370">
        <w:rPr>
          <w:rFonts w:cs="Arial"/>
        </w:rPr>
        <w:t>Sixième</w:t>
      </w:r>
      <w:r w:rsidR="00B80370" w:rsidRPr="00103606">
        <w:rPr>
          <w:rFonts w:cs="Arial"/>
        </w:rPr>
        <w:t xml:space="preserve"> </w:t>
      </w:r>
      <w:r w:rsidRPr="00103606">
        <w:rPr>
          <w:rFonts w:cs="Arial"/>
        </w:rPr>
        <w:t xml:space="preserve">Demande d’autorisation, les codemanderesses reprochent aux défendeurs </w:t>
      </w:r>
      <w:r w:rsidR="001E4826" w:rsidRPr="00103606">
        <w:rPr>
          <w:rFonts w:cs="Arial"/>
        </w:rPr>
        <w:t>ce qui suit</w:t>
      </w:r>
      <w:r w:rsidRPr="00103606">
        <w:rPr>
          <w:rFonts w:cs="Arial"/>
        </w:rPr>
        <w:t>:</w:t>
      </w:r>
    </w:p>
    <w:p w14:paraId="5E4C6AED" w14:textId="77777777" w:rsidR="00761001" w:rsidRPr="00103606" w:rsidRDefault="00E21D39" w:rsidP="009F319B">
      <w:pPr>
        <w:pStyle w:val="Paragrdouble"/>
        <w:numPr>
          <w:ilvl w:val="0"/>
          <w:numId w:val="7"/>
        </w:numPr>
        <w:spacing w:line="276" w:lineRule="auto"/>
        <w:rPr>
          <w:rFonts w:cs="Arial"/>
        </w:rPr>
      </w:pPr>
      <w:r w:rsidRPr="00103606">
        <w:rPr>
          <w:rFonts w:cs="Arial"/>
        </w:rPr>
        <w:t xml:space="preserve">Il y aurait eu incitation à des contacts sexuels par Miller, Poulet, Abrams et Lippmann auprès de personnes âgées de moins de 14 ans (et 16 ans, selon l’ancien régime), violant ainsi l’article 152 du </w:t>
      </w:r>
      <w:r w:rsidR="001C1544" w:rsidRPr="00573001">
        <w:rPr>
          <w:rFonts w:cs="Arial"/>
        </w:rPr>
        <w:t>C.cr.</w:t>
      </w:r>
      <w:r w:rsidRPr="008A17B0">
        <w:rPr>
          <w:rFonts w:cs="Arial"/>
        </w:rPr>
        <w:t>;</w:t>
      </w:r>
    </w:p>
    <w:p w14:paraId="34AEFD03" w14:textId="77777777" w:rsidR="00B607A3" w:rsidRPr="00103606" w:rsidRDefault="00E21D39" w:rsidP="009F319B">
      <w:pPr>
        <w:pStyle w:val="Paragrdouble"/>
        <w:numPr>
          <w:ilvl w:val="0"/>
          <w:numId w:val="7"/>
        </w:numPr>
        <w:spacing w:line="276" w:lineRule="auto"/>
        <w:rPr>
          <w:rFonts w:cs="Arial"/>
        </w:rPr>
      </w:pPr>
      <w:r w:rsidRPr="00103606">
        <w:rPr>
          <w:rFonts w:cs="Arial"/>
        </w:rPr>
        <w:t xml:space="preserve">Il y aurait eu </w:t>
      </w:r>
      <w:r w:rsidR="0065438C" w:rsidRPr="00103606">
        <w:rPr>
          <w:rFonts w:cs="Arial"/>
        </w:rPr>
        <w:t xml:space="preserve">obtention illégale par Miller de services sexuels moyennant rétribution auprès de personnes âgées de moins de 18 ans, violant ainsi l’article </w:t>
      </w:r>
      <w:r w:rsidRPr="00103606">
        <w:rPr>
          <w:rFonts w:cs="Arial"/>
        </w:rPr>
        <w:t xml:space="preserve">212(4) du </w:t>
      </w:r>
      <w:r w:rsidR="001C1544" w:rsidRPr="00573001">
        <w:rPr>
          <w:rFonts w:cs="Arial"/>
        </w:rPr>
        <w:t>C.cr</w:t>
      </w:r>
      <w:r w:rsidR="001C1544">
        <w:rPr>
          <w:rFonts w:cs="Arial"/>
          <w:i/>
          <w:iCs/>
        </w:rPr>
        <w:t>.</w:t>
      </w:r>
      <w:r w:rsidR="00993574" w:rsidRPr="00103606">
        <w:rPr>
          <w:rFonts w:cs="Arial"/>
          <w:i/>
          <w:iCs/>
        </w:rPr>
        <w:t xml:space="preserve"> </w:t>
      </w:r>
      <w:r w:rsidRPr="00103606">
        <w:rPr>
          <w:rFonts w:cs="Arial"/>
        </w:rPr>
        <w:t>(</w:t>
      </w:r>
      <w:r w:rsidR="003A129B" w:rsidRPr="00103606">
        <w:rPr>
          <w:rFonts w:cs="Arial"/>
        </w:rPr>
        <w:t>Art.</w:t>
      </w:r>
      <w:r w:rsidRPr="00103606">
        <w:rPr>
          <w:rFonts w:cs="Arial"/>
        </w:rPr>
        <w:t xml:space="preserve"> </w:t>
      </w:r>
      <w:r w:rsidR="0065438C" w:rsidRPr="00103606">
        <w:rPr>
          <w:rFonts w:cs="Arial"/>
        </w:rPr>
        <w:t xml:space="preserve">286.1 </w:t>
      </w:r>
      <w:r w:rsidRPr="00103606">
        <w:rPr>
          <w:rFonts w:cs="Arial"/>
        </w:rPr>
        <w:t>sous l’ancien régime)</w:t>
      </w:r>
      <w:r w:rsidR="0065438C" w:rsidRPr="00103606">
        <w:rPr>
          <w:rFonts w:cs="Arial"/>
        </w:rPr>
        <w:t>;</w:t>
      </w:r>
    </w:p>
    <w:p w14:paraId="382D19AF" w14:textId="77777777" w:rsidR="00B607A3" w:rsidRPr="00103606" w:rsidRDefault="00E21D39" w:rsidP="009F319B">
      <w:pPr>
        <w:pStyle w:val="Paragrdouble"/>
        <w:numPr>
          <w:ilvl w:val="0"/>
          <w:numId w:val="7"/>
        </w:numPr>
        <w:spacing w:line="276" w:lineRule="auto"/>
        <w:rPr>
          <w:rFonts w:cs="Arial"/>
        </w:rPr>
      </w:pPr>
      <w:r w:rsidRPr="00103606">
        <w:rPr>
          <w:rFonts w:cs="Arial"/>
        </w:rPr>
        <w:t xml:space="preserve">Il y aurait eu exploitation sexuelle de personnes mineures par Miller, </w:t>
      </w:r>
      <w:r w:rsidR="00761001" w:rsidRPr="00103606">
        <w:rPr>
          <w:rFonts w:cs="Arial"/>
        </w:rPr>
        <w:t xml:space="preserve">Poulet, Abrams et Lippmann, </w:t>
      </w:r>
      <w:r w:rsidRPr="00103606">
        <w:rPr>
          <w:rFonts w:cs="Arial"/>
        </w:rPr>
        <w:t xml:space="preserve">violant ainsi l’article 153 du </w:t>
      </w:r>
      <w:r w:rsidR="001C1544" w:rsidRPr="00573001">
        <w:rPr>
          <w:rFonts w:cs="Arial"/>
        </w:rPr>
        <w:t>C.cr</w:t>
      </w:r>
      <w:r w:rsidR="001C1544">
        <w:rPr>
          <w:rFonts w:cs="Arial"/>
          <w:i/>
          <w:iCs/>
        </w:rPr>
        <w:t>.</w:t>
      </w:r>
      <w:r w:rsidRPr="00103606">
        <w:rPr>
          <w:rFonts w:cs="Arial"/>
        </w:rPr>
        <w:t>;</w:t>
      </w:r>
    </w:p>
    <w:p w14:paraId="353F0DE4" w14:textId="77777777" w:rsidR="00B607A3" w:rsidRPr="00103606" w:rsidRDefault="00E21D39" w:rsidP="009F319B">
      <w:pPr>
        <w:pStyle w:val="Paragrdouble"/>
        <w:numPr>
          <w:ilvl w:val="0"/>
          <w:numId w:val="7"/>
        </w:numPr>
        <w:spacing w:line="276" w:lineRule="auto"/>
        <w:rPr>
          <w:rFonts w:cs="Arial"/>
        </w:rPr>
      </w:pPr>
      <w:r w:rsidRPr="00103606">
        <w:rPr>
          <w:rFonts w:cs="Arial"/>
        </w:rPr>
        <w:t>Ce faisant, Miller</w:t>
      </w:r>
      <w:r w:rsidR="00761001" w:rsidRPr="00103606">
        <w:rPr>
          <w:rFonts w:cs="Arial"/>
        </w:rPr>
        <w:t>, Poulet, Abrams et Lippmann</w:t>
      </w:r>
      <w:r w:rsidRPr="00103606">
        <w:rPr>
          <w:rFonts w:cs="Arial"/>
        </w:rPr>
        <w:t xml:space="preserve"> aurai</w:t>
      </w:r>
      <w:r w:rsidR="00761001" w:rsidRPr="00103606">
        <w:rPr>
          <w:rFonts w:cs="Arial"/>
        </w:rPr>
        <w:t>en</w:t>
      </w:r>
      <w:r w:rsidRPr="00103606">
        <w:rPr>
          <w:rFonts w:cs="Arial"/>
        </w:rPr>
        <w:t>t commis une faute extracontractuelle en vertu de l’article 1457 C</w:t>
      </w:r>
      <w:r w:rsidR="001E18BE" w:rsidRPr="00103606">
        <w:rPr>
          <w:rFonts w:cs="Arial"/>
        </w:rPr>
        <w:t>.</w:t>
      </w:r>
      <w:r w:rsidRPr="00103606">
        <w:rPr>
          <w:rFonts w:cs="Arial"/>
        </w:rPr>
        <w:t>c</w:t>
      </w:r>
      <w:r w:rsidR="001E18BE" w:rsidRPr="00103606">
        <w:rPr>
          <w:rFonts w:cs="Arial"/>
        </w:rPr>
        <w:t>.</w:t>
      </w:r>
      <w:r w:rsidRPr="00103606">
        <w:rPr>
          <w:rFonts w:cs="Arial"/>
        </w:rPr>
        <w:t>Q</w:t>
      </w:r>
      <w:r w:rsidR="001E18BE" w:rsidRPr="00103606">
        <w:rPr>
          <w:rFonts w:cs="Arial"/>
        </w:rPr>
        <w:t>.</w:t>
      </w:r>
      <w:r w:rsidRPr="00103606">
        <w:rPr>
          <w:rFonts w:cs="Arial"/>
        </w:rPr>
        <w:t xml:space="preserve"> envers les codemanderesses et les membres du groupe, lesquelles </w:t>
      </w:r>
      <w:r w:rsidR="00761001" w:rsidRPr="00103606">
        <w:rPr>
          <w:rFonts w:cs="Arial"/>
        </w:rPr>
        <w:t>auraient</w:t>
      </w:r>
      <w:r w:rsidRPr="00103606">
        <w:rPr>
          <w:rFonts w:cs="Arial"/>
        </w:rPr>
        <w:t xml:space="preserve"> subi des dommages psychologiques dont Miller</w:t>
      </w:r>
      <w:r w:rsidR="00761001" w:rsidRPr="00103606">
        <w:rPr>
          <w:rFonts w:cs="Arial"/>
        </w:rPr>
        <w:t xml:space="preserve"> Poulet, Abrams et Lippmann</w:t>
      </w:r>
      <w:r w:rsidRPr="00103606">
        <w:rPr>
          <w:rFonts w:cs="Arial"/>
        </w:rPr>
        <w:t xml:space="preserve"> serai</w:t>
      </w:r>
      <w:r w:rsidR="00761001" w:rsidRPr="00103606">
        <w:rPr>
          <w:rFonts w:cs="Arial"/>
        </w:rPr>
        <w:t>en</w:t>
      </w:r>
      <w:r w:rsidRPr="00103606">
        <w:rPr>
          <w:rFonts w:cs="Arial"/>
        </w:rPr>
        <w:t>t responsable</w:t>
      </w:r>
      <w:r w:rsidR="001E4826" w:rsidRPr="00103606">
        <w:rPr>
          <w:rFonts w:cs="Arial"/>
        </w:rPr>
        <w:t>s</w:t>
      </w:r>
      <w:r w:rsidRPr="00103606">
        <w:rPr>
          <w:rFonts w:cs="Arial"/>
        </w:rPr>
        <w:t>;</w:t>
      </w:r>
    </w:p>
    <w:p w14:paraId="4F04A9F6" w14:textId="77777777" w:rsidR="00B607A3" w:rsidRPr="00103606" w:rsidRDefault="00E21D39" w:rsidP="009F319B">
      <w:pPr>
        <w:pStyle w:val="Paragrdouble"/>
        <w:numPr>
          <w:ilvl w:val="0"/>
          <w:numId w:val="7"/>
        </w:numPr>
        <w:spacing w:line="276" w:lineRule="auto"/>
        <w:rPr>
          <w:rFonts w:cs="Arial"/>
        </w:rPr>
      </w:pPr>
      <w:r w:rsidRPr="00103606">
        <w:rPr>
          <w:rFonts w:cs="Arial"/>
        </w:rPr>
        <w:t>Miller</w:t>
      </w:r>
      <w:r w:rsidR="00761001" w:rsidRPr="00103606">
        <w:rPr>
          <w:rFonts w:cs="Arial"/>
        </w:rPr>
        <w:t>, Poulet, Abrams et Lippmann</w:t>
      </w:r>
      <w:r w:rsidRPr="00103606">
        <w:rPr>
          <w:rFonts w:cs="Arial"/>
        </w:rPr>
        <w:t xml:space="preserve"> serai</w:t>
      </w:r>
      <w:r w:rsidR="00761001" w:rsidRPr="00103606">
        <w:rPr>
          <w:rFonts w:cs="Arial"/>
        </w:rPr>
        <w:t>en</w:t>
      </w:r>
      <w:r w:rsidRPr="00103606">
        <w:rPr>
          <w:rFonts w:cs="Arial"/>
        </w:rPr>
        <w:t>t également tenu</w:t>
      </w:r>
      <w:r w:rsidR="001E4826" w:rsidRPr="00103606">
        <w:rPr>
          <w:rFonts w:cs="Arial"/>
        </w:rPr>
        <w:t>s</w:t>
      </w:r>
      <w:r w:rsidRPr="00103606">
        <w:rPr>
          <w:rFonts w:cs="Arial"/>
        </w:rPr>
        <w:t xml:space="preserve"> de payer des dommages compensatoires et punitifs </w:t>
      </w:r>
      <w:r w:rsidR="001E18BE" w:rsidRPr="00103606">
        <w:rPr>
          <w:rFonts w:cs="Arial"/>
        </w:rPr>
        <w:t>aux</w:t>
      </w:r>
      <w:r w:rsidRPr="00103606">
        <w:rPr>
          <w:rFonts w:cs="Arial"/>
        </w:rPr>
        <w:t xml:space="preserve"> </w:t>
      </w:r>
      <w:r w:rsidR="001E18BE" w:rsidRPr="00103606">
        <w:rPr>
          <w:rFonts w:cs="Arial"/>
        </w:rPr>
        <w:t>co</w:t>
      </w:r>
      <w:r w:rsidRPr="00103606">
        <w:rPr>
          <w:rFonts w:cs="Arial"/>
        </w:rPr>
        <w:t>demanderesse</w:t>
      </w:r>
      <w:r w:rsidR="001E18BE" w:rsidRPr="00103606">
        <w:rPr>
          <w:rFonts w:cs="Arial"/>
        </w:rPr>
        <w:t>s</w:t>
      </w:r>
      <w:r w:rsidRPr="00103606">
        <w:rPr>
          <w:rFonts w:cs="Arial"/>
        </w:rPr>
        <w:t xml:space="preserve"> et aux membres du groupe pour violation du droit à l’intégrité de la personne et du droit de la personne à la sauvegarde de sa dignité et de son honneur, le tout en vertu des articles 1, 4 et 49 de la </w:t>
      </w:r>
      <w:r w:rsidRPr="00103606">
        <w:rPr>
          <w:rFonts w:cs="Arial"/>
          <w:i/>
          <w:iCs/>
        </w:rPr>
        <w:t>Charte des droits et libertés de la personne</w:t>
      </w:r>
      <w:r w:rsidRPr="00103606">
        <w:rPr>
          <w:rFonts w:cs="Arial"/>
        </w:rPr>
        <w:t>;</w:t>
      </w:r>
    </w:p>
    <w:p w14:paraId="00F91CCF" w14:textId="77777777" w:rsidR="0065438C" w:rsidRPr="00103606" w:rsidRDefault="00E21D39" w:rsidP="009F319B">
      <w:pPr>
        <w:pStyle w:val="Paragrdouble"/>
        <w:numPr>
          <w:ilvl w:val="0"/>
          <w:numId w:val="7"/>
        </w:numPr>
        <w:spacing w:line="276" w:lineRule="auto"/>
        <w:rPr>
          <w:rFonts w:cs="Arial"/>
        </w:rPr>
      </w:pPr>
      <w:r w:rsidRPr="00103606">
        <w:rPr>
          <w:rFonts w:cs="Arial"/>
        </w:rPr>
        <w:t xml:space="preserve">Future serait responsable de façon </w:t>
      </w:r>
      <w:r w:rsidR="00E75B6A" w:rsidRPr="00103606">
        <w:rPr>
          <w:rFonts w:cs="Arial"/>
        </w:rPr>
        <w:t xml:space="preserve">directe et indirecte, de même que </w:t>
      </w:r>
      <w:r w:rsidRPr="00103606">
        <w:rPr>
          <w:rFonts w:cs="Arial"/>
        </w:rPr>
        <w:t>solidaire</w:t>
      </w:r>
      <w:r w:rsidR="00E75B6A" w:rsidRPr="00103606">
        <w:rPr>
          <w:rFonts w:cs="Arial"/>
        </w:rPr>
        <w:t>ment</w:t>
      </w:r>
      <w:r w:rsidRPr="00103606">
        <w:rPr>
          <w:rFonts w:cs="Arial"/>
        </w:rPr>
        <w:t xml:space="preserve"> avec Miller</w:t>
      </w:r>
      <w:r w:rsidR="00761001" w:rsidRPr="00103606">
        <w:rPr>
          <w:rFonts w:cs="Arial"/>
        </w:rPr>
        <w:t>, Poulet, Abrams et Lippmann</w:t>
      </w:r>
      <w:r w:rsidR="00E75B6A" w:rsidRPr="00103606">
        <w:rPr>
          <w:rFonts w:cs="Arial"/>
        </w:rPr>
        <w:t>,</w:t>
      </w:r>
      <w:r w:rsidRPr="00103606">
        <w:rPr>
          <w:rFonts w:cs="Arial"/>
        </w:rPr>
        <w:t xml:space="preserve"> pour tous les dommages compensatoires et punitifs réclamés</w:t>
      </w:r>
      <w:r w:rsidR="00E75B6A" w:rsidRPr="00103606">
        <w:rPr>
          <w:rFonts w:cs="Arial"/>
        </w:rPr>
        <w:t xml:space="preserve">, </w:t>
      </w:r>
      <w:r w:rsidR="00761001" w:rsidRPr="00103606">
        <w:rPr>
          <w:rFonts w:cs="Arial"/>
        </w:rPr>
        <w:t>l</w:t>
      </w:r>
      <w:r w:rsidRPr="00103606">
        <w:rPr>
          <w:rFonts w:cs="Arial"/>
        </w:rPr>
        <w:t xml:space="preserve">es employés de Future </w:t>
      </w:r>
      <w:r w:rsidR="00E75B6A" w:rsidRPr="00103606">
        <w:rPr>
          <w:rFonts w:cs="Arial"/>
        </w:rPr>
        <w:t>ayant</w:t>
      </w:r>
      <w:r w:rsidRPr="00103606">
        <w:rPr>
          <w:rFonts w:cs="Arial"/>
        </w:rPr>
        <w:t xml:space="preserve"> aidé </w:t>
      </w:r>
      <w:r w:rsidR="00E75B6A" w:rsidRPr="00103606">
        <w:rPr>
          <w:rFonts w:cs="Arial"/>
        </w:rPr>
        <w:t>à organiser</w:t>
      </w:r>
      <w:r w:rsidRPr="00103606">
        <w:rPr>
          <w:rFonts w:cs="Arial"/>
        </w:rPr>
        <w:t xml:space="preserve"> </w:t>
      </w:r>
      <w:r w:rsidR="00E75B6A" w:rsidRPr="00103606">
        <w:rPr>
          <w:rFonts w:cs="Arial"/>
        </w:rPr>
        <w:t>le réseau de prostitution de mineures</w:t>
      </w:r>
      <w:r w:rsidRPr="00103606">
        <w:rPr>
          <w:rFonts w:cs="Arial"/>
        </w:rPr>
        <w:t xml:space="preserve"> et </w:t>
      </w:r>
      <w:r w:rsidR="00761001" w:rsidRPr="00103606">
        <w:rPr>
          <w:rFonts w:cs="Arial"/>
        </w:rPr>
        <w:t>a</w:t>
      </w:r>
      <w:r w:rsidR="00E75B6A" w:rsidRPr="00103606">
        <w:rPr>
          <w:rFonts w:cs="Arial"/>
        </w:rPr>
        <w:t>yant</w:t>
      </w:r>
      <w:r w:rsidRPr="00103606">
        <w:rPr>
          <w:rFonts w:cs="Arial"/>
        </w:rPr>
        <w:t xml:space="preserve"> facilité</w:t>
      </w:r>
      <w:r w:rsidR="00E75B6A" w:rsidRPr="00103606">
        <w:rPr>
          <w:rFonts w:cs="Arial"/>
        </w:rPr>
        <w:t xml:space="preserve"> les actes de violence sexuelle,</w:t>
      </w:r>
      <w:r w:rsidRPr="00103606">
        <w:rPr>
          <w:rFonts w:cs="Arial"/>
        </w:rPr>
        <w:t xml:space="preserve"> le tout en vertu de l’article 1463 C</w:t>
      </w:r>
      <w:r w:rsidR="001E18BE" w:rsidRPr="00103606">
        <w:rPr>
          <w:rFonts w:cs="Arial"/>
        </w:rPr>
        <w:t>.</w:t>
      </w:r>
      <w:r w:rsidRPr="00103606">
        <w:rPr>
          <w:rFonts w:cs="Arial"/>
        </w:rPr>
        <w:t>c</w:t>
      </w:r>
      <w:r w:rsidR="001E18BE" w:rsidRPr="00103606">
        <w:rPr>
          <w:rFonts w:cs="Arial"/>
        </w:rPr>
        <w:t>.</w:t>
      </w:r>
      <w:r w:rsidRPr="00103606">
        <w:rPr>
          <w:rFonts w:cs="Arial"/>
        </w:rPr>
        <w:t>Q.</w:t>
      </w:r>
    </w:p>
    <w:p w14:paraId="6FD2EDE3" w14:textId="77777777" w:rsidR="00DE5BEC" w:rsidRPr="00103606" w:rsidRDefault="00E21D39" w:rsidP="00DE5BEC">
      <w:pPr>
        <w:pStyle w:val="Paragrdouble"/>
        <w:spacing w:line="276" w:lineRule="auto"/>
        <w:rPr>
          <w:rFonts w:cs="Arial"/>
        </w:rPr>
      </w:pPr>
      <w:r w:rsidRPr="00103606">
        <w:rPr>
          <w:rFonts w:cs="Arial"/>
        </w:rPr>
        <w:t xml:space="preserve">Le syllogisme proposé par les </w:t>
      </w:r>
      <w:r w:rsidR="007D3903" w:rsidRPr="00103606">
        <w:rPr>
          <w:rFonts w:cs="Arial"/>
        </w:rPr>
        <w:t>codemanderesses</w:t>
      </w:r>
      <w:r w:rsidRPr="00103606">
        <w:rPr>
          <w:rFonts w:cs="Arial"/>
        </w:rPr>
        <w:t xml:space="preserve"> s’articule</w:t>
      </w:r>
      <w:r w:rsidR="0065438C" w:rsidRPr="00103606">
        <w:rPr>
          <w:rFonts w:cs="Arial"/>
        </w:rPr>
        <w:t xml:space="preserve"> donc</w:t>
      </w:r>
      <w:r w:rsidRPr="00103606">
        <w:rPr>
          <w:rFonts w:cs="Arial"/>
        </w:rPr>
        <w:t xml:space="preserve"> autour des</w:t>
      </w:r>
      <w:r w:rsidR="00704644" w:rsidRPr="00103606">
        <w:rPr>
          <w:rFonts w:cs="Arial"/>
        </w:rPr>
        <w:t xml:space="preserve"> violences sexuelles </w:t>
      </w:r>
      <w:r w:rsidR="005738D3" w:rsidRPr="00103606">
        <w:rPr>
          <w:rFonts w:cs="Arial"/>
        </w:rPr>
        <w:t>commises par les défendeurs</w:t>
      </w:r>
      <w:r w:rsidR="00704644" w:rsidRPr="00103606">
        <w:rPr>
          <w:rFonts w:cs="Arial"/>
        </w:rPr>
        <w:t xml:space="preserve">, </w:t>
      </w:r>
      <w:r w:rsidR="00AF0633" w:rsidRPr="00103606">
        <w:rPr>
          <w:rFonts w:cs="Arial"/>
        </w:rPr>
        <w:t>entre autres</w:t>
      </w:r>
      <w:r w:rsidR="00704644" w:rsidRPr="00103606">
        <w:rPr>
          <w:rFonts w:cs="Arial"/>
        </w:rPr>
        <w:t xml:space="preserve"> des</w:t>
      </w:r>
      <w:r w:rsidRPr="00103606">
        <w:rPr>
          <w:rFonts w:cs="Arial"/>
        </w:rPr>
        <w:t xml:space="preserve"> </w:t>
      </w:r>
      <w:r w:rsidR="00287164" w:rsidRPr="00103606">
        <w:rPr>
          <w:rFonts w:cs="Arial"/>
        </w:rPr>
        <w:t>services</w:t>
      </w:r>
      <w:r w:rsidR="004347F5" w:rsidRPr="00103606">
        <w:rPr>
          <w:rFonts w:cs="Arial"/>
        </w:rPr>
        <w:t xml:space="preserve"> sexuels</w:t>
      </w:r>
      <w:r w:rsidRPr="00103606">
        <w:rPr>
          <w:rFonts w:cs="Arial"/>
        </w:rPr>
        <w:t xml:space="preserve"> </w:t>
      </w:r>
      <w:r w:rsidR="00287164" w:rsidRPr="00103606">
        <w:rPr>
          <w:rFonts w:cs="Arial"/>
        </w:rPr>
        <w:t>pour rétribution rendus</w:t>
      </w:r>
      <w:r w:rsidRPr="00103606">
        <w:rPr>
          <w:rFonts w:cs="Arial"/>
        </w:rPr>
        <w:t xml:space="preserve"> </w:t>
      </w:r>
      <w:r w:rsidR="00287164" w:rsidRPr="00103606">
        <w:rPr>
          <w:rFonts w:cs="Arial"/>
        </w:rPr>
        <w:t>à</w:t>
      </w:r>
      <w:r w:rsidR="004347F5" w:rsidRPr="00103606">
        <w:rPr>
          <w:rFonts w:cs="Arial"/>
        </w:rPr>
        <w:t xml:space="preserve"> Miller</w:t>
      </w:r>
      <w:r w:rsidRPr="00103606">
        <w:rPr>
          <w:rFonts w:cs="Arial"/>
        </w:rPr>
        <w:t xml:space="preserve">, </w:t>
      </w:r>
      <w:r w:rsidR="00704644" w:rsidRPr="00103606">
        <w:rPr>
          <w:rFonts w:cs="Arial"/>
        </w:rPr>
        <w:t>avec</w:t>
      </w:r>
      <w:r w:rsidRPr="00103606">
        <w:rPr>
          <w:rFonts w:cs="Arial"/>
        </w:rPr>
        <w:t xml:space="preserve"> la contribution des </w:t>
      </w:r>
      <w:r w:rsidR="00603B9B" w:rsidRPr="00103606">
        <w:rPr>
          <w:rFonts w:cs="Arial"/>
        </w:rPr>
        <w:t xml:space="preserve">trois défendeurs </w:t>
      </w:r>
      <w:r w:rsidRPr="00103606">
        <w:rPr>
          <w:rFonts w:cs="Arial"/>
        </w:rPr>
        <w:t xml:space="preserve">employés de Future et de </w:t>
      </w:r>
      <w:r w:rsidR="00603B9B" w:rsidRPr="00103606">
        <w:rPr>
          <w:rFonts w:cs="Arial"/>
        </w:rPr>
        <w:t>la responsabilité directe et indirecte</w:t>
      </w:r>
      <w:r w:rsidRPr="00103606">
        <w:rPr>
          <w:rFonts w:cs="Arial"/>
        </w:rPr>
        <w:t xml:space="preserve"> de cette dernière</w:t>
      </w:r>
      <w:r w:rsidR="00603B9B" w:rsidRPr="00103606">
        <w:rPr>
          <w:rFonts w:cs="Arial"/>
        </w:rPr>
        <w:t>, laquelle</w:t>
      </w:r>
      <w:r w:rsidRPr="00103606">
        <w:rPr>
          <w:rFonts w:cs="Arial"/>
        </w:rPr>
        <w:t xml:space="preserve"> aurait </w:t>
      </w:r>
      <w:r w:rsidR="00603B9B" w:rsidRPr="00103606">
        <w:rPr>
          <w:rFonts w:cs="Arial"/>
        </w:rPr>
        <w:t xml:space="preserve">contribué en </w:t>
      </w:r>
      <w:r w:rsidR="00704644" w:rsidRPr="00103606">
        <w:rPr>
          <w:rFonts w:cs="Arial"/>
        </w:rPr>
        <w:t>payant</w:t>
      </w:r>
      <w:r w:rsidR="00603B9B" w:rsidRPr="00103606">
        <w:rPr>
          <w:rFonts w:cs="Arial"/>
        </w:rPr>
        <w:t xml:space="preserve"> pour </w:t>
      </w:r>
      <w:r w:rsidR="00704644" w:rsidRPr="00103606">
        <w:rPr>
          <w:rFonts w:cs="Arial"/>
        </w:rPr>
        <w:t>l</w:t>
      </w:r>
      <w:r w:rsidR="00603B9B" w:rsidRPr="00103606">
        <w:rPr>
          <w:rFonts w:cs="Arial"/>
        </w:rPr>
        <w:t xml:space="preserve">es </w:t>
      </w:r>
      <w:r w:rsidR="00704644" w:rsidRPr="00103606">
        <w:rPr>
          <w:rFonts w:cs="Arial"/>
        </w:rPr>
        <w:t>lieux</w:t>
      </w:r>
      <w:r w:rsidR="00603B9B" w:rsidRPr="00103606">
        <w:rPr>
          <w:rFonts w:cs="Arial"/>
        </w:rPr>
        <w:t xml:space="preserve"> servant de refuge pour les infractions de nature sexuelles</w:t>
      </w:r>
      <w:r w:rsidRPr="00103606">
        <w:rPr>
          <w:rFonts w:cs="Arial"/>
        </w:rPr>
        <w:t xml:space="preserve">, </w:t>
      </w:r>
      <w:r w:rsidR="00603B9B" w:rsidRPr="00103606">
        <w:rPr>
          <w:rFonts w:cs="Arial"/>
        </w:rPr>
        <w:t>de même qu’en engageant sa responsabilité</w:t>
      </w:r>
      <w:r w:rsidRPr="00103606">
        <w:rPr>
          <w:rFonts w:cs="Arial"/>
        </w:rPr>
        <w:t xml:space="preserve"> à titre de commettant. Les membres du groupe auraient </w:t>
      </w:r>
      <w:r w:rsidR="007D3903" w:rsidRPr="00103606">
        <w:rPr>
          <w:rFonts w:cs="Arial"/>
        </w:rPr>
        <w:t>donc</w:t>
      </w:r>
      <w:r w:rsidRPr="00103606">
        <w:rPr>
          <w:rFonts w:cs="Arial"/>
        </w:rPr>
        <w:t xml:space="preserve"> subi des dommages </w:t>
      </w:r>
      <w:r w:rsidR="007D3903" w:rsidRPr="00103606">
        <w:rPr>
          <w:rFonts w:cs="Arial"/>
        </w:rPr>
        <w:t>par suite des agissements des défendeurs, lesquels seraient</w:t>
      </w:r>
      <w:r w:rsidRPr="00103606">
        <w:rPr>
          <w:rFonts w:cs="Arial"/>
        </w:rPr>
        <w:t xml:space="preserve"> responsable</w:t>
      </w:r>
      <w:r w:rsidR="007D3903" w:rsidRPr="00103606">
        <w:rPr>
          <w:rFonts w:cs="Arial"/>
        </w:rPr>
        <w:t>s</w:t>
      </w:r>
      <w:r w:rsidRPr="00103606">
        <w:rPr>
          <w:rFonts w:cs="Arial"/>
        </w:rPr>
        <w:t xml:space="preserve"> </w:t>
      </w:r>
      <w:r w:rsidR="007D3903" w:rsidRPr="00103606">
        <w:rPr>
          <w:rFonts w:cs="Arial"/>
        </w:rPr>
        <w:t xml:space="preserve">en vertu, d’une part, des </w:t>
      </w:r>
      <w:r w:rsidR="00704644" w:rsidRPr="00103606">
        <w:rPr>
          <w:rFonts w:cs="Arial"/>
        </w:rPr>
        <w:t xml:space="preserve">anciens </w:t>
      </w:r>
      <w:r w:rsidR="007D3903" w:rsidRPr="00103606">
        <w:rPr>
          <w:rFonts w:cs="Arial"/>
        </w:rPr>
        <w:t>articles 2</w:t>
      </w:r>
      <w:r w:rsidR="004347F5" w:rsidRPr="00103606">
        <w:rPr>
          <w:rFonts w:cs="Arial"/>
        </w:rPr>
        <w:t>14(4)</w:t>
      </w:r>
      <w:r w:rsidR="007D3903" w:rsidRPr="00103606">
        <w:rPr>
          <w:rFonts w:cs="Arial"/>
        </w:rPr>
        <w:t>, 15</w:t>
      </w:r>
      <w:r w:rsidR="004347F5" w:rsidRPr="00103606">
        <w:rPr>
          <w:rFonts w:cs="Arial"/>
        </w:rPr>
        <w:t>2</w:t>
      </w:r>
      <w:r w:rsidR="007D3903" w:rsidRPr="00103606">
        <w:rPr>
          <w:rFonts w:cs="Arial"/>
        </w:rPr>
        <w:t xml:space="preserve"> et 153 du </w:t>
      </w:r>
      <w:r w:rsidR="001C1544" w:rsidRPr="00573001">
        <w:rPr>
          <w:rFonts w:cs="Arial"/>
        </w:rPr>
        <w:t>C.cr.</w:t>
      </w:r>
      <w:r w:rsidR="007D3903" w:rsidRPr="00573001">
        <w:rPr>
          <w:rFonts w:cs="Arial"/>
        </w:rPr>
        <w:t xml:space="preserve"> </w:t>
      </w:r>
      <w:r w:rsidR="007D3903" w:rsidRPr="00103606">
        <w:rPr>
          <w:rFonts w:cs="Arial"/>
        </w:rPr>
        <w:t xml:space="preserve">et de l’autre, des </w:t>
      </w:r>
      <w:r w:rsidRPr="00103606">
        <w:rPr>
          <w:rFonts w:cs="Arial"/>
        </w:rPr>
        <w:t>article</w:t>
      </w:r>
      <w:r w:rsidR="007D3903" w:rsidRPr="00103606">
        <w:rPr>
          <w:rFonts w:cs="Arial"/>
        </w:rPr>
        <w:t>s</w:t>
      </w:r>
      <w:r w:rsidRPr="00103606">
        <w:rPr>
          <w:rFonts w:cs="Arial"/>
        </w:rPr>
        <w:t xml:space="preserve"> 1457</w:t>
      </w:r>
      <w:r w:rsidR="005738D3" w:rsidRPr="00103606">
        <w:rPr>
          <w:rFonts w:cs="Arial"/>
        </w:rPr>
        <w:t xml:space="preserve">, </w:t>
      </w:r>
      <w:r w:rsidRPr="00103606">
        <w:rPr>
          <w:rFonts w:cs="Arial"/>
        </w:rPr>
        <w:t>1463</w:t>
      </w:r>
      <w:r w:rsidR="005738D3" w:rsidRPr="00103606">
        <w:rPr>
          <w:rFonts w:cs="Arial"/>
        </w:rPr>
        <w:t>, 1480 et 1526</w:t>
      </w:r>
      <w:r w:rsidRPr="00103606">
        <w:rPr>
          <w:rFonts w:cs="Arial"/>
        </w:rPr>
        <w:t xml:space="preserve"> C.c.Q.</w:t>
      </w:r>
      <w:r>
        <w:rPr>
          <w:rStyle w:val="Appelnotedebasdep"/>
          <w:rFonts w:cs="Arial"/>
        </w:rPr>
        <w:footnoteReference w:id="56"/>
      </w:r>
      <w:r w:rsidRPr="00103606">
        <w:rPr>
          <w:rFonts w:cs="Arial"/>
        </w:rPr>
        <w:t>.</w:t>
      </w:r>
    </w:p>
    <w:p w14:paraId="09FD229E" w14:textId="77777777" w:rsidR="00704644" w:rsidRPr="00103606" w:rsidRDefault="00E21D39" w:rsidP="00704644">
      <w:pPr>
        <w:pStyle w:val="Paragrdouble"/>
        <w:spacing w:line="276" w:lineRule="auto"/>
        <w:rPr>
          <w:rFonts w:cs="Arial"/>
        </w:rPr>
      </w:pPr>
      <w:r w:rsidRPr="00103606">
        <w:rPr>
          <w:rFonts w:cs="Arial"/>
        </w:rPr>
        <w:t>Il faut donc déterminer si les allégations</w:t>
      </w:r>
      <w:r w:rsidR="00494BAB" w:rsidRPr="00103606">
        <w:rPr>
          <w:rFonts w:cs="Arial"/>
        </w:rPr>
        <w:t xml:space="preserve"> des trois codemanderesses</w:t>
      </w:r>
      <w:r w:rsidRPr="00103606">
        <w:rPr>
          <w:rFonts w:cs="Arial"/>
        </w:rPr>
        <w:t xml:space="preserve"> de la </w:t>
      </w:r>
      <w:r w:rsidR="00B80370">
        <w:rPr>
          <w:rFonts w:cs="Arial"/>
        </w:rPr>
        <w:t>Sixième</w:t>
      </w:r>
      <w:r w:rsidR="00B80370" w:rsidRPr="00103606">
        <w:rPr>
          <w:rFonts w:cs="Arial"/>
        </w:rPr>
        <w:t xml:space="preserve"> </w:t>
      </w:r>
      <w:r w:rsidRPr="00103606">
        <w:rPr>
          <w:rFonts w:cs="Arial"/>
        </w:rPr>
        <w:t>Demande, tenues pour avérées, sont suffisamment précises et palpables pour supporter l’exercice de l’action collective sur la base d’une faute commise en vertu des articles cités, soit directement, pour les défendeurs Miller, Poulet, Lippmann et Abrams, soit directement et indirectement pour Future.</w:t>
      </w:r>
    </w:p>
    <w:p w14:paraId="4F25BDDF" w14:textId="77777777" w:rsidR="005738D3" w:rsidRPr="007B1464" w:rsidRDefault="00E21D39" w:rsidP="00AF0633">
      <w:pPr>
        <w:pStyle w:val="Paragrdouble"/>
        <w:spacing w:line="276" w:lineRule="auto"/>
        <w:rPr>
          <w:rFonts w:cs="Arial"/>
        </w:rPr>
      </w:pPr>
      <w:r w:rsidRPr="00103606">
        <w:rPr>
          <w:rFonts w:cs="Arial"/>
        </w:rPr>
        <w:t xml:space="preserve">Je rappelle ici qu’à l’étape de l’autorisation, la juge autorisatrice ne se penche pas sur le fond du litige et doit prendre les faits pour avérés, sauf s’ils apparaissent </w:t>
      </w:r>
      <w:r w:rsidRPr="007B1464">
        <w:rPr>
          <w:rFonts w:cs="Arial"/>
        </w:rPr>
        <w:t>invraisemblables ou manifestement inexacts, en examinant attentivement les faits allégués, de même que les inférences ou présomptions de fait ou de droit qui peuvent en découler et servir à établir l’existence d’une « cause défendable</w:t>
      </w:r>
      <w:r w:rsidR="0054424E" w:rsidRPr="007B1464">
        <w:rPr>
          <w:rFonts w:cs="Arial"/>
        </w:rPr>
        <w:t xml:space="preserve"> ». </w:t>
      </w:r>
    </w:p>
    <w:p w14:paraId="75F1EFDF" w14:textId="77777777" w:rsidR="00AF0633" w:rsidRPr="00103606" w:rsidRDefault="00E21D39" w:rsidP="00AF0633">
      <w:pPr>
        <w:pStyle w:val="Paragrdouble"/>
        <w:spacing w:line="276" w:lineRule="auto"/>
        <w:rPr>
          <w:rFonts w:cs="Arial"/>
        </w:rPr>
      </w:pPr>
      <w:r w:rsidRPr="007B1464">
        <w:rPr>
          <w:rFonts w:cs="Arial"/>
        </w:rPr>
        <w:t>Les inférences, selon la Cour suprême, doivent pouvoir être tirées « de manière raisonnable et logique à partir</w:t>
      </w:r>
      <w:r w:rsidRPr="00103606">
        <w:rPr>
          <w:rFonts w:cs="Arial"/>
        </w:rPr>
        <w:t xml:space="preserve"> d’un fait avéré qui a été établi par une preuve directe (ou qui a été admis d’office) », quoique celles « ne découlant pas logiquement et raisonnablement de faits établis » est « proscrite en tant que supposition </w:t>
      </w:r>
      <w:r w:rsidR="007B1464">
        <w:rPr>
          <w:rFonts w:cs="Arial"/>
        </w:rPr>
        <w:br/>
      </w:r>
      <w:r w:rsidRPr="00103606">
        <w:rPr>
          <w:rFonts w:cs="Arial"/>
        </w:rPr>
        <w:t>et conjecture</w:t>
      </w:r>
      <w:r w:rsidR="007B1464">
        <w:rPr>
          <w:rFonts w:cs="Arial"/>
        </w:rPr>
        <w:t> </w:t>
      </w:r>
      <w:r w:rsidRPr="00103606">
        <w:rPr>
          <w:rFonts w:cs="Arial"/>
        </w:rPr>
        <w:t>»</w:t>
      </w:r>
      <w:r>
        <w:rPr>
          <w:rStyle w:val="Appelnotedebasdep"/>
          <w:rFonts w:cs="Arial"/>
        </w:rPr>
        <w:footnoteReference w:id="57"/>
      </w:r>
      <w:r w:rsidRPr="00103606">
        <w:rPr>
          <w:rFonts w:cs="Arial"/>
        </w:rPr>
        <w:t>. Il faudra donc s’en tenir à un raisonnement qui est fondé sur les faits établis par la preuve pour ne pas tomber dans le « spéculatif »</w:t>
      </w:r>
      <w:r>
        <w:rPr>
          <w:rStyle w:val="Appelnotedebasdep"/>
          <w:rFonts w:cs="Arial"/>
        </w:rPr>
        <w:footnoteReference w:id="58"/>
      </w:r>
      <w:r w:rsidRPr="00103606">
        <w:rPr>
          <w:rFonts w:cs="Arial"/>
        </w:rPr>
        <w:t>.</w:t>
      </w:r>
    </w:p>
    <w:p w14:paraId="5D8C3260" w14:textId="77777777" w:rsidR="004347F5" w:rsidRPr="00103606" w:rsidRDefault="00E21D39" w:rsidP="008A73ED">
      <w:pPr>
        <w:pStyle w:val="Paragrdouble"/>
        <w:spacing w:line="276" w:lineRule="auto"/>
        <w:rPr>
          <w:rFonts w:cs="Arial"/>
        </w:rPr>
      </w:pPr>
      <w:r w:rsidRPr="00103606">
        <w:rPr>
          <w:rFonts w:cs="Arial"/>
        </w:rPr>
        <w:t>En l’espèce,</w:t>
      </w:r>
      <w:r w:rsidR="0096291E" w:rsidRPr="00103606">
        <w:rPr>
          <w:rFonts w:cs="Arial"/>
        </w:rPr>
        <w:t xml:space="preserve"> </w:t>
      </w:r>
      <w:r w:rsidR="00482808">
        <w:rPr>
          <w:rFonts w:cs="Arial"/>
        </w:rPr>
        <w:t>c</w:t>
      </w:r>
      <w:r w:rsidR="00482808" w:rsidRPr="00482808">
        <w:rPr>
          <w:rFonts w:cs="Arial"/>
        </w:rPr>
        <w:t xml:space="preserve">hacune des codemanderesses présente à la </w:t>
      </w:r>
      <w:r w:rsidR="00B80370">
        <w:rPr>
          <w:rFonts w:cs="Arial"/>
        </w:rPr>
        <w:t>Sixième</w:t>
      </w:r>
      <w:r w:rsidR="00B80370" w:rsidRPr="00103606">
        <w:rPr>
          <w:rFonts w:cs="Arial"/>
        </w:rPr>
        <w:t xml:space="preserve"> </w:t>
      </w:r>
      <w:r w:rsidR="0096291E" w:rsidRPr="00103606">
        <w:rPr>
          <w:rFonts w:cs="Arial"/>
        </w:rPr>
        <w:t>demande</w:t>
      </w:r>
      <w:r w:rsidR="00E85BFD">
        <w:rPr>
          <w:rFonts w:cs="Arial"/>
        </w:rPr>
        <w:t xml:space="preserve"> </w:t>
      </w:r>
      <w:r w:rsidR="00482808" w:rsidRPr="00482808">
        <w:rPr>
          <w:rFonts w:cs="Arial"/>
        </w:rPr>
        <w:t xml:space="preserve">une séquence de faits </w:t>
      </w:r>
      <w:r w:rsidR="00E85BFD">
        <w:rPr>
          <w:rFonts w:cs="Arial"/>
        </w:rPr>
        <w:t xml:space="preserve">claire </w:t>
      </w:r>
      <w:r w:rsidR="00482808" w:rsidRPr="00482808">
        <w:rPr>
          <w:rFonts w:cs="Arial"/>
        </w:rPr>
        <w:t>entourant la commission de violences sexuelles</w:t>
      </w:r>
      <w:r w:rsidR="00ED0414">
        <w:rPr>
          <w:rFonts w:cs="Arial"/>
        </w:rPr>
        <w:t>,</w:t>
      </w:r>
      <w:r w:rsidR="00482808">
        <w:rPr>
          <w:rFonts w:cs="Arial"/>
        </w:rPr>
        <w:t xml:space="preserve"> </w:t>
      </w:r>
      <w:r w:rsidR="009B3D69">
        <w:rPr>
          <w:rFonts w:cs="Arial"/>
        </w:rPr>
        <w:t xml:space="preserve">établissant </w:t>
      </w:r>
      <w:r w:rsidR="00482808" w:rsidRPr="00482808">
        <w:rPr>
          <w:rFonts w:cs="Arial"/>
        </w:rPr>
        <w:t>sa cause défendable envers chacun des défendeurs.</w:t>
      </w:r>
    </w:p>
    <w:p w14:paraId="66756A29" w14:textId="77777777" w:rsidR="00CF192E" w:rsidRPr="00482808" w:rsidRDefault="00E21D39" w:rsidP="00482808">
      <w:pPr>
        <w:pStyle w:val="Paragrdouble"/>
        <w:spacing w:line="276" w:lineRule="auto"/>
        <w:rPr>
          <w:rFonts w:cs="Arial"/>
        </w:rPr>
      </w:pPr>
      <w:r w:rsidRPr="00103606">
        <w:rPr>
          <w:rFonts w:cs="Arial"/>
        </w:rPr>
        <w:t xml:space="preserve">Les codemanderesses allèguent </w:t>
      </w:r>
      <w:r w:rsidR="004A101B" w:rsidRPr="00103606">
        <w:rPr>
          <w:rFonts w:cs="Arial"/>
        </w:rPr>
        <w:t xml:space="preserve">que les médias, dont un reportage à l’émission </w:t>
      </w:r>
      <w:r w:rsidR="004A101B" w:rsidRPr="00103606">
        <w:rPr>
          <w:rFonts w:cs="Arial"/>
          <w:i/>
          <w:iCs/>
        </w:rPr>
        <w:t>Enquête</w:t>
      </w:r>
      <w:r w:rsidR="004A101B" w:rsidRPr="00103606">
        <w:rPr>
          <w:rFonts w:cs="Arial"/>
        </w:rPr>
        <w:t xml:space="preserve">, ont révélé que de nombreuses femmes avaient témoigné avoir participé à un schème orchestré par Miller </w:t>
      </w:r>
      <w:r w:rsidR="00145288" w:rsidRPr="00103606">
        <w:rPr>
          <w:rFonts w:cs="Arial"/>
        </w:rPr>
        <w:t>dans le cadre duquel</w:t>
      </w:r>
      <w:r w:rsidR="004A101B" w:rsidRPr="00103606">
        <w:rPr>
          <w:rFonts w:cs="Arial"/>
        </w:rPr>
        <w:t xml:space="preserve"> elles ont eu des relations sexuelles avec Miller alors qu’elles étaient mineures et ont reçu des cadeaux et</w:t>
      </w:r>
      <w:r w:rsidR="00145288" w:rsidRPr="00103606">
        <w:rPr>
          <w:rFonts w:cs="Arial"/>
        </w:rPr>
        <w:t>/ou</w:t>
      </w:r>
      <w:r w:rsidR="004A101B" w:rsidRPr="00103606">
        <w:rPr>
          <w:rFonts w:cs="Arial"/>
        </w:rPr>
        <w:t xml:space="preserve"> une rémunération en contrepartie.</w:t>
      </w:r>
      <w:r w:rsidRPr="00103606">
        <w:rPr>
          <w:rFonts w:cs="Arial"/>
        </w:rPr>
        <w:t xml:space="preserve"> </w:t>
      </w:r>
      <w:r w:rsidRPr="00482808">
        <w:rPr>
          <w:rFonts w:cs="Arial"/>
        </w:rPr>
        <w:t xml:space="preserve">Tel que rapporté à la </w:t>
      </w:r>
      <w:r w:rsidR="00B80370" w:rsidRPr="00482808">
        <w:rPr>
          <w:rFonts w:cs="Arial"/>
        </w:rPr>
        <w:t xml:space="preserve">Sixième </w:t>
      </w:r>
      <w:r w:rsidRPr="00482808">
        <w:rPr>
          <w:rFonts w:cs="Arial"/>
        </w:rPr>
        <w:t>Demande, le reportage relevait que :</w:t>
      </w:r>
    </w:p>
    <w:p w14:paraId="41768634" w14:textId="77777777" w:rsidR="00CF192E" w:rsidRPr="00103606" w:rsidRDefault="00E21D39" w:rsidP="00573001">
      <w:pPr>
        <w:pStyle w:val="Paragrdouble"/>
        <w:numPr>
          <w:ilvl w:val="0"/>
          <w:numId w:val="0"/>
        </w:numPr>
        <w:spacing w:line="240" w:lineRule="auto"/>
        <w:ind w:left="709" w:right="857" w:hanging="142"/>
        <w:rPr>
          <w:rFonts w:cs="Arial"/>
          <w:sz w:val="22"/>
          <w:szCs w:val="18"/>
        </w:rPr>
      </w:pPr>
      <w:r w:rsidRPr="00103606">
        <w:rPr>
          <w:rFonts w:cs="Arial"/>
          <w:sz w:val="22"/>
          <w:szCs w:val="18"/>
        </w:rPr>
        <w:t xml:space="preserve">« Une dizaine de femmes ont confié leurs histoires à </w:t>
      </w:r>
      <w:r w:rsidRPr="00573001">
        <w:rPr>
          <w:rFonts w:cs="Arial"/>
          <w:i/>
          <w:iCs/>
          <w:sz w:val="22"/>
          <w:szCs w:val="18"/>
        </w:rPr>
        <w:t>Enquête</w:t>
      </w:r>
      <w:r w:rsidRPr="00103606">
        <w:rPr>
          <w:rFonts w:cs="Arial"/>
          <w:sz w:val="22"/>
          <w:szCs w:val="18"/>
        </w:rPr>
        <w:t>; six d’entre elles affirment avoir eu des relations sexuelles avec Robert Miller lorsqu’elles étaient mineures. Toutes nous ont décrit des expériences semblables impliquant des faveurs sexuelles rémunérées à coups de milliers de dollars, de voyages et de sacs de hockey remplis de cadeaux. Selon nos sources, il s’agissait d’un système bien rodé, dans lequel seraient passées de nombreuses adolescentes et de jeunes femmes entre 1994 et 2006.</w:t>
      </w:r>
      <w:r w:rsidR="00BE3E6E" w:rsidRPr="00103606">
        <w:rPr>
          <w:rFonts w:cs="Arial"/>
          <w:sz w:val="22"/>
          <w:szCs w:val="18"/>
        </w:rPr>
        <w:t> »</w:t>
      </w:r>
      <w:r>
        <w:rPr>
          <w:rStyle w:val="Appelnotedebasdep"/>
          <w:rFonts w:cs="Arial"/>
          <w:sz w:val="22"/>
          <w:szCs w:val="18"/>
        </w:rPr>
        <w:footnoteReference w:id="59"/>
      </w:r>
    </w:p>
    <w:p w14:paraId="7B075486" w14:textId="17BF4464" w:rsidR="008A73ED" w:rsidRPr="00103606" w:rsidRDefault="00E21D39" w:rsidP="00315AE7">
      <w:pPr>
        <w:pStyle w:val="Paragrdouble"/>
        <w:spacing w:line="276" w:lineRule="auto"/>
        <w:rPr>
          <w:rFonts w:cs="Arial"/>
        </w:rPr>
      </w:pPr>
      <w:r>
        <w:rPr>
          <w:rFonts w:cs="Arial"/>
        </w:rPr>
        <w:t xml:space="preserve">Les codemanderesses allèguent des faits s’étant déroulés durant </w:t>
      </w:r>
      <w:r w:rsidR="00C73595" w:rsidRPr="00103606">
        <w:rPr>
          <w:rFonts w:cs="Arial"/>
        </w:rPr>
        <w:t>deux</w:t>
      </w:r>
      <w:r w:rsidR="00C02021" w:rsidRPr="00103606">
        <w:rPr>
          <w:rFonts w:cs="Arial"/>
        </w:rPr>
        <w:t xml:space="preserve"> phases significatives</w:t>
      </w:r>
      <w:r w:rsidR="00145288" w:rsidRPr="00103606">
        <w:rPr>
          <w:rFonts w:cs="Arial"/>
        </w:rPr>
        <w:t>.</w:t>
      </w:r>
      <w:r w:rsidR="00C02021" w:rsidRPr="00103606">
        <w:rPr>
          <w:rFonts w:cs="Arial"/>
        </w:rPr>
        <w:t xml:space="preserve"> </w:t>
      </w:r>
      <w:r w:rsidR="00145288" w:rsidRPr="00103606">
        <w:rPr>
          <w:rFonts w:cs="Arial"/>
        </w:rPr>
        <w:t>La</w:t>
      </w:r>
      <w:r w:rsidR="00C02021" w:rsidRPr="00103606">
        <w:rPr>
          <w:rFonts w:cs="Arial"/>
        </w:rPr>
        <w:t xml:space="preserve"> première</w:t>
      </w:r>
      <w:r w:rsidR="00145288" w:rsidRPr="00103606">
        <w:rPr>
          <w:rFonts w:cs="Arial"/>
        </w:rPr>
        <w:t xml:space="preserve"> période</w:t>
      </w:r>
      <w:r w:rsidR="00C02021" w:rsidRPr="00103606">
        <w:rPr>
          <w:rFonts w:cs="Arial"/>
        </w:rPr>
        <w:t xml:space="preserve"> début</w:t>
      </w:r>
      <w:r w:rsidR="00145288" w:rsidRPr="00103606">
        <w:rPr>
          <w:rFonts w:cs="Arial"/>
        </w:rPr>
        <w:t>e</w:t>
      </w:r>
      <w:r w:rsidR="00C02021" w:rsidRPr="00103606">
        <w:rPr>
          <w:rFonts w:cs="Arial"/>
        </w:rPr>
        <w:t xml:space="preserve"> autour de l’année 1996, </w:t>
      </w:r>
      <w:r w:rsidR="00145288" w:rsidRPr="00103606">
        <w:rPr>
          <w:rFonts w:cs="Arial"/>
        </w:rPr>
        <w:t>période durant laquelle</w:t>
      </w:r>
      <w:r w:rsidR="00C02021" w:rsidRPr="00103606">
        <w:rPr>
          <w:rFonts w:cs="Arial"/>
        </w:rPr>
        <w:t xml:space="preserve"> les </w:t>
      </w:r>
      <w:r w:rsidR="00B92C09" w:rsidRPr="00103606">
        <w:rPr>
          <w:rFonts w:cs="Arial"/>
        </w:rPr>
        <w:t xml:space="preserve">mineures </w:t>
      </w:r>
      <w:r w:rsidR="00145288" w:rsidRPr="00103606">
        <w:rPr>
          <w:rFonts w:cs="Arial"/>
        </w:rPr>
        <w:t>sont</w:t>
      </w:r>
      <w:r w:rsidR="00C02021" w:rsidRPr="00103606">
        <w:rPr>
          <w:rFonts w:cs="Arial"/>
        </w:rPr>
        <w:t xml:space="preserve"> recrutées par Raymond Poulet et les rencontres sexuelles </w:t>
      </w:r>
      <w:r w:rsidR="00145288" w:rsidRPr="00103606">
        <w:rPr>
          <w:rFonts w:cs="Arial"/>
        </w:rPr>
        <w:t>avec Miller ont</w:t>
      </w:r>
      <w:r w:rsidR="00C02021" w:rsidRPr="00103606">
        <w:rPr>
          <w:rFonts w:cs="Arial"/>
        </w:rPr>
        <w:t xml:space="preserve"> lieu </w:t>
      </w:r>
      <w:r w:rsidR="00145288" w:rsidRPr="00103606">
        <w:rPr>
          <w:rFonts w:cs="Arial"/>
        </w:rPr>
        <w:t xml:space="preserve">principalement </w:t>
      </w:r>
      <w:r w:rsidR="00C02021" w:rsidRPr="00103606">
        <w:rPr>
          <w:rFonts w:cs="Arial"/>
        </w:rPr>
        <w:t xml:space="preserve">dans des hôtels (InterContinental, Four Seasons, </w:t>
      </w:r>
      <w:r w:rsidR="009B3D69">
        <w:rPr>
          <w:rFonts w:cs="Arial"/>
        </w:rPr>
        <w:t>Reine</w:t>
      </w:r>
      <w:r w:rsidR="009B3D69" w:rsidRPr="00103606">
        <w:rPr>
          <w:rFonts w:cs="Arial"/>
        </w:rPr>
        <w:t xml:space="preserve"> </w:t>
      </w:r>
      <w:r w:rsidR="009B3D69">
        <w:rPr>
          <w:rFonts w:cs="Arial"/>
        </w:rPr>
        <w:t>É</w:t>
      </w:r>
      <w:r w:rsidR="00C02021" w:rsidRPr="00103606">
        <w:rPr>
          <w:rFonts w:cs="Arial"/>
        </w:rPr>
        <w:t xml:space="preserve">lizabeth). </w:t>
      </w:r>
      <w:r w:rsidR="00145288" w:rsidRPr="00103606">
        <w:rPr>
          <w:rFonts w:cs="Arial"/>
        </w:rPr>
        <w:t>La deuxième période qui commence v</w:t>
      </w:r>
      <w:r w:rsidR="00C02021" w:rsidRPr="00103606">
        <w:rPr>
          <w:rFonts w:cs="Arial"/>
        </w:rPr>
        <w:t>ers l’année 2006</w:t>
      </w:r>
      <w:r w:rsidR="00145288" w:rsidRPr="00103606">
        <w:rPr>
          <w:rFonts w:cs="Arial"/>
        </w:rPr>
        <w:t xml:space="preserve"> en est une où </w:t>
      </w:r>
      <w:r w:rsidR="00AC28F2">
        <w:rPr>
          <w:rFonts w:cs="Arial"/>
        </w:rPr>
        <w:br/>
      </w:r>
      <w:r w:rsidR="00C02021" w:rsidRPr="00103606">
        <w:rPr>
          <w:rFonts w:cs="Arial"/>
        </w:rPr>
        <w:t xml:space="preserve">le recrutement est plutôt effectué par </w:t>
      </w:r>
      <w:r w:rsidR="00145288" w:rsidRPr="00103606">
        <w:rPr>
          <w:rFonts w:cs="Arial"/>
        </w:rPr>
        <w:t xml:space="preserve">une certaine </w:t>
      </w:r>
      <w:r w:rsidR="00C02021" w:rsidRPr="00103606">
        <w:rPr>
          <w:rFonts w:cs="Arial"/>
        </w:rPr>
        <w:t>S.G. (ainsi qu’une dénommée Audrey qui</w:t>
      </w:r>
      <w:r w:rsidR="00AC28F2">
        <w:rPr>
          <w:rFonts w:cs="Arial"/>
        </w:rPr>
        <w:t>,</w:t>
      </w:r>
      <w:r w:rsidR="00C02021" w:rsidRPr="00103606">
        <w:rPr>
          <w:rFonts w:cs="Arial"/>
        </w:rPr>
        <w:t xml:space="preserve"> </w:t>
      </w:r>
      <w:r w:rsidR="00145288" w:rsidRPr="00103606">
        <w:rPr>
          <w:rFonts w:cs="Arial"/>
        </w:rPr>
        <w:t>elle</w:t>
      </w:r>
      <w:r w:rsidR="00AC28F2">
        <w:rPr>
          <w:rFonts w:cs="Arial"/>
        </w:rPr>
        <w:t>,</w:t>
      </w:r>
      <w:r w:rsidR="00145288" w:rsidRPr="00103606">
        <w:rPr>
          <w:rFonts w:cs="Arial"/>
        </w:rPr>
        <w:t xml:space="preserve"> </w:t>
      </w:r>
      <w:r w:rsidR="00C02021" w:rsidRPr="00103606">
        <w:rPr>
          <w:rFonts w:cs="Arial"/>
        </w:rPr>
        <w:t xml:space="preserve">débute vers l’année 2000), et les rencontres sexuelles sont organisées par Abrams et se tiennent à Westmount dans les maisons de la rue </w:t>
      </w:r>
      <w:r>
        <w:rPr>
          <w:rFonts w:cs="Arial"/>
        </w:rPr>
        <w:t>A</w:t>
      </w:r>
      <w:r w:rsidR="00C02021" w:rsidRPr="00103606">
        <w:rPr>
          <w:rFonts w:cs="Arial"/>
        </w:rPr>
        <w:t xml:space="preserve">. </w:t>
      </w:r>
      <w:r w:rsidR="00C73595" w:rsidRPr="00103606">
        <w:rPr>
          <w:rFonts w:cs="Arial"/>
        </w:rPr>
        <w:t>Durant cette</w:t>
      </w:r>
      <w:r w:rsidR="00C02021" w:rsidRPr="00103606">
        <w:rPr>
          <w:rFonts w:cs="Arial"/>
        </w:rPr>
        <w:t xml:space="preserve"> période,</w:t>
      </w:r>
      <w:r w:rsidR="00AC28F2">
        <w:rPr>
          <w:rFonts w:cs="Arial"/>
        </w:rPr>
        <w:t xml:space="preserve"> </w:t>
      </w:r>
      <w:r w:rsidR="00C02021" w:rsidRPr="00103606">
        <w:rPr>
          <w:rFonts w:cs="Arial"/>
        </w:rPr>
        <w:t xml:space="preserve">Lippmann </w:t>
      </w:r>
      <w:r w:rsidR="00494BAB" w:rsidRPr="00103606">
        <w:rPr>
          <w:rFonts w:cs="Arial"/>
        </w:rPr>
        <w:t>s’implique</w:t>
      </w:r>
      <w:r w:rsidR="00C73595" w:rsidRPr="00103606">
        <w:rPr>
          <w:rFonts w:cs="Arial"/>
        </w:rPr>
        <w:t xml:space="preserve"> en louant</w:t>
      </w:r>
      <w:r w:rsidR="00C02021" w:rsidRPr="00103606">
        <w:rPr>
          <w:rFonts w:cs="Arial"/>
        </w:rPr>
        <w:t xml:space="preserve"> </w:t>
      </w:r>
      <w:r w:rsidR="00C73595" w:rsidRPr="00103606">
        <w:rPr>
          <w:rFonts w:cs="Arial"/>
        </w:rPr>
        <w:t>les</w:t>
      </w:r>
      <w:r w:rsidR="00C02021" w:rsidRPr="00103606">
        <w:rPr>
          <w:rFonts w:cs="Arial"/>
        </w:rPr>
        <w:t xml:space="preserve"> maison</w:t>
      </w:r>
      <w:r w:rsidR="00C73595" w:rsidRPr="00103606">
        <w:rPr>
          <w:rFonts w:cs="Arial"/>
        </w:rPr>
        <w:t>s</w:t>
      </w:r>
      <w:r w:rsidR="00C02021" w:rsidRPr="00103606">
        <w:rPr>
          <w:rFonts w:cs="Arial"/>
        </w:rPr>
        <w:t xml:space="preserve"> </w:t>
      </w:r>
      <w:r w:rsidR="00C73595" w:rsidRPr="00103606">
        <w:rPr>
          <w:rFonts w:cs="Arial"/>
        </w:rPr>
        <w:t xml:space="preserve">de la rue </w:t>
      </w:r>
      <w:r>
        <w:rPr>
          <w:rFonts w:cs="Arial"/>
        </w:rPr>
        <w:t>A</w:t>
      </w:r>
      <w:r w:rsidR="00C02021" w:rsidRPr="00103606">
        <w:rPr>
          <w:rFonts w:cs="Arial"/>
        </w:rPr>
        <w:t xml:space="preserve"> </w:t>
      </w:r>
      <w:r w:rsidR="00145288" w:rsidRPr="00103606">
        <w:rPr>
          <w:rFonts w:cs="Arial"/>
        </w:rPr>
        <w:t xml:space="preserve">où se tiennent les rencontres </w:t>
      </w:r>
      <w:r w:rsidR="00C02021" w:rsidRPr="00103606">
        <w:rPr>
          <w:rFonts w:cs="Arial"/>
        </w:rPr>
        <w:t xml:space="preserve">et </w:t>
      </w:r>
      <w:r w:rsidR="00C73595" w:rsidRPr="00103606">
        <w:rPr>
          <w:rFonts w:cs="Arial"/>
        </w:rPr>
        <w:t>en contractant pour louer</w:t>
      </w:r>
      <w:r w:rsidR="00C02021" w:rsidRPr="00103606">
        <w:rPr>
          <w:rFonts w:cs="Arial"/>
        </w:rPr>
        <w:t xml:space="preserve"> des appartements </w:t>
      </w:r>
      <w:r w:rsidR="00C73595" w:rsidRPr="00103606">
        <w:rPr>
          <w:rFonts w:cs="Arial"/>
        </w:rPr>
        <w:t>pour</w:t>
      </w:r>
      <w:r w:rsidR="00C02021" w:rsidRPr="00103606">
        <w:rPr>
          <w:rFonts w:cs="Arial"/>
        </w:rPr>
        <w:t xml:space="preserve"> </w:t>
      </w:r>
      <w:r w:rsidR="00ED0414">
        <w:rPr>
          <w:rFonts w:cs="Arial"/>
        </w:rPr>
        <w:t xml:space="preserve">le bénéfice de </w:t>
      </w:r>
      <w:r w:rsidR="00C02021" w:rsidRPr="00103606">
        <w:rPr>
          <w:rFonts w:cs="Arial"/>
        </w:rPr>
        <w:t xml:space="preserve">certaines </w:t>
      </w:r>
      <w:r w:rsidR="00B92C09" w:rsidRPr="00103606">
        <w:rPr>
          <w:rFonts w:cs="Arial"/>
        </w:rPr>
        <w:t>mineures</w:t>
      </w:r>
      <w:r w:rsidR="00C02021" w:rsidRPr="00103606">
        <w:rPr>
          <w:rFonts w:cs="Arial"/>
        </w:rPr>
        <w:t>.</w:t>
      </w:r>
    </w:p>
    <w:p w14:paraId="63429E80" w14:textId="77777777" w:rsidR="00315AE7" w:rsidRPr="00103606" w:rsidRDefault="00E21D39" w:rsidP="00315AE7">
      <w:pPr>
        <w:pStyle w:val="Paragrdouble"/>
        <w:spacing w:line="276" w:lineRule="auto"/>
        <w:rPr>
          <w:rFonts w:cs="Arial"/>
        </w:rPr>
      </w:pPr>
      <w:r w:rsidRPr="00103606">
        <w:rPr>
          <w:rFonts w:cs="Arial"/>
        </w:rPr>
        <w:t xml:space="preserve">La </w:t>
      </w:r>
      <w:r w:rsidR="00B80370">
        <w:rPr>
          <w:rFonts w:cs="Arial"/>
        </w:rPr>
        <w:t>Sixième</w:t>
      </w:r>
      <w:r w:rsidR="00B80370" w:rsidRPr="00103606">
        <w:rPr>
          <w:rFonts w:cs="Arial"/>
        </w:rPr>
        <w:t xml:space="preserve"> </w:t>
      </w:r>
      <w:r w:rsidR="00C02143" w:rsidRPr="00103606">
        <w:rPr>
          <w:rFonts w:cs="Arial"/>
        </w:rPr>
        <w:t>D</w:t>
      </w:r>
      <w:r w:rsidRPr="00103606">
        <w:rPr>
          <w:rFonts w:cs="Arial"/>
        </w:rPr>
        <w:t xml:space="preserve">emande allègue que Robert Miller se faisait appeler « Bob Adams », durant les années en cause, tel qu’en fait foi une fausse carte d’affaires à ce nom, produite comme R-45. Sur cette carte, on aperçoit une adresse qui </w:t>
      </w:r>
      <w:r w:rsidR="00482808">
        <w:rPr>
          <w:rFonts w:cs="Arial"/>
        </w:rPr>
        <w:t>suggère</w:t>
      </w:r>
      <w:r w:rsidRPr="00103606">
        <w:rPr>
          <w:rFonts w:cs="Arial"/>
        </w:rPr>
        <w:t xml:space="preserve"> que Miller habite aux États-Unis. Un numéro de téléphone cellulaire </w:t>
      </w:r>
      <w:r w:rsidR="00F66773">
        <w:rPr>
          <w:rFonts w:cs="Arial"/>
        </w:rPr>
        <w:t>portant</w:t>
      </w:r>
      <w:r w:rsidR="00F66773" w:rsidRPr="00103606">
        <w:rPr>
          <w:rFonts w:cs="Arial"/>
        </w:rPr>
        <w:t xml:space="preserve"> </w:t>
      </w:r>
      <w:r w:rsidRPr="00103606">
        <w:rPr>
          <w:rFonts w:cs="Arial"/>
        </w:rPr>
        <w:t>l</w:t>
      </w:r>
      <w:r w:rsidR="00493383">
        <w:rPr>
          <w:rFonts w:cs="Arial"/>
        </w:rPr>
        <w:t>’indicatif</w:t>
      </w:r>
      <w:r w:rsidRPr="00103606">
        <w:rPr>
          <w:rFonts w:cs="Arial"/>
        </w:rPr>
        <w:t xml:space="preserve"> régional de Montréal y est toutefois indiqué. Le défendeur Raymond Poulet, pour sa part, </w:t>
      </w:r>
      <w:r w:rsidR="00020BEB" w:rsidRPr="00103606">
        <w:rPr>
          <w:rFonts w:cs="Arial"/>
        </w:rPr>
        <w:t xml:space="preserve">semble aussi </w:t>
      </w:r>
      <w:r w:rsidRPr="00103606">
        <w:rPr>
          <w:rFonts w:cs="Arial"/>
        </w:rPr>
        <w:t>utilise</w:t>
      </w:r>
      <w:r w:rsidR="00020BEB" w:rsidRPr="00103606">
        <w:rPr>
          <w:rFonts w:cs="Arial"/>
        </w:rPr>
        <w:t>r</w:t>
      </w:r>
      <w:r w:rsidRPr="00103606">
        <w:rPr>
          <w:rFonts w:cs="Arial"/>
        </w:rPr>
        <w:t xml:space="preserve"> un pseudonyme</w:t>
      </w:r>
      <w:r w:rsidR="00ED0414">
        <w:rPr>
          <w:rFonts w:cs="Arial"/>
        </w:rPr>
        <w:t>, soit</w:t>
      </w:r>
      <w:r w:rsidRPr="00103606">
        <w:rPr>
          <w:rFonts w:cs="Arial"/>
        </w:rPr>
        <w:t xml:space="preserve"> « Sébastien Tremblay », avec une adresse à Hollywood, </w:t>
      </w:r>
      <w:r w:rsidR="00AC28F2">
        <w:rPr>
          <w:rFonts w:cs="Arial"/>
        </w:rPr>
        <w:t xml:space="preserve">en </w:t>
      </w:r>
      <w:r w:rsidRPr="00103606">
        <w:rPr>
          <w:rFonts w:cs="Arial"/>
        </w:rPr>
        <w:t>Californie</w:t>
      </w:r>
      <w:r w:rsidR="00117803" w:rsidRPr="00103606">
        <w:rPr>
          <w:rFonts w:cs="Arial"/>
        </w:rPr>
        <w:t>.</w:t>
      </w:r>
      <w:r w:rsidR="008D441A" w:rsidRPr="00103606">
        <w:rPr>
          <w:rFonts w:cs="Arial"/>
        </w:rPr>
        <w:t xml:space="preserve"> </w:t>
      </w:r>
      <w:r w:rsidR="00ED0414">
        <w:rPr>
          <w:rFonts w:cs="Arial"/>
        </w:rPr>
        <w:t xml:space="preserve">Ces </w:t>
      </w:r>
      <w:r w:rsidR="00482808">
        <w:rPr>
          <w:rFonts w:cs="Arial"/>
        </w:rPr>
        <w:t>pièces permettent d’inférer l’usage de pseudonymes par Miller et Poulet.</w:t>
      </w:r>
    </w:p>
    <w:p w14:paraId="0DC77E3A" w14:textId="77777777" w:rsidR="00117803" w:rsidRPr="00103606" w:rsidRDefault="00E21D39" w:rsidP="00315AE7">
      <w:pPr>
        <w:pStyle w:val="Paragrdouble"/>
        <w:spacing w:line="276" w:lineRule="auto"/>
        <w:rPr>
          <w:rFonts w:cs="Arial"/>
        </w:rPr>
      </w:pPr>
      <w:r w:rsidRPr="00103606">
        <w:rPr>
          <w:rFonts w:cs="Arial"/>
        </w:rPr>
        <w:t xml:space="preserve">À titre de mise en contexte, la </w:t>
      </w:r>
      <w:r w:rsidR="00B80370">
        <w:rPr>
          <w:rFonts w:cs="Arial"/>
        </w:rPr>
        <w:t>Sixième</w:t>
      </w:r>
      <w:r w:rsidRPr="00103606">
        <w:rPr>
          <w:rFonts w:cs="Arial"/>
        </w:rPr>
        <w:t xml:space="preserve"> Demande indique que le 30 mai 2024, Miller est arrêté, sous peine de 21 accusations </w:t>
      </w:r>
      <w:r w:rsidR="009B3D69">
        <w:rPr>
          <w:rFonts w:cs="Arial"/>
        </w:rPr>
        <w:t xml:space="preserve">criminelles </w:t>
      </w:r>
      <w:r w:rsidRPr="00103606">
        <w:rPr>
          <w:rFonts w:cs="Arial"/>
        </w:rPr>
        <w:t xml:space="preserve">impliquant 10 </w:t>
      </w:r>
      <w:r w:rsidR="00B92C09" w:rsidRPr="00103606">
        <w:rPr>
          <w:rFonts w:cs="Arial"/>
        </w:rPr>
        <w:t>femmes</w:t>
      </w:r>
      <w:r w:rsidRPr="00103606">
        <w:rPr>
          <w:rFonts w:cs="Arial"/>
        </w:rPr>
        <w:t xml:space="preserve">, dont plusieurs mineures, pour des évènements ayant eu lieu entre 1994 et 2016. Les accusations sont relatives aux infractions suivantes : agression sexuelle, obtention de services sexuels moyennant rétribution, proxénétisme sexuel, incitation à la prostitution, contacts sexuels, </w:t>
      </w:r>
      <w:r w:rsidR="009616C8">
        <w:rPr>
          <w:rFonts w:cs="Arial"/>
        </w:rPr>
        <w:t>relations sexuelles</w:t>
      </w:r>
      <w:r w:rsidRPr="00103606">
        <w:rPr>
          <w:rFonts w:cs="Arial"/>
        </w:rPr>
        <w:t xml:space="preserve"> avec un mineur moyennant rétribution.</w:t>
      </w:r>
      <w:r w:rsidR="008D441A" w:rsidRPr="00103606">
        <w:rPr>
          <w:rFonts w:cs="Arial"/>
        </w:rPr>
        <w:t xml:space="preserve"> </w:t>
      </w:r>
    </w:p>
    <w:p w14:paraId="394235DC" w14:textId="77777777" w:rsidR="00117803" w:rsidRPr="00103606" w:rsidRDefault="00E21D39" w:rsidP="00315AE7">
      <w:pPr>
        <w:pStyle w:val="Paragrdouble"/>
        <w:spacing w:line="276" w:lineRule="auto"/>
        <w:rPr>
          <w:rFonts w:cs="Arial"/>
        </w:rPr>
      </w:pPr>
      <w:r w:rsidRPr="00103606">
        <w:rPr>
          <w:rFonts w:cs="Arial"/>
        </w:rPr>
        <w:t xml:space="preserve">La </w:t>
      </w:r>
      <w:r w:rsidR="00B80370">
        <w:rPr>
          <w:rFonts w:cs="Arial"/>
        </w:rPr>
        <w:t>Sixième</w:t>
      </w:r>
      <w:r w:rsidR="00B80370" w:rsidRPr="00103606">
        <w:rPr>
          <w:rFonts w:cs="Arial"/>
        </w:rPr>
        <w:t xml:space="preserve"> </w:t>
      </w:r>
      <w:r w:rsidRPr="00103606">
        <w:rPr>
          <w:rFonts w:cs="Arial"/>
        </w:rPr>
        <w:t xml:space="preserve">Demande décrit les parties impliquées en détail. Elle explique que tel qu’il </w:t>
      </w:r>
      <w:r w:rsidR="003463C8">
        <w:rPr>
          <w:rFonts w:cs="Arial"/>
        </w:rPr>
        <w:t>l’</w:t>
      </w:r>
      <w:r w:rsidRPr="00103606">
        <w:rPr>
          <w:rFonts w:cs="Arial"/>
        </w:rPr>
        <w:t xml:space="preserve">a été rapporté dans le reportage </w:t>
      </w:r>
      <w:r w:rsidR="00ED0414">
        <w:rPr>
          <w:rFonts w:cs="Arial"/>
        </w:rPr>
        <w:t>d’</w:t>
      </w:r>
      <w:r w:rsidRPr="00103606">
        <w:rPr>
          <w:rFonts w:cs="Arial"/>
          <w:i/>
          <w:iCs/>
        </w:rPr>
        <w:t>Enquête</w:t>
      </w:r>
      <w:r w:rsidRPr="00103606">
        <w:rPr>
          <w:rFonts w:cs="Arial"/>
        </w:rPr>
        <w:t xml:space="preserve">, « Pour mettre en place son système, Miller s’est entouré d’hommes payés pour organiser et dissimuler ses activités illégales. Plusieurs avaient </w:t>
      </w:r>
      <w:r w:rsidR="008D441A" w:rsidRPr="00103606">
        <w:rPr>
          <w:rFonts w:cs="Arial"/>
        </w:rPr>
        <w:t>un lien direct</w:t>
      </w:r>
      <w:r w:rsidRPr="00103606">
        <w:rPr>
          <w:rFonts w:cs="Arial"/>
        </w:rPr>
        <w:t xml:space="preserve"> avec Future Electronics.</w:t>
      </w:r>
      <w:r>
        <w:rPr>
          <w:rStyle w:val="Appelnotedebasdep"/>
          <w:rFonts w:cs="Arial"/>
        </w:rPr>
        <w:footnoteReference w:id="60"/>
      </w:r>
      <w:r w:rsidRPr="00103606">
        <w:rPr>
          <w:rFonts w:cs="Arial"/>
        </w:rPr>
        <w:t>»</w:t>
      </w:r>
      <w:r w:rsidR="00A86DB1" w:rsidRPr="00103606">
        <w:rPr>
          <w:rFonts w:cs="Arial"/>
        </w:rPr>
        <w:t xml:space="preserve"> Ainsi, </w:t>
      </w:r>
      <w:r w:rsidR="008D441A" w:rsidRPr="00103606">
        <w:rPr>
          <w:rFonts w:cs="Arial"/>
        </w:rPr>
        <w:t xml:space="preserve">les codemanderesses allèguent que </w:t>
      </w:r>
      <w:r w:rsidR="00A86DB1" w:rsidRPr="00103606">
        <w:rPr>
          <w:rFonts w:cs="Arial"/>
        </w:rPr>
        <w:t>Poulet, Lippmann et Abrams auraient été incités par Miller à effectuer diverses actions, dans le cadre de leur emploi, ayant contribué au schème sexuel de Miller.</w:t>
      </w:r>
    </w:p>
    <w:p w14:paraId="3C191B01" w14:textId="77777777" w:rsidR="00440EA5" w:rsidRDefault="00E21D39" w:rsidP="00440EA5">
      <w:pPr>
        <w:pStyle w:val="Paragrdouble"/>
        <w:spacing w:line="276" w:lineRule="auto"/>
        <w:rPr>
          <w:rFonts w:cs="Arial"/>
        </w:rPr>
      </w:pPr>
      <w:r w:rsidRPr="00103606">
        <w:rPr>
          <w:rFonts w:cs="Arial"/>
        </w:rPr>
        <w:t xml:space="preserve">Toujours selon la </w:t>
      </w:r>
      <w:r w:rsidR="00B80370">
        <w:rPr>
          <w:rFonts w:cs="Arial"/>
        </w:rPr>
        <w:t>Sixième</w:t>
      </w:r>
      <w:r w:rsidR="00B80370" w:rsidRPr="00103606">
        <w:rPr>
          <w:rFonts w:cs="Arial"/>
        </w:rPr>
        <w:t xml:space="preserve"> </w:t>
      </w:r>
      <w:r w:rsidRPr="00103606">
        <w:rPr>
          <w:rFonts w:cs="Arial"/>
        </w:rPr>
        <w:t xml:space="preserve">Demande, Abrams </w:t>
      </w:r>
      <w:r w:rsidR="007717D0" w:rsidRPr="00103606">
        <w:rPr>
          <w:rFonts w:cs="Arial"/>
        </w:rPr>
        <w:t>est identifié comme ayant</w:t>
      </w:r>
      <w:r w:rsidRPr="00103606">
        <w:rPr>
          <w:rFonts w:cs="Arial"/>
        </w:rPr>
        <w:t xml:space="preserve"> travaillé pour Miller pendant plus de cinquante ans et </w:t>
      </w:r>
      <w:r w:rsidR="007717D0" w:rsidRPr="00103606">
        <w:rPr>
          <w:rFonts w:cs="Arial"/>
        </w:rPr>
        <w:t>ayant</w:t>
      </w:r>
      <w:r w:rsidRPr="00103606">
        <w:rPr>
          <w:rFonts w:cs="Arial"/>
        </w:rPr>
        <w:t xml:space="preserve"> eu des tâches connexes au sein de la compagnie, telles la location de chambres d’hôtel, la sélection de jeunes filles, </w:t>
      </w:r>
      <w:r w:rsidR="007717D0" w:rsidRPr="00103606">
        <w:rPr>
          <w:rFonts w:cs="Arial"/>
        </w:rPr>
        <w:t>l’</w:t>
      </w:r>
      <w:r w:rsidR="00C02021" w:rsidRPr="00103606">
        <w:rPr>
          <w:rFonts w:cs="Arial"/>
        </w:rPr>
        <w:t>organis</w:t>
      </w:r>
      <w:r w:rsidR="00AC28F2">
        <w:rPr>
          <w:rFonts w:cs="Arial"/>
        </w:rPr>
        <w:t>ation</w:t>
      </w:r>
      <w:r w:rsidRPr="00103606">
        <w:rPr>
          <w:rFonts w:cs="Arial"/>
        </w:rPr>
        <w:t xml:space="preserve"> de voyages et </w:t>
      </w:r>
      <w:r w:rsidR="007717D0" w:rsidRPr="00103606">
        <w:rPr>
          <w:rFonts w:cs="Arial"/>
        </w:rPr>
        <w:t>la remise</w:t>
      </w:r>
      <w:r w:rsidRPr="00103606">
        <w:rPr>
          <w:rFonts w:cs="Arial"/>
        </w:rPr>
        <w:t xml:space="preserve"> d</w:t>
      </w:r>
      <w:r w:rsidR="00ED0414">
        <w:rPr>
          <w:rFonts w:cs="Arial"/>
        </w:rPr>
        <w:t>’</w:t>
      </w:r>
      <w:r w:rsidRPr="00103606">
        <w:rPr>
          <w:rFonts w:cs="Arial"/>
        </w:rPr>
        <w:t xml:space="preserve">enveloppes d’argent aux </w:t>
      </w:r>
      <w:r w:rsidR="007717D0" w:rsidRPr="00103606">
        <w:rPr>
          <w:rFonts w:cs="Arial"/>
        </w:rPr>
        <w:t>victimes</w:t>
      </w:r>
      <w:r w:rsidRPr="00103606">
        <w:rPr>
          <w:rFonts w:cs="Arial"/>
        </w:rPr>
        <w:t>.</w:t>
      </w:r>
      <w:r w:rsidR="00C02021" w:rsidRPr="00103606">
        <w:rPr>
          <w:rFonts w:cs="Arial"/>
        </w:rPr>
        <w:t xml:space="preserve"> </w:t>
      </w:r>
      <w:r w:rsidR="00AC28F2">
        <w:rPr>
          <w:rFonts w:cs="Arial"/>
        </w:rPr>
        <w:br/>
      </w:r>
      <w:r w:rsidR="00C02021" w:rsidRPr="00103606">
        <w:rPr>
          <w:rFonts w:cs="Arial"/>
        </w:rPr>
        <w:t xml:space="preserve">Poulet, quant à lui, est identifié comme un intermédiaire de Miller qui a </w:t>
      </w:r>
      <w:r w:rsidR="00243FDD">
        <w:rPr>
          <w:rFonts w:cs="Arial"/>
        </w:rPr>
        <w:t>été impliqué dans le</w:t>
      </w:r>
      <w:r w:rsidR="00C02021" w:rsidRPr="00103606">
        <w:rPr>
          <w:rFonts w:cs="Arial"/>
        </w:rPr>
        <w:t xml:space="preserve"> </w:t>
      </w:r>
      <w:r w:rsidR="00C73595" w:rsidRPr="00103606">
        <w:rPr>
          <w:rFonts w:cs="Arial"/>
        </w:rPr>
        <w:t>recrutement</w:t>
      </w:r>
      <w:r w:rsidR="00C02021" w:rsidRPr="00103606">
        <w:rPr>
          <w:rFonts w:cs="Arial"/>
        </w:rPr>
        <w:t xml:space="preserve"> de jeunes filles.</w:t>
      </w:r>
      <w:r w:rsidR="007717D0" w:rsidRPr="00103606">
        <w:rPr>
          <w:rFonts w:cs="Arial"/>
        </w:rPr>
        <w:t xml:space="preserve"> Lippmann</w:t>
      </w:r>
      <w:r w:rsidR="008D441A" w:rsidRPr="00103606">
        <w:rPr>
          <w:rFonts w:cs="Arial"/>
        </w:rPr>
        <w:t>, enfin</w:t>
      </w:r>
      <w:r w:rsidR="007717D0" w:rsidRPr="00103606">
        <w:rPr>
          <w:rFonts w:cs="Arial"/>
        </w:rPr>
        <w:t xml:space="preserve">, </w:t>
      </w:r>
      <w:r w:rsidR="008D441A" w:rsidRPr="00103606">
        <w:rPr>
          <w:rFonts w:cs="Arial"/>
        </w:rPr>
        <w:t>aurait</w:t>
      </w:r>
      <w:r w:rsidR="007717D0" w:rsidRPr="00103606">
        <w:rPr>
          <w:rFonts w:cs="Arial"/>
        </w:rPr>
        <w:t xml:space="preserve"> participé au schème en louant des appartements et maisons afin de permettre la tenue des relations sexuelles en toute discrétion.</w:t>
      </w:r>
    </w:p>
    <w:p w14:paraId="2A2DC64A" w14:textId="77777777" w:rsidR="00482808" w:rsidRDefault="00E21D39" w:rsidP="00482808">
      <w:pPr>
        <w:pStyle w:val="Paragrdouble"/>
        <w:spacing w:line="276" w:lineRule="auto"/>
        <w:rPr>
          <w:rFonts w:cs="Arial"/>
        </w:rPr>
      </w:pPr>
      <w:r w:rsidRPr="00103606">
        <w:rPr>
          <w:rFonts w:cs="Arial"/>
        </w:rPr>
        <w:t>Quarante-six femmes visées ont signé des déclarations anonymes</w:t>
      </w:r>
      <w:r w:rsidR="00D107C3">
        <w:rPr>
          <w:rFonts w:cs="Arial"/>
        </w:rPr>
        <w:t>,</w:t>
      </w:r>
      <w:r w:rsidRPr="00103606">
        <w:rPr>
          <w:rFonts w:cs="Arial"/>
        </w:rPr>
        <w:t xml:space="preserve"> détaillant leur expérience personnelle, qu’elles ont produit</w:t>
      </w:r>
      <w:r w:rsidR="00D107C3">
        <w:rPr>
          <w:rFonts w:cs="Arial"/>
        </w:rPr>
        <w:t>es</w:t>
      </w:r>
      <w:r w:rsidRPr="00103606">
        <w:rPr>
          <w:rFonts w:cs="Arial"/>
        </w:rPr>
        <w:t xml:space="preserve"> au soutien de la </w:t>
      </w:r>
      <w:r>
        <w:rPr>
          <w:rFonts w:cs="Arial"/>
        </w:rPr>
        <w:t>Sixième</w:t>
      </w:r>
      <w:r w:rsidRPr="00103606">
        <w:rPr>
          <w:rFonts w:cs="Arial"/>
        </w:rPr>
        <w:t xml:space="preserve"> Demande. </w:t>
      </w:r>
      <w:r w:rsidR="00773450">
        <w:rPr>
          <w:rFonts w:cs="Arial"/>
        </w:rPr>
        <w:br/>
      </w:r>
      <w:r w:rsidRPr="00103606">
        <w:rPr>
          <w:rFonts w:cs="Arial"/>
        </w:rPr>
        <w:t>Le récit de leur témoignage est résumé dans un tableau reproduit au paragraphe 7.1 de la Demande, lequel sert à appuyer la cause d’action des codemanderesses.</w:t>
      </w:r>
      <w:r>
        <w:rPr>
          <w:rFonts w:cs="Arial"/>
        </w:rPr>
        <w:t xml:space="preserve"> </w:t>
      </w:r>
    </w:p>
    <w:p w14:paraId="391CBEF4" w14:textId="77777777" w:rsidR="006F567D" w:rsidRPr="006F567D" w:rsidRDefault="00E21D39" w:rsidP="006F567D">
      <w:pPr>
        <w:pStyle w:val="Paragrdouble"/>
        <w:spacing w:line="276" w:lineRule="auto"/>
        <w:rPr>
          <w:rFonts w:cs="Arial"/>
        </w:rPr>
      </w:pPr>
      <w:r w:rsidRPr="00103606">
        <w:rPr>
          <w:rFonts w:cs="Arial"/>
        </w:rPr>
        <w:t>Du tableau, on remarque que toutes les mineures sans exception ont été payées pour avoir des relations sexuelles avec Miller, ayant reçu des sommes variant entre 500</w:t>
      </w:r>
      <w:r w:rsidR="00773450">
        <w:rPr>
          <w:rFonts w:cs="Arial"/>
        </w:rPr>
        <w:t> </w:t>
      </w:r>
      <w:r w:rsidRPr="00103606">
        <w:rPr>
          <w:rFonts w:cs="Arial"/>
        </w:rPr>
        <w:t>$ et 10 000</w:t>
      </w:r>
      <w:r w:rsidR="00773450">
        <w:rPr>
          <w:rFonts w:cs="Arial"/>
        </w:rPr>
        <w:t> </w:t>
      </w:r>
      <w:r w:rsidRPr="00103606">
        <w:rPr>
          <w:rFonts w:cs="Arial"/>
        </w:rPr>
        <w:t xml:space="preserve">$. </w:t>
      </w:r>
      <w:r w:rsidR="00101A9E">
        <w:rPr>
          <w:rFonts w:cs="Arial"/>
        </w:rPr>
        <w:t xml:space="preserve">Concernant </w:t>
      </w:r>
      <w:r w:rsidRPr="00103606">
        <w:rPr>
          <w:rFonts w:cs="Arial"/>
        </w:rPr>
        <w:t>Madame 42</w:t>
      </w:r>
      <w:r w:rsidR="00773450">
        <w:rPr>
          <w:rFonts w:cs="Arial"/>
        </w:rPr>
        <w:t>,</w:t>
      </w:r>
      <w:r w:rsidRPr="00103606">
        <w:rPr>
          <w:rFonts w:cs="Arial"/>
        </w:rPr>
        <w:t xml:space="preserve"> </w:t>
      </w:r>
      <w:r>
        <w:rPr>
          <w:rFonts w:cs="Arial"/>
        </w:rPr>
        <w:t>c’était pour la première fois</w:t>
      </w:r>
      <w:r w:rsidR="00ED0414">
        <w:rPr>
          <w:rFonts w:cs="Arial"/>
        </w:rPr>
        <w:t xml:space="preserve"> </w:t>
      </w:r>
      <w:r w:rsidRPr="00103606">
        <w:rPr>
          <w:rFonts w:cs="Arial"/>
        </w:rPr>
        <w:t xml:space="preserve">à </w:t>
      </w:r>
      <w:r w:rsidR="00ED0414">
        <w:rPr>
          <w:rFonts w:cs="Arial"/>
        </w:rPr>
        <w:t>l’âge de</w:t>
      </w:r>
      <w:r w:rsidR="00ED0414" w:rsidRPr="00103606">
        <w:rPr>
          <w:rFonts w:cs="Arial"/>
        </w:rPr>
        <w:t xml:space="preserve"> </w:t>
      </w:r>
      <w:r w:rsidRPr="00103606">
        <w:rPr>
          <w:rFonts w:cs="Arial"/>
        </w:rPr>
        <w:t xml:space="preserve">11 ans. </w:t>
      </w:r>
      <w:r>
        <w:rPr>
          <w:rFonts w:cs="Arial"/>
        </w:rPr>
        <w:t>Pour l</w:t>
      </w:r>
      <w:r w:rsidRPr="00103606">
        <w:rPr>
          <w:rFonts w:cs="Arial"/>
        </w:rPr>
        <w:t>a majorité des femmes</w:t>
      </w:r>
      <w:r>
        <w:rPr>
          <w:rFonts w:cs="Arial"/>
        </w:rPr>
        <w:t>, elles</w:t>
      </w:r>
      <w:r w:rsidRPr="00103606">
        <w:rPr>
          <w:rFonts w:cs="Arial"/>
        </w:rPr>
        <w:t xml:space="preserve"> avaient 16 ou 17 ans </w:t>
      </w:r>
      <w:r>
        <w:rPr>
          <w:rFonts w:cs="Arial"/>
        </w:rPr>
        <w:t>lors des rencontres sexuelles avec Miller</w:t>
      </w:r>
      <w:r w:rsidRPr="00103606">
        <w:rPr>
          <w:rFonts w:cs="Arial"/>
        </w:rPr>
        <w:t xml:space="preserve">. Deux avaient 12 ans, deux autres 14 ans. </w:t>
      </w:r>
    </w:p>
    <w:p w14:paraId="1ED667B7" w14:textId="77777777" w:rsidR="00482808" w:rsidRPr="006F567D" w:rsidRDefault="00E21D39" w:rsidP="006F567D">
      <w:pPr>
        <w:pStyle w:val="Paragrdouble"/>
        <w:spacing w:line="276" w:lineRule="auto"/>
        <w:rPr>
          <w:rFonts w:cs="Arial"/>
        </w:rPr>
      </w:pPr>
      <w:r w:rsidRPr="00482808">
        <w:rPr>
          <w:rFonts w:cs="Arial"/>
        </w:rPr>
        <w:t xml:space="preserve">Même si je considère les allégations de la Sixième Demande comme </w:t>
      </w:r>
      <w:r>
        <w:rPr>
          <w:rFonts w:cs="Arial"/>
        </w:rPr>
        <w:t xml:space="preserve">étant </w:t>
      </w:r>
      <w:r w:rsidRPr="00482808">
        <w:rPr>
          <w:rFonts w:cs="Arial"/>
        </w:rPr>
        <w:t xml:space="preserve">claires, les déclarations et le tableau </w:t>
      </w:r>
      <w:r w:rsidR="00243FDD">
        <w:rPr>
          <w:rFonts w:cs="Arial"/>
        </w:rPr>
        <w:t>contribuent aussi</w:t>
      </w:r>
      <w:r w:rsidR="00243FDD" w:rsidRPr="00482808">
        <w:rPr>
          <w:rFonts w:cs="Arial"/>
        </w:rPr>
        <w:t xml:space="preserve"> </w:t>
      </w:r>
      <w:r w:rsidRPr="00482808">
        <w:rPr>
          <w:rFonts w:cs="Arial"/>
        </w:rPr>
        <w:t xml:space="preserve">à établir l’existence de la cause défendable des codemanderesses en ce qu’ils permettent d’inférer l’existence du </w:t>
      </w:r>
      <w:r w:rsidR="00ED0414" w:rsidRPr="00ED0414">
        <w:rPr>
          <w:rFonts w:cs="Arial"/>
        </w:rPr>
        <w:t>schème</w:t>
      </w:r>
      <w:r w:rsidRPr="00ED0414">
        <w:rPr>
          <w:rFonts w:cs="Arial"/>
        </w:rPr>
        <w:t xml:space="preserve"> </w:t>
      </w:r>
      <w:r w:rsidRPr="00482808">
        <w:rPr>
          <w:rFonts w:cs="Arial"/>
        </w:rPr>
        <w:t>orchestré par Miller et ses acolytes</w:t>
      </w:r>
      <w:r w:rsidRPr="006F567D">
        <w:rPr>
          <w:rFonts w:cs="Arial"/>
        </w:rPr>
        <w:t xml:space="preserve"> permettant la prostitution juvénile au profit de Miller, impliquant la présence d’acteurs précis avec des rôles établis, des processus prédéterminés, des critères de sélection des victimes, des habitudes sexuelles de Miller, des lieux et des contextes hautement similaires et des habitudes communicationnelles </w:t>
      </w:r>
      <w:r>
        <w:rPr>
          <w:rFonts w:cs="Arial"/>
        </w:rPr>
        <w:t>précises</w:t>
      </w:r>
      <w:r w:rsidRPr="006F567D">
        <w:rPr>
          <w:rFonts w:cs="Arial"/>
        </w:rPr>
        <w:t xml:space="preserve">. </w:t>
      </w:r>
    </w:p>
    <w:p w14:paraId="22559F7D" w14:textId="77777777" w:rsidR="00482808" w:rsidRPr="00103606" w:rsidRDefault="00E21D39" w:rsidP="00482808">
      <w:pPr>
        <w:pStyle w:val="Paragrdouble"/>
        <w:spacing w:line="276" w:lineRule="auto"/>
        <w:rPr>
          <w:rFonts w:cs="Arial"/>
        </w:rPr>
      </w:pPr>
      <w:r w:rsidRPr="00103606">
        <w:rPr>
          <w:rFonts w:cs="Arial"/>
        </w:rPr>
        <w:t xml:space="preserve">C’est ainsi que les allégués de la </w:t>
      </w:r>
      <w:r>
        <w:rPr>
          <w:rFonts w:cs="Arial"/>
        </w:rPr>
        <w:t>Sixième</w:t>
      </w:r>
      <w:r w:rsidRPr="00103606">
        <w:rPr>
          <w:rFonts w:cs="Arial"/>
        </w:rPr>
        <w:t xml:space="preserve"> Demande, éclairés des 46 déclarations anonymes signées, pris pour avérés, montrent l’existence </w:t>
      </w:r>
      <w:r w:rsidR="006F567D">
        <w:rPr>
          <w:rFonts w:cs="Arial"/>
        </w:rPr>
        <w:t>du</w:t>
      </w:r>
      <w:r w:rsidRPr="00103606">
        <w:rPr>
          <w:rFonts w:cs="Arial"/>
        </w:rPr>
        <w:t xml:space="preserve"> schème organisé</w:t>
      </w:r>
      <w:r w:rsidR="006F567D">
        <w:rPr>
          <w:rFonts w:cs="Arial"/>
        </w:rPr>
        <w:t xml:space="preserve"> allégué</w:t>
      </w:r>
      <w:r w:rsidRPr="00103606">
        <w:rPr>
          <w:rFonts w:cs="Arial"/>
        </w:rPr>
        <w:t xml:space="preserve">, </w:t>
      </w:r>
      <w:r w:rsidR="006F567D">
        <w:rPr>
          <w:rFonts w:cs="Arial"/>
        </w:rPr>
        <w:t>du</w:t>
      </w:r>
      <w:r w:rsidRPr="00103606">
        <w:rPr>
          <w:rFonts w:cs="Arial"/>
        </w:rPr>
        <w:t xml:space="preserve"> </w:t>
      </w:r>
      <w:r w:rsidRPr="00103606">
        <w:rPr>
          <w:rFonts w:cs="Arial"/>
          <w:i/>
          <w:iCs/>
        </w:rPr>
        <w:t>modus operandi</w:t>
      </w:r>
      <w:r w:rsidRPr="00103606">
        <w:rPr>
          <w:rFonts w:cs="Arial"/>
        </w:rPr>
        <w:t xml:space="preserve"> impliquant </w:t>
      </w:r>
      <w:r>
        <w:rPr>
          <w:rFonts w:cs="Arial"/>
        </w:rPr>
        <w:t xml:space="preserve">les mineures et </w:t>
      </w:r>
      <w:r w:rsidRPr="00103606">
        <w:rPr>
          <w:rFonts w:cs="Arial"/>
        </w:rPr>
        <w:t xml:space="preserve">les défendeurs. Les faits </w:t>
      </w:r>
      <w:r w:rsidR="006F567D">
        <w:rPr>
          <w:rFonts w:cs="Arial"/>
        </w:rPr>
        <w:t xml:space="preserve">avérés </w:t>
      </w:r>
      <w:r w:rsidRPr="00103606">
        <w:rPr>
          <w:rFonts w:cs="Arial"/>
        </w:rPr>
        <w:t>qui reviennent sur une base systématique sont les suivants :</w:t>
      </w:r>
    </w:p>
    <w:p w14:paraId="49D4473D"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Le recrutement de </w:t>
      </w:r>
      <w:r>
        <w:rPr>
          <w:rFonts w:cs="Arial"/>
        </w:rPr>
        <w:t xml:space="preserve">mineures </w:t>
      </w:r>
      <w:r w:rsidRPr="00103606">
        <w:rPr>
          <w:rFonts w:cs="Arial"/>
        </w:rPr>
        <w:t>dans des écoles secondaires et des bars permettant la présence de mineurs, ou encore à travers d’autres amies mineures;</w:t>
      </w:r>
    </w:p>
    <w:p w14:paraId="6FBDDE47" w14:textId="77777777" w:rsidR="00482808" w:rsidRPr="00103606" w:rsidRDefault="00E21D39" w:rsidP="00482808">
      <w:pPr>
        <w:pStyle w:val="Paragrdouble"/>
        <w:numPr>
          <w:ilvl w:val="0"/>
          <w:numId w:val="12"/>
        </w:numPr>
        <w:spacing w:line="276" w:lineRule="auto"/>
        <w:rPr>
          <w:rFonts w:cs="Arial"/>
        </w:rPr>
      </w:pPr>
      <w:r>
        <w:rPr>
          <w:rFonts w:cs="Arial"/>
        </w:rPr>
        <w:t>L</w:t>
      </w:r>
      <w:r w:rsidRPr="00103606">
        <w:rPr>
          <w:rFonts w:cs="Arial"/>
        </w:rPr>
        <w:t xml:space="preserve">es appels de recrutement ou </w:t>
      </w:r>
      <w:r>
        <w:rPr>
          <w:rFonts w:cs="Arial"/>
        </w:rPr>
        <w:t>l</w:t>
      </w:r>
      <w:r w:rsidRPr="00103606">
        <w:rPr>
          <w:rFonts w:cs="Arial"/>
        </w:rPr>
        <w:t>’organisation de rencontres effectués par S.G., Poulet, Abrams, ou encore Miller lui-même;</w:t>
      </w:r>
    </w:p>
    <w:p w14:paraId="620531F1"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L’usage de pseudonymes – « Bob Adams » ou « the Radioman » pour Miller; </w:t>
      </w:r>
      <w:r w:rsidR="00773450">
        <w:rPr>
          <w:rFonts w:cs="Arial"/>
        </w:rPr>
        <w:t>« </w:t>
      </w:r>
      <w:r w:rsidRPr="00103606">
        <w:rPr>
          <w:rFonts w:cs="Arial"/>
        </w:rPr>
        <w:t>Sébastien Tremblay</w:t>
      </w:r>
      <w:r w:rsidR="00773450">
        <w:rPr>
          <w:rFonts w:cs="Arial"/>
        </w:rPr>
        <w:t> »</w:t>
      </w:r>
      <w:r w:rsidRPr="00103606">
        <w:rPr>
          <w:rFonts w:cs="Arial"/>
        </w:rPr>
        <w:t xml:space="preserve"> pour Poulet, et « Joseph » pour Abrams;</w:t>
      </w:r>
    </w:p>
    <w:p w14:paraId="7C59D6F8" w14:textId="28A2BB58" w:rsidR="00482808" w:rsidRPr="00103606" w:rsidRDefault="00E21D39" w:rsidP="00482808">
      <w:pPr>
        <w:pStyle w:val="Paragrdouble"/>
        <w:numPr>
          <w:ilvl w:val="0"/>
          <w:numId w:val="12"/>
        </w:numPr>
        <w:spacing w:line="276" w:lineRule="auto"/>
        <w:rPr>
          <w:rFonts w:cs="Arial"/>
        </w:rPr>
      </w:pPr>
      <w:r>
        <w:rPr>
          <w:rFonts w:cs="Arial"/>
        </w:rPr>
        <w:t>L</w:t>
      </w:r>
      <w:r w:rsidRPr="00103606">
        <w:rPr>
          <w:rFonts w:cs="Arial"/>
        </w:rPr>
        <w:t xml:space="preserve">es rencontres dans des lieux </w:t>
      </w:r>
      <w:r>
        <w:rPr>
          <w:rFonts w:cs="Arial"/>
        </w:rPr>
        <w:t>pré</w:t>
      </w:r>
      <w:r w:rsidR="00F0471E">
        <w:rPr>
          <w:rFonts w:cs="Arial"/>
        </w:rPr>
        <w:t>-</w:t>
      </w:r>
      <w:r>
        <w:rPr>
          <w:rFonts w:cs="Arial"/>
        </w:rPr>
        <w:t>identifiés</w:t>
      </w:r>
      <w:r w:rsidRPr="00103606">
        <w:rPr>
          <w:rFonts w:cs="Arial"/>
        </w:rPr>
        <w:t xml:space="preserve"> pour les </w:t>
      </w:r>
      <w:r>
        <w:rPr>
          <w:rFonts w:cs="Arial"/>
        </w:rPr>
        <w:t>rencontres</w:t>
      </w:r>
      <w:r w:rsidRPr="00103606">
        <w:rPr>
          <w:rFonts w:cs="Arial"/>
        </w:rPr>
        <w:t xml:space="preserve"> sexuel</w:t>
      </w:r>
      <w:r>
        <w:rPr>
          <w:rFonts w:cs="Arial"/>
        </w:rPr>
        <w:t>le</w:t>
      </w:r>
      <w:r w:rsidRPr="00103606">
        <w:rPr>
          <w:rFonts w:cs="Arial"/>
        </w:rPr>
        <w:t xml:space="preserve">s de Miller, soit de grands hôtels du Centre-ville de Montréal (InterContinental, Reine Élizabeth, surtout), soit des maisons sur la rue </w:t>
      </w:r>
      <w:r>
        <w:rPr>
          <w:rFonts w:cs="Arial"/>
        </w:rPr>
        <w:t>A</w:t>
      </w:r>
      <w:r w:rsidRPr="00103606">
        <w:rPr>
          <w:rFonts w:cs="Arial"/>
        </w:rPr>
        <w:t xml:space="preserve"> (également certains condominiums);</w:t>
      </w:r>
    </w:p>
    <w:p w14:paraId="1D98E1EE"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L’alcool offert systématiquement à l’arrivée des </w:t>
      </w:r>
      <w:r w:rsidR="00101926">
        <w:rPr>
          <w:rFonts w:cs="Arial"/>
        </w:rPr>
        <w:t>mineur</w:t>
      </w:r>
      <w:r w:rsidR="00101926" w:rsidRPr="00103606">
        <w:rPr>
          <w:rFonts w:cs="Arial"/>
        </w:rPr>
        <w:t>es</w:t>
      </w:r>
      <w:r w:rsidRPr="00103606">
        <w:rPr>
          <w:rFonts w:cs="Arial"/>
        </w:rPr>
        <w:t>;</w:t>
      </w:r>
    </w:p>
    <w:p w14:paraId="0D20286D"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La discussion </w:t>
      </w:r>
      <w:r>
        <w:rPr>
          <w:rFonts w:cs="Arial"/>
        </w:rPr>
        <w:t>ayant</w:t>
      </w:r>
      <w:r w:rsidRPr="00103606">
        <w:rPr>
          <w:rFonts w:cs="Arial"/>
        </w:rPr>
        <w:t xml:space="preserve"> lieu entre Miller </w:t>
      </w:r>
      <w:r w:rsidR="003A129B">
        <w:rPr>
          <w:rFonts w:cs="Arial"/>
        </w:rPr>
        <w:t>et</w:t>
      </w:r>
      <w:r w:rsidR="003A129B" w:rsidRPr="00103606">
        <w:rPr>
          <w:rFonts w:cs="Arial"/>
        </w:rPr>
        <w:t xml:space="preserve"> </w:t>
      </w:r>
      <w:r w:rsidRPr="00103606">
        <w:rPr>
          <w:rFonts w:cs="Arial"/>
        </w:rPr>
        <w:t xml:space="preserve">les </w:t>
      </w:r>
      <w:r>
        <w:rPr>
          <w:rFonts w:cs="Arial"/>
        </w:rPr>
        <w:t>mineures</w:t>
      </w:r>
      <w:r w:rsidRPr="00103606">
        <w:rPr>
          <w:rFonts w:cs="Arial"/>
        </w:rPr>
        <w:t>, sur les thèmes de l’école, de leurs rêves et ambitions, du fait qu’il les protègera et les aidera à les réaliser;</w:t>
      </w:r>
    </w:p>
    <w:p w14:paraId="25BBA395" w14:textId="77777777" w:rsidR="00482808" w:rsidRPr="00103606" w:rsidRDefault="00E21D39" w:rsidP="00482808">
      <w:pPr>
        <w:pStyle w:val="Paragrdouble"/>
        <w:numPr>
          <w:ilvl w:val="0"/>
          <w:numId w:val="12"/>
        </w:numPr>
        <w:spacing w:line="276" w:lineRule="auto"/>
        <w:rPr>
          <w:rFonts w:cs="Arial"/>
        </w:rPr>
      </w:pPr>
      <w:r>
        <w:rPr>
          <w:rFonts w:cs="Arial"/>
        </w:rPr>
        <w:t>L</w:t>
      </w:r>
      <w:r w:rsidRPr="00103606">
        <w:rPr>
          <w:rFonts w:cs="Arial"/>
        </w:rPr>
        <w:t>es cadeaux offerts</w:t>
      </w:r>
      <w:r>
        <w:rPr>
          <w:rFonts w:cs="Arial"/>
        </w:rPr>
        <w:t xml:space="preserve"> aux mineur</w:t>
      </w:r>
      <w:r w:rsidRPr="00103606">
        <w:rPr>
          <w:rFonts w:cs="Arial"/>
        </w:rPr>
        <w:t>es avant ou après la relation sexuelle avec Miller. Les types de cadeaux sont :</w:t>
      </w:r>
      <w:r w:rsidR="00773450">
        <w:rPr>
          <w:rFonts w:cs="Arial"/>
        </w:rPr>
        <w:t xml:space="preserve"> </w:t>
      </w:r>
      <w:r w:rsidRPr="00103606">
        <w:rPr>
          <w:rFonts w:cs="Arial"/>
        </w:rPr>
        <w:t xml:space="preserve">des vêtements, montres et sacs griffés, des bijoux en or, des cellulaires, des CD, du maquillage, des sous-vêtements de marque </w:t>
      </w:r>
      <w:r w:rsidRPr="007E50B9">
        <w:rPr>
          <w:rFonts w:cs="Arial"/>
          <w:i/>
          <w:iCs/>
        </w:rPr>
        <w:t>Victoria Secret</w:t>
      </w:r>
      <w:r w:rsidRPr="00103606">
        <w:rPr>
          <w:rFonts w:cs="Arial"/>
        </w:rPr>
        <w:t xml:space="preserve"> commandés par les victimes elles-mêmes;</w:t>
      </w:r>
    </w:p>
    <w:p w14:paraId="2A7F57A2"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La </w:t>
      </w:r>
      <w:r w:rsidR="00101926">
        <w:rPr>
          <w:rFonts w:cs="Arial"/>
        </w:rPr>
        <w:t>demande formulée aux mineures</w:t>
      </w:r>
      <w:r w:rsidR="00101926" w:rsidRPr="00103606">
        <w:rPr>
          <w:rFonts w:cs="Arial"/>
        </w:rPr>
        <w:t xml:space="preserve"> </w:t>
      </w:r>
      <w:r w:rsidRPr="00103606">
        <w:rPr>
          <w:rFonts w:cs="Arial"/>
        </w:rPr>
        <w:t xml:space="preserve">de se laver minutieusement avant </w:t>
      </w:r>
      <w:r w:rsidR="00101926">
        <w:rPr>
          <w:rFonts w:cs="Arial"/>
        </w:rPr>
        <w:t>la relation</w:t>
      </w:r>
      <w:r w:rsidR="00101926" w:rsidRPr="00103606">
        <w:rPr>
          <w:rFonts w:cs="Arial"/>
        </w:rPr>
        <w:t xml:space="preserve"> </w:t>
      </w:r>
      <w:r w:rsidRPr="00103606">
        <w:rPr>
          <w:rFonts w:cs="Arial"/>
        </w:rPr>
        <w:t>sexuel</w:t>
      </w:r>
      <w:r w:rsidR="00101926">
        <w:rPr>
          <w:rFonts w:cs="Arial"/>
        </w:rPr>
        <w:t>le</w:t>
      </w:r>
      <w:r w:rsidRPr="00103606">
        <w:rPr>
          <w:rFonts w:cs="Arial"/>
        </w:rPr>
        <w:t>, et l’invitation à le faire après. Le lavage se faisant généralement dans un bain moussant, avec produits disponibles sur place;</w:t>
      </w:r>
    </w:p>
    <w:p w14:paraId="7251A6C8"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La </w:t>
      </w:r>
      <w:r w:rsidR="00101926">
        <w:rPr>
          <w:rFonts w:cs="Arial"/>
        </w:rPr>
        <w:t>demande faite aux mineur</w:t>
      </w:r>
      <w:r w:rsidR="00101926" w:rsidRPr="00103606">
        <w:rPr>
          <w:rFonts w:cs="Arial"/>
        </w:rPr>
        <w:t>es</w:t>
      </w:r>
      <w:r w:rsidRPr="00103606">
        <w:rPr>
          <w:rFonts w:cs="Arial"/>
        </w:rPr>
        <w:t xml:space="preserve"> de se raser complètement;</w:t>
      </w:r>
    </w:p>
    <w:p w14:paraId="41784B0E"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L’offre par Miller de montrer </w:t>
      </w:r>
      <w:r w:rsidR="003A129B">
        <w:rPr>
          <w:rFonts w:cs="Arial"/>
        </w:rPr>
        <w:t xml:space="preserve">aux mineures </w:t>
      </w:r>
      <w:r w:rsidRPr="00103606">
        <w:rPr>
          <w:rFonts w:cs="Arial"/>
        </w:rPr>
        <w:t>son test de dépistage négatif;</w:t>
      </w:r>
    </w:p>
    <w:p w14:paraId="3EE4306D"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La distribution par Miller </w:t>
      </w:r>
      <w:r w:rsidR="003A129B">
        <w:rPr>
          <w:rFonts w:cs="Arial"/>
        </w:rPr>
        <w:t xml:space="preserve">aux mineures </w:t>
      </w:r>
      <w:r w:rsidRPr="00103606">
        <w:rPr>
          <w:rFonts w:cs="Arial"/>
        </w:rPr>
        <w:t>de pastilles à la menthe pour la bonne haleine;</w:t>
      </w:r>
    </w:p>
    <w:p w14:paraId="5322A55B" w14:textId="77777777" w:rsidR="00482808" w:rsidRPr="00103606" w:rsidRDefault="00E21D39" w:rsidP="00482808">
      <w:pPr>
        <w:pStyle w:val="Paragrdouble"/>
        <w:numPr>
          <w:ilvl w:val="0"/>
          <w:numId w:val="12"/>
        </w:numPr>
        <w:spacing w:line="276" w:lineRule="auto"/>
        <w:rPr>
          <w:rFonts w:cs="Arial"/>
        </w:rPr>
      </w:pPr>
      <w:r w:rsidRPr="00103606">
        <w:rPr>
          <w:rFonts w:cs="Arial"/>
        </w:rPr>
        <w:t>L</w:t>
      </w:r>
      <w:r w:rsidR="00101926">
        <w:rPr>
          <w:rFonts w:cs="Arial"/>
        </w:rPr>
        <w:t xml:space="preserve">a demande de Miller </w:t>
      </w:r>
      <w:r w:rsidR="003A129B">
        <w:rPr>
          <w:rFonts w:cs="Arial"/>
        </w:rPr>
        <w:t xml:space="preserve">aux mineures </w:t>
      </w:r>
      <w:r w:rsidR="00101926">
        <w:rPr>
          <w:rFonts w:cs="Arial"/>
        </w:rPr>
        <w:t xml:space="preserve">en début de relation sexuelle de se faire </w:t>
      </w:r>
      <w:r w:rsidRPr="00103606">
        <w:rPr>
          <w:rFonts w:cs="Arial"/>
        </w:rPr>
        <w:t>sucer la langue;</w:t>
      </w:r>
    </w:p>
    <w:p w14:paraId="732E7324"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La relation sexuelle complète non protégée </w:t>
      </w:r>
      <w:r w:rsidR="003A129B">
        <w:rPr>
          <w:rFonts w:cs="Arial"/>
        </w:rPr>
        <w:t>de</w:t>
      </w:r>
      <w:r w:rsidR="003A129B" w:rsidRPr="00103606">
        <w:rPr>
          <w:rFonts w:cs="Arial"/>
        </w:rPr>
        <w:t xml:space="preserve"> Miller</w:t>
      </w:r>
      <w:r w:rsidR="003A129B">
        <w:rPr>
          <w:rFonts w:cs="Arial"/>
        </w:rPr>
        <w:t xml:space="preserve"> avec l</w:t>
      </w:r>
      <w:r w:rsidR="005C7204">
        <w:rPr>
          <w:rFonts w:cs="Arial"/>
        </w:rPr>
        <w:t xml:space="preserve">es mineures </w:t>
      </w:r>
      <w:r w:rsidRPr="00103606">
        <w:rPr>
          <w:rFonts w:cs="Arial"/>
        </w:rPr>
        <w:t>, parfois accompagnée de cunnilingus;</w:t>
      </w:r>
    </w:p>
    <w:p w14:paraId="5804192C"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L’enveloppe </w:t>
      </w:r>
      <w:r w:rsidR="003A129B">
        <w:rPr>
          <w:rFonts w:cs="Arial"/>
        </w:rPr>
        <w:t>remise</w:t>
      </w:r>
      <w:r w:rsidR="003A129B" w:rsidRPr="00103606">
        <w:rPr>
          <w:rFonts w:cs="Arial"/>
        </w:rPr>
        <w:t xml:space="preserve"> </w:t>
      </w:r>
      <w:r w:rsidR="005C7204">
        <w:rPr>
          <w:rFonts w:cs="Arial"/>
        </w:rPr>
        <w:t xml:space="preserve">aux mineures </w:t>
      </w:r>
      <w:r w:rsidRPr="00103606">
        <w:rPr>
          <w:rFonts w:cs="Arial"/>
        </w:rPr>
        <w:t xml:space="preserve">après l’acte sexuel, </w:t>
      </w:r>
      <w:r>
        <w:rPr>
          <w:rFonts w:cs="Arial"/>
        </w:rPr>
        <w:t>montrant</w:t>
      </w:r>
      <w:r w:rsidRPr="00103606">
        <w:rPr>
          <w:rFonts w:cs="Arial"/>
        </w:rPr>
        <w:t xml:space="preserve"> des pastilles de différentes couleurs, et </w:t>
      </w:r>
      <w:r w:rsidR="006F567D">
        <w:rPr>
          <w:rFonts w:cs="Arial"/>
        </w:rPr>
        <w:t xml:space="preserve">contenant </w:t>
      </w:r>
      <w:r w:rsidRPr="00103606">
        <w:rPr>
          <w:rFonts w:cs="Arial"/>
        </w:rPr>
        <w:t>des sommes d’</w:t>
      </w:r>
      <w:r w:rsidR="005C7204">
        <w:rPr>
          <w:rFonts w:cs="Arial"/>
        </w:rPr>
        <w:t xml:space="preserve">argent variant </w:t>
      </w:r>
      <w:r w:rsidRPr="00103606">
        <w:rPr>
          <w:rFonts w:cs="Arial"/>
        </w:rPr>
        <w:t xml:space="preserve">en moyenne </w:t>
      </w:r>
      <w:r w:rsidR="005C7204">
        <w:rPr>
          <w:rFonts w:cs="Arial"/>
        </w:rPr>
        <w:t>entre</w:t>
      </w:r>
      <w:r w:rsidRPr="00103606">
        <w:rPr>
          <w:rFonts w:cs="Arial"/>
        </w:rPr>
        <w:t>1</w:t>
      </w:r>
      <w:r w:rsidR="00773450">
        <w:rPr>
          <w:rFonts w:cs="Arial"/>
        </w:rPr>
        <w:t> </w:t>
      </w:r>
      <w:r w:rsidRPr="00103606">
        <w:rPr>
          <w:rFonts w:cs="Arial"/>
        </w:rPr>
        <w:t>000</w:t>
      </w:r>
      <w:r w:rsidR="00773450">
        <w:t> </w:t>
      </w:r>
      <w:r w:rsidRPr="00103606">
        <w:rPr>
          <w:rFonts w:cs="Arial"/>
        </w:rPr>
        <w:t>$</w:t>
      </w:r>
      <w:r w:rsidR="00773450">
        <w:rPr>
          <w:rFonts w:cs="Arial"/>
        </w:rPr>
        <w:t xml:space="preserve"> </w:t>
      </w:r>
      <w:r w:rsidR="005C7204">
        <w:rPr>
          <w:rFonts w:cs="Arial"/>
        </w:rPr>
        <w:t xml:space="preserve">et </w:t>
      </w:r>
      <w:r w:rsidRPr="00773450">
        <w:t>1</w:t>
      </w:r>
      <w:r w:rsidR="00773450">
        <w:t> </w:t>
      </w:r>
      <w:r w:rsidRPr="00773450">
        <w:t>500</w:t>
      </w:r>
      <w:r w:rsidR="00773450">
        <w:t> </w:t>
      </w:r>
      <w:r w:rsidRPr="00103606">
        <w:rPr>
          <w:rFonts w:cs="Arial"/>
        </w:rPr>
        <w:t>$;</w:t>
      </w:r>
    </w:p>
    <w:p w14:paraId="304698CF"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La promesse de </w:t>
      </w:r>
      <w:r w:rsidR="005C7204">
        <w:rPr>
          <w:rFonts w:cs="Arial"/>
        </w:rPr>
        <w:t>Miller de</w:t>
      </w:r>
      <w:r w:rsidRPr="00103606">
        <w:rPr>
          <w:rFonts w:cs="Arial"/>
        </w:rPr>
        <w:t xml:space="preserve"> revoir </w:t>
      </w:r>
      <w:r w:rsidR="005C7204">
        <w:rPr>
          <w:rFonts w:cs="Arial"/>
        </w:rPr>
        <w:t xml:space="preserve">les mineures </w:t>
      </w:r>
      <w:r w:rsidRPr="00103606">
        <w:rPr>
          <w:rFonts w:cs="Arial"/>
        </w:rPr>
        <w:t>« à condition » qu’elles emmènent une amie avec elles la prochaine fois;</w:t>
      </w:r>
    </w:p>
    <w:p w14:paraId="1F60FF4A" w14:textId="77777777" w:rsidR="00482808" w:rsidRPr="00103606" w:rsidRDefault="00E21D39" w:rsidP="00482808">
      <w:pPr>
        <w:pStyle w:val="Paragrdouble"/>
        <w:numPr>
          <w:ilvl w:val="0"/>
          <w:numId w:val="12"/>
        </w:numPr>
        <w:spacing w:line="276" w:lineRule="auto"/>
        <w:rPr>
          <w:rFonts w:cs="Arial"/>
        </w:rPr>
      </w:pPr>
      <w:r w:rsidRPr="00103606">
        <w:rPr>
          <w:rFonts w:cs="Arial"/>
        </w:rPr>
        <w:t xml:space="preserve">La nécessité </w:t>
      </w:r>
      <w:r w:rsidR="005C7204">
        <w:rPr>
          <w:rFonts w:cs="Arial"/>
        </w:rPr>
        <w:t xml:space="preserve">pour les mineures </w:t>
      </w:r>
      <w:r w:rsidRPr="00103606">
        <w:rPr>
          <w:rFonts w:cs="Arial"/>
        </w:rPr>
        <w:t>de remettre une portion de l’argent reçu à S.G. ou Poulet.</w:t>
      </w:r>
    </w:p>
    <w:p w14:paraId="672E754D" w14:textId="77777777" w:rsidR="009B3D69" w:rsidRPr="006F567D" w:rsidRDefault="00E21D39" w:rsidP="006F567D">
      <w:pPr>
        <w:pStyle w:val="Paragrdouble"/>
        <w:spacing w:line="276" w:lineRule="auto"/>
        <w:rPr>
          <w:rFonts w:cs="Arial"/>
        </w:rPr>
      </w:pPr>
      <w:r w:rsidRPr="00103606">
        <w:rPr>
          <w:rFonts w:cs="Arial"/>
        </w:rPr>
        <w:t>Ces allégations des codemanderesses, appuyées des déclarations</w:t>
      </w:r>
      <w:r w:rsidR="00243FDD">
        <w:rPr>
          <w:rFonts w:cs="Arial"/>
        </w:rPr>
        <w:t xml:space="preserve"> et du tableau</w:t>
      </w:r>
      <w:r w:rsidRPr="00103606">
        <w:rPr>
          <w:rFonts w:cs="Arial"/>
        </w:rPr>
        <w:t xml:space="preserve">, </w:t>
      </w:r>
      <w:r w:rsidR="0055272A">
        <w:rPr>
          <w:rFonts w:cs="Arial"/>
        </w:rPr>
        <w:t>soutiennent</w:t>
      </w:r>
      <w:r w:rsidRPr="00103606">
        <w:rPr>
          <w:rFonts w:cs="Arial"/>
        </w:rPr>
        <w:t xml:space="preserve"> </w:t>
      </w:r>
      <w:r w:rsidR="00931775">
        <w:rPr>
          <w:rFonts w:cs="Arial"/>
        </w:rPr>
        <w:t xml:space="preserve">leur </w:t>
      </w:r>
      <w:r w:rsidR="006F567D">
        <w:rPr>
          <w:rFonts w:cs="Arial"/>
        </w:rPr>
        <w:t>cause défendable.</w:t>
      </w:r>
    </w:p>
    <w:p w14:paraId="7C56E662" w14:textId="77777777" w:rsidR="00020BEB" w:rsidRPr="00103606" w:rsidRDefault="00E21D39" w:rsidP="00440EA5">
      <w:pPr>
        <w:pStyle w:val="Paragrdouble"/>
        <w:spacing w:line="276" w:lineRule="auto"/>
        <w:rPr>
          <w:rFonts w:cs="Arial"/>
        </w:rPr>
      </w:pPr>
      <w:r w:rsidRPr="00103606">
        <w:rPr>
          <w:rFonts w:cs="Arial"/>
        </w:rPr>
        <w:t xml:space="preserve">Considérons </w:t>
      </w:r>
      <w:r w:rsidR="006F567D">
        <w:rPr>
          <w:rFonts w:cs="Arial"/>
        </w:rPr>
        <w:t xml:space="preserve">maintenant </w:t>
      </w:r>
      <w:r w:rsidRPr="00103606">
        <w:rPr>
          <w:rFonts w:cs="Arial"/>
        </w:rPr>
        <w:t>chacun des défendeurs séparément pour les fins d’analyse de l’article 575 (2) C.p.c.</w:t>
      </w:r>
    </w:p>
    <w:p w14:paraId="2CD12E85" w14:textId="77777777" w:rsidR="00020BEB" w:rsidRPr="00103606" w:rsidRDefault="00E21D39" w:rsidP="009F319B">
      <w:pPr>
        <w:pStyle w:val="Titre4"/>
        <w:numPr>
          <w:ilvl w:val="1"/>
          <w:numId w:val="21"/>
        </w:numPr>
        <w:ind w:left="1134"/>
        <w:rPr>
          <w:rFonts w:cs="Arial"/>
        </w:rPr>
      </w:pPr>
      <w:bookmarkStart w:id="38" w:name="_Toc256000013"/>
      <w:bookmarkStart w:id="39" w:name="_Toc187475772"/>
      <w:r w:rsidRPr="00103606">
        <w:rPr>
          <w:rFonts w:cs="Arial"/>
        </w:rPr>
        <w:t>L’existence d’une</w:t>
      </w:r>
      <w:r w:rsidR="000A4E33" w:rsidRPr="00103606">
        <w:rPr>
          <w:rFonts w:cs="Arial"/>
        </w:rPr>
        <w:t xml:space="preserve"> </w:t>
      </w:r>
      <w:r w:rsidR="00327CE3" w:rsidRPr="00103606">
        <w:rPr>
          <w:rFonts w:cs="Arial"/>
        </w:rPr>
        <w:t>cause défendable envers</w:t>
      </w:r>
      <w:r w:rsidRPr="00103606">
        <w:rPr>
          <w:rFonts w:cs="Arial"/>
        </w:rPr>
        <w:t xml:space="preserve"> Miller</w:t>
      </w:r>
      <w:bookmarkEnd w:id="38"/>
      <w:bookmarkEnd w:id="39"/>
    </w:p>
    <w:p w14:paraId="6FF273F6" w14:textId="77777777" w:rsidR="00020BEB" w:rsidRPr="00103606" w:rsidRDefault="00E21D39" w:rsidP="00020BEB">
      <w:pPr>
        <w:pStyle w:val="Paragrdouble"/>
        <w:spacing w:line="276" w:lineRule="auto"/>
        <w:rPr>
          <w:rFonts w:cs="Arial"/>
        </w:rPr>
      </w:pPr>
      <w:r w:rsidRPr="00103606">
        <w:rPr>
          <w:rFonts w:cs="Arial"/>
        </w:rPr>
        <w:t>Pour ce qui est de la responsabilité extracontractuelle directe de Miller, les codemanderesses présentent des allégués suffisamment clairs quant à ses fautes, au préjudice causé et au lien de causalité</w:t>
      </w:r>
      <w:r w:rsidR="00EB5552">
        <w:rPr>
          <w:rFonts w:cs="Arial"/>
        </w:rPr>
        <w:t>, de telle sorte à justifier les conclusions recherchées en offrant un syllogisme défendable</w:t>
      </w:r>
      <w:r w:rsidRPr="00103606">
        <w:rPr>
          <w:rFonts w:cs="Arial"/>
        </w:rPr>
        <w:t xml:space="preserve">. </w:t>
      </w:r>
    </w:p>
    <w:p w14:paraId="4357A7CB" w14:textId="77777777" w:rsidR="00391F1C" w:rsidRDefault="00E21D39" w:rsidP="006A1D47">
      <w:pPr>
        <w:pStyle w:val="Paragrdouble"/>
        <w:spacing w:line="276" w:lineRule="auto"/>
        <w:rPr>
          <w:rFonts w:cs="Arial"/>
        </w:rPr>
      </w:pPr>
      <w:r w:rsidRPr="00103606">
        <w:rPr>
          <w:rFonts w:cs="Arial"/>
        </w:rPr>
        <w:t xml:space="preserve">D’abord, soulignons que les fautes alléguées par S.N. se seraient produites entre 1996 et 1999, celles alléguées par B.N. se seraient produites entre 1999 et 2008, et celles alléguées par V.R. se seraient produites entre 2000 et 2002. </w:t>
      </w:r>
      <w:r w:rsidR="006A1D47" w:rsidRPr="00103606">
        <w:rPr>
          <w:rFonts w:cs="Arial"/>
        </w:rPr>
        <w:t xml:space="preserve">Les allégations de faute visant Miller s’appuient sur la trame factuelle sous-jacente, laquelle consiste en des violences sexuelles commises régulièrement sur une période de plusieurs années et </w:t>
      </w:r>
      <w:r>
        <w:rPr>
          <w:rFonts w:cs="Arial"/>
        </w:rPr>
        <w:t xml:space="preserve">envers </w:t>
      </w:r>
      <w:r w:rsidR="006A1D47" w:rsidRPr="00103606">
        <w:rPr>
          <w:rFonts w:cs="Arial"/>
        </w:rPr>
        <w:t>plusieurs victimes</w:t>
      </w:r>
      <w:r w:rsidR="008D441A" w:rsidRPr="00103606">
        <w:rPr>
          <w:rFonts w:cs="Arial"/>
        </w:rPr>
        <w:t xml:space="preserve"> alors qu’elles étaient mineures</w:t>
      </w:r>
      <w:r w:rsidR="006A1D47" w:rsidRPr="00103606">
        <w:rPr>
          <w:rFonts w:cs="Arial"/>
        </w:rPr>
        <w:t xml:space="preserve">. </w:t>
      </w:r>
    </w:p>
    <w:p w14:paraId="14CCE14D" w14:textId="77777777" w:rsidR="00440EA5" w:rsidRPr="00103606" w:rsidRDefault="00E21D39" w:rsidP="006A1D47">
      <w:pPr>
        <w:pStyle w:val="Paragrdouble"/>
        <w:spacing w:line="276" w:lineRule="auto"/>
        <w:rPr>
          <w:rFonts w:cs="Arial"/>
        </w:rPr>
      </w:pPr>
      <w:r w:rsidRPr="00103606">
        <w:rPr>
          <w:rFonts w:cs="Arial"/>
        </w:rPr>
        <w:t>Les actes de violence sexuelle all</w:t>
      </w:r>
      <w:r w:rsidR="00EB5552">
        <w:rPr>
          <w:rFonts w:cs="Arial"/>
        </w:rPr>
        <w:t>é</w:t>
      </w:r>
      <w:r w:rsidRPr="00103606">
        <w:rPr>
          <w:rFonts w:cs="Arial"/>
        </w:rPr>
        <w:t>gu</w:t>
      </w:r>
      <w:r w:rsidR="00EB5552">
        <w:rPr>
          <w:rFonts w:cs="Arial"/>
        </w:rPr>
        <w:t>és</w:t>
      </w:r>
      <w:r w:rsidRPr="00103606">
        <w:rPr>
          <w:rFonts w:cs="Arial"/>
        </w:rPr>
        <w:t xml:space="preserve"> </w:t>
      </w:r>
      <w:r w:rsidR="00391F1C">
        <w:rPr>
          <w:rFonts w:cs="Arial"/>
        </w:rPr>
        <w:t>parce que</w:t>
      </w:r>
      <w:r w:rsidR="00391F1C" w:rsidRPr="00103606">
        <w:rPr>
          <w:rFonts w:cs="Arial"/>
        </w:rPr>
        <w:t xml:space="preserve"> </w:t>
      </w:r>
      <w:r w:rsidR="00EB5552" w:rsidRPr="00103606">
        <w:rPr>
          <w:rFonts w:cs="Arial"/>
        </w:rPr>
        <w:t xml:space="preserve">contraires au </w:t>
      </w:r>
      <w:r w:rsidR="00EB5552" w:rsidRPr="00660E64">
        <w:rPr>
          <w:rFonts w:cs="Arial"/>
          <w:i/>
          <w:iCs/>
        </w:rPr>
        <w:t xml:space="preserve">Code </w:t>
      </w:r>
      <w:r w:rsidR="00EB5552" w:rsidRPr="00573001">
        <w:rPr>
          <w:rFonts w:cs="Arial"/>
        </w:rPr>
        <w:t>criminel</w:t>
      </w:r>
      <w:r w:rsidR="00EB5552" w:rsidRPr="00103606">
        <w:rPr>
          <w:rFonts w:cs="Arial"/>
        </w:rPr>
        <w:t xml:space="preserve"> </w:t>
      </w:r>
      <w:r w:rsidR="00391F1C">
        <w:rPr>
          <w:rFonts w:cs="Arial"/>
        </w:rPr>
        <w:t xml:space="preserve">engageraient </w:t>
      </w:r>
      <w:r w:rsidR="00AF7978">
        <w:rPr>
          <w:rFonts w:cs="Arial"/>
        </w:rPr>
        <w:t xml:space="preserve">alors </w:t>
      </w:r>
      <w:r w:rsidR="00EB5552" w:rsidRPr="00103606">
        <w:rPr>
          <w:rFonts w:cs="Arial"/>
        </w:rPr>
        <w:t xml:space="preserve">la violation d’une règle de conduite </w:t>
      </w:r>
      <w:r w:rsidR="00EB5552">
        <w:rPr>
          <w:rFonts w:cs="Arial"/>
        </w:rPr>
        <w:t>de telle sorte à constituer une</w:t>
      </w:r>
      <w:r w:rsidRPr="00103606">
        <w:rPr>
          <w:rFonts w:cs="Arial"/>
        </w:rPr>
        <w:t xml:space="preserve"> faute civile en vertu de l’article 1457 C.c.Q.</w:t>
      </w:r>
      <w:r>
        <w:rPr>
          <w:rStyle w:val="Appelnotedebasdep"/>
          <w:rFonts w:cs="Arial"/>
        </w:rPr>
        <w:footnoteReference w:id="61"/>
      </w:r>
      <w:r w:rsidRPr="00103606">
        <w:rPr>
          <w:rFonts w:cs="Arial"/>
        </w:rPr>
        <w:t xml:space="preserve"> </w:t>
      </w:r>
    </w:p>
    <w:p w14:paraId="12EC168D" w14:textId="77777777" w:rsidR="00020BEB" w:rsidRPr="00103606" w:rsidRDefault="00E21D39" w:rsidP="00020BEB">
      <w:pPr>
        <w:pStyle w:val="Paragrdouble"/>
        <w:spacing w:line="276" w:lineRule="auto"/>
        <w:rPr>
          <w:rFonts w:cs="Arial"/>
        </w:rPr>
      </w:pPr>
      <w:r w:rsidRPr="00103606">
        <w:rPr>
          <w:rFonts w:cs="Arial"/>
        </w:rPr>
        <w:t>S.N. allègue qu’elle a eu des relations sexuelles avec Miller dès l’âge de 17 ans, pour un total de 7 à 10 fois, 2-3 fois par année, et que chaque fois elle recevait une enveloppe avec 1</w:t>
      </w:r>
      <w:r w:rsidR="007E213B">
        <w:rPr>
          <w:rFonts w:cs="Arial"/>
        </w:rPr>
        <w:t> </w:t>
      </w:r>
      <w:r w:rsidRPr="00103606">
        <w:rPr>
          <w:rFonts w:cs="Arial"/>
        </w:rPr>
        <w:t>000 à 2</w:t>
      </w:r>
      <w:r w:rsidR="007E213B">
        <w:rPr>
          <w:rFonts w:cs="Arial"/>
        </w:rPr>
        <w:t> </w:t>
      </w:r>
      <w:r w:rsidRPr="00103606">
        <w:rPr>
          <w:rFonts w:cs="Arial"/>
        </w:rPr>
        <w:t>000</w:t>
      </w:r>
      <w:r w:rsidR="007E213B">
        <w:rPr>
          <w:rFonts w:cs="Arial"/>
        </w:rPr>
        <w:t> </w:t>
      </w:r>
      <w:r w:rsidRPr="00103606">
        <w:rPr>
          <w:rFonts w:cs="Arial"/>
        </w:rPr>
        <w:t>$ d’argent comptant, sauf une fois où elle a reçu 3</w:t>
      </w:r>
      <w:r w:rsidR="000644C1">
        <w:rPr>
          <w:rFonts w:cs="Arial"/>
        </w:rPr>
        <w:t> </w:t>
      </w:r>
      <w:r w:rsidRPr="00103606">
        <w:rPr>
          <w:rFonts w:cs="Arial"/>
        </w:rPr>
        <w:t>000</w:t>
      </w:r>
      <w:r w:rsidR="000644C1">
        <w:rPr>
          <w:rFonts w:cs="Arial"/>
        </w:rPr>
        <w:t> </w:t>
      </w:r>
      <w:r w:rsidRPr="00103606">
        <w:rPr>
          <w:rFonts w:cs="Arial"/>
        </w:rPr>
        <w:t>$. B.N., pour sa part, explique qu’elle a commencé à avoir des relations sexuelles avec Miller à</w:t>
      </w:r>
      <w:r w:rsidR="000644C1">
        <w:rPr>
          <w:rFonts w:cs="Arial"/>
        </w:rPr>
        <w:t xml:space="preserve"> </w:t>
      </w:r>
      <w:r w:rsidRPr="00103606">
        <w:rPr>
          <w:rFonts w:cs="Arial"/>
        </w:rPr>
        <w:t xml:space="preserve">11 ans, relations qui ont duré jusqu’à ses 20 ans, </w:t>
      </w:r>
      <w:r w:rsidR="00DD4566">
        <w:rPr>
          <w:rFonts w:cs="Arial"/>
        </w:rPr>
        <w:t>par moments</w:t>
      </w:r>
      <w:r w:rsidRPr="00103606">
        <w:rPr>
          <w:rFonts w:cs="Arial"/>
        </w:rPr>
        <w:t xml:space="preserve"> plusieurs fois par mois, jusqu’à au moins 30 fois. Elle recevait alors des paiements de 5</w:t>
      </w:r>
      <w:r w:rsidR="000644C1">
        <w:rPr>
          <w:rFonts w:cs="Arial"/>
        </w:rPr>
        <w:t> </w:t>
      </w:r>
      <w:r w:rsidRPr="00103606">
        <w:rPr>
          <w:rFonts w:cs="Arial"/>
        </w:rPr>
        <w:t>000</w:t>
      </w:r>
      <w:r w:rsidR="000644C1">
        <w:rPr>
          <w:rFonts w:cs="Arial"/>
        </w:rPr>
        <w:t> </w:t>
      </w:r>
      <w:r w:rsidRPr="00103606">
        <w:rPr>
          <w:rFonts w:cs="Arial"/>
        </w:rPr>
        <w:t xml:space="preserve">$ et d’autres cadeaux après chaque relation. V.R., enfin, allègue qu’elle a commencé à avoir des relations sexuelles à l’Hôtel Reine </w:t>
      </w:r>
      <w:r w:rsidR="00800CDC">
        <w:rPr>
          <w:rFonts w:cs="Arial"/>
        </w:rPr>
        <w:t>É</w:t>
      </w:r>
      <w:r w:rsidRPr="00103606">
        <w:rPr>
          <w:rFonts w:cs="Arial"/>
        </w:rPr>
        <w:t xml:space="preserve">lizabeth avec Miller à 16 ans, jusqu’à 18 ans, et qu’elle a toujours reçu de l’argent et/ou des cadeaux en considération de </w:t>
      </w:r>
      <w:r w:rsidR="00585D97" w:rsidRPr="00103606">
        <w:rPr>
          <w:rFonts w:cs="Arial"/>
        </w:rPr>
        <w:t>l</w:t>
      </w:r>
      <w:r w:rsidR="00585D97">
        <w:rPr>
          <w:rFonts w:cs="Arial"/>
        </w:rPr>
        <w:t>a relation</w:t>
      </w:r>
      <w:r w:rsidR="00585D97" w:rsidRPr="00103606">
        <w:rPr>
          <w:rFonts w:cs="Arial"/>
        </w:rPr>
        <w:t xml:space="preserve"> </w:t>
      </w:r>
      <w:r w:rsidRPr="00103606">
        <w:rPr>
          <w:rFonts w:cs="Arial"/>
        </w:rPr>
        <w:t>sexuel</w:t>
      </w:r>
      <w:r w:rsidR="00585D97">
        <w:rPr>
          <w:rFonts w:cs="Arial"/>
        </w:rPr>
        <w:t>le</w:t>
      </w:r>
      <w:r w:rsidR="00F95C8C" w:rsidRPr="00103606">
        <w:rPr>
          <w:rFonts w:cs="Arial"/>
        </w:rPr>
        <w:t>.</w:t>
      </w:r>
    </w:p>
    <w:p w14:paraId="0629CEF5" w14:textId="77777777" w:rsidR="00F95C8C" w:rsidRPr="00103606" w:rsidRDefault="00E21D39" w:rsidP="00020BEB">
      <w:pPr>
        <w:pStyle w:val="Paragrdouble"/>
        <w:spacing w:line="276" w:lineRule="auto"/>
        <w:rPr>
          <w:rFonts w:cs="Arial"/>
        </w:rPr>
      </w:pPr>
      <w:r w:rsidRPr="00103606">
        <w:rPr>
          <w:rFonts w:cs="Arial"/>
        </w:rPr>
        <w:t>Miller, de même que l</w:t>
      </w:r>
      <w:r w:rsidR="006A1D47" w:rsidRPr="00103606">
        <w:rPr>
          <w:rFonts w:cs="Arial"/>
        </w:rPr>
        <w:t xml:space="preserve">es </w:t>
      </w:r>
      <w:r w:rsidRPr="00103606">
        <w:rPr>
          <w:rFonts w:cs="Arial"/>
        </w:rPr>
        <w:t xml:space="preserve">autres </w:t>
      </w:r>
      <w:r w:rsidR="006A1D47" w:rsidRPr="00103606">
        <w:rPr>
          <w:rFonts w:cs="Arial"/>
        </w:rPr>
        <w:t>défendeurs</w:t>
      </w:r>
      <w:r w:rsidRPr="00103606">
        <w:rPr>
          <w:rFonts w:cs="Arial"/>
        </w:rPr>
        <w:t>, prétendent</w:t>
      </w:r>
      <w:r w:rsidR="006A1D47" w:rsidRPr="00103606">
        <w:rPr>
          <w:rFonts w:cs="Arial"/>
        </w:rPr>
        <w:t xml:space="preserve"> que les allégations sont tellement vagues qu’elles doivent être écartées. </w:t>
      </w:r>
    </w:p>
    <w:p w14:paraId="0CF5352B" w14:textId="77777777" w:rsidR="00B808CF" w:rsidRDefault="00E21D39" w:rsidP="00020BEB">
      <w:pPr>
        <w:pStyle w:val="Paragrdouble"/>
        <w:spacing w:line="276" w:lineRule="auto"/>
        <w:rPr>
          <w:rFonts w:cs="Arial"/>
        </w:rPr>
      </w:pPr>
      <w:r w:rsidRPr="00103606">
        <w:rPr>
          <w:rFonts w:cs="Arial"/>
        </w:rPr>
        <w:t xml:space="preserve">Non seulement je ne partage pas cette opinion, mais je suis d’avis que même </w:t>
      </w:r>
      <w:r w:rsidR="005F0B5C">
        <w:rPr>
          <w:rFonts w:cs="Arial"/>
        </w:rPr>
        <w:br/>
      </w:r>
      <w:r w:rsidRPr="00103606">
        <w:rPr>
          <w:rFonts w:cs="Arial"/>
        </w:rPr>
        <w:t xml:space="preserve">en </w:t>
      </w:r>
      <w:r w:rsidR="0041753C" w:rsidRPr="00103606">
        <w:rPr>
          <w:rFonts w:cs="Arial"/>
        </w:rPr>
        <w:t>tant qu’</w:t>
      </w:r>
      <w:r w:rsidRPr="00103606">
        <w:rPr>
          <w:rFonts w:cs="Arial"/>
        </w:rPr>
        <w:t>allégations de victimes d’agressions sexuelles survenues il y a de nombreuses années</w:t>
      </w:r>
      <w:r>
        <w:rPr>
          <w:rStyle w:val="Appelnotedebasdep"/>
          <w:rFonts w:cs="Arial"/>
        </w:rPr>
        <w:footnoteReference w:id="62"/>
      </w:r>
      <w:r w:rsidRPr="00103606">
        <w:rPr>
          <w:rFonts w:cs="Arial"/>
        </w:rPr>
        <w:t>, ce</w:t>
      </w:r>
      <w:r w:rsidR="0041753C" w:rsidRPr="00103606">
        <w:rPr>
          <w:rFonts w:cs="Arial"/>
        </w:rPr>
        <w:t xml:space="preserve">lles-ci </w:t>
      </w:r>
      <w:r w:rsidRPr="00103606">
        <w:rPr>
          <w:rFonts w:cs="Arial"/>
        </w:rPr>
        <w:t xml:space="preserve">sont claires et contribuent à </w:t>
      </w:r>
      <w:r w:rsidR="00145288" w:rsidRPr="00103606">
        <w:rPr>
          <w:rFonts w:cs="Arial"/>
        </w:rPr>
        <w:t>démontr</w:t>
      </w:r>
      <w:r w:rsidRPr="00103606">
        <w:rPr>
          <w:rFonts w:cs="Arial"/>
        </w:rPr>
        <w:t>er</w:t>
      </w:r>
      <w:r w:rsidR="00145288" w:rsidRPr="00103606">
        <w:rPr>
          <w:rFonts w:cs="Arial"/>
        </w:rPr>
        <w:t xml:space="preserve"> la simple possibilité de succès au fond.</w:t>
      </w:r>
    </w:p>
    <w:p w14:paraId="360573E2" w14:textId="77777777" w:rsidR="00495003" w:rsidRPr="00103606" w:rsidRDefault="00E21D39" w:rsidP="00020BEB">
      <w:pPr>
        <w:pStyle w:val="Paragrdouble"/>
        <w:spacing w:line="276" w:lineRule="auto"/>
        <w:rPr>
          <w:rFonts w:cs="Arial"/>
        </w:rPr>
      </w:pPr>
      <w:r>
        <w:rPr>
          <w:rFonts w:cs="Arial"/>
        </w:rPr>
        <w:t>Deux groupes de fautes sont attribuables à Miller</w:t>
      </w:r>
      <w:r w:rsidRPr="00495003">
        <w:rPr>
          <w:rFonts w:cs="Arial"/>
        </w:rPr>
        <w:t xml:space="preserve">: une conduite contraire au </w:t>
      </w:r>
      <w:r w:rsidR="002746C3">
        <w:rPr>
          <w:rFonts w:cs="Arial"/>
        </w:rPr>
        <w:br/>
      </w:r>
      <w:r w:rsidR="001C1544" w:rsidRPr="00573001">
        <w:rPr>
          <w:rFonts w:cs="Arial"/>
        </w:rPr>
        <w:t>C</w:t>
      </w:r>
      <w:r w:rsidR="00243FDD">
        <w:rPr>
          <w:rFonts w:cs="Arial"/>
        </w:rPr>
        <w:t xml:space="preserve">ode </w:t>
      </w:r>
      <w:r w:rsidR="00243FDD" w:rsidRPr="00243FDD">
        <w:rPr>
          <w:rFonts w:cs="Arial"/>
        </w:rPr>
        <w:t>C</w:t>
      </w:r>
      <w:r w:rsidR="001C1544" w:rsidRPr="007E50B9">
        <w:rPr>
          <w:rFonts w:cs="Arial"/>
        </w:rPr>
        <w:t>r</w:t>
      </w:r>
      <w:r w:rsidR="00243FDD" w:rsidRPr="007E50B9">
        <w:rPr>
          <w:rFonts w:cs="Arial"/>
        </w:rPr>
        <w:t>iminel</w:t>
      </w:r>
      <w:r w:rsidR="00243FDD">
        <w:rPr>
          <w:rFonts w:cs="Arial"/>
        </w:rPr>
        <w:t>,</w:t>
      </w:r>
      <w:r w:rsidRPr="00495003">
        <w:rPr>
          <w:rFonts w:cs="Arial"/>
        </w:rPr>
        <w:t xml:space="preserve"> ce qui</w:t>
      </w:r>
      <w:r>
        <w:rPr>
          <w:rFonts w:cs="Arial"/>
        </w:rPr>
        <w:t>,</w:t>
      </w:r>
      <w:r w:rsidRPr="00495003">
        <w:rPr>
          <w:rFonts w:cs="Arial"/>
        </w:rPr>
        <w:t xml:space="preserve"> en soi</w:t>
      </w:r>
      <w:r>
        <w:rPr>
          <w:rFonts w:cs="Arial"/>
        </w:rPr>
        <w:t>,</w:t>
      </w:r>
      <w:r w:rsidRPr="00495003">
        <w:rPr>
          <w:rFonts w:cs="Arial"/>
        </w:rPr>
        <w:t xml:space="preserve"> </w:t>
      </w:r>
      <w:r>
        <w:rPr>
          <w:rFonts w:cs="Arial"/>
        </w:rPr>
        <w:t>est constitutif d’une f</w:t>
      </w:r>
      <w:r w:rsidRPr="00495003">
        <w:rPr>
          <w:rFonts w:cs="Arial"/>
        </w:rPr>
        <w:t xml:space="preserve">aute </w:t>
      </w:r>
      <w:r>
        <w:rPr>
          <w:rFonts w:cs="Arial"/>
        </w:rPr>
        <w:t>sous l’article</w:t>
      </w:r>
      <w:r w:rsidRPr="00495003">
        <w:rPr>
          <w:rFonts w:cs="Arial"/>
        </w:rPr>
        <w:t xml:space="preserve"> 1457 </w:t>
      </w:r>
      <w:r>
        <w:rPr>
          <w:rFonts w:cs="Arial"/>
        </w:rPr>
        <w:t xml:space="preserve">C.c.Q., </w:t>
      </w:r>
      <w:r w:rsidRPr="00495003">
        <w:rPr>
          <w:rFonts w:cs="Arial"/>
        </w:rPr>
        <w:t xml:space="preserve">et le fait d'avoir </w:t>
      </w:r>
      <w:r>
        <w:rPr>
          <w:rFonts w:cs="Arial"/>
        </w:rPr>
        <w:t>orchestré</w:t>
      </w:r>
      <w:r w:rsidRPr="00495003">
        <w:rPr>
          <w:rFonts w:cs="Arial"/>
        </w:rPr>
        <w:t xml:space="preserve"> </w:t>
      </w:r>
      <w:r>
        <w:rPr>
          <w:rFonts w:cs="Arial"/>
        </w:rPr>
        <w:t>un</w:t>
      </w:r>
      <w:r w:rsidRPr="00495003">
        <w:rPr>
          <w:rFonts w:cs="Arial"/>
        </w:rPr>
        <w:t xml:space="preserve"> système de recrutement et d'exploitation</w:t>
      </w:r>
      <w:r>
        <w:rPr>
          <w:rFonts w:cs="Arial"/>
        </w:rPr>
        <w:t xml:space="preserve"> de mineures</w:t>
      </w:r>
      <w:r w:rsidRPr="00495003">
        <w:rPr>
          <w:rFonts w:cs="Arial"/>
        </w:rPr>
        <w:t>. Ces fautes peuvent être qualifiées de violence sexuelle et donc non prescrite</w:t>
      </w:r>
      <w:r>
        <w:rPr>
          <w:rFonts w:cs="Arial"/>
        </w:rPr>
        <w:t>s</w:t>
      </w:r>
      <w:r w:rsidR="00AA68FD">
        <w:rPr>
          <w:rFonts w:cs="Arial"/>
        </w:rPr>
        <w:t>,</w:t>
      </w:r>
      <w:r>
        <w:rPr>
          <w:rFonts w:cs="Arial"/>
        </w:rPr>
        <w:t xml:space="preserve"> comme énoncé ci-haut</w:t>
      </w:r>
      <w:r w:rsidRPr="00495003">
        <w:rPr>
          <w:rFonts w:cs="Arial"/>
        </w:rPr>
        <w:t>.</w:t>
      </w:r>
    </w:p>
    <w:p w14:paraId="0A3B86F6" w14:textId="77777777" w:rsidR="00145288" w:rsidRPr="00103606" w:rsidRDefault="00E21D39" w:rsidP="00B808CF">
      <w:pPr>
        <w:pStyle w:val="Paragrdouble"/>
        <w:spacing w:line="276" w:lineRule="auto"/>
        <w:rPr>
          <w:rFonts w:cs="Arial"/>
        </w:rPr>
      </w:pPr>
      <w:r w:rsidRPr="00103606">
        <w:rPr>
          <w:rFonts w:cs="Arial"/>
        </w:rPr>
        <w:t xml:space="preserve">Les codemanderesses réfèrent bien sûr aux reportages médiatiques ayant eu lieu à Radio-Canada à l’émission </w:t>
      </w:r>
      <w:r w:rsidRPr="00103606">
        <w:rPr>
          <w:rFonts w:cs="Arial"/>
          <w:i/>
          <w:iCs/>
        </w:rPr>
        <w:t>Enquête</w:t>
      </w:r>
      <w:r w:rsidRPr="00103606">
        <w:rPr>
          <w:rFonts w:cs="Arial"/>
        </w:rPr>
        <w:t xml:space="preserve"> et à CBC à l’occasion d’épisodes de </w:t>
      </w:r>
      <w:r w:rsidRPr="00103606">
        <w:rPr>
          <w:rFonts w:cs="Arial"/>
          <w:i/>
          <w:iCs/>
        </w:rPr>
        <w:t>The Fifth Estate</w:t>
      </w:r>
      <w:r w:rsidRPr="00103606">
        <w:rPr>
          <w:rFonts w:cs="Arial"/>
        </w:rPr>
        <w:t xml:space="preserve">. Ces reportages servent à introduire le schème de prostitution juvénile organisé par Miller et ses acolytes. </w:t>
      </w:r>
      <w:r w:rsidR="00EB5552" w:rsidRPr="008573E6">
        <w:rPr>
          <w:rFonts w:cs="Arial"/>
          <w:i/>
          <w:iCs/>
        </w:rPr>
        <w:t>Prima facie</w:t>
      </w:r>
      <w:r w:rsidR="00EB5552">
        <w:rPr>
          <w:rFonts w:cs="Arial"/>
        </w:rPr>
        <w:t>, e</w:t>
      </w:r>
      <w:r w:rsidR="006C552C" w:rsidRPr="00103606">
        <w:rPr>
          <w:rFonts w:cs="Arial"/>
        </w:rPr>
        <w:t>lles font état d’une expérience malheureuse commune et</w:t>
      </w:r>
      <w:r w:rsidR="0041753C" w:rsidRPr="00103606">
        <w:rPr>
          <w:rFonts w:cs="Arial"/>
        </w:rPr>
        <w:t xml:space="preserve"> fortement </w:t>
      </w:r>
      <w:r w:rsidR="006C552C" w:rsidRPr="00103606">
        <w:rPr>
          <w:rFonts w:cs="Arial"/>
        </w:rPr>
        <w:t>similaire.</w:t>
      </w:r>
    </w:p>
    <w:p w14:paraId="28B54763" w14:textId="77777777" w:rsidR="00F71784" w:rsidRPr="00103606" w:rsidRDefault="00E21D39" w:rsidP="00F71784">
      <w:pPr>
        <w:pStyle w:val="Paragrdouble"/>
        <w:spacing w:line="276" w:lineRule="auto"/>
        <w:rPr>
          <w:rFonts w:cs="Arial"/>
        </w:rPr>
      </w:pPr>
      <w:r>
        <w:rPr>
          <w:rFonts w:cs="Arial"/>
        </w:rPr>
        <w:t>En ce qui concerne le</w:t>
      </w:r>
      <w:r w:rsidR="00327CE3" w:rsidRPr="00103606">
        <w:rPr>
          <w:rFonts w:cs="Arial"/>
        </w:rPr>
        <w:t xml:space="preserve"> préjudice que les codemanderesses</w:t>
      </w:r>
      <w:r w:rsidR="00A10A45" w:rsidRPr="00103606">
        <w:rPr>
          <w:rFonts w:cs="Arial"/>
        </w:rPr>
        <w:t xml:space="preserve">, </w:t>
      </w:r>
      <w:r w:rsidR="00A10A45">
        <w:rPr>
          <w:rFonts w:cs="Arial"/>
        </w:rPr>
        <w:t xml:space="preserve">agissant au </w:t>
      </w:r>
      <w:r w:rsidR="00A10A45" w:rsidRPr="00103606">
        <w:rPr>
          <w:rFonts w:cs="Arial"/>
        </w:rPr>
        <w:t xml:space="preserve">nom de l’ensemble du groupe, </w:t>
      </w:r>
      <w:r w:rsidR="00327CE3" w:rsidRPr="00103606">
        <w:rPr>
          <w:rFonts w:cs="Arial"/>
        </w:rPr>
        <w:t xml:space="preserve">allèguent avoir </w:t>
      </w:r>
      <w:r w:rsidR="00940229">
        <w:rPr>
          <w:rFonts w:cs="Arial"/>
        </w:rPr>
        <w:t>subi</w:t>
      </w:r>
      <w:r w:rsidR="00940229" w:rsidRPr="00103606">
        <w:rPr>
          <w:rFonts w:cs="Arial"/>
        </w:rPr>
        <w:t xml:space="preserve"> </w:t>
      </w:r>
      <w:r w:rsidR="008960B7">
        <w:rPr>
          <w:rFonts w:cs="Arial"/>
        </w:rPr>
        <w:t>en raison</w:t>
      </w:r>
      <w:r w:rsidR="00327CE3" w:rsidRPr="00103606">
        <w:rPr>
          <w:rFonts w:cs="Arial"/>
        </w:rPr>
        <w:t xml:space="preserve"> des fautes de Miller</w:t>
      </w:r>
      <w:r w:rsidR="00243FDD">
        <w:rPr>
          <w:rFonts w:cs="Arial"/>
        </w:rPr>
        <w:t xml:space="preserve"> </w:t>
      </w:r>
      <w:r w:rsidR="00327CE3" w:rsidRPr="00103606">
        <w:rPr>
          <w:rFonts w:cs="Arial"/>
        </w:rPr>
        <w:t xml:space="preserve">et </w:t>
      </w:r>
      <w:r w:rsidR="00FD279D">
        <w:rPr>
          <w:rFonts w:cs="Arial"/>
        </w:rPr>
        <w:t>le</w:t>
      </w:r>
      <w:r w:rsidR="00FD279D" w:rsidRPr="00103606">
        <w:rPr>
          <w:rFonts w:cs="Arial"/>
        </w:rPr>
        <w:t xml:space="preserve"> </w:t>
      </w:r>
      <w:r w:rsidR="00327CE3" w:rsidRPr="00103606">
        <w:rPr>
          <w:rFonts w:cs="Arial"/>
        </w:rPr>
        <w:t>lien causal entre les fautes et le préjudice, je suis d’avis que les allégations des codemanderesses sont précises et concrètes</w:t>
      </w:r>
      <w:r w:rsidR="008840B4">
        <w:rPr>
          <w:rFonts w:cs="Arial"/>
        </w:rPr>
        <w:t>.</w:t>
      </w:r>
      <w:r w:rsidR="00565254">
        <w:rPr>
          <w:rFonts w:cs="Arial"/>
        </w:rPr>
        <w:t xml:space="preserve"> </w:t>
      </w:r>
      <w:r w:rsidR="00F46541">
        <w:rPr>
          <w:rFonts w:cs="Arial"/>
        </w:rPr>
        <w:t>Ces dernières</w:t>
      </w:r>
      <w:r w:rsidR="00565254">
        <w:rPr>
          <w:rFonts w:cs="Arial"/>
        </w:rPr>
        <w:t xml:space="preserve"> affirment</w:t>
      </w:r>
      <w:r w:rsidR="00327CE3" w:rsidRPr="00103606">
        <w:rPr>
          <w:rFonts w:cs="Arial"/>
        </w:rPr>
        <w:t xml:space="preserve"> </w:t>
      </w:r>
      <w:r w:rsidR="0099447E">
        <w:rPr>
          <w:rFonts w:cs="Arial"/>
        </w:rPr>
        <w:t xml:space="preserve">avoir </w:t>
      </w:r>
      <w:r w:rsidR="00327CE3" w:rsidRPr="00103606">
        <w:rPr>
          <w:rFonts w:cs="Arial"/>
        </w:rPr>
        <w:t xml:space="preserve">subi un préjudice </w:t>
      </w:r>
      <w:r w:rsidR="00B446C1">
        <w:rPr>
          <w:rFonts w:cs="Arial"/>
        </w:rPr>
        <w:t>à la</w:t>
      </w:r>
      <w:r w:rsidR="00B446C1" w:rsidRPr="00103606">
        <w:rPr>
          <w:rFonts w:cs="Arial"/>
        </w:rPr>
        <w:t xml:space="preserve"> </w:t>
      </w:r>
      <w:r w:rsidR="00327CE3" w:rsidRPr="00103606">
        <w:rPr>
          <w:rFonts w:cs="Arial"/>
        </w:rPr>
        <w:t xml:space="preserve">suite des agissements fautifs de Miller, </w:t>
      </w:r>
      <w:r w:rsidR="003E044C">
        <w:rPr>
          <w:rFonts w:cs="Arial"/>
        </w:rPr>
        <w:t>ce qui constitue</w:t>
      </w:r>
      <w:r w:rsidR="003E044C" w:rsidRPr="00103606">
        <w:rPr>
          <w:rFonts w:cs="Arial"/>
        </w:rPr>
        <w:t xml:space="preserve"> </w:t>
      </w:r>
      <w:r w:rsidR="00327CE3" w:rsidRPr="00103606">
        <w:rPr>
          <w:rFonts w:cs="Arial"/>
        </w:rPr>
        <w:t xml:space="preserve">alors une cause défendable en responsabilité extracontractuelle à son égard. </w:t>
      </w:r>
      <w:r w:rsidRPr="00103606">
        <w:rPr>
          <w:rFonts w:cs="Arial"/>
        </w:rPr>
        <w:t>Les codemanderesses plaident leur incapacité d’agir comme victime pendant de nombreuses années, de même que des préjudices causés de la nature de la honte, du traumatisme, de la perte de confiance et d’estime de soi, de la dépression, et du développement de dépendances.</w:t>
      </w:r>
    </w:p>
    <w:p w14:paraId="4D806766" w14:textId="77777777" w:rsidR="00327CE3" w:rsidRPr="00103606" w:rsidRDefault="00E21D39" w:rsidP="00327CE3">
      <w:pPr>
        <w:pStyle w:val="Paragrdouble"/>
        <w:spacing w:line="276" w:lineRule="auto"/>
        <w:rPr>
          <w:rFonts w:cs="Arial"/>
        </w:rPr>
      </w:pPr>
      <w:r w:rsidRPr="00103606">
        <w:rPr>
          <w:rFonts w:cs="Arial"/>
        </w:rPr>
        <w:t xml:space="preserve">Je souligne ici que la Cour suprême dans l’arrêt </w:t>
      </w:r>
      <w:r w:rsidR="00585D97">
        <w:rPr>
          <w:rFonts w:cs="Arial"/>
          <w:i/>
          <w:iCs/>
        </w:rPr>
        <w:t>L</w:t>
      </w:r>
      <w:r w:rsidR="00585D97" w:rsidRPr="00573001">
        <w:rPr>
          <w:rFonts w:cs="Arial"/>
          <w:i/>
          <w:iCs/>
        </w:rPr>
        <w:t>’</w:t>
      </w:r>
      <w:r w:rsidRPr="00103606">
        <w:rPr>
          <w:rFonts w:cs="Arial"/>
          <w:i/>
          <w:iCs/>
        </w:rPr>
        <w:t>Oratoire</w:t>
      </w:r>
      <w:r w:rsidRPr="00103606">
        <w:rPr>
          <w:rFonts w:cs="Arial"/>
        </w:rPr>
        <w:t xml:space="preserve"> a établi que toute agression sexuelle est une faute qui conduit automatiquement à un préjudice sérieux</w:t>
      </w:r>
      <w:r>
        <w:rPr>
          <w:rStyle w:val="Appelnotedebasdep"/>
          <w:rFonts w:cs="Arial"/>
        </w:rPr>
        <w:footnoteReference w:id="63"/>
      </w:r>
      <w:r w:rsidRPr="00103606">
        <w:rPr>
          <w:rFonts w:cs="Arial"/>
        </w:rPr>
        <w:t xml:space="preserve">. Dans d’autres causes, la Cour suprême a également reconnu les effets dévastateurs des agressions sexuelles envers </w:t>
      </w:r>
      <w:r w:rsidR="00F71784" w:rsidRPr="00103606">
        <w:rPr>
          <w:rFonts w:cs="Arial"/>
        </w:rPr>
        <w:t>l</w:t>
      </w:r>
      <w:r w:rsidRPr="00103606">
        <w:rPr>
          <w:rFonts w:cs="Arial"/>
        </w:rPr>
        <w:t>es enfants</w:t>
      </w:r>
      <w:r>
        <w:rPr>
          <w:rStyle w:val="Appelnotedebasdep"/>
          <w:rFonts w:cs="Arial"/>
        </w:rPr>
        <w:footnoteReference w:id="64"/>
      </w:r>
      <w:r w:rsidRPr="00103606">
        <w:rPr>
          <w:rFonts w:cs="Arial"/>
        </w:rPr>
        <w:t>.</w:t>
      </w:r>
    </w:p>
    <w:p w14:paraId="520B8401" w14:textId="77777777" w:rsidR="00F71784" w:rsidRPr="00103606" w:rsidRDefault="00E21D39" w:rsidP="00F71784">
      <w:pPr>
        <w:pStyle w:val="Paragrdouble"/>
        <w:spacing w:line="276" w:lineRule="auto"/>
        <w:rPr>
          <w:rFonts w:cs="Arial"/>
          <w:szCs w:val="24"/>
        </w:rPr>
      </w:pPr>
      <w:r w:rsidRPr="00103606">
        <w:rPr>
          <w:rFonts w:cs="Arial"/>
          <w:szCs w:val="24"/>
        </w:rPr>
        <w:t xml:space="preserve">De plus, il faut souligner que depuis le 4 décembre 2024, le </w:t>
      </w:r>
      <w:r w:rsidRPr="00103606">
        <w:rPr>
          <w:rFonts w:cs="Arial"/>
          <w:i/>
          <w:iCs/>
          <w:szCs w:val="24"/>
        </w:rPr>
        <w:t>Code civil du Québec</w:t>
      </w:r>
      <w:r w:rsidRPr="00103606">
        <w:rPr>
          <w:rFonts w:cs="Arial"/>
          <w:szCs w:val="24"/>
        </w:rPr>
        <w:t xml:space="preserve"> est modifié par l’insertion, après l’article 2858, de l’article suivant :</w:t>
      </w:r>
    </w:p>
    <w:p w14:paraId="1ED3ECF0" w14:textId="77777777" w:rsidR="00F71784" w:rsidRPr="00103606" w:rsidRDefault="00E21D39" w:rsidP="00F4232B">
      <w:pPr>
        <w:pStyle w:val="Paragrdouble"/>
        <w:numPr>
          <w:ilvl w:val="0"/>
          <w:numId w:val="0"/>
        </w:numPr>
        <w:spacing w:line="240" w:lineRule="auto"/>
        <w:ind w:left="731" w:right="857" w:hanging="164"/>
        <w:rPr>
          <w:rFonts w:cs="Arial"/>
          <w:sz w:val="22"/>
          <w:szCs w:val="22"/>
        </w:rPr>
      </w:pPr>
      <w:r w:rsidRPr="00103606">
        <w:rPr>
          <w:rFonts w:cs="Arial"/>
          <w:sz w:val="22"/>
          <w:szCs w:val="22"/>
        </w:rPr>
        <w:t>«</w:t>
      </w:r>
      <w:r w:rsidR="00DD4566">
        <w:rPr>
          <w:rFonts w:cs="Arial"/>
          <w:sz w:val="22"/>
          <w:szCs w:val="22"/>
        </w:rPr>
        <w:t> </w:t>
      </w:r>
      <w:r w:rsidRPr="00103606">
        <w:rPr>
          <w:rFonts w:cs="Arial"/>
          <w:sz w:val="22"/>
          <w:szCs w:val="22"/>
        </w:rPr>
        <w:t>2858.1. Lorsqu’une affaire comporte des allégations de violence sexuelle ou de violence conjugale, sont présumés non pertinents:</w:t>
      </w:r>
    </w:p>
    <w:p w14:paraId="43356D1B" w14:textId="77777777" w:rsidR="00F71784" w:rsidRPr="00103606" w:rsidRDefault="00E21D39" w:rsidP="00573001">
      <w:pPr>
        <w:pStyle w:val="Paragrdouble"/>
        <w:numPr>
          <w:ilvl w:val="0"/>
          <w:numId w:val="0"/>
        </w:numPr>
        <w:tabs>
          <w:tab w:val="left" w:pos="993"/>
          <w:tab w:val="left" w:pos="1276"/>
        </w:tabs>
        <w:spacing w:line="240" w:lineRule="auto"/>
        <w:ind w:left="709" w:right="857"/>
        <w:rPr>
          <w:rFonts w:cs="Arial"/>
          <w:sz w:val="22"/>
          <w:szCs w:val="22"/>
        </w:rPr>
      </w:pPr>
      <w:r w:rsidRPr="00103606">
        <w:rPr>
          <w:rFonts w:cs="Arial"/>
          <w:sz w:val="22"/>
          <w:szCs w:val="22"/>
        </w:rPr>
        <w:t xml:space="preserve">1° </w:t>
      </w:r>
      <w:r w:rsidR="00DB4644">
        <w:rPr>
          <w:rFonts w:cs="Arial"/>
          <w:sz w:val="22"/>
          <w:szCs w:val="22"/>
        </w:rPr>
        <w:tab/>
      </w:r>
      <w:r w:rsidRPr="00103606">
        <w:rPr>
          <w:rFonts w:cs="Arial"/>
          <w:sz w:val="22"/>
          <w:szCs w:val="22"/>
        </w:rPr>
        <w:t>tout fait relatif à la réputation de la personne prétendue victime de la violence;</w:t>
      </w:r>
    </w:p>
    <w:p w14:paraId="73A78E4E" w14:textId="77777777" w:rsidR="00F71784" w:rsidRPr="00103606" w:rsidRDefault="00E21D39" w:rsidP="00573001">
      <w:pPr>
        <w:pStyle w:val="Paragrdouble"/>
        <w:numPr>
          <w:ilvl w:val="0"/>
          <w:numId w:val="0"/>
        </w:numPr>
        <w:tabs>
          <w:tab w:val="left" w:pos="993"/>
          <w:tab w:val="left" w:pos="1276"/>
        </w:tabs>
        <w:spacing w:line="240" w:lineRule="auto"/>
        <w:ind w:left="709" w:right="857"/>
        <w:rPr>
          <w:rFonts w:cs="Arial"/>
          <w:sz w:val="22"/>
          <w:szCs w:val="22"/>
        </w:rPr>
      </w:pPr>
      <w:r w:rsidRPr="00103606">
        <w:rPr>
          <w:rFonts w:cs="Arial"/>
          <w:sz w:val="22"/>
          <w:szCs w:val="22"/>
        </w:rPr>
        <w:t>2° tout fait relié au comportement sexuel de cette personne, autre qu’un fait de l’instance, et qui est invoqué pour attaquer sa crédibilité;</w:t>
      </w:r>
    </w:p>
    <w:p w14:paraId="7E0B3CF2" w14:textId="77777777" w:rsidR="00F71784" w:rsidRPr="00103606" w:rsidRDefault="00E21D39" w:rsidP="00573001">
      <w:pPr>
        <w:pStyle w:val="Paragrdouble"/>
        <w:numPr>
          <w:ilvl w:val="0"/>
          <w:numId w:val="0"/>
        </w:numPr>
        <w:tabs>
          <w:tab w:val="left" w:pos="993"/>
          <w:tab w:val="left" w:pos="1276"/>
        </w:tabs>
        <w:spacing w:line="240" w:lineRule="auto"/>
        <w:ind w:left="709" w:right="857"/>
        <w:rPr>
          <w:rFonts w:cs="Arial"/>
          <w:sz w:val="22"/>
          <w:szCs w:val="22"/>
        </w:rPr>
      </w:pPr>
      <w:r w:rsidRPr="00103606">
        <w:rPr>
          <w:rFonts w:cs="Arial"/>
          <w:sz w:val="22"/>
          <w:szCs w:val="22"/>
        </w:rPr>
        <w:t>3° le fait que cette personne n’ait pas demandé que le comportement cesse;</w:t>
      </w:r>
    </w:p>
    <w:p w14:paraId="102DFE70" w14:textId="77777777" w:rsidR="00F71784" w:rsidRPr="00103606" w:rsidRDefault="00E21D39" w:rsidP="00573001">
      <w:pPr>
        <w:pStyle w:val="Paragrdouble"/>
        <w:numPr>
          <w:ilvl w:val="0"/>
          <w:numId w:val="0"/>
        </w:numPr>
        <w:tabs>
          <w:tab w:val="left" w:pos="851"/>
          <w:tab w:val="left" w:pos="1134"/>
        </w:tabs>
        <w:spacing w:line="240" w:lineRule="auto"/>
        <w:ind w:left="709" w:right="857"/>
        <w:rPr>
          <w:rFonts w:cs="Arial"/>
          <w:sz w:val="22"/>
          <w:szCs w:val="22"/>
        </w:rPr>
      </w:pPr>
      <w:r w:rsidRPr="00103606">
        <w:rPr>
          <w:rFonts w:cs="Arial"/>
          <w:sz w:val="22"/>
          <w:szCs w:val="22"/>
        </w:rPr>
        <w:t>4°</w:t>
      </w:r>
      <w:r w:rsidR="009859A6" w:rsidRPr="009859A6">
        <w:rPr>
          <w:rFonts w:cs="Arial"/>
          <w:sz w:val="22"/>
          <w:szCs w:val="22"/>
        </w:rPr>
        <w:t xml:space="preserve"> </w:t>
      </w:r>
      <w:r w:rsidRPr="00103606">
        <w:rPr>
          <w:rFonts w:cs="Arial"/>
          <w:sz w:val="22"/>
          <w:szCs w:val="22"/>
        </w:rPr>
        <w:t>le fait que cette personne n’ait pas porté plainte ni exercé un recours relativement à cette violence;</w:t>
      </w:r>
    </w:p>
    <w:p w14:paraId="4F86BF2A" w14:textId="77777777" w:rsidR="00F71784" w:rsidRPr="00103606" w:rsidRDefault="00E21D39" w:rsidP="00672075">
      <w:pPr>
        <w:pStyle w:val="Paragrdouble"/>
        <w:numPr>
          <w:ilvl w:val="0"/>
          <w:numId w:val="0"/>
        </w:numPr>
        <w:spacing w:line="240" w:lineRule="auto"/>
        <w:ind w:left="731" w:right="857"/>
        <w:rPr>
          <w:rFonts w:cs="Arial"/>
          <w:sz w:val="22"/>
          <w:szCs w:val="22"/>
        </w:rPr>
      </w:pPr>
      <w:r w:rsidRPr="00103606">
        <w:rPr>
          <w:rFonts w:cs="Arial"/>
          <w:sz w:val="22"/>
          <w:szCs w:val="22"/>
        </w:rPr>
        <w:t>5° tout fait en lien avec le délai à dénoncer la violence alléguée;</w:t>
      </w:r>
    </w:p>
    <w:p w14:paraId="7F609C19" w14:textId="77777777" w:rsidR="00F71784" w:rsidRPr="00103606" w:rsidRDefault="00E21D39" w:rsidP="00672075">
      <w:pPr>
        <w:pStyle w:val="Paragrdouble"/>
        <w:numPr>
          <w:ilvl w:val="0"/>
          <w:numId w:val="0"/>
        </w:numPr>
        <w:spacing w:line="240" w:lineRule="auto"/>
        <w:ind w:left="731" w:right="857"/>
        <w:rPr>
          <w:rFonts w:cs="Arial"/>
          <w:sz w:val="22"/>
          <w:szCs w:val="22"/>
        </w:rPr>
      </w:pPr>
      <w:r w:rsidRPr="00103606">
        <w:rPr>
          <w:rFonts w:cs="Arial"/>
          <w:sz w:val="22"/>
          <w:szCs w:val="22"/>
        </w:rPr>
        <w:t>6° le fait que cette personne soit demeurée en relation avec l’auteur allégué de cette violence.</w:t>
      </w:r>
    </w:p>
    <w:p w14:paraId="3851763A" w14:textId="77777777" w:rsidR="00F71784" w:rsidRPr="00103606" w:rsidRDefault="00E21D39" w:rsidP="00672075">
      <w:pPr>
        <w:pStyle w:val="Paragrdouble"/>
        <w:numPr>
          <w:ilvl w:val="0"/>
          <w:numId w:val="0"/>
        </w:numPr>
        <w:spacing w:line="240" w:lineRule="auto"/>
        <w:ind w:left="731" w:right="857"/>
        <w:rPr>
          <w:rFonts w:cs="Arial"/>
          <w:sz w:val="22"/>
          <w:szCs w:val="22"/>
        </w:rPr>
      </w:pPr>
      <w:r w:rsidRPr="00103606">
        <w:rPr>
          <w:rFonts w:cs="Arial"/>
          <w:sz w:val="22"/>
          <w:szCs w:val="22"/>
        </w:rPr>
        <w:t xml:space="preserve">Tout débat relatif à la recevabilité en preuve d’un tel fait constitue une question de droit et se tient à huis clos, malgré l’article 23 de la </w:t>
      </w:r>
      <w:r w:rsidRPr="00573001">
        <w:rPr>
          <w:rFonts w:cs="Arial"/>
          <w:i/>
          <w:iCs/>
          <w:sz w:val="22"/>
          <w:szCs w:val="22"/>
        </w:rPr>
        <w:t>Charte des droits et libertés de la personne</w:t>
      </w:r>
      <w:r w:rsidRPr="00103606">
        <w:rPr>
          <w:rFonts w:cs="Arial"/>
          <w:sz w:val="22"/>
          <w:szCs w:val="22"/>
        </w:rPr>
        <w:t xml:space="preserve"> (chapitre C-12</w:t>
      </w:r>
      <w:r w:rsidR="00DD4566" w:rsidRPr="00103606">
        <w:rPr>
          <w:rFonts w:cs="Arial"/>
          <w:sz w:val="22"/>
          <w:szCs w:val="22"/>
        </w:rPr>
        <w:t>).</w:t>
      </w:r>
      <w:r w:rsidR="00DD4566">
        <w:rPr>
          <w:rFonts w:cs="Arial"/>
          <w:sz w:val="22"/>
          <w:szCs w:val="22"/>
        </w:rPr>
        <w:t> </w:t>
      </w:r>
      <w:r w:rsidRPr="00103606">
        <w:rPr>
          <w:rFonts w:cs="Arial"/>
          <w:sz w:val="22"/>
          <w:szCs w:val="22"/>
        </w:rPr>
        <w:t>»</w:t>
      </w:r>
    </w:p>
    <w:p w14:paraId="28314E63" w14:textId="77777777" w:rsidR="00F71784" w:rsidRPr="00103606" w:rsidRDefault="00E21D39" w:rsidP="00327CE3">
      <w:pPr>
        <w:pStyle w:val="Paragrdouble"/>
        <w:spacing w:line="276" w:lineRule="auto"/>
        <w:rPr>
          <w:rFonts w:cs="Arial"/>
        </w:rPr>
      </w:pPr>
      <w:r w:rsidRPr="00103606">
        <w:rPr>
          <w:rFonts w:cs="Arial"/>
        </w:rPr>
        <w:t>Ainsi, il n’y a plus lieu de considérer quelque mythe ou stéréotype dans les dossiers civils de violences sexuelles au Québec.</w:t>
      </w:r>
    </w:p>
    <w:p w14:paraId="0698F21A" w14:textId="77777777" w:rsidR="00327CE3" w:rsidRPr="00103606" w:rsidRDefault="00E21D39" w:rsidP="00327CE3">
      <w:pPr>
        <w:pStyle w:val="Paragrdouble"/>
        <w:spacing w:line="276" w:lineRule="auto"/>
        <w:rPr>
          <w:rFonts w:cs="Arial"/>
        </w:rPr>
      </w:pPr>
      <w:r w:rsidRPr="00103606">
        <w:rPr>
          <w:rFonts w:cs="Arial"/>
        </w:rPr>
        <w:t xml:space="preserve">Les allégations de S.N. révèlent les préjudices psychologiques significatifs et irréparables qu’elle a subis. </w:t>
      </w:r>
      <w:r w:rsidRPr="00103606">
        <w:rPr>
          <w:rFonts w:cs="Arial"/>
          <w:lang w:val="en-US"/>
        </w:rPr>
        <w:t xml:space="preserve">Elle prétend que suite aux agissements fautifs de Miller, </w:t>
      </w:r>
      <w:r w:rsidR="00163867">
        <w:rPr>
          <w:rFonts w:cs="Arial"/>
          <w:lang w:val="en-US"/>
        </w:rPr>
        <w:br/>
      </w:r>
      <w:r w:rsidRPr="00103606">
        <w:rPr>
          <w:rFonts w:cs="Arial"/>
          <w:lang w:val="en-US"/>
        </w:rPr>
        <w:t xml:space="preserve">elle </w:t>
      </w:r>
      <w:r w:rsidR="00AF7978">
        <w:rPr>
          <w:rFonts w:cs="Arial"/>
          <w:lang w:val="en-US"/>
        </w:rPr>
        <w:t xml:space="preserve">a </w:t>
      </w:r>
      <w:r w:rsidR="000E79B2">
        <w:rPr>
          <w:rFonts w:cs="Arial"/>
          <w:lang w:val="en-US"/>
        </w:rPr>
        <w:t>“</w:t>
      </w:r>
      <w:r w:rsidRPr="00103606">
        <w:rPr>
          <w:rFonts w:cs="Arial"/>
          <w:lang w:val="en-US"/>
        </w:rPr>
        <w:t>feel bad about herself and self-worth, shameful, anxiety, guilty, she was depressed, she self-medicated with drugs and alco</w:t>
      </w:r>
      <w:r w:rsidR="00AA68FD">
        <w:rPr>
          <w:rFonts w:cs="Arial"/>
          <w:lang w:val="en-US"/>
        </w:rPr>
        <w:t>h</w:t>
      </w:r>
      <w:r w:rsidRPr="00103606">
        <w:rPr>
          <w:rFonts w:cs="Arial"/>
          <w:lang w:val="en-US"/>
        </w:rPr>
        <w:t>ol (substance abuse), and she suffers from post-traumatic stress – though she had never been able to make the connection between these paid sexual encounters and her negative feelings toward herself.</w:t>
      </w:r>
      <w:r>
        <w:rPr>
          <w:rStyle w:val="Appelnotedebasdep"/>
          <w:rFonts w:cs="Arial"/>
          <w:lang w:val="en-US"/>
        </w:rPr>
        <w:footnoteReference w:id="65"/>
      </w:r>
      <w:r w:rsidRPr="00103606">
        <w:rPr>
          <w:rFonts w:cs="Arial"/>
          <w:lang w:val="en-US"/>
        </w:rPr>
        <w:t xml:space="preserve">” </w:t>
      </w:r>
      <w:r w:rsidRPr="00103606">
        <w:rPr>
          <w:rFonts w:cs="Arial"/>
        </w:rPr>
        <w:t>Elle réclame le paiement de 1 million</w:t>
      </w:r>
      <w:r w:rsidR="00F71784" w:rsidRPr="00103606">
        <w:rPr>
          <w:rFonts w:cs="Arial"/>
        </w:rPr>
        <w:t xml:space="preserve"> de dollars</w:t>
      </w:r>
      <w:r w:rsidRPr="00103606">
        <w:rPr>
          <w:rFonts w:cs="Arial"/>
        </w:rPr>
        <w:t xml:space="preserve"> pour dommages psychologiques et </w:t>
      </w:r>
      <w:r w:rsidR="000715A7">
        <w:rPr>
          <w:rFonts w:cs="Arial"/>
        </w:rPr>
        <w:br/>
      </w:r>
      <w:r w:rsidRPr="00103606">
        <w:rPr>
          <w:rFonts w:cs="Arial"/>
        </w:rPr>
        <w:t>1</w:t>
      </w:r>
      <w:r w:rsidR="00DD4566">
        <w:rPr>
          <w:rFonts w:cs="Arial"/>
        </w:rPr>
        <w:t>,</w:t>
      </w:r>
      <w:r w:rsidRPr="00103606">
        <w:rPr>
          <w:rFonts w:cs="Arial"/>
        </w:rPr>
        <w:t>5</w:t>
      </w:r>
      <w:r w:rsidR="000715A7">
        <w:rPr>
          <w:rFonts w:cs="Arial"/>
        </w:rPr>
        <w:t> </w:t>
      </w:r>
      <w:r w:rsidRPr="00103606">
        <w:rPr>
          <w:rFonts w:cs="Arial"/>
        </w:rPr>
        <w:t>million</w:t>
      </w:r>
      <w:r w:rsidR="00F71784" w:rsidRPr="00103606">
        <w:rPr>
          <w:rFonts w:cs="Arial"/>
        </w:rPr>
        <w:t xml:space="preserve"> de dollars</w:t>
      </w:r>
      <w:r w:rsidRPr="00103606">
        <w:rPr>
          <w:rFonts w:cs="Arial"/>
        </w:rPr>
        <w:t xml:space="preserve"> en dommages punitifs. Cette allégation</w:t>
      </w:r>
      <w:r w:rsidR="007855EC">
        <w:rPr>
          <w:rFonts w:cs="Arial"/>
        </w:rPr>
        <w:t xml:space="preserve"> claire</w:t>
      </w:r>
      <w:r w:rsidRPr="00103606">
        <w:rPr>
          <w:rFonts w:cs="Arial"/>
        </w:rPr>
        <w:t xml:space="preserve"> suffit </w:t>
      </w:r>
      <w:r w:rsidRPr="00103606">
        <w:rPr>
          <w:rFonts w:cs="Arial"/>
          <w:i/>
          <w:iCs/>
        </w:rPr>
        <w:t>prima facie</w:t>
      </w:r>
      <w:r w:rsidRPr="00103606">
        <w:rPr>
          <w:rFonts w:cs="Arial"/>
        </w:rPr>
        <w:t xml:space="preserve"> pour soutenir une cause défendable à l’égard de Miller.</w:t>
      </w:r>
    </w:p>
    <w:p w14:paraId="348C8386" w14:textId="77777777" w:rsidR="00327CE3" w:rsidRPr="00103606" w:rsidRDefault="00E21D39" w:rsidP="00327CE3">
      <w:pPr>
        <w:pStyle w:val="Paragrdouble"/>
        <w:spacing w:line="276" w:lineRule="auto"/>
        <w:rPr>
          <w:rFonts w:cs="Arial"/>
        </w:rPr>
      </w:pPr>
      <w:r w:rsidRPr="00103606">
        <w:rPr>
          <w:rFonts w:cs="Arial"/>
        </w:rPr>
        <w:t>Pour ce qui est de B.N., qui a commencé à avoir des relations sexuelles avec Miller alors qu’elle n’avait que 11 ans, elle soutient avoir subi des dommages psychologiques importants découlant de ces épisodes, de l’ordre de cauchemars et d’insomnie, de problèmes d’estime de soi et d’agressivités, de culpabilité, et de dépendance aux drogues</w:t>
      </w:r>
      <w:r>
        <w:rPr>
          <w:rStyle w:val="Appelnotedebasdep"/>
          <w:rFonts w:cs="Arial"/>
        </w:rPr>
        <w:footnoteReference w:id="66"/>
      </w:r>
      <w:r w:rsidRPr="00103606">
        <w:rPr>
          <w:rFonts w:cs="Arial"/>
        </w:rPr>
        <w:t>. Un rapport d’expert produit principalement pour témoigner de l’incapacité d’agir de B.N. indique que la victime a eu peur et a senti une très grande culpabilité par suite des années passées à fréquenter Miller</w:t>
      </w:r>
      <w:r>
        <w:rPr>
          <w:rStyle w:val="Appelnotedebasdep"/>
          <w:rFonts w:cs="Arial"/>
        </w:rPr>
        <w:footnoteReference w:id="67"/>
      </w:r>
      <w:r w:rsidRPr="00103606">
        <w:rPr>
          <w:rFonts w:cs="Arial"/>
        </w:rPr>
        <w:t xml:space="preserve">. Elle avait honte et gardait le secret, de peur d’être perçue comme une « dévergondée ». Elle réclame 5 millions </w:t>
      </w:r>
      <w:r w:rsidR="00F71784" w:rsidRPr="00103606">
        <w:rPr>
          <w:rFonts w:cs="Arial"/>
        </w:rPr>
        <w:t xml:space="preserve">de dollars </w:t>
      </w:r>
      <w:r w:rsidRPr="00103606">
        <w:rPr>
          <w:rFonts w:cs="Arial"/>
        </w:rPr>
        <w:t xml:space="preserve">en dommages psychologiques et </w:t>
      </w:r>
      <w:r w:rsidR="00631C60">
        <w:rPr>
          <w:rFonts w:cs="Arial"/>
        </w:rPr>
        <w:t>1,5 million</w:t>
      </w:r>
      <w:r w:rsidRPr="00103606">
        <w:rPr>
          <w:rFonts w:cs="Arial"/>
        </w:rPr>
        <w:t xml:space="preserve"> </w:t>
      </w:r>
      <w:r w:rsidR="00F71784" w:rsidRPr="00103606">
        <w:rPr>
          <w:rFonts w:cs="Arial"/>
        </w:rPr>
        <w:t xml:space="preserve">de dollars </w:t>
      </w:r>
      <w:r w:rsidRPr="00103606">
        <w:rPr>
          <w:rFonts w:cs="Arial"/>
        </w:rPr>
        <w:t xml:space="preserve">en dommages punitifs. Ces allégations suffisent, </w:t>
      </w:r>
      <w:r w:rsidRPr="00103606">
        <w:rPr>
          <w:rFonts w:cs="Arial"/>
          <w:i/>
          <w:iCs/>
        </w:rPr>
        <w:t>prima facie</w:t>
      </w:r>
      <w:r w:rsidRPr="00103606">
        <w:rPr>
          <w:rFonts w:cs="Arial"/>
        </w:rPr>
        <w:t>, pour appuyer le lien de causalité et les dommages subis par B.N. par suite des agissements des défendeurs, en outre considérant son très jeune âge lorsque les faits se sont déroulés</w:t>
      </w:r>
      <w:r>
        <w:rPr>
          <w:rStyle w:val="Appelnotedebasdep"/>
          <w:rFonts w:cs="Arial"/>
        </w:rPr>
        <w:footnoteReference w:id="68"/>
      </w:r>
      <w:r w:rsidRPr="00103606">
        <w:rPr>
          <w:rFonts w:cs="Arial"/>
        </w:rPr>
        <w:t>. Ces allégués soutiennent la cause défendable de B.N. envers Miller.</w:t>
      </w:r>
    </w:p>
    <w:p w14:paraId="0D9E6860" w14:textId="77777777" w:rsidR="00FF1735" w:rsidRDefault="00E21D39" w:rsidP="00327CE3">
      <w:pPr>
        <w:pStyle w:val="Paragrdouble"/>
        <w:spacing w:line="276" w:lineRule="auto"/>
        <w:rPr>
          <w:rFonts w:cs="Arial"/>
        </w:rPr>
      </w:pPr>
      <w:r w:rsidRPr="00103606">
        <w:rPr>
          <w:rFonts w:cs="Arial"/>
        </w:rPr>
        <w:t xml:space="preserve">Enfin, V.R. allègue qu’elle a subi des impacts psychologiques négatifs sérieux découlant du schème organisé par Miller et de ses agissements fautifs. Sa mère l’a expulsée de la maison, son frère a arrêté de lui parler, son copain a rompu avec elle en l’interpellant de noms offensants. Son attitude face à l’argent fut également irrémédiablement faussée. Elle commença à se médicamenter par le biais de drogues. </w:t>
      </w:r>
      <w:r w:rsidR="00243FDD">
        <w:rPr>
          <w:rFonts w:cs="Arial"/>
        </w:rPr>
        <w:t>Ayant</w:t>
      </w:r>
      <w:r w:rsidRPr="00103606">
        <w:rPr>
          <w:rFonts w:cs="Arial"/>
        </w:rPr>
        <w:t xml:space="preserve"> une piètre opinion d’elle-même et de sa valeur, </w:t>
      </w:r>
      <w:r w:rsidR="00243FDD">
        <w:rPr>
          <w:rFonts w:cs="Arial"/>
        </w:rPr>
        <w:t>elle perdit</w:t>
      </w:r>
      <w:r w:rsidRPr="00103606">
        <w:rPr>
          <w:rFonts w:cs="Arial"/>
        </w:rPr>
        <w:t xml:space="preserve"> confiance en elle, et ses relations intimes</w:t>
      </w:r>
      <w:r w:rsidR="00243FDD">
        <w:rPr>
          <w:rFonts w:cs="Arial"/>
        </w:rPr>
        <w:t xml:space="preserve"> en furent affectées</w:t>
      </w:r>
      <w:r w:rsidRPr="00103606">
        <w:rPr>
          <w:rFonts w:cs="Arial"/>
        </w:rPr>
        <w:t xml:space="preserve">. Elle se sentit sale, honteuse et dépressive. Elle dut consulter un psychologue durant de nombreuses années. Elle ne réussit à graduer de l’école qu’à 29 ans, plusieurs années plus tard. </w:t>
      </w:r>
    </w:p>
    <w:p w14:paraId="1116E34D" w14:textId="77777777" w:rsidR="00327CE3" w:rsidRPr="00103606" w:rsidRDefault="00E21D39" w:rsidP="00327CE3">
      <w:pPr>
        <w:pStyle w:val="Paragrdouble"/>
        <w:spacing w:line="276" w:lineRule="auto"/>
        <w:rPr>
          <w:rFonts w:cs="Arial"/>
        </w:rPr>
      </w:pPr>
      <w:r>
        <w:rPr>
          <w:rFonts w:cs="Arial"/>
        </w:rPr>
        <w:t xml:space="preserve">V.R. </w:t>
      </w:r>
      <w:r w:rsidRPr="00103606">
        <w:rPr>
          <w:rFonts w:cs="Arial"/>
        </w:rPr>
        <w:t xml:space="preserve">réclame 2 millions </w:t>
      </w:r>
      <w:r w:rsidR="003C5D76" w:rsidRPr="00103606">
        <w:rPr>
          <w:rFonts w:cs="Arial"/>
        </w:rPr>
        <w:t xml:space="preserve">de dollars </w:t>
      </w:r>
      <w:r w:rsidRPr="00103606">
        <w:rPr>
          <w:rFonts w:cs="Arial"/>
        </w:rPr>
        <w:t xml:space="preserve">en dommages psychologiques et </w:t>
      </w:r>
      <w:r w:rsidR="00631C60">
        <w:rPr>
          <w:rFonts w:cs="Arial"/>
        </w:rPr>
        <w:t>1,5 million</w:t>
      </w:r>
      <w:r w:rsidRPr="00103606">
        <w:rPr>
          <w:rFonts w:cs="Arial"/>
        </w:rPr>
        <w:t xml:space="preserve"> </w:t>
      </w:r>
      <w:r w:rsidR="003C5D76" w:rsidRPr="00103606">
        <w:rPr>
          <w:rFonts w:cs="Arial"/>
        </w:rPr>
        <w:t xml:space="preserve">de dollars </w:t>
      </w:r>
      <w:r w:rsidRPr="00103606">
        <w:rPr>
          <w:rFonts w:cs="Arial"/>
        </w:rPr>
        <w:t xml:space="preserve">en dommages punitifs. Ces allégations suffisent, </w:t>
      </w:r>
      <w:r w:rsidRPr="00103606">
        <w:rPr>
          <w:rFonts w:cs="Arial"/>
          <w:i/>
          <w:iCs/>
        </w:rPr>
        <w:t>prima facie</w:t>
      </w:r>
      <w:r w:rsidRPr="00103606">
        <w:rPr>
          <w:rFonts w:cs="Arial"/>
        </w:rPr>
        <w:t>, pour appuyer le lien de causalité et les dommages subis par V.R. par suite des agissements de Miller.</w:t>
      </w:r>
    </w:p>
    <w:p w14:paraId="361AABD5" w14:textId="77777777" w:rsidR="001C183D" w:rsidRPr="009202E2" w:rsidRDefault="00E21D39" w:rsidP="008573E6">
      <w:pPr>
        <w:pStyle w:val="Paragrdouble"/>
        <w:spacing w:line="276" w:lineRule="auto"/>
        <w:rPr>
          <w:rFonts w:cs="Arial"/>
        </w:rPr>
      </w:pPr>
      <w:r w:rsidRPr="00103606">
        <w:rPr>
          <w:rFonts w:cs="Arial"/>
        </w:rPr>
        <w:t>Les codemanderesses ont donc démontré l’existence d’une possible cause défendable envers Miller.</w:t>
      </w:r>
    </w:p>
    <w:p w14:paraId="383EE053" w14:textId="77777777" w:rsidR="00020BEB" w:rsidRPr="00103606" w:rsidRDefault="00E21D39" w:rsidP="009F319B">
      <w:pPr>
        <w:pStyle w:val="Titre4"/>
        <w:numPr>
          <w:ilvl w:val="1"/>
          <w:numId w:val="21"/>
        </w:numPr>
        <w:ind w:left="1276"/>
        <w:rPr>
          <w:rFonts w:cs="Arial"/>
        </w:rPr>
      </w:pPr>
      <w:bookmarkStart w:id="40" w:name="_Toc256000014"/>
      <w:bookmarkStart w:id="41" w:name="_Toc187475773"/>
      <w:r w:rsidRPr="00103606">
        <w:rPr>
          <w:rFonts w:cs="Arial"/>
        </w:rPr>
        <w:t xml:space="preserve">L’existence d’une </w:t>
      </w:r>
      <w:r w:rsidR="00327CE3" w:rsidRPr="00103606">
        <w:rPr>
          <w:rFonts w:cs="Arial"/>
        </w:rPr>
        <w:t>cause défendable</w:t>
      </w:r>
      <w:r w:rsidR="006436A0" w:rsidRPr="00103606">
        <w:rPr>
          <w:rFonts w:cs="Arial"/>
        </w:rPr>
        <w:t xml:space="preserve"> </w:t>
      </w:r>
      <w:r w:rsidR="00327CE3" w:rsidRPr="00103606">
        <w:rPr>
          <w:rFonts w:cs="Arial"/>
        </w:rPr>
        <w:t>envers</w:t>
      </w:r>
      <w:r w:rsidR="006436A0" w:rsidRPr="00103606">
        <w:rPr>
          <w:rFonts w:cs="Arial"/>
        </w:rPr>
        <w:t xml:space="preserve"> </w:t>
      </w:r>
      <w:r w:rsidRPr="00103606">
        <w:rPr>
          <w:rFonts w:cs="Arial"/>
        </w:rPr>
        <w:t>Abrams</w:t>
      </w:r>
      <w:bookmarkEnd w:id="40"/>
      <w:bookmarkEnd w:id="41"/>
    </w:p>
    <w:p w14:paraId="5F3090BD" w14:textId="77777777" w:rsidR="00A55661" w:rsidRPr="00103606" w:rsidRDefault="00E21D39" w:rsidP="0049545F">
      <w:pPr>
        <w:pStyle w:val="Paragrdouble"/>
        <w:spacing w:line="276" w:lineRule="auto"/>
        <w:rPr>
          <w:rFonts w:cs="Arial"/>
        </w:rPr>
      </w:pPr>
      <w:r w:rsidRPr="00103606">
        <w:rPr>
          <w:rFonts w:cs="Arial"/>
        </w:rPr>
        <w:t xml:space="preserve">Abrams est présenté par les codemanderesses comme un employé de Future qui a participé de manière tangible et réelle à l’organisation du schème de prostitution en cause. </w:t>
      </w:r>
    </w:p>
    <w:p w14:paraId="652D9287" w14:textId="6022F1F2" w:rsidR="0049545F" w:rsidRPr="00103606" w:rsidRDefault="00E21D39" w:rsidP="0049545F">
      <w:pPr>
        <w:pStyle w:val="Paragrdouble"/>
        <w:spacing w:line="276" w:lineRule="auto"/>
        <w:rPr>
          <w:rFonts w:cs="Arial"/>
        </w:rPr>
      </w:pPr>
      <w:r w:rsidRPr="00103606">
        <w:rPr>
          <w:rFonts w:cs="Arial"/>
        </w:rPr>
        <w:t xml:space="preserve">Pour ce qui est de B.N., elle prétend avoir parlé à Abrams au téléphone à </w:t>
      </w:r>
      <w:r w:rsidR="00EB5552">
        <w:rPr>
          <w:rFonts w:cs="Arial"/>
        </w:rPr>
        <w:t>cinq</w:t>
      </w:r>
      <w:r w:rsidRPr="00103606">
        <w:rPr>
          <w:rFonts w:cs="Arial"/>
        </w:rPr>
        <w:t xml:space="preserve"> ou </w:t>
      </w:r>
      <w:r w:rsidR="00EB5552">
        <w:rPr>
          <w:rFonts w:cs="Arial"/>
        </w:rPr>
        <w:t>six</w:t>
      </w:r>
      <w:r w:rsidRPr="00103606">
        <w:rPr>
          <w:rFonts w:cs="Arial"/>
        </w:rPr>
        <w:t xml:space="preserve"> reprises entre 2000 et 2008, dans l’objectif d’organiser </w:t>
      </w:r>
      <w:r w:rsidR="005F71C8">
        <w:rPr>
          <w:rFonts w:cs="Arial"/>
        </w:rPr>
        <w:t>l</w:t>
      </w:r>
      <w:r w:rsidR="00555F17">
        <w:rPr>
          <w:rFonts w:cs="Arial"/>
        </w:rPr>
        <w:t>es</w:t>
      </w:r>
      <w:r w:rsidR="005F71C8">
        <w:rPr>
          <w:rFonts w:cs="Arial"/>
        </w:rPr>
        <w:t xml:space="preserve"> </w:t>
      </w:r>
      <w:r w:rsidR="00A55CEE" w:rsidRPr="00103606">
        <w:rPr>
          <w:rFonts w:cs="Arial"/>
        </w:rPr>
        <w:t>rendez-vous</w:t>
      </w:r>
      <w:r w:rsidR="00EB4BCF">
        <w:rPr>
          <w:rFonts w:cs="Arial"/>
        </w:rPr>
        <w:t xml:space="preserve"> </w:t>
      </w:r>
      <w:r w:rsidRPr="00103606">
        <w:rPr>
          <w:rFonts w:cs="Arial"/>
        </w:rPr>
        <w:t xml:space="preserve">un ou deux jours avant sa venue aux maisons sur la rue </w:t>
      </w:r>
      <w:r>
        <w:rPr>
          <w:rFonts w:cs="Arial"/>
        </w:rPr>
        <w:t>A</w:t>
      </w:r>
      <w:r w:rsidRPr="00103606">
        <w:rPr>
          <w:rFonts w:cs="Arial"/>
        </w:rPr>
        <w:t xml:space="preserve"> pour les fins des relations sexuelles avec Miller. Abrams s’identifiait alors comme « Joseph ». </w:t>
      </w:r>
    </w:p>
    <w:p w14:paraId="205B2627" w14:textId="77777777" w:rsidR="006436A0" w:rsidRPr="00103606" w:rsidRDefault="00E21D39" w:rsidP="006436A0">
      <w:pPr>
        <w:pStyle w:val="Paragrdouble"/>
        <w:spacing w:line="276" w:lineRule="auto"/>
        <w:rPr>
          <w:rFonts w:cs="Arial"/>
        </w:rPr>
      </w:pPr>
      <w:r w:rsidRPr="00103606">
        <w:rPr>
          <w:rFonts w:cs="Arial"/>
        </w:rPr>
        <w:t>V.R., pour sa part, allègue qu’au départ elle fut introduite à Miller par une certaine S.G., pour que celle-ci soit ensuite remplacée par « Joseph ». Ce dernier s’est donc mis à l’appeler pour organiser le « rituel » de rencontres sexuelles avec Miller, et ce, trois à quatre fois par mois</w:t>
      </w:r>
      <w:r>
        <w:rPr>
          <w:rStyle w:val="Appelnotedebasdep"/>
          <w:rFonts w:cs="Arial"/>
        </w:rPr>
        <w:footnoteReference w:id="69"/>
      </w:r>
      <w:r w:rsidRPr="00103606">
        <w:rPr>
          <w:rFonts w:cs="Arial"/>
        </w:rPr>
        <w:t>. Les appels se terminèrent lorsque Joseph l’appela pour lui dire que Miller n’était plus disponible pour la voir.</w:t>
      </w:r>
    </w:p>
    <w:p w14:paraId="63D3693A" w14:textId="5E9599B2" w:rsidR="0049545F" w:rsidRPr="00103606" w:rsidRDefault="00E21D39" w:rsidP="0049545F">
      <w:pPr>
        <w:pStyle w:val="Paragrdouble"/>
        <w:spacing w:line="276" w:lineRule="auto"/>
        <w:rPr>
          <w:rFonts w:cs="Arial"/>
        </w:rPr>
      </w:pPr>
      <w:r w:rsidRPr="00103606">
        <w:rPr>
          <w:rFonts w:cs="Arial"/>
        </w:rPr>
        <w:t xml:space="preserve">Les allégués de la </w:t>
      </w:r>
      <w:r w:rsidR="00B80370">
        <w:rPr>
          <w:rFonts w:cs="Arial"/>
        </w:rPr>
        <w:t>Sixième</w:t>
      </w:r>
      <w:r w:rsidR="00B80370" w:rsidRPr="00103606">
        <w:rPr>
          <w:rFonts w:cs="Arial"/>
        </w:rPr>
        <w:t xml:space="preserve"> </w:t>
      </w:r>
      <w:r w:rsidRPr="00103606">
        <w:rPr>
          <w:rFonts w:cs="Arial"/>
        </w:rPr>
        <w:t>Demande, de même que l’éclairage fourni par 1</w:t>
      </w:r>
      <w:r w:rsidR="001C64D2" w:rsidRPr="00103606">
        <w:rPr>
          <w:rFonts w:cs="Arial"/>
        </w:rPr>
        <w:t>5</w:t>
      </w:r>
      <w:r w:rsidR="000720BF">
        <w:rPr>
          <w:rFonts w:cs="Arial"/>
        </w:rPr>
        <w:t> </w:t>
      </w:r>
      <w:r w:rsidRPr="00103606">
        <w:rPr>
          <w:rFonts w:cs="Arial"/>
        </w:rPr>
        <w:t>déclarations de victimes, pris pour avérés, mentionnant leurs contacts avec un certain « Joseph », pour les fins de recrutement, d’organisation de rendez-vous, de présence physique aux rencontres initiales des filles avec Miller, d’organisation de voyages pour les victimes notamment à New York, en Thaïlande et dans des Club</w:t>
      </w:r>
      <w:r w:rsidR="000554F4">
        <w:rPr>
          <w:rFonts w:cs="Arial"/>
        </w:rPr>
        <w:t>s</w:t>
      </w:r>
      <w:r w:rsidRPr="00103606">
        <w:rPr>
          <w:rFonts w:cs="Arial"/>
        </w:rPr>
        <w:t xml:space="preserve"> Med, de même que les épisodes des émissions </w:t>
      </w:r>
      <w:r w:rsidRPr="00103606">
        <w:rPr>
          <w:rFonts w:cs="Arial"/>
          <w:i/>
          <w:iCs/>
        </w:rPr>
        <w:t>Enquête</w:t>
      </w:r>
      <w:r w:rsidRPr="00103606">
        <w:rPr>
          <w:rFonts w:cs="Arial"/>
        </w:rPr>
        <w:t xml:space="preserve"> et CBC </w:t>
      </w:r>
      <w:r w:rsidRPr="00103606">
        <w:rPr>
          <w:rFonts w:cs="Arial"/>
          <w:i/>
          <w:iCs/>
        </w:rPr>
        <w:t>The Fifth Estate</w:t>
      </w:r>
      <w:r w:rsidRPr="00103606">
        <w:rPr>
          <w:rFonts w:cs="Arial"/>
        </w:rPr>
        <w:t xml:space="preserve"> identifiant Abrams et l</w:t>
      </w:r>
      <w:r w:rsidR="00FE3387" w:rsidRPr="00103606">
        <w:rPr>
          <w:rFonts w:cs="Arial"/>
        </w:rPr>
        <w:t>a déclaration</w:t>
      </w:r>
      <w:r w:rsidR="000C2CA7">
        <w:rPr>
          <w:rFonts w:cs="Arial"/>
        </w:rPr>
        <w:t>,</w:t>
      </w:r>
      <w:r w:rsidR="00FE3387" w:rsidRPr="00103606">
        <w:rPr>
          <w:rFonts w:cs="Arial"/>
        </w:rPr>
        <w:t xml:space="preserve"> </w:t>
      </w:r>
      <w:r w:rsidR="002F6367">
        <w:rPr>
          <w:rFonts w:cs="Arial"/>
        </w:rPr>
        <w:t>tout comme</w:t>
      </w:r>
      <w:r w:rsidR="000C2CA7" w:rsidRPr="00103606">
        <w:rPr>
          <w:rFonts w:cs="Arial"/>
        </w:rPr>
        <w:t xml:space="preserve"> </w:t>
      </w:r>
      <w:r w:rsidR="00FE3387" w:rsidRPr="00103606">
        <w:rPr>
          <w:rFonts w:cs="Arial"/>
        </w:rPr>
        <w:t>le</w:t>
      </w:r>
      <w:r w:rsidRPr="00103606">
        <w:rPr>
          <w:rFonts w:cs="Arial"/>
        </w:rPr>
        <w:t xml:space="preserve"> rapport </w:t>
      </w:r>
      <w:r w:rsidR="00FE3387" w:rsidRPr="00103606">
        <w:rPr>
          <w:rFonts w:cs="Arial"/>
        </w:rPr>
        <w:t xml:space="preserve">sous scellés </w:t>
      </w:r>
      <w:r w:rsidRPr="00103606">
        <w:rPr>
          <w:rFonts w:cs="Arial"/>
        </w:rPr>
        <w:t xml:space="preserve">de </w:t>
      </w:r>
      <w:r w:rsidR="00FE3387" w:rsidRPr="00103606">
        <w:rPr>
          <w:rFonts w:cs="Arial"/>
        </w:rPr>
        <w:t xml:space="preserve">l’enquêteur privé </w:t>
      </w:r>
      <w:r w:rsidRPr="00103606">
        <w:rPr>
          <w:rFonts w:cs="Arial"/>
        </w:rPr>
        <w:t xml:space="preserve">John Westlake </w:t>
      </w:r>
      <w:r w:rsidR="00FE3387" w:rsidRPr="00103606">
        <w:rPr>
          <w:rFonts w:cs="Arial"/>
        </w:rPr>
        <w:t xml:space="preserve">identifiant Abrams comme entrant et quittant les maisons sur la rue </w:t>
      </w:r>
      <w:r>
        <w:rPr>
          <w:rFonts w:cs="Arial"/>
        </w:rPr>
        <w:t>A</w:t>
      </w:r>
      <w:r>
        <w:rPr>
          <w:rStyle w:val="Appelnotedebasdep"/>
          <w:rFonts w:cs="Arial"/>
        </w:rPr>
        <w:footnoteReference w:id="70"/>
      </w:r>
      <w:r w:rsidR="00FE3387" w:rsidRPr="00103606">
        <w:rPr>
          <w:rFonts w:cs="Arial"/>
        </w:rPr>
        <w:t>, me permettent de tirer l’inférence logique que « Joseph » et « Sam Joseph Abrams » sont la même personne.</w:t>
      </w:r>
      <w:r w:rsidR="006436A0" w:rsidRPr="00103606">
        <w:rPr>
          <w:rFonts w:cs="Arial"/>
        </w:rPr>
        <w:t xml:space="preserve"> De plus, ces allégations soutiennent la cause d’action défendable quant à Abrams pour le compte d’un grand nombre de victimes.</w:t>
      </w:r>
    </w:p>
    <w:p w14:paraId="4078C5B7" w14:textId="77777777" w:rsidR="006436A0" w:rsidRPr="00103606" w:rsidRDefault="00E21D39" w:rsidP="0049545F">
      <w:pPr>
        <w:pStyle w:val="Paragrdouble"/>
        <w:spacing w:line="276" w:lineRule="auto"/>
        <w:rPr>
          <w:rFonts w:cs="Arial"/>
        </w:rPr>
      </w:pPr>
      <w:r w:rsidRPr="00103606">
        <w:rPr>
          <w:rFonts w:cs="Arial"/>
        </w:rPr>
        <w:t xml:space="preserve">Pour ce qui est de la nature des infractions commises par Abrams, les codemanderesses prétendent qu’il a enfreint les articles 152 et 153 du </w:t>
      </w:r>
      <w:r w:rsidR="001C1544" w:rsidRPr="00573001">
        <w:rPr>
          <w:rFonts w:cs="Arial"/>
        </w:rPr>
        <w:t>C.cr.</w:t>
      </w:r>
      <w:r w:rsidRPr="008A17B0">
        <w:rPr>
          <w:rFonts w:cs="Arial"/>
        </w:rPr>
        <w:t>,</w:t>
      </w:r>
      <w:r w:rsidRPr="00103606">
        <w:rPr>
          <w:rFonts w:cs="Arial"/>
        </w:rPr>
        <w:t xml:space="preserve"> l’ancien article 212(4) du </w:t>
      </w:r>
      <w:r w:rsidR="001C1544" w:rsidRPr="00573001">
        <w:rPr>
          <w:rFonts w:cs="Arial"/>
        </w:rPr>
        <w:t>C.cr.</w:t>
      </w:r>
      <w:r w:rsidRPr="008A17B0">
        <w:rPr>
          <w:rFonts w:cs="Arial"/>
        </w:rPr>
        <w:t>,</w:t>
      </w:r>
      <w:r w:rsidRPr="00103606">
        <w:rPr>
          <w:rFonts w:cs="Arial"/>
        </w:rPr>
        <w:t xml:space="preserve"> les paragraphes 21(1)</w:t>
      </w:r>
      <w:r w:rsidR="00FD7D58">
        <w:rPr>
          <w:rFonts w:cs="Arial"/>
        </w:rPr>
        <w:t> </w:t>
      </w:r>
      <w:r w:rsidRPr="00103606">
        <w:rPr>
          <w:rFonts w:cs="Arial"/>
        </w:rPr>
        <w:t xml:space="preserve">(b) et (c) du </w:t>
      </w:r>
      <w:r w:rsidR="001C1544" w:rsidRPr="00573001">
        <w:rPr>
          <w:rFonts w:cs="Arial"/>
        </w:rPr>
        <w:t>C.cr.</w:t>
      </w:r>
      <w:r w:rsidRPr="008A17B0">
        <w:rPr>
          <w:rFonts w:cs="Arial"/>
        </w:rPr>
        <w:t>,</w:t>
      </w:r>
      <w:r w:rsidRPr="00103606">
        <w:rPr>
          <w:rFonts w:cs="Arial"/>
        </w:rPr>
        <w:t xml:space="preserve"> et l’article 23(1) du </w:t>
      </w:r>
      <w:r w:rsidR="001C1544" w:rsidRPr="00573001">
        <w:rPr>
          <w:rFonts w:cs="Arial"/>
        </w:rPr>
        <w:t>C.cr</w:t>
      </w:r>
      <w:r w:rsidR="001C1544">
        <w:rPr>
          <w:rFonts w:cs="Arial"/>
          <w:i/>
          <w:iCs/>
        </w:rPr>
        <w:t>.</w:t>
      </w:r>
      <w:r w:rsidRPr="00103606">
        <w:rPr>
          <w:rFonts w:cs="Arial"/>
        </w:rPr>
        <w:t xml:space="preserve">. </w:t>
      </w:r>
    </w:p>
    <w:p w14:paraId="7445C9AE" w14:textId="77777777" w:rsidR="006436A0" w:rsidRPr="00103606" w:rsidRDefault="00E21D39" w:rsidP="0049545F">
      <w:pPr>
        <w:pStyle w:val="Paragrdouble"/>
        <w:spacing w:line="276" w:lineRule="auto"/>
        <w:rPr>
          <w:rFonts w:cs="Arial"/>
        </w:rPr>
      </w:pPr>
      <w:r w:rsidRPr="00103606">
        <w:rPr>
          <w:rFonts w:cs="Arial"/>
        </w:rPr>
        <w:t>Dans l’ensemble, V.R. et B.N. avancent une cause défendable en vertu de l’article 575(2) C.p.c</w:t>
      </w:r>
      <w:r w:rsidR="008E61F6">
        <w:rPr>
          <w:rFonts w:cs="Arial"/>
        </w:rPr>
        <w:t xml:space="preserve"> de</w:t>
      </w:r>
      <w:r w:rsidRPr="00103606">
        <w:rPr>
          <w:rFonts w:cs="Arial"/>
        </w:rPr>
        <w:t xml:space="preserve"> faute extracontractuelle de violence sexuelle au sens de l’article 1457 C.c.Q. </w:t>
      </w:r>
    </w:p>
    <w:p w14:paraId="34570E00" w14:textId="77777777" w:rsidR="00A55661" w:rsidRPr="00103606" w:rsidRDefault="00E21D39" w:rsidP="00E8176A">
      <w:pPr>
        <w:pStyle w:val="Paragrdouble"/>
        <w:spacing w:line="276" w:lineRule="auto"/>
        <w:rPr>
          <w:rFonts w:cs="Arial"/>
        </w:rPr>
      </w:pPr>
      <w:r w:rsidRPr="00103606">
        <w:rPr>
          <w:rFonts w:cs="Arial"/>
        </w:rPr>
        <w:t xml:space="preserve">Pour ce qui est des préjudice et lien causal invoqués par B.N. et V.R. </w:t>
      </w:r>
      <w:r w:rsidR="00246946">
        <w:rPr>
          <w:rFonts w:cs="Arial"/>
        </w:rPr>
        <w:br/>
      </w:r>
      <w:r w:rsidRPr="00103606">
        <w:rPr>
          <w:rFonts w:cs="Arial"/>
        </w:rPr>
        <w:t xml:space="preserve">quant à Abrams, je considère que les allégations de la </w:t>
      </w:r>
      <w:r w:rsidR="00B80370">
        <w:rPr>
          <w:rFonts w:cs="Arial"/>
        </w:rPr>
        <w:t>Sixième</w:t>
      </w:r>
      <w:r w:rsidR="00B80370" w:rsidRPr="00103606">
        <w:rPr>
          <w:rFonts w:cs="Arial"/>
        </w:rPr>
        <w:t xml:space="preserve"> </w:t>
      </w:r>
      <w:r w:rsidRPr="00103606">
        <w:rPr>
          <w:rFonts w:cs="Arial"/>
        </w:rPr>
        <w:t xml:space="preserve">Demande sont claires et précises et doivent être considérées comme avérées de telle sorte à appuyer la cause défendable de ces dernières envers ces défendeurs. L’agression sexuelle, en soi, constitue une faute qui cause automatiquement un préjudice sérieux, selon la Cour suprême dans </w:t>
      </w:r>
      <w:r w:rsidRPr="00103606">
        <w:rPr>
          <w:rFonts w:cs="Arial"/>
          <w:i/>
          <w:iCs/>
        </w:rPr>
        <w:t>L’Oratoire</w:t>
      </w:r>
      <w:r>
        <w:rPr>
          <w:rStyle w:val="Appelnotedebasdep"/>
          <w:rFonts w:cs="Arial"/>
          <w:i/>
          <w:iCs/>
        </w:rPr>
        <w:footnoteReference w:id="71"/>
      </w:r>
      <w:r w:rsidRPr="00103606">
        <w:rPr>
          <w:rFonts w:cs="Arial"/>
        </w:rPr>
        <w:t xml:space="preserve">. </w:t>
      </w:r>
    </w:p>
    <w:p w14:paraId="0AC0DE29" w14:textId="77777777" w:rsidR="00B926E3" w:rsidRPr="00103606" w:rsidRDefault="00E21D39" w:rsidP="00E8176A">
      <w:pPr>
        <w:pStyle w:val="Paragrdouble"/>
        <w:spacing w:line="276" w:lineRule="auto"/>
        <w:rPr>
          <w:rFonts w:cs="Arial"/>
        </w:rPr>
      </w:pPr>
      <w:r w:rsidRPr="00103606">
        <w:rPr>
          <w:rFonts w:cs="Arial"/>
        </w:rPr>
        <w:t>Ici, il est plutôt question d’une responsabilité d</w:t>
      </w:r>
      <w:r w:rsidR="008E61F6">
        <w:rPr>
          <w:rFonts w:cs="Arial"/>
        </w:rPr>
        <w:t>’</w:t>
      </w:r>
      <w:r w:rsidRPr="00103606">
        <w:rPr>
          <w:rFonts w:cs="Arial"/>
        </w:rPr>
        <w:t xml:space="preserve">Abrams en tant qu’agent du schème de prostitution juvénile. Les </w:t>
      </w:r>
      <w:r w:rsidR="002C19E5">
        <w:rPr>
          <w:rFonts w:cs="Arial"/>
        </w:rPr>
        <w:t>codemanderesses</w:t>
      </w:r>
      <w:r w:rsidR="004B2706">
        <w:rPr>
          <w:rFonts w:cs="Arial"/>
        </w:rPr>
        <w:t xml:space="preserve"> </w:t>
      </w:r>
      <w:r w:rsidRPr="00103606">
        <w:rPr>
          <w:rFonts w:cs="Arial"/>
        </w:rPr>
        <w:t>montrent une cause défendable à l’effet que la participation d’Abrams principalement dans le recrutement et la sélection de nombreuses victimes, et dans l’organisation des rencontres entre les victimes et Miller pour des fins de violence sexuelle</w:t>
      </w:r>
      <w:r w:rsidR="007855EC">
        <w:rPr>
          <w:rFonts w:cs="Arial"/>
        </w:rPr>
        <w:t xml:space="preserve">, </w:t>
      </w:r>
      <w:r w:rsidRPr="00103606">
        <w:rPr>
          <w:rFonts w:cs="Arial"/>
        </w:rPr>
        <w:t xml:space="preserve">leur </w:t>
      </w:r>
      <w:r w:rsidR="007855EC">
        <w:rPr>
          <w:rFonts w:cs="Arial"/>
        </w:rPr>
        <w:t>ont fait</w:t>
      </w:r>
      <w:r w:rsidR="007855EC" w:rsidRPr="00103606">
        <w:rPr>
          <w:rFonts w:cs="Arial"/>
        </w:rPr>
        <w:t xml:space="preserve"> </w:t>
      </w:r>
      <w:r w:rsidRPr="00103606">
        <w:rPr>
          <w:rFonts w:cs="Arial"/>
        </w:rPr>
        <w:t xml:space="preserve">subir un préjudice sérieux. </w:t>
      </w:r>
    </w:p>
    <w:p w14:paraId="24177B4D" w14:textId="77777777" w:rsidR="00E8176A" w:rsidRPr="00103606" w:rsidRDefault="00E21D39" w:rsidP="00B926E3">
      <w:pPr>
        <w:pStyle w:val="Paragrdouble"/>
        <w:spacing w:line="276" w:lineRule="auto"/>
        <w:rPr>
          <w:rFonts w:cs="Arial"/>
        </w:rPr>
      </w:pPr>
      <w:r w:rsidRPr="00103606">
        <w:rPr>
          <w:rFonts w:cs="Arial"/>
        </w:rPr>
        <w:t>Les allégations des codemanderesses quant à Abrams sont suffisamment claires et précises et permettent de conclure à l’existence d’une cause défendable à son égard.</w:t>
      </w:r>
    </w:p>
    <w:p w14:paraId="33E1F97D" w14:textId="77777777" w:rsidR="00FE3387" w:rsidRPr="00103606" w:rsidRDefault="00E21D39" w:rsidP="009F319B">
      <w:pPr>
        <w:pStyle w:val="Titre4"/>
        <w:numPr>
          <w:ilvl w:val="1"/>
          <w:numId w:val="21"/>
        </w:numPr>
        <w:ind w:left="1134"/>
        <w:rPr>
          <w:rFonts w:cs="Arial"/>
        </w:rPr>
      </w:pPr>
      <w:bookmarkStart w:id="42" w:name="_Toc256000015"/>
      <w:bookmarkStart w:id="43" w:name="_Toc187475774"/>
      <w:r w:rsidRPr="00103606">
        <w:rPr>
          <w:rFonts w:cs="Arial"/>
        </w:rPr>
        <w:t xml:space="preserve">L’existence d’une </w:t>
      </w:r>
      <w:r w:rsidR="00327CE3" w:rsidRPr="00103606">
        <w:rPr>
          <w:rFonts w:cs="Arial"/>
        </w:rPr>
        <w:t>cause défendable envers</w:t>
      </w:r>
      <w:r w:rsidRPr="00103606">
        <w:rPr>
          <w:rFonts w:cs="Arial"/>
        </w:rPr>
        <w:t xml:space="preserve"> Poulet</w:t>
      </w:r>
      <w:bookmarkEnd w:id="42"/>
      <w:bookmarkEnd w:id="43"/>
    </w:p>
    <w:p w14:paraId="7F2CF2F1" w14:textId="77777777" w:rsidR="00DC6A1E" w:rsidRPr="00103606" w:rsidRDefault="00E21D39" w:rsidP="00DC6A1E">
      <w:pPr>
        <w:pStyle w:val="Paragrdouble"/>
        <w:spacing w:line="276" w:lineRule="auto"/>
        <w:rPr>
          <w:rFonts w:cs="Arial"/>
        </w:rPr>
      </w:pPr>
      <w:r w:rsidRPr="00103606">
        <w:rPr>
          <w:rFonts w:cs="Arial"/>
        </w:rPr>
        <w:t xml:space="preserve">Poulet est présenté par les codemanderesses à leur </w:t>
      </w:r>
      <w:r w:rsidR="00B80370">
        <w:rPr>
          <w:rFonts w:cs="Arial"/>
        </w:rPr>
        <w:t>Sixième</w:t>
      </w:r>
      <w:r w:rsidR="00B80370" w:rsidRPr="00103606">
        <w:rPr>
          <w:rFonts w:cs="Arial"/>
        </w:rPr>
        <w:t xml:space="preserve"> </w:t>
      </w:r>
      <w:r w:rsidRPr="00103606">
        <w:rPr>
          <w:rFonts w:cs="Arial"/>
        </w:rPr>
        <w:t>Demande comme un « middleman », soit un intermédiaire entre Miller et les victimes, ayant aidé à les recruter pour les fins du réseau de prostitution en cause. Précisons ici que les codemanderesses ne prétendent pas que Future est indirectement responsable sur une base extracontractuelle de la faute de Poulet.</w:t>
      </w:r>
    </w:p>
    <w:p w14:paraId="7A711324" w14:textId="77777777" w:rsidR="00DC6A1E" w:rsidRPr="00103606" w:rsidRDefault="00E21D39" w:rsidP="00DC6A1E">
      <w:pPr>
        <w:pStyle w:val="Paragrdouble"/>
        <w:spacing w:line="276" w:lineRule="auto"/>
        <w:rPr>
          <w:rFonts w:cs="Arial"/>
        </w:rPr>
      </w:pPr>
      <w:r w:rsidRPr="00103606">
        <w:rPr>
          <w:rFonts w:cs="Arial"/>
        </w:rPr>
        <w:t xml:space="preserve">S.N. prétend qu’elle a initialement connu Poulet lorsqu’elle a répondu à une annonce de journal </w:t>
      </w:r>
      <w:r w:rsidR="003E590B" w:rsidRPr="00103606">
        <w:rPr>
          <w:rFonts w:cs="Arial"/>
        </w:rPr>
        <w:t>sollicitant</w:t>
      </w:r>
      <w:r w:rsidRPr="00103606">
        <w:rPr>
          <w:rFonts w:cs="Arial"/>
        </w:rPr>
        <w:t xml:space="preserve"> des mannequins </w:t>
      </w:r>
      <w:r w:rsidR="003E590B" w:rsidRPr="00103606">
        <w:rPr>
          <w:rFonts w:cs="Arial"/>
        </w:rPr>
        <w:t>vers</w:t>
      </w:r>
      <w:r w:rsidRPr="00103606">
        <w:rPr>
          <w:rFonts w:cs="Arial"/>
        </w:rPr>
        <w:t xml:space="preserve"> 1996. Elle le rencontra dans une suite d’hôtel au centre-ville de Montréal. </w:t>
      </w:r>
      <w:r w:rsidR="00E5143C" w:rsidRPr="00E5143C">
        <w:rPr>
          <w:rFonts w:cs="Arial"/>
        </w:rPr>
        <w:t>Poulet</w:t>
      </w:r>
      <w:r w:rsidRPr="00103606">
        <w:rPr>
          <w:rFonts w:cs="Arial"/>
        </w:rPr>
        <w:t xml:space="preserve"> lui </w:t>
      </w:r>
      <w:r w:rsidR="00DC6F78" w:rsidRPr="00103606">
        <w:rPr>
          <w:rFonts w:cs="Arial"/>
        </w:rPr>
        <w:t xml:space="preserve">indiqua alors qu’elle avait été « choisie », lui fit signer un contrat de mannequinat et lui </w:t>
      </w:r>
      <w:r w:rsidR="008E61F6">
        <w:rPr>
          <w:rFonts w:cs="Arial"/>
        </w:rPr>
        <w:t>dit</w:t>
      </w:r>
      <w:r w:rsidR="008E61F6" w:rsidRPr="00103606">
        <w:rPr>
          <w:rFonts w:cs="Arial"/>
        </w:rPr>
        <w:t xml:space="preserve"> </w:t>
      </w:r>
      <w:r w:rsidR="00DC6F78" w:rsidRPr="00103606">
        <w:rPr>
          <w:rFonts w:cs="Arial"/>
        </w:rPr>
        <w:t xml:space="preserve">qu’il lui donnerait des nouvelles. </w:t>
      </w:r>
      <w:r w:rsidR="00B207E2">
        <w:rPr>
          <w:rFonts w:cs="Arial"/>
        </w:rPr>
        <w:br/>
      </w:r>
      <w:r w:rsidR="00DC6F78" w:rsidRPr="00103606">
        <w:rPr>
          <w:rFonts w:cs="Arial"/>
        </w:rPr>
        <w:t xml:space="preserve">Elle débuta dans les mois suivants une relation sexuelle avec Miller et fut compensée </w:t>
      </w:r>
      <w:r w:rsidR="007855EC">
        <w:rPr>
          <w:rFonts w:cs="Arial"/>
        </w:rPr>
        <w:t xml:space="preserve">financièrement </w:t>
      </w:r>
      <w:r w:rsidR="00DC6F78" w:rsidRPr="00103606">
        <w:rPr>
          <w:rFonts w:cs="Arial"/>
        </w:rPr>
        <w:t>en échange</w:t>
      </w:r>
      <w:r>
        <w:rPr>
          <w:rStyle w:val="Appelnotedebasdep"/>
          <w:rFonts w:cs="Arial"/>
        </w:rPr>
        <w:footnoteReference w:id="72"/>
      </w:r>
      <w:r w:rsidR="00DC6F78" w:rsidRPr="00103606">
        <w:rPr>
          <w:rFonts w:cs="Arial"/>
        </w:rPr>
        <w:t>.</w:t>
      </w:r>
    </w:p>
    <w:p w14:paraId="5EF83533" w14:textId="77777777" w:rsidR="00DC6F78" w:rsidRPr="00103606" w:rsidRDefault="00E21D39" w:rsidP="00DC6A1E">
      <w:pPr>
        <w:pStyle w:val="Paragrdouble"/>
        <w:spacing w:line="276" w:lineRule="auto"/>
        <w:rPr>
          <w:rFonts w:cs="Arial"/>
        </w:rPr>
      </w:pPr>
      <w:r w:rsidRPr="00103606">
        <w:rPr>
          <w:rFonts w:cs="Arial"/>
        </w:rPr>
        <w:t xml:space="preserve">B.N., pour sa part, allègue qu’elle a rencontré Miller par l’entremise d’une certaine Audrey, qui organisa la rencontre initiale </w:t>
      </w:r>
      <w:r w:rsidR="003E590B" w:rsidRPr="00103606">
        <w:rPr>
          <w:rFonts w:cs="Arial"/>
        </w:rPr>
        <w:t>à l’hôtel</w:t>
      </w:r>
      <w:r w:rsidRPr="00103606">
        <w:rPr>
          <w:rFonts w:cs="Arial"/>
        </w:rPr>
        <w:t xml:space="preserve"> </w:t>
      </w:r>
      <w:r w:rsidR="00DD2C56" w:rsidRPr="00103606">
        <w:rPr>
          <w:rFonts w:cs="Arial"/>
        </w:rPr>
        <w:t>Reine Élizabeth</w:t>
      </w:r>
      <w:r w:rsidRPr="00103606">
        <w:rPr>
          <w:rFonts w:cs="Arial"/>
        </w:rPr>
        <w:t xml:space="preserve"> alors qu’elle </w:t>
      </w:r>
      <w:r w:rsidR="00BA73CF">
        <w:rPr>
          <w:rFonts w:cs="Arial"/>
        </w:rPr>
        <w:t xml:space="preserve">était âgée de </w:t>
      </w:r>
      <w:r w:rsidRPr="00103606">
        <w:rPr>
          <w:rFonts w:cs="Arial"/>
        </w:rPr>
        <w:t xml:space="preserve">11 ans. B.N. rencontra « Raymond » dans une chambre d’hôtel à cette première occasion. </w:t>
      </w:r>
      <w:r w:rsidR="007855EC">
        <w:rPr>
          <w:rFonts w:cs="Arial"/>
        </w:rPr>
        <w:t>Ce dernier</w:t>
      </w:r>
      <w:r w:rsidR="007855EC" w:rsidRPr="00103606">
        <w:rPr>
          <w:rFonts w:cs="Arial"/>
        </w:rPr>
        <w:t xml:space="preserve"> </w:t>
      </w:r>
      <w:r w:rsidRPr="00103606">
        <w:rPr>
          <w:rFonts w:cs="Arial"/>
        </w:rPr>
        <w:t>l’a alors conduite à la chambre de Miller</w:t>
      </w:r>
      <w:r>
        <w:rPr>
          <w:rStyle w:val="Appelnotedebasdep"/>
          <w:rFonts w:cs="Arial"/>
        </w:rPr>
        <w:footnoteReference w:id="73"/>
      </w:r>
      <w:r w:rsidRPr="00103606">
        <w:rPr>
          <w:rFonts w:cs="Arial"/>
        </w:rPr>
        <w:t>. Cette explication des faits est également donnée à l’expert psychologue qui a rencontré B.N.</w:t>
      </w:r>
      <w:r>
        <w:rPr>
          <w:rStyle w:val="Appelnotedebasdep"/>
          <w:rFonts w:cs="Arial"/>
        </w:rPr>
        <w:footnoteReference w:id="74"/>
      </w:r>
      <w:r w:rsidRPr="00103606">
        <w:rPr>
          <w:rFonts w:cs="Arial"/>
        </w:rPr>
        <w:t xml:space="preserve"> </w:t>
      </w:r>
    </w:p>
    <w:p w14:paraId="731DDFBC" w14:textId="77777777" w:rsidR="00DC6F78" w:rsidRPr="00103606" w:rsidRDefault="00E21D39" w:rsidP="00DC6A1E">
      <w:pPr>
        <w:pStyle w:val="Paragrdouble"/>
        <w:spacing w:line="276" w:lineRule="auto"/>
        <w:rPr>
          <w:rFonts w:cs="Arial"/>
        </w:rPr>
      </w:pPr>
      <w:r w:rsidRPr="00103606">
        <w:rPr>
          <w:rFonts w:cs="Arial"/>
        </w:rPr>
        <w:t>Pour ce qui est de la référence à « Raymond »,</w:t>
      </w:r>
      <w:r w:rsidR="00A0467B" w:rsidRPr="00103606">
        <w:rPr>
          <w:rFonts w:cs="Arial"/>
        </w:rPr>
        <w:t xml:space="preserve"> et parfois à « Sébastien »,</w:t>
      </w:r>
      <w:r w:rsidRPr="00103606">
        <w:rPr>
          <w:rFonts w:cs="Arial"/>
        </w:rPr>
        <w:t xml:space="preserve"> je me permets de tirer l’inférence des faits tels que présentés </w:t>
      </w:r>
      <w:r w:rsidRPr="00103606">
        <w:rPr>
          <w:rFonts w:cs="Arial"/>
          <w:i/>
          <w:iCs/>
        </w:rPr>
        <w:t>prima facie</w:t>
      </w:r>
      <w:r w:rsidRPr="00103606">
        <w:rPr>
          <w:rFonts w:cs="Arial"/>
        </w:rPr>
        <w:t xml:space="preserve"> que </w:t>
      </w:r>
      <w:r w:rsidR="00A0467B" w:rsidRPr="00103606">
        <w:rPr>
          <w:rFonts w:cs="Arial"/>
        </w:rPr>
        <w:t>ces noms réfèrent</w:t>
      </w:r>
      <w:r w:rsidRPr="00103606">
        <w:rPr>
          <w:rFonts w:cs="Arial"/>
        </w:rPr>
        <w:t xml:space="preserve"> bien </w:t>
      </w:r>
      <w:r w:rsidR="00A0467B" w:rsidRPr="00103606">
        <w:rPr>
          <w:rFonts w:cs="Arial"/>
        </w:rPr>
        <w:t>au</w:t>
      </w:r>
      <w:r w:rsidRPr="00103606">
        <w:rPr>
          <w:rFonts w:cs="Arial"/>
        </w:rPr>
        <w:t xml:space="preserve"> défendeur Raymond Poulet. En effet, les reportages d’</w:t>
      </w:r>
      <w:r w:rsidRPr="00573001">
        <w:rPr>
          <w:rFonts w:cs="Arial"/>
          <w:i/>
          <w:iCs/>
        </w:rPr>
        <w:t xml:space="preserve">Enquête </w:t>
      </w:r>
      <w:r w:rsidRPr="00103606">
        <w:rPr>
          <w:rFonts w:cs="Arial"/>
        </w:rPr>
        <w:t xml:space="preserve">et de </w:t>
      </w:r>
      <w:r w:rsidR="00E639DA" w:rsidRPr="00103606">
        <w:rPr>
          <w:rFonts w:cs="Arial"/>
        </w:rPr>
        <w:t xml:space="preserve">la CBC, de même que le rapport de l’enquêteur privé, mis ensemble et </w:t>
      </w:r>
      <w:r w:rsidR="007855EC">
        <w:rPr>
          <w:rFonts w:cs="Arial"/>
        </w:rPr>
        <w:t xml:space="preserve">considérés </w:t>
      </w:r>
      <w:r w:rsidR="00E639DA" w:rsidRPr="00103606">
        <w:rPr>
          <w:rFonts w:cs="Arial"/>
        </w:rPr>
        <w:t xml:space="preserve">de manière contextuelle, me permettent de conclure </w:t>
      </w:r>
      <w:r w:rsidR="00E639DA" w:rsidRPr="00103606">
        <w:rPr>
          <w:rFonts w:cs="Arial"/>
          <w:i/>
          <w:iCs/>
        </w:rPr>
        <w:t>prima facie</w:t>
      </w:r>
      <w:r w:rsidR="00E639DA" w:rsidRPr="00103606">
        <w:rPr>
          <w:rFonts w:cs="Arial"/>
        </w:rPr>
        <w:t xml:space="preserve"> qu’il s’agit de la même personne.</w:t>
      </w:r>
      <w:r w:rsidR="005B02BC" w:rsidRPr="00103606">
        <w:rPr>
          <w:rFonts w:cs="Arial"/>
        </w:rPr>
        <w:t xml:space="preserve"> </w:t>
      </w:r>
      <w:r w:rsidR="00A0467B" w:rsidRPr="00103606">
        <w:rPr>
          <w:rFonts w:cs="Arial"/>
        </w:rPr>
        <w:t>J’ajoute à ces éléments la pièce R-45 qui montre une carte d’affaire</w:t>
      </w:r>
      <w:r w:rsidR="006D3301">
        <w:rPr>
          <w:rFonts w:cs="Arial"/>
        </w:rPr>
        <w:t>s</w:t>
      </w:r>
      <w:r w:rsidR="00A0467B" w:rsidRPr="00103606">
        <w:rPr>
          <w:rFonts w:cs="Arial"/>
        </w:rPr>
        <w:t xml:space="preserve"> au nom de « Sébastien Tremblay ». </w:t>
      </w:r>
      <w:r w:rsidR="005B02BC" w:rsidRPr="00103606">
        <w:rPr>
          <w:rFonts w:cs="Arial"/>
        </w:rPr>
        <w:t>De plus, Poulet est mentionné par 1</w:t>
      </w:r>
      <w:r w:rsidR="001C64D2" w:rsidRPr="00103606">
        <w:rPr>
          <w:rFonts w:cs="Arial"/>
        </w:rPr>
        <w:t>5</w:t>
      </w:r>
      <w:r w:rsidR="005B02BC" w:rsidRPr="00103606">
        <w:rPr>
          <w:rFonts w:cs="Arial"/>
        </w:rPr>
        <w:t xml:space="preserve"> des déclarantes comme étant un véritable intermédiaire pour Miller, </w:t>
      </w:r>
      <w:r w:rsidR="00A0467B" w:rsidRPr="00103606">
        <w:rPr>
          <w:rFonts w:cs="Arial"/>
        </w:rPr>
        <w:t xml:space="preserve">recrutant les victimes, </w:t>
      </w:r>
      <w:r w:rsidR="005B02BC" w:rsidRPr="00103606">
        <w:rPr>
          <w:rFonts w:cs="Arial"/>
        </w:rPr>
        <w:t xml:space="preserve">organisant </w:t>
      </w:r>
      <w:r w:rsidR="00A0467B" w:rsidRPr="00103606">
        <w:rPr>
          <w:rFonts w:cs="Arial"/>
        </w:rPr>
        <w:t>l</w:t>
      </w:r>
      <w:r w:rsidR="005B02BC" w:rsidRPr="00103606">
        <w:rPr>
          <w:rFonts w:cs="Arial"/>
        </w:rPr>
        <w:t>es rencontres, conduisant les filles à la chambre de Miller</w:t>
      </w:r>
      <w:r w:rsidR="007855EC">
        <w:rPr>
          <w:rFonts w:cs="Arial"/>
        </w:rPr>
        <w:t xml:space="preserve"> et</w:t>
      </w:r>
      <w:r w:rsidR="007855EC" w:rsidRPr="00103606">
        <w:rPr>
          <w:rFonts w:cs="Arial"/>
        </w:rPr>
        <w:t xml:space="preserve"> </w:t>
      </w:r>
      <w:r w:rsidR="00F405B7" w:rsidRPr="00103606">
        <w:rPr>
          <w:rFonts w:cs="Arial"/>
        </w:rPr>
        <w:t>percevant</w:t>
      </w:r>
      <w:r w:rsidR="005B02BC" w:rsidRPr="00103606">
        <w:rPr>
          <w:rFonts w:cs="Arial"/>
        </w:rPr>
        <w:t xml:space="preserve"> un pourcentage de l’argent reçu par ces dernières.</w:t>
      </w:r>
    </w:p>
    <w:p w14:paraId="5C1D12F3" w14:textId="77777777" w:rsidR="00381DC1" w:rsidRPr="00103606" w:rsidRDefault="00E21D39" w:rsidP="00381DC1">
      <w:pPr>
        <w:pStyle w:val="Paragrdouble"/>
        <w:spacing w:line="276" w:lineRule="auto"/>
        <w:rPr>
          <w:rFonts w:cs="Arial"/>
        </w:rPr>
      </w:pPr>
      <w:r w:rsidRPr="00103606">
        <w:rPr>
          <w:rFonts w:cs="Arial"/>
        </w:rPr>
        <w:t>Quant à</w:t>
      </w:r>
      <w:r w:rsidR="00E639DA" w:rsidRPr="00103606">
        <w:rPr>
          <w:rFonts w:cs="Arial"/>
        </w:rPr>
        <w:t xml:space="preserve"> la nature des infractions commises par Poulet, les codemanderesses prétendent qu’il a enfreint l’article 152 du </w:t>
      </w:r>
      <w:r w:rsidR="001C1544" w:rsidRPr="00573001">
        <w:rPr>
          <w:rFonts w:cs="Arial"/>
        </w:rPr>
        <w:t>C.cr.</w:t>
      </w:r>
      <w:r w:rsidR="00E639DA" w:rsidRPr="008A17B0">
        <w:rPr>
          <w:rFonts w:cs="Arial"/>
        </w:rPr>
        <w:t>,</w:t>
      </w:r>
      <w:r w:rsidR="00E639DA" w:rsidRPr="00103606">
        <w:rPr>
          <w:rFonts w:cs="Arial"/>
        </w:rPr>
        <w:t xml:space="preserve"> l’ancien article 212(1) du </w:t>
      </w:r>
      <w:r w:rsidR="001C1544" w:rsidRPr="00573001">
        <w:rPr>
          <w:rFonts w:cs="Arial"/>
        </w:rPr>
        <w:t>C.cr</w:t>
      </w:r>
      <w:r w:rsidR="001C1544">
        <w:rPr>
          <w:rFonts w:cs="Arial"/>
          <w:i/>
          <w:iCs/>
        </w:rPr>
        <w:t>.</w:t>
      </w:r>
      <w:r w:rsidR="00E639DA" w:rsidRPr="00103606">
        <w:rPr>
          <w:rFonts w:cs="Arial"/>
          <w:i/>
          <w:iCs/>
        </w:rPr>
        <w:t xml:space="preserve"> </w:t>
      </w:r>
      <w:r w:rsidR="00E639DA" w:rsidRPr="00103606">
        <w:rPr>
          <w:rFonts w:cs="Arial"/>
        </w:rPr>
        <w:t xml:space="preserve">et l’article 21(1)(b) du </w:t>
      </w:r>
      <w:r w:rsidR="001C1544" w:rsidRPr="00573001">
        <w:rPr>
          <w:rFonts w:cs="Arial"/>
        </w:rPr>
        <w:t>C.cr.</w:t>
      </w:r>
      <w:r w:rsidR="00E639DA" w:rsidRPr="00103606">
        <w:rPr>
          <w:rFonts w:cs="Arial"/>
        </w:rPr>
        <w:t xml:space="preserve"> Ces allégations</w:t>
      </w:r>
      <w:r w:rsidR="00DD2C56" w:rsidRPr="00103606">
        <w:rPr>
          <w:rFonts w:cs="Arial"/>
        </w:rPr>
        <w:t xml:space="preserve"> sont tenues pour avérées et sont claires</w:t>
      </w:r>
      <w:r w:rsidR="00E639DA" w:rsidRPr="00103606">
        <w:rPr>
          <w:rFonts w:cs="Arial"/>
        </w:rPr>
        <w:t xml:space="preserve">. </w:t>
      </w:r>
    </w:p>
    <w:p w14:paraId="626CE498" w14:textId="77777777" w:rsidR="00381DC1" w:rsidRPr="00103606" w:rsidRDefault="00E21D39" w:rsidP="00381DC1">
      <w:pPr>
        <w:pStyle w:val="Paragrdouble"/>
        <w:spacing w:line="276" w:lineRule="auto"/>
        <w:rPr>
          <w:rFonts w:cs="Arial"/>
        </w:rPr>
      </w:pPr>
      <w:r w:rsidRPr="00103606">
        <w:rPr>
          <w:rFonts w:cs="Arial"/>
        </w:rPr>
        <w:t xml:space="preserve">Les codemanderesses S.N. et B.N. allèguent également que les fautes de Poulet </w:t>
      </w:r>
      <w:r w:rsidR="007855EC">
        <w:rPr>
          <w:rFonts w:cs="Arial"/>
        </w:rPr>
        <w:t xml:space="preserve">leur ont </w:t>
      </w:r>
      <w:r w:rsidR="00AF7978">
        <w:rPr>
          <w:rFonts w:cs="Arial"/>
        </w:rPr>
        <w:t>causé</w:t>
      </w:r>
      <w:r w:rsidRPr="00103606">
        <w:rPr>
          <w:rFonts w:cs="Arial"/>
        </w:rPr>
        <w:t xml:space="preserve"> u</w:t>
      </w:r>
      <w:r w:rsidR="007855EC">
        <w:rPr>
          <w:rFonts w:cs="Arial"/>
        </w:rPr>
        <w:t>n</w:t>
      </w:r>
      <w:r w:rsidRPr="00103606">
        <w:rPr>
          <w:rFonts w:cs="Arial"/>
        </w:rPr>
        <w:t xml:space="preserve"> préjudice important, de telle sorte à </w:t>
      </w:r>
      <w:r w:rsidR="007855EC">
        <w:rPr>
          <w:rFonts w:cs="Arial"/>
        </w:rPr>
        <w:t>entraîner</w:t>
      </w:r>
      <w:r w:rsidRPr="00103606">
        <w:rPr>
          <w:rFonts w:cs="Arial"/>
        </w:rPr>
        <w:t xml:space="preserve"> la responsabilité extracontractuelle de Poulet. Les allégations doivent être tenues pour avérées. Rappelons </w:t>
      </w:r>
      <w:r w:rsidR="009F4464" w:rsidRPr="00103606">
        <w:rPr>
          <w:rFonts w:cs="Arial"/>
        </w:rPr>
        <w:t>également</w:t>
      </w:r>
      <w:r w:rsidRPr="00103606">
        <w:rPr>
          <w:rFonts w:cs="Arial"/>
        </w:rPr>
        <w:t xml:space="preserve"> que l’agression sexuelle est </w:t>
      </w:r>
      <w:r w:rsidR="00F63A7E" w:rsidRPr="00103606">
        <w:rPr>
          <w:rFonts w:cs="Arial"/>
        </w:rPr>
        <w:t>considérée</w:t>
      </w:r>
      <w:r w:rsidRPr="00103606">
        <w:rPr>
          <w:rFonts w:cs="Arial"/>
        </w:rPr>
        <w:t xml:space="preserve"> comme une faute causant automatiquement un dommage sérieux</w:t>
      </w:r>
      <w:r>
        <w:rPr>
          <w:rStyle w:val="Appelnotedebasdep"/>
          <w:rFonts w:cs="Arial"/>
        </w:rPr>
        <w:footnoteReference w:id="75"/>
      </w:r>
      <w:r w:rsidRPr="00103606">
        <w:rPr>
          <w:rFonts w:cs="Arial"/>
        </w:rPr>
        <w:t>.</w:t>
      </w:r>
      <w:r w:rsidR="00F63A7E" w:rsidRPr="00103606">
        <w:rPr>
          <w:rFonts w:cs="Arial"/>
        </w:rPr>
        <w:t xml:space="preserve"> </w:t>
      </w:r>
    </w:p>
    <w:p w14:paraId="068A7FC7" w14:textId="77777777" w:rsidR="00E639DA" w:rsidRPr="00103606" w:rsidRDefault="00E21D39" w:rsidP="00381DC1">
      <w:pPr>
        <w:pStyle w:val="Paragrdouble"/>
        <w:spacing w:line="276" w:lineRule="auto"/>
        <w:rPr>
          <w:rFonts w:cs="Arial"/>
        </w:rPr>
      </w:pPr>
      <w:r w:rsidRPr="00103606">
        <w:rPr>
          <w:rFonts w:cs="Arial"/>
        </w:rPr>
        <w:t xml:space="preserve">Dans l’ensemble, S.N. et B.N. avancent une cause défendable en vertu de l’article 575(2) C.p.c. quant à Poulet, impliquant sa responsabilité extracontractuelle pour violence sexuelle au sens de l’article 1457 C.c.Q. </w:t>
      </w:r>
    </w:p>
    <w:p w14:paraId="0A549FA2" w14:textId="77777777" w:rsidR="00E639DA" w:rsidRPr="00103606" w:rsidRDefault="00E21D39" w:rsidP="009F319B">
      <w:pPr>
        <w:pStyle w:val="Titre4"/>
        <w:numPr>
          <w:ilvl w:val="1"/>
          <w:numId w:val="21"/>
        </w:numPr>
        <w:ind w:left="1134"/>
        <w:rPr>
          <w:rFonts w:cs="Arial"/>
        </w:rPr>
      </w:pPr>
      <w:bookmarkStart w:id="44" w:name="_Toc256000016"/>
      <w:bookmarkStart w:id="45" w:name="_Toc187475775"/>
      <w:r w:rsidRPr="00103606">
        <w:rPr>
          <w:rFonts w:cs="Arial"/>
        </w:rPr>
        <w:t xml:space="preserve">L’existence d’une </w:t>
      </w:r>
      <w:r w:rsidR="00327CE3" w:rsidRPr="00103606">
        <w:rPr>
          <w:rFonts w:cs="Arial"/>
        </w:rPr>
        <w:t>cause défendable envers</w:t>
      </w:r>
      <w:r w:rsidRPr="00103606">
        <w:rPr>
          <w:rFonts w:cs="Arial"/>
        </w:rPr>
        <w:t xml:space="preserve"> Lippmann</w:t>
      </w:r>
      <w:bookmarkEnd w:id="44"/>
      <w:bookmarkEnd w:id="45"/>
    </w:p>
    <w:p w14:paraId="6B7CAF04" w14:textId="77777777" w:rsidR="00E639DA" w:rsidRPr="00103606" w:rsidRDefault="00E21D39" w:rsidP="00315AE7">
      <w:pPr>
        <w:pStyle w:val="Paragrdouble"/>
        <w:spacing w:line="276" w:lineRule="auto"/>
        <w:rPr>
          <w:rFonts w:cs="Arial"/>
        </w:rPr>
      </w:pPr>
      <w:r w:rsidRPr="00103606">
        <w:rPr>
          <w:rFonts w:cs="Arial"/>
        </w:rPr>
        <w:t>S.N. allègue que Lippmann l’a rencontrée</w:t>
      </w:r>
      <w:r w:rsidR="00A0467B" w:rsidRPr="00103606">
        <w:rPr>
          <w:rFonts w:cs="Arial"/>
        </w:rPr>
        <w:t xml:space="preserve"> sur </w:t>
      </w:r>
      <w:r w:rsidR="006E645E" w:rsidRPr="00103606">
        <w:rPr>
          <w:rFonts w:cs="Arial"/>
        </w:rPr>
        <w:t>les instructions</w:t>
      </w:r>
      <w:r w:rsidR="00A0467B" w:rsidRPr="00103606">
        <w:rPr>
          <w:rFonts w:cs="Arial"/>
        </w:rPr>
        <w:t xml:space="preserve"> de Miller afin de lui </w:t>
      </w:r>
      <w:r w:rsidR="003E590B" w:rsidRPr="00103606">
        <w:rPr>
          <w:rFonts w:cs="Arial"/>
        </w:rPr>
        <w:t>remettre</w:t>
      </w:r>
      <w:r w:rsidR="00A0467B" w:rsidRPr="00103606">
        <w:rPr>
          <w:rFonts w:cs="Arial"/>
        </w:rPr>
        <w:t xml:space="preserve"> les </w:t>
      </w:r>
      <w:r w:rsidR="003E590B" w:rsidRPr="00103606">
        <w:rPr>
          <w:rFonts w:cs="Arial"/>
        </w:rPr>
        <w:t>sommes</w:t>
      </w:r>
      <w:r w:rsidR="00A0467B" w:rsidRPr="00103606">
        <w:rPr>
          <w:rFonts w:cs="Arial"/>
        </w:rPr>
        <w:t xml:space="preserve"> </w:t>
      </w:r>
      <w:r w:rsidR="003E590B" w:rsidRPr="00103606">
        <w:rPr>
          <w:rFonts w:cs="Arial"/>
        </w:rPr>
        <w:t xml:space="preserve">d’argent </w:t>
      </w:r>
      <w:r w:rsidR="00A0467B" w:rsidRPr="00103606">
        <w:rPr>
          <w:rFonts w:cs="Arial"/>
        </w:rPr>
        <w:t xml:space="preserve">nécessaires </w:t>
      </w:r>
      <w:r w:rsidR="003E590B" w:rsidRPr="00103606">
        <w:rPr>
          <w:rFonts w:cs="Arial"/>
        </w:rPr>
        <w:t>pour</w:t>
      </w:r>
      <w:r w:rsidR="00A0467B" w:rsidRPr="00103606">
        <w:rPr>
          <w:rFonts w:cs="Arial"/>
        </w:rPr>
        <w:t xml:space="preserve"> </w:t>
      </w:r>
      <w:r w:rsidR="003E590B" w:rsidRPr="00103606">
        <w:rPr>
          <w:rFonts w:cs="Arial"/>
        </w:rPr>
        <w:t>payer</w:t>
      </w:r>
      <w:r w:rsidR="00A0467B" w:rsidRPr="00103606">
        <w:rPr>
          <w:rFonts w:cs="Arial"/>
        </w:rPr>
        <w:t xml:space="preserve"> </w:t>
      </w:r>
      <w:r w:rsidR="003E590B" w:rsidRPr="00103606">
        <w:rPr>
          <w:rFonts w:cs="Arial"/>
        </w:rPr>
        <w:t>le</w:t>
      </w:r>
      <w:r w:rsidR="00A0467B" w:rsidRPr="00103606">
        <w:rPr>
          <w:rFonts w:cs="Arial"/>
        </w:rPr>
        <w:t xml:space="preserve"> dépôt </w:t>
      </w:r>
      <w:r w:rsidR="003E590B" w:rsidRPr="00103606">
        <w:rPr>
          <w:rFonts w:cs="Arial"/>
        </w:rPr>
        <w:t>de location</w:t>
      </w:r>
      <w:r w:rsidR="00A0467B" w:rsidRPr="00103606">
        <w:rPr>
          <w:rFonts w:cs="Arial"/>
        </w:rPr>
        <w:t xml:space="preserve"> </w:t>
      </w:r>
      <w:r w:rsidR="00C45B34">
        <w:rPr>
          <w:rFonts w:cs="Arial"/>
        </w:rPr>
        <w:br/>
      </w:r>
      <w:r w:rsidR="003E590B" w:rsidRPr="00103606">
        <w:rPr>
          <w:rFonts w:cs="Arial"/>
        </w:rPr>
        <w:t>d’</w:t>
      </w:r>
      <w:r w:rsidR="00A0467B" w:rsidRPr="00103606">
        <w:rPr>
          <w:rFonts w:cs="Arial"/>
        </w:rPr>
        <w:t>un appartement à Westmount qu’elle n’aurait pu autrement se permettre de louer</w:t>
      </w:r>
      <w:r>
        <w:rPr>
          <w:rStyle w:val="Appelnotedebasdep"/>
          <w:rFonts w:cs="Arial"/>
        </w:rPr>
        <w:footnoteReference w:id="76"/>
      </w:r>
      <w:r w:rsidR="00A0467B" w:rsidRPr="00103606">
        <w:rPr>
          <w:rFonts w:cs="Arial"/>
        </w:rPr>
        <w:t>.</w:t>
      </w:r>
      <w:r w:rsidR="00F44C12" w:rsidRPr="00103606">
        <w:rPr>
          <w:rFonts w:cs="Arial"/>
        </w:rPr>
        <w:t xml:space="preserve"> Elle prétend que ce paiement fut fait à la demande de Miller dans le contexte de la relation d’exploitation sexuelle</w:t>
      </w:r>
      <w:r w:rsidR="003E590B" w:rsidRPr="00103606">
        <w:rPr>
          <w:rFonts w:cs="Arial"/>
        </w:rPr>
        <w:t xml:space="preserve"> qu’elle entretenait avec lui.</w:t>
      </w:r>
      <w:r w:rsidR="00F44C12" w:rsidRPr="00103606">
        <w:rPr>
          <w:rFonts w:cs="Arial"/>
        </w:rPr>
        <w:t xml:space="preserve"> </w:t>
      </w:r>
      <w:r w:rsidR="003E590B" w:rsidRPr="00103606">
        <w:rPr>
          <w:rFonts w:cs="Arial"/>
        </w:rPr>
        <w:t>Elle allègue</w:t>
      </w:r>
      <w:r w:rsidR="00F44C12" w:rsidRPr="00103606">
        <w:rPr>
          <w:rFonts w:cs="Arial"/>
        </w:rPr>
        <w:t xml:space="preserve"> la responsabilité extracontractuelle de Lippmann suivant s</w:t>
      </w:r>
      <w:r w:rsidR="006E645E" w:rsidRPr="00103606">
        <w:rPr>
          <w:rFonts w:cs="Arial"/>
        </w:rPr>
        <w:t>es</w:t>
      </w:r>
      <w:r w:rsidR="00F44C12" w:rsidRPr="00103606">
        <w:rPr>
          <w:rFonts w:cs="Arial"/>
        </w:rPr>
        <w:t xml:space="preserve"> faute</w:t>
      </w:r>
      <w:r w:rsidR="006E645E" w:rsidRPr="00103606">
        <w:rPr>
          <w:rFonts w:cs="Arial"/>
        </w:rPr>
        <w:t>s</w:t>
      </w:r>
      <w:r w:rsidR="00F44C12" w:rsidRPr="00103606">
        <w:rPr>
          <w:rFonts w:cs="Arial"/>
        </w:rPr>
        <w:t xml:space="preserve"> </w:t>
      </w:r>
      <w:r w:rsidR="006E645E" w:rsidRPr="00103606">
        <w:rPr>
          <w:rFonts w:cs="Arial"/>
        </w:rPr>
        <w:t xml:space="preserve">d’avoir </w:t>
      </w:r>
      <w:r w:rsidR="00F44C12" w:rsidRPr="00103606">
        <w:rPr>
          <w:rFonts w:cs="Arial"/>
        </w:rPr>
        <w:t>assisté Miller à commettre une infraction</w:t>
      </w:r>
      <w:r w:rsidR="00E20DD6">
        <w:rPr>
          <w:rFonts w:cs="Arial"/>
        </w:rPr>
        <w:t>,</w:t>
      </w:r>
      <w:r w:rsidR="00F44C12" w:rsidRPr="00103606">
        <w:rPr>
          <w:rFonts w:cs="Arial"/>
        </w:rPr>
        <w:t xml:space="preserve"> en outre d’exploitation sexuelle</w:t>
      </w:r>
      <w:r w:rsidR="006E645E" w:rsidRPr="00103606">
        <w:rPr>
          <w:rFonts w:cs="Arial"/>
        </w:rPr>
        <w:t xml:space="preserve">, en vertu de l’article 21(b)(1) du </w:t>
      </w:r>
      <w:r w:rsidR="001C1544" w:rsidRPr="00573001">
        <w:rPr>
          <w:rFonts w:cs="Arial"/>
        </w:rPr>
        <w:t>C.cr</w:t>
      </w:r>
      <w:r w:rsidR="001C1544">
        <w:rPr>
          <w:rFonts w:cs="Arial"/>
          <w:i/>
          <w:iCs/>
        </w:rPr>
        <w:t>.</w:t>
      </w:r>
      <w:r w:rsidR="006E645E" w:rsidRPr="00103606">
        <w:rPr>
          <w:rFonts w:cs="Arial"/>
        </w:rPr>
        <w:t>, et d</w:t>
      </w:r>
      <w:r w:rsidR="001C64D2" w:rsidRPr="00103606">
        <w:rPr>
          <w:rFonts w:cs="Arial"/>
        </w:rPr>
        <w:t>’</w:t>
      </w:r>
      <w:r w:rsidR="006E645E" w:rsidRPr="00103606">
        <w:rPr>
          <w:rFonts w:cs="Arial"/>
        </w:rPr>
        <w:t>avoir été le complice d</w:t>
      </w:r>
      <w:r w:rsidR="001C64D2" w:rsidRPr="00103606">
        <w:rPr>
          <w:rFonts w:cs="Arial"/>
        </w:rPr>
        <w:t xml:space="preserve">e </w:t>
      </w:r>
      <w:r w:rsidR="006E645E" w:rsidRPr="00103606">
        <w:rPr>
          <w:rFonts w:cs="Arial"/>
        </w:rPr>
        <w:t>Miller en vertu de l’article 23(1) du même Code.</w:t>
      </w:r>
    </w:p>
    <w:p w14:paraId="295309E4" w14:textId="77777777" w:rsidR="006E645E" w:rsidRPr="00103606" w:rsidRDefault="00E21D39" w:rsidP="00315AE7">
      <w:pPr>
        <w:pStyle w:val="Paragrdouble"/>
        <w:spacing w:line="276" w:lineRule="auto"/>
        <w:rPr>
          <w:rFonts w:cs="Arial"/>
        </w:rPr>
      </w:pPr>
      <w:r w:rsidRPr="00103606">
        <w:rPr>
          <w:rFonts w:cs="Arial"/>
        </w:rPr>
        <w:t>Selon S.N., ces allégations sont supportées par la preuve documentaire suivante :</w:t>
      </w:r>
    </w:p>
    <w:p w14:paraId="71AF36C8" w14:textId="6118238A" w:rsidR="006E645E" w:rsidRPr="00103606" w:rsidRDefault="00E21D39" w:rsidP="009F319B">
      <w:pPr>
        <w:pStyle w:val="Paragrdouble"/>
        <w:numPr>
          <w:ilvl w:val="0"/>
          <w:numId w:val="12"/>
        </w:numPr>
        <w:spacing w:line="276" w:lineRule="auto"/>
        <w:rPr>
          <w:rFonts w:cs="Arial"/>
        </w:rPr>
      </w:pPr>
      <w:r w:rsidRPr="00103606">
        <w:rPr>
          <w:rFonts w:cs="Arial"/>
        </w:rPr>
        <w:t xml:space="preserve">Lippmann a loué la maison du </w:t>
      </w:r>
      <w:r>
        <w:rPr>
          <w:rFonts w:cs="Arial"/>
        </w:rPr>
        <w:t>[...]</w:t>
      </w:r>
      <w:r w:rsidRPr="00103606">
        <w:rPr>
          <w:rFonts w:cs="Arial"/>
        </w:rPr>
        <w:t xml:space="preserve"> en son nom propre, le loyer </w:t>
      </w:r>
      <w:r w:rsidR="00AA08C2">
        <w:rPr>
          <w:rFonts w:cs="Arial"/>
        </w:rPr>
        <w:t>étant</w:t>
      </w:r>
      <w:r w:rsidR="00AA08C2" w:rsidRPr="00103606">
        <w:rPr>
          <w:rFonts w:cs="Arial"/>
        </w:rPr>
        <w:t xml:space="preserve"> </w:t>
      </w:r>
      <w:r w:rsidRPr="00103606">
        <w:rPr>
          <w:rFonts w:cs="Arial"/>
        </w:rPr>
        <w:t>payé par Future (pièce R-48);</w:t>
      </w:r>
    </w:p>
    <w:p w14:paraId="69D59761" w14:textId="36228EFF" w:rsidR="006E645E" w:rsidRPr="00103606" w:rsidRDefault="00E21D39" w:rsidP="009F319B">
      <w:pPr>
        <w:pStyle w:val="Paragrdouble"/>
        <w:numPr>
          <w:ilvl w:val="0"/>
          <w:numId w:val="12"/>
        </w:numPr>
        <w:spacing w:line="276" w:lineRule="auto"/>
        <w:rPr>
          <w:rFonts w:cs="Arial"/>
        </w:rPr>
      </w:pPr>
      <w:r w:rsidRPr="00103606">
        <w:rPr>
          <w:rFonts w:cs="Arial"/>
        </w:rPr>
        <w:t xml:space="preserve">Lippmann a acheté le </w:t>
      </w:r>
      <w:r>
        <w:rPr>
          <w:rFonts w:cs="Arial"/>
        </w:rPr>
        <w:t>[...]</w:t>
      </w:r>
      <w:r w:rsidRPr="00103606">
        <w:rPr>
          <w:rFonts w:cs="Arial"/>
        </w:rPr>
        <w:t xml:space="preserve"> et revendu la maison à Miller (pièces R-12 et </w:t>
      </w:r>
      <w:r w:rsidR="004C6087">
        <w:rPr>
          <w:rFonts w:cs="Arial"/>
        </w:rPr>
        <w:br/>
      </w:r>
      <w:r w:rsidRPr="00103606">
        <w:rPr>
          <w:rFonts w:cs="Arial"/>
        </w:rPr>
        <w:t>R-13);</w:t>
      </w:r>
    </w:p>
    <w:p w14:paraId="421D66D7" w14:textId="06E0E98C" w:rsidR="006E645E" w:rsidRPr="00103606" w:rsidRDefault="00E21D39" w:rsidP="009F319B">
      <w:pPr>
        <w:pStyle w:val="Paragrdouble"/>
        <w:numPr>
          <w:ilvl w:val="0"/>
          <w:numId w:val="12"/>
        </w:numPr>
        <w:spacing w:line="276" w:lineRule="auto"/>
        <w:rPr>
          <w:rFonts w:cs="Arial"/>
        </w:rPr>
      </w:pPr>
      <w:r w:rsidRPr="00103606">
        <w:rPr>
          <w:rFonts w:cs="Arial"/>
        </w:rPr>
        <w:t xml:space="preserve">Lippmann a été observé par l’enquêteur Westlake entrant et quittant les maisons de la rue </w:t>
      </w:r>
      <w:r>
        <w:rPr>
          <w:rFonts w:cs="Arial"/>
        </w:rPr>
        <w:t>A</w:t>
      </w:r>
      <w:r w:rsidRPr="00103606">
        <w:rPr>
          <w:rFonts w:cs="Arial"/>
        </w:rPr>
        <w:t xml:space="preserve"> (pièce R-50);</w:t>
      </w:r>
    </w:p>
    <w:p w14:paraId="7CFF1095" w14:textId="1FA4150C" w:rsidR="006E645E" w:rsidRPr="00103606" w:rsidRDefault="00E21D39" w:rsidP="009F319B">
      <w:pPr>
        <w:pStyle w:val="Paragrdouble"/>
        <w:numPr>
          <w:ilvl w:val="0"/>
          <w:numId w:val="12"/>
        </w:numPr>
        <w:spacing w:line="276" w:lineRule="auto"/>
        <w:rPr>
          <w:rFonts w:cs="Arial"/>
        </w:rPr>
      </w:pPr>
      <w:r w:rsidRPr="00103606">
        <w:rPr>
          <w:rFonts w:cs="Arial"/>
        </w:rPr>
        <w:t xml:space="preserve">Lippmann a loué des appartements pour deux filles mineures en utilisant </w:t>
      </w:r>
      <w:r w:rsidR="003E590B" w:rsidRPr="00103606">
        <w:rPr>
          <w:rFonts w:cs="Arial"/>
        </w:rPr>
        <w:t>un entête</w:t>
      </w:r>
      <w:r w:rsidRPr="00103606">
        <w:rPr>
          <w:rFonts w:cs="Arial"/>
        </w:rPr>
        <w:t xml:space="preserve"> de lettre personnelle mentionnant l’adresse </w:t>
      </w:r>
      <w:r w:rsidR="001C64D2" w:rsidRPr="00103606">
        <w:rPr>
          <w:rFonts w:cs="Arial"/>
        </w:rPr>
        <w:t xml:space="preserve">du </w:t>
      </w:r>
      <w:r>
        <w:rPr>
          <w:rFonts w:cs="Arial"/>
        </w:rPr>
        <w:t>[...]</w:t>
      </w:r>
      <w:r w:rsidRPr="00103606">
        <w:rPr>
          <w:rFonts w:cs="Arial"/>
        </w:rPr>
        <w:t xml:space="preserve"> (pièce R-49).</w:t>
      </w:r>
    </w:p>
    <w:p w14:paraId="602C1319" w14:textId="77777777" w:rsidR="00AA08C2" w:rsidRPr="00AA08C2" w:rsidRDefault="00E21D39" w:rsidP="00AA08C2">
      <w:pPr>
        <w:pStyle w:val="Paragrdouble"/>
        <w:spacing w:line="276" w:lineRule="auto"/>
        <w:rPr>
          <w:rFonts w:cs="Arial"/>
        </w:rPr>
      </w:pPr>
      <w:r w:rsidRPr="00AA08C2">
        <w:rPr>
          <w:rFonts w:cs="Arial"/>
        </w:rPr>
        <w:t xml:space="preserve">Ces informations sont suffisantes pour montrer, </w:t>
      </w:r>
      <w:r w:rsidRPr="00AA08C2">
        <w:rPr>
          <w:rFonts w:cs="Arial"/>
          <w:i/>
          <w:iCs/>
        </w:rPr>
        <w:t>prima facie</w:t>
      </w:r>
      <w:r w:rsidRPr="00AA08C2">
        <w:rPr>
          <w:rFonts w:cs="Arial"/>
        </w:rPr>
        <w:t>, qu</w:t>
      </w:r>
      <w:r w:rsidR="00E20DD6">
        <w:rPr>
          <w:rFonts w:cs="Arial"/>
        </w:rPr>
        <w:t>e Lippmann</w:t>
      </w:r>
      <w:r w:rsidRPr="00AA08C2">
        <w:rPr>
          <w:rFonts w:cs="Arial"/>
        </w:rPr>
        <w:t xml:space="preserve"> devait être au courant des activités d’exploitation et de violence sexuelle qui s’y déroulaient et qu’il peut donc être tenu responsable d’une faute en découlant.</w:t>
      </w:r>
    </w:p>
    <w:p w14:paraId="15E58060" w14:textId="77777777" w:rsidR="00E20DD6" w:rsidRDefault="00E21D39" w:rsidP="00E20DD6">
      <w:pPr>
        <w:pStyle w:val="Paragrdouble"/>
        <w:spacing w:line="276" w:lineRule="auto"/>
        <w:rPr>
          <w:rFonts w:cs="Arial"/>
        </w:rPr>
      </w:pPr>
      <w:r w:rsidRPr="00103606">
        <w:rPr>
          <w:rFonts w:cs="Arial"/>
        </w:rPr>
        <w:t xml:space="preserve">Le défendeur Lippmann prétend qu’il n’est que purement hypothétique de tirer </w:t>
      </w:r>
      <w:r w:rsidR="003A456F">
        <w:rPr>
          <w:rFonts w:cs="Arial"/>
        </w:rPr>
        <w:br/>
      </w:r>
      <w:r w:rsidRPr="00103606">
        <w:rPr>
          <w:rFonts w:cs="Arial"/>
        </w:rPr>
        <w:t>cette conclusion. Je ne suis pas de cet avis. Je souligne ici que même en cas de doute, les tribunaux penchent en faveur de l’autorisation, sauf si les allégations « s’avèrent des conclusions juridiques, de pures hypothèses ou du ouï-dire, ou si ces allégations sont manifestement contredites par les éléments de preuve versés au dossier de la cour, le cas échéant. </w:t>
      </w:r>
      <w:r>
        <w:rPr>
          <w:rStyle w:val="Appelnotedebasdep"/>
          <w:rFonts w:cs="Arial"/>
        </w:rPr>
        <w:footnoteReference w:id="77"/>
      </w:r>
      <w:r w:rsidRPr="00103606">
        <w:rPr>
          <w:rFonts w:cs="Arial"/>
        </w:rPr>
        <w:t xml:space="preserve">» </w:t>
      </w:r>
    </w:p>
    <w:p w14:paraId="207A91A2" w14:textId="77777777" w:rsidR="00AA08C2" w:rsidRPr="00AA08C2" w:rsidRDefault="00E21D39" w:rsidP="00573001">
      <w:pPr>
        <w:pStyle w:val="Paragrdouble"/>
        <w:spacing w:line="276" w:lineRule="auto"/>
        <w:rPr>
          <w:rFonts w:cs="Arial"/>
        </w:rPr>
      </w:pPr>
      <w:r w:rsidRPr="00103606">
        <w:rPr>
          <w:rFonts w:cs="Arial"/>
        </w:rPr>
        <w:t xml:space="preserve">Ce n’est pas le cas ici. Les allégations ne sont pas de pures hypothèses; elles sont supportées par « une certaine preuve », constituée </w:t>
      </w:r>
      <w:r w:rsidR="00E20DD6">
        <w:rPr>
          <w:rFonts w:cs="Arial"/>
        </w:rPr>
        <w:t>notamment</w:t>
      </w:r>
      <w:r w:rsidRPr="00103606">
        <w:rPr>
          <w:rFonts w:cs="Arial"/>
        </w:rPr>
        <w:t xml:space="preserve"> du rapport d’enquête de Westlake et des reportages, qui montrent</w:t>
      </w:r>
      <w:r w:rsidR="00E20DD6">
        <w:rPr>
          <w:rFonts w:cs="Arial"/>
        </w:rPr>
        <w:t xml:space="preserve"> </w:t>
      </w:r>
      <w:r w:rsidR="00E20DD6">
        <w:rPr>
          <w:rFonts w:cs="Arial"/>
          <w:i/>
          <w:iCs/>
        </w:rPr>
        <w:t>prima face</w:t>
      </w:r>
      <w:r w:rsidRPr="00103606">
        <w:rPr>
          <w:rFonts w:cs="Arial"/>
        </w:rPr>
        <w:t xml:space="preserve"> l’implication de Lippmann dans le schème en cause.</w:t>
      </w:r>
    </w:p>
    <w:p w14:paraId="1931B484" w14:textId="77777777" w:rsidR="001C64D2" w:rsidRPr="00103606" w:rsidRDefault="00E21D39" w:rsidP="00315AE7">
      <w:pPr>
        <w:pStyle w:val="Paragrdouble"/>
        <w:spacing w:line="276" w:lineRule="auto"/>
        <w:rPr>
          <w:rFonts w:cs="Arial"/>
        </w:rPr>
      </w:pPr>
      <w:r w:rsidRPr="00103606">
        <w:rPr>
          <w:rFonts w:cs="Arial"/>
        </w:rPr>
        <w:t>J’ajoute à cette preuve la mention par deux déclarantes</w:t>
      </w:r>
      <w:r>
        <w:rPr>
          <w:rStyle w:val="Appelnotedebasdep"/>
          <w:rFonts w:cs="Arial"/>
        </w:rPr>
        <w:footnoteReference w:id="78"/>
      </w:r>
      <w:r w:rsidRPr="00103606">
        <w:rPr>
          <w:rFonts w:cs="Arial"/>
        </w:rPr>
        <w:t xml:space="preserve"> du fait que Lippmann aurait loué un condominium pour elles (Madame 15 et son amie M.H.), et </w:t>
      </w:r>
      <w:r w:rsidR="00E20DD6">
        <w:rPr>
          <w:rFonts w:cs="Arial"/>
        </w:rPr>
        <w:t>qu’</w:t>
      </w:r>
      <w:r w:rsidR="005A62C4">
        <w:rPr>
          <w:rFonts w:cs="Arial"/>
        </w:rPr>
        <w:t>elles</w:t>
      </w:r>
      <w:r w:rsidR="00F96B0A">
        <w:rPr>
          <w:rFonts w:cs="Arial"/>
        </w:rPr>
        <w:t xml:space="preserve"> </w:t>
      </w:r>
      <w:r w:rsidRPr="00103606">
        <w:rPr>
          <w:rFonts w:cs="Arial"/>
        </w:rPr>
        <w:t>aurai</w:t>
      </w:r>
      <w:r w:rsidR="00F96B0A">
        <w:rPr>
          <w:rFonts w:cs="Arial"/>
        </w:rPr>
        <w:t>en</w:t>
      </w:r>
      <w:r w:rsidRPr="00103606">
        <w:rPr>
          <w:rFonts w:cs="Arial"/>
        </w:rPr>
        <w:t xml:space="preserve">t eu une relation sexuelle </w:t>
      </w:r>
      <w:r w:rsidR="003E590B" w:rsidRPr="00103606">
        <w:rPr>
          <w:rFonts w:cs="Arial"/>
        </w:rPr>
        <w:t xml:space="preserve">avec Miller </w:t>
      </w:r>
      <w:r w:rsidRPr="00103606">
        <w:rPr>
          <w:rFonts w:cs="Arial"/>
        </w:rPr>
        <w:t>dans un appartement loué par Lippmann.</w:t>
      </w:r>
    </w:p>
    <w:p w14:paraId="22E6FC6E" w14:textId="77777777" w:rsidR="00B926E3" w:rsidRDefault="00E21D39" w:rsidP="0098356A">
      <w:pPr>
        <w:pStyle w:val="Paragrdouble"/>
        <w:spacing w:line="276" w:lineRule="auto"/>
        <w:rPr>
          <w:rFonts w:cs="Arial"/>
        </w:rPr>
      </w:pPr>
      <w:r w:rsidRPr="00103606">
        <w:rPr>
          <w:rFonts w:cs="Arial"/>
        </w:rPr>
        <w:t>À mon sens, ces allégations</w:t>
      </w:r>
      <w:r>
        <w:rPr>
          <w:rStyle w:val="Appelnotedebasdep"/>
          <w:rFonts w:cs="Arial"/>
        </w:rPr>
        <w:footnoteReference w:id="79"/>
      </w:r>
      <w:r w:rsidRPr="00103606">
        <w:rPr>
          <w:rFonts w:cs="Arial"/>
        </w:rPr>
        <w:t>, ainsi que la preuve à l’appui</w:t>
      </w:r>
      <w:r w:rsidR="00716E3E" w:rsidRPr="00103606">
        <w:rPr>
          <w:rFonts w:cs="Arial"/>
        </w:rPr>
        <w:t xml:space="preserve">, </w:t>
      </w:r>
      <w:r w:rsidRPr="00103606">
        <w:rPr>
          <w:rFonts w:cs="Arial"/>
        </w:rPr>
        <w:t>sont suffisantes pour avancer une cause défendable à l’égard de Lippmann</w:t>
      </w:r>
      <w:r w:rsidR="00A63BFD">
        <w:rPr>
          <w:rFonts w:cs="Arial"/>
        </w:rPr>
        <w:t>,</w:t>
      </w:r>
      <w:r w:rsidRPr="00103606">
        <w:rPr>
          <w:rFonts w:cs="Arial"/>
        </w:rPr>
        <w:t xml:space="preserve"> que ce dernier était impliqué dans le schème et aurait enfreint les articles 21(b) (1) et 23(1) du </w:t>
      </w:r>
      <w:r w:rsidR="001C1544" w:rsidRPr="00573001">
        <w:rPr>
          <w:rFonts w:cs="Arial"/>
        </w:rPr>
        <w:t>C.cr.</w:t>
      </w:r>
      <w:r w:rsidRPr="008A17B0">
        <w:rPr>
          <w:rFonts w:cs="Arial"/>
        </w:rPr>
        <w:t>,</w:t>
      </w:r>
      <w:r w:rsidRPr="00103606">
        <w:rPr>
          <w:rFonts w:cs="Arial"/>
        </w:rPr>
        <w:t xml:space="preserve"> de manière à </w:t>
      </w:r>
      <w:r w:rsidR="003E590B" w:rsidRPr="00103606">
        <w:rPr>
          <w:rFonts w:cs="Arial"/>
        </w:rPr>
        <w:t>entraîner</w:t>
      </w:r>
      <w:r w:rsidRPr="00103606">
        <w:rPr>
          <w:rFonts w:cs="Arial"/>
        </w:rPr>
        <w:t xml:space="preserve"> sa responsabilité extracontractuelle au sens de l’article 1457 C.c.Q. </w:t>
      </w:r>
    </w:p>
    <w:p w14:paraId="126EBE96" w14:textId="77777777" w:rsidR="00AA08C2" w:rsidRPr="00103606" w:rsidRDefault="00E21D39" w:rsidP="0098356A">
      <w:pPr>
        <w:pStyle w:val="Paragrdouble"/>
        <w:spacing w:line="276" w:lineRule="auto"/>
        <w:rPr>
          <w:rFonts w:cs="Arial"/>
        </w:rPr>
      </w:pPr>
      <w:r w:rsidRPr="00AA08C2">
        <w:rPr>
          <w:rFonts w:cs="Arial"/>
        </w:rPr>
        <w:t xml:space="preserve">Le fait que seule S.N. ait une cause d’action contre Lippmann n’est pas par ailleurs limitatif à ce stade d’autorisation de la demande. Depuis l’arrêt </w:t>
      </w:r>
      <w:r w:rsidRPr="00AA08C2">
        <w:rPr>
          <w:rFonts w:cs="Arial"/>
          <w:i/>
          <w:iCs/>
        </w:rPr>
        <w:t>Banque de Montréal c. Marcotte</w:t>
      </w:r>
      <w:r w:rsidRPr="00AA08C2">
        <w:rPr>
          <w:rFonts w:cs="Arial"/>
        </w:rPr>
        <w:t>, il n’est pas nécessaire que chaque membre du groupe possède une cause d’action personnelle contre chacun des défendeurs</w:t>
      </w:r>
      <w:r>
        <w:rPr>
          <w:rStyle w:val="Appelnotedebasdep"/>
          <w:rFonts w:cs="Arial"/>
        </w:rPr>
        <w:footnoteReference w:id="80"/>
      </w:r>
      <w:r w:rsidRPr="00AA08C2">
        <w:rPr>
          <w:rFonts w:cs="Arial"/>
        </w:rPr>
        <w:t>.</w:t>
      </w:r>
    </w:p>
    <w:p w14:paraId="3D9243EE" w14:textId="77777777" w:rsidR="00381DC1" w:rsidRPr="00103606" w:rsidRDefault="00E21D39" w:rsidP="001161DB">
      <w:pPr>
        <w:pStyle w:val="Paragrdouble"/>
        <w:spacing w:line="276" w:lineRule="auto"/>
        <w:rPr>
          <w:rFonts w:cs="Arial"/>
        </w:rPr>
      </w:pPr>
      <w:r w:rsidRPr="00103606">
        <w:rPr>
          <w:rFonts w:cs="Arial"/>
        </w:rPr>
        <w:t>Enfin, je souligne ici que pour ce qui est des préjudices causés et du lien de causalité, les allégations de S.N. quant à Lippmann sont claires et précises, et doivent être tenues pour avérées. Je considère donc que la cause défendable est établie à ce stade quant à Lippmann.</w:t>
      </w:r>
    </w:p>
    <w:p w14:paraId="2F44C738" w14:textId="77777777" w:rsidR="00716E3E" w:rsidRPr="00103606" w:rsidRDefault="00E21D39" w:rsidP="009F319B">
      <w:pPr>
        <w:pStyle w:val="Titre4"/>
        <w:numPr>
          <w:ilvl w:val="1"/>
          <w:numId w:val="21"/>
        </w:numPr>
        <w:ind w:left="1134"/>
        <w:rPr>
          <w:rFonts w:cs="Arial"/>
        </w:rPr>
      </w:pPr>
      <w:bookmarkStart w:id="46" w:name="_Toc256000017"/>
      <w:bookmarkStart w:id="47" w:name="_Toc187475776"/>
      <w:r w:rsidRPr="00103606">
        <w:rPr>
          <w:rFonts w:cs="Arial"/>
        </w:rPr>
        <w:t xml:space="preserve">L’existence d’une </w:t>
      </w:r>
      <w:r w:rsidR="00327CE3" w:rsidRPr="00103606">
        <w:rPr>
          <w:rFonts w:cs="Arial"/>
        </w:rPr>
        <w:t>cause défendable envers</w:t>
      </w:r>
      <w:r w:rsidRPr="00103606">
        <w:rPr>
          <w:rFonts w:cs="Arial"/>
        </w:rPr>
        <w:t xml:space="preserve"> Future</w:t>
      </w:r>
      <w:bookmarkEnd w:id="46"/>
      <w:bookmarkEnd w:id="47"/>
      <w:r w:rsidRPr="00103606">
        <w:rPr>
          <w:rFonts w:cs="Arial"/>
        </w:rPr>
        <w:t xml:space="preserve"> </w:t>
      </w:r>
    </w:p>
    <w:p w14:paraId="7C9B8D4D" w14:textId="77777777" w:rsidR="00977F74" w:rsidRDefault="00E21D39" w:rsidP="00977F74">
      <w:pPr>
        <w:pStyle w:val="Paragrdouble"/>
        <w:spacing w:line="276" w:lineRule="auto"/>
        <w:rPr>
          <w:rFonts w:cs="Arial"/>
        </w:rPr>
      </w:pPr>
      <w:r w:rsidRPr="004F16E0">
        <w:rPr>
          <w:rFonts w:cs="Arial"/>
        </w:rPr>
        <w:t xml:space="preserve"> </w:t>
      </w:r>
      <w:r>
        <w:rPr>
          <w:rFonts w:cs="Arial"/>
        </w:rPr>
        <w:t>Les codemanderesses</w:t>
      </w:r>
      <w:r w:rsidRPr="004F16E0">
        <w:rPr>
          <w:rFonts w:cs="Arial"/>
        </w:rPr>
        <w:t xml:space="preserve"> demande</w:t>
      </w:r>
      <w:r>
        <w:rPr>
          <w:rFonts w:cs="Arial"/>
        </w:rPr>
        <w:t>nt</w:t>
      </w:r>
      <w:r w:rsidRPr="004F16E0">
        <w:rPr>
          <w:rFonts w:cs="Arial"/>
        </w:rPr>
        <w:t xml:space="preserve"> également de conclure à la responsabilité de </w:t>
      </w:r>
      <w:r>
        <w:rPr>
          <w:rFonts w:cs="Arial"/>
        </w:rPr>
        <w:t>Future</w:t>
      </w:r>
      <w:r w:rsidRPr="004F16E0">
        <w:rPr>
          <w:rFonts w:cs="Arial"/>
        </w:rPr>
        <w:t xml:space="preserve">, </w:t>
      </w:r>
      <w:r w:rsidR="00495003">
        <w:rPr>
          <w:rFonts w:cs="Arial"/>
        </w:rPr>
        <w:t xml:space="preserve">indirectement et </w:t>
      </w:r>
      <w:r w:rsidRPr="004F16E0">
        <w:rPr>
          <w:rFonts w:cs="Arial"/>
        </w:rPr>
        <w:t xml:space="preserve">à titre de commettante, pour les </w:t>
      </w:r>
      <w:r>
        <w:rPr>
          <w:rFonts w:cs="Arial"/>
        </w:rPr>
        <w:t>violences</w:t>
      </w:r>
      <w:r w:rsidRPr="004F16E0">
        <w:rPr>
          <w:rFonts w:cs="Arial"/>
        </w:rPr>
        <w:t xml:space="preserve"> sexuel</w:t>
      </w:r>
      <w:r>
        <w:rPr>
          <w:rFonts w:cs="Arial"/>
        </w:rPr>
        <w:t>le</w:t>
      </w:r>
      <w:r w:rsidRPr="004F16E0">
        <w:rPr>
          <w:rFonts w:cs="Arial"/>
        </w:rPr>
        <w:t>s qui auraient été commis</w:t>
      </w:r>
      <w:r>
        <w:rPr>
          <w:rFonts w:cs="Arial"/>
        </w:rPr>
        <w:t>es</w:t>
      </w:r>
      <w:r w:rsidRPr="004F16E0">
        <w:rPr>
          <w:rFonts w:cs="Arial"/>
        </w:rPr>
        <w:t xml:space="preserve"> par </w:t>
      </w:r>
      <w:r>
        <w:rPr>
          <w:rFonts w:cs="Arial"/>
        </w:rPr>
        <w:t>ses employés Abrams et Lippmann</w:t>
      </w:r>
      <w:r w:rsidRPr="004F16E0">
        <w:rPr>
          <w:rFonts w:cs="Arial"/>
        </w:rPr>
        <w:t xml:space="preserve">. Pour étayer le syllogisme juridique requis afin de pouvoir soutenir l’existence d’une responsabilité pour le fait d’autrui, </w:t>
      </w:r>
      <w:r>
        <w:rPr>
          <w:rFonts w:cs="Arial"/>
        </w:rPr>
        <w:t>elles</w:t>
      </w:r>
      <w:r w:rsidRPr="004F16E0">
        <w:rPr>
          <w:rFonts w:cs="Arial"/>
        </w:rPr>
        <w:t xml:space="preserve"> devai</w:t>
      </w:r>
      <w:r>
        <w:rPr>
          <w:rFonts w:cs="Arial"/>
        </w:rPr>
        <w:t>en</w:t>
      </w:r>
      <w:r w:rsidRPr="004F16E0">
        <w:rPr>
          <w:rFonts w:cs="Arial"/>
        </w:rPr>
        <w:t xml:space="preserve">t alléguer </w:t>
      </w:r>
      <w:r w:rsidR="00495003">
        <w:rPr>
          <w:rFonts w:cs="Arial"/>
        </w:rPr>
        <w:t xml:space="preserve">– et c’est bien ce qu’elles ont fait – </w:t>
      </w:r>
      <w:r w:rsidRPr="004F16E0">
        <w:rPr>
          <w:rFonts w:cs="Arial"/>
        </w:rPr>
        <w:t xml:space="preserve">que des </w:t>
      </w:r>
      <w:r>
        <w:rPr>
          <w:rFonts w:cs="Arial"/>
        </w:rPr>
        <w:t>employés de Future</w:t>
      </w:r>
      <w:r w:rsidRPr="004F16E0">
        <w:rPr>
          <w:rFonts w:cs="Arial"/>
        </w:rPr>
        <w:t xml:space="preserve"> étaient des préposés ayant commis des fautes dans l’exécution de leurs fonctions</w:t>
      </w:r>
      <w:r>
        <w:rPr>
          <w:rFonts w:cs="Arial"/>
        </w:rPr>
        <w:t>, en vertu de l’</w:t>
      </w:r>
      <w:r w:rsidRPr="004F16E0">
        <w:rPr>
          <w:rFonts w:cs="Arial"/>
        </w:rPr>
        <w:t xml:space="preserve">art. 1463 C.c.Q. </w:t>
      </w:r>
    </w:p>
    <w:p w14:paraId="7688BAA1" w14:textId="77777777" w:rsidR="00232DA7" w:rsidRPr="00977F74" w:rsidRDefault="00E21D39" w:rsidP="00977F74">
      <w:pPr>
        <w:pStyle w:val="Paragrdouble"/>
        <w:spacing w:line="276" w:lineRule="auto"/>
        <w:rPr>
          <w:rFonts w:cs="Arial"/>
        </w:rPr>
      </w:pPr>
      <w:r w:rsidRPr="00977F74">
        <w:rPr>
          <w:rFonts w:cs="Arial"/>
        </w:rPr>
        <w:t xml:space="preserve">Future est une compagnie que Miller a </w:t>
      </w:r>
      <w:r w:rsidR="00E8062D" w:rsidRPr="00977F74">
        <w:rPr>
          <w:rFonts w:cs="Arial"/>
        </w:rPr>
        <w:t>fondée</w:t>
      </w:r>
      <w:r w:rsidRPr="00977F74">
        <w:rPr>
          <w:rFonts w:cs="Arial"/>
        </w:rPr>
        <w:t xml:space="preserve"> en 1968 et dirigé</w:t>
      </w:r>
      <w:r w:rsidR="00977F74">
        <w:rPr>
          <w:rFonts w:cs="Arial"/>
        </w:rPr>
        <w:t>e</w:t>
      </w:r>
      <w:r w:rsidRPr="00977F74">
        <w:rPr>
          <w:rFonts w:cs="Arial"/>
        </w:rPr>
        <w:t xml:space="preserve"> jusqu’à février 2023. Elle est spécialisée dans la distribution de composantes électriques et électromécaniques. </w:t>
      </w:r>
      <w:r w:rsidR="0009162B" w:rsidRPr="00977F74">
        <w:rPr>
          <w:rFonts w:cs="Arial"/>
        </w:rPr>
        <w:t xml:space="preserve">Le 14 septembre 2023, la société WT Microelectronics, dont le siège social est à Taïwan, annonce qu'elle a acheté 100 % des actions de Future pour </w:t>
      </w:r>
      <w:r w:rsidR="00DE26D0">
        <w:rPr>
          <w:rFonts w:cs="Arial"/>
        </w:rPr>
        <w:br/>
      </w:r>
      <w:r w:rsidR="0009162B" w:rsidRPr="00977F74">
        <w:rPr>
          <w:rFonts w:cs="Arial"/>
        </w:rPr>
        <w:t>3,8</w:t>
      </w:r>
      <w:r w:rsidR="00DE26D0">
        <w:rPr>
          <w:rFonts w:cs="Arial"/>
        </w:rPr>
        <w:t> </w:t>
      </w:r>
      <w:r w:rsidR="0009162B" w:rsidRPr="00977F74">
        <w:rPr>
          <w:rFonts w:cs="Arial"/>
        </w:rPr>
        <w:t>milliards de dollars</w:t>
      </w:r>
      <w:r>
        <w:rPr>
          <w:rStyle w:val="Appelnotedebasdep"/>
          <w:rFonts w:cs="Arial"/>
        </w:rPr>
        <w:footnoteReference w:id="81"/>
      </w:r>
      <w:r w:rsidR="0009162B" w:rsidRPr="00977F74">
        <w:rPr>
          <w:rFonts w:cs="Arial"/>
        </w:rPr>
        <w:t>.</w:t>
      </w:r>
    </w:p>
    <w:p w14:paraId="766CB5D6" w14:textId="77777777" w:rsidR="00977F74" w:rsidRPr="00977F74" w:rsidRDefault="00E21D39" w:rsidP="00977F74">
      <w:pPr>
        <w:pStyle w:val="Paragrdouble"/>
        <w:spacing w:line="276" w:lineRule="auto"/>
        <w:rPr>
          <w:rFonts w:cs="Arial"/>
        </w:rPr>
      </w:pPr>
      <w:r>
        <w:rPr>
          <w:rFonts w:cs="Arial"/>
        </w:rPr>
        <w:t>Les codemanderesses réfèrent, dans la Sixième Demande, au</w:t>
      </w:r>
      <w:r w:rsidR="00294F8D" w:rsidRPr="00103606">
        <w:rPr>
          <w:rFonts w:cs="Arial"/>
        </w:rPr>
        <w:t xml:space="preserve"> reportage d’</w:t>
      </w:r>
      <w:r w:rsidR="00294F8D" w:rsidRPr="00573001">
        <w:rPr>
          <w:rFonts w:cs="Arial"/>
          <w:i/>
          <w:iCs/>
        </w:rPr>
        <w:t>Enquête</w:t>
      </w:r>
      <w:r w:rsidR="00294F8D" w:rsidRPr="00103606">
        <w:rPr>
          <w:rFonts w:cs="Arial"/>
        </w:rPr>
        <w:t xml:space="preserve"> </w:t>
      </w:r>
      <w:r>
        <w:rPr>
          <w:rFonts w:cs="Arial"/>
        </w:rPr>
        <w:t xml:space="preserve">qui </w:t>
      </w:r>
      <w:r w:rsidR="00294F8D" w:rsidRPr="00103606">
        <w:rPr>
          <w:rFonts w:cs="Arial"/>
        </w:rPr>
        <w:t>explique que pour mettre en place son système, Miller se serait entouré d’un groupe d’hommes payés pour l’organiser et dissimuler ses activités illégales. Selon les journalistes, « Plusieurs avaient un lien direct avec Future Electronics ».</w:t>
      </w:r>
      <w:r w:rsidR="00AB78FD" w:rsidRPr="00103606">
        <w:rPr>
          <w:rFonts w:cs="Arial"/>
        </w:rPr>
        <w:t xml:space="preserve"> </w:t>
      </w:r>
      <w:r w:rsidR="00033AEF">
        <w:rPr>
          <w:rFonts w:cs="Arial"/>
        </w:rPr>
        <w:br/>
      </w:r>
      <w:r>
        <w:rPr>
          <w:rFonts w:cs="Arial"/>
        </w:rPr>
        <w:t xml:space="preserve">Elles allèguent également que </w:t>
      </w:r>
      <w:r w:rsidRPr="00977F74">
        <w:rPr>
          <w:rFonts w:cs="Arial"/>
        </w:rPr>
        <w:t>Abrams e</w:t>
      </w:r>
      <w:r>
        <w:rPr>
          <w:rFonts w:cs="Arial"/>
        </w:rPr>
        <w:t>t Lippmann étaient employés par Future durant toutes les années pertinentes</w:t>
      </w:r>
      <w:r>
        <w:rPr>
          <w:rStyle w:val="Appelnotedebasdep"/>
          <w:rFonts w:cs="Arial"/>
        </w:rPr>
        <w:footnoteReference w:id="82"/>
      </w:r>
      <w:r>
        <w:rPr>
          <w:rFonts w:cs="Arial"/>
        </w:rPr>
        <w:t>.</w:t>
      </w:r>
    </w:p>
    <w:p w14:paraId="4388BC9E" w14:textId="3FD69E6D" w:rsidR="008573E6" w:rsidRPr="008573E6" w:rsidRDefault="00E21D39" w:rsidP="008573E6">
      <w:pPr>
        <w:pStyle w:val="Paragrdouble"/>
        <w:spacing w:line="276" w:lineRule="auto"/>
        <w:rPr>
          <w:rFonts w:cs="Arial"/>
        </w:rPr>
      </w:pPr>
      <w:r w:rsidRPr="00103606">
        <w:rPr>
          <w:rFonts w:cs="Arial"/>
        </w:rPr>
        <w:t xml:space="preserve">S.N. allègue que les rendez-vous qu’elle a eus avec Miller ont eu lieu dans des hôtels de Montréal et </w:t>
      </w:r>
      <w:r w:rsidR="00E20DD6">
        <w:rPr>
          <w:rFonts w:cs="Arial"/>
        </w:rPr>
        <w:t xml:space="preserve">que </w:t>
      </w:r>
      <w:r w:rsidRPr="00103606">
        <w:rPr>
          <w:rFonts w:cs="Arial"/>
        </w:rPr>
        <w:t xml:space="preserve">Lippmann l’a aidée à louer un appartement à la demande de Miller. B.N. prétend, quant à elle, que les rendez-vous ont eu lieu à l’hôtel Reine Élizabeth et au </w:t>
      </w:r>
      <w:r>
        <w:rPr>
          <w:rFonts w:cs="Arial"/>
        </w:rPr>
        <w:t>[...]</w:t>
      </w:r>
      <w:r w:rsidRPr="00103606">
        <w:rPr>
          <w:rFonts w:cs="Arial"/>
        </w:rPr>
        <w:t>, période durant laquelle cette maison aurait été louée par Lippmann aux frais de Future</w:t>
      </w:r>
      <w:r>
        <w:rPr>
          <w:rStyle w:val="Appelnotedebasdep"/>
          <w:rFonts w:cs="Arial"/>
        </w:rPr>
        <w:footnoteReference w:id="83"/>
      </w:r>
      <w:r w:rsidRPr="00103606">
        <w:rPr>
          <w:rFonts w:cs="Arial"/>
        </w:rPr>
        <w:t xml:space="preserve">. </w:t>
      </w:r>
      <w:r>
        <w:rPr>
          <w:rFonts w:cs="Arial"/>
        </w:rPr>
        <w:t>Ces faits sont pris pour avérés.</w:t>
      </w:r>
    </w:p>
    <w:p w14:paraId="6FB8C633" w14:textId="3F60A9C5" w:rsidR="004F69DF" w:rsidRDefault="00E21D39" w:rsidP="004F69DF">
      <w:pPr>
        <w:pStyle w:val="Paragrdouble"/>
        <w:spacing w:line="276" w:lineRule="auto"/>
        <w:rPr>
          <w:rFonts w:cs="Arial"/>
        </w:rPr>
      </w:pPr>
      <w:r>
        <w:rPr>
          <w:rFonts w:cs="Arial"/>
        </w:rPr>
        <w:t xml:space="preserve">Les codemanderesses </w:t>
      </w:r>
      <w:r w:rsidRPr="00103606">
        <w:rPr>
          <w:rFonts w:cs="Arial"/>
        </w:rPr>
        <w:t xml:space="preserve">prétendent que Future a fourni de l’argent et des ressources et/ou a payé pour des lieux ayant permis de tenir les actes de violence sexuelle, en outre des chambres d’hôtel et la maison du </w:t>
      </w:r>
      <w:r>
        <w:rPr>
          <w:rFonts w:cs="Arial"/>
        </w:rPr>
        <w:t>[...]</w:t>
      </w:r>
      <w:r w:rsidRPr="00103606">
        <w:rPr>
          <w:rFonts w:cs="Arial"/>
        </w:rPr>
        <w:t>. Elles ajoutent que puisque Miller n’a pas de compte bancaire, il est inévitable que le paiement pour ces lieux a</w:t>
      </w:r>
      <w:r w:rsidR="007845FD">
        <w:rPr>
          <w:rFonts w:cs="Arial"/>
        </w:rPr>
        <w:t>it</w:t>
      </w:r>
      <w:r w:rsidRPr="00103606">
        <w:rPr>
          <w:rFonts w:cs="Arial"/>
        </w:rPr>
        <w:t xml:space="preserve"> été fait par Future. </w:t>
      </w:r>
    </w:p>
    <w:p w14:paraId="1E987356" w14:textId="77777777" w:rsidR="00AB78FD" w:rsidRDefault="00E21D39" w:rsidP="004F69DF">
      <w:pPr>
        <w:pStyle w:val="Paragrdouble"/>
        <w:spacing w:line="276" w:lineRule="auto"/>
        <w:rPr>
          <w:rFonts w:cs="Arial"/>
        </w:rPr>
      </w:pPr>
      <w:r>
        <w:rPr>
          <w:rFonts w:cs="Arial"/>
        </w:rPr>
        <w:t xml:space="preserve">Elles </w:t>
      </w:r>
      <w:r w:rsidRPr="004F69DF">
        <w:rPr>
          <w:rFonts w:cs="Arial"/>
        </w:rPr>
        <w:t xml:space="preserve">allèguent que Miller a impliqué plusieurs des employés de Future dans la commission de ses activités illégales. Selon elles, ces employés recevaient des instructions directes de leur patron, Miller, dans le cadre de leurs fonctions. </w:t>
      </w:r>
      <w:r w:rsidRPr="00103606">
        <w:rPr>
          <w:rFonts w:cs="Arial"/>
        </w:rPr>
        <w:t xml:space="preserve">Abrams et Lippmann, </w:t>
      </w:r>
      <w:r>
        <w:rPr>
          <w:rFonts w:cs="Arial"/>
        </w:rPr>
        <w:t xml:space="preserve">entre autres, </w:t>
      </w:r>
      <w:r w:rsidRPr="00103606">
        <w:rPr>
          <w:rFonts w:cs="Arial"/>
        </w:rPr>
        <w:t xml:space="preserve">auraient été mandatés par Miller </w:t>
      </w:r>
      <w:r>
        <w:rPr>
          <w:rFonts w:cs="Arial"/>
        </w:rPr>
        <w:t xml:space="preserve">comme </w:t>
      </w:r>
      <w:r w:rsidRPr="00103606">
        <w:rPr>
          <w:rFonts w:cs="Arial"/>
        </w:rPr>
        <w:t>employés de Futur</w:t>
      </w:r>
      <w:r>
        <w:rPr>
          <w:rFonts w:cs="Arial"/>
        </w:rPr>
        <w:t>e</w:t>
      </w:r>
      <w:r w:rsidRPr="00103606">
        <w:rPr>
          <w:rFonts w:cs="Arial"/>
        </w:rPr>
        <w:t xml:space="preserve"> pour l’assister dans la réalisation des actes reprochés. </w:t>
      </w:r>
      <w:r>
        <w:rPr>
          <w:rFonts w:cs="Arial"/>
        </w:rPr>
        <w:t>De plus, leur carrière aurait été promue</w:t>
      </w:r>
      <w:r w:rsidRPr="00103606">
        <w:rPr>
          <w:rFonts w:cs="Arial"/>
        </w:rPr>
        <w:t xml:space="preserve"> </w:t>
      </w:r>
      <w:r>
        <w:rPr>
          <w:rFonts w:cs="Arial"/>
        </w:rPr>
        <w:t>au sein de la société</w:t>
      </w:r>
      <w:r w:rsidRPr="00103606">
        <w:rPr>
          <w:rFonts w:cs="Arial"/>
        </w:rPr>
        <w:t xml:space="preserve"> par suite de leur participation aux activités en cause, et à cause de leur loyauté à Miller</w:t>
      </w:r>
      <w:r>
        <w:rPr>
          <w:rStyle w:val="Appelnotedebasdep"/>
          <w:rFonts w:cs="Arial"/>
        </w:rPr>
        <w:footnoteReference w:id="84"/>
      </w:r>
      <w:r w:rsidRPr="00103606">
        <w:rPr>
          <w:rFonts w:cs="Arial"/>
        </w:rPr>
        <w:t>.</w:t>
      </w:r>
      <w:r>
        <w:rPr>
          <w:rFonts w:cs="Arial"/>
        </w:rPr>
        <w:t xml:space="preserve"> </w:t>
      </w:r>
      <w:r w:rsidRPr="004F69DF">
        <w:rPr>
          <w:rFonts w:cs="Arial"/>
        </w:rPr>
        <w:t xml:space="preserve">Ainsi, Future </w:t>
      </w:r>
      <w:r>
        <w:rPr>
          <w:rFonts w:cs="Arial"/>
        </w:rPr>
        <w:t xml:space="preserve">serait responsable </w:t>
      </w:r>
      <w:r w:rsidRPr="004F69DF">
        <w:rPr>
          <w:rFonts w:cs="Arial"/>
        </w:rPr>
        <w:t xml:space="preserve">comme </w:t>
      </w:r>
      <w:r>
        <w:rPr>
          <w:rFonts w:cs="Arial"/>
        </w:rPr>
        <w:t>commettant</w:t>
      </w:r>
      <w:r w:rsidRPr="004F69DF">
        <w:rPr>
          <w:rFonts w:cs="Arial"/>
        </w:rPr>
        <w:t xml:space="preserve"> en vertu de l’article 1463 C.c.Q. </w:t>
      </w:r>
    </w:p>
    <w:p w14:paraId="598D77CB" w14:textId="77777777" w:rsidR="00977F74" w:rsidRPr="00586CAB" w:rsidRDefault="00E21D39" w:rsidP="00586CAB">
      <w:pPr>
        <w:pStyle w:val="Paragrdouble"/>
        <w:spacing w:line="276" w:lineRule="auto"/>
        <w:rPr>
          <w:rFonts w:cs="Arial"/>
        </w:rPr>
      </w:pPr>
      <w:r>
        <w:t>L’article 1463 C.c.Q. prévoit que le commettant est « tenu de réparer le préjudice causé par la faute de ses préposés dans l’exécution de leurs fonctions ». L</w:t>
      </w:r>
      <w:r w:rsidRPr="00977F74">
        <w:t>'établissement de la responsabilité du commettant requiert la preuve, par la victime, de trois conditions essentielles: la faute du préposé, un lien de préposition entre celui-ci et le commettant et le fait que la faute ait été commise dans le cadre de l'exécution de ses fonctions</w:t>
      </w:r>
      <w:r>
        <w:rPr>
          <w:rStyle w:val="Appelnotedebasdep"/>
          <w:rFonts w:cs="Arial"/>
        </w:rPr>
        <w:footnoteReference w:id="85"/>
      </w:r>
      <w:r w:rsidRPr="00977F74">
        <w:t xml:space="preserve">. </w:t>
      </w:r>
      <w:r w:rsidR="00586CAB" w:rsidRPr="00586CAB">
        <w:t xml:space="preserve">Une fois ces conditions réunies, le </w:t>
      </w:r>
      <w:r w:rsidR="00586CAB" w:rsidRPr="008573E6">
        <w:rPr>
          <w:i/>
          <w:iCs/>
        </w:rPr>
        <w:t>Code civil du Québec</w:t>
      </w:r>
      <w:r w:rsidR="00586CAB" w:rsidRPr="00586CAB">
        <w:t xml:space="preserve"> établit une présomption irréfragable de responsabilité fond</w:t>
      </w:r>
      <w:r w:rsidR="00586CAB">
        <w:t>ée</w:t>
      </w:r>
      <w:r w:rsidR="00586CAB" w:rsidRPr="00586CAB">
        <w:t xml:space="preserve"> sur l'attribution du risque de l'activité du commettant</w:t>
      </w:r>
      <w:r>
        <w:rPr>
          <w:rStyle w:val="Appelnotedebasdep"/>
          <w:rFonts w:cs="Arial"/>
        </w:rPr>
        <w:footnoteReference w:id="86"/>
      </w:r>
      <w:r w:rsidR="00586CAB">
        <w:t xml:space="preserve">. J’ajoute que </w:t>
      </w:r>
      <w:r w:rsidR="00586CAB">
        <w:rPr>
          <w:rFonts w:cs="Arial"/>
        </w:rPr>
        <w:t>l</w:t>
      </w:r>
      <w:r w:rsidR="00586CAB" w:rsidRPr="00586CAB">
        <w:rPr>
          <w:rFonts w:cs="Arial"/>
        </w:rPr>
        <w:t>e caractère criminel ou illégal de la faute commise n’exempte pas nécessairement la présomption de responsabilité du commettant</w:t>
      </w:r>
      <w:r>
        <w:rPr>
          <w:rStyle w:val="Appelnotedebasdep"/>
          <w:rFonts w:cs="Arial"/>
        </w:rPr>
        <w:footnoteReference w:id="87"/>
      </w:r>
      <w:r w:rsidR="00586CAB">
        <w:rPr>
          <w:rFonts w:cs="Arial"/>
        </w:rPr>
        <w:t xml:space="preserve">. </w:t>
      </w:r>
      <w:r w:rsidR="00586CAB" w:rsidRPr="00586CAB">
        <w:rPr>
          <w:rFonts w:cs="Arial"/>
        </w:rPr>
        <w:t>L’analyse</w:t>
      </w:r>
      <w:r w:rsidR="00586CAB">
        <w:rPr>
          <w:rFonts w:cs="Arial"/>
        </w:rPr>
        <w:t xml:space="preserve"> du concept</w:t>
      </w:r>
      <w:r w:rsidR="00586CAB" w:rsidRPr="008573E6">
        <w:rPr>
          <w:rFonts w:cs="Arial"/>
          <w:i/>
          <w:iCs/>
        </w:rPr>
        <w:t xml:space="preserve"> </w:t>
      </w:r>
      <w:r w:rsidR="00586CAB">
        <w:rPr>
          <w:rFonts w:cs="Arial"/>
          <w:i/>
          <w:iCs/>
        </w:rPr>
        <w:t>dans l’exécution</w:t>
      </w:r>
      <w:r w:rsidR="00586CAB" w:rsidRPr="008573E6">
        <w:rPr>
          <w:rFonts w:cs="Arial"/>
          <w:i/>
          <w:iCs/>
        </w:rPr>
        <w:t xml:space="preserve"> de ses fonctions</w:t>
      </w:r>
      <w:r w:rsidR="00586CAB" w:rsidRPr="00586CAB">
        <w:rPr>
          <w:rFonts w:cs="Arial"/>
        </w:rPr>
        <w:t xml:space="preserve"> focalise donc sur cette question: dans l’intérêt de qui le préposé agit-il alors qu’il </w:t>
      </w:r>
      <w:r w:rsidR="00586CAB">
        <w:rPr>
          <w:rFonts w:cs="Arial"/>
        </w:rPr>
        <w:t xml:space="preserve">fait </w:t>
      </w:r>
      <w:r w:rsidR="00586CAB" w:rsidRPr="00586CAB">
        <w:rPr>
          <w:rFonts w:cs="Arial"/>
        </w:rPr>
        <w:t>faute et cause le dommage</w:t>
      </w:r>
      <w:r>
        <w:rPr>
          <w:rStyle w:val="Appelnotedebasdep"/>
          <w:rFonts w:cs="Arial"/>
        </w:rPr>
        <w:footnoteReference w:id="88"/>
      </w:r>
      <w:r w:rsidR="00586CAB">
        <w:rPr>
          <w:rFonts w:cs="Arial"/>
        </w:rPr>
        <w:t>?</w:t>
      </w:r>
    </w:p>
    <w:p w14:paraId="23398083" w14:textId="77777777" w:rsidR="00977F74" w:rsidRDefault="00E21D39" w:rsidP="004F69DF">
      <w:pPr>
        <w:pStyle w:val="Paragrdouble"/>
        <w:spacing w:line="276" w:lineRule="auto"/>
        <w:rPr>
          <w:rFonts w:cs="Arial"/>
        </w:rPr>
      </w:pPr>
      <w:r>
        <w:rPr>
          <w:rFonts w:cs="Arial"/>
        </w:rPr>
        <w:t xml:space="preserve">Comme l’explique la Cour suprême du Canada dans l’arrêt </w:t>
      </w:r>
      <w:bookmarkStart w:id="48" w:name="_Hlk186912603"/>
      <w:r w:rsidRPr="008573E6">
        <w:rPr>
          <w:rFonts w:cs="Arial"/>
          <w:i/>
          <w:iCs/>
        </w:rPr>
        <w:t>L’Oratoire</w:t>
      </w:r>
      <w:bookmarkEnd w:id="48"/>
      <w:r>
        <w:rPr>
          <w:rFonts w:cs="Arial"/>
        </w:rPr>
        <w:t> :</w:t>
      </w:r>
    </w:p>
    <w:p w14:paraId="7003EC4A" w14:textId="77777777" w:rsidR="004F16E0" w:rsidRPr="008573E6" w:rsidRDefault="00E21D39" w:rsidP="00573001">
      <w:pPr>
        <w:pStyle w:val="Paragrdouble"/>
        <w:numPr>
          <w:ilvl w:val="0"/>
          <w:numId w:val="0"/>
        </w:numPr>
        <w:spacing w:line="240" w:lineRule="auto"/>
        <w:ind w:left="731" w:right="715"/>
        <w:rPr>
          <w:rFonts w:cs="Arial"/>
          <w:sz w:val="22"/>
          <w:szCs w:val="18"/>
        </w:rPr>
      </w:pPr>
      <w:r w:rsidRPr="008573E6">
        <w:rPr>
          <w:rFonts w:cs="Arial"/>
          <w:sz w:val="22"/>
          <w:szCs w:val="18"/>
        </w:rPr>
        <w:t xml:space="preserve">« Est un préposé celui qui agit pour le compte d’un autre, sous sa direction </w:t>
      </w:r>
      <w:r>
        <w:rPr>
          <w:rFonts w:cs="Arial"/>
          <w:sz w:val="22"/>
          <w:szCs w:val="18"/>
        </w:rPr>
        <w:t>[…]</w:t>
      </w:r>
      <w:r w:rsidRPr="008573E6">
        <w:rPr>
          <w:rFonts w:cs="Arial"/>
          <w:sz w:val="22"/>
          <w:szCs w:val="18"/>
        </w:rPr>
        <w:t xml:space="preserve"> L’un des éléments essentiels à l’établissement d’une telle forme de responsabilité est l’existence d’un lien de préposition entre le préposé et le commettant. Le critère prépondérant qui est reconnu à cet égard et permet d’appuyer cette détermination est celui du contrôle, de la surveillance et de la direction par le commettant du préposé et des activités qu’il exécute </w:t>
      </w:r>
      <w:r>
        <w:rPr>
          <w:rFonts w:cs="Arial"/>
          <w:sz w:val="22"/>
          <w:szCs w:val="18"/>
        </w:rPr>
        <w:t>[…]</w:t>
      </w:r>
      <w:r w:rsidR="00E62E0B">
        <w:rPr>
          <w:rFonts w:cs="Arial"/>
          <w:sz w:val="22"/>
          <w:szCs w:val="18"/>
        </w:rPr>
        <w:t> </w:t>
      </w:r>
      <w:r w:rsidRPr="008573E6">
        <w:rPr>
          <w:rFonts w:cs="Arial"/>
          <w:sz w:val="22"/>
          <w:szCs w:val="18"/>
        </w:rPr>
        <w:t>»</w:t>
      </w:r>
      <w:r>
        <w:rPr>
          <w:rStyle w:val="Appelnotedebasdep"/>
          <w:rFonts w:cs="Arial"/>
          <w:sz w:val="22"/>
          <w:szCs w:val="18"/>
        </w:rPr>
        <w:footnoteReference w:id="89"/>
      </w:r>
    </w:p>
    <w:p w14:paraId="618CD6C1" w14:textId="77777777" w:rsidR="00977F74" w:rsidRPr="00103606" w:rsidRDefault="00E21D39" w:rsidP="00315AE7">
      <w:pPr>
        <w:pStyle w:val="Paragrdouble"/>
        <w:spacing w:line="276" w:lineRule="auto"/>
        <w:rPr>
          <w:rFonts w:cs="Arial"/>
        </w:rPr>
      </w:pPr>
      <w:r>
        <w:rPr>
          <w:rFonts w:cs="Arial"/>
        </w:rPr>
        <w:t xml:space="preserve">Je suis d’avis qu’il existe un support factuel </w:t>
      </w:r>
      <w:r w:rsidR="00586CAB">
        <w:rPr>
          <w:rFonts w:cs="Arial"/>
        </w:rPr>
        <w:t xml:space="preserve">pour la responsabilité de Future comme commettant </w:t>
      </w:r>
      <w:r>
        <w:rPr>
          <w:rFonts w:cs="Arial"/>
        </w:rPr>
        <w:t xml:space="preserve">dans les allégations des codemanderesses, appuyées des pièces </w:t>
      </w:r>
      <w:r w:rsidR="0073181B">
        <w:rPr>
          <w:rFonts w:cs="Arial"/>
        </w:rPr>
        <w:br/>
      </w:r>
      <w:r>
        <w:rPr>
          <w:rFonts w:cs="Arial"/>
        </w:rPr>
        <w:t>à leur soutien.</w:t>
      </w:r>
    </w:p>
    <w:p w14:paraId="73179E53" w14:textId="77777777" w:rsidR="001F72FA" w:rsidRPr="00103606" w:rsidRDefault="00E21D39" w:rsidP="001F72FA">
      <w:pPr>
        <w:pStyle w:val="Paragrdouble"/>
        <w:spacing w:line="276" w:lineRule="auto"/>
        <w:rPr>
          <w:rFonts w:cs="Arial"/>
        </w:rPr>
      </w:pPr>
      <w:r w:rsidRPr="00103606">
        <w:rPr>
          <w:rFonts w:cs="Arial"/>
        </w:rPr>
        <w:t>L</w:t>
      </w:r>
      <w:r>
        <w:rPr>
          <w:rFonts w:cs="Arial"/>
        </w:rPr>
        <w:t>es</w:t>
      </w:r>
      <w:r w:rsidRPr="00103606">
        <w:rPr>
          <w:rFonts w:cs="Arial"/>
        </w:rPr>
        <w:t xml:space="preserve"> faute</w:t>
      </w:r>
      <w:r>
        <w:rPr>
          <w:rFonts w:cs="Arial"/>
        </w:rPr>
        <w:t>s</w:t>
      </w:r>
      <w:r w:rsidRPr="00103606">
        <w:rPr>
          <w:rFonts w:cs="Arial"/>
        </w:rPr>
        <w:t xml:space="preserve"> de Abrams, alors Vice-président exécutif</w:t>
      </w:r>
      <w:r w:rsidR="008E61F6">
        <w:rPr>
          <w:rFonts w:cs="Arial"/>
        </w:rPr>
        <w:t xml:space="preserve"> de Future</w:t>
      </w:r>
      <w:r w:rsidRPr="00103606">
        <w:rPr>
          <w:rFonts w:cs="Arial"/>
        </w:rPr>
        <w:t>, et de Lippmann, également alors Vice-président exécutif</w:t>
      </w:r>
      <w:r w:rsidR="008E61F6">
        <w:rPr>
          <w:rFonts w:cs="Arial"/>
        </w:rPr>
        <w:t xml:space="preserve"> de Future</w:t>
      </w:r>
      <w:r w:rsidRPr="00103606">
        <w:rPr>
          <w:rFonts w:cs="Arial"/>
        </w:rPr>
        <w:t xml:space="preserve">, </w:t>
      </w:r>
      <w:r>
        <w:rPr>
          <w:rFonts w:cs="Arial"/>
        </w:rPr>
        <w:t>sont</w:t>
      </w:r>
      <w:r w:rsidRPr="00103606">
        <w:rPr>
          <w:rFonts w:cs="Arial"/>
        </w:rPr>
        <w:t xml:space="preserve"> établie</w:t>
      </w:r>
      <w:r>
        <w:rPr>
          <w:rFonts w:cs="Arial"/>
        </w:rPr>
        <w:t>s</w:t>
      </w:r>
      <w:r w:rsidRPr="00103606">
        <w:rPr>
          <w:rFonts w:cs="Arial"/>
        </w:rPr>
        <w:t xml:space="preserve"> </w:t>
      </w:r>
      <w:r w:rsidRPr="00103606">
        <w:rPr>
          <w:rFonts w:cs="Arial"/>
          <w:i/>
          <w:iCs/>
        </w:rPr>
        <w:t>prima facie</w:t>
      </w:r>
      <w:r w:rsidRPr="00103606">
        <w:rPr>
          <w:rFonts w:cs="Arial"/>
        </w:rPr>
        <w:t>, tel qu’énoncé ci-haut. Il suffi</w:t>
      </w:r>
      <w:r w:rsidR="00495003">
        <w:rPr>
          <w:rFonts w:cs="Arial"/>
        </w:rPr>
        <w:t>sait</w:t>
      </w:r>
      <w:r w:rsidRPr="00103606">
        <w:rPr>
          <w:rFonts w:cs="Arial"/>
        </w:rPr>
        <w:t xml:space="preserve">, au stade de l’autorisation, d’alléguer qu’ils suivent les instructions </w:t>
      </w:r>
      <w:r w:rsidR="009D734A">
        <w:rPr>
          <w:rFonts w:cs="Arial"/>
        </w:rPr>
        <w:t xml:space="preserve">de Miller, le </w:t>
      </w:r>
      <w:r w:rsidRPr="00103606">
        <w:rPr>
          <w:rFonts w:cs="Arial"/>
        </w:rPr>
        <w:t>patron de Future.</w:t>
      </w:r>
      <w:r w:rsidR="00DF3151">
        <w:rPr>
          <w:rFonts w:cs="Arial"/>
        </w:rPr>
        <w:t xml:space="preserve"> C’est ce que les codemanderesses ont fait.</w:t>
      </w:r>
    </w:p>
    <w:p w14:paraId="6C21CBCA" w14:textId="77777777" w:rsidR="00C745D1" w:rsidRDefault="00E21D39" w:rsidP="00C745D1">
      <w:pPr>
        <w:pStyle w:val="Paragrdouble"/>
        <w:spacing w:line="276" w:lineRule="auto"/>
        <w:rPr>
          <w:rFonts w:cs="Arial"/>
        </w:rPr>
      </w:pPr>
      <w:r>
        <w:rPr>
          <w:rFonts w:cs="Arial"/>
        </w:rPr>
        <w:t>À la Sixième Demande et dans les pièces, les</w:t>
      </w:r>
      <w:r w:rsidRPr="00103606">
        <w:rPr>
          <w:rFonts w:cs="Arial"/>
        </w:rPr>
        <w:t xml:space="preserve"> codemanderesses </w:t>
      </w:r>
      <w:r>
        <w:rPr>
          <w:rFonts w:cs="Arial"/>
        </w:rPr>
        <w:t>allèguent</w:t>
      </w:r>
      <w:r w:rsidRPr="00103606">
        <w:rPr>
          <w:rFonts w:cs="Arial"/>
        </w:rPr>
        <w:t xml:space="preserve"> que Abrams et Lippmann ont agi ainsi « </w:t>
      </w:r>
      <w:r w:rsidRPr="00103606">
        <w:rPr>
          <w:rFonts w:cs="Arial"/>
          <w:i/>
          <w:iCs/>
        </w:rPr>
        <w:t>because the boss asked</w:t>
      </w:r>
      <w:r w:rsidRPr="00103606">
        <w:rPr>
          <w:rFonts w:cs="Arial"/>
        </w:rPr>
        <w:t xml:space="preserve"> ». </w:t>
      </w:r>
    </w:p>
    <w:p w14:paraId="6793E51D" w14:textId="77777777" w:rsidR="00AB78FD" w:rsidRDefault="00E21D39" w:rsidP="00AB78FD">
      <w:pPr>
        <w:pStyle w:val="Paragrdouble"/>
        <w:spacing w:line="276" w:lineRule="auto"/>
        <w:rPr>
          <w:rFonts w:cs="Arial"/>
        </w:rPr>
      </w:pPr>
      <w:r w:rsidRPr="00103606">
        <w:rPr>
          <w:rFonts w:cs="Arial"/>
        </w:rPr>
        <w:t xml:space="preserve">Même </w:t>
      </w:r>
      <w:r w:rsidR="002741CF" w:rsidRPr="00103606">
        <w:rPr>
          <w:rFonts w:cs="Arial"/>
        </w:rPr>
        <w:t xml:space="preserve">s’il </w:t>
      </w:r>
      <w:r w:rsidRPr="00103606">
        <w:rPr>
          <w:rFonts w:cs="Arial"/>
        </w:rPr>
        <w:t>faut distinguer la personnalité juridique de Future de celle de Miller</w:t>
      </w:r>
      <w:r>
        <w:rPr>
          <w:rStyle w:val="Appelnotedebasdep"/>
          <w:rFonts w:cs="Arial"/>
        </w:rPr>
        <w:footnoteReference w:id="90"/>
      </w:r>
      <w:r w:rsidR="002741CF" w:rsidRPr="00103606">
        <w:rPr>
          <w:rFonts w:cs="Arial"/>
        </w:rPr>
        <w:t xml:space="preserve">, </w:t>
      </w:r>
      <w:r w:rsidR="00CF6596">
        <w:rPr>
          <w:rFonts w:cs="Arial"/>
        </w:rPr>
        <w:br/>
      </w:r>
      <w:r w:rsidR="00586CAB">
        <w:rPr>
          <w:rFonts w:cs="Arial"/>
        </w:rPr>
        <w:t xml:space="preserve">il en reste que </w:t>
      </w:r>
      <w:r w:rsidR="002741CF" w:rsidRPr="00103606">
        <w:rPr>
          <w:rFonts w:cs="Arial"/>
        </w:rPr>
        <w:t>Miller était le grand patron de Future</w:t>
      </w:r>
      <w:r w:rsidR="00586CAB">
        <w:rPr>
          <w:rFonts w:cs="Arial"/>
        </w:rPr>
        <w:t xml:space="preserve">, tel qu’en font foi les allégations </w:t>
      </w:r>
      <w:r w:rsidR="00DB28CD">
        <w:rPr>
          <w:rFonts w:cs="Arial"/>
        </w:rPr>
        <w:br/>
      </w:r>
      <w:r w:rsidR="00586CAB">
        <w:rPr>
          <w:rFonts w:cs="Arial"/>
        </w:rPr>
        <w:t>et les pièces à leur soutien</w:t>
      </w:r>
      <w:r w:rsidR="002741CF" w:rsidRPr="00103606">
        <w:rPr>
          <w:rFonts w:cs="Arial"/>
        </w:rPr>
        <w:t>.</w:t>
      </w:r>
      <w:r w:rsidR="00586CAB">
        <w:rPr>
          <w:rFonts w:cs="Arial"/>
        </w:rPr>
        <w:t xml:space="preserve"> </w:t>
      </w:r>
      <w:r w:rsidRPr="00586CAB">
        <w:rPr>
          <w:rFonts w:cs="Arial"/>
        </w:rPr>
        <w:t xml:space="preserve">Il est soutenable que </w:t>
      </w:r>
      <w:r>
        <w:rPr>
          <w:rFonts w:cs="Arial"/>
        </w:rPr>
        <w:t>Abrams et Lippmann</w:t>
      </w:r>
      <w:r w:rsidRPr="00586CAB">
        <w:rPr>
          <w:rFonts w:cs="Arial"/>
        </w:rPr>
        <w:t xml:space="preserve"> agi</w:t>
      </w:r>
      <w:r>
        <w:rPr>
          <w:rFonts w:cs="Arial"/>
        </w:rPr>
        <w:t>ssaien</w:t>
      </w:r>
      <w:r w:rsidRPr="00586CAB">
        <w:rPr>
          <w:rFonts w:cs="Arial"/>
        </w:rPr>
        <w:t xml:space="preserve">t sous les dictées </w:t>
      </w:r>
      <w:r>
        <w:rPr>
          <w:rFonts w:cs="Arial"/>
        </w:rPr>
        <w:t>de Miller et étaient</w:t>
      </w:r>
      <w:r w:rsidRPr="00586CAB">
        <w:rPr>
          <w:rFonts w:cs="Arial"/>
        </w:rPr>
        <w:t xml:space="preserve"> contrôlé</w:t>
      </w:r>
      <w:r>
        <w:rPr>
          <w:rFonts w:cs="Arial"/>
        </w:rPr>
        <w:t>s</w:t>
      </w:r>
      <w:r w:rsidRPr="00586CAB">
        <w:rPr>
          <w:rFonts w:cs="Arial"/>
        </w:rPr>
        <w:t xml:space="preserve"> par l</w:t>
      </w:r>
      <w:r>
        <w:rPr>
          <w:rFonts w:cs="Arial"/>
        </w:rPr>
        <w:t xml:space="preserve">eur </w:t>
      </w:r>
      <w:r w:rsidRPr="00586CAB">
        <w:rPr>
          <w:rFonts w:cs="Arial"/>
        </w:rPr>
        <w:t>employeur.</w:t>
      </w:r>
    </w:p>
    <w:p w14:paraId="2FC9768F" w14:textId="77777777" w:rsidR="00586CAB" w:rsidRPr="00103606" w:rsidRDefault="00E21D39" w:rsidP="00AB78FD">
      <w:pPr>
        <w:pStyle w:val="Paragrdouble"/>
        <w:spacing w:line="276" w:lineRule="auto"/>
        <w:rPr>
          <w:rFonts w:cs="Arial"/>
        </w:rPr>
      </w:pPr>
      <w:r>
        <w:rPr>
          <w:rFonts w:cs="Arial"/>
        </w:rPr>
        <w:t xml:space="preserve">Cette </w:t>
      </w:r>
      <w:r w:rsidRPr="00586CAB">
        <w:rPr>
          <w:rFonts w:cs="Arial"/>
        </w:rPr>
        <w:t>question</w:t>
      </w:r>
      <w:r>
        <w:rPr>
          <w:rFonts w:cs="Arial"/>
        </w:rPr>
        <w:t>, d’ailleurs, en est une</w:t>
      </w:r>
      <w:r w:rsidRPr="00586CAB">
        <w:rPr>
          <w:rFonts w:cs="Arial"/>
        </w:rPr>
        <w:t xml:space="preserve"> de faits mixtes et de droit </w:t>
      </w:r>
      <w:r>
        <w:rPr>
          <w:rFonts w:cs="Arial"/>
        </w:rPr>
        <w:t>qui ne doit</w:t>
      </w:r>
      <w:r w:rsidRPr="00586CAB">
        <w:rPr>
          <w:rFonts w:cs="Arial"/>
        </w:rPr>
        <w:t xml:space="preserve"> pas </w:t>
      </w:r>
      <w:r>
        <w:rPr>
          <w:rFonts w:cs="Arial"/>
        </w:rPr>
        <w:t xml:space="preserve">être tranchée </w:t>
      </w:r>
      <w:r w:rsidRPr="00586CAB">
        <w:rPr>
          <w:rFonts w:cs="Arial"/>
        </w:rPr>
        <w:t>au stade de l'autorisation</w:t>
      </w:r>
      <w:r>
        <w:rPr>
          <w:rStyle w:val="Appelnotedebasdep"/>
          <w:rFonts w:cs="Arial"/>
        </w:rPr>
        <w:footnoteReference w:id="91"/>
      </w:r>
      <w:r w:rsidRPr="00586CAB">
        <w:rPr>
          <w:rFonts w:cs="Arial"/>
        </w:rPr>
        <w:t>.</w:t>
      </w:r>
    </w:p>
    <w:p w14:paraId="5ED60A70" w14:textId="415E098D" w:rsidR="004677CA" w:rsidRPr="00103606" w:rsidRDefault="00E21D39" w:rsidP="00A0236A">
      <w:pPr>
        <w:pStyle w:val="Paragrdouble"/>
        <w:spacing w:line="276" w:lineRule="auto"/>
        <w:rPr>
          <w:rFonts w:cs="Arial"/>
        </w:rPr>
      </w:pPr>
      <w:r w:rsidRPr="00103606">
        <w:rPr>
          <w:rFonts w:cs="Arial"/>
        </w:rPr>
        <w:t>Les allégués de liens d’implication de Future dans le schème en cause</w:t>
      </w:r>
      <w:r w:rsidR="001F72FA">
        <w:rPr>
          <w:rFonts w:cs="Arial"/>
        </w:rPr>
        <w:t xml:space="preserve"> </w:t>
      </w:r>
      <w:r w:rsidRPr="00103606">
        <w:rPr>
          <w:rFonts w:cs="Arial"/>
        </w:rPr>
        <w:t xml:space="preserve">découlant des paiements faits par Future et des transactions immobilières sur la rue </w:t>
      </w:r>
      <w:r>
        <w:rPr>
          <w:rFonts w:cs="Arial"/>
        </w:rPr>
        <w:t>A</w:t>
      </w:r>
      <w:r w:rsidRPr="00103606">
        <w:rPr>
          <w:rFonts w:cs="Arial"/>
        </w:rPr>
        <w:t xml:space="preserve">, </w:t>
      </w:r>
      <w:r w:rsidR="007928F7">
        <w:rPr>
          <w:rFonts w:cs="Arial"/>
        </w:rPr>
        <w:br/>
      </w:r>
      <w:r w:rsidRPr="00103606">
        <w:rPr>
          <w:rFonts w:cs="Arial"/>
        </w:rPr>
        <w:t xml:space="preserve">de même que </w:t>
      </w:r>
      <w:r w:rsidR="00495003">
        <w:rPr>
          <w:rFonts w:cs="Arial"/>
        </w:rPr>
        <w:t>ceux relatifs à l’organisation du schème par Abrams et Lippmann</w:t>
      </w:r>
      <w:r w:rsidR="00507079">
        <w:rPr>
          <w:rFonts w:cs="Arial"/>
        </w:rPr>
        <w:t xml:space="preserve"> sous les ordres de Miller, et à</w:t>
      </w:r>
      <w:r w:rsidRPr="00103606">
        <w:rPr>
          <w:rFonts w:cs="Arial"/>
        </w:rPr>
        <w:t xml:space="preserve"> l’avancement de carrière </w:t>
      </w:r>
      <w:r w:rsidR="00507079">
        <w:rPr>
          <w:rFonts w:cs="Arial"/>
        </w:rPr>
        <w:t xml:space="preserve">subséquent </w:t>
      </w:r>
      <w:r w:rsidRPr="00103606">
        <w:rPr>
          <w:rFonts w:cs="Arial"/>
        </w:rPr>
        <w:t xml:space="preserve">de </w:t>
      </w:r>
      <w:r w:rsidR="00507079">
        <w:rPr>
          <w:rFonts w:cs="Arial"/>
        </w:rPr>
        <w:t>ces employés</w:t>
      </w:r>
      <w:r w:rsidRPr="00103606">
        <w:rPr>
          <w:rFonts w:cs="Arial"/>
        </w:rPr>
        <w:t xml:space="preserve"> </w:t>
      </w:r>
      <w:r w:rsidR="00A0236A" w:rsidRPr="00103606">
        <w:rPr>
          <w:rFonts w:cs="Arial"/>
        </w:rPr>
        <w:t xml:space="preserve">sont </w:t>
      </w:r>
      <w:r w:rsidRPr="00103606">
        <w:rPr>
          <w:rFonts w:cs="Arial"/>
        </w:rPr>
        <w:t xml:space="preserve">suffisants pour </w:t>
      </w:r>
      <w:r w:rsidR="00801EC2" w:rsidRPr="00103606">
        <w:rPr>
          <w:rFonts w:cs="Arial"/>
        </w:rPr>
        <w:t>constituer une cause défendable à</w:t>
      </w:r>
      <w:r w:rsidR="00A0716E">
        <w:rPr>
          <w:rFonts w:cs="Arial"/>
        </w:rPr>
        <w:t xml:space="preserve"> </w:t>
      </w:r>
      <w:r w:rsidR="001F72FA">
        <w:rPr>
          <w:rFonts w:cs="Arial"/>
        </w:rPr>
        <w:t>l’</w:t>
      </w:r>
      <w:r w:rsidR="00801EC2" w:rsidRPr="00103606">
        <w:rPr>
          <w:rFonts w:cs="Arial"/>
        </w:rPr>
        <w:t>égard</w:t>
      </w:r>
      <w:r w:rsidR="001F72FA" w:rsidRPr="001F72FA">
        <w:rPr>
          <w:rFonts w:cs="Arial"/>
        </w:rPr>
        <w:t xml:space="preserve"> </w:t>
      </w:r>
      <w:r w:rsidR="001F72FA">
        <w:rPr>
          <w:rFonts w:cs="Arial"/>
        </w:rPr>
        <w:t xml:space="preserve">de </w:t>
      </w:r>
      <w:r w:rsidR="001F72FA" w:rsidRPr="00103606">
        <w:rPr>
          <w:rFonts w:cs="Arial"/>
        </w:rPr>
        <w:t>Future</w:t>
      </w:r>
      <w:r w:rsidR="00801EC2" w:rsidRPr="00103606">
        <w:rPr>
          <w:rFonts w:cs="Arial"/>
        </w:rPr>
        <w:t xml:space="preserve">. </w:t>
      </w:r>
    </w:p>
    <w:p w14:paraId="545B5742" w14:textId="77777777" w:rsidR="004401BA" w:rsidRPr="00103606" w:rsidRDefault="00E21D39" w:rsidP="00315AE7">
      <w:pPr>
        <w:pStyle w:val="Paragrdouble"/>
        <w:spacing w:line="276" w:lineRule="auto"/>
        <w:rPr>
          <w:rFonts w:cs="Arial"/>
        </w:rPr>
      </w:pPr>
      <w:r>
        <w:rPr>
          <w:rFonts w:cs="Arial"/>
        </w:rPr>
        <w:t>Considérant le seuil bas, je conclus qu’il est franchi.</w:t>
      </w:r>
    </w:p>
    <w:p w14:paraId="4F2F6062" w14:textId="77777777" w:rsidR="003A38D0" w:rsidRPr="00103606" w:rsidRDefault="00E21D39" w:rsidP="009F319B">
      <w:pPr>
        <w:pStyle w:val="Titre3"/>
        <w:numPr>
          <w:ilvl w:val="0"/>
          <w:numId w:val="17"/>
        </w:numPr>
        <w:ind w:left="1134"/>
        <w:rPr>
          <w:rFonts w:cs="Arial"/>
        </w:rPr>
      </w:pPr>
      <w:bookmarkStart w:id="49" w:name="_Toc256000018"/>
      <w:bookmarkStart w:id="50" w:name="_Toc187475777"/>
      <w:r w:rsidRPr="00103606">
        <w:rPr>
          <w:rFonts w:cs="Arial"/>
        </w:rPr>
        <w:t>L</w:t>
      </w:r>
      <w:r w:rsidR="00A95AC9" w:rsidRPr="00A95AC9">
        <w:rPr>
          <w:rFonts w:cs="Arial"/>
        </w:rPr>
        <w:t>a suffisance des allégations relatives aux</w:t>
      </w:r>
      <w:r w:rsidRPr="00103606">
        <w:rPr>
          <w:rFonts w:cs="Arial"/>
        </w:rPr>
        <w:t xml:space="preserve"> dommages punitifs</w:t>
      </w:r>
      <w:bookmarkEnd w:id="49"/>
      <w:bookmarkEnd w:id="50"/>
    </w:p>
    <w:p w14:paraId="67916E89" w14:textId="77777777" w:rsidR="003A38D0" w:rsidRPr="00103606" w:rsidRDefault="00E21D39" w:rsidP="003A38D0">
      <w:pPr>
        <w:pStyle w:val="Paragrdouble"/>
        <w:spacing w:line="276" w:lineRule="auto"/>
        <w:rPr>
          <w:rFonts w:cs="Arial"/>
        </w:rPr>
      </w:pPr>
      <w:r w:rsidRPr="00103606">
        <w:rPr>
          <w:rFonts w:cs="Arial"/>
        </w:rPr>
        <w:t xml:space="preserve">Dans leur </w:t>
      </w:r>
      <w:r w:rsidR="00B80370">
        <w:rPr>
          <w:rFonts w:cs="Arial"/>
        </w:rPr>
        <w:t>Sixième</w:t>
      </w:r>
      <w:r w:rsidR="00B80370" w:rsidRPr="00103606">
        <w:rPr>
          <w:rFonts w:cs="Arial"/>
        </w:rPr>
        <w:t xml:space="preserve"> </w:t>
      </w:r>
      <w:r w:rsidRPr="00103606">
        <w:rPr>
          <w:rFonts w:cs="Arial"/>
        </w:rPr>
        <w:t xml:space="preserve">Demande, les codemanderesses </w:t>
      </w:r>
      <w:r w:rsidR="009D734A">
        <w:rPr>
          <w:rFonts w:cs="Arial"/>
        </w:rPr>
        <w:t>incluent</w:t>
      </w:r>
      <w:r w:rsidR="009D734A" w:rsidRPr="00103606">
        <w:rPr>
          <w:rFonts w:cs="Arial"/>
        </w:rPr>
        <w:t xml:space="preserve"> </w:t>
      </w:r>
      <w:r w:rsidRPr="00103606">
        <w:rPr>
          <w:rFonts w:cs="Arial"/>
        </w:rPr>
        <w:t>des conclusions en dommages punitifs aux montants de 1</w:t>
      </w:r>
      <w:r w:rsidR="00007B70">
        <w:rPr>
          <w:rFonts w:cs="Arial"/>
        </w:rPr>
        <w:t>,5 million</w:t>
      </w:r>
      <w:r w:rsidR="00A0236A" w:rsidRPr="00103606">
        <w:rPr>
          <w:rFonts w:cs="Arial"/>
        </w:rPr>
        <w:t xml:space="preserve"> de dollars</w:t>
      </w:r>
      <w:r w:rsidRPr="00103606">
        <w:rPr>
          <w:rFonts w:cs="Arial"/>
        </w:rPr>
        <w:t xml:space="preserve"> chacune, pour violation au droit à </w:t>
      </w:r>
      <w:r w:rsidR="00A0236A" w:rsidRPr="00103606">
        <w:rPr>
          <w:rFonts w:cs="Arial"/>
        </w:rPr>
        <w:t xml:space="preserve">la dignité, l’intégrité et l’honneur </w:t>
      </w:r>
      <w:r w:rsidRPr="00103606">
        <w:rPr>
          <w:rFonts w:cs="Arial"/>
        </w:rPr>
        <w:t xml:space="preserve">de la personne, en vertu des </w:t>
      </w:r>
      <w:r w:rsidR="00A0236A" w:rsidRPr="00103606">
        <w:rPr>
          <w:rFonts w:cs="Arial"/>
        </w:rPr>
        <w:t>articles 1</w:t>
      </w:r>
      <w:r w:rsidRPr="00103606">
        <w:rPr>
          <w:rFonts w:cs="Arial"/>
        </w:rPr>
        <w:t xml:space="preserve">, 4 et 49 la </w:t>
      </w:r>
      <w:r w:rsidRPr="00103606">
        <w:rPr>
          <w:rFonts w:cs="Arial"/>
          <w:i/>
          <w:iCs/>
        </w:rPr>
        <w:t>Charte des droits et libertés de la personne</w:t>
      </w:r>
      <w:r w:rsidRPr="00103606">
        <w:rPr>
          <w:rFonts w:cs="Arial"/>
        </w:rPr>
        <w:t xml:space="preserve"> (la «</w:t>
      </w:r>
      <w:r w:rsidR="00585D97">
        <w:rPr>
          <w:rFonts w:cs="Arial"/>
        </w:rPr>
        <w:t> </w:t>
      </w:r>
      <w:r w:rsidRPr="00103606">
        <w:rPr>
          <w:rFonts w:cs="Arial"/>
          <w:b/>
          <w:bCs/>
        </w:rPr>
        <w:t>Charte</w:t>
      </w:r>
      <w:r w:rsidRPr="00103606">
        <w:rPr>
          <w:rFonts w:cs="Arial"/>
        </w:rPr>
        <w:t xml:space="preserve"> </w:t>
      </w:r>
      <w:r w:rsidR="00585D97" w:rsidRPr="00573001">
        <w:rPr>
          <w:rFonts w:cs="Arial"/>
          <w:b/>
          <w:bCs/>
        </w:rPr>
        <w:t>québécoise</w:t>
      </w:r>
      <w:r w:rsidR="00585D97">
        <w:rPr>
          <w:rFonts w:cs="Arial"/>
        </w:rPr>
        <w:t> </w:t>
      </w:r>
      <w:r w:rsidRPr="00103606">
        <w:rPr>
          <w:rFonts w:cs="Arial"/>
        </w:rPr>
        <w:t xml:space="preserve">»). Ces articles prévoient qu’une atteinte illicite et intentionnelle </w:t>
      </w:r>
      <w:r w:rsidR="00A0236A" w:rsidRPr="00103606">
        <w:rPr>
          <w:rFonts w:cs="Arial"/>
        </w:rPr>
        <w:t>à ces droits</w:t>
      </w:r>
      <w:r w:rsidRPr="00103606">
        <w:rPr>
          <w:rFonts w:cs="Arial"/>
        </w:rPr>
        <w:t xml:space="preserve"> peut donner lieu à des dommages punitifs.</w:t>
      </w:r>
    </w:p>
    <w:p w14:paraId="514A5CED" w14:textId="77777777" w:rsidR="003A38D0" w:rsidRPr="00103606" w:rsidRDefault="00E21D39" w:rsidP="003A38D0">
      <w:pPr>
        <w:pStyle w:val="Paragrdouble"/>
        <w:spacing w:line="276" w:lineRule="auto"/>
        <w:rPr>
          <w:rFonts w:cs="Arial"/>
        </w:rPr>
      </w:pPr>
      <w:r w:rsidRPr="00103606">
        <w:rPr>
          <w:rFonts w:cs="Arial"/>
        </w:rPr>
        <w:t>Les codemanderesses demandent le recouvrement collectif des dommages punitifs.</w:t>
      </w:r>
      <w:r w:rsidR="00AA42C2" w:rsidRPr="00103606">
        <w:rPr>
          <w:rFonts w:cs="Arial"/>
        </w:rPr>
        <w:t xml:space="preserve"> L’une des questions identiques, similaires ou connexes </w:t>
      </w:r>
      <w:r w:rsidR="00A0236A" w:rsidRPr="00103606">
        <w:rPr>
          <w:rFonts w:cs="Arial"/>
        </w:rPr>
        <w:t xml:space="preserve">qu’elles </w:t>
      </w:r>
      <w:r w:rsidR="00AA42C2" w:rsidRPr="00103606">
        <w:rPr>
          <w:rFonts w:cs="Arial"/>
        </w:rPr>
        <w:t>propo</w:t>
      </w:r>
      <w:r w:rsidR="00A0236A" w:rsidRPr="00103606">
        <w:rPr>
          <w:rFonts w:cs="Arial"/>
        </w:rPr>
        <w:t>sent</w:t>
      </w:r>
      <w:r w:rsidR="00AA42C2" w:rsidRPr="00103606">
        <w:rPr>
          <w:rFonts w:cs="Arial"/>
        </w:rPr>
        <w:t xml:space="preserve"> porte sur l’octroi de dommages punitifs </w:t>
      </w:r>
      <w:r w:rsidR="00A0236A" w:rsidRPr="00103606">
        <w:rPr>
          <w:rFonts w:cs="Arial"/>
        </w:rPr>
        <w:t>en vertu de la Charte</w:t>
      </w:r>
      <w:r w:rsidR="000D39DE">
        <w:rPr>
          <w:rFonts w:cs="Arial"/>
        </w:rPr>
        <w:t xml:space="preserve"> québécoise</w:t>
      </w:r>
      <w:r w:rsidR="00AA42C2" w:rsidRPr="00103606">
        <w:rPr>
          <w:rFonts w:cs="Arial"/>
        </w:rPr>
        <w:t>.</w:t>
      </w:r>
    </w:p>
    <w:p w14:paraId="2CDBE42A" w14:textId="77777777" w:rsidR="003A38D0" w:rsidRPr="00103606" w:rsidRDefault="00E21D39" w:rsidP="003A38D0">
      <w:pPr>
        <w:pStyle w:val="Paragrdouble"/>
        <w:spacing w:line="276" w:lineRule="auto"/>
        <w:rPr>
          <w:rFonts w:cs="Arial"/>
        </w:rPr>
      </w:pPr>
      <w:r w:rsidRPr="00103606">
        <w:rPr>
          <w:rFonts w:cs="Arial"/>
        </w:rPr>
        <w:t xml:space="preserve">Dans l’arrêt </w:t>
      </w:r>
      <w:r w:rsidRPr="00103606">
        <w:rPr>
          <w:rFonts w:cs="Arial"/>
          <w:i/>
          <w:iCs/>
        </w:rPr>
        <w:t>Québec (Curateur public) c. Syndicat national des employés de l'hôpital St-Ferdinand</w:t>
      </w:r>
      <w:r>
        <w:rPr>
          <w:rStyle w:val="Appelnotedebasdep"/>
          <w:rFonts w:cs="Arial"/>
        </w:rPr>
        <w:footnoteReference w:id="92"/>
      </w:r>
      <w:r w:rsidRPr="00103606">
        <w:rPr>
          <w:rFonts w:cs="Arial"/>
        </w:rPr>
        <w:t xml:space="preserve">, la Cour suprême du Canada, sous la plume de </w:t>
      </w:r>
      <w:r w:rsidR="00DF3151">
        <w:rPr>
          <w:rFonts w:cs="Arial"/>
        </w:rPr>
        <w:t>l’honorable</w:t>
      </w:r>
      <w:r w:rsidRPr="00103606">
        <w:rPr>
          <w:rFonts w:cs="Arial"/>
        </w:rPr>
        <w:t xml:space="preserve"> juge Claire L’Heureux-Dubé, défini</w:t>
      </w:r>
      <w:r w:rsidR="008E61F6">
        <w:rPr>
          <w:rFonts w:cs="Arial"/>
        </w:rPr>
        <w:t>t</w:t>
      </w:r>
      <w:r w:rsidRPr="00103606">
        <w:rPr>
          <w:rFonts w:cs="Arial"/>
        </w:rPr>
        <w:t xml:space="preserve"> comme suit les termes «</w:t>
      </w:r>
      <w:r w:rsidR="004614A3">
        <w:rPr>
          <w:rFonts w:cs="Arial"/>
        </w:rPr>
        <w:t> </w:t>
      </w:r>
      <w:r w:rsidRPr="00103606">
        <w:rPr>
          <w:rFonts w:cs="Arial"/>
        </w:rPr>
        <w:t>atteinte illicite et intentionnelle</w:t>
      </w:r>
      <w:r w:rsidR="004614A3">
        <w:rPr>
          <w:rFonts w:cs="Arial"/>
        </w:rPr>
        <w:t> </w:t>
      </w:r>
      <w:r w:rsidRPr="00103606">
        <w:rPr>
          <w:rFonts w:cs="Arial"/>
        </w:rPr>
        <w:t>» prévu</w:t>
      </w:r>
      <w:r w:rsidR="00AA42C2" w:rsidRPr="00103606">
        <w:rPr>
          <w:rFonts w:cs="Arial"/>
        </w:rPr>
        <w:t>s</w:t>
      </w:r>
      <w:r w:rsidRPr="00103606">
        <w:rPr>
          <w:rFonts w:cs="Arial"/>
        </w:rPr>
        <w:t xml:space="preserve"> à l’article 49 de la Charte</w:t>
      </w:r>
      <w:r w:rsidR="00B5359F">
        <w:rPr>
          <w:rFonts w:cs="Arial"/>
        </w:rPr>
        <w:t xml:space="preserve"> québécoise</w:t>
      </w:r>
      <w:r w:rsidRPr="00103606">
        <w:rPr>
          <w:rFonts w:cs="Arial"/>
        </w:rPr>
        <w:t>:</w:t>
      </w:r>
    </w:p>
    <w:p w14:paraId="0ACCE099" w14:textId="77777777" w:rsidR="003A38D0" w:rsidRPr="00103606" w:rsidRDefault="00E21D39" w:rsidP="00573001">
      <w:pPr>
        <w:pStyle w:val="Paragrdouble"/>
        <w:numPr>
          <w:ilvl w:val="0"/>
          <w:numId w:val="0"/>
        </w:numPr>
        <w:spacing w:line="240" w:lineRule="auto"/>
        <w:ind w:left="731" w:right="857" w:hanging="164"/>
        <w:rPr>
          <w:rFonts w:cs="Arial"/>
          <w:sz w:val="22"/>
          <w:szCs w:val="18"/>
        </w:rPr>
      </w:pPr>
      <w:r w:rsidRPr="00103606">
        <w:rPr>
          <w:rFonts w:cs="Arial"/>
          <w:sz w:val="22"/>
          <w:szCs w:val="18"/>
        </w:rPr>
        <w:t>«</w:t>
      </w:r>
      <w:r w:rsidR="004614A3">
        <w:rPr>
          <w:rFonts w:cs="Arial"/>
          <w:sz w:val="22"/>
          <w:szCs w:val="18"/>
        </w:rPr>
        <w:t> </w:t>
      </w:r>
      <w:r w:rsidRPr="00103606">
        <w:rPr>
          <w:rFonts w:cs="Arial"/>
          <w:sz w:val="22"/>
          <w:szCs w:val="18"/>
        </w:rPr>
        <w:t>[121</w:t>
      </w:r>
      <w:r w:rsidR="00AA42C2" w:rsidRPr="00103606">
        <w:rPr>
          <w:rFonts w:cs="Arial"/>
          <w:sz w:val="22"/>
          <w:szCs w:val="18"/>
        </w:rPr>
        <w:t>] […]</w:t>
      </w:r>
      <w:r w:rsidRPr="00103606">
        <w:rPr>
          <w:rFonts w:cs="Arial"/>
          <w:sz w:val="22"/>
          <w:szCs w:val="18"/>
        </w:rPr>
        <w:t>, il y aura atteinte illicite et intentionnelle au sens du second alinéa de l'art. 49 de la Charte lorsque l'auteur de l’atteinte illicite a un état d’esprit qui dénote un désir, une volonté de causer les conséquences de sa conduite fautive ou encore s’il agit en toute connaissance des conséquences, immédiates et naturelles ou au moins extrêmement probables, que cette conduite engendrera.  Ce critère est moins strict que l'intention particulière, mais dépasse, toutefois, la simple négligence.  Ainsi, l’insouciance dont fait preuve un individu quant aux conséquences de ses actes fautifs, si déréglée et téméraire soit-elle, ne satisfera pas, à elle seule, à ce critère. »</w:t>
      </w:r>
    </w:p>
    <w:p w14:paraId="70D1100A" w14:textId="77777777" w:rsidR="00AA42C2" w:rsidRPr="00103606" w:rsidRDefault="00E21D39" w:rsidP="00AA42C2">
      <w:pPr>
        <w:pStyle w:val="Paragrdouble"/>
        <w:spacing w:line="276" w:lineRule="auto"/>
        <w:rPr>
          <w:rFonts w:cs="Arial"/>
        </w:rPr>
      </w:pPr>
      <w:r w:rsidRPr="00103606">
        <w:rPr>
          <w:rFonts w:cs="Arial"/>
        </w:rPr>
        <w:t xml:space="preserve">En matière d’autorisation </w:t>
      </w:r>
      <w:r w:rsidR="00DF3151">
        <w:rPr>
          <w:rFonts w:cs="Arial"/>
        </w:rPr>
        <w:t>d’action collective</w:t>
      </w:r>
      <w:r w:rsidR="00764BC1">
        <w:rPr>
          <w:rFonts w:cs="Arial"/>
        </w:rPr>
        <w:t xml:space="preserve"> </w:t>
      </w:r>
      <w:r w:rsidR="00AF7978">
        <w:rPr>
          <w:rFonts w:cs="Arial"/>
        </w:rPr>
        <w:t>invoquant</w:t>
      </w:r>
      <w:r w:rsidR="00DF3151">
        <w:rPr>
          <w:rFonts w:cs="Arial"/>
        </w:rPr>
        <w:t xml:space="preserve"> </w:t>
      </w:r>
      <w:r w:rsidRPr="00103606">
        <w:rPr>
          <w:rFonts w:cs="Arial"/>
        </w:rPr>
        <w:t>de</w:t>
      </w:r>
      <w:r w:rsidR="00764BC1">
        <w:rPr>
          <w:rFonts w:cs="Arial"/>
        </w:rPr>
        <w:t>s</w:t>
      </w:r>
      <w:r w:rsidRPr="00103606">
        <w:rPr>
          <w:rFonts w:cs="Arial"/>
        </w:rPr>
        <w:t xml:space="preserve"> dommages punitifs, la Cour d’appel établi</w:t>
      </w:r>
      <w:r w:rsidR="008E61F6">
        <w:rPr>
          <w:rFonts w:cs="Arial"/>
        </w:rPr>
        <w:t>t</w:t>
      </w:r>
      <w:r w:rsidRPr="00103606">
        <w:rPr>
          <w:rFonts w:cs="Arial"/>
        </w:rPr>
        <w:t xml:space="preserve"> que l</w:t>
      </w:r>
      <w:r w:rsidR="00764BC1">
        <w:rPr>
          <w:rFonts w:cs="Arial"/>
        </w:rPr>
        <w:t>a</w:t>
      </w:r>
      <w:r w:rsidRPr="00103606">
        <w:rPr>
          <w:rFonts w:cs="Arial"/>
        </w:rPr>
        <w:t xml:space="preserve"> juge doit s’assurer que la demande d’autorisation énonce les faits qui justifient les conclusions recherchées, tout « en gardant à l’esprit le critère établi par la Cour suprême dans </w:t>
      </w:r>
      <w:r w:rsidRPr="00103606">
        <w:rPr>
          <w:rFonts w:cs="Arial"/>
          <w:i/>
          <w:iCs/>
        </w:rPr>
        <w:t>Vivendi</w:t>
      </w:r>
      <w:r w:rsidRPr="00103606">
        <w:rPr>
          <w:rFonts w:cs="Arial"/>
        </w:rPr>
        <w:t>, c’est-à-dire le fardeau peu onéreux de démontrer l’existence d’une cause défendable. </w:t>
      </w:r>
      <w:r>
        <w:rPr>
          <w:rStyle w:val="Appelnotedebasdep"/>
          <w:rFonts w:cs="Arial"/>
        </w:rPr>
        <w:footnoteReference w:id="93"/>
      </w:r>
      <w:r w:rsidRPr="00103606">
        <w:rPr>
          <w:rFonts w:cs="Arial"/>
        </w:rPr>
        <w:t>» Il s’agit donc, à ce stade, d’être « satisfait que la procédure comporte suffisamment d’allégations de faits pour donner ouverture aux conclusions recherchées en dommages punitifs.</w:t>
      </w:r>
      <w:r>
        <w:rPr>
          <w:rStyle w:val="Appelnotedebasdep"/>
          <w:rFonts w:cs="Arial"/>
        </w:rPr>
        <w:footnoteReference w:id="94"/>
      </w:r>
      <w:r w:rsidRPr="00103606">
        <w:rPr>
          <w:rFonts w:cs="Arial"/>
        </w:rPr>
        <w:t>»</w:t>
      </w:r>
      <w:r w:rsidR="00280725" w:rsidRPr="00103606">
        <w:rPr>
          <w:rFonts w:cs="Arial"/>
        </w:rPr>
        <w:t xml:space="preserve"> </w:t>
      </w:r>
    </w:p>
    <w:p w14:paraId="1F615442" w14:textId="77777777" w:rsidR="00280725" w:rsidRPr="00103606" w:rsidRDefault="00E21D39" w:rsidP="00AA42C2">
      <w:pPr>
        <w:pStyle w:val="Paragrdouble"/>
        <w:spacing w:line="276" w:lineRule="auto"/>
        <w:rPr>
          <w:rFonts w:cs="Arial"/>
        </w:rPr>
      </w:pPr>
      <w:r w:rsidRPr="00103606">
        <w:rPr>
          <w:rFonts w:cs="Arial"/>
        </w:rPr>
        <w:t>Précisément, il s’agira de valider que les deux éléments fondant une atteinte à un droit protégé par l’article 49 de la Charte</w:t>
      </w:r>
      <w:r w:rsidR="00B5359F">
        <w:rPr>
          <w:rFonts w:cs="Arial"/>
        </w:rPr>
        <w:t xml:space="preserve"> québécoise</w:t>
      </w:r>
      <w:r w:rsidRPr="00103606">
        <w:rPr>
          <w:rFonts w:cs="Arial"/>
        </w:rPr>
        <w:t xml:space="preserve"> sont présents : 1) l’atteinte illicite à un droit ou une liberté de la Charte – soit ici, le droit à la dignité, à l’intégrité et à l’honneur (arts. 1 et 4) et 2) la nature intentionnelle de l’atteinte illicite, tel</w:t>
      </w:r>
      <w:r w:rsidR="00764BC1">
        <w:rPr>
          <w:rFonts w:cs="Arial"/>
        </w:rPr>
        <w:t>le</w:t>
      </w:r>
      <w:r w:rsidRPr="00103606">
        <w:rPr>
          <w:rFonts w:cs="Arial"/>
        </w:rPr>
        <w:t xml:space="preserve"> qu’apprécié</w:t>
      </w:r>
      <w:r w:rsidR="00764BC1">
        <w:rPr>
          <w:rFonts w:cs="Arial"/>
        </w:rPr>
        <w:t>e</w:t>
      </w:r>
      <w:r w:rsidRPr="00103606">
        <w:rPr>
          <w:rFonts w:cs="Arial"/>
        </w:rPr>
        <w:t xml:space="preserve"> en fonction des conséquences immédiates et probables du comportement.</w:t>
      </w:r>
    </w:p>
    <w:p w14:paraId="73EA2EEE" w14:textId="77777777" w:rsidR="00280725" w:rsidRPr="00103606" w:rsidRDefault="00E21D39" w:rsidP="00AA42C2">
      <w:pPr>
        <w:pStyle w:val="Paragrdouble"/>
        <w:spacing w:line="276" w:lineRule="auto"/>
        <w:rPr>
          <w:rFonts w:cs="Arial"/>
        </w:rPr>
      </w:pPr>
      <w:r w:rsidRPr="00103606">
        <w:rPr>
          <w:rFonts w:cs="Arial"/>
        </w:rPr>
        <w:t xml:space="preserve">Dans les circonstances, les reproches détaillés par les codemanderesses dans leur </w:t>
      </w:r>
      <w:r w:rsidR="00B80370">
        <w:rPr>
          <w:rFonts w:cs="Arial"/>
        </w:rPr>
        <w:t>Sixième</w:t>
      </w:r>
      <w:r w:rsidR="00B80370" w:rsidRPr="00103606">
        <w:rPr>
          <w:rFonts w:cs="Arial"/>
        </w:rPr>
        <w:t xml:space="preserve"> </w:t>
      </w:r>
      <w:r w:rsidRPr="00103606">
        <w:rPr>
          <w:rFonts w:cs="Arial"/>
        </w:rPr>
        <w:t xml:space="preserve">Demande </w:t>
      </w:r>
      <w:r w:rsidR="002741CF" w:rsidRPr="00103606">
        <w:rPr>
          <w:rFonts w:cs="Arial"/>
        </w:rPr>
        <w:t>rendent soutenable la</w:t>
      </w:r>
      <w:r w:rsidRPr="00103606">
        <w:rPr>
          <w:rFonts w:cs="Arial"/>
        </w:rPr>
        <w:t xml:space="preserve"> réclamation en dommages</w:t>
      </w:r>
      <w:r w:rsidR="00C27BC2">
        <w:rPr>
          <w:rFonts w:cs="Arial"/>
        </w:rPr>
        <w:t xml:space="preserve"> </w:t>
      </w:r>
      <w:r w:rsidRPr="00103606">
        <w:rPr>
          <w:rFonts w:cs="Arial"/>
        </w:rPr>
        <w:t xml:space="preserve">punitifs. </w:t>
      </w:r>
    </w:p>
    <w:p w14:paraId="7A17612F" w14:textId="77777777" w:rsidR="00764BC1" w:rsidRDefault="00E21D39" w:rsidP="00AA42C2">
      <w:pPr>
        <w:pStyle w:val="Paragrdouble"/>
        <w:spacing w:line="276" w:lineRule="auto"/>
        <w:rPr>
          <w:rFonts w:cs="Arial"/>
        </w:rPr>
      </w:pPr>
      <w:r w:rsidRPr="00103606">
        <w:rPr>
          <w:rFonts w:cs="Arial"/>
        </w:rPr>
        <w:t xml:space="preserve">Les codemanderesses </w:t>
      </w:r>
      <w:r w:rsidR="000665C6" w:rsidRPr="00103606">
        <w:rPr>
          <w:rFonts w:cs="Arial"/>
        </w:rPr>
        <w:t>allèguent de manière précise et claire que l</w:t>
      </w:r>
      <w:r w:rsidRPr="00103606">
        <w:rPr>
          <w:rFonts w:cs="Arial"/>
        </w:rPr>
        <w:t xml:space="preserve">es actes </w:t>
      </w:r>
      <w:r w:rsidR="007726A0">
        <w:rPr>
          <w:rFonts w:cs="Arial"/>
        </w:rPr>
        <w:br/>
      </w:r>
      <w:r w:rsidRPr="00103606">
        <w:rPr>
          <w:rFonts w:cs="Arial"/>
        </w:rPr>
        <w:t>de</w:t>
      </w:r>
      <w:r w:rsidR="000665C6" w:rsidRPr="00103606">
        <w:rPr>
          <w:rFonts w:cs="Arial"/>
        </w:rPr>
        <w:t xml:space="preserve"> violence sexuelle perpétré</w:t>
      </w:r>
      <w:r w:rsidRPr="00103606">
        <w:rPr>
          <w:rFonts w:cs="Arial"/>
        </w:rPr>
        <w:t>s</w:t>
      </w:r>
      <w:r w:rsidR="000665C6" w:rsidRPr="00103606">
        <w:rPr>
          <w:rFonts w:cs="Arial"/>
        </w:rPr>
        <w:t xml:space="preserve"> à leur égard à travers </w:t>
      </w:r>
      <w:r w:rsidRPr="00103606">
        <w:rPr>
          <w:rFonts w:cs="Arial"/>
        </w:rPr>
        <w:t>le</w:t>
      </w:r>
      <w:r w:rsidR="000665C6" w:rsidRPr="00103606">
        <w:rPr>
          <w:rFonts w:cs="Arial"/>
        </w:rPr>
        <w:t xml:space="preserve"> schème </w:t>
      </w:r>
      <w:r>
        <w:rPr>
          <w:rFonts w:cs="Arial"/>
        </w:rPr>
        <w:t>orchestré par</w:t>
      </w:r>
      <w:r w:rsidRPr="00103606">
        <w:rPr>
          <w:rFonts w:cs="Arial"/>
        </w:rPr>
        <w:t xml:space="preserve"> </w:t>
      </w:r>
      <w:r w:rsidR="000665C6" w:rsidRPr="00103606">
        <w:rPr>
          <w:rFonts w:cs="Arial"/>
        </w:rPr>
        <w:t xml:space="preserve">Miller, </w:t>
      </w:r>
      <w:r>
        <w:rPr>
          <w:rFonts w:cs="Arial"/>
        </w:rPr>
        <w:t>avec l’</w:t>
      </w:r>
      <w:r w:rsidR="00AF7978">
        <w:rPr>
          <w:rFonts w:cs="Arial"/>
        </w:rPr>
        <w:t>a</w:t>
      </w:r>
      <w:r>
        <w:rPr>
          <w:rFonts w:cs="Arial"/>
        </w:rPr>
        <w:t>ssistance de</w:t>
      </w:r>
      <w:r w:rsidR="000665C6" w:rsidRPr="00103606">
        <w:rPr>
          <w:rFonts w:cs="Arial"/>
        </w:rPr>
        <w:t xml:space="preserve"> Poulet, Abrams</w:t>
      </w:r>
      <w:r>
        <w:rPr>
          <w:rFonts w:cs="Arial"/>
        </w:rPr>
        <w:t>,</w:t>
      </w:r>
      <w:r w:rsidR="000665C6" w:rsidRPr="00103606">
        <w:rPr>
          <w:rFonts w:cs="Arial"/>
        </w:rPr>
        <w:t xml:space="preserve"> et Lippmann, </w:t>
      </w:r>
      <w:r w:rsidR="00AF7978">
        <w:rPr>
          <w:rFonts w:cs="Arial"/>
        </w:rPr>
        <w:t xml:space="preserve">de même que l’implication de Future, </w:t>
      </w:r>
      <w:r w:rsidR="000665C6" w:rsidRPr="00103606">
        <w:rPr>
          <w:rFonts w:cs="Arial"/>
        </w:rPr>
        <w:t>ont violé leurs droits à l’intégrité, à</w:t>
      </w:r>
      <w:r w:rsidR="007726A0">
        <w:rPr>
          <w:rFonts w:cs="Arial"/>
        </w:rPr>
        <w:t> </w:t>
      </w:r>
      <w:r w:rsidR="000665C6" w:rsidRPr="00103606">
        <w:rPr>
          <w:rFonts w:cs="Arial"/>
        </w:rPr>
        <w:t xml:space="preserve">la dignité, à l’honneur, en vertu des articles 1 et 4 de la Charte québécoise. </w:t>
      </w:r>
    </w:p>
    <w:p w14:paraId="6DF84AAC" w14:textId="77777777" w:rsidR="000665C6" w:rsidRPr="00103606" w:rsidRDefault="00E21D39" w:rsidP="00AF7978">
      <w:pPr>
        <w:pStyle w:val="Paragrdouble"/>
        <w:spacing w:line="276" w:lineRule="auto"/>
        <w:rPr>
          <w:rFonts w:cs="Arial"/>
        </w:rPr>
      </w:pPr>
      <w:r>
        <w:rPr>
          <w:rFonts w:cs="Arial"/>
        </w:rPr>
        <w:t>La</w:t>
      </w:r>
      <w:r w:rsidRPr="00103606">
        <w:rPr>
          <w:rFonts w:cs="Arial"/>
        </w:rPr>
        <w:t xml:space="preserve"> Cour suprême a établi que « les infractions d’ordre sexuel visent à protéger l’autonomie personnelle et l’intégrité sexuelle de la personne »</w:t>
      </w:r>
      <w:r>
        <w:rPr>
          <w:rStyle w:val="Appelnotedebasdep"/>
          <w:rFonts w:cs="Arial"/>
        </w:rPr>
        <w:footnoteReference w:id="95"/>
      </w:r>
      <w:r w:rsidRPr="00103606">
        <w:rPr>
          <w:rFonts w:cs="Arial"/>
        </w:rPr>
        <w:t>, de telle sorte à</w:t>
      </w:r>
      <w:r>
        <w:rPr>
          <w:rFonts w:cs="Arial"/>
        </w:rPr>
        <w:t xml:space="preserve"> </w:t>
      </w:r>
      <w:r w:rsidRPr="00103606">
        <w:rPr>
          <w:rFonts w:cs="Arial"/>
        </w:rPr>
        <w:t>rattacher</w:t>
      </w:r>
      <w:r w:rsidR="00280725" w:rsidRPr="00103606">
        <w:rPr>
          <w:rFonts w:cs="Arial"/>
        </w:rPr>
        <w:t>, à tout le moins,</w:t>
      </w:r>
      <w:r w:rsidRPr="00103606">
        <w:rPr>
          <w:rFonts w:cs="Arial"/>
        </w:rPr>
        <w:t xml:space="preserve"> les allégations des codemanderesses à la violation du droit à l’intégrité, codifié à l’article 1 de la Charte</w:t>
      </w:r>
      <w:r w:rsidR="003C0AD1">
        <w:rPr>
          <w:rFonts w:cs="Arial"/>
        </w:rPr>
        <w:t xml:space="preserve"> québécoise</w:t>
      </w:r>
      <w:r w:rsidRPr="00103606">
        <w:rPr>
          <w:rFonts w:cs="Arial"/>
        </w:rPr>
        <w:t>.</w:t>
      </w:r>
      <w:r w:rsidR="00532C5F" w:rsidRPr="00103606">
        <w:rPr>
          <w:rFonts w:cs="Arial"/>
        </w:rPr>
        <w:t xml:space="preserve"> La Cour d’appel a aussi reconnu que la violence sexuelle porte atteinte au droit à l’honneur et à la dignité</w:t>
      </w:r>
      <w:r>
        <w:rPr>
          <w:rStyle w:val="Appelnotedebasdep"/>
          <w:rFonts w:cs="Arial"/>
        </w:rPr>
        <w:footnoteReference w:id="96"/>
      </w:r>
      <w:r w:rsidR="00532C5F" w:rsidRPr="00103606">
        <w:rPr>
          <w:rFonts w:cs="Arial"/>
        </w:rPr>
        <w:t>.</w:t>
      </w:r>
    </w:p>
    <w:p w14:paraId="69559966" w14:textId="77777777" w:rsidR="000665C6" w:rsidRPr="00103606" w:rsidRDefault="00E21D39" w:rsidP="00AA42C2">
      <w:pPr>
        <w:pStyle w:val="Paragrdouble"/>
        <w:spacing w:line="276" w:lineRule="auto"/>
        <w:rPr>
          <w:rFonts w:cs="Arial"/>
        </w:rPr>
      </w:pPr>
      <w:r w:rsidRPr="00103606">
        <w:rPr>
          <w:rFonts w:cs="Arial"/>
        </w:rPr>
        <w:t>D’ailleurs</w:t>
      </w:r>
      <w:r w:rsidR="00F42A56" w:rsidRPr="00103606">
        <w:rPr>
          <w:rFonts w:cs="Arial"/>
        </w:rPr>
        <w:t>, une allégation de conduite illicite et intentionnelle qui se rapporte à la faute spécifique suffit, dans la mesure où les autres allégations de fait de la demande d’autorisation permettent au tribunal de déduire que l’auteur de la faute devait savoir que sa conduite pouvait mener à une violation d’un droit protégé par la Charte</w:t>
      </w:r>
      <w:r>
        <w:rPr>
          <w:rStyle w:val="Appelnotedebasdep"/>
          <w:rFonts w:cs="Arial"/>
        </w:rPr>
        <w:footnoteReference w:id="97"/>
      </w:r>
      <w:r w:rsidR="00F42A56" w:rsidRPr="00103606">
        <w:rPr>
          <w:rFonts w:cs="Arial"/>
        </w:rPr>
        <w:t xml:space="preserve">. </w:t>
      </w:r>
      <w:r w:rsidR="007E1E91">
        <w:rPr>
          <w:rFonts w:cs="Arial"/>
        </w:rPr>
        <w:br/>
      </w:r>
      <w:r w:rsidR="00F42A56" w:rsidRPr="00103606">
        <w:rPr>
          <w:rFonts w:cs="Arial"/>
        </w:rPr>
        <w:t xml:space="preserve">En effet, il serait prématuré d’exiger davantage puisque l’octroi de dommages punitifs dépend du comportement global de la partie fautive. </w:t>
      </w:r>
    </w:p>
    <w:p w14:paraId="13EAD412" w14:textId="77777777" w:rsidR="00280725" w:rsidRPr="00103606" w:rsidRDefault="00E21D39" w:rsidP="00AA42C2">
      <w:pPr>
        <w:pStyle w:val="Paragrdouble"/>
        <w:spacing w:line="276" w:lineRule="auto"/>
        <w:rPr>
          <w:rFonts w:cs="Arial"/>
        </w:rPr>
      </w:pPr>
      <w:r w:rsidRPr="00103606">
        <w:rPr>
          <w:rFonts w:cs="Arial"/>
        </w:rPr>
        <w:t xml:space="preserve">Pour ce qui est de la nature intentionnelle de l’atteinte illicite, la Cour d’appel </w:t>
      </w:r>
      <w:r w:rsidR="004D45F6">
        <w:rPr>
          <w:rFonts w:cs="Arial"/>
        </w:rPr>
        <w:br/>
      </w:r>
      <w:r w:rsidRPr="00103606">
        <w:rPr>
          <w:rFonts w:cs="Arial"/>
        </w:rPr>
        <w:t>a reconnu qu’en matière de violence sexuelle, « les agresseurs ne peuvent ignorer les conséquences graves de leurs gestes sur leurs victimes »</w:t>
      </w:r>
      <w:r>
        <w:rPr>
          <w:rStyle w:val="Appelnotedebasdep"/>
          <w:rFonts w:cs="Arial"/>
        </w:rPr>
        <w:footnoteReference w:id="98"/>
      </w:r>
      <w:r w:rsidRPr="00103606">
        <w:rPr>
          <w:rFonts w:cs="Arial"/>
        </w:rPr>
        <w:t>. Ce critère paraît donc rempli.</w:t>
      </w:r>
    </w:p>
    <w:p w14:paraId="32D66D3D" w14:textId="77777777" w:rsidR="00AA42C2" w:rsidRPr="00103606" w:rsidRDefault="00E21D39" w:rsidP="00AA42C2">
      <w:pPr>
        <w:pStyle w:val="Paragrdouble"/>
        <w:spacing w:line="276" w:lineRule="auto"/>
        <w:rPr>
          <w:rFonts w:cs="Arial"/>
        </w:rPr>
      </w:pPr>
      <w:r w:rsidRPr="00103606">
        <w:rPr>
          <w:rFonts w:cs="Arial"/>
        </w:rPr>
        <w:t>Ainsi</w:t>
      </w:r>
      <w:r w:rsidR="00F42A56" w:rsidRPr="00103606">
        <w:rPr>
          <w:rFonts w:cs="Arial"/>
        </w:rPr>
        <w:t xml:space="preserve">, les allégations de la </w:t>
      </w:r>
      <w:r w:rsidR="00B80370">
        <w:rPr>
          <w:rFonts w:cs="Arial"/>
        </w:rPr>
        <w:t>Sixième</w:t>
      </w:r>
      <w:r w:rsidR="00B80370" w:rsidRPr="00103606">
        <w:rPr>
          <w:rFonts w:cs="Arial"/>
        </w:rPr>
        <w:t xml:space="preserve"> </w:t>
      </w:r>
      <w:r w:rsidR="00F42A56" w:rsidRPr="00103606">
        <w:rPr>
          <w:rFonts w:cs="Arial"/>
        </w:rPr>
        <w:t xml:space="preserve">Demande, dans l’ensemble, sont suffisantes </w:t>
      </w:r>
      <w:r w:rsidR="009C3F45">
        <w:rPr>
          <w:rFonts w:cs="Arial"/>
        </w:rPr>
        <w:t xml:space="preserve">et </w:t>
      </w:r>
      <w:r w:rsidR="00F42A56" w:rsidRPr="00103606">
        <w:rPr>
          <w:rFonts w:cs="Arial"/>
        </w:rPr>
        <w:t>donnent ouverture à la réclamation de dommages punitifs.</w:t>
      </w:r>
      <w:r w:rsidR="00532C5F" w:rsidRPr="00103606">
        <w:rPr>
          <w:rFonts w:cs="Arial"/>
        </w:rPr>
        <w:t xml:space="preserve"> </w:t>
      </w:r>
    </w:p>
    <w:p w14:paraId="67298790" w14:textId="77777777" w:rsidR="00AA42C2" w:rsidRPr="00103606" w:rsidRDefault="00E21D39" w:rsidP="00AA42C2">
      <w:pPr>
        <w:pStyle w:val="Paragrdouble"/>
        <w:spacing w:line="276" w:lineRule="auto"/>
        <w:rPr>
          <w:rFonts w:cs="Arial"/>
        </w:rPr>
      </w:pPr>
      <w:r w:rsidRPr="00103606">
        <w:rPr>
          <w:rFonts w:cs="Arial"/>
        </w:rPr>
        <w:t xml:space="preserve">Par ailleurs, ce n’est qu’après avoir entendu la preuve que sera apprécié </w:t>
      </w:r>
      <w:r w:rsidR="009C3F45">
        <w:rPr>
          <w:rFonts w:cs="Arial"/>
        </w:rPr>
        <w:br/>
      </w:r>
      <w:r w:rsidRPr="00103606">
        <w:rPr>
          <w:rFonts w:cs="Arial"/>
        </w:rPr>
        <w:t xml:space="preserve">le comportement des défendeurs et l’étendue des dommages punitifs causés, </w:t>
      </w:r>
      <w:r w:rsidR="00067F77">
        <w:rPr>
          <w:rFonts w:cs="Arial"/>
        </w:rPr>
        <w:br/>
      </w:r>
      <w:r w:rsidRPr="00103606">
        <w:rPr>
          <w:rFonts w:cs="Arial"/>
        </w:rPr>
        <w:t>le cas échéant</w:t>
      </w:r>
      <w:r>
        <w:rPr>
          <w:rStyle w:val="Appelnotedebasdep"/>
          <w:rFonts w:cs="Arial"/>
        </w:rPr>
        <w:footnoteReference w:id="99"/>
      </w:r>
      <w:r w:rsidRPr="00103606">
        <w:rPr>
          <w:rFonts w:cs="Arial"/>
        </w:rPr>
        <w:t xml:space="preserve">. </w:t>
      </w:r>
    </w:p>
    <w:p w14:paraId="3F428750" w14:textId="77777777" w:rsidR="003A38D0" w:rsidRPr="00103606" w:rsidRDefault="00E21D39" w:rsidP="00C56182">
      <w:pPr>
        <w:pStyle w:val="Paragrdouble"/>
        <w:spacing w:line="276" w:lineRule="auto"/>
        <w:rPr>
          <w:rFonts w:cs="Arial"/>
        </w:rPr>
      </w:pPr>
      <w:r w:rsidRPr="00103606">
        <w:rPr>
          <w:rFonts w:cs="Arial"/>
        </w:rPr>
        <w:t>Les codemanderesses demandent que</w:t>
      </w:r>
      <w:r w:rsidR="00AA42C2" w:rsidRPr="00103606">
        <w:rPr>
          <w:rFonts w:cs="Arial"/>
        </w:rPr>
        <w:t xml:space="preserve"> </w:t>
      </w:r>
      <w:r w:rsidRPr="00103606">
        <w:rPr>
          <w:rFonts w:cs="Arial"/>
        </w:rPr>
        <w:t>l</w:t>
      </w:r>
      <w:r w:rsidR="00AA42C2" w:rsidRPr="00103606">
        <w:rPr>
          <w:rFonts w:cs="Arial"/>
        </w:rPr>
        <w:t>es dommages punitifs</w:t>
      </w:r>
      <w:r w:rsidRPr="00103606">
        <w:rPr>
          <w:rFonts w:cs="Arial"/>
        </w:rPr>
        <w:t xml:space="preserve"> soient ordonnés</w:t>
      </w:r>
      <w:r w:rsidR="00532C5F" w:rsidRPr="00103606">
        <w:rPr>
          <w:rFonts w:cs="Arial"/>
        </w:rPr>
        <w:t xml:space="preserve"> sur une base solidaire. Je suis d’avis que dans l’ensemble, </w:t>
      </w:r>
      <w:r w:rsidR="00E27C16" w:rsidRPr="00103606">
        <w:rPr>
          <w:rFonts w:cs="Arial"/>
        </w:rPr>
        <w:t>l</w:t>
      </w:r>
      <w:r w:rsidR="00532C5F" w:rsidRPr="00103606">
        <w:rPr>
          <w:rFonts w:cs="Arial"/>
        </w:rPr>
        <w:t xml:space="preserve">es énoncés de faute visant les défendeurs, </w:t>
      </w:r>
      <w:r w:rsidR="00C56182" w:rsidRPr="00103606">
        <w:rPr>
          <w:rFonts w:cs="Arial"/>
        </w:rPr>
        <w:t>appuyés éventuellement d’une</w:t>
      </w:r>
      <w:r w:rsidR="00532C5F" w:rsidRPr="00103606">
        <w:rPr>
          <w:rFonts w:cs="Arial"/>
        </w:rPr>
        <w:t xml:space="preserve"> preuve probante</w:t>
      </w:r>
      <w:r w:rsidR="00C56182" w:rsidRPr="00103606">
        <w:rPr>
          <w:rFonts w:cs="Arial"/>
        </w:rPr>
        <w:t xml:space="preserve"> – au mérite</w:t>
      </w:r>
      <w:r w:rsidR="00532C5F" w:rsidRPr="00103606">
        <w:rPr>
          <w:rFonts w:cs="Arial"/>
        </w:rPr>
        <w:t xml:space="preserve">, pourraient possiblement mener aux conclusions recherchées. Il </w:t>
      </w:r>
      <w:r w:rsidR="00C56182" w:rsidRPr="00103606">
        <w:rPr>
          <w:rFonts w:cs="Arial"/>
        </w:rPr>
        <w:t>est</w:t>
      </w:r>
      <w:r w:rsidR="00532C5F" w:rsidRPr="00103606">
        <w:rPr>
          <w:rFonts w:cs="Arial"/>
        </w:rPr>
        <w:t xml:space="preserve"> prématuré de disposer de ce</w:t>
      </w:r>
      <w:r w:rsidR="00C56182" w:rsidRPr="00103606">
        <w:rPr>
          <w:rFonts w:cs="Arial"/>
        </w:rPr>
        <w:t>tte</w:t>
      </w:r>
      <w:r w:rsidR="00532C5F" w:rsidRPr="00103606">
        <w:rPr>
          <w:rFonts w:cs="Arial"/>
        </w:rPr>
        <w:t xml:space="preserve"> question </w:t>
      </w:r>
      <w:r w:rsidR="00C56182" w:rsidRPr="00103606">
        <w:rPr>
          <w:rFonts w:cs="Arial"/>
        </w:rPr>
        <w:t>de solidarité</w:t>
      </w:r>
      <w:r w:rsidR="00532C5F" w:rsidRPr="00103606">
        <w:rPr>
          <w:rFonts w:cs="Arial"/>
        </w:rPr>
        <w:t xml:space="preserve"> dès </w:t>
      </w:r>
      <w:r w:rsidR="00C56182" w:rsidRPr="00103606">
        <w:rPr>
          <w:rFonts w:cs="Arial"/>
        </w:rPr>
        <w:t>maintenant, surtout</w:t>
      </w:r>
      <w:r w:rsidR="00532C5F" w:rsidRPr="00103606">
        <w:rPr>
          <w:rFonts w:cs="Arial"/>
        </w:rPr>
        <w:t xml:space="preserve"> </w:t>
      </w:r>
      <w:r w:rsidR="00C56182" w:rsidRPr="00103606">
        <w:rPr>
          <w:rFonts w:cs="Arial"/>
        </w:rPr>
        <w:t>en considération</w:t>
      </w:r>
      <w:r w:rsidR="00532C5F" w:rsidRPr="00103606">
        <w:rPr>
          <w:rFonts w:cs="Arial"/>
        </w:rPr>
        <w:t xml:space="preserve"> du seuil peu </w:t>
      </w:r>
      <w:r w:rsidR="00C56182" w:rsidRPr="00103606">
        <w:rPr>
          <w:rFonts w:cs="Arial"/>
        </w:rPr>
        <w:t>élevé</w:t>
      </w:r>
      <w:r w:rsidR="00532C5F" w:rsidRPr="00103606">
        <w:rPr>
          <w:rFonts w:cs="Arial"/>
        </w:rPr>
        <w:t xml:space="preserve"> requis</w:t>
      </w:r>
      <w:r w:rsidR="00C56182" w:rsidRPr="00103606">
        <w:rPr>
          <w:rFonts w:cs="Arial"/>
        </w:rPr>
        <w:t xml:space="preserve"> à l’autorisation</w:t>
      </w:r>
      <w:r w:rsidR="00532C5F" w:rsidRPr="00103606">
        <w:rPr>
          <w:rFonts w:cs="Arial"/>
        </w:rPr>
        <w:t>, à savoir</w:t>
      </w:r>
      <w:r w:rsidR="0004186E">
        <w:rPr>
          <w:rFonts w:cs="Arial"/>
        </w:rPr>
        <w:t xml:space="preserve"> </w:t>
      </w:r>
      <w:r w:rsidR="00532C5F" w:rsidRPr="00103606">
        <w:rPr>
          <w:rFonts w:cs="Arial"/>
        </w:rPr>
        <w:t>que le syllogisme proposé paraît soutenable.</w:t>
      </w:r>
      <w:r w:rsidR="008E61F6">
        <w:rPr>
          <w:rFonts w:cs="Arial"/>
        </w:rPr>
        <w:t xml:space="preserve"> </w:t>
      </w:r>
      <w:r w:rsidR="007E50B9">
        <w:rPr>
          <w:rFonts w:cs="Arial"/>
        </w:rPr>
        <w:t>La prochaine sous-section aborde plus en détail la suffisance des allégations de solidarité des dommages.</w:t>
      </w:r>
    </w:p>
    <w:p w14:paraId="764DE665" w14:textId="77777777" w:rsidR="004677CA" w:rsidRPr="00103606" w:rsidRDefault="00E21D39" w:rsidP="009F319B">
      <w:pPr>
        <w:pStyle w:val="Titre3"/>
        <w:numPr>
          <w:ilvl w:val="0"/>
          <w:numId w:val="17"/>
        </w:numPr>
        <w:ind w:left="1134"/>
        <w:rPr>
          <w:rFonts w:cs="Arial"/>
        </w:rPr>
      </w:pPr>
      <w:bookmarkStart w:id="51" w:name="_Toc256000019"/>
      <w:bookmarkStart w:id="52" w:name="_Toc187475778"/>
      <w:r>
        <w:rPr>
          <w:rFonts w:cs="Arial"/>
        </w:rPr>
        <w:t xml:space="preserve">La </w:t>
      </w:r>
      <w:r w:rsidR="00E87347">
        <w:rPr>
          <w:rFonts w:cs="Arial"/>
        </w:rPr>
        <w:t xml:space="preserve">suffisance </w:t>
      </w:r>
      <w:r w:rsidR="00F03888">
        <w:rPr>
          <w:rFonts w:cs="Arial"/>
        </w:rPr>
        <w:t>des allégations</w:t>
      </w:r>
      <w:r w:rsidR="00E87347">
        <w:rPr>
          <w:rFonts w:cs="Arial"/>
        </w:rPr>
        <w:t xml:space="preserve"> de </w:t>
      </w:r>
      <w:r>
        <w:rPr>
          <w:rFonts w:cs="Arial"/>
        </w:rPr>
        <w:t>solidarité des dommages</w:t>
      </w:r>
      <w:bookmarkEnd w:id="51"/>
      <w:bookmarkEnd w:id="52"/>
    </w:p>
    <w:p w14:paraId="258CA4D5" w14:textId="77777777" w:rsidR="00E252A1" w:rsidRPr="00103606" w:rsidRDefault="00E21D39" w:rsidP="00E252A1">
      <w:pPr>
        <w:pStyle w:val="Paragrdouble"/>
        <w:spacing w:line="276" w:lineRule="auto"/>
        <w:rPr>
          <w:rFonts w:cs="Arial"/>
        </w:rPr>
      </w:pPr>
      <w:r w:rsidRPr="00103606">
        <w:rPr>
          <w:rFonts w:cs="Arial"/>
        </w:rPr>
        <w:t xml:space="preserve">Les codemanderesses prétendent, au surplus, avoir avancé des causes défendables permettant d’engager la responsabilité solidaire des défendeurs, entraînant le paiement de dommages compensatoires pour les préjudices causés en raison de leurs fautes collectives sur une base extracontractuelle. Ainsi, S.N. a montré une cause d’action défendable envers Miller, Lippmann et Poulet. B.N. a montré une cause défendable envers Miller, Abrams et Poulet. V.R. a montré une cause d’action défendable envers Miller et Abrams. </w:t>
      </w:r>
      <w:r w:rsidR="00764BC1">
        <w:rPr>
          <w:rFonts w:cs="Arial"/>
        </w:rPr>
        <w:t>U</w:t>
      </w:r>
      <w:r w:rsidRPr="00103606">
        <w:rPr>
          <w:rFonts w:cs="Arial"/>
        </w:rPr>
        <w:t xml:space="preserve">ne cause d’action défendable existe </w:t>
      </w:r>
      <w:r w:rsidR="00764BC1">
        <w:rPr>
          <w:rFonts w:cs="Arial"/>
        </w:rPr>
        <w:t xml:space="preserve">également </w:t>
      </w:r>
      <w:r w:rsidRPr="00103606">
        <w:rPr>
          <w:rFonts w:cs="Arial"/>
        </w:rPr>
        <w:t>envers Future.</w:t>
      </w:r>
    </w:p>
    <w:p w14:paraId="1F9C47D6" w14:textId="77777777" w:rsidR="00E252A1" w:rsidRPr="00103606" w:rsidRDefault="00E21D39" w:rsidP="00E252A1">
      <w:pPr>
        <w:pStyle w:val="Paragrdouble"/>
        <w:spacing w:line="276" w:lineRule="auto"/>
        <w:rPr>
          <w:rFonts w:cs="Arial"/>
        </w:rPr>
      </w:pPr>
      <w:r w:rsidRPr="00103606">
        <w:rPr>
          <w:rFonts w:cs="Arial"/>
        </w:rPr>
        <w:t>La Cour suprême du Canada a établi que les principes de responsabilité solidaire pour des fautes extracontractuelles sont soumis aux articles 1480 et 1526 C.c.Q.</w:t>
      </w:r>
      <w:r>
        <w:rPr>
          <w:rStyle w:val="Appelnotedebasdep"/>
          <w:rFonts w:cs="Arial"/>
        </w:rPr>
        <w:footnoteReference w:id="100"/>
      </w:r>
      <w:r w:rsidRPr="00103606">
        <w:rPr>
          <w:rFonts w:cs="Arial"/>
        </w:rPr>
        <w:t xml:space="preserve"> </w:t>
      </w:r>
      <w:r w:rsidR="003C219A">
        <w:rPr>
          <w:rFonts w:cs="Arial"/>
        </w:rPr>
        <w:br/>
      </w:r>
      <w:r w:rsidRPr="00103606">
        <w:rPr>
          <w:rFonts w:cs="Arial"/>
        </w:rPr>
        <w:t>Elle explique que pour que s’appliquent ces articles, il faut être en présence d’un préjudice unique</w:t>
      </w:r>
      <w:r>
        <w:rPr>
          <w:rStyle w:val="Appelnotedebasdep"/>
          <w:rFonts w:cs="Arial"/>
        </w:rPr>
        <w:footnoteReference w:id="101"/>
      </w:r>
      <w:r w:rsidRPr="00103606">
        <w:rPr>
          <w:rFonts w:cs="Arial"/>
        </w:rPr>
        <w:t xml:space="preserve">. </w:t>
      </w:r>
      <w:r w:rsidR="003B4B1F" w:rsidRPr="00103606">
        <w:rPr>
          <w:rFonts w:cs="Arial"/>
        </w:rPr>
        <w:t xml:space="preserve">Ce régime ne </w:t>
      </w:r>
      <w:r w:rsidRPr="00103606">
        <w:rPr>
          <w:rFonts w:cs="Arial"/>
        </w:rPr>
        <w:t xml:space="preserve">vise </w:t>
      </w:r>
      <w:r w:rsidR="003B4B1F" w:rsidRPr="00103606">
        <w:rPr>
          <w:rFonts w:cs="Arial"/>
        </w:rPr>
        <w:t xml:space="preserve">d’ailleurs </w:t>
      </w:r>
      <w:r w:rsidRPr="00103606">
        <w:rPr>
          <w:rFonts w:cs="Arial"/>
        </w:rPr>
        <w:t xml:space="preserve">pas un objectif punitif. </w:t>
      </w:r>
      <w:r w:rsidR="003B4B1F" w:rsidRPr="00103606">
        <w:rPr>
          <w:rFonts w:cs="Arial"/>
        </w:rPr>
        <w:t>L</w:t>
      </w:r>
      <w:r w:rsidRPr="00103606">
        <w:rPr>
          <w:rFonts w:cs="Arial"/>
        </w:rPr>
        <w:t>’art. 1480 C.c.Q. n’impose la solidarité que dans le cas où il est impossible de déterminer quelle faute a causé le</w:t>
      </w:r>
      <w:r w:rsidR="005D6C1A">
        <w:rPr>
          <w:rFonts w:cs="Arial"/>
        </w:rPr>
        <w:t> </w:t>
      </w:r>
      <w:r w:rsidRPr="00103606">
        <w:rPr>
          <w:rFonts w:cs="Arial"/>
        </w:rPr>
        <w:t>dommage.</w:t>
      </w:r>
      <w:r w:rsidR="003B4B1F" w:rsidRPr="00103606">
        <w:rPr>
          <w:rFonts w:cs="Arial"/>
        </w:rPr>
        <w:t xml:space="preserve"> De plus, il faut qu’il y ait soit «</w:t>
      </w:r>
      <w:r w:rsidR="005D6C1A">
        <w:rPr>
          <w:rFonts w:cs="Arial"/>
        </w:rPr>
        <w:t> </w:t>
      </w:r>
      <w:r w:rsidR="003B4B1F" w:rsidRPr="00103606">
        <w:rPr>
          <w:rFonts w:cs="Arial"/>
        </w:rPr>
        <w:t>un fait collectif fautif qui entraîne un préjudice</w:t>
      </w:r>
      <w:r w:rsidR="005D6C1A">
        <w:rPr>
          <w:rFonts w:cs="Arial"/>
        </w:rPr>
        <w:t> </w:t>
      </w:r>
      <w:r w:rsidR="003B4B1F" w:rsidRPr="00103606">
        <w:rPr>
          <w:rFonts w:cs="Arial"/>
        </w:rPr>
        <w:t>», soit «</w:t>
      </w:r>
      <w:r w:rsidR="005D6C1A">
        <w:rPr>
          <w:rFonts w:cs="Arial"/>
        </w:rPr>
        <w:t> </w:t>
      </w:r>
      <w:r w:rsidR="003B4B1F" w:rsidRPr="00103606">
        <w:rPr>
          <w:rFonts w:cs="Arial"/>
        </w:rPr>
        <w:t>des fautes distinctes dont chacune est susceptible d’avoir causé le</w:t>
      </w:r>
      <w:r w:rsidR="005D6C1A">
        <w:rPr>
          <w:rFonts w:cs="Arial"/>
        </w:rPr>
        <w:t> </w:t>
      </w:r>
      <w:r w:rsidR="003B4B1F" w:rsidRPr="00103606">
        <w:rPr>
          <w:rFonts w:cs="Arial"/>
        </w:rPr>
        <w:t>préjudice</w:t>
      </w:r>
      <w:r w:rsidR="005D6C1A">
        <w:rPr>
          <w:rFonts w:cs="Arial"/>
        </w:rPr>
        <w:t> </w:t>
      </w:r>
      <w:r w:rsidR="003B4B1F" w:rsidRPr="00103606">
        <w:rPr>
          <w:rFonts w:cs="Arial"/>
        </w:rPr>
        <w:t>»</w:t>
      </w:r>
      <w:r>
        <w:rPr>
          <w:rStyle w:val="Appelnotedebasdep"/>
          <w:rFonts w:cs="Arial"/>
        </w:rPr>
        <w:footnoteReference w:id="102"/>
      </w:r>
      <w:r w:rsidR="003B4B1F" w:rsidRPr="00103606">
        <w:rPr>
          <w:rFonts w:cs="Arial"/>
        </w:rPr>
        <w:t>.</w:t>
      </w:r>
    </w:p>
    <w:p w14:paraId="497CA905" w14:textId="77777777" w:rsidR="003B4B1F" w:rsidRPr="00103606" w:rsidRDefault="00E21D39" w:rsidP="003B4B1F">
      <w:pPr>
        <w:pStyle w:val="Paragrdouble"/>
        <w:spacing w:line="276" w:lineRule="auto"/>
        <w:rPr>
          <w:rFonts w:cs="Arial"/>
        </w:rPr>
      </w:pPr>
      <w:r w:rsidRPr="00103606">
        <w:rPr>
          <w:rFonts w:cs="Arial"/>
        </w:rPr>
        <w:t>La Cour</w:t>
      </w:r>
      <w:r w:rsidR="00E252A1" w:rsidRPr="00103606">
        <w:rPr>
          <w:rFonts w:cs="Arial"/>
        </w:rPr>
        <w:t xml:space="preserve"> y précise que </w:t>
      </w:r>
      <w:r w:rsidR="00AA6EDF">
        <w:rPr>
          <w:rFonts w:cs="Arial"/>
        </w:rPr>
        <w:t>l’application de</w:t>
      </w:r>
      <w:r w:rsidR="00C27B53">
        <w:rPr>
          <w:rFonts w:cs="Arial"/>
        </w:rPr>
        <w:t xml:space="preserve"> </w:t>
      </w:r>
      <w:r w:rsidR="00E252A1" w:rsidRPr="00103606">
        <w:rPr>
          <w:rFonts w:cs="Arial"/>
        </w:rPr>
        <w:t xml:space="preserve">l’article 1526 </w:t>
      </w:r>
      <w:r w:rsidR="00E27C16" w:rsidRPr="00103606">
        <w:rPr>
          <w:rFonts w:cs="Arial"/>
        </w:rPr>
        <w:t xml:space="preserve">C.c.Q. </w:t>
      </w:r>
      <w:r w:rsidR="00AA6EDF">
        <w:rPr>
          <w:rFonts w:cs="Arial"/>
        </w:rPr>
        <w:t>est soumise à la condition</w:t>
      </w:r>
      <w:r w:rsidR="00393EB6">
        <w:rPr>
          <w:rFonts w:cs="Arial"/>
        </w:rPr>
        <w:t xml:space="preserve"> suivante :</w:t>
      </w:r>
      <w:r w:rsidR="00E252A1" w:rsidRPr="00103606">
        <w:rPr>
          <w:rFonts w:cs="Arial"/>
        </w:rPr>
        <w:t xml:space="preserve"> « la faute de deux personnes ou plus doit avoir causé un préjudice unique. Il peut s’agir d’une faute commune ou de fautes contributoires</w:t>
      </w:r>
      <w:r w:rsidR="00AE4E4E">
        <w:rPr>
          <w:rFonts w:cs="Arial"/>
        </w:rPr>
        <w:t> </w:t>
      </w:r>
      <w:r w:rsidR="00E252A1" w:rsidRPr="00103606">
        <w:rPr>
          <w:rFonts w:cs="Arial"/>
        </w:rPr>
        <w:t>»</w:t>
      </w:r>
      <w:r>
        <w:rPr>
          <w:rStyle w:val="Appelnotedebasdep"/>
          <w:rFonts w:cs="Arial"/>
        </w:rPr>
        <w:footnoteReference w:id="103"/>
      </w:r>
      <w:r w:rsidR="00E252A1" w:rsidRPr="00103606">
        <w:rPr>
          <w:rFonts w:cs="Arial"/>
        </w:rPr>
        <w:t>. Les fautes seront contributoires lorsque, sans se concerter, deux personnes commettent des fautes distinctes dont la combinaison cause un préjudice unique</w:t>
      </w:r>
      <w:r>
        <w:rPr>
          <w:rStyle w:val="Appelnotedebasdep"/>
          <w:rFonts w:cs="Arial"/>
        </w:rPr>
        <w:footnoteReference w:id="104"/>
      </w:r>
      <w:r w:rsidR="00E252A1" w:rsidRPr="00103606">
        <w:rPr>
          <w:rFonts w:cs="Arial"/>
        </w:rPr>
        <w:t xml:space="preserve">. </w:t>
      </w:r>
      <w:r w:rsidR="004975FE">
        <w:rPr>
          <w:rFonts w:cs="Arial"/>
        </w:rPr>
        <w:br/>
      </w:r>
      <w:r w:rsidR="00E252A1" w:rsidRPr="00103606">
        <w:rPr>
          <w:rFonts w:cs="Arial"/>
        </w:rPr>
        <w:t>Si toutefois chaque faute peut être reliée à un préjudice distinct, l’article 1526 ne s’applique pas</w:t>
      </w:r>
      <w:r>
        <w:rPr>
          <w:rStyle w:val="Appelnotedebasdep"/>
          <w:rFonts w:cs="Arial"/>
        </w:rPr>
        <w:footnoteReference w:id="105"/>
      </w:r>
      <w:r w:rsidR="00E252A1" w:rsidRPr="00103606">
        <w:rPr>
          <w:rFonts w:cs="Arial"/>
        </w:rPr>
        <w:t xml:space="preserve">. </w:t>
      </w:r>
      <w:r w:rsidRPr="00103606">
        <w:rPr>
          <w:rFonts w:cs="Arial"/>
        </w:rPr>
        <w:t xml:space="preserve">La Cour suprême explique : </w:t>
      </w:r>
    </w:p>
    <w:p w14:paraId="4E6CFB35" w14:textId="77777777" w:rsidR="00C611C1" w:rsidRPr="00103606" w:rsidRDefault="00E21D39" w:rsidP="00573001">
      <w:pPr>
        <w:pStyle w:val="Paragrdouble"/>
        <w:numPr>
          <w:ilvl w:val="0"/>
          <w:numId w:val="0"/>
        </w:numPr>
        <w:spacing w:after="0" w:line="240" w:lineRule="auto"/>
        <w:ind w:left="731" w:right="857"/>
        <w:rPr>
          <w:rFonts w:cs="Arial"/>
          <w:sz w:val="22"/>
          <w:szCs w:val="18"/>
        </w:rPr>
      </w:pPr>
      <w:r w:rsidRPr="00103606">
        <w:rPr>
          <w:rFonts w:cs="Arial"/>
          <w:sz w:val="22"/>
          <w:szCs w:val="18"/>
        </w:rPr>
        <w:t>« </w:t>
      </w:r>
      <w:r w:rsidRPr="00103606">
        <w:rPr>
          <w:rFonts w:ascii="Symbol" w:hAnsi="Symbol" w:cs="Arial"/>
          <w:sz w:val="22"/>
          <w:szCs w:val="18"/>
        </w:rPr>
        <w:sym w:font="Symbol" w:char="F05B"/>
      </w:r>
      <w:r w:rsidRPr="00103606">
        <w:rPr>
          <w:rFonts w:cs="Arial"/>
          <w:sz w:val="22"/>
          <w:szCs w:val="18"/>
        </w:rPr>
        <w:t>…</w:t>
      </w:r>
      <w:r w:rsidRPr="00103606">
        <w:rPr>
          <w:rFonts w:ascii="Symbol" w:hAnsi="Symbol" w:cs="Arial"/>
          <w:sz w:val="22"/>
          <w:szCs w:val="18"/>
        </w:rPr>
        <w:sym w:font="Symbol" w:char="F05D"/>
      </w:r>
      <w:r w:rsidRPr="00103606">
        <w:rPr>
          <w:rFonts w:cs="Arial"/>
          <w:sz w:val="22"/>
          <w:szCs w:val="18"/>
        </w:rPr>
        <w:t xml:space="preserve"> l’art. 1526 C.c.Q. prévoit la solidarité des auteurs d’une faute commune ou de fautes contributoires, et ce, même si la preuve révèle quelle personne a commis la faute qui a effectivement causé le préjudice. </w:t>
      </w:r>
      <w:r w:rsidRPr="00103606">
        <w:rPr>
          <w:rFonts w:cs="Arial"/>
          <w:sz w:val="22"/>
          <w:szCs w:val="18"/>
          <w:u w:val="single"/>
        </w:rPr>
        <w:t>C’est donc en vertu de l’art. 1526 C.c.Q. que l’on obtient aujourd’hui la condamnation solidaire des auteurs de fautes communes ou contributoires, situations que la jurisprudence antérieure qualifiait parfois d’« aventures communes »</w:t>
      </w:r>
      <w:r w:rsidRPr="00103606">
        <w:rPr>
          <w:rFonts w:cs="Arial"/>
          <w:sz w:val="22"/>
          <w:szCs w:val="18"/>
        </w:rPr>
        <w:t>, et non par l’entremise de l’art. 1480 C.c.Q. »</w:t>
      </w:r>
      <w:r>
        <w:rPr>
          <w:rStyle w:val="Appelnotedebasdep"/>
          <w:rFonts w:cs="Arial"/>
          <w:sz w:val="22"/>
          <w:szCs w:val="18"/>
        </w:rPr>
        <w:footnoteReference w:id="106"/>
      </w:r>
      <w:r w:rsidRPr="00103606">
        <w:rPr>
          <w:rFonts w:cs="Arial"/>
          <w:sz w:val="22"/>
          <w:szCs w:val="18"/>
        </w:rPr>
        <w:t xml:space="preserve"> </w:t>
      </w:r>
    </w:p>
    <w:p w14:paraId="45EE0AA7" w14:textId="77777777" w:rsidR="003B4B1F" w:rsidRPr="00103606" w:rsidRDefault="00E21D39" w:rsidP="00F94A17">
      <w:pPr>
        <w:pStyle w:val="Paragrdouble"/>
        <w:numPr>
          <w:ilvl w:val="0"/>
          <w:numId w:val="0"/>
        </w:numPr>
        <w:spacing w:line="276" w:lineRule="auto"/>
        <w:ind w:left="731" w:right="857"/>
        <w:jc w:val="right"/>
        <w:rPr>
          <w:rFonts w:cs="Arial"/>
          <w:sz w:val="22"/>
          <w:szCs w:val="18"/>
        </w:rPr>
      </w:pPr>
      <w:r w:rsidRPr="00103606">
        <w:rPr>
          <w:rFonts w:ascii="Symbol" w:hAnsi="Symbol" w:cs="Arial"/>
          <w:sz w:val="22"/>
          <w:szCs w:val="18"/>
        </w:rPr>
        <w:sym w:font="Symbol" w:char="F05B"/>
      </w:r>
      <w:r w:rsidRPr="00103606">
        <w:rPr>
          <w:rFonts w:cs="Arial"/>
          <w:sz w:val="22"/>
          <w:szCs w:val="18"/>
        </w:rPr>
        <w:t>Notre soulignement</w:t>
      </w:r>
      <w:r w:rsidRPr="00103606">
        <w:rPr>
          <w:rFonts w:ascii="Symbol" w:hAnsi="Symbol" w:cs="Arial"/>
          <w:sz w:val="22"/>
          <w:szCs w:val="18"/>
        </w:rPr>
        <w:sym w:font="Symbol" w:char="F05D"/>
      </w:r>
    </w:p>
    <w:p w14:paraId="581B7FCF" w14:textId="77777777" w:rsidR="00E87347" w:rsidRPr="00103606" w:rsidRDefault="00E21D39" w:rsidP="00596F7A">
      <w:pPr>
        <w:pStyle w:val="Paragrdouble"/>
        <w:spacing w:line="276" w:lineRule="auto"/>
        <w:rPr>
          <w:rFonts w:cs="Arial"/>
        </w:rPr>
      </w:pPr>
      <w:r w:rsidRPr="00103606">
        <w:rPr>
          <w:rFonts w:cs="Arial"/>
        </w:rPr>
        <w:t xml:space="preserve">La Cour d’appel a </w:t>
      </w:r>
      <w:r w:rsidR="00715628" w:rsidRPr="00103606">
        <w:rPr>
          <w:rFonts w:cs="Arial"/>
        </w:rPr>
        <w:t xml:space="preserve">tenu </w:t>
      </w:r>
      <w:r w:rsidR="004B7CEC">
        <w:rPr>
          <w:rFonts w:cs="Arial"/>
        </w:rPr>
        <w:t xml:space="preserve">pour </w:t>
      </w:r>
      <w:r w:rsidR="004B7CEC" w:rsidRPr="00103606">
        <w:rPr>
          <w:rFonts w:cs="Arial"/>
        </w:rPr>
        <w:t xml:space="preserve">responsables solidairement </w:t>
      </w:r>
      <w:r w:rsidR="00715628" w:rsidRPr="00103606">
        <w:rPr>
          <w:rFonts w:cs="Arial"/>
        </w:rPr>
        <w:t xml:space="preserve">des défendeurs poursuivis pour violence sexuelle sur des mineurs dans l’affaire </w:t>
      </w:r>
      <w:r w:rsidR="00715628" w:rsidRPr="00103606">
        <w:rPr>
          <w:rFonts w:cs="Arial"/>
          <w:i/>
          <w:iCs/>
        </w:rPr>
        <w:t>N.B. c. G.A</w:t>
      </w:r>
      <w:r w:rsidR="00715628" w:rsidRPr="00103606">
        <w:rPr>
          <w:rFonts w:cs="Arial"/>
        </w:rPr>
        <w:t>., laquelle conclusion fut confirmée en appel</w:t>
      </w:r>
      <w:r>
        <w:rPr>
          <w:rStyle w:val="Appelnotedebasdep"/>
          <w:rFonts w:cs="Arial"/>
        </w:rPr>
        <w:footnoteReference w:id="107"/>
      </w:r>
      <w:r>
        <w:rPr>
          <w:rFonts w:cs="Arial"/>
        </w:rPr>
        <w:t>.</w:t>
      </w:r>
    </w:p>
    <w:p w14:paraId="32030B8E" w14:textId="77777777" w:rsidR="00E87347" w:rsidRDefault="00E21D39" w:rsidP="00E87347">
      <w:pPr>
        <w:pStyle w:val="Paragrdouble"/>
        <w:spacing w:line="276" w:lineRule="auto"/>
        <w:rPr>
          <w:rFonts w:cs="Arial"/>
        </w:rPr>
      </w:pPr>
      <w:r w:rsidRPr="00E87347">
        <w:rPr>
          <w:rFonts w:cs="Arial"/>
        </w:rPr>
        <w:t>En l’espèce, les codemanderesses allèguent de manière suffisamment précise, claire et tangible que la responsabilité des défendeurs doit être solidaire, en fonction de fautes communes et contributives également alléguées</w:t>
      </w:r>
      <w:r>
        <w:rPr>
          <w:rStyle w:val="Appelnotedebasdep"/>
          <w:rFonts w:cs="Arial"/>
        </w:rPr>
        <w:footnoteReference w:id="108"/>
      </w:r>
      <w:r w:rsidRPr="00E87347">
        <w:rPr>
          <w:rFonts w:cs="Arial"/>
        </w:rPr>
        <w:t>. Les faits allégués justifient donc les conclusions recherchées, entre autres</w:t>
      </w:r>
      <w:r w:rsidR="0004186E" w:rsidRPr="00E87347">
        <w:rPr>
          <w:rFonts w:cs="Arial"/>
        </w:rPr>
        <w:t>,</w:t>
      </w:r>
      <w:r w:rsidRPr="00E87347">
        <w:rPr>
          <w:rFonts w:cs="Arial"/>
        </w:rPr>
        <w:t xml:space="preserve"> quant à la recherche de conclusions solidaires. À tout évènement, cette question </w:t>
      </w:r>
      <w:r w:rsidR="00530C89" w:rsidRPr="00E87347">
        <w:rPr>
          <w:rFonts w:cs="Arial"/>
        </w:rPr>
        <w:t xml:space="preserve">de solidarité </w:t>
      </w:r>
      <w:r w:rsidRPr="00E87347">
        <w:rPr>
          <w:rFonts w:cs="Arial"/>
        </w:rPr>
        <w:t>sera déterminée au mérite</w:t>
      </w:r>
      <w:r w:rsidR="00166A32" w:rsidRPr="00E87347">
        <w:rPr>
          <w:rFonts w:cs="Arial"/>
        </w:rPr>
        <w:t>, au regard de la preuve</w:t>
      </w:r>
      <w:r>
        <w:rPr>
          <w:rStyle w:val="Appelnotedebasdep"/>
          <w:rFonts w:cs="Arial"/>
        </w:rPr>
        <w:footnoteReference w:id="109"/>
      </w:r>
      <w:r w:rsidR="002741CF" w:rsidRPr="00E87347">
        <w:rPr>
          <w:rFonts w:cs="Arial"/>
        </w:rPr>
        <w:t>.</w:t>
      </w:r>
    </w:p>
    <w:p w14:paraId="39DF1AE2" w14:textId="77777777" w:rsidR="00E87347" w:rsidRDefault="00E21D39" w:rsidP="00573001">
      <w:pPr>
        <w:pStyle w:val="Titre5"/>
        <w:numPr>
          <w:ilvl w:val="0"/>
          <w:numId w:val="17"/>
        </w:numPr>
      </w:pPr>
      <w:bookmarkStart w:id="54" w:name="_Toc256000020"/>
      <w:bookmarkStart w:id="55" w:name="_Toc187475779"/>
      <w:r>
        <w:t>Conclusion</w:t>
      </w:r>
      <w:bookmarkEnd w:id="54"/>
      <w:bookmarkEnd w:id="55"/>
    </w:p>
    <w:p w14:paraId="3F1710D7" w14:textId="77777777" w:rsidR="00E87347" w:rsidRPr="00E87347" w:rsidRDefault="00E21D39" w:rsidP="00573001">
      <w:pPr>
        <w:pStyle w:val="Paragrdouble"/>
        <w:spacing w:line="276" w:lineRule="auto"/>
        <w:rPr>
          <w:rFonts w:cs="Arial"/>
        </w:rPr>
      </w:pPr>
      <w:r>
        <w:rPr>
          <w:rFonts w:cs="Arial"/>
        </w:rPr>
        <w:t>Les</w:t>
      </w:r>
      <w:r w:rsidRPr="00103606">
        <w:rPr>
          <w:rFonts w:cs="Arial"/>
        </w:rPr>
        <w:t xml:space="preserve"> allégations des codemanderesses au stade de l’autorisation sont suffisamment concrètes, spécifiques et tangibles pour soutenir la « simple possibilité </w:t>
      </w:r>
      <w:r>
        <w:rPr>
          <w:rStyle w:val="Appelnotedebasdep"/>
          <w:rFonts w:cs="Arial"/>
        </w:rPr>
        <w:footnoteReference w:id="110"/>
      </w:r>
      <w:r w:rsidRPr="00103606">
        <w:rPr>
          <w:rFonts w:cs="Arial"/>
        </w:rPr>
        <w:t>» que leurs préjudices découlent directement des fautes de Miller, Abrams, Poulet</w:t>
      </w:r>
      <w:r>
        <w:rPr>
          <w:rFonts w:cs="Arial"/>
        </w:rPr>
        <w:t xml:space="preserve">, </w:t>
      </w:r>
      <w:r w:rsidRPr="00103606">
        <w:rPr>
          <w:rFonts w:cs="Arial"/>
        </w:rPr>
        <w:t xml:space="preserve">Lippmann </w:t>
      </w:r>
      <w:r>
        <w:rPr>
          <w:rFonts w:cs="Arial"/>
        </w:rPr>
        <w:t>e</w:t>
      </w:r>
      <w:r w:rsidRPr="00103606">
        <w:rPr>
          <w:rFonts w:cs="Arial"/>
        </w:rPr>
        <w:t>t</w:t>
      </w:r>
      <w:r>
        <w:rPr>
          <w:rFonts w:cs="Arial"/>
        </w:rPr>
        <w:t xml:space="preserve">/ou Future, </w:t>
      </w:r>
      <w:r w:rsidRPr="00103606">
        <w:rPr>
          <w:rFonts w:cs="Arial"/>
        </w:rPr>
        <w:t>comme défendeurs</w:t>
      </w:r>
      <w:r>
        <w:rPr>
          <w:rStyle w:val="Appelnotedebasdep"/>
          <w:rFonts w:cs="Arial"/>
        </w:rPr>
        <w:footnoteReference w:id="111"/>
      </w:r>
      <w:r w:rsidRPr="00103606">
        <w:rPr>
          <w:rFonts w:cs="Arial"/>
        </w:rPr>
        <w:t xml:space="preserve">. </w:t>
      </w:r>
      <w:r>
        <w:rPr>
          <w:rFonts w:cs="Arial"/>
        </w:rPr>
        <w:t>Le critère de l’article 575(2) C.p.c. est donc rempli</w:t>
      </w:r>
      <w:r w:rsidR="00BC5C94">
        <w:rPr>
          <w:rFonts w:cs="Arial"/>
        </w:rPr>
        <w:t>.</w:t>
      </w:r>
      <w:r>
        <w:rPr>
          <w:rFonts w:cs="Arial"/>
        </w:rPr>
        <w:t xml:space="preserve"> </w:t>
      </w:r>
    </w:p>
    <w:p w14:paraId="72EDDF8B" w14:textId="77777777" w:rsidR="00076CD4" w:rsidRPr="00103606" w:rsidRDefault="00E21D39" w:rsidP="006D3866">
      <w:pPr>
        <w:pStyle w:val="Titre2"/>
        <w:rPr>
          <w:rFonts w:cs="Arial"/>
        </w:rPr>
      </w:pPr>
      <w:bookmarkStart w:id="57" w:name="_Toc256000021"/>
      <w:bookmarkStart w:id="58" w:name="_Toc187475780"/>
      <w:r w:rsidRPr="00103606">
        <w:rPr>
          <w:rFonts w:cs="Arial"/>
        </w:rPr>
        <w:t>Les questions communes en vertu de l’article 575(1) C.p.c.</w:t>
      </w:r>
      <w:bookmarkEnd w:id="57"/>
      <w:bookmarkEnd w:id="58"/>
    </w:p>
    <w:p w14:paraId="2AA5D6BA" w14:textId="77777777" w:rsidR="009202E2" w:rsidRPr="00103606" w:rsidRDefault="00E21D39" w:rsidP="009202E2">
      <w:pPr>
        <w:pStyle w:val="Paragrdouble"/>
        <w:spacing w:line="276" w:lineRule="auto"/>
        <w:rPr>
          <w:rFonts w:cs="Arial"/>
        </w:rPr>
      </w:pPr>
      <w:r w:rsidRPr="00103606">
        <w:rPr>
          <w:rFonts w:cs="Arial"/>
        </w:rPr>
        <w:t xml:space="preserve">Les défendeurs contestent l’application du premier critère de l’article 575(1) C.p.c. au prétexte qu’il n’existe aucune question commune qui permette d’avancer le sort du recours d’une manière non négligeable, considérant qu’une analyse individuelle et contextuelle de la situation de chaque </w:t>
      </w:r>
      <w:r w:rsidR="00E87347">
        <w:rPr>
          <w:rFonts w:cs="Arial"/>
        </w:rPr>
        <w:t>co</w:t>
      </w:r>
      <w:r w:rsidRPr="00103606">
        <w:rPr>
          <w:rFonts w:cs="Arial"/>
        </w:rPr>
        <w:t xml:space="preserve">demanderesse sera requise. Ils prétendent que le groupe est défini trop largement, en fonction de critères subjectifs et hautement circonstanciels, </w:t>
      </w:r>
      <w:r w:rsidR="008C799C">
        <w:rPr>
          <w:rFonts w:cs="Arial"/>
        </w:rPr>
        <w:t>comme</w:t>
      </w:r>
      <w:r w:rsidRPr="00103606">
        <w:rPr>
          <w:rFonts w:cs="Arial"/>
        </w:rPr>
        <w:t xml:space="preserve"> la différence d’âge entre les victimes et Miller, de même que </w:t>
      </w:r>
      <w:r w:rsidR="00506E28">
        <w:rPr>
          <w:rFonts w:cs="Arial"/>
        </w:rPr>
        <w:br/>
      </w:r>
      <w:r w:rsidRPr="00103606">
        <w:rPr>
          <w:rFonts w:cs="Arial"/>
        </w:rPr>
        <w:t xml:space="preserve">le statut de ce dernier et l’évolution de la relation entre les parties. </w:t>
      </w:r>
    </w:p>
    <w:p w14:paraId="372B6188" w14:textId="77777777" w:rsidR="009202E2" w:rsidRPr="00103606" w:rsidRDefault="00E21D39" w:rsidP="009202E2">
      <w:pPr>
        <w:pStyle w:val="Paragrdouble"/>
        <w:spacing w:line="276" w:lineRule="auto"/>
        <w:rPr>
          <w:rFonts w:cs="Arial"/>
        </w:rPr>
      </w:pPr>
      <w:r w:rsidRPr="00103606">
        <w:rPr>
          <w:rFonts w:cs="Arial"/>
        </w:rPr>
        <w:t>De plus, ils plaident que la définition n’est pas limitée dans le temps, le lieu des évènements ou encore le type de relation entre Miller et les victimes. Ainsi, selon les défendeurs, les allégations présentent des situations différentes, vécues à des époques éloignées dans le temps et dont les gestes reprochés ne s’apparentent pas. Ils plaident que les faits reprochés aux défendeurs devront faire l’objet d’une analyse individuelle.</w:t>
      </w:r>
    </w:p>
    <w:p w14:paraId="16496E95" w14:textId="77777777" w:rsidR="009202E2" w:rsidRDefault="00E21D39" w:rsidP="009202E2">
      <w:pPr>
        <w:pStyle w:val="Paragrdouble"/>
        <w:spacing w:line="276" w:lineRule="auto"/>
        <w:rPr>
          <w:rFonts w:cs="Arial"/>
        </w:rPr>
      </w:pPr>
      <w:r>
        <w:rPr>
          <w:rFonts w:cs="Arial"/>
        </w:rPr>
        <w:t>Les codemanderesses, au contraire, prétendent qu’il existe au moins une, sinon</w:t>
      </w:r>
      <w:r w:rsidR="00AD4F32">
        <w:rPr>
          <w:rFonts w:cs="Arial"/>
        </w:rPr>
        <w:t>,</w:t>
      </w:r>
      <w:r>
        <w:rPr>
          <w:rFonts w:cs="Arial"/>
        </w:rPr>
        <w:t xml:space="preserve"> plusieurs questions communes qui méritent d’être autorisé</w:t>
      </w:r>
      <w:r w:rsidR="0004186E">
        <w:rPr>
          <w:rFonts w:cs="Arial"/>
        </w:rPr>
        <w:t>e</w:t>
      </w:r>
      <w:r>
        <w:rPr>
          <w:rFonts w:cs="Arial"/>
        </w:rPr>
        <w:t xml:space="preserve">s. </w:t>
      </w:r>
    </w:p>
    <w:p w14:paraId="1A240B3F" w14:textId="77777777" w:rsidR="009202E2" w:rsidRDefault="00E21D39" w:rsidP="009202E2">
      <w:pPr>
        <w:pStyle w:val="Paragrdouble"/>
        <w:spacing w:line="276" w:lineRule="auto"/>
        <w:rPr>
          <w:rFonts w:cs="Arial"/>
        </w:rPr>
      </w:pPr>
      <w:r>
        <w:rPr>
          <w:rFonts w:cs="Arial"/>
        </w:rPr>
        <w:t>Une seule question commune non</w:t>
      </w:r>
      <w:r w:rsidR="0004186E">
        <w:rPr>
          <w:rFonts w:cs="Arial"/>
        </w:rPr>
        <w:t xml:space="preserve"> </w:t>
      </w:r>
      <w:r>
        <w:rPr>
          <w:rFonts w:cs="Arial"/>
        </w:rPr>
        <w:t>négligeable doit être identifiée, laquelle ne conduit pas nécessairement à une réponse commune.</w:t>
      </w:r>
    </w:p>
    <w:p w14:paraId="73D01D71" w14:textId="77777777" w:rsidR="009202E2" w:rsidRPr="008A17B0" w:rsidRDefault="00E21D39" w:rsidP="008A17B0">
      <w:pPr>
        <w:pStyle w:val="Paragrdouble"/>
        <w:spacing w:line="276" w:lineRule="auto"/>
        <w:rPr>
          <w:rFonts w:cs="Arial"/>
        </w:rPr>
      </w:pPr>
      <w:r>
        <w:rPr>
          <w:rFonts w:cs="Arial"/>
        </w:rPr>
        <w:t xml:space="preserve">Seront abordés dans cette section : (1) </w:t>
      </w:r>
      <w:r w:rsidR="00CC3710">
        <w:rPr>
          <w:rFonts w:cs="Arial"/>
        </w:rPr>
        <w:t>les principes</w:t>
      </w:r>
      <w:r>
        <w:rPr>
          <w:rFonts w:cs="Arial"/>
        </w:rPr>
        <w:t xml:space="preserve"> juridique</w:t>
      </w:r>
      <w:r w:rsidR="00CC3710">
        <w:rPr>
          <w:rFonts w:cs="Arial"/>
        </w:rPr>
        <w:t>s</w:t>
      </w:r>
      <w:r>
        <w:rPr>
          <w:rFonts w:cs="Arial"/>
        </w:rPr>
        <w:t xml:space="preserve"> applicable</w:t>
      </w:r>
      <w:r w:rsidR="00CC3710">
        <w:rPr>
          <w:rFonts w:cs="Arial"/>
        </w:rPr>
        <w:t>s</w:t>
      </w:r>
      <w:r>
        <w:rPr>
          <w:rFonts w:cs="Arial"/>
        </w:rPr>
        <w:t xml:space="preserve"> à l’examen du paragraphe 575(1) C.p.c., (2) les questions communes identifiables à ce stade.</w:t>
      </w:r>
    </w:p>
    <w:p w14:paraId="120662AD" w14:textId="77777777" w:rsidR="00076CD4" w:rsidRPr="00103606" w:rsidRDefault="00E21D39" w:rsidP="009F319B">
      <w:pPr>
        <w:pStyle w:val="Titre4"/>
        <w:numPr>
          <w:ilvl w:val="0"/>
          <w:numId w:val="19"/>
        </w:numPr>
        <w:ind w:left="1134"/>
        <w:rPr>
          <w:rFonts w:cs="Arial"/>
        </w:rPr>
      </w:pPr>
      <w:bookmarkStart w:id="59" w:name="_Toc256000022"/>
      <w:bookmarkStart w:id="60" w:name="_Toc187475781"/>
      <w:r w:rsidRPr="00103606">
        <w:rPr>
          <w:rFonts w:cs="Arial"/>
        </w:rPr>
        <w:t>Les principes juridiques</w:t>
      </w:r>
      <w:bookmarkEnd w:id="59"/>
      <w:bookmarkEnd w:id="60"/>
    </w:p>
    <w:p w14:paraId="1A044C9C" w14:textId="77777777" w:rsidR="00076CD4" w:rsidRPr="00103606" w:rsidRDefault="00E21D39" w:rsidP="00076CD4">
      <w:pPr>
        <w:pStyle w:val="Paragrdouble"/>
        <w:spacing w:line="276" w:lineRule="auto"/>
        <w:rPr>
          <w:rFonts w:cs="Arial"/>
        </w:rPr>
      </w:pPr>
      <w:r w:rsidRPr="00103606">
        <w:rPr>
          <w:rFonts w:cs="Arial"/>
        </w:rPr>
        <w:t>L’article 575(1) C.p.c. précise que l’exercice d’une action collective ne peut être autorisé que si le tribunal conclut que «</w:t>
      </w:r>
      <w:r w:rsidR="00852667">
        <w:rPr>
          <w:rFonts w:cs="Arial"/>
        </w:rPr>
        <w:t> </w:t>
      </w:r>
      <w:r w:rsidRPr="00103606">
        <w:rPr>
          <w:rFonts w:cs="Arial"/>
        </w:rPr>
        <w:t>les demandes des membres soulèvent des questions de droit ou de fait identiques, similaires ou connexes</w:t>
      </w:r>
      <w:r w:rsidR="005268C8">
        <w:rPr>
          <w:rFonts w:cs="Arial"/>
        </w:rPr>
        <w:t> </w:t>
      </w:r>
      <w:r w:rsidRPr="00103606">
        <w:rPr>
          <w:rFonts w:cs="Arial"/>
        </w:rPr>
        <w:t xml:space="preserve">». La Cour d’appel résume </w:t>
      </w:r>
      <w:r w:rsidR="00C56182" w:rsidRPr="00103606">
        <w:rPr>
          <w:rFonts w:cs="Arial"/>
        </w:rPr>
        <w:t xml:space="preserve">comme suit </w:t>
      </w:r>
      <w:r w:rsidRPr="00103606">
        <w:rPr>
          <w:rFonts w:cs="Arial"/>
        </w:rPr>
        <w:t xml:space="preserve">ce critère dans l’arrêt </w:t>
      </w:r>
      <w:r w:rsidR="00507079">
        <w:rPr>
          <w:rFonts w:cs="Arial"/>
          <w:i/>
          <w:iCs/>
        </w:rPr>
        <w:t>Les Courageuses</w:t>
      </w:r>
      <w:r w:rsidRPr="00103606">
        <w:rPr>
          <w:rFonts w:cs="Arial"/>
        </w:rPr>
        <w:t>:</w:t>
      </w:r>
    </w:p>
    <w:p w14:paraId="31FBB445" w14:textId="77777777" w:rsidR="00076CD4" w:rsidRPr="00103606" w:rsidRDefault="00E21D39" w:rsidP="00573001">
      <w:pPr>
        <w:pStyle w:val="Paragrdouble"/>
        <w:numPr>
          <w:ilvl w:val="0"/>
          <w:numId w:val="0"/>
        </w:numPr>
        <w:spacing w:after="0" w:line="240" w:lineRule="auto"/>
        <w:ind w:left="731" w:right="715"/>
        <w:rPr>
          <w:rFonts w:cs="Arial"/>
          <w:sz w:val="22"/>
          <w:szCs w:val="18"/>
        </w:rPr>
      </w:pPr>
      <w:r w:rsidRPr="00103606">
        <w:rPr>
          <w:rFonts w:cs="Arial"/>
          <w:sz w:val="22"/>
          <w:szCs w:val="18"/>
        </w:rPr>
        <w:t>« </w:t>
      </w:r>
      <w:r w:rsidR="00C56182" w:rsidRPr="00103606">
        <w:rPr>
          <w:rFonts w:cs="Arial"/>
          <w:sz w:val="22"/>
          <w:szCs w:val="18"/>
        </w:rPr>
        <w:t xml:space="preserve">[30] Premièrement, dans l’arrêt </w:t>
      </w:r>
      <w:r w:rsidR="00C56182" w:rsidRPr="00103606">
        <w:rPr>
          <w:rFonts w:cs="Arial"/>
          <w:i/>
          <w:iCs/>
          <w:sz w:val="22"/>
          <w:szCs w:val="18"/>
        </w:rPr>
        <w:t>Vivendi</w:t>
      </w:r>
      <w:r w:rsidR="00C56182" w:rsidRPr="00103606">
        <w:rPr>
          <w:rFonts w:cs="Arial"/>
          <w:sz w:val="22"/>
          <w:szCs w:val="18"/>
        </w:rPr>
        <w:t xml:space="preserve">, la Cour suprême rappelle que la prudence s’impose avant d’importer les principes énoncés dans les arrêts </w:t>
      </w:r>
      <w:r w:rsidR="00C56182" w:rsidRPr="00103606">
        <w:rPr>
          <w:rFonts w:cs="Arial"/>
          <w:i/>
          <w:iCs/>
          <w:sz w:val="22"/>
          <w:szCs w:val="18"/>
        </w:rPr>
        <w:t>Dutton</w:t>
      </w:r>
      <w:r w:rsidR="00C56182" w:rsidRPr="00103606">
        <w:rPr>
          <w:rFonts w:cs="Arial"/>
          <w:sz w:val="22"/>
          <w:szCs w:val="18"/>
        </w:rPr>
        <w:t xml:space="preserve"> et </w:t>
      </w:r>
      <w:r w:rsidR="00C56182" w:rsidRPr="00103606">
        <w:rPr>
          <w:rFonts w:cs="Arial"/>
          <w:i/>
          <w:iCs/>
          <w:sz w:val="22"/>
          <w:szCs w:val="18"/>
        </w:rPr>
        <w:t>Rumley</w:t>
      </w:r>
      <w:r w:rsidR="00C56182" w:rsidRPr="00103606">
        <w:rPr>
          <w:rFonts w:cs="Arial"/>
          <w:sz w:val="22"/>
          <w:szCs w:val="18"/>
        </w:rPr>
        <w:t xml:space="preserve"> à la procédure civile québécoise, quant aux questions dites communes. </w:t>
      </w:r>
      <w:r w:rsidRPr="00103606">
        <w:rPr>
          <w:rFonts w:cs="Arial"/>
          <w:sz w:val="22"/>
          <w:szCs w:val="18"/>
        </w:rPr>
        <w:t>Plus récemment encore, la Cour suprême a réitéré le caractère large et flexible de l’approche québécoise. Je retiens de ces enseignements ce qui suit :</w:t>
      </w:r>
    </w:p>
    <w:p w14:paraId="203F8C5E" w14:textId="77777777" w:rsidR="00076CD4" w:rsidRPr="00103606" w:rsidRDefault="00E21D39" w:rsidP="00573001">
      <w:pPr>
        <w:pStyle w:val="Paragrdouble"/>
        <w:numPr>
          <w:ilvl w:val="0"/>
          <w:numId w:val="0"/>
        </w:numPr>
        <w:spacing w:after="0" w:line="240" w:lineRule="auto"/>
        <w:ind w:left="1134" w:right="715"/>
        <w:rPr>
          <w:rFonts w:cs="Arial"/>
          <w:sz w:val="22"/>
          <w:szCs w:val="18"/>
        </w:rPr>
      </w:pPr>
      <w:r w:rsidRPr="00103606">
        <w:rPr>
          <w:rFonts w:cs="Arial"/>
          <w:sz w:val="22"/>
          <w:szCs w:val="18"/>
        </w:rPr>
        <w:t xml:space="preserve">- La loi québécoise formule différemment le critère de la communauté de questions. </w:t>
      </w:r>
      <w:r w:rsidRPr="00103606">
        <w:rPr>
          <w:rFonts w:cs="Arial"/>
          <w:sz w:val="22"/>
          <w:szCs w:val="18"/>
          <w:u w:val="single"/>
        </w:rPr>
        <w:t>En droit québécois, une question peut être simplement similaire ou connexe, sans être commune</w:t>
      </w:r>
      <w:r w:rsidRPr="00103606">
        <w:rPr>
          <w:rFonts w:cs="Arial"/>
          <w:sz w:val="22"/>
          <w:szCs w:val="18"/>
        </w:rPr>
        <w:t xml:space="preserve">. L’analyse applicable est donc moins exigeante, et l’approche doit être plus large et flexible que celles des tribunaux des provinces de common law, de l’Angleterre et des États-Unis. </w:t>
      </w:r>
      <w:r w:rsidRPr="00103606">
        <w:rPr>
          <w:rFonts w:cs="Arial"/>
          <w:sz w:val="22"/>
          <w:szCs w:val="18"/>
          <w:u w:val="single"/>
        </w:rPr>
        <w:t>Une conception souple de l’intérêt commun doit être envisagée, ce qui permet de faciliter l’exercice de l’action collective</w:t>
      </w:r>
      <w:r w:rsidRPr="00103606">
        <w:rPr>
          <w:rFonts w:cs="Arial"/>
          <w:sz w:val="22"/>
          <w:szCs w:val="18"/>
        </w:rPr>
        <w:t>.</w:t>
      </w:r>
    </w:p>
    <w:p w14:paraId="40F8A8B2" w14:textId="77777777" w:rsidR="00076CD4" w:rsidRPr="00103606" w:rsidRDefault="00E21D39" w:rsidP="00573001">
      <w:pPr>
        <w:pStyle w:val="Paragrdouble"/>
        <w:numPr>
          <w:ilvl w:val="0"/>
          <w:numId w:val="0"/>
        </w:numPr>
        <w:spacing w:after="0" w:line="240" w:lineRule="auto"/>
        <w:ind w:left="1134" w:right="715"/>
        <w:rPr>
          <w:rFonts w:cs="Arial"/>
          <w:sz w:val="22"/>
          <w:szCs w:val="18"/>
        </w:rPr>
      </w:pPr>
      <w:r w:rsidRPr="00103606">
        <w:rPr>
          <w:rFonts w:cs="Arial"/>
          <w:sz w:val="22"/>
          <w:szCs w:val="18"/>
        </w:rPr>
        <w:t xml:space="preserve">-  […] </w:t>
      </w:r>
      <w:r w:rsidRPr="00103606">
        <w:rPr>
          <w:rFonts w:cs="Arial"/>
          <w:sz w:val="22"/>
          <w:szCs w:val="18"/>
          <w:u w:val="single"/>
        </w:rPr>
        <w:t>il suffit que les réclamations des membres soulèvent certaines questions de droit ou de fait suffisamment similaires ou connexes</w:t>
      </w:r>
      <w:r w:rsidRPr="00103606">
        <w:rPr>
          <w:rFonts w:cs="Arial"/>
          <w:sz w:val="22"/>
          <w:szCs w:val="18"/>
        </w:rPr>
        <w:t xml:space="preserve"> pour justifier une action collective.</w:t>
      </w:r>
    </w:p>
    <w:p w14:paraId="1E6C977F" w14:textId="77777777" w:rsidR="00076CD4" w:rsidRPr="00103606" w:rsidRDefault="00E21D39" w:rsidP="00573001">
      <w:pPr>
        <w:pStyle w:val="Paragrdouble"/>
        <w:numPr>
          <w:ilvl w:val="0"/>
          <w:numId w:val="0"/>
        </w:numPr>
        <w:spacing w:after="0" w:line="240" w:lineRule="auto"/>
        <w:ind w:left="1134" w:right="715"/>
        <w:rPr>
          <w:rFonts w:cs="Arial"/>
          <w:sz w:val="22"/>
          <w:szCs w:val="18"/>
        </w:rPr>
      </w:pPr>
      <w:r w:rsidRPr="00103606">
        <w:rPr>
          <w:rFonts w:cs="Arial"/>
          <w:sz w:val="22"/>
          <w:szCs w:val="18"/>
        </w:rPr>
        <w:t xml:space="preserve">- Le recours </w:t>
      </w:r>
      <w:r w:rsidRPr="00103606">
        <w:rPr>
          <w:rFonts w:cs="Arial"/>
          <w:sz w:val="22"/>
          <w:szCs w:val="18"/>
          <w:u w:val="single"/>
        </w:rPr>
        <w:t>peut être autorisé si certaines questions sont communes et si un aspect du litige se prête à une décision collective et qu’une fois cet aspect décidé, les parties auront réglé une part non négligeable du litige</w:t>
      </w:r>
      <w:r w:rsidRPr="00103606">
        <w:rPr>
          <w:rFonts w:cs="Arial"/>
          <w:sz w:val="22"/>
          <w:szCs w:val="18"/>
        </w:rPr>
        <w:t xml:space="preserve">. Ainsi, </w:t>
      </w:r>
      <w:r w:rsidRPr="00103606">
        <w:rPr>
          <w:rFonts w:cs="Arial"/>
          <w:sz w:val="22"/>
          <w:szCs w:val="18"/>
          <w:u w:val="single"/>
        </w:rPr>
        <w:t>la seule présence d’une question de droit ou de fait identique ou similaire suffi</w:t>
      </w:r>
      <w:r w:rsidRPr="00103606">
        <w:rPr>
          <w:rFonts w:cs="Arial"/>
          <w:sz w:val="22"/>
          <w:szCs w:val="18"/>
        </w:rPr>
        <w:t xml:space="preserve">t pour satisfaire au critère, </w:t>
      </w:r>
      <w:r w:rsidRPr="00103606">
        <w:rPr>
          <w:rFonts w:cs="Arial"/>
          <w:sz w:val="22"/>
          <w:szCs w:val="18"/>
          <w:u w:val="single"/>
        </w:rPr>
        <w:t>sauf si cette question ne joue qu’un rôle négligeable quant au sort du recours</w:t>
      </w:r>
      <w:r w:rsidRPr="00103606">
        <w:rPr>
          <w:rFonts w:cs="Arial"/>
          <w:sz w:val="22"/>
          <w:szCs w:val="18"/>
        </w:rPr>
        <w:t>. Autrement dit, il n’est pas requis que la question permette une résolution complète du litige.</w:t>
      </w:r>
    </w:p>
    <w:p w14:paraId="46FCAD04" w14:textId="77777777" w:rsidR="00076CD4" w:rsidRPr="00103606" w:rsidRDefault="00E21D39" w:rsidP="00573001">
      <w:pPr>
        <w:pStyle w:val="Paragrdouble"/>
        <w:numPr>
          <w:ilvl w:val="0"/>
          <w:numId w:val="0"/>
        </w:numPr>
        <w:spacing w:after="0" w:line="240" w:lineRule="auto"/>
        <w:ind w:left="1134" w:right="715"/>
        <w:rPr>
          <w:rFonts w:cs="Arial"/>
          <w:sz w:val="22"/>
          <w:szCs w:val="18"/>
        </w:rPr>
      </w:pPr>
      <w:r w:rsidRPr="00103606">
        <w:rPr>
          <w:rFonts w:cs="Arial"/>
          <w:sz w:val="22"/>
          <w:szCs w:val="18"/>
        </w:rPr>
        <w:t xml:space="preserve">- </w:t>
      </w:r>
      <w:r w:rsidRPr="00103606">
        <w:rPr>
          <w:rFonts w:cs="Arial"/>
          <w:sz w:val="22"/>
          <w:szCs w:val="18"/>
          <w:u w:val="single"/>
        </w:rPr>
        <w:t>Une question commune n’amène pas nécessairement une réponse commune</w:t>
      </w:r>
      <w:r w:rsidRPr="00103606">
        <w:rPr>
          <w:rFonts w:cs="Arial"/>
          <w:sz w:val="22"/>
          <w:szCs w:val="18"/>
        </w:rPr>
        <w:t>. Le critère est respecté même si des réponses nuancées doivent être apportées.</w:t>
      </w:r>
    </w:p>
    <w:p w14:paraId="66865009" w14:textId="77777777" w:rsidR="00076CD4" w:rsidRPr="00103606" w:rsidRDefault="00E21D39" w:rsidP="004315EC">
      <w:pPr>
        <w:pStyle w:val="Paragrdouble"/>
        <w:numPr>
          <w:ilvl w:val="0"/>
          <w:numId w:val="0"/>
        </w:numPr>
        <w:spacing w:line="240" w:lineRule="auto"/>
        <w:ind w:left="1134" w:right="715"/>
        <w:rPr>
          <w:rFonts w:cs="Arial"/>
          <w:sz w:val="22"/>
          <w:szCs w:val="18"/>
        </w:rPr>
      </w:pPr>
      <w:r w:rsidRPr="00103606">
        <w:rPr>
          <w:rFonts w:cs="Arial"/>
          <w:sz w:val="22"/>
          <w:szCs w:val="18"/>
        </w:rPr>
        <w:t xml:space="preserve">- </w:t>
      </w:r>
      <w:r w:rsidRPr="00103606">
        <w:rPr>
          <w:rFonts w:cs="Arial"/>
          <w:sz w:val="22"/>
          <w:szCs w:val="18"/>
          <w:u w:val="single"/>
        </w:rPr>
        <w:t>En résumé, une question sera considérée commune si elle permet de faire progresser le règlement du litige pour l’ensemble des membres et ne joue pas un rôle négligeable quant au sort du litige</w:t>
      </w:r>
      <w:r w:rsidRPr="00103606">
        <w:rPr>
          <w:rFonts w:cs="Arial"/>
          <w:sz w:val="22"/>
          <w:szCs w:val="18"/>
        </w:rPr>
        <w:t>.</w:t>
      </w:r>
      <w:r>
        <w:rPr>
          <w:rStyle w:val="Appelnotedebasdep"/>
          <w:rFonts w:cs="Arial"/>
          <w:sz w:val="22"/>
          <w:szCs w:val="18"/>
        </w:rPr>
        <w:footnoteReference w:id="112"/>
      </w:r>
      <w:r w:rsidRPr="00103606">
        <w:rPr>
          <w:rFonts w:cs="Arial"/>
          <w:sz w:val="22"/>
          <w:szCs w:val="18"/>
        </w:rPr>
        <w:t>»</w:t>
      </w:r>
    </w:p>
    <w:p w14:paraId="49B96474" w14:textId="77777777" w:rsidR="00076CD4" w:rsidRPr="00103606" w:rsidRDefault="00E21D39" w:rsidP="004315EC">
      <w:pPr>
        <w:pStyle w:val="Paragrdouble"/>
        <w:numPr>
          <w:ilvl w:val="0"/>
          <w:numId w:val="0"/>
        </w:numPr>
        <w:spacing w:line="240" w:lineRule="auto"/>
        <w:ind w:left="731" w:right="857"/>
        <w:jc w:val="right"/>
        <w:rPr>
          <w:rFonts w:cs="Arial"/>
        </w:rPr>
      </w:pPr>
      <w:r w:rsidRPr="00103606">
        <w:rPr>
          <w:rFonts w:cs="Arial"/>
          <w:sz w:val="22"/>
          <w:szCs w:val="18"/>
        </w:rPr>
        <w:t>[</w:t>
      </w:r>
      <w:r w:rsidR="00C56182" w:rsidRPr="00103606">
        <w:rPr>
          <w:rFonts w:cs="Arial"/>
          <w:sz w:val="22"/>
          <w:szCs w:val="18"/>
        </w:rPr>
        <w:t xml:space="preserve">Références omises; </w:t>
      </w:r>
      <w:r w:rsidR="00883452">
        <w:rPr>
          <w:rFonts w:cs="Arial"/>
          <w:sz w:val="22"/>
          <w:szCs w:val="18"/>
        </w:rPr>
        <w:t>N</w:t>
      </w:r>
      <w:r w:rsidR="00C56182" w:rsidRPr="00103606">
        <w:rPr>
          <w:rFonts w:cs="Arial"/>
          <w:sz w:val="22"/>
          <w:szCs w:val="18"/>
        </w:rPr>
        <w:t>os</w:t>
      </w:r>
      <w:r w:rsidRPr="00103606">
        <w:rPr>
          <w:rFonts w:cs="Arial"/>
          <w:sz w:val="22"/>
          <w:szCs w:val="18"/>
        </w:rPr>
        <w:t xml:space="preserve"> soulignements]</w:t>
      </w:r>
    </w:p>
    <w:p w14:paraId="684F814B" w14:textId="77777777" w:rsidR="00076CD4" w:rsidRPr="00103606" w:rsidRDefault="00E21D39" w:rsidP="00E87347">
      <w:pPr>
        <w:pStyle w:val="Paragrdouble"/>
        <w:spacing w:line="276" w:lineRule="auto"/>
        <w:rPr>
          <w:rFonts w:cs="Arial"/>
        </w:rPr>
      </w:pPr>
      <w:r w:rsidRPr="00103606">
        <w:rPr>
          <w:rFonts w:cs="Arial"/>
        </w:rPr>
        <w:t xml:space="preserve">Je </w:t>
      </w:r>
      <w:r w:rsidR="0061194E" w:rsidRPr="00103606">
        <w:rPr>
          <w:rFonts w:cs="Arial"/>
        </w:rPr>
        <w:t xml:space="preserve">précise </w:t>
      </w:r>
      <w:r w:rsidRPr="00103606">
        <w:rPr>
          <w:rFonts w:cs="Arial"/>
        </w:rPr>
        <w:t xml:space="preserve">aussi d’emblée que c’est sur ce point </w:t>
      </w:r>
      <w:r w:rsidR="00C56182" w:rsidRPr="00103606">
        <w:rPr>
          <w:rFonts w:cs="Arial"/>
        </w:rPr>
        <w:t xml:space="preserve">des questions communes </w:t>
      </w:r>
      <w:r w:rsidRPr="00103606">
        <w:rPr>
          <w:rFonts w:cs="Arial"/>
        </w:rPr>
        <w:t xml:space="preserve">que </w:t>
      </w:r>
      <w:r w:rsidR="00CC3710">
        <w:rPr>
          <w:rFonts w:cs="Arial"/>
        </w:rPr>
        <w:t xml:space="preserve">l’exercice de </w:t>
      </w:r>
      <w:r w:rsidRPr="00103606">
        <w:rPr>
          <w:rFonts w:cs="Arial"/>
        </w:rPr>
        <w:t xml:space="preserve">l’action collective a été refusé dans l’arrêt </w:t>
      </w:r>
      <w:r w:rsidR="00507079">
        <w:rPr>
          <w:rFonts w:cs="Arial"/>
          <w:i/>
          <w:iCs/>
        </w:rPr>
        <w:t>Les Courageuses</w:t>
      </w:r>
      <w:r w:rsidRPr="00103606">
        <w:rPr>
          <w:rFonts w:cs="Arial"/>
        </w:rPr>
        <w:t>, lorsque l</w:t>
      </w:r>
      <w:r w:rsidR="00CC3710">
        <w:rPr>
          <w:rFonts w:cs="Arial"/>
        </w:rPr>
        <w:t>’honorable</w:t>
      </w:r>
      <w:r w:rsidRPr="00103606">
        <w:rPr>
          <w:rFonts w:cs="Arial"/>
        </w:rPr>
        <w:t xml:space="preserve"> juge </w:t>
      </w:r>
      <w:r w:rsidR="00CC3710">
        <w:rPr>
          <w:rFonts w:cs="Arial"/>
        </w:rPr>
        <w:t xml:space="preserve">Stephen </w:t>
      </w:r>
      <w:r w:rsidRPr="00103606">
        <w:rPr>
          <w:rFonts w:cs="Arial"/>
        </w:rPr>
        <w:t>Hamilton écrivait, au nom de la majorité, que « le recours ne présent</w:t>
      </w:r>
      <w:r w:rsidRPr="00103606">
        <w:rPr>
          <w:rFonts w:ascii="Symbol" w:hAnsi="Symbol" w:cs="Arial"/>
        </w:rPr>
        <w:sym w:font="Symbol" w:char="F05B"/>
      </w:r>
      <w:r w:rsidRPr="00103606">
        <w:rPr>
          <w:rFonts w:cs="Arial"/>
        </w:rPr>
        <w:t>ait</w:t>
      </w:r>
      <w:r w:rsidRPr="00103606">
        <w:rPr>
          <w:rFonts w:ascii="Symbol" w:hAnsi="Symbol" w:cs="Arial"/>
        </w:rPr>
        <w:sym w:font="Symbol" w:char="F05D"/>
      </w:r>
      <w:r w:rsidRPr="00103606">
        <w:rPr>
          <w:rFonts w:cs="Arial"/>
        </w:rPr>
        <w:t xml:space="preserve"> aucune question identique, similaire ou connexe qui permet</w:t>
      </w:r>
      <w:r w:rsidRPr="00103606">
        <w:rPr>
          <w:rFonts w:ascii="Symbol" w:hAnsi="Symbol" w:cs="Arial"/>
        </w:rPr>
        <w:sym w:font="Symbol" w:char="F05B"/>
      </w:r>
      <w:r w:rsidRPr="00103606">
        <w:rPr>
          <w:rFonts w:cs="Arial"/>
        </w:rPr>
        <w:t>ait</w:t>
      </w:r>
      <w:r w:rsidRPr="00103606">
        <w:rPr>
          <w:rFonts w:ascii="Symbol" w:hAnsi="Symbol" w:cs="Arial"/>
        </w:rPr>
        <w:sym w:font="Symbol" w:char="F05D"/>
      </w:r>
      <w:r w:rsidR="00E87347">
        <w:rPr>
          <w:rFonts w:cs="Arial"/>
        </w:rPr>
        <w:t xml:space="preserve"> </w:t>
      </w:r>
      <w:r w:rsidRPr="00103606">
        <w:rPr>
          <w:rFonts w:cs="Arial"/>
        </w:rPr>
        <w:t xml:space="preserve">l’avancement du litige de façon non négligeable. » Selon lui, le </w:t>
      </w:r>
      <w:r w:rsidRPr="00103606">
        <w:rPr>
          <w:rFonts w:cs="Arial"/>
          <w:i/>
          <w:iCs/>
        </w:rPr>
        <w:t>modus operandi</w:t>
      </w:r>
      <w:r w:rsidRPr="00103606">
        <w:rPr>
          <w:rFonts w:cs="Arial"/>
        </w:rPr>
        <w:t>, central au litige, n’avançait pas le dossier de façon non négligeable et ne remplissait pas le premier critère de l’article 575 C.p.c. Il ajoutait que</w:t>
      </w:r>
      <w:r w:rsidR="008C799C">
        <w:rPr>
          <w:rFonts w:cs="Arial"/>
        </w:rPr>
        <w:t xml:space="preserve"> </w:t>
      </w:r>
      <w:r w:rsidRPr="00103606">
        <w:rPr>
          <w:rFonts w:cs="Arial"/>
        </w:rPr>
        <w:t xml:space="preserve">le véhicule procédural de l’action collective n’était pas approprié pour les actions collectives visant </w:t>
      </w:r>
      <w:r w:rsidR="0061194E" w:rsidRPr="00103606">
        <w:rPr>
          <w:rFonts w:cs="Arial"/>
        </w:rPr>
        <w:t>d</w:t>
      </w:r>
      <w:r w:rsidRPr="00103606">
        <w:rPr>
          <w:rFonts w:cs="Arial"/>
        </w:rPr>
        <w:t>es abus sexuels.</w:t>
      </w:r>
    </w:p>
    <w:p w14:paraId="4D1FFB34" w14:textId="77777777" w:rsidR="009A10BC" w:rsidRPr="00103606" w:rsidRDefault="00E21D39" w:rsidP="009A10BC">
      <w:pPr>
        <w:pStyle w:val="Paragrdouble"/>
        <w:spacing w:line="276" w:lineRule="auto"/>
        <w:rPr>
          <w:rFonts w:cs="Arial"/>
        </w:rPr>
      </w:pPr>
      <w:r w:rsidRPr="00103606">
        <w:rPr>
          <w:rFonts w:cs="Arial"/>
        </w:rPr>
        <w:t xml:space="preserve">La première étape de l’examen du premier critère de l’art. 575 C.p.c. requiert d’identifier correctement le groupe proposé, considérant sa relation directe avec les questions communes. Les membres du groupe identifié doivent être dans une situation suffisamment commune pour que des questions communes soient identifiées. </w:t>
      </w:r>
    </w:p>
    <w:p w14:paraId="5EF4D560" w14:textId="77777777" w:rsidR="009A10BC" w:rsidRPr="00103606" w:rsidRDefault="00E21D39" w:rsidP="009A10BC">
      <w:pPr>
        <w:pStyle w:val="Paragrdouble"/>
        <w:spacing w:line="276" w:lineRule="auto"/>
        <w:rPr>
          <w:rFonts w:cs="Arial"/>
        </w:rPr>
      </w:pPr>
      <w:r w:rsidRPr="00103606">
        <w:rPr>
          <w:rFonts w:cs="Arial"/>
        </w:rPr>
        <w:t xml:space="preserve">Les critères </w:t>
      </w:r>
      <w:r w:rsidR="00AD4F32">
        <w:rPr>
          <w:rFonts w:cs="Arial"/>
        </w:rPr>
        <w:t>suivant</w:t>
      </w:r>
      <w:r w:rsidR="007E50B9">
        <w:rPr>
          <w:rFonts w:cs="Arial"/>
        </w:rPr>
        <w:t>s,</w:t>
      </w:r>
      <w:r w:rsidR="00AD4F32">
        <w:rPr>
          <w:rFonts w:cs="Arial"/>
        </w:rPr>
        <w:t xml:space="preserve"> </w:t>
      </w:r>
      <w:r w:rsidRPr="00103606">
        <w:rPr>
          <w:rFonts w:cs="Arial"/>
        </w:rPr>
        <w:t xml:space="preserve">énoncés dans l’arrêt </w:t>
      </w:r>
      <w:r w:rsidRPr="00103606">
        <w:rPr>
          <w:rFonts w:cs="Arial"/>
          <w:i/>
          <w:iCs/>
        </w:rPr>
        <w:t>George c. Québec (Procureur général)</w:t>
      </w:r>
      <w:r w:rsidR="00AD4F32">
        <w:rPr>
          <w:rFonts w:cs="Arial"/>
          <w:i/>
          <w:iCs/>
        </w:rPr>
        <w:t>,</w:t>
      </w:r>
      <w:r w:rsidRPr="00103606">
        <w:rPr>
          <w:rFonts w:cs="Arial"/>
        </w:rPr>
        <w:t xml:space="preserve"> sont </w:t>
      </w:r>
      <w:r w:rsidR="00AD4F32">
        <w:rPr>
          <w:rFonts w:cs="Arial"/>
        </w:rPr>
        <w:t>utiles</w:t>
      </w:r>
      <w:r w:rsidR="00AD4F32" w:rsidRPr="00103606">
        <w:rPr>
          <w:rFonts w:cs="Arial"/>
        </w:rPr>
        <w:t xml:space="preserve"> </w:t>
      </w:r>
      <w:r w:rsidRPr="00103606">
        <w:rPr>
          <w:rFonts w:cs="Arial"/>
        </w:rPr>
        <w:t>pour définir adéquatement le groupe:</w:t>
      </w:r>
    </w:p>
    <w:p w14:paraId="71AABBC2" w14:textId="77777777" w:rsidR="009A10BC" w:rsidRPr="00103606" w:rsidRDefault="00E21D39" w:rsidP="00573001">
      <w:pPr>
        <w:pStyle w:val="Paragrdouble"/>
        <w:numPr>
          <w:ilvl w:val="0"/>
          <w:numId w:val="0"/>
        </w:numPr>
        <w:tabs>
          <w:tab w:val="left" w:pos="1134"/>
        </w:tabs>
        <w:spacing w:after="0" w:line="240" w:lineRule="auto"/>
        <w:ind w:left="993" w:right="715" w:hanging="284"/>
        <w:rPr>
          <w:rFonts w:cs="Arial"/>
          <w:sz w:val="22"/>
          <w:szCs w:val="18"/>
        </w:rPr>
      </w:pPr>
      <w:r w:rsidRPr="00103606">
        <w:rPr>
          <w:rFonts w:cs="Arial"/>
          <w:sz w:val="22"/>
          <w:szCs w:val="18"/>
        </w:rPr>
        <w:t>«</w:t>
      </w:r>
      <w:r w:rsidR="00DE02AE">
        <w:rPr>
          <w:rFonts w:cs="Arial"/>
          <w:sz w:val="22"/>
          <w:szCs w:val="18"/>
        </w:rPr>
        <w:t> </w:t>
      </w:r>
      <w:r w:rsidRPr="00103606">
        <w:rPr>
          <w:rFonts w:cs="Arial"/>
          <w:sz w:val="22"/>
          <w:szCs w:val="18"/>
        </w:rPr>
        <w:t>1.</w:t>
      </w:r>
      <w:r w:rsidR="00B94DFE">
        <w:rPr>
          <w:rFonts w:cs="Arial"/>
          <w:sz w:val="22"/>
          <w:szCs w:val="18"/>
        </w:rPr>
        <w:t> </w:t>
      </w:r>
      <w:r w:rsidRPr="00103606">
        <w:rPr>
          <w:rFonts w:cs="Arial"/>
          <w:sz w:val="22"/>
          <w:szCs w:val="18"/>
        </w:rPr>
        <w:t>La définition du groupe doit être fondée sur des critères objectifs;</w:t>
      </w:r>
    </w:p>
    <w:p w14:paraId="3DF1F34B" w14:textId="77777777" w:rsidR="009A10BC" w:rsidRPr="00103606" w:rsidRDefault="00E21D39" w:rsidP="00573001">
      <w:pPr>
        <w:pStyle w:val="Paragrdouble"/>
        <w:numPr>
          <w:ilvl w:val="0"/>
          <w:numId w:val="0"/>
        </w:numPr>
        <w:spacing w:after="0" w:line="240" w:lineRule="auto"/>
        <w:ind w:left="851" w:right="715"/>
        <w:rPr>
          <w:rFonts w:cs="Arial"/>
          <w:sz w:val="22"/>
          <w:szCs w:val="18"/>
        </w:rPr>
      </w:pPr>
      <w:r w:rsidRPr="00103606">
        <w:rPr>
          <w:rFonts w:cs="Arial"/>
          <w:sz w:val="22"/>
          <w:szCs w:val="18"/>
        </w:rPr>
        <w:t>2.</w:t>
      </w:r>
      <w:bookmarkStart w:id="61" w:name="_Hlk186360818"/>
      <w:r w:rsidR="00B94DFE">
        <w:rPr>
          <w:rFonts w:cs="Arial"/>
          <w:sz w:val="22"/>
          <w:szCs w:val="18"/>
        </w:rPr>
        <w:t> </w:t>
      </w:r>
      <w:bookmarkEnd w:id="61"/>
      <w:r w:rsidRPr="00103606">
        <w:rPr>
          <w:rFonts w:cs="Arial"/>
          <w:sz w:val="22"/>
          <w:szCs w:val="18"/>
        </w:rPr>
        <w:t>Les critères doivent avoir un rapport rationnel avec les revendications communes à tous les membres du groupe;</w:t>
      </w:r>
    </w:p>
    <w:p w14:paraId="060F5ACB" w14:textId="77777777" w:rsidR="009A10BC" w:rsidRPr="00103606" w:rsidRDefault="00E21D39" w:rsidP="00573001">
      <w:pPr>
        <w:pStyle w:val="Paragrdouble"/>
        <w:numPr>
          <w:ilvl w:val="0"/>
          <w:numId w:val="0"/>
        </w:numPr>
        <w:spacing w:after="0" w:line="240" w:lineRule="auto"/>
        <w:ind w:left="851" w:right="715"/>
        <w:rPr>
          <w:rFonts w:cs="Arial"/>
          <w:sz w:val="22"/>
          <w:szCs w:val="18"/>
        </w:rPr>
      </w:pPr>
      <w:r w:rsidRPr="00103606">
        <w:rPr>
          <w:rFonts w:cs="Arial"/>
          <w:sz w:val="22"/>
          <w:szCs w:val="18"/>
        </w:rPr>
        <w:t>3.</w:t>
      </w:r>
      <w:r w:rsidR="00B94DFE">
        <w:rPr>
          <w:rFonts w:cs="Arial"/>
          <w:sz w:val="22"/>
          <w:szCs w:val="18"/>
        </w:rPr>
        <w:t> </w:t>
      </w:r>
      <w:r w:rsidRPr="00103606">
        <w:rPr>
          <w:rFonts w:cs="Arial"/>
          <w:sz w:val="22"/>
          <w:szCs w:val="18"/>
        </w:rPr>
        <w:t>La définition du groupe ne doit être ni circulaire ni imprécise;</w:t>
      </w:r>
    </w:p>
    <w:p w14:paraId="161AC95B" w14:textId="77777777" w:rsidR="009A10BC" w:rsidRPr="00103606" w:rsidRDefault="00E21D39" w:rsidP="00194990">
      <w:pPr>
        <w:pStyle w:val="Paragrdouble"/>
        <w:numPr>
          <w:ilvl w:val="0"/>
          <w:numId w:val="0"/>
        </w:numPr>
        <w:spacing w:line="240" w:lineRule="auto"/>
        <w:ind w:left="851" w:right="715"/>
        <w:rPr>
          <w:rFonts w:cs="Arial"/>
          <w:sz w:val="22"/>
          <w:szCs w:val="18"/>
        </w:rPr>
      </w:pPr>
      <w:r w:rsidRPr="00103606">
        <w:rPr>
          <w:rFonts w:cs="Arial"/>
          <w:sz w:val="22"/>
          <w:szCs w:val="18"/>
        </w:rPr>
        <w:t>4.</w:t>
      </w:r>
      <w:r w:rsidR="00B94DFE">
        <w:rPr>
          <w:rFonts w:cs="Arial"/>
          <w:sz w:val="22"/>
          <w:szCs w:val="18"/>
        </w:rPr>
        <w:t> </w:t>
      </w:r>
      <w:r w:rsidRPr="00103606">
        <w:rPr>
          <w:rFonts w:cs="Arial"/>
          <w:sz w:val="22"/>
          <w:szCs w:val="18"/>
        </w:rPr>
        <w:t>La définition du groupe ne doit pas s’appuyer sur un ou des critères qui dépendent de l’issue du recours collectif au fond. »</w:t>
      </w:r>
      <w:r>
        <w:rPr>
          <w:rStyle w:val="Appelnotedebasdep"/>
          <w:rFonts w:cs="Arial"/>
          <w:sz w:val="22"/>
          <w:szCs w:val="18"/>
        </w:rPr>
        <w:footnoteReference w:id="113"/>
      </w:r>
    </w:p>
    <w:p w14:paraId="1CAB76F6" w14:textId="77777777" w:rsidR="009A10BC" w:rsidRPr="00103606" w:rsidRDefault="00E21D39" w:rsidP="009A10BC">
      <w:pPr>
        <w:pStyle w:val="Paragrdouble"/>
        <w:spacing w:line="276" w:lineRule="auto"/>
        <w:rPr>
          <w:rFonts w:cs="Arial"/>
        </w:rPr>
      </w:pPr>
      <w:r w:rsidRPr="00103606">
        <w:rPr>
          <w:rFonts w:cs="Arial"/>
        </w:rPr>
        <w:t>La définition du groupe doit obligatoirement correspondre à la réalité et à l’ampleur du problème décrit dans la demande d’autorisation</w:t>
      </w:r>
      <w:r>
        <w:rPr>
          <w:rStyle w:val="Appelnotedebasdep"/>
          <w:rFonts w:cs="Arial"/>
        </w:rPr>
        <w:footnoteReference w:id="114"/>
      </w:r>
      <w:r w:rsidRPr="00103606">
        <w:rPr>
          <w:rFonts w:cs="Arial"/>
        </w:rPr>
        <w:t>. Elle pourra être modifiée afin de s’assurer que les exigences juridiques d’un fondement légal, objectif et rationnel soient respectées</w:t>
      </w:r>
      <w:r>
        <w:rPr>
          <w:rStyle w:val="Appelnotedebasdep"/>
          <w:rFonts w:cs="Arial"/>
        </w:rPr>
        <w:footnoteReference w:id="115"/>
      </w:r>
      <w:r w:rsidRPr="00103606">
        <w:rPr>
          <w:rFonts w:cs="Arial"/>
        </w:rPr>
        <w:t xml:space="preserve">. </w:t>
      </w:r>
    </w:p>
    <w:p w14:paraId="78FF791B" w14:textId="77777777" w:rsidR="00076CD4" w:rsidRPr="00103606" w:rsidRDefault="00E21D39" w:rsidP="00867314">
      <w:pPr>
        <w:pStyle w:val="Paragrdouble"/>
        <w:spacing w:line="276" w:lineRule="auto"/>
        <w:rPr>
          <w:rFonts w:cs="Arial"/>
          <w:szCs w:val="24"/>
        </w:rPr>
      </w:pPr>
      <w:r w:rsidRPr="00103606">
        <w:rPr>
          <w:rFonts w:cs="Arial"/>
          <w:szCs w:val="24"/>
        </w:rPr>
        <w:t xml:space="preserve">Enfin, </w:t>
      </w:r>
      <w:r w:rsidR="00867314" w:rsidRPr="00103606">
        <w:rPr>
          <w:rFonts w:cs="Arial"/>
          <w:szCs w:val="24"/>
        </w:rPr>
        <w:t>le</w:t>
      </w:r>
      <w:r w:rsidRPr="00103606">
        <w:rPr>
          <w:rFonts w:cs="Arial"/>
          <w:szCs w:val="24"/>
        </w:rPr>
        <w:t xml:space="preserve"> professeur Pierre-Claude Lafond </w:t>
      </w:r>
      <w:r w:rsidR="00867314" w:rsidRPr="00103606">
        <w:rPr>
          <w:rFonts w:cs="Arial"/>
          <w:szCs w:val="24"/>
        </w:rPr>
        <w:t>explique qu’il ne s’agit pas</w:t>
      </w:r>
      <w:r w:rsidR="0061194E" w:rsidRPr="00103606">
        <w:rPr>
          <w:rFonts w:cs="Arial"/>
          <w:szCs w:val="24"/>
        </w:rPr>
        <w:t>, dans l’examen du critère de 575(</w:t>
      </w:r>
      <w:r w:rsidR="008C799C">
        <w:rPr>
          <w:rFonts w:cs="Arial"/>
          <w:szCs w:val="24"/>
        </w:rPr>
        <w:t>1</w:t>
      </w:r>
      <w:r w:rsidR="0061194E" w:rsidRPr="00103606">
        <w:rPr>
          <w:rFonts w:cs="Arial"/>
          <w:szCs w:val="24"/>
        </w:rPr>
        <w:t>)</w:t>
      </w:r>
      <w:r w:rsidR="00867314" w:rsidRPr="00103606">
        <w:rPr>
          <w:rFonts w:cs="Arial"/>
          <w:szCs w:val="24"/>
        </w:rPr>
        <w:t xml:space="preserve"> de rechercher </w:t>
      </w:r>
      <w:r w:rsidRPr="00103606">
        <w:rPr>
          <w:rFonts w:cs="Arial"/>
          <w:szCs w:val="24"/>
        </w:rPr>
        <w:t xml:space="preserve">l’homogénéité </w:t>
      </w:r>
      <w:r w:rsidR="00867314" w:rsidRPr="00103606">
        <w:rPr>
          <w:rFonts w:cs="Arial"/>
          <w:szCs w:val="24"/>
        </w:rPr>
        <w:t xml:space="preserve">parfaite </w:t>
      </w:r>
      <w:r w:rsidRPr="00103606">
        <w:rPr>
          <w:rFonts w:cs="Arial"/>
          <w:szCs w:val="24"/>
        </w:rPr>
        <w:t>du groupe</w:t>
      </w:r>
      <w:r w:rsidR="00867314" w:rsidRPr="00103606">
        <w:rPr>
          <w:rFonts w:cs="Arial"/>
          <w:szCs w:val="24"/>
        </w:rPr>
        <w:t xml:space="preserve">. </w:t>
      </w:r>
      <w:r w:rsidR="00E54EDB">
        <w:rPr>
          <w:rFonts w:cs="Arial"/>
          <w:szCs w:val="24"/>
        </w:rPr>
        <w:br/>
      </w:r>
      <w:r w:rsidR="00867314" w:rsidRPr="00103606">
        <w:rPr>
          <w:rFonts w:cs="Arial"/>
          <w:szCs w:val="24"/>
        </w:rPr>
        <w:t>Selon lui, d</w:t>
      </w:r>
      <w:r w:rsidRPr="00103606">
        <w:rPr>
          <w:rFonts w:cs="Arial"/>
          <w:szCs w:val="24"/>
        </w:rPr>
        <w:t>evient «</w:t>
      </w:r>
      <w:r w:rsidR="004658CF">
        <w:rPr>
          <w:rFonts w:cs="Arial"/>
          <w:szCs w:val="24"/>
        </w:rPr>
        <w:t> </w:t>
      </w:r>
      <w:r w:rsidRPr="00103606">
        <w:rPr>
          <w:rFonts w:cs="Arial"/>
          <w:szCs w:val="24"/>
        </w:rPr>
        <w:t>commune</w:t>
      </w:r>
      <w:r w:rsidR="004658CF">
        <w:rPr>
          <w:rFonts w:cs="Arial"/>
          <w:szCs w:val="24"/>
        </w:rPr>
        <w:t> </w:t>
      </w:r>
      <w:r w:rsidRPr="00103606">
        <w:rPr>
          <w:rFonts w:cs="Arial"/>
          <w:szCs w:val="24"/>
        </w:rPr>
        <w:t xml:space="preserve">» </w:t>
      </w:r>
      <w:r w:rsidR="00867314" w:rsidRPr="00103606">
        <w:rPr>
          <w:rFonts w:cs="Arial"/>
          <w:szCs w:val="24"/>
        </w:rPr>
        <w:t>« </w:t>
      </w:r>
      <w:r w:rsidRPr="00103606">
        <w:rPr>
          <w:rFonts w:cs="Arial"/>
          <w:szCs w:val="24"/>
        </w:rPr>
        <w:t xml:space="preserve">une question dont la résolution est nécessaire pour </w:t>
      </w:r>
      <w:r w:rsidR="00E54EDB">
        <w:rPr>
          <w:rFonts w:cs="Arial"/>
          <w:szCs w:val="24"/>
        </w:rPr>
        <w:br/>
      </w:r>
      <w:r w:rsidRPr="00103606">
        <w:rPr>
          <w:rFonts w:cs="Arial"/>
          <w:szCs w:val="24"/>
        </w:rPr>
        <w:t>le règlement de la réclamation de chaque membre du groupe, et dont cette résolution dans le cadre d’un recours collectif permet d’éviter la duplication à de multiples reprises de l’appréciation des faits et de l’analyse du droit.</w:t>
      </w:r>
      <w:r>
        <w:rPr>
          <w:rStyle w:val="Appelnotedebasdep"/>
          <w:rFonts w:cs="Arial"/>
          <w:szCs w:val="24"/>
        </w:rPr>
        <w:footnoteReference w:id="116"/>
      </w:r>
      <w:r w:rsidRPr="00103606">
        <w:rPr>
          <w:rFonts w:cs="Arial"/>
          <w:szCs w:val="24"/>
        </w:rPr>
        <w:t>»</w:t>
      </w:r>
    </w:p>
    <w:p w14:paraId="7BD5F46B" w14:textId="77777777" w:rsidR="00076CD4" w:rsidRPr="00103606" w:rsidRDefault="00E21D39" w:rsidP="00F4232B">
      <w:pPr>
        <w:pStyle w:val="Titre4"/>
        <w:numPr>
          <w:ilvl w:val="0"/>
          <w:numId w:val="19"/>
        </w:numPr>
        <w:spacing w:before="200"/>
        <w:ind w:left="1134"/>
        <w:rPr>
          <w:rFonts w:cs="Arial"/>
        </w:rPr>
      </w:pPr>
      <w:bookmarkStart w:id="62" w:name="_Toc256000023"/>
      <w:bookmarkStart w:id="63" w:name="_Toc187475782"/>
      <w:r>
        <w:rPr>
          <w:rFonts w:cs="Arial"/>
        </w:rPr>
        <w:t>Les questions communes</w:t>
      </w:r>
      <w:bookmarkEnd w:id="62"/>
      <w:bookmarkEnd w:id="63"/>
    </w:p>
    <w:p w14:paraId="5A0EB790" w14:textId="77777777" w:rsidR="00076CD4" w:rsidRPr="00103606" w:rsidRDefault="00E21D39" w:rsidP="00076CD4">
      <w:pPr>
        <w:pStyle w:val="Paragrdouble"/>
        <w:spacing w:line="276" w:lineRule="auto"/>
        <w:rPr>
          <w:rFonts w:cs="Arial"/>
        </w:rPr>
      </w:pPr>
      <w:r w:rsidRPr="00103606">
        <w:rPr>
          <w:rFonts w:cs="Arial"/>
        </w:rPr>
        <w:t xml:space="preserve">Pour satisfaire à la condition relative à la communauté des questions, il suffit à </w:t>
      </w:r>
      <w:r w:rsidR="00E65D73">
        <w:rPr>
          <w:rFonts w:cs="Arial"/>
        </w:rPr>
        <w:t>S</w:t>
      </w:r>
      <w:r w:rsidRPr="00103606">
        <w:rPr>
          <w:rFonts w:cs="Arial"/>
        </w:rPr>
        <w:t>.N., B.N. et V.R. de démontrer qu’une seule des questions p</w:t>
      </w:r>
      <w:r w:rsidR="00867314" w:rsidRPr="00103606">
        <w:rPr>
          <w:rFonts w:cs="Arial"/>
        </w:rPr>
        <w:t>os</w:t>
      </w:r>
      <w:r w:rsidRPr="00103606">
        <w:rPr>
          <w:rFonts w:cs="Arial"/>
        </w:rPr>
        <w:t>ées est capable de faire progresser le règlement du litige d’une manière non négligeable pour l’ensemble des membres du groupe.</w:t>
      </w:r>
      <w:r w:rsidR="00C56182" w:rsidRPr="00103606">
        <w:rPr>
          <w:rFonts w:cs="Arial"/>
        </w:rPr>
        <w:t xml:space="preserve"> Je suis d’avis que ce critère est </w:t>
      </w:r>
      <w:r w:rsidR="0058018B">
        <w:rPr>
          <w:rFonts w:cs="Arial"/>
        </w:rPr>
        <w:t xml:space="preserve">pleinement </w:t>
      </w:r>
      <w:r w:rsidR="00C56182" w:rsidRPr="00103606">
        <w:rPr>
          <w:rFonts w:cs="Arial"/>
        </w:rPr>
        <w:t>rempli.</w:t>
      </w:r>
    </w:p>
    <w:p w14:paraId="01A4F18C" w14:textId="77777777" w:rsidR="00076CD4" w:rsidRPr="00103606" w:rsidRDefault="00E21D39" w:rsidP="00076CD4">
      <w:pPr>
        <w:pStyle w:val="Paragrdouble"/>
        <w:spacing w:line="276" w:lineRule="auto"/>
        <w:rPr>
          <w:rFonts w:cs="Arial"/>
        </w:rPr>
      </w:pPr>
      <w:r w:rsidRPr="00103606">
        <w:rPr>
          <w:rFonts w:cs="Arial"/>
        </w:rPr>
        <w:t xml:space="preserve">D’abord, </w:t>
      </w:r>
      <w:r w:rsidR="00F66773">
        <w:rPr>
          <w:rFonts w:cs="Arial"/>
        </w:rPr>
        <w:t xml:space="preserve">même si je modifie légèrement le groupe pour lequel l’action est autorisée pour le préciser, cela ne change pas le fait qu’à mon avis, </w:t>
      </w:r>
      <w:r w:rsidRPr="00103606">
        <w:rPr>
          <w:rFonts w:cs="Arial"/>
        </w:rPr>
        <w:t xml:space="preserve">le groupe proposé </w:t>
      </w:r>
      <w:r w:rsidR="009A10BC" w:rsidRPr="00103606">
        <w:rPr>
          <w:rFonts w:cs="Arial"/>
        </w:rPr>
        <w:t xml:space="preserve">par les codemanderesses </w:t>
      </w:r>
      <w:r w:rsidR="00F66773">
        <w:rPr>
          <w:rFonts w:cs="Arial"/>
        </w:rPr>
        <w:t>dans leur demande b</w:t>
      </w:r>
      <w:r w:rsidRPr="00103606">
        <w:rPr>
          <w:rFonts w:cs="Arial"/>
        </w:rPr>
        <w:t>est clair et suffisamment précis; il correspond aux allégations sérieuses de la demande et permet aux victimes de s’y associer, dans la mesure où elles :</w:t>
      </w:r>
    </w:p>
    <w:p w14:paraId="2FD3405B" w14:textId="77777777" w:rsidR="00076CD4" w:rsidRPr="00103606" w:rsidRDefault="00E21D39" w:rsidP="009F319B">
      <w:pPr>
        <w:pStyle w:val="Paragrdouble"/>
        <w:numPr>
          <w:ilvl w:val="0"/>
          <w:numId w:val="10"/>
        </w:numPr>
        <w:spacing w:line="276" w:lineRule="auto"/>
        <w:rPr>
          <w:rFonts w:cs="Arial"/>
        </w:rPr>
      </w:pPr>
      <w:r w:rsidRPr="00103606">
        <w:rPr>
          <w:rFonts w:cs="Arial"/>
        </w:rPr>
        <w:t xml:space="preserve">ont </w:t>
      </w:r>
      <w:r w:rsidR="007E3F2C" w:rsidRPr="00103606">
        <w:rPr>
          <w:rFonts w:cs="Arial"/>
        </w:rPr>
        <w:t>subi</w:t>
      </w:r>
      <w:r w:rsidRPr="00103606">
        <w:rPr>
          <w:rFonts w:cs="Arial"/>
        </w:rPr>
        <w:t xml:space="preserve"> des actes de violence sexuelle de la part de Miller </w:t>
      </w:r>
      <w:r w:rsidR="007E3F2C" w:rsidRPr="00103606">
        <w:rPr>
          <w:rFonts w:cs="Arial"/>
        </w:rPr>
        <w:t>et/</w:t>
      </w:r>
      <w:r w:rsidRPr="00103606">
        <w:rPr>
          <w:rFonts w:cs="Arial"/>
        </w:rPr>
        <w:t>ou d</w:t>
      </w:r>
      <w:r w:rsidR="00867314" w:rsidRPr="00103606">
        <w:rPr>
          <w:rFonts w:cs="Arial"/>
        </w:rPr>
        <w:t>e l</w:t>
      </w:r>
      <w:r w:rsidRPr="00103606">
        <w:rPr>
          <w:rFonts w:cs="Arial"/>
        </w:rPr>
        <w:t>’un des défendeurs alors qu’elles étaient mineures;</w:t>
      </w:r>
    </w:p>
    <w:p w14:paraId="5658BB40" w14:textId="77777777" w:rsidR="00076CD4" w:rsidRPr="00103606" w:rsidRDefault="00E21D39" w:rsidP="009F319B">
      <w:pPr>
        <w:pStyle w:val="Paragrdouble"/>
        <w:numPr>
          <w:ilvl w:val="0"/>
          <w:numId w:val="9"/>
        </w:numPr>
        <w:spacing w:line="276" w:lineRule="auto"/>
        <w:rPr>
          <w:rFonts w:cs="Arial"/>
        </w:rPr>
      </w:pPr>
      <w:r w:rsidRPr="00103606">
        <w:rPr>
          <w:rFonts w:cs="Arial"/>
        </w:rPr>
        <w:t xml:space="preserve">ont </w:t>
      </w:r>
      <w:r w:rsidR="00867314" w:rsidRPr="00103606">
        <w:rPr>
          <w:rFonts w:cs="Arial"/>
        </w:rPr>
        <w:t>fourni, moyennant rétribution,</w:t>
      </w:r>
      <w:r w:rsidRPr="00103606">
        <w:rPr>
          <w:rFonts w:cs="Arial"/>
        </w:rPr>
        <w:t xml:space="preserve"> des services sexuels pour Miller et/ou ont communiqué avec une tierce personne </w:t>
      </w:r>
      <w:r w:rsidR="00867314" w:rsidRPr="00103606">
        <w:rPr>
          <w:rFonts w:cs="Arial"/>
        </w:rPr>
        <w:t>dans le but de</w:t>
      </w:r>
      <w:r w:rsidRPr="00103606">
        <w:rPr>
          <w:rFonts w:cs="Arial"/>
        </w:rPr>
        <w:t xml:space="preserve"> fournir de tels services; ou</w:t>
      </w:r>
    </w:p>
    <w:p w14:paraId="25146393" w14:textId="77777777" w:rsidR="00076CD4" w:rsidRPr="00103606" w:rsidRDefault="00E21D39" w:rsidP="009F319B">
      <w:pPr>
        <w:pStyle w:val="Paragrdouble"/>
        <w:numPr>
          <w:ilvl w:val="0"/>
          <w:numId w:val="9"/>
        </w:numPr>
        <w:spacing w:line="276" w:lineRule="auto"/>
        <w:rPr>
          <w:rFonts w:cs="Arial"/>
        </w:rPr>
      </w:pPr>
      <w:r w:rsidRPr="00103606">
        <w:rPr>
          <w:rFonts w:cs="Arial"/>
        </w:rPr>
        <w:t xml:space="preserve">ont été victimes de contacts sexuels ou incitées à fournir des gestes sexuels </w:t>
      </w:r>
      <w:r w:rsidR="007E3F2C" w:rsidRPr="00103606">
        <w:rPr>
          <w:rFonts w:cs="Arial"/>
        </w:rPr>
        <w:t xml:space="preserve">de la part de Miller et/ou de l’un des défendeurs </w:t>
      </w:r>
      <w:r w:rsidRPr="00103606">
        <w:rPr>
          <w:rFonts w:cs="Arial"/>
        </w:rPr>
        <w:t>alors qu’elles étaient mineures;</w:t>
      </w:r>
    </w:p>
    <w:p w14:paraId="1A3CCDFB" w14:textId="77777777" w:rsidR="00076CD4" w:rsidRPr="00103606" w:rsidRDefault="00E21D39" w:rsidP="00076CD4">
      <w:pPr>
        <w:pStyle w:val="Paragrdouble"/>
        <w:spacing w:line="276" w:lineRule="auto"/>
        <w:rPr>
          <w:rFonts w:cs="Arial"/>
        </w:rPr>
      </w:pPr>
      <w:r w:rsidRPr="00103606">
        <w:rPr>
          <w:rFonts w:cs="Arial"/>
        </w:rPr>
        <w:t xml:space="preserve">Ainsi, </w:t>
      </w:r>
      <w:r w:rsidR="00F66773">
        <w:rPr>
          <w:rFonts w:cs="Arial"/>
        </w:rPr>
        <w:t>la</w:t>
      </w:r>
      <w:r w:rsidR="00F66773" w:rsidRPr="00103606">
        <w:rPr>
          <w:rFonts w:cs="Arial"/>
        </w:rPr>
        <w:t xml:space="preserve"> </w:t>
      </w:r>
      <w:r w:rsidRPr="00103606">
        <w:rPr>
          <w:rFonts w:cs="Arial"/>
        </w:rPr>
        <w:t xml:space="preserve">définition est </w:t>
      </w:r>
      <w:r w:rsidR="007E3F2C" w:rsidRPr="00103606">
        <w:rPr>
          <w:rFonts w:cs="Arial"/>
        </w:rPr>
        <w:t xml:space="preserve">uniforme et non </w:t>
      </w:r>
      <w:r w:rsidRPr="00103606">
        <w:rPr>
          <w:rFonts w:cs="Arial"/>
        </w:rPr>
        <w:t>circulaire, même si certaines des questions devront être répondues sur une base individuelle.</w:t>
      </w:r>
      <w:r w:rsidR="007E3F2C" w:rsidRPr="00103606">
        <w:rPr>
          <w:rFonts w:cs="Arial"/>
        </w:rPr>
        <w:t xml:space="preserve"> Entre autres, il faudra répondre à la question de l’âge et de la date des évènements pour identifier</w:t>
      </w:r>
      <w:r w:rsidRPr="00103606">
        <w:rPr>
          <w:rFonts w:cs="Arial"/>
        </w:rPr>
        <w:t xml:space="preserve"> </w:t>
      </w:r>
      <w:r w:rsidR="007E3F2C" w:rsidRPr="00103606">
        <w:rPr>
          <w:rFonts w:cs="Arial"/>
        </w:rPr>
        <w:t>lequel des actes criminels a été commis. De plus,</w:t>
      </w:r>
      <w:r w:rsidRPr="00103606">
        <w:rPr>
          <w:rFonts w:cs="Arial"/>
        </w:rPr>
        <w:t xml:space="preserve"> certains incidents impliquent</w:t>
      </w:r>
      <w:r w:rsidR="00CC3710">
        <w:rPr>
          <w:rFonts w:cs="Arial"/>
        </w:rPr>
        <w:t>, en plus de Miller,</w:t>
      </w:r>
      <w:r w:rsidRPr="00103606">
        <w:rPr>
          <w:rFonts w:cs="Arial"/>
        </w:rPr>
        <w:t xml:space="preserve"> Poulet et/ou Abrams et/ou Lippmann</w:t>
      </w:r>
      <w:r w:rsidR="00CC3710">
        <w:rPr>
          <w:rFonts w:cs="Arial"/>
        </w:rPr>
        <w:t xml:space="preserve"> et/ou Future</w:t>
      </w:r>
      <w:r w:rsidR="007E3F2C" w:rsidRPr="00103606">
        <w:rPr>
          <w:rFonts w:cs="Arial"/>
        </w:rPr>
        <w:t xml:space="preserve"> uniquement</w:t>
      </w:r>
      <w:r w:rsidRPr="00103606">
        <w:rPr>
          <w:rFonts w:cs="Arial"/>
        </w:rPr>
        <w:t xml:space="preserve">. </w:t>
      </w:r>
    </w:p>
    <w:p w14:paraId="29B6C5EA" w14:textId="77777777" w:rsidR="00076CD4" w:rsidRPr="00103606" w:rsidRDefault="00E21D39" w:rsidP="00076CD4">
      <w:pPr>
        <w:pStyle w:val="Paragrdouble"/>
        <w:spacing w:line="276" w:lineRule="auto"/>
        <w:rPr>
          <w:rFonts w:cs="Arial"/>
        </w:rPr>
      </w:pPr>
      <w:r w:rsidRPr="00103606">
        <w:rPr>
          <w:rFonts w:cs="Arial"/>
        </w:rPr>
        <w:t>Le fait que certaines questions puissent trouver une réponse distincte</w:t>
      </w:r>
      <w:r w:rsidR="00CC3710">
        <w:rPr>
          <w:rFonts w:cs="Arial"/>
        </w:rPr>
        <w:t xml:space="preserve"> ou</w:t>
      </w:r>
      <w:r w:rsidR="00CC3710" w:rsidRPr="00103606">
        <w:rPr>
          <w:rFonts w:cs="Arial"/>
        </w:rPr>
        <w:t xml:space="preserve"> </w:t>
      </w:r>
      <w:r w:rsidRPr="00103606">
        <w:rPr>
          <w:rFonts w:cs="Arial"/>
        </w:rPr>
        <w:t>individuelle ne change pas</w:t>
      </w:r>
      <w:r w:rsidR="00F66773">
        <w:rPr>
          <w:rFonts w:cs="Arial"/>
        </w:rPr>
        <w:t xml:space="preserve"> non plus</w:t>
      </w:r>
      <w:r w:rsidRPr="00103606">
        <w:rPr>
          <w:rFonts w:cs="Arial"/>
        </w:rPr>
        <w:t xml:space="preserve"> la donne</w:t>
      </w:r>
      <w:r>
        <w:rPr>
          <w:rStyle w:val="Appelnotedebasdep"/>
          <w:rFonts w:cs="Arial"/>
        </w:rPr>
        <w:footnoteReference w:id="117"/>
      </w:r>
      <w:r w:rsidRPr="00103606">
        <w:rPr>
          <w:rFonts w:cs="Arial"/>
        </w:rPr>
        <w:t xml:space="preserve">. </w:t>
      </w:r>
    </w:p>
    <w:p w14:paraId="63D37088" w14:textId="77777777" w:rsidR="00076CD4" w:rsidRDefault="00E21D39" w:rsidP="00076CD4">
      <w:pPr>
        <w:pStyle w:val="Paragrdouble"/>
        <w:spacing w:line="276" w:lineRule="auto"/>
        <w:rPr>
          <w:rFonts w:cs="Arial"/>
        </w:rPr>
      </w:pPr>
      <w:r w:rsidRPr="00103606">
        <w:rPr>
          <w:rFonts w:cs="Arial"/>
        </w:rPr>
        <w:t>En outre, le fait que l</w:t>
      </w:r>
      <w:r w:rsidR="00B030EF" w:rsidRPr="00103606">
        <w:rPr>
          <w:rFonts w:cs="Arial"/>
        </w:rPr>
        <w:t>a</w:t>
      </w:r>
      <w:r w:rsidRPr="00103606">
        <w:rPr>
          <w:rFonts w:cs="Arial"/>
        </w:rPr>
        <w:t xml:space="preserve"> considération </w:t>
      </w:r>
      <w:r w:rsidR="00B030EF" w:rsidRPr="00103606">
        <w:rPr>
          <w:rFonts w:cs="Arial"/>
        </w:rPr>
        <w:t xml:space="preserve">monétaire </w:t>
      </w:r>
      <w:r w:rsidRPr="00103606">
        <w:rPr>
          <w:rFonts w:cs="Arial"/>
        </w:rPr>
        <w:t>puisse varier</w:t>
      </w:r>
      <w:r w:rsidR="00B030EF" w:rsidRPr="00103606">
        <w:rPr>
          <w:rFonts w:cs="Arial"/>
        </w:rPr>
        <w:t xml:space="preserve"> pour chacune</w:t>
      </w:r>
      <w:r w:rsidRPr="00103606">
        <w:rPr>
          <w:rFonts w:cs="Arial"/>
        </w:rPr>
        <w:t xml:space="preserve">, de même que le lieu choisi pour </w:t>
      </w:r>
      <w:r w:rsidR="00CC3710">
        <w:rPr>
          <w:rFonts w:cs="Arial"/>
        </w:rPr>
        <w:t>la tenue</w:t>
      </w:r>
      <w:r w:rsidR="00CC3710" w:rsidRPr="00103606">
        <w:rPr>
          <w:rFonts w:cs="Arial"/>
        </w:rPr>
        <w:t xml:space="preserve"> </w:t>
      </w:r>
      <w:r w:rsidR="00CC3710">
        <w:rPr>
          <w:rFonts w:cs="Arial"/>
        </w:rPr>
        <w:t>d</w:t>
      </w:r>
      <w:r w:rsidRPr="00103606">
        <w:rPr>
          <w:rFonts w:cs="Arial"/>
        </w:rPr>
        <w:t>es relations sexuelles, ou encore l’implication précise de l’un ou l’autre des défendeurs importe peu. À cet égard, la Cour suprême a rappelé qu’il n'est pas nécessaire pour chaque membre du groupe d’avoir une cause d’action contre tous les défendeurs</w:t>
      </w:r>
      <w:r>
        <w:rPr>
          <w:rStyle w:val="Appelnotedebasdep"/>
          <w:rFonts w:cs="Arial"/>
        </w:rPr>
        <w:footnoteReference w:id="118"/>
      </w:r>
      <w:r w:rsidRPr="00103606">
        <w:rPr>
          <w:rFonts w:cs="Arial"/>
        </w:rPr>
        <w:t xml:space="preserve">. </w:t>
      </w:r>
    </w:p>
    <w:p w14:paraId="4190F908" w14:textId="77777777" w:rsidR="00AA08C2" w:rsidRPr="00AA08C2" w:rsidRDefault="00E21D39" w:rsidP="00AA08C2">
      <w:pPr>
        <w:pStyle w:val="Paragrdouble"/>
        <w:spacing w:line="276" w:lineRule="auto"/>
        <w:rPr>
          <w:rFonts w:cs="Arial"/>
        </w:rPr>
      </w:pPr>
      <w:r w:rsidRPr="001872C8">
        <w:rPr>
          <w:rFonts w:cs="Arial"/>
        </w:rPr>
        <w:t xml:space="preserve">En identifiant les principales questions qui seront traitées collectivement et les conclusions recherchées, </w:t>
      </w:r>
      <w:r>
        <w:rPr>
          <w:rFonts w:cs="Arial"/>
        </w:rPr>
        <w:t>il ne m’appartient pas de me</w:t>
      </w:r>
      <w:r w:rsidRPr="001872C8">
        <w:rPr>
          <w:rFonts w:cs="Arial"/>
        </w:rPr>
        <w:t xml:space="preserve"> prononcer sur le mérite de ces questions et conclusions.</w:t>
      </w:r>
    </w:p>
    <w:p w14:paraId="71AE89C3" w14:textId="77777777" w:rsidR="00076CD4" w:rsidRPr="0058018B" w:rsidRDefault="00E21D39" w:rsidP="0058018B">
      <w:pPr>
        <w:pStyle w:val="Paragrdouble"/>
        <w:spacing w:line="276" w:lineRule="auto"/>
        <w:rPr>
          <w:rFonts w:cs="Arial"/>
        </w:rPr>
      </w:pPr>
      <w:r w:rsidRPr="0058018B">
        <w:rPr>
          <w:rFonts w:cs="Arial"/>
        </w:rPr>
        <w:t>Les questions communes, tel</w:t>
      </w:r>
      <w:r w:rsidR="000D0886" w:rsidRPr="0058018B">
        <w:rPr>
          <w:rFonts w:cs="Arial"/>
        </w:rPr>
        <w:t>les</w:t>
      </w:r>
      <w:r w:rsidRPr="0058018B">
        <w:rPr>
          <w:rFonts w:cs="Arial"/>
        </w:rPr>
        <w:t xml:space="preserve"> que proposées par les codemanderesses à l</w:t>
      </w:r>
      <w:r w:rsidR="008C799C">
        <w:rPr>
          <w:rFonts w:cs="Arial"/>
        </w:rPr>
        <w:t>eur</w:t>
      </w:r>
      <w:r w:rsidRPr="0058018B">
        <w:rPr>
          <w:rFonts w:cs="Arial"/>
        </w:rPr>
        <w:t xml:space="preserve"> </w:t>
      </w:r>
      <w:r w:rsidR="00B80370" w:rsidRPr="0058018B">
        <w:rPr>
          <w:rFonts w:cs="Arial"/>
        </w:rPr>
        <w:t xml:space="preserve">Sixième </w:t>
      </w:r>
      <w:r w:rsidRPr="0058018B">
        <w:rPr>
          <w:rFonts w:cs="Arial"/>
        </w:rPr>
        <w:t>Demande</w:t>
      </w:r>
      <w:r w:rsidR="008C799C">
        <w:rPr>
          <w:rFonts w:cs="Arial"/>
        </w:rPr>
        <w:t>,</w:t>
      </w:r>
      <w:r w:rsidRPr="0058018B">
        <w:rPr>
          <w:rFonts w:cs="Arial"/>
        </w:rPr>
        <w:t xml:space="preserve"> sont les suivantes :</w:t>
      </w:r>
    </w:p>
    <w:p w14:paraId="4FE7E038" w14:textId="77777777" w:rsidR="00076CD4" w:rsidRPr="00103606" w:rsidRDefault="00E21D39" w:rsidP="00573001">
      <w:pPr>
        <w:pStyle w:val="Paragrdouble"/>
        <w:numPr>
          <w:ilvl w:val="0"/>
          <w:numId w:val="0"/>
        </w:numPr>
        <w:tabs>
          <w:tab w:val="left" w:pos="993"/>
        </w:tabs>
        <w:spacing w:after="0" w:line="240" w:lineRule="auto"/>
        <w:ind w:left="731" w:right="857" w:hanging="164"/>
        <w:rPr>
          <w:rFonts w:cs="Arial"/>
          <w:sz w:val="22"/>
          <w:szCs w:val="18"/>
          <w:lang w:val="en-US"/>
        </w:rPr>
      </w:pPr>
      <w:r w:rsidRPr="00103606">
        <w:rPr>
          <w:rFonts w:cs="Arial"/>
          <w:sz w:val="22"/>
          <w:szCs w:val="18"/>
          <w:lang w:val="en-US"/>
        </w:rPr>
        <w:t>“</w:t>
      </w:r>
      <w:r w:rsidR="00995DA8">
        <w:rPr>
          <w:rFonts w:cs="Arial"/>
          <w:sz w:val="22"/>
          <w:szCs w:val="18"/>
          <w:lang w:val="en-US"/>
        </w:rPr>
        <w:tab/>
      </w:r>
      <w:r w:rsidRPr="00103606">
        <w:rPr>
          <w:rFonts w:cs="Arial"/>
          <w:sz w:val="22"/>
          <w:szCs w:val="18"/>
          <w:lang w:val="en-US"/>
        </w:rPr>
        <w:t xml:space="preserve">a. </w:t>
      </w:r>
      <w:r w:rsidR="007C1082">
        <w:rPr>
          <w:rFonts w:cs="Arial"/>
          <w:sz w:val="22"/>
          <w:szCs w:val="18"/>
          <w:lang w:val="en-US"/>
        </w:rPr>
        <w:tab/>
      </w:r>
      <w:r w:rsidRPr="00103606">
        <w:rPr>
          <w:rFonts w:cs="Arial"/>
          <w:sz w:val="22"/>
          <w:szCs w:val="18"/>
          <w:lang w:val="en-US"/>
        </w:rPr>
        <w:t>Did Defendant Robert G. Miller obtain for consideration the sexual services of persons who were under the age of 18 years in contravention of section 286.1 of the Criminal Code?</w:t>
      </w:r>
    </w:p>
    <w:p w14:paraId="0D91B138" w14:textId="77777777" w:rsidR="00076CD4" w:rsidRPr="00103606" w:rsidRDefault="00E21D39" w:rsidP="00573001">
      <w:pPr>
        <w:pStyle w:val="Paragrdouble"/>
        <w:numPr>
          <w:ilvl w:val="0"/>
          <w:numId w:val="0"/>
        </w:numPr>
        <w:tabs>
          <w:tab w:val="left" w:pos="993"/>
        </w:tabs>
        <w:spacing w:after="0" w:line="240" w:lineRule="auto"/>
        <w:ind w:left="731" w:right="857" w:hanging="22"/>
        <w:rPr>
          <w:rFonts w:cs="Arial"/>
          <w:sz w:val="22"/>
          <w:szCs w:val="18"/>
          <w:lang w:val="en-US"/>
        </w:rPr>
      </w:pPr>
      <w:r w:rsidRPr="00103606">
        <w:rPr>
          <w:rFonts w:cs="Arial"/>
          <w:sz w:val="22"/>
          <w:szCs w:val="18"/>
          <w:lang w:val="en-US"/>
        </w:rPr>
        <w:t xml:space="preserve">b. </w:t>
      </w:r>
      <w:r w:rsidR="007C1082">
        <w:rPr>
          <w:rFonts w:cs="Arial"/>
          <w:sz w:val="22"/>
          <w:szCs w:val="18"/>
          <w:lang w:val="en-US"/>
        </w:rPr>
        <w:tab/>
      </w:r>
      <w:r w:rsidRPr="00103606">
        <w:rPr>
          <w:rFonts w:cs="Arial"/>
          <w:sz w:val="22"/>
          <w:szCs w:val="18"/>
          <w:lang w:val="en-US"/>
        </w:rPr>
        <w:t>Did Defendant Robert G. Miller sexually exploit young persons in contravention of section 153 of the Criminal Code?</w:t>
      </w:r>
    </w:p>
    <w:p w14:paraId="294861E6" w14:textId="77777777" w:rsidR="00076CD4" w:rsidRPr="00103606" w:rsidRDefault="00E21D39" w:rsidP="00573001">
      <w:pPr>
        <w:pStyle w:val="Paragrdouble"/>
        <w:numPr>
          <w:ilvl w:val="0"/>
          <w:numId w:val="0"/>
        </w:numPr>
        <w:spacing w:after="0" w:line="240" w:lineRule="auto"/>
        <w:ind w:left="851" w:right="857"/>
        <w:rPr>
          <w:rFonts w:cs="Arial"/>
          <w:sz w:val="22"/>
          <w:szCs w:val="18"/>
          <w:lang w:val="en-US"/>
        </w:rPr>
      </w:pPr>
      <w:r w:rsidRPr="00103606">
        <w:rPr>
          <w:rFonts w:cs="Arial"/>
          <w:sz w:val="22"/>
          <w:szCs w:val="18"/>
          <w:lang w:val="en-US"/>
        </w:rPr>
        <w:t>b.1 Did Defendant Robert G. Miller commit sexual interference with a person under the age of 14 years (up until April 30, 2008) or 16 years (from May 1, 2008</w:t>
      </w:r>
      <w:r w:rsidR="00465505">
        <w:rPr>
          <w:rFonts w:cs="Arial"/>
          <w:sz w:val="22"/>
          <w:szCs w:val="18"/>
          <w:lang w:val="en-US"/>
        </w:rPr>
        <w:t>,</w:t>
      </w:r>
      <w:r w:rsidRPr="00103606">
        <w:rPr>
          <w:rFonts w:cs="Arial"/>
          <w:sz w:val="22"/>
          <w:szCs w:val="18"/>
          <w:lang w:val="en-US"/>
        </w:rPr>
        <w:t xml:space="preserve"> onwards) in contravention of section 151 of the Criminal Code?</w:t>
      </w:r>
    </w:p>
    <w:p w14:paraId="58E08301" w14:textId="77777777" w:rsidR="00076CD4" w:rsidRPr="00103606" w:rsidRDefault="00E21D39" w:rsidP="00573001">
      <w:pPr>
        <w:pStyle w:val="Paragrdouble"/>
        <w:numPr>
          <w:ilvl w:val="0"/>
          <w:numId w:val="0"/>
        </w:numPr>
        <w:spacing w:after="0" w:line="240" w:lineRule="auto"/>
        <w:ind w:left="731" w:right="857"/>
        <w:rPr>
          <w:rFonts w:cs="Arial"/>
          <w:sz w:val="22"/>
          <w:szCs w:val="18"/>
          <w:lang w:val="en-US"/>
        </w:rPr>
      </w:pPr>
      <w:r w:rsidRPr="00103606">
        <w:rPr>
          <w:rFonts w:cs="Arial"/>
          <w:sz w:val="22"/>
          <w:szCs w:val="18"/>
          <w:lang w:val="en-US"/>
        </w:rPr>
        <w:t>c. Did Defendant Robert G. Miller unlawfully interfere with Class Members’ dignity, inviolability, and honour in contravention with articles 1 and 4 of the Quebec Charter of Human Rights and Freedoms? If so, was such unlawful interference intentional under article 49 of the Quebec Charter of Human Rights and Freedoms?</w:t>
      </w:r>
    </w:p>
    <w:p w14:paraId="380E9E06" w14:textId="77777777" w:rsidR="00076CD4" w:rsidRPr="00103606" w:rsidRDefault="00E21D39" w:rsidP="00573001">
      <w:pPr>
        <w:pStyle w:val="Paragrdouble"/>
        <w:numPr>
          <w:ilvl w:val="0"/>
          <w:numId w:val="0"/>
        </w:numPr>
        <w:spacing w:after="0" w:line="240" w:lineRule="auto"/>
        <w:ind w:left="731" w:right="857"/>
        <w:rPr>
          <w:rFonts w:cs="Arial"/>
          <w:sz w:val="22"/>
          <w:szCs w:val="18"/>
          <w:lang w:val="en-US"/>
        </w:rPr>
      </w:pPr>
      <w:r w:rsidRPr="00103606">
        <w:rPr>
          <w:rFonts w:cs="Arial"/>
          <w:sz w:val="22"/>
          <w:szCs w:val="18"/>
          <w:lang w:val="en-US"/>
        </w:rPr>
        <w:t>d. Did one or all of the Defendants commit a civil fault under article 1457 C.C.Q.?</w:t>
      </w:r>
    </w:p>
    <w:p w14:paraId="23D10BCC" w14:textId="77777777" w:rsidR="00076CD4" w:rsidRPr="00103606" w:rsidRDefault="00E21D39" w:rsidP="00573001">
      <w:pPr>
        <w:pStyle w:val="Paragrdouble"/>
        <w:numPr>
          <w:ilvl w:val="0"/>
          <w:numId w:val="0"/>
        </w:numPr>
        <w:spacing w:after="0" w:line="240" w:lineRule="auto"/>
        <w:ind w:left="731" w:right="857"/>
        <w:rPr>
          <w:rFonts w:cs="Arial"/>
          <w:sz w:val="22"/>
          <w:szCs w:val="18"/>
          <w:lang w:val="en-US"/>
        </w:rPr>
      </w:pPr>
      <w:r w:rsidRPr="00103606">
        <w:rPr>
          <w:rFonts w:cs="Arial"/>
          <w:sz w:val="22"/>
          <w:szCs w:val="18"/>
          <w:lang w:val="en-US"/>
        </w:rPr>
        <w:t>e. Did any of Defendant Future Electronics’ subordinates commit any wrongful acts engaging the vicariously liability of its principal in accordance with article 1463 C.C.Q.?</w:t>
      </w:r>
    </w:p>
    <w:p w14:paraId="25BE4CC1" w14:textId="77777777" w:rsidR="00076CD4" w:rsidRPr="00103606" w:rsidRDefault="00E21D39" w:rsidP="00573001">
      <w:pPr>
        <w:pStyle w:val="Paragrdouble"/>
        <w:numPr>
          <w:ilvl w:val="0"/>
          <w:numId w:val="0"/>
        </w:numPr>
        <w:spacing w:after="0" w:line="240" w:lineRule="auto"/>
        <w:ind w:left="731" w:right="857"/>
        <w:rPr>
          <w:rFonts w:cs="Arial"/>
          <w:sz w:val="22"/>
          <w:szCs w:val="18"/>
          <w:lang w:val="en-US"/>
        </w:rPr>
      </w:pPr>
      <w:r w:rsidRPr="00103606">
        <w:rPr>
          <w:rFonts w:cs="Arial"/>
          <w:sz w:val="22"/>
          <w:szCs w:val="18"/>
          <w:lang w:val="en-US"/>
        </w:rPr>
        <w:t>f. Has prescription been suspended for Class Members due to psychological inability to act or impossibility in fact to act in accordance with article 2904 C.C.Q.?</w:t>
      </w:r>
    </w:p>
    <w:p w14:paraId="10935212" w14:textId="77777777" w:rsidR="00076CD4" w:rsidRPr="00103606" w:rsidRDefault="00E21D39" w:rsidP="00573001">
      <w:pPr>
        <w:pStyle w:val="Paragrdouble"/>
        <w:numPr>
          <w:ilvl w:val="0"/>
          <w:numId w:val="0"/>
        </w:numPr>
        <w:spacing w:after="0" w:line="240" w:lineRule="auto"/>
        <w:ind w:left="731" w:right="857"/>
        <w:rPr>
          <w:rFonts w:cs="Arial"/>
          <w:sz w:val="22"/>
          <w:szCs w:val="18"/>
          <w:lang w:val="en-US"/>
        </w:rPr>
      </w:pPr>
      <w:r w:rsidRPr="00103606">
        <w:rPr>
          <w:rFonts w:cs="Arial"/>
          <w:sz w:val="22"/>
          <w:szCs w:val="18"/>
          <w:lang w:val="en-US"/>
        </w:rPr>
        <w:t>g. When, if at all, would prescription begin to run against Class Members in accordance with article 2926.1 C.C.Q.?</w:t>
      </w:r>
    </w:p>
    <w:p w14:paraId="7EC03ABA" w14:textId="77777777" w:rsidR="00076CD4" w:rsidRPr="00103606" w:rsidRDefault="00E21D39" w:rsidP="00573001">
      <w:pPr>
        <w:pStyle w:val="Paragrdouble"/>
        <w:numPr>
          <w:ilvl w:val="0"/>
          <w:numId w:val="0"/>
        </w:numPr>
        <w:spacing w:after="0" w:line="240" w:lineRule="auto"/>
        <w:ind w:left="731" w:right="857"/>
        <w:rPr>
          <w:rFonts w:cs="Arial"/>
          <w:sz w:val="22"/>
          <w:szCs w:val="18"/>
          <w:lang w:val="en-US"/>
        </w:rPr>
      </w:pPr>
      <w:r w:rsidRPr="00103606">
        <w:rPr>
          <w:rFonts w:cs="Arial"/>
          <w:sz w:val="22"/>
          <w:szCs w:val="18"/>
          <w:lang w:val="en-US"/>
        </w:rPr>
        <w:t>h. Are one or all Defendants liable, whether solidarily or not, to Class Members for compensatory damages and in what amount?</w:t>
      </w:r>
    </w:p>
    <w:p w14:paraId="2F99E8A2" w14:textId="77777777" w:rsidR="00076CD4" w:rsidRPr="00103606" w:rsidRDefault="00E21D39" w:rsidP="00573001">
      <w:pPr>
        <w:pStyle w:val="Paragrdouble"/>
        <w:numPr>
          <w:ilvl w:val="0"/>
          <w:numId w:val="0"/>
        </w:numPr>
        <w:spacing w:line="240" w:lineRule="auto"/>
        <w:ind w:left="731" w:right="857"/>
        <w:rPr>
          <w:rFonts w:cs="Arial"/>
          <w:sz w:val="22"/>
          <w:szCs w:val="18"/>
          <w:lang w:val="en-US"/>
        </w:rPr>
      </w:pPr>
      <w:r w:rsidRPr="00103606">
        <w:rPr>
          <w:rFonts w:cs="Arial"/>
          <w:sz w:val="22"/>
          <w:szCs w:val="18"/>
          <w:lang w:val="en-US"/>
        </w:rPr>
        <w:t>i. Are one or all Defendants liable, whether solidarily or not, to Class Members for punitive damages and in what amount?</w:t>
      </w:r>
      <w:r>
        <w:rPr>
          <w:rStyle w:val="Appelnotedebasdep"/>
          <w:rFonts w:cs="Arial"/>
          <w:sz w:val="22"/>
          <w:szCs w:val="18"/>
          <w:lang w:val="en-US"/>
        </w:rPr>
        <w:footnoteReference w:id="119"/>
      </w:r>
      <w:r w:rsidRPr="00103606">
        <w:rPr>
          <w:rFonts w:cs="Arial"/>
          <w:sz w:val="22"/>
          <w:szCs w:val="18"/>
          <w:lang w:val="en-US"/>
        </w:rPr>
        <w:t>”</w:t>
      </w:r>
    </w:p>
    <w:p w14:paraId="3E7E5A74" w14:textId="77777777" w:rsidR="00076CD4" w:rsidRPr="00103606" w:rsidRDefault="00E21D39" w:rsidP="00076CD4">
      <w:pPr>
        <w:pStyle w:val="Paragrdouble"/>
        <w:spacing w:line="276" w:lineRule="auto"/>
        <w:rPr>
          <w:rFonts w:cs="Arial"/>
        </w:rPr>
      </w:pPr>
      <w:r>
        <w:rPr>
          <w:rFonts w:cs="Arial"/>
        </w:rPr>
        <w:t>P</w:t>
      </w:r>
      <w:r w:rsidRPr="00103606">
        <w:rPr>
          <w:rFonts w:cs="Arial"/>
        </w:rPr>
        <w:t>our ce qui est de la question commune h</w:t>
      </w:r>
      <w:r w:rsidR="000D0886" w:rsidRPr="00103606">
        <w:rPr>
          <w:rFonts w:cs="Arial"/>
        </w:rPr>
        <w:t>)</w:t>
      </w:r>
      <w:r w:rsidRPr="00103606">
        <w:rPr>
          <w:rFonts w:cs="Arial"/>
        </w:rPr>
        <w:t>, la modification suivante</w:t>
      </w:r>
      <w:r w:rsidR="006E1CAB">
        <w:rPr>
          <w:rFonts w:cs="Arial"/>
        </w:rPr>
        <w:t xml:space="preserve"> </w:t>
      </w:r>
      <w:r>
        <w:rPr>
          <w:rFonts w:cs="Arial"/>
        </w:rPr>
        <w:t>fut approuvée le troisième jour du procès sur l’autorisation</w:t>
      </w:r>
      <w:r w:rsidRPr="00103606">
        <w:rPr>
          <w:rFonts w:cs="Arial"/>
        </w:rPr>
        <w:t xml:space="preserve">: </w:t>
      </w:r>
    </w:p>
    <w:p w14:paraId="1060F88C" w14:textId="77777777" w:rsidR="00076CD4" w:rsidRPr="00F4232B" w:rsidRDefault="00E21D39" w:rsidP="00573001">
      <w:pPr>
        <w:pStyle w:val="Paragrdouble"/>
        <w:numPr>
          <w:ilvl w:val="0"/>
          <w:numId w:val="0"/>
        </w:numPr>
        <w:spacing w:after="0" w:line="240" w:lineRule="auto"/>
        <w:ind w:left="709" w:right="857" w:hanging="142"/>
        <w:rPr>
          <w:sz w:val="22"/>
          <w:szCs w:val="22"/>
          <w:lang w:val="en-US"/>
        </w:rPr>
      </w:pPr>
      <w:r w:rsidRPr="00995DA8">
        <w:rPr>
          <w:rFonts w:cs="Arial"/>
          <w:sz w:val="22"/>
          <w:szCs w:val="22"/>
          <w:lang w:val="en-US"/>
        </w:rPr>
        <w:t>“</w:t>
      </w:r>
      <w:r w:rsidRPr="007C1082">
        <w:rPr>
          <w:sz w:val="22"/>
          <w:szCs w:val="22"/>
          <w:lang w:val="en-US"/>
        </w:rPr>
        <w:t> </w:t>
      </w:r>
      <w:r>
        <w:rPr>
          <w:sz w:val="22"/>
          <w:szCs w:val="22"/>
          <w:lang w:val="en-US"/>
        </w:rPr>
        <w:tab/>
      </w:r>
      <w:r w:rsidRPr="00F4232B">
        <w:rPr>
          <w:sz w:val="22"/>
          <w:szCs w:val="22"/>
          <w:lang w:val="en-US"/>
        </w:rPr>
        <w:t>h) Are one or all Defendants liable, whether solidarily or not, to Class Members for compensatory damages (…)?</w:t>
      </w:r>
    </w:p>
    <w:p w14:paraId="732BD59E" w14:textId="77777777" w:rsidR="00076CD4" w:rsidRPr="00103606" w:rsidRDefault="00E21D39" w:rsidP="00573001">
      <w:pPr>
        <w:pStyle w:val="Paragrdouble"/>
        <w:numPr>
          <w:ilvl w:val="0"/>
          <w:numId w:val="0"/>
        </w:numPr>
        <w:spacing w:line="240" w:lineRule="auto"/>
        <w:ind w:left="731" w:right="857"/>
        <w:rPr>
          <w:rFonts w:cs="Arial"/>
          <w:lang w:val="en-US"/>
        </w:rPr>
      </w:pPr>
      <w:r w:rsidRPr="00103606">
        <w:rPr>
          <w:rFonts w:cs="Arial"/>
          <w:sz w:val="22"/>
          <w:szCs w:val="18"/>
          <w:lang w:val="en-US"/>
        </w:rPr>
        <w:t>h.1) What is the quantum of damages that can be established collectively and what damages must be established at the stage of individual claims, if applicable?”</w:t>
      </w:r>
    </w:p>
    <w:p w14:paraId="73AF0887" w14:textId="77777777" w:rsidR="00AA08C2" w:rsidRPr="00AA08C2" w:rsidRDefault="00E21D39" w:rsidP="00AA08C2">
      <w:pPr>
        <w:pStyle w:val="Paragrdouble"/>
        <w:spacing w:line="276" w:lineRule="auto"/>
        <w:rPr>
          <w:rFonts w:cs="Arial"/>
        </w:rPr>
      </w:pPr>
      <w:r>
        <w:rPr>
          <w:rFonts w:cs="Arial"/>
        </w:rPr>
        <w:t xml:space="preserve">Les </w:t>
      </w:r>
      <w:r w:rsidR="007E3F2C" w:rsidRPr="00103606">
        <w:rPr>
          <w:rFonts w:cs="Arial"/>
        </w:rPr>
        <w:t>défendeurs</w:t>
      </w:r>
      <w:r w:rsidR="00076CD4" w:rsidRPr="00103606">
        <w:rPr>
          <w:rFonts w:cs="Arial"/>
        </w:rPr>
        <w:t xml:space="preserve"> prétendent que la faute n’est pas la même pour chacune et que les trois groupes représentés par les trois demanderesses n’ont pas les mêmes questions communes</w:t>
      </w:r>
      <w:r w:rsidR="0086272A">
        <w:rPr>
          <w:rFonts w:cs="Arial"/>
        </w:rPr>
        <w:t xml:space="preserve">, se fondant </w:t>
      </w:r>
      <w:r w:rsidR="00076CD4" w:rsidRPr="00103606">
        <w:rPr>
          <w:rFonts w:cs="Arial"/>
        </w:rPr>
        <w:t>sur</w:t>
      </w:r>
      <w:r w:rsidR="007E3F2C" w:rsidRPr="00103606">
        <w:rPr>
          <w:rFonts w:cs="Arial"/>
        </w:rPr>
        <w:t xml:space="preserve"> le raisonnement du juge Hamilton dans</w:t>
      </w:r>
      <w:r w:rsidR="00076CD4" w:rsidRPr="00103606">
        <w:rPr>
          <w:rFonts w:cs="Arial"/>
        </w:rPr>
        <w:t xml:space="preserve"> l’arrêt </w:t>
      </w:r>
      <w:r w:rsidR="00507079">
        <w:rPr>
          <w:rFonts w:cs="Arial"/>
          <w:i/>
          <w:iCs/>
        </w:rPr>
        <w:t>Les Courageuses</w:t>
      </w:r>
      <w:r w:rsidR="00076CD4" w:rsidRPr="00103606">
        <w:rPr>
          <w:rFonts w:cs="Arial"/>
        </w:rPr>
        <w:t>.</w:t>
      </w:r>
    </w:p>
    <w:p w14:paraId="1CE7263F" w14:textId="77777777" w:rsidR="0086272A" w:rsidRPr="0086272A" w:rsidRDefault="00E21D39" w:rsidP="008573E6">
      <w:pPr>
        <w:pStyle w:val="Paragrdouble"/>
        <w:spacing w:line="276" w:lineRule="auto"/>
        <w:rPr>
          <w:rFonts w:cs="Arial"/>
        </w:rPr>
      </w:pPr>
      <w:r>
        <w:rPr>
          <w:rFonts w:cs="Arial"/>
        </w:rPr>
        <w:t>Or, t</w:t>
      </w:r>
      <w:r w:rsidRPr="0086272A">
        <w:rPr>
          <w:rFonts w:cs="Arial"/>
        </w:rPr>
        <w:t xml:space="preserve">rois aspects centraux différencient le présent dossier de celui de l’affaire </w:t>
      </w:r>
      <w:r w:rsidR="00507079">
        <w:rPr>
          <w:rFonts w:cs="Arial"/>
          <w:i/>
          <w:iCs/>
        </w:rPr>
        <w:t>Les Courageuses</w:t>
      </w:r>
      <w:r w:rsidRPr="0086272A">
        <w:rPr>
          <w:rFonts w:cs="Arial"/>
          <w:i/>
          <w:iCs/>
        </w:rPr>
        <w:t> </w:t>
      </w:r>
      <w:r w:rsidRPr="0086272A">
        <w:rPr>
          <w:rFonts w:cs="Arial"/>
        </w:rPr>
        <w:t>:</w:t>
      </w:r>
      <w:r w:rsidRPr="008573E6">
        <w:rPr>
          <w:rFonts w:cs="Arial"/>
          <w:color w:val="212121"/>
        </w:rPr>
        <w:t xml:space="preserve"> </w:t>
      </w:r>
      <w:r>
        <w:rPr>
          <w:rFonts w:cs="Arial"/>
          <w:color w:val="212121"/>
        </w:rPr>
        <w:t xml:space="preserve">1) </w:t>
      </w:r>
      <w:r w:rsidRPr="008573E6">
        <w:rPr>
          <w:rFonts w:cs="Arial"/>
          <w:color w:val="212121"/>
        </w:rPr>
        <w:t>des relations sexuelles interdites au criminel avec des mineures (peu importe le consentement) constitutives en soi de fa</w:t>
      </w:r>
      <w:r>
        <w:rPr>
          <w:rFonts w:cs="Arial"/>
          <w:color w:val="212121"/>
        </w:rPr>
        <w:t>u</w:t>
      </w:r>
      <w:r w:rsidRPr="008573E6">
        <w:rPr>
          <w:rFonts w:cs="Arial"/>
          <w:color w:val="212121"/>
        </w:rPr>
        <w:t>te</w:t>
      </w:r>
      <w:r w:rsidR="006E31CD">
        <w:rPr>
          <w:rFonts w:cs="Arial"/>
          <w:color w:val="212121"/>
        </w:rPr>
        <w:t xml:space="preserve"> </w:t>
      </w:r>
      <w:r w:rsidRPr="008573E6">
        <w:rPr>
          <w:rFonts w:cs="Arial"/>
          <w:color w:val="212121"/>
        </w:rPr>
        <w:t>civile</w:t>
      </w:r>
      <w:r>
        <w:rPr>
          <w:rFonts w:cs="Arial"/>
          <w:color w:val="212121"/>
        </w:rPr>
        <w:t>, 2) un</w:t>
      </w:r>
      <w:r w:rsidRPr="008573E6">
        <w:rPr>
          <w:rFonts w:cs="Arial"/>
          <w:color w:val="212121"/>
        </w:rPr>
        <w:t xml:space="preserve"> stratagème </w:t>
      </w:r>
      <w:r>
        <w:rPr>
          <w:rFonts w:cs="Arial"/>
          <w:color w:val="212121"/>
        </w:rPr>
        <w:t xml:space="preserve">mis en place </w:t>
      </w:r>
      <w:r w:rsidRPr="008573E6">
        <w:rPr>
          <w:rFonts w:cs="Arial"/>
          <w:color w:val="212121"/>
        </w:rPr>
        <w:t xml:space="preserve">pour les </w:t>
      </w:r>
      <w:r w:rsidR="00AD4F32">
        <w:rPr>
          <w:rFonts w:cs="Arial"/>
          <w:color w:val="212121"/>
        </w:rPr>
        <w:t>attirer</w:t>
      </w:r>
      <w:r w:rsidR="00AD4F32" w:rsidRPr="008573E6">
        <w:rPr>
          <w:rFonts w:cs="Arial"/>
          <w:color w:val="212121"/>
        </w:rPr>
        <w:t xml:space="preserve"> </w:t>
      </w:r>
      <w:r w:rsidRPr="008573E6">
        <w:rPr>
          <w:rFonts w:cs="Arial"/>
          <w:color w:val="212121"/>
        </w:rPr>
        <w:t>et rendre leur consentement, déjà invalide</w:t>
      </w:r>
      <w:r>
        <w:rPr>
          <w:rStyle w:val="Appelnotedebasdep"/>
          <w:rFonts w:cs="Arial"/>
        </w:rPr>
        <w:footnoteReference w:id="120"/>
      </w:r>
      <w:r w:rsidRPr="008573E6">
        <w:rPr>
          <w:rFonts w:cs="Arial"/>
          <w:color w:val="212121"/>
        </w:rPr>
        <w:t>, encore plus douteux</w:t>
      </w:r>
      <w:r>
        <w:rPr>
          <w:rFonts w:cs="Arial"/>
          <w:color w:val="212121"/>
        </w:rPr>
        <w:t xml:space="preserve">, et 3) </w:t>
      </w:r>
      <w:r w:rsidRPr="008573E6">
        <w:rPr>
          <w:rFonts w:cs="Arial"/>
          <w:color w:val="212121"/>
        </w:rPr>
        <w:t>la responsabilité des autres défendeurs à titre de complice</w:t>
      </w:r>
      <w:r>
        <w:rPr>
          <w:rFonts w:cs="Arial"/>
          <w:color w:val="212121"/>
        </w:rPr>
        <w:t>s</w:t>
      </w:r>
      <w:r w:rsidRPr="008573E6">
        <w:rPr>
          <w:rFonts w:cs="Arial"/>
          <w:color w:val="212121"/>
        </w:rPr>
        <w:t xml:space="preserve"> ou de facilitateur</w:t>
      </w:r>
      <w:r>
        <w:rPr>
          <w:rFonts w:cs="Arial"/>
          <w:color w:val="212121"/>
        </w:rPr>
        <w:t>s</w:t>
      </w:r>
      <w:r w:rsidRPr="008573E6">
        <w:rPr>
          <w:rFonts w:cs="Arial"/>
          <w:color w:val="212121"/>
        </w:rPr>
        <w:t xml:space="preserve"> et de Future.</w:t>
      </w:r>
    </w:p>
    <w:p w14:paraId="6AB2F475" w14:textId="77777777" w:rsidR="00044B72" w:rsidRPr="00103606" w:rsidRDefault="00E21D39" w:rsidP="00044B72">
      <w:pPr>
        <w:pStyle w:val="Paragrdouble"/>
        <w:spacing w:line="276" w:lineRule="auto"/>
        <w:rPr>
          <w:rFonts w:cs="Arial"/>
        </w:rPr>
      </w:pPr>
      <w:r w:rsidRPr="00103606">
        <w:rPr>
          <w:rFonts w:cs="Arial"/>
        </w:rPr>
        <w:t>Je souligne également que la Cour d’appel a reconnu l’existence de questions communes dans un dossier d’action collective visant des élèves mineurs ayant été abusés par un ancien directeur d’une école reliée à une église, ainsi que des élèves mineurs ayant été abusés par ce même directeur au sein d’une école clandestine qu’il a subséquemment mise en place</w:t>
      </w:r>
      <w:r>
        <w:rPr>
          <w:rStyle w:val="Appelnotedebasdep"/>
          <w:rFonts w:cs="Arial"/>
        </w:rPr>
        <w:footnoteReference w:id="121"/>
      </w:r>
      <w:r w:rsidR="00557973">
        <w:rPr>
          <w:rFonts w:cs="Arial"/>
        </w:rPr>
        <w:t>, de même que dans un dossier d’action collective visant des j</w:t>
      </w:r>
      <w:r w:rsidR="00557973" w:rsidRPr="00557973">
        <w:rPr>
          <w:rFonts w:cs="Arial"/>
        </w:rPr>
        <w:t xml:space="preserve">oueurs de hockey qui, depuis 1969, </w:t>
      </w:r>
      <w:r w:rsidR="00557973">
        <w:rPr>
          <w:rFonts w:cs="Arial"/>
        </w:rPr>
        <w:t>avaient</w:t>
      </w:r>
      <w:r w:rsidR="00557973" w:rsidRPr="00557973">
        <w:rPr>
          <w:rFonts w:cs="Arial"/>
        </w:rPr>
        <w:t xml:space="preserve"> subi des abus alors qu’ils étaient mineurs et évoluaient au sein de la Ligue de hockey junior majeur du Québec</w:t>
      </w:r>
      <w:r>
        <w:rPr>
          <w:rStyle w:val="Appelnotedebasdep"/>
          <w:rFonts w:cs="Arial"/>
        </w:rPr>
        <w:footnoteReference w:id="122"/>
      </w:r>
      <w:r w:rsidRPr="00103606">
        <w:rPr>
          <w:rFonts w:cs="Arial"/>
        </w:rPr>
        <w:t xml:space="preserve">. La Cour déterminait </w:t>
      </w:r>
      <w:r w:rsidR="00557973">
        <w:rPr>
          <w:rFonts w:cs="Arial"/>
        </w:rPr>
        <w:t xml:space="preserve">dans le premier </w:t>
      </w:r>
      <w:r w:rsidRPr="00103606">
        <w:rPr>
          <w:rFonts w:cs="Arial"/>
        </w:rPr>
        <w:t xml:space="preserve">qu’il existait au moins une question commune, soit celle de savoir si </w:t>
      </w:r>
      <w:r w:rsidR="0015661F" w:rsidRPr="00103606">
        <w:rPr>
          <w:rFonts w:cs="Arial"/>
        </w:rPr>
        <w:t xml:space="preserve">le défendeur </w:t>
      </w:r>
      <w:r w:rsidRPr="00103606">
        <w:rPr>
          <w:rFonts w:cs="Arial"/>
        </w:rPr>
        <w:t>Guillot avait commis des fautes en infligeant des châtiments corporels à des enfants et à des adolescents</w:t>
      </w:r>
      <w:r>
        <w:rPr>
          <w:rStyle w:val="Appelnotedebasdep"/>
          <w:rFonts w:cs="Arial"/>
        </w:rPr>
        <w:footnoteReference w:id="123"/>
      </w:r>
      <w:r w:rsidRPr="00103606">
        <w:rPr>
          <w:rFonts w:cs="Arial"/>
        </w:rPr>
        <w:t>.</w:t>
      </w:r>
      <w:r w:rsidR="00166A32">
        <w:rPr>
          <w:rFonts w:cs="Arial"/>
        </w:rPr>
        <w:t xml:space="preserve"> Dans le deuxième dossier, la Cour jugeait que l’une des questions communes était de savoir s’il existait une n</w:t>
      </w:r>
      <w:r w:rsidR="00166A32" w:rsidRPr="00166A32">
        <w:rPr>
          <w:rFonts w:cs="Arial"/>
        </w:rPr>
        <w:t xml:space="preserve">égligence systémique au sein des </w:t>
      </w:r>
      <w:r w:rsidR="00166A32">
        <w:rPr>
          <w:rFonts w:cs="Arial"/>
        </w:rPr>
        <w:t>d</w:t>
      </w:r>
      <w:r w:rsidR="00166A32" w:rsidRPr="00166A32">
        <w:rPr>
          <w:rFonts w:cs="Arial"/>
        </w:rPr>
        <w:t xml:space="preserve">éfenderesses quant aux </w:t>
      </w:r>
      <w:r w:rsidR="00166A32">
        <w:rPr>
          <w:rFonts w:cs="Arial"/>
        </w:rPr>
        <w:t>a</w:t>
      </w:r>
      <w:r w:rsidR="00166A32" w:rsidRPr="00166A32">
        <w:rPr>
          <w:rFonts w:cs="Arial"/>
        </w:rPr>
        <w:t xml:space="preserve">bus subis par les membres du </w:t>
      </w:r>
      <w:r w:rsidR="00166A32">
        <w:rPr>
          <w:rFonts w:cs="Arial"/>
        </w:rPr>
        <w:t>g</w:t>
      </w:r>
      <w:r w:rsidR="00166A32" w:rsidRPr="00166A32">
        <w:rPr>
          <w:rFonts w:cs="Arial"/>
        </w:rPr>
        <w:t>roupe</w:t>
      </w:r>
      <w:r>
        <w:rPr>
          <w:rStyle w:val="Appelnotedebasdep"/>
          <w:rFonts w:cs="Arial"/>
        </w:rPr>
        <w:footnoteReference w:id="124"/>
      </w:r>
      <w:r w:rsidR="00166A32">
        <w:rPr>
          <w:rFonts w:cs="Arial"/>
        </w:rPr>
        <w:t>.</w:t>
      </w:r>
    </w:p>
    <w:p w14:paraId="6E5927D5" w14:textId="77777777" w:rsidR="009E109F" w:rsidRPr="00E87347" w:rsidRDefault="00E21D39" w:rsidP="00E87347">
      <w:pPr>
        <w:pStyle w:val="Paragrdouble"/>
        <w:spacing w:line="276" w:lineRule="auto"/>
        <w:rPr>
          <w:rFonts w:cs="Arial"/>
        </w:rPr>
      </w:pPr>
      <w:r w:rsidRPr="00103606">
        <w:rPr>
          <w:rFonts w:cs="Arial"/>
        </w:rPr>
        <w:t>Dans le</w:t>
      </w:r>
      <w:r w:rsidR="00076CD4" w:rsidRPr="00103606">
        <w:rPr>
          <w:rFonts w:cs="Arial"/>
        </w:rPr>
        <w:t xml:space="preserve"> présent dossier, </w:t>
      </w:r>
      <w:r w:rsidR="00044B72" w:rsidRPr="00103606">
        <w:rPr>
          <w:rFonts w:cs="Arial"/>
        </w:rPr>
        <w:t>la description du groupe implique de</w:t>
      </w:r>
      <w:r w:rsidR="0015661F" w:rsidRPr="00103606">
        <w:rPr>
          <w:rFonts w:cs="Arial"/>
        </w:rPr>
        <w:t>s</w:t>
      </w:r>
      <w:r w:rsidR="00044B72" w:rsidRPr="00103606">
        <w:rPr>
          <w:rFonts w:cs="Arial"/>
        </w:rPr>
        <w:t xml:space="preserve"> questions communes. Ensuite, contrairement à l’affaire </w:t>
      </w:r>
      <w:r w:rsidR="00507079" w:rsidRPr="008573E6">
        <w:rPr>
          <w:rFonts w:cs="Arial"/>
          <w:i/>
          <w:iCs/>
        </w:rPr>
        <w:t>Les Courageuses</w:t>
      </w:r>
      <w:r w:rsidR="00044B72" w:rsidRPr="00103606">
        <w:rPr>
          <w:rFonts w:cs="Arial"/>
        </w:rPr>
        <w:t xml:space="preserve">, il existe </w:t>
      </w:r>
      <w:r w:rsidR="0015661F" w:rsidRPr="00103606">
        <w:rPr>
          <w:rFonts w:cs="Arial"/>
        </w:rPr>
        <w:t xml:space="preserve">plusieurs </w:t>
      </w:r>
      <w:r w:rsidR="00044B72" w:rsidRPr="00103606">
        <w:rPr>
          <w:rFonts w:cs="Arial"/>
        </w:rPr>
        <w:t xml:space="preserve">éléments du </w:t>
      </w:r>
      <w:r w:rsidR="00044B72" w:rsidRPr="00103606">
        <w:rPr>
          <w:rFonts w:cs="Arial"/>
          <w:i/>
          <w:iCs/>
        </w:rPr>
        <w:t>modus operandi</w:t>
      </w:r>
      <w:r w:rsidR="00044B72" w:rsidRPr="00103606">
        <w:rPr>
          <w:rFonts w:cs="Arial"/>
        </w:rPr>
        <w:t xml:space="preserve"> </w:t>
      </w:r>
      <w:r w:rsidR="00CC3710">
        <w:rPr>
          <w:rFonts w:cs="Arial"/>
        </w:rPr>
        <w:t xml:space="preserve">ou du schème </w:t>
      </w:r>
      <w:r w:rsidR="00044B72" w:rsidRPr="00103606">
        <w:rPr>
          <w:rFonts w:cs="Arial"/>
        </w:rPr>
        <w:t>qui peuvent être déterminés de manière commune</w:t>
      </w:r>
      <w:r w:rsidR="00AD4F32">
        <w:rPr>
          <w:rFonts w:cs="Arial"/>
        </w:rPr>
        <w:t> :</w:t>
      </w:r>
      <w:r w:rsidR="00044B72" w:rsidRPr="00103606">
        <w:rPr>
          <w:rFonts w:cs="Arial"/>
        </w:rPr>
        <w:t xml:space="preserve"> </w:t>
      </w:r>
      <w:r w:rsidR="00044B72" w:rsidRPr="00E87347">
        <w:rPr>
          <w:rFonts w:cs="Arial"/>
        </w:rPr>
        <w:t xml:space="preserve">l’objet des rencontres, le système et les conditions de recrutement, les </w:t>
      </w:r>
      <w:r w:rsidR="0015661F" w:rsidRPr="00E87347">
        <w:rPr>
          <w:rFonts w:cs="Arial"/>
        </w:rPr>
        <w:t xml:space="preserve">étapes </w:t>
      </w:r>
      <w:r w:rsidR="00044B72" w:rsidRPr="00E87347">
        <w:rPr>
          <w:rFonts w:cs="Arial"/>
        </w:rPr>
        <w:t xml:space="preserve">préliminaires aux rencontres, </w:t>
      </w:r>
      <w:r w:rsidR="00540768" w:rsidRPr="00E87347">
        <w:rPr>
          <w:rFonts w:cs="Arial"/>
        </w:rPr>
        <w:t xml:space="preserve">le type de lieu </w:t>
      </w:r>
      <w:r w:rsidR="0015661F" w:rsidRPr="00E87347">
        <w:rPr>
          <w:rFonts w:cs="Arial"/>
        </w:rPr>
        <w:t xml:space="preserve">pour </w:t>
      </w:r>
      <w:r w:rsidR="009D734A" w:rsidRPr="00E87347">
        <w:rPr>
          <w:rFonts w:cs="Arial"/>
        </w:rPr>
        <w:t>les rencontres</w:t>
      </w:r>
      <w:r w:rsidR="00540768" w:rsidRPr="00E87347">
        <w:rPr>
          <w:rFonts w:cs="Arial"/>
        </w:rPr>
        <w:t>, les conditions</w:t>
      </w:r>
      <w:r w:rsidR="00044B72" w:rsidRPr="00E87347">
        <w:rPr>
          <w:rFonts w:cs="Arial"/>
        </w:rPr>
        <w:t xml:space="preserve"> hygiénique</w:t>
      </w:r>
      <w:r w:rsidR="008C799C" w:rsidRPr="00E87347">
        <w:rPr>
          <w:rFonts w:cs="Arial"/>
        </w:rPr>
        <w:t>s</w:t>
      </w:r>
      <w:r w:rsidR="00044B72" w:rsidRPr="00E87347">
        <w:rPr>
          <w:rFonts w:cs="Arial"/>
        </w:rPr>
        <w:t xml:space="preserve"> </w:t>
      </w:r>
      <w:r w:rsidR="00CC3710" w:rsidRPr="00E87347">
        <w:rPr>
          <w:rFonts w:cs="Arial"/>
        </w:rPr>
        <w:t xml:space="preserve">ou sanitaires </w:t>
      </w:r>
      <w:r w:rsidR="00540768" w:rsidRPr="00E87347">
        <w:rPr>
          <w:rFonts w:cs="Arial"/>
        </w:rPr>
        <w:t>aux</w:t>
      </w:r>
      <w:r w:rsidR="00044B72" w:rsidRPr="00E87347">
        <w:rPr>
          <w:rFonts w:cs="Arial"/>
        </w:rPr>
        <w:t xml:space="preserve"> rencontres, </w:t>
      </w:r>
      <w:r w:rsidR="00540768" w:rsidRPr="00E87347">
        <w:rPr>
          <w:rFonts w:cs="Arial"/>
        </w:rPr>
        <w:t>les modalités de l’acte sexuel</w:t>
      </w:r>
      <w:r w:rsidR="0015661F" w:rsidRPr="00E87347">
        <w:rPr>
          <w:rFonts w:cs="Arial"/>
        </w:rPr>
        <w:t xml:space="preserve"> avec Miller</w:t>
      </w:r>
      <w:r w:rsidR="00540768" w:rsidRPr="00E87347">
        <w:rPr>
          <w:rFonts w:cs="Arial"/>
        </w:rPr>
        <w:t xml:space="preserve">, </w:t>
      </w:r>
      <w:r w:rsidR="00044B72" w:rsidRPr="00E87347">
        <w:rPr>
          <w:rFonts w:cs="Arial"/>
        </w:rPr>
        <w:t>le système de rétributions monétaires ou matérielles</w:t>
      </w:r>
      <w:r w:rsidR="00540768" w:rsidRPr="00E87347">
        <w:rPr>
          <w:rFonts w:cs="Arial"/>
        </w:rPr>
        <w:t xml:space="preserve"> et le rôle des acteurs.</w:t>
      </w:r>
    </w:p>
    <w:p w14:paraId="6D5A15D4" w14:textId="77777777" w:rsidR="001D72E4" w:rsidRPr="00103606" w:rsidRDefault="00E21D39" w:rsidP="007E3F2C">
      <w:pPr>
        <w:pStyle w:val="Paragrdouble"/>
        <w:spacing w:line="276" w:lineRule="auto"/>
        <w:rPr>
          <w:rFonts w:cs="Arial"/>
        </w:rPr>
      </w:pPr>
      <w:r w:rsidRPr="00103606">
        <w:rPr>
          <w:rFonts w:cs="Arial"/>
        </w:rPr>
        <w:t>Dans le présent dossier,</w:t>
      </w:r>
      <w:r w:rsidR="00076CD4" w:rsidRPr="00103606">
        <w:rPr>
          <w:rFonts w:cs="Arial"/>
        </w:rPr>
        <w:t xml:space="preserve"> </w:t>
      </w:r>
      <w:r w:rsidRPr="00103606">
        <w:rPr>
          <w:rFonts w:cs="Arial"/>
        </w:rPr>
        <w:t xml:space="preserve">il </w:t>
      </w:r>
      <w:r w:rsidR="00076CD4" w:rsidRPr="00103606">
        <w:rPr>
          <w:rFonts w:cs="Arial"/>
        </w:rPr>
        <w:t xml:space="preserve">s’agit de relations sexuelles non protégées avec des mineures – 46 </w:t>
      </w:r>
      <w:r w:rsidR="00CC3710">
        <w:rPr>
          <w:rFonts w:cs="Arial"/>
        </w:rPr>
        <w:t>fill</w:t>
      </w:r>
      <w:r w:rsidR="00CC3710" w:rsidRPr="00103606">
        <w:rPr>
          <w:rFonts w:cs="Arial"/>
        </w:rPr>
        <w:t>es</w:t>
      </w:r>
      <w:r w:rsidR="00076CD4" w:rsidRPr="00103606">
        <w:rPr>
          <w:rFonts w:cs="Arial"/>
        </w:rPr>
        <w:t>, au moins –</w:t>
      </w:r>
      <w:r w:rsidRPr="00103606">
        <w:rPr>
          <w:rFonts w:cs="Arial"/>
        </w:rPr>
        <w:t>, pour rétribution,</w:t>
      </w:r>
      <w:r w:rsidR="00076CD4" w:rsidRPr="00103606">
        <w:rPr>
          <w:rFonts w:cs="Arial"/>
        </w:rPr>
        <w:t xml:space="preserve"> durant une période </w:t>
      </w:r>
      <w:r w:rsidRPr="00103606">
        <w:rPr>
          <w:rFonts w:cs="Arial"/>
        </w:rPr>
        <w:t>d’environ</w:t>
      </w:r>
      <w:r w:rsidR="0015661F" w:rsidRPr="00103606">
        <w:rPr>
          <w:rFonts w:cs="Arial"/>
        </w:rPr>
        <w:t xml:space="preserve"> dix ans</w:t>
      </w:r>
      <w:r w:rsidR="00076CD4" w:rsidRPr="00103606">
        <w:rPr>
          <w:rFonts w:cs="Arial"/>
        </w:rPr>
        <w:t xml:space="preserve"> </w:t>
      </w:r>
      <w:r w:rsidRPr="00103606">
        <w:rPr>
          <w:rFonts w:cs="Arial"/>
        </w:rPr>
        <w:t>(</w:t>
      </w:r>
      <w:r w:rsidR="00076CD4" w:rsidRPr="00103606">
        <w:rPr>
          <w:rFonts w:cs="Arial"/>
        </w:rPr>
        <w:t>généralement entre 1996 et 2006</w:t>
      </w:r>
      <w:r w:rsidRPr="00103606">
        <w:rPr>
          <w:rFonts w:cs="Arial"/>
        </w:rPr>
        <w:t>)</w:t>
      </w:r>
      <w:r>
        <w:rPr>
          <w:rStyle w:val="Appelnotedebasdep"/>
          <w:rFonts w:cs="Arial"/>
        </w:rPr>
        <w:footnoteReference w:id="125"/>
      </w:r>
      <w:r w:rsidR="00076CD4" w:rsidRPr="00103606">
        <w:rPr>
          <w:rFonts w:cs="Arial"/>
        </w:rPr>
        <w:t xml:space="preserve">. </w:t>
      </w:r>
    </w:p>
    <w:p w14:paraId="3404652C" w14:textId="769C8912" w:rsidR="00076CD4" w:rsidRPr="00103606" w:rsidRDefault="00E21D39" w:rsidP="007E3F2C">
      <w:pPr>
        <w:pStyle w:val="Paragrdouble"/>
        <w:spacing w:line="276" w:lineRule="auto"/>
        <w:rPr>
          <w:rFonts w:cs="Arial"/>
        </w:rPr>
      </w:pPr>
      <w:r w:rsidRPr="00103606">
        <w:rPr>
          <w:rFonts w:cs="Arial"/>
        </w:rPr>
        <w:t xml:space="preserve">Les rencontres avec les </w:t>
      </w:r>
      <w:r w:rsidR="00C741DC">
        <w:rPr>
          <w:rFonts w:cs="Arial"/>
        </w:rPr>
        <w:t>mineures</w:t>
      </w:r>
      <w:r w:rsidRPr="00103606">
        <w:rPr>
          <w:rFonts w:cs="Arial"/>
        </w:rPr>
        <w:t xml:space="preserve"> sont organisées par des </w:t>
      </w:r>
      <w:r w:rsidRPr="009A0811">
        <w:rPr>
          <w:rFonts w:cs="Arial"/>
        </w:rPr>
        <w:t>acolytes de Miller</w:t>
      </w:r>
      <w:r w:rsidR="009A0811" w:rsidRPr="007E50B9">
        <w:rPr>
          <w:rFonts w:cs="Arial"/>
        </w:rPr>
        <w:t>.</w:t>
      </w:r>
      <w:r w:rsidR="00044B72" w:rsidRPr="009A0811">
        <w:rPr>
          <w:rFonts w:cs="Arial"/>
        </w:rPr>
        <w:t xml:space="preserve"> </w:t>
      </w:r>
      <w:r w:rsidR="00C741DC" w:rsidRPr="009A0811">
        <w:rPr>
          <w:rFonts w:cs="Arial"/>
        </w:rPr>
        <w:t>Celles-ci</w:t>
      </w:r>
      <w:r w:rsidRPr="009A0811">
        <w:rPr>
          <w:rFonts w:cs="Arial"/>
        </w:rPr>
        <w:t xml:space="preserve"> sont recrutée</w:t>
      </w:r>
      <w:r w:rsidRPr="00103606">
        <w:rPr>
          <w:rFonts w:cs="Arial"/>
        </w:rPr>
        <w:t xml:space="preserve">s dans des écoles, à travers </w:t>
      </w:r>
      <w:r w:rsidR="00E87347">
        <w:rPr>
          <w:rFonts w:cs="Arial"/>
        </w:rPr>
        <w:t>des connaissances ou des amies</w:t>
      </w:r>
      <w:r w:rsidRPr="00103606">
        <w:rPr>
          <w:rFonts w:cs="Arial"/>
        </w:rPr>
        <w:t xml:space="preserve">, ou encore par le biais d’annonces de mannequinat. </w:t>
      </w:r>
      <w:r w:rsidR="00044B72" w:rsidRPr="00103606">
        <w:rPr>
          <w:rFonts w:cs="Arial"/>
        </w:rPr>
        <w:t xml:space="preserve">Elles sont ensuite </w:t>
      </w:r>
      <w:r w:rsidRPr="00103606">
        <w:rPr>
          <w:rFonts w:cs="Arial"/>
        </w:rPr>
        <w:t xml:space="preserve">invitées à se rendre à un hôtel </w:t>
      </w:r>
      <w:r w:rsidR="00AA08C2">
        <w:rPr>
          <w:rFonts w:cs="Arial"/>
        </w:rPr>
        <w:t>du Centre-Ville de Montréal,</w:t>
      </w:r>
      <w:r w:rsidR="00AA08C2" w:rsidRPr="00103606">
        <w:rPr>
          <w:rFonts w:cs="Arial"/>
        </w:rPr>
        <w:t xml:space="preserve"> </w:t>
      </w:r>
      <w:r w:rsidRPr="00103606">
        <w:rPr>
          <w:rFonts w:cs="Arial"/>
        </w:rPr>
        <w:t xml:space="preserve">ou encore </w:t>
      </w:r>
      <w:r w:rsidR="00AA08C2">
        <w:rPr>
          <w:rFonts w:cs="Arial"/>
        </w:rPr>
        <w:t>à</w:t>
      </w:r>
      <w:r w:rsidR="00AA08C2" w:rsidRPr="00103606">
        <w:rPr>
          <w:rFonts w:cs="Arial"/>
        </w:rPr>
        <w:t xml:space="preserve"> </w:t>
      </w:r>
      <w:r w:rsidRPr="00103606">
        <w:rPr>
          <w:rFonts w:cs="Arial"/>
        </w:rPr>
        <w:t xml:space="preserve">l’une des maisons de la rue </w:t>
      </w:r>
      <w:r>
        <w:rPr>
          <w:rFonts w:cs="Arial"/>
        </w:rPr>
        <w:t>A</w:t>
      </w:r>
      <w:r w:rsidRPr="00103606">
        <w:rPr>
          <w:rFonts w:cs="Arial"/>
        </w:rPr>
        <w:t xml:space="preserve">. </w:t>
      </w:r>
    </w:p>
    <w:p w14:paraId="27AA05E7" w14:textId="77777777" w:rsidR="00076CD4" w:rsidRPr="00103606" w:rsidRDefault="00E21D39" w:rsidP="00076CD4">
      <w:pPr>
        <w:pStyle w:val="Paragrdouble"/>
        <w:spacing w:line="276" w:lineRule="auto"/>
        <w:rPr>
          <w:rFonts w:cs="Arial"/>
        </w:rPr>
      </w:pPr>
      <w:r w:rsidRPr="00103606">
        <w:rPr>
          <w:rFonts w:cs="Arial"/>
        </w:rPr>
        <w:t xml:space="preserve">Sur place, Miller se présente </w:t>
      </w:r>
      <w:r w:rsidR="001D72E4" w:rsidRPr="00103606">
        <w:rPr>
          <w:rFonts w:cs="Arial"/>
        </w:rPr>
        <w:t xml:space="preserve">aux filles </w:t>
      </w:r>
      <w:r w:rsidRPr="00103606">
        <w:rPr>
          <w:rFonts w:cs="Arial"/>
        </w:rPr>
        <w:t xml:space="preserve">sous </w:t>
      </w:r>
      <w:r w:rsidR="001D72E4" w:rsidRPr="00103606">
        <w:rPr>
          <w:rFonts w:cs="Arial"/>
        </w:rPr>
        <w:t>un</w:t>
      </w:r>
      <w:r w:rsidRPr="00103606">
        <w:rPr>
          <w:rFonts w:cs="Arial"/>
        </w:rPr>
        <w:t xml:space="preserve"> pseudonyme</w:t>
      </w:r>
      <w:r w:rsidR="001D72E4" w:rsidRPr="00103606">
        <w:rPr>
          <w:rFonts w:cs="Arial"/>
        </w:rPr>
        <w:t>,</w:t>
      </w:r>
      <w:r w:rsidRPr="00103606">
        <w:rPr>
          <w:rFonts w:cs="Arial"/>
        </w:rPr>
        <w:t xml:space="preserve"> « Bob Adams », </w:t>
      </w:r>
      <w:r w:rsidR="001D72E4" w:rsidRPr="00103606">
        <w:rPr>
          <w:rFonts w:cs="Arial"/>
        </w:rPr>
        <w:t>montre</w:t>
      </w:r>
      <w:r w:rsidRPr="00103606">
        <w:rPr>
          <w:rFonts w:cs="Arial"/>
        </w:rPr>
        <w:t xml:space="preserve"> sa fausse carte d’affaires, offre une boisson alcoolisée et </w:t>
      </w:r>
      <w:r w:rsidR="001D72E4" w:rsidRPr="00103606">
        <w:rPr>
          <w:rFonts w:cs="Arial"/>
        </w:rPr>
        <w:t>discute avec elles</w:t>
      </w:r>
      <w:r w:rsidRPr="00103606">
        <w:rPr>
          <w:rFonts w:cs="Arial"/>
        </w:rPr>
        <w:t xml:space="preserve"> de leurs études, de leurs rêves. Il les invite ensuite à </w:t>
      </w:r>
      <w:r w:rsidR="00F96E05" w:rsidRPr="00103606">
        <w:rPr>
          <w:rFonts w:cs="Arial"/>
        </w:rPr>
        <w:t xml:space="preserve">se </w:t>
      </w:r>
      <w:r w:rsidR="001D72E4" w:rsidRPr="00103606">
        <w:rPr>
          <w:rFonts w:cs="Arial"/>
        </w:rPr>
        <w:t xml:space="preserve">diriger vers la salle de bain pour </w:t>
      </w:r>
      <w:r w:rsidRPr="00103606">
        <w:rPr>
          <w:rFonts w:cs="Arial"/>
        </w:rPr>
        <w:t>se laver minutieusement</w:t>
      </w:r>
      <w:r w:rsidR="001D72E4" w:rsidRPr="00103606">
        <w:rPr>
          <w:rFonts w:cs="Arial"/>
        </w:rPr>
        <w:t xml:space="preserve"> dans un bain moussant</w:t>
      </w:r>
      <w:r w:rsidR="00FB2C41">
        <w:rPr>
          <w:rFonts w:cs="Arial"/>
        </w:rPr>
        <w:t xml:space="preserve"> et</w:t>
      </w:r>
      <w:r w:rsidR="00FB2C41" w:rsidRPr="00103606">
        <w:rPr>
          <w:rFonts w:cs="Arial"/>
        </w:rPr>
        <w:t xml:space="preserve"> </w:t>
      </w:r>
      <w:r w:rsidR="001D72E4" w:rsidRPr="00103606">
        <w:rPr>
          <w:rFonts w:cs="Arial"/>
        </w:rPr>
        <w:t>se raser</w:t>
      </w:r>
      <w:r w:rsidRPr="00103606">
        <w:rPr>
          <w:rFonts w:cs="Arial"/>
        </w:rPr>
        <w:t xml:space="preserve">, </w:t>
      </w:r>
      <w:r w:rsidR="00FB2C41">
        <w:rPr>
          <w:rFonts w:cs="Arial"/>
        </w:rPr>
        <w:t>en préparation à la relation sexuelle</w:t>
      </w:r>
      <w:r w:rsidR="001D72E4" w:rsidRPr="00103606">
        <w:rPr>
          <w:rFonts w:cs="Arial"/>
        </w:rPr>
        <w:t>.</w:t>
      </w:r>
    </w:p>
    <w:p w14:paraId="40B13C3F" w14:textId="77777777" w:rsidR="00C741DC" w:rsidRPr="00103606" w:rsidRDefault="00E21D39" w:rsidP="00C741DC">
      <w:pPr>
        <w:pStyle w:val="Paragrdouble"/>
        <w:spacing w:line="276" w:lineRule="auto"/>
        <w:rPr>
          <w:rFonts w:cs="Arial"/>
        </w:rPr>
      </w:pPr>
      <w:r w:rsidRPr="00103606">
        <w:rPr>
          <w:rFonts w:cs="Arial"/>
        </w:rPr>
        <w:t xml:space="preserve">Miller </w:t>
      </w:r>
      <w:r w:rsidR="00FB2C41">
        <w:rPr>
          <w:rFonts w:cs="Arial"/>
        </w:rPr>
        <w:t>demand</w:t>
      </w:r>
      <w:r w:rsidR="00FB2C41" w:rsidRPr="00103606">
        <w:rPr>
          <w:rFonts w:cs="Arial"/>
        </w:rPr>
        <w:t xml:space="preserve">e </w:t>
      </w:r>
      <w:r w:rsidR="00076CD4" w:rsidRPr="00103606">
        <w:rPr>
          <w:rFonts w:cs="Arial"/>
        </w:rPr>
        <w:t xml:space="preserve">qu’on lui suce longuement la langue et qu’il puisse ensuite pénétrer vaginalement les </w:t>
      </w:r>
      <w:r>
        <w:rPr>
          <w:rFonts w:cs="Arial"/>
        </w:rPr>
        <w:t>mineures</w:t>
      </w:r>
      <w:r w:rsidRPr="00103606">
        <w:rPr>
          <w:rFonts w:cs="Arial"/>
        </w:rPr>
        <w:t xml:space="preserve"> </w:t>
      </w:r>
      <w:r w:rsidR="00076CD4" w:rsidRPr="00103606">
        <w:rPr>
          <w:rFonts w:cs="Arial"/>
        </w:rPr>
        <w:t xml:space="preserve">sans protection. À la suite de l’acte sexuel, les jeunes victimes </w:t>
      </w:r>
      <w:r>
        <w:rPr>
          <w:rFonts w:cs="Arial"/>
        </w:rPr>
        <w:t xml:space="preserve">reçoivent </w:t>
      </w:r>
      <w:r w:rsidR="00076CD4" w:rsidRPr="00103606">
        <w:rPr>
          <w:rFonts w:cs="Arial"/>
        </w:rPr>
        <w:t xml:space="preserve">une enveloppe avec une pastille de couleur </w:t>
      </w:r>
      <w:r w:rsidR="001D72E4" w:rsidRPr="00103606">
        <w:rPr>
          <w:rFonts w:cs="Arial"/>
        </w:rPr>
        <w:t>selon</w:t>
      </w:r>
      <w:r w:rsidR="00076CD4" w:rsidRPr="00103606">
        <w:rPr>
          <w:rFonts w:cs="Arial"/>
        </w:rPr>
        <w:t xml:space="preserve"> le montant d’argent contenu</w:t>
      </w:r>
      <w:r w:rsidR="001D72E4" w:rsidRPr="00103606">
        <w:rPr>
          <w:rFonts w:cs="Arial"/>
        </w:rPr>
        <w:t xml:space="preserve">, </w:t>
      </w:r>
      <w:r w:rsidR="00076CD4" w:rsidRPr="00103606">
        <w:rPr>
          <w:rFonts w:cs="Arial"/>
        </w:rPr>
        <w:t>variant généralement entre 1</w:t>
      </w:r>
      <w:r w:rsidR="00F97009">
        <w:rPr>
          <w:rFonts w:cs="Arial"/>
        </w:rPr>
        <w:t> </w:t>
      </w:r>
      <w:r w:rsidR="00076CD4" w:rsidRPr="00103606">
        <w:rPr>
          <w:rFonts w:cs="Arial"/>
        </w:rPr>
        <w:t>000</w:t>
      </w:r>
      <w:r w:rsidR="00F97009">
        <w:rPr>
          <w:rFonts w:cs="Arial"/>
        </w:rPr>
        <w:t> </w:t>
      </w:r>
      <w:r w:rsidR="00076CD4" w:rsidRPr="00103606">
        <w:rPr>
          <w:rFonts w:cs="Arial"/>
        </w:rPr>
        <w:t>$ et 5</w:t>
      </w:r>
      <w:r w:rsidR="00F97009">
        <w:rPr>
          <w:rFonts w:cs="Arial"/>
        </w:rPr>
        <w:t> </w:t>
      </w:r>
      <w:r w:rsidR="00076CD4" w:rsidRPr="00103606">
        <w:rPr>
          <w:rFonts w:cs="Arial"/>
        </w:rPr>
        <w:t>000</w:t>
      </w:r>
      <w:r w:rsidR="00F97009">
        <w:rPr>
          <w:rFonts w:cs="Arial"/>
        </w:rPr>
        <w:t> </w:t>
      </w:r>
      <w:r w:rsidR="00076CD4" w:rsidRPr="00103606">
        <w:rPr>
          <w:rFonts w:cs="Arial"/>
        </w:rPr>
        <w:t xml:space="preserve">$. </w:t>
      </w:r>
      <w:r w:rsidRPr="00103606">
        <w:rPr>
          <w:rFonts w:cs="Arial"/>
        </w:rPr>
        <w:t xml:space="preserve">Miller </w:t>
      </w:r>
      <w:r>
        <w:rPr>
          <w:rFonts w:cs="Arial"/>
        </w:rPr>
        <w:t>leur demande</w:t>
      </w:r>
      <w:r w:rsidRPr="00103606">
        <w:rPr>
          <w:rFonts w:cs="Arial"/>
        </w:rPr>
        <w:t xml:space="preserve"> </w:t>
      </w:r>
      <w:r>
        <w:rPr>
          <w:rFonts w:cs="Arial"/>
        </w:rPr>
        <w:t>d’emmener une amie à la prochaine rencontre</w:t>
      </w:r>
      <w:r w:rsidRPr="00103606">
        <w:rPr>
          <w:rFonts w:cs="Arial"/>
        </w:rPr>
        <w:t>.</w:t>
      </w:r>
    </w:p>
    <w:p w14:paraId="6A6101BE" w14:textId="77777777" w:rsidR="00076CD4" w:rsidRPr="00103606" w:rsidRDefault="00E21D39" w:rsidP="001D72E4">
      <w:pPr>
        <w:pStyle w:val="Paragrdouble"/>
        <w:spacing w:line="276" w:lineRule="auto"/>
        <w:rPr>
          <w:rFonts w:cs="Arial"/>
        </w:rPr>
      </w:pPr>
      <w:r w:rsidRPr="00103606">
        <w:rPr>
          <w:rFonts w:cs="Arial"/>
        </w:rPr>
        <w:t xml:space="preserve">Miller et ses acolytes offrent </w:t>
      </w:r>
      <w:r w:rsidR="001D72E4" w:rsidRPr="00103606">
        <w:rPr>
          <w:rFonts w:cs="Arial"/>
        </w:rPr>
        <w:t xml:space="preserve">aux </w:t>
      </w:r>
      <w:r w:rsidR="00C741DC">
        <w:rPr>
          <w:rFonts w:cs="Arial"/>
        </w:rPr>
        <w:t>mineures</w:t>
      </w:r>
      <w:r w:rsidR="00C741DC" w:rsidRPr="00103606">
        <w:rPr>
          <w:rFonts w:cs="Arial"/>
        </w:rPr>
        <w:t xml:space="preserve"> </w:t>
      </w:r>
      <w:r w:rsidRPr="00103606">
        <w:rPr>
          <w:rFonts w:cs="Arial"/>
        </w:rPr>
        <w:t>des vêtements, sacs ou bijoux de luxe, ou encore des voyages ou des téléphones cellulaires</w:t>
      </w:r>
      <w:r w:rsidR="001D72E4" w:rsidRPr="00103606">
        <w:rPr>
          <w:rFonts w:cs="Arial"/>
        </w:rPr>
        <w:t xml:space="preserve">, et ce, avant l’acte sexuel </w:t>
      </w:r>
      <w:r w:rsidR="00FB2C41">
        <w:rPr>
          <w:rFonts w:cs="Arial"/>
        </w:rPr>
        <w:t>et/</w:t>
      </w:r>
      <w:r w:rsidR="001D72E4" w:rsidRPr="00103606">
        <w:rPr>
          <w:rFonts w:cs="Arial"/>
        </w:rPr>
        <w:t>ou après.</w:t>
      </w:r>
    </w:p>
    <w:p w14:paraId="268CD375" w14:textId="77777777" w:rsidR="00076CD4" w:rsidRPr="00103606" w:rsidRDefault="00E21D39" w:rsidP="00AA08C2">
      <w:pPr>
        <w:pStyle w:val="Paragrdouble"/>
        <w:spacing w:line="276" w:lineRule="auto"/>
        <w:rPr>
          <w:rFonts w:cs="Arial"/>
        </w:rPr>
      </w:pPr>
      <w:r w:rsidRPr="00103606">
        <w:rPr>
          <w:rFonts w:cs="Arial"/>
        </w:rPr>
        <w:t>Pour ce qui est des acolytes Poulet, Abrams et Lipp</w:t>
      </w:r>
      <w:r w:rsidR="001D72E4" w:rsidRPr="00103606">
        <w:rPr>
          <w:rFonts w:cs="Arial"/>
        </w:rPr>
        <w:t>m</w:t>
      </w:r>
      <w:r w:rsidRPr="00103606">
        <w:rPr>
          <w:rFonts w:cs="Arial"/>
        </w:rPr>
        <w:t xml:space="preserve">ann, ils participent, d’une manière ou d’une autre, à organiser le schème de prostitution juvénile. Le premier recrute les jeunes filles, le deuxième les sélectionne, les appelle et les paie, et le troisième organise </w:t>
      </w:r>
      <w:r w:rsidR="00AA08C2">
        <w:rPr>
          <w:rFonts w:cs="Arial"/>
        </w:rPr>
        <w:t>l</w:t>
      </w:r>
      <w:r w:rsidRPr="00103606">
        <w:rPr>
          <w:rFonts w:cs="Arial"/>
        </w:rPr>
        <w:t xml:space="preserve">es logements </w:t>
      </w:r>
      <w:r w:rsidR="00AA08C2">
        <w:rPr>
          <w:rFonts w:cs="Arial"/>
        </w:rPr>
        <w:t>où se dérouleront</w:t>
      </w:r>
      <w:r w:rsidRPr="00103606">
        <w:rPr>
          <w:rFonts w:cs="Arial"/>
        </w:rPr>
        <w:t xml:space="preserve"> les rencontres avec Miller.</w:t>
      </w:r>
    </w:p>
    <w:p w14:paraId="0398E588" w14:textId="77777777" w:rsidR="00FB2C41" w:rsidRDefault="00E21D39" w:rsidP="009E10BE">
      <w:pPr>
        <w:pStyle w:val="Paragrdouble"/>
        <w:spacing w:line="276" w:lineRule="auto"/>
        <w:rPr>
          <w:rFonts w:cs="Arial"/>
        </w:rPr>
      </w:pPr>
      <w:r w:rsidRPr="00103606">
        <w:rPr>
          <w:rFonts w:cs="Arial"/>
        </w:rPr>
        <w:t>Tous c</w:t>
      </w:r>
      <w:r w:rsidR="00076CD4" w:rsidRPr="00103606">
        <w:rPr>
          <w:rFonts w:cs="Arial"/>
        </w:rPr>
        <w:t xml:space="preserve">es </w:t>
      </w:r>
      <w:r w:rsidRPr="00103606">
        <w:rPr>
          <w:rFonts w:cs="Arial"/>
        </w:rPr>
        <w:t>indices de schème</w:t>
      </w:r>
      <w:r w:rsidR="00076CD4" w:rsidRPr="00103606">
        <w:rPr>
          <w:rFonts w:cs="Arial"/>
        </w:rPr>
        <w:t xml:space="preserve"> sont communs aux membres et soulèvent au moins une question commune, </w:t>
      </w:r>
      <w:r w:rsidR="009E10BE">
        <w:rPr>
          <w:rFonts w:cs="Arial"/>
        </w:rPr>
        <w:t xml:space="preserve">soit la faute civile commise par suite de la violation de normes criminelles. </w:t>
      </w:r>
    </w:p>
    <w:p w14:paraId="1BAA4476" w14:textId="77777777" w:rsidR="009E10BE" w:rsidRPr="00103606" w:rsidRDefault="00E21D39" w:rsidP="009E10BE">
      <w:pPr>
        <w:pStyle w:val="Paragrdouble"/>
        <w:spacing w:line="276" w:lineRule="auto"/>
        <w:rPr>
          <w:rFonts w:cs="Arial"/>
        </w:rPr>
      </w:pPr>
      <w:r>
        <w:rPr>
          <w:rFonts w:cs="Arial"/>
        </w:rPr>
        <w:t>Ainsi, la première question commune en importance est la d), qui traite de la faute civile. On se demandera donc si le fait de</w:t>
      </w:r>
      <w:r w:rsidRPr="009E10BE">
        <w:rPr>
          <w:rFonts w:cs="Arial"/>
        </w:rPr>
        <w:t xml:space="preserve"> violer les articles du </w:t>
      </w:r>
      <w:r w:rsidRPr="008573E6">
        <w:rPr>
          <w:rFonts w:cs="Arial"/>
          <w:i/>
          <w:iCs/>
        </w:rPr>
        <w:t xml:space="preserve">Code </w:t>
      </w:r>
      <w:r w:rsidRPr="00573001">
        <w:rPr>
          <w:rFonts w:cs="Arial"/>
        </w:rPr>
        <w:t>criminel</w:t>
      </w:r>
      <w:r w:rsidRPr="009E10BE">
        <w:rPr>
          <w:rFonts w:cs="Arial"/>
        </w:rPr>
        <w:t xml:space="preserve"> est </w:t>
      </w:r>
      <w:r w:rsidR="00FB2C41">
        <w:rPr>
          <w:rFonts w:cs="Arial"/>
        </w:rPr>
        <w:t>constitutif d’</w:t>
      </w:r>
      <w:r w:rsidRPr="009E10BE">
        <w:rPr>
          <w:rFonts w:cs="Arial"/>
        </w:rPr>
        <w:t xml:space="preserve">une faute au sens de </w:t>
      </w:r>
      <w:r>
        <w:rPr>
          <w:rFonts w:cs="Arial"/>
        </w:rPr>
        <w:t xml:space="preserve">l’article </w:t>
      </w:r>
      <w:r w:rsidRPr="009E10BE">
        <w:rPr>
          <w:rFonts w:cs="Arial"/>
        </w:rPr>
        <w:t>145</w:t>
      </w:r>
      <w:r>
        <w:rPr>
          <w:rFonts w:cs="Arial"/>
        </w:rPr>
        <w:t>7</w:t>
      </w:r>
      <w:r w:rsidR="00FB2C41">
        <w:rPr>
          <w:rFonts w:cs="Arial"/>
        </w:rPr>
        <w:t xml:space="preserve"> C.c.Q.</w:t>
      </w:r>
      <w:r>
        <w:rPr>
          <w:rFonts w:cs="Arial"/>
        </w:rPr>
        <w:t xml:space="preserve">, en ce qui concerne chacun des défendeurs. </w:t>
      </w:r>
      <w:r w:rsidR="00C42C78">
        <w:rPr>
          <w:rFonts w:cs="Arial"/>
        </w:rPr>
        <w:br/>
      </w:r>
      <w:r>
        <w:rPr>
          <w:rFonts w:cs="Arial"/>
        </w:rPr>
        <w:t xml:space="preserve">De plus, la question e), à savoir </w:t>
      </w:r>
      <w:r w:rsidRPr="00103606">
        <w:rPr>
          <w:rFonts w:cs="Arial"/>
        </w:rPr>
        <w:t>si Abrams</w:t>
      </w:r>
      <w:r>
        <w:rPr>
          <w:rFonts w:cs="Arial"/>
        </w:rPr>
        <w:t xml:space="preserve"> </w:t>
      </w:r>
      <w:r w:rsidRPr="00103606">
        <w:rPr>
          <w:rFonts w:cs="Arial"/>
        </w:rPr>
        <w:t xml:space="preserve">et/ou Lippmann ont commis des actes répréhensibles en tant qu’employés de Future de telle sorte à engager </w:t>
      </w:r>
      <w:r>
        <w:rPr>
          <w:rFonts w:cs="Arial"/>
        </w:rPr>
        <w:t>sa</w:t>
      </w:r>
      <w:r w:rsidRPr="00103606">
        <w:rPr>
          <w:rFonts w:cs="Arial"/>
        </w:rPr>
        <w:t xml:space="preserve"> responsabilité en vertu de l’article 1463 C.c.Q., se pose de manière commune pour toutes les victimes.</w:t>
      </w:r>
    </w:p>
    <w:p w14:paraId="6E11233A" w14:textId="77777777" w:rsidR="009E10BE" w:rsidRDefault="00E21D39" w:rsidP="00AA08C2">
      <w:pPr>
        <w:pStyle w:val="Paragrdouble"/>
        <w:spacing w:line="276" w:lineRule="auto"/>
        <w:rPr>
          <w:rFonts w:cs="Arial"/>
        </w:rPr>
      </w:pPr>
      <w:r>
        <w:rPr>
          <w:rFonts w:cs="Arial"/>
        </w:rPr>
        <w:t xml:space="preserve">Par ailleurs, la participation à un schème d’exploitation se posera également de manière commune, de manière à entraîner la faute de certains ou </w:t>
      </w:r>
      <w:r w:rsidR="00FB2C41">
        <w:rPr>
          <w:rFonts w:cs="Arial"/>
        </w:rPr>
        <w:t xml:space="preserve">de </w:t>
      </w:r>
      <w:r>
        <w:rPr>
          <w:rFonts w:cs="Arial"/>
        </w:rPr>
        <w:t>tous les défendeurs. Cette question sera ajoutée à la liste des questions communes.</w:t>
      </w:r>
    </w:p>
    <w:p w14:paraId="22816966" w14:textId="77777777" w:rsidR="00C741DC" w:rsidRPr="009E10BE" w:rsidRDefault="00E21D39" w:rsidP="009E10BE">
      <w:pPr>
        <w:pStyle w:val="Paragrdouble"/>
        <w:spacing w:line="276" w:lineRule="auto"/>
        <w:rPr>
          <w:rFonts w:cs="Arial"/>
        </w:rPr>
      </w:pPr>
      <w:r w:rsidRPr="00103606">
        <w:rPr>
          <w:rFonts w:cs="Arial"/>
        </w:rPr>
        <w:t xml:space="preserve">La première question a), soit celle de savoir si Miller a obtenu, moyennant rétribution, des services sexuels de mineurs, ou encore communiqué avec quelqu’un en vue d’obtenir de tes services, est commune. La réponse sera possiblement distincte, pour les victimes, selon l’expérience vécue par chacune, mais cela importe peu, au stade de l’autorisation. </w:t>
      </w:r>
      <w:r w:rsidR="009E10BE" w:rsidRPr="00103606">
        <w:rPr>
          <w:rFonts w:cs="Arial"/>
        </w:rPr>
        <w:t>Les questions b) et c) sont également communes, pour les mêmes raisons que la question a).</w:t>
      </w:r>
    </w:p>
    <w:p w14:paraId="59B5354F" w14:textId="77777777" w:rsidR="00076CD4" w:rsidRPr="00103606" w:rsidRDefault="00E21D39" w:rsidP="00076CD4">
      <w:pPr>
        <w:pStyle w:val="Paragrdouble"/>
        <w:spacing w:line="276" w:lineRule="auto"/>
        <w:rPr>
          <w:rFonts w:cs="Arial"/>
        </w:rPr>
      </w:pPr>
      <w:r w:rsidRPr="00103606">
        <w:rPr>
          <w:rFonts w:cs="Arial"/>
        </w:rPr>
        <w:t>Pour ce qui est de l’argument invoqué en défense voulant que l’âge de chaque personne doive être démontré de manière individuelle pour tou</w:t>
      </w:r>
      <w:r w:rsidR="002E3259" w:rsidRPr="00103606">
        <w:rPr>
          <w:rFonts w:cs="Arial"/>
        </w:rPr>
        <w:t>s les actes criminels invoqués</w:t>
      </w:r>
      <w:r w:rsidRPr="00103606">
        <w:rPr>
          <w:rFonts w:cs="Arial"/>
        </w:rPr>
        <w:t xml:space="preserve">, empêchant donc </w:t>
      </w:r>
      <w:r w:rsidR="002E3259" w:rsidRPr="00103606">
        <w:rPr>
          <w:rFonts w:cs="Arial"/>
        </w:rPr>
        <w:t xml:space="preserve">l’existence de </w:t>
      </w:r>
      <w:r w:rsidRPr="00103606">
        <w:rPr>
          <w:rFonts w:cs="Arial"/>
        </w:rPr>
        <w:t>quelque question commune, cet argument est écarté. Il est vrai que les victimes devront au mérite démontrer leur âge au moment des évènements</w:t>
      </w:r>
      <w:r w:rsidR="002E3259" w:rsidRPr="00103606">
        <w:rPr>
          <w:rFonts w:cs="Arial"/>
        </w:rPr>
        <w:t xml:space="preserve">, et que cet âge impliquera l’application de l’un ou l’autre des articles du </w:t>
      </w:r>
      <w:r w:rsidR="002E3259" w:rsidRPr="00103606">
        <w:rPr>
          <w:rFonts w:cs="Arial"/>
          <w:i/>
          <w:iCs/>
        </w:rPr>
        <w:t xml:space="preserve">Code </w:t>
      </w:r>
      <w:r w:rsidR="002E3259" w:rsidRPr="00573001">
        <w:rPr>
          <w:rFonts w:cs="Arial"/>
        </w:rPr>
        <w:t>criminel</w:t>
      </w:r>
      <w:r w:rsidRPr="00103606">
        <w:rPr>
          <w:rFonts w:cs="Arial"/>
        </w:rPr>
        <w:t>. Mais au stade de l’autorisation, savoir si Miller a obtenu des services sexuels auprès de mineur</w:t>
      </w:r>
      <w:r w:rsidR="00FB2C41">
        <w:rPr>
          <w:rFonts w:cs="Arial"/>
        </w:rPr>
        <w:t>e</w:t>
      </w:r>
      <w:r w:rsidRPr="00103606">
        <w:rPr>
          <w:rFonts w:cs="Arial"/>
        </w:rPr>
        <w:t xml:space="preserve">s pour rétribution est une question commune significative qui fera avancer le litige de manière non négligeable. Les défendeurs tentent de confondre </w:t>
      </w:r>
      <w:r w:rsidR="00FB2C41">
        <w:rPr>
          <w:rFonts w:cs="Arial"/>
        </w:rPr>
        <w:t>le présent exercice d’autorisation avec celui</w:t>
      </w:r>
      <w:r w:rsidRPr="00103606">
        <w:rPr>
          <w:rFonts w:cs="Arial"/>
        </w:rPr>
        <w:t xml:space="preserve"> du mérite qui exige de faire la preuve de l’existence de l’infraction pénale. Au stade de l’autorisation, il faut seulement démontrer l’existence d’une question commune.</w:t>
      </w:r>
    </w:p>
    <w:p w14:paraId="17CB0DF0" w14:textId="77777777" w:rsidR="002E3259" w:rsidRPr="00103606" w:rsidRDefault="00E21D39" w:rsidP="002E3259">
      <w:pPr>
        <w:pStyle w:val="Paragrdouble"/>
        <w:spacing w:line="276" w:lineRule="auto"/>
        <w:rPr>
          <w:rFonts w:cs="Arial"/>
        </w:rPr>
      </w:pPr>
      <w:r w:rsidRPr="00103606">
        <w:rPr>
          <w:rFonts w:cs="Arial"/>
        </w:rPr>
        <w:t>Pour ce qui est des questions de prescription et de la nécessité de prouver individuellement l'impossibilité d'agir, relativement aux questions f) et g), ces questions ne constituent pas un obstacle au stade de l'autorisation du recours.</w:t>
      </w:r>
      <w:r w:rsidR="00CC5049" w:rsidRPr="00103606">
        <w:rPr>
          <w:rFonts w:cs="Arial"/>
        </w:rPr>
        <w:t xml:space="preserve"> Elles sont également communes.</w:t>
      </w:r>
      <w:r w:rsidR="009E10BE">
        <w:rPr>
          <w:rFonts w:cs="Arial"/>
        </w:rPr>
        <w:t xml:space="preserve"> L’imprescri</w:t>
      </w:r>
      <w:r w:rsidR="00465505">
        <w:rPr>
          <w:rFonts w:cs="Arial"/>
        </w:rPr>
        <w:t>pti</w:t>
      </w:r>
      <w:r w:rsidR="009E10BE">
        <w:rPr>
          <w:rFonts w:cs="Arial"/>
        </w:rPr>
        <w:t>bilité des violences sexuelles sera aussi ajoutée aux questions communes.</w:t>
      </w:r>
    </w:p>
    <w:p w14:paraId="63E27BCA" w14:textId="77777777" w:rsidR="00CC5049" w:rsidRPr="00103606" w:rsidRDefault="00E21D39" w:rsidP="00CC5049">
      <w:pPr>
        <w:pStyle w:val="Paragrdouble"/>
        <w:spacing w:line="276" w:lineRule="auto"/>
        <w:rPr>
          <w:rFonts w:cs="Arial"/>
        </w:rPr>
      </w:pPr>
      <w:r w:rsidRPr="00103606">
        <w:rPr>
          <w:rFonts w:cs="Arial"/>
        </w:rPr>
        <w:t>Pour ce qui est de la question h</w:t>
      </w:r>
      <w:r w:rsidR="002E3259" w:rsidRPr="00103606">
        <w:rPr>
          <w:rFonts w:cs="Arial"/>
        </w:rPr>
        <w:t>)</w:t>
      </w:r>
      <w:r w:rsidRPr="00103606">
        <w:rPr>
          <w:rFonts w:cs="Arial"/>
        </w:rPr>
        <w:t xml:space="preserve">, il est vrai que la Cour d’appel a statué dans </w:t>
      </w:r>
      <w:r w:rsidR="00507079" w:rsidRPr="008573E6">
        <w:rPr>
          <w:rFonts w:cs="Arial"/>
        </w:rPr>
        <w:t>l’arrêt</w:t>
      </w:r>
      <w:r w:rsidR="00507079">
        <w:rPr>
          <w:rFonts w:cs="Arial"/>
          <w:i/>
          <w:iCs/>
        </w:rPr>
        <w:t xml:space="preserve"> Les Courageuses</w:t>
      </w:r>
      <w:r w:rsidR="00507079" w:rsidRPr="00103606">
        <w:rPr>
          <w:rFonts w:cs="Arial"/>
        </w:rPr>
        <w:t xml:space="preserve"> </w:t>
      </w:r>
      <w:r w:rsidRPr="00103606">
        <w:rPr>
          <w:rFonts w:cs="Arial"/>
        </w:rPr>
        <w:t>que les dommages compensatoires doivent faire l’objet d’une question individuelle, et qu’ils ne se prêtent donc pas à une détermination collective, en raison des nombreux facteurs subjectifs à considérer, de telle sorte que plusieurs mini-procès seront requis pour décrire les dommages subis par chacun</w:t>
      </w:r>
      <w:r>
        <w:rPr>
          <w:rStyle w:val="Appelnotedebasdep"/>
          <w:rFonts w:cs="Arial"/>
        </w:rPr>
        <w:footnoteReference w:id="126"/>
      </w:r>
      <w:r w:rsidRPr="00103606">
        <w:rPr>
          <w:rFonts w:cs="Arial"/>
        </w:rPr>
        <w:t xml:space="preserve">. </w:t>
      </w:r>
    </w:p>
    <w:p w14:paraId="02B3D8CA" w14:textId="77777777" w:rsidR="002D41B1" w:rsidRPr="00103606" w:rsidRDefault="00E21D39" w:rsidP="00896540">
      <w:pPr>
        <w:pStyle w:val="Paragrdouble"/>
        <w:spacing w:line="276" w:lineRule="auto"/>
        <w:rPr>
          <w:rFonts w:cs="Arial"/>
        </w:rPr>
      </w:pPr>
      <w:r w:rsidRPr="00103606">
        <w:rPr>
          <w:rFonts w:cs="Arial"/>
        </w:rPr>
        <w:t xml:space="preserve">Néanmoins, je considère que la présente situation se distingue de celle de l’arrêt </w:t>
      </w:r>
      <w:r w:rsidR="00507079">
        <w:rPr>
          <w:rFonts w:cs="Arial"/>
          <w:i/>
          <w:iCs/>
        </w:rPr>
        <w:t>Les Courageuses</w:t>
      </w:r>
      <w:r w:rsidR="00507079" w:rsidRPr="00103606">
        <w:rPr>
          <w:rFonts w:cs="Arial"/>
        </w:rPr>
        <w:t xml:space="preserve"> </w:t>
      </w:r>
      <w:r w:rsidRPr="00103606">
        <w:rPr>
          <w:rFonts w:cs="Arial"/>
        </w:rPr>
        <w:t xml:space="preserve">en ce qu’ici, la nature des gestes posés ne varie pas </w:t>
      </w:r>
      <w:r w:rsidR="00896540" w:rsidRPr="00103606">
        <w:rPr>
          <w:rFonts w:cs="Arial"/>
        </w:rPr>
        <w:t xml:space="preserve">véritablement </w:t>
      </w:r>
      <w:r w:rsidRPr="00103606">
        <w:rPr>
          <w:rFonts w:cs="Arial"/>
        </w:rPr>
        <w:t>d’une victime à l’autre</w:t>
      </w:r>
      <w:r w:rsidR="00E03EB1">
        <w:rPr>
          <w:rFonts w:cs="Arial"/>
        </w:rPr>
        <w:t>;</w:t>
      </w:r>
      <w:r w:rsidRPr="00103606">
        <w:rPr>
          <w:rFonts w:cs="Arial"/>
        </w:rPr>
        <w:t xml:space="preserve"> le contexte </w:t>
      </w:r>
      <w:r w:rsidR="00896540" w:rsidRPr="00103606">
        <w:rPr>
          <w:rFonts w:cs="Arial"/>
        </w:rPr>
        <w:t xml:space="preserve">du recrutement, des préliminaires, de l’acte sexuel et de la rétribution </w:t>
      </w:r>
      <w:r w:rsidRPr="00103606">
        <w:rPr>
          <w:rFonts w:cs="Arial"/>
        </w:rPr>
        <w:t xml:space="preserve">étant </w:t>
      </w:r>
      <w:r w:rsidR="00896540" w:rsidRPr="00103606">
        <w:rPr>
          <w:rFonts w:cs="Arial"/>
        </w:rPr>
        <w:t>presque identique</w:t>
      </w:r>
      <w:r w:rsidRPr="00103606">
        <w:rPr>
          <w:rFonts w:cs="Arial"/>
        </w:rPr>
        <w:t xml:space="preserve"> et la question du consentement ne se posant pas systématiquement, vu l’âge des victimes lors des évènements. </w:t>
      </w:r>
      <w:r w:rsidR="00896540" w:rsidRPr="00103606">
        <w:rPr>
          <w:rFonts w:cs="Arial"/>
        </w:rPr>
        <w:t>Les</w:t>
      </w:r>
      <w:r w:rsidRPr="00103606">
        <w:rPr>
          <w:rFonts w:cs="Arial"/>
        </w:rPr>
        <w:t xml:space="preserve"> fautes alléguées ont une trame factuelle commune, menant à une évaluation commune de la nature de la faute et de sa gravité. Même si </w:t>
      </w:r>
      <w:r w:rsidR="00896540" w:rsidRPr="00103606">
        <w:rPr>
          <w:rFonts w:cs="Arial"/>
        </w:rPr>
        <w:t>certains</w:t>
      </w:r>
      <w:r w:rsidRPr="00103606">
        <w:rPr>
          <w:rFonts w:cs="Arial"/>
        </w:rPr>
        <w:t xml:space="preserve"> aspects individuels </w:t>
      </w:r>
      <w:r w:rsidR="00896540" w:rsidRPr="00103606">
        <w:rPr>
          <w:rFonts w:cs="Arial"/>
        </w:rPr>
        <w:t>pourront demeurer</w:t>
      </w:r>
      <w:r w:rsidRPr="00103606">
        <w:rPr>
          <w:rFonts w:cs="Arial"/>
        </w:rPr>
        <w:t xml:space="preserve">, </w:t>
      </w:r>
      <w:r w:rsidR="00234313">
        <w:rPr>
          <w:rFonts w:cs="Arial"/>
        </w:rPr>
        <w:br/>
      </w:r>
      <w:r w:rsidRPr="00103606">
        <w:rPr>
          <w:rFonts w:cs="Arial"/>
        </w:rPr>
        <w:t xml:space="preserve">il reste que, </w:t>
      </w:r>
      <w:r w:rsidR="00CE0AB7">
        <w:rPr>
          <w:rFonts w:cs="Arial"/>
        </w:rPr>
        <w:t>sur plusieurs aspects</w:t>
      </w:r>
      <w:r w:rsidRPr="00103606">
        <w:rPr>
          <w:rFonts w:cs="Arial"/>
        </w:rPr>
        <w:t xml:space="preserve">, la question des dommages </w:t>
      </w:r>
      <w:r w:rsidR="00896540" w:rsidRPr="00103606">
        <w:rPr>
          <w:rFonts w:cs="Arial"/>
        </w:rPr>
        <w:t>compensatoires</w:t>
      </w:r>
      <w:r w:rsidRPr="00103606">
        <w:rPr>
          <w:rFonts w:cs="Arial"/>
        </w:rPr>
        <w:t xml:space="preserve"> est collective.</w:t>
      </w:r>
      <w:r w:rsidR="00896540" w:rsidRPr="00103606">
        <w:rPr>
          <w:rFonts w:cs="Arial"/>
        </w:rPr>
        <w:t xml:space="preserve"> </w:t>
      </w:r>
      <w:r w:rsidR="00CE0AB7">
        <w:rPr>
          <w:rFonts w:cs="Arial"/>
        </w:rPr>
        <w:t>Il appartiendra au juge du mérite d’en décider.</w:t>
      </w:r>
    </w:p>
    <w:p w14:paraId="48908025" w14:textId="77777777" w:rsidR="00896540" w:rsidRPr="00103606" w:rsidRDefault="00E21D39" w:rsidP="00896540">
      <w:pPr>
        <w:pStyle w:val="Paragrdouble"/>
        <w:spacing w:line="276" w:lineRule="auto"/>
        <w:rPr>
          <w:rFonts w:cs="Arial"/>
        </w:rPr>
      </w:pPr>
      <w:r w:rsidRPr="00103606">
        <w:rPr>
          <w:rFonts w:cs="Arial"/>
        </w:rPr>
        <w:t>J’ajoute que le fait d’avoir séparé la question h) en deux questions rend l’identification de l’aspect « commun » plus aisée. D’abord, il s’agira de savoir si des dommages compensatoires sont appropriés, sur une base commune. Ensuite, il s’agira de déterminer combien les victimes peuvent espérer obtenir, sur une base commune.</w:t>
      </w:r>
    </w:p>
    <w:p w14:paraId="6A90DF36" w14:textId="77777777" w:rsidR="002D41B1" w:rsidRPr="00103606" w:rsidRDefault="00E21D39" w:rsidP="002D41B1">
      <w:pPr>
        <w:pStyle w:val="Paragrdouble"/>
        <w:spacing w:line="276" w:lineRule="auto"/>
        <w:rPr>
          <w:rFonts w:cs="Arial"/>
        </w:rPr>
      </w:pPr>
      <w:r w:rsidRPr="00103606">
        <w:rPr>
          <w:rFonts w:cs="Arial"/>
        </w:rPr>
        <w:t>Quant à la question i), relative aux dommages punitifs, les enseignements de la Cour d’appel dans</w:t>
      </w:r>
      <w:r w:rsidR="00507079">
        <w:rPr>
          <w:rFonts w:cs="Arial"/>
        </w:rPr>
        <w:t xml:space="preserve"> l’arrêt</w:t>
      </w:r>
      <w:r w:rsidRPr="00103606">
        <w:rPr>
          <w:rFonts w:cs="Arial"/>
        </w:rPr>
        <w:t xml:space="preserve"> </w:t>
      </w:r>
      <w:r w:rsidR="00507079">
        <w:rPr>
          <w:rFonts w:cs="Arial"/>
          <w:i/>
          <w:iCs/>
        </w:rPr>
        <w:t>Les Courageuses</w:t>
      </w:r>
      <w:r w:rsidR="00507079" w:rsidRPr="00103606">
        <w:rPr>
          <w:rFonts w:cs="Arial"/>
        </w:rPr>
        <w:t xml:space="preserve"> </w:t>
      </w:r>
      <w:r w:rsidRPr="00103606">
        <w:rPr>
          <w:rFonts w:cs="Arial"/>
        </w:rPr>
        <w:t xml:space="preserve">doivent être examinés. Le juge Hamilton y </w:t>
      </w:r>
      <w:r w:rsidR="0072629F">
        <w:rPr>
          <w:rFonts w:cs="Arial"/>
        </w:rPr>
        <w:t xml:space="preserve">statuait </w:t>
      </w:r>
      <w:r w:rsidRPr="00103606">
        <w:rPr>
          <w:rFonts w:cs="Arial"/>
        </w:rPr>
        <w:t>que le caractère illicite et intentionnel de l’atteinte aux droits garantis par la</w:t>
      </w:r>
      <w:r w:rsidR="00FD5CCF">
        <w:rPr>
          <w:rFonts w:cs="Arial"/>
        </w:rPr>
        <w:t> </w:t>
      </w:r>
      <w:r w:rsidRPr="00103606">
        <w:rPr>
          <w:rFonts w:cs="Arial"/>
        </w:rPr>
        <w:t xml:space="preserve">Charte </w:t>
      </w:r>
      <w:r w:rsidR="003C0AD1">
        <w:rPr>
          <w:rFonts w:cs="Arial"/>
        </w:rPr>
        <w:t xml:space="preserve">québécoise </w:t>
      </w:r>
      <w:r w:rsidRPr="00103606">
        <w:rPr>
          <w:rFonts w:cs="Arial"/>
        </w:rPr>
        <w:t xml:space="preserve">n’était pas une question commune justifiant l’autorisation de l’action collective, puisque les fautes alléguées commises sur une période d’environ 34 ans devaient être appréciées au cas par cas selon leur « propre trame factuelle », et qu’il serait donc difficile d’apprécier </w:t>
      </w:r>
      <w:r w:rsidR="00FD5CCF" w:rsidRPr="00103606">
        <w:rPr>
          <w:rFonts w:cs="Arial"/>
        </w:rPr>
        <w:t xml:space="preserve">collectivement </w:t>
      </w:r>
      <w:r w:rsidRPr="00103606">
        <w:rPr>
          <w:rFonts w:cs="Arial"/>
        </w:rPr>
        <w:t>le caractère intentionnel des atteintes</w:t>
      </w:r>
      <w:r>
        <w:rPr>
          <w:rStyle w:val="Appelnotedebasdep"/>
          <w:rFonts w:cs="Arial"/>
        </w:rPr>
        <w:footnoteReference w:id="127"/>
      </w:r>
      <w:r w:rsidRPr="00103606">
        <w:rPr>
          <w:rFonts w:cs="Arial"/>
        </w:rPr>
        <w:t xml:space="preserve">. </w:t>
      </w:r>
      <w:r w:rsidR="00FD5CCF">
        <w:rPr>
          <w:rFonts w:cs="Arial"/>
        </w:rPr>
        <w:br/>
      </w:r>
      <w:r w:rsidRPr="00103606">
        <w:rPr>
          <w:rFonts w:cs="Arial"/>
        </w:rPr>
        <w:t>Il ajoutait que la détermination du quantum des dommages punitifs s’appréciait en tenant compte de toutes les circonstances appropriées, notamment de la gravité de la faute du débiteur, de sa situation patrimoniale ou de l’étendue de la réparation à laquelle il est déjà tenu envers le créancier, une évaluation partiellement individuelle, partiellement commune</w:t>
      </w:r>
      <w:r>
        <w:rPr>
          <w:rStyle w:val="Appelnotedebasdep"/>
          <w:rFonts w:cs="Arial"/>
        </w:rPr>
        <w:footnoteReference w:id="128"/>
      </w:r>
      <w:r w:rsidRPr="00103606">
        <w:rPr>
          <w:rFonts w:cs="Arial"/>
        </w:rPr>
        <w:t xml:space="preserve">. </w:t>
      </w:r>
      <w:r w:rsidR="00896540" w:rsidRPr="00103606">
        <w:rPr>
          <w:rFonts w:cs="Arial"/>
        </w:rPr>
        <w:t xml:space="preserve">Encore ici, je distingue pour les mêmes raisons l’affaire </w:t>
      </w:r>
      <w:r w:rsidR="00507079" w:rsidRPr="008573E6">
        <w:rPr>
          <w:rFonts w:cs="Arial"/>
          <w:i/>
          <w:iCs/>
        </w:rPr>
        <w:t>Les Courageuses</w:t>
      </w:r>
      <w:r w:rsidR="00507079" w:rsidRPr="00103606">
        <w:rPr>
          <w:rFonts w:cs="Arial"/>
        </w:rPr>
        <w:t xml:space="preserve"> </w:t>
      </w:r>
      <w:r w:rsidR="004A111F">
        <w:rPr>
          <w:rFonts w:cs="Arial"/>
        </w:rPr>
        <w:t xml:space="preserve">de la présente </w:t>
      </w:r>
      <w:r w:rsidR="00896540" w:rsidRPr="00103606">
        <w:rPr>
          <w:rFonts w:cs="Arial"/>
        </w:rPr>
        <w:t>et considère que les dommages punitifs peuvent être déterminés de manière commune.</w:t>
      </w:r>
    </w:p>
    <w:p w14:paraId="52D00E4E" w14:textId="77777777" w:rsidR="00004469" w:rsidRDefault="00E21D39" w:rsidP="002E2258">
      <w:pPr>
        <w:pStyle w:val="Paragrdouble"/>
        <w:spacing w:line="276" w:lineRule="auto"/>
        <w:rPr>
          <w:rFonts w:cs="Arial"/>
        </w:rPr>
      </w:pPr>
      <w:r w:rsidRPr="00103606">
        <w:rPr>
          <w:rFonts w:cs="Arial"/>
        </w:rPr>
        <w:t>Je conclus donc que le recours soulève des questions communes qui permettent de faire avancer le recours de manière non négligeable et suffisent pour satisfaire ce critère</w:t>
      </w:r>
      <w:r w:rsidR="00540768" w:rsidRPr="00103606">
        <w:rPr>
          <w:rFonts w:cs="Arial"/>
        </w:rPr>
        <w:t>.</w:t>
      </w:r>
      <w:r w:rsidR="002E2258" w:rsidRPr="00103606">
        <w:rPr>
          <w:rFonts w:cs="Arial"/>
        </w:rPr>
        <w:t xml:space="preserve"> Le recours intenté n’est donc pas disproportionnel; cet argument invoqué par les défendeurs est également écarté.</w:t>
      </w:r>
    </w:p>
    <w:p w14:paraId="12C1B190" w14:textId="77777777" w:rsidR="009E10BE" w:rsidRDefault="00E21D39" w:rsidP="009E10BE">
      <w:pPr>
        <w:pStyle w:val="Paragrdouble"/>
        <w:spacing w:line="276" w:lineRule="auto"/>
        <w:rPr>
          <w:rFonts w:cs="Arial"/>
        </w:rPr>
      </w:pPr>
      <w:r>
        <w:rPr>
          <w:rFonts w:cs="Arial"/>
        </w:rPr>
        <w:t xml:space="preserve">Les questions communes sont néanmoins réorganisées et précisées comme suit : </w:t>
      </w:r>
    </w:p>
    <w:p w14:paraId="2BC59204" w14:textId="77777777" w:rsidR="009E10BE" w:rsidRDefault="00E21D39" w:rsidP="00F4232B">
      <w:pPr>
        <w:pStyle w:val="Paragraphedeliste"/>
        <w:numPr>
          <w:ilvl w:val="0"/>
          <w:numId w:val="24"/>
        </w:numPr>
        <w:spacing w:before="120" w:after="120" w:line="276" w:lineRule="auto"/>
        <w:contextualSpacing w:val="0"/>
        <w:jc w:val="both"/>
        <w:rPr>
          <w:rFonts w:cs="Arial"/>
        </w:rPr>
      </w:pPr>
      <w:r w:rsidRPr="00C922A4">
        <w:rPr>
          <w:rFonts w:cs="Arial"/>
        </w:rPr>
        <w:t xml:space="preserve">Est-ce que l’un ou l’ensemble des défendeurs a commis une faute civile en vertu de l’article 1457 C.c.Q.? </w:t>
      </w:r>
    </w:p>
    <w:p w14:paraId="557F7FD7" w14:textId="77777777" w:rsidR="009E10BE" w:rsidRDefault="00E21D39" w:rsidP="00F4232B">
      <w:pPr>
        <w:pStyle w:val="Paragraphedeliste"/>
        <w:numPr>
          <w:ilvl w:val="0"/>
          <w:numId w:val="25"/>
        </w:numPr>
        <w:spacing w:before="120" w:after="120" w:line="276" w:lineRule="auto"/>
        <w:contextualSpacing w:val="0"/>
        <w:jc w:val="both"/>
        <w:rPr>
          <w:rFonts w:cs="Arial"/>
        </w:rPr>
      </w:pPr>
      <w:r w:rsidRPr="00B66C1E">
        <w:rPr>
          <w:rFonts w:cs="Arial"/>
        </w:rPr>
        <w:t>Est-ce que le défendeur Robert G. Miller a obtenu moyennant rétribution les services sexuels de personnes mineures?</w:t>
      </w:r>
    </w:p>
    <w:p w14:paraId="17583386" w14:textId="77777777" w:rsidR="009E10BE" w:rsidRDefault="00E21D39" w:rsidP="00F4232B">
      <w:pPr>
        <w:pStyle w:val="Paragraphedeliste"/>
        <w:numPr>
          <w:ilvl w:val="0"/>
          <w:numId w:val="25"/>
        </w:numPr>
        <w:spacing w:before="120" w:after="120" w:line="276" w:lineRule="auto"/>
        <w:contextualSpacing w:val="0"/>
        <w:jc w:val="both"/>
        <w:rPr>
          <w:rFonts w:cs="Arial"/>
        </w:rPr>
      </w:pPr>
      <w:r w:rsidRPr="00B66C1E">
        <w:rPr>
          <w:rFonts w:cs="Arial"/>
        </w:rPr>
        <w:t>Est-ce que le défendeur Robert G. Miller a exploité sexuellement des personnes mineures?</w:t>
      </w:r>
    </w:p>
    <w:p w14:paraId="2DBD5C0B" w14:textId="77777777" w:rsidR="009E10BE" w:rsidRDefault="00E21D39" w:rsidP="00F4232B">
      <w:pPr>
        <w:pStyle w:val="Paragraphedeliste"/>
        <w:numPr>
          <w:ilvl w:val="0"/>
          <w:numId w:val="25"/>
        </w:numPr>
        <w:spacing w:before="120" w:after="120" w:line="276" w:lineRule="auto"/>
        <w:contextualSpacing w:val="0"/>
        <w:jc w:val="both"/>
        <w:rPr>
          <w:rFonts w:cs="Arial"/>
        </w:rPr>
      </w:pPr>
      <w:r w:rsidRPr="00B66C1E">
        <w:rPr>
          <w:rFonts w:cs="Arial"/>
        </w:rPr>
        <w:t>Est-ce que le défendeur Robert G. Miller a incité des mineures à avoir des contacts sexuels?</w:t>
      </w:r>
    </w:p>
    <w:p w14:paraId="5480ECF5" w14:textId="77777777" w:rsidR="009E10BE" w:rsidRDefault="00E21D39" w:rsidP="00F4232B">
      <w:pPr>
        <w:pStyle w:val="Paragraphedeliste"/>
        <w:numPr>
          <w:ilvl w:val="0"/>
          <w:numId w:val="25"/>
        </w:numPr>
        <w:spacing w:before="120" w:after="120" w:line="276" w:lineRule="auto"/>
        <w:contextualSpacing w:val="0"/>
        <w:jc w:val="both"/>
        <w:rPr>
          <w:rFonts w:cs="Arial"/>
        </w:rPr>
      </w:pPr>
      <w:r w:rsidRPr="00B66C1E">
        <w:rPr>
          <w:rFonts w:cs="Arial"/>
        </w:rPr>
        <w:t xml:space="preserve">Est-ce que les défendeurs Sam Joseph Abrams </w:t>
      </w:r>
      <w:r>
        <w:rPr>
          <w:rFonts w:cs="Arial"/>
        </w:rPr>
        <w:t>et</w:t>
      </w:r>
      <w:r w:rsidRPr="00B66C1E">
        <w:rPr>
          <w:rFonts w:cs="Arial"/>
        </w:rPr>
        <w:t>/o</w:t>
      </w:r>
      <w:r>
        <w:rPr>
          <w:rFonts w:cs="Arial"/>
        </w:rPr>
        <w:t>u</w:t>
      </w:r>
      <w:r w:rsidRPr="00B66C1E">
        <w:rPr>
          <w:rFonts w:cs="Arial"/>
        </w:rPr>
        <w:t xml:space="preserve"> Raymond</w:t>
      </w:r>
      <w:r>
        <w:rPr>
          <w:rFonts w:cs="Arial"/>
        </w:rPr>
        <w:t xml:space="preserve"> </w:t>
      </w:r>
      <w:r w:rsidRPr="00B66C1E">
        <w:rPr>
          <w:rFonts w:cs="Arial"/>
        </w:rPr>
        <w:t xml:space="preserve">Poulet et/ou Helmut Lippmann ont encouragé ou aidé </w:t>
      </w:r>
      <w:r>
        <w:rPr>
          <w:rFonts w:cs="Arial"/>
        </w:rPr>
        <w:t xml:space="preserve">comme complices </w:t>
      </w:r>
      <w:r w:rsidR="006A1DAA">
        <w:rPr>
          <w:rFonts w:cs="Arial"/>
        </w:rPr>
        <w:br/>
      </w:r>
      <w:r w:rsidRPr="00B66C1E">
        <w:rPr>
          <w:rFonts w:cs="Arial"/>
        </w:rPr>
        <w:t>à l’accomplissement de ces conduites fautives?</w:t>
      </w:r>
    </w:p>
    <w:p w14:paraId="710F6079" w14:textId="77777777" w:rsidR="009E10BE" w:rsidRDefault="00E21D39" w:rsidP="00F4232B">
      <w:pPr>
        <w:pStyle w:val="Paragraphedeliste"/>
        <w:numPr>
          <w:ilvl w:val="0"/>
          <w:numId w:val="25"/>
        </w:numPr>
        <w:spacing w:before="120" w:after="120" w:line="276" w:lineRule="auto"/>
        <w:contextualSpacing w:val="0"/>
        <w:jc w:val="both"/>
        <w:rPr>
          <w:rFonts w:cs="Arial"/>
        </w:rPr>
      </w:pPr>
      <w:r>
        <w:rPr>
          <w:rFonts w:cs="Arial"/>
        </w:rPr>
        <w:t xml:space="preserve">Est-ce que les défendeurs Sam Joseph Abrams et/ou </w:t>
      </w:r>
      <w:r w:rsidRPr="00B66C1E">
        <w:rPr>
          <w:rFonts w:cs="Arial"/>
        </w:rPr>
        <w:t>Helmut Lippmann</w:t>
      </w:r>
      <w:r>
        <w:rPr>
          <w:rFonts w:cs="Arial"/>
        </w:rPr>
        <w:t xml:space="preserve"> ont participé et/</w:t>
      </w:r>
      <w:r w:rsidRPr="00B66C1E">
        <w:rPr>
          <w:rFonts w:cs="Arial"/>
        </w:rPr>
        <w:t>ou encouragé la commission des actes fautifs de Miller</w:t>
      </w:r>
      <w:r>
        <w:rPr>
          <w:rFonts w:cs="Arial"/>
        </w:rPr>
        <w:t xml:space="preserve"> dans l’exécution de leurs fonctions en vertu de l’article 1463 C.c.Q.?</w:t>
      </w:r>
    </w:p>
    <w:p w14:paraId="75F4EA41" w14:textId="77777777" w:rsidR="009E10BE" w:rsidRDefault="00E21D39" w:rsidP="00F4232B">
      <w:pPr>
        <w:pStyle w:val="Paragraphedeliste"/>
        <w:numPr>
          <w:ilvl w:val="0"/>
          <w:numId w:val="25"/>
        </w:numPr>
        <w:spacing w:before="120" w:after="120" w:line="276" w:lineRule="auto"/>
        <w:contextualSpacing w:val="0"/>
        <w:jc w:val="both"/>
        <w:rPr>
          <w:rFonts w:cs="Arial"/>
        </w:rPr>
      </w:pPr>
      <w:r w:rsidRPr="00B66C1E">
        <w:rPr>
          <w:rFonts w:cs="Arial"/>
        </w:rPr>
        <w:t xml:space="preserve">Est-ce que l’un ou plusieurs des défendeurs ont participé </w:t>
      </w:r>
      <w:r>
        <w:rPr>
          <w:rFonts w:cs="Arial"/>
        </w:rPr>
        <w:t xml:space="preserve">de manière fautive </w:t>
      </w:r>
      <w:r w:rsidRPr="00B66C1E">
        <w:rPr>
          <w:rFonts w:cs="Arial"/>
        </w:rPr>
        <w:t>à un schème organisé de prostitution juvénile?</w:t>
      </w:r>
    </w:p>
    <w:p w14:paraId="4FCBB9D2" w14:textId="77777777" w:rsidR="009E10BE" w:rsidRDefault="00E21D39" w:rsidP="00F4232B">
      <w:pPr>
        <w:pStyle w:val="Paragraphedeliste"/>
        <w:numPr>
          <w:ilvl w:val="0"/>
          <w:numId w:val="25"/>
        </w:numPr>
        <w:spacing w:before="120" w:after="120" w:line="276" w:lineRule="auto"/>
        <w:contextualSpacing w:val="0"/>
        <w:jc w:val="both"/>
        <w:rPr>
          <w:rFonts w:cs="Arial"/>
        </w:rPr>
      </w:pPr>
      <w:r w:rsidRPr="00B66C1E">
        <w:rPr>
          <w:rFonts w:cs="Arial"/>
        </w:rPr>
        <w:t xml:space="preserve">Est-ce que la défenderesse Future a participé </w:t>
      </w:r>
      <w:r>
        <w:rPr>
          <w:rFonts w:cs="Arial"/>
        </w:rPr>
        <w:t>et/</w:t>
      </w:r>
      <w:r w:rsidRPr="00B66C1E">
        <w:rPr>
          <w:rFonts w:cs="Arial"/>
        </w:rPr>
        <w:t xml:space="preserve">ou encouragé </w:t>
      </w:r>
      <w:r w:rsidR="005B75E8">
        <w:rPr>
          <w:rFonts w:cs="Arial"/>
        </w:rPr>
        <w:br/>
      </w:r>
      <w:r w:rsidRPr="00B66C1E">
        <w:rPr>
          <w:rFonts w:cs="Arial"/>
        </w:rPr>
        <w:t>la commission des actes fautifs de Miller et/ou de ses employés Sam Joseph Abrams, Raymond Poulet et/ou Helmut Lippmann?</w:t>
      </w:r>
    </w:p>
    <w:p w14:paraId="55A49105" w14:textId="77777777" w:rsidR="009E10BE" w:rsidRPr="00B66C1E" w:rsidRDefault="00E21D39" w:rsidP="00F4232B">
      <w:pPr>
        <w:pStyle w:val="Paragraphedeliste"/>
        <w:numPr>
          <w:ilvl w:val="0"/>
          <w:numId w:val="25"/>
        </w:numPr>
        <w:spacing w:before="120" w:after="120" w:line="276" w:lineRule="auto"/>
        <w:ind w:left="1434" w:hanging="357"/>
        <w:contextualSpacing w:val="0"/>
        <w:jc w:val="both"/>
        <w:rPr>
          <w:rFonts w:cs="Arial"/>
        </w:rPr>
      </w:pPr>
      <w:r>
        <w:rPr>
          <w:rFonts w:cs="Arial"/>
        </w:rPr>
        <w:t>Un</w:t>
      </w:r>
      <w:r w:rsidRPr="00B66C1E">
        <w:rPr>
          <w:rFonts w:cs="Arial"/>
        </w:rPr>
        <w:t xml:space="preserve"> ou plusieurs des actes de (</w:t>
      </w:r>
      <w:r>
        <w:rPr>
          <w:rFonts w:cs="Arial"/>
        </w:rPr>
        <w:t>i</w:t>
      </w:r>
      <w:r w:rsidRPr="00B66C1E">
        <w:rPr>
          <w:rFonts w:cs="Arial"/>
        </w:rPr>
        <w:t xml:space="preserve">) </w:t>
      </w:r>
      <w:r>
        <w:rPr>
          <w:rFonts w:cs="Arial"/>
        </w:rPr>
        <w:t>à (vii</w:t>
      </w:r>
      <w:r w:rsidRPr="00B66C1E">
        <w:rPr>
          <w:rFonts w:cs="Arial"/>
        </w:rPr>
        <w:t xml:space="preserve">) constituent-ils une </w:t>
      </w:r>
      <w:r w:rsidR="00FB2C41">
        <w:rPr>
          <w:rFonts w:cs="Arial"/>
        </w:rPr>
        <w:t xml:space="preserve">ou des </w:t>
      </w:r>
      <w:r w:rsidRPr="00B66C1E">
        <w:rPr>
          <w:rFonts w:cs="Arial"/>
        </w:rPr>
        <w:t>faute</w:t>
      </w:r>
      <w:r w:rsidR="00FB2C41">
        <w:rPr>
          <w:rFonts w:cs="Arial"/>
        </w:rPr>
        <w:t>s</w:t>
      </w:r>
      <w:r w:rsidRPr="00B66C1E">
        <w:rPr>
          <w:rFonts w:cs="Arial"/>
        </w:rPr>
        <w:t xml:space="preserve"> civile</w:t>
      </w:r>
      <w:r w:rsidR="00FB2C41">
        <w:rPr>
          <w:rFonts w:cs="Arial"/>
        </w:rPr>
        <w:t>s</w:t>
      </w:r>
      <w:r>
        <w:rPr>
          <w:rFonts w:cs="Arial"/>
        </w:rPr>
        <w:t>?</w:t>
      </w:r>
    </w:p>
    <w:p w14:paraId="255C3D97" w14:textId="77777777" w:rsidR="009E10BE" w:rsidRDefault="00E21D39" w:rsidP="00F4232B">
      <w:pPr>
        <w:pStyle w:val="Paragraphedeliste"/>
        <w:numPr>
          <w:ilvl w:val="0"/>
          <w:numId w:val="24"/>
        </w:numPr>
        <w:spacing w:before="120" w:after="120" w:line="276" w:lineRule="auto"/>
        <w:contextualSpacing w:val="0"/>
        <w:jc w:val="both"/>
        <w:rPr>
          <w:rFonts w:cs="Arial"/>
        </w:rPr>
      </w:pPr>
      <w:r w:rsidRPr="00C13EB0">
        <w:rPr>
          <w:rFonts w:cs="Arial"/>
        </w:rPr>
        <w:t xml:space="preserve">Le défendeur Robert G. Miller a-t-il illégalement porté atteinte à la dignité, </w:t>
      </w:r>
      <w:r w:rsidR="005B75E8">
        <w:rPr>
          <w:rFonts w:cs="Arial"/>
        </w:rPr>
        <w:br/>
      </w:r>
      <w:r w:rsidRPr="00C13EB0">
        <w:rPr>
          <w:rFonts w:cs="Arial"/>
        </w:rPr>
        <w:t xml:space="preserve">à l’inviolabilité et à l’honneur des membres du groupe, en contravention des articles 1 et 4 de la </w:t>
      </w:r>
      <w:r w:rsidRPr="00C13EB0">
        <w:rPr>
          <w:rFonts w:cs="Arial"/>
          <w:i/>
          <w:iCs/>
        </w:rPr>
        <w:t xml:space="preserve">Charte des droits et libertés de la personne du Québec </w:t>
      </w:r>
      <w:r w:rsidRPr="00C13EB0">
        <w:rPr>
          <w:rFonts w:cs="Arial"/>
        </w:rPr>
        <w:t xml:space="preserve">? Dans l’affirmative, une telle ingérence illégale était-elle intentionnelle au sens de l’article 49 de la </w:t>
      </w:r>
      <w:r w:rsidRPr="00C13EB0">
        <w:rPr>
          <w:rFonts w:cs="Arial"/>
          <w:i/>
          <w:iCs/>
        </w:rPr>
        <w:t xml:space="preserve">Charte des droits et libertés de la </w:t>
      </w:r>
      <w:r w:rsidRPr="00573001">
        <w:rPr>
          <w:rFonts w:cs="Arial"/>
        </w:rPr>
        <w:t>personne</w:t>
      </w:r>
      <w:r w:rsidRPr="00C13EB0">
        <w:rPr>
          <w:rFonts w:cs="Arial"/>
          <w:i/>
          <w:iCs/>
        </w:rPr>
        <w:t xml:space="preserve"> du Québec </w:t>
      </w:r>
      <w:r w:rsidRPr="00C13EB0">
        <w:rPr>
          <w:rFonts w:cs="Arial"/>
        </w:rPr>
        <w:t>?</w:t>
      </w:r>
    </w:p>
    <w:p w14:paraId="5EB39C5A" w14:textId="77777777" w:rsidR="009E10BE" w:rsidRDefault="00E21D39" w:rsidP="00F4232B">
      <w:pPr>
        <w:pStyle w:val="Paragraphedeliste"/>
        <w:numPr>
          <w:ilvl w:val="0"/>
          <w:numId w:val="24"/>
        </w:numPr>
        <w:spacing w:before="120" w:after="120" w:line="276" w:lineRule="auto"/>
        <w:contextualSpacing w:val="0"/>
        <w:jc w:val="both"/>
        <w:rPr>
          <w:rFonts w:cs="Arial"/>
        </w:rPr>
      </w:pPr>
      <w:r>
        <w:rPr>
          <w:rFonts w:cs="Arial"/>
        </w:rPr>
        <w:t>Les fautes constituent-elles de la violence sexuelle de telle sorte que les causes d’action des codemanderesses soient imprescriptibles?</w:t>
      </w:r>
    </w:p>
    <w:p w14:paraId="2B820203" w14:textId="77777777" w:rsidR="009E10BE" w:rsidRPr="00C13EB0" w:rsidRDefault="00E21D39" w:rsidP="00F4232B">
      <w:pPr>
        <w:pStyle w:val="Paragraphedeliste"/>
        <w:numPr>
          <w:ilvl w:val="0"/>
          <w:numId w:val="24"/>
        </w:numPr>
        <w:spacing w:before="120" w:after="120" w:line="276" w:lineRule="auto"/>
        <w:contextualSpacing w:val="0"/>
        <w:jc w:val="both"/>
        <w:rPr>
          <w:rFonts w:cs="Arial"/>
        </w:rPr>
      </w:pPr>
      <w:r>
        <w:rPr>
          <w:rFonts w:cs="Arial"/>
        </w:rPr>
        <w:t>À quel moment</w:t>
      </w:r>
      <w:r w:rsidRPr="00C13EB0">
        <w:rPr>
          <w:rFonts w:cs="Arial"/>
        </w:rPr>
        <w:t xml:space="preserve"> la prescription commence</w:t>
      </w:r>
      <w:r>
        <w:rPr>
          <w:rFonts w:cs="Arial"/>
        </w:rPr>
        <w:t>-t</w:t>
      </w:r>
      <w:r w:rsidRPr="00C13EB0">
        <w:rPr>
          <w:rFonts w:cs="Arial"/>
        </w:rPr>
        <w:t xml:space="preserve">-elle à courir </w:t>
      </w:r>
      <w:r>
        <w:rPr>
          <w:rFonts w:cs="Arial"/>
        </w:rPr>
        <w:t>à l’en</w:t>
      </w:r>
      <w:r w:rsidRPr="00C13EB0">
        <w:rPr>
          <w:rFonts w:cs="Arial"/>
        </w:rPr>
        <w:t xml:space="preserve">contre </w:t>
      </w:r>
      <w:r>
        <w:rPr>
          <w:rFonts w:cs="Arial"/>
        </w:rPr>
        <w:t>d</w:t>
      </w:r>
      <w:r w:rsidRPr="00C13EB0">
        <w:rPr>
          <w:rFonts w:cs="Arial"/>
        </w:rPr>
        <w:t xml:space="preserve">es membres du groupe </w:t>
      </w:r>
      <w:r>
        <w:rPr>
          <w:rFonts w:cs="Arial"/>
        </w:rPr>
        <w:t xml:space="preserve">en vertu de </w:t>
      </w:r>
      <w:r w:rsidRPr="00C13EB0">
        <w:rPr>
          <w:rFonts w:cs="Arial"/>
        </w:rPr>
        <w:t xml:space="preserve">l’article 2926.1 C.c.Q.? </w:t>
      </w:r>
    </w:p>
    <w:p w14:paraId="3593F459" w14:textId="77777777" w:rsidR="009E10BE" w:rsidRPr="008573E6" w:rsidRDefault="00E21D39" w:rsidP="00F4232B">
      <w:pPr>
        <w:pStyle w:val="Paragraphedeliste"/>
        <w:numPr>
          <w:ilvl w:val="0"/>
          <w:numId w:val="24"/>
        </w:numPr>
        <w:spacing w:before="120" w:after="120" w:line="276" w:lineRule="auto"/>
        <w:contextualSpacing w:val="0"/>
        <w:jc w:val="both"/>
        <w:rPr>
          <w:rFonts w:cs="Arial"/>
        </w:rPr>
      </w:pPr>
      <w:r w:rsidRPr="00C13EB0">
        <w:rPr>
          <w:rFonts w:cs="Arial"/>
        </w:rPr>
        <w:t xml:space="preserve">La prescription a-t-elle été suspendue pour les membres du groupe en raison d’une incapacité psychologique d’agir ou d’une impossibilité de fait d’agir conformément à l’article 2904 C.c.Q.? </w:t>
      </w:r>
    </w:p>
    <w:p w14:paraId="0811CA36" w14:textId="77777777" w:rsidR="009E10BE" w:rsidRPr="00C13EB0" w:rsidRDefault="00E21D39" w:rsidP="00F4232B">
      <w:pPr>
        <w:pStyle w:val="Paragraphedeliste"/>
        <w:numPr>
          <w:ilvl w:val="0"/>
          <w:numId w:val="24"/>
        </w:numPr>
        <w:spacing w:before="120" w:after="120" w:line="276" w:lineRule="auto"/>
        <w:contextualSpacing w:val="0"/>
        <w:jc w:val="both"/>
        <w:rPr>
          <w:rFonts w:cs="Arial"/>
        </w:rPr>
      </w:pPr>
      <w:r w:rsidRPr="00C13EB0">
        <w:rPr>
          <w:rFonts w:cs="Arial"/>
        </w:rPr>
        <w:t xml:space="preserve">Les défendeurs sont-ils responsables, solidairement ou non, envers les membres du groupe </w:t>
      </w:r>
      <w:r>
        <w:rPr>
          <w:rFonts w:cs="Arial"/>
        </w:rPr>
        <w:t>du paiement de</w:t>
      </w:r>
      <w:r w:rsidRPr="00C13EB0">
        <w:rPr>
          <w:rFonts w:cs="Arial"/>
        </w:rPr>
        <w:t xml:space="preserve"> dommages-intérêts compensatoires? </w:t>
      </w:r>
    </w:p>
    <w:p w14:paraId="2D871EDC" w14:textId="77777777" w:rsidR="009E10BE" w:rsidRPr="008573E6" w:rsidRDefault="00E21D39" w:rsidP="00F4232B">
      <w:pPr>
        <w:pStyle w:val="Paragraphedeliste"/>
        <w:numPr>
          <w:ilvl w:val="0"/>
          <w:numId w:val="24"/>
        </w:numPr>
        <w:spacing w:before="120" w:after="120" w:line="276" w:lineRule="auto"/>
        <w:contextualSpacing w:val="0"/>
        <w:jc w:val="both"/>
        <w:rPr>
          <w:rFonts w:cs="Arial"/>
        </w:rPr>
      </w:pPr>
      <w:r w:rsidRPr="00C13EB0">
        <w:rPr>
          <w:rFonts w:cs="Arial"/>
        </w:rPr>
        <w:t xml:space="preserve">Quel est le quantum des dommages et intérêts qui peuvent être établis collectivement et quels dommages doivent être établis au stade des réclamations individuelles, le cas échéant? </w:t>
      </w:r>
    </w:p>
    <w:p w14:paraId="33B79BF7" w14:textId="77777777" w:rsidR="009E10BE" w:rsidRPr="0051528F" w:rsidRDefault="00E21D39" w:rsidP="0051528F">
      <w:pPr>
        <w:pStyle w:val="Paragraphedeliste"/>
        <w:numPr>
          <w:ilvl w:val="0"/>
          <w:numId w:val="24"/>
        </w:numPr>
        <w:spacing w:before="120" w:after="120" w:line="276" w:lineRule="auto"/>
        <w:contextualSpacing w:val="0"/>
        <w:jc w:val="both"/>
        <w:rPr>
          <w:rFonts w:cs="Arial"/>
        </w:rPr>
      </w:pPr>
      <w:r>
        <w:rPr>
          <w:rFonts w:cs="Arial"/>
        </w:rPr>
        <w:t>Les</w:t>
      </w:r>
      <w:r w:rsidRPr="00C13EB0">
        <w:rPr>
          <w:rFonts w:cs="Arial"/>
        </w:rPr>
        <w:t xml:space="preserve"> défendeurs sont-ils responsables, solidairement ou non, envers les membres du groupe de dommages-intérêts punitifs et </w:t>
      </w:r>
      <w:r>
        <w:rPr>
          <w:rFonts w:cs="Arial"/>
        </w:rPr>
        <w:t>pour</w:t>
      </w:r>
      <w:r w:rsidRPr="00C13EB0">
        <w:rPr>
          <w:rFonts w:cs="Arial"/>
        </w:rPr>
        <w:t xml:space="preserve"> quel montant?</w:t>
      </w:r>
    </w:p>
    <w:p w14:paraId="25E7157E" w14:textId="77777777" w:rsidR="00004469" w:rsidRPr="00103606" w:rsidRDefault="00E21D39" w:rsidP="00573001">
      <w:pPr>
        <w:pStyle w:val="Titre2"/>
        <w:jc w:val="both"/>
        <w:rPr>
          <w:rFonts w:cs="Arial"/>
        </w:rPr>
      </w:pPr>
      <w:bookmarkStart w:id="64" w:name="_Toc256000024"/>
      <w:bookmarkStart w:id="65" w:name="_Toc187475783"/>
      <w:r w:rsidRPr="00103606">
        <w:rPr>
          <w:rFonts w:cs="Arial"/>
        </w:rPr>
        <w:t>La composition du groupe rend difficile ou peu pratique l’application des règles sur le mandat d’ester ou sur la jonction d’instances</w:t>
      </w:r>
      <w:r w:rsidR="00B243EE" w:rsidRPr="00103606">
        <w:rPr>
          <w:rFonts w:cs="Arial"/>
        </w:rPr>
        <w:t xml:space="preserve"> en vertu de l’article 5757(3)</w:t>
      </w:r>
      <w:bookmarkEnd w:id="64"/>
      <w:bookmarkEnd w:id="65"/>
      <w:r w:rsidR="00B243EE" w:rsidRPr="00103606">
        <w:rPr>
          <w:rFonts w:cs="Arial"/>
        </w:rPr>
        <w:t xml:space="preserve"> </w:t>
      </w:r>
    </w:p>
    <w:p w14:paraId="2D30568B" w14:textId="77777777" w:rsidR="00004469" w:rsidRPr="00103606" w:rsidRDefault="00E21D39" w:rsidP="00573001">
      <w:pPr>
        <w:pStyle w:val="Paragrdouble"/>
        <w:spacing w:after="240" w:line="276" w:lineRule="auto"/>
        <w:rPr>
          <w:rFonts w:cs="Arial"/>
        </w:rPr>
      </w:pPr>
      <w:r w:rsidRPr="00103606">
        <w:rPr>
          <w:rFonts w:cs="Arial"/>
        </w:rPr>
        <w:t>Pour ce qui est du troisième critère, le requérant doit démontrer que le mandat d’ester en justice pour le compte d’autrui (86 et ss. C.p.c.) ou sur la jonction d’instance (143, 210 et 211 C.p.c.) est difficile ou peu pratique, non pas qu’il est impossible.</w:t>
      </w:r>
    </w:p>
    <w:p w14:paraId="3274EF2F" w14:textId="77777777" w:rsidR="00004469" w:rsidRPr="00103606" w:rsidRDefault="00E21D39" w:rsidP="00573001">
      <w:pPr>
        <w:pStyle w:val="Paragrdouble"/>
        <w:spacing w:after="240" w:line="276" w:lineRule="auto"/>
        <w:rPr>
          <w:rFonts w:cs="Arial"/>
        </w:rPr>
      </w:pPr>
      <w:r w:rsidRPr="00103606">
        <w:rPr>
          <w:rFonts w:cs="Arial"/>
        </w:rPr>
        <w:t xml:space="preserve">Aux fins d’analyser l’existence de difficultés ou </w:t>
      </w:r>
      <w:r w:rsidR="00176F70" w:rsidRPr="00103606">
        <w:rPr>
          <w:rFonts w:cs="Arial"/>
        </w:rPr>
        <w:t>d’</w:t>
      </w:r>
      <w:r w:rsidRPr="00103606">
        <w:rPr>
          <w:rFonts w:cs="Arial"/>
        </w:rPr>
        <w:t>obstacles liés à la composition du groupe, les éléments suivants sont à considérer : «</w:t>
      </w:r>
      <w:r w:rsidR="002C0040">
        <w:rPr>
          <w:rFonts w:cs="Arial"/>
        </w:rPr>
        <w:t> </w:t>
      </w:r>
      <w:r w:rsidRPr="00103606">
        <w:rPr>
          <w:rFonts w:cs="Arial"/>
        </w:rPr>
        <w:t>le nombre probable de membres; la situation géographique des membres; les coûts impliqués; et les contraintes pratiques et juridiques inhérentes à l’utilisation du mandat et de la jonction des parties en comparaison avec le recours collectif</w:t>
      </w:r>
      <w:r>
        <w:rPr>
          <w:rStyle w:val="Appelnotedebasdep"/>
          <w:rFonts w:cs="Arial"/>
        </w:rPr>
        <w:footnoteReference w:id="129"/>
      </w:r>
      <w:r w:rsidR="005F2D37">
        <w:t> </w:t>
      </w:r>
      <w:r w:rsidRPr="00103606">
        <w:rPr>
          <w:rFonts w:cs="Arial"/>
        </w:rPr>
        <w:t>».</w:t>
      </w:r>
      <w:r w:rsidR="00176F70" w:rsidRPr="00103606">
        <w:rPr>
          <w:rFonts w:cs="Arial"/>
        </w:rPr>
        <w:t xml:space="preserve"> L’analyse de ce critère doit s’effectuer de</w:t>
      </w:r>
      <w:r w:rsidR="005F2D37">
        <w:rPr>
          <w:rFonts w:cs="Arial"/>
        </w:rPr>
        <w:t> </w:t>
      </w:r>
      <w:r w:rsidR="00176F70" w:rsidRPr="00103606">
        <w:rPr>
          <w:rFonts w:cs="Arial"/>
        </w:rPr>
        <w:t xml:space="preserve">manière généreuse, </w:t>
      </w:r>
      <w:r w:rsidR="00FB2C41">
        <w:rPr>
          <w:rFonts w:cs="Arial"/>
        </w:rPr>
        <w:t>soup</w:t>
      </w:r>
      <w:r w:rsidR="00FB2C41" w:rsidRPr="00103606">
        <w:rPr>
          <w:rFonts w:cs="Arial"/>
        </w:rPr>
        <w:t xml:space="preserve">le </w:t>
      </w:r>
      <w:r w:rsidR="00176F70" w:rsidRPr="00103606">
        <w:rPr>
          <w:rFonts w:cs="Arial"/>
        </w:rPr>
        <w:t>et libérale, comme pour les autres critères de</w:t>
      </w:r>
      <w:r w:rsidR="005E1040">
        <w:rPr>
          <w:rFonts w:cs="Arial"/>
        </w:rPr>
        <w:t> </w:t>
      </w:r>
      <w:r w:rsidR="00176F70" w:rsidRPr="00103606">
        <w:rPr>
          <w:rFonts w:cs="Arial"/>
        </w:rPr>
        <w:t>l’article</w:t>
      </w:r>
      <w:r w:rsidR="00176147">
        <w:rPr>
          <w:rFonts w:cs="Arial"/>
        </w:rPr>
        <w:t> </w:t>
      </w:r>
      <w:r w:rsidR="00176F70" w:rsidRPr="00103606">
        <w:rPr>
          <w:rFonts w:cs="Arial"/>
        </w:rPr>
        <w:t>575</w:t>
      </w:r>
      <w:r w:rsidR="00176147">
        <w:rPr>
          <w:rFonts w:cs="Arial"/>
        </w:rPr>
        <w:t> </w:t>
      </w:r>
      <w:r w:rsidR="00176F70" w:rsidRPr="00103606">
        <w:rPr>
          <w:rFonts w:cs="Arial"/>
        </w:rPr>
        <w:t>C.p.c.</w:t>
      </w:r>
      <w:r>
        <w:rPr>
          <w:rStyle w:val="Appelnotedebasdep"/>
          <w:rFonts w:cs="Arial"/>
        </w:rPr>
        <w:footnoteReference w:id="130"/>
      </w:r>
    </w:p>
    <w:p w14:paraId="4B08AC00" w14:textId="77777777" w:rsidR="00555353" w:rsidRPr="00103606" w:rsidRDefault="00E21D39" w:rsidP="00573001">
      <w:pPr>
        <w:pStyle w:val="Paragrdouble"/>
        <w:spacing w:after="240" w:line="276" w:lineRule="auto"/>
        <w:rPr>
          <w:rFonts w:cs="Arial"/>
        </w:rPr>
      </w:pPr>
      <w:r w:rsidRPr="00103606">
        <w:rPr>
          <w:rFonts w:cs="Arial"/>
        </w:rPr>
        <w:t>Les codemanderesses allèguent qu’il est difficile d’évaluer combien de victimes peuvent être visées par le groupe proposé</w:t>
      </w:r>
      <w:r w:rsidR="004E574F" w:rsidRPr="00103606">
        <w:rPr>
          <w:rFonts w:cs="Arial"/>
        </w:rPr>
        <w:t>, même si</w:t>
      </w:r>
      <w:r w:rsidRPr="00103606">
        <w:rPr>
          <w:rFonts w:cs="Arial"/>
        </w:rPr>
        <w:t xml:space="preserve"> les violences sexuelles ont eu lieu sur une</w:t>
      </w:r>
      <w:r w:rsidR="004E574F" w:rsidRPr="00103606">
        <w:rPr>
          <w:rFonts w:cs="Arial"/>
        </w:rPr>
        <w:t xml:space="preserve"> longue</w:t>
      </w:r>
      <w:r w:rsidRPr="00103606">
        <w:rPr>
          <w:rFonts w:cs="Arial"/>
        </w:rPr>
        <w:t xml:space="preserve"> période, il y a de cela plus de 8 ans. Le nombre de membre</w:t>
      </w:r>
      <w:r w:rsidR="001646D5">
        <w:rPr>
          <w:rFonts w:cs="Arial"/>
        </w:rPr>
        <w:t>s</w:t>
      </w:r>
      <w:r w:rsidRPr="00103606">
        <w:rPr>
          <w:rFonts w:cs="Arial"/>
        </w:rPr>
        <w:t xml:space="preserve"> pourra être significatif</w:t>
      </w:r>
      <w:r w:rsidR="00E03EB1">
        <w:rPr>
          <w:rFonts w:cs="Arial"/>
        </w:rPr>
        <w:t>,</w:t>
      </w:r>
      <w:r w:rsidRPr="00103606">
        <w:rPr>
          <w:rFonts w:cs="Arial"/>
        </w:rPr>
        <w:t xml:space="preserve"> mais reste inconnu à ce jour. </w:t>
      </w:r>
    </w:p>
    <w:p w14:paraId="26BB523F" w14:textId="77777777" w:rsidR="004E574F" w:rsidRPr="00103606" w:rsidRDefault="00E21D39" w:rsidP="00573001">
      <w:pPr>
        <w:pStyle w:val="Paragrdouble"/>
        <w:spacing w:after="240" w:line="276" w:lineRule="auto"/>
        <w:rPr>
          <w:rFonts w:cs="Arial"/>
        </w:rPr>
      </w:pPr>
      <w:r w:rsidRPr="00103606">
        <w:rPr>
          <w:rFonts w:cs="Arial"/>
        </w:rPr>
        <w:t xml:space="preserve">Les codemanderesses prétendent que l’Annexe A, le </w:t>
      </w:r>
      <w:r w:rsidRPr="00103606">
        <w:rPr>
          <w:rFonts w:cs="Arial"/>
          <w:i/>
          <w:iCs/>
        </w:rPr>
        <w:t>Tableau des victimes et des coupables</w:t>
      </w:r>
      <w:r w:rsidRPr="00103606">
        <w:rPr>
          <w:rFonts w:cs="Arial"/>
        </w:rPr>
        <w:t xml:space="preserve"> (« Table of Victims and Perpetrators ») illustre que le groupe est raisonnablement estimé à 100 personnes. Elles précisent que 51 personnes se sont manifestées pour faire partie du groupe comme demanderesse ou déclarante. Plusieurs se sont présentées lors d’audiences pour assister en silence. Plusieurs des déclarantes mentionnent que Miller avait une préférence pour les relations sexuelles avec plus qu’une mineure, et plusieurs</w:t>
      </w:r>
      <w:r w:rsidR="00FB2C41">
        <w:rPr>
          <w:rFonts w:cs="Arial"/>
        </w:rPr>
        <w:t xml:space="preserve"> </w:t>
      </w:r>
      <w:r w:rsidRPr="00103606">
        <w:rPr>
          <w:rFonts w:cs="Arial"/>
        </w:rPr>
        <w:t>expliqu</w:t>
      </w:r>
      <w:r w:rsidR="00FB2C41">
        <w:rPr>
          <w:rFonts w:cs="Arial"/>
        </w:rPr>
        <w:t>ent</w:t>
      </w:r>
      <w:r w:rsidRPr="00103606">
        <w:rPr>
          <w:rFonts w:cs="Arial"/>
        </w:rPr>
        <w:t xml:space="preserve"> que Miller leur demandait d’emmener une prochaine </w:t>
      </w:r>
      <w:r w:rsidR="00E87347">
        <w:rPr>
          <w:rFonts w:cs="Arial"/>
        </w:rPr>
        <w:t>fille</w:t>
      </w:r>
      <w:r w:rsidR="00FB2C41">
        <w:rPr>
          <w:rFonts w:cs="Arial"/>
        </w:rPr>
        <w:t xml:space="preserve"> </w:t>
      </w:r>
      <w:r w:rsidRPr="00103606">
        <w:rPr>
          <w:rFonts w:cs="Arial"/>
        </w:rPr>
        <w:t xml:space="preserve">à leur future rencontre. </w:t>
      </w:r>
      <w:r w:rsidR="004A111F">
        <w:rPr>
          <w:rFonts w:cs="Arial"/>
        </w:rPr>
        <w:t>Ces faits supportent la prétention des demanderesses quant au nombre potentiel de victimes.</w:t>
      </w:r>
    </w:p>
    <w:p w14:paraId="7B4EF0FB" w14:textId="77777777" w:rsidR="004E574F" w:rsidRPr="00103606" w:rsidRDefault="00E21D39" w:rsidP="00573001">
      <w:pPr>
        <w:pStyle w:val="Paragrdouble"/>
        <w:spacing w:after="240" w:line="276" w:lineRule="auto"/>
        <w:rPr>
          <w:rFonts w:cs="Arial"/>
        </w:rPr>
      </w:pPr>
      <w:r>
        <w:rPr>
          <w:rFonts w:cs="Arial"/>
        </w:rPr>
        <w:t>Ainsi, l</w:t>
      </w:r>
      <w:r w:rsidRPr="00103606">
        <w:rPr>
          <w:rFonts w:cs="Arial"/>
        </w:rPr>
        <w:t xml:space="preserve">e nombre de victimes énoncé au tableau paraît suffisant pour satisfaire </w:t>
      </w:r>
      <w:r w:rsidR="00FB2C41">
        <w:rPr>
          <w:rFonts w:cs="Arial"/>
        </w:rPr>
        <w:t>le</w:t>
      </w:r>
      <w:r w:rsidR="00E87347">
        <w:rPr>
          <w:rFonts w:cs="Arial"/>
        </w:rPr>
        <w:t xml:space="preserve"> </w:t>
      </w:r>
      <w:r w:rsidR="00FB2C41">
        <w:rPr>
          <w:rFonts w:cs="Arial"/>
        </w:rPr>
        <w:t xml:space="preserve">critère de l’article </w:t>
      </w:r>
      <w:r w:rsidRPr="00103606">
        <w:rPr>
          <w:rFonts w:cs="Arial"/>
        </w:rPr>
        <w:t xml:space="preserve">575 3) C.p.c. D’ailleurs, </w:t>
      </w:r>
      <w:r w:rsidR="00555353" w:rsidRPr="00103606">
        <w:rPr>
          <w:rFonts w:cs="Arial"/>
        </w:rPr>
        <w:t>même s’il ne s’agissait que d’environ quarante ou cinquante victimes</w:t>
      </w:r>
      <w:r w:rsidR="00E87347">
        <w:rPr>
          <w:rFonts w:cs="Arial"/>
        </w:rPr>
        <w:t xml:space="preserve"> envisagées</w:t>
      </w:r>
      <w:r w:rsidR="00555353" w:rsidRPr="00103606">
        <w:rPr>
          <w:rFonts w:cs="Arial"/>
        </w:rPr>
        <w:t>, cela serait suffisant</w:t>
      </w:r>
      <w:r w:rsidR="008E1C96">
        <w:rPr>
          <w:rFonts w:cs="Arial"/>
        </w:rPr>
        <w:t>,</w:t>
      </w:r>
      <w:r w:rsidR="00555353" w:rsidRPr="00103606">
        <w:rPr>
          <w:rFonts w:cs="Arial"/>
        </w:rPr>
        <w:t xml:space="preserve"> car </w:t>
      </w:r>
      <w:r w:rsidRPr="00103606">
        <w:rPr>
          <w:rFonts w:cs="Arial"/>
        </w:rPr>
        <w:t xml:space="preserve">il n’existe pas de </w:t>
      </w:r>
      <w:r>
        <w:rPr>
          <w:rFonts w:cs="Arial"/>
        </w:rPr>
        <w:t>directive jurisprudentielle claire</w:t>
      </w:r>
      <w:r w:rsidRPr="00103606">
        <w:rPr>
          <w:rFonts w:cs="Arial"/>
        </w:rPr>
        <w:t xml:space="preserve"> quant au nombre de membre</w:t>
      </w:r>
      <w:r w:rsidR="005E0FCF">
        <w:rPr>
          <w:rFonts w:cs="Arial"/>
        </w:rPr>
        <w:t>s</w:t>
      </w:r>
      <w:r w:rsidRPr="00103606">
        <w:rPr>
          <w:rFonts w:cs="Arial"/>
        </w:rPr>
        <w:t xml:space="preserve"> potentiel</w:t>
      </w:r>
      <w:r w:rsidR="005E0FCF">
        <w:rPr>
          <w:rFonts w:cs="Arial"/>
        </w:rPr>
        <w:t>s</w:t>
      </w:r>
      <w:r w:rsidRPr="00103606">
        <w:rPr>
          <w:rFonts w:cs="Arial"/>
        </w:rPr>
        <w:t xml:space="preserve"> suffisant pour r</w:t>
      </w:r>
      <w:r w:rsidR="005E0FCF">
        <w:rPr>
          <w:rFonts w:cs="Arial"/>
        </w:rPr>
        <w:t>épondre au</w:t>
      </w:r>
      <w:r w:rsidRPr="00103606">
        <w:rPr>
          <w:rFonts w:cs="Arial"/>
        </w:rPr>
        <w:t xml:space="preserve"> critère, tout doute étant décidé en faveur de la demande</w:t>
      </w:r>
      <w:r>
        <w:rPr>
          <w:rStyle w:val="Appelnotedebasdep"/>
          <w:rFonts w:cs="Arial"/>
        </w:rPr>
        <w:footnoteReference w:id="131"/>
      </w:r>
      <w:r w:rsidRPr="00103606">
        <w:rPr>
          <w:rFonts w:cs="Arial"/>
        </w:rPr>
        <w:t>.</w:t>
      </w:r>
      <w:r>
        <w:rPr>
          <w:rFonts w:cs="Arial"/>
        </w:rPr>
        <w:t xml:space="preserve"> </w:t>
      </w:r>
    </w:p>
    <w:p w14:paraId="1E7FD2EF" w14:textId="77777777" w:rsidR="008514F2" w:rsidRPr="00103606" w:rsidRDefault="00E21D39" w:rsidP="00573001">
      <w:pPr>
        <w:pStyle w:val="Paragrdouble"/>
        <w:spacing w:after="240" w:line="276" w:lineRule="auto"/>
        <w:rPr>
          <w:rFonts w:cs="Arial"/>
        </w:rPr>
      </w:pPr>
      <w:r w:rsidRPr="00103606">
        <w:rPr>
          <w:rFonts w:cs="Arial"/>
        </w:rPr>
        <w:t>Les défendeurs plaident que le fait que l’avocat en demande ait déjà signé des mandats de représentation</w:t>
      </w:r>
      <w:r w:rsidR="004A111F">
        <w:rPr>
          <w:rFonts w:cs="Arial"/>
        </w:rPr>
        <w:t xml:space="preserve"> en faveur</w:t>
      </w:r>
      <w:r w:rsidRPr="00103606">
        <w:rPr>
          <w:rFonts w:cs="Arial"/>
        </w:rPr>
        <w:t xml:space="preserve"> </w:t>
      </w:r>
      <w:r w:rsidR="00553663" w:rsidRPr="00103606">
        <w:rPr>
          <w:rFonts w:cs="Arial"/>
        </w:rPr>
        <w:t>de 51</w:t>
      </w:r>
      <w:r w:rsidRPr="00103606">
        <w:rPr>
          <w:rFonts w:cs="Arial"/>
        </w:rPr>
        <w:t xml:space="preserve"> victimes</w:t>
      </w:r>
      <w:r w:rsidR="004A111F">
        <w:rPr>
          <w:rFonts w:cs="Arial"/>
        </w:rPr>
        <w:t xml:space="preserve"> potentielles</w:t>
      </w:r>
      <w:r>
        <w:rPr>
          <w:rStyle w:val="Appelnotedebasdep"/>
          <w:rFonts w:cs="Arial"/>
        </w:rPr>
        <w:footnoteReference w:id="132"/>
      </w:r>
      <w:r w:rsidRPr="00103606">
        <w:rPr>
          <w:rFonts w:cs="Arial"/>
        </w:rPr>
        <w:t xml:space="preserve"> milite contre l’accomplissement de l’article</w:t>
      </w:r>
      <w:r w:rsidR="00872D45">
        <w:rPr>
          <w:rFonts w:cs="Arial"/>
        </w:rPr>
        <w:t> </w:t>
      </w:r>
      <w:r w:rsidRPr="00103606">
        <w:rPr>
          <w:rFonts w:cs="Arial"/>
        </w:rPr>
        <w:t>575 (3). De plus, il prétend que les codemanderesses n’ont pas allégué de raisons pour dire que le mandat ou la jonction seraient difficiles ou peu pratiques.</w:t>
      </w:r>
    </w:p>
    <w:p w14:paraId="28CBD725" w14:textId="77777777" w:rsidR="004E574F" w:rsidRPr="00103606" w:rsidRDefault="00E21D39" w:rsidP="00573001">
      <w:pPr>
        <w:pStyle w:val="Paragrdouble"/>
        <w:spacing w:after="240" w:line="276" w:lineRule="auto"/>
        <w:rPr>
          <w:rFonts w:cs="Arial"/>
        </w:rPr>
      </w:pPr>
      <w:r w:rsidRPr="00103606">
        <w:rPr>
          <w:rFonts w:cs="Arial"/>
        </w:rPr>
        <w:t>Il faut impérativement contextualiser le litige et mettre l’emphase sur le fait que lorsque des actions collectives invoquant des abus sexuels sont intentées</w:t>
      </w:r>
      <w:r w:rsidR="00B50089">
        <w:rPr>
          <w:rFonts w:cs="Arial"/>
        </w:rPr>
        <w:t>,</w:t>
      </w:r>
      <w:r w:rsidRPr="00103606">
        <w:rPr>
          <w:rFonts w:cs="Arial"/>
        </w:rPr>
        <w:t xml:space="preserve"> le fait que les victimes soient nombreuses et ne se connaissent pas favorise l’autorisation. </w:t>
      </w:r>
      <w:r w:rsidR="007D0829">
        <w:rPr>
          <w:rFonts w:cs="Arial"/>
        </w:rPr>
        <w:br/>
      </w:r>
      <w:r w:rsidRPr="00103606">
        <w:rPr>
          <w:rFonts w:cs="Arial"/>
        </w:rPr>
        <w:t>L’action collective protège l’anonymat des victimes, contrairement au mandat et à la jonction d’actions</w:t>
      </w:r>
      <w:r>
        <w:rPr>
          <w:rStyle w:val="Appelnotedebasdep"/>
          <w:rFonts w:cs="Arial"/>
        </w:rPr>
        <w:footnoteReference w:id="133"/>
      </w:r>
      <w:r w:rsidRPr="00103606">
        <w:rPr>
          <w:rFonts w:cs="Arial"/>
        </w:rPr>
        <w:t xml:space="preserve">. Même si certaines victimes se connaissent désormais et que le procureur en demande a contacté environ cinquante d’entre elles, cela ne change pas le fait qu’il sera difficile ou peu pratique d’agir pour contacter toutes celles qui ne se sont pas </w:t>
      </w:r>
      <w:r w:rsidR="0094575C">
        <w:rPr>
          <w:rFonts w:cs="Arial"/>
        </w:rPr>
        <w:t xml:space="preserve">encore </w:t>
      </w:r>
      <w:r w:rsidRPr="00103606">
        <w:rPr>
          <w:rFonts w:cs="Arial"/>
        </w:rPr>
        <w:t xml:space="preserve">manifestées. </w:t>
      </w:r>
    </w:p>
    <w:p w14:paraId="2F096263" w14:textId="77777777" w:rsidR="00004469" w:rsidRPr="00B50089" w:rsidRDefault="00E21D39" w:rsidP="00573001">
      <w:pPr>
        <w:pStyle w:val="Paragrdouble"/>
        <w:spacing w:after="240" w:line="276" w:lineRule="auto"/>
        <w:rPr>
          <w:rFonts w:cs="Arial"/>
        </w:rPr>
      </w:pPr>
      <w:r w:rsidRPr="00103606">
        <w:rPr>
          <w:rFonts w:cs="Arial"/>
        </w:rPr>
        <w:t>Enfin, l’action collective est un véhicule procédural idéal pour les victimes alléguées de ces abus afin de « briser le silence dont les [défendeurs] auraient imposé la culture. </w:t>
      </w:r>
      <w:r>
        <w:rPr>
          <w:rStyle w:val="Appelnotedebasdep"/>
          <w:rFonts w:cs="Arial"/>
        </w:rPr>
        <w:footnoteReference w:id="134"/>
      </w:r>
      <w:r w:rsidRPr="00103606">
        <w:rPr>
          <w:rFonts w:cs="Arial"/>
        </w:rPr>
        <w:t>» Ce critère est donc rencontré.</w:t>
      </w:r>
    </w:p>
    <w:p w14:paraId="16102F6F" w14:textId="77777777" w:rsidR="00603B9B" w:rsidRPr="00103606" w:rsidRDefault="00E21D39" w:rsidP="007E50B9">
      <w:pPr>
        <w:pStyle w:val="Titre2"/>
        <w:rPr>
          <w:rFonts w:cs="Arial"/>
          <w:kern w:val="28"/>
        </w:rPr>
      </w:pPr>
      <w:bookmarkStart w:id="66" w:name="_Toc256000025"/>
      <w:bookmarkStart w:id="67" w:name="_Toc187475784"/>
      <w:r w:rsidRPr="00103606">
        <w:rPr>
          <w:rFonts w:cs="Arial"/>
        </w:rPr>
        <w:t>La représentation par les trois codemanderesses est adéquate en vertu de l’article 575 (4) C.p.c.</w:t>
      </w:r>
      <w:bookmarkEnd w:id="66"/>
      <w:bookmarkEnd w:id="67"/>
    </w:p>
    <w:p w14:paraId="05F86309" w14:textId="77777777" w:rsidR="00D4013C" w:rsidRPr="00103606" w:rsidRDefault="00E21D39" w:rsidP="00603B9B">
      <w:pPr>
        <w:pStyle w:val="Paragrdouble"/>
        <w:spacing w:line="276" w:lineRule="auto"/>
        <w:rPr>
          <w:rFonts w:cs="Arial"/>
        </w:rPr>
      </w:pPr>
      <w:r w:rsidRPr="00103606">
        <w:rPr>
          <w:rFonts w:cs="Arial"/>
        </w:rPr>
        <w:t>Le critère de 575(4) exige que la personne qui souhaite représenter les membres puisse assurer cette fonction de manière adéquate</w:t>
      </w:r>
      <w:r w:rsidR="007D23ED" w:rsidRPr="00103606">
        <w:rPr>
          <w:rFonts w:cs="Arial"/>
        </w:rPr>
        <w:t>, un seuil peu élevé</w:t>
      </w:r>
      <w:r w:rsidRPr="00103606">
        <w:rPr>
          <w:rFonts w:cs="Arial"/>
        </w:rPr>
        <w:t>. Cela implique qu’elle ait elle-même un intérêt (juridique) à poursuivre, qu’elle ne soit pas en conflit d’intérêts avec les autres membres du groupe et qu’elle soit compétente en ce sens qu’elle doit s’intéresser au dossier et en avoir une bonne compréhension de manière à</w:t>
      </w:r>
      <w:r w:rsidR="003351F8">
        <w:rPr>
          <w:rFonts w:cs="Arial"/>
        </w:rPr>
        <w:t> </w:t>
      </w:r>
      <w:r w:rsidRPr="00103606">
        <w:rPr>
          <w:rFonts w:cs="Arial"/>
        </w:rPr>
        <w:t>pouvoir prendre, si nécessaire, des décisions au bénéfice de l'ensemble du groupe</w:t>
      </w:r>
      <w:r>
        <w:rPr>
          <w:rStyle w:val="Appelnotedebasdep"/>
          <w:rFonts w:cs="Arial"/>
        </w:rPr>
        <w:footnoteReference w:id="135"/>
      </w:r>
      <w:r w:rsidRPr="00103606">
        <w:rPr>
          <w:rFonts w:cs="Arial"/>
        </w:rPr>
        <w:t xml:space="preserve">. </w:t>
      </w:r>
    </w:p>
    <w:p w14:paraId="24FBFC1B" w14:textId="77777777" w:rsidR="00176CC0" w:rsidRPr="00103606" w:rsidRDefault="00E21D39" w:rsidP="007D23ED">
      <w:pPr>
        <w:pStyle w:val="Paragrdouble"/>
        <w:spacing w:line="276" w:lineRule="auto"/>
        <w:rPr>
          <w:rFonts w:cs="Arial"/>
          <w:szCs w:val="24"/>
        </w:rPr>
      </w:pPr>
      <w:r w:rsidRPr="00103606">
        <w:rPr>
          <w:rFonts w:cs="Arial"/>
          <w:szCs w:val="24"/>
        </w:rPr>
        <w:t xml:space="preserve">Ces trois </w:t>
      </w:r>
      <w:r w:rsidR="007D23ED" w:rsidRPr="00103606">
        <w:rPr>
          <w:rFonts w:cs="Arial"/>
          <w:szCs w:val="24"/>
        </w:rPr>
        <w:t>considérations à la représentation adéquate</w:t>
      </w:r>
      <w:r w:rsidRPr="00103606">
        <w:rPr>
          <w:rFonts w:cs="Arial"/>
          <w:szCs w:val="24"/>
        </w:rPr>
        <w:t xml:space="preserve"> doivent être interprété</w:t>
      </w:r>
      <w:r w:rsidR="005E0FCF">
        <w:rPr>
          <w:rFonts w:cs="Arial"/>
          <w:szCs w:val="24"/>
        </w:rPr>
        <w:t>e</w:t>
      </w:r>
      <w:r w:rsidRPr="00103606">
        <w:rPr>
          <w:rFonts w:cs="Arial"/>
          <w:szCs w:val="24"/>
        </w:rPr>
        <w:t>s de manière « libérale »</w:t>
      </w:r>
      <w:r>
        <w:rPr>
          <w:rStyle w:val="Appelnotedebasdep"/>
          <w:rFonts w:cs="Arial"/>
          <w:szCs w:val="24"/>
        </w:rPr>
        <w:footnoteReference w:id="136"/>
      </w:r>
      <w:r w:rsidRPr="00103606">
        <w:rPr>
          <w:rFonts w:cs="Arial"/>
          <w:szCs w:val="24"/>
        </w:rPr>
        <w:t xml:space="preserve">. </w:t>
      </w:r>
    </w:p>
    <w:p w14:paraId="7203553F" w14:textId="77777777" w:rsidR="00176CC0" w:rsidRPr="00103606" w:rsidRDefault="00E21D39" w:rsidP="007D23ED">
      <w:pPr>
        <w:pStyle w:val="Paragrdouble"/>
        <w:spacing w:line="276" w:lineRule="auto"/>
        <w:rPr>
          <w:rFonts w:cs="Arial"/>
          <w:szCs w:val="24"/>
        </w:rPr>
      </w:pPr>
      <w:r w:rsidRPr="00103606">
        <w:rPr>
          <w:rFonts w:cs="Arial"/>
          <w:szCs w:val="24"/>
        </w:rPr>
        <w:t xml:space="preserve">Les défendeurs prétendent que </w:t>
      </w:r>
      <w:r w:rsidR="00553663" w:rsidRPr="00103606">
        <w:rPr>
          <w:rFonts w:cs="Arial"/>
          <w:szCs w:val="24"/>
        </w:rPr>
        <w:t xml:space="preserve">ce critère n’est pas rencontré, précisément </w:t>
      </w:r>
      <w:r w:rsidR="0029599E">
        <w:rPr>
          <w:rFonts w:cs="Arial"/>
          <w:szCs w:val="24"/>
        </w:rPr>
        <w:br/>
      </w:r>
      <w:r w:rsidR="00553663" w:rsidRPr="00103606">
        <w:rPr>
          <w:rFonts w:cs="Arial"/>
          <w:szCs w:val="24"/>
        </w:rPr>
        <w:t>quant à V.R., considérant la Déclaration du 19 septembre 2008. Or, cette déclaration ne fait pas partie de la preuve considérée</w:t>
      </w:r>
      <w:r w:rsidR="00D31B95">
        <w:rPr>
          <w:rFonts w:cs="Arial"/>
          <w:szCs w:val="24"/>
        </w:rPr>
        <w:t>, tel que cela en a été décidé ci-haut</w:t>
      </w:r>
      <w:r w:rsidR="00553663" w:rsidRPr="00103606">
        <w:rPr>
          <w:rFonts w:cs="Arial"/>
          <w:szCs w:val="24"/>
        </w:rPr>
        <w:t>.</w:t>
      </w:r>
    </w:p>
    <w:p w14:paraId="04EA4FFF" w14:textId="77777777" w:rsidR="00603B9B" w:rsidRPr="00103606" w:rsidRDefault="00E21D39" w:rsidP="003E7928">
      <w:pPr>
        <w:pStyle w:val="Paragrdouble"/>
        <w:spacing w:line="276" w:lineRule="auto"/>
        <w:rPr>
          <w:rFonts w:cs="Arial"/>
        </w:rPr>
      </w:pPr>
      <w:r w:rsidRPr="00103606">
        <w:rPr>
          <w:rFonts w:cs="Arial"/>
          <w:lang w:eastAsia="fr-CA"/>
        </w:rPr>
        <w:t xml:space="preserve">Dans </w:t>
      </w:r>
      <w:r w:rsidR="00540768" w:rsidRPr="00103606">
        <w:rPr>
          <w:rFonts w:cs="Arial"/>
          <w:lang w:eastAsia="fr-CA"/>
        </w:rPr>
        <w:t xml:space="preserve">leur </w:t>
      </w:r>
      <w:r w:rsidR="00B80370">
        <w:rPr>
          <w:rFonts w:cs="Arial"/>
          <w:lang w:eastAsia="fr-CA"/>
        </w:rPr>
        <w:t>Sixième</w:t>
      </w:r>
      <w:r w:rsidR="00B80370" w:rsidRPr="00103606">
        <w:rPr>
          <w:rFonts w:cs="Arial"/>
          <w:lang w:eastAsia="fr-CA"/>
        </w:rPr>
        <w:t xml:space="preserve"> </w:t>
      </w:r>
      <w:r w:rsidR="00540768" w:rsidRPr="00103606">
        <w:rPr>
          <w:rFonts w:cs="Arial"/>
          <w:lang w:eastAsia="fr-CA"/>
        </w:rPr>
        <w:t>Demande</w:t>
      </w:r>
      <w:r w:rsidRPr="00103606">
        <w:rPr>
          <w:rFonts w:cs="Arial"/>
          <w:lang w:eastAsia="fr-CA"/>
        </w:rPr>
        <w:t xml:space="preserve">, </w:t>
      </w:r>
      <w:r w:rsidR="007D23ED" w:rsidRPr="00103606">
        <w:rPr>
          <w:rFonts w:cs="Arial"/>
          <w:lang w:eastAsia="fr-CA"/>
        </w:rPr>
        <w:t>les codemanderesses</w:t>
      </w:r>
      <w:r w:rsidRPr="00103606">
        <w:rPr>
          <w:rFonts w:cs="Arial"/>
          <w:lang w:eastAsia="fr-CA"/>
        </w:rPr>
        <w:t xml:space="preserve"> allègue</w:t>
      </w:r>
      <w:r w:rsidR="00540768" w:rsidRPr="00103606">
        <w:rPr>
          <w:rFonts w:cs="Arial"/>
          <w:lang w:eastAsia="fr-CA"/>
        </w:rPr>
        <w:t>nt</w:t>
      </w:r>
      <w:r w:rsidRPr="00103606">
        <w:rPr>
          <w:rFonts w:cs="Arial"/>
          <w:lang w:eastAsia="fr-CA"/>
        </w:rPr>
        <w:t xml:space="preserve"> </w:t>
      </w:r>
      <w:r w:rsidR="00540768" w:rsidRPr="00103606">
        <w:rPr>
          <w:rFonts w:cs="Arial"/>
          <w:lang w:eastAsia="fr-CA"/>
        </w:rPr>
        <w:t>d</w:t>
      </w:r>
      <w:r w:rsidRPr="00103606">
        <w:rPr>
          <w:rFonts w:cs="Arial"/>
          <w:lang w:eastAsia="fr-CA"/>
        </w:rPr>
        <w:t xml:space="preserve">es faits qui démontrent, selon </w:t>
      </w:r>
      <w:r w:rsidR="00540768" w:rsidRPr="00103606">
        <w:rPr>
          <w:rFonts w:cs="Arial"/>
          <w:lang w:eastAsia="fr-CA"/>
        </w:rPr>
        <w:t>elles</w:t>
      </w:r>
      <w:r w:rsidRPr="00103606">
        <w:rPr>
          <w:rFonts w:cs="Arial"/>
          <w:lang w:eastAsia="fr-CA"/>
        </w:rPr>
        <w:t>, qu’</w:t>
      </w:r>
      <w:r w:rsidR="00540768" w:rsidRPr="00103606">
        <w:rPr>
          <w:rFonts w:cs="Arial"/>
          <w:lang w:eastAsia="fr-CA"/>
        </w:rPr>
        <w:t>elles</w:t>
      </w:r>
      <w:r w:rsidRPr="00103606">
        <w:rPr>
          <w:rFonts w:cs="Arial"/>
          <w:lang w:eastAsia="fr-CA"/>
        </w:rPr>
        <w:t xml:space="preserve"> satisf</w:t>
      </w:r>
      <w:r w:rsidR="00540768" w:rsidRPr="00103606">
        <w:rPr>
          <w:rFonts w:cs="Arial"/>
          <w:lang w:eastAsia="fr-CA"/>
        </w:rPr>
        <w:t>on</w:t>
      </w:r>
      <w:r w:rsidRPr="00103606">
        <w:rPr>
          <w:rFonts w:cs="Arial"/>
          <w:lang w:eastAsia="fr-CA"/>
        </w:rPr>
        <w:t>t pleinement aux trois conditions requises par l’article 575 (4) C.p.c.</w:t>
      </w:r>
      <w:r w:rsidR="007D23ED" w:rsidRPr="00103606">
        <w:rPr>
          <w:rFonts w:cs="Arial"/>
          <w:lang w:eastAsia="fr-CA"/>
        </w:rPr>
        <w:t xml:space="preserve"> </w:t>
      </w:r>
    </w:p>
    <w:p w14:paraId="2C0B91BA" w14:textId="77777777" w:rsidR="007D23ED" w:rsidRPr="00103606" w:rsidRDefault="00E21D39" w:rsidP="00603B9B">
      <w:pPr>
        <w:pStyle w:val="Paragrdouble"/>
        <w:spacing w:line="276" w:lineRule="auto"/>
        <w:rPr>
          <w:rFonts w:cs="Arial"/>
          <w:lang w:eastAsia="fr-CA"/>
        </w:rPr>
      </w:pPr>
      <w:r w:rsidRPr="00103606">
        <w:rPr>
          <w:rFonts w:cs="Arial"/>
          <w:lang w:eastAsia="fr-CA"/>
        </w:rPr>
        <w:t xml:space="preserve">D’abord, elles prétendent satisfaire au critère de l’intérêt juridique à poursuivre puisqu’elles </w:t>
      </w:r>
      <w:r w:rsidR="00654B94" w:rsidRPr="00103606">
        <w:rPr>
          <w:rFonts w:cs="Arial"/>
          <w:lang w:eastAsia="fr-CA"/>
        </w:rPr>
        <w:t>présentent</w:t>
      </w:r>
      <w:r w:rsidRPr="00103606">
        <w:rPr>
          <w:rFonts w:cs="Arial"/>
          <w:lang w:eastAsia="fr-CA"/>
        </w:rPr>
        <w:t xml:space="preserve"> chacune des </w:t>
      </w:r>
      <w:r w:rsidR="00654B94" w:rsidRPr="00103606">
        <w:rPr>
          <w:rFonts w:cs="Arial"/>
          <w:lang w:eastAsia="fr-CA"/>
        </w:rPr>
        <w:t xml:space="preserve">causes défendables contre le défendeur Miller, que S.N. présente une cause défendable </w:t>
      </w:r>
      <w:r w:rsidR="00A36B32" w:rsidRPr="00A36B32">
        <w:rPr>
          <w:rFonts w:cs="Arial"/>
          <w:lang w:eastAsia="fr-CA"/>
        </w:rPr>
        <w:t>contre</w:t>
      </w:r>
      <w:r w:rsidR="00654B94" w:rsidRPr="00103606">
        <w:rPr>
          <w:rFonts w:cs="Arial"/>
          <w:lang w:eastAsia="fr-CA"/>
        </w:rPr>
        <w:t xml:space="preserve"> Miller, Lippmann, Poulet et Abrams, que B.N. présente une cause défendable </w:t>
      </w:r>
      <w:r w:rsidR="00A36B32" w:rsidRPr="00A36B32">
        <w:rPr>
          <w:rFonts w:cs="Arial"/>
          <w:lang w:eastAsia="fr-CA"/>
        </w:rPr>
        <w:t>contre</w:t>
      </w:r>
      <w:r w:rsidR="00654B94" w:rsidRPr="00103606">
        <w:rPr>
          <w:rFonts w:cs="Arial"/>
          <w:lang w:eastAsia="fr-CA"/>
        </w:rPr>
        <w:t xml:space="preserve"> Miller, Abrams et Poulet, et que V.R. présente une cause défendable </w:t>
      </w:r>
      <w:r w:rsidR="00A36B32" w:rsidRPr="00A36B32">
        <w:rPr>
          <w:rFonts w:cs="Arial"/>
          <w:lang w:eastAsia="fr-CA"/>
        </w:rPr>
        <w:t>contre</w:t>
      </w:r>
      <w:r w:rsidR="00654B94" w:rsidRPr="00103606">
        <w:rPr>
          <w:rFonts w:cs="Arial"/>
          <w:lang w:eastAsia="fr-CA"/>
        </w:rPr>
        <w:t xml:space="preserve"> Miller et Abrams, le tout en vertu de l’article 575(2) C.p.c. </w:t>
      </w:r>
      <w:r w:rsidR="00D31B95">
        <w:rPr>
          <w:rFonts w:cs="Arial"/>
          <w:lang w:eastAsia="fr-CA"/>
        </w:rPr>
        <w:t>Une cause défendable existe aussi contre Future, tel qu’énoncé ci-haut.</w:t>
      </w:r>
    </w:p>
    <w:p w14:paraId="52E246DD" w14:textId="77777777" w:rsidR="00176CC0" w:rsidRPr="00103606" w:rsidRDefault="00E21D39" w:rsidP="00B77F8C">
      <w:pPr>
        <w:pStyle w:val="Paragrsimple"/>
        <w:spacing w:line="276" w:lineRule="auto"/>
        <w:rPr>
          <w:rFonts w:cs="Arial"/>
          <w:lang w:eastAsia="fr-CA"/>
        </w:rPr>
      </w:pPr>
      <w:r w:rsidRPr="00103606">
        <w:rPr>
          <w:rFonts w:cs="Arial"/>
          <w:lang w:eastAsia="fr-CA"/>
        </w:rPr>
        <w:t>Les codemanderesses allèguent avoir un intérêt à poursuivre puisqu’elles</w:t>
      </w:r>
      <w:r w:rsidR="00A36B32">
        <w:rPr>
          <w:rFonts w:cs="Arial"/>
          <w:spacing w:val="-4"/>
          <w:lang w:eastAsia="fr-CA"/>
        </w:rPr>
        <w:t xml:space="preserve"> </w:t>
      </w:r>
      <w:r w:rsidRPr="00103606">
        <w:rPr>
          <w:rFonts w:cs="Arial"/>
          <w:lang w:eastAsia="fr-CA"/>
        </w:rPr>
        <w:t>sont</w:t>
      </w:r>
      <w:r w:rsidRPr="00103606">
        <w:rPr>
          <w:rFonts w:cs="Arial"/>
          <w:spacing w:val="-4"/>
          <w:lang w:eastAsia="fr-CA"/>
        </w:rPr>
        <w:t xml:space="preserve"> </w:t>
      </w:r>
      <w:r w:rsidRPr="00103606">
        <w:rPr>
          <w:rFonts w:cs="Arial"/>
          <w:lang w:eastAsia="fr-CA"/>
        </w:rPr>
        <w:t xml:space="preserve">victimes </w:t>
      </w:r>
      <w:r w:rsidR="0094575C">
        <w:rPr>
          <w:rFonts w:cs="Arial"/>
          <w:lang w:eastAsia="fr-CA"/>
        </w:rPr>
        <w:t>de violences</w:t>
      </w:r>
      <w:r w:rsidR="0094575C">
        <w:rPr>
          <w:rFonts w:cs="Arial"/>
          <w:spacing w:val="-10"/>
          <w:lang w:eastAsia="fr-CA"/>
        </w:rPr>
        <w:t xml:space="preserve"> </w:t>
      </w:r>
      <w:r w:rsidRPr="00103606">
        <w:rPr>
          <w:rFonts w:cs="Arial"/>
          <w:lang w:eastAsia="fr-CA"/>
        </w:rPr>
        <w:t>sexuelles</w:t>
      </w:r>
      <w:r w:rsidR="00A36B32">
        <w:rPr>
          <w:rFonts w:cs="Arial"/>
          <w:spacing w:val="-10"/>
          <w:lang w:eastAsia="fr-CA"/>
        </w:rPr>
        <w:t xml:space="preserve"> </w:t>
      </w:r>
      <w:r w:rsidRPr="00103606">
        <w:rPr>
          <w:rFonts w:cs="Arial"/>
          <w:lang w:eastAsia="fr-CA"/>
        </w:rPr>
        <w:t>de</w:t>
      </w:r>
      <w:r w:rsidR="00A36B32">
        <w:rPr>
          <w:rFonts w:cs="Arial"/>
          <w:spacing w:val="-10"/>
          <w:lang w:eastAsia="fr-CA"/>
        </w:rPr>
        <w:t xml:space="preserve"> </w:t>
      </w:r>
      <w:r w:rsidRPr="00103606">
        <w:rPr>
          <w:rFonts w:cs="Arial"/>
          <w:lang w:eastAsia="fr-CA"/>
        </w:rPr>
        <w:t>la</w:t>
      </w:r>
      <w:r w:rsidR="00A36B32">
        <w:rPr>
          <w:rFonts w:cs="Arial"/>
          <w:spacing w:val="-10"/>
          <w:lang w:eastAsia="fr-CA"/>
        </w:rPr>
        <w:t xml:space="preserve"> </w:t>
      </w:r>
      <w:r w:rsidRPr="00103606">
        <w:rPr>
          <w:rFonts w:cs="Arial"/>
          <w:lang w:eastAsia="fr-CA"/>
        </w:rPr>
        <w:t>part</w:t>
      </w:r>
      <w:r w:rsidR="00A36B32">
        <w:rPr>
          <w:rFonts w:cs="Arial"/>
          <w:spacing w:val="-10"/>
          <w:lang w:eastAsia="fr-CA"/>
        </w:rPr>
        <w:t xml:space="preserve"> </w:t>
      </w:r>
      <w:r w:rsidRPr="00103606">
        <w:rPr>
          <w:rFonts w:cs="Arial"/>
          <w:lang w:eastAsia="fr-CA"/>
        </w:rPr>
        <w:t>de Miller,</w:t>
      </w:r>
      <w:r w:rsidR="00A36B32">
        <w:rPr>
          <w:rFonts w:cs="Arial"/>
          <w:spacing w:val="-10"/>
          <w:lang w:eastAsia="fr-CA"/>
        </w:rPr>
        <w:t xml:space="preserve"> </w:t>
      </w:r>
      <w:r w:rsidRPr="00103606">
        <w:rPr>
          <w:rFonts w:cs="Arial"/>
          <w:lang w:eastAsia="fr-CA"/>
        </w:rPr>
        <w:t>comme</w:t>
      </w:r>
      <w:r w:rsidR="00D0209F">
        <w:rPr>
          <w:rFonts w:cs="Arial"/>
          <w:lang w:eastAsia="fr-CA"/>
        </w:rPr>
        <w:t xml:space="preserve"> </w:t>
      </w:r>
      <w:r w:rsidRPr="00103606">
        <w:rPr>
          <w:rFonts w:cs="Arial"/>
          <w:lang w:eastAsia="fr-CA"/>
        </w:rPr>
        <w:t>les</w:t>
      </w:r>
      <w:r w:rsidR="00B77F8C" w:rsidRPr="00103606">
        <w:rPr>
          <w:rFonts w:cs="Arial"/>
          <w:lang w:eastAsia="fr-CA"/>
        </w:rPr>
        <w:t xml:space="preserve"> </w:t>
      </w:r>
      <w:r w:rsidRPr="00103606">
        <w:rPr>
          <w:rFonts w:cs="Arial"/>
          <w:lang w:eastAsia="fr-CA"/>
        </w:rPr>
        <w:t>autres</w:t>
      </w:r>
      <w:r w:rsidR="00B77F8C" w:rsidRPr="00103606">
        <w:rPr>
          <w:rFonts w:cs="Arial"/>
          <w:lang w:eastAsia="fr-CA"/>
        </w:rPr>
        <w:t xml:space="preserve"> </w:t>
      </w:r>
      <w:r w:rsidRPr="00103606">
        <w:rPr>
          <w:rFonts w:cs="Arial"/>
          <w:lang w:eastAsia="fr-CA"/>
        </w:rPr>
        <w:t xml:space="preserve">membres du groupe proposé. </w:t>
      </w:r>
      <w:r w:rsidR="00654B94" w:rsidRPr="00103606">
        <w:rPr>
          <w:rFonts w:cs="Arial"/>
          <w:lang w:eastAsia="fr-CA"/>
        </w:rPr>
        <w:t xml:space="preserve">Considérant leur situation personnelle et le fait qu’elles </w:t>
      </w:r>
      <w:r w:rsidR="00B77F8C" w:rsidRPr="00103606">
        <w:rPr>
          <w:rFonts w:cs="Arial"/>
          <w:lang w:eastAsia="fr-CA"/>
        </w:rPr>
        <w:t>possèdent</w:t>
      </w:r>
      <w:r w:rsidR="00654B94" w:rsidRPr="00103606">
        <w:rPr>
          <w:rFonts w:cs="Arial"/>
          <w:lang w:eastAsia="fr-CA"/>
        </w:rPr>
        <w:t xml:space="preserve"> une cause défendable en vertu de l’article 575(2)</w:t>
      </w:r>
      <w:r w:rsidRPr="00103606">
        <w:rPr>
          <w:rFonts w:cs="Arial"/>
          <w:lang w:eastAsia="fr-CA"/>
        </w:rPr>
        <w:t xml:space="preserve"> C.p.c.</w:t>
      </w:r>
      <w:r w:rsidR="00654B94" w:rsidRPr="00103606">
        <w:rPr>
          <w:rFonts w:cs="Arial"/>
          <w:lang w:eastAsia="fr-CA"/>
        </w:rPr>
        <w:t xml:space="preserve">, les codemanderesses </w:t>
      </w:r>
      <w:r w:rsidR="00B77F8C" w:rsidRPr="00103606">
        <w:rPr>
          <w:rFonts w:cs="Arial"/>
          <w:lang w:eastAsia="fr-CA"/>
        </w:rPr>
        <w:t>ont</w:t>
      </w:r>
      <w:r w:rsidR="00654B94" w:rsidRPr="00103606">
        <w:rPr>
          <w:rFonts w:cs="Arial"/>
          <w:lang w:eastAsia="fr-CA"/>
        </w:rPr>
        <w:t xml:space="preserve"> l’intérêt requis pour agir, et ce, même si ultimement les membres du groupe pourront avoir subi des dommages distincts </w:t>
      </w:r>
      <w:r w:rsidR="00546619">
        <w:rPr>
          <w:rFonts w:cs="Arial"/>
          <w:lang w:eastAsia="fr-CA"/>
        </w:rPr>
        <w:t>imputables à</w:t>
      </w:r>
      <w:r w:rsidR="00546619" w:rsidRPr="00103606">
        <w:rPr>
          <w:rFonts w:cs="Arial"/>
          <w:lang w:eastAsia="fr-CA"/>
        </w:rPr>
        <w:t xml:space="preserve"> </w:t>
      </w:r>
      <w:r w:rsidR="00654B94" w:rsidRPr="00103606">
        <w:rPr>
          <w:rFonts w:cs="Arial"/>
          <w:lang w:eastAsia="fr-CA"/>
        </w:rPr>
        <w:t>l’un ou l’autre des défendeurs</w:t>
      </w:r>
      <w:r>
        <w:rPr>
          <w:rStyle w:val="Appelnotedebasdep"/>
          <w:rFonts w:cs="Arial"/>
          <w:lang w:eastAsia="fr-CA"/>
        </w:rPr>
        <w:footnoteReference w:id="137"/>
      </w:r>
      <w:r w:rsidR="00654B94" w:rsidRPr="00103606">
        <w:rPr>
          <w:rFonts w:cs="Arial"/>
          <w:lang w:eastAsia="fr-CA"/>
        </w:rPr>
        <w:t xml:space="preserve">. </w:t>
      </w:r>
    </w:p>
    <w:p w14:paraId="4DC57243" w14:textId="77777777" w:rsidR="00D31B95" w:rsidRDefault="00E21D39" w:rsidP="00603B9B">
      <w:pPr>
        <w:pStyle w:val="Paragrdouble"/>
        <w:spacing w:line="276" w:lineRule="auto"/>
        <w:rPr>
          <w:rFonts w:cs="Arial"/>
          <w:lang w:eastAsia="fr-CA"/>
        </w:rPr>
      </w:pPr>
      <w:r w:rsidRPr="00103606">
        <w:rPr>
          <w:rFonts w:cs="Arial"/>
          <w:lang w:eastAsia="fr-CA"/>
        </w:rPr>
        <w:t>De plus, les codemanderesses indiquent avoir effectué des recherches sur Internet sur leur cause d’action et avoir préparé le dossier avec leur avocat. Elles sont convaincues que d’autres femmes sont concernées également par leur Demande</w:t>
      </w:r>
      <w:r w:rsidR="00B77F8C" w:rsidRPr="00103606">
        <w:rPr>
          <w:rFonts w:cs="Arial"/>
          <w:lang w:eastAsia="fr-CA"/>
        </w:rPr>
        <w:t xml:space="preserve"> et sont déterminées à représenter leur cause</w:t>
      </w:r>
      <w:r w:rsidRPr="00103606">
        <w:rPr>
          <w:rFonts w:cs="Arial"/>
          <w:lang w:eastAsia="fr-CA"/>
        </w:rPr>
        <w:t>. Elles</w:t>
      </w:r>
      <w:r w:rsidR="00654B94" w:rsidRPr="00103606">
        <w:rPr>
          <w:rFonts w:cs="Arial"/>
          <w:lang w:eastAsia="fr-CA"/>
        </w:rPr>
        <w:t xml:space="preserve"> </w:t>
      </w:r>
      <w:r w:rsidRPr="00103606">
        <w:rPr>
          <w:rFonts w:cs="Arial"/>
          <w:lang w:eastAsia="fr-CA"/>
        </w:rPr>
        <w:t>semblent</w:t>
      </w:r>
      <w:r w:rsidR="00FF1C6F" w:rsidRPr="00103606">
        <w:rPr>
          <w:rFonts w:cs="Arial"/>
          <w:lang w:eastAsia="fr-CA"/>
        </w:rPr>
        <w:t xml:space="preserve"> compétentes et intéressées au litige, dans la mesure </w:t>
      </w:r>
      <w:r w:rsidRPr="00103606">
        <w:rPr>
          <w:rFonts w:cs="Arial"/>
          <w:lang w:eastAsia="fr-CA"/>
        </w:rPr>
        <w:t>où</w:t>
      </w:r>
      <w:r w:rsidR="00FF1C6F" w:rsidRPr="00103606">
        <w:rPr>
          <w:rFonts w:cs="Arial"/>
          <w:lang w:eastAsia="fr-CA"/>
        </w:rPr>
        <w:t xml:space="preserve"> elles sont </w:t>
      </w:r>
      <w:r w:rsidRPr="00103606">
        <w:rPr>
          <w:rFonts w:cs="Arial"/>
          <w:lang w:eastAsia="fr-CA"/>
        </w:rPr>
        <w:t xml:space="preserve">également </w:t>
      </w:r>
      <w:r w:rsidR="00FF1C6F" w:rsidRPr="00103606">
        <w:rPr>
          <w:rFonts w:cs="Arial"/>
          <w:lang w:eastAsia="fr-CA"/>
        </w:rPr>
        <w:t>assistées par l’avocat du groupe</w:t>
      </w:r>
      <w:r>
        <w:rPr>
          <w:rStyle w:val="Appelnotedebasdep"/>
          <w:rFonts w:cs="Arial"/>
          <w:lang w:eastAsia="fr-CA"/>
        </w:rPr>
        <w:footnoteReference w:id="138"/>
      </w:r>
      <w:r w:rsidR="00FF1C6F" w:rsidRPr="00103606">
        <w:rPr>
          <w:rFonts w:cs="Arial"/>
          <w:lang w:eastAsia="fr-CA"/>
        </w:rPr>
        <w:t xml:space="preserve">. </w:t>
      </w:r>
    </w:p>
    <w:p w14:paraId="2ABD5659" w14:textId="77777777" w:rsidR="00654B94" w:rsidRPr="00103606" w:rsidRDefault="00E21D39" w:rsidP="00603B9B">
      <w:pPr>
        <w:pStyle w:val="Paragrdouble"/>
        <w:spacing w:line="276" w:lineRule="auto"/>
        <w:rPr>
          <w:rFonts w:cs="Arial"/>
          <w:lang w:eastAsia="fr-CA"/>
        </w:rPr>
      </w:pPr>
      <w:r w:rsidRPr="00103606">
        <w:rPr>
          <w:rFonts w:cs="Arial"/>
          <w:lang w:eastAsia="fr-CA"/>
        </w:rPr>
        <w:t>Je rappelle ici qu’elles n’ont pas à être les meilleures représentantes possibles ni les représentantes idéales</w:t>
      </w:r>
      <w:r>
        <w:rPr>
          <w:rStyle w:val="Appelnotedebasdep"/>
          <w:rFonts w:cs="Arial"/>
          <w:lang w:eastAsia="fr-CA"/>
        </w:rPr>
        <w:footnoteReference w:id="139"/>
      </w:r>
      <w:r w:rsidRPr="00103606">
        <w:rPr>
          <w:rFonts w:cs="Arial"/>
          <w:lang w:eastAsia="fr-CA"/>
        </w:rPr>
        <w:t>.</w:t>
      </w:r>
      <w:r w:rsidR="00B77F8C" w:rsidRPr="00103606">
        <w:rPr>
          <w:rFonts w:cs="Arial"/>
          <w:lang w:eastAsia="fr-CA"/>
        </w:rPr>
        <w:t xml:space="preserve"> Néanmoins, leur bonne foi est alléguée et il n’y a aucune raison de croire qu’elles n’intentent pas le présent recours dans un objectif de compensation de leurs dommages et de ceux des </w:t>
      </w:r>
      <w:r w:rsidR="0072367F">
        <w:rPr>
          <w:rFonts w:cs="Arial"/>
          <w:lang w:eastAsia="fr-CA"/>
        </w:rPr>
        <w:t>m</w:t>
      </w:r>
      <w:r w:rsidR="0072367F" w:rsidRPr="00103606">
        <w:rPr>
          <w:rFonts w:cs="Arial"/>
          <w:lang w:eastAsia="fr-CA"/>
        </w:rPr>
        <w:t xml:space="preserve">embres </w:t>
      </w:r>
      <w:r w:rsidR="00B77F8C" w:rsidRPr="00103606">
        <w:rPr>
          <w:rFonts w:cs="Arial"/>
          <w:lang w:eastAsia="fr-CA"/>
        </w:rPr>
        <w:t>du groupe.</w:t>
      </w:r>
    </w:p>
    <w:p w14:paraId="3CA65E49" w14:textId="77777777" w:rsidR="00176CC0" w:rsidRPr="00103606" w:rsidRDefault="00E21D39" w:rsidP="00176CC0">
      <w:pPr>
        <w:pStyle w:val="Paragrdouble"/>
        <w:spacing w:line="276" w:lineRule="auto"/>
        <w:rPr>
          <w:rFonts w:cs="Arial"/>
          <w:lang w:eastAsia="fr-CA"/>
        </w:rPr>
      </w:pPr>
      <w:r w:rsidRPr="00103606">
        <w:rPr>
          <w:rFonts w:cs="Arial"/>
          <w:lang w:eastAsia="fr-CA"/>
        </w:rPr>
        <w:t>Ensuite, les codemanderesses allèguent être disposées à investir le temps nécessaire pour accomplir les formalités et les tâches requises à l’avancement d’une action collective, avoir été informées</w:t>
      </w:r>
      <w:r w:rsidR="002D31C4">
        <w:rPr>
          <w:rFonts w:cs="Arial"/>
          <w:spacing w:val="-5"/>
          <w:lang w:eastAsia="fr-CA"/>
        </w:rPr>
        <w:t xml:space="preserve"> </w:t>
      </w:r>
      <w:r w:rsidRPr="00103606">
        <w:rPr>
          <w:rFonts w:cs="Arial"/>
          <w:lang w:eastAsia="fr-CA"/>
        </w:rPr>
        <w:t>du</w:t>
      </w:r>
      <w:r w:rsidR="002D31C4">
        <w:rPr>
          <w:rFonts w:cs="Arial"/>
          <w:spacing w:val="-5"/>
          <w:lang w:eastAsia="fr-CA"/>
        </w:rPr>
        <w:t xml:space="preserve"> </w:t>
      </w:r>
      <w:r w:rsidRPr="00103606">
        <w:rPr>
          <w:rFonts w:cs="Arial"/>
          <w:lang w:eastAsia="fr-CA"/>
        </w:rPr>
        <w:t>cheminement</w:t>
      </w:r>
      <w:r w:rsidR="002D31C4">
        <w:rPr>
          <w:rFonts w:cs="Arial"/>
          <w:spacing w:val="-5"/>
          <w:lang w:eastAsia="fr-CA"/>
        </w:rPr>
        <w:t xml:space="preserve"> </w:t>
      </w:r>
      <w:r w:rsidRPr="00103606">
        <w:rPr>
          <w:rFonts w:cs="Arial"/>
          <w:lang w:eastAsia="fr-CA"/>
        </w:rPr>
        <w:t>d’une</w:t>
      </w:r>
      <w:r w:rsidR="002D31C4">
        <w:rPr>
          <w:rFonts w:cs="Arial"/>
          <w:spacing w:val="-5"/>
          <w:lang w:eastAsia="fr-CA"/>
        </w:rPr>
        <w:t xml:space="preserve"> </w:t>
      </w:r>
      <w:r w:rsidRPr="00103606">
        <w:rPr>
          <w:rFonts w:cs="Arial"/>
          <w:lang w:eastAsia="fr-CA"/>
        </w:rPr>
        <w:t>action</w:t>
      </w:r>
      <w:r w:rsidR="002D31C4">
        <w:rPr>
          <w:rFonts w:cs="Arial"/>
          <w:spacing w:val="-5"/>
          <w:lang w:eastAsia="fr-CA"/>
        </w:rPr>
        <w:t xml:space="preserve"> </w:t>
      </w:r>
      <w:r w:rsidRPr="00103606">
        <w:rPr>
          <w:rFonts w:cs="Arial"/>
          <w:spacing w:val="-2"/>
          <w:lang w:eastAsia="fr-CA"/>
        </w:rPr>
        <w:t>collective et comprendre</w:t>
      </w:r>
      <w:r w:rsidR="002D31C4">
        <w:rPr>
          <w:rFonts w:cs="Arial"/>
          <w:spacing w:val="40"/>
          <w:lang w:eastAsia="fr-CA"/>
        </w:rPr>
        <w:t xml:space="preserve"> </w:t>
      </w:r>
      <w:r w:rsidRPr="00103606">
        <w:rPr>
          <w:rFonts w:cs="Arial"/>
          <w:lang w:eastAsia="fr-CA"/>
        </w:rPr>
        <w:t>les démarches</w:t>
      </w:r>
      <w:r w:rsidR="005F3087">
        <w:rPr>
          <w:rFonts w:cs="Arial"/>
          <w:spacing w:val="40"/>
          <w:lang w:eastAsia="fr-CA"/>
        </w:rPr>
        <w:t xml:space="preserve"> </w:t>
      </w:r>
      <w:r w:rsidRPr="00103606">
        <w:rPr>
          <w:rFonts w:cs="Arial"/>
          <w:lang w:eastAsia="fr-CA"/>
        </w:rPr>
        <w:t>entreprises</w:t>
      </w:r>
      <w:r w:rsidR="005F3087">
        <w:rPr>
          <w:rFonts w:cs="Arial"/>
          <w:spacing w:val="40"/>
          <w:lang w:eastAsia="fr-CA"/>
        </w:rPr>
        <w:t xml:space="preserve"> </w:t>
      </w:r>
      <w:r w:rsidRPr="00103606">
        <w:rPr>
          <w:rFonts w:cs="Arial"/>
          <w:lang w:eastAsia="fr-CA"/>
        </w:rPr>
        <w:t>par</w:t>
      </w:r>
      <w:r w:rsidR="005F3087">
        <w:rPr>
          <w:rFonts w:cs="Arial"/>
          <w:spacing w:val="40"/>
          <w:lang w:eastAsia="fr-CA"/>
        </w:rPr>
        <w:t xml:space="preserve"> </w:t>
      </w:r>
      <w:r w:rsidRPr="00103606">
        <w:rPr>
          <w:rFonts w:cs="Arial"/>
          <w:lang w:eastAsia="fr-CA"/>
        </w:rPr>
        <w:t>leurs</w:t>
      </w:r>
      <w:r w:rsidR="005F3087">
        <w:rPr>
          <w:rFonts w:cs="Arial"/>
          <w:spacing w:val="40"/>
          <w:lang w:eastAsia="fr-CA"/>
        </w:rPr>
        <w:t xml:space="preserve"> </w:t>
      </w:r>
      <w:r w:rsidRPr="00103606">
        <w:rPr>
          <w:rFonts w:cs="Arial"/>
          <w:lang w:eastAsia="fr-CA"/>
        </w:rPr>
        <w:t>procureurs</w:t>
      </w:r>
      <w:r w:rsidRPr="00103606">
        <w:rPr>
          <w:rFonts w:cs="Arial"/>
          <w:spacing w:val="-2"/>
          <w:lang w:eastAsia="fr-CA"/>
        </w:rPr>
        <w:t>.</w:t>
      </w:r>
      <w:r w:rsidR="005F3087">
        <w:rPr>
          <w:rFonts w:cs="Arial"/>
          <w:lang w:eastAsia="fr-CA"/>
        </w:rPr>
        <w:t xml:space="preserve"> </w:t>
      </w:r>
      <w:r w:rsidRPr="00103606">
        <w:rPr>
          <w:rFonts w:cs="Arial"/>
          <w:lang w:eastAsia="fr-CA"/>
        </w:rPr>
        <w:t xml:space="preserve">Elles indiquent avoir la capacité et l’intérêt de protéger et représenter les intérêts des </w:t>
      </w:r>
      <w:r w:rsidR="0094575C">
        <w:rPr>
          <w:rFonts w:cs="Arial"/>
          <w:lang w:eastAsia="fr-CA"/>
        </w:rPr>
        <w:t>m</w:t>
      </w:r>
      <w:r w:rsidR="0094575C" w:rsidRPr="00103606">
        <w:rPr>
          <w:rFonts w:cs="Arial"/>
          <w:lang w:eastAsia="fr-CA"/>
        </w:rPr>
        <w:t xml:space="preserve">embres </w:t>
      </w:r>
      <w:r w:rsidRPr="00103606">
        <w:rPr>
          <w:rFonts w:cs="Arial"/>
          <w:lang w:eastAsia="fr-CA"/>
        </w:rPr>
        <w:t>du groupe adéquatement et avec compétence.</w:t>
      </w:r>
    </w:p>
    <w:p w14:paraId="557BFB13" w14:textId="77777777" w:rsidR="00176CC0" w:rsidRPr="00103606" w:rsidRDefault="00E21D39" w:rsidP="00176CC0">
      <w:pPr>
        <w:pStyle w:val="Paragrdouble"/>
        <w:spacing w:line="276" w:lineRule="auto"/>
        <w:rPr>
          <w:rFonts w:cs="Arial"/>
          <w:lang w:eastAsia="fr-CA"/>
        </w:rPr>
      </w:pPr>
      <w:r w:rsidRPr="00103606">
        <w:rPr>
          <w:rFonts w:cs="Arial"/>
          <w:lang w:eastAsia="fr-CA"/>
        </w:rPr>
        <w:t xml:space="preserve">En outre, elles précisent qu’elles ont donné instruction à l’avocat du groupe </w:t>
      </w:r>
      <w:r w:rsidR="00B77F8C" w:rsidRPr="00103606">
        <w:rPr>
          <w:rFonts w:cs="Arial"/>
          <w:lang w:eastAsia="fr-CA"/>
        </w:rPr>
        <w:t>de publiciser</w:t>
      </w:r>
      <w:r w:rsidRPr="00103606">
        <w:rPr>
          <w:rFonts w:cs="Arial"/>
          <w:lang w:eastAsia="fr-CA"/>
        </w:rPr>
        <w:t xml:space="preserve"> les informations sur l’action collective sur le site du cabinet, et de colliger </w:t>
      </w:r>
      <w:r w:rsidR="007340E4">
        <w:rPr>
          <w:rFonts w:cs="Arial"/>
          <w:lang w:eastAsia="fr-CA"/>
        </w:rPr>
        <w:br/>
      </w:r>
      <w:r w:rsidRPr="00103606">
        <w:rPr>
          <w:rFonts w:cs="Arial"/>
          <w:lang w:eastAsia="fr-CA"/>
        </w:rPr>
        <w:t>les coordonnées des membres potentiel</w:t>
      </w:r>
      <w:r w:rsidR="00B77F8C" w:rsidRPr="00103606">
        <w:rPr>
          <w:rFonts w:cs="Arial"/>
          <w:lang w:eastAsia="fr-CA"/>
        </w:rPr>
        <w:t>le</w:t>
      </w:r>
      <w:r w:rsidRPr="00103606">
        <w:rPr>
          <w:rFonts w:cs="Arial"/>
          <w:lang w:eastAsia="fr-CA"/>
        </w:rPr>
        <w:t>s du groupe qui souhaitent être informé</w:t>
      </w:r>
      <w:r w:rsidR="00B77F8C" w:rsidRPr="00103606">
        <w:rPr>
          <w:rFonts w:cs="Arial"/>
          <w:lang w:eastAsia="fr-CA"/>
        </w:rPr>
        <w:t>e</w:t>
      </w:r>
      <w:r w:rsidRPr="00103606">
        <w:rPr>
          <w:rFonts w:cs="Arial"/>
          <w:lang w:eastAsia="fr-CA"/>
        </w:rPr>
        <w:t>s et participer à la résolution du dossier</w:t>
      </w:r>
      <w:r w:rsidR="00B77F8C" w:rsidRPr="00103606">
        <w:rPr>
          <w:rFonts w:cs="Arial"/>
          <w:lang w:eastAsia="fr-CA"/>
        </w:rPr>
        <w:t>, le tout de manière confidentielle.</w:t>
      </w:r>
    </w:p>
    <w:p w14:paraId="105BD89A" w14:textId="77777777" w:rsidR="003E7928" w:rsidRPr="00103606" w:rsidRDefault="00E21D39" w:rsidP="003E7928">
      <w:pPr>
        <w:pStyle w:val="Paragrdouble"/>
        <w:spacing w:line="276" w:lineRule="auto"/>
        <w:rPr>
          <w:rFonts w:cs="Arial"/>
          <w:szCs w:val="24"/>
        </w:rPr>
      </w:pPr>
      <w:r w:rsidRPr="00103606">
        <w:rPr>
          <w:rFonts w:cs="Arial"/>
          <w:lang w:eastAsia="fr-CA"/>
        </w:rPr>
        <w:t xml:space="preserve">Je mentionne d’ailleurs que leur anonymat ne </w:t>
      </w:r>
      <w:r w:rsidR="005E0FCF">
        <w:rPr>
          <w:rFonts w:cs="Arial"/>
          <w:lang w:eastAsia="fr-CA"/>
        </w:rPr>
        <w:t>po</w:t>
      </w:r>
      <w:r w:rsidRPr="00103606">
        <w:rPr>
          <w:rFonts w:cs="Arial"/>
          <w:lang w:eastAsia="fr-CA"/>
        </w:rPr>
        <w:t>se pas problème, puis</w:t>
      </w:r>
      <w:r w:rsidRPr="00103606">
        <w:rPr>
          <w:rFonts w:cs="Arial"/>
          <w:szCs w:val="24"/>
        </w:rPr>
        <w:t>que la Cour suprême statuait qu’il est « tout à fait normal […] que les victimes d’agressions sexuelles, y compris le représentant, bénéficient du droit à l’anonymat, et que les contacts avec les membres se fassent principalement par l’entremise des avocats du représentant.</w:t>
      </w:r>
      <w:r>
        <w:rPr>
          <w:rStyle w:val="Appelnotedebasdep"/>
          <w:rFonts w:cs="Arial"/>
          <w:szCs w:val="24"/>
        </w:rPr>
        <w:footnoteReference w:id="140"/>
      </w:r>
      <w:r w:rsidRPr="00103606">
        <w:rPr>
          <w:rFonts w:cs="Arial"/>
          <w:szCs w:val="24"/>
        </w:rPr>
        <w:t> ».</w:t>
      </w:r>
    </w:p>
    <w:p w14:paraId="2E915779" w14:textId="77777777" w:rsidR="003E7928" w:rsidRPr="00103606" w:rsidRDefault="00E21D39" w:rsidP="003E7928">
      <w:pPr>
        <w:pStyle w:val="Paragrdouble"/>
        <w:spacing w:line="276" w:lineRule="auto"/>
        <w:rPr>
          <w:rFonts w:cs="Arial"/>
          <w:lang w:eastAsia="fr-CA"/>
        </w:rPr>
      </w:pPr>
      <w:r w:rsidRPr="00103606">
        <w:rPr>
          <w:rFonts w:cs="Arial"/>
          <w:lang w:eastAsia="fr-CA"/>
        </w:rPr>
        <w:t>Enfin,</w:t>
      </w:r>
      <w:r w:rsidR="00176CC0" w:rsidRPr="00103606">
        <w:rPr>
          <w:rFonts w:cs="Arial"/>
          <w:lang w:eastAsia="fr-CA"/>
        </w:rPr>
        <w:t xml:space="preserve"> </w:t>
      </w:r>
      <w:r w:rsidRPr="00103606">
        <w:rPr>
          <w:rFonts w:cs="Arial"/>
          <w:lang w:eastAsia="fr-CA"/>
        </w:rPr>
        <w:t>les codemanderesses</w:t>
      </w:r>
      <w:r w:rsidR="00176CC0" w:rsidRPr="00103606">
        <w:rPr>
          <w:rFonts w:cs="Arial"/>
          <w:lang w:eastAsia="fr-CA"/>
        </w:rPr>
        <w:t xml:space="preserve"> </w:t>
      </w:r>
      <w:r w:rsidRPr="00103606">
        <w:rPr>
          <w:rFonts w:cs="Arial"/>
          <w:lang w:eastAsia="fr-CA"/>
        </w:rPr>
        <w:t>allègue</w:t>
      </w:r>
      <w:r w:rsidR="00FF1C6F" w:rsidRPr="00103606">
        <w:rPr>
          <w:rFonts w:cs="Arial"/>
          <w:lang w:eastAsia="fr-CA"/>
        </w:rPr>
        <w:t>nt</w:t>
      </w:r>
      <w:r w:rsidR="00176CC0" w:rsidRPr="00103606">
        <w:rPr>
          <w:rFonts w:cs="Arial"/>
          <w:lang w:eastAsia="fr-CA"/>
        </w:rPr>
        <w:t xml:space="preserve"> </w:t>
      </w:r>
      <w:r w:rsidRPr="00103606">
        <w:rPr>
          <w:rFonts w:cs="Arial"/>
          <w:lang w:eastAsia="fr-CA"/>
        </w:rPr>
        <w:t>qu’il</w:t>
      </w:r>
      <w:r w:rsidR="00176CC0" w:rsidRPr="00103606">
        <w:rPr>
          <w:rFonts w:cs="Arial"/>
          <w:lang w:eastAsia="fr-CA"/>
        </w:rPr>
        <w:t xml:space="preserve"> </w:t>
      </w:r>
      <w:r w:rsidRPr="00103606">
        <w:rPr>
          <w:rFonts w:cs="Arial"/>
          <w:lang w:eastAsia="fr-CA"/>
        </w:rPr>
        <w:t>n’existe</w:t>
      </w:r>
      <w:r w:rsidR="00220775">
        <w:rPr>
          <w:rFonts w:cs="Arial"/>
          <w:spacing w:val="-5"/>
          <w:lang w:eastAsia="fr-CA"/>
        </w:rPr>
        <w:t xml:space="preserve"> </w:t>
      </w:r>
      <w:r w:rsidRPr="00103606">
        <w:rPr>
          <w:rFonts w:cs="Arial"/>
          <w:lang w:eastAsia="fr-CA"/>
        </w:rPr>
        <w:t>aucun</w:t>
      </w:r>
      <w:r w:rsidR="00220775">
        <w:rPr>
          <w:rFonts w:cs="Arial"/>
          <w:spacing w:val="-5"/>
          <w:lang w:eastAsia="fr-CA"/>
        </w:rPr>
        <w:t xml:space="preserve"> </w:t>
      </w:r>
      <w:r w:rsidRPr="00103606">
        <w:rPr>
          <w:rFonts w:cs="Arial"/>
          <w:lang w:eastAsia="fr-CA"/>
        </w:rPr>
        <w:t>conflit</w:t>
      </w:r>
      <w:r w:rsidR="00220775">
        <w:rPr>
          <w:rFonts w:cs="Arial"/>
          <w:spacing w:val="-5"/>
          <w:lang w:eastAsia="fr-CA"/>
        </w:rPr>
        <w:t xml:space="preserve"> </w:t>
      </w:r>
      <w:r w:rsidRPr="00103606">
        <w:rPr>
          <w:rFonts w:cs="Arial"/>
          <w:lang w:eastAsia="fr-CA"/>
        </w:rPr>
        <w:t>d’intérêts</w:t>
      </w:r>
      <w:r w:rsidR="00220775">
        <w:rPr>
          <w:rFonts w:cs="Arial"/>
          <w:spacing w:val="-5"/>
          <w:lang w:eastAsia="fr-CA"/>
        </w:rPr>
        <w:t xml:space="preserve"> </w:t>
      </w:r>
      <w:r w:rsidR="00B77F8C" w:rsidRPr="00103606">
        <w:rPr>
          <w:rFonts w:cs="Arial"/>
          <w:lang w:eastAsia="fr-CA"/>
        </w:rPr>
        <w:t>entre</w:t>
      </w:r>
      <w:r w:rsidR="00B77F8C" w:rsidRPr="00103606">
        <w:rPr>
          <w:rFonts w:cs="Arial"/>
          <w:spacing w:val="-5"/>
          <w:lang w:eastAsia="fr-CA"/>
        </w:rPr>
        <w:t xml:space="preserve"> elles</w:t>
      </w:r>
      <w:r w:rsidR="00220775">
        <w:rPr>
          <w:rFonts w:cs="Arial"/>
          <w:spacing w:val="-5"/>
          <w:lang w:eastAsia="fr-CA"/>
        </w:rPr>
        <w:t xml:space="preserve"> </w:t>
      </w:r>
      <w:r w:rsidRPr="00103606">
        <w:rPr>
          <w:rFonts w:cs="Arial"/>
          <w:lang w:eastAsia="fr-CA"/>
        </w:rPr>
        <w:t>et</w:t>
      </w:r>
      <w:r w:rsidR="00220775">
        <w:rPr>
          <w:rFonts w:cs="Arial"/>
          <w:spacing w:val="-5"/>
          <w:lang w:eastAsia="fr-CA"/>
        </w:rPr>
        <w:t xml:space="preserve"> </w:t>
      </w:r>
      <w:r w:rsidRPr="00103606">
        <w:rPr>
          <w:rFonts w:cs="Arial"/>
          <w:lang w:eastAsia="fr-CA"/>
        </w:rPr>
        <w:t>les</w:t>
      </w:r>
      <w:r w:rsidR="00220775">
        <w:rPr>
          <w:rFonts w:cs="Arial"/>
          <w:spacing w:val="-5"/>
          <w:lang w:eastAsia="fr-CA"/>
        </w:rPr>
        <w:t xml:space="preserve"> </w:t>
      </w:r>
      <w:r w:rsidR="00B50089">
        <w:rPr>
          <w:rFonts w:cs="Arial"/>
          <w:lang w:eastAsia="fr-CA"/>
        </w:rPr>
        <w:t>m</w:t>
      </w:r>
      <w:r w:rsidRPr="00103606">
        <w:rPr>
          <w:rFonts w:cs="Arial"/>
          <w:lang w:eastAsia="fr-CA"/>
        </w:rPr>
        <w:t>embres</w:t>
      </w:r>
      <w:r w:rsidR="00220775">
        <w:rPr>
          <w:rFonts w:cs="Arial"/>
          <w:spacing w:val="-5"/>
          <w:lang w:eastAsia="fr-CA"/>
        </w:rPr>
        <w:t xml:space="preserve"> </w:t>
      </w:r>
      <w:r w:rsidRPr="00103606">
        <w:rPr>
          <w:rFonts w:cs="Arial"/>
          <w:lang w:eastAsia="fr-CA"/>
        </w:rPr>
        <w:t>du</w:t>
      </w:r>
      <w:r w:rsidR="00220775">
        <w:rPr>
          <w:rFonts w:cs="Arial"/>
          <w:spacing w:val="-5"/>
          <w:lang w:eastAsia="fr-CA"/>
        </w:rPr>
        <w:t xml:space="preserve"> </w:t>
      </w:r>
      <w:r w:rsidRPr="00103606">
        <w:rPr>
          <w:rFonts w:cs="Arial"/>
          <w:lang w:eastAsia="fr-CA"/>
        </w:rPr>
        <w:t>groupe proposé.</w:t>
      </w:r>
    </w:p>
    <w:p w14:paraId="18D59A65" w14:textId="77777777" w:rsidR="00AD1ED4" w:rsidRDefault="00E21D39" w:rsidP="00AD1ED4">
      <w:pPr>
        <w:pStyle w:val="Paragrdouble"/>
        <w:spacing w:line="276" w:lineRule="auto"/>
        <w:rPr>
          <w:rFonts w:cs="Arial"/>
          <w:lang w:eastAsia="fr-CA"/>
        </w:rPr>
      </w:pPr>
      <w:r w:rsidRPr="00103606">
        <w:rPr>
          <w:rFonts w:cs="Arial"/>
          <w:lang w:eastAsia="fr-CA"/>
        </w:rPr>
        <w:t>Le critère 575(4) C.p.c. est donc rencontré.</w:t>
      </w:r>
    </w:p>
    <w:p w14:paraId="5590DB93" w14:textId="77777777" w:rsidR="00D2743B" w:rsidRDefault="00E21D39">
      <w:pPr>
        <w:rPr>
          <w:rFonts w:cs="Arial"/>
          <w:kern w:val="28"/>
          <w:lang w:eastAsia="fr-CA"/>
        </w:rPr>
      </w:pPr>
      <w:r>
        <w:rPr>
          <w:rFonts w:cs="Arial"/>
          <w:kern w:val="28"/>
          <w:lang w:eastAsia="fr-CA"/>
        </w:rPr>
        <w:br w:type="page"/>
      </w:r>
    </w:p>
    <w:p w14:paraId="314469CC" w14:textId="77777777" w:rsidR="00F3012A" w:rsidRPr="00103606" w:rsidRDefault="00E21D39" w:rsidP="00F4232B">
      <w:pPr>
        <w:pStyle w:val="Titre1"/>
        <w:numPr>
          <w:ilvl w:val="0"/>
          <w:numId w:val="6"/>
        </w:numPr>
        <w:ind w:left="709" w:hanging="567"/>
        <w:rPr>
          <w:rFonts w:cs="Arial"/>
          <w:lang w:eastAsia="fr-CA"/>
        </w:rPr>
      </w:pPr>
      <w:bookmarkStart w:id="68" w:name="_Toc256000026"/>
      <w:bookmarkStart w:id="69" w:name="_Toc187475785"/>
      <w:r w:rsidRPr="00103606">
        <w:rPr>
          <w:rFonts w:cs="Arial"/>
          <w:lang w:eastAsia="fr-CA"/>
        </w:rPr>
        <w:t>DEMANDES EN ABUS DE PROCÉDURE</w:t>
      </w:r>
      <w:bookmarkEnd w:id="68"/>
      <w:bookmarkEnd w:id="69"/>
    </w:p>
    <w:p w14:paraId="289B9752" w14:textId="77777777" w:rsidR="002E2258" w:rsidRPr="00103606" w:rsidRDefault="00E21D39" w:rsidP="00573001">
      <w:pPr>
        <w:pStyle w:val="Paragrdouble"/>
        <w:spacing w:after="240" w:line="276" w:lineRule="auto"/>
        <w:rPr>
          <w:rFonts w:cs="Arial"/>
          <w:lang w:eastAsia="fr-CA"/>
        </w:rPr>
      </w:pPr>
      <w:r w:rsidRPr="00103606">
        <w:rPr>
          <w:rFonts w:cs="Arial"/>
          <w:lang w:eastAsia="fr-CA"/>
        </w:rPr>
        <w:t xml:space="preserve">Miller </w:t>
      </w:r>
      <w:r w:rsidR="00B50089">
        <w:rPr>
          <w:rFonts w:cs="Arial"/>
          <w:lang w:eastAsia="fr-CA"/>
        </w:rPr>
        <w:t>prétend</w:t>
      </w:r>
      <w:r w:rsidR="00B50089" w:rsidRPr="00103606">
        <w:rPr>
          <w:rFonts w:cs="Arial"/>
          <w:lang w:eastAsia="fr-CA"/>
        </w:rPr>
        <w:t xml:space="preserve"> </w:t>
      </w:r>
      <w:r w:rsidRPr="00103606">
        <w:rPr>
          <w:rFonts w:cs="Arial"/>
          <w:lang w:eastAsia="fr-CA"/>
        </w:rPr>
        <w:t xml:space="preserve">que la seconde demande de sauvegarde </w:t>
      </w:r>
      <w:r w:rsidR="00B50089">
        <w:rPr>
          <w:rFonts w:cs="Arial"/>
          <w:lang w:eastAsia="fr-CA"/>
        </w:rPr>
        <w:t xml:space="preserve">présentée par les codemanderesses était abusive et </w:t>
      </w:r>
      <w:r w:rsidRPr="00103606">
        <w:rPr>
          <w:rFonts w:cs="Arial"/>
          <w:lang w:eastAsia="fr-CA"/>
        </w:rPr>
        <w:t>contraire aux objectifs</w:t>
      </w:r>
      <w:r w:rsidR="005E0FCF">
        <w:rPr>
          <w:rFonts w:cs="Arial"/>
          <w:lang w:eastAsia="fr-CA"/>
        </w:rPr>
        <w:t xml:space="preserve"> </w:t>
      </w:r>
      <w:r w:rsidRPr="00103606">
        <w:rPr>
          <w:rFonts w:cs="Arial"/>
          <w:lang w:eastAsia="fr-CA"/>
        </w:rPr>
        <w:t xml:space="preserve">mêmes d’une telle demande, soit de maintenir ou rétablir le </w:t>
      </w:r>
      <w:r w:rsidRPr="00103606">
        <w:rPr>
          <w:rFonts w:cs="Arial"/>
          <w:i/>
          <w:iCs/>
          <w:lang w:eastAsia="fr-CA"/>
        </w:rPr>
        <w:t>statu quo</w:t>
      </w:r>
      <w:r w:rsidRPr="00103606">
        <w:rPr>
          <w:rFonts w:cs="Arial"/>
          <w:lang w:eastAsia="fr-CA"/>
        </w:rPr>
        <w:t xml:space="preserve"> entre les parties, </w:t>
      </w:r>
      <w:r w:rsidR="00505656">
        <w:rPr>
          <w:rFonts w:cs="Arial"/>
          <w:lang w:eastAsia="fr-CA"/>
        </w:rPr>
        <w:br/>
      </w:r>
      <w:r w:rsidRPr="00103606">
        <w:rPr>
          <w:rFonts w:cs="Arial"/>
          <w:lang w:eastAsia="fr-CA"/>
        </w:rPr>
        <w:t>à des fins conservatoires, pour préserver un certain équilibre</w:t>
      </w:r>
      <w:r>
        <w:rPr>
          <w:rStyle w:val="Appelnotedebasdep"/>
          <w:rFonts w:cs="Arial"/>
          <w:lang w:eastAsia="fr-CA"/>
        </w:rPr>
        <w:footnoteReference w:id="141"/>
      </w:r>
      <w:r w:rsidRPr="00103606">
        <w:rPr>
          <w:rFonts w:cs="Arial"/>
          <w:lang w:eastAsia="fr-CA"/>
        </w:rPr>
        <w:t xml:space="preserve">. Il soutient qu’aucun </w:t>
      </w:r>
      <w:r w:rsidRPr="00103606">
        <w:rPr>
          <w:rFonts w:cs="Arial"/>
          <w:i/>
          <w:iCs/>
          <w:lang w:eastAsia="fr-CA"/>
        </w:rPr>
        <w:t>statu</w:t>
      </w:r>
      <w:r w:rsidR="00505656">
        <w:rPr>
          <w:rFonts w:cs="Arial"/>
          <w:i/>
          <w:iCs/>
          <w:lang w:eastAsia="fr-CA"/>
        </w:rPr>
        <w:t> </w:t>
      </w:r>
      <w:r w:rsidRPr="00103606">
        <w:rPr>
          <w:rFonts w:cs="Arial"/>
          <w:i/>
          <w:iCs/>
          <w:lang w:eastAsia="fr-CA"/>
        </w:rPr>
        <w:t>quo</w:t>
      </w:r>
      <w:r w:rsidRPr="00103606">
        <w:rPr>
          <w:rFonts w:cs="Arial"/>
          <w:lang w:eastAsia="fr-CA"/>
        </w:rPr>
        <w:t xml:space="preserve"> ou équilibre n’était ici à maintenir ou rétablir. De plus, selon lui, aucune telle demande ne </w:t>
      </w:r>
      <w:r w:rsidR="00D57307" w:rsidRPr="00103606">
        <w:rPr>
          <w:rFonts w:cs="Arial"/>
          <w:lang w:eastAsia="fr-CA"/>
        </w:rPr>
        <w:t>pouvait</w:t>
      </w:r>
      <w:r w:rsidRPr="00103606">
        <w:rPr>
          <w:rFonts w:cs="Arial"/>
          <w:lang w:eastAsia="fr-CA"/>
        </w:rPr>
        <w:t xml:space="preserve"> être présentée au stade préalable à l’autorisation</w:t>
      </w:r>
      <w:r w:rsidR="00D57307" w:rsidRPr="00103606">
        <w:rPr>
          <w:rFonts w:cs="Arial"/>
          <w:lang w:eastAsia="fr-CA"/>
        </w:rPr>
        <w:t>, et l</w:t>
      </w:r>
      <w:r w:rsidRPr="00103606">
        <w:rPr>
          <w:rFonts w:cs="Arial"/>
          <w:lang w:eastAsia="fr-CA"/>
        </w:rPr>
        <w:t xml:space="preserve">es mêmes arguments </w:t>
      </w:r>
      <w:r w:rsidR="00D57307" w:rsidRPr="00103606">
        <w:rPr>
          <w:rFonts w:cs="Arial"/>
          <w:lang w:eastAsia="fr-CA"/>
        </w:rPr>
        <w:t>y auraient</w:t>
      </w:r>
      <w:r w:rsidRPr="00103606">
        <w:rPr>
          <w:rFonts w:cs="Arial"/>
          <w:lang w:eastAsia="fr-CA"/>
        </w:rPr>
        <w:t xml:space="preserve"> été présentés par les codemanderesses.</w:t>
      </w:r>
      <w:r w:rsidR="007000DD" w:rsidRPr="00103606">
        <w:rPr>
          <w:rFonts w:cs="Arial"/>
          <w:lang w:eastAsia="fr-CA"/>
        </w:rPr>
        <w:t xml:space="preserve"> Cette demande n’avait </w:t>
      </w:r>
      <w:r w:rsidR="00D57307" w:rsidRPr="00103606">
        <w:rPr>
          <w:rFonts w:cs="Arial"/>
          <w:lang w:eastAsia="fr-CA"/>
        </w:rPr>
        <w:t xml:space="preserve">donc </w:t>
      </w:r>
      <w:r w:rsidR="007000DD" w:rsidRPr="00103606">
        <w:rPr>
          <w:rFonts w:cs="Arial"/>
          <w:lang w:eastAsia="fr-CA"/>
        </w:rPr>
        <w:t xml:space="preserve">aucune chance de réussir, toujours selon </w:t>
      </w:r>
      <w:r w:rsidRPr="00103606">
        <w:rPr>
          <w:rFonts w:cs="Arial"/>
          <w:lang w:eastAsia="fr-CA"/>
        </w:rPr>
        <w:t>Miller</w:t>
      </w:r>
      <w:r w:rsidR="007000DD" w:rsidRPr="00103606">
        <w:rPr>
          <w:rFonts w:cs="Arial"/>
          <w:lang w:eastAsia="fr-CA"/>
        </w:rPr>
        <w:t>. Plus largement, il prétend que la multitude de procédures présentées par les codemanderesses justifie l’attribution de dommages pour abus de procédure.</w:t>
      </w:r>
    </w:p>
    <w:p w14:paraId="7408E0F4" w14:textId="77777777" w:rsidR="00D57307" w:rsidRPr="00103606" w:rsidRDefault="00E21D39" w:rsidP="00573001">
      <w:pPr>
        <w:pStyle w:val="Paragrdouble"/>
        <w:spacing w:after="240" w:line="276" w:lineRule="auto"/>
        <w:rPr>
          <w:rFonts w:cs="Arial"/>
          <w:lang w:eastAsia="fr-CA"/>
        </w:rPr>
      </w:pPr>
      <w:r w:rsidRPr="00103606">
        <w:rPr>
          <w:rFonts w:cs="Arial"/>
          <w:lang w:eastAsia="fr-CA"/>
        </w:rPr>
        <w:t xml:space="preserve">Pour ce qui est des codemanderesses, elles </w:t>
      </w:r>
      <w:r w:rsidR="00B50089">
        <w:rPr>
          <w:rFonts w:cs="Arial"/>
          <w:lang w:eastAsia="fr-CA"/>
        </w:rPr>
        <w:t xml:space="preserve">abandonnent toute demande pour abus envers les défendeurs et </w:t>
      </w:r>
      <w:r w:rsidRPr="00103606">
        <w:rPr>
          <w:rFonts w:cs="Arial"/>
          <w:lang w:eastAsia="fr-CA"/>
        </w:rPr>
        <w:t xml:space="preserve">répondent </w:t>
      </w:r>
      <w:r w:rsidR="00B50089">
        <w:rPr>
          <w:rFonts w:cs="Arial"/>
          <w:lang w:eastAsia="fr-CA"/>
        </w:rPr>
        <w:t xml:space="preserve">à l’argument présenté par les défendeurs </w:t>
      </w:r>
      <w:r w:rsidR="0094575C" w:rsidRPr="00103606">
        <w:rPr>
          <w:rFonts w:cs="Arial"/>
          <w:lang w:eastAsia="fr-CA"/>
        </w:rPr>
        <w:t>qu’</w:t>
      </w:r>
      <w:r w:rsidR="0094575C">
        <w:rPr>
          <w:rFonts w:cs="Arial"/>
          <w:lang w:eastAsia="fr-CA"/>
        </w:rPr>
        <w:t>elles étaient justifiées</w:t>
      </w:r>
      <w:r w:rsidR="0094575C" w:rsidRPr="00103606">
        <w:rPr>
          <w:rFonts w:cs="Arial"/>
          <w:lang w:eastAsia="fr-CA"/>
        </w:rPr>
        <w:t xml:space="preserve"> </w:t>
      </w:r>
      <w:r w:rsidRPr="00103606">
        <w:rPr>
          <w:rFonts w:cs="Arial"/>
          <w:lang w:eastAsia="fr-CA"/>
        </w:rPr>
        <w:t>de présenter leurs procédures et particulièrement, la seconde ordonnance de sauvegarde.</w:t>
      </w:r>
      <w:r w:rsidR="0072346E" w:rsidRPr="00103606">
        <w:rPr>
          <w:rFonts w:cs="Arial"/>
          <w:lang w:eastAsia="fr-CA"/>
        </w:rPr>
        <w:t xml:space="preserve"> Selon elles, les nouvelle</w:t>
      </w:r>
      <w:r w:rsidR="00FF60F4" w:rsidRPr="00103606">
        <w:rPr>
          <w:rFonts w:cs="Arial"/>
          <w:lang w:eastAsia="fr-CA"/>
        </w:rPr>
        <w:t>s quant à l’état de santé précaire de Miller, son patrimoine successoral important et son absence de compte bancaire, faisaient en sorte de susciter une crainte que l’exécution d’un jugement éventuel soit difficile.</w:t>
      </w:r>
    </w:p>
    <w:p w14:paraId="13AAEB60" w14:textId="77777777" w:rsidR="00D57307" w:rsidRPr="00103606" w:rsidRDefault="00E21D39" w:rsidP="00573001">
      <w:pPr>
        <w:pStyle w:val="Titre2"/>
        <w:numPr>
          <w:ilvl w:val="3"/>
          <w:numId w:val="18"/>
        </w:numPr>
        <w:spacing w:before="120"/>
        <w:rPr>
          <w:rFonts w:cs="Arial"/>
          <w:lang w:eastAsia="fr-CA"/>
        </w:rPr>
      </w:pPr>
      <w:bookmarkStart w:id="70" w:name="_Toc256000027"/>
      <w:bookmarkStart w:id="71" w:name="_Toc187475786"/>
      <w:r w:rsidRPr="00103606">
        <w:rPr>
          <w:rFonts w:cs="Arial"/>
          <w:lang w:eastAsia="fr-CA"/>
        </w:rPr>
        <w:t>Principes applicables</w:t>
      </w:r>
      <w:bookmarkEnd w:id="70"/>
      <w:bookmarkEnd w:id="71"/>
    </w:p>
    <w:p w14:paraId="1F1489BC" w14:textId="77777777" w:rsidR="007000DD" w:rsidRPr="00103606" w:rsidRDefault="00E21D39" w:rsidP="00573001">
      <w:pPr>
        <w:pStyle w:val="Paragrdouble"/>
        <w:spacing w:after="240" w:line="276" w:lineRule="auto"/>
        <w:rPr>
          <w:rFonts w:cs="Arial"/>
        </w:rPr>
      </w:pPr>
      <w:r w:rsidRPr="00103606">
        <w:rPr>
          <w:rFonts w:cs="Arial"/>
        </w:rPr>
        <w:t>L’article</w:t>
      </w:r>
      <w:r w:rsidR="0047024B">
        <w:rPr>
          <w:rFonts w:cs="Arial"/>
        </w:rPr>
        <w:t xml:space="preserve"> </w:t>
      </w:r>
      <w:r w:rsidRPr="00103606">
        <w:rPr>
          <w:rFonts w:cs="Arial"/>
        </w:rPr>
        <w:t>51 C.p.c.</w:t>
      </w:r>
      <w:r w:rsidR="0094575C">
        <w:rPr>
          <w:rFonts w:cs="Arial"/>
        </w:rPr>
        <w:t xml:space="preserve"> me</w:t>
      </w:r>
      <w:r w:rsidRPr="00103606">
        <w:rPr>
          <w:rFonts w:cs="Arial"/>
        </w:rPr>
        <w:t xml:space="preserve"> permet de déclarer</w:t>
      </w:r>
      <w:r w:rsidR="00B50089">
        <w:rPr>
          <w:rFonts w:cs="Arial"/>
        </w:rPr>
        <w:t>, même d’office,</w:t>
      </w:r>
      <w:r w:rsidRPr="00103606">
        <w:rPr>
          <w:rFonts w:cs="Arial"/>
        </w:rPr>
        <w:t xml:space="preserve"> qu’une demande en justice ou un autre acte de procédure est abusif. L’abus peut résulter, sans égard à l’intention, d’une demande en justice manifestement mal fondée, frivole ou dilatoire, ou d’un comportement vexatoire ou quérulent. Il peut aussi résulter de l’utilisation de la procédure de manière excessive ou déraisonnable ou de manière à nuire à autrui ou encore du détournement des fins de la justice.</w:t>
      </w:r>
    </w:p>
    <w:p w14:paraId="71F4AC30" w14:textId="77777777" w:rsidR="007000DD" w:rsidRPr="00103606" w:rsidRDefault="00E21D39" w:rsidP="00573001">
      <w:pPr>
        <w:pStyle w:val="Paragrdouble"/>
        <w:spacing w:after="240" w:line="276" w:lineRule="auto"/>
        <w:rPr>
          <w:rFonts w:cs="Arial"/>
        </w:rPr>
      </w:pPr>
      <w:r w:rsidRPr="00103606">
        <w:rPr>
          <w:rFonts w:cs="Arial"/>
          <w:lang w:eastAsia="fr-CA"/>
        </w:rPr>
        <w:t>Un abus peut naître notamment d’une procédure qui, sans égard à l’intention et donc sans indices de mauvaise foi ou d’une intention de nuire, est manifestement mal fondée, en ce qu’elle ne présente aucune chance raisonnable de succès ou est au contraire vouée à l’échec. Ainsi, une déclaration d’abus peut résulter de la témérité dont fait preuve un demandeur en intentant un recours «</w:t>
      </w:r>
      <w:r w:rsidR="00CE4D15">
        <w:rPr>
          <w:rFonts w:cs="Arial"/>
          <w:lang w:eastAsia="fr-CA"/>
        </w:rPr>
        <w:t> </w:t>
      </w:r>
      <w:r w:rsidRPr="00103606">
        <w:rPr>
          <w:rFonts w:cs="Arial"/>
          <w:lang w:eastAsia="fr-CA"/>
        </w:rPr>
        <w:t xml:space="preserve">alors qu’une personne raisonnable et prudente, placée dans les circonstances connues par la partie au moment où </w:t>
      </w:r>
      <w:r w:rsidR="00CE3FED">
        <w:rPr>
          <w:rFonts w:cs="Arial"/>
          <w:lang w:eastAsia="fr-CA"/>
        </w:rPr>
        <w:br/>
      </w:r>
      <w:r w:rsidRPr="00103606">
        <w:rPr>
          <w:rFonts w:cs="Arial"/>
          <w:lang w:eastAsia="fr-CA"/>
        </w:rPr>
        <w:t xml:space="preserve">elle dépose la procédure ou l’argumente, conclurait à l’inexistence d’un fondement </w:t>
      </w:r>
      <w:r w:rsidR="00CE3FED">
        <w:rPr>
          <w:rFonts w:cs="Arial"/>
          <w:lang w:eastAsia="fr-CA"/>
        </w:rPr>
        <w:br/>
      </w:r>
      <w:r w:rsidRPr="00103606">
        <w:rPr>
          <w:rFonts w:cs="Arial"/>
          <w:lang w:eastAsia="fr-CA"/>
        </w:rPr>
        <w:t>pour cette procédure »</w:t>
      </w:r>
      <w:r>
        <w:rPr>
          <w:rStyle w:val="Appelnotedebasdep"/>
          <w:rFonts w:cs="Arial"/>
          <w:lang w:eastAsia="fr-CA"/>
        </w:rPr>
        <w:footnoteReference w:id="142"/>
      </w:r>
      <w:r w:rsidRPr="00103606">
        <w:rPr>
          <w:rFonts w:cs="Arial"/>
          <w:lang w:eastAsia="fr-CA"/>
        </w:rPr>
        <w:t>. La témérité susceptible d’entraîner une déclaration d’abus peut également s’exprimer à travers la formulation d’allégations qui ne résistent pas à une analyse attentive</w:t>
      </w:r>
      <w:r>
        <w:rPr>
          <w:rStyle w:val="Appelnotedebasdep"/>
          <w:rFonts w:cs="Arial"/>
          <w:lang w:eastAsia="fr-CA"/>
        </w:rPr>
        <w:footnoteReference w:id="143"/>
      </w:r>
      <w:r w:rsidRPr="00103606">
        <w:rPr>
          <w:rFonts w:cs="Arial"/>
          <w:lang w:eastAsia="fr-CA"/>
        </w:rPr>
        <w:t>.</w:t>
      </w:r>
    </w:p>
    <w:p w14:paraId="527EA4CC" w14:textId="77777777" w:rsidR="00B50089" w:rsidRDefault="00E21D39" w:rsidP="00B50089">
      <w:pPr>
        <w:pStyle w:val="Paragrdouble"/>
        <w:spacing w:after="240" w:line="276" w:lineRule="auto"/>
        <w:rPr>
          <w:rFonts w:cs="Arial"/>
          <w:sz w:val="22"/>
        </w:rPr>
      </w:pPr>
      <w:r w:rsidRPr="00103606">
        <w:rPr>
          <w:rFonts w:cs="Arial"/>
        </w:rPr>
        <w:t xml:space="preserve">Dans un cas d’abus, la demande peut être rejetée. De plus, lorsqu’il paraît y avoir un abus, la partie qui a introduit la demande en justice peut être ordonnée de verser </w:t>
      </w:r>
      <w:r>
        <w:rPr>
          <w:rFonts w:cs="Arial"/>
        </w:rPr>
        <w:br/>
      </w:r>
      <w:r w:rsidRPr="00103606">
        <w:rPr>
          <w:rFonts w:cs="Arial"/>
        </w:rPr>
        <w:t>à l’autre partie, sous peine de rejet de la demande, une provision pour les frais de l’instance</w:t>
      </w:r>
      <w:r>
        <w:rPr>
          <w:rStyle w:val="Appelnotedebasdep"/>
          <w:rFonts w:cs="Arial"/>
          <w:kern w:val="24"/>
          <w:sz w:val="22"/>
        </w:rPr>
        <w:footnoteReference w:id="144"/>
      </w:r>
      <w:r w:rsidRPr="00103606">
        <w:rPr>
          <w:rFonts w:cs="Arial"/>
          <w:sz w:val="22"/>
        </w:rPr>
        <w:t>.</w:t>
      </w:r>
    </w:p>
    <w:p w14:paraId="5F850D95" w14:textId="77777777" w:rsidR="00B50089" w:rsidRPr="00103606" w:rsidRDefault="00E21D39" w:rsidP="00B50089">
      <w:pPr>
        <w:pStyle w:val="Paragrdouble"/>
        <w:spacing w:after="240" w:line="276" w:lineRule="auto"/>
        <w:rPr>
          <w:rFonts w:cs="Arial"/>
          <w:kern w:val="24"/>
          <w:sz w:val="22"/>
        </w:rPr>
      </w:pPr>
      <w:r w:rsidRPr="00103606">
        <w:rPr>
          <w:rFonts w:cs="Arial"/>
          <w:shd w:val="clear" w:color="auto" w:fill="FFFFFF"/>
        </w:rPr>
        <w:t>En vertu de l’article 52</w:t>
      </w:r>
      <w:r>
        <w:rPr>
          <w:rFonts w:cs="Arial"/>
          <w:shd w:val="clear" w:color="auto" w:fill="FFFFFF"/>
        </w:rPr>
        <w:t xml:space="preserve"> </w:t>
      </w:r>
      <w:r w:rsidRPr="00103606">
        <w:rPr>
          <w:rFonts w:cs="Arial"/>
          <w:shd w:val="clear" w:color="auto" w:fill="FFFFFF"/>
        </w:rPr>
        <w:t>C.c.p., si une partie établit sommairement que la demande en justice peut constituer un abus, il revient à la partie qui l’introduit de démontrer que son geste n’est pas exercé de manière excessive ou déraisonnable et se justifie en droit.</w:t>
      </w:r>
    </w:p>
    <w:p w14:paraId="0E67076A" w14:textId="77777777" w:rsidR="007000DD" w:rsidRPr="00103606" w:rsidRDefault="00E21D39" w:rsidP="00573001">
      <w:pPr>
        <w:pStyle w:val="Paragrdouble"/>
        <w:spacing w:after="240" w:line="276" w:lineRule="auto"/>
        <w:rPr>
          <w:rFonts w:cs="Arial"/>
        </w:rPr>
      </w:pPr>
      <w:r w:rsidRPr="00103606">
        <w:rPr>
          <w:rFonts w:cs="Arial"/>
        </w:rPr>
        <w:t>Dans l’arrêt</w:t>
      </w:r>
      <w:r w:rsidR="00B50089">
        <w:rPr>
          <w:rFonts w:cs="Arial"/>
        </w:rPr>
        <w:t xml:space="preserve"> </w:t>
      </w:r>
      <w:r w:rsidRPr="00103606">
        <w:rPr>
          <w:rFonts w:cs="Arial"/>
          <w:i/>
          <w:iCs/>
        </w:rPr>
        <w:t>Biron.</w:t>
      </w:r>
      <w:r w:rsidRPr="00103606">
        <w:rPr>
          <w:rFonts w:cs="Arial"/>
        </w:rPr>
        <w:t>,</w:t>
      </w:r>
      <w:bookmarkStart w:id="72" w:name="_ftnref85"/>
      <w:bookmarkEnd w:id="72"/>
      <w:r w:rsidRPr="00103606">
        <w:rPr>
          <w:rFonts w:cs="Arial"/>
        </w:rPr>
        <w:t xml:space="preserve"> la Cour d’appel énonce que</w:t>
      </w:r>
      <w:r w:rsidR="00B50089">
        <w:rPr>
          <w:rFonts w:cs="Arial"/>
        </w:rPr>
        <w:t xml:space="preserve"> la barre de l’abus de procédure est « haut placée »</w:t>
      </w:r>
      <w:r>
        <w:rPr>
          <w:rStyle w:val="Appelnotedebasdep"/>
          <w:rFonts w:cs="Arial"/>
          <w:lang w:val="en-CA"/>
        </w:rPr>
        <w:footnoteReference w:id="145"/>
      </w:r>
      <w:r w:rsidRPr="00103606">
        <w:rPr>
          <w:rFonts w:cs="Arial"/>
        </w:rPr>
        <w:t> :</w:t>
      </w:r>
    </w:p>
    <w:p w14:paraId="219431C5" w14:textId="77777777" w:rsidR="007000DD" w:rsidRPr="008573E6" w:rsidRDefault="00E21D39" w:rsidP="00573001">
      <w:pPr>
        <w:pStyle w:val="Citationenretrait"/>
        <w:tabs>
          <w:tab w:val="left" w:pos="1701"/>
        </w:tabs>
        <w:rPr>
          <w:rFonts w:cs="Arial"/>
        </w:rPr>
      </w:pPr>
      <w:r w:rsidRPr="00103606">
        <w:rPr>
          <w:rFonts w:cs="Arial"/>
        </w:rPr>
        <w:t>« [126]</w:t>
      </w:r>
      <w:r w:rsidR="00DC026F">
        <w:rPr>
          <w:rFonts w:cs="Arial"/>
        </w:rPr>
        <w:tab/>
      </w:r>
      <w:r w:rsidRPr="00103606">
        <w:rPr>
          <w:rFonts w:cs="Arial"/>
        </w:rPr>
        <w:t>L’article 51 </w:t>
      </w:r>
      <w:r w:rsidRPr="00103606">
        <w:rPr>
          <w:rFonts w:cs="Arial"/>
          <w:i/>
          <w:iCs/>
        </w:rPr>
        <w:t>C.p.c.</w:t>
      </w:r>
      <w:r w:rsidRPr="00103606">
        <w:rPr>
          <w:rFonts w:cs="Arial"/>
        </w:rPr>
        <w:t> couvre une panoplie de situations et le spectre de ces situations est large, mais, dans tous les cas, la barre est haut placée et elle doit le demeurer au risque de banaliser ce qu’est une procédure abusive et de constituer un frein à l’accès à la justice. Les procédures manifestement mal fondées et celles qui ne visent qu’à faire taire l’autre partie doivent être sanctionnées. Il en va de même de la partie qui utilise la procédure de manière excessive ou déraisonnable ou de manière à nuire à autrui. Mais, je le répète, la barre de l’abus de procédure doit demeurer haut placée. »</w:t>
      </w:r>
    </w:p>
    <w:p w14:paraId="4D461840" w14:textId="77777777" w:rsidR="00FF60F4" w:rsidRPr="00573001" w:rsidRDefault="00FF60F4" w:rsidP="00573001">
      <w:pPr>
        <w:rPr>
          <w:rFonts w:cs="Arial"/>
          <w:kern w:val="28"/>
          <w:sz w:val="22"/>
        </w:rPr>
      </w:pPr>
    </w:p>
    <w:p w14:paraId="151D263F" w14:textId="77777777" w:rsidR="00D57307" w:rsidRPr="00103606" w:rsidRDefault="00E21D39" w:rsidP="009F319B">
      <w:pPr>
        <w:pStyle w:val="Titre2"/>
        <w:numPr>
          <w:ilvl w:val="3"/>
          <w:numId w:val="18"/>
        </w:numPr>
        <w:rPr>
          <w:rFonts w:cs="Arial"/>
          <w:lang w:eastAsia="fr-CA"/>
        </w:rPr>
      </w:pPr>
      <w:bookmarkStart w:id="73" w:name="_Toc256000028"/>
      <w:bookmarkStart w:id="74" w:name="_Toc187475787"/>
      <w:r w:rsidRPr="00103606">
        <w:rPr>
          <w:rFonts w:cs="Arial"/>
          <w:lang w:eastAsia="fr-CA"/>
        </w:rPr>
        <w:t>APPLICATION AUX FAITS</w:t>
      </w:r>
      <w:bookmarkEnd w:id="73"/>
      <w:bookmarkEnd w:id="74"/>
    </w:p>
    <w:p w14:paraId="1A50EDF2" w14:textId="77777777" w:rsidR="00D57307" w:rsidRPr="00103606" w:rsidRDefault="00E21D39" w:rsidP="00D57307">
      <w:pPr>
        <w:pStyle w:val="Paragrdouble"/>
        <w:spacing w:line="276" w:lineRule="auto"/>
        <w:rPr>
          <w:rFonts w:cs="Arial"/>
          <w:kern w:val="24"/>
          <w:szCs w:val="21"/>
        </w:rPr>
      </w:pPr>
      <w:r w:rsidRPr="00103606">
        <w:rPr>
          <w:rFonts w:cs="Arial"/>
          <w:kern w:val="24"/>
          <w:szCs w:val="21"/>
        </w:rPr>
        <w:t xml:space="preserve">Il est utile de reprendre les </w:t>
      </w:r>
      <w:r w:rsidR="0050288C" w:rsidRPr="00103606">
        <w:rPr>
          <w:rFonts w:cs="Arial"/>
          <w:kern w:val="24"/>
          <w:szCs w:val="21"/>
        </w:rPr>
        <w:t>principales</w:t>
      </w:r>
      <w:r w:rsidRPr="00103606">
        <w:rPr>
          <w:rFonts w:cs="Arial"/>
          <w:kern w:val="24"/>
          <w:szCs w:val="21"/>
        </w:rPr>
        <w:t xml:space="preserve"> étapes procédurales dans l’analyse du caractère abusif </w:t>
      </w:r>
      <w:r w:rsidR="00B50089">
        <w:rPr>
          <w:rFonts w:cs="Arial"/>
          <w:kern w:val="24"/>
          <w:szCs w:val="21"/>
        </w:rPr>
        <w:t>de la seconde demande de sauvegarde</w:t>
      </w:r>
      <w:r w:rsidRPr="00103606">
        <w:rPr>
          <w:rFonts w:cs="Arial"/>
          <w:kern w:val="24"/>
          <w:szCs w:val="21"/>
        </w:rPr>
        <w:t>.</w:t>
      </w:r>
      <w:r w:rsidR="00FF60F4" w:rsidRPr="00103606">
        <w:rPr>
          <w:rFonts w:cs="Arial"/>
          <w:kern w:val="24"/>
          <w:szCs w:val="21"/>
        </w:rPr>
        <w:t xml:space="preserve"> </w:t>
      </w:r>
    </w:p>
    <w:p w14:paraId="2DC51317"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Le 22 février 2023, la demanderesse S.N., dépose une Demande d’autorisation d’exercer une action collective initiale.</w:t>
      </w:r>
    </w:p>
    <w:p w14:paraId="7C7A1957"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 xml:space="preserve">À compter d’août 2023, la demanderesse déposera cinq modifications de la demande. Elle </w:t>
      </w:r>
      <w:r w:rsidR="00B50089">
        <w:rPr>
          <w:rFonts w:cs="Arial"/>
          <w:kern w:val="24"/>
          <w:szCs w:val="21"/>
        </w:rPr>
        <w:t>produira</w:t>
      </w:r>
      <w:r w:rsidR="00B50089" w:rsidRPr="00103606">
        <w:rPr>
          <w:rFonts w:cs="Arial"/>
          <w:kern w:val="24"/>
          <w:szCs w:val="21"/>
        </w:rPr>
        <w:t xml:space="preserve"> </w:t>
      </w:r>
      <w:r w:rsidRPr="00103606">
        <w:rPr>
          <w:rFonts w:cs="Arial"/>
          <w:kern w:val="24"/>
          <w:szCs w:val="21"/>
        </w:rPr>
        <w:t xml:space="preserve">également une demande intitulée </w:t>
      </w:r>
      <w:r w:rsidRPr="00573001">
        <w:rPr>
          <w:rFonts w:cs="Arial"/>
          <w:i/>
          <w:iCs/>
          <w:kern w:val="24"/>
          <w:szCs w:val="21"/>
        </w:rPr>
        <w:t xml:space="preserve">Application by the applicant for a pseudonym order </w:t>
      </w:r>
      <w:r w:rsidRPr="00103606">
        <w:rPr>
          <w:rFonts w:cs="Arial"/>
          <w:kern w:val="24"/>
          <w:szCs w:val="21"/>
        </w:rPr>
        <w:t xml:space="preserve">sollicitant l’autorisation </w:t>
      </w:r>
      <w:r w:rsidR="00B50089">
        <w:rPr>
          <w:rFonts w:cs="Arial"/>
          <w:kern w:val="24"/>
          <w:szCs w:val="21"/>
        </w:rPr>
        <w:t>d’</w:t>
      </w:r>
      <w:r w:rsidRPr="00103606">
        <w:rPr>
          <w:rFonts w:cs="Arial"/>
          <w:kern w:val="24"/>
          <w:szCs w:val="21"/>
        </w:rPr>
        <w:t xml:space="preserve">utiliser un pseudonyme, de même qu’une </w:t>
      </w:r>
      <w:r w:rsidR="00DF3352">
        <w:rPr>
          <w:rFonts w:cs="Arial"/>
          <w:kern w:val="24"/>
          <w:szCs w:val="21"/>
        </w:rPr>
        <w:t>o</w:t>
      </w:r>
      <w:r w:rsidR="00DF3352" w:rsidRPr="00103606">
        <w:rPr>
          <w:rFonts w:cs="Arial"/>
          <w:kern w:val="24"/>
          <w:szCs w:val="21"/>
        </w:rPr>
        <w:t xml:space="preserve">rdonnance </w:t>
      </w:r>
      <w:r w:rsidRPr="00103606">
        <w:rPr>
          <w:rFonts w:cs="Arial"/>
          <w:kern w:val="24"/>
          <w:szCs w:val="21"/>
        </w:rPr>
        <w:t>visant à prévenir les défendeurs d’être informés de son identité. En somme, elle souhaite pouvoir employer « uniquement les initiales « S.N. » pour l’identifier et la désigner formellement dans le cadre des procédures, et ne pas avoir à dévoiler à quiconque son nom, son adresse, son numéro de téléphone ou tout autre renseignement personnel permettant de l’identifier.</w:t>
      </w:r>
    </w:p>
    <w:p w14:paraId="732B2373"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 xml:space="preserve">Le 26 avril 2023, la demanderesse dépose une demande intitulée </w:t>
      </w:r>
      <w:r w:rsidRPr="00573001">
        <w:rPr>
          <w:rFonts w:cs="Arial"/>
          <w:i/>
          <w:iCs/>
          <w:kern w:val="24"/>
          <w:szCs w:val="21"/>
        </w:rPr>
        <w:t>Amended application by the applicant for a case management hearing &amp; for a safeguard order</w:t>
      </w:r>
      <w:r w:rsidRPr="00103606">
        <w:rPr>
          <w:rFonts w:cs="Arial"/>
          <w:kern w:val="24"/>
          <w:szCs w:val="21"/>
        </w:rPr>
        <w:t xml:space="preserve"> [la « Première ordonnance de sauvegarde »], afin d’aviser les défendeurs ou leurs avocats de discuter ou </w:t>
      </w:r>
      <w:r w:rsidR="00B50089">
        <w:rPr>
          <w:rFonts w:cs="Arial"/>
          <w:kern w:val="24"/>
          <w:szCs w:val="21"/>
        </w:rPr>
        <w:t xml:space="preserve">de </w:t>
      </w:r>
      <w:r w:rsidRPr="00103606">
        <w:rPr>
          <w:rFonts w:cs="Arial"/>
          <w:kern w:val="24"/>
          <w:szCs w:val="21"/>
        </w:rPr>
        <w:t>contacter les membres potentiels du groupe</w:t>
      </w:r>
      <w:r w:rsidR="00B50089">
        <w:rPr>
          <w:rFonts w:cs="Arial"/>
          <w:kern w:val="24"/>
          <w:szCs w:val="21"/>
        </w:rPr>
        <w:t xml:space="preserve"> relativement à un évènement particulier arrivé au bureau des procureurs en demande</w:t>
      </w:r>
      <w:r w:rsidRPr="00103606">
        <w:rPr>
          <w:rFonts w:cs="Arial"/>
          <w:kern w:val="24"/>
          <w:szCs w:val="21"/>
        </w:rPr>
        <w:t>.</w:t>
      </w:r>
    </w:p>
    <w:p w14:paraId="58FBF4ED"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 xml:space="preserve">Le 28 juin 2023, le juge Donald Bisson accorde partiellement la </w:t>
      </w:r>
      <w:r w:rsidR="00B50089">
        <w:rPr>
          <w:rFonts w:cs="Arial"/>
          <w:kern w:val="24"/>
          <w:szCs w:val="21"/>
        </w:rPr>
        <w:t>d</w:t>
      </w:r>
      <w:r w:rsidRPr="00103606">
        <w:rPr>
          <w:rFonts w:cs="Arial"/>
          <w:kern w:val="24"/>
          <w:szCs w:val="21"/>
        </w:rPr>
        <w:t>emande d’utilisation d’un pseudonyme permettant à la requérante initiale d’utiliser ses initiales dans les procédures et rejetant la demande visant à prévenir les défendeurs d’être informés de son identité. Il rejette également la Première ordonnance de sauvegarde.</w:t>
      </w:r>
    </w:p>
    <w:p w14:paraId="54F01591"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 xml:space="preserve">Le 14 juillet 2023, les défendeurs déposent une </w:t>
      </w:r>
      <w:r w:rsidR="00B50089">
        <w:rPr>
          <w:rFonts w:cs="Arial"/>
          <w:kern w:val="24"/>
          <w:szCs w:val="21"/>
        </w:rPr>
        <w:t>d</w:t>
      </w:r>
      <w:r w:rsidRPr="00103606">
        <w:rPr>
          <w:rFonts w:cs="Arial"/>
          <w:kern w:val="24"/>
          <w:szCs w:val="21"/>
        </w:rPr>
        <w:t>emande en vertu des articles 51</w:t>
      </w:r>
      <w:r w:rsidR="008B626A">
        <w:rPr>
          <w:rFonts w:cs="Arial"/>
          <w:kern w:val="24"/>
          <w:szCs w:val="21"/>
        </w:rPr>
        <w:t> </w:t>
      </w:r>
      <w:r w:rsidRPr="00103606">
        <w:rPr>
          <w:rFonts w:cs="Arial"/>
          <w:kern w:val="24"/>
          <w:szCs w:val="21"/>
        </w:rPr>
        <w:t xml:space="preserve">ss. C.p.c. intitulée </w:t>
      </w:r>
      <w:r w:rsidRPr="00573001">
        <w:rPr>
          <w:rFonts w:cs="Arial"/>
          <w:i/>
          <w:iCs/>
          <w:kern w:val="24"/>
          <w:szCs w:val="21"/>
        </w:rPr>
        <w:t>Application to dismiss</w:t>
      </w:r>
      <w:r w:rsidRPr="00103606">
        <w:rPr>
          <w:rFonts w:cs="Arial"/>
          <w:kern w:val="24"/>
          <w:szCs w:val="21"/>
        </w:rPr>
        <w:t>.</w:t>
      </w:r>
    </w:p>
    <w:p w14:paraId="197843FB"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 xml:space="preserve">Le 2 août 2023, la demanderesse dépose une demande intitulée </w:t>
      </w:r>
      <w:r w:rsidRPr="00573001">
        <w:rPr>
          <w:rFonts w:cs="Arial"/>
          <w:i/>
          <w:iCs/>
          <w:kern w:val="24"/>
          <w:szCs w:val="21"/>
        </w:rPr>
        <w:t>Application de bene esse for leave to appeal from a judgment rendered in the course of a proceeding</w:t>
      </w:r>
      <w:r w:rsidRPr="00103606">
        <w:rPr>
          <w:rFonts w:cs="Arial"/>
          <w:kern w:val="24"/>
          <w:szCs w:val="21"/>
        </w:rPr>
        <w:t xml:space="preserve">, en appel du Jugement Bisson. Le même jour, elle dépose une demande intitulée </w:t>
      </w:r>
      <w:r w:rsidRPr="00573001">
        <w:rPr>
          <w:rFonts w:cs="Arial"/>
          <w:i/>
          <w:iCs/>
          <w:kern w:val="24"/>
          <w:szCs w:val="21"/>
        </w:rPr>
        <w:t>Application for permission to present indispensable new evidence in the Court of Appeal file number 500-09-030658-231</w:t>
      </w:r>
      <w:r w:rsidRPr="00103606">
        <w:rPr>
          <w:rFonts w:cs="Arial"/>
          <w:kern w:val="24"/>
          <w:szCs w:val="21"/>
        </w:rPr>
        <w:t xml:space="preserve">, ainsi qu’une demande intitulée </w:t>
      </w:r>
      <w:r w:rsidRPr="00573001">
        <w:rPr>
          <w:rFonts w:cs="Arial"/>
          <w:i/>
          <w:iCs/>
          <w:kern w:val="24"/>
          <w:szCs w:val="21"/>
        </w:rPr>
        <w:t>Application by the Applicant for permission to examine defendant Robert G. Miller pre-trial</w:t>
      </w:r>
      <w:r w:rsidRPr="00103606">
        <w:rPr>
          <w:rFonts w:cs="Arial"/>
          <w:kern w:val="24"/>
          <w:szCs w:val="21"/>
        </w:rPr>
        <w:t xml:space="preserve"> [la « Demande Ad Futuram Memoriam »], visant à interroger le défendeur Robert G. Miller sur tous les sujets pertinents à l’action collective, considérant sa santé fragile et </w:t>
      </w:r>
      <w:r w:rsidR="00B50089">
        <w:rPr>
          <w:rFonts w:cs="Arial"/>
          <w:kern w:val="24"/>
          <w:szCs w:val="21"/>
        </w:rPr>
        <w:t xml:space="preserve">le fait </w:t>
      </w:r>
      <w:r w:rsidRPr="00103606">
        <w:rPr>
          <w:rFonts w:cs="Arial"/>
          <w:kern w:val="24"/>
          <w:szCs w:val="21"/>
        </w:rPr>
        <w:t>qu’il pourrait décéder dans un avenir</w:t>
      </w:r>
      <w:r w:rsidR="00B50089">
        <w:rPr>
          <w:rFonts w:cs="Arial"/>
          <w:kern w:val="24"/>
          <w:szCs w:val="21"/>
        </w:rPr>
        <w:t xml:space="preserve"> rapproché</w:t>
      </w:r>
      <w:r w:rsidRPr="00103606">
        <w:rPr>
          <w:rFonts w:cs="Arial"/>
          <w:kern w:val="24"/>
          <w:szCs w:val="21"/>
        </w:rPr>
        <w:t>.</w:t>
      </w:r>
    </w:p>
    <w:p w14:paraId="35D4A1AB" w14:textId="77777777" w:rsidR="0050288C" w:rsidRPr="00103606" w:rsidRDefault="00E21D39" w:rsidP="0050288C">
      <w:pPr>
        <w:pStyle w:val="Paragrdouble"/>
        <w:spacing w:line="276" w:lineRule="auto"/>
        <w:rPr>
          <w:rFonts w:cs="Arial"/>
          <w:kern w:val="24"/>
          <w:szCs w:val="21"/>
          <w:lang w:val="en-US"/>
        </w:rPr>
      </w:pPr>
      <w:r w:rsidRPr="00103606">
        <w:rPr>
          <w:rFonts w:cs="Arial"/>
          <w:kern w:val="24"/>
          <w:szCs w:val="21"/>
          <w:lang w:val="en-US"/>
        </w:rPr>
        <w:t xml:space="preserve">Le 7 août 2023, la demanderesse dépose une demande intitulée </w:t>
      </w:r>
      <w:r w:rsidRPr="00573001">
        <w:rPr>
          <w:rFonts w:cs="Arial"/>
          <w:i/>
          <w:iCs/>
          <w:kern w:val="24"/>
          <w:szCs w:val="21"/>
          <w:lang w:val="en-US"/>
        </w:rPr>
        <w:t>Application by the applicant for a blanket pseudonym order for class members &amp; to not disclose their full names to the defendants.</w:t>
      </w:r>
    </w:p>
    <w:p w14:paraId="394ADA6A"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 xml:space="preserve">Le 10 août 2023, la demanderesse dépose une première demande de modification de sa Demande d’autorisation pour ajouter les défendeurs Sam Joseph Abrams et Raymond Poulet. </w:t>
      </w:r>
    </w:p>
    <w:p w14:paraId="07A9DE51"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 xml:space="preserve">Le 31 août 2023, la demanderesse dépose une demande intitulée </w:t>
      </w:r>
      <w:r w:rsidRPr="00573001">
        <w:rPr>
          <w:rFonts w:cs="Arial"/>
          <w:i/>
          <w:iCs/>
          <w:kern w:val="24"/>
          <w:szCs w:val="21"/>
        </w:rPr>
        <w:t>Application by applicant S.N. for the communication of documents and information</w:t>
      </w:r>
      <w:r w:rsidRPr="00103606">
        <w:rPr>
          <w:rFonts w:cs="Arial"/>
          <w:kern w:val="24"/>
          <w:szCs w:val="21"/>
        </w:rPr>
        <w:t xml:space="preserve"> relativement à certains documents d’un dossier judiciaire distinct impliquant Miller, portant le numéro 500-17-125722-234, dans lequel le juge Bisson avait émis une ordonnance de type Norwich. Le 6 septembre 2023, la Cour d’appel rejette l’appel du Jugement Bisson.</w:t>
      </w:r>
    </w:p>
    <w:p w14:paraId="1AC279AF"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Le 14 septembre 2023, Future Electronics dépose une Requête (…) pour obtenir des détails sur l’identité de la demanderesse S.N.</w:t>
      </w:r>
    </w:p>
    <w:p w14:paraId="31C2E127" w14:textId="77777777" w:rsidR="0050288C" w:rsidRPr="00103606" w:rsidRDefault="00E21D39" w:rsidP="0050288C">
      <w:pPr>
        <w:pStyle w:val="Paragrdouble"/>
        <w:spacing w:line="276" w:lineRule="auto"/>
        <w:rPr>
          <w:rFonts w:cs="Arial"/>
          <w:kern w:val="24"/>
          <w:szCs w:val="21"/>
        </w:rPr>
      </w:pPr>
      <w:r w:rsidRPr="00103606">
        <w:rPr>
          <w:rFonts w:cs="Arial"/>
        </w:rPr>
        <w:t xml:space="preserve">Le 15 septembre 2023, la demanderesse dépose </w:t>
      </w:r>
      <w:r w:rsidRPr="00103606">
        <w:rPr>
          <w:rFonts w:cs="Arial"/>
          <w:kern w:val="24"/>
          <w:szCs w:val="21"/>
        </w:rPr>
        <w:t xml:space="preserve">une deuxième Demande de modification de sa Demande d’autorisation [la « Deuxième demande de modification »] </w:t>
      </w:r>
      <w:r w:rsidRPr="00103606">
        <w:rPr>
          <w:rFonts w:cs="Arial"/>
        </w:rPr>
        <w:t xml:space="preserve">afin d’ajouter le défendeur Helmut Lippmann aux procédures. </w:t>
      </w:r>
      <w:r w:rsidRPr="00103606">
        <w:rPr>
          <w:rFonts w:cs="Arial"/>
          <w:kern w:val="24"/>
          <w:szCs w:val="21"/>
        </w:rPr>
        <w:t xml:space="preserve">Le même jour, Miller dépose une demande intitulée </w:t>
      </w:r>
      <w:r w:rsidRPr="00573001">
        <w:rPr>
          <w:rFonts w:cs="Arial"/>
          <w:i/>
          <w:iCs/>
          <w:kern w:val="24"/>
          <w:szCs w:val="21"/>
        </w:rPr>
        <w:t>Application for the identity of the applicant S.N.</w:t>
      </w:r>
    </w:p>
    <w:p w14:paraId="1C445FF3" w14:textId="77777777" w:rsidR="0050288C" w:rsidRPr="00F4232B" w:rsidRDefault="00E21D39" w:rsidP="007D3884">
      <w:pPr>
        <w:pStyle w:val="Paragrdouble"/>
        <w:spacing w:line="276" w:lineRule="auto"/>
        <w:rPr>
          <w:rFonts w:cs="Arial"/>
          <w:i/>
          <w:iCs/>
          <w:kern w:val="24"/>
          <w:szCs w:val="21"/>
          <w:lang w:val="en-CA"/>
        </w:rPr>
      </w:pPr>
      <w:r w:rsidRPr="00F4232B">
        <w:rPr>
          <w:rFonts w:cs="Arial"/>
          <w:kern w:val="24"/>
          <w:szCs w:val="21"/>
          <w:lang w:val="en-CA"/>
        </w:rPr>
        <w:t>Le 29 septembre 2023, la demanderesse dépose une</w:t>
      </w:r>
      <w:r w:rsidR="007D3884" w:rsidRPr="00F4232B">
        <w:rPr>
          <w:rFonts w:cs="Arial"/>
          <w:kern w:val="24"/>
          <w:szCs w:val="21"/>
          <w:lang w:val="en-CA"/>
        </w:rPr>
        <w:t xml:space="preserve"> demande intitulée </w:t>
      </w:r>
      <w:r w:rsidR="007D3884" w:rsidRPr="00F4232B">
        <w:rPr>
          <w:rFonts w:cs="Arial"/>
          <w:i/>
          <w:iCs/>
          <w:kern w:val="24"/>
          <w:szCs w:val="21"/>
          <w:lang w:val="en-CA"/>
        </w:rPr>
        <w:t>Re-amended application to authorize the bringing of a class action &amp; to appoint the applicant as representative plaintiff.</w:t>
      </w:r>
    </w:p>
    <w:p w14:paraId="0621AB66"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Le 17 octobre, la demanderesse dépose une Demande pour permission d’interroger Lippmann en vertu des articles 253, 257 et 661 C.p.c.</w:t>
      </w:r>
    </w:p>
    <w:p w14:paraId="54B90B6B"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 xml:space="preserve">Le 23 octobre 2023, la demanderesse dépose une demande de type Mareva, intitulée </w:t>
      </w:r>
      <w:r w:rsidRPr="00573001">
        <w:rPr>
          <w:rFonts w:cs="Arial"/>
          <w:i/>
          <w:iCs/>
          <w:kern w:val="24"/>
          <w:szCs w:val="21"/>
        </w:rPr>
        <w:t>Application by the applicant for a provisional &amp; interlocutory Mareva-type injunction order against defendants Miller and Future Electronics Inc</w:t>
      </w:r>
      <w:r w:rsidRPr="00103606">
        <w:rPr>
          <w:rFonts w:cs="Arial"/>
          <w:kern w:val="24"/>
          <w:szCs w:val="21"/>
        </w:rPr>
        <w:t xml:space="preserve">., visant notamment à geler les actifs de Miller et Future Electronics. Le même jour, la demanderesse dépose une nouvelle demande d’autorisation </w:t>
      </w:r>
      <w:r w:rsidR="00B80370">
        <w:rPr>
          <w:rFonts w:cs="Arial"/>
          <w:kern w:val="24"/>
          <w:szCs w:val="21"/>
        </w:rPr>
        <w:t>modifiée</w:t>
      </w:r>
      <w:r w:rsidRPr="00103606">
        <w:rPr>
          <w:rFonts w:cs="Arial"/>
          <w:kern w:val="24"/>
          <w:szCs w:val="21"/>
        </w:rPr>
        <w:t>, ajoutant quatre déclarations assermentées anonymes.</w:t>
      </w:r>
    </w:p>
    <w:p w14:paraId="59F7FDE2"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Le 30 octobre 2023, Miller dépose une Demande visant à retirer toutes les</w:t>
      </w:r>
      <w:r w:rsidR="0050288C" w:rsidRPr="00103606">
        <w:rPr>
          <w:rFonts w:cs="Arial"/>
          <w:kern w:val="24"/>
          <w:szCs w:val="21"/>
        </w:rPr>
        <w:t xml:space="preserve"> </w:t>
      </w:r>
      <w:r w:rsidRPr="00103606">
        <w:rPr>
          <w:rFonts w:cs="Arial"/>
          <w:kern w:val="24"/>
          <w:szCs w:val="21"/>
        </w:rPr>
        <w:t>déclarations assermentées anonymes ainsi que la pièce R-50</w:t>
      </w:r>
      <w:r w:rsidR="0050288C" w:rsidRPr="00103606">
        <w:rPr>
          <w:rFonts w:cs="Arial"/>
          <w:kern w:val="24"/>
          <w:szCs w:val="21"/>
        </w:rPr>
        <w:t xml:space="preserve">, par laquelle il demande que </w:t>
      </w:r>
      <w:r w:rsidRPr="00103606">
        <w:rPr>
          <w:rFonts w:cs="Arial"/>
          <w:kern w:val="24"/>
          <w:szCs w:val="21"/>
        </w:rPr>
        <w:t>la demanderesse fournisse son adresse, un permis de</w:t>
      </w:r>
      <w:r w:rsidR="0050288C" w:rsidRPr="00103606">
        <w:rPr>
          <w:rFonts w:cs="Arial"/>
          <w:kern w:val="24"/>
          <w:szCs w:val="21"/>
        </w:rPr>
        <w:t xml:space="preserve"> </w:t>
      </w:r>
      <w:r w:rsidRPr="00103606">
        <w:rPr>
          <w:rFonts w:cs="Arial"/>
          <w:kern w:val="24"/>
          <w:szCs w:val="21"/>
        </w:rPr>
        <w:t>conduire et son acte de naissance.</w:t>
      </w:r>
    </w:p>
    <w:p w14:paraId="19D3A42A" w14:textId="77777777" w:rsidR="007D3884" w:rsidRPr="00103606" w:rsidRDefault="00E21D39" w:rsidP="007D3884">
      <w:pPr>
        <w:pStyle w:val="Paragrdouble"/>
        <w:spacing w:line="276" w:lineRule="auto"/>
        <w:rPr>
          <w:rFonts w:cs="Arial"/>
          <w:kern w:val="24"/>
          <w:szCs w:val="21"/>
          <w:lang w:val="en-US"/>
        </w:rPr>
      </w:pPr>
      <w:r w:rsidRPr="00103606">
        <w:rPr>
          <w:rFonts w:cs="Arial"/>
          <w:kern w:val="24"/>
          <w:szCs w:val="21"/>
          <w:lang w:val="en-US"/>
        </w:rPr>
        <w:t xml:space="preserve">Le lendemain, la demanderesse dépose une </w:t>
      </w:r>
      <w:r w:rsidRPr="00573001">
        <w:rPr>
          <w:rFonts w:cs="Arial"/>
          <w:i/>
          <w:iCs/>
          <w:kern w:val="24"/>
          <w:szCs w:val="21"/>
          <w:lang w:val="en-US"/>
        </w:rPr>
        <w:t xml:space="preserve">Re-amended application to authorize the bringing of a class action &amp; to appoint the Applicant as representative </w:t>
      </w:r>
      <w:r w:rsidR="009A6298" w:rsidRPr="00573001">
        <w:rPr>
          <w:rFonts w:cs="Arial"/>
          <w:i/>
          <w:iCs/>
          <w:kern w:val="24"/>
          <w:szCs w:val="21"/>
          <w:lang w:val="en-US"/>
        </w:rPr>
        <w:t>plaintiff</w:t>
      </w:r>
      <w:r w:rsidR="00B50089">
        <w:rPr>
          <w:rFonts w:cs="Arial"/>
          <w:kern w:val="24"/>
          <w:szCs w:val="21"/>
          <w:lang w:val="en-US"/>
        </w:rPr>
        <w:t>.</w:t>
      </w:r>
      <w:r w:rsidRPr="00103606">
        <w:rPr>
          <w:rFonts w:cs="Arial"/>
          <w:kern w:val="24"/>
          <w:szCs w:val="21"/>
          <w:lang w:val="en-US"/>
        </w:rPr>
        <w:t xml:space="preserve"> </w:t>
      </w:r>
    </w:p>
    <w:p w14:paraId="674DA9A9" w14:textId="77777777" w:rsidR="00D57307" w:rsidRPr="00103606" w:rsidRDefault="00E21D39" w:rsidP="007D3884">
      <w:pPr>
        <w:pStyle w:val="Paragrdouble"/>
        <w:spacing w:line="276" w:lineRule="auto"/>
        <w:rPr>
          <w:rFonts w:cs="Arial"/>
          <w:kern w:val="24"/>
          <w:szCs w:val="21"/>
        </w:rPr>
      </w:pPr>
      <w:r w:rsidRPr="00103606">
        <w:rPr>
          <w:rFonts w:cs="Arial"/>
          <w:kern w:val="24"/>
          <w:szCs w:val="21"/>
        </w:rPr>
        <w:t>Le 2 novembre 2023, les parties participent à une conférence de gestion en</w:t>
      </w:r>
      <w:r w:rsidR="0050288C" w:rsidRPr="00103606">
        <w:rPr>
          <w:rFonts w:cs="Arial"/>
          <w:kern w:val="24"/>
          <w:szCs w:val="21"/>
        </w:rPr>
        <w:t xml:space="preserve"> </w:t>
      </w:r>
      <w:r w:rsidRPr="00103606">
        <w:rPr>
          <w:rFonts w:cs="Arial"/>
          <w:kern w:val="24"/>
          <w:szCs w:val="21"/>
        </w:rPr>
        <w:t>présence du juge Immer.</w:t>
      </w:r>
    </w:p>
    <w:p w14:paraId="2972A066"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Le</w:t>
      </w:r>
      <w:r w:rsidR="00D57307" w:rsidRPr="00103606">
        <w:rPr>
          <w:rFonts w:cs="Arial"/>
          <w:kern w:val="24"/>
          <w:szCs w:val="21"/>
        </w:rPr>
        <w:t xml:space="preserve"> 23 novembre 2023, le juge Immer rend jugement sur la Demande</w:t>
      </w:r>
      <w:r w:rsidRPr="00103606">
        <w:rPr>
          <w:rFonts w:cs="Arial"/>
          <w:kern w:val="24"/>
          <w:szCs w:val="21"/>
        </w:rPr>
        <w:t xml:space="preserve"> </w:t>
      </w:r>
      <w:r w:rsidR="00D57307" w:rsidRPr="00103606">
        <w:rPr>
          <w:rFonts w:cs="Arial"/>
          <w:kern w:val="24"/>
          <w:szCs w:val="21"/>
        </w:rPr>
        <w:t>d’anonymisation du groupe et ordonne en outre à S.N. de fournir une copie de son</w:t>
      </w:r>
      <w:r w:rsidRPr="00103606">
        <w:rPr>
          <w:rFonts w:cs="Arial"/>
          <w:kern w:val="24"/>
          <w:szCs w:val="21"/>
        </w:rPr>
        <w:t xml:space="preserve"> c</w:t>
      </w:r>
      <w:r w:rsidR="00D57307" w:rsidRPr="00103606">
        <w:rPr>
          <w:rFonts w:cs="Arial"/>
          <w:kern w:val="24"/>
          <w:szCs w:val="21"/>
        </w:rPr>
        <w:t>ertificat de naissance aux défendeurs.</w:t>
      </w:r>
    </w:p>
    <w:p w14:paraId="2D802107" w14:textId="77777777" w:rsidR="0050288C" w:rsidRPr="00103606" w:rsidRDefault="00E21D39" w:rsidP="0050288C">
      <w:pPr>
        <w:pStyle w:val="Paragrdouble"/>
        <w:spacing w:line="276" w:lineRule="auto"/>
        <w:rPr>
          <w:rFonts w:cs="Arial"/>
          <w:kern w:val="24"/>
          <w:szCs w:val="21"/>
        </w:rPr>
      </w:pPr>
      <w:r w:rsidRPr="00103606">
        <w:rPr>
          <w:rFonts w:cs="Arial"/>
          <w:kern w:val="24"/>
          <w:szCs w:val="21"/>
        </w:rPr>
        <w:t>Le 27 novembre 2023, la juge Eleni Yiannakis rejette la Demande Mareva, concluant notamment que la demanderesse n’a pas su démontrer un risque réel de dissipation des actifs des défendeurs.</w:t>
      </w:r>
    </w:p>
    <w:p w14:paraId="277FD752"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Le 4 décembre 2023, la demanderesse dépose une troisième Demande</w:t>
      </w:r>
      <w:r w:rsidR="0050288C" w:rsidRPr="00103606">
        <w:rPr>
          <w:rFonts w:cs="Arial"/>
          <w:kern w:val="24"/>
          <w:szCs w:val="21"/>
        </w:rPr>
        <w:t xml:space="preserve"> </w:t>
      </w:r>
      <w:r w:rsidRPr="00103606">
        <w:rPr>
          <w:rFonts w:cs="Arial"/>
          <w:kern w:val="24"/>
          <w:szCs w:val="21"/>
        </w:rPr>
        <w:t xml:space="preserve">d’autorisation </w:t>
      </w:r>
      <w:r w:rsidR="00B80370">
        <w:rPr>
          <w:rFonts w:cs="Arial"/>
          <w:kern w:val="24"/>
          <w:szCs w:val="21"/>
        </w:rPr>
        <w:t>modifiée</w:t>
      </w:r>
      <w:r w:rsidR="00B80370" w:rsidRPr="00103606">
        <w:rPr>
          <w:rFonts w:cs="Arial"/>
          <w:kern w:val="24"/>
          <w:szCs w:val="21"/>
        </w:rPr>
        <w:t xml:space="preserve"> </w:t>
      </w:r>
      <w:r w:rsidRPr="00103606">
        <w:rPr>
          <w:rFonts w:cs="Arial"/>
          <w:kern w:val="24"/>
          <w:szCs w:val="21"/>
        </w:rPr>
        <w:t>et demande de permission de modifier la procédure.</w:t>
      </w:r>
    </w:p>
    <w:p w14:paraId="6E742D18"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Le 8 décembre 2023, la demanderesse dépose une Demande pour permission d’en appeler du Jugement Yannakis, et deux jours plus tard, la Cour d’appel rejette cette demande de permission d’en appeler.</w:t>
      </w:r>
    </w:p>
    <w:p w14:paraId="79F2D66B"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Le</w:t>
      </w:r>
      <w:r w:rsidR="00D57307" w:rsidRPr="00103606">
        <w:rPr>
          <w:rFonts w:cs="Arial"/>
          <w:kern w:val="24"/>
          <w:szCs w:val="21"/>
        </w:rPr>
        <w:t xml:space="preserve"> 17 janvier 2024, le juge Immer rend jugement sur les diverses demandes de</w:t>
      </w:r>
      <w:r w:rsidRPr="00103606">
        <w:rPr>
          <w:rFonts w:cs="Arial"/>
          <w:kern w:val="24"/>
          <w:szCs w:val="21"/>
        </w:rPr>
        <w:t xml:space="preserve"> </w:t>
      </w:r>
      <w:r w:rsidR="00D57307" w:rsidRPr="00103606">
        <w:rPr>
          <w:rFonts w:cs="Arial"/>
          <w:kern w:val="24"/>
          <w:szCs w:val="21"/>
        </w:rPr>
        <w:t>modifications contenues à la Troisième demande de modification</w:t>
      </w:r>
      <w:r w:rsidRPr="00103606">
        <w:rPr>
          <w:rFonts w:cs="Arial"/>
          <w:kern w:val="24"/>
          <w:szCs w:val="21"/>
        </w:rPr>
        <w:t>.</w:t>
      </w:r>
    </w:p>
    <w:p w14:paraId="7418CBDE"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Le 2 février 2024, la demanderesse dépose une quatrième Demande de modification de la Demande d’autorisation afin d’ajouter B.N. comme co-demanderesse.</w:t>
      </w:r>
    </w:p>
    <w:p w14:paraId="7651ED5F"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Le 8 février 2024, la demanderesse dépose une Demande d’autorisation d’en appeler à la Cour suprême du Canada de la décision de la Cour d’appel confirmant le Jugement Yannakis. Cette demande d’appel sera rejetée le 2 mai 2024.</w:t>
      </w:r>
    </w:p>
    <w:p w14:paraId="400C3ABD"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Le 9 février 2024, le juge Immer rejette la demande d’interrogatoire ad futuram quant à Lippmann, et permet un interrogatoire écrit limité de Miller, considérant son état de santé fragile.</w:t>
      </w:r>
    </w:p>
    <w:p w14:paraId="30364DC9"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Le 27 mars 2024, le juge Immer autorise la quatrième modification à la Demande d’autorisation, déclarant B.N. co-demanderesse à la présente action.</w:t>
      </w:r>
    </w:p>
    <w:p w14:paraId="2E52EBCA" w14:textId="77777777" w:rsidR="007D3884" w:rsidRPr="00103606" w:rsidRDefault="00E21D39" w:rsidP="007D3884">
      <w:pPr>
        <w:pStyle w:val="Paragrdouble"/>
        <w:spacing w:line="276" w:lineRule="auto"/>
        <w:rPr>
          <w:rFonts w:cs="Arial"/>
          <w:kern w:val="24"/>
          <w:szCs w:val="21"/>
          <w:lang w:val="en-CA"/>
        </w:rPr>
      </w:pPr>
      <w:r w:rsidRPr="00103606">
        <w:rPr>
          <w:rFonts w:cs="Arial"/>
          <w:kern w:val="24"/>
          <w:szCs w:val="21"/>
          <w:lang w:val="en-CA"/>
        </w:rPr>
        <w:t xml:space="preserve">Le 11 juillet 2024, les Demanderesses déposent une demande intitulée </w:t>
      </w:r>
      <w:r w:rsidRPr="00573001">
        <w:rPr>
          <w:rFonts w:cs="Arial"/>
          <w:i/>
          <w:iCs/>
          <w:kern w:val="24"/>
          <w:szCs w:val="21"/>
          <w:lang w:val="en-CA"/>
        </w:rPr>
        <w:t>Application by the applicants with regard to defendant Robert Gerald Miller for: (a) safeguard measures; and (b) examination ad futuram memoriam; (c) both of which with provisional execution notwithstanding an appeal</w:t>
      </w:r>
      <w:r w:rsidRPr="00103606">
        <w:rPr>
          <w:rFonts w:cs="Arial"/>
          <w:kern w:val="24"/>
          <w:szCs w:val="21"/>
          <w:lang w:val="en-CA"/>
        </w:rPr>
        <w:t xml:space="preserve"> [la « Demande de sauvegarde »].</w:t>
      </w:r>
    </w:p>
    <w:p w14:paraId="3E2C8112"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 xml:space="preserve">Le 19 août 2024, les Demanderesses déposent une </w:t>
      </w:r>
      <w:r w:rsidR="00B80370">
        <w:rPr>
          <w:rFonts w:cs="Arial"/>
          <w:kern w:val="24"/>
          <w:szCs w:val="21"/>
        </w:rPr>
        <w:t>Sixième</w:t>
      </w:r>
      <w:r w:rsidR="00B80370" w:rsidRPr="00103606">
        <w:rPr>
          <w:rFonts w:cs="Arial"/>
          <w:kern w:val="24"/>
          <w:szCs w:val="21"/>
        </w:rPr>
        <w:t xml:space="preserve"> </w:t>
      </w:r>
      <w:r w:rsidRPr="00103606">
        <w:rPr>
          <w:rFonts w:cs="Arial"/>
          <w:kern w:val="24"/>
          <w:szCs w:val="21"/>
        </w:rPr>
        <w:t>Demande pour permission de modifier la Demande d’autorisation. Cette demande de modification est entendue et accordée par la soussignée séance tenante.</w:t>
      </w:r>
    </w:p>
    <w:p w14:paraId="4C605D77"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Une demande de directives présentée par le défendeur Miller concernant certaines considérations relatives à l’anonymat et la confidentialité des membres potentiels du groupe et de leurs informations est abandonnée le même jour.</w:t>
      </w:r>
    </w:p>
    <w:p w14:paraId="27EE747A"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 xml:space="preserve">Le 16 septembre 2024, la soussignée rejette la Demande de sauvegarde et d’interrogatoire </w:t>
      </w:r>
      <w:r w:rsidRPr="007E50B9">
        <w:rPr>
          <w:rFonts w:cs="Arial"/>
          <w:i/>
          <w:iCs/>
          <w:kern w:val="24"/>
          <w:szCs w:val="21"/>
        </w:rPr>
        <w:t>Ad Futuram Memoriam</w:t>
      </w:r>
      <w:r w:rsidRPr="00103606">
        <w:rPr>
          <w:rFonts w:cs="Arial"/>
          <w:kern w:val="24"/>
          <w:szCs w:val="21"/>
        </w:rPr>
        <w:t>, et reporte la demande d’abus à l’autorisation.</w:t>
      </w:r>
    </w:p>
    <w:p w14:paraId="01F7226C" w14:textId="77777777" w:rsidR="007D3884" w:rsidRPr="00103606" w:rsidRDefault="00E21D39" w:rsidP="007D3884">
      <w:pPr>
        <w:pStyle w:val="Paragrdouble"/>
        <w:spacing w:line="276" w:lineRule="auto"/>
        <w:rPr>
          <w:rFonts w:cs="Arial"/>
          <w:kern w:val="24"/>
          <w:szCs w:val="21"/>
        </w:rPr>
      </w:pPr>
      <w:r w:rsidRPr="00103606">
        <w:rPr>
          <w:rFonts w:cs="Arial"/>
          <w:kern w:val="24"/>
          <w:szCs w:val="21"/>
        </w:rPr>
        <w:t xml:space="preserve">Dans ce jugement, je souligne ce qui suit : </w:t>
      </w:r>
    </w:p>
    <w:p w14:paraId="00F04242" w14:textId="77777777" w:rsidR="007D3884" w:rsidRPr="00103606" w:rsidRDefault="00E21D39" w:rsidP="00573001">
      <w:pPr>
        <w:pStyle w:val="Paragrdouble"/>
        <w:numPr>
          <w:ilvl w:val="0"/>
          <w:numId w:val="0"/>
        </w:numPr>
        <w:spacing w:after="0" w:line="240" w:lineRule="auto"/>
        <w:ind w:left="731" w:right="857"/>
        <w:rPr>
          <w:rFonts w:cs="Arial"/>
          <w:kern w:val="24"/>
          <w:sz w:val="22"/>
        </w:rPr>
      </w:pPr>
      <w:r w:rsidRPr="00103606">
        <w:rPr>
          <w:rFonts w:cs="Arial"/>
          <w:kern w:val="24"/>
          <w:sz w:val="22"/>
        </w:rPr>
        <w:t>« La Demande d’autorisation a été déposée le 22 février 2023. Depuis, les procédures ont été multiples et importantes, en l’instance, dont, avec égards, la responsabilité repose en grande partie sur la partie demanderesse. En outre, depuis août 2023, la partie demanderesse a déposé cinq modifications de la demande, dont la plus récente a été approuvée par la soussignée le 9 septembre dernier.</w:t>
      </w:r>
    </w:p>
    <w:p w14:paraId="1C2A9A39" w14:textId="77777777" w:rsidR="007D3884" w:rsidRPr="00103606" w:rsidRDefault="00E21D39" w:rsidP="007E50B9">
      <w:pPr>
        <w:pStyle w:val="Paragrdouble"/>
        <w:numPr>
          <w:ilvl w:val="0"/>
          <w:numId w:val="0"/>
        </w:numPr>
        <w:spacing w:after="160" w:line="240" w:lineRule="auto"/>
        <w:ind w:left="731" w:right="857"/>
        <w:rPr>
          <w:rFonts w:cs="Arial"/>
          <w:kern w:val="24"/>
          <w:sz w:val="22"/>
        </w:rPr>
      </w:pPr>
      <w:r w:rsidRPr="00103606">
        <w:rPr>
          <w:rFonts w:cs="Arial"/>
          <w:kern w:val="24"/>
          <w:sz w:val="22"/>
        </w:rPr>
        <w:t>Comme l’exprime pertinemment le juge Immer, « Pendant tout ce temps, la Demande demeure dans les limbes. Cela est regrettable.29 » L’autorisation est présentement fixée pour les 28, 29 et 30 novembre prochain et il est hautement souhaitable que cette étape puisse être complétée, dans l’intérêt des membres du groupe et des parties en général.</w:t>
      </w:r>
      <w:r>
        <w:rPr>
          <w:rStyle w:val="Appelnotedebasdep"/>
          <w:rFonts w:cs="Arial"/>
          <w:kern w:val="24"/>
          <w:sz w:val="22"/>
        </w:rPr>
        <w:footnoteReference w:id="146"/>
      </w:r>
      <w:r w:rsidRPr="00103606">
        <w:rPr>
          <w:rFonts w:cs="Arial"/>
          <w:kern w:val="24"/>
          <w:sz w:val="22"/>
        </w:rPr>
        <w:t>»</w:t>
      </w:r>
    </w:p>
    <w:p w14:paraId="296B48AE" w14:textId="77777777" w:rsidR="00FF60F4" w:rsidRPr="00103606" w:rsidRDefault="00E21D39" w:rsidP="007E50B9">
      <w:pPr>
        <w:pStyle w:val="Paragrdouble"/>
        <w:spacing w:after="160" w:line="276" w:lineRule="auto"/>
        <w:rPr>
          <w:rFonts w:cs="Arial"/>
          <w:kern w:val="24"/>
          <w:szCs w:val="21"/>
        </w:rPr>
      </w:pPr>
      <w:r w:rsidRPr="00103606">
        <w:rPr>
          <w:rFonts w:cs="Arial"/>
          <w:kern w:val="24"/>
          <w:szCs w:val="21"/>
        </w:rPr>
        <w:t>Il est vrai, comme le juge Immer et moi l’avons énoncé dans nos jugements</w:t>
      </w:r>
      <w:r w:rsidR="0094575C">
        <w:rPr>
          <w:rFonts w:cs="Arial"/>
          <w:kern w:val="24"/>
          <w:szCs w:val="21"/>
        </w:rPr>
        <w:t xml:space="preserve"> respectifs</w:t>
      </w:r>
      <w:r w:rsidRPr="00103606">
        <w:rPr>
          <w:rFonts w:cs="Arial"/>
          <w:kern w:val="24"/>
          <w:szCs w:val="21"/>
        </w:rPr>
        <w:t xml:space="preserve">, que les procédures ont été nombreuses de part et d’autre, et particulièrement, de la part de la partie demanderesse, de telle sorte à malheureusement retarder l’audience d’autorisation. Il est également vrai que l’énumération des procédures déposées à ce jour et des jours d’audience montre un volume important d’activité judiciaire dans le présent dossier. </w:t>
      </w:r>
    </w:p>
    <w:p w14:paraId="13D008F4" w14:textId="77777777" w:rsidR="0072346E" w:rsidRPr="00103606" w:rsidRDefault="00E21D39" w:rsidP="007E50B9">
      <w:pPr>
        <w:pStyle w:val="Paragrdouble"/>
        <w:spacing w:after="160" w:line="276" w:lineRule="auto"/>
        <w:rPr>
          <w:rFonts w:cs="Arial"/>
          <w:kern w:val="24"/>
          <w:szCs w:val="21"/>
        </w:rPr>
      </w:pPr>
      <w:r w:rsidRPr="00103606">
        <w:rPr>
          <w:rFonts w:cs="Arial"/>
          <w:kern w:val="24"/>
          <w:szCs w:val="21"/>
        </w:rPr>
        <w:t xml:space="preserve">Cela étant dit, la barre est haute pour l’abus de procédures, et selon moi, </w:t>
      </w:r>
      <w:r w:rsidR="00427EBA">
        <w:rPr>
          <w:rFonts w:cs="Arial"/>
          <w:kern w:val="24"/>
          <w:szCs w:val="21"/>
        </w:rPr>
        <w:t>elle n’est pas atteinte. I</w:t>
      </w:r>
      <w:r w:rsidRPr="00103606">
        <w:rPr>
          <w:rFonts w:cs="Arial"/>
          <w:kern w:val="24"/>
          <w:szCs w:val="21"/>
        </w:rPr>
        <w:t xml:space="preserve">l n’y a pas d’abus de procédures </w:t>
      </w:r>
      <w:r w:rsidR="007E50B9">
        <w:rPr>
          <w:rFonts w:cs="Arial"/>
          <w:kern w:val="24"/>
          <w:szCs w:val="21"/>
        </w:rPr>
        <w:t xml:space="preserve">de la part </w:t>
      </w:r>
      <w:r w:rsidRPr="00103606">
        <w:rPr>
          <w:rFonts w:cs="Arial"/>
          <w:kern w:val="24"/>
          <w:szCs w:val="21"/>
        </w:rPr>
        <w:t xml:space="preserve">de la </w:t>
      </w:r>
      <w:r w:rsidR="00FF60F4" w:rsidRPr="00103606">
        <w:rPr>
          <w:rFonts w:cs="Arial"/>
          <w:kern w:val="24"/>
          <w:szCs w:val="21"/>
        </w:rPr>
        <w:t xml:space="preserve">partie </w:t>
      </w:r>
      <w:r w:rsidRPr="00103606">
        <w:rPr>
          <w:rFonts w:cs="Arial"/>
          <w:kern w:val="24"/>
          <w:szCs w:val="21"/>
        </w:rPr>
        <w:t>demande</w:t>
      </w:r>
      <w:r w:rsidR="00FF60F4" w:rsidRPr="00103606">
        <w:rPr>
          <w:rFonts w:cs="Arial"/>
          <w:kern w:val="24"/>
          <w:szCs w:val="21"/>
        </w:rPr>
        <w:t>resse</w:t>
      </w:r>
      <w:r w:rsidRPr="00103606">
        <w:rPr>
          <w:rFonts w:cs="Arial"/>
          <w:kern w:val="24"/>
          <w:szCs w:val="21"/>
        </w:rPr>
        <w:t>.</w:t>
      </w:r>
    </w:p>
    <w:p w14:paraId="2EF42A48" w14:textId="77777777" w:rsidR="00FF60F4" w:rsidRPr="00103606" w:rsidRDefault="00E21D39" w:rsidP="007E50B9">
      <w:pPr>
        <w:pStyle w:val="Paragrdouble"/>
        <w:spacing w:after="160" w:line="276" w:lineRule="auto"/>
        <w:rPr>
          <w:rFonts w:cs="Arial"/>
          <w:kern w:val="24"/>
          <w:szCs w:val="21"/>
        </w:rPr>
      </w:pPr>
      <w:r w:rsidRPr="00103606">
        <w:rPr>
          <w:rFonts w:cs="Arial"/>
          <w:kern w:val="24"/>
          <w:szCs w:val="21"/>
        </w:rPr>
        <w:t xml:space="preserve">D’abord, il est clair que le présent dossier est complexe en droit et en faits, de telle sorte à justifier, de manière générale, les procédures intentées de part et d’autre. </w:t>
      </w:r>
      <w:r w:rsidR="00EE7F0F">
        <w:rPr>
          <w:rFonts w:cs="Arial"/>
          <w:kern w:val="24"/>
          <w:szCs w:val="21"/>
        </w:rPr>
        <w:br/>
      </w:r>
      <w:r w:rsidRPr="00103606">
        <w:rPr>
          <w:rFonts w:cs="Arial"/>
          <w:kern w:val="24"/>
          <w:szCs w:val="21"/>
        </w:rPr>
        <w:t>Hélas, le domaine des actions collectives invite souvent des procédures intérimaires nombreuses et complexes. Le présent dossier, par sa nature d’action collective en matière de violences sexuelles</w:t>
      </w:r>
      <w:r w:rsidR="00B50089">
        <w:rPr>
          <w:rFonts w:cs="Arial"/>
          <w:kern w:val="24"/>
          <w:szCs w:val="21"/>
        </w:rPr>
        <w:t xml:space="preserve">, </w:t>
      </w:r>
      <w:r w:rsidRPr="00103606">
        <w:rPr>
          <w:rFonts w:cs="Arial"/>
          <w:kern w:val="24"/>
          <w:szCs w:val="21"/>
        </w:rPr>
        <w:t xml:space="preserve">les nombreuses victimes visées, </w:t>
      </w:r>
      <w:r w:rsidR="00B50089">
        <w:rPr>
          <w:rFonts w:cs="Arial"/>
          <w:kern w:val="24"/>
          <w:szCs w:val="21"/>
        </w:rPr>
        <w:t xml:space="preserve">la nature particulièrement sensible des allégations et la gravité des fautes en cause, </w:t>
      </w:r>
      <w:r w:rsidRPr="00103606">
        <w:rPr>
          <w:rFonts w:cs="Arial"/>
          <w:kern w:val="24"/>
          <w:szCs w:val="21"/>
        </w:rPr>
        <w:t>invite également à un grand niveau de précaution</w:t>
      </w:r>
      <w:r w:rsidR="00427EBA">
        <w:rPr>
          <w:rFonts w:cs="Arial"/>
          <w:kern w:val="24"/>
          <w:szCs w:val="21"/>
        </w:rPr>
        <w:t xml:space="preserve"> </w:t>
      </w:r>
      <w:r w:rsidR="007E50B9">
        <w:rPr>
          <w:rFonts w:cs="Arial"/>
          <w:kern w:val="24"/>
          <w:szCs w:val="21"/>
        </w:rPr>
        <w:t xml:space="preserve">– </w:t>
      </w:r>
      <w:r w:rsidR="00427EBA">
        <w:rPr>
          <w:rFonts w:cs="Arial"/>
          <w:kern w:val="24"/>
          <w:szCs w:val="21"/>
        </w:rPr>
        <w:t>entre autre</w:t>
      </w:r>
      <w:r w:rsidR="007E50B9">
        <w:rPr>
          <w:rFonts w:cs="Arial"/>
          <w:kern w:val="24"/>
          <w:szCs w:val="21"/>
        </w:rPr>
        <w:t>s,</w:t>
      </w:r>
      <w:r w:rsidR="00427EBA">
        <w:rPr>
          <w:rFonts w:cs="Arial"/>
          <w:kern w:val="24"/>
          <w:szCs w:val="21"/>
        </w:rPr>
        <w:t xml:space="preserve"> au niveau procédural</w:t>
      </w:r>
      <w:r w:rsidRPr="00103606">
        <w:rPr>
          <w:rFonts w:cs="Arial"/>
          <w:kern w:val="24"/>
          <w:szCs w:val="21"/>
        </w:rPr>
        <w:t xml:space="preserve">, et ce, même au stade pré-autorisation. </w:t>
      </w:r>
    </w:p>
    <w:p w14:paraId="6806DFBD" w14:textId="77777777" w:rsidR="0072346E" w:rsidRPr="007B32A0" w:rsidRDefault="00E21D39" w:rsidP="007E50B9">
      <w:pPr>
        <w:pStyle w:val="Paragrdouble"/>
        <w:spacing w:after="160" w:line="276" w:lineRule="auto"/>
        <w:rPr>
          <w:rFonts w:cs="Arial"/>
          <w:kern w:val="24"/>
          <w:szCs w:val="21"/>
        </w:rPr>
      </w:pPr>
      <w:r w:rsidRPr="00103606">
        <w:rPr>
          <w:rFonts w:cs="Arial"/>
          <w:kern w:val="24"/>
          <w:szCs w:val="21"/>
        </w:rPr>
        <w:t>Pour ce qui est de la</w:t>
      </w:r>
      <w:r w:rsidR="005E799C" w:rsidRPr="00103606">
        <w:rPr>
          <w:rFonts w:cs="Arial"/>
          <w:kern w:val="24"/>
          <w:szCs w:val="21"/>
        </w:rPr>
        <w:t xml:space="preserve"> seconde demande de sauvegarde </w:t>
      </w:r>
      <w:r w:rsidRPr="00103606">
        <w:rPr>
          <w:rFonts w:cs="Arial"/>
          <w:kern w:val="24"/>
          <w:szCs w:val="21"/>
        </w:rPr>
        <w:t xml:space="preserve">des codemanderesses, présentée en juillet 2024, </w:t>
      </w:r>
      <w:r w:rsidR="00FF60F4" w:rsidRPr="00103606">
        <w:rPr>
          <w:rFonts w:cs="Arial"/>
          <w:kern w:val="24"/>
          <w:szCs w:val="21"/>
        </w:rPr>
        <w:t xml:space="preserve">particulièrement </w:t>
      </w:r>
      <w:r w:rsidR="007B32A0">
        <w:rPr>
          <w:rFonts w:cs="Arial"/>
          <w:kern w:val="24"/>
          <w:szCs w:val="21"/>
        </w:rPr>
        <w:t xml:space="preserve">visée </w:t>
      </w:r>
      <w:r w:rsidR="00FF60F4" w:rsidRPr="00103606">
        <w:rPr>
          <w:rFonts w:cs="Arial"/>
          <w:kern w:val="24"/>
          <w:szCs w:val="21"/>
        </w:rPr>
        <w:t xml:space="preserve">pour ce qui est de </w:t>
      </w:r>
      <w:r w:rsidR="007B32A0">
        <w:rPr>
          <w:rFonts w:cs="Arial"/>
          <w:kern w:val="24"/>
          <w:szCs w:val="21"/>
        </w:rPr>
        <w:t xml:space="preserve">la </w:t>
      </w:r>
      <w:r w:rsidR="00FF60F4" w:rsidRPr="00103606">
        <w:rPr>
          <w:rFonts w:cs="Arial"/>
          <w:kern w:val="24"/>
          <w:szCs w:val="21"/>
        </w:rPr>
        <w:t xml:space="preserve">demande d’abus, </w:t>
      </w:r>
      <w:r w:rsidRPr="00103606">
        <w:rPr>
          <w:rFonts w:cs="Arial"/>
          <w:kern w:val="24"/>
          <w:szCs w:val="21"/>
        </w:rPr>
        <w:t>cette demande faisait</w:t>
      </w:r>
      <w:r w:rsidR="005E799C" w:rsidRPr="00103606">
        <w:rPr>
          <w:rFonts w:cs="Arial"/>
          <w:kern w:val="24"/>
          <w:szCs w:val="21"/>
        </w:rPr>
        <w:t xml:space="preserve"> suite à </w:t>
      </w:r>
      <w:r w:rsidRPr="00103606">
        <w:rPr>
          <w:rFonts w:cs="Arial"/>
          <w:kern w:val="24"/>
          <w:szCs w:val="21"/>
        </w:rPr>
        <w:t>des faits particuliers, et surtout,</w:t>
      </w:r>
      <w:r w:rsidR="005E799C" w:rsidRPr="00103606">
        <w:rPr>
          <w:rFonts w:cs="Arial"/>
          <w:kern w:val="24"/>
          <w:szCs w:val="21"/>
        </w:rPr>
        <w:t xml:space="preserve"> </w:t>
      </w:r>
      <w:r w:rsidR="00FF60F4" w:rsidRPr="00103606">
        <w:rPr>
          <w:rFonts w:cs="Arial"/>
          <w:kern w:val="24"/>
          <w:szCs w:val="21"/>
        </w:rPr>
        <w:t xml:space="preserve">des </w:t>
      </w:r>
      <w:r w:rsidR="00FF60F4" w:rsidRPr="00103606">
        <w:rPr>
          <w:rFonts w:cs="Arial"/>
          <w:kern w:val="24"/>
          <w:szCs w:val="21"/>
          <w:u w:val="single"/>
        </w:rPr>
        <w:t xml:space="preserve">faits </w:t>
      </w:r>
      <w:r w:rsidRPr="00103606">
        <w:rPr>
          <w:rFonts w:cs="Arial"/>
          <w:kern w:val="24"/>
          <w:szCs w:val="21"/>
          <w:u w:val="single"/>
        </w:rPr>
        <w:t>nouveaux</w:t>
      </w:r>
      <w:r w:rsidR="007B32A0">
        <w:rPr>
          <w:rFonts w:cs="Arial"/>
          <w:kern w:val="24"/>
          <w:szCs w:val="21"/>
          <w:u w:val="single"/>
        </w:rPr>
        <w:t xml:space="preserve"> </w:t>
      </w:r>
      <w:r w:rsidR="007B32A0" w:rsidRPr="00573001">
        <w:rPr>
          <w:rFonts w:cs="Arial"/>
          <w:kern w:val="24"/>
          <w:szCs w:val="21"/>
        </w:rPr>
        <w:t>dont les codemanderesses avaient eu connaissance</w:t>
      </w:r>
      <w:r w:rsidRPr="00103606">
        <w:rPr>
          <w:rFonts w:cs="Arial"/>
          <w:kern w:val="24"/>
          <w:szCs w:val="21"/>
        </w:rPr>
        <w:t xml:space="preserve">. </w:t>
      </w:r>
      <w:r w:rsidR="007B32A0">
        <w:rPr>
          <w:rFonts w:cs="Arial"/>
          <w:kern w:val="24"/>
          <w:szCs w:val="21"/>
        </w:rPr>
        <w:t>Celles-ci</w:t>
      </w:r>
      <w:r w:rsidR="00FF60F4" w:rsidRPr="00103606">
        <w:rPr>
          <w:rFonts w:cs="Arial"/>
          <w:kern w:val="24"/>
          <w:szCs w:val="21"/>
        </w:rPr>
        <w:t xml:space="preserve"> s’inquiétaient d</w:t>
      </w:r>
      <w:r w:rsidR="009C4718" w:rsidRPr="00103606">
        <w:rPr>
          <w:rFonts w:cs="Arial"/>
          <w:kern w:val="24"/>
          <w:szCs w:val="21"/>
        </w:rPr>
        <w:t xml:space="preserve">e la vente </w:t>
      </w:r>
      <w:r w:rsidR="007B32A0">
        <w:rPr>
          <w:rFonts w:cs="Arial"/>
          <w:kern w:val="24"/>
          <w:szCs w:val="21"/>
        </w:rPr>
        <w:t xml:space="preserve">récente des actions </w:t>
      </w:r>
      <w:r w:rsidR="009C4718" w:rsidRPr="00103606">
        <w:rPr>
          <w:rFonts w:cs="Arial"/>
          <w:kern w:val="24"/>
          <w:szCs w:val="21"/>
        </w:rPr>
        <w:t xml:space="preserve">de Future, de l’état de santé précaire de Miller – lequel serait extrêmement malade – et de la dissipation </w:t>
      </w:r>
      <w:r w:rsidR="007B32A0">
        <w:rPr>
          <w:rFonts w:cs="Arial"/>
          <w:kern w:val="24"/>
          <w:szCs w:val="21"/>
        </w:rPr>
        <w:t xml:space="preserve">possible </w:t>
      </w:r>
      <w:r w:rsidR="009C4718" w:rsidRPr="00103606">
        <w:rPr>
          <w:rFonts w:cs="Arial"/>
          <w:kern w:val="24"/>
          <w:szCs w:val="21"/>
        </w:rPr>
        <w:t xml:space="preserve">de ses actifs. </w:t>
      </w:r>
      <w:r w:rsidR="009C4718" w:rsidRPr="007B32A0">
        <w:rPr>
          <w:rFonts w:cs="Arial"/>
          <w:kern w:val="24"/>
          <w:szCs w:val="21"/>
        </w:rPr>
        <w:t xml:space="preserve">Elles souhaitaient obtenir une copie de son testament et les coordonnées de son liquidateur successoral, un inventaire de ses dettes et liquidités, de même qu’une réserve de 200 millions de dollars et des informations sur les actifs provenant de la vente de Future. </w:t>
      </w:r>
      <w:r w:rsidR="00800CDC" w:rsidRPr="007B32A0">
        <w:rPr>
          <w:rFonts w:cs="Arial"/>
          <w:kern w:val="24"/>
          <w:szCs w:val="21"/>
        </w:rPr>
        <w:t xml:space="preserve">Cette demande </w:t>
      </w:r>
      <w:r w:rsidR="00FF60F4" w:rsidRPr="007B32A0">
        <w:rPr>
          <w:rFonts w:cs="Arial"/>
          <w:kern w:val="24"/>
          <w:szCs w:val="21"/>
        </w:rPr>
        <w:t xml:space="preserve">n’était </w:t>
      </w:r>
      <w:r w:rsidR="009C4718" w:rsidRPr="007B32A0">
        <w:rPr>
          <w:rFonts w:cs="Arial"/>
          <w:kern w:val="24"/>
          <w:szCs w:val="21"/>
        </w:rPr>
        <w:t>ni frivole ni</w:t>
      </w:r>
      <w:r w:rsidR="00FF60F4" w:rsidRPr="007B32A0">
        <w:rPr>
          <w:rFonts w:cs="Arial"/>
          <w:kern w:val="24"/>
          <w:szCs w:val="21"/>
        </w:rPr>
        <w:t xml:space="preserve"> mal fondée à sa face</w:t>
      </w:r>
      <w:r w:rsidR="00ED7675" w:rsidRPr="007B32A0">
        <w:rPr>
          <w:rFonts w:cs="Arial"/>
          <w:kern w:val="24"/>
          <w:szCs w:val="21"/>
        </w:rPr>
        <w:t xml:space="preserve"> </w:t>
      </w:r>
      <w:r w:rsidR="00FF60F4" w:rsidRPr="007B32A0">
        <w:rPr>
          <w:rFonts w:cs="Arial"/>
          <w:kern w:val="24"/>
          <w:szCs w:val="21"/>
        </w:rPr>
        <w:t>même</w:t>
      </w:r>
      <w:r w:rsidR="00800CDC" w:rsidRPr="007B32A0">
        <w:rPr>
          <w:rFonts w:cs="Arial"/>
          <w:kern w:val="24"/>
          <w:szCs w:val="21"/>
        </w:rPr>
        <w:t>, quoiqu’elle fut rejetée par la soussignée</w:t>
      </w:r>
      <w:r w:rsidR="009C4718" w:rsidRPr="007B32A0">
        <w:rPr>
          <w:rFonts w:cs="Arial"/>
          <w:kern w:val="24"/>
          <w:szCs w:val="21"/>
        </w:rPr>
        <w:t>.</w:t>
      </w:r>
    </w:p>
    <w:p w14:paraId="6AC2341B" w14:textId="77777777" w:rsidR="00D2743B" w:rsidRDefault="00E21D39" w:rsidP="00D2743B">
      <w:pPr>
        <w:pStyle w:val="Paragrdouble"/>
        <w:spacing w:after="160" w:line="276" w:lineRule="auto"/>
        <w:rPr>
          <w:rFonts w:cs="Arial"/>
          <w:kern w:val="24"/>
          <w:szCs w:val="21"/>
        </w:rPr>
      </w:pPr>
      <w:r w:rsidRPr="00103606">
        <w:rPr>
          <w:rFonts w:cs="Arial"/>
          <w:kern w:val="24"/>
          <w:szCs w:val="21"/>
        </w:rPr>
        <w:t xml:space="preserve">Les codemanderesses n’utilisent pas la procédure de manière excessive ou déraisonnable ou de manière à nuire à autrui. </w:t>
      </w:r>
      <w:r w:rsidR="009C4718" w:rsidRPr="00103606">
        <w:rPr>
          <w:rFonts w:cs="Arial"/>
          <w:kern w:val="24"/>
          <w:szCs w:val="21"/>
        </w:rPr>
        <w:t>La demande d’abus est donc rejetée.</w:t>
      </w:r>
    </w:p>
    <w:p w14:paraId="3755DB42" w14:textId="77777777" w:rsidR="0072346E" w:rsidRPr="00103606" w:rsidRDefault="00E21D39" w:rsidP="007E50B9">
      <w:pPr>
        <w:rPr>
          <w:rFonts w:cs="Arial"/>
          <w:kern w:val="24"/>
          <w:szCs w:val="21"/>
        </w:rPr>
      </w:pPr>
      <w:r>
        <w:rPr>
          <w:rFonts w:cs="Arial"/>
          <w:kern w:val="24"/>
          <w:szCs w:val="21"/>
        </w:rPr>
        <w:br w:type="page"/>
      </w:r>
    </w:p>
    <w:p w14:paraId="73C93895" w14:textId="77777777" w:rsidR="00B77F8C" w:rsidRPr="00103606" w:rsidRDefault="00E21D39" w:rsidP="00B77F8C">
      <w:pPr>
        <w:pStyle w:val="Titre1"/>
        <w:spacing w:line="276" w:lineRule="auto"/>
        <w:rPr>
          <w:rFonts w:cs="Arial"/>
        </w:rPr>
      </w:pPr>
      <w:bookmarkStart w:id="76" w:name="_Toc256000029"/>
      <w:bookmarkStart w:id="77" w:name="_Toc45807147"/>
      <w:bookmarkStart w:id="78" w:name="_Toc56788871"/>
      <w:bookmarkStart w:id="79" w:name="_Toc187475788"/>
      <w:r w:rsidRPr="00103606">
        <w:rPr>
          <w:rFonts w:cs="Arial"/>
        </w:rPr>
        <w:t>CONCLUSION</w:t>
      </w:r>
      <w:bookmarkEnd w:id="76"/>
      <w:bookmarkEnd w:id="77"/>
      <w:bookmarkEnd w:id="78"/>
      <w:bookmarkEnd w:id="79"/>
    </w:p>
    <w:p w14:paraId="098CA285" w14:textId="77777777" w:rsidR="00772542" w:rsidRPr="00AD1ED4" w:rsidRDefault="00E21D39" w:rsidP="00D2743B">
      <w:pPr>
        <w:pStyle w:val="Paragrdouble"/>
        <w:spacing w:line="276" w:lineRule="auto"/>
        <w:rPr>
          <w:rFonts w:cs="Arial"/>
          <w:lang w:eastAsia="fr-CA"/>
        </w:rPr>
      </w:pPr>
      <w:r w:rsidRPr="00103606">
        <w:rPr>
          <w:rFonts w:cs="Arial"/>
          <w:lang w:eastAsia="fr-CA"/>
        </w:rPr>
        <w:t xml:space="preserve">Je conclus que les faits allégués </w:t>
      </w:r>
      <w:r w:rsidR="002E2258" w:rsidRPr="00103606">
        <w:rPr>
          <w:rFonts w:cs="Arial"/>
          <w:lang w:eastAsia="fr-CA"/>
        </w:rPr>
        <w:t>satisfont</w:t>
      </w:r>
      <w:r w:rsidRPr="00103606">
        <w:rPr>
          <w:rFonts w:cs="Arial"/>
          <w:lang w:eastAsia="fr-CA"/>
        </w:rPr>
        <w:t xml:space="preserve"> les quatre critères de l’article 575 C.p.c., </w:t>
      </w:r>
      <w:r w:rsidR="002E2258" w:rsidRPr="00103606">
        <w:rPr>
          <w:rFonts w:cs="Arial"/>
          <w:lang w:eastAsia="fr-CA"/>
        </w:rPr>
        <w:t>de telle sorte à</w:t>
      </w:r>
      <w:r w:rsidRPr="00103606">
        <w:rPr>
          <w:rFonts w:cs="Arial"/>
          <w:lang w:eastAsia="fr-CA"/>
        </w:rPr>
        <w:t xml:space="preserve"> condui</w:t>
      </w:r>
      <w:r w:rsidR="002E2258" w:rsidRPr="00103606">
        <w:rPr>
          <w:rFonts w:cs="Arial"/>
          <w:lang w:eastAsia="fr-CA"/>
        </w:rPr>
        <w:t>re</w:t>
      </w:r>
      <w:r w:rsidRPr="00103606">
        <w:rPr>
          <w:rFonts w:cs="Arial"/>
          <w:lang w:eastAsia="fr-CA"/>
        </w:rPr>
        <w:t xml:space="preserve"> à l’autorisation de la Demande à l’égard de </w:t>
      </w:r>
      <w:r w:rsidR="007B32A0">
        <w:rPr>
          <w:rFonts w:cs="Arial"/>
          <w:lang w:eastAsia="fr-CA"/>
        </w:rPr>
        <w:t>tous les défendeurs</w:t>
      </w:r>
      <w:r w:rsidRPr="00103606">
        <w:rPr>
          <w:rFonts w:cs="Arial"/>
          <w:lang w:eastAsia="fr-CA"/>
        </w:rPr>
        <w:t>.</w:t>
      </w:r>
      <w:r w:rsidR="002E2258" w:rsidRPr="00103606">
        <w:rPr>
          <w:rFonts w:cs="Arial"/>
          <w:lang w:eastAsia="fr-CA"/>
        </w:rPr>
        <w:t xml:space="preserve"> </w:t>
      </w:r>
    </w:p>
    <w:p w14:paraId="73437B7D" w14:textId="77777777" w:rsidR="00CF51ED" w:rsidRPr="00103606" w:rsidRDefault="00E21D39" w:rsidP="00573001">
      <w:pPr>
        <w:spacing w:line="276" w:lineRule="auto"/>
        <w:rPr>
          <w:rFonts w:cs="Arial"/>
          <w:b/>
          <w:bCs/>
          <w:u w:val="single"/>
        </w:rPr>
      </w:pPr>
      <w:bookmarkStart w:id="80" w:name="_Toc56788872"/>
      <w:r w:rsidRPr="00103606">
        <w:rPr>
          <w:rFonts w:cs="Arial"/>
          <w:b/>
          <w:bCs/>
          <w:u w:val="single"/>
        </w:rPr>
        <w:t>POUR CES MOTIFS, LE TRIBUNAL :</w:t>
      </w:r>
      <w:bookmarkEnd w:id="80"/>
      <w:bookmarkEnd w:id="2"/>
    </w:p>
    <w:p w14:paraId="7EE56CEF" w14:textId="77777777" w:rsidR="00213636" w:rsidRDefault="00E21D39" w:rsidP="007E50B9">
      <w:pPr>
        <w:pStyle w:val="Paragrsimple"/>
        <w:spacing w:line="276" w:lineRule="auto"/>
        <w:rPr>
          <w:rFonts w:cs="Arial"/>
        </w:rPr>
      </w:pPr>
      <w:r w:rsidRPr="008573E6">
        <w:rPr>
          <w:rFonts w:cs="Arial"/>
          <w:b/>
          <w:bCs/>
        </w:rPr>
        <w:t>REJETTE</w:t>
      </w:r>
      <w:r>
        <w:rPr>
          <w:rFonts w:cs="Arial"/>
        </w:rPr>
        <w:t xml:space="preserve"> la Demande de preuve appropriée du défendeur Robert Gerald Miller;</w:t>
      </w:r>
    </w:p>
    <w:p w14:paraId="4290F6D9" w14:textId="77777777" w:rsidR="00213636" w:rsidRPr="008573E6" w:rsidRDefault="00E21D39" w:rsidP="007E50B9">
      <w:pPr>
        <w:pStyle w:val="Paragrdouble"/>
        <w:tabs>
          <w:tab w:val="clear" w:pos="360"/>
        </w:tabs>
        <w:spacing w:line="276" w:lineRule="auto"/>
      </w:pPr>
      <w:r>
        <w:rPr>
          <w:rFonts w:cs="Arial"/>
          <w:b/>
          <w:bCs/>
        </w:rPr>
        <w:t xml:space="preserve">REJETTE </w:t>
      </w:r>
      <w:r w:rsidRPr="008573E6">
        <w:rPr>
          <w:rFonts w:cs="Arial"/>
        </w:rPr>
        <w:t>l’objection des défendeurs à l’admission en preuve des déclarations anonymes signées et non assermentées;</w:t>
      </w:r>
    </w:p>
    <w:p w14:paraId="4E5ABD92" w14:textId="77777777" w:rsidR="005E1A05" w:rsidRPr="00194990" w:rsidRDefault="00E21D39" w:rsidP="007E50B9">
      <w:pPr>
        <w:pStyle w:val="Paragrsimple"/>
        <w:tabs>
          <w:tab w:val="clear" w:pos="360"/>
        </w:tabs>
        <w:spacing w:line="276" w:lineRule="auto"/>
        <w:rPr>
          <w:rFonts w:cs="Arial"/>
        </w:rPr>
      </w:pPr>
      <w:r w:rsidRPr="00103606">
        <w:rPr>
          <w:rFonts w:cs="Arial"/>
          <w:b/>
          <w:bCs/>
        </w:rPr>
        <w:t>ACCUEILLE</w:t>
      </w:r>
      <w:r w:rsidR="000F0DD1" w:rsidRPr="00103606">
        <w:rPr>
          <w:rFonts w:cs="Arial"/>
          <w:b/>
          <w:bCs/>
        </w:rPr>
        <w:t xml:space="preserve">, </w:t>
      </w:r>
      <w:r w:rsidRPr="00103606">
        <w:rPr>
          <w:rFonts w:cs="Arial"/>
        </w:rPr>
        <w:t xml:space="preserve">la </w:t>
      </w:r>
      <w:r w:rsidR="001E29CE">
        <w:rPr>
          <w:rFonts w:cs="Arial"/>
          <w:u w:val="single"/>
        </w:rPr>
        <w:t>S</w:t>
      </w:r>
      <w:r w:rsidR="00B94EA3" w:rsidRPr="00103606">
        <w:rPr>
          <w:rFonts w:cs="Arial"/>
          <w:u w:val="single"/>
        </w:rPr>
        <w:t>ixième</w:t>
      </w:r>
      <w:r w:rsidRPr="00103606">
        <w:rPr>
          <w:rFonts w:cs="Arial"/>
        </w:rPr>
        <w:t xml:space="preserve"> </w:t>
      </w:r>
      <w:r w:rsidR="00B94EA3" w:rsidRPr="00103606">
        <w:rPr>
          <w:rFonts w:cs="Arial"/>
        </w:rPr>
        <w:t>D</w:t>
      </w:r>
      <w:r w:rsidRPr="00103606">
        <w:rPr>
          <w:rFonts w:cs="Arial"/>
        </w:rPr>
        <w:t>emande des codemanderesses d’autorisation d’exercer une action collective et pour être représentant (</w:t>
      </w:r>
      <w:r w:rsidR="000F0DD1" w:rsidRPr="00103606">
        <w:rPr>
          <w:rFonts w:cs="Arial"/>
        </w:rPr>
        <w:t xml:space="preserve">la </w:t>
      </w:r>
      <w:r w:rsidR="000F0DD1" w:rsidRPr="00573001">
        <w:rPr>
          <w:rFonts w:cs="Arial"/>
          <w:i/>
          <w:iCs/>
        </w:rPr>
        <w:t>Fifth Amended Application to Authorize the Bringing of a Class Action &amp; to Appoint the Applicants as Representative Plaintiffs</w:t>
      </w:r>
      <w:r w:rsidR="000F0DD1" w:rsidRPr="00103606">
        <w:rPr>
          <w:rFonts w:cs="Arial"/>
        </w:rPr>
        <w:t xml:space="preserve">, </w:t>
      </w:r>
      <w:r w:rsidRPr="00103606">
        <w:rPr>
          <w:rFonts w:cs="Arial"/>
        </w:rPr>
        <w:t>modifiée</w:t>
      </w:r>
      <w:r w:rsidR="001E29CE">
        <w:rPr>
          <w:rFonts w:cs="Arial"/>
        </w:rPr>
        <w:t xml:space="preserve"> une sixième fois</w:t>
      </w:r>
      <w:r w:rsidRPr="00103606">
        <w:rPr>
          <w:rFonts w:cs="Arial"/>
        </w:rPr>
        <w:t xml:space="preserve"> le </w:t>
      </w:r>
      <w:r w:rsidR="00B94EA3" w:rsidRPr="00103606">
        <w:rPr>
          <w:rFonts w:cs="Arial"/>
        </w:rPr>
        <w:t>2</w:t>
      </w:r>
      <w:r w:rsidR="004010A3" w:rsidRPr="00103606">
        <w:rPr>
          <w:rFonts w:cs="Arial"/>
        </w:rPr>
        <w:t xml:space="preserve">9 </w:t>
      </w:r>
      <w:r w:rsidR="00B94EA3" w:rsidRPr="00103606">
        <w:rPr>
          <w:rFonts w:cs="Arial"/>
        </w:rPr>
        <w:t>novembre</w:t>
      </w:r>
      <w:r w:rsidR="004010A3" w:rsidRPr="00103606">
        <w:rPr>
          <w:rFonts w:cs="Arial"/>
        </w:rPr>
        <w:t xml:space="preserve"> 2024</w:t>
      </w:r>
      <w:r w:rsidR="00E50F22" w:rsidRPr="00103606">
        <w:rPr>
          <w:rFonts w:cs="Arial"/>
        </w:rPr>
        <w:t>)</w:t>
      </w:r>
      <w:r w:rsidRPr="00103606">
        <w:rPr>
          <w:rFonts w:cs="Arial"/>
        </w:rPr>
        <w:t>;</w:t>
      </w:r>
    </w:p>
    <w:p w14:paraId="0A27629C" w14:textId="77777777" w:rsidR="005E1A05" w:rsidRPr="00103606" w:rsidRDefault="00E21D39" w:rsidP="007E50B9">
      <w:pPr>
        <w:pStyle w:val="Paragrsimple"/>
        <w:tabs>
          <w:tab w:val="clear" w:pos="360"/>
        </w:tabs>
        <w:spacing w:line="276" w:lineRule="auto"/>
        <w:rPr>
          <w:rFonts w:cs="Arial"/>
        </w:rPr>
      </w:pPr>
      <w:r w:rsidRPr="00103606">
        <w:rPr>
          <w:rFonts w:cs="Arial"/>
          <w:b/>
          <w:bCs/>
        </w:rPr>
        <w:t>AUTORISE</w:t>
      </w:r>
      <w:r w:rsidRPr="00103606">
        <w:rPr>
          <w:rFonts w:cs="Arial"/>
        </w:rPr>
        <w:t xml:space="preserve"> l'exercice de l’action collective ci-après décrite :</w:t>
      </w:r>
    </w:p>
    <w:p w14:paraId="23FEA29C" w14:textId="77777777" w:rsidR="001E29CE" w:rsidRPr="008573E6" w:rsidRDefault="00E21D39" w:rsidP="007E50B9">
      <w:pPr>
        <w:pStyle w:val="Paragrsimple"/>
        <w:numPr>
          <w:ilvl w:val="0"/>
          <w:numId w:val="0"/>
        </w:numPr>
        <w:spacing w:line="276" w:lineRule="auto"/>
        <w:ind w:left="731"/>
        <w:rPr>
          <w:rFonts w:cs="Arial"/>
        </w:rPr>
      </w:pPr>
      <w:r>
        <w:t>« </w:t>
      </w:r>
      <w:r w:rsidRPr="008573E6">
        <w:t xml:space="preserve">Toutes les personnes qui, alors qu’elles étaient âgées de moins de 18 ans, ont fourni des services sexuels en échange d’une </w:t>
      </w:r>
      <w:r>
        <w:t>rétribution</w:t>
      </w:r>
      <w:r w:rsidR="007B32A0">
        <w:t>,</w:t>
      </w:r>
      <w:r>
        <w:t xml:space="preserve"> et/ou ont été victimes d’exploitation sexuelle</w:t>
      </w:r>
      <w:r w:rsidR="007B32A0">
        <w:t>,</w:t>
      </w:r>
      <w:r>
        <w:t xml:space="preserve"> et/ou </w:t>
      </w:r>
      <w:r w:rsidR="007B32A0">
        <w:t xml:space="preserve">ont été </w:t>
      </w:r>
      <w:r>
        <w:t>victimes d</w:t>
      </w:r>
      <w:r w:rsidR="00AD1512">
        <w:t>’incitation à des</w:t>
      </w:r>
      <w:r>
        <w:t xml:space="preserve"> contacts sexuels de la part de Robert G. Miller, </w:t>
      </w:r>
      <w:r w:rsidRPr="008573E6">
        <w:rPr>
          <w:rFonts w:cs="Arial"/>
        </w:rPr>
        <w:t>Raymond Poulet, Sam Joseph Abrams</w:t>
      </w:r>
      <w:r w:rsidR="007B32A0">
        <w:rPr>
          <w:rFonts w:cs="Arial"/>
        </w:rPr>
        <w:t xml:space="preserve">, </w:t>
      </w:r>
      <w:r w:rsidRPr="008573E6">
        <w:rPr>
          <w:rFonts w:cs="Arial"/>
        </w:rPr>
        <w:t>Helmut Lippmann</w:t>
      </w:r>
      <w:r w:rsidR="007B32A0">
        <w:rPr>
          <w:rFonts w:cs="Arial"/>
        </w:rPr>
        <w:t xml:space="preserve"> et/ou Future Electronics Inc</w:t>
      </w:r>
      <w:r w:rsidRPr="008573E6">
        <w:rPr>
          <w:rFonts w:cs="Arial"/>
        </w:rPr>
        <w:t>.</w:t>
      </w:r>
      <w:r w:rsidRPr="00AD1512">
        <w:rPr>
          <w:rFonts w:cs="Arial"/>
        </w:rPr>
        <w:t> </w:t>
      </w:r>
      <w:r>
        <w:rPr>
          <w:rFonts w:cs="Arial"/>
        </w:rPr>
        <w:t xml:space="preserve">» </w:t>
      </w:r>
    </w:p>
    <w:p w14:paraId="7AB10D64" w14:textId="77777777" w:rsidR="000F0DD1" w:rsidRPr="00103606" w:rsidRDefault="00E21D39" w:rsidP="003C32C8">
      <w:pPr>
        <w:pStyle w:val="Paragrsimple"/>
        <w:spacing w:line="276" w:lineRule="auto"/>
        <w:rPr>
          <w:rFonts w:cs="Arial"/>
        </w:rPr>
      </w:pPr>
      <w:r w:rsidRPr="00103606">
        <w:rPr>
          <w:rFonts w:cs="Arial"/>
          <w:b/>
          <w:bCs/>
        </w:rPr>
        <w:t>ATTRIBUE</w:t>
      </w:r>
      <w:r w:rsidRPr="00103606">
        <w:rPr>
          <w:rFonts w:cs="Arial"/>
        </w:rPr>
        <w:t xml:space="preserve"> </w:t>
      </w:r>
      <w:r w:rsidR="00E50F22" w:rsidRPr="00103606">
        <w:rPr>
          <w:rFonts w:cs="Arial"/>
        </w:rPr>
        <w:t>aux codemanderesses</w:t>
      </w:r>
      <w:r w:rsidRPr="00103606">
        <w:rPr>
          <w:rFonts w:cs="Arial"/>
        </w:rPr>
        <w:t xml:space="preserve"> le statut de représentant</w:t>
      </w:r>
      <w:r w:rsidR="00E50F22" w:rsidRPr="00103606">
        <w:rPr>
          <w:rFonts w:cs="Arial"/>
        </w:rPr>
        <w:t xml:space="preserve">es </w:t>
      </w:r>
      <w:r w:rsidRPr="00103606">
        <w:rPr>
          <w:rFonts w:cs="Arial"/>
        </w:rPr>
        <w:t>aux fins d'exercer l’action collective pour le compte du groupe des personnes ci-après décrit :</w:t>
      </w:r>
    </w:p>
    <w:p w14:paraId="755BA38B" w14:textId="77777777" w:rsidR="007B32A0" w:rsidRPr="007B32A0" w:rsidRDefault="00E21D39" w:rsidP="007E50B9">
      <w:pPr>
        <w:pStyle w:val="Paragrsimple"/>
        <w:numPr>
          <w:ilvl w:val="0"/>
          <w:numId w:val="0"/>
        </w:numPr>
        <w:spacing w:line="276" w:lineRule="auto"/>
        <w:ind w:left="731"/>
        <w:rPr>
          <w:rFonts w:cs="Arial"/>
        </w:rPr>
      </w:pPr>
      <w:r w:rsidRPr="007B32A0">
        <w:t xml:space="preserve">« Toutes les personnes qui, alors qu’elles étaient âgées de moins de 18 ans, ont fourni des services sexuels en échange d’une rétribution, et/ou ont été victimes d’exploitation sexuelle, et/ou ont été victimes d’incitation à des contacts sexuels de la part de Robert G. Miller, </w:t>
      </w:r>
      <w:r w:rsidRPr="007B32A0">
        <w:rPr>
          <w:rFonts w:cs="Arial"/>
        </w:rPr>
        <w:t xml:space="preserve">Raymond Poulet, Sam Joseph Abrams, Helmut Lippmann et/ou Future Electronics Inc. » </w:t>
      </w:r>
    </w:p>
    <w:p w14:paraId="579E1331" w14:textId="77777777" w:rsidR="00AD1512" w:rsidRPr="00AD1512" w:rsidRDefault="00E21D39" w:rsidP="003C32C8">
      <w:pPr>
        <w:pStyle w:val="Paragrsimple"/>
        <w:spacing w:line="276" w:lineRule="auto"/>
      </w:pPr>
      <w:r w:rsidRPr="00BB1D1C">
        <w:rPr>
          <w:rFonts w:cs="Arial"/>
          <w:b/>
          <w:bCs/>
        </w:rPr>
        <w:t>IDENTIFIE</w:t>
      </w:r>
      <w:r w:rsidRPr="00103606">
        <w:rPr>
          <w:rFonts w:cs="Arial"/>
        </w:rPr>
        <w:t xml:space="preserve"> comme suit les principales questions de fait et de droit qui seront traitées collectivement :</w:t>
      </w:r>
    </w:p>
    <w:p w14:paraId="665316D7" w14:textId="77777777" w:rsidR="00AD1512" w:rsidRDefault="00E21D39" w:rsidP="003C32C8">
      <w:pPr>
        <w:pStyle w:val="Paragraphedeliste"/>
        <w:numPr>
          <w:ilvl w:val="0"/>
          <w:numId w:val="37"/>
        </w:numPr>
        <w:tabs>
          <w:tab w:val="left" w:pos="1134"/>
        </w:tabs>
        <w:spacing w:before="120" w:after="120" w:line="276" w:lineRule="auto"/>
        <w:ind w:left="851" w:hanging="567"/>
        <w:contextualSpacing w:val="0"/>
        <w:jc w:val="both"/>
        <w:rPr>
          <w:rFonts w:cs="Arial"/>
        </w:rPr>
      </w:pPr>
      <w:r w:rsidRPr="00C922A4">
        <w:rPr>
          <w:rFonts w:cs="Arial"/>
        </w:rPr>
        <w:t xml:space="preserve">Est-ce que l’un ou l’ensemble des défendeurs a commis une faute civile en vertu de l’article 1457 C.c.Q.? </w:t>
      </w:r>
    </w:p>
    <w:p w14:paraId="1CA0205B" w14:textId="77777777" w:rsidR="00AD1512" w:rsidRDefault="00E21D39" w:rsidP="003C32C8">
      <w:pPr>
        <w:pStyle w:val="Paragraphedeliste"/>
        <w:numPr>
          <w:ilvl w:val="0"/>
          <w:numId w:val="38"/>
        </w:numPr>
        <w:spacing w:before="120" w:after="120" w:line="276" w:lineRule="auto"/>
        <w:ind w:left="1276" w:hanging="142"/>
        <w:contextualSpacing w:val="0"/>
        <w:jc w:val="both"/>
        <w:rPr>
          <w:rFonts w:cs="Arial"/>
        </w:rPr>
      </w:pPr>
      <w:r w:rsidRPr="00B66C1E">
        <w:rPr>
          <w:rFonts w:cs="Arial"/>
        </w:rPr>
        <w:t>Est-ce que le défendeur Robert G. Miller a obtenu moyennant rétribution les services sexuels de personnes mineures?</w:t>
      </w:r>
    </w:p>
    <w:p w14:paraId="46060C43" w14:textId="77777777" w:rsidR="00AD1512" w:rsidRDefault="00E21D39" w:rsidP="003C32C8">
      <w:pPr>
        <w:pStyle w:val="Paragraphedeliste"/>
        <w:numPr>
          <w:ilvl w:val="0"/>
          <w:numId w:val="38"/>
        </w:numPr>
        <w:spacing w:before="120" w:after="120" w:line="276" w:lineRule="auto"/>
        <w:ind w:left="1276" w:hanging="142"/>
        <w:contextualSpacing w:val="0"/>
        <w:jc w:val="both"/>
        <w:rPr>
          <w:rFonts w:cs="Arial"/>
        </w:rPr>
      </w:pPr>
      <w:r w:rsidRPr="00B66C1E">
        <w:rPr>
          <w:rFonts w:cs="Arial"/>
        </w:rPr>
        <w:t>Est-ce que le défendeur Robert G. Miller a exploité sexuellement des personnes mineures?</w:t>
      </w:r>
    </w:p>
    <w:p w14:paraId="711151EF" w14:textId="77777777" w:rsidR="00AD1512" w:rsidRDefault="00E21D39" w:rsidP="003C32C8">
      <w:pPr>
        <w:pStyle w:val="Paragraphedeliste"/>
        <w:numPr>
          <w:ilvl w:val="0"/>
          <w:numId w:val="38"/>
        </w:numPr>
        <w:spacing w:before="120" w:after="120" w:line="276" w:lineRule="auto"/>
        <w:ind w:left="1276" w:hanging="142"/>
        <w:contextualSpacing w:val="0"/>
        <w:jc w:val="both"/>
        <w:rPr>
          <w:rFonts w:cs="Arial"/>
        </w:rPr>
      </w:pPr>
      <w:r w:rsidRPr="00B66C1E">
        <w:rPr>
          <w:rFonts w:cs="Arial"/>
        </w:rPr>
        <w:t>Est-ce que le défendeur Robert G. Miller a incité des mineures à avoir des contacts sexuels?</w:t>
      </w:r>
    </w:p>
    <w:p w14:paraId="408137BC" w14:textId="77777777" w:rsidR="00AD1512" w:rsidRDefault="00E21D39" w:rsidP="003C32C8">
      <w:pPr>
        <w:pStyle w:val="Paragraphedeliste"/>
        <w:numPr>
          <w:ilvl w:val="0"/>
          <w:numId w:val="38"/>
        </w:numPr>
        <w:spacing w:before="120" w:after="120" w:line="276" w:lineRule="auto"/>
        <w:ind w:left="1276" w:hanging="142"/>
        <w:contextualSpacing w:val="0"/>
        <w:jc w:val="both"/>
        <w:rPr>
          <w:rFonts w:cs="Arial"/>
        </w:rPr>
      </w:pPr>
      <w:r w:rsidRPr="00B66C1E">
        <w:rPr>
          <w:rFonts w:cs="Arial"/>
        </w:rPr>
        <w:t xml:space="preserve">Est-ce que les défendeurs Sam Joseph Abrams </w:t>
      </w:r>
      <w:r>
        <w:rPr>
          <w:rFonts w:cs="Arial"/>
        </w:rPr>
        <w:t>et</w:t>
      </w:r>
      <w:r w:rsidRPr="00B66C1E">
        <w:rPr>
          <w:rFonts w:cs="Arial"/>
        </w:rPr>
        <w:t>/o</w:t>
      </w:r>
      <w:r>
        <w:rPr>
          <w:rFonts w:cs="Arial"/>
        </w:rPr>
        <w:t>u</w:t>
      </w:r>
      <w:r w:rsidRPr="00B66C1E">
        <w:rPr>
          <w:rFonts w:cs="Arial"/>
        </w:rPr>
        <w:t xml:space="preserve"> Raymond</w:t>
      </w:r>
      <w:r>
        <w:rPr>
          <w:rFonts w:cs="Arial"/>
        </w:rPr>
        <w:t xml:space="preserve"> </w:t>
      </w:r>
      <w:r w:rsidRPr="00B66C1E">
        <w:rPr>
          <w:rFonts w:cs="Arial"/>
        </w:rPr>
        <w:t xml:space="preserve">Poulet et/ou Helmut Lippmann ont encouragé ou aidé </w:t>
      </w:r>
      <w:r>
        <w:rPr>
          <w:rFonts w:cs="Arial"/>
        </w:rPr>
        <w:t xml:space="preserve">comme complices </w:t>
      </w:r>
      <w:r w:rsidR="007B4E0A">
        <w:rPr>
          <w:rFonts w:cs="Arial"/>
        </w:rPr>
        <w:br/>
      </w:r>
      <w:r w:rsidRPr="00B66C1E">
        <w:rPr>
          <w:rFonts w:cs="Arial"/>
        </w:rPr>
        <w:t>à l’accomplissement de ces conduites fautives?</w:t>
      </w:r>
    </w:p>
    <w:p w14:paraId="3843EF27" w14:textId="77777777" w:rsidR="00AD1512" w:rsidRDefault="00E21D39" w:rsidP="003C32C8">
      <w:pPr>
        <w:pStyle w:val="Paragraphedeliste"/>
        <w:numPr>
          <w:ilvl w:val="0"/>
          <w:numId w:val="38"/>
        </w:numPr>
        <w:spacing w:before="120" w:after="120" w:line="276" w:lineRule="auto"/>
        <w:ind w:left="1276" w:hanging="142"/>
        <w:contextualSpacing w:val="0"/>
        <w:jc w:val="both"/>
        <w:rPr>
          <w:rFonts w:cs="Arial"/>
        </w:rPr>
      </w:pPr>
      <w:r>
        <w:rPr>
          <w:rFonts w:cs="Arial"/>
        </w:rPr>
        <w:t xml:space="preserve">Est-ce que les défendeurs Sam Joseph Abrams et/ou </w:t>
      </w:r>
      <w:r w:rsidRPr="00B66C1E">
        <w:rPr>
          <w:rFonts w:cs="Arial"/>
        </w:rPr>
        <w:t>Helmut Lippmann</w:t>
      </w:r>
      <w:r>
        <w:rPr>
          <w:rFonts w:cs="Arial"/>
        </w:rPr>
        <w:t xml:space="preserve"> ont participé et/</w:t>
      </w:r>
      <w:r w:rsidRPr="00B66C1E">
        <w:rPr>
          <w:rFonts w:cs="Arial"/>
        </w:rPr>
        <w:t>ou encouragé la commission des actes fautifs de Miller</w:t>
      </w:r>
      <w:r>
        <w:rPr>
          <w:rFonts w:cs="Arial"/>
        </w:rPr>
        <w:t xml:space="preserve"> dans l’exécution de leurs fonctions en vertu de l’article 1463 C.c.Q.?</w:t>
      </w:r>
    </w:p>
    <w:p w14:paraId="213A8C6D" w14:textId="77777777" w:rsidR="00AD1512" w:rsidRDefault="00E21D39" w:rsidP="003C32C8">
      <w:pPr>
        <w:pStyle w:val="Paragraphedeliste"/>
        <w:numPr>
          <w:ilvl w:val="0"/>
          <w:numId w:val="38"/>
        </w:numPr>
        <w:spacing w:before="120" w:after="120" w:line="276" w:lineRule="auto"/>
        <w:ind w:left="1276" w:hanging="142"/>
        <w:contextualSpacing w:val="0"/>
        <w:jc w:val="both"/>
        <w:rPr>
          <w:rFonts w:cs="Arial"/>
        </w:rPr>
      </w:pPr>
      <w:r w:rsidRPr="00B66C1E">
        <w:rPr>
          <w:rFonts w:cs="Arial"/>
        </w:rPr>
        <w:t xml:space="preserve">Est-ce que l’un ou plusieurs des défendeurs ont participé </w:t>
      </w:r>
      <w:r>
        <w:rPr>
          <w:rFonts w:cs="Arial"/>
        </w:rPr>
        <w:t xml:space="preserve">de manière fautive </w:t>
      </w:r>
      <w:r w:rsidRPr="00B66C1E">
        <w:rPr>
          <w:rFonts w:cs="Arial"/>
        </w:rPr>
        <w:t>à un schème organisé de prostitution juvénile?</w:t>
      </w:r>
    </w:p>
    <w:p w14:paraId="5E2A0298" w14:textId="77777777" w:rsidR="00AD1512" w:rsidRDefault="00E21D39" w:rsidP="003C32C8">
      <w:pPr>
        <w:pStyle w:val="Paragraphedeliste"/>
        <w:numPr>
          <w:ilvl w:val="0"/>
          <w:numId w:val="38"/>
        </w:numPr>
        <w:spacing w:before="120" w:after="120" w:line="276" w:lineRule="auto"/>
        <w:ind w:left="1276" w:hanging="142"/>
        <w:contextualSpacing w:val="0"/>
        <w:jc w:val="both"/>
        <w:rPr>
          <w:rFonts w:cs="Arial"/>
        </w:rPr>
      </w:pPr>
      <w:r w:rsidRPr="00B66C1E">
        <w:rPr>
          <w:rFonts w:cs="Arial"/>
        </w:rPr>
        <w:t xml:space="preserve">Est-ce que la défenderesse Future a participé </w:t>
      </w:r>
      <w:r>
        <w:rPr>
          <w:rFonts w:cs="Arial"/>
        </w:rPr>
        <w:t>et/</w:t>
      </w:r>
      <w:r w:rsidRPr="00B66C1E">
        <w:rPr>
          <w:rFonts w:cs="Arial"/>
        </w:rPr>
        <w:t>ou encouragé la commission des actes fautifs de Miller et/ou de ses employés Sam Joseph Abrams, Raymond Poulet et/ou Helmut Lippmann?</w:t>
      </w:r>
    </w:p>
    <w:p w14:paraId="0CB268A0" w14:textId="77777777" w:rsidR="00AD1512" w:rsidRPr="00B66C1E" w:rsidRDefault="00E21D39" w:rsidP="003C32C8">
      <w:pPr>
        <w:pStyle w:val="Paragraphedeliste"/>
        <w:numPr>
          <w:ilvl w:val="0"/>
          <w:numId w:val="38"/>
        </w:numPr>
        <w:spacing w:before="120" w:after="120" w:line="276" w:lineRule="auto"/>
        <w:ind w:left="1276" w:hanging="142"/>
        <w:contextualSpacing w:val="0"/>
        <w:jc w:val="both"/>
        <w:rPr>
          <w:rFonts w:cs="Arial"/>
        </w:rPr>
      </w:pPr>
      <w:r>
        <w:rPr>
          <w:rFonts w:cs="Arial"/>
        </w:rPr>
        <w:t>Un</w:t>
      </w:r>
      <w:r w:rsidRPr="00B66C1E">
        <w:rPr>
          <w:rFonts w:cs="Arial"/>
        </w:rPr>
        <w:t xml:space="preserve"> ou plusieurs des actes de (</w:t>
      </w:r>
      <w:r>
        <w:rPr>
          <w:rFonts w:cs="Arial"/>
        </w:rPr>
        <w:t>i</w:t>
      </w:r>
      <w:r w:rsidRPr="00B66C1E">
        <w:rPr>
          <w:rFonts w:cs="Arial"/>
        </w:rPr>
        <w:t xml:space="preserve">) </w:t>
      </w:r>
      <w:r>
        <w:rPr>
          <w:rFonts w:cs="Arial"/>
        </w:rPr>
        <w:t>à (vii</w:t>
      </w:r>
      <w:r w:rsidRPr="00B66C1E">
        <w:rPr>
          <w:rFonts w:cs="Arial"/>
        </w:rPr>
        <w:t>) constituent-ils une</w:t>
      </w:r>
      <w:r w:rsidR="007B32A0">
        <w:rPr>
          <w:rFonts w:cs="Arial"/>
        </w:rPr>
        <w:t xml:space="preserve"> ou des</w:t>
      </w:r>
      <w:r w:rsidRPr="00B66C1E">
        <w:rPr>
          <w:rFonts w:cs="Arial"/>
        </w:rPr>
        <w:t xml:space="preserve"> faute</w:t>
      </w:r>
      <w:r w:rsidR="007B32A0">
        <w:rPr>
          <w:rFonts w:cs="Arial"/>
        </w:rPr>
        <w:t>(s)</w:t>
      </w:r>
      <w:r w:rsidRPr="00B66C1E">
        <w:rPr>
          <w:rFonts w:cs="Arial"/>
        </w:rPr>
        <w:t xml:space="preserve"> civile</w:t>
      </w:r>
      <w:r w:rsidR="007B32A0">
        <w:rPr>
          <w:rFonts w:cs="Arial"/>
        </w:rPr>
        <w:t>(s)</w:t>
      </w:r>
      <w:r>
        <w:rPr>
          <w:rFonts w:cs="Arial"/>
        </w:rPr>
        <w:t>?</w:t>
      </w:r>
    </w:p>
    <w:p w14:paraId="336468B7" w14:textId="77777777" w:rsidR="00AD1512" w:rsidRDefault="00E21D39" w:rsidP="003C32C8">
      <w:pPr>
        <w:pStyle w:val="Paragraphedeliste"/>
        <w:numPr>
          <w:ilvl w:val="0"/>
          <w:numId w:val="37"/>
        </w:numPr>
        <w:tabs>
          <w:tab w:val="left" w:pos="1134"/>
        </w:tabs>
        <w:spacing w:before="120" w:after="120" w:line="276" w:lineRule="auto"/>
        <w:ind w:left="851" w:hanging="567"/>
        <w:contextualSpacing w:val="0"/>
        <w:jc w:val="both"/>
        <w:rPr>
          <w:rFonts w:cs="Arial"/>
        </w:rPr>
      </w:pPr>
      <w:r w:rsidRPr="00C13EB0">
        <w:rPr>
          <w:rFonts w:cs="Arial"/>
        </w:rPr>
        <w:t xml:space="preserve">Le défendeur Robert G. Miller a-t-il illégalement porté atteinte à la dignité, à l’inviolabilité et à l’honneur des membres du groupe, en contravention des articles 1 et 4 de la </w:t>
      </w:r>
      <w:r w:rsidRPr="00C13EB0">
        <w:rPr>
          <w:rFonts w:cs="Arial"/>
          <w:i/>
          <w:iCs/>
        </w:rPr>
        <w:t xml:space="preserve">Charte des droits et libertés de la personne du Québec </w:t>
      </w:r>
      <w:r w:rsidRPr="00C13EB0">
        <w:rPr>
          <w:rFonts w:cs="Arial"/>
        </w:rPr>
        <w:t xml:space="preserve">? Dans l’affirmative, une telle ingérence illégale était-elle intentionnelle au sens de l’article 49 de la </w:t>
      </w:r>
      <w:r w:rsidRPr="00C13EB0">
        <w:rPr>
          <w:rFonts w:cs="Arial"/>
          <w:i/>
          <w:iCs/>
        </w:rPr>
        <w:t xml:space="preserve">Charte des droits et libertés de la </w:t>
      </w:r>
      <w:r w:rsidRPr="00573001">
        <w:rPr>
          <w:rFonts w:cs="Arial"/>
        </w:rPr>
        <w:t>personne</w:t>
      </w:r>
      <w:r w:rsidRPr="00C13EB0">
        <w:rPr>
          <w:rFonts w:cs="Arial"/>
          <w:i/>
          <w:iCs/>
        </w:rPr>
        <w:t xml:space="preserve"> du Québec</w:t>
      </w:r>
      <w:r w:rsidRPr="00C13EB0">
        <w:rPr>
          <w:rFonts w:cs="Arial"/>
        </w:rPr>
        <w:t>?</w:t>
      </w:r>
    </w:p>
    <w:p w14:paraId="2E11FCDD" w14:textId="77777777" w:rsidR="00AD1512" w:rsidRDefault="00E21D39" w:rsidP="003C32C8">
      <w:pPr>
        <w:pStyle w:val="Paragraphedeliste"/>
        <w:numPr>
          <w:ilvl w:val="0"/>
          <w:numId w:val="37"/>
        </w:numPr>
        <w:tabs>
          <w:tab w:val="left" w:pos="1134"/>
        </w:tabs>
        <w:spacing w:before="120" w:after="120" w:line="276" w:lineRule="auto"/>
        <w:ind w:left="851" w:hanging="567"/>
        <w:contextualSpacing w:val="0"/>
        <w:jc w:val="both"/>
        <w:rPr>
          <w:rFonts w:cs="Arial"/>
        </w:rPr>
      </w:pPr>
      <w:r>
        <w:rPr>
          <w:rFonts w:cs="Arial"/>
        </w:rPr>
        <w:t>Les fautes constituent-elles de la violence sexuelle de telle sorte que les causes d’action des codemanderesses soient imprescriptibles?</w:t>
      </w:r>
    </w:p>
    <w:p w14:paraId="031E6F99" w14:textId="77777777" w:rsidR="00AD1512" w:rsidRPr="00C13EB0" w:rsidRDefault="00E21D39" w:rsidP="003C32C8">
      <w:pPr>
        <w:pStyle w:val="Paragraphedeliste"/>
        <w:numPr>
          <w:ilvl w:val="0"/>
          <w:numId w:val="37"/>
        </w:numPr>
        <w:tabs>
          <w:tab w:val="left" w:pos="1134"/>
        </w:tabs>
        <w:spacing w:before="120" w:after="120" w:line="276" w:lineRule="auto"/>
        <w:ind w:left="851" w:hanging="567"/>
        <w:contextualSpacing w:val="0"/>
        <w:jc w:val="both"/>
        <w:rPr>
          <w:rFonts w:cs="Arial"/>
        </w:rPr>
      </w:pPr>
      <w:r>
        <w:rPr>
          <w:rFonts w:cs="Arial"/>
        </w:rPr>
        <w:t>À quel moment</w:t>
      </w:r>
      <w:r w:rsidRPr="00C13EB0">
        <w:rPr>
          <w:rFonts w:cs="Arial"/>
        </w:rPr>
        <w:t xml:space="preserve"> la prescription commence</w:t>
      </w:r>
      <w:r>
        <w:rPr>
          <w:rFonts w:cs="Arial"/>
        </w:rPr>
        <w:t>-t</w:t>
      </w:r>
      <w:r w:rsidRPr="00C13EB0">
        <w:rPr>
          <w:rFonts w:cs="Arial"/>
        </w:rPr>
        <w:t xml:space="preserve">-elle à courir </w:t>
      </w:r>
      <w:r>
        <w:rPr>
          <w:rFonts w:cs="Arial"/>
        </w:rPr>
        <w:t>à l’en</w:t>
      </w:r>
      <w:r w:rsidRPr="00C13EB0">
        <w:rPr>
          <w:rFonts w:cs="Arial"/>
        </w:rPr>
        <w:t xml:space="preserve">contre </w:t>
      </w:r>
      <w:r>
        <w:rPr>
          <w:rFonts w:cs="Arial"/>
        </w:rPr>
        <w:t>d</w:t>
      </w:r>
      <w:r w:rsidRPr="00C13EB0">
        <w:rPr>
          <w:rFonts w:cs="Arial"/>
        </w:rPr>
        <w:t xml:space="preserve">es membres du groupe </w:t>
      </w:r>
      <w:r>
        <w:rPr>
          <w:rFonts w:cs="Arial"/>
        </w:rPr>
        <w:t xml:space="preserve">en vertu de </w:t>
      </w:r>
      <w:r w:rsidRPr="00C13EB0">
        <w:rPr>
          <w:rFonts w:cs="Arial"/>
        </w:rPr>
        <w:t xml:space="preserve">l’article 2926.1 C.c.Q.? </w:t>
      </w:r>
    </w:p>
    <w:p w14:paraId="41ABF4BB" w14:textId="77777777" w:rsidR="00AD1512" w:rsidRPr="008573E6" w:rsidRDefault="00E21D39" w:rsidP="003C32C8">
      <w:pPr>
        <w:pStyle w:val="Paragraphedeliste"/>
        <w:numPr>
          <w:ilvl w:val="0"/>
          <w:numId w:val="37"/>
        </w:numPr>
        <w:tabs>
          <w:tab w:val="left" w:pos="1134"/>
        </w:tabs>
        <w:spacing w:before="120" w:after="120" w:line="276" w:lineRule="auto"/>
        <w:ind w:left="851" w:hanging="567"/>
        <w:contextualSpacing w:val="0"/>
        <w:jc w:val="both"/>
        <w:rPr>
          <w:rFonts w:cs="Arial"/>
        </w:rPr>
      </w:pPr>
      <w:r w:rsidRPr="00C13EB0">
        <w:rPr>
          <w:rFonts w:cs="Arial"/>
        </w:rPr>
        <w:t xml:space="preserve">La prescription a-t-elle été suspendue pour les membres du groupe en raison d’une incapacité psychologique d’agir ou d’une impossibilité de fait d’agir conformément à l’article 2904 C.c.Q.? </w:t>
      </w:r>
    </w:p>
    <w:p w14:paraId="7CD893F5" w14:textId="77777777" w:rsidR="00AD1512" w:rsidRPr="00C13EB0" w:rsidRDefault="00E21D39" w:rsidP="003C32C8">
      <w:pPr>
        <w:pStyle w:val="Paragraphedeliste"/>
        <w:numPr>
          <w:ilvl w:val="0"/>
          <w:numId w:val="37"/>
        </w:numPr>
        <w:tabs>
          <w:tab w:val="left" w:pos="1134"/>
        </w:tabs>
        <w:spacing w:before="120" w:after="120" w:line="276" w:lineRule="auto"/>
        <w:ind w:left="851" w:hanging="567"/>
        <w:contextualSpacing w:val="0"/>
        <w:jc w:val="both"/>
        <w:rPr>
          <w:rFonts w:cs="Arial"/>
        </w:rPr>
      </w:pPr>
      <w:r w:rsidRPr="00C13EB0">
        <w:rPr>
          <w:rFonts w:cs="Arial"/>
        </w:rPr>
        <w:t xml:space="preserve">Les défendeurs sont-ils responsables, solidairement ou non, envers les membres du groupe </w:t>
      </w:r>
      <w:r>
        <w:rPr>
          <w:rFonts w:cs="Arial"/>
        </w:rPr>
        <w:t>du paiement de</w:t>
      </w:r>
      <w:r w:rsidRPr="00C13EB0">
        <w:rPr>
          <w:rFonts w:cs="Arial"/>
        </w:rPr>
        <w:t xml:space="preserve"> dommages-intérêts compensatoires? </w:t>
      </w:r>
    </w:p>
    <w:p w14:paraId="1BB10FAC" w14:textId="77777777" w:rsidR="00AD1512" w:rsidRPr="008573E6" w:rsidRDefault="00E21D39" w:rsidP="003C32C8">
      <w:pPr>
        <w:pStyle w:val="Paragraphedeliste"/>
        <w:numPr>
          <w:ilvl w:val="0"/>
          <w:numId w:val="37"/>
        </w:numPr>
        <w:tabs>
          <w:tab w:val="left" w:pos="1134"/>
        </w:tabs>
        <w:spacing w:before="120" w:after="120" w:line="276" w:lineRule="auto"/>
        <w:ind w:left="851" w:hanging="567"/>
        <w:contextualSpacing w:val="0"/>
        <w:jc w:val="both"/>
        <w:rPr>
          <w:rFonts w:cs="Arial"/>
        </w:rPr>
      </w:pPr>
      <w:r w:rsidRPr="00C13EB0">
        <w:rPr>
          <w:rFonts w:cs="Arial"/>
        </w:rPr>
        <w:t xml:space="preserve">Quel est le quantum des dommages et intérêts qui peuvent être établis collectivement et quels dommages doivent être établis au stade des réclamations individuelles, le cas échéant? </w:t>
      </w:r>
    </w:p>
    <w:p w14:paraId="72B30216" w14:textId="77777777" w:rsidR="008B274B" w:rsidRPr="00194990" w:rsidRDefault="00E21D39" w:rsidP="003C32C8">
      <w:pPr>
        <w:pStyle w:val="Paragraphedeliste"/>
        <w:numPr>
          <w:ilvl w:val="0"/>
          <w:numId w:val="37"/>
        </w:numPr>
        <w:tabs>
          <w:tab w:val="left" w:pos="1134"/>
        </w:tabs>
        <w:spacing w:before="120" w:after="120" w:line="276" w:lineRule="auto"/>
        <w:ind w:left="851" w:hanging="567"/>
        <w:contextualSpacing w:val="0"/>
        <w:jc w:val="both"/>
        <w:rPr>
          <w:rFonts w:cs="Arial"/>
        </w:rPr>
      </w:pPr>
      <w:r>
        <w:rPr>
          <w:rFonts w:cs="Arial"/>
        </w:rPr>
        <w:t>Les</w:t>
      </w:r>
      <w:r w:rsidRPr="00C13EB0">
        <w:rPr>
          <w:rFonts w:cs="Arial"/>
        </w:rPr>
        <w:t xml:space="preserve"> défendeurs sont-ils responsables, solidairement ou non, envers les membres du groupe de dommages-intérêts punitifs et </w:t>
      </w:r>
      <w:r>
        <w:rPr>
          <w:rFonts w:cs="Arial"/>
        </w:rPr>
        <w:t>pour</w:t>
      </w:r>
      <w:r w:rsidRPr="00C13EB0">
        <w:rPr>
          <w:rFonts w:cs="Arial"/>
        </w:rPr>
        <w:t xml:space="preserve"> quel montant?</w:t>
      </w:r>
    </w:p>
    <w:p w14:paraId="58640691" w14:textId="77777777" w:rsidR="005E1A05" w:rsidRPr="00103606" w:rsidRDefault="00E21D39" w:rsidP="003C32C8">
      <w:pPr>
        <w:pStyle w:val="Paragrsimple"/>
        <w:tabs>
          <w:tab w:val="clear" w:pos="360"/>
        </w:tabs>
        <w:spacing w:line="276" w:lineRule="auto"/>
        <w:rPr>
          <w:rFonts w:cs="Arial"/>
        </w:rPr>
      </w:pPr>
      <w:r w:rsidRPr="00103606">
        <w:rPr>
          <w:rFonts w:cs="Arial"/>
          <w:b/>
          <w:bCs/>
        </w:rPr>
        <w:t>IDENTIFIE</w:t>
      </w:r>
      <w:r w:rsidRPr="00103606">
        <w:rPr>
          <w:rFonts w:cs="Arial"/>
        </w:rPr>
        <w:t xml:space="preserve"> comme suit les conclusions recherchées qui s'y rattachent :</w:t>
      </w:r>
    </w:p>
    <w:p w14:paraId="105CDD31" w14:textId="77777777" w:rsidR="00707960" w:rsidRPr="008573E6" w:rsidRDefault="00E21D39" w:rsidP="007E50B9">
      <w:pPr>
        <w:spacing w:before="120" w:after="120" w:line="276" w:lineRule="auto"/>
        <w:ind w:left="731"/>
        <w:jc w:val="both"/>
      </w:pPr>
      <w:r w:rsidRPr="008573E6">
        <w:rPr>
          <w:b/>
          <w:bCs/>
        </w:rPr>
        <w:t>ACCUEILLIR</w:t>
      </w:r>
      <w:r w:rsidRPr="008573E6">
        <w:t xml:space="preserve"> l’action collective des </w:t>
      </w:r>
      <w:r w:rsidR="00AD1512">
        <w:t>codemanderesses</w:t>
      </w:r>
      <w:r w:rsidRPr="008573E6">
        <w:t xml:space="preserve"> et de chacun des membres du </w:t>
      </w:r>
      <w:r w:rsidR="00AD1512">
        <w:t>g</w:t>
      </w:r>
      <w:r w:rsidRPr="008573E6">
        <w:t>roupe ;</w:t>
      </w:r>
    </w:p>
    <w:p w14:paraId="559E6595" w14:textId="77777777" w:rsidR="00707960" w:rsidRPr="008573E6" w:rsidRDefault="00E21D39" w:rsidP="007E50B9">
      <w:pPr>
        <w:spacing w:before="120" w:after="120" w:line="276" w:lineRule="auto"/>
        <w:ind w:left="731"/>
        <w:jc w:val="both"/>
      </w:pPr>
      <w:r w:rsidRPr="008573E6">
        <w:rPr>
          <w:b/>
          <w:bCs/>
        </w:rPr>
        <w:t>DÉCLARER</w:t>
      </w:r>
      <w:r w:rsidRPr="008573E6">
        <w:t xml:space="preserve"> les </w:t>
      </w:r>
      <w:r w:rsidR="00AD1512">
        <w:t>d</w:t>
      </w:r>
      <w:r w:rsidRPr="008573E6">
        <w:t xml:space="preserve">éfendeurs solidairement responsables des dommages subis par les </w:t>
      </w:r>
      <w:r w:rsidR="00AD1512">
        <w:t>codemanderesses</w:t>
      </w:r>
      <w:r w:rsidRPr="008573E6">
        <w:t xml:space="preserve"> et chacun des membres du groupe ;</w:t>
      </w:r>
    </w:p>
    <w:p w14:paraId="38ABFB97" w14:textId="77777777" w:rsidR="00707960" w:rsidRPr="008573E6" w:rsidRDefault="00E21D39" w:rsidP="007E50B9">
      <w:pPr>
        <w:spacing w:before="120" w:after="120" w:line="276" w:lineRule="auto"/>
        <w:ind w:left="731"/>
        <w:jc w:val="both"/>
      </w:pPr>
      <w:r w:rsidRPr="008573E6">
        <w:rPr>
          <w:b/>
          <w:bCs/>
        </w:rPr>
        <w:t>CONDAMNE</w:t>
      </w:r>
      <w:r w:rsidR="00AD1512">
        <w:rPr>
          <w:b/>
          <w:bCs/>
        </w:rPr>
        <w:t>R</w:t>
      </w:r>
      <w:r w:rsidRPr="008573E6">
        <w:t xml:space="preserve"> les </w:t>
      </w:r>
      <w:r w:rsidR="00AD1512">
        <w:t>d</w:t>
      </w:r>
      <w:r w:rsidRPr="008573E6">
        <w:t xml:space="preserve">éfendeurs à verser à chacun des membres du </w:t>
      </w:r>
      <w:r w:rsidR="00AD1512">
        <w:t>g</w:t>
      </w:r>
      <w:r w:rsidRPr="008573E6">
        <w:t xml:space="preserve">roupe une somme à </w:t>
      </w:r>
      <w:r w:rsidR="00AD1512">
        <w:t xml:space="preserve">être </w:t>
      </w:r>
      <w:r w:rsidRPr="008573E6">
        <w:t>détermin</w:t>
      </w:r>
      <w:r w:rsidR="00AD1512">
        <w:t xml:space="preserve">ée </w:t>
      </w:r>
      <w:r w:rsidRPr="008573E6">
        <w:t xml:space="preserve">en réparation des préjudices subis, et </w:t>
      </w:r>
      <w:r w:rsidRPr="008573E6">
        <w:rPr>
          <w:b/>
          <w:bCs/>
        </w:rPr>
        <w:t>ORDONNE</w:t>
      </w:r>
      <w:r w:rsidR="00AD1512" w:rsidRPr="008573E6">
        <w:rPr>
          <w:b/>
          <w:bCs/>
        </w:rPr>
        <w:t>R</w:t>
      </w:r>
      <w:r w:rsidRPr="008573E6">
        <w:t xml:space="preserve"> le recouvrement collectif de ces sommes ;</w:t>
      </w:r>
    </w:p>
    <w:p w14:paraId="38DFB05D" w14:textId="77777777" w:rsidR="00707960" w:rsidRPr="008573E6" w:rsidRDefault="00E21D39" w:rsidP="007E50B9">
      <w:pPr>
        <w:spacing w:before="120" w:after="120" w:line="276" w:lineRule="auto"/>
        <w:ind w:left="731"/>
        <w:jc w:val="both"/>
      </w:pPr>
      <w:r w:rsidRPr="008573E6">
        <w:rPr>
          <w:b/>
          <w:bCs/>
        </w:rPr>
        <w:t>CONDAMNER</w:t>
      </w:r>
      <w:r w:rsidRPr="008573E6">
        <w:t xml:space="preserve"> les </w:t>
      </w:r>
      <w:r w:rsidR="00AA16BC">
        <w:t>d</w:t>
      </w:r>
      <w:r w:rsidRPr="008573E6">
        <w:t xml:space="preserve">éfendeurs à payer des dommages-intérêts punitifs à chacun des membres du </w:t>
      </w:r>
      <w:r w:rsidR="00AA16BC">
        <w:t>g</w:t>
      </w:r>
      <w:r w:rsidRPr="008573E6">
        <w:t xml:space="preserve">roupe, et </w:t>
      </w:r>
      <w:r w:rsidRPr="008573E6">
        <w:rPr>
          <w:b/>
          <w:bCs/>
        </w:rPr>
        <w:t>ORDONNER</w:t>
      </w:r>
      <w:r w:rsidRPr="008573E6">
        <w:t xml:space="preserve"> le recouvrement collectif de ces sommes;</w:t>
      </w:r>
    </w:p>
    <w:p w14:paraId="787DB7D3" w14:textId="77777777" w:rsidR="00707960" w:rsidRPr="008573E6" w:rsidRDefault="00E21D39" w:rsidP="007E50B9">
      <w:pPr>
        <w:spacing w:before="120" w:after="120" w:line="276" w:lineRule="auto"/>
        <w:ind w:left="731"/>
        <w:jc w:val="both"/>
      </w:pPr>
      <w:r w:rsidRPr="008573E6">
        <w:rPr>
          <w:b/>
          <w:bCs/>
        </w:rPr>
        <w:t>ORDONN</w:t>
      </w:r>
      <w:r w:rsidR="00AD1512">
        <w:rPr>
          <w:b/>
          <w:bCs/>
        </w:rPr>
        <w:t>ER</w:t>
      </w:r>
      <w:r w:rsidRPr="008573E6">
        <w:t xml:space="preserve"> aux défendeurs de déposer au greffe de cette Cour la totalité des sommes qui font partie du recouvrement collectif, avec intérêts et dépens,</w:t>
      </w:r>
    </w:p>
    <w:p w14:paraId="0A0203E7" w14:textId="77777777" w:rsidR="00707960" w:rsidRPr="008573E6" w:rsidRDefault="00E21D39" w:rsidP="007E50B9">
      <w:pPr>
        <w:spacing w:before="120" w:after="120" w:line="276" w:lineRule="auto"/>
        <w:ind w:left="731"/>
        <w:jc w:val="both"/>
      </w:pPr>
      <w:r w:rsidRPr="008573E6">
        <w:rPr>
          <w:b/>
          <w:bCs/>
        </w:rPr>
        <w:t>CONDAMNE</w:t>
      </w:r>
      <w:r w:rsidR="00AD1512">
        <w:rPr>
          <w:b/>
          <w:bCs/>
        </w:rPr>
        <w:t>R</w:t>
      </w:r>
      <w:r w:rsidRPr="008573E6">
        <w:t xml:space="preserve"> les défendeurs à supporter les frais de la présente action, y compris les honoraires d’expert et de préavis ; </w:t>
      </w:r>
    </w:p>
    <w:p w14:paraId="0A5C7E47" w14:textId="77777777" w:rsidR="00707960" w:rsidRPr="008573E6" w:rsidRDefault="00E21D39" w:rsidP="007E50B9">
      <w:pPr>
        <w:spacing w:before="120" w:after="120" w:line="276" w:lineRule="auto"/>
        <w:ind w:left="731"/>
        <w:jc w:val="both"/>
      </w:pPr>
      <w:r w:rsidRPr="008573E6">
        <w:rPr>
          <w:b/>
          <w:bCs/>
        </w:rPr>
        <w:t>RENDRE</w:t>
      </w:r>
      <w:r w:rsidRPr="008573E6">
        <w:t xml:space="preserve"> toute autre ordonnance que cette honorable Cour déterminera et qui est dans l’intérêt des membres du groupe ;</w:t>
      </w:r>
    </w:p>
    <w:p w14:paraId="1965169A" w14:textId="77777777" w:rsidR="005E1A05" w:rsidRPr="00103606" w:rsidRDefault="00E21D39" w:rsidP="003C32C8">
      <w:pPr>
        <w:pStyle w:val="Paragrsimple"/>
        <w:spacing w:line="276" w:lineRule="auto"/>
        <w:rPr>
          <w:rFonts w:cs="Arial"/>
        </w:rPr>
      </w:pPr>
      <w:r w:rsidRPr="00103606">
        <w:rPr>
          <w:rFonts w:cs="Arial"/>
          <w:b/>
          <w:bCs/>
        </w:rPr>
        <w:t>DÉCLARE</w:t>
      </w:r>
      <w:r w:rsidRPr="00103606">
        <w:rPr>
          <w:rFonts w:cs="Arial"/>
        </w:rPr>
        <w:t xml:space="preserve"> qu'à moins d'exclusion, les membres du groupe seront liés par tout jugement à intervenir sur l’action collective de la manière prévue par la loi;</w:t>
      </w:r>
    </w:p>
    <w:p w14:paraId="5620DD3F" w14:textId="77777777" w:rsidR="005E1A05" w:rsidRPr="00103606" w:rsidRDefault="00E21D39" w:rsidP="003C32C8">
      <w:pPr>
        <w:pStyle w:val="Paragrsimple"/>
        <w:spacing w:line="276" w:lineRule="auto"/>
        <w:rPr>
          <w:rFonts w:cs="Arial"/>
        </w:rPr>
      </w:pPr>
      <w:r w:rsidRPr="00103606">
        <w:rPr>
          <w:rFonts w:cs="Arial"/>
          <w:b/>
          <w:bCs/>
        </w:rPr>
        <w:t>FIXE</w:t>
      </w:r>
      <w:r w:rsidRPr="00103606">
        <w:rPr>
          <w:rFonts w:cs="Arial"/>
        </w:rPr>
        <w:t xml:space="preserve"> le délai d'exclusion à soixante (60) jours après la première date de publication de l’avis aux membres, délai à l'expiration duquel les membres du groupe qui ne se seront pas prévalus des moyens d'exclusion seront liés par tout jugement </w:t>
      </w:r>
      <w:r w:rsidR="007E1DCA">
        <w:rPr>
          <w:rFonts w:cs="Arial"/>
        </w:rPr>
        <w:br/>
      </w:r>
      <w:r w:rsidRPr="00103606">
        <w:rPr>
          <w:rFonts w:cs="Arial"/>
        </w:rPr>
        <w:t>à intervenir;</w:t>
      </w:r>
    </w:p>
    <w:p w14:paraId="45D4A8C8" w14:textId="77777777" w:rsidR="00213636" w:rsidRPr="00213636" w:rsidRDefault="00E21D39" w:rsidP="003C32C8">
      <w:pPr>
        <w:pStyle w:val="Paragrdouble"/>
        <w:spacing w:line="276" w:lineRule="auto"/>
      </w:pPr>
      <w:r w:rsidRPr="008573E6">
        <w:rPr>
          <w:b/>
          <w:bCs/>
        </w:rPr>
        <w:t>ORDONNE</w:t>
      </w:r>
      <w:r w:rsidRPr="00213636">
        <w:t xml:space="preserve"> la publication d’un avis aux membres à être déterminé par le tribunal et </w:t>
      </w:r>
      <w:r w:rsidRPr="008573E6">
        <w:rPr>
          <w:b/>
          <w:bCs/>
        </w:rPr>
        <w:t>CONVIE</w:t>
      </w:r>
      <w:r w:rsidRPr="00213636">
        <w:t xml:space="preserve"> les parties à une audience portant sur les modalités de cet avis, suivant l’article 579 C.p.c.</w:t>
      </w:r>
      <w:r w:rsidR="007B32A0">
        <w:t>,</w:t>
      </w:r>
      <w:r w:rsidRPr="00213636">
        <w:t xml:space="preserve"> incluant toute question éventuelle portant sur les frais de publication des avis aux membres;</w:t>
      </w:r>
    </w:p>
    <w:p w14:paraId="0A5BD3E8" w14:textId="77777777" w:rsidR="005E1A05" w:rsidRPr="00103606" w:rsidRDefault="00E21D39" w:rsidP="003C32C8">
      <w:pPr>
        <w:pStyle w:val="Paragrsimple"/>
        <w:spacing w:line="276" w:lineRule="auto"/>
        <w:rPr>
          <w:rFonts w:cs="Arial"/>
        </w:rPr>
      </w:pPr>
      <w:r w:rsidRPr="00103606">
        <w:rPr>
          <w:rFonts w:cs="Arial"/>
          <w:b/>
          <w:bCs/>
        </w:rPr>
        <w:t>ORDONNE</w:t>
      </w:r>
      <w:r w:rsidRPr="00103606">
        <w:rPr>
          <w:rFonts w:cs="Arial"/>
        </w:rPr>
        <w:t xml:space="preserve"> que l’action collective soit introduite devant la Cour supérieure siégeant dans le district judiciaire </w:t>
      </w:r>
      <w:r w:rsidR="00E50F22" w:rsidRPr="00103606">
        <w:rPr>
          <w:rFonts w:cs="Arial"/>
        </w:rPr>
        <w:t>de Montréal</w:t>
      </w:r>
      <w:r w:rsidRPr="00103606">
        <w:rPr>
          <w:rFonts w:cs="Arial"/>
        </w:rPr>
        <w:t>;</w:t>
      </w:r>
    </w:p>
    <w:p w14:paraId="7FDD1730" w14:textId="77777777" w:rsidR="00E50F22" w:rsidRPr="00103606" w:rsidRDefault="00E21D39" w:rsidP="003C32C8">
      <w:pPr>
        <w:pStyle w:val="Paragrsimple"/>
        <w:spacing w:line="276" w:lineRule="auto"/>
        <w:rPr>
          <w:rFonts w:cs="Arial"/>
        </w:rPr>
      </w:pPr>
      <w:r w:rsidRPr="00103606">
        <w:rPr>
          <w:rFonts w:cs="Arial"/>
          <w:b/>
          <w:bCs/>
        </w:rPr>
        <w:t>PERMET</w:t>
      </w:r>
      <w:r w:rsidRPr="00103606">
        <w:rPr>
          <w:rFonts w:cs="Arial"/>
        </w:rPr>
        <w:t xml:space="preserve"> l’utilisation de pseudonymes pour l’identification des membres du groupe dans les procédures, pièces et tout autre document produit au dossier de la Cour, le tout afin de protéger leur identité;</w:t>
      </w:r>
    </w:p>
    <w:p w14:paraId="5FCF7735" w14:textId="77777777" w:rsidR="00A104D5" w:rsidRPr="00103606" w:rsidRDefault="00E21D39" w:rsidP="003C32C8">
      <w:pPr>
        <w:pStyle w:val="Paragrsimple"/>
        <w:tabs>
          <w:tab w:val="clear" w:pos="360"/>
        </w:tabs>
        <w:spacing w:line="276" w:lineRule="auto"/>
        <w:rPr>
          <w:rFonts w:cs="Arial"/>
        </w:rPr>
      </w:pPr>
      <w:r w:rsidRPr="00103606">
        <w:rPr>
          <w:rFonts w:cs="Arial"/>
          <w:b/>
          <w:bCs/>
        </w:rPr>
        <w:t>PREND ACTE</w:t>
      </w:r>
      <w:r w:rsidRPr="00103606">
        <w:rPr>
          <w:rFonts w:cs="Arial"/>
        </w:rPr>
        <w:t xml:space="preserve"> du désistement de la demanderesse V.R. de sa Demande </w:t>
      </w:r>
      <w:r w:rsidR="001F6903" w:rsidRPr="00103606">
        <w:rPr>
          <w:rFonts w:cs="Arial"/>
        </w:rPr>
        <w:t xml:space="preserve">intitulée </w:t>
      </w:r>
      <w:r w:rsidR="001F6903" w:rsidRPr="00573001">
        <w:rPr>
          <w:rFonts w:cs="Arial"/>
          <w:i/>
          <w:iCs/>
        </w:rPr>
        <w:t>Application to Authorize the Bringing of a Class Action &amp; to Appoint the Applicant as Representative Plaintiff</w:t>
      </w:r>
      <w:r w:rsidRPr="00103606">
        <w:rPr>
          <w:rFonts w:cs="Arial"/>
        </w:rPr>
        <w:t xml:space="preserve"> dans le dossier 500-06-00125</w:t>
      </w:r>
      <w:r w:rsidR="007B32A0">
        <w:rPr>
          <w:rFonts w:cs="Arial"/>
        </w:rPr>
        <w:t>6</w:t>
      </w:r>
      <w:r w:rsidRPr="00103606">
        <w:rPr>
          <w:rFonts w:cs="Arial"/>
        </w:rPr>
        <w:t>-235;</w:t>
      </w:r>
      <w:r w:rsidR="001F6903" w:rsidRPr="00103606">
        <w:rPr>
          <w:rFonts w:cs="Arial"/>
        </w:rPr>
        <w:t xml:space="preserve"> </w:t>
      </w:r>
    </w:p>
    <w:tbl>
      <w:tblPr>
        <w:tblW w:w="9505" w:type="dxa"/>
        <w:tblLayout w:type="fixed"/>
        <w:tblCellMar>
          <w:left w:w="70" w:type="dxa"/>
          <w:right w:w="70" w:type="dxa"/>
        </w:tblCellMar>
        <w:tblLook w:val="0000" w:firstRow="0" w:lastRow="0" w:firstColumn="0" w:lastColumn="0" w:noHBand="0" w:noVBand="0"/>
      </w:tblPr>
      <w:tblGrid>
        <w:gridCol w:w="2068"/>
        <w:gridCol w:w="2799"/>
        <w:gridCol w:w="4638"/>
      </w:tblGrid>
      <w:tr w:rsidR="006141B8" w14:paraId="354BEAB4" w14:textId="77777777" w:rsidTr="00DB62A2">
        <w:trPr>
          <w:trHeight w:val="2280"/>
        </w:trPr>
        <w:tc>
          <w:tcPr>
            <w:tcW w:w="9505" w:type="dxa"/>
            <w:gridSpan w:val="3"/>
          </w:tcPr>
          <w:p w14:paraId="3A53A0C8" w14:textId="440AE8C2" w:rsidR="00A104D5" w:rsidRPr="00103606" w:rsidRDefault="00E21D39" w:rsidP="00DB62A2">
            <w:pPr>
              <w:pStyle w:val="Paragrsimple"/>
              <w:tabs>
                <w:tab w:val="clear" w:pos="360"/>
              </w:tabs>
              <w:spacing w:after="1320" w:line="276" w:lineRule="auto"/>
              <w:ind w:left="-75"/>
              <w:rPr>
                <w:rFonts w:cs="Arial"/>
              </w:rPr>
            </w:pPr>
            <w:r w:rsidRPr="00103606">
              <w:rPr>
                <w:rFonts w:cs="Arial"/>
                <w:b/>
                <w:bCs/>
              </w:rPr>
              <w:t>LE TOUT</w:t>
            </w:r>
            <w:r w:rsidRPr="00103606">
              <w:rPr>
                <w:rFonts w:cs="Arial"/>
              </w:rPr>
              <w:t xml:space="preserve"> frais à suivre, sauf quant aux frais de publication des avis aux membres qui sont à la charge des </w:t>
            </w:r>
            <w:r w:rsidR="007B32A0">
              <w:rPr>
                <w:rFonts w:cs="Arial"/>
              </w:rPr>
              <w:t>d</w:t>
            </w:r>
            <w:r w:rsidRPr="00103606">
              <w:rPr>
                <w:rFonts w:cs="Arial"/>
              </w:rPr>
              <w:t>éfendeurs.</w:t>
            </w:r>
          </w:p>
        </w:tc>
      </w:tr>
      <w:tr w:rsidR="006141B8" w14:paraId="77EEE301" w14:textId="77777777" w:rsidTr="00DB62A2">
        <w:tblPrEx>
          <w:tblCellMar>
            <w:left w:w="0" w:type="dxa"/>
            <w:right w:w="0" w:type="dxa"/>
          </w:tblCellMar>
        </w:tblPrEx>
        <w:trPr>
          <w:cantSplit/>
          <w:trHeight w:val="645"/>
        </w:trPr>
        <w:tc>
          <w:tcPr>
            <w:tcW w:w="4867" w:type="dxa"/>
            <w:gridSpan w:val="2"/>
          </w:tcPr>
          <w:p w14:paraId="3C77D142" w14:textId="77777777" w:rsidR="00A104D5" w:rsidRPr="00103606" w:rsidRDefault="00A104D5">
            <w:pPr>
              <w:rPr>
                <w:rFonts w:cs="Arial"/>
              </w:rPr>
            </w:pPr>
          </w:p>
        </w:tc>
        <w:tc>
          <w:tcPr>
            <w:tcW w:w="4638" w:type="dxa"/>
          </w:tcPr>
          <w:p w14:paraId="5BA3B0F5" w14:textId="77777777" w:rsidR="00A104D5" w:rsidRPr="00103606" w:rsidRDefault="00E21D39">
            <w:pPr>
              <w:pStyle w:val="zSoquijdatSignature3Juge"/>
              <w:rPr>
                <w:rFonts w:cs="Arial"/>
                <w:lang w:val="en-CA"/>
              </w:rPr>
            </w:pPr>
            <w:r w:rsidRPr="00103606">
              <w:rPr>
                <w:rFonts w:cs="Arial"/>
                <w:lang w:val="en-CA"/>
              </w:rPr>
              <w:t>__________________________________</w:t>
            </w:r>
          </w:p>
          <w:p w14:paraId="31C89AFE" w14:textId="77777777" w:rsidR="00A104D5" w:rsidRPr="00103606" w:rsidRDefault="00E21D39" w:rsidP="00573001">
            <w:pPr>
              <w:pStyle w:val="zSoquijdatSignature3Juge"/>
              <w:spacing w:after="840"/>
              <w:rPr>
                <w:rFonts w:cs="Arial"/>
                <w:lang w:val="en-CA"/>
              </w:rPr>
            </w:pPr>
            <w:r w:rsidRPr="00103606">
              <w:rPr>
                <w:rFonts w:cs="Arial"/>
                <w:caps/>
                <w:lang w:val="en-CA"/>
              </w:rPr>
              <w:t>CATHERINE PICHÉ, j.S.C.</w:t>
            </w:r>
          </w:p>
        </w:tc>
      </w:tr>
      <w:tr w:rsidR="006141B8" w14:paraId="44D1D6BC" w14:textId="77777777">
        <w:tc>
          <w:tcPr>
            <w:tcW w:w="9505" w:type="dxa"/>
            <w:gridSpan w:val="3"/>
          </w:tcPr>
          <w:p w14:paraId="22878A50" w14:textId="77777777" w:rsidR="00A104D5" w:rsidRPr="00103606" w:rsidRDefault="00E21D39">
            <w:pPr>
              <w:spacing w:after="120"/>
              <w:rPr>
                <w:rFonts w:cs="Arial"/>
                <w:b/>
                <w:bCs/>
                <w:u w:val="single"/>
              </w:rPr>
            </w:pPr>
            <w:r w:rsidRPr="00103606">
              <w:rPr>
                <w:rFonts w:cs="Arial"/>
                <w:b/>
                <w:bCs/>
                <w:u w:val="single"/>
              </w:rPr>
              <w:t>Partie demanderesse</w:t>
            </w:r>
          </w:p>
        </w:tc>
      </w:tr>
      <w:tr w:rsidR="006141B8" w14:paraId="2463D986" w14:textId="77777777">
        <w:tc>
          <w:tcPr>
            <w:tcW w:w="9505" w:type="dxa"/>
            <w:gridSpan w:val="3"/>
          </w:tcPr>
          <w:p w14:paraId="4127C290" w14:textId="77777777" w:rsidR="00A104D5" w:rsidRPr="00103606" w:rsidRDefault="00E21D39">
            <w:pPr>
              <w:autoSpaceDE w:val="0"/>
              <w:autoSpaceDN w:val="0"/>
              <w:adjustRightInd w:val="0"/>
              <w:rPr>
                <w:rFonts w:eastAsia="Calibri" w:cs="Arial"/>
                <w:color w:val="000000"/>
                <w:sz w:val="22"/>
                <w:lang w:eastAsia="en-US"/>
              </w:rPr>
            </w:pPr>
            <w:r w:rsidRPr="00103606">
              <w:rPr>
                <w:rFonts w:eastAsia="Calibri" w:cs="Arial"/>
                <w:color w:val="000000"/>
                <w:sz w:val="22"/>
                <w:lang w:eastAsia="en-US"/>
              </w:rPr>
              <w:t xml:space="preserve">Me Jeff Orenstein </w:t>
            </w:r>
          </w:p>
          <w:p w14:paraId="2D5FE71B" w14:textId="77777777" w:rsidR="00A104D5" w:rsidRPr="00103606" w:rsidRDefault="00E21D39">
            <w:pPr>
              <w:autoSpaceDE w:val="0"/>
              <w:autoSpaceDN w:val="0"/>
              <w:adjustRightInd w:val="0"/>
              <w:rPr>
                <w:rFonts w:eastAsia="Calibri" w:cs="Arial"/>
                <w:color w:val="000000"/>
                <w:sz w:val="22"/>
                <w:lang w:eastAsia="en-US"/>
              </w:rPr>
            </w:pPr>
            <w:r w:rsidRPr="00103606">
              <w:rPr>
                <w:rFonts w:eastAsia="Calibri" w:cs="Arial"/>
                <w:color w:val="000000"/>
                <w:sz w:val="22"/>
                <w:lang w:eastAsia="en-US"/>
              </w:rPr>
              <w:t xml:space="preserve">Me Lawrence. David </w:t>
            </w:r>
          </w:p>
          <w:p w14:paraId="5331B3A6" w14:textId="77777777" w:rsidR="00A104D5" w:rsidRPr="00103606" w:rsidRDefault="00E21D39">
            <w:pPr>
              <w:pStyle w:val="zSoquijdatNomProcureurDem"/>
              <w:rPr>
                <w:rFonts w:cs="Arial"/>
                <w:caps/>
                <w:color w:val="1A1C21"/>
                <w:shd w:val="clear" w:color="auto" w:fill="FFFFFF"/>
              </w:rPr>
            </w:pPr>
            <w:r w:rsidRPr="00103606">
              <w:rPr>
                <w:rFonts w:cs="Arial"/>
                <w:caps/>
                <w:color w:val="1A1C21"/>
                <w:shd w:val="clear" w:color="auto" w:fill="FFFFFF"/>
              </w:rPr>
              <w:t>Groupe de droit des consommateurs inc.</w:t>
            </w:r>
          </w:p>
          <w:p w14:paraId="34C5D407" w14:textId="77777777" w:rsidR="00A104D5" w:rsidRPr="00103606" w:rsidRDefault="00E21D39">
            <w:pPr>
              <w:rPr>
                <w:rFonts w:cs="Arial"/>
              </w:rPr>
            </w:pPr>
            <w:r w:rsidRPr="00103606">
              <w:rPr>
                <w:rFonts w:cs="Arial"/>
              </w:rPr>
              <w:t>Avocats des demanderesses</w:t>
            </w:r>
          </w:p>
        </w:tc>
      </w:tr>
      <w:tr w:rsidR="006141B8" w14:paraId="098CDC6C" w14:textId="77777777">
        <w:tc>
          <w:tcPr>
            <w:tcW w:w="9505" w:type="dxa"/>
            <w:gridSpan w:val="3"/>
          </w:tcPr>
          <w:p w14:paraId="259CC060" w14:textId="77777777" w:rsidR="00A104D5" w:rsidRPr="00103606" w:rsidRDefault="00A104D5">
            <w:pPr>
              <w:rPr>
                <w:rFonts w:cs="Arial"/>
              </w:rPr>
            </w:pPr>
          </w:p>
        </w:tc>
      </w:tr>
      <w:tr w:rsidR="006141B8" w14:paraId="6316CCAE" w14:textId="77777777">
        <w:tc>
          <w:tcPr>
            <w:tcW w:w="9505" w:type="dxa"/>
            <w:gridSpan w:val="3"/>
          </w:tcPr>
          <w:p w14:paraId="7BF0E1E3" w14:textId="77777777" w:rsidR="00A104D5" w:rsidRPr="00103606" w:rsidRDefault="00E21D39">
            <w:pPr>
              <w:spacing w:after="120"/>
              <w:rPr>
                <w:rFonts w:cs="Arial"/>
                <w:b/>
                <w:bCs/>
                <w:u w:val="single"/>
              </w:rPr>
            </w:pPr>
            <w:r w:rsidRPr="00103606">
              <w:rPr>
                <w:rFonts w:cs="Arial"/>
                <w:b/>
                <w:bCs/>
                <w:u w:val="single"/>
              </w:rPr>
              <w:t>Partie défenderesse</w:t>
            </w:r>
          </w:p>
        </w:tc>
      </w:tr>
      <w:tr w:rsidR="006141B8" w14:paraId="5967C23A" w14:textId="77777777">
        <w:tc>
          <w:tcPr>
            <w:tcW w:w="9505" w:type="dxa"/>
            <w:gridSpan w:val="3"/>
          </w:tcPr>
          <w:p w14:paraId="7CB71BEE" w14:textId="77777777" w:rsidR="00A104D5" w:rsidRPr="00103606" w:rsidRDefault="00E21D39">
            <w:pPr>
              <w:keepNext/>
              <w:keepLines/>
              <w:rPr>
                <w:rFonts w:cs="Arial"/>
                <w:color w:val="2A2E36"/>
                <w:shd w:val="clear" w:color="auto" w:fill="FFFFFF"/>
              </w:rPr>
            </w:pPr>
            <w:r w:rsidRPr="00103606">
              <w:rPr>
                <w:rFonts w:cs="Arial"/>
                <w:color w:val="2A2E36"/>
                <w:shd w:val="clear" w:color="auto" w:fill="FFFFFF"/>
              </w:rPr>
              <w:t>Me Karim Renno</w:t>
            </w:r>
          </w:p>
          <w:p w14:paraId="17B768CF" w14:textId="77777777" w:rsidR="00A104D5" w:rsidRPr="00103606" w:rsidRDefault="00E21D39">
            <w:pPr>
              <w:keepNext/>
              <w:keepLines/>
              <w:rPr>
                <w:rFonts w:cs="Arial"/>
                <w:color w:val="2A2E36"/>
                <w:shd w:val="clear" w:color="auto" w:fill="FFFFFF"/>
              </w:rPr>
            </w:pPr>
            <w:r w:rsidRPr="00103606">
              <w:rPr>
                <w:rFonts w:cs="Arial"/>
                <w:color w:val="2A2E36"/>
                <w:shd w:val="clear" w:color="auto" w:fill="FFFFFF"/>
              </w:rPr>
              <w:t xml:space="preserve">Me Ava Liaghati </w:t>
            </w:r>
          </w:p>
          <w:p w14:paraId="723C7DAD" w14:textId="77777777" w:rsidR="00A104D5" w:rsidRPr="00103606" w:rsidRDefault="00E21D39">
            <w:pPr>
              <w:keepNext/>
              <w:keepLines/>
              <w:rPr>
                <w:rFonts w:cs="Arial"/>
                <w:caps/>
                <w:color w:val="2A2E36"/>
                <w:shd w:val="clear" w:color="auto" w:fill="FFFFFF"/>
              </w:rPr>
            </w:pPr>
            <w:r w:rsidRPr="00103606">
              <w:rPr>
                <w:rFonts w:cs="Arial"/>
                <w:caps/>
                <w:color w:val="1A1C21"/>
                <w:szCs w:val="23"/>
                <w:shd w:val="clear" w:color="auto" w:fill="FFFFFF"/>
              </w:rPr>
              <w:t>Renno Vathilakis inc.</w:t>
            </w:r>
          </w:p>
          <w:p w14:paraId="15AE43B2" w14:textId="77777777" w:rsidR="00A104D5" w:rsidRPr="00103606" w:rsidRDefault="00E21D39">
            <w:pPr>
              <w:rPr>
                <w:rFonts w:cs="Arial"/>
              </w:rPr>
            </w:pPr>
            <w:r w:rsidRPr="00103606">
              <w:rPr>
                <w:rFonts w:cs="Arial"/>
              </w:rPr>
              <w:t>Avocats de Robert Gerald Miller</w:t>
            </w:r>
          </w:p>
        </w:tc>
      </w:tr>
      <w:tr w:rsidR="006141B8" w14:paraId="330A23F5" w14:textId="77777777">
        <w:tc>
          <w:tcPr>
            <w:tcW w:w="9505" w:type="dxa"/>
            <w:gridSpan w:val="3"/>
          </w:tcPr>
          <w:p w14:paraId="7C931E9B" w14:textId="77777777" w:rsidR="00A104D5" w:rsidRPr="00103606" w:rsidRDefault="00A104D5">
            <w:pPr>
              <w:rPr>
                <w:rFonts w:cs="Arial"/>
              </w:rPr>
            </w:pPr>
          </w:p>
        </w:tc>
      </w:tr>
      <w:tr w:rsidR="006141B8" w14:paraId="72A71F58" w14:textId="77777777">
        <w:tc>
          <w:tcPr>
            <w:tcW w:w="9505" w:type="dxa"/>
            <w:gridSpan w:val="3"/>
          </w:tcPr>
          <w:p w14:paraId="27124D64" w14:textId="77777777" w:rsidR="00A104D5" w:rsidRPr="00103606" w:rsidRDefault="00E21D39">
            <w:pPr>
              <w:keepNext/>
              <w:keepLines/>
              <w:rPr>
                <w:rFonts w:cs="Arial"/>
                <w:color w:val="2A2E36"/>
                <w:shd w:val="clear" w:color="auto" w:fill="FFFFFF"/>
              </w:rPr>
            </w:pPr>
            <w:r w:rsidRPr="00103606">
              <w:rPr>
                <w:rFonts w:cs="Arial"/>
                <w:color w:val="2A2E36"/>
                <w:shd w:val="clear" w:color="auto" w:fill="FFFFFF"/>
              </w:rPr>
              <w:t xml:space="preserve">Me Neil G. Oberman </w:t>
            </w:r>
          </w:p>
          <w:p w14:paraId="042FB193" w14:textId="77777777" w:rsidR="00A104D5" w:rsidRPr="00103606" w:rsidRDefault="00E21D39">
            <w:pPr>
              <w:keepNext/>
              <w:keepLines/>
              <w:rPr>
                <w:rFonts w:cs="Arial"/>
                <w:color w:val="2A2E36"/>
                <w:shd w:val="clear" w:color="auto" w:fill="FFFFFF"/>
              </w:rPr>
            </w:pPr>
            <w:r w:rsidRPr="00103606">
              <w:rPr>
                <w:rFonts w:cs="Arial"/>
                <w:color w:val="2A2E36"/>
                <w:shd w:val="clear" w:color="auto" w:fill="FFFFFF"/>
              </w:rPr>
              <w:t>Me Marie-Christine Sicard</w:t>
            </w:r>
          </w:p>
          <w:p w14:paraId="34BC0961" w14:textId="77777777" w:rsidR="00A104D5" w:rsidRPr="00103606" w:rsidRDefault="00E21D39">
            <w:pPr>
              <w:keepNext/>
              <w:keepLines/>
              <w:rPr>
                <w:rFonts w:cs="Arial"/>
                <w:caps/>
                <w:color w:val="2A2E36"/>
                <w:shd w:val="clear" w:color="auto" w:fill="FFFFFF"/>
              </w:rPr>
            </w:pPr>
            <w:r w:rsidRPr="00103606">
              <w:rPr>
                <w:rFonts w:cs="Arial"/>
                <w:caps/>
                <w:color w:val="1A1C21"/>
                <w:szCs w:val="23"/>
                <w:shd w:val="clear" w:color="auto" w:fill="FFFFFF"/>
              </w:rPr>
              <w:t>Spiegel, Sohmer, inc.</w:t>
            </w:r>
          </w:p>
          <w:p w14:paraId="2CC091D3" w14:textId="77777777" w:rsidR="00A104D5" w:rsidRPr="00103606" w:rsidRDefault="00E21D39">
            <w:pPr>
              <w:rPr>
                <w:rFonts w:cs="Arial"/>
              </w:rPr>
            </w:pPr>
            <w:r w:rsidRPr="00103606">
              <w:rPr>
                <w:rFonts w:cs="Arial"/>
              </w:rPr>
              <w:t>Avocats de Helmut Lippman</w:t>
            </w:r>
          </w:p>
        </w:tc>
      </w:tr>
      <w:tr w:rsidR="006141B8" w14:paraId="5E3317C5" w14:textId="77777777">
        <w:tc>
          <w:tcPr>
            <w:tcW w:w="9505" w:type="dxa"/>
            <w:gridSpan w:val="3"/>
          </w:tcPr>
          <w:p w14:paraId="106A6F0E" w14:textId="77777777" w:rsidR="00A104D5" w:rsidRPr="00103606" w:rsidRDefault="00A104D5">
            <w:pPr>
              <w:rPr>
                <w:rFonts w:cs="Arial"/>
              </w:rPr>
            </w:pPr>
          </w:p>
        </w:tc>
      </w:tr>
      <w:tr w:rsidR="006141B8" w14:paraId="0A84C454" w14:textId="77777777">
        <w:tc>
          <w:tcPr>
            <w:tcW w:w="9505" w:type="dxa"/>
            <w:gridSpan w:val="3"/>
          </w:tcPr>
          <w:p w14:paraId="6923B66F" w14:textId="77777777" w:rsidR="00A104D5" w:rsidRPr="00103606" w:rsidRDefault="00E21D39">
            <w:pPr>
              <w:rPr>
                <w:rFonts w:cs="Arial"/>
              </w:rPr>
            </w:pPr>
            <w:bookmarkStart w:id="81" w:name="_Hlk176922346"/>
            <w:r w:rsidRPr="00103606">
              <w:rPr>
                <w:rFonts w:cs="Arial"/>
              </w:rPr>
              <w:t>Me Justine Bernatchez</w:t>
            </w:r>
          </w:p>
          <w:p w14:paraId="1A1AA04F" w14:textId="77777777" w:rsidR="00A104D5" w:rsidRPr="00103606" w:rsidRDefault="00E21D39">
            <w:pPr>
              <w:rPr>
                <w:rFonts w:cs="Arial"/>
              </w:rPr>
            </w:pPr>
            <w:r w:rsidRPr="00103606">
              <w:rPr>
                <w:rFonts w:cs="Arial"/>
              </w:rPr>
              <w:t>Avocat de Raymond Poulet</w:t>
            </w:r>
            <w:bookmarkEnd w:id="81"/>
          </w:p>
        </w:tc>
      </w:tr>
      <w:tr w:rsidR="006141B8" w14:paraId="3832BF0C" w14:textId="77777777">
        <w:tc>
          <w:tcPr>
            <w:tcW w:w="9505" w:type="dxa"/>
            <w:gridSpan w:val="3"/>
          </w:tcPr>
          <w:p w14:paraId="226C84E3" w14:textId="77777777" w:rsidR="00A104D5" w:rsidRPr="00103606" w:rsidRDefault="00A104D5">
            <w:pPr>
              <w:rPr>
                <w:rFonts w:cs="Arial"/>
              </w:rPr>
            </w:pPr>
          </w:p>
        </w:tc>
      </w:tr>
      <w:tr w:rsidR="006141B8" w14:paraId="0DB72C8D" w14:textId="77777777">
        <w:tc>
          <w:tcPr>
            <w:tcW w:w="9505" w:type="dxa"/>
            <w:gridSpan w:val="3"/>
          </w:tcPr>
          <w:p w14:paraId="0DD80D3F" w14:textId="77777777" w:rsidR="000D1354" w:rsidRDefault="00E21D39">
            <w:pPr>
              <w:rPr>
                <w:rFonts w:cs="Arial"/>
                <w:lang w:val="en-CA"/>
              </w:rPr>
            </w:pPr>
            <w:r w:rsidRPr="000D1354">
              <w:rPr>
                <w:rFonts w:cs="Arial"/>
                <w:lang w:val="en-CA"/>
              </w:rPr>
              <w:t xml:space="preserve">Me William Marckety Berry </w:t>
            </w:r>
          </w:p>
          <w:p w14:paraId="3480F437" w14:textId="77777777" w:rsidR="000D1354" w:rsidRPr="000D1354" w:rsidRDefault="00E21D39">
            <w:pPr>
              <w:rPr>
                <w:rFonts w:cs="Arial"/>
              </w:rPr>
            </w:pPr>
            <w:r w:rsidRPr="000D1354">
              <w:rPr>
                <w:rFonts w:cs="Arial"/>
              </w:rPr>
              <w:t xml:space="preserve">Me Jean-Pierre Sheppard </w:t>
            </w:r>
          </w:p>
          <w:p w14:paraId="5225C303" w14:textId="77777777" w:rsidR="00A104D5" w:rsidRPr="000D1354" w:rsidRDefault="00E21D39">
            <w:pPr>
              <w:rPr>
                <w:rFonts w:cs="Arial"/>
              </w:rPr>
            </w:pPr>
            <w:r w:rsidRPr="000D1354">
              <w:rPr>
                <w:rFonts w:cs="Arial"/>
              </w:rPr>
              <w:t>Me Alexandra Senécal</w:t>
            </w:r>
          </w:p>
        </w:tc>
      </w:tr>
      <w:tr w:rsidR="006141B8" w14:paraId="6F44E690" w14:textId="77777777">
        <w:tc>
          <w:tcPr>
            <w:tcW w:w="9505" w:type="dxa"/>
            <w:gridSpan w:val="3"/>
          </w:tcPr>
          <w:p w14:paraId="4734C443" w14:textId="77777777" w:rsidR="00A104D5" w:rsidRPr="00103606" w:rsidRDefault="00E21D39">
            <w:pPr>
              <w:keepNext/>
              <w:keepLines/>
              <w:rPr>
                <w:rFonts w:cs="Arial"/>
                <w:caps/>
                <w:color w:val="2A2E36"/>
                <w:shd w:val="clear" w:color="auto" w:fill="FFFFFF"/>
              </w:rPr>
            </w:pPr>
            <w:r w:rsidRPr="00103606">
              <w:rPr>
                <w:rFonts w:cs="Arial"/>
                <w:caps/>
                <w:color w:val="1A1C21"/>
                <w:szCs w:val="23"/>
              </w:rPr>
              <w:t>Robinson Sheppard Shapiro sencrl</w:t>
            </w:r>
          </w:p>
          <w:p w14:paraId="4E5A0A2B" w14:textId="77777777" w:rsidR="00A104D5" w:rsidRPr="00103606" w:rsidRDefault="00E21D39">
            <w:pPr>
              <w:rPr>
                <w:rFonts w:cs="Arial"/>
              </w:rPr>
            </w:pPr>
            <w:r w:rsidRPr="00103606">
              <w:rPr>
                <w:rFonts w:cs="Arial"/>
              </w:rPr>
              <w:t>Avocats de Future Electronics Inc.</w:t>
            </w:r>
          </w:p>
        </w:tc>
      </w:tr>
      <w:tr w:rsidR="006141B8" w14:paraId="6DFF0EBB" w14:textId="77777777">
        <w:tc>
          <w:tcPr>
            <w:tcW w:w="9505" w:type="dxa"/>
            <w:gridSpan w:val="3"/>
          </w:tcPr>
          <w:p w14:paraId="414E2570" w14:textId="77777777" w:rsidR="00A104D5" w:rsidRPr="00103606" w:rsidRDefault="00A104D5">
            <w:pPr>
              <w:rPr>
                <w:rFonts w:cs="Arial"/>
              </w:rPr>
            </w:pPr>
          </w:p>
        </w:tc>
      </w:tr>
      <w:tr w:rsidR="006141B8" w14:paraId="27A41405" w14:textId="77777777">
        <w:tc>
          <w:tcPr>
            <w:tcW w:w="9505" w:type="dxa"/>
            <w:gridSpan w:val="3"/>
          </w:tcPr>
          <w:p w14:paraId="6CE4FBFD" w14:textId="77777777" w:rsidR="00A104D5" w:rsidRPr="00103606" w:rsidRDefault="00A104D5">
            <w:pPr>
              <w:rPr>
                <w:rFonts w:cs="Arial"/>
              </w:rPr>
            </w:pPr>
          </w:p>
        </w:tc>
      </w:tr>
      <w:tr w:rsidR="006141B8" w14:paraId="4CE59295" w14:textId="77777777">
        <w:tc>
          <w:tcPr>
            <w:tcW w:w="9505" w:type="dxa"/>
            <w:gridSpan w:val="3"/>
          </w:tcPr>
          <w:p w14:paraId="5CA0C813" w14:textId="77777777" w:rsidR="00A104D5" w:rsidRPr="00103606" w:rsidRDefault="00E21D39">
            <w:pPr>
              <w:keepNext/>
              <w:keepLines/>
              <w:rPr>
                <w:rFonts w:cs="Arial"/>
                <w:color w:val="2A2E36"/>
                <w:shd w:val="clear" w:color="auto" w:fill="FFFFFF"/>
              </w:rPr>
            </w:pPr>
            <w:r w:rsidRPr="00103606">
              <w:rPr>
                <w:rFonts w:cs="Arial"/>
                <w:color w:val="2A2E36"/>
                <w:shd w:val="clear" w:color="auto" w:fill="FFFFFF"/>
              </w:rPr>
              <w:t xml:space="preserve">Me Sylvain Deslauriers </w:t>
            </w:r>
          </w:p>
          <w:p w14:paraId="1F286CF4" w14:textId="77777777" w:rsidR="00A104D5" w:rsidRPr="00103606" w:rsidRDefault="00E21D39">
            <w:pPr>
              <w:keepNext/>
              <w:keepLines/>
              <w:rPr>
                <w:rFonts w:cs="Arial"/>
                <w:color w:val="2A2E36"/>
                <w:shd w:val="clear" w:color="auto" w:fill="FFFFFF"/>
              </w:rPr>
            </w:pPr>
            <w:r w:rsidRPr="00103606">
              <w:rPr>
                <w:rFonts w:cs="Arial"/>
                <w:color w:val="2A2E36"/>
                <w:shd w:val="clear" w:color="auto" w:fill="FFFFFF"/>
              </w:rPr>
              <w:t>Me Frédérique Boulanger</w:t>
            </w:r>
          </w:p>
          <w:p w14:paraId="6CE87D44" w14:textId="77777777" w:rsidR="00A104D5" w:rsidRPr="00103606" w:rsidRDefault="00E21D39">
            <w:pPr>
              <w:keepNext/>
              <w:keepLines/>
              <w:rPr>
                <w:rFonts w:cs="Arial"/>
                <w:caps/>
                <w:color w:val="1A1C21"/>
                <w:szCs w:val="23"/>
                <w:shd w:val="clear" w:color="auto" w:fill="FFFFFF"/>
              </w:rPr>
            </w:pPr>
            <w:r w:rsidRPr="00103606">
              <w:rPr>
                <w:rFonts w:cs="Arial"/>
                <w:caps/>
                <w:color w:val="1A1C21"/>
                <w:szCs w:val="23"/>
                <w:shd w:val="clear" w:color="auto" w:fill="FFFFFF"/>
              </w:rPr>
              <w:t>Deslauriers &amp; Cie, Avocats s.a.</w:t>
            </w:r>
          </w:p>
          <w:p w14:paraId="2E1A957C" w14:textId="77777777" w:rsidR="00A104D5" w:rsidRPr="00103606" w:rsidRDefault="00E21D39">
            <w:pPr>
              <w:rPr>
                <w:rFonts w:cs="Arial"/>
                <w:lang w:val="pt-BR"/>
              </w:rPr>
            </w:pPr>
            <w:r w:rsidRPr="00103606">
              <w:rPr>
                <w:rFonts w:cs="Arial"/>
                <w:lang w:val="pt-BR"/>
              </w:rPr>
              <w:t>Avocats de Sam Joseph Abrams</w:t>
            </w:r>
          </w:p>
        </w:tc>
      </w:tr>
      <w:tr w:rsidR="006141B8" w14:paraId="7C91012A" w14:textId="77777777">
        <w:tc>
          <w:tcPr>
            <w:tcW w:w="9505" w:type="dxa"/>
            <w:gridSpan w:val="3"/>
          </w:tcPr>
          <w:p w14:paraId="1E35447C" w14:textId="77777777" w:rsidR="00A104D5" w:rsidRPr="00103606" w:rsidRDefault="00A104D5">
            <w:pPr>
              <w:rPr>
                <w:rFonts w:cs="Arial"/>
                <w:lang w:val="pt-BR"/>
              </w:rPr>
            </w:pPr>
          </w:p>
        </w:tc>
      </w:tr>
      <w:tr w:rsidR="006141B8" w14:paraId="413846CA" w14:textId="77777777">
        <w:tc>
          <w:tcPr>
            <w:tcW w:w="2068" w:type="dxa"/>
          </w:tcPr>
          <w:p w14:paraId="61E6AA55" w14:textId="77777777" w:rsidR="00A104D5" w:rsidRPr="00103606" w:rsidRDefault="00E21D39">
            <w:pPr>
              <w:pStyle w:val="zSoquijlblDateAudience"/>
              <w:rPr>
                <w:rFonts w:cs="Arial"/>
              </w:rPr>
            </w:pPr>
            <w:r w:rsidRPr="00103606">
              <w:rPr>
                <w:rFonts w:cs="Arial"/>
              </w:rPr>
              <w:t>Date d’audience :</w:t>
            </w:r>
          </w:p>
        </w:tc>
        <w:tc>
          <w:tcPr>
            <w:tcW w:w="7437" w:type="dxa"/>
            <w:gridSpan w:val="2"/>
          </w:tcPr>
          <w:p w14:paraId="6921654E" w14:textId="77777777" w:rsidR="00A104D5" w:rsidRPr="00103606" w:rsidRDefault="00E21D39">
            <w:pPr>
              <w:pStyle w:val="zSoquijdatDateAudience"/>
              <w:rPr>
                <w:rFonts w:cs="Arial"/>
              </w:rPr>
            </w:pPr>
            <w:r w:rsidRPr="00103606">
              <w:rPr>
                <w:rFonts w:cs="Arial"/>
              </w:rPr>
              <w:t>27, 28 et 29 novembre 2024</w:t>
            </w:r>
          </w:p>
        </w:tc>
      </w:tr>
    </w:tbl>
    <w:p w14:paraId="27008AFA" w14:textId="77777777" w:rsidR="00A104D5" w:rsidRPr="00103606" w:rsidRDefault="00A104D5" w:rsidP="00A104D5">
      <w:pPr>
        <w:pStyle w:val="Paragrdouble"/>
        <w:numPr>
          <w:ilvl w:val="0"/>
          <w:numId w:val="0"/>
        </w:numPr>
        <w:rPr>
          <w:rFonts w:cs="Arial"/>
        </w:rPr>
      </w:pPr>
    </w:p>
    <w:sectPr w:rsidR="00A104D5" w:rsidRPr="00103606" w:rsidSect="00890631">
      <w:headerReference w:type="default" r:id="rId11"/>
      <w:footerReference w:type="even" r:id="rId12"/>
      <w:footnotePr>
        <w:numRestart w:val="eachSect"/>
      </w:footnotePr>
      <w:pgSz w:w="12242" w:h="15842" w:code="1"/>
      <w:pgMar w:top="1440" w:right="1009" w:bottom="426" w:left="1871" w:header="144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BDD2" w14:textId="77777777" w:rsidR="00E21D39" w:rsidRDefault="00E21D39">
      <w:r>
        <w:separator/>
      </w:r>
    </w:p>
  </w:endnote>
  <w:endnote w:type="continuationSeparator" w:id="0">
    <w:p w14:paraId="0150B786" w14:textId="77777777" w:rsidR="00E21D39" w:rsidRDefault="00E2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60AE" w14:textId="77777777" w:rsidR="00121A72" w:rsidRDefault="00E21D39">
    <w:pPr>
      <w:framePr w:wrap="around" w:vAnchor="text" w:hAnchor="margin" w:xAlign="right" w:y="1"/>
    </w:pPr>
    <w:r>
      <w:fldChar w:fldCharType="begin"/>
    </w:r>
    <w:r>
      <w:instrText xml:space="preserve">PAGE  </w:instrText>
    </w:r>
    <w:r w:rsidR="0021195B">
      <w:fldChar w:fldCharType="separate"/>
    </w:r>
    <w:r>
      <w:fldChar w:fldCharType="end"/>
    </w:r>
  </w:p>
  <w:p w14:paraId="11C59EF9" w14:textId="77777777" w:rsidR="00121A72" w:rsidRDefault="00121A7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71F6" w14:textId="77777777" w:rsidR="00D662B6" w:rsidRDefault="00E21D39">
      <w:r>
        <w:separator/>
      </w:r>
    </w:p>
  </w:footnote>
  <w:footnote w:type="continuationSeparator" w:id="0">
    <w:p w14:paraId="1EBB6E14" w14:textId="77777777" w:rsidR="00D662B6" w:rsidRDefault="00E21D39">
      <w:r>
        <w:continuationSeparator/>
      </w:r>
    </w:p>
  </w:footnote>
  <w:footnote w:type="continuationNotice" w:id="1">
    <w:p w14:paraId="58E76457" w14:textId="77777777" w:rsidR="00D662B6" w:rsidRDefault="00D662B6"/>
  </w:footnote>
  <w:footnote w:id="2">
    <w:p w14:paraId="689EB827" w14:textId="77777777" w:rsidR="00D57307" w:rsidRDefault="00E21D39" w:rsidP="00F4232B">
      <w:pPr>
        <w:pStyle w:val="Notedebasdepage"/>
        <w:spacing w:before="20" w:after="40"/>
        <w:ind w:left="284" w:hanging="284"/>
      </w:pPr>
      <w:r>
        <w:rPr>
          <w:rStyle w:val="Appelnotedebasdep"/>
        </w:rPr>
        <w:footnoteRef/>
      </w:r>
      <w:r>
        <w:t xml:space="preserve"> </w:t>
      </w:r>
      <w:r w:rsidR="00756FAD">
        <w:tab/>
      </w:r>
      <w:r w:rsidRPr="00D57307">
        <w:t>L’utilisation des noms de famille des parties vise à assurer une meilleure fluidité du texte et l’on voudra bien n’y voir aucune discourtoisie à l’endroit de celles-ci.</w:t>
      </w:r>
    </w:p>
  </w:footnote>
  <w:footnote w:id="3">
    <w:p w14:paraId="2C0B8D61" w14:textId="77777777" w:rsidR="00B33033" w:rsidRDefault="00E21D39" w:rsidP="00F4232B">
      <w:pPr>
        <w:pStyle w:val="Notedebasdepage"/>
        <w:spacing w:before="20" w:after="40"/>
        <w:ind w:left="284" w:hanging="284"/>
      </w:pPr>
      <w:r>
        <w:rPr>
          <w:rStyle w:val="Appelnotedebasdep"/>
        </w:rPr>
        <w:footnoteRef/>
      </w:r>
      <w:r>
        <w:t xml:space="preserve"> </w:t>
      </w:r>
      <w:r>
        <w:tab/>
      </w:r>
      <w:r w:rsidRPr="00ED4D1E">
        <w:rPr>
          <w:i/>
          <w:iCs/>
        </w:rPr>
        <w:t>R. c. Barton</w:t>
      </w:r>
      <w:r w:rsidRPr="00ED4D1E">
        <w:t>, 2019 CSC 33, [2019] 2 RCS 579</w:t>
      </w:r>
      <w:r>
        <w:t>, par. 1.</w:t>
      </w:r>
    </w:p>
  </w:footnote>
  <w:footnote w:id="4">
    <w:p w14:paraId="523B9A94" w14:textId="77777777" w:rsidR="00B33033" w:rsidRDefault="00E21D39" w:rsidP="00F4232B">
      <w:pPr>
        <w:pStyle w:val="Notedebasdepage"/>
        <w:spacing w:before="20" w:after="40"/>
        <w:ind w:left="284" w:hanging="284"/>
      </w:pPr>
      <w:r>
        <w:rPr>
          <w:rStyle w:val="Appelnotedebasdep"/>
        </w:rPr>
        <w:footnoteRef/>
      </w:r>
      <w:r>
        <w:t xml:space="preserve"> </w:t>
      </w:r>
      <w:r>
        <w:tab/>
      </w:r>
      <w:r w:rsidRPr="00436229">
        <w:rPr>
          <w:i/>
          <w:iCs/>
        </w:rPr>
        <w:t>R. c. Friesen</w:t>
      </w:r>
      <w:r w:rsidRPr="00436229">
        <w:t>, 2020 CSC 9 (CanLII), [2020] 1 RCS 424</w:t>
      </w:r>
      <w:r>
        <w:t>, par. 65.</w:t>
      </w:r>
    </w:p>
  </w:footnote>
  <w:footnote w:id="5">
    <w:p w14:paraId="53A5FF86" w14:textId="77777777" w:rsidR="007E50B9" w:rsidRDefault="00E21D39" w:rsidP="007E50B9">
      <w:pPr>
        <w:pStyle w:val="Notedebasdepage"/>
        <w:spacing w:before="20" w:after="40"/>
        <w:ind w:left="284" w:hanging="284"/>
      </w:pPr>
      <w:r>
        <w:rPr>
          <w:rStyle w:val="Appelnotedebasdep"/>
        </w:rPr>
        <w:footnoteRef/>
      </w:r>
      <w:r>
        <w:t xml:space="preserve"> </w:t>
      </w:r>
      <w:r>
        <w:tab/>
      </w:r>
      <w:r w:rsidRPr="00C7740F">
        <w:t xml:space="preserve">Pierre-Claude </w:t>
      </w:r>
      <w:r>
        <w:t>LAFOND</w:t>
      </w:r>
      <w:r w:rsidRPr="00C7740F">
        <w:t xml:space="preserve">, </w:t>
      </w:r>
      <w:r>
        <w:t>« </w:t>
      </w:r>
      <w:r w:rsidRPr="00C7740F">
        <w:t>Le recours collectif : entre la commodité procédurale et la justice sociale</w:t>
      </w:r>
      <w:r>
        <w:t> »</w:t>
      </w:r>
      <w:r w:rsidRPr="00C7740F">
        <w:t>, 1999 29-1-2 Revue de Droit de l'Université de Sherbrooke 3, 1999 CanLIIDocs 113</w:t>
      </w:r>
      <w:r>
        <w:t>.</w:t>
      </w:r>
    </w:p>
  </w:footnote>
  <w:footnote w:id="6">
    <w:p w14:paraId="224896C4" w14:textId="77777777" w:rsidR="007E50B9" w:rsidRDefault="00E21D39" w:rsidP="007E50B9">
      <w:pPr>
        <w:pStyle w:val="Notedebasdepage"/>
        <w:spacing w:before="20" w:after="40"/>
        <w:ind w:left="284" w:hanging="284"/>
      </w:pPr>
      <w:r>
        <w:rPr>
          <w:rStyle w:val="Appelnotedebasdep"/>
        </w:rPr>
        <w:footnoteRef/>
      </w:r>
      <w:r>
        <w:t xml:space="preserve"> </w:t>
      </w:r>
      <w:r>
        <w:tab/>
      </w:r>
      <w:r w:rsidRPr="002330D2">
        <w:t xml:space="preserve">H.P. </w:t>
      </w:r>
      <w:r>
        <w:t>GLENN</w:t>
      </w:r>
      <w:r w:rsidRPr="002330D2">
        <w:t>, «</w:t>
      </w:r>
      <w:r>
        <w:t> </w:t>
      </w:r>
      <w:r w:rsidRPr="002330D2">
        <w:t>À propos de la maxime “Nul ne plaide par procureur”</w:t>
      </w:r>
      <w:r>
        <w:t> </w:t>
      </w:r>
      <w:r w:rsidRPr="002330D2">
        <w:t>» (1989) R.T.D. civ. 59 à la p. 69.</w:t>
      </w:r>
    </w:p>
  </w:footnote>
  <w:footnote w:id="7">
    <w:p w14:paraId="55CCA3EF" w14:textId="77777777" w:rsidR="006951C3" w:rsidRPr="006951C3" w:rsidRDefault="00E21D39" w:rsidP="00F4232B">
      <w:pPr>
        <w:pStyle w:val="Notedebasdepage"/>
        <w:spacing w:before="20" w:after="40"/>
        <w:ind w:left="284" w:hanging="284"/>
        <w:rPr>
          <w:i/>
          <w:iCs/>
        </w:rPr>
      </w:pPr>
      <w:r>
        <w:rPr>
          <w:rStyle w:val="Appelnotedebasdep"/>
        </w:rPr>
        <w:footnoteRef/>
      </w:r>
      <w:r>
        <w:t xml:space="preserve"> </w:t>
      </w:r>
      <w:r w:rsidR="00F91885">
        <w:tab/>
      </w:r>
      <w:bookmarkStart w:id="5" w:name="_Hlk187481370"/>
      <w:r w:rsidRPr="00603B9B">
        <w:rPr>
          <w:i/>
          <w:iCs/>
        </w:rPr>
        <w:t>Rozon c. Les Courageuses</w:t>
      </w:r>
      <w:r w:rsidRPr="00603B9B">
        <w:t xml:space="preserve">, 2020 QCCA 5 (demande d’autorisation </w:t>
      </w:r>
      <w:r w:rsidR="00704085" w:rsidRPr="00704085">
        <w:t>de pourvoi à la Cour suprême</w:t>
      </w:r>
      <w:r w:rsidRPr="00603B9B">
        <w:t xml:space="preserve"> rejetée</w:t>
      </w:r>
      <w:r w:rsidR="00704085">
        <w:t xml:space="preserve"> : </w:t>
      </w:r>
      <w:r w:rsidR="00704085" w:rsidRPr="00573001">
        <w:rPr>
          <w:i/>
          <w:iCs/>
        </w:rPr>
        <w:t>Les Courageuses c. Gilbert Rozon</w:t>
      </w:r>
      <w:r w:rsidR="00F03F5F">
        <w:rPr>
          <w:i/>
          <w:iCs/>
        </w:rPr>
        <w:t>,</w:t>
      </w:r>
      <w:r w:rsidR="00704085">
        <w:rPr>
          <w:i/>
          <w:iCs/>
        </w:rPr>
        <w:t xml:space="preserve"> </w:t>
      </w:r>
      <w:r w:rsidR="00F03F5F" w:rsidRPr="00F03F5F">
        <w:t>2020 CanLII 88004 (CSC)</w:t>
      </w:r>
      <w:r w:rsidRPr="00603B9B">
        <w:t>, 39115)</w:t>
      </w:r>
      <w:r w:rsidR="00507079">
        <w:t xml:space="preserve"> </w:t>
      </w:r>
      <w:r w:rsidR="00507079">
        <w:rPr>
          <w:rFonts w:cs="Arial"/>
        </w:rPr>
        <w:t>[</w:t>
      </w:r>
      <w:r w:rsidR="0096519D">
        <w:rPr>
          <w:rFonts w:cs="Arial"/>
        </w:rPr>
        <w:t>Ci-après</w:t>
      </w:r>
      <w:r w:rsidR="0017179D">
        <w:rPr>
          <w:rFonts w:cs="Arial"/>
        </w:rPr>
        <w:t xml:space="preserve"> : </w:t>
      </w:r>
      <w:r w:rsidR="00507079">
        <w:rPr>
          <w:rFonts w:cs="Arial"/>
        </w:rPr>
        <w:t>« </w:t>
      </w:r>
      <w:r w:rsidR="00507079" w:rsidRPr="008573E6">
        <w:rPr>
          <w:rFonts w:cs="Arial"/>
          <w:i/>
          <w:iCs/>
        </w:rPr>
        <w:t>Les</w:t>
      </w:r>
      <w:r w:rsidR="0095486F">
        <w:rPr>
          <w:rFonts w:cs="Arial"/>
          <w:i/>
          <w:iCs/>
        </w:rPr>
        <w:t> </w:t>
      </w:r>
      <w:r w:rsidR="00507079" w:rsidRPr="008573E6">
        <w:rPr>
          <w:rFonts w:cs="Arial"/>
          <w:i/>
          <w:iCs/>
        </w:rPr>
        <w:t>Courageuses</w:t>
      </w:r>
      <w:r w:rsidR="00507079">
        <w:rPr>
          <w:rFonts w:cs="Arial"/>
        </w:rPr>
        <w:t> »]</w:t>
      </w:r>
      <w:r>
        <w:t>.</w:t>
      </w:r>
      <w:bookmarkEnd w:id="5"/>
    </w:p>
  </w:footnote>
  <w:footnote w:id="8">
    <w:p w14:paraId="26B9F3A6" w14:textId="77777777" w:rsidR="005402D0" w:rsidRPr="000E22C7" w:rsidRDefault="00E21D39" w:rsidP="00F4232B">
      <w:pPr>
        <w:pStyle w:val="Notedebasdepage"/>
        <w:spacing w:before="20" w:after="40"/>
      </w:pPr>
      <w:r w:rsidRPr="000E22C7">
        <w:rPr>
          <w:rStyle w:val="Appelnotedebasdep"/>
        </w:rPr>
        <w:footnoteRef/>
      </w:r>
      <w:r w:rsidRPr="000E22C7">
        <w:t xml:space="preserve"> </w:t>
      </w:r>
      <w:r w:rsidRPr="000E22C7">
        <w:tab/>
      </w:r>
      <w:r w:rsidRPr="000E22C7">
        <w:rPr>
          <w:i/>
          <w:iCs/>
        </w:rPr>
        <w:t>Loi modifiant le Code criminel et la Loi sur la preuve au Canada</w:t>
      </w:r>
      <w:r w:rsidRPr="000E22C7">
        <w:t>, L.R.C. 1985, c. 19 (3</w:t>
      </w:r>
      <w:r w:rsidRPr="000E22C7">
        <w:rPr>
          <w:vertAlign w:val="superscript"/>
        </w:rPr>
        <w:t>e</w:t>
      </w:r>
      <w:r w:rsidRPr="000E22C7">
        <w:t xml:space="preserve"> suppl.), art. 9.</w:t>
      </w:r>
    </w:p>
  </w:footnote>
  <w:footnote w:id="9">
    <w:p w14:paraId="46C4E964" w14:textId="77777777" w:rsidR="005402D0" w:rsidRPr="00191C40" w:rsidRDefault="00E21D39" w:rsidP="00F4232B">
      <w:pPr>
        <w:pStyle w:val="Notedebasdepage"/>
        <w:spacing w:before="20" w:after="40"/>
      </w:pPr>
      <w:r w:rsidRPr="000E22C7">
        <w:rPr>
          <w:rStyle w:val="Appelnotedebasdep"/>
        </w:rPr>
        <w:footnoteRef/>
      </w:r>
      <w:r w:rsidRPr="000E22C7">
        <w:t xml:space="preserve"> </w:t>
      </w:r>
      <w:r w:rsidRPr="000E22C7">
        <w:tab/>
      </w:r>
      <w:r w:rsidRPr="000E22C7">
        <w:rPr>
          <w:i/>
          <w:iCs/>
        </w:rPr>
        <w:t>Loi modifiant le Code criminel (prostitution chez les enfants, tourisme sexuel impliquant les enfants, harcèlement criminel et mutilation d’organes génitaux féminins)</w:t>
      </w:r>
      <w:r w:rsidRPr="000E22C7">
        <w:t>, L.C.</w:t>
      </w:r>
      <w:r w:rsidRPr="000E22C7">
        <w:rPr>
          <w:i/>
          <w:iCs/>
        </w:rPr>
        <w:t xml:space="preserve"> </w:t>
      </w:r>
      <w:r w:rsidRPr="000E22C7">
        <w:t>1997, c. 16, art. 2(4), entrée en vigueur le 26 mai 1997 (décret</w:t>
      </w:r>
      <w:r>
        <w:t>), (1997) 131 Gaz. Can. II, 1692.</w:t>
      </w:r>
    </w:p>
  </w:footnote>
  <w:footnote w:id="10">
    <w:p w14:paraId="0B3A831D" w14:textId="77777777" w:rsidR="005402D0" w:rsidRPr="00191C40" w:rsidRDefault="00E21D39" w:rsidP="00F4232B">
      <w:pPr>
        <w:pStyle w:val="Notedebasdepage"/>
        <w:spacing w:before="20" w:after="40"/>
      </w:pPr>
      <w:r w:rsidRPr="00191C40">
        <w:rPr>
          <w:rStyle w:val="Appelnotedebasdep"/>
        </w:rPr>
        <w:footnoteRef/>
      </w:r>
      <w:r w:rsidRPr="00191C40">
        <w:t xml:space="preserve"> </w:t>
      </w:r>
      <w:r w:rsidRPr="00191C40">
        <w:tab/>
      </w:r>
      <w:r w:rsidRPr="00191C40">
        <w:rPr>
          <w:i/>
          <w:iCs/>
        </w:rPr>
        <w:t xml:space="preserve">Loi </w:t>
      </w:r>
      <w:r>
        <w:rPr>
          <w:i/>
          <w:iCs/>
        </w:rPr>
        <w:t>modifiant le Code criminel, la Loi réglementant certaines drogues et autres substances et la Loi sur le système correctionnel et la mise en liberté sous condition</w:t>
      </w:r>
      <w:r>
        <w:t>, L.C. 1999, c. 5, art. 8, entré en vigueur le 1</w:t>
      </w:r>
      <w:r w:rsidRPr="00191C40">
        <w:rPr>
          <w:vertAlign w:val="superscript"/>
        </w:rPr>
        <w:t>er</w:t>
      </w:r>
      <w:r>
        <w:t xml:space="preserve"> mai 1999 (décret), (1999) 133 Gaz. Can. II, 989.</w:t>
      </w:r>
    </w:p>
  </w:footnote>
  <w:footnote w:id="11">
    <w:p w14:paraId="5EC4A495" w14:textId="77777777" w:rsidR="005402D0" w:rsidRDefault="00E21D39" w:rsidP="00F4232B">
      <w:pPr>
        <w:pStyle w:val="Notedebasdepage"/>
        <w:spacing w:before="20" w:after="40"/>
      </w:pPr>
      <w:r>
        <w:rPr>
          <w:rStyle w:val="Appelnotedebasdep"/>
        </w:rPr>
        <w:footnoteRef/>
      </w:r>
      <w:r>
        <w:t xml:space="preserve"> </w:t>
      </w:r>
      <w:r>
        <w:tab/>
      </w:r>
      <w:r w:rsidRPr="00F169FC">
        <w:rPr>
          <w:i/>
          <w:iCs/>
        </w:rPr>
        <w:t>Loi modifiant le Code criminel (protection des enfants et d’autres personnes vulnérables) et la Loi sur la preuve au Canada</w:t>
      </w:r>
      <w:r>
        <w:t>, L.C. 2005, c. 32, art. 10.1, entré</w:t>
      </w:r>
      <w:r w:rsidR="0073141D">
        <w:t>e</w:t>
      </w:r>
      <w:r>
        <w:t xml:space="preserve"> en vigueur le 1</w:t>
      </w:r>
      <w:r w:rsidRPr="00AB71D2">
        <w:rPr>
          <w:vertAlign w:val="superscript"/>
        </w:rPr>
        <w:t>er</w:t>
      </w:r>
      <w:r>
        <w:t xml:space="preserve"> novembre 2005 (décret), (2005) 139 Gaz. Can. II, 2550.</w:t>
      </w:r>
    </w:p>
  </w:footnote>
  <w:footnote w:id="12">
    <w:p w14:paraId="38EAD90C" w14:textId="77777777" w:rsidR="005402D0" w:rsidRDefault="00E21D39" w:rsidP="00F4232B">
      <w:pPr>
        <w:pStyle w:val="Notedebasdepage"/>
        <w:spacing w:before="20" w:after="40"/>
      </w:pPr>
      <w:r>
        <w:rPr>
          <w:rStyle w:val="Appelnotedebasdep"/>
        </w:rPr>
        <w:footnoteRef/>
      </w:r>
      <w:r>
        <w:t xml:space="preserve"> </w:t>
      </w:r>
      <w:r>
        <w:tab/>
      </w:r>
      <w:r w:rsidRPr="0083195F">
        <w:rPr>
          <w:i/>
          <w:iCs/>
        </w:rPr>
        <w:t>Loi modifiant le Code criminel et la Loi sur la preuve</w:t>
      </w:r>
      <w:r>
        <w:rPr>
          <w:i/>
          <w:iCs/>
        </w:rPr>
        <w:t xml:space="preserve"> au Canada</w:t>
      </w:r>
      <w:r>
        <w:t xml:space="preserve">, préc., note </w:t>
      </w:r>
      <w:r w:rsidR="003513B6">
        <w:t>7</w:t>
      </w:r>
      <w:r w:rsidR="00800CDC">
        <w:t xml:space="preserve">, </w:t>
      </w:r>
      <w:r>
        <w:t>art. 1.</w:t>
      </w:r>
    </w:p>
  </w:footnote>
  <w:footnote w:id="13">
    <w:p w14:paraId="249570EF" w14:textId="77777777" w:rsidR="005402D0" w:rsidRDefault="00E21D39" w:rsidP="00F4232B">
      <w:pPr>
        <w:pStyle w:val="Notedebasdepage"/>
        <w:spacing w:before="20" w:after="40"/>
      </w:pPr>
      <w:r>
        <w:rPr>
          <w:rStyle w:val="Appelnotedebasdep"/>
        </w:rPr>
        <w:footnoteRef/>
      </w:r>
      <w:r>
        <w:t xml:space="preserve"> </w:t>
      </w:r>
      <w:r>
        <w:tab/>
      </w:r>
      <w:r w:rsidRPr="00F169FC">
        <w:rPr>
          <w:i/>
          <w:iCs/>
        </w:rPr>
        <w:t>Loi modifiant le Code criminel (protection des enfants et d’autres personnes vulnérables) et la Loi sur la preuve au Canada</w:t>
      </w:r>
      <w:r>
        <w:t xml:space="preserve">, préc., note </w:t>
      </w:r>
      <w:r w:rsidR="003513B6">
        <w:t>10</w:t>
      </w:r>
      <w:r>
        <w:t>, art. 3.</w:t>
      </w:r>
    </w:p>
  </w:footnote>
  <w:footnote w:id="14">
    <w:p w14:paraId="141A56EB" w14:textId="77777777" w:rsidR="005402D0" w:rsidRDefault="00E21D39" w:rsidP="00F4232B">
      <w:pPr>
        <w:pStyle w:val="Notedebasdepage"/>
        <w:spacing w:before="20" w:after="40"/>
      </w:pPr>
      <w:r>
        <w:rPr>
          <w:rStyle w:val="Appelnotedebasdep"/>
        </w:rPr>
        <w:footnoteRef/>
      </w:r>
      <w:r>
        <w:t xml:space="preserve"> </w:t>
      </w:r>
      <w:r>
        <w:tab/>
      </w:r>
      <w:r w:rsidRPr="00390044">
        <w:rPr>
          <w:i/>
          <w:iCs/>
        </w:rPr>
        <w:t>Loi sur la lutte contre les crimes violents</w:t>
      </w:r>
      <w:r>
        <w:t>, L.C. 2008, c. 6, art. 54, entré</w:t>
      </w:r>
      <w:r w:rsidR="0073141D">
        <w:t>e</w:t>
      </w:r>
      <w:r>
        <w:t xml:space="preserve"> en vigueur le 1</w:t>
      </w:r>
      <w:r w:rsidRPr="00AB71D2">
        <w:rPr>
          <w:vertAlign w:val="superscript"/>
        </w:rPr>
        <w:t>er</w:t>
      </w:r>
      <w:r>
        <w:t xml:space="preserve"> mai 2008 (décret), (2008) 142 Gaz. Can. II, 584.</w:t>
      </w:r>
    </w:p>
  </w:footnote>
  <w:footnote w:id="15">
    <w:p w14:paraId="518543E5" w14:textId="77777777" w:rsidR="005402D0" w:rsidRPr="0083195F" w:rsidRDefault="00E21D39" w:rsidP="00F4232B">
      <w:pPr>
        <w:pStyle w:val="Notedebasdepage"/>
        <w:spacing w:before="20" w:after="40"/>
      </w:pPr>
      <w:r>
        <w:rPr>
          <w:rStyle w:val="Appelnotedebasdep"/>
        </w:rPr>
        <w:footnoteRef/>
      </w:r>
      <w:r>
        <w:t xml:space="preserve"> </w:t>
      </w:r>
      <w:r>
        <w:tab/>
      </w:r>
      <w:r w:rsidRPr="0083195F">
        <w:rPr>
          <w:i/>
          <w:iCs/>
        </w:rPr>
        <w:t>Loi modifiant le Code criminel et la Loi sur la preuve</w:t>
      </w:r>
      <w:r>
        <w:rPr>
          <w:i/>
          <w:iCs/>
        </w:rPr>
        <w:t xml:space="preserve"> au Canada</w:t>
      </w:r>
      <w:r>
        <w:t>, préc., note 7, art. 1.</w:t>
      </w:r>
    </w:p>
  </w:footnote>
  <w:footnote w:id="16">
    <w:p w14:paraId="008A8FD2" w14:textId="77777777" w:rsidR="005402D0" w:rsidRPr="009A5446" w:rsidRDefault="00E21D39" w:rsidP="00F4232B">
      <w:pPr>
        <w:pStyle w:val="Notedebasdepage"/>
        <w:spacing w:before="20" w:after="40"/>
      </w:pPr>
      <w:r>
        <w:rPr>
          <w:rStyle w:val="Appelnotedebasdep"/>
        </w:rPr>
        <w:footnoteRef/>
      </w:r>
      <w:r>
        <w:t xml:space="preserve"> </w:t>
      </w:r>
      <w:r>
        <w:tab/>
      </w:r>
      <w:r w:rsidRPr="00F169FC">
        <w:rPr>
          <w:i/>
          <w:iCs/>
        </w:rPr>
        <w:t>Loi modifiant le Code criminel (protection des enfants et d’autres personnes vulnérables) et la Loi sur la preuve au Canada</w:t>
      </w:r>
      <w:r>
        <w:t>, préc., note 10, art. 4.</w:t>
      </w:r>
    </w:p>
  </w:footnote>
  <w:footnote w:id="17">
    <w:p w14:paraId="5EBC26C8" w14:textId="77777777" w:rsidR="005402D0" w:rsidRPr="00AB71D2" w:rsidRDefault="00E21D39" w:rsidP="00F4232B">
      <w:pPr>
        <w:pStyle w:val="Notedebasdepage"/>
        <w:spacing w:before="20" w:after="40"/>
      </w:pPr>
      <w:r>
        <w:rPr>
          <w:rStyle w:val="Appelnotedebasdep"/>
        </w:rPr>
        <w:footnoteRef/>
      </w:r>
      <w:r>
        <w:t xml:space="preserve"> </w:t>
      </w:r>
      <w:r>
        <w:tab/>
      </w:r>
      <w:r w:rsidRPr="00390044">
        <w:rPr>
          <w:i/>
          <w:iCs/>
        </w:rPr>
        <w:t>Loi sur la lutte contre les crimes violents</w:t>
      </w:r>
      <w:r w:rsidRPr="00AB71D2">
        <w:t xml:space="preserve">, préc., note </w:t>
      </w:r>
      <w:r>
        <w:t>13, art. 54.</w:t>
      </w:r>
    </w:p>
  </w:footnote>
  <w:footnote w:id="18">
    <w:p w14:paraId="7328A909" w14:textId="77777777" w:rsidR="00767A39" w:rsidRDefault="00E21D39" w:rsidP="00F4232B">
      <w:pPr>
        <w:pStyle w:val="Notedebasdepage"/>
        <w:spacing w:before="20" w:after="40"/>
        <w:ind w:left="284" w:hanging="284"/>
      </w:pPr>
      <w:r>
        <w:rPr>
          <w:rStyle w:val="Appelnotedebasdep"/>
        </w:rPr>
        <w:footnoteRef/>
      </w:r>
      <w:r>
        <w:t xml:space="preserve"> </w:t>
      </w:r>
      <w:r w:rsidR="00756FAD">
        <w:tab/>
      </w:r>
      <w:r>
        <w:t xml:space="preserve">Jugement daté du 17 janvier 2024 par lequel le juge Immer autorise la troisième demande de modification de la demande d’autorisation, dont en outre l’inclusion d’un </w:t>
      </w:r>
      <w:r w:rsidR="00B15A79">
        <w:t>t</w:t>
      </w:r>
      <w:r w:rsidRPr="00767A39">
        <w:t>ableau énumérant sous forme écrite des renseignements recueillis par les avocats de la demanderesse auprès de 51 femmes incluant leur âge lors de leur première «</w:t>
      </w:r>
      <w:r w:rsidR="00E528C0">
        <w:t> </w:t>
      </w:r>
      <w:r w:rsidRPr="00767A39">
        <w:t>sexual experience with Defendant Miller</w:t>
      </w:r>
      <w:r w:rsidR="00E528C0">
        <w:t> </w:t>
      </w:r>
      <w:r w:rsidRPr="00767A39">
        <w:t>», les années durant lesquelles elles ont eu «</w:t>
      </w:r>
      <w:r w:rsidR="00E528C0">
        <w:t> </w:t>
      </w:r>
      <w:r w:rsidR="00B15A79">
        <w:t>des rapports sexuels</w:t>
      </w:r>
      <w:r w:rsidR="00E528C0">
        <w:t> </w:t>
      </w:r>
      <w:r w:rsidRPr="00767A39">
        <w:t xml:space="preserve">»avec Miller, la période visée et le montant </w:t>
      </w:r>
      <w:r w:rsidR="00B15A79">
        <w:t xml:space="preserve">d’argent </w:t>
      </w:r>
      <w:r w:rsidRPr="00767A39">
        <w:t>qu’elles ont reçu</w:t>
      </w:r>
      <w:r>
        <w:t xml:space="preserve"> : </w:t>
      </w:r>
      <w:r w:rsidRPr="00767A39">
        <w:rPr>
          <w:i/>
          <w:iCs/>
        </w:rPr>
        <w:t>S.N. c. Miller</w:t>
      </w:r>
      <w:r w:rsidRPr="00767A39">
        <w:t>, 2024 QCCS 113</w:t>
      </w:r>
      <w:r>
        <w:t>.</w:t>
      </w:r>
    </w:p>
  </w:footnote>
  <w:footnote w:id="19">
    <w:p w14:paraId="79E9B687" w14:textId="77777777" w:rsidR="00B15A79" w:rsidRDefault="00E21D39" w:rsidP="00573001">
      <w:pPr>
        <w:pStyle w:val="Notedebasdepage"/>
        <w:spacing w:before="20" w:after="40"/>
        <w:ind w:left="284" w:hanging="284"/>
      </w:pPr>
      <w:r>
        <w:rPr>
          <w:rStyle w:val="Appelnotedebasdep"/>
        </w:rPr>
        <w:footnoteRef/>
      </w:r>
      <w:r>
        <w:t xml:space="preserve"> </w:t>
      </w:r>
      <w:r>
        <w:tab/>
        <w:t>Le présent jugement prend acte de ce désistement dans ses conclusions.</w:t>
      </w:r>
    </w:p>
  </w:footnote>
  <w:footnote w:id="20">
    <w:p w14:paraId="160C476A" w14:textId="77777777" w:rsidR="00216C1D" w:rsidRDefault="00E21D39" w:rsidP="007E50B9">
      <w:pPr>
        <w:pStyle w:val="Notedebasdepage"/>
        <w:spacing w:before="20" w:after="40"/>
        <w:ind w:left="284" w:hanging="284"/>
      </w:pPr>
      <w:r>
        <w:rPr>
          <w:rStyle w:val="Appelnotedebasdep"/>
        </w:rPr>
        <w:footnoteRef/>
      </w:r>
      <w:r>
        <w:t xml:space="preserve"> </w:t>
      </w:r>
      <w:r w:rsidR="0095486F">
        <w:tab/>
      </w:r>
      <w:r>
        <w:t xml:space="preserve">Voir </w:t>
      </w:r>
      <w:r w:rsidRPr="008573E6">
        <w:rPr>
          <w:i/>
          <w:iCs/>
        </w:rPr>
        <w:t>S.N. c. Miller</w:t>
      </w:r>
      <w:r w:rsidRPr="00216C1D">
        <w:t>, 2024 QCCS 4413</w:t>
      </w:r>
      <w:r>
        <w:t xml:space="preserve"> et </w:t>
      </w:r>
      <w:r w:rsidRPr="008573E6">
        <w:rPr>
          <w:i/>
          <w:iCs/>
        </w:rPr>
        <w:t>S.N. c. Miller</w:t>
      </w:r>
      <w:r w:rsidRPr="00216C1D">
        <w:t>, 2024 QCCS 4414</w:t>
      </w:r>
      <w:r>
        <w:t>.</w:t>
      </w:r>
    </w:p>
  </w:footnote>
  <w:footnote w:id="21">
    <w:p w14:paraId="701C7669" w14:textId="77777777" w:rsidR="002B69F6" w:rsidRPr="00573001" w:rsidRDefault="00E21D39" w:rsidP="00F4232B">
      <w:pPr>
        <w:pStyle w:val="Notedebasdepage"/>
        <w:spacing w:before="20" w:after="40"/>
        <w:ind w:left="284" w:hanging="284"/>
      </w:pPr>
      <w:r>
        <w:rPr>
          <w:rStyle w:val="Appelnotedebasdep"/>
        </w:rPr>
        <w:footnoteRef/>
      </w:r>
      <w:r w:rsidRPr="00573001">
        <w:t xml:space="preserve"> </w:t>
      </w:r>
      <w:r w:rsidR="00C642AB" w:rsidRPr="00573001">
        <w:tab/>
      </w:r>
      <w:r w:rsidRPr="00573001">
        <w:t>2020 QCCA 1647, par. 51 à 54.</w:t>
      </w:r>
    </w:p>
  </w:footnote>
  <w:footnote w:id="22">
    <w:p w14:paraId="0EF7903C" w14:textId="77777777" w:rsidR="00F01504" w:rsidRPr="00573001" w:rsidRDefault="00E21D39" w:rsidP="00F4232B">
      <w:pPr>
        <w:pStyle w:val="Notedebasdepage"/>
        <w:spacing w:before="20" w:after="40"/>
        <w:ind w:left="284" w:hanging="284"/>
      </w:pPr>
      <w:r>
        <w:rPr>
          <w:rStyle w:val="Appelnotedebasdep"/>
        </w:rPr>
        <w:footnoteRef/>
      </w:r>
      <w:r w:rsidRPr="00573001">
        <w:t xml:space="preserve"> </w:t>
      </w:r>
      <w:r w:rsidR="00F91885" w:rsidRPr="00573001">
        <w:tab/>
      </w:r>
      <w:bookmarkStart w:id="19" w:name="_Hlk186726593"/>
      <w:r w:rsidRPr="00573001">
        <w:t>2023 QCCA 1220</w:t>
      </w:r>
      <w:bookmarkEnd w:id="19"/>
      <w:r w:rsidRPr="00573001">
        <w:t>.</w:t>
      </w:r>
    </w:p>
  </w:footnote>
  <w:footnote w:id="23">
    <w:p w14:paraId="4A650B76" w14:textId="77777777" w:rsidR="00604906" w:rsidRPr="000D1354" w:rsidRDefault="00E21D39" w:rsidP="00F4232B">
      <w:pPr>
        <w:pStyle w:val="Notedebasdepage"/>
        <w:spacing w:before="20" w:after="40"/>
        <w:ind w:left="284" w:hanging="284"/>
      </w:pPr>
      <w:r>
        <w:rPr>
          <w:rStyle w:val="Appelnotedebasdep"/>
        </w:rPr>
        <w:footnoteRef/>
      </w:r>
      <w:r w:rsidRPr="000D1354">
        <w:t xml:space="preserve"> </w:t>
      </w:r>
      <w:r w:rsidR="00F91885" w:rsidRPr="000D1354">
        <w:tab/>
      </w:r>
      <w:r w:rsidRPr="000D1354">
        <w:rPr>
          <w:i/>
          <w:iCs/>
        </w:rPr>
        <w:t>Durand c. Subway Franchise Systems of Canada</w:t>
      </w:r>
      <w:r w:rsidRPr="000D1354">
        <w:t xml:space="preserve">, </w:t>
      </w:r>
      <w:r w:rsidR="000638F8" w:rsidRPr="000D1354">
        <w:t xml:space="preserve">préc., </w:t>
      </w:r>
      <w:r w:rsidR="00E864E6" w:rsidRPr="000D1354">
        <w:t xml:space="preserve">note </w:t>
      </w:r>
      <w:r w:rsidR="00F365FA" w:rsidRPr="000D1354">
        <w:t>20</w:t>
      </w:r>
      <w:r w:rsidRPr="000D1354">
        <w:t>.</w:t>
      </w:r>
    </w:p>
  </w:footnote>
  <w:footnote w:id="24">
    <w:p w14:paraId="21759A84" w14:textId="77777777" w:rsidR="00066342" w:rsidRPr="00573001" w:rsidRDefault="00E21D39" w:rsidP="00F4232B">
      <w:pPr>
        <w:pStyle w:val="Notedebasdepage"/>
        <w:spacing w:before="20" w:after="40"/>
        <w:ind w:left="284" w:hanging="284"/>
        <w:rPr>
          <w:i/>
          <w:iCs/>
        </w:rPr>
      </w:pPr>
      <w:r>
        <w:rPr>
          <w:rStyle w:val="Appelnotedebasdep"/>
        </w:rPr>
        <w:footnoteRef/>
      </w:r>
      <w:r>
        <w:t xml:space="preserve"> </w:t>
      </w:r>
      <w:r w:rsidR="008C1CDF">
        <w:tab/>
      </w:r>
      <w:r w:rsidR="004B2235" w:rsidRPr="00573001">
        <w:rPr>
          <w:i/>
          <w:iCs/>
        </w:rPr>
        <w:t>Asselin c. Desjardins Cabinet de services financiers inc.</w:t>
      </w:r>
      <w:r w:rsidR="004B2235">
        <w:t xml:space="preserve">, </w:t>
      </w:r>
      <w:r w:rsidRPr="00066342">
        <w:t xml:space="preserve">2017 QCCA </w:t>
      </w:r>
      <w:r w:rsidR="00A13037">
        <w:t>1673</w:t>
      </w:r>
      <w:r>
        <w:t>.</w:t>
      </w:r>
      <w:r w:rsidR="00AD6537">
        <w:t xml:space="preserve"> [« </w:t>
      </w:r>
      <w:r w:rsidR="00AD6537">
        <w:rPr>
          <w:i/>
          <w:iCs/>
        </w:rPr>
        <w:t>Asselin </w:t>
      </w:r>
      <w:r w:rsidR="00AD6537" w:rsidRPr="00573001">
        <w:t>»]</w:t>
      </w:r>
    </w:p>
  </w:footnote>
  <w:footnote w:id="25">
    <w:p w14:paraId="37B57BF7" w14:textId="77777777" w:rsidR="00CF40E6" w:rsidRDefault="00E21D39" w:rsidP="00F4232B">
      <w:pPr>
        <w:pStyle w:val="Notedebasdepage"/>
        <w:spacing w:before="20" w:after="40"/>
        <w:ind w:left="284" w:hanging="284"/>
      </w:pPr>
      <w:r w:rsidRPr="002B0997">
        <w:rPr>
          <w:rStyle w:val="Appelnotedebasdep"/>
        </w:rPr>
        <w:footnoteRef/>
      </w:r>
      <w:r w:rsidRPr="002B0997">
        <w:t xml:space="preserve"> </w:t>
      </w:r>
      <w:r w:rsidR="00F91885" w:rsidRPr="002B0997">
        <w:tab/>
      </w:r>
      <w:r w:rsidR="00F365FA">
        <w:rPr>
          <w:i/>
          <w:iCs/>
        </w:rPr>
        <w:t>Asselin, préc., note 23</w:t>
      </w:r>
      <w:r w:rsidRPr="002B0997">
        <w:t>, par. 26.</w:t>
      </w:r>
    </w:p>
  </w:footnote>
  <w:footnote w:id="26">
    <w:p w14:paraId="48618D8B" w14:textId="77777777" w:rsidR="00CF40E6" w:rsidRDefault="00E21D39" w:rsidP="00F4232B">
      <w:pPr>
        <w:pStyle w:val="Notedebasdepage"/>
        <w:spacing w:before="20" w:after="40"/>
        <w:ind w:left="284" w:hanging="284"/>
      </w:pPr>
      <w:r>
        <w:rPr>
          <w:rStyle w:val="Appelnotedebasdep"/>
        </w:rPr>
        <w:footnoteRef/>
      </w:r>
      <w:r>
        <w:t xml:space="preserve"> </w:t>
      </w:r>
      <w:r w:rsidR="00F91885">
        <w:tab/>
      </w:r>
      <w:r w:rsidRPr="00CF40E6">
        <w:rPr>
          <w:i/>
          <w:iCs/>
        </w:rPr>
        <w:t>Haroch c. Toronto-Dominion Bank</w:t>
      </w:r>
      <w:r w:rsidRPr="00CF40E6">
        <w:t>, 2023 QCCA 1282, par. 14 et 15.</w:t>
      </w:r>
    </w:p>
  </w:footnote>
  <w:footnote w:id="27">
    <w:p w14:paraId="617FED07" w14:textId="77777777" w:rsidR="00E75633" w:rsidRDefault="00E21D39" w:rsidP="00F4232B">
      <w:pPr>
        <w:pStyle w:val="Notedebasdepage"/>
        <w:spacing w:before="20" w:after="40"/>
        <w:ind w:left="284" w:hanging="284"/>
      </w:pPr>
      <w:r>
        <w:rPr>
          <w:rStyle w:val="Appelnotedebasdep"/>
        </w:rPr>
        <w:footnoteRef/>
      </w:r>
      <w:r>
        <w:t xml:space="preserve"> </w:t>
      </w:r>
      <w:r w:rsidR="00F91885">
        <w:tab/>
      </w:r>
      <w:r>
        <w:t xml:space="preserve">Voir </w:t>
      </w:r>
      <w:r w:rsidRPr="00E75633">
        <w:rPr>
          <w:i/>
          <w:iCs/>
        </w:rPr>
        <w:t>S.N. c. Miller</w:t>
      </w:r>
      <w:r w:rsidRPr="00E75633">
        <w:t>, 2024 QCCS 113</w:t>
      </w:r>
      <w:r>
        <w:t>.</w:t>
      </w:r>
    </w:p>
  </w:footnote>
  <w:footnote w:id="28">
    <w:p w14:paraId="03B51617" w14:textId="77777777" w:rsidR="00F05333" w:rsidRPr="00474C5F" w:rsidRDefault="00E21D39" w:rsidP="00F05333">
      <w:pPr>
        <w:pStyle w:val="Notedebasdepage"/>
        <w:spacing w:before="20" w:after="40"/>
        <w:ind w:left="284" w:hanging="284"/>
      </w:pPr>
      <w:r>
        <w:rPr>
          <w:rStyle w:val="Appelnotedebasdep"/>
        </w:rPr>
        <w:footnoteRef/>
      </w:r>
      <w:r w:rsidRPr="00474C5F">
        <w:t xml:space="preserve"> </w:t>
      </w:r>
      <w:r>
        <w:tab/>
      </w:r>
      <w:r w:rsidRPr="00474C5F">
        <w:rPr>
          <w:i/>
          <w:iCs/>
        </w:rPr>
        <w:t>Haroch c. Toronto-Dominion Bank</w:t>
      </w:r>
      <w:r w:rsidRPr="00474C5F">
        <w:t xml:space="preserve">, </w:t>
      </w:r>
      <w:r>
        <w:t xml:space="preserve">préc., note </w:t>
      </w:r>
      <w:r w:rsidR="00F365FA">
        <w:t>25</w:t>
      </w:r>
      <w:r w:rsidRPr="00474C5F">
        <w:t>, par. 8 et 14.</w:t>
      </w:r>
    </w:p>
  </w:footnote>
  <w:footnote w:id="29">
    <w:p w14:paraId="551D1D16" w14:textId="77777777" w:rsidR="005E49FC" w:rsidRDefault="00E21D39" w:rsidP="00F4232B">
      <w:pPr>
        <w:pStyle w:val="Notedebasdepage"/>
        <w:spacing w:before="20" w:after="40"/>
        <w:ind w:left="284" w:hanging="284"/>
      </w:pPr>
      <w:r>
        <w:rPr>
          <w:rStyle w:val="Appelnotedebasdep"/>
        </w:rPr>
        <w:footnoteRef/>
      </w:r>
      <w:r>
        <w:t xml:space="preserve"> </w:t>
      </w:r>
      <w:r>
        <w:tab/>
      </w:r>
      <w:r w:rsidR="005E27BE" w:rsidRPr="005E27BE">
        <w:rPr>
          <w:i/>
          <w:iCs/>
        </w:rPr>
        <w:t>L’Oratoire Saint</w:t>
      </w:r>
      <w:r w:rsidR="005E27BE" w:rsidRPr="005E27BE">
        <w:rPr>
          <w:rFonts w:ascii="Cambria Math" w:hAnsi="Cambria Math" w:cs="Cambria Math"/>
          <w:i/>
          <w:iCs/>
        </w:rPr>
        <w:t>‑</w:t>
      </w:r>
      <w:r w:rsidR="005E27BE" w:rsidRPr="005E27BE">
        <w:rPr>
          <w:i/>
          <w:iCs/>
        </w:rPr>
        <w:t>Joseph du Mont</w:t>
      </w:r>
      <w:r w:rsidR="005E27BE" w:rsidRPr="005E27BE">
        <w:rPr>
          <w:rFonts w:ascii="Cambria Math" w:hAnsi="Cambria Math" w:cs="Cambria Math"/>
          <w:i/>
          <w:iCs/>
        </w:rPr>
        <w:t>‑</w:t>
      </w:r>
      <w:r w:rsidR="005E27BE" w:rsidRPr="005E27BE">
        <w:rPr>
          <w:i/>
          <w:iCs/>
        </w:rPr>
        <w:t xml:space="preserve">Royal c. J.J., </w:t>
      </w:r>
      <w:r w:rsidR="005E27BE" w:rsidRPr="007E50B9">
        <w:t>2019 CSC 35, [2019] 2 RCS 831</w:t>
      </w:r>
      <w:r>
        <w:t>., par. 23-24.</w:t>
      </w:r>
      <w:r w:rsidR="007940B9">
        <w:t xml:space="preserve"> </w:t>
      </w:r>
      <w:r w:rsidR="00517E4C">
        <w:t>[« </w:t>
      </w:r>
      <w:r w:rsidR="00517E4C">
        <w:rPr>
          <w:i/>
          <w:iCs/>
        </w:rPr>
        <w:t>L’Oratoire</w:t>
      </w:r>
      <w:r w:rsidR="00517E4C">
        <w:t> »]</w:t>
      </w:r>
    </w:p>
  </w:footnote>
  <w:footnote w:id="30">
    <w:p w14:paraId="58F1BFB0" w14:textId="77777777" w:rsidR="005E49FC" w:rsidRDefault="00E21D39" w:rsidP="00F4232B">
      <w:pPr>
        <w:pStyle w:val="Notedebasdepage"/>
        <w:spacing w:before="20" w:after="40"/>
        <w:ind w:left="284" w:hanging="284"/>
      </w:pPr>
      <w:r>
        <w:rPr>
          <w:rStyle w:val="Appelnotedebasdep"/>
        </w:rPr>
        <w:footnoteRef/>
      </w:r>
      <w:r>
        <w:t xml:space="preserve"> </w:t>
      </w:r>
      <w:r>
        <w:tab/>
      </w:r>
      <w:r w:rsidR="00A11E58">
        <w:rPr>
          <w:i/>
          <w:iCs/>
        </w:rPr>
        <w:t>Idem</w:t>
      </w:r>
      <w:r>
        <w:t>.</w:t>
      </w:r>
    </w:p>
  </w:footnote>
  <w:footnote w:id="31">
    <w:p w14:paraId="4D53B5F4" w14:textId="77777777" w:rsidR="003775D5" w:rsidRDefault="00E21D39" w:rsidP="00F4232B">
      <w:pPr>
        <w:pStyle w:val="Notedebasdepage"/>
        <w:spacing w:before="20" w:after="40"/>
        <w:ind w:left="284" w:hanging="284"/>
      </w:pPr>
      <w:r>
        <w:rPr>
          <w:rStyle w:val="Appelnotedebasdep"/>
        </w:rPr>
        <w:footnoteRef/>
      </w:r>
      <w:r>
        <w:t xml:space="preserve"> </w:t>
      </w:r>
      <w:r w:rsidR="00F91885">
        <w:tab/>
      </w:r>
      <w:r w:rsidR="008133D6">
        <w:rPr>
          <w:i/>
          <w:iCs/>
        </w:rPr>
        <w:t>Idem</w:t>
      </w:r>
      <w:r w:rsidRPr="003775D5">
        <w:t>, par. 6.</w:t>
      </w:r>
    </w:p>
  </w:footnote>
  <w:footnote w:id="32">
    <w:p w14:paraId="1F782483" w14:textId="77777777" w:rsidR="00375CCF" w:rsidRDefault="00E21D39" w:rsidP="00F4232B">
      <w:pPr>
        <w:pStyle w:val="Notedebasdepage"/>
        <w:spacing w:before="20" w:after="40"/>
        <w:ind w:left="284" w:hanging="284"/>
      </w:pPr>
      <w:r>
        <w:rPr>
          <w:rStyle w:val="Appelnotedebasdep"/>
        </w:rPr>
        <w:footnoteRef/>
      </w:r>
      <w:r>
        <w:t xml:space="preserve"> </w:t>
      </w:r>
      <w:r w:rsidR="00F91885">
        <w:tab/>
      </w:r>
      <w:r w:rsidR="00A550CA" w:rsidRPr="00A550CA">
        <w:rPr>
          <w:i/>
          <w:iCs/>
        </w:rPr>
        <w:t>Tessier c. Economical, compagnie mutuelle d'assurance</w:t>
      </w:r>
      <w:r w:rsidR="00A550CA" w:rsidRPr="00A550CA">
        <w:t>, 2023 QCCA 688.</w:t>
      </w:r>
    </w:p>
  </w:footnote>
  <w:footnote w:id="33">
    <w:p w14:paraId="5F1D8B62" w14:textId="77777777" w:rsidR="00603B9B" w:rsidRDefault="00E21D39" w:rsidP="00F4232B">
      <w:pPr>
        <w:pStyle w:val="Notedebasdepage"/>
        <w:spacing w:before="20" w:after="40"/>
        <w:ind w:left="284" w:hanging="284"/>
      </w:pPr>
      <w:r>
        <w:rPr>
          <w:rStyle w:val="Appelnotedebasdep"/>
        </w:rPr>
        <w:footnoteRef/>
      </w:r>
      <w:r>
        <w:t xml:space="preserve"> </w:t>
      </w:r>
      <w:r w:rsidR="00F91885">
        <w:tab/>
      </w:r>
      <w:r w:rsidRPr="00603B9B">
        <w:t xml:space="preserve">Nathalie </w:t>
      </w:r>
      <w:r w:rsidR="00CE1BD4" w:rsidRPr="00603B9B">
        <w:t xml:space="preserve">DES ROSIERS </w:t>
      </w:r>
      <w:r w:rsidRPr="00603B9B">
        <w:t xml:space="preserve">et Louise </w:t>
      </w:r>
      <w:r w:rsidR="00CE1BD4" w:rsidRPr="00603B9B">
        <w:t>LANGEVIN</w:t>
      </w:r>
      <w:r w:rsidRPr="00603B9B">
        <w:t>,</w:t>
      </w:r>
      <w:r w:rsidR="005E49FC" w:rsidRPr="005E49FC">
        <w:rPr>
          <w:color w:val="000000"/>
        </w:rPr>
        <w:t xml:space="preserve"> </w:t>
      </w:r>
      <w:r w:rsidR="005E49FC">
        <w:rPr>
          <w:color w:val="000000"/>
        </w:rPr>
        <w:t>avec la collaboration de M</w:t>
      </w:r>
      <w:r w:rsidR="00CE1BD4">
        <w:rPr>
          <w:color w:val="000000"/>
        </w:rPr>
        <w:t>arie</w:t>
      </w:r>
      <w:r w:rsidR="005E49FC">
        <w:rPr>
          <w:color w:val="000000"/>
        </w:rPr>
        <w:t>-P</w:t>
      </w:r>
      <w:r w:rsidR="00CE1BD4">
        <w:rPr>
          <w:color w:val="000000"/>
        </w:rPr>
        <w:t>ier</w:t>
      </w:r>
      <w:r w:rsidR="005E49FC">
        <w:rPr>
          <w:color w:val="000000"/>
        </w:rPr>
        <w:t xml:space="preserve"> </w:t>
      </w:r>
      <w:r w:rsidR="00CE1BD4">
        <w:rPr>
          <w:color w:val="000000"/>
        </w:rPr>
        <w:t>NADEAU</w:t>
      </w:r>
      <w:r w:rsidR="005E49FC">
        <w:rPr>
          <w:color w:val="000000"/>
        </w:rPr>
        <w:t>,</w:t>
      </w:r>
      <w:r w:rsidRPr="00603B9B">
        <w:t xml:space="preserve"> </w:t>
      </w:r>
      <w:r w:rsidRPr="00603B9B">
        <w:rPr>
          <w:i/>
          <w:iCs/>
        </w:rPr>
        <w:t>L’indemnisation des victimes de violence sexuelle et conjugale</w:t>
      </w:r>
      <w:r w:rsidRPr="00603B9B">
        <w:t>, 2</w:t>
      </w:r>
      <w:r w:rsidRPr="00573001">
        <w:rPr>
          <w:vertAlign w:val="superscript"/>
        </w:rPr>
        <w:t>e</w:t>
      </w:r>
      <w:r w:rsidR="00CE1BD4">
        <w:t xml:space="preserve"> </w:t>
      </w:r>
      <w:r w:rsidRPr="00603B9B">
        <w:t xml:space="preserve">éd., Cowansville, </w:t>
      </w:r>
      <w:r w:rsidR="00CE1BD4">
        <w:t xml:space="preserve">Éditions </w:t>
      </w:r>
      <w:r w:rsidRPr="00603B9B">
        <w:t>Yvon Blais, 2012, p. 369</w:t>
      </w:r>
      <w:r>
        <w:t>, citée favorablement par la Cour d’appel (</w:t>
      </w:r>
      <w:r w:rsidR="000D1332" w:rsidRPr="00573001">
        <w:rPr>
          <w:i/>
          <w:iCs/>
        </w:rPr>
        <w:t>J.J. c. Oratoire Saint-Joseph du Mont-Royal</w:t>
      </w:r>
      <w:r w:rsidR="000D1332" w:rsidRPr="000D1332">
        <w:t>, 2017 QCCA 1460</w:t>
      </w:r>
      <w:r w:rsidR="000D1332">
        <w:t xml:space="preserve">, </w:t>
      </w:r>
      <w:r>
        <w:t>par. 49</w:t>
      </w:r>
      <w:r w:rsidR="00407C61">
        <w:t>;</w:t>
      </w:r>
      <w:r w:rsidR="00AB62B2">
        <w:t xml:space="preserve"> [« </w:t>
      </w:r>
      <w:r w:rsidR="00AB62B2" w:rsidRPr="00573001">
        <w:rPr>
          <w:b/>
          <w:bCs/>
          <w:i/>
          <w:iCs/>
        </w:rPr>
        <w:t>J.J. c. Oratoire</w:t>
      </w:r>
      <w:r w:rsidR="00AB62B2">
        <w:rPr>
          <w:i/>
          <w:iCs/>
        </w:rPr>
        <w:t> </w:t>
      </w:r>
      <w:r w:rsidR="00AB62B2">
        <w:t>»]</w:t>
      </w:r>
      <w:r>
        <w:t xml:space="preserve">) et la Cour suprême dans le dossier de </w:t>
      </w:r>
      <w:r w:rsidRPr="00603B9B">
        <w:rPr>
          <w:i/>
          <w:iCs/>
        </w:rPr>
        <w:t>L’Oratoire</w:t>
      </w:r>
      <w:r w:rsidR="005E49FC">
        <w:t xml:space="preserve">, </w:t>
      </w:r>
      <w:r w:rsidR="006B6DCC">
        <w:t>(</w:t>
      </w:r>
      <w:r w:rsidR="005E49FC">
        <w:t>préc.</w:t>
      </w:r>
      <w:r w:rsidR="000D1332">
        <w:t xml:space="preserve">, note </w:t>
      </w:r>
      <w:r w:rsidR="00C51B57">
        <w:t>28</w:t>
      </w:r>
      <w:r w:rsidR="000D1332">
        <w:t>, par 69);</w:t>
      </w:r>
      <w:r w:rsidR="0095486F">
        <w:t xml:space="preserve"> </w:t>
      </w:r>
      <w:r w:rsidR="005E49FC">
        <w:t xml:space="preserve">Voir aussi : </w:t>
      </w:r>
      <w:bookmarkStart w:id="27" w:name="_Hlk186749009"/>
      <w:r w:rsidR="005E49FC" w:rsidRPr="008573E6">
        <w:rPr>
          <w:i/>
          <w:iCs/>
        </w:rPr>
        <w:t>Rumley c. Colombie-Britannique</w:t>
      </w:r>
      <w:r w:rsidR="005E49FC" w:rsidRPr="005E49FC">
        <w:t>, 2001 CSC 69</w:t>
      </w:r>
      <w:bookmarkEnd w:id="27"/>
      <w:r w:rsidR="005E49FC" w:rsidRPr="005E49FC">
        <w:t xml:space="preserve">, [2001] 3 R.C.S. 184, par. 39; </w:t>
      </w:r>
      <w:r w:rsidR="005E49FC" w:rsidRPr="008573E6">
        <w:rPr>
          <w:i/>
          <w:iCs/>
        </w:rPr>
        <w:t>Griffith</w:t>
      </w:r>
      <w:r w:rsidR="005E49FC" w:rsidRPr="005E49FC">
        <w:t xml:space="preserve"> </w:t>
      </w:r>
      <w:r w:rsidR="005E49FC" w:rsidRPr="008573E6">
        <w:rPr>
          <w:i/>
          <w:iCs/>
        </w:rPr>
        <w:t>c. Winter</w:t>
      </w:r>
      <w:r w:rsidR="005E49FC" w:rsidRPr="005E49FC">
        <w:t>, 2002 BCSC 1219, 23 C.P.C. (5th) 336, par. 38, conf. par 2003 BCCA 367, 15 B.C.L.R. (4th) 390.</w:t>
      </w:r>
    </w:p>
  </w:footnote>
  <w:footnote w:id="34">
    <w:p w14:paraId="0B79079F" w14:textId="77777777" w:rsidR="00152227" w:rsidRDefault="00E21D39" w:rsidP="00F4232B">
      <w:pPr>
        <w:pStyle w:val="Notedebasdepage"/>
        <w:spacing w:before="20" w:after="40"/>
        <w:ind w:left="284" w:hanging="284"/>
      </w:pPr>
      <w:r>
        <w:rPr>
          <w:rStyle w:val="Appelnotedebasdep"/>
        </w:rPr>
        <w:footnoteRef/>
      </w:r>
      <w:r>
        <w:t xml:space="preserve"> </w:t>
      </w:r>
      <w:r w:rsidR="00F91885">
        <w:tab/>
      </w:r>
      <w:r w:rsidRPr="001157DC">
        <w:rPr>
          <w:i/>
          <w:iCs/>
        </w:rPr>
        <w:t>L'Oratoire</w:t>
      </w:r>
      <w:r w:rsidR="00CB5156">
        <w:rPr>
          <w:i/>
          <w:iCs/>
        </w:rPr>
        <w:t xml:space="preserve">, </w:t>
      </w:r>
      <w:r w:rsidR="00CB5156">
        <w:t xml:space="preserve">préc., note </w:t>
      </w:r>
      <w:r w:rsidR="004B6D65">
        <w:t>28</w:t>
      </w:r>
      <w:r w:rsidRPr="001157DC">
        <w:t>, par. 82; voir aussi So</w:t>
      </w:r>
      <w:r w:rsidRPr="001157DC">
        <w:rPr>
          <w:i/>
          <w:iCs/>
        </w:rPr>
        <w:t>fio c. Organisme canadien de réglementation du commerce des valeurs mobilières (OCRCVM)</w:t>
      </w:r>
      <w:r w:rsidRPr="001157DC">
        <w:t>, 2015 QCCA 1820.</w:t>
      </w:r>
    </w:p>
  </w:footnote>
  <w:footnote w:id="35">
    <w:p w14:paraId="3D260A25" w14:textId="77777777" w:rsidR="00DE5BEC" w:rsidRDefault="00E21D39" w:rsidP="00F4232B">
      <w:pPr>
        <w:pStyle w:val="Notedebasdepage"/>
        <w:spacing w:before="20" w:after="40"/>
        <w:ind w:left="284" w:hanging="284"/>
      </w:pPr>
      <w:r>
        <w:rPr>
          <w:rStyle w:val="Appelnotedebasdep"/>
        </w:rPr>
        <w:footnoteRef/>
      </w:r>
      <w:r>
        <w:t xml:space="preserve"> </w:t>
      </w:r>
      <w:r w:rsidR="00F91885">
        <w:tab/>
      </w:r>
      <w:r w:rsidR="001833D3" w:rsidRPr="001833D3">
        <w:rPr>
          <w:i/>
          <w:iCs/>
        </w:rPr>
        <w:t xml:space="preserve">Vivendi Canada Inc. c. Dell’Aniello, </w:t>
      </w:r>
      <w:r w:rsidR="001833D3" w:rsidRPr="001833D3">
        <w:t>2014 CSC 1, [2014] 1 R.C.S. 3, par. 6</w:t>
      </w:r>
      <w:r w:rsidR="001833D3">
        <w:t>1</w:t>
      </w:r>
      <w:r w:rsidR="001833D3" w:rsidRPr="001833D3">
        <w:t xml:space="preserve">; voir aussi </w:t>
      </w:r>
      <w:r w:rsidR="001833D3" w:rsidRPr="001833D3">
        <w:rPr>
          <w:i/>
          <w:iCs/>
        </w:rPr>
        <w:t xml:space="preserve">Compagnie General Motors du Canada c. Décary-Gilardeau, </w:t>
      </w:r>
      <w:r w:rsidR="001833D3" w:rsidRPr="001833D3">
        <w:t>2024 QCCA 471, par. 8</w:t>
      </w:r>
      <w:r w:rsidR="001833D3">
        <w:t>;</w:t>
      </w:r>
      <w:r w:rsidR="00D144FC">
        <w:t xml:space="preserve"> </w:t>
      </w:r>
      <w:r w:rsidR="00D144FC" w:rsidRPr="00D144FC">
        <w:rPr>
          <w:i/>
          <w:iCs/>
        </w:rPr>
        <w:t>L’Oratoire</w:t>
      </w:r>
      <w:r w:rsidR="00D144FC">
        <w:t>, préc.,</w:t>
      </w:r>
      <w:r w:rsidR="00CB5156">
        <w:t xml:space="preserve"> note </w:t>
      </w:r>
      <w:r w:rsidR="00C51B57">
        <w:t>28</w:t>
      </w:r>
      <w:r w:rsidR="00CB5156">
        <w:t>,</w:t>
      </w:r>
      <w:r w:rsidR="00D144FC">
        <w:t xml:space="preserve"> par. 56 à 58.</w:t>
      </w:r>
    </w:p>
  </w:footnote>
  <w:footnote w:id="36">
    <w:p w14:paraId="77600DCC" w14:textId="77777777" w:rsidR="001833D3" w:rsidRDefault="00E21D39" w:rsidP="00F4232B">
      <w:pPr>
        <w:pStyle w:val="Notedebasdepage"/>
        <w:spacing w:before="20" w:after="40"/>
        <w:ind w:left="284" w:hanging="284"/>
      </w:pPr>
      <w:r>
        <w:rPr>
          <w:rStyle w:val="Appelnotedebasdep"/>
        </w:rPr>
        <w:footnoteRef/>
      </w:r>
      <w:r>
        <w:t xml:space="preserve"> </w:t>
      </w:r>
      <w:r w:rsidR="00F91885">
        <w:tab/>
      </w:r>
      <w:r w:rsidRPr="001833D3">
        <w:rPr>
          <w:i/>
          <w:iCs/>
        </w:rPr>
        <w:t>Benjamin c. Crédit VW Canada inc</w:t>
      </w:r>
      <w:r w:rsidRPr="001833D3">
        <w:t>., 2022 QCCA 1383</w:t>
      </w:r>
      <w:r>
        <w:t>, par. 27.</w:t>
      </w:r>
    </w:p>
  </w:footnote>
  <w:footnote w:id="37">
    <w:p w14:paraId="3AFE3B94" w14:textId="77777777" w:rsidR="00CB1B4A" w:rsidRDefault="00E21D39" w:rsidP="00F4232B">
      <w:pPr>
        <w:pStyle w:val="Notedebasdepage"/>
        <w:spacing w:before="20" w:after="40"/>
        <w:ind w:left="284" w:hanging="284"/>
      </w:pPr>
      <w:r>
        <w:rPr>
          <w:rStyle w:val="Appelnotedebasdep"/>
        </w:rPr>
        <w:footnoteRef/>
      </w:r>
      <w:r>
        <w:t xml:space="preserve"> </w:t>
      </w:r>
      <w:r w:rsidR="00F91885">
        <w:tab/>
      </w:r>
      <w:r w:rsidRPr="00E97BD5">
        <w:rPr>
          <w:i/>
          <w:iCs/>
        </w:rPr>
        <w:t>Desjardins Cabinet de services financiers inc. c. Asselin</w:t>
      </w:r>
      <w:r w:rsidRPr="00E97BD5">
        <w:t>, 2020 CSC 30, par. 27,</w:t>
      </w:r>
      <w:r w:rsidR="00E11CE9">
        <w:t xml:space="preserve"> </w:t>
      </w:r>
      <w:r w:rsidR="00E52D03">
        <w:t>[</w:t>
      </w:r>
      <w:r w:rsidR="001927C2">
        <w:t>« Desjardins »]</w:t>
      </w:r>
      <w:r w:rsidRPr="00E97BD5">
        <w:t xml:space="preserve"> citant </w:t>
      </w:r>
      <w:r w:rsidRPr="00E97BD5">
        <w:rPr>
          <w:i/>
          <w:iCs/>
        </w:rPr>
        <w:t>L’Oratoire</w:t>
      </w:r>
      <w:r w:rsidR="00785B0E">
        <w:rPr>
          <w:i/>
          <w:iCs/>
        </w:rPr>
        <w:t xml:space="preserve">, préc., note </w:t>
      </w:r>
      <w:r w:rsidR="004B6D65">
        <w:rPr>
          <w:i/>
          <w:iCs/>
        </w:rPr>
        <w:t>28</w:t>
      </w:r>
      <w:r w:rsidRPr="00E97BD5">
        <w:t>, par. 56.</w:t>
      </w:r>
    </w:p>
  </w:footnote>
  <w:footnote w:id="38">
    <w:p w14:paraId="464068F8" w14:textId="77777777" w:rsidR="001833D3" w:rsidRDefault="00E21D39" w:rsidP="00F4232B">
      <w:pPr>
        <w:pStyle w:val="Notedebasdepage"/>
        <w:spacing w:before="20" w:after="40"/>
        <w:ind w:left="284" w:hanging="284"/>
      </w:pPr>
      <w:r>
        <w:rPr>
          <w:rStyle w:val="Appelnotedebasdep"/>
        </w:rPr>
        <w:footnoteRef/>
      </w:r>
      <w:r>
        <w:t xml:space="preserve"> </w:t>
      </w:r>
      <w:r w:rsidR="00F91885">
        <w:tab/>
      </w:r>
      <w:r w:rsidRPr="001833D3">
        <w:rPr>
          <w:i/>
          <w:iCs/>
        </w:rPr>
        <w:t>Allard c. Procureur général du Québec</w:t>
      </w:r>
      <w:r w:rsidRPr="001833D3">
        <w:t>, 2022 QCCA 686, par. 28.</w:t>
      </w:r>
    </w:p>
  </w:footnote>
  <w:footnote w:id="39">
    <w:p w14:paraId="3007C185" w14:textId="77777777" w:rsidR="001833D3" w:rsidRDefault="00E21D39" w:rsidP="00F4232B">
      <w:pPr>
        <w:pStyle w:val="Notedebasdepage"/>
        <w:spacing w:before="20" w:after="40"/>
        <w:ind w:left="284" w:hanging="284"/>
      </w:pPr>
      <w:r>
        <w:rPr>
          <w:rStyle w:val="Appelnotedebasdep"/>
        </w:rPr>
        <w:footnoteRef/>
      </w:r>
      <w:r>
        <w:t xml:space="preserve"> </w:t>
      </w:r>
      <w:r w:rsidR="00F91885">
        <w:tab/>
      </w:r>
      <w:r w:rsidR="008F2B47" w:rsidRPr="00573001">
        <w:rPr>
          <w:i/>
          <w:iCs/>
        </w:rPr>
        <w:t>L’</w:t>
      </w:r>
      <w:r w:rsidRPr="008F2B47">
        <w:rPr>
          <w:i/>
          <w:iCs/>
        </w:rPr>
        <w:t>Oratoire</w:t>
      </w:r>
      <w:r w:rsidRPr="001833D3">
        <w:t xml:space="preserve">, </w:t>
      </w:r>
      <w:r>
        <w:t xml:space="preserve">préc., </w:t>
      </w:r>
      <w:r w:rsidR="00785B0E">
        <w:t xml:space="preserve">note </w:t>
      </w:r>
      <w:r w:rsidR="004B6D65">
        <w:t>28</w:t>
      </w:r>
      <w:r w:rsidR="00785B0E">
        <w:t xml:space="preserve">, </w:t>
      </w:r>
      <w:r w:rsidRPr="001833D3">
        <w:t xml:space="preserve">par. 24 et </w:t>
      </w:r>
      <w:r w:rsidR="001B34C1">
        <w:rPr>
          <w:i/>
          <w:iCs/>
        </w:rPr>
        <w:t>Desjardins</w:t>
      </w:r>
      <w:r w:rsidRPr="001833D3">
        <w:t xml:space="preserve">, </w:t>
      </w:r>
      <w:r>
        <w:t xml:space="preserve">préc., </w:t>
      </w:r>
      <w:r w:rsidR="008F2B47">
        <w:t xml:space="preserve">note 35, </w:t>
      </w:r>
      <w:r w:rsidRPr="001833D3">
        <w:t>par. 17.</w:t>
      </w:r>
    </w:p>
  </w:footnote>
  <w:footnote w:id="40">
    <w:p w14:paraId="3497D379" w14:textId="77777777" w:rsidR="001833D3" w:rsidRDefault="00E21D39" w:rsidP="00F4232B">
      <w:pPr>
        <w:pStyle w:val="Notedebasdepage"/>
        <w:spacing w:before="20" w:after="40"/>
        <w:ind w:left="284" w:hanging="284"/>
      </w:pPr>
      <w:r>
        <w:rPr>
          <w:rStyle w:val="Appelnotedebasdep"/>
        </w:rPr>
        <w:footnoteRef/>
      </w:r>
      <w:r>
        <w:t xml:space="preserve"> </w:t>
      </w:r>
      <w:r w:rsidR="00F91885">
        <w:tab/>
      </w:r>
      <w:r w:rsidR="008F2B47">
        <w:rPr>
          <w:i/>
          <w:iCs/>
        </w:rPr>
        <w:t>L’</w:t>
      </w:r>
      <w:r w:rsidRPr="001833D3">
        <w:rPr>
          <w:i/>
          <w:iCs/>
        </w:rPr>
        <w:t>Oratoire</w:t>
      </w:r>
      <w:r>
        <w:t xml:space="preserve">, </w:t>
      </w:r>
      <w:r w:rsidRPr="001833D3">
        <w:rPr>
          <w:i/>
          <w:iCs/>
        </w:rPr>
        <w:t>idem</w:t>
      </w:r>
      <w:r>
        <w:t>, par. 22.</w:t>
      </w:r>
    </w:p>
  </w:footnote>
  <w:footnote w:id="41">
    <w:p w14:paraId="3F989FB9" w14:textId="77777777" w:rsidR="00CB1B4A" w:rsidRDefault="00E21D39" w:rsidP="00573001">
      <w:pPr>
        <w:pStyle w:val="Notedebasdepage"/>
        <w:spacing w:before="20" w:after="40"/>
        <w:ind w:left="284" w:hanging="284"/>
      </w:pPr>
      <w:r>
        <w:rPr>
          <w:rStyle w:val="Appelnotedebasdep"/>
        </w:rPr>
        <w:footnoteRef/>
      </w:r>
      <w:r>
        <w:t xml:space="preserve"> </w:t>
      </w:r>
      <w:r w:rsidR="00F91885">
        <w:tab/>
      </w:r>
      <w:r w:rsidR="00B70712" w:rsidRPr="00573001">
        <w:rPr>
          <w:i/>
          <w:iCs/>
        </w:rPr>
        <w:t>Idem</w:t>
      </w:r>
      <w:r w:rsidRPr="0017409C">
        <w:t>, par. 59-60</w:t>
      </w:r>
      <w:r>
        <w:t>;</w:t>
      </w:r>
      <w:r w:rsidRPr="0017409C">
        <w:t xml:space="preserve"> </w:t>
      </w:r>
      <w:r w:rsidRPr="0017409C">
        <w:rPr>
          <w:i/>
          <w:iCs/>
        </w:rPr>
        <w:t>Allard c. Procureur général du Québec</w:t>
      </w:r>
      <w:r w:rsidRPr="0017409C">
        <w:t>, 2022 QCCA 686, par. 28.</w:t>
      </w:r>
    </w:p>
  </w:footnote>
  <w:footnote w:id="42">
    <w:p w14:paraId="5D346315" w14:textId="77777777" w:rsidR="009B3743" w:rsidRDefault="00E21D39" w:rsidP="00F4232B">
      <w:pPr>
        <w:pStyle w:val="Notedebasdepage"/>
        <w:spacing w:before="20" w:after="40"/>
      </w:pPr>
      <w:r>
        <w:rPr>
          <w:rStyle w:val="Appelnotedebasdep"/>
        </w:rPr>
        <w:footnoteRef/>
      </w:r>
      <w:r>
        <w:t xml:space="preserve"> </w:t>
      </w:r>
      <w:r w:rsidR="00F91885">
        <w:tab/>
      </w:r>
      <w:r w:rsidRPr="00943300">
        <w:rPr>
          <w:i/>
          <w:iCs/>
        </w:rPr>
        <w:t>Desjardins</w:t>
      </w:r>
      <w:r w:rsidR="00F05750">
        <w:rPr>
          <w:i/>
          <w:iCs/>
        </w:rPr>
        <w:t xml:space="preserve">, </w:t>
      </w:r>
      <w:r w:rsidR="00ED2DD5" w:rsidRPr="00573001">
        <w:t xml:space="preserve">préc., note </w:t>
      </w:r>
      <w:r w:rsidR="00C057A0" w:rsidRPr="00573001">
        <w:t>3</w:t>
      </w:r>
      <w:r w:rsidR="00C057A0">
        <w:t>6</w:t>
      </w:r>
      <w:r w:rsidRPr="00943300">
        <w:t xml:space="preserve">, par. 21, citant </w:t>
      </w:r>
      <w:r w:rsidRPr="00943300">
        <w:rPr>
          <w:i/>
          <w:iCs/>
        </w:rPr>
        <w:t>Transport TFI 6 c. Espar inc.</w:t>
      </w:r>
      <w:r w:rsidRPr="00943300">
        <w:t xml:space="preserve">, 2017 QCCS 6311, par. 23. Voir aussi </w:t>
      </w:r>
      <w:r w:rsidRPr="00943300">
        <w:rPr>
          <w:i/>
          <w:iCs/>
        </w:rPr>
        <w:t>Charbonneau c. Location Claireview</w:t>
      </w:r>
      <w:r w:rsidRPr="00943300">
        <w:t>, 2022 QCCA 659, par. 12.</w:t>
      </w:r>
    </w:p>
  </w:footnote>
  <w:footnote w:id="43">
    <w:p w14:paraId="3DCA0587" w14:textId="77777777" w:rsidR="00D144FC" w:rsidRDefault="00E21D39" w:rsidP="00F4232B">
      <w:pPr>
        <w:pStyle w:val="Notedebasdepage"/>
        <w:spacing w:before="20" w:after="40"/>
      </w:pPr>
      <w:r>
        <w:rPr>
          <w:rStyle w:val="Appelnotedebasdep"/>
        </w:rPr>
        <w:footnoteRef/>
      </w:r>
      <w:r>
        <w:t xml:space="preserve"> </w:t>
      </w:r>
      <w:r w:rsidR="00F91885">
        <w:tab/>
      </w:r>
      <w:r w:rsidRPr="00D144FC">
        <w:rPr>
          <w:i/>
          <w:iCs/>
        </w:rPr>
        <w:t>L’Oratoire</w:t>
      </w:r>
      <w:r>
        <w:t xml:space="preserve">, préc., </w:t>
      </w:r>
      <w:r w:rsidR="00CB737E">
        <w:t xml:space="preserve">note </w:t>
      </w:r>
      <w:r w:rsidR="004B6D65">
        <w:t>28</w:t>
      </w:r>
      <w:r w:rsidR="00CB737E">
        <w:t xml:space="preserve">, </w:t>
      </w:r>
      <w:r>
        <w:t>par. 59-60.</w:t>
      </w:r>
    </w:p>
  </w:footnote>
  <w:footnote w:id="44">
    <w:p w14:paraId="0A42F146" w14:textId="77777777" w:rsidR="00B01F7D" w:rsidRDefault="00E21D39" w:rsidP="00F4232B">
      <w:pPr>
        <w:pStyle w:val="Notedebasdepage"/>
        <w:spacing w:before="20" w:after="40"/>
      </w:pPr>
      <w:r>
        <w:rPr>
          <w:rStyle w:val="Appelnotedebasdep"/>
        </w:rPr>
        <w:footnoteRef/>
      </w:r>
      <w:r>
        <w:t xml:space="preserve"> </w:t>
      </w:r>
      <w:r w:rsidR="00F91885">
        <w:tab/>
      </w:r>
      <w:r w:rsidRPr="002A6076">
        <w:rPr>
          <w:i/>
          <w:iCs/>
        </w:rPr>
        <w:t>Communauté des Soeurs de Charité de la Providence c. Maison des femmes sourdes de Montréal</w:t>
      </w:r>
      <w:r w:rsidRPr="002A6076">
        <w:t>, 2024 QCCA 1306</w:t>
      </w:r>
      <w:r>
        <w:t>, par. 6, citant</w:t>
      </w:r>
      <w:r w:rsidRPr="002A6076">
        <w:t xml:space="preserve"> </w:t>
      </w:r>
      <w:r w:rsidRPr="002A6076">
        <w:rPr>
          <w:i/>
          <w:iCs/>
        </w:rPr>
        <w:t>L’Oratoire Saint</w:t>
      </w:r>
      <w:r w:rsidRPr="002A6076">
        <w:rPr>
          <w:rFonts w:ascii="Cambria Math" w:hAnsi="Cambria Math" w:cs="Cambria Math"/>
          <w:i/>
          <w:iCs/>
        </w:rPr>
        <w:t>‑</w:t>
      </w:r>
      <w:r w:rsidRPr="002A6076">
        <w:rPr>
          <w:i/>
          <w:iCs/>
        </w:rPr>
        <w:t>Joseph du Mont</w:t>
      </w:r>
      <w:r w:rsidRPr="002A6076">
        <w:rPr>
          <w:rFonts w:ascii="Cambria Math" w:hAnsi="Cambria Math" w:cs="Cambria Math"/>
          <w:i/>
          <w:iCs/>
        </w:rPr>
        <w:t>‑</w:t>
      </w:r>
      <w:r w:rsidRPr="002A6076">
        <w:rPr>
          <w:i/>
          <w:iCs/>
        </w:rPr>
        <w:t>Royal c. J.J</w:t>
      </w:r>
      <w:r w:rsidRPr="002A6076">
        <w:t>., 2019 CSC 35, [2019] 2 R.C.S. 831, par. 64.</w:t>
      </w:r>
    </w:p>
  </w:footnote>
  <w:footnote w:id="45">
    <w:p w14:paraId="452ECD1E" w14:textId="77777777" w:rsidR="009B3743" w:rsidRDefault="00E21D39" w:rsidP="00F4232B">
      <w:pPr>
        <w:pStyle w:val="Notedebasdepage"/>
        <w:spacing w:before="20" w:after="40"/>
      </w:pPr>
      <w:r>
        <w:rPr>
          <w:rStyle w:val="Appelnotedebasdep"/>
        </w:rPr>
        <w:footnoteRef/>
      </w:r>
      <w:r w:rsidR="00F91885">
        <w:tab/>
      </w:r>
      <w:r>
        <w:t xml:space="preserve"> </w:t>
      </w:r>
      <w:r w:rsidRPr="009B3743">
        <w:rPr>
          <w:i/>
          <w:iCs/>
        </w:rPr>
        <w:t>Homsy c. Google</w:t>
      </w:r>
      <w:r w:rsidRPr="009B3743">
        <w:t>, 2023 QCCA 1220, par. 17.</w:t>
      </w:r>
    </w:p>
  </w:footnote>
  <w:footnote w:id="46">
    <w:p w14:paraId="2F7FC4B4" w14:textId="77777777" w:rsidR="00076CD4" w:rsidRDefault="00E21D39" w:rsidP="00F4232B">
      <w:pPr>
        <w:pStyle w:val="Notedebasdepage"/>
        <w:spacing w:before="20" w:after="40"/>
      </w:pPr>
      <w:r>
        <w:rPr>
          <w:rStyle w:val="Appelnotedebasdep"/>
        </w:rPr>
        <w:footnoteRef/>
      </w:r>
      <w:r>
        <w:t xml:space="preserve"> </w:t>
      </w:r>
      <w:r w:rsidR="00F91885">
        <w:tab/>
      </w:r>
      <w:r w:rsidRPr="00573001">
        <w:rPr>
          <w:i/>
          <w:iCs/>
        </w:rPr>
        <w:t>Benjamin c. Crédit VW Canada inc</w:t>
      </w:r>
      <w:r w:rsidRPr="0017409C">
        <w:t>., 2022 QCCA 1383</w:t>
      </w:r>
      <w:r>
        <w:t>.</w:t>
      </w:r>
    </w:p>
  </w:footnote>
  <w:footnote w:id="47">
    <w:p w14:paraId="53A9E7D5" w14:textId="77777777" w:rsidR="00A93925" w:rsidRDefault="00E21D39" w:rsidP="00F4232B">
      <w:pPr>
        <w:pStyle w:val="Notedebasdepage"/>
        <w:spacing w:before="20" w:after="40"/>
      </w:pPr>
      <w:r>
        <w:rPr>
          <w:rStyle w:val="Appelnotedebasdep"/>
        </w:rPr>
        <w:footnoteRef/>
      </w:r>
      <w:r>
        <w:t xml:space="preserve"> </w:t>
      </w:r>
      <w:r w:rsidR="00F91885">
        <w:tab/>
      </w:r>
      <w:r w:rsidR="003803F0" w:rsidRPr="003803F0">
        <w:t>1993 CanLII 3881 (QC CA)</w:t>
      </w:r>
      <w:r w:rsidR="003803F0">
        <w:t xml:space="preserve">, </w:t>
      </w:r>
      <w:r w:rsidRPr="00A93925">
        <w:t>J.E. 93-1126 (C.A.) (requête pour autorisation de pourvoi à la Cour suprême rejetée, 23702) aux pages 2 et 3.</w:t>
      </w:r>
    </w:p>
  </w:footnote>
  <w:footnote w:id="48">
    <w:p w14:paraId="382FCA4B" w14:textId="77777777" w:rsidR="00494BAB" w:rsidRDefault="00E21D39" w:rsidP="00F4232B">
      <w:pPr>
        <w:pStyle w:val="Notedebasdepage"/>
        <w:spacing w:before="20" w:after="40"/>
      </w:pPr>
      <w:r>
        <w:rPr>
          <w:rStyle w:val="Appelnotedebasdep"/>
        </w:rPr>
        <w:footnoteRef/>
      </w:r>
      <w:r>
        <w:t xml:space="preserve"> </w:t>
      </w:r>
      <w:r>
        <w:tab/>
      </w:r>
      <w:r w:rsidRPr="00E40925">
        <w:rPr>
          <w:i/>
          <w:iCs/>
        </w:rPr>
        <w:t>S.A. c. Centre intégré universitaire de santé et services sociaux du Centre-Sud-de-l'Île-de-Montréal (Centre jeunesse A)</w:t>
      </w:r>
      <w:r w:rsidRPr="00E40925">
        <w:t>, 2024 QCCS 4244</w:t>
      </w:r>
      <w:r>
        <w:t>, par. 13. Dans ce dossier, l</w:t>
      </w:r>
      <w:r w:rsidRPr="00E40925">
        <w:t>e défendeur est poursuivi pour les fautes commises par la DPJ et la victime est décédée. L’action des successibles et des proches de la victime a été intentée plus de trois ans après le décès de celle-ci. Le juge Luc Morin rejette le moyen préliminaire du défendeur fondé sur la déchéance du droit d’action</w:t>
      </w:r>
      <w:r>
        <w:t xml:space="preserve">, concluant </w:t>
      </w:r>
      <w:r w:rsidRPr="00E40925">
        <w:t>que le recours à titre de successible est visé par le premier alinéa de cette disposition et qu’il est donc imprescriptible, tandis que le recours à titre personnel des victimes par ricochet est assujetti au régime général de la prescription extinctive de l’art. 2925 C.c.Q</w:t>
      </w:r>
      <w:r>
        <w:t xml:space="preserve">. Voir aussi </w:t>
      </w:r>
      <w:r w:rsidRPr="00E40925">
        <w:rPr>
          <w:i/>
          <w:iCs/>
        </w:rPr>
        <w:t>Centre intégré universitaire de santé et de services sociaux de la Capitale-Nationale c. E.A</w:t>
      </w:r>
      <w:r w:rsidRPr="00E40925">
        <w:t>., 2024 QCCA 1580</w:t>
      </w:r>
      <w:r>
        <w:t>.</w:t>
      </w:r>
    </w:p>
  </w:footnote>
  <w:footnote w:id="49">
    <w:p w14:paraId="1C707903" w14:textId="77777777" w:rsidR="00E40925" w:rsidRDefault="00E21D39" w:rsidP="00F4232B">
      <w:pPr>
        <w:pStyle w:val="Notedebasdepage"/>
        <w:spacing w:before="20" w:after="40"/>
      </w:pPr>
      <w:r>
        <w:rPr>
          <w:rStyle w:val="Appelnotedebasdep"/>
        </w:rPr>
        <w:footnoteRef/>
      </w:r>
      <w:r>
        <w:t xml:space="preserve"> </w:t>
      </w:r>
      <w:r w:rsidR="00F91885">
        <w:tab/>
      </w:r>
      <w:r w:rsidRPr="00E40925">
        <w:rPr>
          <w:i/>
          <w:iCs/>
        </w:rPr>
        <w:t>L’Oratoire</w:t>
      </w:r>
      <w:r w:rsidR="00CB737E">
        <w:t xml:space="preserve">, préc., note </w:t>
      </w:r>
      <w:r w:rsidR="008133D6">
        <w:t>28</w:t>
      </w:r>
      <w:r w:rsidRPr="00E40925">
        <w:t>, par. 119</w:t>
      </w:r>
      <w:r>
        <w:t xml:space="preserve">, cité dans </w:t>
      </w:r>
      <w:r w:rsidRPr="00E40925">
        <w:rPr>
          <w:i/>
          <w:iCs/>
        </w:rPr>
        <w:t xml:space="preserve">Centre intégré universitaire de santé et de services sociaux de la Capitale-Nationale c. E.A., </w:t>
      </w:r>
      <w:r w:rsidRPr="00E40925">
        <w:t>2024 QCCA 1580</w:t>
      </w:r>
      <w:r>
        <w:t>, par. 15.</w:t>
      </w:r>
    </w:p>
  </w:footnote>
  <w:footnote w:id="50">
    <w:p w14:paraId="21DF32CC" w14:textId="77777777" w:rsidR="00CF1997" w:rsidRDefault="00E21D39" w:rsidP="00F4232B">
      <w:pPr>
        <w:pStyle w:val="Notedebasdepage"/>
        <w:spacing w:before="20" w:after="40"/>
      </w:pPr>
      <w:r>
        <w:rPr>
          <w:rStyle w:val="Appelnotedebasdep"/>
        </w:rPr>
        <w:footnoteRef/>
      </w:r>
      <w:r>
        <w:t xml:space="preserve"> </w:t>
      </w:r>
      <w:r w:rsidR="00F91885">
        <w:tab/>
      </w:r>
      <w:r w:rsidRPr="00CF1997">
        <w:rPr>
          <w:i/>
          <w:iCs/>
        </w:rPr>
        <w:t>Loi modifiant le Code civil pour notamment rendre imprescriptibles les actions civiles en matière d'agression à caractère sexuel, de violence subie pendant l'enfance et de violence conjugale</w:t>
      </w:r>
      <w:r>
        <w:t>,</w:t>
      </w:r>
      <w:r w:rsidRPr="00CF1997">
        <w:t xml:space="preserve"> L.Q. 2020, c. 13, article 4.</w:t>
      </w:r>
    </w:p>
  </w:footnote>
  <w:footnote w:id="51">
    <w:p w14:paraId="0AAC7343" w14:textId="77777777" w:rsidR="00D85A1A" w:rsidRDefault="00E21D39" w:rsidP="00F4232B">
      <w:pPr>
        <w:pStyle w:val="Notedebasdepage"/>
        <w:spacing w:before="20" w:after="40"/>
      </w:pPr>
      <w:r>
        <w:rPr>
          <w:rStyle w:val="Appelnotedebasdep"/>
        </w:rPr>
        <w:footnoteRef/>
      </w:r>
      <w:r>
        <w:t xml:space="preserve"> </w:t>
      </w:r>
      <w:r w:rsidR="00F91885">
        <w:tab/>
      </w:r>
      <w:r w:rsidRPr="00D85A1A">
        <w:t>Québec, Assemblée nationale, « Projet de loi no 55 » Journal des débats, 42e législature, 1re session, Vol. 45, Fascicule n°116, 5 juin 2020, pages 8145-8151, entre 11 h 30 et 11 h 40</w:t>
      </w:r>
      <w:r>
        <w:t xml:space="preserve">, tel que cité dans </w:t>
      </w:r>
      <w:r w:rsidRPr="00D85A1A">
        <w:rPr>
          <w:i/>
          <w:iCs/>
        </w:rPr>
        <w:t>Watch Tower Bible</w:t>
      </w:r>
      <w:r w:rsidR="00A26EDD" w:rsidRPr="00A26EDD">
        <w:t xml:space="preserve"> </w:t>
      </w:r>
      <w:r w:rsidR="00A26EDD" w:rsidRPr="00573001">
        <w:rPr>
          <w:i/>
          <w:iCs/>
        </w:rPr>
        <w:t>and Tract Society of Pennsylvania c. A</w:t>
      </w:r>
      <w:r w:rsidR="00A26EDD" w:rsidRPr="00B7136B">
        <w:t>, 2020 QCCA 1701</w:t>
      </w:r>
      <w:r>
        <w:t>, par. 29-30</w:t>
      </w:r>
      <w:r w:rsidR="003A129B">
        <w:t xml:space="preserve"> </w:t>
      </w:r>
      <w:r w:rsidR="003A129B">
        <w:rPr>
          <w:rFonts w:cs="Arial"/>
        </w:rPr>
        <w:t>[« Watch Tower Bible »]</w:t>
      </w:r>
      <w:r>
        <w:t>.</w:t>
      </w:r>
    </w:p>
  </w:footnote>
  <w:footnote w:id="52">
    <w:p w14:paraId="14CE78D4" w14:textId="77777777" w:rsidR="007135A7" w:rsidRDefault="00E21D39" w:rsidP="00F4232B">
      <w:pPr>
        <w:pStyle w:val="Notedebasdepage"/>
        <w:spacing w:before="20" w:after="40"/>
      </w:pPr>
      <w:r>
        <w:rPr>
          <w:rStyle w:val="Appelnotedebasdep"/>
        </w:rPr>
        <w:footnoteRef/>
      </w:r>
      <w:r>
        <w:t xml:space="preserve"> </w:t>
      </w:r>
      <w:r w:rsidR="00F91885">
        <w:tab/>
      </w:r>
      <w:r w:rsidRPr="007135A7">
        <w:rPr>
          <w:i/>
          <w:iCs/>
        </w:rPr>
        <w:t>Loi portant sur la réforme du droit de la famille en matière de filiation et modifiant le Code civil en matière de droits de la personnalité et d’état civil</w:t>
      </w:r>
      <w:r>
        <w:t>, LQ 2022, c. 22 (Projet de loi 2, sanctionné le 2022-06-08).</w:t>
      </w:r>
    </w:p>
  </w:footnote>
  <w:footnote w:id="53">
    <w:p w14:paraId="4FFE2C4A" w14:textId="77777777" w:rsidR="00E40925" w:rsidRDefault="00E21D39" w:rsidP="00F4232B">
      <w:pPr>
        <w:pStyle w:val="Notedebasdepage"/>
        <w:spacing w:before="20" w:after="40"/>
      </w:pPr>
      <w:r>
        <w:rPr>
          <w:rStyle w:val="Appelnotedebasdep"/>
        </w:rPr>
        <w:footnoteRef/>
      </w:r>
      <w:r>
        <w:t xml:space="preserve"> </w:t>
      </w:r>
      <w:r w:rsidR="00F91885">
        <w:tab/>
      </w:r>
      <w:r w:rsidRPr="00C51075">
        <w:rPr>
          <w:i/>
          <w:iCs/>
        </w:rPr>
        <w:t>M.L. c. P.Le</w:t>
      </w:r>
      <w:r w:rsidRPr="00C51075">
        <w:t>., 2024 QCCS 2885</w:t>
      </w:r>
      <w:r>
        <w:t>, par. 154.</w:t>
      </w:r>
    </w:p>
  </w:footnote>
  <w:footnote w:id="54">
    <w:p w14:paraId="64F5F377" w14:textId="77777777" w:rsidR="00A11D10" w:rsidRDefault="00E21D39" w:rsidP="00F4232B">
      <w:pPr>
        <w:pStyle w:val="Notedebasdepage"/>
        <w:spacing w:before="20" w:after="40"/>
      </w:pPr>
      <w:r>
        <w:rPr>
          <w:rStyle w:val="Appelnotedebasdep"/>
        </w:rPr>
        <w:footnoteRef/>
      </w:r>
      <w:r>
        <w:t xml:space="preserve"> </w:t>
      </w:r>
      <w:r w:rsidR="00F91885">
        <w:tab/>
      </w:r>
      <w:r>
        <w:t xml:space="preserve">Voir les paragraphes 42.1 et 42.2 de la </w:t>
      </w:r>
      <w:r w:rsidR="004E43E2">
        <w:t xml:space="preserve">Sixième </w:t>
      </w:r>
      <w:r>
        <w:t>Demande.</w:t>
      </w:r>
    </w:p>
  </w:footnote>
  <w:footnote w:id="55">
    <w:p w14:paraId="4A89FB3D" w14:textId="77777777" w:rsidR="00A11D10" w:rsidRDefault="00E21D39" w:rsidP="00F4232B">
      <w:pPr>
        <w:pStyle w:val="Notedebasdepage"/>
        <w:spacing w:before="20" w:after="40"/>
      </w:pPr>
      <w:r>
        <w:rPr>
          <w:rStyle w:val="Appelnotedebasdep"/>
        </w:rPr>
        <w:footnoteRef/>
      </w:r>
      <w:r>
        <w:t xml:space="preserve"> </w:t>
      </w:r>
      <w:r w:rsidR="00F91885">
        <w:tab/>
      </w:r>
      <w:r>
        <w:t xml:space="preserve">Voir les paragraphes 27, 33, 34 et 35 de la </w:t>
      </w:r>
      <w:r w:rsidR="004E43E2">
        <w:t xml:space="preserve">Sixième </w:t>
      </w:r>
      <w:r>
        <w:t>Demande.</w:t>
      </w:r>
    </w:p>
  </w:footnote>
  <w:footnote w:id="56">
    <w:p w14:paraId="2A78394A" w14:textId="77777777" w:rsidR="008A73ED" w:rsidRDefault="00E21D39" w:rsidP="00F4232B">
      <w:pPr>
        <w:pStyle w:val="Notedebasdepage"/>
        <w:spacing w:before="20" w:after="40"/>
      </w:pPr>
      <w:r>
        <w:rPr>
          <w:rStyle w:val="Appelnotedebasdep"/>
        </w:rPr>
        <w:footnoteRef/>
      </w:r>
      <w:r>
        <w:t xml:space="preserve"> </w:t>
      </w:r>
      <w:r w:rsidR="00F91885">
        <w:tab/>
      </w:r>
      <w:r>
        <w:t>« 1457. Toute personne a le devoir de respecter les règles de conduite qui, suivant les circonstances, les usages ou la loi, s’imposent à elle, de manière à ne pas causer de préjudice à autrui.</w:t>
      </w:r>
    </w:p>
    <w:p w14:paraId="613A9576" w14:textId="77777777" w:rsidR="008A73ED" w:rsidRDefault="00E21D39" w:rsidP="00F4232B">
      <w:pPr>
        <w:pStyle w:val="Notedebasdepage"/>
        <w:spacing w:before="20" w:after="40"/>
      </w:pPr>
      <w:r>
        <w:tab/>
        <w:t>Elle est, lorsqu’elle est douée de raison et qu’elle manque à ce devoir, responsable du préjudice qu’elle cause par cette faute à autrui et tenue de réparer ce préjudice, qu’il soit corporel, moral ou matériel.</w:t>
      </w:r>
    </w:p>
    <w:p w14:paraId="1F84B7F2" w14:textId="77777777" w:rsidR="008A73ED" w:rsidRDefault="00E21D39" w:rsidP="00F4232B">
      <w:pPr>
        <w:pStyle w:val="Notedebasdepage"/>
        <w:spacing w:before="20" w:after="40"/>
      </w:pPr>
      <w:r>
        <w:tab/>
        <w:t>Elle est aussi tenue, en certains cas, de réparer le préjudice causé à autrui par le fait ou la faute d’une autre personne ou par le fait des biens qu’elle a sous sa garde.</w:t>
      </w:r>
    </w:p>
    <w:p w14:paraId="41917DDB" w14:textId="77777777" w:rsidR="008A73ED" w:rsidRDefault="00E21D39" w:rsidP="00F4232B">
      <w:pPr>
        <w:pStyle w:val="Notedebasdepage"/>
        <w:spacing w:before="20" w:after="40"/>
      </w:pPr>
      <w:r>
        <w:tab/>
        <w:t>1463. Le commettant est tenu de réparer le préjudice causé par la faute de ses préposés dans l’exécution de leurs fonctions; il conserve, néanmoins, ses recours contre eux. »</w:t>
      </w:r>
    </w:p>
  </w:footnote>
  <w:footnote w:id="57">
    <w:p w14:paraId="05960438" w14:textId="77777777" w:rsidR="00AF0633" w:rsidRDefault="00E21D39" w:rsidP="00F4232B">
      <w:pPr>
        <w:pStyle w:val="Notedebasdepage"/>
        <w:spacing w:before="20" w:after="40"/>
      </w:pPr>
      <w:r>
        <w:rPr>
          <w:rStyle w:val="Appelnotedebasdep"/>
        </w:rPr>
        <w:footnoteRef/>
      </w:r>
      <w:r>
        <w:t xml:space="preserve"> </w:t>
      </w:r>
      <w:r w:rsidR="00EB6F61">
        <w:tab/>
      </w:r>
      <w:r w:rsidR="00044795" w:rsidRPr="00044795">
        <w:rPr>
          <w:i/>
          <w:iCs/>
        </w:rPr>
        <w:t>R. c. Kruk, 2024 CSC 7</w:t>
      </w:r>
      <w:r>
        <w:t>., par. 150.</w:t>
      </w:r>
    </w:p>
  </w:footnote>
  <w:footnote w:id="58">
    <w:p w14:paraId="672C7AA9" w14:textId="77777777" w:rsidR="00AF0633" w:rsidRDefault="00E21D39" w:rsidP="00F4232B">
      <w:pPr>
        <w:pStyle w:val="Notedebasdepage"/>
        <w:spacing w:before="20" w:after="40"/>
      </w:pPr>
      <w:r>
        <w:rPr>
          <w:rStyle w:val="Appelnotedebasdep"/>
        </w:rPr>
        <w:footnoteRef/>
      </w:r>
      <w:r>
        <w:t xml:space="preserve"> </w:t>
      </w:r>
      <w:r w:rsidR="00EB6F61">
        <w:tab/>
      </w:r>
      <w:r w:rsidRPr="00AF0633">
        <w:rPr>
          <w:i/>
          <w:iCs/>
        </w:rPr>
        <w:t>Idem</w:t>
      </w:r>
      <w:r>
        <w:t>.</w:t>
      </w:r>
    </w:p>
  </w:footnote>
  <w:footnote w:id="59">
    <w:p w14:paraId="306A8694" w14:textId="77777777" w:rsidR="00CF192E" w:rsidRDefault="00E21D39" w:rsidP="00F4232B">
      <w:pPr>
        <w:pStyle w:val="Notedebasdepage"/>
        <w:spacing w:before="20" w:after="40"/>
      </w:pPr>
      <w:r>
        <w:rPr>
          <w:rStyle w:val="Appelnotedebasdep"/>
        </w:rPr>
        <w:footnoteRef/>
      </w:r>
      <w:r>
        <w:t xml:space="preserve"> </w:t>
      </w:r>
      <w:r w:rsidR="00EB6F61">
        <w:tab/>
      </w:r>
      <w:r w:rsidR="004E43E2">
        <w:t xml:space="preserve">Sixième </w:t>
      </w:r>
      <w:r>
        <w:t>Demande, par. 3.</w:t>
      </w:r>
    </w:p>
  </w:footnote>
  <w:footnote w:id="60">
    <w:p w14:paraId="01B9A5CD" w14:textId="77777777" w:rsidR="008D441A" w:rsidRDefault="00E21D39" w:rsidP="00F4232B">
      <w:pPr>
        <w:pStyle w:val="Notedebasdepage"/>
        <w:spacing w:before="20" w:after="40"/>
      </w:pPr>
      <w:r>
        <w:rPr>
          <w:rStyle w:val="Appelnotedebasdep"/>
        </w:rPr>
        <w:footnoteRef/>
      </w:r>
      <w:r>
        <w:t xml:space="preserve"> </w:t>
      </w:r>
      <w:r w:rsidR="00EB6F61">
        <w:tab/>
      </w:r>
      <w:r w:rsidR="004E43E2">
        <w:t xml:space="preserve">Sixième </w:t>
      </w:r>
      <w:r>
        <w:t>Demande, par. 11.</w:t>
      </w:r>
    </w:p>
  </w:footnote>
  <w:footnote w:id="61">
    <w:p w14:paraId="4A1A4845" w14:textId="77777777" w:rsidR="006A1D47" w:rsidRDefault="00E21D39" w:rsidP="00F4232B">
      <w:pPr>
        <w:pStyle w:val="Notedebasdepage"/>
        <w:spacing w:before="20" w:after="40"/>
      </w:pPr>
      <w:r>
        <w:rPr>
          <w:rStyle w:val="Appelnotedebasdep"/>
        </w:rPr>
        <w:footnoteRef/>
      </w:r>
      <w:r>
        <w:t xml:space="preserve"> </w:t>
      </w:r>
      <w:r w:rsidR="00EB6F61">
        <w:tab/>
      </w:r>
      <w:r>
        <w:t>B</w:t>
      </w:r>
      <w:r w:rsidRPr="006A1D47">
        <w:rPr>
          <w:i/>
          <w:iCs/>
        </w:rPr>
        <w:t>. c. Frères Maristes</w:t>
      </w:r>
      <w:r>
        <w:t>, 2023 QCCS 3678, par. 26-30.</w:t>
      </w:r>
    </w:p>
  </w:footnote>
  <w:footnote w:id="62">
    <w:p w14:paraId="6D534BA5" w14:textId="77777777" w:rsidR="00B808CF" w:rsidRDefault="00E21D39" w:rsidP="00F4232B">
      <w:pPr>
        <w:pStyle w:val="Notedebasdepage"/>
        <w:spacing w:before="20" w:after="40"/>
      </w:pPr>
      <w:r>
        <w:rPr>
          <w:rStyle w:val="Appelnotedebasdep"/>
        </w:rPr>
        <w:footnoteRef/>
      </w:r>
      <w:r>
        <w:t xml:space="preserve"> </w:t>
      </w:r>
      <w:r w:rsidR="00EB6F61">
        <w:tab/>
      </w:r>
      <w:r w:rsidRPr="00D04C42">
        <w:rPr>
          <w:i/>
          <w:iCs/>
        </w:rPr>
        <w:t>Communauté des Sœurs de la Charité de la Providence c. Maison des femmes sourdes de Montréal</w:t>
      </w:r>
      <w:r>
        <w:t>, 2024 QCCA 1306, par. 6.</w:t>
      </w:r>
    </w:p>
  </w:footnote>
  <w:footnote w:id="63">
    <w:p w14:paraId="2F89DBD9" w14:textId="77777777" w:rsidR="00327CE3" w:rsidRDefault="00E21D39" w:rsidP="00F4232B">
      <w:pPr>
        <w:pStyle w:val="Notedebasdepage"/>
        <w:spacing w:before="20" w:after="40"/>
      </w:pPr>
      <w:r>
        <w:rPr>
          <w:rStyle w:val="Appelnotedebasdep"/>
        </w:rPr>
        <w:footnoteRef/>
      </w:r>
      <w:r>
        <w:t xml:space="preserve"> </w:t>
      </w:r>
      <w:r w:rsidR="00EB6F61">
        <w:tab/>
      </w:r>
      <w:r w:rsidRPr="000E0C0E">
        <w:rPr>
          <w:i/>
          <w:iCs/>
        </w:rPr>
        <w:t>L’Oratoire</w:t>
      </w:r>
      <w:r>
        <w:t xml:space="preserve">, préc., </w:t>
      </w:r>
      <w:r w:rsidR="00CB737E">
        <w:t xml:space="preserve">note </w:t>
      </w:r>
      <w:r w:rsidR="00880688">
        <w:t>28</w:t>
      </w:r>
      <w:r w:rsidR="00CB737E">
        <w:t xml:space="preserve">, </w:t>
      </w:r>
      <w:r>
        <w:t>par. 24, 64.</w:t>
      </w:r>
    </w:p>
  </w:footnote>
  <w:footnote w:id="64">
    <w:p w14:paraId="56C3E4AE" w14:textId="77777777" w:rsidR="00327CE3" w:rsidRDefault="00E21D39" w:rsidP="00F4232B">
      <w:pPr>
        <w:pStyle w:val="Notedebasdepage"/>
        <w:spacing w:before="20" w:after="40"/>
      </w:pPr>
      <w:r>
        <w:rPr>
          <w:rStyle w:val="Appelnotedebasdep"/>
        </w:rPr>
        <w:footnoteRef/>
      </w:r>
      <w:r>
        <w:t xml:space="preserve"> </w:t>
      </w:r>
      <w:r w:rsidR="00EB6F61">
        <w:tab/>
      </w:r>
      <w:r w:rsidRPr="000E0C0E">
        <w:rPr>
          <w:i/>
          <w:iCs/>
        </w:rPr>
        <w:t>R. c. Ndhlovu</w:t>
      </w:r>
      <w:r>
        <w:t xml:space="preserve">, 2022 CSC 38, par. 193; </w:t>
      </w:r>
      <w:r w:rsidRPr="000E0C0E">
        <w:rPr>
          <w:i/>
          <w:iCs/>
        </w:rPr>
        <w:t>Friesen</w:t>
      </w:r>
      <w:r>
        <w:rPr>
          <w:i/>
          <w:iCs/>
        </w:rPr>
        <w:t xml:space="preserve">, </w:t>
      </w:r>
      <w:r>
        <w:t>préc.,</w:t>
      </w:r>
      <w:r w:rsidR="00D3478F">
        <w:t xml:space="preserve"> note 3,</w:t>
      </w:r>
      <w:r>
        <w:t xml:space="preserve"> par. 118, 142.</w:t>
      </w:r>
    </w:p>
  </w:footnote>
  <w:footnote w:id="65">
    <w:p w14:paraId="3428C0AD" w14:textId="77777777" w:rsidR="00327CE3" w:rsidRDefault="00E21D39" w:rsidP="00F4232B">
      <w:pPr>
        <w:pStyle w:val="Notedebasdepage"/>
        <w:spacing w:before="20" w:after="40"/>
      </w:pPr>
      <w:r>
        <w:rPr>
          <w:rStyle w:val="Appelnotedebasdep"/>
        </w:rPr>
        <w:footnoteRef/>
      </w:r>
      <w:r>
        <w:t xml:space="preserve"> </w:t>
      </w:r>
      <w:r w:rsidR="00EB6F61">
        <w:tab/>
      </w:r>
      <w:r w:rsidR="004E43E2">
        <w:t xml:space="preserve">Sixième </w:t>
      </w:r>
      <w:r>
        <w:t>Demande, par. 37.</w:t>
      </w:r>
    </w:p>
  </w:footnote>
  <w:footnote w:id="66">
    <w:p w14:paraId="1A74820B" w14:textId="77777777" w:rsidR="00327CE3" w:rsidRDefault="00E21D39" w:rsidP="00F4232B">
      <w:pPr>
        <w:pStyle w:val="Notedebasdepage"/>
        <w:spacing w:before="20" w:after="40"/>
      </w:pPr>
      <w:r>
        <w:rPr>
          <w:rStyle w:val="Appelnotedebasdep"/>
        </w:rPr>
        <w:footnoteRef/>
      </w:r>
      <w:r>
        <w:t xml:space="preserve"> </w:t>
      </w:r>
      <w:r w:rsidR="00EB6F61">
        <w:tab/>
      </w:r>
      <w:r>
        <w:t xml:space="preserve">Voir la </w:t>
      </w:r>
      <w:r w:rsidR="004E43E2">
        <w:t xml:space="preserve">Sixième </w:t>
      </w:r>
      <w:r>
        <w:t>Demande, par. 42.2.1 à 42.4, de même que la Déclaration R-60.</w:t>
      </w:r>
    </w:p>
  </w:footnote>
  <w:footnote w:id="67">
    <w:p w14:paraId="02ADA7A2" w14:textId="77777777" w:rsidR="00327CE3" w:rsidRDefault="00E21D39" w:rsidP="00F4232B">
      <w:pPr>
        <w:pStyle w:val="Notedebasdepage"/>
        <w:spacing w:before="20" w:after="40"/>
      </w:pPr>
      <w:r>
        <w:rPr>
          <w:rStyle w:val="Appelnotedebasdep"/>
        </w:rPr>
        <w:footnoteRef/>
      </w:r>
      <w:r>
        <w:t xml:space="preserve"> </w:t>
      </w:r>
      <w:r w:rsidR="00EB6F61">
        <w:tab/>
      </w:r>
      <w:r>
        <w:t>Voir R-76.</w:t>
      </w:r>
    </w:p>
  </w:footnote>
  <w:footnote w:id="68">
    <w:p w14:paraId="5B0497D7" w14:textId="77777777" w:rsidR="00327CE3" w:rsidRDefault="00E21D39" w:rsidP="00F4232B">
      <w:pPr>
        <w:pStyle w:val="Notedebasdepage"/>
        <w:spacing w:before="20" w:after="40"/>
      </w:pPr>
      <w:r>
        <w:rPr>
          <w:rStyle w:val="Appelnotedebasdep"/>
        </w:rPr>
        <w:footnoteRef/>
      </w:r>
      <w:r>
        <w:t xml:space="preserve"> </w:t>
      </w:r>
      <w:r w:rsidR="00EB6F61">
        <w:tab/>
      </w:r>
      <w:r>
        <w:t xml:space="preserve">Voir </w:t>
      </w:r>
      <w:r w:rsidRPr="00596F7A">
        <w:rPr>
          <w:i/>
          <w:iCs/>
        </w:rPr>
        <w:t>X. c. Paquet</w:t>
      </w:r>
      <w:r>
        <w:t xml:space="preserve">, 2023 QCCS 1351, par. 124, </w:t>
      </w:r>
      <w:r w:rsidR="0013439F">
        <w:t>relativement à</w:t>
      </w:r>
      <w:r w:rsidR="00EA5E2A">
        <w:t xml:space="preserve"> </w:t>
      </w:r>
      <w:r>
        <w:t>l’impact de gestes de violence sexuelle sur les jeunes victimes.</w:t>
      </w:r>
    </w:p>
  </w:footnote>
  <w:footnote w:id="69">
    <w:p w14:paraId="5A41F078" w14:textId="77777777" w:rsidR="00FE3387" w:rsidRDefault="00E21D39" w:rsidP="00F4232B">
      <w:pPr>
        <w:pStyle w:val="Notedebasdepage"/>
        <w:spacing w:before="20" w:after="40"/>
      </w:pPr>
      <w:r>
        <w:rPr>
          <w:rStyle w:val="Appelnotedebasdep"/>
        </w:rPr>
        <w:footnoteRef/>
      </w:r>
      <w:r>
        <w:t xml:space="preserve"> </w:t>
      </w:r>
      <w:r w:rsidR="00EB6F61">
        <w:tab/>
      </w:r>
      <w:r>
        <w:t xml:space="preserve">Voir paragraphe 42.23 de la </w:t>
      </w:r>
      <w:r w:rsidR="004E43E2">
        <w:t xml:space="preserve">Sixième </w:t>
      </w:r>
      <w:r>
        <w:t>Demande et pièce R-77.</w:t>
      </w:r>
    </w:p>
  </w:footnote>
  <w:footnote w:id="70">
    <w:p w14:paraId="2EB30283" w14:textId="77777777" w:rsidR="00FE3387" w:rsidRDefault="00E21D39" w:rsidP="00F4232B">
      <w:pPr>
        <w:pStyle w:val="Notedebasdepage"/>
        <w:spacing w:before="20" w:after="40"/>
      </w:pPr>
      <w:r>
        <w:rPr>
          <w:rStyle w:val="Appelnotedebasdep"/>
        </w:rPr>
        <w:footnoteRef/>
      </w:r>
      <w:r>
        <w:t xml:space="preserve"> </w:t>
      </w:r>
      <w:r w:rsidR="00EB6F61">
        <w:tab/>
      </w:r>
      <w:r>
        <w:t>Pièce R-50.</w:t>
      </w:r>
    </w:p>
  </w:footnote>
  <w:footnote w:id="71">
    <w:p w14:paraId="24742A0B" w14:textId="77777777" w:rsidR="00E8176A" w:rsidRDefault="00E21D39" w:rsidP="00F4232B">
      <w:pPr>
        <w:pStyle w:val="Notedebasdepage"/>
        <w:spacing w:before="20" w:after="40"/>
      </w:pPr>
      <w:r>
        <w:rPr>
          <w:rStyle w:val="Appelnotedebasdep"/>
        </w:rPr>
        <w:footnoteRef/>
      </w:r>
      <w:r>
        <w:t xml:space="preserve"> </w:t>
      </w:r>
      <w:r w:rsidR="00EB6F61">
        <w:tab/>
      </w:r>
      <w:r w:rsidRPr="00327CE3">
        <w:rPr>
          <w:i/>
          <w:iCs/>
        </w:rPr>
        <w:t>L’Oratoire</w:t>
      </w:r>
      <w:r>
        <w:t xml:space="preserve">, préc., </w:t>
      </w:r>
      <w:r w:rsidR="00CB5156">
        <w:t xml:space="preserve">note </w:t>
      </w:r>
      <w:r w:rsidR="008133D6">
        <w:t>28</w:t>
      </w:r>
      <w:r w:rsidR="00CB5156">
        <w:t xml:space="preserve">, </w:t>
      </w:r>
      <w:r>
        <w:t>par. 24 et 64.</w:t>
      </w:r>
    </w:p>
  </w:footnote>
  <w:footnote w:id="72">
    <w:p w14:paraId="177DA24B" w14:textId="77777777" w:rsidR="00DC6F78" w:rsidRDefault="00E21D39" w:rsidP="00F4232B">
      <w:pPr>
        <w:pStyle w:val="Notedebasdepage"/>
        <w:spacing w:before="20" w:after="40"/>
      </w:pPr>
      <w:r>
        <w:rPr>
          <w:rStyle w:val="Appelnotedebasdep"/>
        </w:rPr>
        <w:footnoteRef/>
      </w:r>
      <w:r>
        <w:t xml:space="preserve"> </w:t>
      </w:r>
      <w:r w:rsidR="00EB6F61">
        <w:tab/>
      </w:r>
      <w:r>
        <w:t xml:space="preserve">Voir paragraphes 28 à 35 de la </w:t>
      </w:r>
      <w:r w:rsidR="004E43E2">
        <w:t xml:space="preserve">Sixième </w:t>
      </w:r>
      <w:r>
        <w:t>Demande.</w:t>
      </w:r>
    </w:p>
  </w:footnote>
  <w:footnote w:id="73">
    <w:p w14:paraId="49C7D6DC" w14:textId="77777777" w:rsidR="00DC6F78" w:rsidRDefault="00E21D39" w:rsidP="00F4232B">
      <w:pPr>
        <w:pStyle w:val="Notedebasdepage"/>
        <w:spacing w:before="20" w:after="40"/>
      </w:pPr>
      <w:r>
        <w:rPr>
          <w:rStyle w:val="Appelnotedebasdep"/>
        </w:rPr>
        <w:footnoteRef/>
      </w:r>
      <w:r>
        <w:t xml:space="preserve"> </w:t>
      </w:r>
      <w:r w:rsidR="00EB6F61">
        <w:tab/>
      </w:r>
      <w:r>
        <w:t xml:space="preserve">Voir paragraphes 1 à 10 de la </w:t>
      </w:r>
      <w:r w:rsidR="004E43E2">
        <w:t xml:space="preserve">Sixième </w:t>
      </w:r>
      <w:r>
        <w:t>Demande.</w:t>
      </w:r>
    </w:p>
  </w:footnote>
  <w:footnote w:id="74">
    <w:p w14:paraId="128A97EE" w14:textId="77777777" w:rsidR="00DC6F78" w:rsidRDefault="00E21D39" w:rsidP="00F4232B">
      <w:pPr>
        <w:pStyle w:val="Notedebasdepage"/>
        <w:spacing w:before="20" w:after="40"/>
      </w:pPr>
      <w:r>
        <w:rPr>
          <w:rStyle w:val="Appelnotedebasdep"/>
        </w:rPr>
        <w:footnoteRef/>
      </w:r>
      <w:r>
        <w:t xml:space="preserve"> </w:t>
      </w:r>
      <w:r w:rsidR="00EB6F61">
        <w:tab/>
      </w:r>
      <w:r>
        <w:t>Voir R-76.</w:t>
      </w:r>
    </w:p>
  </w:footnote>
  <w:footnote w:id="75">
    <w:p w14:paraId="69F34F6A" w14:textId="77777777" w:rsidR="00381DC1" w:rsidRDefault="00E21D39" w:rsidP="00F4232B">
      <w:pPr>
        <w:pStyle w:val="Notedebasdepage"/>
        <w:spacing w:before="20" w:after="40"/>
      </w:pPr>
      <w:r>
        <w:rPr>
          <w:rStyle w:val="Appelnotedebasdep"/>
        </w:rPr>
        <w:footnoteRef/>
      </w:r>
      <w:r>
        <w:t xml:space="preserve"> </w:t>
      </w:r>
      <w:r w:rsidR="00EB6F61">
        <w:tab/>
      </w:r>
      <w:r w:rsidRPr="00F63A7E">
        <w:rPr>
          <w:i/>
          <w:iCs/>
        </w:rPr>
        <w:t>L’Oratoire</w:t>
      </w:r>
      <w:r>
        <w:t xml:space="preserve">, </w:t>
      </w:r>
      <w:r w:rsidR="00F63A7E">
        <w:t xml:space="preserve">préc., </w:t>
      </w:r>
      <w:r w:rsidR="00CB737E">
        <w:t xml:space="preserve">note </w:t>
      </w:r>
      <w:r w:rsidR="00880688">
        <w:t>28</w:t>
      </w:r>
      <w:r w:rsidR="00CB737E">
        <w:t xml:space="preserve">, </w:t>
      </w:r>
      <w:r w:rsidR="00F63A7E">
        <w:t>par. 24 et 64.</w:t>
      </w:r>
    </w:p>
  </w:footnote>
  <w:footnote w:id="76">
    <w:p w14:paraId="363A7A10" w14:textId="77777777" w:rsidR="00F44C12" w:rsidRDefault="00E21D39" w:rsidP="00F4232B">
      <w:pPr>
        <w:pStyle w:val="Notedebasdepage"/>
        <w:spacing w:before="20" w:after="40"/>
      </w:pPr>
      <w:r>
        <w:rPr>
          <w:rStyle w:val="Appelnotedebasdep"/>
        </w:rPr>
        <w:footnoteRef/>
      </w:r>
      <w:r>
        <w:t xml:space="preserve"> </w:t>
      </w:r>
      <w:r w:rsidR="00EB6F61">
        <w:tab/>
      </w:r>
      <w:r w:rsidR="004E43E2">
        <w:t xml:space="preserve">Sixième </w:t>
      </w:r>
      <w:r>
        <w:t>Demande, par. 31.</w:t>
      </w:r>
    </w:p>
  </w:footnote>
  <w:footnote w:id="77">
    <w:p w14:paraId="7C698882" w14:textId="77777777" w:rsidR="00AA08C2" w:rsidRDefault="00E21D39" w:rsidP="00F4232B">
      <w:pPr>
        <w:pStyle w:val="Notedebasdepage"/>
        <w:spacing w:before="20" w:after="40"/>
      </w:pPr>
      <w:r>
        <w:rPr>
          <w:rStyle w:val="Appelnotedebasdep"/>
        </w:rPr>
        <w:footnoteRef/>
      </w:r>
      <w:r>
        <w:t xml:space="preserve"> </w:t>
      </w:r>
      <w:r>
        <w:tab/>
        <w:t xml:space="preserve">Shaun E. FINN, </w:t>
      </w:r>
      <w:r w:rsidRPr="00E8062D">
        <w:rPr>
          <w:i/>
          <w:iCs/>
        </w:rPr>
        <w:t>Recours singulier et collectif : redéfinir le recours collectif comme procédure particulière</w:t>
      </w:r>
      <w:r>
        <w:t xml:space="preserve">, </w:t>
      </w:r>
      <w:r w:rsidR="0083169F">
        <w:t>Cowansville</w:t>
      </w:r>
      <w:r w:rsidR="009B0464">
        <w:t xml:space="preserve">, </w:t>
      </w:r>
      <w:r>
        <w:t>Éd</w:t>
      </w:r>
      <w:r w:rsidR="004A257B">
        <w:t>itions</w:t>
      </w:r>
      <w:r>
        <w:t xml:space="preserve"> Yvon Blais, </w:t>
      </w:r>
      <w:r w:rsidR="001077CF">
        <w:t xml:space="preserve">2011, </w:t>
      </w:r>
      <w:r>
        <w:t>p. 64.</w:t>
      </w:r>
    </w:p>
  </w:footnote>
  <w:footnote w:id="78">
    <w:p w14:paraId="77A6D51D" w14:textId="77777777" w:rsidR="001C64D2" w:rsidRDefault="00E21D39" w:rsidP="00F4232B">
      <w:pPr>
        <w:pStyle w:val="Notedebasdepage"/>
        <w:spacing w:before="20" w:after="40"/>
      </w:pPr>
      <w:r>
        <w:rPr>
          <w:rStyle w:val="Appelnotedebasdep"/>
        </w:rPr>
        <w:footnoteRef/>
      </w:r>
      <w:r>
        <w:t xml:space="preserve"> </w:t>
      </w:r>
      <w:r w:rsidR="00EB6F61">
        <w:tab/>
      </w:r>
      <w:r>
        <w:t>Voir R-53 et R-32.</w:t>
      </w:r>
    </w:p>
  </w:footnote>
  <w:footnote w:id="79">
    <w:p w14:paraId="564ABD55" w14:textId="77777777" w:rsidR="00716E3E" w:rsidRDefault="00E21D39" w:rsidP="00F4232B">
      <w:pPr>
        <w:pStyle w:val="Notedebasdepage"/>
        <w:spacing w:before="20" w:after="40"/>
      </w:pPr>
      <w:r>
        <w:rPr>
          <w:rStyle w:val="Appelnotedebasdep"/>
        </w:rPr>
        <w:footnoteRef/>
      </w:r>
      <w:r>
        <w:t xml:space="preserve"> </w:t>
      </w:r>
      <w:r w:rsidR="00EB6F61">
        <w:tab/>
      </w:r>
      <w:r>
        <w:t xml:space="preserve">Voir </w:t>
      </w:r>
      <w:r w:rsidR="004E43E2">
        <w:t xml:space="preserve">Sixième </w:t>
      </w:r>
      <w:r>
        <w:t>Demande, par. 19, 20, 24, 24.2 à 24.4, 31.</w:t>
      </w:r>
    </w:p>
  </w:footnote>
  <w:footnote w:id="80">
    <w:p w14:paraId="0C4E5334" w14:textId="77777777" w:rsidR="00AA08C2" w:rsidRDefault="00E21D39" w:rsidP="00F4232B">
      <w:pPr>
        <w:pStyle w:val="Notedebasdepage"/>
        <w:spacing w:before="20" w:after="40"/>
      </w:pPr>
      <w:r>
        <w:rPr>
          <w:rStyle w:val="Appelnotedebasdep"/>
        </w:rPr>
        <w:footnoteRef/>
      </w:r>
      <w:r>
        <w:t xml:space="preserve"> </w:t>
      </w:r>
      <w:r>
        <w:tab/>
      </w:r>
      <w:r w:rsidR="008E06E2" w:rsidRPr="008E06E2">
        <w:rPr>
          <w:i/>
          <w:iCs/>
        </w:rPr>
        <w:t>2014 CSC 55 (CanLII), [2014] 2 RCS 725</w:t>
      </w:r>
      <w:r>
        <w:t xml:space="preserve">, par 43. Voir aussi </w:t>
      </w:r>
      <w:r w:rsidRPr="00A66B4D">
        <w:rPr>
          <w:i/>
          <w:iCs/>
        </w:rPr>
        <w:t>L’Oratoire</w:t>
      </w:r>
      <w:r>
        <w:t xml:space="preserve">, préc., </w:t>
      </w:r>
      <w:r w:rsidR="00CB737E">
        <w:t xml:space="preserve">note </w:t>
      </w:r>
      <w:r w:rsidR="008133D6">
        <w:t>28</w:t>
      </w:r>
      <w:r w:rsidR="00CB737E">
        <w:t xml:space="preserve">, </w:t>
      </w:r>
      <w:r>
        <w:t>par. 44.</w:t>
      </w:r>
    </w:p>
  </w:footnote>
  <w:footnote w:id="81">
    <w:p w14:paraId="33DAA5E4" w14:textId="77777777" w:rsidR="0009162B" w:rsidRDefault="00E21D39" w:rsidP="00F4232B">
      <w:pPr>
        <w:pStyle w:val="Notedebasdepage"/>
        <w:spacing w:before="20" w:after="40"/>
      </w:pPr>
      <w:r>
        <w:rPr>
          <w:rStyle w:val="Appelnotedebasdep"/>
        </w:rPr>
        <w:footnoteRef/>
      </w:r>
      <w:r>
        <w:t xml:space="preserve"> </w:t>
      </w:r>
      <w:r w:rsidR="00FF628E">
        <w:tab/>
      </w:r>
      <w:r>
        <w:t>Pièce R-74.</w:t>
      </w:r>
    </w:p>
  </w:footnote>
  <w:footnote w:id="82">
    <w:p w14:paraId="661AF7EA" w14:textId="77777777" w:rsidR="00977F74" w:rsidRDefault="00E21D39" w:rsidP="00F4232B">
      <w:pPr>
        <w:pStyle w:val="Notedebasdepage"/>
        <w:spacing w:before="20" w:after="40"/>
      </w:pPr>
      <w:r>
        <w:rPr>
          <w:rStyle w:val="Appelnotedebasdep"/>
        </w:rPr>
        <w:footnoteRef/>
      </w:r>
      <w:r>
        <w:t xml:space="preserve"> </w:t>
      </w:r>
      <w:r w:rsidR="00E72560">
        <w:tab/>
      </w:r>
      <w:r>
        <w:t>Sixième Demande, par. 13 à 15 et 19, 20, 24.</w:t>
      </w:r>
    </w:p>
  </w:footnote>
  <w:footnote w:id="83">
    <w:p w14:paraId="33A5AEEA" w14:textId="77777777" w:rsidR="004F69DF" w:rsidRDefault="00E21D39" w:rsidP="00F4232B">
      <w:pPr>
        <w:pStyle w:val="Notedebasdepage"/>
        <w:spacing w:before="20" w:after="40"/>
      </w:pPr>
      <w:r>
        <w:rPr>
          <w:rStyle w:val="Appelnotedebasdep"/>
        </w:rPr>
        <w:footnoteRef/>
      </w:r>
      <w:r>
        <w:t xml:space="preserve"> </w:t>
      </w:r>
      <w:r>
        <w:tab/>
        <w:t>R-48, R-60 et par. 42.2 de la Sixième Demande.</w:t>
      </w:r>
    </w:p>
  </w:footnote>
  <w:footnote w:id="84">
    <w:p w14:paraId="763417DA" w14:textId="77777777" w:rsidR="004F69DF" w:rsidRDefault="00E21D39" w:rsidP="00F4232B">
      <w:pPr>
        <w:pStyle w:val="Notedebasdepage"/>
        <w:spacing w:before="20" w:after="40"/>
      </w:pPr>
      <w:r>
        <w:rPr>
          <w:rStyle w:val="Appelnotedebasdep"/>
        </w:rPr>
        <w:footnoteRef/>
      </w:r>
      <w:r>
        <w:t xml:space="preserve"> </w:t>
      </w:r>
      <w:r w:rsidR="00E72560">
        <w:tab/>
      </w:r>
      <w:r>
        <w:t>Voir en outre P-16.</w:t>
      </w:r>
    </w:p>
  </w:footnote>
  <w:footnote w:id="85">
    <w:p w14:paraId="47840606" w14:textId="77777777" w:rsidR="00977F74" w:rsidRDefault="00E21D39" w:rsidP="00F4232B">
      <w:pPr>
        <w:pStyle w:val="Notedebasdepage"/>
        <w:spacing w:before="20" w:after="40"/>
      </w:pPr>
      <w:r>
        <w:rPr>
          <w:rStyle w:val="Appelnotedebasdep"/>
        </w:rPr>
        <w:footnoteRef/>
      </w:r>
      <w:r>
        <w:t xml:space="preserve"> </w:t>
      </w:r>
      <w:r w:rsidR="00E72560">
        <w:tab/>
      </w:r>
      <w:r w:rsidR="00586CAB" w:rsidRPr="008573E6">
        <w:rPr>
          <w:i/>
          <w:iCs/>
        </w:rPr>
        <w:t>Havre des Femmes inc. c. Dubé</w:t>
      </w:r>
      <w:r w:rsidR="00586CAB" w:rsidRPr="00586CAB">
        <w:t>, 1998 CanLII 13167 (QC CA)</w:t>
      </w:r>
      <w:r w:rsidR="00586CAB">
        <w:t>.</w:t>
      </w:r>
    </w:p>
  </w:footnote>
  <w:footnote w:id="86">
    <w:p w14:paraId="2EE7E986" w14:textId="77777777" w:rsidR="00586CAB" w:rsidRDefault="00E21D39" w:rsidP="00F4232B">
      <w:pPr>
        <w:pStyle w:val="Notedebasdepage"/>
        <w:spacing w:before="20" w:after="40"/>
      </w:pPr>
      <w:r>
        <w:rPr>
          <w:rStyle w:val="Appelnotedebasdep"/>
        </w:rPr>
        <w:footnoteRef/>
      </w:r>
      <w:r>
        <w:t xml:space="preserve"> </w:t>
      </w:r>
      <w:r w:rsidR="00DB28CD">
        <w:tab/>
      </w:r>
      <w:r w:rsidRPr="008573E6">
        <w:rPr>
          <w:i/>
          <w:iCs/>
        </w:rPr>
        <w:t>Idem</w:t>
      </w:r>
      <w:r>
        <w:t>.</w:t>
      </w:r>
    </w:p>
  </w:footnote>
  <w:footnote w:id="87">
    <w:p w14:paraId="11F68F40" w14:textId="77777777" w:rsidR="00586CAB" w:rsidRDefault="00E21D39" w:rsidP="00F4232B">
      <w:pPr>
        <w:pStyle w:val="Notedebasdepage"/>
        <w:spacing w:before="20" w:after="40"/>
      </w:pPr>
      <w:r>
        <w:rPr>
          <w:rStyle w:val="Appelnotedebasdep"/>
        </w:rPr>
        <w:footnoteRef/>
      </w:r>
      <w:r>
        <w:t xml:space="preserve"> </w:t>
      </w:r>
      <w:r w:rsidR="00DB28CD">
        <w:tab/>
      </w:r>
      <w:r w:rsidRPr="00586CAB">
        <w:t xml:space="preserve">Jean-Louis BAUDOUIN, Patrice DESLAURIERS et Benoît MOORE, </w:t>
      </w:r>
      <w:r w:rsidRPr="008573E6">
        <w:rPr>
          <w:i/>
          <w:iCs/>
        </w:rPr>
        <w:t xml:space="preserve">La responsabilité </w:t>
      </w:r>
      <w:r w:rsidRPr="00DF3352">
        <w:rPr>
          <w:i/>
          <w:iCs/>
        </w:rPr>
        <w:t>civile</w:t>
      </w:r>
      <w:r w:rsidRPr="00DF3352">
        <w:t xml:space="preserve">, </w:t>
      </w:r>
      <w:r w:rsidR="00DF3151" w:rsidRPr="007E50B9">
        <w:t>vol. 1</w:t>
      </w:r>
      <w:r w:rsidR="002349B9" w:rsidRPr="007E50B9">
        <w:t>,</w:t>
      </w:r>
      <w:r w:rsidR="002349B9">
        <w:t xml:space="preserve"> </w:t>
      </w:r>
      <w:r w:rsidR="00DF3352">
        <w:br/>
      </w:r>
      <w:r w:rsidRPr="00586CAB">
        <w:t>8</w:t>
      </w:r>
      <w:r w:rsidRPr="00573001">
        <w:rPr>
          <w:vertAlign w:val="superscript"/>
        </w:rPr>
        <w:t>e</w:t>
      </w:r>
      <w:r w:rsidRPr="00586CAB">
        <w:t xml:space="preserve"> éd., </w:t>
      </w:r>
      <w:r w:rsidR="002349B9">
        <w:t>Cowansville</w:t>
      </w:r>
      <w:r w:rsidRPr="00586CAB">
        <w:t>, Éditions Yvon Blais, 2014, aux par. 1-899 et 1-904.</w:t>
      </w:r>
    </w:p>
  </w:footnote>
  <w:footnote w:id="88">
    <w:p w14:paraId="3AE24E5C" w14:textId="77777777" w:rsidR="00586CAB" w:rsidRDefault="00E21D39" w:rsidP="00F4232B">
      <w:pPr>
        <w:pStyle w:val="Notedebasdepage"/>
        <w:spacing w:before="20" w:after="40"/>
      </w:pPr>
      <w:r>
        <w:rPr>
          <w:rStyle w:val="Appelnotedebasdep"/>
        </w:rPr>
        <w:footnoteRef/>
      </w:r>
      <w:r>
        <w:t xml:space="preserve"> </w:t>
      </w:r>
      <w:r w:rsidR="00AF67D1">
        <w:tab/>
      </w:r>
      <w:r w:rsidRPr="008573E6">
        <w:rPr>
          <w:i/>
          <w:iCs/>
        </w:rPr>
        <w:t>Idem</w:t>
      </w:r>
      <w:r>
        <w:t>, par. 1-918.</w:t>
      </w:r>
    </w:p>
  </w:footnote>
  <w:footnote w:id="89">
    <w:p w14:paraId="16E4FD89" w14:textId="77777777" w:rsidR="00E62E0B" w:rsidRPr="00A4580C" w:rsidRDefault="00E21D39" w:rsidP="00573001">
      <w:pPr>
        <w:pStyle w:val="Notedebasdepage"/>
        <w:spacing w:before="20" w:after="40"/>
      </w:pPr>
      <w:r>
        <w:rPr>
          <w:rStyle w:val="Appelnotedebasdep"/>
        </w:rPr>
        <w:footnoteRef/>
      </w:r>
      <w:r>
        <w:t xml:space="preserve"> </w:t>
      </w:r>
      <w:r w:rsidR="00AF67D1">
        <w:tab/>
      </w:r>
      <w:r w:rsidR="00AF67D1" w:rsidRPr="00573001">
        <w:rPr>
          <w:i/>
          <w:iCs/>
        </w:rPr>
        <w:t>L’Oratoire</w:t>
      </w:r>
      <w:r w:rsidR="00AF67D1">
        <w:rPr>
          <w:i/>
          <w:iCs/>
        </w:rPr>
        <w:t xml:space="preserve">, </w:t>
      </w:r>
      <w:r w:rsidR="00A4580C" w:rsidRPr="00573001">
        <w:t xml:space="preserve">préc., note </w:t>
      </w:r>
      <w:r w:rsidR="00880688" w:rsidRPr="00573001">
        <w:t>2</w:t>
      </w:r>
      <w:r w:rsidR="00880688">
        <w:t>8</w:t>
      </w:r>
      <w:r w:rsidR="00A4580C">
        <w:t>, par. 183.</w:t>
      </w:r>
    </w:p>
  </w:footnote>
  <w:footnote w:id="90">
    <w:p w14:paraId="69DF29A3" w14:textId="77777777" w:rsidR="00AB78FD" w:rsidRDefault="00E21D39" w:rsidP="00F4232B">
      <w:pPr>
        <w:pStyle w:val="Notedebasdepage"/>
        <w:spacing w:before="20" w:after="40"/>
      </w:pPr>
      <w:r>
        <w:rPr>
          <w:rStyle w:val="Appelnotedebasdep"/>
        </w:rPr>
        <w:footnoteRef/>
      </w:r>
      <w:r>
        <w:t xml:space="preserve"> </w:t>
      </w:r>
      <w:r w:rsidR="00EB6F61">
        <w:tab/>
      </w:r>
      <w:r>
        <w:t>Arts. 298, 301 et 309 C.c.Q.</w:t>
      </w:r>
    </w:p>
  </w:footnote>
  <w:footnote w:id="91">
    <w:p w14:paraId="314D4D40" w14:textId="77777777" w:rsidR="00C745D1" w:rsidRDefault="00E21D39" w:rsidP="00F4232B">
      <w:pPr>
        <w:pStyle w:val="Notedebasdepage"/>
        <w:spacing w:before="20" w:after="40"/>
      </w:pPr>
      <w:r>
        <w:rPr>
          <w:rStyle w:val="Appelnotedebasdep"/>
        </w:rPr>
        <w:footnoteRef/>
      </w:r>
      <w:r>
        <w:t xml:space="preserve"> </w:t>
      </w:r>
      <w:r w:rsidR="00003D3E">
        <w:tab/>
      </w:r>
      <w:r w:rsidRPr="00C76BD1">
        <w:rPr>
          <w:i/>
          <w:iCs/>
        </w:rPr>
        <w:t>Havre des Femmes inc. c. Dubé</w:t>
      </w:r>
      <w:r w:rsidRPr="00586CAB">
        <w:t>, 1998 CanLII 13167 (QC CA)</w:t>
      </w:r>
      <w:r>
        <w:t>.</w:t>
      </w:r>
    </w:p>
  </w:footnote>
  <w:footnote w:id="92">
    <w:p w14:paraId="7D994D77" w14:textId="77777777" w:rsidR="003A38D0" w:rsidRDefault="00E21D39" w:rsidP="00F4232B">
      <w:pPr>
        <w:pStyle w:val="Notedebasdepage"/>
        <w:spacing w:before="20" w:after="40"/>
      </w:pPr>
      <w:r>
        <w:rPr>
          <w:rStyle w:val="Appelnotedebasdep"/>
        </w:rPr>
        <w:footnoteRef/>
      </w:r>
      <w:r>
        <w:t xml:space="preserve"> </w:t>
      </w:r>
      <w:r w:rsidR="00EB6F61">
        <w:tab/>
      </w:r>
      <w:r w:rsidR="00AA42C2" w:rsidRPr="00AA42C2">
        <w:t>1996 CanLII 172 (CSC), [1996] 3 R.C.S. 211, au par. 121.</w:t>
      </w:r>
    </w:p>
  </w:footnote>
  <w:footnote w:id="93">
    <w:p w14:paraId="7D3DB76D" w14:textId="77777777" w:rsidR="00AA42C2" w:rsidRDefault="00E21D39" w:rsidP="00F4232B">
      <w:pPr>
        <w:pStyle w:val="Notedebasdepage"/>
        <w:spacing w:before="20" w:after="40"/>
      </w:pPr>
      <w:r>
        <w:rPr>
          <w:rStyle w:val="Appelnotedebasdep"/>
        </w:rPr>
        <w:footnoteRef/>
      </w:r>
      <w:r w:rsidR="00EB6F61">
        <w:rPr>
          <w:i/>
          <w:iCs/>
        </w:rPr>
        <w:t xml:space="preserve"> </w:t>
      </w:r>
      <w:r w:rsidR="00EB6F61">
        <w:rPr>
          <w:i/>
          <w:iCs/>
        </w:rPr>
        <w:tab/>
      </w:r>
      <w:r w:rsidRPr="00AA42C2">
        <w:rPr>
          <w:i/>
          <w:iCs/>
        </w:rPr>
        <w:t>Union des consommateurs c. Bell Mobilité Inc</w:t>
      </w:r>
      <w:r>
        <w:t>.,</w:t>
      </w:r>
      <w:r w:rsidRPr="00AA42C2">
        <w:t xml:space="preserve"> 2017 QCCA 504, au par. 42.</w:t>
      </w:r>
    </w:p>
  </w:footnote>
  <w:footnote w:id="94">
    <w:p w14:paraId="43B2D1B3" w14:textId="77777777" w:rsidR="00AA42C2" w:rsidRDefault="00E21D39" w:rsidP="00F4232B">
      <w:pPr>
        <w:pStyle w:val="Notedebasdepage"/>
        <w:spacing w:before="20" w:after="40"/>
      </w:pPr>
      <w:r>
        <w:rPr>
          <w:rStyle w:val="Appelnotedebasdep"/>
        </w:rPr>
        <w:footnoteRef/>
      </w:r>
      <w:r>
        <w:t xml:space="preserve"> </w:t>
      </w:r>
      <w:r w:rsidR="00EB6F61">
        <w:tab/>
      </w:r>
      <w:r w:rsidRPr="00AA42C2">
        <w:rPr>
          <w:i/>
          <w:iCs/>
        </w:rPr>
        <w:t>Idem</w:t>
      </w:r>
      <w:r>
        <w:t>.</w:t>
      </w:r>
    </w:p>
  </w:footnote>
  <w:footnote w:id="95">
    <w:p w14:paraId="3E2398AB" w14:textId="77777777" w:rsidR="00280725" w:rsidRDefault="00E21D39" w:rsidP="00F4232B">
      <w:pPr>
        <w:pStyle w:val="Notedebasdepage"/>
        <w:spacing w:before="20" w:after="40"/>
      </w:pPr>
      <w:r>
        <w:rPr>
          <w:rStyle w:val="Appelnotedebasdep"/>
        </w:rPr>
        <w:footnoteRef/>
      </w:r>
      <w:r>
        <w:t xml:space="preserve"> </w:t>
      </w:r>
      <w:r w:rsidR="00EB6F61">
        <w:tab/>
      </w:r>
      <w:r w:rsidRPr="00280725">
        <w:rPr>
          <w:i/>
          <w:iCs/>
        </w:rPr>
        <w:t>R. c. Jarvis</w:t>
      </w:r>
      <w:r>
        <w:t>, 2019 CSC 10, par. 122.</w:t>
      </w:r>
    </w:p>
  </w:footnote>
  <w:footnote w:id="96">
    <w:p w14:paraId="76A4AD63" w14:textId="77777777" w:rsidR="00532C5F" w:rsidRDefault="00E21D39" w:rsidP="00F4232B">
      <w:pPr>
        <w:pStyle w:val="Notedebasdepage"/>
        <w:spacing w:before="20" w:after="40"/>
      </w:pPr>
      <w:r>
        <w:rPr>
          <w:rStyle w:val="Appelnotedebasdep"/>
        </w:rPr>
        <w:footnoteRef/>
      </w:r>
      <w:r>
        <w:t xml:space="preserve"> </w:t>
      </w:r>
      <w:r w:rsidR="00EB6F61">
        <w:tab/>
      </w:r>
      <w:r w:rsidRPr="00280725">
        <w:rPr>
          <w:i/>
          <w:iCs/>
        </w:rPr>
        <w:t>Succession de G.P. c. L.P</w:t>
      </w:r>
      <w:r w:rsidRPr="00280725">
        <w:t>., 2019 QCCA 863</w:t>
      </w:r>
      <w:r>
        <w:t>, par. 42.</w:t>
      </w:r>
    </w:p>
  </w:footnote>
  <w:footnote w:id="97">
    <w:p w14:paraId="269CA3EE" w14:textId="77777777" w:rsidR="00F42A56" w:rsidRPr="00756FAD" w:rsidRDefault="00E21D39" w:rsidP="00F4232B">
      <w:pPr>
        <w:pStyle w:val="Notedebasdepage"/>
        <w:spacing w:before="20" w:after="40"/>
        <w:rPr>
          <w:lang w:val="pt-BR"/>
        </w:rPr>
      </w:pPr>
      <w:r>
        <w:rPr>
          <w:rStyle w:val="Appelnotedebasdep"/>
        </w:rPr>
        <w:footnoteRef/>
      </w:r>
      <w:r w:rsidRPr="00756FAD">
        <w:rPr>
          <w:lang w:val="pt-BR"/>
        </w:rPr>
        <w:t xml:space="preserve"> </w:t>
      </w:r>
      <w:r w:rsidR="00EB6F61">
        <w:rPr>
          <w:lang w:val="pt-BR"/>
        </w:rPr>
        <w:tab/>
      </w:r>
      <w:r w:rsidRPr="00756FAD">
        <w:rPr>
          <w:i/>
          <w:iCs/>
          <w:lang w:val="pt-BR"/>
        </w:rPr>
        <w:t>Levy c. Nissan Canada Inc</w:t>
      </w:r>
      <w:r w:rsidRPr="00756FAD">
        <w:rPr>
          <w:lang w:val="pt-BR"/>
        </w:rPr>
        <w:t>., 2021 QCCA 682, par. 33 à 38.</w:t>
      </w:r>
    </w:p>
  </w:footnote>
  <w:footnote w:id="98">
    <w:p w14:paraId="6249A9C4" w14:textId="77777777" w:rsidR="00280725" w:rsidRDefault="00E21D39" w:rsidP="00F4232B">
      <w:pPr>
        <w:pStyle w:val="Notedebasdepage"/>
        <w:spacing w:before="20" w:after="40"/>
      </w:pPr>
      <w:r>
        <w:rPr>
          <w:rStyle w:val="Appelnotedebasdep"/>
        </w:rPr>
        <w:footnoteRef/>
      </w:r>
      <w:r>
        <w:t xml:space="preserve"> </w:t>
      </w:r>
      <w:r w:rsidR="00EB6F61">
        <w:tab/>
      </w:r>
      <w:r w:rsidRPr="002546F1">
        <w:rPr>
          <w:i/>
          <w:iCs/>
        </w:rPr>
        <w:t>Succession</w:t>
      </w:r>
      <w:r w:rsidR="00EA5B72">
        <w:rPr>
          <w:i/>
          <w:iCs/>
        </w:rPr>
        <w:t xml:space="preserve">, </w:t>
      </w:r>
      <w:r w:rsidR="00EA5B72">
        <w:t xml:space="preserve">préc., note </w:t>
      </w:r>
      <w:r w:rsidR="00880688">
        <w:t>95</w:t>
      </w:r>
      <w:r>
        <w:t>, par. 42.</w:t>
      </w:r>
    </w:p>
  </w:footnote>
  <w:footnote w:id="99">
    <w:p w14:paraId="3F02A8E8" w14:textId="77777777" w:rsidR="00AA42C2" w:rsidRDefault="00E21D39" w:rsidP="00F4232B">
      <w:pPr>
        <w:pStyle w:val="Notedebasdepage"/>
        <w:spacing w:before="20" w:after="40"/>
      </w:pPr>
      <w:r>
        <w:rPr>
          <w:rStyle w:val="Appelnotedebasdep"/>
        </w:rPr>
        <w:footnoteRef/>
      </w:r>
      <w:r>
        <w:t xml:space="preserve"> </w:t>
      </w:r>
      <w:r w:rsidR="00EB6F61">
        <w:tab/>
      </w:r>
      <w:r w:rsidR="00F42A56">
        <w:rPr>
          <w:i/>
          <w:iCs/>
        </w:rPr>
        <w:t>Bell Mobilité, préc</w:t>
      </w:r>
      <w:r>
        <w:t>.</w:t>
      </w:r>
      <w:r w:rsidR="00F42A56">
        <w:t xml:space="preserve">, </w:t>
      </w:r>
      <w:r w:rsidR="005C6105">
        <w:t xml:space="preserve">note </w:t>
      </w:r>
      <w:r w:rsidR="00880688">
        <w:t>92</w:t>
      </w:r>
      <w:r w:rsidR="005C6105">
        <w:t xml:space="preserve">, </w:t>
      </w:r>
      <w:r w:rsidR="00F42A56">
        <w:t>par. 42.</w:t>
      </w:r>
    </w:p>
  </w:footnote>
  <w:footnote w:id="100">
    <w:p w14:paraId="6416AAEA" w14:textId="77777777" w:rsidR="00E252A1" w:rsidRDefault="00E21D39" w:rsidP="00F4232B">
      <w:pPr>
        <w:pStyle w:val="Notedebasdepage"/>
        <w:spacing w:before="20" w:after="40"/>
      </w:pPr>
      <w:r>
        <w:rPr>
          <w:rStyle w:val="Appelnotedebasdep"/>
        </w:rPr>
        <w:footnoteRef/>
      </w:r>
      <w:r>
        <w:t xml:space="preserve"> </w:t>
      </w:r>
      <w:r w:rsidR="00EB6F61">
        <w:tab/>
      </w:r>
      <w:r w:rsidRPr="00E252A1">
        <w:rPr>
          <w:i/>
          <w:iCs/>
        </w:rPr>
        <w:t>Montréal (Ville) c. Lonardi</w:t>
      </w:r>
      <w:r w:rsidRPr="00E252A1">
        <w:t>, 2018 CSC 29 (CanLII), [2018] 1 RCS 104</w:t>
      </w:r>
      <w:r>
        <w:t>.</w:t>
      </w:r>
    </w:p>
  </w:footnote>
  <w:footnote w:id="101">
    <w:p w14:paraId="54A7BCA8" w14:textId="77777777" w:rsidR="00E252A1" w:rsidRPr="00756FAD" w:rsidRDefault="00E21D39" w:rsidP="00F4232B">
      <w:pPr>
        <w:pStyle w:val="Notedebasdepage"/>
        <w:spacing w:before="20" w:after="40"/>
        <w:rPr>
          <w:lang w:val="pt-BR"/>
        </w:rPr>
      </w:pPr>
      <w:r>
        <w:rPr>
          <w:rStyle w:val="Appelnotedebasdep"/>
        </w:rPr>
        <w:footnoteRef/>
      </w:r>
      <w:r w:rsidRPr="00756FAD">
        <w:rPr>
          <w:lang w:val="pt-BR"/>
        </w:rPr>
        <w:t xml:space="preserve"> </w:t>
      </w:r>
      <w:r w:rsidR="00EB6F61">
        <w:rPr>
          <w:lang w:val="pt-BR"/>
        </w:rPr>
        <w:tab/>
      </w:r>
      <w:r w:rsidRPr="00756FAD">
        <w:rPr>
          <w:i/>
          <w:iCs/>
          <w:lang w:val="pt-BR"/>
        </w:rPr>
        <w:t>Idem</w:t>
      </w:r>
      <w:r w:rsidRPr="00756FAD">
        <w:rPr>
          <w:lang w:val="pt-BR"/>
        </w:rPr>
        <w:t>, par. 13.</w:t>
      </w:r>
    </w:p>
  </w:footnote>
  <w:footnote w:id="102">
    <w:p w14:paraId="41FD5737" w14:textId="77777777" w:rsidR="003B4B1F" w:rsidRPr="00756FAD" w:rsidRDefault="00E21D39" w:rsidP="00F4232B">
      <w:pPr>
        <w:pStyle w:val="Notedebasdepage"/>
        <w:spacing w:before="20" w:after="40"/>
        <w:rPr>
          <w:lang w:val="pt-BR"/>
        </w:rPr>
      </w:pPr>
      <w:r>
        <w:rPr>
          <w:rStyle w:val="Appelnotedebasdep"/>
        </w:rPr>
        <w:footnoteRef/>
      </w:r>
      <w:r w:rsidRPr="00756FAD">
        <w:rPr>
          <w:lang w:val="pt-BR"/>
        </w:rPr>
        <w:t xml:space="preserve"> </w:t>
      </w:r>
      <w:r w:rsidR="00EB6F61">
        <w:rPr>
          <w:lang w:val="pt-BR"/>
        </w:rPr>
        <w:tab/>
      </w:r>
      <w:r w:rsidRPr="00756FAD">
        <w:rPr>
          <w:i/>
          <w:iCs/>
          <w:lang w:val="pt-BR"/>
        </w:rPr>
        <w:t>Idem</w:t>
      </w:r>
      <w:r w:rsidRPr="00756FAD">
        <w:rPr>
          <w:lang w:val="pt-BR"/>
        </w:rPr>
        <w:t>, par. 19.</w:t>
      </w:r>
    </w:p>
  </w:footnote>
  <w:footnote w:id="103">
    <w:p w14:paraId="2F07BF2F" w14:textId="77777777" w:rsidR="00E252A1" w:rsidRPr="00756FAD" w:rsidRDefault="00E21D39" w:rsidP="00F4232B">
      <w:pPr>
        <w:pStyle w:val="Notedebasdepage"/>
        <w:spacing w:before="20" w:after="40"/>
        <w:rPr>
          <w:lang w:val="pt-BR"/>
        </w:rPr>
      </w:pPr>
      <w:r>
        <w:rPr>
          <w:rStyle w:val="Appelnotedebasdep"/>
        </w:rPr>
        <w:footnoteRef/>
      </w:r>
      <w:r w:rsidRPr="00756FAD">
        <w:rPr>
          <w:lang w:val="pt-BR"/>
        </w:rPr>
        <w:t xml:space="preserve"> </w:t>
      </w:r>
      <w:r w:rsidR="00EB6F61">
        <w:rPr>
          <w:lang w:val="pt-BR"/>
        </w:rPr>
        <w:tab/>
      </w:r>
      <w:r w:rsidRPr="00756FAD">
        <w:rPr>
          <w:i/>
          <w:iCs/>
          <w:lang w:val="pt-BR"/>
        </w:rPr>
        <w:t>Idem</w:t>
      </w:r>
      <w:r w:rsidRPr="00756FAD">
        <w:rPr>
          <w:lang w:val="pt-BR"/>
        </w:rPr>
        <w:t>, par. 72.</w:t>
      </w:r>
    </w:p>
  </w:footnote>
  <w:footnote w:id="104">
    <w:p w14:paraId="573E3E9F" w14:textId="77777777" w:rsidR="00E252A1" w:rsidRDefault="00E21D39" w:rsidP="00F4232B">
      <w:pPr>
        <w:pStyle w:val="Notedebasdepage"/>
        <w:spacing w:before="20" w:after="40"/>
      </w:pPr>
      <w:r>
        <w:rPr>
          <w:rStyle w:val="Appelnotedebasdep"/>
        </w:rPr>
        <w:footnoteRef/>
      </w:r>
      <w:r>
        <w:t xml:space="preserve"> </w:t>
      </w:r>
      <w:r w:rsidR="00EB6F61">
        <w:tab/>
      </w:r>
      <w:r w:rsidRPr="00E252A1">
        <w:rPr>
          <w:i/>
          <w:iCs/>
        </w:rPr>
        <w:t>Genex Communications inc. c. Association québécoise de l’industrie du disque, du spectacle et de la vidéo</w:t>
      </w:r>
      <w:r w:rsidRPr="00E252A1">
        <w:t>, 2009 QCCA 2201, [2009] R.J.Q. 2743, aux paragraphes 108 et 109</w:t>
      </w:r>
    </w:p>
  </w:footnote>
  <w:footnote w:id="105">
    <w:p w14:paraId="09F53DB8" w14:textId="77777777" w:rsidR="00E252A1" w:rsidRDefault="00E21D39" w:rsidP="00F4232B">
      <w:pPr>
        <w:pStyle w:val="Notedebasdepage"/>
        <w:spacing w:before="20" w:after="40"/>
      </w:pPr>
      <w:r>
        <w:rPr>
          <w:rStyle w:val="Appelnotedebasdep"/>
        </w:rPr>
        <w:footnoteRef/>
      </w:r>
      <w:r>
        <w:t xml:space="preserve"> </w:t>
      </w:r>
      <w:r w:rsidR="00EB6F61">
        <w:tab/>
      </w:r>
      <w:r w:rsidRPr="003B4B1F">
        <w:rPr>
          <w:i/>
          <w:iCs/>
        </w:rPr>
        <w:t>Léonardi</w:t>
      </w:r>
      <w:r>
        <w:t>.</w:t>
      </w:r>
      <w:r w:rsidR="003B4B1F">
        <w:t xml:space="preserve"> préc., </w:t>
      </w:r>
      <w:r w:rsidR="00640AFA">
        <w:t xml:space="preserve">note </w:t>
      </w:r>
      <w:r w:rsidR="00880688">
        <w:t>99</w:t>
      </w:r>
      <w:r w:rsidR="00640AFA">
        <w:t xml:space="preserve">, </w:t>
      </w:r>
      <w:r w:rsidR="003B4B1F">
        <w:t>par. 81.</w:t>
      </w:r>
    </w:p>
  </w:footnote>
  <w:footnote w:id="106">
    <w:p w14:paraId="204D7B29" w14:textId="77777777" w:rsidR="003B4B1F" w:rsidRDefault="00E21D39" w:rsidP="00F4232B">
      <w:pPr>
        <w:pStyle w:val="Notedebasdepage"/>
        <w:spacing w:before="20" w:after="40"/>
      </w:pPr>
      <w:r>
        <w:rPr>
          <w:rStyle w:val="Appelnotedebasdep"/>
        </w:rPr>
        <w:footnoteRef/>
      </w:r>
      <w:r>
        <w:t xml:space="preserve"> </w:t>
      </w:r>
      <w:r w:rsidR="00EB6F61">
        <w:tab/>
      </w:r>
      <w:r w:rsidR="00BF1187">
        <w:rPr>
          <w:i/>
          <w:iCs/>
        </w:rPr>
        <w:t>Idem</w:t>
      </w:r>
      <w:r w:rsidR="002D4089">
        <w:rPr>
          <w:i/>
          <w:iCs/>
        </w:rPr>
        <w:t>,</w:t>
      </w:r>
      <w:r w:rsidR="00640AFA">
        <w:t xml:space="preserve"> </w:t>
      </w:r>
      <w:r>
        <w:t>par. 57.</w:t>
      </w:r>
    </w:p>
  </w:footnote>
  <w:footnote w:id="107">
    <w:p w14:paraId="577A9A07" w14:textId="77777777" w:rsidR="00715628" w:rsidRDefault="00E21D39" w:rsidP="00F4232B">
      <w:pPr>
        <w:pStyle w:val="Notedebasdepage"/>
        <w:spacing w:before="20" w:after="40"/>
      </w:pPr>
      <w:r>
        <w:rPr>
          <w:rStyle w:val="Appelnotedebasdep"/>
        </w:rPr>
        <w:footnoteRef/>
      </w:r>
      <w:r>
        <w:t xml:space="preserve"> </w:t>
      </w:r>
      <w:r w:rsidR="00EB6F61">
        <w:tab/>
      </w:r>
      <w:r w:rsidRPr="00715628">
        <w:rPr>
          <w:i/>
          <w:iCs/>
        </w:rPr>
        <w:t>N.B. c. G.A</w:t>
      </w:r>
      <w:r w:rsidRPr="00715628">
        <w:t>., 2021 QCCS 3179</w:t>
      </w:r>
      <w:r>
        <w:t xml:space="preserve">, par. 241 à 252; appel rejeté dans </w:t>
      </w:r>
      <w:r w:rsidRPr="00715628">
        <w:rPr>
          <w:i/>
          <w:iCs/>
        </w:rPr>
        <w:t>G.A. c. N.B</w:t>
      </w:r>
      <w:r w:rsidRPr="00715628">
        <w:t>., 2023 QCCA 932</w:t>
      </w:r>
      <w:r>
        <w:t>.</w:t>
      </w:r>
    </w:p>
  </w:footnote>
  <w:footnote w:id="108">
    <w:p w14:paraId="1573D8FC" w14:textId="77777777" w:rsidR="00715628" w:rsidRDefault="00E21D39" w:rsidP="00F4232B">
      <w:pPr>
        <w:pStyle w:val="Notedebasdepage"/>
        <w:spacing w:before="20" w:after="40"/>
      </w:pPr>
      <w:r>
        <w:rPr>
          <w:rStyle w:val="Appelnotedebasdep"/>
        </w:rPr>
        <w:footnoteRef/>
      </w:r>
      <w:r>
        <w:t xml:space="preserve"> </w:t>
      </w:r>
      <w:r w:rsidR="00EB6F61">
        <w:tab/>
      </w:r>
      <w:r w:rsidR="004E43E2">
        <w:t xml:space="preserve">Sixième </w:t>
      </w:r>
      <w:r>
        <w:t>Demande, par. 25.</w:t>
      </w:r>
    </w:p>
  </w:footnote>
  <w:footnote w:id="109">
    <w:p w14:paraId="1857F83E" w14:textId="77777777" w:rsidR="00715628" w:rsidRDefault="00E21D39" w:rsidP="00F4232B">
      <w:pPr>
        <w:pStyle w:val="Notedebasdepage"/>
        <w:spacing w:before="20" w:after="40"/>
      </w:pPr>
      <w:r>
        <w:rPr>
          <w:rStyle w:val="Appelnotedebasdep"/>
        </w:rPr>
        <w:footnoteRef/>
      </w:r>
      <w:r>
        <w:t xml:space="preserve"> </w:t>
      </w:r>
      <w:r w:rsidR="00EB6F61">
        <w:tab/>
      </w:r>
      <w:r w:rsidR="006A02E3" w:rsidRPr="006A02E3">
        <w:rPr>
          <w:i/>
          <w:iCs/>
        </w:rPr>
        <w:t>M.L. c. Guillot, 2021 QCCA 1450</w:t>
      </w:r>
      <w:bookmarkStart w:id="53" w:name="_Hlk187594236"/>
      <w:r w:rsidR="006369B5">
        <w:t xml:space="preserve">, </w:t>
      </w:r>
      <w:bookmarkEnd w:id="53"/>
      <w:r>
        <w:t>par. 9, 12 et 16.</w:t>
      </w:r>
      <w:r w:rsidR="00166A32">
        <w:t xml:space="preserve"> Voir aussi : </w:t>
      </w:r>
      <w:r w:rsidR="00166A32" w:rsidRPr="008573E6">
        <w:rPr>
          <w:i/>
          <w:iCs/>
        </w:rPr>
        <w:t>Ligue canadienne de hockey c. Latulippe</w:t>
      </w:r>
      <w:r w:rsidR="00166A32" w:rsidRPr="00166A32">
        <w:t>, 2024 QCCA 843</w:t>
      </w:r>
      <w:r w:rsidR="00166A32">
        <w:t>, par. 14.</w:t>
      </w:r>
    </w:p>
  </w:footnote>
  <w:footnote w:id="110">
    <w:p w14:paraId="01DB1AF3" w14:textId="77777777" w:rsidR="00E87347" w:rsidRDefault="00E21D39" w:rsidP="00E87347">
      <w:pPr>
        <w:pStyle w:val="Notedebasdepage"/>
        <w:spacing w:before="20" w:after="40"/>
      </w:pPr>
      <w:r>
        <w:rPr>
          <w:rStyle w:val="Appelnotedebasdep"/>
        </w:rPr>
        <w:footnoteRef/>
      </w:r>
      <w:r>
        <w:t xml:space="preserve"> </w:t>
      </w:r>
      <w:r>
        <w:tab/>
      </w:r>
      <w:r>
        <w:rPr>
          <w:i/>
          <w:iCs/>
        </w:rPr>
        <w:t xml:space="preserve">L’Oratoire, </w:t>
      </w:r>
      <w:r w:rsidRPr="009B1B0F">
        <w:t>préc., note</w:t>
      </w:r>
      <w:r>
        <w:rPr>
          <w:i/>
          <w:iCs/>
        </w:rPr>
        <w:t xml:space="preserve"> </w:t>
      </w:r>
      <w:r w:rsidR="008133D6">
        <w:t>28</w:t>
      </w:r>
      <w:r>
        <w:t>, par. 58;</w:t>
      </w:r>
      <w:r>
        <w:rPr>
          <w:i/>
          <w:iCs/>
        </w:rPr>
        <w:t xml:space="preserve"> </w:t>
      </w:r>
      <w:r w:rsidRPr="002A3ED7">
        <w:rPr>
          <w:i/>
          <w:iCs/>
        </w:rPr>
        <w:t>Infineon</w:t>
      </w:r>
      <w:r>
        <w:rPr>
          <w:i/>
          <w:iCs/>
        </w:rPr>
        <w:t xml:space="preserve"> </w:t>
      </w:r>
      <w:r w:rsidRPr="009B1B0F">
        <w:rPr>
          <w:i/>
          <w:iCs/>
        </w:rPr>
        <w:t>Technologies AG c. Option consommateurs</w:t>
      </w:r>
      <w:r w:rsidRPr="009302EB">
        <w:t>, 2013 CSC 59, [2013] 3 RCS 600</w:t>
      </w:r>
      <w:r>
        <w:t xml:space="preserve">, par. 80, 100, 101, 136, 144. Voir aussi </w:t>
      </w:r>
      <w:bookmarkStart w:id="56" w:name="_Hlk187594209"/>
      <w:r w:rsidR="006A02E3" w:rsidRPr="006A02E3">
        <w:rPr>
          <w:i/>
          <w:iCs/>
        </w:rPr>
        <w:t xml:space="preserve">Guillot, préc., note </w:t>
      </w:r>
      <w:r w:rsidR="006A02E3">
        <w:rPr>
          <w:i/>
          <w:iCs/>
        </w:rPr>
        <w:t>10</w:t>
      </w:r>
      <w:r w:rsidR="006A02E3" w:rsidRPr="006A02E3">
        <w:rPr>
          <w:i/>
          <w:iCs/>
        </w:rPr>
        <w:t>8</w:t>
      </w:r>
      <w:r>
        <w:t>0</w:t>
      </w:r>
      <w:bookmarkEnd w:id="56"/>
      <w:r>
        <w:t>, par. 33-34.</w:t>
      </w:r>
    </w:p>
  </w:footnote>
  <w:footnote w:id="111">
    <w:p w14:paraId="4DA58723" w14:textId="77777777" w:rsidR="00E87347" w:rsidRDefault="00E21D39" w:rsidP="00E87347">
      <w:pPr>
        <w:pStyle w:val="Notedebasdepage"/>
        <w:spacing w:before="20" w:after="40"/>
      </w:pPr>
      <w:r>
        <w:rPr>
          <w:rStyle w:val="Appelnotedebasdep"/>
        </w:rPr>
        <w:footnoteRef/>
      </w:r>
      <w:r>
        <w:t xml:space="preserve"> </w:t>
      </w:r>
      <w:r>
        <w:tab/>
      </w:r>
      <w:r w:rsidRPr="002A3ED7">
        <w:rPr>
          <w:i/>
          <w:iCs/>
        </w:rPr>
        <w:t>L’Oratoire</w:t>
      </w:r>
      <w:r>
        <w:t xml:space="preserve">, </w:t>
      </w:r>
      <w:r w:rsidRPr="00573001">
        <w:rPr>
          <w:i/>
          <w:iCs/>
        </w:rPr>
        <w:t>idem</w:t>
      </w:r>
      <w:r>
        <w:t>, par. 60.</w:t>
      </w:r>
    </w:p>
  </w:footnote>
  <w:footnote w:id="112">
    <w:p w14:paraId="623E1FA8" w14:textId="77777777" w:rsidR="00076CD4" w:rsidRDefault="00E21D39" w:rsidP="00F4232B">
      <w:pPr>
        <w:pStyle w:val="Notedebasdepage"/>
        <w:spacing w:before="20" w:after="40"/>
      </w:pPr>
      <w:r w:rsidRPr="00F1652C">
        <w:rPr>
          <w:rStyle w:val="Appelnotedebasdep"/>
        </w:rPr>
        <w:footnoteRef/>
      </w:r>
      <w:r w:rsidRPr="00F1652C">
        <w:t xml:space="preserve"> </w:t>
      </w:r>
      <w:r w:rsidR="00EB6F61" w:rsidRPr="00F1652C">
        <w:tab/>
      </w:r>
      <w:r w:rsidRPr="00573001">
        <w:rPr>
          <w:i/>
          <w:iCs/>
        </w:rPr>
        <w:t>Les Courageuses</w:t>
      </w:r>
      <w:r w:rsidRPr="00573001">
        <w:t xml:space="preserve">, </w:t>
      </w:r>
      <w:r w:rsidR="00507079" w:rsidRPr="00573001">
        <w:t>préc.</w:t>
      </w:r>
      <w:r w:rsidR="0004233B" w:rsidRPr="00573001">
        <w:t>,</w:t>
      </w:r>
      <w:r w:rsidR="00507079" w:rsidRPr="00573001">
        <w:t xml:space="preserve"> </w:t>
      </w:r>
      <w:r w:rsidR="00596E6D" w:rsidRPr="00F1652C">
        <w:t>note</w:t>
      </w:r>
      <w:r w:rsidR="0004233B" w:rsidRPr="00F1652C">
        <w:t xml:space="preserve"> 6.</w:t>
      </w:r>
    </w:p>
  </w:footnote>
  <w:footnote w:id="113">
    <w:p w14:paraId="04516DFD" w14:textId="77777777" w:rsidR="0036140F" w:rsidRDefault="00E21D39" w:rsidP="00F4232B">
      <w:pPr>
        <w:pStyle w:val="Notedebasdepage"/>
        <w:spacing w:before="20" w:after="40"/>
      </w:pPr>
      <w:r>
        <w:rPr>
          <w:rStyle w:val="Appelnotedebasdep"/>
        </w:rPr>
        <w:footnoteRef/>
      </w:r>
      <w:r>
        <w:t xml:space="preserve"> </w:t>
      </w:r>
      <w:r>
        <w:tab/>
      </w:r>
      <w:r w:rsidRPr="0040134B">
        <w:rPr>
          <w:i/>
          <w:iCs/>
        </w:rPr>
        <w:t>George c. Québec (Procureur général)</w:t>
      </w:r>
      <w:r w:rsidRPr="0040134B">
        <w:t>, 2006 QCCA 1204, par. 40.</w:t>
      </w:r>
    </w:p>
  </w:footnote>
  <w:footnote w:id="114">
    <w:p w14:paraId="42F54359" w14:textId="77777777" w:rsidR="0061194E" w:rsidRPr="00725309" w:rsidRDefault="00E21D39" w:rsidP="00F4232B">
      <w:pPr>
        <w:pStyle w:val="Notedebasdepage"/>
        <w:spacing w:before="20" w:after="40"/>
      </w:pPr>
      <w:r>
        <w:rPr>
          <w:rStyle w:val="Appelnotedebasdep"/>
        </w:rPr>
        <w:footnoteRef/>
      </w:r>
      <w:r w:rsidRPr="00725309">
        <w:t xml:space="preserve"> </w:t>
      </w:r>
      <w:r w:rsidR="00EB6F61" w:rsidRPr="00725309">
        <w:tab/>
      </w:r>
      <w:r w:rsidR="00725309" w:rsidRPr="00573001">
        <w:rPr>
          <w:i/>
          <w:iCs/>
        </w:rPr>
        <w:t xml:space="preserve">Levy c. Nissan Canada Inc., </w:t>
      </w:r>
      <w:r w:rsidR="00725309">
        <w:rPr>
          <w:i/>
          <w:iCs/>
        </w:rPr>
        <w:t xml:space="preserve">préc., </w:t>
      </w:r>
      <w:r w:rsidR="00725309" w:rsidRPr="00573001">
        <w:t>note</w:t>
      </w:r>
      <w:r w:rsidR="00725309">
        <w:t xml:space="preserve"> </w:t>
      </w:r>
      <w:r w:rsidR="006A02E3">
        <w:t>96</w:t>
      </w:r>
      <w:r w:rsidRPr="00725309">
        <w:t>, par. 41 à 42.</w:t>
      </w:r>
    </w:p>
  </w:footnote>
  <w:footnote w:id="115">
    <w:p w14:paraId="56258F43" w14:textId="77777777" w:rsidR="009A10BC" w:rsidRDefault="00E21D39" w:rsidP="00F4232B">
      <w:pPr>
        <w:pStyle w:val="Notedebasdepage"/>
        <w:spacing w:before="20" w:after="40"/>
      </w:pPr>
      <w:r>
        <w:rPr>
          <w:rStyle w:val="Appelnotedebasdep"/>
        </w:rPr>
        <w:footnoteRef/>
      </w:r>
      <w:r>
        <w:t xml:space="preserve"> </w:t>
      </w:r>
      <w:r w:rsidR="00EB6F61">
        <w:tab/>
      </w:r>
      <w:r>
        <w:t xml:space="preserve">Voir </w:t>
      </w:r>
      <w:r w:rsidRPr="0040134B">
        <w:rPr>
          <w:i/>
          <w:iCs/>
        </w:rPr>
        <w:t>Ligue des Noirs du Québec c. Ville de Montréal</w:t>
      </w:r>
      <w:r w:rsidRPr="0040134B">
        <w:t xml:space="preserve">, 2019 QCCS 3319, par. 1, 50 à 52; </w:t>
      </w:r>
      <w:r w:rsidRPr="0040134B">
        <w:rPr>
          <w:i/>
          <w:iCs/>
        </w:rPr>
        <w:t>De Auburn c. Desjardins assurances générales inc</w:t>
      </w:r>
      <w:r w:rsidRPr="0040134B">
        <w:t>., 2022 QCCS 3682, par. 7 et 8.</w:t>
      </w:r>
    </w:p>
  </w:footnote>
  <w:footnote w:id="116">
    <w:p w14:paraId="79F5E6B0" w14:textId="77777777" w:rsidR="00076CD4" w:rsidRDefault="00E21D39" w:rsidP="00F4232B">
      <w:pPr>
        <w:pStyle w:val="Notedebasdepage"/>
        <w:spacing w:before="20" w:after="40"/>
      </w:pPr>
      <w:r>
        <w:rPr>
          <w:rStyle w:val="Appelnotedebasdep"/>
        </w:rPr>
        <w:footnoteRef/>
      </w:r>
      <w:r>
        <w:t xml:space="preserve"> </w:t>
      </w:r>
      <w:r w:rsidR="00EB6F61">
        <w:tab/>
      </w:r>
      <w:r w:rsidRPr="008272F0">
        <w:t xml:space="preserve">Pierre-Claude </w:t>
      </w:r>
      <w:r>
        <w:t>LAFOND</w:t>
      </w:r>
      <w:r w:rsidRPr="008272F0">
        <w:t xml:space="preserve">, </w:t>
      </w:r>
      <w:r w:rsidRPr="008272F0">
        <w:rPr>
          <w:i/>
          <w:iCs/>
        </w:rPr>
        <w:t>Le recours collectif, le rôle du juge et sa conception de la justice : impact et évolution</w:t>
      </w:r>
      <w:r w:rsidRPr="008272F0">
        <w:t xml:space="preserve">, Cowansville, </w:t>
      </w:r>
      <w:r w:rsidR="004C0856">
        <w:t xml:space="preserve">Éditions </w:t>
      </w:r>
      <w:r w:rsidRPr="008272F0">
        <w:t>Yvon Blais, 2006, p. 92.</w:t>
      </w:r>
    </w:p>
  </w:footnote>
  <w:footnote w:id="117">
    <w:p w14:paraId="699FD69C" w14:textId="77777777" w:rsidR="00076CD4" w:rsidRPr="003A38D0" w:rsidRDefault="00E21D39" w:rsidP="00F4232B">
      <w:pPr>
        <w:pStyle w:val="Notedebasdepage"/>
        <w:spacing w:before="20" w:after="40"/>
        <w:rPr>
          <w:lang w:val="en-US"/>
        </w:rPr>
      </w:pPr>
      <w:r>
        <w:rPr>
          <w:rStyle w:val="Appelnotedebasdep"/>
        </w:rPr>
        <w:footnoteRef/>
      </w:r>
      <w:r w:rsidRPr="003A38D0">
        <w:rPr>
          <w:lang w:val="en-US"/>
        </w:rPr>
        <w:t xml:space="preserve"> </w:t>
      </w:r>
      <w:r w:rsidR="00EB6F61">
        <w:rPr>
          <w:lang w:val="en-US"/>
        </w:rPr>
        <w:tab/>
      </w:r>
      <w:r w:rsidRPr="003A38D0">
        <w:rPr>
          <w:i/>
          <w:iCs/>
          <w:lang w:val="en-US"/>
        </w:rPr>
        <w:t>Watch Tower Bible</w:t>
      </w:r>
      <w:r w:rsidRPr="003A38D0">
        <w:rPr>
          <w:lang w:val="en-US"/>
        </w:rPr>
        <w:t>, préc.,</w:t>
      </w:r>
      <w:r w:rsidR="00CA72C9">
        <w:rPr>
          <w:lang w:val="en-US"/>
        </w:rPr>
        <w:t xml:space="preserve"> note 49,</w:t>
      </w:r>
      <w:r w:rsidRPr="003A38D0">
        <w:rPr>
          <w:lang w:val="en-US"/>
        </w:rPr>
        <w:t xml:space="preserve"> par. 45.</w:t>
      </w:r>
    </w:p>
  </w:footnote>
  <w:footnote w:id="118">
    <w:p w14:paraId="33F9156F" w14:textId="77777777" w:rsidR="00076CD4" w:rsidRDefault="00E21D39" w:rsidP="00F4232B">
      <w:pPr>
        <w:pStyle w:val="Notedebasdepage"/>
        <w:spacing w:before="20" w:after="40"/>
      </w:pPr>
      <w:r>
        <w:rPr>
          <w:rStyle w:val="Appelnotedebasdep"/>
        </w:rPr>
        <w:footnoteRef/>
      </w:r>
      <w:r>
        <w:t xml:space="preserve"> </w:t>
      </w:r>
      <w:r w:rsidR="00EB6F61">
        <w:tab/>
      </w:r>
      <w:r w:rsidRPr="00A66B4D">
        <w:rPr>
          <w:i/>
          <w:iCs/>
        </w:rPr>
        <w:t>L’Oratoire</w:t>
      </w:r>
      <w:r>
        <w:t xml:space="preserve">, préc., </w:t>
      </w:r>
      <w:r w:rsidR="008133D6">
        <w:t xml:space="preserve">note 28, </w:t>
      </w:r>
      <w:r>
        <w:t>par. 44.</w:t>
      </w:r>
    </w:p>
  </w:footnote>
  <w:footnote w:id="119">
    <w:p w14:paraId="75B81957" w14:textId="77777777" w:rsidR="00076CD4" w:rsidRDefault="00E21D39" w:rsidP="00C34BC6">
      <w:pPr>
        <w:pStyle w:val="Notedebasdepage"/>
        <w:spacing w:before="20" w:after="40"/>
      </w:pPr>
      <w:r>
        <w:rPr>
          <w:rStyle w:val="Appelnotedebasdep"/>
        </w:rPr>
        <w:footnoteRef/>
      </w:r>
      <w:r>
        <w:t xml:space="preserve"> </w:t>
      </w:r>
      <w:r w:rsidR="007F0240">
        <w:tab/>
      </w:r>
      <w:r>
        <w:t xml:space="preserve">Par. 55 de la </w:t>
      </w:r>
      <w:r w:rsidR="004E43E2">
        <w:t xml:space="preserve">Sixième </w:t>
      </w:r>
      <w:r>
        <w:t>Demande.</w:t>
      </w:r>
    </w:p>
  </w:footnote>
  <w:footnote w:id="120">
    <w:p w14:paraId="32B10C87" w14:textId="77777777" w:rsidR="0086272A" w:rsidRDefault="00E21D39" w:rsidP="00F4232B">
      <w:pPr>
        <w:pStyle w:val="Notedebasdepage"/>
        <w:spacing w:before="20" w:after="40"/>
      </w:pPr>
      <w:r>
        <w:rPr>
          <w:rStyle w:val="Appelnotedebasdep"/>
        </w:rPr>
        <w:footnoteRef/>
      </w:r>
      <w:r>
        <w:t xml:space="preserve"> </w:t>
      </w:r>
      <w:r>
        <w:tab/>
        <w:t xml:space="preserve">La Cour suprême du Canada explique dans </w:t>
      </w:r>
      <w:r w:rsidRPr="0015661F">
        <w:rPr>
          <w:i/>
          <w:iCs/>
        </w:rPr>
        <w:t>R. c. Friesen</w:t>
      </w:r>
      <w:r>
        <w:t xml:space="preserve">, préc., </w:t>
      </w:r>
      <w:r w:rsidR="00D3478F">
        <w:t>note 3</w:t>
      </w:r>
      <w:r w:rsidR="0034705F">
        <w:t xml:space="preserve">, </w:t>
      </w:r>
      <w:r>
        <w:t>par. 148, que « </w:t>
      </w:r>
      <w:r w:rsidRPr="000F092F">
        <w:t>Le législateur a fixé à seize ans l’âge de consentement à une activité sexuelle au Canada (voir le projet de loi C</w:t>
      </w:r>
      <w:r w:rsidRPr="000F092F">
        <w:rPr>
          <w:rFonts w:ascii="Cambria Math" w:hAnsi="Cambria Math" w:cs="Cambria Math"/>
        </w:rPr>
        <w:t>‑</w:t>
      </w:r>
      <w:r w:rsidRPr="000F092F">
        <w:t xml:space="preserve">2, </w:t>
      </w:r>
      <w:r w:rsidRPr="000F092F">
        <w:rPr>
          <w:i/>
          <w:iCs/>
        </w:rPr>
        <w:t>Loi sur la lutte contre les crimes violents</w:t>
      </w:r>
      <w:r w:rsidRPr="000F092F">
        <w:t xml:space="preserve">, </w:t>
      </w:r>
      <w:r w:rsidR="00E528C0">
        <w:t>préc., note 13</w:t>
      </w:r>
      <w:r w:rsidRPr="000F092F">
        <w:t xml:space="preserve">). Sous réserve des exceptions reposant sur la proximité d’âge prévues aux par. 150.1(2.1), (2.2) et (2.3) du </w:t>
      </w:r>
      <w:r w:rsidRPr="00993574">
        <w:rPr>
          <w:i/>
          <w:iCs/>
        </w:rPr>
        <w:t>Code criminel</w:t>
      </w:r>
      <w:r w:rsidRPr="000F092F">
        <w:t xml:space="preserve">, les enfants âgés de moins de seize ans sont donc [traduction] « incapables de donner un consentement véritable à des </w:t>
      </w:r>
      <w:r w:rsidR="009616C8">
        <w:t>relations sexuelles</w:t>
      </w:r>
      <w:r w:rsidRPr="000F092F">
        <w:t xml:space="preserve"> avec des adultes » (</w:t>
      </w:r>
      <w:r w:rsidR="00CF3763" w:rsidRPr="00573001">
        <w:rPr>
          <w:i/>
          <w:iCs/>
        </w:rPr>
        <w:t>R. c</w:t>
      </w:r>
      <w:r w:rsidR="00A44785" w:rsidRPr="00573001">
        <w:rPr>
          <w:i/>
          <w:iCs/>
        </w:rPr>
        <w:t xml:space="preserve">. </w:t>
      </w:r>
      <w:r w:rsidRPr="00573001">
        <w:rPr>
          <w:i/>
          <w:iCs/>
        </w:rPr>
        <w:t>Hajar</w:t>
      </w:r>
      <w:r w:rsidRPr="000F092F">
        <w:t xml:space="preserve">, </w:t>
      </w:r>
      <w:r w:rsidR="00A44785" w:rsidRPr="00A44785">
        <w:t>2016 ABCA 222</w:t>
      </w:r>
      <w:r w:rsidR="00A44785">
        <w:t xml:space="preserve">, </w:t>
      </w:r>
      <w:r w:rsidRPr="000F092F">
        <w:t>par. 40).</w:t>
      </w:r>
      <w:r>
        <w:t> »</w:t>
      </w:r>
    </w:p>
  </w:footnote>
  <w:footnote w:id="121">
    <w:p w14:paraId="4D3A5C80" w14:textId="77777777" w:rsidR="00044B72" w:rsidRDefault="00E21D39" w:rsidP="00F4232B">
      <w:pPr>
        <w:pStyle w:val="Notedebasdepage"/>
        <w:spacing w:before="20" w:after="40"/>
      </w:pPr>
      <w:r>
        <w:rPr>
          <w:rStyle w:val="Appelnotedebasdep"/>
        </w:rPr>
        <w:footnoteRef/>
      </w:r>
      <w:r>
        <w:t xml:space="preserve"> </w:t>
      </w:r>
      <w:r w:rsidR="007F0240">
        <w:tab/>
      </w:r>
      <w:r w:rsidRPr="00346E5A">
        <w:rPr>
          <w:i/>
          <w:iCs/>
        </w:rPr>
        <w:t>Guillot</w:t>
      </w:r>
      <w:r>
        <w:t>, préc.</w:t>
      </w:r>
      <w:r w:rsidR="006369B5">
        <w:t xml:space="preserve">, note </w:t>
      </w:r>
      <w:r w:rsidR="006A02E3">
        <w:t>108</w:t>
      </w:r>
      <w:r w:rsidR="006369B5">
        <w:t>.</w:t>
      </w:r>
    </w:p>
  </w:footnote>
  <w:footnote w:id="122">
    <w:p w14:paraId="52FB82F3" w14:textId="77777777" w:rsidR="00557973" w:rsidRDefault="00E21D39" w:rsidP="00F4232B">
      <w:pPr>
        <w:pStyle w:val="Notedebasdepage"/>
        <w:spacing w:before="20" w:after="40"/>
      </w:pPr>
      <w:r>
        <w:rPr>
          <w:rStyle w:val="Appelnotedebasdep"/>
        </w:rPr>
        <w:footnoteRef/>
      </w:r>
      <w:r>
        <w:t xml:space="preserve"> </w:t>
      </w:r>
      <w:r w:rsidR="005E5491">
        <w:tab/>
      </w:r>
      <w:r w:rsidRPr="008573E6">
        <w:rPr>
          <w:i/>
          <w:iCs/>
        </w:rPr>
        <w:t>Ligue canadienne de hockey</w:t>
      </w:r>
      <w:r w:rsidRPr="00557973">
        <w:t xml:space="preserve">, </w:t>
      </w:r>
      <w:r w:rsidR="00C17014">
        <w:t xml:space="preserve">préc., note </w:t>
      </w:r>
      <w:r w:rsidR="006A02E3">
        <w:t>108</w:t>
      </w:r>
      <w:r>
        <w:t>.</w:t>
      </w:r>
    </w:p>
  </w:footnote>
  <w:footnote w:id="123">
    <w:p w14:paraId="15DB8610" w14:textId="77777777" w:rsidR="00044B72" w:rsidRDefault="00E21D39" w:rsidP="00F4232B">
      <w:pPr>
        <w:pStyle w:val="Notedebasdepage"/>
        <w:spacing w:before="20" w:after="40"/>
      </w:pPr>
      <w:r>
        <w:rPr>
          <w:rStyle w:val="Appelnotedebasdep"/>
        </w:rPr>
        <w:footnoteRef/>
      </w:r>
      <w:r>
        <w:t xml:space="preserve"> </w:t>
      </w:r>
      <w:r w:rsidR="007F0240">
        <w:tab/>
      </w:r>
      <w:r w:rsidRPr="009E109F">
        <w:rPr>
          <w:i/>
          <w:iCs/>
        </w:rPr>
        <w:t>Guillot</w:t>
      </w:r>
      <w:r>
        <w:t xml:space="preserve">, préc., </w:t>
      </w:r>
      <w:r w:rsidR="006369B5">
        <w:t xml:space="preserve">note </w:t>
      </w:r>
      <w:r w:rsidR="006A02E3">
        <w:t>108</w:t>
      </w:r>
      <w:r w:rsidR="006369B5">
        <w:t xml:space="preserve">, </w:t>
      </w:r>
      <w:r>
        <w:t>par. 20.</w:t>
      </w:r>
    </w:p>
  </w:footnote>
  <w:footnote w:id="124">
    <w:p w14:paraId="21B2C8DD" w14:textId="77777777" w:rsidR="00166A32" w:rsidRDefault="00E21D39" w:rsidP="00F4232B">
      <w:pPr>
        <w:pStyle w:val="Notedebasdepage"/>
        <w:spacing w:before="20" w:after="40"/>
      </w:pPr>
      <w:r>
        <w:rPr>
          <w:rStyle w:val="Appelnotedebasdep"/>
        </w:rPr>
        <w:footnoteRef/>
      </w:r>
      <w:r>
        <w:t xml:space="preserve"> </w:t>
      </w:r>
      <w:r w:rsidR="005E5491">
        <w:tab/>
      </w:r>
      <w:r w:rsidRPr="00166A32">
        <w:rPr>
          <w:i/>
          <w:iCs/>
        </w:rPr>
        <w:t>Latulippe c. Ligue canadienne de hockey</w:t>
      </w:r>
      <w:r w:rsidRPr="008573E6">
        <w:t>, 2024 QCCS 1207 (Cour supérieure)</w:t>
      </w:r>
      <w:r w:rsidRPr="00166A32">
        <w:t xml:space="preserve">, </w:t>
      </w:r>
      <w:r>
        <w:t>par. 24 et ss.</w:t>
      </w:r>
    </w:p>
  </w:footnote>
  <w:footnote w:id="125">
    <w:p w14:paraId="62D090D6" w14:textId="77777777" w:rsidR="00076CD4" w:rsidRDefault="00E21D39" w:rsidP="00F4232B">
      <w:pPr>
        <w:pStyle w:val="Notedebasdepage"/>
        <w:spacing w:before="20" w:after="40"/>
      </w:pPr>
      <w:r>
        <w:rPr>
          <w:rStyle w:val="Appelnotedebasdep"/>
        </w:rPr>
        <w:footnoteRef/>
      </w:r>
      <w:r>
        <w:t xml:space="preserve"> </w:t>
      </w:r>
      <w:r w:rsidR="007F0240">
        <w:tab/>
      </w:r>
      <w:r>
        <w:t>À l’exception d’une victime ayant eu une relation sexuelle avec Miller en 1992 et d’une victime ayant eu une relation sexuelle avec Miller en 2012.</w:t>
      </w:r>
    </w:p>
  </w:footnote>
  <w:footnote w:id="126">
    <w:p w14:paraId="765157AD" w14:textId="77777777" w:rsidR="00076CD4" w:rsidRDefault="00E21D39" w:rsidP="00F4232B">
      <w:pPr>
        <w:pStyle w:val="Notedebasdepage"/>
        <w:spacing w:before="20" w:after="40"/>
      </w:pPr>
      <w:r>
        <w:rPr>
          <w:rStyle w:val="Appelnotedebasdep"/>
        </w:rPr>
        <w:footnoteRef/>
      </w:r>
      <w:r>
        <w:t xml:space="preserve"> </w:t>
      </w:r>
      <w:r w:rsidR="007F0240">
        <w:tab/>
      </w:r>
      <w:r w:rsidR="00507079">
        <w:rPr>
          <w:i/>
          <w:iCs/>
        </w:rPr>
        <w:t>Les Courageuses</w:t>
      </w:r>
      <w:r>
        <w:t>, préc.</w:t>
      </w:r>
      <w:r w:rsidR="00F1652C">
        <w:t>,</w:t>
      </w:r>
      <w:r w:rsidR="00507079">
        <w:t xml:space="preserve"> </w:t>
      </w:r>
      <w:r w:rsidR="00507079" w:rsidRPr="00573001">
        <w:t xml:space="preserve">note </w:t>
      </w:r>
      <w:r w:rsidR="00F1652C" w:rsidRPr="00F1652C">
        <w:t>6</w:t>
      </w:r>
      <w:r w:rsidRPr="00F1652C">
        <w:t>,</w:t>
      </w:r>
      <w:r>
        <w:t xml:space="preserve"> par 110-11.</w:t>
      </w:r>
    </w:p>
  </w:footnote>
  <w:footnote w:id="127">
    <w:p w14:paraId="299D844E" w14:textId="77777777" w:rsidR="002D41B1" w:rsidRDefault="00E21D39" w:rsidP="00F4232B">
      <w:pPr>
        <w:pStyle w:val="Notedebasdepage"/>
        <w:spacing w:before="20" w:after="40"/>
      </w:pPr>
      <w:r>
        <w:rPr>
          <w:rStyle w:val="Appelnotedebasdep"/>
        </w:rPr>
        <w:footnoteRef/>
      </w:r>
      <w:r>
        <w:t xml:space="preserve"> </w:t>
      </w:r>
      <w:r w:rsidR="007F0240">
        <w:tab/>
      </w:r>
      <w:r w:rsidR="00507079">
        <w:rPr>
          <w:i/>
          <w:iCs/>
        </w:rPr>
        <w:t>Les Courageuses</w:t>
      </w:r>
      <w:r>
        <w:t>, préc.</w:t>
      </w:r>
      <w:r w:rsidR="00AA76C4">
        <w:t>,</w:t>
      </w:r>
      <w:r w:rsidR="00507079">
        <w:t xml:space="preserve"> note </w:t>
      </w:r>
      <w:r w:rsidR="00AA76C4">
        <w:t>6</w:t>
      </w:r>
      <w:r>
        <w:t>, par. 116-117.</w:t>
      </w:r>
    </w:p>
  </w:footnote>
  <w:footnote w:id="128">
    <w:p w14:paraId="1AE972F0" w14:textId="77777777" w:rsidR="002D41B1" w:rsidRDefault="00E21D39" w:rsidP="00F4232B">
      <w:pPr>
        <w:pStyle w:val="Notedebasdepage"/>
        <w:spacing w:before="20" w:after="40"/>
      </w:pPr>
      <w:r>
        <w:rPr>
          <w:rStyle w:val="Appelnotedebasdep"/>
        </w:rPr>
        <w:footnoteRef/>
      </w:r>
      <w:r>
        <w:t xml:space="preserve"> </w:t>
      </w:r>
      <w:r w:rsidR="007F0240">
        <w:tab/>
      </w:r>
      <w:r w:rsidRPr="002D41B1">
        <w:rPr>
          <w:i/>
          <w:iCs/>
        </w:rPr>
        <w:t>Idem</w:t>
      </w:r>
      <w:r>
        <w:t>.</w:t>
      </w:r>
    </w:p>
  </w:footnote>
  <w:footnote w:id="129">
    <w:p w14:paraId="08EB296C" w14:textId="77777777" w:rsidR="00004469" w:rsidRDefault="00E21D39" w:rsidP="00F4232B">
      <w:pPr>
        <w:pStyle w:val="Notedebasdepage"/>
        <w:spacing w:before="20" w:after="40"/>
      </w:pPr>
      <w:r>
        <w:rPr>
          <w:rStyle w:val="Appelnotedebasdep"/>
        </w:rPr>
        <w:footnoteRef/>
      </w:r>
      <w:r>
        <w:t xml:space="preserve"> </w:t>
      </w:r>
      <w:r w:rsidR="007F0240">
        <w:tab/>
      </w:r>
      <w:r w:rsidR="00507079">
        <w:rPr>
          <w:i/>
          <w:iCs/>
        </w:rPr>
        <w:t>Les Courageuses</w:t>
      </w:r>
      <w:r w:rsidRPr="00004469">
        <w:t xml:space="preserve">, </w:t>
      </w:r>
      <w:r w:rsidR="001F11F0">
        <w:t xml:space="preserve">préc., note 6, </w:t>
      </w:r>
      <w:r w:rsidRPr="00004469">
        <w:t xml:space="preserve">par. 44; </w:t>
      </w:r>
      <w:r w:rsidRPr="00176F70">
        <w:rPr>
          <w:i/>
          <w:iCs/>
        </w:rPr>
        <w:t>Brière c. Rogers Communications</w:t>
      </w:r>
      <w:r w:rsidRPr="00004469">
        <w:t xml:space="preserve">, 2012 QCCS 2733, par. 71 et 72; Yves </w:t>
      </w:r>
      <w:r w:rsidR="00176F70">
        <w:t>LAUZON</w:t>
      </w:r>
      <w:r w:rsidRPr="00004469">
        <w:t xml:space="preserve">, </w:t>
      </w:r>
      <w:r w:rsidRPr="00176F70">
        <w:rPr>
          <w:i/>
          <w:iCs/>
        </w:rPr>
        <w:t>Le recours collectif</w:t>
      </w:r>
      <w:r w:rsidRPr="00004469">
        <w:t xml:space="preserve">, </w:t>
      </w:r>
      <w:r w:rsidR="000703E3" w:rsidRPr="00004469">
        <w:t xml:space="preserve">Cowansville, </w:t>
      </w:r>
      <w:r w:rsidRPr="00004469">
        <w:t>Éditions Yvon Blais, 2001, p. 38, 39 et 42.</w:t>
      </w:r>
    </w:p>
  </w:footnote>
  <w:footnote w:id="130">
    <w:p w14:paraId="40A0CB9B" w14:textId="77777777" w:rsidR="00176F70" w:rsidRPr="00F23D01" w:rsidRDefault="00E21D39" w:rsidP="00F4232B">
      <w:pPr>
        <w:pStyle w:val="Notedebasdepage"/>
        <w:spacing w:before="20" w:after="40"/>
      </w:pPr>
      <w:r>
        <w:rPr>
          <w:rStyle w:val="Appelnotedebasdep"/>
        </w:rPr>
        <w:footnoteRef/>
      </w:r>
      <w:r>
        <w:t xml:space="preserve"> </w:t>
      </w:r>
      <w:r w:rsidR="007F0240">
        <w:tab/>
      </w:r>
      <w:r w:rsidR="000A7F1A" w:rsidRPr="000A7F1A">
        <w:rPr>
          <w:i/>
          <w:iCs/>
        </w:rPr>
        <w:t>Desjardins</w:t>
      </w:r>
      <w:r>
        <w:t>, préc.</w:t>
      </w:r>
      <w:r w:rsidR="00F23D01">
        <w:t>,</w:t>
      </w:r>
      <w:r w:rsidR="00773F2A">
        <w:t xml:space="preserve"> note </w:t>
      </w:r>
      <w:r w:rsidR="00F365FA">
        <w:t>36</w:t>
      </w:r>
      <w:r>
        <w:t>, par. 16</w:t>
      </w:r>
      <w:r w:rsidR="00773F2A">
        <w:t>;</w:t>
      </w:r>
      <w:r w:rsidR="008C7C60" w:rsidRPr="008C7C60">
        <w:rPr>
          <w:i/>
          <w:iCs/>
        </w:rPr>
        <w:t xml:space="preserve"> </w:t>
      </w:r>
      <w:r w:rsidR="008C7C60" w:rsidRPr="00D31B95">
        <w:rPr>
          <w:i/>
          <w:iCs/>
        </w:rPr>
        <w:t>Asselin</w:t>
      </w:r>
      <w:r w:rsidR="00F23D01" w:rsidRPr="00D31B95">
        <w:rPr>
          <w:i/>
          <w:iCs/>
        </w:rPr>
        <w:t xml:space="preserve">, </w:t>
      </w:r>
      <w:r w:rsidR="00F23D01" w:rsidRPr="00D31B95">
        <w:t xml:space="preserve">préc., note </w:t>
      </w:r>
      <w:r w:rsidR="00F365FA" w:rsidRPr="00D31B95">
        <w:t>2</w:t>
      </w:r>
      <w:r w:rsidR="00F365FA">
        <w:t>3</w:t>
      </w:r>
      <w:r w:rsidR="001D58CF" w:rsidRPr="00D31B95">
        <w:t>, par. 29.</w:t>
      </w:r>
    </w:p>
  </w:footnote>
  <w:footnote w:id="131">
    <w:p w14:paraId="73AFDC10" w14:textId="77777777" w:rsidR="004E574F" w:rsidRDefault="00E21D39" w:rsidP="00573001">
      <w:pPr>
        <w:pStyle w:val="Notedebasdepage"/>
        <w:spacing w:before="20" w:after="40" w:line="360" w:lineRule="auto"/>
      </w:pPr>
      <w:r>
        <w:rPr>
          <w:rStyle w:val="Appelnotedebasdep"/>
        </w:rPr>
        <w:footnoteRef/>
      </w:r>
      <w:r>
        <w:t xml:space="preserve"> </w:t>
      </w:r>
      <w:r w:rsidR="007F0240">
        <w:tab/>
      </w:r>
      <w:r w:rsidR="000646C4" w:rsidRPr="000646C4">
        <w:rPr>
          <w:i/>
          <w:iCs/>
        </w:rPr>
        <w:t>J.J. c. Oratoire</w:t>
      </w:r>
      <w:r>
        <w:t xml:space="preserve">, </w:t>
      </w:r>
      <w:r w:rsidR="002106AD">
        <w:t xml:space="preserve">préc., note </w:t>
      </w:r>
      <w:r w:rsidR="008133D6">
        <w:t>32</w:t>
      </w:r>
      <w:r>
        <w:t>, par. 49.</w:t>
      </w:r>
    </w:p>
  </w:footnote>
  <w:footnote w:id="132">
    <w:p w14:paraId="3C9A3B16" w14:textId="77777777" w:rsidR="00553663" w:rsidRDefault="00E21D39" w:rsidP="00573001">
      <w:pPr>
        <w:pStyle w:val="Notedebasdepage"/>
        <w:spacing w:before="20" w:after="40" w:line="360" w:lineRule="auto"/>
      </w:pPr>
      <w:r>
        <w:rPr>
          <w:rStyle w:val="Appelnotedebasdep"/>
        </w:rPr>
        <w:footnoteRef/>
      </w:r>
      <w:r>
        <w:t xml:space="preserve"> </w:t>
      </w:r>
      <w:r w:rsidR="007F0240">
        <w:tab/>
      </w:r>
      <w:r>
        <w:t>Voir paragraphe 297 du Plan d’argumentation des codemanderesses.</w:t>
      </w:r>
    </w:p>
  </w:footnote>
  <w:footnote w:id="133">
    <w:p w14:paraId="03D99CC7" w14:textId="77777777" w:rsidR="004E574F" w:rsidRDefault="00E21D39" w:rsidP="00573001">
      <w:pPr>
        <w:pStyle w:val="Notedebasdepage"/>
        <w:spacing w:before="20" w:after="40" w:line="360" w:lineRule="auto"/>
      </w:pPr>
      <w:r>
        <w:rPr>
          <w:rStyle w:val="Appelnotedebasdep"/>
        </w:rPr>
        <w:footnoteRef/>
      </w:r>
      <w:r>
        <w:t xml:space="preserve"> </w:t>
      </w:r>
      <w:r w:rsidR="007F0240">
        <w:tab/>
      </w:r>
      <w:r>
        <w:t xml:space="preserve">Voir </w:t>
      </w:r>
      <w:r w:rsidRPr="004E574F">
        <w:rPr>
          <w:i/>
          <w:iCs/>
        </w:rPr>
        <w:t xml:space="preserve">G.C. </w:t>
      </w:r>
      <w:r>
        <w:rPr>
          <w:i/>
          <w:iCs/>
        </w:rPr>
        <w:t>c</w:t>
      </w:r>
      <w:r w:rsidRPr="004E574F">
        <w:rPr>
          <w:i/>
          <w:iCs/>
        </w:rPr>
        <w:t xml:space="preserve">. Frères de la </w:t>
      </w:r>
      <w:r w:rsidR="002232DB">
        <w:rPr>
          <w:i/>
          <w:iCs/>
        </w:rPr>
        <w:t>C</w:t>
      </w:r>
      <w:r w:rsidRPr="004E574F">
        <w:rPr>
          <w:i/>
          <w:iCs/>
        </w:rPr>
        <w:t>harité</w:t>
      </w:r>
      <w:r>
        <w:t>, 2023 QCCS 5209, par. 71-72.</w:t>
      </w:r>
    </w:p>
  </w:footnote>
  <w:footnote w:id="134">
    <w:p w14:paraId="4E603357" w14:textId="77777777" w:rsidR="008514F2" w:rsidRPr="008514F2" w:rsidRDefault="00E21D39" w:rsidP="00573001">
      <w:pPr>
        <w:pStyle w:val="Notedebasdepage"/>
        <w:spacing w:before="20" w:after="40" w:line="360" w:lineRule="auto"/>
        <w:rPr>
          <w:lang w:val="en-US"/>
        </w:rPr>
      </w:pPr>
      <w:r>
        <w:rPr>
          <w:rStyle w:val="Appelnotedebasdep"/>
        </w:rPr>
        <w:footnoteRef/>
      </w:r>
      <w:r w:rsidRPr="008514F2">
        <w:rPr>
          <w:lang w:val="en-US"/>
        </w:rPr>
        <w:t xml:space="preserve"> </w:t>
      </w:r>
      <w:r w:rsidR="007F0240">
        <w:rPr>
          <w:lang w:val="en-US"/>
        </w:rPr>
        <w:tab/>
      </w:r>
      <w:r w:rsidRPr="008514F2">
        <w:rPr>
          <w:i/>
          <w:iCs/>
          <w:lang w:val="en-US"/>
        </w:rPr>
        <w:t>Watch Tower Bible</w:t>
      </w:r>
      <w:r w:rsidR="00CA72C9">
        <w:rPr>
          <w:i/>
          <w:iCs/>
          <w:lang w:val="en-US"/>
        </w:rPr>
        <w:t xml:space="preserve">, </w:t>
      </w:r>
      <w:r w:rsidR="00CA72C9">
        <w:rPr>
          <w:lang w:val="en-US"/>
        </w:rPr>
        <w:t xml:space="preserve">préc., note </w:t>
      </w:r>
      <w:r w:rsidR="00CE192D">
        <w:rPr>
          <w:lang w:val="en-US"/>
        </w:rPr>
        <w:t>50</w:t>
      </w:r>
      <w:r>
        <w:rPr>
          <w:lang w:val="en-US"/>
        </w:rPr>
        <w:t>, par. 47.</w:t>
      </w:r>
    </w:p>
  </w:footnote>
  <w:footnote w:id="135">
    <w:p w14:paraId="5B9E8185" w14:textId="77777777" w:rsidR="00D4013C" w:rsidRDefault="00E21D39" w:rsidP="00F4232B">
      <w:pPr>
        <w:pStyle w:val="Notedebasdepage"/>
        <w:spacing w:before="20" w:after="40"/>
      </w:pPr>
      <w:r>
        <w:rPr>
          <w:rStyle w:val="Appelnotedebasdep"/>
        </w:rPr>
        <w:footnoteRef/>
      </w:r>
      <w:r>
        <w:t xml:space="preserve"> </w:t>
      </w:r>
      <w:r w:rsidR="007F0240">
        <w:tab/>
      </w:r>
      <w:r w:rsidRPr="00D4013C">
        <w:rPr>
          <w:i/>
          <w:iCs/>
        </w:rPr>
        <w:t>Tessier</w:t>
      </w:r>
      <w:r>
        <w:t xml:space="preserve">, </w:t>
      </w:r>
      <w:r w:rsidR="005E4238">
        <w:t xml:space="preserve">préc., note </w:t>
      </w:r>
      <w:r w:rsidR="00CE192D">
        <w:t>31</w:t>
      </w:r>
      <w:r w:rsidR="005E4238">
        <w:t xml:space="preserve">, </w:t>
      </w:r>
      <w:r>
        <w:t>par. 29.</w:t>
      </w:r>
      <w:r w:rsidR="007D23ED">
        <w:t xml:space="preserve"> Voir aussi : </w:t>
      </w:r>
      <w:r w:rsidR="007D23ED" w:rsidRPr="007D23ED">
        <w:rPr>
          <w:i/>
          <w:iCs/>
        </w:rPr>
        <w:t>Desjardins</w:t>
      </w:r>
      <w:r w:rsidR="00852B76">
        <w:rPr>
          <w:i/>
          <w:iCs/>
        </w:rPr>
        <w:t xml:space="preserve">, </w:t>
      </w:r>
      <w:r w:rsidR="00BE6034">
        <w:t>préc.</w:t>
      </w:r>
      <w:r w:rsidR="00F4344C">
        <w:t>,</w:t>
      </w:r>
      <w:r w:rsidR="00BE6034">
        <w:t xml:space="preserve"> note </w:t>
      </w:r>
      <w:r w:rsidR="00CE192D">
        <w:t>36</w:t>
      </w:r>
      <w:r w:rsidR="00BE6034">
        <w:t>.</w:t>
      </w:r>
    </w:p>
  </w:footnote>
  <w:footnote w:id="136">
    <w:p w14:paraId="6ADBC140" w14:textId="77777777" w:rsidR="00D4013C" w:rsidRDefault="00E21D39" w:rsidP="00F4232B">
      <w:pPr>
        <w:pStyle w:val="Notedebasdepage"/>
        <w:spacing w:before="20" w:after="40"/>
      </w:pPr>
      <w:r>
        <w:rPr>
          <w:rStyle w:val="Appelnotedebasdep"/>
        </w:rPr>
        <w:footnoteRef/>
      </w:r>
      <w:r>
        <w:t xml:space="preserve"> </w:t>
      </w:r>
      <w:r w:rsidR="007F0240">
        <w:tab/>
      </w:r>
      <w:r w:rsidRPr="00603B9B">
        <w:rPr>
          <w:i/>
          <w:iCs/>
        </w:rPr>
        <w:t>L’Oratoire</w:t>
      </w:r>
      <w:r>
        <w:t xml:space="preserve">, préc., </w:t>
      </w:r>
      <w:r w:rsidR="00CB737E">
        <w:t xml:space="preserve">note </w:t>
      </w:r>
      <w:r w:rsidR="008133D6">
        <w:t>28</w:t>
      </w:r>
      <w:r w:rsidR="00CB737E">
        <w:t xml:space="preserve">, </w:t>
      </w:r>
      <w:r>
        <w:t>par. 32.</w:t>
      </w:r>
    </w:p>
  </w:footnote>
  <w:footnote w:id="137">
    <w:p w14:paraId="0B91B0B6" w14:textId="77777777" w:rsidR="00B77F8C" w:rsidRPr="0095486F" w:rsidRDefault="00E21D39" w:rsidP="00F4232B">
      <w:pPr>
        <w:pStyle w:val="Notedebasdepage"/>
        <w:spacing w:before="20" w:after="40"/>
      </w:pPr>
      <w:r>
        <w:rPr>
          <w:rStyle w:val="Appelnotedebasdep"/>
        </w:rPr>
        <w:footnoteRef/>
      </w:r>
      <w:r w:rsidRPr="0095486F">
        <w:t xml:space="preserve"> </w:t>
      </w:r>
      <w:r w:rsidR="007F0240" w:rsidRPr="0095486F">
        <w:tab/>
      </w:r>
      <w:r w:rsidRPr="0095486F">
        <w:rPr>
          <w:i/>
          <w:iCs/>
        </w:rPr>
        <w:t>Watch Tower Bible</w:t>
      </w:r>
      <w:r w:rsidRPr="0095486F">
        <w:t xml:space="preserve">, préc., </w:t>
      </w:r>
      <w:r w:rsidR="002F0B26" w:rsidRPr="0095486F">
        <w:t xml:space="preserve">note </w:t>
      </w:r>
      <w:r w:rsidR="00F4344C" w:rsidRPr="0095486F">
        <w:t>50</w:t>
      </w:r>
      <w:r w:rsidR="002F0B26" w:rsidRPr="0095486F">
        <w:t xml:space="preserve">, </w:t>
      </w:r>
      <w:r w:rsidRPr="0095486F">
        <w:t>par. 49.</w:t>
      </w:r>
    </w:p>
  </w:footnote>
  <w:footnote w:id="138">
    <w:p w14:paraId="6F34DE5A" w14:textId="77777777" w:rsidR="00FF1C6F" w:rsidRDefault="00E21D39" w:rsidP="00F4232B">
      <w:pPr>
        <w:pStyle w:val="Notedebasdepage"/>
        <w:spacing w:before="20" w:after="40"/>
      </w:pPr>
      <w:r>
        <w:rPr>
          <w:rStyle w:val="Appelnotedebasdep"/>
        </w:rPr>
        <w:footnoteRef/>
      </w:r>
      <w:r>
        <w:t xml:space="preserve"> </w:t>
      </w:r>
      <w:r w:rsidR="007F0240">
        <w:tab/>
      </w:r>
      <w:r w:rsidRPr="00FF1C6F">
        <w:rPr>
          <w:i/>
          <w:iCs/>
        </w:rPr>
        <w:t>Tessier</w:t>
      </w:r>
      <w:r>
        <w:t xml:space="preserve">, préc., </w:t>
      </w:r>
      <w:r w:rsidR="00C93602">
        <w:t xml:space="preserve">note </w:t>
      </w:r>
      <w:r w:rsidR="00F4344C">
        <w:t>31</w:t>
      </w:r>
      <w:r w:rsidR="00C93602">
        <w:t xml:space="preserve">, </w:t>
      </w:r>
      <w:r>
        <w:t>par. 29.</w:t>
      </w:r>
    </w:p>
  </w:footnote>
  <w:footnote w:id="139">
    <w:p w14:paraId="5A43114A" w14:textId="77777777" w:rsidR="00FF1C6F" w:rsidRDefault="00E21D39" w:rsidP="00F4232B">
      <w:pPr>
        <w:pStyle w:val="Notedebasdepage"/>
        <w:spacing w:before="20" w:after="40"/>
      </w:pPr>
      <w:r>
        <w:rPr>
          <w:rStyle w:val="Appelnotedebasdep"/>
        </w:rPr>
        <w:footnoteRef/>
      </w:r>
      <w:r>
        <w:t xml:space="preserve"> </w:t>
      </w:r>
      <w:r w:rsidR="007F0240">
        <w:tab/>
      </w:r>
      <w:r w:rsidRPr="00FF1C6F">
        <w:rPr>
          <w:i/>
          <w:iCs/>
        </w:rPr>
        <w:t>Société québécoise de gestion collective des droits de reproduction (Copibec) c. Université Laval</w:t>
      </w:r>
      <w:r>
        <w:t>, 2017 QCCA 199, par. 57.</w:t>
      </w:r>
    </w:p>
  </w:footnote>
  <w:footnote w:id="140">
    <w:p w14:paraId="59FB219E" w14:textId="77777777" w:rsidR="003E7928" w:rsidRDefault="00E21D39" w:rsidP="00F4232B">
      <w:pPr>
        <w:pStyle w:val="Notedebasdepage"/>
        <w:spacing w:before="20" w:after="40"/>
      </w:pPr>
      <w:r>
        <w:rPr>
          <w:rStyle w:val="Appelnotedebasdep"/>
        </w:rPr>
        <w:footnoteRef/>
      </w:r>
      <w:r>
        <w:t xml:space="preserve"> </w:t>
      </w:r>
      <w:r w:rsidR="007F0240">
        <w:tab/>
      </w:r>
      <w:r w:rsidRPr="007D23ED">
        <w:rPr>
          <w:i/>
          <w:iCs/>
        </w:rPr>
        <w:t>A c. Frères du Sacré-Cœur</w:t>
      </w:r>
      <w:r w:rsidRPr="007D23ED">
        <w:t>, 2017 QCCS 34, par. 71 et 79</w:t>
      </w:r>
    </w:p>
  </w:footnote>
  <w:footnote w:id="141">
    <w:p w14:paraId="12458D28" w14:textId="77777777" w:rsidR="002E2258" w:rsidRDefault="00E21D39" w:rsidP="00573001">
      <w:pPr>
        <w:pStyle w:val="Notedebasdepage"/>
        <w:spacing w:before="20" w:after="240"/>
      </w:pPr>
      <w:r>
        <w:rPr>
          <w:rStyle w:val="Appelnotedebasdep"/>
        </w:rPr>
        <w:footnoteRef/>
      </w:r>
      <w:r>
        <w:t xml:space="preserve"> </w:t>
      </w:r>
      <w:r w:rsidR="007F0240">
        <w:tab/>
      </w:r>
      <w:r w:rsidRPr="002E2258">
        <w:rPr>
          <w:i/>
          <w:iCs/>
        </w:rPr>
        <w:t>Centre commercial Terrebonne ltée c. Jean Bleu inc</w:t>
      </w:r>
      <w:r>
        <w:t>., 2022 QCCS 1409, par. 7.</w:t>
      </w:r>
    </w:p>
  </w:footnote>
  <w:footnote w:id="142">
    <w:p w14:paraId="1144FA72" w14:textId="77777777" w:rsidR="007000DD" w:rsidRDefault="00E21D39" w:rsidP="00573001">
      <w:pPr>
        <w:pStyle w:val="Notedebasdepage"/>
        <w:spacing w:before="20" w:after="100"/>
      </w:pPr>
      <w:r>
        <w:rPr>
          <w:rStyle w:val="Appelnotedebasdep"/>
        </w:rPr>
        <w:footnoteRef/>
      </w:r>
      <w:r>
        <w:t xml:space="preserve"> </w:t>
      </w:r>
      <w:r>
        <w:tab/>
      </w:r>
      <w:r w:rsidRPr="00B27DA3">
        <w:rPr>
          <w:i/>
          <w:iCs/>
        </w:rPr>
        <w:t>Royal Lepage commercial inc. c. 109650 Canada Ltd.,</w:t>
      </w:r>
      <w:r w:rsidRPr="007F4F69">
        <w:t xml:space="preserve"> 2007</w:t>
      </w:r>
      <w:r>
        <w:t> </w:t>
      </w:r>
      <w:r w:rsidRPr="007F4F69">
        <w:t>QCCA</w:t>
      </w:r>
      <w:r>
        <w:t> </w:t>
      </w:r>
      <w:r w:rsidRPr="007F4F69">
        <w:t>915, par. 46</w:t>
      </w:r>
      <w:r>
        <w:t> </w:t>
      </w:r>
      <w:r w:rsidRPr="007F4F69">
        <w:t xml:space="preserve">; </w:t>
      </w:r>
      <w:r w:rsidRPr="00B27DA3">
        <w:rPr>
          <w:i/>
          <w:iCs/>
        </w:rPr>
        <w:t>Parisien c. Hôtel du Lac Tremblant inc</w:t>
      </w:r>
      <w:r w:rsidRPr="007F4F69">
        <w:t>., 2018</w:t>
      </w:r>
      <w:r>
        <w:t> </w:t>
      </w:r>
      <w:r w:rsidRPr="007F4F69">
        <w:t>QCCA</w:t>
      </w:r>
      <w:r>
        <w:t> </w:t>
      </w:r>
      <w:r w:rsidRPr="007F4F69">
        <w:t>2217, par. 7.</w:t>
      </w:r>
    </w:p>
  </w:footnote>
  <w:footnote w:id="143">
    <w:p w14:paraId="1E48A2C2" w14:textId="77777777" w:rsidR="007000DD" w:rsidRDefault="00E21D39" w:rsidP="00573001">
      <w:pPr>
        <w:pStyle w:val="Notedebasdepage"/>
        <w:spacing w:before="20" w:after="100"/>
      </w:pPr>
      <w:r>
        <w:rPr>
          <w:rStyle w:val="Appelnotedebasdep"/>
        </w:rPr>
        <w:footnoteRef/>
      </w:r>
      <w:r>
        <w:t xml:space="preserve"> </w:t>
      </w:r>
      <w:r>
        <w:tab/>
      </w:r>
      <w:r w:rsidRPr="00B27DA3">
        <w:rPr>
          <w:i/>
          <w:iCs/>
        </w:rPr>
        <w:t>l-Hachem c. Décary</w:t>
      </w:r>
      <w:r w:rsidRPr="007F4F69">
        <w:t>, 2012</w:t>
      </w:r>
      <w:r>
        <w:t> </w:t>
      </w:r>
      <w:r w:rsidRPr="007F4F69">
        <w:t>QCCA</w:t>
      </w:r>
      <w:r>
        <w:t> </w:t>
      </w:r>
      <w:r w:rsidRPr="007F4F69">
        <w:t>2071, par. 9</w:t>
      </w:r>
      <w:r>
        <w:t> </w:t>
      </w:r>
      <w:r w:rsidRPr="007F4F69">
        <w:t xml:space="preserve">; </w:t>
      </w:r>
      <w:r w:rsidRPr="00B27DA3">
        <w:rPr>
          <w:i/>
          <w:iCs/>
        </w:rPr>
        <w:t>Charland c. Lessard</w:t>
      </w:r>
      <w:r w:rsidRPr="007F4F69">
        <w:t>, 2015</w:t>
      </w:r>
      <w:r>
        <w:t> </w:t>
      </w:r>
      <w:r w:rsidRPr="007F4F69">
        <w:t>QCCA</w:t>
      </w:r>
      <w:r>
        <w:t> </w:t>
      </w:r>
      <w:r w:rsidRPr="007F4F69">
        <w:t>14, par. 191</w:t>
      </w:r>
      <w:r>
        <w:t> </w:t>
      </w:r>
      <w:r w:rsidRPr="007F4F69">
        <w:t xml:space="preserve">; </w:t>
      </w:r>
      <w:r w:rsidRPr="007000DD">
        <w:rPr>
          <w:i/>
          <w:iCs/>
        </w:rPr>
        <w:t>Procureur général du Québec c. Lamontagne</w:t>
      </w:r>
      <w:r w:rsidRPr="007F4F69">
        <w:t>, 2020</w:t>
      </w:r>
      <w:r>
        <w:t> </w:t>
      </w:r>
      <w:r w:rsidRPr="007F4F69">
        <w:t>QCCA</w:t>
      </w:r>
      <w:r>
        <w:t> </w:t>
      </w:r>
      <w:r w:rsidRPr="007F4F69">
        <w:t>1137, par. 55</w:t>
      </w:r>
      <w:r>
        <w:t> </w:t>
      </w:r>
      <w:r w:rsidRPr="007F4F69">
        <w:t xml:space="preserve">; </w:t>
      </w:r>
      <w:r w:rsidRPr="00B27DA3">
        <w:rPr>
          <w:i/>
          <w:iCs/>
        </w:rPr>
        <w:t>Syndicat de la copropriété de l</w:t>
      </w:r>
      <w:r>
        <w:rPr>
          <w:i/>
          <w:iCs/>
        </w:rPr>
        <w:t>’</w:t>
      </w:r>
      <w:r w:rsidRPr="00B27DA3">
        <w:rPr>
          <w:i/>
          <w:iCs/>
        </w:rPr>
        <w:t>Île Bellevue Phase I c. Propriétés Belcourt inc</w:t>
      </w:r>
      <w:r w:rsidRPr="007F4F69">
        <w:t>., 2021</w:t>
      </w:r>
      <w:r>
        <w:t> </w:t>
      </w:r>
      <w:r w:rsidRPr="007F4F69">
        <w:t>QCCA</w:t>
      </w:r>
      <w:r>
        <w:t> </w:t>
      </w:r>
      <w:r w:rsidRPr="007F4F69">
        <w:t>92, par. 35.</w:t>
      </w:r>
    </w:p>
  </w:footnote>
  <w:footnote w:id="144">
    <w:p w14:paraId="6398C0EB" w14:textId="77777777" w:rsidR="00B50089" w:rsidRPr="002440C0" w:rsidRDefault="00E21D39" w:rsidP="00B50089">
      <w:pPr>
        <w:pStyle w:val="Notedebasdepage"/>
        <w:spacing w:before="20" w:after="100"/>
        <w:rPr>
          <w:lang w:val="en-CA"/>
        </w:rPr>
      </w:pPr>
      <w:r>
        <w:rPr>
          <w:rStyle w:val="Appelnotedebasdep"/>
        </w:rPr>
        <w:footnoteRef/>
      </w:r>
      <w:r w:rsidRPr="002440C0">
        <w:rPr>
          <w:lang w:val="en-CA"/>
        </w:rPr>
        <w:t xml:space="preserve"> </w:t>
      </w:r>
      <w:r w:rsidRPr="002440C0">
        <w:rPr>
          <w:lang w:val="en-CA"/>
        </w:rPr>
        <w:tab/>
        <w:t>Art. 53 alinéa 5 C.c.p.</w:t>
      </w:r>
    </w:p>
  </w:footnote>
  <w:footnote w:id="145">
    <w:p w14:paraId="762DEC68" w14:textId="77777777" w:rsidR="007000DD" w:rsidRPr="00573001" w:rsidRDefault="00E21D39" w:rsidP="00573001">
      <w:pPr>
        <w:pStyle w:val="Notedebasdepage"/>
        <w:spacing w:before="20" w:after="100"/>
        <w:rPr>
          <w:lang w:val="en-CA"/>
        </w:rPr>
      </w:pPr>
      <w:r>
        <w:rPr>
          <w:rStyle w:val="Appelnotedebasdep"/>
        </w:rPr>
        <w:footnoteRef/>
      </w:r>
      <w:r w:rsidRPr="00573001">
        <w:rPr>
          <w:lang w:val="en-CA"/>
        </w:rPr>
        <w:t xml:space="preserve"> </w:t>
      </w:r>
      <w:r w:rsidRPr="00573001">
        <w:rPr>
          <w:lang w:val="en-CA"/>
        </w:rPr>
        <w:tab/>
      </w:r>
      <w:r w:rsidR="005D7BBF" w:rsidRPr="00573001">
        <w:rPr>
          <w:i/>
          <w:iCs/>
          <w:lang w:val="en-CA"/>
        </w:rPr>
        <w:t>Biron c. 150 Marchand Holdings inc.,</w:t>
      </w:r>
      <w:r w:rsidR="005D7BBF">
        <w:rPr>
          <w:lang w:val="en-CA"/>
        </w:rPr>
        <w:t xml:space="preserve"> </w:t>
      </w:r>
      <w:r w:rsidRPr="00573001">
        <w:rPr>
          <w:lang w:val="en-CA"/>
        </w:rPr>
        <w:t>2020 QCCA 1537, par. 126.</w:t>
      </w:r>
    </w:p>
  </w:footnote>
  <w:footnote w:id="146">
    <w:p w14:paraId="5AD34758" w14:textId="77777777" w:rsidR="007D3884" w:rsidRDefault="00E21D39" w:rsidP="00F4232B">
      <w:pPr>
        <w:pStyle w:val="Notedebasdepage"/>
        <w:spacing w:before="20" w:after="40"/>
      </w:pPr>
      <w:r>
        <w:rPr>
          <w:rStyle w:val="Appelnotedebasdep"/>
        </w:rPr>
        <w:footnoteRef/>
      </w:r>
      <w:r>
        <w:t xml:space="preserve"> </w:t>
      </w:r>
      <w:bookmarkStart w:id="75" w:name="_Hlk185204807"/>
      <w:r w:rsidR="007F0240">
        <w:tab/>
      </w:r>
      <w:r w:rsidR="00446831" w:rsidRPr="00E8062D">
        <w:rPr>
          <w:i/>
          <w:iCs/>
        </w:rPr>
        <w:t>S.N. c. Miller</w:t>
      </w:r>
      <w:r w:rsidR="00446831" w:rsidRPr="007F0240">
        <w:t>, 2024 QCCS 4367</w:t>
      </w:r>
      <w:r>
        <w:t>, par. 85-86.</w:t>
      </w:r>
      <w:bookmarkEnd w:id="7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A174" w14:textId="77777777" w:rsidR="00121A72" w:rsidRDefault="00E21D39">
    <w:pPr>
      <w:tabs>
        <w:tab w:val="center" w:pos="4709"/>
        <w:tab w:val="right" w:pos="9360"/>
      </w:tabs>
      <w:ind w:right="524"/>
    </w:pPr>
    <w:r w:rsidRPr="0012332B">
      <w:t>500-06-001225-230</w:t>
    </w:r>
    <w:r>
      <w:tab/>
    </w:r>
    <w:r>
      <w:tab/>
      <w:t xml:space="preserve">PAGE : </w:t>
    </w:r>
    <w:r>
      <w:fldChar w:fldCharType="begin"/>
    </w:r>
    <w:r>
      <w:instrText xml:space="preserve"> PAGE </w:instrText>
    </w:r>
    <w:r>
      <w:fldChar w:fldCharType="separate"/>
    </w:r>
    <w:r>
      <w:t>78</w:t>
    </w:r>
    <w:r>
      <w:fldChar w:fldCharType="end"/>
    </w:r>
  </w:p>
  <w:p w14:paraId="6CE4E2F9" w14:textId="77777777" w:rsidR="00121A72" w:rsidRDefault="00121A72">
    <w:pPr>
      <w:tabs>
        <w:tab w:val="center" w:pos="4709"/>
        <w:tab w:val="right" w:pos="909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04"/>
    <w:multiLevelType w:val="hybridMultilevel"/>
    <w:tmpl w:val="EA58FA7E"/>
    <w:lvl w:ilvl="0" w:tplc="5F105436">
      <w:start w:val="1"/>
      <w:numFmt w:val="lowerLetter"/>
      <w:lvlText w:val="%1)"/>
      <w:lvlJc w:val="left"/>
      <w:pPr>
        <w:ind w:left="720" w:hanging="360"/>
      </w:pPr>
      <w:rPr>
        <w:rFonts w:ascii="Arial" w:eastAsiaTheme="minorHAnsi" w:hAnsi="Arial" w:cs="Arial"/>
      </w:rPr>
    </w:lvl>
    <w:lvl w:ilvl="1" w:tplc="22848C3C">
      <w:start w:val="1"/>
      <w:numFmt w:val="bullet"/>
      <w:lvlText w:val="o"/>
      <w:lvlJc w:val="left"/>
      <w:pPr>
        <w:ind w:left="1440" w:hanging="360"/>
      </w:pPr>
      <w:rPr>
        <w:rFonts w:ascii="Courier New" w:hAnsi="Courier New" w:cs="Courier New" w:hint="default"/>
      </w:rPr>
    </w:lvl>
    <w:lvl w:ilvl="2" w:tplc="586ECB50">
      <w:start w:val="1"/>
      <w:numFmt w:val="lowerRoman"/>
      <w:lvlText w:val="%3."/>
      <w:lvlJc w:val="left"/>
      <w:pPr>
        <w:ind w:left="2520" w:hanging="720"/>
      </w:pPr>
      <w:rPr>
        <w:rFonts w:hint="default"/>
      </w:rPr>
    </w:lvl>
    <w:lvl w:ilvl="3" w:tplc="5016CE9C" w:tentative="1">
      <w:start w:val="1"/>
      <w:numFmt w:val="bullet"/>
      <w:lvlText w:val=""/>
      <w:lvlJc w:val="left"/>
      <w:pPr>
        <w:ind w:left="2880" w:hanging="360"/>
      </w:pPr>
      <w:rPr>
        <w:rFonts w:ascii="Symbol" w:hAnsi="Symbol" w:hint="default"/>
      </w:rPr>
    </w:lvl>
    <w:lvl w:ilvl="4" w:tplc="E66C4EBE" w:tentative="1">
      <w:start w:val="1"/>
      <w:numFmt w:val="bullet"/>
      <w:lvlText w:val="o"/>
      <w:lvlJc w:val="left"/>
      <w:pPr>
        <w:ind w:left="3600" w:hanging="360"/>
      </w:pPr>
      <w:rPr>
        <w:rFonts w:ascii="Courier New" w:hAnsi="Courier New" w:cs="Courier New" w:hint="default"/>
      </w:rPr>
    </w:lvl>
    <w:lvl w:ilvl="5" w:tplc="583ED67A" w:tentative="1">
      <w:start w:val="1"/>
      <w:numFmt w:val="bullet"/>
      <w:lvlText w:val=""/>
      <w:lvlJc w:val="left"/>
      <w:pPr>
        <w:ind w:left="4320" w:hanging="360"/>
      </w:pPr>
      <w:rPr>
        <w:rFonts w:ascii="Wingdings" w:hAnsi="Wingdings" w:hint="default"/>
      </w:rPr>
    </w:lvl>
    <w:lvl w:ilvl="6" w:tplc="93ACCE78" w:tentative="1">
      <w:start w:val="1"/>
      <w:numFmt w:val="bullet"/>
      <w:lvlText w:val=""/>
      <w:lvlJc w:val="left"/>
      <w:pPr>
        <w:ind w:left="5040" w:hanging="360"/>
      </w:pPr>
      <w:rPr>
        <w:rFonts w:ascii="Symbol" w:hAnsi="Symbol" w:hint="default"/>
      </w:rPr>
    </w:lvl>
    <w:lvl w:ilvl="7" w:tplc="7E10CA1A" w:tentative="1">
      <w:start w:val="1"/>
      <w:numFmt w:val="bullet"/>
      <w:lvlText w:val="o"/>
      <w:lvlJc w:val="left"/>
      <w:pPr>
        <w:ind w:left="5760" w:hanging="360"/>
      </w:pPr>
      <w:rPr>
        <w:rFonts w:ascii="Courier New" w:hAnsi="Courier New" w:cs="Courier New" w:hint="default"/>
      </w:rPr>
    </w:lvl>
    <w:lvl w:ilvl="8" w:tplc="D116D76C" w:tentative="1">
      <w:start w:val="1"/>
      <w:numFmt w:val="bullet"/>
      <w:lvlText w:val=""/>
      <w:lvlJc w:val="left"/>
      <w:pPr>
        <w:ind w:left="6480" w:hanging="360"/>
      </w:pPr>
      <w:rPr>
        <w:rFonts w:ascii="Wingdings" w:hAnsi="Wingdings" w:hint="default"/>
      </w:rPr>
    </w:lvl>
  </w:abstractNum>
  <w:abstractNum w:abstractNumId="1" w15:restartNumberingAfterBreak="0">
    <w:nsid w:val="036863C6"/>
    <w:multiLevelType w:val="hybridMultilevel"/>
    <w:tmpl w:val="CDB406D0"/>
    <w:lvl w:ilvl="0" w:tplc="2CB44310">
      <w:start w:val="1"/>
      <w:numFmt w:val="decimal"/>
      <w:lvlText w:val="%1)"/>
      <w:lvlJc w:val="left"/>
      <w:pPr>
        <w:ind w:left="720" w:hanging="360"/>
      </w:pPr>
    </w:lvl>
    <w:lvl w:ilvl="1" w:tplc="2D7C64C4" w:tentative="1">
      <w:start w:val="1"/>
      <w:numFmt w:val="lowerLetter"/>
      <w:lvlText w:val="%2."/>
      <w:lvlJc w:val="left"/>
      <w:pPr>
        <w:ind w:left="1440" w:hanging="360"/>
      </w:pPr>
    </w:lvl>
    <w:lvl w:ilvl="2" w:tplc="5294870A" w:tentative="1">
      <w:start w:val="1"/>
      <w:numFmt w:val="lowerRoman"/>
      <w:lvlText w:val="%3."/>
      <w:lvlJc w:val="right"/>
      <w:pPr>
        <w:ind w:left="2160" w:hanging="180"/>
      </w:pPr>
    </w:lvl>
    <w:lvl w:ilvl="3" w:tplc="EC74C6D6" w:tentative="1">
      <w:start w:val="1"/>
      <w:numFmt w:val="decimal"/>
      <w:lvlText w:val="%4."/>
      <w:lvlJc w:val="left"/>
      <w:pPr>
        <w:ind w:left="2880" w:hanging="360"/>
      </w:pPr>
    </w:lvl>
    <w:lvl w:ilvl="4" w:tplc="78364CFC" w:tentative="1">
      <w:start w:val="1"/>
      <w:numFmt w:val="lowerLetter"/>
      <w:lvlText w:val="%5."/>
      <w:lvlJc w:val="left"/>
      <w:pPr>
        <w:ind w:left="3600" w:hanging="360"/>
      </w:pPr>
    </w:lvl>
    <w:lvl w:ilvl="5" w:tplc="DF4286A0" w:tentative="1">
      <w:start w:val="1"/>
      <w:numFmt w:val="lowerRoman"/>
      <w:lvlText w:val="%6."/>
      <w:lvlJc w:val="right"/>
      <w:pPr>
        <w:ind w:left="4320" w:hanging="180"/>
      </w:pPr>
    </w:lvl>
    <w:lvl w:ilvl="6" w:tplc="10E8FC52" w:tentative="1">
      <w:start w:val="1"/>
      <w:numFmt w:val="decimal"/>
      <w:lvlText w:val="%7."/>
      <w:lvlJc w:val="left"/>
      <w:pPr>
        <w:ind w:left="5040" w:hanging="360"/>
      </w:pPr>
    </w:lvl>
    <w:lvl w:ilvl="7" w:tplc="7BBAF74C" w:tentative="1">
      <w:start w:val="1"/>
      <w:numFmt w:val="lowerLetter"/>
      <w:lvlText w:val="%8."/>
      <w:lvlJc w:val="left"/>
      <w:pPr>
        <w:ind w:left="5760" w:hanging="360"/>
      </w:pPr>
    </w:lvl>
    <w:lvl w:ilvl="8" w:tplc="A93266F2" w:tentative="1">
      <w:start w:val="1"/>
      <w:numFmt w:val="lowerRoman"/>
      <w:lvlText w:val="%9."/>
      <w:lvlJc w:val="right"/>
      <w:pPr>
        <w:ind w:left="6480" w:hanging="180"/>
      </w:pPr>
    </w:lvl>
  </w:abstractNum>
  <w:abstractNum w:abstractNumId="2" w15:restartNumberingAfterBreak="0">
    <w:nsid w:val="0C803ACD"/>
    <w:multiLevelType w:val="hybridMultilevel"/>
    <w:tmpl w:val="3F700CC6"/>
    <w:lvl w:ilvl="0" w:tplc="EED042B2">
      <w:start w:val="1"/>
      <w:numFmt w:val="lowerLetter"/>
      <w:lvlText w:val="%1)"/>
      <w:lvlJc w:val="left"/>
      <w:pPr>
        <w:ind w:left="1854" w:hanging="360"/>
      </w:pPr>
    </w:lvl>
    <w:lvl w:ilvl="1" w:tplc="3CEC7C40">
      <w:start w:val="1"/>
      <w:numFmt w:val="lowerLetter"/>
      <w:lvlText w:val="%2)"/>
      <w:lvlJc w:val="left"/>
      <w:pPr>
        <w:ind w:left="2574" w:hanging="360"/>
      </w:pPr>
    </w:lvl>
    <w:lvl w:ilvl="2" w:tplc="202EF078" w:tentative="1">
      <w:start w:val="1"/>
      <w:numFmt w:val="lowerRoman"/>
      <w:lvlText w:val="%3."/>
      <w:lvlJc w:val="right"/>
      <w:pPr>
        <w:ind w:left="3294" w:hanging="180"/>
      </w:pPr>
    </w:lvl>
    <w:lvl w:ilvl="3" w:tplc="EA6A7C88" w:tentative="1">
      <w:start w:val="1"/>
      <w:numFmt w:val="decimal"/>
      <w:lvlText w:val="%4."/>
      <w:lvlJc w:val="left"/>
      <w:pPr>
        <w:ind w:left="4014" w:hanging="360"/>
      </w:pPr>
    </w:lvl>
    <w:lvl w:ilvl="4" w:tplc="C944E97E" w:tentative="1">
      <w:start w:val="1"/>
      <w:numFmt w:val="lowerLetter"/>
      <w:lvlText w:val="%5."/>
      <w:lvlJc w:val="left"/>
      <w:pPr>
        <w:ind w:left="4734" w:hanging="360"/>
      </w:pPr>
    </w:lvl>
    <w:lvl w:ilvl="5" w:tplc="0D6E9A16" w:tentative="1">
      <w:start w:val="1"/>
      <w:numFmt w:val="lowerRoman"/>
      <w:lvlText w:val="%6."/>
      <w:lvlJc w:val="right"/>
      <w:pPr>
        <w:ind w:left="5454" w:hanging="180"/>
      </w:pPr>
    </w:lvl>
    <w:lvl w:ilvl="6" w:tplc="EC588CDA" w:tentative="1">
      <w:start w:val="1"/>
      <w:numFmt w:val="decimal"/>
      <w:lvlText w:val="%7."/>
      <w:lvlJc w:val="left"/>
      <w:pPr>
        <w:ind w:left="6174" w:hanging="360"/>
      </w:pPr>
    </w:lvl>
    <w:lvl w:ilvl="7" w:tplc="E8B2AFB2" w:tentative="1">
      <w:start w:val="1"/>
      <w:numFmt w:val="lowerLetter"/>
      <w:lvlText w:val="%8."/>
      <w:lvlJc w:val="left"/>
      <w:pPr>
        <w:ind w:left="6894" w:hanging="360"/>
      </w:pPr>
    </w:lvl>
    <w:lvl w:ilvl="8" w:tplc="D33E66F0" w:tentative="1">
      <w:start w:val="1"/>
      <w:numFmt w:val="lowerRoman"/>
      <w:lvlText w:val="%9."/>
      <w:lvlJc w:val="right"/>
      <w:pPr>
        <w:ind w:left="7614" w:hanging="180"/>
      </w:pPr>
    </w:lvl>
  </w:abstractNum>
  <w:abstractNum w:abstractNumId="3" w15:restartNumberingAfterBreak="0">
    <w:nsid w:val="19BA20AC"/>
    <w:multiLevelType w:val="hybridMultilevel"/>
    <w:tmpl w:val="5350BE1E"/>
    <w:lvl w:ilvl="0" w:tplc="01A6A496">
      <w:start w:val="1"/>
      <w:numFmt w:val="upperRoman"/>
      <w:lvlText w:val="%1."/>
      <w:lvlJc w:val="left"/>
      <w:pPr>
        <w:ind w:left="1080" w:hanging="720"/>
      </w:pPr>
      <w:rPr>
        <w:rFonts w:hint="default"/>
        <w:b/>
        <w:bCs w:val="0"/>
      </w:rPr>
    </w:lvl>
    <w:lvl w:ilvl="1" w:tplc="B5F6119E" w:tentative="1">
      <w:start w:val="1"/>
      <w:numFmt w:val="lowerLetter"/>
      <w:lvlText w:val="%2."/>
      <w:lvlJc w:val="left"/>
      <w:pPr>
        <w:ind w:left="1440" w:hanging="360"/>
      </w:pPr>
    </w:lvl>
    <w:lvl w:ilvl="2" w:tplc="2C6CB734" w:tentative="1">
      <w:start w:val="1"/>
      <w:numFmt w:val="lowerRoman"/>
      <w:lvlText w:val="%3."/>
      <w:lvlJc w:val="right"/>
      <w:pPr>
        <w:ind w:left="2160" w:hanging="180"/>
      </w:pPr>
    </w:lvl>
    <w:lvl w:ilvl="3" w:tplc="D04A540A" w:tentative="1">
      <w:start w:val="1"/>
      <w:numFmt w:val="decimal"/>
      <w:lvlText w:val="%4."/>
      <w:lvlJc w:val="left"/>
      <w:pPr>
        <w:ind w:left="2880" w:hanging="360"/>
      </w:pPr>
    </w:lvl>
    <w:lvl w:ilvl="4" w:tplc="9F028A42" w:tentative="1">
      <w:start w:val="1"/>
      <w:numFmt w:val="lowerLetter"/>
      <w:lvlText w:val="%5."/>
      <w:lvlJc w:val="left"/>
      <w:pPr>
        <w:ind w:left="3600" w:hanging="360"/>
      </w:pPr>
    </w:lvl>
    <w:lvl w:ilvl="5" w:tplc="6BBA583E" w:tentative="1">
      <w:start w:val="1"/>
      <w:numFmt w:val="lowerRoman"/>
      <w:lvlText w:val="%6."/>
      <w:lvlJc w:val="right"/>
      <w:pPr>
        <w:ind w:left="4320" w:hanging="180"/>
      </w:pPr>
    </w:lvl>
    <w:lvl w:ilvl="6" w:tplc="BDDC102E" w:tentative="1">
      <w:start w:val="1"/>
      <w:numFmt w:val="decimal"/>
      <w:lvlText w:val="%7."/>
      <w:lvlJc w:val="left"/>
      <w:pPr>
        <w:ind w:left="5040" w:hanging="360"/>
      </w:pPr>
    </w:lvl>
    <w:lvl w:ilvl="7" w:tplc="1F1A75EE" w:tentative="1">
      <w:start w:val="1"/>
      <w:numFmt w:val="lowerLetter"/>
      <w:lvlText w:val="%8."/>
      <w:lvlJc w:val="left"/>
      <w:pPr>
        <w:ind w:left="5760" w:hanging="360"/>
      </w:pPr>
    </w:lvl>
    <w:lvl w:ilvl="8" w:tplc="A4B2D2B6" w:tentative="1">
      <w:start w:val="1"/>
      <w:numFmt w:val="lowerRoman"/>
      <w:lvlText w:val="%9."/>
      <w:lvlJc w:val="right"/>
      <w:pPr>
        <w:ind w:left="6480" w:hanging="180"/>
      </w:pPr>
    </w:lvl>
  </w:abstractNum>
  <w:abstractNum w:abstractNumId="4" w15:restartNumberingAfterBreak="0">
    <w:nsid w:val="1ED16B1B"/>
    <w:multiLevelType w:val="hybridMultilevel"/>
    <w:tmpl w:val="4D6EDDCE"/>
    <w:lvl w:ilvl="0" w:tplc="792AA628">
      <w:start w:val="72"/>
      <w:numFmt w:val="bullet"/>
      <w:lvlText w:val="•"/>
      <w:lvlJc w:val="left"/>
      <w:pPr>
        <w:ind w:left="1080" w:hanging="360"/>
      </w:pPr>
      <w:rPr>
        <w:rFonts w:ascii="Arial" w:eastAsia="Times New Roman" w:hAnsi="Arial" w:cs="Arial" w:hint="default"/>
      </w:rPr>
    </w:lvl>
    <w:lvl w:ilvl="1" w:tplc="C71C2136" w:tentative="1">
      <w:start w:val="1"/>
      <w:numFmt w:val="bullet"/>
      <w:lvlText w:val="o"/>
      <w:lvlJc w:val="left"/>
      <w:pPr>
        <w:ind w:left="1800" w:hanging="360"/>
      </w:pPr>
      <w:rPr>
        <w:rFonts w:ascii="Courier New" w:hAnsi="Courier New" w:cs="Courier New" w:hint="default"/>
      </w:rPr>
    </w:lvl>
    <w:lvl w:ilvl="2" w:tplc="6A9E8730" w:tentative="1">
      <w:start w:val="1"/>
      <w:numFmt w:val="bullet"/>
      <w:lvlText w:val=""/>
      <w:lvlJc w:val="left"/>
      <w:pPr>
        <w:ind w:left="2520" w:hanging="360"/>
      </w:pPr>
      <w:rPr>
        <w:rFonts w:ascii="Wingdings" w:hAnsi="Wingdings" w:hint="default"/>
      </w:rPr>
    </w:lvl>
    <w:lvl w:ilvl="3" w:tplc="BE926300" w:tentative="1">
      <w:start w:val="1"/>
      <w:numFmt w:val="bullet"/>
      <w:lvlText w:val=""/>
      <w:lvlJc w:val="left"/>
      <w:pPr>
        <w:ind w:left="3240" w:hanging="360"/>
      </w:pPr>
      <w:rPr>
        <w:rFonts w:ascii="Symbol" w:hAnsi="Symbol" w:hint="default"/>
      </w:rPr>
    </w:lvl>
    <w:lvl w:ilvl="4" w:tplc="68EEDBB6" w:tentative="1">
      <w:start w:val="1"/>
      <w:numFmt w:val="bullet"/>
      <w:lvlText w:val="o"/>
      <w:lvlJc w:val="left"/>
      <w:pPr>
        <w:ind w:left="3960" w:hanging="360"/>
      </w:pPr>
      <w:rPr>
        <w:rFonts w:ascii="Courier New" w:hAnsi="Courier New" w:cs="Courier New" w:hint="default"/>
      </w:rPr>
    </w:lvl>
    <w:lvl w:ilvl="5" w:tplc="8AF41A74" w:tentative="1">
      <w:start w:val="1"/>
      <w:numFmt w:val="bullet"/>
      <w:lvlText w:val=""/>
      <w:lvlJc w:val="left"/>
      <w:pPr>
        <w:ind w:left="4680" w:hanging="360"/>
      </w:pPr>
      <w:rPr>
        <w:rFonts w:ascii="Wingdings" w:hAnsi="Wingdings" w:hint="default"/>
      </w:rPr>
    </w:lvl>
    <w:lvl w:ilvl="6" w:tplc="5E60F598" w:tentative="1">
      <w:start w:val="1"/>
      <w:numFmt w:val="bullet"/>
      <w:lvlText w:val=""/>
      <w:lvlJc w:val="left"/>
      <w:pPr>
        <w:ind w:left="5400" w:hanging="360"/>
      </w:pPr>
      <w:rPr>
        <w:rFonts w:ascii="Symbol" w:hAnsi="Symbol" w:hint="default"/>
      </w:rPr>
    </w:lvl>
    <w:lvl w:ilvl="7" w:tplc="5F68AE6E" w:tentative="1">
      <w:start w:val="1"/>
      <w:numFmt w:val="bullet"/>
      <w:lvlText w:val="o"/>
      <w:lvlJc w:val="left"/>
      <w:pPr>
        <w:ind w:left="6120" w:hanging="360"/>
      </w:pPr>
      <w:rPr>
        <w:rFonts w:ascii="Courier New" w:hAnsi="Courier New" w:cs="Courier New" w:hint="default"/>
      </w:rPr>
    </w:lvl>
    <w:lvl w:ilvl="8" w:tplc="530C8BEA" w:tentative="1">
      <w:start w:val="1"/>
      <w:numFmt w:val="bullet"/>
      <w:lvlText w:val=""/>
      <w:lvlJc w:val="left"/>
      <w:pPr>
        <w:ind w:left="6840" w:hanging="360"/>
      </w:pPr>
      <w:rPr>
        <w:rFonts w:ascii="Wingdings" w:hAnsi="Wingdings" w:hint="default"/>
      </w:rPr>
    </w:lvl>
  </w:abstractNum>
  <w:abstractNum w:abstractNumId="5" w15:restartNumberingAfterBreak="0">
    <w:nsid w:val="22747B92"/>
    <w:multiLevelType w:val="hybridMultilevel"/>
    <w:tmpl w:val="B0E49446"/>
    <w:lvl w:ilvl="0" w:tplc="A3A8E66A">
      <w:start w:val="72"/>
      <w:numFmt w:val="bullet"/>
      <w:lvlText w:val="•"/>
      <w:lvlJc w:val="left"/>
      <w:pPr>
        <w:ind w:left="1451" w:hanging="360"/>
      </w:pPr>
      <w:rPr>
        <w:rFonts w:ascii="Arial" w:eastAsia="Times New Roman" w:hAnsi="Arial" w:cs="Arial" w:hint="default"/>
      </w:rPr>
    </w:lvl>
    <w:lvl w:ilvl="1" w:tplc="FC0CE0BE" w:tentative="1">
      <w:start w:val="1"/>
      <w:numFmt w:val="bullet"/>
      <w:lvlText w:val="o"/>
      <w:lvlJc w:val="left"/>
      <w:pPr>
        <w:ind w:left="2171" w:hanging="360"/>
      </w:pPr>
      <w:rPr>
        <w:rFonts w:ascii="Courier New" w:hAnsi="Courier New" w:cs="Courier New" w:hint="default"/>
      </w:rPr>
    </w:lvl>
    <w:lvl w:ilvl="2" w:tplc="54603990" w:tentative="1">
      <w:start w:val="1"/>
      <w:numFmt w:val="bullet"/>
      <w:lvlText w:val=""/>
      <w:lvlJc w:val="left"/>
      <w:pPr>
        <w:ind w:left="2891" w:hanging="360"/>
      </w:pPr>
      <w:rPr>
        <w:rFonts w:ascii="Wingdings" w:hAnsi="Wingdings" w:hint="default"/>
      </w:rPr>
    </w:lvl>
    <w:lvl w:ilvl="3" w:tplc="B8C28C6E" w:tentative="1">
      <w:start w:val="1"/>
      <w:numFmt w:val="bullet"/>
      <w:lvlText w:val=""/>
      <w:lvlJc w:val="left"/>
      <w:pPr>
        <w:ind w:left="3611" w:hanging="360"/>
      </w:pPr>
      <w:rPr>
        <w:rFonts w:ascii="Symbol" w:hAnsi="Symbol" w:hint="default"/>
      </w:rPr>
    </w:lvl>
    <w:lvl w:ilvl="4" w:tplc="01989F40" w:tentative="1">
      <w:start w:val="1"/>
      <w:numFmt w:val="bullet"/>
      <w:lvlText w:val="o"/>
      <w:lvlJc w:val="left"/>
      <w:pPr>
        <w:ind w:left="4331" w:hanging="360"/>
      </w:pPr>
      <w:rPr>
        <w:rFonts w:ascii="Courier New" w:hAnsi="Courier New" w:cs="Courier New" w:hint="default"/>
      </w:rPr>
    </w:lvl>
    <w:lvl w:ilvl="5" w:tplc="D6CE4B7A" w:tentative="1">
      <w:start w:val="1"/>
      <w:numFmt w:val="bullet"/>
      <w:lvlText w:val=""/>
      <w:lvlJc w:val="left"/>
      <w:pPr>
        <w:ind w:left="5051" w:hanging="360"/>
      </w:pPr>
      <w:rPr>
        <w:rFonts w:ascii="Wingdings" w:hAnsi="Wingdings" w:hint="default"/>
      </w:rPr>
    </w:lvl>
    <w:lvl w:ilvl="6" w:tplc="E740FE98" w:tentative="1">
      <w:start w:val="1"/>
      <w:numFmt w:val="bullet"/>
      <w:lvlText w:val=""/>
      <w:lvlJc w:val="left"/>
      <w:pPr>
        <w:ind w:left="5771" w:hanging="360"/>
      </w:pPr>
      <w:rPr>
        <w:rFonts w:ascii="Symbol" w:hAnsi="Symbol" w:hint="default"/>
      </w:rPr>
    </w:lvl>
    <w:lvl w:ilvl="7" w:tplc="BA82C0A0" w:tentative="1">
      <w:start w:val="1"/>
      <w:numFmt w:val="bullet"/>
      <w:lvlText w:val="o"/>
      <w:lvlJc w:val="left"/>
      <w:pPr>
        <w:ind w:left="6491" w:hanging="360"/>
      </w:pPr>
      <w:rPr>
        <w:rFonts w:ascii="Courier New" w:hAnsi="Courier New" w:cs="Courier New" w:hint="default"/>
      </w:rPr>
    </w:lvl>
    <w:lvl w:ilvl="8" w:tplc="3DB49A3C" w:tentative="1">
      <w:start w:val="1"/>
      <w:numFmt w:val="bullet"/>
      <w:lvlText w:val=""/>
      <w:lvlJc w:val="left"/>
      <w:pPr>
        <w:ind w:left="7211" w:hanging="360"/>
      </w:pPr>
      <w:rPr>
        <w:rFonts w:ascii="Wingdings" w:hAnsi="Wingdings" w:hint="default"/>
      </w:rPr>
    </w:lvl>
  </w:abstractNum>
  <w:abstractNum w:abstractNumId="6" w15:restartNumberingAfterBreak="0">
    <w:nsid w:val="2353698A"/>
    <w:multiLevelType w:val="hybridMultilevel"/>
    <w:tmpl w:val="00701A74"/>
    <w:lvl w:ilvl="0" w:tplc="AA7603E8">
      <w:start w:val="1"/>
      <w:numFmt w:val="lowerRoman"/>
      <w:lvlText w:val="%1."/>
      <w:lvlJc w:val="right"/>
      <w:pPr>
        <w:ind w:left="1440" w:hanging="360"/>
      </w:pPr>
    </w:lvl>
    <w:lvl w:ilvl="1" w:tplc="46C2DAC6" w:tentative="1">
      <w:start w:val="1"/>
      <w:numFmt w:val="lowerLetter"/>
      <w:lvlText w:val="%2."/>
      <w:lvlJc w:val="left"/>
      <w:pPr>
        <w:ind w:left="2160" w:hanging="360"/>
      </w:pPr>
    </w:lvl>
    <w:lvl w:ilvl="2" w:tplc="5AE2054E" w:tentative="1">
      <w:start w:val="1"/>
      <w:numFmt w:val="lowerRoman"/>
      <w:lvlText w:val="%3."/>
      <w:lvlJc w:val="right"/>
      <w:pPr>
        <w:ind w:left="2880" w:hanging="180"/>
      </w:pPr>
    </w:lvl>
    <w:lvl w:ilvl="3" w:tplc="E8B05BE8" w:tentative="1">
      <w:start w:val="1"/>
      <w:numFmt w:val="decimal"/>
      <w:lvlText w:val="%4."/>
      <w:lvlJc w:val="left"/>
      <w:pPr>
        <w:ind w:left="3600" w:hanging="360"/>
      </w:pPr>
    </w:lvl>
    <w:lvl w:ilvl="4" w:tplc="4188689A" w:tentative="1">
      <w:start w:val="1"/>
      <w:numFmt w:val="lowerLetter"/>
      <w:lvlText w:val="%5."/>
      <w:lvlJc w:val="left"/>
      <w:pPr>
        <w:ind w:left="4320" w:hanging="360"/>
      </w:pPr>
    </w:lvl>
    <w:lvl w:ilvl="5" w:tplc="48B6F666" w:tentative="1">
      <w:start w:val="1"/>
      <w:numFmt w:val="lowerRoman"/>
      <w:lvlText w:val="%6."/>
      <w:lvlJc w:val="right"/>
      <w:pPr>
        <w:ind w:left="5040" w:hanging="180"/>
      </w:pPr>
    </w:lvl>
    <w:lvl w:ilvl="6" w:tplc="617A1C94" w:tentative="1">
      <w:start w:val="1"/>
      <w:numFmt w:val="decimal"/>
      <w:lvlText w:val="%7."/>
      <w:lvlJc w:val="left"/>
      <w:pPr>
        <w:ind w:left="5760" w:hanging="360"/>
      </w:pPr>
    </w:lvl>
    <w:lvl w:ilvl="7" w:tplc="C902C902" w:tentative="1">
      <w:start w:val="1"/>
      <w:numFmt w:val="lowerLetter"/>
      <w:lvlText w:val="%8."/>
      <w:lvlJc w:val="left"/>
      <w:pPr>
        <w:ind w:left="6480" w:hanging="360"/>
      </w:pPr>
    </w:lvl>
    <w:lvl w:ilvl="8" w:tplc="C868BB50" w:tentative="1">
      <w:start w:val="1"/>
      <w:numFmt w:val="lowerRoman"/>
      <w:lvlText w:val="%9."/>
      <w:lvlJc w:val="right"/>
      <w:pPr>
        <w:ind w:left="7200" w:hanging="180"/>
      </w:pPr>
    </w:lvl>
  </w:abstractNum>
  <w:abstractNum w:abstractNumId="7" w15:restartNumberingAfterBreak="0">
    <w:nsid w:val="258B1070"/>
    <w:multiLevelType w:val="hybridMultilevel"/>
    <w:tmpl w:val="91784F20"/>
    <w:lvl w:ilvl="0" w:tplc="CF3A8CD0">
      <w:start w:val="1"/>
      <w:numFmt w:val="bullet"/>
      <w:lvlText w:val=""/>
      <w:lvlJc w:val="left"/>
      <w:pPr>
        <w:ind w:left="720" w:hanging="360"/>
      </w:pPr>
      <w:rPr>
        <w:rFonts w:ascii="Symbol" w:hAnsi="Symbol" w:hint="default"/>
      </w:rPr>
    </w:lvl>
    <w:lvl w:ilvl="1" w:tplc="A5EE0C06">
      <w:start w:val="1"/>
      <w:numFmt w:val="bullet"/>
      <w:lvlText w:val="o"/>
      <w:lvlJc w:val="left"/>
      <w:pPr>
        <w:ind w:left="1440" w:hanging="360"/>
      </w:pPr>
      <w:rPr>
        <w:rFonts w:ascii="Courier New" w:hAnsi="Courier New" w:cs="Courier New" w:hint="default"/>
      </w:rPr>
    </w:lvl>
    <w:lvl w:ilvl="2" w:tplc="A1A4BE4E" w:tentative="1">
      <w:start w:val="1"/>
      <w:numFmt w:val="bullet"/>
      <w:lvlText w:val=""/>
      <w:lvlJc w:val="left"/>
      <w:pPr>
        <w:ind w:left="2160" w:hanging="360"/>
      </w:pPr>
      <w:rPr>
        <w:rFonts w:ascii="Wingdings" w:hAnsi="Wingdings" w:hint="default"/>
      </w:rPr>
    </w:lvl>
    <w:lvl w:ilvl="3" w:tplc="694CEDCA" w:tentative="1">
      <w:start w:val="1"/>
      <w:numFmt w:val="bullet"/>
      <w:lvlText w:val=""/>
      <w:lvlJc w:val="left"/>
      <w:pPr>
        <w:ind w:left="2880" w:hanging="360"/>
      </w:pPr>
      <w:rPr>
        <w:rFonts w:ascii="Symbol" w:hAnsi="Symbol" w:hint="default"/>
      </w:rPr>
    </w:lvl>
    <w:lvl w:ilvl="4" w:tplc="0D0E0C3C" w:tentative="1">
      <w:start w:val="1"/>
      <w:numFmt w:val="bullet"/>
      <w:lvlText w:val="o"/>
      <w:lvlJc w:val="left"/>
      <w:pPr>
        <w:ind w:left="3600" w:hanging="360"/>
      </w:pPr>
      <w:rPr>
        <w:rFonts w:ascii="Courier New" w:hAnsi="Courier New" w:cs="Courier New" w:hint="default"/>
      </w:rPr>
    </w:lvl>
    <w:lvl w:ilvl="5" w:tplc="D1FEAB14" w:tentative="1">
      <w:start w:val="1"/>
      <w:numFmt w:val="bullet"/>
      <w:lvlText w:val=""/>
      <w:lvlJc w:val="left"/>
      <w:pPr>
        <w:ind w:left="4320" w:hanging="360"/>
      </w:pPr>
      <w:rPr>
        <w:rFonts w:ascii="Wingdings" w:hAnsi="Wingdings" w:hint="default"/>
      </w:rPr>
    </w:lvl>
    <w:lvl w:ilvl="6" w:tplc="AAA4E968" w:tentative="1">
      <w:start w:val="1"/>
      <w:numFmt w:val="bullet"/>
      <w:lvlText w:val=""/>
      <w:lvlJc w:val="left"/>
      <w:pPr>
        <w:ind w:left="5040" w:hanging="360"/>
      </w:pPr>
      <w:rPr>
        <w:rFonts w:ascii="Symbol" w:hAnsi="Symbol" w:hint="default"/>
      </w:rPr>
    </w:lvl>
    <w:lvl w:ilvl="7" w:tplc="CDF02CD2" w:tentative="1">
      <w:start w:val="1"/>
      <w:numFmt w:val="bullet"/>
      <w:lvlText w:val="o"/>
      <w:lvlJc w:val="left"/>
      <w:pPr>
        <w:ind w:left="5760" w:hanging="360"/>
      </w:pPr>
      <w:rPr>
        <w:rFonts w:ascii="Courier New" w:hAnsi="Courier New" w:cs="Courier New" w:hint="default"/>
      </w:rPr>
    </w:lvl>
    <w:lvl w:ilvl="8" w:tplc="EE0A74BE" w:tentative="1">
      <w:start w:val="1"/>
      <w:numFmt w:val="bullet"/>
      <w:lvlText w:val=""/>
      <w:lvlJc w:val="left"/>
      <w:pPr>
        <w:ind w:left="6480" w:hanging="360"/>
      </w:pPr>
      <w:rPr>
        <w:rFonts w:ascii="Wingdings" w:hAnsi="Wingdings" w:hint="default"/>
      </w:rPr>
    </w:lvl>
  </w:abstractNum>
  <w:abstractNum w:abstractNumId="8" w15:restartNumberingAfterBreak="0">
    <w:nsid w:val="26055542"/>
    <w:multiLevelType w:val="hybridMultilevel"/>
    <w:tmpl w:val="006C74FE"/>
    <w:lvl w:ilvl="0" w:tplc="AE66F8D4">
      <w:start w:val="4"/>
      <w:numFmt w:val="bullet"/>
      <w:lvlText w:val="-"/>
      <w:lvlJc w:val="left"/>
      <w:pPr>
        <w:ind w:left="720" w:hanging="360"/>
      </w:pPr>
      <w:rPr>
        <w:rFonts w:ascii="Arial" w:eastAsia="Times New Roman" w:hAnsi="Arial" w:cs="Arial" w:hint="default"/>
      </w:rPr>
    </w:lvl>
    <w:lvl w:ilvl="1" w:tplc="9548637C" w:tentative="1">
      <w:start w:val="1"/>
      <w:numFmt w:val="bullet"/>
      <w:lvlText w:val="o"/>
      <w:lvlJc w:val="left"/>
      <w:pPr>
        <w:ind w:left="1440" w:hanging="360"/>
      </w:pPr>
      <w:rPr>
        <w:rFonts w:ascii="Courier New" w:hAnsi="Courier New" w:cs="Courier New" w:hint="default"/>
      </w:rPr>
    </w:lvl>
    <w:lvl w:ilvl="2" w:tplc="F7146FB2" w:tentative="1">
      <w:start w:val="1"/>
      <w:numFmt w:val="bullet"/>
      <w:lvlText w:val=""/>
      <w:lvlJc w:val="left"/>
      <w:pPr>
        <w:ind w:left="2160" w:hanging="360"/>
      </w:pPr>
      <w:rPr>
        <w:rFonts w:ascii="Wingdings" w:hAnsi="Wingdings" w:hint="default"/>
      </w:rPr>
    </w:lvl>
    <w:lvl w:ilvl="3" w:tplc="960E3A88" w:tentative="1">
      <w:start w:val="1"/>
      <w:numFmt w:val="bullet"/>
      <w:lvlText w:val=""/>
      <w:lvlJc w:val="left"/>
      <w:pPr>
        <w:ind w:left="2880" w:hanging="360"/>
      </w:pPr>
      <w:rPr>
        <w:rFonts w:ascii="Symbol" w:hAnsi="Symbol" w:hint="default"/>
      </w:rPr>
    </w:lvl>
    <w:lvl w:ilvl="4" w:tplc="F70C1A86" w:tentative="1">
      <w:start w:val="1"/>
      <w:numFmt w:val="bullet"/>
      <w:lvlText w:val="o"/>
      <w:lvlJc w:val="left"/>
      <w:pPr>
        <w:ind w:left="3600" w:hanging="360"/>
      </w:pPr>
      <w:rPr>
        <w:rFonts w:ascii="Courier New" w:hAnsi="Courier New" w:cs="Courier New" w:hint="default"/>
      </w:rPr>
    </w:lvl>
    <w:lvl w:ilvl="5" w:tplc="E458C38E" w:tentative="1">
      <w:start w:val="1"/>
      <w:numFmt w:val="bullet"/>
      <w:lvlText w:val=""/>
      <w:lvlJc w:val="left"/>
      <w:pPr>
        <w:ind w:left="4320" w:hanging="360"/>
      </w:pPr>
      <w:rPr>
        <w:rFonts w:ascii="Wingdings" w:hAnsi="Wingdings" w:hint="default"/>
      </w:rPr>
    </w:lvl>
    <w:lvl w:ilvl="6" w:tplc="A7840D84" w:tentative="1">
      <w:start w:val="1"/>
      <w:numFmt w:val="bullet"/>
      <w:lvlText w:val=""/>
      <w:lvlJc w:val="left"/>
      <w:pPr>
        <w:ind w:left="5040" w:hanging="360"/>
      </w:pPr>
      <w:rPr>
        <w:rFonts w:ascii="Symbol" w:hAnsi="Symbol" w:hint="default"/>
      </w:rPr>
    </w:lvl>
    <w:lvl w:ilvl="7" w:tplc="F84C33D8" w:tentative="1">
      <w:start w:val="1"/>
      <w:numFmt w:val="bullet"/>
      <w:lvlText w:val="o"/>
      <w:lvlJc w:val="left"/>
      <w:pPr>
        <w:ind w:left="5760" w:hanging="360"/>
      </w:pPr>
      <w:rPr>
        <w:rFonts w:ascii="Courier New" w:hAnsi="Courier New" w:cs="Courier New" w:hint="default"/>
      </w:rPr>
    </w:lvl>
    <w:lvl w:ilvl="8" w:tplc="73AE3E7A" w:tentative="1">
      <w:start w:val="1"/>
      <w:numFmt w:val="bullet"/>
      <w:lvlText w:val=""/>
      <w:lvlJc w:val="left"/>
      <w:pPr>
        <w:ind w:left="6480" w:hanging="360"/>
      </w:pPr>
      <w:rPr>
        <w:rFonts w:ascii="Wingdings" w:hAnsi="Wingdings" w:hint="default"/>
      </w:rPr>
    </w:lvl>
  </w:abstractNum>
  <w:abstractNum w:abstractNumId="9" w15:restartNumberingAfterBreak="0">
    <w:nsid w:val="27AD5BDD"/>
    <w:multiLevelType w:val="hybridMultilevel"/>
    <w:tmpl w:val="EF56538E"/>
    <w:lvl w:ilvl="0" w:tplc="3418F5DA">
      <w:start w:val="72"/>
      <w:numFmt w:val="bullet"/>
      <w:lvlText w:val="•"/>
      <w:lvlJc w:val="left"/>
      <w:pPr>
        <w:ind w:left="720" w:hanging="360"/>
      </w:pPr>
      <w:rPr>
        <w:rFonts w:ascii="Arial" w:eastAsia="Times New Roman" w:hAnsi="Arial" w:cs="Arial" w:hint="default"/>
      </w:rPr>
    </w:lvl>
    <w:lvl w:ilvl="1" w:tplc="4F281784" w:tentative="1">
      <w:start w:val="1"/>
      <w:numFmt w:val="bullet"/>
      <w:lvlText w:val="o"/>
      <w:lvlJc w:val="left"/>
      <w:pPr>
        <w:ind w:left="1440" w:hanging="360"/>
      </w:pPr>
      <w:rPr>
        <w:rFonts w:ascii="Courier New" w:hAnsi="Courier New" w:cs="Courier New" w:hint="default"/>
      </w:rPr>
    </w:lvl>
    <w:lvl w:ilvl="2" w:tplc="8A58CB7A" w:tentative="1">
      <w:start w:val="1"/>
      <w:numFmt w:val="bullet"/>
      <w:lvlText w:val=""/>
      <w:lvlJc w:val="left"/>
      <w:pPr>
        <w:ind w:left="2160" w:hanging="360"/>
      </w:pPr>
      <w:rPr>
        <w:rFonts w:ascii="Wingdings" w:hAnsi="Wingdings" w:hint="default"/>
      </w:rPr>
    </w:lvl>
    <w:lvl w:ilvl="3" w:tplc="AA2012BC" w:tentative="1">
      <w:start w:val="1"/>
      <w:numFmt w:val="bullet"/>
      <w:lvlText w:val=""/>
      <w:lvlJc w:val="left"/>
      <w:pPr>
        <w:ind w:left="2880" w:hanging="360"/>
      </w:pPr>
      <w:rPr>
        <w:rFonts w:ascii="Symbol" w:hAnsi="Symbol" w:hint="default"/>
      </w:rPr>
    </w:lvl>
    <w:lvl w:ilvl="4" w:tplc="22FEE4F6" w:tentative="1">
      <w:start w:val="1"/>
      <w:numFmt w:val="bullet"/>
      <w:lvlText w:val="o"/>
      <w:lvlJc w:val="left"/>
      <w:pPr>
        <w:ind w:left="3600" w:hanging="360"/>
      </w:pPr>
      <w:rPr>
        <w:rFonts w:ascii="Courier New" w:hAnsi="Courier New" w:cs="Courier New" w:hint="default"/>
      </w:rPr>
    </w:lvl>
    <w:lvl w:ilvl="5" w:tplc="2F8EC88E" w:tentative="1">
      <w:start w:val="1"/>
      <w:numFmt w:val="bullet"/>
      <w:lvlText w:val=""/>
      <w:lvlJc w:val="left"/>
      <w:pPr>
        <w:ind w:left="4320" w:hanging="360"/>
      </w:pPr>
      <w:rPr>
        <w:rFonts w:ascii="Wingdings" w:hAnsi="Wingdings" w:hint="default"/>
      </w:rPr>
    </w:lvl>
    <w:lvl w:ilvl="6" w:tplc="96A01FBE" w:tentative="1">
      <w:start w:val="1"/>
      <w:numFmt w:val="bullet"/>
      <w:lvlText w:val=""/>
      <w:lvlJc w:val="left"/>
      <w:pPr>
        <w:ind w:left="5040" w:hanging="360"/>
      </w:pPr>
      <w:rPr>
        <w:rFonts w:ascii="Symbol" w:hAnsi="Symbol" w:hint="default"/>
      </w:rPr>
    </w:lvl>
    <w:lvl w:ilvl="7" w:tplc="27844B90" w:tentative="1">
      <w:start w:val="1"/>
      <w:numFmt w:val="bullet"/>
      <w:lvlText w:val="o"/>
      <w:lvlJc w:val="left"/>
      <w:pPr>
        <w:ind w:left="5760" w:hanging="360"/>
      </w:pPr>
      <w:rPr>
        <w:rFonts w:ascii="Courier New" w:hAnsi="Courier New" w:cs="Courier New" w:hint="default"/>
      </w:rPr>
    </w:lvl>
    <w:lvl w:ilvl="8" w:tplc="43AEF338" w:tentative="1">
      <w:start w:val="1"/>
      <w:numFmt w:val="bullet"/>
      <w:lvlText w:val=""/>
      <w:lvlJc w:val="left"/>
      <w:pPr>
        <w:ind w:left="6480" w:hanging="360"/>
      </w:pPr>
      <w:rPr>
        <w:rFonts w:ascii="Wingdings" w:hAnsi="Wingdings" w:hint="default"/>
      </w:rPr>
    </w:lvl>
  </w:abstractNum>
  <w:abstractNum w:abstractNumId="10" w15:restartNumberingAfterBreak="0">
    <w:nsid w:val="29B11B71"/>
    <w:multiLevelType w:val="multilevel"/>
    <w:tmpl w:val="78E43A60"/>
    <w:name w:val="Style1"/>
    <w:styleLink w:val="Style1"/>
    <w:lvl w:ilvl="0">
      <w:start w:val="1"/>
      <w:numFmt w:val="decimal"/>
      <w:pStyle w:val="Titre2"/>
      <w:lvlText w:val="%1."/>
      <w:lvlJc w:val="left"/>
      <w:pPr>
        <w:ind w:left="791" w:hanging="431"/>
      </w:pPr>
      <w:rPr>
        <w:rFonts w:hint="default"/>
      </w:rPr>
    </w:lvl>
    <w:lvl w:ilvl="1">
      <w:start w:val="1"/>
      <w:numFmt w:val="decimal"/>
      <w:pStyle w:val="Titre3"/>
      <w:lvlText w:val="%1.%2"/>
      <w:lvlJc w:val="left"/>
      <w:pPr>
        <w:ind w:left="791" w:hanging="431"/>
      </w:pPr>
      <w:rPr>
        <w:rFonts w:hint="default"/>
      </w:rPr>
    </w:lvl>
    <w:lvl w:ilvl="2">
      <w:start w:val="1"/>
      <w:numFmt w:val="decimal"/>
      <w:pStyle w:val="Titre4"/>
      <w:lvlText w:val="%1.%2.%3"/>
      <w:lvlJc w:val="left"/>
      <w:pPr>
        <w:ind w:left="791" w:hanging="431"/>
      </w:pPr>
      <w:rPr>
        <w:rFonts w:hint="default"/>
      </w:rPr>
    </w:lvl>
    <w:lvl w:ilvl="3">
      <w:start w:val="1"/>
      <w:numFmt w:val="decimal"/>
      <w:pStyle w:val="Titre5"/>
      <w:lvlText w:val="%1.%2.%3.%4"/>
      <w:lvlJc w:val="left"/>
      <w:pPr>
        <w:ind w:left="791" w:hanging="431"/>
      </w:pPr>
      <w:rPr>
        <w:rFonts w:hint="default"/>
      </w:rPr>
    </w:lvl>
    <w:lvl w:ilvl="4">
      <w:start w:val="1"/>
      <w:numFmt w:val="decimal"/>
      <w:pStyle w:val="Titre6"/>
      <w:lvlText w:val="%1.%2.%3.%4.%5"/>
      <w:lvlJc w:val="left"/>
      <w:pPr>
        <w:ind w:left="791" w:hanging="431"/>
      </w:pPr>
      <w:rPr>
        <w:rFonts w:hint="default"/>
      </w:rPr>
    </w:lvl>
    <w:lvl w:ilvl="5">
      <w:start w:val="1"/>
      <w:numFmt w:val="decimal"/>
      <w:lvlText w:val="%1.%2.%3.%4.%5.%6"/>
      <w:lvlJc w:val="left"/>
      <w:pPr>
        <w:ind w:left="791" w:hanging="431"/>
      </w:pPr>
      <w:rPr>
        <w:rFonts w:hint="default"/>
      </w:rPr>
    </w:lvl>
    <w:lvl w:ilvl="6">
      <w:start w:val="1"/>
      <w:numFmt w:val="decimal"/>
      <w:lvlText w:val="%1.%2.%3.%4.%5.%6.%7"/>
      <w:lvlJc w:val="left"/>
      <w:pPr>
        <w:ind w:left="791" w:hanging="431"/>
      </w:pPr>
      <w:rPr>
        <w:rFonts w:hint="default"/>
      </w:rPr>
    </w:lvl>
    <w:lvl w:ilvl="7">
      <w:start w:val="1"/>
      <w:numFmt w:val="decimal"/>
      <w:lvlText w:val="%1.%2.%3.%4.%5.%6.%7.%8"/>
      <w:lvlJc w:val="left"/>
      <w:pPr>
        <w:ind w:left="791" w:hanging="431"/>
      </w:pPr>
      <w:rPr>
        <w:rFonts w:hint="default"/>
      </w:rPr>
    </w:lvl>
    <w:lvl w:ilvl="8">
      <w:start w:val="1"/>
      <w:numFmt w:val="decimal"/>
      <w:lvlText w:val="%1.%2.%3.%4.%5.%6.%7.%8.%9"/>
      <w:lvlJc w:val="left"/>
      <w:pPr>
        <w:ind w:left="791" w:hanging="431"/>
      </w:pPr>
      <w:rPr>
        <w:rFonts w:hint="default"/>
      </w:rPr>
    </w:lvl>
  </w:abstractNum>
  <w:abstractNum w:abstractNumId="11"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12" w15:restartNumberingAfterBreak="0">
    <w:nsid w:val="2FD374AF"/>
    <w:multiLevelType w:val="hybridMultilevel"/>
    <w:tmpl w:val="50E6DBAC"/>
    <w:lvl w:ilvl="0" w:tplc="89226FC8">
      <w:start w:val="4"/>
      <w:numFmt w:val="bullet"/>
      <w:lvlText w:val="-"/>
      <w:lvlJc w:val="left"/>
      <w:pPr>
        <w:ind w:left="720" w:hanging="360"/>
      </w:pPr>
      <w:rPr>
        <w:rFonts w:ascii="Arial" w:eastAsia="Times New Roman" w:hAnsi="Arial" w:cs="Arial" w:hint="default"/>
      </w:rPr>
    </w:lvl>
    <w:lvl w:ilvl="1" w:tplc="C534F468" w:tentative="1">
      <w:start w:val="1"/>
      <w:numFmt w:val="bullet"/>
      <w:lvlText w:val="o"/>
      <w:lvlJc w:val="left"/>
      <w:pPr>
        <w:ind w:left="1440" w:hanging="360"/>
      </w:pPr>
      <w:rPr>
        <w:rFonts w:ascii="Courier New" w:hAnsi="Courier New" w:cs="Courier New" w:hint="default"/>
      </w:rPr>
    </w:lvl>
    <w:lvl w:ilvl="2" w:tplc="E370E136" w:tentative="1">
      <w:start w:val="1"/>
      <w:numFmt w:val="bullet"/>
      <w:lvlText w:val=""/>
      <w:lvlJc w:val="left"/>
      <w:pPr>
        <w:ind w:left="2160" w:hanging="360"/>
      </w:pPr>
      <w:rPr>
        <w:rFonts w:ascii="Wingdings" w:hAnsi="Wingdings" w:hint="default"/>
      </w:rPr>
    </w:lvl>
    <w:lvl w:ilvl="3" w:tplc="742A0982" w:tentative="1">
      <w:start w:val="1"/>
      <w:numFmt w:val="bullet"/>
      <w:lvlText w:val=""/>
      <w:lvlJc w:val="left"/>
      <w:pPr>
        <w:ind w:left="2880" w:hanging="360"/>
      </w:pPr>
      <w:rPr>
        <w:rFonts w:ascii="Symbol" w:hAnsi="Symbol" w:hint="default"/>
      </w:rPr>
    </w:lvl>
    <w:lvl w:ilvl="4" w:tplc="24786F30" w:tentative="1">
      <w:start w:val="1"/>
      <w:numFmt w:val="bullet"/>
      <w:lvlText w:val="o"/>
      <w:lvlJc w:val="left"/>
      <w:pPr>
        <w:ind w:left="3600" w:hanging="360"/>
      </w:pPr>
      <w:rPr>
        <w:rFonts w:ascii="Courier New" w:hAnsi="Courier New" w:cs="Courier New" w:hint="default"/>
      </w:rPr>
    </w:lvl>
    <w:lvl w:ilvl="5" w:tplc="0D189A94" w:tentative="1">
      <w:start w:val="1"/>
      <w:numFmt w:val="bullet"/>
      <w:lvlText w:val=""/>
      <w:lvlJc w:val="left"/>
      <w:pPr>
        <w:ind w:left="4320" w:hanging="360"/>
      </w:pPr>
      <w:rPr>
        <w:rFonts w:ascii="Wingdings" w:hAnsi="Wingdings" w:hint="default"/>
      </w:rPr>
    </w:lvl>
    <w:lvl w:ilvl="6" w:tplc="C6E4983C" w:tentative="1">
      <w:start w:val="1"/>
      <w:numFmt w:val="bullet"/>
      <w:lvlText w:val=""/>
      <w:lvlJc w:val="left"/>
      <w:pPr>
        <w:ind w:left="5040" w:hanging="360"/>
      </w:pPr>
      <w:rPr>
        <w:rFonts w:ascii="Symbol" w:hAnsi="Symbol" w:hint="default"/>
      </w:rPr>
    </w:lvl>
    <w:lvl w:ilvl="7" w:tplc="9B0A6790" w:tentative="1">
      <w:start w:val="1"/>
      <w:numFmt w:val="bullet"/>
      <w:lvlText w:val="o"/>
      <w:lvlJc w:val="left"/>
      <w:pPr>
        <w:ind w:left="5760" w:hanging="360"/>
      </w:pPr>
      <w:rPr>
        <w:rFonts w:ascii="Courier New" w:hAnsi="Courier New" w:cs="Courier New" w:hint="default"/>
      </w:rPr>
    </w:lvl>
    <w:lvl w:ilvl="8" w:tplc="8A7A08A4" w:tentative="1">
      <w:start w:val="1"/>
      <w:numFmt w:val="bullet"/>
      <w:lvlText w:val=""/>
      <w:lvlJc w:val="left"/>
      <w:pPr>
        <w:ind w:left="6480" w:hanging="360"/>
      </w:pPr>
      <w:rPr>
        <w:rFonts w:ascii="Wingdings" w:hAnsi="Wingdings" w:hint="default"/>
      </w:rPr>
    </w:lvl>
  </w:abstractNum>
  <w:abstractNum w:abstractNumId="13" w15:restartNumberingAfterBreak="0">
    <w:nsid w:val="3D622BB2"/>
    <w:multiLevelType w:val="hybridMultilevel"/>
    <w:tmpl w:val="00701A74"/>
    <w:lvl w:ilvl="0" w:tplc="B6F8E02A">
      <w:start w:val="1"/>
      <w:numFmt w:val="lowerRoman"/>
      <w:lvlText w:val="%1."/>
      <w:lvlJc w:val="right"/>
      <w:pPr>
        <w:ind w:left="1440" w:hanging="360"/>
      </w:pPr>
    </w:lvl>
    <w:lvl w:ilvl="1" w:tplc="668EB2D4" w:tentative="1">
      <w:start w:val="1"/>
      <w:numFmt w:val="lowerLetter"/>
      <w:lvlText w:val="%2."/>
      <w:lvlJc w:val="left"/>
      <w:pPr>
        <w:ind w:left="2160" w:hanging="360"/>
      </w:pPr>
    </w:lvl>
    <w:lvl w:ilvl="2" w:tplc="0420AE6A" w:tentative="1">
      <w:start w:val="1"/>
      <w:numFmt w:val="lowerRoman"/>
      <w:lvlText w:val="%3."/>
      <w:lvlJc w:val="right"/>
      <w:pPr>
        <w:ind w:left="2880" w:hanging="180"/>
      </w:pPr>
    </w:lvl>
    <w:lvl w:ilvl="3" w:tplc="CBECB090" w:tentative="1">
      <w:start w:val="1"/>
      <w:numFmt w:val="decimal"/>
      <w:lvlText w:val="%4."/>
      <w:lvlJc w:val="left"/>
      <w:pPr>
        <w:ind w:left="3600" w:hanging="360"/>
      </w:pPr>
    </w:lvl>
    <w:lvl w:ilvl="4" w:tplc="2DD24A96" w:tentative="1">
      <w:start w:val="1"/>
      <w:numFmt w:val="lowerLetter"/>
      <w:lvlText w:val="%5."/>
      <w:lvlJc w:val="left"/>
      <w:pPr>
        <w:ind w:left="4320" w:hanging="360"/>
      </w:pPr>
    </w:lvl>
    <w:lvl w:ilvl="5" w:tplc="B4FEF196" w:tentative="1">
      <w:start w:val="1"/>
      <w:numFmt w:val="lowerRoman"/>
      <w:lvlText w:val="%6."/>
      <w:lvlJc w:val="right"/>
      <w:pPr>
        <w:ind w:left="5040" w:hanging="180"/>
      </w:pPr>
    </w:lvl>
    <w:lvl w:ilvl="6" w:tplc="86BE8E9A" w:tentative="1">
      <w:start w:val="1"/>
      <w:numFmt w:val="decimal"/>
      <w:lvlText w:val="%7."/>
      <w:lvlJc w:val="left"/>
      <w:pPr>
        <w:ind w:left="5760" w:hanging="360"/>
      </w:pPr>
    </w:lvl>
    <w:lvl w:ilvl="7" w:tplc="4066E2FA" w:tentative="1">
      <w:start w:val="1"/>
      <w:numFmt w:val="lowerLetter"/>
      <w:lvlText w:val="%8."/>
      <w:lvlJc w:val="left"/>
      <w:pPr>
        <w:ind w:left="6480" w:hanging="360"/>
      </w:pPr>
    </w:lvl>
    <w:lvl w:ilvl="8" w:tplc="389897D8" w:tentative="1">
      <w:start w:val="1"/>
      <w:numFmt w:val="lowerRoman"/>
      <w:lvlText w:val="%9."/>
      <w:lvlJc w:val="right"/>
      <w:pPr>
        <w:ind w:left="7200" w:hanging="180"/>
      </w:pPr>
    </w:lvl>
  </w:abstractNum>
  <w:abstractNum w:abstractNumId="14" w15:restartNumberingAfterBreak="0">
    <w:nsid w:val="3DA05795"/>
    <w:multiLevelType w:val="hybridMultilevel"/>
    <w:tmpl w:val="DCFAEA90"/>
    <w:lvl w:ilvl="0" w:tplc="62B2DA1C">
      <w:start w:val="1"/>
      <w:numFmt w:val="decimal"/>
      <w:lvlText w:val="%1."/>
      <w:lvlJc w:val="left"/>
      <w:pPr>
        <w:ind w:left="720" w:hanging="360"/>
      </w:pPr>
      <w:rPr>
        <w:rFonts w:hint="default"/>
      </w:rPr>
    </w:lvl>
    <w:lvl w:ilvl="1" w:tplc="F60495A6">
      <w:start w:val="1"/>
      <w:numFmt w:val="decimal"/>
      <w:lvlText w:val="%2."/>
      <w:lvlJc w:val="left"/>
      <w:pPr>
        <w:ind w:left="1440" w:hanging="360"/>
      </w:pPr>
      <w:rPr>
        <w:rFonts w:hint="default"/>
      </w:rPr>
    </w:lvl>
    <w:lvl w:ilvl="2" w:tplc="AD10D902" w:tentative="1">
      <w:start w:val="1"/>
      <w:numFmt w:val="lowerRoman"/>
      <w:lvlText w:val="%3."/>
      <w:lvlJc w:val="right"/>
      <w:pPr>
        <w:ind w:left="2160" w:hanging="180"/>
      </w:pPr>
    </w:lvl>
    <w:lvl w:ilvl="3" w:tplc="9AB23716" w:tentative="1">
      <w:start w:val="1"/>
      <w:numFmt w:val="decimal"/>
      <w:lvlText w:val="%4."/>
      <w:lvlJc w:val="left"/>
      <w:pPr>
        <w:ind w:left="2880" w:hanging="360"/>
      </w:pPr>
    </w:lvl>
    <w:lvl w:ilvl="4" w:tplc="988263B0" w:tentative="1">
      <w:start w:val="1"/>
      <w:numFmt w:val="lowerLetter"/>
      <w:lvlText w:val="%5."/>
      <w:lvlJc w:val="left"/>
      <w:pPr>
        <w:ind w:left="3600" w:hanging="360"/>
      </w:pPr>
    </w:lvl>
    <w:lvl w:ilvl="5" w:tplc="EA74E4DC" w:tentative="1">
      <w:start w:val="1"/>
      <w:numFmt w:val="lowerRoman"/>
      <w:lvlText w:val="%6."/>
      <w:lvlJc w:val="right"/>
      <w:pPr>
        <w:ind w:left="4320" w:hanging="180"/>
      </w:pPr>
    </w:lvl>
    <w:lvl w:ilvl="6" w:tplc="8EA85696" w:tentative="1">
      <w:start w:val="1"/>
      <w:numFmt w:val="decimal"/>
      <w:lvlText w:val="%7."/>
      <w:lvlJc w:val="left"/>
      <w:pPr>
        <w:ind w:left="5040" w:hanging="360"/>
      </w:pPr>
    </w:lvl>
    <w:lvl w:ilvl="7" w:tplc="44725206" w:tentative="1">
      <w:start w:val="1"/>
      <w:numFmt w:val="lowerLetter"/>
      <w:lvlText w:val="%8."/>
      <w:lvlJc w:val="left"/>
      <w:pPr>
        <w:ind w:left="5760" w:hanging="360"/>
      </w:pPr>
    </w:lvl>
    <w:lvl w:ilvl="8" w:tplc="3FFAD1C8" w:tentative="1">
      <w:start w:val="1"/>
      <w:numFmt w:val="lowerRoman"/>
      <w:lvlText w:val="%9."/>
      <w:lvlJc w:val="right"/>
      <w:pPr>
        <w:ind w:left="6480" w:hanging="180"/>
      </w:pPr>
    </w:lvl>
  </w:abstractNum>
  <w:abstractNum w:abstractNumId="15" w15:restartNumberingAfterBreak="0">
    <w:nsid w:val="3E520AAF"/>
    <w:multiLevelType w:val="multilevel"/>
    <w:tmpl w:val="394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423AA"/>
    <w:multiLevelType w:val="multilevel"/>
    <w:tmpl w:val="78E43A60"/>
    <w:name w:val="Style12"/>
    <w:numStyleLink w:val="Style1"/>
  </w:abstractNum>
  <w:abstractNum w:abstractNumId="17" w15:restartNumberingAfterBreak="0">
    <w:nsid w:val="4C965FE2"/>
    <w:multiLevelType w:val="hybridMultilevel"/>
    <w:tmpl w:val="479CAC4A"/>
    <w:lvl w:ilvl="0" w:tplc="F0D4792A">
      <w:start w:val="4"/>
      <w:numFmt w:val="bullet"/>
      <w:lvlText w:val="-"/>
      <w:lvlJc w:val="left"/>
      <w:pPr>
        <w:ind w:left="720" w:hanging="360"/>
      </w:pPr>
      <w:rPr>
        <w:rFonts w:ascii="Arial" w:eastAsia="Times New Roman" w:hAnsi="Arial" w:cs="Arial" w:hint="default"/>
      </w:rPr>
    </w:lvl>
    <w:lvl w:ilvl="1" w:tplc="AAA2A7FE" w:tentative="1">
      <w:start w:val="1"/>
      <w:numFmt w:val="bullet"/>
      <w:lvlText w:val="o"/>
      <w:lvlJc w:val="left"/>
      <w:pPr>
        <w:ind w:left="1440" w:hanging="360"/>
      </w:pPr>
      <w:rPr>
        <w:rFonts w:ascii="Courier New" w:hAnsi="Courier New" w:cs="Courier New" w:hint="default"/>
      </w:rPr>
    </w:lvl>
    <w:lvl w:ilvl="2" w:tplc="46EE8C68" w:tentative="1">
      <w:start w:val="1"/>
      <w:numFmt w:val="bullet"/>
      <w:lvlText w:val=""/>
      <w:lvlJc w:val="left"/>
      <w:pPr>
        <w:ind w:left="2160" w:hanging="360"/>
      </w:pPr>
      <w:rPr>
        <w:rFonts w:ascii="Wingdings" w:hAnsi="Wingdings" w:hint="default"/>
      </w:rPr>
    </w:lvl>
    <w:lvl w:ilvl="3" w:tplc="FC062442" w:tentative="1">
      <w:start w:val="1"/>
      <w:numFmt w:val="bullet"/>
      <w:lvlText w:val=""/>
      <w:lvlJc w:val="left"/>
      <w:pPr>
        <w:ind w:left="2880" w:hanging="360"/>
      </w:pPr>
      <w:rPr>
        <w:rFonts w:ascii="Symbol" w:hAnsi="Symbol" w:hint="default"/>
      </w:rPr>
    </w:lvl>
    <w:lvl w:ilvl="4" w:tplc="6F9E7EF2" w:tentative="1">
      <w:start w:val="1"/>
      <w:numFmt w:val="bullet"/>
      <w:lvlText w:val="o"/>
      <w:lvlJc w:val="left"/>
      <w:pPr>
        <w:ind w:left="3600" w:hanging="360"/>
      </w:pPr>
      <w:rPr>
        <w:rFonts w:ascii="Courier New" w:hAnsi="Courier New" w:cs="Courier New" w:hint="default"/>
      </w:rPr>
    </w:lvl>
    <w:lvl w:ilvl="5" w:tplc="950C56E4" w:tentative="1">
      <w:start w:val="1"/>
      <w:numFmt w:val="bullet"/>
      <w:lvlText w:val=""/>
      <w:lvlJc w:val="left"/>
      <w:pPr>
        <w:ind w:left="4320" w:hanging="360"/>
      </w:pPr>
      <w:rPr>
        <w:rFonts w:ascii="Wingdings" w:hAnsi="Wingdings" w:hint="default"/>
      </w:rPr>
    </w:lvl>
    <w:lvl w:ilvl="6" w:tplc="E98E9C0A" w:tentative="1">
      <w:start w:val="1"/>
      <w:numFmt w:val="bullet"/>
      <w:lvlText w:val=""/>
      <w:lvlJc w:val="left"/>
      <w:pPr>
        <w:ind w:left="5040" w:hanging="360"/>
      </w:pPr>
      <w:rPr>
        <w:rFonts w:ascii="Symbol" w:hAnsi="Symbol" w:hint="default"/>
      </w:rPr>
    </w:lvl>
    <w:lvl w:ilvl="7" w:tplc="BBECE86E" w:tentative="1">
      <w:start w:val="1"/>
      <w:numFmt w:val="bullet"/>
      <w:lvlText w:val="o"/>
      <w:lvlJc w:val="left"/>
      <w:pPr>
        <w:ind w:left="5760" w:hanging="360"/>
      </w:pPr>
      <w:rPr>
        <w:rFonts w:ascii="Courier New" w:hAnsi="Courier New" w:cs="Courier New" w:hint="default"/>
      </w:rPr>
    </w:lvl>
    <w:lvl w:ilvl="8" w:tplc="41FCABE2" w:tentative="1">
      <w:start w:val="1"/>
      <w:numFmt w:val="bullet"/>
      <w:lvlText w:val=""/>
      <w:lvlJc w:val="left"/>
      <w:pPr>
        <w:ind w:left="6480" w:hanging="360"/>
      </w:pPr>
      <w:rPr>
        <w:rFonts w:ascii="Wingdings" w:hAnsi="Wingdings" w:hint="default"/>
      </w:rPr>
    </w:lvl>
  </w:abstractNum>
  <w:abstractNum w:abstractNumId="18" w15:restartNumberingAfterBreak="0">
    <w:nsid w:val="51323486"/>
    <w:multiLevelType w:val="hybridMultilevel"/>
    <w:tmpl w:val="8812C1EE"/>
    <w:lvl w:ilvl="0" w:tplc="A9D2564C">
      <w:start w:val="1"/>
      <w:numFmt w:val="decimal"/>
      <w:lvlText w:val="%1."/>
      <w:lvlJc w:val="left"/>
      <w:pPr>
        <w:ind w:left="1494" w:hanging="360"/>
      </w:pPr>
      <w:rPr>
        <w:rFonts w:hint="default"/>
      </w:rPr>
    </w:lvl>
    <w:lvl w:ilvl="1" w:tplc="FCA60A96" w:tentative="1">
      <w:start w:val="1"/>
      <w:numFmt w:val="lowerLetter"/>
      <w:lvlText w:val="%2."/>
      <w:lvlJc w:val="left"/>
      <w:pPr>
        <w:ind w:left="2214" w:hanging="360"/>
      </w:pPr>
    </w:lvl>
    <w:lvl w:ilvl="2" w:tplc="70640C42" w:tentative="1">
      <w:start w:val="1"/>
      <w:numFmt w:val="lowerRoman"/>
      <w:lvlText w:val="%3."/>
      <w:lvlJc w:val="right"/>
      <w:pPr>
        <w:ind w:left="2934" w:hanging="180"/>
      </w:pPr>
    </w:lvl>
    <w:lvl w:ilvl="3" w:tplc="C0EEDFDA" w:tentative="1">
      <w:start w:val="1"/>
      <w:numFmt w:val="decimal"/>
      <w:lvlText w:val="%4."/>
      <w:lvlJc w:val="left"/>
      <w:pPr>
        <w:ind w:left="3654" w:hanging="360"/>
      </w:pPr>
    </w:lvl>
    <w:lvl w:ilvl="4" w:tplc="51D826D0" w:tentative="1">
      <w:start w:val="1"/>
      <w:numFmt w:val="lowerLetter"/>
      <w:lvlText w:val="%5."/>
      <w:lvlJc w:val="left"/>
      <w:pPr>
        <w:ind w:left="4374" w:hanging="360"/>
      </w:pPr>
    </w:lvl>
    <w:lvl w:ilvl="5" w:tplc="5F26B5B2" w:tentative="1">
      <w:start w:val="1"/>
      <w:numFmt w:val="lowerRoman"/>
      <w:lvlText w:val="%6."/>
      <w:lvlJc w:val="right"/>
      <w:pPr>
        <w:ind w:left="5094" w:hanging="180"/>
      </w:pPr>
    </w:lvl>
    <w:lvl w:ilvl="6" w:tplc="0046DFEA" w:tentative="1">
      <w:start w:val="1"/>
      <w:numFmt w:val="decimal"/>
      <w:lvlText w:val="%7."/>
      <w:lvlJc w:val="left"/>
      <w:pPr>
        <w:ind w:left="5814" w:hanging="360"/>
      </w:pPr>
    </w:lvl>
    <w:lvl w:ilvl="7" w:tplc="CEBC851C" w:tentative="1">
      <w:start w:val="1"/>
      <w:numFmt w:val="lowerLetter"/>
      <w:lvlText w:val="%8."/>
      <w:lvlJc w:val="left"/>
      <w:pPr>
        <w:ind w:left="6534" w:hanging="360"/>
      </w:pPr>
    </w:lvl>
    <w:lvl w:ilvl="8" w:tplc="F852EFD8" w:tentative="1">
      <w:start w:val="1"/>
      <w:numFmt w:val="lowerRoman"/>
      <w:lvlText w:val="%9."/>
      <w:lvlJc w:val="right"/>
      <w:pPr>
        <w:ind w:left="7254" w:hanging="180"/>
      </w:pPr>
    </w:lvl>
  </w:abstractNum>
  <w:abstractNum w:abstractNumId="19" w15:restartNumberingAfterBreak="0">
    <w:nsid w:val="522E7B27"/>
    <w:multiLevelType w:val="hybridMultilevel"/>
    <w:tmpl w:val="3D2E9036"/>
    <w:lvl w:ilvl="0" w:tplc="5A304462">
      <w:start w:val="1"/>
      <w:numFmt w:val="upperLetter"/>
      <w:lvlText w:val="%1."/>
      <w:lvlJc w:val="left"/>
      <w:pPr>
        <w:ind w:left="720" w:hanging="360"/>
      </w:pPr>
      <w:rPr>
        <w:rFonts w:hint="default"/>
      </w:rPr>
    </w:lvl>
    <w:lvl w:ilvl="1" w:tplc="F1BC3DF8" w:tentative="1">
      <w:start w:val="1"/>
      <w:numFmt w:val="lowerLetter"/>
      <w:lvlText w:val="%2."/>
      <w:lvlJc w:val="left"/>
      <w:pPr>
        <w:ind w:left="1440" w:hanging="360"/>
      </w:pPr>
    </w:lvl>
    <w:lvl w:ilvl="2" w:tplc="BF48DB0A" w:tentative="1">
      <w:start w:val="1"/>
      <w:numFmt w:val="lowerRoman"/>
      <w:lvlText w:val="%3."/>
      <w:lvlJc w:val="right"/>
      <w:pPr>
        <w:ind w:left="2160" w:hanging="180"/>
      </w:pPr>
    </w:lvl>
    <w:lvl w:ilvl="3" w:tplc="D2DCCAE8" w:tentative="1">
      <w:start w:val="1"/>
      <w:numFmt w:val="decimal"/>
      <w:lvlText w:val="%4."/>
      <w:lvlJc w:val="left"/>
      <w:pPr>
        <w:ind w:left="2880" w:hanging="360"/>
      </w:pPr>
    </w:lvl>
    <w:lvl w:ilvl="4" w:tplc="B7D01408" w:tentative="1">
      <w:start w:val="1"/>
      <w:numFmt w:val="lowerLetter"/>
      <w:lvlText w:val="%5."/>
      <w:lvlJc w:val="left"/>
      <w:pPr>
        <w:ind w:left="3600" w:hanging="360"/>
      </w:pPr>
    </w:lvl>
    <w:lvl w:ilvl="5" w:tplc="F38289F0" w:tentative="1">
      <w:start w:val="1"/>
      <w:numFmt w:val="lowerRoman"/>
      <w:lvlText w:val="%6."/>
      <w:lvlJc w:val="right"/>
      <w:pPr>
        <w:ind w:left="4320" w:hanging="180"/>
      </w:pPr>
    </w:lvl>
    <w:lvl w:ilvl="6" w:tplc="1ED4F518" w:tentative="1">
      <w:start w:val="1"/>
      <w:numFmt w:val="decimal"/>
      <w:lvlText w:val="%7."/>
      <w:lvlJc w:val="left"/>
      <w:pPr>
        <w:ind w:left="5040" w:hanging="360"/>
      </w:pPr>
    </w:lvl>
    <w:lvl w:ilvl="7" w:tplc="43FA2AA6" w:tentative="1">
      <w:start w:val="1"/>
      <w:numFmt w:val="lowerLetter"/>
      <w:lvlText w:val="%8."/>
      <w:lvlJc w:val="left"/>
      <w:pPr>
        <w:ind w:left="5760" w:hanging="360"/>
      </w:pPr>
    </w:lvl>
    <w:lvl w:ilvl="8" w:tplc="89C6066E" w:tentative="1">
      <w:start w:val="1"/>
      <w:numFmt w:val="lowerRoman"/>
      <w:lvlText w:val="%9."/>
      <w:lvlJc w:val="right"/>
      <w:pPr>
        <w:ind w:left="6480" w:hanging="180"/>
      </w:pPr>
    </w:lvl>
  </w:abstractNum>
  <w:abstractNum w:abstractNumId="20" w15:restartNumberingAfterBreak="0">
    <w:nsid w:val="54EB142F"/>
    <w:multiLevelType w:val="hybridMultilevel"/>
    <w:tmpl w:val="26CA69A2"/>
    <w:lvl w:ilvl="0" w:tplc="E10292B2">
      <w:start w:val="1"/>
      <w:numFmt w:val="bullet"/>
      <w:lvlText w:val=""/>
      <w:lvlJc w:val="left"/>
      <w:pPr>
        <w:ind w:left="720" w:hanging="360"/>
      </w:pPr>
      <w:rPr>
        <w:rFonts w:ascii="Symbol" w:hAnsi="Symbol" w:hint="default"/>
      </w:rPr>
    </w:lvl>
    <w:lvl w:ilvl="1" w:tplc="28B864B0" w:tentative="1">
      <w:start w:val="1"/>
      <w:numFmt w:val="bullet"/>
      <w:lvlText w:val="o"/>
      <w:lvlJc w:val="left"/>
      <w:pPr>
        <w:ind w:left="1440" w:hanging="360"/>
      </w:pPr>
      <w:rPr>
        <w:rFonts w:ascii="Courier New" w:hAnsi="Courier New" w:cs="Courier New" w:hint="default"/>
      </w:rPr>
    </w:lvl>
    <w:lvl w:ilvl="2" w:tplc="53F42870" w:tentative="1">
      <w:start w:val="1"/>
      <w:numFmt w:val="bullet"/>
      <w:lvlText w:val=""/>
      <w:lvlJc w:val="left"/>
      <w:pPr>
        <w:ind w:left="2160" w:hanging="360"/>
      </w:pPr>
      <w:rPr>
        <w:rFonts w:ascii="Wingdings" w:hAnsi="Wingdings" w:hint="default"/>
      </w:rPr>
    </w:lvl>
    <w:lvl w:ilvl="3" w:tplc="97F870C8" w:tentative="1">
      <w:start w:val="1"/>
      <w:numFmt w:val="bullet"/>
      <w:lvlText w:val=""/>
      <w:lvlJc w:val="left"/>
      <w:pPr>
        <w:ind w:left="2880" w:hanging="360"/>
      </w:pPr>
      <w:rPr>
        <w:rFonts w:ascii="Symbol" w:hAnsi="Symbol" w:hint="default"/>
      </w:rPr>
    </w:lvl>
    <w:lvl w:ilvl="4" w:tplc="27266032" w:tentative="1">
      <w:start w:val="1"/>
      <w:numFmt w:val="bullet"/>
      <w:lvlText w:val="o"/>
      <w:lvlJc w:val="left"/>
      <w:pPr>
        <w:ind w:left="3600" w:hanging="360"/>
      </w:pPr>
      <w:rPr>
        <w:rFonts w:ascii="Courier New" w:hAnsi="Courier New" w:cs="Courier New" w:hint="default"/>
      </w:rPr>
    </w:lvl>
    <w:lvl w:ilvl="5" w:tplc="BE94A480" w:tentative="1">
      <w:start w:val="1"/>
      <w:numFmt w:val="bullet"/>
      <w:lvlText w:val=""/>
      <w:lvlJc w:val="left"/>
      <w:pPr>
        <w:ind w:left="4320" w:hanging="360"/>
      </w:pPr>
      <w:rPr>
        <w:rFonts w:ascii="Wingdings" w:hAnsi="Wingdings" w:hint="default"/>
      </w:rPr>
    </w:lvl>
    <w:lvl w:ilvl="6" w:tplc="36387282" w:tentative="1">
      <w:start w:val="1"/>
      <w:numFmt w:val="bullet"/>
      <w:lvlText w:val=""/>
      <w:lvlJc w:val="left"/>
      <w:pPr>
        <w:ind w:left="5040" w:hanging="360"/>
      </w:pPr>
      <w:rPr>
        <w:rFonts w:ascii="Symbol" w:hAnsi="Symbol" w:hint="default"/>
      </w:rPr>
    </w:lvl>
    <w:lvl w:ilvl="7" w:tplc="4BC8AB2C" w:tentative="1">
      <w:start w:val="1"/>
      <w:numFmt w:val="bullet"/>
      <w:lvlText w:val="o"/>
      <w:lvlJc w:val="left"/>
      <w:pPr>
        <w:ind w:left="5760" w:hanging="360"/>
      </w:pPr>
      <w:rPr>
        <w:rFonts w:ascii="Courier New" w:hAnsi="Courier New" w:cs="Courier New" w:hint="default"/>
      </w:rPr>
    </w:lvl>
    <w:lvl w:ilvl="8" w:tplc="68781962" w:tentative="1">
      <w:start w:val="1"/>
      <w:numFmt w:val="bullet"/>
      <w:lvlText w:val=""/>
      <w:lvlJc w:val="left"/>
      <w:pPr>
        <w:ind w:left="6480" w:hanging="360"/>
      </w:pPr>
      <w:rPr>
        <w:rFonts w:ascii="Wingdings" w:hAnsi="Wingdings" w:hint="default"/>
      </w:rPr>
    </w:lvl>
  </w:abstractNum>
  <w:abstractNum w:abstractNumId="21" w15:restartNumberingAfterBreak="0">
    <w:nsid w:val="5A0C4719"/>
    <w:multiLevelType w:val="multilevel"/>
    <w:tmpl w:val="78E43A60"/>
    <w:name w:val="Style13"/>
    <w:numStyleLink w:val="Style1"/>
  </w:abstractNum>
  <w:abstractNum w:abstractNumId="22" w15:restartNumberingAfterBreak="0">
    <w:nsid w:val="5CC841BE"/>
    <w:multiLevelType w:val="hybridMultilevel"/>
    <w:tmpl w:val="A240FB58"/>
    <w:lvl w:ilvl="0" w:tplc="A2D2EFC0">
      <w:start w:val="72"/>
      <w:numFmt w:val="bullet"/>
      <w:lvlText w:val="•"/>
      <w:lvlJc w:val="left"/>
      <w:pPr>
        <w:ind w:left="1080" w:hanging="360"/>
      </w:pPr>
      <w:rPr>
        <w:rFonts w:ascii="Arial" w:eastAsia="Times New Roman" w:hAnsi="Arial" w:cs="Arial" w:hint="default"/>
      </w:rPr>
    </w:lvl>
    <w:lvl w:ilvl="1" w:tplc="623CF496" w:tentative="1">
      <w:start w:val="1"/>
      <w:numFmt w:val="bullet"/>
      <w:lvlText w:val="o"/>
      <w:lvlJc w:val="left"/>
      <w:pPr>
        <w:ind w:left="1800" w:hanging="360"/>
      </w:pPr>
      <w:rPr>
        <w:rFonts w:ascii="Courier New" w:hAnsi="Courier New" w:cs="Courier New" w:hint="default"/>
      </w:rPr>
    </w:lvl>
    <w:lvl w:ilvl="2" w:tplc="A84C095C" w:tentative="1">
      <w:start w:val="1"/>
      <w:numFmt w:val="bullet"/>
      <w:lvlText w:val=""/>
      <w:lvlJc w:val="left"/>
      <w:pPr>
        <w:ind w:left="2520" w:hanging="360"/>
      </w:pPr>
      <w:rPr>
        <w:rFonts w:ascii="Wingdings" w:hAnsi="Wingdings" w:hint="default"/>
      </w:rPr>
    </w:lvl>
    <w:lvl w:ilvl="3" w:tplc="5ECADA68" w:tentative="1">
      <w:start w:val="1"/>
      <w:numFmt w:val="bullet"/>
      <w:lvlText w:val=""/>
      <w:lvlJc w:val="left"/>
      <w:pPr>
        <w:ind w:left="3240" w:hanging="360"/>
      </w:pPr>
      <w:rPr>
        <w:rFonts w:ascii="Symbol" w:hAnsi="Symbol" w:hint="default"/>
      </w:rPr>
    </w:lvl>
    <w:lvl w:ilvl="4" w:tplc="7D4EBA6A" w:tentative="1">
      <w:start w:val="1"/>
      <w:numFmt w:val="bullet"/>
      <w:lvlText w:val="o"/>
      <w:lvlJc w:val="left"/>
      <w:pPr>
        <w:ind w:left="3960" w:hanging="360"/>
      </w:pPr>
      <w:rPr>
        <w:rFonts w:ascii="Courier New" w:hAnsi="Courier New" w:cs="Courier New" w:hint="default"/>
      </w:rPr>
    </w:lvl>
    <w:lvl w:ilvl="5" w:tplc="FED02760" w:tentative="1">
      <w:start w:val="1"/>
      <w:numFmt w:val="bullet"/>
      <w:lvlText w:val=""/>
      <w:lvlJc w:val="left"/>
      <w:pPr>
        <w:ind w:left="4680" w:hanging="360"/>
      </w:pPr>
      <w:rPr>
        <w:rFonts w:ascii="Wingdings" w:hAnsi="Wingdings" w:hint="default"/>
      </w:rPr>
    </w:lvl>
    <w:lvl w:ilvl="6" w:tplc="F1086966" w:tentative="1">
      <w:start w:val="1"/>
      <w:numFmt w:val="bullet"/>
      <w:lvlText w:val=""/>
      <w:lvlJc w:val="left"/>
      <w:pPr>
        <w:ind w:left="5400" w:hanging="360"/>
      </w:pPr>
      <w:rPr>
        <w:rFonts w:ascii="Symbol" w:hAnsi="Symbol" w:hint="default"/>
      </w:rPr>
    </w:lvl>
    <w:lvl w:ilvl="7" w:tplc="C6D46FE8" w:tentative="1">
      <w:start w:val="1"/>
      <w:numFmt w:val="bullet"/>
      <w:lvlText w:val="o"/>
      <w:lvlJc w:val="left"/>
      <w:pPr>
        <w:ind w:left="6120" w:hanging="360"/>
      </w:pPr>
      <w:rPr>
        <w:rFonts w:ascii="Courier New" w:hAnsi="Courier New" w:cs="Courier New" w:hint="default"/>
      </w:rPr>
    </w:lvl>
    <w:lvl w:ilvl="8" w:tplc="7C728428" w:tentative="1">
      <w:start w:val="1"/>
      <w:numFmt w:val="bullet"/>
      <w:lvlText w:val=""/>
      <w:lvlJc w:val="left"/>
      <w:pPr>
        <w:ind w:left="6840" w:hanging="360"/>
      </w:pPr>
      <w:rPr>
        <w:rFonts w:ascii="Wingdings" w:hAnsi="Wingdings" w:hint="default"/>
      </w:rPr>
    </w:lvl>
  </w:abstractNum>
  <w:abstractNum w:abstractNumId="23" w15:restartNumberingAfterBreak="0">
    <w:nsid w:val="609C0DCC"/>
    <w:multiLevelType w:val="multilevel"/>
    <w:tmpl w:val="F586B59C"/>
    <w:lvl w:ilvl="0">
      <w:start w:val="1"/>
      <w:numFmt w:val="decimal"/>
      <w:pStyle w:val="Paragrdouble"/>
      <w:lvlText w:val="[%1]"/>
      <w:lvlJc w:val="left"/>
      <w:pPr>
        <w:tabs>
          <w:tab w:val="num" w:pos="360"/>
        </w:tabs>
        <w:ind w:left="0" w:firstLine="0"/>
      </w:pPr>
      <w:rPr>
        <w:rFonts w:ascii="Arial" w:hAnsi="Arial" w:hint="default"/>
        <w:b w:val="0"/>
        <w:i w:val="0"/>
        <w:sz w:val="24"/>
        <w:lang w:val="fr-CA"/>
      </w:rPr>
    </w:lvl>
    <w:lvl w:ilvl="1">
      <w:start w:val="1"/>
      <w:numFmt w:val="decimal"/>
      <w:pStyle w:val="Sous-paragraphe"/>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5A533AC"/>
    <w:multiLevelType w:val="hybridMultilevel"/>
    <w:tmpl w:val="EA58FA7E"/>
    <w:lvl w:ilvl="0" w:tplc="10CA7EF8">
      <w:start w:val="1"/>
      <w:numFmt w:val="lowerLetter"/>
      <w:lvlText w:val="%1)"/>
      <w:lvlJc w:val="left"/>
      <w:pPr>
        <w:ind w:left="720" w:hanging="360"/>
      </w:pPr>
      <w:rPr>
        <w:rFonts w:ascii="Arial" w:eastAsiaTheme="minorHAnsi" w:hAnsi="Arial" w:cs="Arial"/>
      </w:rPr>
    </w:lvl>
    <w:lvl w:ilvl="1" w:tplc="95102AFA">
      <w:start w:val="1"/>
      <w:numFmt w:val="bullet"/>
      <w:lvlText w:val="o"/>
      <w:lvlJc w:val="left"/>
      <w:pPr>
        <w:ind w:left="1440" w:hanging="360"/>
      </w:pPr>
      <w:rPr>
        <w:rFonts w:ascii="Courier New" w:hAnsi="Courier New" w:cs="Courier New" w:hint="default"/>
      </w:rPr>
    </w:lvl>
    <w:lvl w:ilvl="2" w:tplc="04F80796">
      <w:start w:val="1"/>
      <w:numFmt w:val="lowerRoman"/>
      <w:lvlText w:val="%3."/>
      <w:lvlJc w:val="left"/>
      <w:pPr>
        <w:ind w:left="2520" w:hanging="720"/>
      </w:pPr>
      <w:rPr>
        <w:rFonts w:hint="default"/>
      </w:rPr>
    </w:lvl>
    <w:lvl w:ilvl="3" w:tplc="4AC84E0C" w:tentative="1">
      <w:start w:val="1"/>
      <w:numFmt w:val="bullet"/>
      <w:lvlText w:val=""/>
      <w:lvlJc w:val="left"/>
      <w:pPr>
        <w:ind w:left="2880" w:hanging="360"/>
      </w:pPr>
      <w:rPr>
        <w:rFonts w:ascii="Symbol" w:hAnsi="Symbol" w:hint="default"/>
      </w:rPr>
    </w:lvl>
    <w:lvl w:ilvl="4" w:tplc="B7828702" w:tentative="1">
      <w:start w:val="1"/>
      <w:numFmt w:val="bullet"/>
      <w:lvlText w:val="o"/>
      <w:lvlJc w:val="left"/>
      <w:pPr>
        <w:ind w:left="3600" w:hanging="360"/>
      </w:pPr>
      <w:rPr>
        <w:rFonts w:ascii="Courier New" w:hAnsi="Courier New" w:cs="Courier New" w:hint="default"/>
      </w:rPr>
    </w:lvl>
    <w:lvl w:ilvl="5" w:tplc="E8129B76" w:tentative="1">
      <w:start w:val="1"/>
      <w:numFmt w:val="bullet"/>
      <w:lvlText w:val=""/>
      <w:lvlJc w:val="left"/>
      <w:pPr>
        <w:ind w:left="4320" w:hanging="360"/>
      </w:pPr>
      <w:rPr>
        <w:rFonts w:ascii="Wingdings" w:hAnsi="Wingdings" w:hint="default"/>
      </w:rPr>
    </w:lvl>
    <w:lvl w:ilvl="6" w:tplc="895883F2" w:tentative="1">
      <w:start w:val="1"/>
      <w:numFmt w:val="bullet"/>
      <w:lvlText w:val=""/>
      <w:lvlJc w:val="left"/>
      <w:pPr>
        <w:ind w:left="5040" w:hanging="360"/>
      </w:pPr>
      <w:rPr>
        <w:rFonts w:ascii="Symbol" w:hAnsi="Symbol" w:hint="default"/>
      </w:rPr>
    </w:lvl>
    <w:lvl w:ilvl="7" w:tplc="7F3A70A6" w:tentative="1">
      <w:start w:val="1"/>
      <w:numFmt w:val="bullet"/>
      <w:lvlText w:val="o"/>
      <w:lvlJc w:val="left"/>
      <w:pPr>
        <w:ind w:left="5760" w:hanging="360"/>
      </w:pPr>
      <w:rPr>
        <w:rFonts w:ascii="Courier New" w:hAnsi="Courier New" w:cs="Courier New" w:hint="default"/>
      </w:rPr>
    </w:lvl>
    <w:lvl w:ilvl="8" w:tplc="0EA42B0A" w:tentative="1">
      <w:start w:val="1"/>
      <w:numFmt w:val="bullet"/>
      <w:lvlText w:val=""/>
      <w:lvlJc w:val="left"/>
      <w:pPr>
        <w:ind w:left="6480" w:hanging="360"/>
      </w:pPr>
      <w:rPr>
        <w:rFonts w:ascii="Wingdings" w:hAnsi="Wingdings" w:hint="default"/>
      </w:rPr>
    </w:lvl>
  </w:abstractNum>
  <w:abstractNum w:abstractNumId="25" w15:restartNumberingAfterBreak="0">
    <w:nsid w:val="6DE82955"/>
    <w:multiLevelType w:val="hybridMultilevel"/>
    <w:tmpl w:val="A20E672C"/>
    <w:lvl w:ilvl="0" w:tplc="0B7E5B8E">
      <w:start w:val="4"/>
      <w:numFmt w:val="bullet"/>
      <w:lvlText w:val="-"/>
      <w:lvlJc w:val="left"/>
      <w:pPr>
        <w:ind w:left="720" w:hanging="360"/>
      </w:pPr>
      <w:rPr>
        <w:rFonts w:ascii="Arial" w:eastAsia="Times New Roman" w:hAnsi="Arial" w:cs="Arial" w:hint="default"/>
      </w:rPr>
    </w:lvl>
    <w:lvl w:ilvl="1" w:tplc="D736D8D6" w:tentative="1">
      <w:start w:val="1"/>
      <w:numFmt w:val="bullet"/>
      <w:lvlText w:val="o"/>
      <w:lvlJc w:val="left"/>
      <w:pPr>
        <w:ind w:left="1440" w:hanging="360"/>
      </w:pPr>
      <w:rPr>
        <w:rFonts w:ascii="Courier New" w:hAnsi="Courier New" w:cs="Courier New" w:hint="default"/>
      </w:rPr>
    </w:lvl>
    <w:lvl w:ilvl="2" w:tplc="1BA01574" w:tentative="1">
      <w:start w:val="1"/>
      <w:numFmt w:val="bullet"/>
      <w:lvlText w:val=""/>
      <w:lvlJc w:val="left"/>
      <w:pPr>
        <w:ind w:left="2160" w:hanging="360"/>
      </w:pPr>
      <w:rPr>
        <w:rFonts w:ascii="Wingdings" w:hAnsi="Wingdings" w:hint="default"/>
      </w:rPr>
    </w:lvl>
    <w:lvl w:ilvl="3" w:tplc="42760166" w:tentative="1">
      <w:start w:val="1"/>
      <w:numFmt w:val="bullet"/>
      <w:lvlText w:val=""/>
      <w:lvlJc w:val="left"/>
      <w:pPr>
        <w:ind w:left="2880" w:hanging="360"/>
      </w:pPr>
      <w:rPr>
        <w:rFonts w:ascii="Symbol" w:hAnsi="Symbol" w:hint="default"/>
      </w:rPr>
    </w:lvl>
    <w:lvl w:ilvl="4" w:tplc="F24E6270" w:tentative="1">
      <w:start w:val="1"/>
      <w:numFmt w:val="bullet"/>
      <w:lvlText w:val="o"/>
      <w:lvlJc w:val="left"/>
      <w:pPr>
        <w:ind w:left="3600" w:hanging="360"/>
      </w:pPr>
      <w:rPr>
        <w:rFonts w:ascii="Courier New" w:hAnsi="Courier New" w:cs="Courier New" w:hint="default"/>
      </w:rPr>
    </w:lvl>
    <w:lvl w:ilvl="5" w:tplc="E604D230" w:tentative="1">
      <w:start w:val="1"/>
      <w:numFmt w:val="bullet"/>
      <w:lvlText w:val=""/>
      <w:lvlJc w:val="left"/>
      <w:pPr>
        <w:ind w:left="4320" w:hanging="360"/>
      </w:pPr>
      <w:rPr>
        <w:rFonts w:ascii="Wingdings" w:hAnsi="Wingdings" w:hint="default"/>
      </w:rPr>
    </w:lvl>
    <w:lvl w:ilvl="6" w:tplc="39BC672E" w:tentative="1">
      <w:start w:val="1"/>
      <w:numFmt w:val="bullet"/>
      <w:lvlText w:val=""/>
      <w:lvlJc w:val="left"/>
      <w:pPr>
        <w:ind w:left="5040" w:hanging="360"/>
      </w:pPr>
      <w:rPr>
        <w:rFonts w:ascii="Symbol" w:hAnsi="Symbol" w:hint="default"/>
      </w:rPr>
    </w:lvl>
    <w:lvl w:ilvl="7" w:tplc="AF5E4DA2" w:tentative="1">
      <w:start w:val="1"/>
      <w:numFmt w:val="bullet"/>
      <w:lvlText w:val="o"/>
      <w:lvlJc w:val="left"/>
      <w:pPr>
        <w:ind w:left="5760" w:hanging="360"/>
      </w:pPr>
      <w:rPr>
        <w:rFonts w:ascii="Courier New" w:hAnsi="Courier New" w:cs="Courier New" w:hint="default"/>
      </w:rPr>
    </w:lvl>
    <w:lvl w:ilvl="8" w:tplc="8DC8AA08" w:tentative="1">
      <w:start w:val="1"/>
      <w:numFmt w:val="bullet"/>
      <w:lvlText w:val=""/>
      <w:lvlJc w:val="left"/>
      <w:pPr>
        <w:ind w:left="6480" w:hanging="360"/>
      </w:pPr>
      <w:rPr>
        <w:rFonts w:ascii="Wingdings" w:hAnsi="Wingdings" w:hint="default"/>
      </w:rPr>
    </w:lvl>
  </w:abstractNum>
  <w:abstractNum w:abstractNumId="26" w15:restartNumberingAfterBreak="0">
    <w:nsid w:val="780A6659"/>
    <w:multiLevelType w:val="hybridMultilevel"/>
    <w:tmpl w:val="7FDA4CCE"/>
    <w:lvl w:ilvl="0" w:tplc="EC06361A">
      <w:start w:val="72"/>
      <w:numFmt w:val="bullet"/>
      <w:lvlText w:val="•"/>
      <w:lvlJc w:val="left"/>
      <w:pPr>
        <w:ind w:left="1080" w:hanging="360"/>
      </w:pPr>
      <w:rPr>
        <w:rFonts w:ascii="Arial" w:eastAsia="Times New Roman" w:hAnsi="Arial" w:cs="Arial" w:hint="default"/>
      </w:rPr>
    </w:lvl>
    <w:lvl w:ilvl="1" w:tplc="E4FE8664" w:tentative="1">
      <w:start w:val="1"/>
      <w:numFmt w:val="bullet"/>
      <w:lvlText w:val="o"/>
      <w:lvlJc w:val="left"/>
      <w:pPr>
        <w:ind w:left="1800" w:hanging="360"/>
      </w:pPr>
      <w:rPr>
        <w:rFonts w:ascii="Courier New" w:hAnsi="Courier New" w:cs="Courier New" w:hint="default"/>
      </w:rPr>
    </w:lvl>
    <w:lvl w:ilvl="2" w:tplc="1410F068" w:tentative="1">
      <w:start w:val="1"/>
      <w:numFmt w:val="bullet"/>
      <w:lvlText w:val=""/>
      <w:lvlJc w:val="left"/>
      <w:pPr>
        <w:ind w:left="2520" w:hanging="360"/>
      </w:pPr>
      <w:rPr>
        <w:rFonts w:ascii="Wingdings" w:hAnsi="Wingdings" w:hint="default"/>
      </w:rPr>
    </w:lvl>
    <w:lvl w:ilvl="3" w:tplc="799858A4" w:tentative="1">
      <w:start w:val="1"/>
      <w:numFmt w:val="bullet"/>
      <w:lvlText w:val=""/>
      <w:lvlJc w:val="left"/>
      <w:pPr>
        <w:ind w:left="3240" w:hanging="360"/>
      </w:pPr>
      <w:rPr>
        <w:rFonts w:ascii="Symbol" w:hAnsi="Symbol" w:hint="default"/>
      </w:rPr>
    </w:lvl>
    <w:lvl w:ilvl="4" w:tplc="ED764C02" w:tentative="1">
      <w:start w:val="1"/>
      <w:numFmt w:val="bullet"/>
      <w:lvlText w:val="o"/>
      <w:lvlJc w:val="left"/>
      <w:pPr>
        <w:ind w:left="3960" w:hanging="360"/>
      </w:pPr>
      <w:rPr>
        <w:rFonts w:ascii="Courier New" w:hAnsi="Courier New" w:cs="Courier New" w:hint="default"/>
      </w:rPr>
    </w:lvl>
    <w:lvl w:ilvl="5" w:tplc="58B6B4F2" w:tentative="1">
      <w:start w:val="1"/>
      <w:numFmt w:val="bullet"/>
      <w:lvlText w:val=""/>
      <w:lvlJc w:val="left"/>
      <w:pPr>
        <w:ind w:left="4680" w:hanging="360"/>
      </w:pPr>
      <w:rPr>
        <w:rFonts w:ascii="Wingdings" w:hAnsi="Wingdings" w:hint="default"/>
      </w:rPr>
    </w:lvl>
    <w:lvl w:ilvl="6" w:tplc="3E7A603A" w:tentative="1">
      <w:start w:val="1"/>
      <w:numFmt w:val="bullet"/>
      <w:lvlText w:val=""/>
      <w:lvlJc w:val="left"/>
      <w:pPr>
        <w:ind w:left="5400" w:hanging="360"/>
      </w:pPr>
      <w:rPr>
        <w:rFonts w:ascii="Symbol" w:hAnsi="Symbol" w:hint="default"/>
      </w:rPr>
    </w:lvl>
    <w:lvl w:ilvl="7" w:tplc="E86CFF54" w:tentative="1">
      <w:start w:val="1"/>
      <w:numFmt w:val="bullet"/>
      <w:lvlText w:val="o"/>
      <w:lvlJc w:val="left"/>
      <w:pPr>
        <w:ind w:left="6120" w:hanging="360"/>
      </w:pPr>
      <w:rPr>
        <w:rFonts w:ascii="Courier New" w:hAnsi="Courier New" w:cs="Courier New" w:hint="default"/>
      </w:rPr>
    </w:lvl>
    <w:lvl w:ilvl="8" w:tplc="DD7EA96E" w:tentative="1">
      <w:start w:val="1"/>
      <w:numFmt w:val="bullet"/>
      <w:lvlText w:val=""/>
      <w:lvlJc w:val="left"/>
      <w:pPr>
        <w:ind w:left="6840" w:hanging="360"/>
      </w:pPr>
      <w:rPr>
        <w:rFonts w:ascii="Wingdings" w:hAnsi="Wingdings" w:hint="default"/>
      </w:rPr>
    </w:lvl>
  </w:abstractNum>
  <w:abstractNum w:abstractNumId="27" w15:restartNumberingAfterBreak="0">
    <w:nsid w:val="78406F97"/>
    <w:multiLevelType w:val="hybridMultilevel"/>
    <w:tmpl w:val="B384681E"/>
    <w:lvl w:ilvl="0" w:tplc="28E42B96">
      <w:start w:val="1"/>
      <w:numFmt w:val="decimal"/>
      <w:lvlText w:val="%1)"/>
      <w:lvlJc w:val="left"/>
      <w:pPr>
        <w:ind w:left="720" w:hanging="360"/>
      </w:pPr>
      <w:rPr>
        <w:rFonts w:ascii="Calibri" w:eastAsia="Calibri" w:hAnsi="Calibri" w:cs="Times New Roman"/>
      </w:rPr>
    </w:lvl>
    <w:lvl w:ilvl="1" w:tplc="9F2A7E56">
      <w:start w:val="1"/>
      <w:numFmt w:val="lowerLetter"/>
      <w:lvlText w:val="%2."/>
      <w:lvlJc w:val="left"/>
      <w:pPr>
        <w:ind w:left="1440" w:hanging="360"/>
      </w:pPr>
    </w:lvl>
    <w:lvl w:ilvl="2" w:tplc="42CAA68A">
      <w:start w:val="1"/>
      <w:numFmt w:val="lowerRoman"/>
      <w:lvlText w:val="%3."/>
      <w:lvlJc w:val="right"/>
      <w:pPr>
        <w:ind w:left="2160" w:hanging="180"/>
      </w:pPr>
    </w:lvl>
    <w:lvl w:ilvl="3" w:tplc="971A6556">
      <w:start w:val="1"/>
      <w:numFmt w:val="decimal"/>
      <w:lvlText w:val="%4."/>
      <w:lvlJc w:val="left"/>
      <w:pPr>
        <w:ind w:left="2880" w:hanging="360"/>
      </w:pPr>
    </w:lvl>
    <w:lvl w:ilvl="4" w:tplc="F4260EEC">
      <w:start w:val="1"/>
      <w:numFmt w:val="lowerLetter"/>
      <w:lvlText w:val="%5."/>
      <w:lvlJc w:val="left"/>
      <w:pPr>
        <w:ind w:left="3600" w:hanging="360"/>
      </w:pPr>
    </w:lvl>
    <w:lvl w:ilvl="5" w:tplc="C5CEFF84">
      <w:start w:val="1"/>
      <w:numFmt w:val="lowerRoman"/>
      <w:lvlText w:val="%6."/>
      <w:lvlJc w:val="right"/>
      <w:pPr>
        <w:ind w:left="4320" w:hanging="180"/>
      </w:pPr>
    </w:lvl>
    <w:lvl w:ilvl="6" w:tplc="16C6F924">
      <w:start w:val="1"/>
      <w:numFmt w:val="decimal"/>
      <w:lvlText w:val="%7."/>
      <w:lvlJc w:val="left"/>
      <w:pPr>
        <w:ind w:left="5040" w:hanging="360"/>
      </w:pPr>
    </w:lvl>
    <w:lvl w:ilvl="7" w:tplc="8350110A">
      <w:start w:val="1"/>
      <w:numFmt w:val="lowerLetter"/>
      <w:lvlText w:val="%8."/>
      <w:lvlJc w:val="left"/>
      <w:pPr>
        <w:ind w:left="5760" w:hanging="360"/>
      </w:pPr>
    </w:lvl>
    <w:lvl w:ilvl="8" w:tplc="27D0CC48">
      <w:start w:val="1"/>
      <w:numFmt w:val="lowerRoman"/>
      <w:lvlText w:val="%9."/>
      <w:lvlJc w:val="right"/>
      <w:pPr>
        <w:ind w:left="6480" w:hanging="180"/>
      </w:pPr>
    </w:lvl>
  </w:abstractNum>
  <w:abstractNum w:abstractNumId="28" w15:restartNumberingAfterBreak="0">
    <w:nsid w:val="7EE904EE"/>
    <w:multiLevelType w:val="hybridMultilevel"/>
    <w:tmpl w:val="FF10C6DA"/>
    <w:lvl w:ilvl="0" w:tplc="45D6B11E">
      <w:start w:val="4"/>
      <w:numFmt w:val="lowerLetter"/>
      <w:lvlText w:val="%1."/>
      <w:lvlJc w:val="left"/>
      <w:pPr>
        <w:ind w:left="1091" w:hanging="360"/>
      </w:pPr>
      <w:rPr>
        <w:rFonts w:hint="default"/>
      </w:rPr>
    </w:lvl>
    <w:lvl w:ilvl="1" w:tplc="4394E092" w:tentative="1">
      <w:start w:val="1"/>
      <w:numFmt w:val="lowerLetter"/>
      <w:lvlText w:val="%2."/>
      <w:lvlJc w:val="left"/>
      <w:pPr>
        <w:ind w:left="1811" w:hanging="360"/>
      </w:pPr>
    </w:lvl>
    <w:lvl w:ilvl="2" w:tplc="D7CC2908">
      <w:start w:val="1"/>
      <w:numFmt w:val="lowerRoman"/>
      <w:lvlText w:val="%3."/>
      <w:lvlJc w:val="right"/>
      <w:pPr>
        <w:ind w:left="2531" w:hanging="180"/>
      </w:pPr>
    </w:lvl>
    <w:lvl w:ilvl="3" w:tplc="635E7612">
      <w:start w:val="1"/>
      <w:numFmt w:val="upperLetter"/>
      <w:lvlText w:val="%4."/>
      <w:lvlJc w:val="left"/>
      <w:pPr>
        <w:ind w:left="720" w:hanging="360"/>
      </w:pPr>
    </w:lvl>
    <w:lvl w:ilvl="4" w:tplc="07BAC134" w:tentative="1">
      <w:start w:val="1"/>
      <w:numFmt w:val="lowerLetter"/>
      <w:lvlText w:val="%5."/>
      <w:lvlJc w:val="left"/>
      <w:pPr>
        <w:ind w:left="3971" w:hanging="360"/>
      </w:pPr>
    </w:lvl>
    <w:lvl w:ilvl="5" w:tplc="99CE15F6" w:tentative="1">
      <w:start w:val="1"/>
      <w:numFmt w:val="lowerRoman"/>
      <w:lvlText w:val="%6."/>
      <w:lvlJc w:val="right"/>
      <w:pPr>
        <w:ind w:left="4691" w:hanging="180"/>
      </w:pPr>
    </w:lvl>
    <w:lvl w:ilvl="6" w:tplc="D00261EC" w:tentative="1">
      <w:start w:val="1"/>
      <w:numFmt w:val="decimal"/>
      <w:lvlText w:val="%7."/>
      <w:lvlJc w:val="left"/>
      <w:pPr>
        <w:ind w:left="5411" w:hanging="360"/>
      </w:pPr>
    </w:lvl>
    <w:lvl w:ilvl="7" w:tplc="2CE6DE9A" w:tentative="1">
      <w:start w:val="1"/>
      <w:numFmt w:val="lowerLetter"/>
      <w:lvlText w:val="%8."/>
      <w:lvlJc w:val="left"/>
      <w:pPr>
        <w:ind w:left="6131" w:hanging="360"/>
      </w:pPr>
    </w:lvl>
    <w:lvl w:ilvl="8" w:tplc="666A6084" w:tentative="1">
      <w:start w:val="1"/>
      <w:numFmt w:val="lowerRoman"/>
      <w:lvlText w:val="%9."/>
      <w:lvlJc w:val="right"/>
      <w:pPr>
        <w:ind w:left="6851" w:hanging="180"/>
      </w:pPr>
    </w:lvl>
  </w:abstractNum>
  <w:num w:numId="1" w16cid:durableId="218984331">
    <w:abstractNumId w:val="23"/>
  </w:num>
  <w:num w:numId="2" w16cid:durableId="1469011092">
    <w:abstractNumId w:val="23"/>
  </w:num>
  <w:num w:numId="3" w16cid:durableId="1153987909">
    <w:abstractNumId w:val="11"/>
  </w:num>
  <w:num w:numId="4" w16cid:durableId="81608518">
    <w:abstractNumId w:val="10"/>
    <w:lvlOverride w:ilvl="0">
      <w:lvl w:ilvl="0">
        <w:start w:val="1"/>
        <w:numFmt w:val="upperLetter"/>
        <w:pStyle w:val="Titre2"/>
        <w:lvlText w:val="%1."/>
        <w:lvlJc w:val="left"/>
        <w:pPr>
          <w:ind w:left="720" w:hanging="360"/>
        </w:pPr>
      </w:lvl>
    </w:lvlOverride>
    <w:lvlOverride w:ilvl="1">
      <w:lvl w:ilvl="1" w:tentative="1">
        <w:start w:val="1"/>
        <w:numFmt w:val="lowerLetter"/>
        <w:pStyle w:val="Titre3"/>
        <w:lvlText w:val="%2."/>
        <w:lvlJc w:val="left"/>
        <w:pPr>
          <w:ind w:left="1440" w:hanging="360"/>
        </w:pPr>
      </w:lvl>
    </w:lvlOverride>
    <w:lvlOverride w:ilvl="2">
      <w:lvl w:ilvl="2" w:tentative="1">
        <w:start w:val="1"/>
        <w:numFmt w:val="lowerRoman"/>
        <w:pStyle w:val="Titre4"/>
        <w:lvlText w:val="%3."/>
        <w:lvlJc w:val="right"/>
        <w:pPr>
          <w:ind w:left="2160" w:hanging="180"/>
        </w:pPr>
      </w:lvl>
    </w:lvlOverride>
    <w:lvlOverride w:ilvl="3">
      <w:lvl w:ilvl="3">
        <w:start w:val="1"/>
        <w:numFmt w:val="decimal"/>
        <w:pStyle w:val="Titre5"/>
        <w:lvlText w:val="%4."/>
        <w:lvlJc w:val="left"/>
        <w:pPr>
          <w:ind w:left="2880" w:hanging="360"/>
        </w:pPr>
      </w:lvl>
    </w:lvlOverride>
    <w:lvlOverride w:ilvl="4">
      <w:lvl w:ilvl="4" w:tentative="1">
        <w:start w:val="1"/>
        <w:numFmt w:val="lowerLetter"/>
        <w:pStyle w:val="Titre6"/>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16cid:durableId="1390105780">
    <w:abstractNumId w:val="10"/>
  </w:num>
  <w:num w:numId="6" w16cid:durableId="1232037359">
    <w:abstractNumId w:val="3"/>
  </w:num>
  <w:num w:numId="7" w16cid:durableId="1294214073">
    <w:abstractNumId w:val="9"/>
  </w:num>
  <w:num w:numId="8" w16cid:durableId="302735263">
    <w:abstractNumId w:val="7"/>
  </w:num>
  <w:num w:numId="9" w16cid:durableId="493422485">
    <w:abstractNumId w:val="12"/>
  </w:num>
  <w:num w:numId="10" w16cid:durableId="1609582171">
    <w:abstractNumId w:val="25"/>
  </w:num>
  <w:num w:numId="11" w16cid:durableId="2032223597">
    <w:abstractNumId w:val="17"/>
  </w:num>
  <w:num w:numId="12" w16cid:durableId="1367490692">
    <w:abstractNumId w:val="8"/>
  </w:num>
  <w:num w:numId="13" w16cid:durableId="850752917">
    <w:abstractNumId w:val="22"/>
  </w:num>
  <w:num w:numId="14" w16cid:durableId="896667473">
    <w:abstractNumId w:val="4"/>
  </w:num>
  <w:num w:numId="15" w16cid:durableId="1079057119">
    <w:abstractNumId w:val="26"/>
  </w:num>
  <w:num w:numId="16" w16cid:durableId="1546983026">
    <w:abstractNumId w:val="5"/>
  </w:num>
  <w:num w:numId="17" w16cid:durableId="360596247">
    <w:abstractNumId w:val="14"/>
  </w:num>
  <w:num w:numId="18" w16cid:durableId="1840152254">
    <w:abstractNumId w:val="28"/>
  </w:num>
  <w:num w:numId="19" w16cid:durableId="1894269335">
    <w:abstractNumId w:val="18"/>
  </w:num>
  <w:num w:numId="20" w16cid:durableId="686445187">
    <w:abstractNumId w:val="19"/>
  </w:num>
  <w:num w:numId="21" w16cid:durableId="197740758">
    <w:abstractNumId w:val="2"/>
  </w:num>
  <w:num w:numId="22" w16cid:durableId="1959949517">
    <w:abstractNumId w:val="15"/>
  </w:num>
  <w:num w:numId="23" w16cid:durableId="1389761118">
    <w:abstractNumId w:val="20"/>
  </w:num>
  <w:num w:numId="24" w16cid:durableId="335496920">
    <w:abstractNumId w:val="0"/>
  </w:num>
  <w:num w:numId="25" w16cid:durableId="2021545918">
    <w:abstractNumId w:val="13"/>
  </w:num>
  <w:num w:numId="26" w16cid:durableId="129791609">
    <w:abstractNumId w:val="23"/>
  </w:num>
  <w:num w:numId="27" w16cid:durableId="2013725641">
    <w:abstractNumId w:val="23"/>
  </w:num>
  <w:num w:numId="28" w16cid:durableId="2025090637">
    <w:abstractNumId w:val="23"/>
  </w:num>
  <w:num w:numId="29" w16cid:durableId="1445227631">
    <w:abstractNumId w:val="23"/>
  </w:num>
  <w:num w:numId="30" w16cid:durableId="1203907176">
    <w:abstractNumId w:val="23"/>
  </w:num>
  <w:num w:numId="31" w16cid:durableId="1442916645">
    <w:abstractNumId w:val="23"/>
  </w:num>
  <w:num w:numId="32" w16cid:durableId="927540351">
    <w:abstractNumId w:val="23"/>
  </w:num>
  <w:num w:numId="33" w16cid:durableId="789058871">
    <w:abstractNumId w:val="23"/>
  </w:num>
  <w:num w:numId="34" w16cid:durableId="1100219966">
    <w:abstractNumId w:val="23"/>
  </w:num>
  <w:num w:numId="35" w16cid:durableId="937715750">
    <w:abstractNumId w:val="23"/>
  </w:num>
  <w:num w:numId="36" w16cid:durableId="372389931">
    <w:abstractNumId w:val="23"/>
  </w:num>
  <w:num w:numId="37" w16cid:durableId="893388280">
    <w:abstractNumId w:val="24"/>
  </w:num>
  <w:num w:numId="38" w16cid:durableId="950286388">
    <w:abstractNumId w:val="6"/>
  </w:num>
  <w:num w:numId="39" w16cid:durableId="1667856662">
    <w:abstractNumId w:val="23"/>
  </w:num>
  <w:num w:numId="40" w16cid:durableId="1968465011">
    <w:abstractNumId w:val="23"/>
  </w:num>
  <w:num w:numId="41" w16cid:durableId="1792626454">
    <w:abstractNumId w:val="23"/>
  </w:num>
  <w:num w:numId="42" w16cid:durableId="1936090019">
    <w:abstractNumId w:val="23"/>
  </w:num>
  <w:num w:numId="43" w16cid:durableId="13519076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2690793">
    <w:abstractNumId w:val="1"/>
  </w:num>
  <w:num w:numId="45" w16cid:durableId="1947299812">
    <w:abstractNumId w:val="23"/>
  </w:num>
  <w:num w:numId="46" w16cid:durableId="2085834764">
    <w:abstractNumId w:val="23"/>
  </w:num>
  <w:num w:numId="47" w16cid:durableId="667253075">
    <w:abstractNumId w:val="23"/>
  </w:num>
  <w:num w:numId="48" w16cid:durableId="172813832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1"/>
  <w:hyphenationZone w:val="425"/>
  <w:characterSpacingControl w:val="doNotCompress"/>
  <w:footnotePr>
    <w:numRestart w:val="eachSect"/>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8F"/>
    <w:rsid w:val="00000B73"/>
    <w:rsid w:val="00002006"/>
    <w:rsid w:val="00003D3E"/>
    <w:rsid w:val="00004469"/>
    <w:rsid w:val="00007687"/>
    <w:rsid w:val="000076C9"/>
    <w:rsid w:val="00007B70"/>
    <w:rsid w:val="00007CFF"/>
    <w:rsid w:val="00013CBB"/>
    <w:rsid w:val="00015680"/>
    <w:rsid w:val="00015F8D"/>
    <w:rsid w:val="000202B2"/>
    <w:rsid w:val="00020BEB"/>
    <w:rsid w:val="00020EAA"/>
    <w:rsid w:val="00026C30"/>
    <w:rsid w:val="00033AEF"/>
    <w:rsid w:val="00034C0F"/>
    <w:rsid w:val="00034CD8"/>
    <w:rsid w:val="0004186E"/>
    <w:rsid w:val="00042015"/>
    <w:rsid w:val="0004233B"/>
    <w:rsid w:val="00044795"/>
    <w:rsid w:val="00044B72"/>
    <w:rsid w:val="00045B92"/>
    <w:rsid w:val="00046BC8"/>
    <w:rsid w:val="00047702"/>
    <w:rsid w:val="00050CDF"/>
    <w:rsid w:val="00051DE0"/>
    <w:rsid w:val="00051F63"/>
    <w:rsid w:val="0005202B"/>
    <w:rsid w:val="00053325"/>
    <w:rsid w:val="000554F4"/>
    <w:rsid w:val="000606E9"/>
    <w:rsid w:val="00063668"/>
    <w:rsid w:val="000638F8"/>
    <w:rsid w:val="000644C1"/>
    <w:rsid w:val="000646C4"/>
    <w:rsid w:val="000649F2"/>
    <w:rsid w:val="00066342"/>
    <w:rsid w:val="000665A6"/>
    <w:rsid w:val="000665C6"/>
    <w:rsid w:val="000666C5"/>
    <w:rsid w:val="00067F77"/>
    <w:rsid w:val="000703E3"/>
    <w:rsid w:val="000715A7"/>
    <w:rsid w:val="000720BF"/>
    <w:rsid w:val="00076CD4"/>
    <w:rsid w:val="00087915"/>
    <w:rsid w:val="00087FC3"/>
    <w:rsid w:val="0009015E"/>
    <w:rsid w:val="0009162B"/>
    <w:rsid w:val="000937ED"/>
    <w:rsid w:val="000A06D1"/>
    <w:rsid w:val="000A089A"/>
    <w:rsid w:val="000A3312"/>
    <w:rsid w:val="000A3894"/>
    <w:rsid w:val="000A4E33"/>
    <w:rsid w:val="000A7F1A"/>
    <w:rsid w:val="000B29C6"/>
    <w:rsid w:val="000B462C"/>
    <w:rsid w:val="000B56E6"/>
    <w:rsid w:val="000C062F"/>
    <w:rsid w:val="000C2CA7"/>
    <w:rsid w:val="000C4EE2"/>
    <w:rsid w:val="000C6CCD"/>
    <w:rsid w:val="000D0886"/>
    <w:rsid w:val="000D096D"/>
    <w:rsid w:val="000D0D0C"/>
    <w:rsid w:val="000D1332"/>
    <w:rsid w:val="000D1354"/>
    <w:rsid w:val="000D39DE"/>
    <w:rsid w:val="000D3F06"/>
    <w:rsid w:val="000D4850"/>
    <w:rsid w:val="000D6609"/>
    <w:rsid w:val="000D7301"/>
    <w:rsid w:val="000E0C0E"/>
    <w:rsid w:val="000E22C7"/>
    <w:rsid w:val="000E79B2"/>
    <w:rsid w:val="000F092F"/>
    <w:rsid w:val="000F0DD1"/>
    <w:rsid w:val="000F378F"/>
    <w:rsid w:val="000F4FF0"/>
    <w:rsid w:val="000F6AF3"/>
    <w:rsid w:val="00101926"/>
    <w:rsid w:val="00101A9E"/>
    <w:rsid w:val="00103606"/>
    <w:rsid w:val="001049D1"/>
    <w:rsid w:val="00106114"/>
    <w:rsid w:val="001077CF"/>
    <w:rsid w:val="001157DC"/>
    <w:rsid w:val="001161DB"/>
    <w:rsid w:val="0011744D"/>
    <w:rsid w:val="00117803"/>
    <w:rsid w:val="00121A72"/>
    <w:rsid w:val="00121EAC"/>
    <w:rsid w:val="0012332B"/>
    <w:rsid w:val="001252ED"/>
    <w:rsid w:val="0013008D"/>
    <w:rsid w:val="00132AA6"/>
    <w:rsid w:val="0013439F"/>
    <w:rsid w:val="001362C4"/>
    <w:rsid w:val="00136C69"/>
    <w:rsid w:val="001376E5"/>
    <w:rsid w:val="00145288"/>
    <w:rsid w:val="00146F6E"/>
    <w:rsid w:val="001515E6"/>
    <w:rsid w:val="00152227"/>
    <w:rsid w:val="00154AEF"/>
    <w:rsid w:val="00155564"/>
    <w:rsid w:val="0015661F"/>
    <w:rsid w:val="0016015F"/>
    <w:rsid w:val="00161D00"/>
    <w:rsid w:val="00163867"/>
    <w:rsid w:val="001646D5"/>
    <w:rsid w:val="001652CA"/>
    <w:rsid w:val="00166A32"/>
    <w:rsid w:val="00170F6E"/>
    <w:rsid w:val="0017179D"/>
    <w:rsid w:val="0017409C"/>
    <w:rsid w:val="00175509"/>
    <w:rsid w:val="00176147"/>
    <w:rsid w:val="00176CC0"/>
    <w:rsid w:val="00176F70"/>
    <w:rsid w:val="001833D3"/>
    <w:rsid w:val="001872C8"/>
    <w:rsid w:val="00187459"/>
    <w:rsid w:val="00191C40"/>
    <w:rsid w:val="001927C2"/>
    <w:rsid w:val="00194990"/>
    <w:rsid w:val="00196E89"/>
    <w:rsid w:val="001A0908"/>
    <w:rsid w:val="001A110E"/>
    <w:rsid w:val="001A1719"/>
    <w:rsid w:val="001A678D"/>
    <w:rsid w:val="001B0DA6"/>
    <w:rsid w:val="001B34C1"/>
    <w:rsid w:val="001B4A5D"/>
    <w:rsid w:val="001B7384"/>
    <w:rsid w:val="001C1544"/>
    <w:rsid w:val="001C183D"/>
    <w:rsid w:val="001C1A74"/>
    <w:rsid w:val="001C64D2"/>
    <w:rsid w:val="001D0694"/>
    <w:rsid w:val="001D0927"/>
    <w:rsid w:val="001D47F3"/>
    <w:rsid w:val="001D4BB3"/>
    <w:rsid w:val="001D58CF"/>
    <w:rsid w:val="001D5F69"/>
    <w:rsid w:val="001D72E4"/>
    <w:rsid w:val="001D7595"/>
    <w:rsid w:val="001D784B"/>
    <w:rsid w:val="001E16D8"/>
    <w:rsid w:val="001E18BE"/>
    <w:rsid w:val="001E29CE"/>
    <w:rsid w:val="001E3FA9"/>
    <w:rsid w:val="001E4826"/>
    <w:rsid w:val="001E4D95"/>
    <w:rsid w:val="001E4E2B"/>
    <w:rsid w:val="001E6D7D"/>
    <w:rsid w:val="001F0E06"/>
    <w:rsid w:val="001F11F0"/>
    <w:rsid w:val="001F3381"/>
    <w:rsid w:val="001F34AD"/>
    <w:rsid w:val="001F5099"/>
    <w:rsid w:val="001F640E"/>
    <w:rsid w:val="001F6903"/>
    <w:rsid w:val="001F72FA"/>
    <w:rsid w:val="0020642B"/>
    <w:rsid w:val="002106AD"/>
    <w:rsid w:val="0021195B"/>
    <w:rsid w:val="00213636"/>
    <w:rsid w:val="00216C1D"/>
    <w:rsid w:val="00220775"/>
    <w:rsid w:val="00220E1E"/>
    <w:rsid w:val="00222EDE"/>
    <w:rsid w:val="002232DB"/>
    <w:rsid w:val="00232DA7"/>
    <w:rsid w:val="002330D2"/>
    <w:rsid w:val="00234313"/>
    <w:rsid w:val="002349B9"/>
    <w:rsid w:val="00235F8E"/>
    <w:rsid w:val="002400E5"/>
    <w:rsid w:val="00240AF6"/>
    <w:rsid w:val="00241BFB"/>
    <w:rsid w:val="00243FDD"/>
    <w:rsid w:val="002440C0"/>
    <w:rsid w:val="002441B9"/>
    <w:rsid w:val="00246946"/>
    <w:rsid w:val="002528CF"/>
    <w:rsid w:val="002546F1"/>
    <w:rsid w:val="00262708"/>
    <w:rsid w:val="00264650"/>
    <w:rsid w:val="00266B42"/>
    <w:rsid w:val="002708E0"/>
    <w:rsid w:val="002726BB"/>
    <w:rsid w:val="002729C7"/>
    <w:rsid w:val="002741CF"/>
    <w:rsid w:val="002746C3"/>
    <w:rsid w:val="00280289"/>
    <w:rsid w:val="00280725"/>
    <w:rsid w:val="00281C57"/>
    <w:rsid w:val="002850B7"/>
    <w:rsid w:val="00287164"/>
    <w:rsid w:val="002878DE"/>
    <w:rsid w:val="00292612"/>
    <w:rsid w:val="00294F8D"/>
    <w:rsid w:val="0029599E"/>
    <w:rsid w:val="00295CAF"/>
    <w:rsid w:val="002962CE"/>
    <w:rsid w:val="002A1BA7"/>
    <w:rsid w:val="002A3ED7"/>
    <w:rsid w:val="002A5670"/>
    <w:rsid w:val="002A5AF5"/>
    <w:rsid w:val="002A6076"/>
    <w:rsid w:val="002A7B92"/>
    <w:rsid w:val="002B0997"/>
    <w:rsid w:val="002B3352"/>
    <w:rsid w:val="002B3DF3"/>
    <w:rsid w:val="002B69F6"/>
    <w:rsid w:val="002B78CB"/>
    <w:rsid w:val="002C0040"/>
    <w:rsid w:val="002C19E5"/>
    <w:rsid w:val="002C7E36"/>
    <w:rsid w:val="002D016E"/>
    <w:rsid w:val="002D03BC"/>
    <w:rsid w:val="002D23B5"/>
    <w:rsid w:val="002D31C4"/>
    <w:rsid w:val="002D4089"/>
    <w:rsid w:val="002D41B1"/>
    <w:rsid w:val="002D438C"/>
    <w:rsid w:val="002D5E74"/>
    <w:rsid w:val="002D5F91"/>
    <w:rsid w:val="002E11E3"/>
    <w:rsid w:val="002E2258"/>
    <w:rsid w:val="002E3259"/>
    <w:rsid w:val="002E38C0"/>
    <w:rsid w:val="002E468C"/>
    <w:rsid w:val="002E5D4E"/>
    <w:rsid w:val="002E65C4"/>
    <w:rsid w:val="002E69E6"/>
    <w:rsid w:val="002E7050"/>
    <w:rsid w:val="002F04CB"/>
    <w:rsid w:val="002F0B26"/>
    <w:rsid w:val="002F358F"/>
    <w:rsid w:val="002F6367"/>
    <w:rsid w:val="002F65D6"/>
    <w:rsid w:val="00306EA0"/>
    <w:rsid w:val="00314BB8"/>
    <w:rsid w:val="00315AE7"/>
    <w:rsid w:val="0031680A"/>
    <w:rsid w:val="00316FDD"/>
    <w:rsid w:val="00325506"/>
    <w:rsid w:val="00327CE3"/>
    <w:rsid w:val="003320A4"/>
    <w:rsid w:val="00332924"/>
    <w:rsid w:val="00333C8F"/>
    <w:rsid w:val="003351F8"/>
    <w:rsid w:val="0034019C"/>
    <w:rsid w:val="0034273B"/>
    <w:rsid w:val="00343594"/>
    <w:rsid w:val="003463C8"/>
    <w:rsid w:val="00346485"/>
    <w:rsid w:val="00346E5A"/>
    <w:rsid w:val="0034705F"/>
    <w:rsid w:val="003501A7"/>
    <w:rsid w:val="003513B6"/>
    <w:rsid w:val="00353E5D"/>
    <w:rsid w:val="00355411"/>
    <w:rsid w:val="00357E2C"/>
    <w:rsid w:val="003613E4"/>
    <w:rsid w:val="0036140F"/>
    <w:rsid w:val="00362447"/>
    <w:rsid w:val="0037484B"/>
    <w:rsid w:val="00374AD5"/>
    <w:rsid w:val="00375CCF"/>
    <w:rsid w:val="003768FE"/>
    <w:rsid w:val="003775D5"/>
    <w:rsid w:val="00377C0D"/>
    <w:rsid w:val="003803F0"/>
    <w:rsid w:val="00381DC1"/>
    <w:rsid w:val="00390044"/>
    <w:rsid w:val="00391F1C"/>
    <w:rsid w:val="00393EB6"/>
    <w:rsid w:val="0039453E"/>
    <w:rsid w:val="00395899"/>
    <w:rsid w:val="0039676C"/>
    <w:rsid w:val="003A05FA"/>
    <w:rsid w:val="003A129B"/>
    <w:rsid w:val="003A38D0"/>
    <w:rsid w:val="003A456F"/>
    <w:rsid w:val="003A553B"/>
    <w:rsid w:val="003B0DBA"/>
    <w:rsid w:val="003B13F9"/>
    <w:rsid w:val="003B13FB"/>
    <w:rsid w:val="003B3387"/>
    <w:rsid w:val="003B48D4"/>
    <w:rsid w:val="003B4B1F"/>
    <w:rsid w:val="003B5ED3"/>
    <w:rsid w:val="003B696D"/>
    <w:rsid w:val="003C0AD1"/>
    <w:rsid w:val="003C219A"/>
    <w:rsid w:val="003C2C5A"/>
    <w:rsid w:val="003C32C8"/>
    <w:rsid w:val="003C5D76"/>
    <w:rsid w:val="003E044C"/>
    <w:rsid w:val="003E4899"/>
    <w:rsid w:val="003E590B"/>
    <w:rsid w:val="003E7928"/>
    <w:rsid w:val="003F3E7D"/>
    <w:rsid w:val="003F7BF2"/>
    <w:rsid w:val="003F7C6B"/>
    <w:rsid w:val="004010A3"/>
    <w:rsid w:val="0040134B"/>
    <w:rsid w:val="00404506"/>
    <w:rsid w:val="00407C61"/>
    <w:rsid w:val="00410AC4"/>
    <w:rsid w:val="00411290"/>
    <w:rsid w:val="00411FC8"/>
    <w:rsid w:val="004148AD"/>
    <w:rsid w:val="0041753C"/>
    <w:rsid w:val="0042099F"/>
    <w:rsid w:val="00422C5B"/>
    <w:rsid w:val="004276C0"/>
    <w:rsid w:val="00427EBA"/>
    <w:rsid w:val="0043071B"/>
    <w:rsid w:val="004315EC"/>
    <w:rsid w:val="004347F5"/>
    <w:rsid w:val="00436229"/>
    <w:rsid w:val="00437B0A"/>
    <w:rsid w:val="004401BA"/>
    <w:rsid w:val="00440EA5"/>
    <w:rsid w:val="004462B1"/>
    <w:rsid w:val="0044656A"/>
    <w:rsid w:val="00446831"/>
    <w:rsid w:val="00457956"/>
    <w:rsid w:val="004614A3"/>
    <w:rsid w:val="00465505"/>
    <w:rsid w:val="004658CF"/>
    <w:rsid w:val="00465AD0"/>
    <w:rsid w:val="004677CA"/>
    <w:rsid w:val="0047024B"/>
    <w:rsid w:val="00471030"/>
    <w:rsid w:val="004728E6"/>
    <w:rsid w:val="00473F7E"/>
    <w:rsid w:val="00474A3E"/>
    <w:rsid w:val="00474C5F"/>
    <w:rsid w:val="0047508D"/>
    <w:rsid w:val="00476D96"/>
    <w:rsid w:val="004820E6"/>
    <w:rsid w:val="00482808"/>
    <w:rsid w:val="00482CCA"/>
    <w:rsid w:val="0048779A"/>
    <w:rsid w:val="0049037B"/>
    <w:rsid w:val="0049179B"/>
    <w:rsid w:val="00493383"/>
    <w:rsid w:val="00494BAB"/>
    <w:rsid w:val="00495003"/>
    <w:rsid w:val="0049545F"/>
    <w:rsid w:val="004968B9"/>
    <w:rsid w:val="004975FE"/>
    <w:rsid w:val="004A101B"/>
    <w:rsid w:val="004A111F"/>
    <w:rsid w:val="004A149D"/>
    <w:rsid w:val="004A257B"/>
    <w:rsid w:val="004A6E9D"/>
    <w:rsid w:val="004B0F9F"/>
    <w:rsid w:val="004B2235"/>
    <w:rsid w:val="004B2270"/>
    <w:rsid w:val="004B2706"/>
    <w:rsid w:val="004B4C7F"/>
    <w:rsid w:val="004B57B2"/>
    <w:rsid w:val="004B6D65"/>
    <w:rsid w:val="004B7CEC"/>
    <w:rsid w:val="004B7E17"/>
    <w:rsid w:val="004C0856"/>
    <w:rsid w:val="004C4814"/>
    <w:rsid w:val="004C6087"/>
    <w:rsid w:val="004C72A9"/>
    <w:rsid w:val="004D3D5C"/>
    <w:rsid w:val="004D45F6"/>
    <w:rsid w:val="004D7310"/>
    <w:rsid w:val="004E43E2"/>
    <w:rsid w:val="004E574F"/>
    <w:rsid w:val="004F04A3"/>
    <w:rsid w:val="004F1147"/>
    <w:rsid w:val="004F1643"/>
    <w:rsid w:val="004F16E0"/>
    <w:rsid w:val="004F69DF"/>
    <w:rsid w:val="00500C56"/>
    <w:rsid w:val="0050288C"/>
    <w:rsid w:val="00503F65"/>
    <w:rsid w:val="00504AF1"/>
    <w:rsid w:val="00505656"/>
    <w:rsid w:val="00506E28"/>
    <w:rsid w:val="00507079"/>
    <w:rsid w:val="005071C7"/>
    <w:rsid w:val="005130D6"/>
    <w:rsid w:val="0051528F"/>
    <w:rsid w:val="00515906"/>
    <w:rsid w:val="0051607B"/>
    <w:rsid w:val="00517E4C"/>
    <w:rsid w:val="005268C8"/>
    <w:rsid w:val="0053075C"/>
    <w:rsid w:val="00530C89"/>
    <w:rsid w:val="00531BBB"/>
    <w:rsid w:val="00531E2A"/>
    <w:rsid w:val="005322A9"/>
    <w:rsid w:val="00532C5F"/>
    <w:rsid w:val="005402D0"/>
    <w:rsid w:val="00540768"/>
    <w:rsid w:val="0054087C"/>
    <w:rsid w:val="00542230"/>
    <w:rsid w:val="005432E9"/>
    <w:rsid w:val="0054424E"/>
    <w:rsid w:val="00546619"/>
    <w:rsid w:val="0055272A"/>
    <w:rsid w:val="00552A6A"/>
    <w:rsid w:val="00553663"/>
    <w:rsid w:val="00554611"/>
    <w:rsid w:val="00555353"/>
    <w:rsid w:val="00555F17"/>
    <w:rsid w:val="00557973"/>
    <w:rsid w:val="00564A23"/>
    <w:rsid w:val="00565254"/>
    <w:rsid w:val="00565C22"/>
    <w:rsid w:val="0056639D"/>
    <w:rsid w:val="00573001"/>
    <w:rsid w:val="005738D3"/>
    <w:rsid w:val="0058018B"/>
    <w:rsid w:val="005823B3"/>
    <w:rsid w:val="00585D97"/>
    <w:rsid w:val="00586AFF"/>
    <w:rsid w:val="00586CAB"/>
    <w:rsid w:val="00592451"/>
    <w:rsid w:val="0059343F"/>
    <w:rsid w:val="005944A0"/>
    <w:rsid w:val="00596E6D"/>
    <w:rsid w:val="00596F7A"/>
    <w:rsid w:val="005A09BD"/>
    <w:rsid w:val="005A4048"/>
    <w:rsid w:val="005A5664"/>
    <w:rsid w:val="005A5C0A"/>
    <w:rsid w:val="005A62C4"/>
    <w:rsid w:val="005B02BC"/>
    <w:rsid w:val="005B4C24"/>
    <w:rsid w:val="005B522A"/>
    <w:rsid w:val="005B75E8"/>
    <w:rsid w:val="005B7A27"/>
    <w:rsid w:val="005C15C1"/>
    <w:rsid w:val="005C3D9B"/>
    <w:rsid w:val="005C6105"/>
    <w:rsid w:val="005C7204"/>
    <w:rsid w:val="005D6C1A"/>
    <w:rsid w:val="005D7BBF"/>
    <w:rsid w:val="005E0FCF"/>
    <w:rsid w:val="005E1040"/>
    <w:rsid w:val="005E12D9"/>
    <w:rsid w:val="005E1A05"/>
    <w:rsid w:val="005E27BE"/>
    <w:rsid w:val="005E4011"/>
    <w:rsid w:val="005E4238"/>
    <w:rsid w:val="005E49FC"/>
    <w:rsid w:val="005E5491"/>
    <w:rsid w:val="005E6858"/>
    <w:rsid w:val="005E799C"/>
    <w:rsid w:val="005F0B5C"/>
    <w:rsid w:val="005F0E29"/>
    <w:rsid w:val="005F14E2"/>
    <w:rsid w:val="005F2D37"/>
    <w:rsid w:val="005F3087"/>
    <w:rsid w:val="005F42A4"/>
    <w:rsid w:val="005F71C8"/>
    <w:rsid w:val="005F7FEA"/>
    <w:rsid w:val="00603B9B"/>
    <w:rsid w:val="00604906"/>
    <w:rsid w:val="006066D4"/>
    <w:rsid w:val="0061194E"/>
    <w:rsid w:val="00611A2B"/>
    <w:rsid w:val="006141B8"/>
    <w:rsid w:val="00621834"/>
    <w:rsid w:val="00624F6F"/>
    <w:rsid w:val="00625117"/>
    <w:rsid w:val="00630474"/>
    <w:rsid w:val="00631C60"/>
    <w:rsid w:val="0063317A"/>
    <w:rsid w:val="00633B6C"/>
    <w:rsid w:val="00633D98"/>
    <w:rsid w:val="0063523B"/>
    <w:rsid w:val="006369B5"/>
    <w:rsid w:val="006404E5"/>
    <w:rsid w:val="00640AFA"/>
    <w:rsid w:val="006434B1"/>
    <w:rsid w:val="006436A0"/>
    <w:rsid w:val="00647BCF"/>
    <w:rsid w:val="0065438C"/>
    <w:rsid w:val="00654B94"/>
    <w:rsid w:val="0065588A"/>
    <w:rsid w:val="006568D5"/>
    <w:rsid w:val="00657FC0"/>
    <w:rsid w:val="00660E64"/>
    <w:rsid w:val="0066117D"/>
    <w:rsid w:val="006634B8"/>
    <w:rsid w:val="00663C47"/>
    <w:rsid w:val="00672075"/>
    <w:rsid w:val="00672EDC"/>
    <w:rsid w:val="00683F85"/>
    <w:rsid w:val="00684EE8"/>
    <w:rsid w:val="00692BC6"/>
    <w:rsid w:val="00694D8F"/>
    <w:rsid w:val="006951C3"/>
    <w:rsid w:val="00697A6A"/>
    <w:rsid w:val="006A02E3"/>
    <w:rsid w:val="006A1D47"/>
    <w:rsid w:val="006A1DAA"/>
    <w:rsid w:val="006A39AA"/>
    <w:rsid w:val="006A3D66"/>
    <w:rsid w:val="006B0AEE"/>
    <w:rsid w:val="006B1D9E"/>
    <w:rsid w:val="006B27C0"/>
    <w:rsid w:val="006B4F41"/>
    <w:rsid w:val="006B6B4E"/>
    <w:rsid w:val="006B6DCC"/>
    <w:rsid w:val="006B7A9F"/>
    <w:rsid w:val="006C076E"/>
    <w:rsid w:val="006C0930"/>
    <w:rsid w:val="006C44AC"/>
    <w:rsid w:val="006C552C"/>
    <w:rsid w:val="006C5AD4"/>
    <w:rsid w:val="006D0AC2"/>
    <w:rsid w:val="006D3301"/>
    <w:rsid w:val="006D3866"/>
    <w:rsid w:val="006D40D0"/>
    <w:rsid w:val="006D4F4A"/>
    <w:rsid w:val="006E0167"/>
    <w:rsid w:val="006E1819"/>
    <w:rsid w:val="006E1CAB"/>
    <w:rsid w:val="006E2C48"/>
    <w:rsid w:val="006E31CD"/>
    <w:rsid w:val="006E3E20"/>
    <w:rsid w:val="006E645E"/>
    <w:rsid w:val="006E7779"/>
    <w:rsid w:val="006E7F0F"/>
    <w:rsid w:val="006F1730"/>
    <w:rsid w:val="006F3FB5"/>
    <w:rsid w:val="006F567D"/>
    <w:rsid w:val="006F56BB"/>
    <w:rsid w:val="007000DD"/>
    <w:rsid w:val="0070057D"/>
    <w:rsid w:val="00700F0E"/>
    <w:rsid w:val="00704085"/>
    <w:rsid w:val="00704644"/>
    <w:rsid w:val="007052DF"/>
    <w:rsid w:val="00707960"/>
    <w:rsid w:val="007135A7"/>
    <w:rsid w:val="00713CF8"/>
    <w:rsid w:val="00715628"/>
    <w:rsid w:val="00715FCB"/>
    <w:rsid w:val="00715FEF"/>
    <w:rsid w:val="00716E3E"/>
    <w:rsid w:val="00720C5D"/>
    <w:rsid w:val="0072346E"/>
    <w:rsid w:val="0072367F"/>
    <w:rsid w:val="00724963"/>
    <w:rsid w:val="00725309"/>
    <w:rsid w:val="00725325"/>
    <w:rsid w:val="0072629F"/>
    <w:rsid w:val="007304E1"/>
    <w:rsid w:val="00730EEF"/>
    <w:rsid w:val="0073141D"/>
    <w:rsid w:val="0073181B"/>
    <w:rsid w:val="007340E4"/>
    <w:rsid w:val="00736783"/>
    <w:rsid w:val="007456F9"/>
    <w:rsid w:val="0074582D"/>
    <w:rsid w:val="0075077E"/>
    <w:rsid w:val="00753333"/>
    <w:rsid w:val="00755EF5"/>
    <w:rsid w:val="00756FAD"/>
    <w:rsid w:val="007571DF"/>
    <w:rsid w:val="00761001"/>
    <w:rsid w:val="00764356"/>
    <w:rsid w:val="00764BC1"/>
    <w:rsid w:val="00767A39"/>
    <w:rsid w:val="00767A8F"/>
    <w:rsid w:val="00770788"/>
    <w:rsid w:val="007717D0"/>
    <w:rsid w:val="00772542"/>
    <w:rsid w:val="00772552"/>
    <w:rsid w:val="007726A0"/>
    <w:rsid w:val="00773450"/>
    <w:rsid w:val="00773F2A"/>
    <w:rsid w:val="007803A3"/>
    <w:rsid w:val="007825F2"/>
    <w:rsid w:val="007835CF"/>
    <w:rsid w:val="007845FD"/>
    <w:rsid w:val="00784924"/>
    <w:rsid w:val="007855EC"/>
    <w:rsid w:val="00785B0E"/>
    <w:rsid w:val="007928F7"/>
    <w:rsid w:val="007940B9"/>
    <w:rsid w:val="00796EDE"/>
    <w:rsid w:val="007A5828"/>
    <w:rsid w:val="007B1464"/>
    <w:rsid w:val="007B2A42"/>
    <w:rsid w:val="007B32A0"/>
    <w:rsid w:val="007B4E0A"/>
    <w:rsid w:val="007B6415"/>
    <w:rsid w:val="007B69E3"/>
    <w:rsid w:val="007C09F1"/>
    <w:rsid w:val="007C1082"/>
    <w:rsid w:val="007C3FC3"/>
    <w:rsid w:val="007C5C3E"/>
    <w:rsid w:val="007D0829"/>
    <w:rsid w:val="007D0FB6"/>
    <w:rsid w:val="007D19EA"/>
    <w:rsid w:val="007D23ED"/>
    <w:rsid w:val="007D3884"/>
    <w:rsid w:val="007D3903"/>
    <w:rsid w:val="007D4BAC"/>
    <w:rsid w:val="007D7BA5"/>
    <w:rsid w:val="007E1DCA"/>
    <w:rsid w:val="007E1E91"/>
    <w:rsid w:val="007E213B"/>
    <w:rsid w:val="007E3F2C"/>
    <w:rsid w:val="007E50B9"/>
    <w:rsid w:val="007E5363"/>
    <w:rsid w:val="007F0240"/>
    <w:rsid w:val="007F1D15"/>
    <w:rsid w:val="007F3058"/>
    <w:rsid w:val="007F43CD"/>
    <w:rsid w:val="007F4F69"/>
    <w:rsid w:val="00800249"/>
    <w:rsid w:val="00800CDC"/>
    <w:rsid w:val="00801C44"/>
    <w:rsid w:val="00801EC2"/>
    <w:rsid w:val="00802CB5"/>
    <w:rsid w:val="008034D9"/>
    <w:rsid w:val="00810DB3"/>
    <w:rsid w:val="00811274"/>
    <w:rsid w:val="00813072"/>
    <w:rsid w:val="008133D6"/>
    <w:rsid w:val="00814B90"/>
    <w:rsid w:val="00816818"/>
    <w:rsid w:val="00820E0C"/>
    <w:rsid w:val="00821DDD"/>
    <w:rsid w:val="008263E5"/>
    <w:rsid w:val="00826D76"/>
    <w:rsid w:val="008272F0"/>
    <w:rsid w:val="0083169F"/>
    <w:rsid w:val="0083195F"/>
    <w:rsid w:val="00836583"/>
    <w:rsid w:val="008406D7"/>
    <w:rsid w:val="0085062A"/>
    <w:rsid w:val="008514F2"/>
    <w:rsid w:val="00852667"/>
    <w:rsid w:val="00852B76"/>
    <w:rsid w:val="008573E6"/>
    <w:rsid w:val="0086272A"/>
    <w:rsid w:val="00863934"/>
    <w:rsid w:val="00864478"/>
    <w:rsid w:val="00864980"/>
    <w:rsid w:val="008666B0"/>
    <w:rsid w:val="00867314"/>
    <w:rsid w:val="0086779F"/>
    <w:rsid w:val="00872D45"/>
    <w:rsid w:val="00880688"/>
    <w:rsid w:val="00883452"/>
    <w:rsid w:val="008840B4"/>
    <w:rsid w:val="0088513C"/>
    <w:rsid w:val="00890631"/>
    <w:rsid w:val="008913D4"/>
    <w:rsid w:val="008960B7"/>
    <w:rsid w:val="00896540"/>
    <w:rsid w:val="00896786"/>
    <w:rsid w:val="008A08AA"/>
    <w:rsid w:val="008A0DE8"/>
    <w:rsid w:val="008A17B0"/>
    <w:rsid w:val="008A290E"/>
    <w:rsid w:val="008A4532"/>
    <w:rsid w:val="008A5221"/>
    <w:rsid w:val="008A5A3E"/>
    <w:rsid w:val="008A5D57"/>
    <w:rsid w:val="008A73ED"/>
    <w:rsid w:val="008A7DDE"/>
    <w:rsid w:val="008B274B"/>
    <w:rsid w:val="008B37FC"/>
    <w:rsid w:val="008B4341"/>
    <w:rsid w:val="008B626A"/>
    <w:rsid w:val="008C0F9E"/>
    <w:rsid w:val="008C1CDF"/>
    <w:rsid w:val="008C1E8E"/>
    <w:rsid w:val="008C2433"/>
    <w:rsid w:val="008C34E7"/>
    <w:rsid w:val="008C799C"/>
    <w:rsid w:val="008C7AEA"/>
    <w:rsid w:val="008C7C60"/>
    <w:rsid w:val="008D03AD"/>
    <w:rsid w:val="008D1E5E"/>
    <w:rsid w:val="008D441A"/>
    <w:rsid w:val="008D6B8B"/>
    <w:rsid w:val="008E06E2"/>
    <w:rsid w:val="008E1C96"/>
    <w:rsid w:val="008E21AC"/>
    <w:rsid w:val="008E43BE"/>
    <w:rsid w:val="008E4723"/>
    <w:rsid w:val="008E61F6"/>
    <w:rsid w:val="008E7814"/>
    <w:rsid w:val="008F2B47"/>
    <w:rsid w:val="008F489A"/>
    <w:rsid w:val="008F748E"/>
    <w:rsid w:val="00901971"/>
    <w:rsid w:val="00902A1B"/>
    <w:rsid w:val="0091012F"/>
    <w:rsid w:val="00915ABA"/>
    <w:rsid w:val="00915E05"/>
    <w:rsid w:val="009202E2"/>
    <w:rsid w:val="009213B8"/>
    <w:rsid w:val="00921F9C"/>
    <w:rsid w:val="009251E5"/>
    <w:rsid w:val="00925441"/>
    <w:rsid w:val="009302EB"/>
    <w:rsid w:val="00931775"/>
    <w:rsid w:val="009348C1"/>
    <w:rsid w:val="00935CDE"/>
    <w:rsid w:val="00940229"/>
    <w:rsid w:val="0094089E"/>
    <w:rsid w:val="00941FCA"/>
    <w:rsid w:val="009428F7"/>
    <w:rsid w:val="00943300"/>
    <w:rsid w:val="009452A8"/>
    <w:rsid w:val="0094575C"/>
    <w:rsid w:val="00945B74"/>
    <w:rsid w:val="009547AD"/>
    <w:rsid w:val="009547C0"/>
    <w:rsid w:val="0095486F"/>
    <w:rsid w:val="009549A7"/>
    <w:rsid w:val="00957DE4"/>
    <w:rsid w:val="009616C8"/>
    <w:rsid w:val="0096291E"/>
    <w:rsid w:val="0096519D"/>
    <w:rsid w:val="00966DBA"/>
    <w:rsid w:val="00967458"/>
    <w:rsid w:val="00971B2E"/>
    <w:rsid w:val="00974EC8"/>
    <w:rsid w:val="00976C66"/>
    <w:rsid w:val="00977F74"/>
    <w:rsid w:val="0098356A"/>
    <w:rsid w:val="009842F6"/>
    <w:rsid w:val="009859A6"/>
    <w:rsid w:val="00986BB2"/>
    <w:rsid w:val="00992D23"/>
    <w:rsid w:val="00993574"/>
    <w:rsid w:val="0099447E"/>
    <w:rsid w:val="009952EC"/>
    <w:rsid w:val="00995DA8"/>
    <w:rsid w:val="00996356"/>
    <w:rsid w:val="009A0076"/>
    <w:rsid w:val="009A0811"/>
    <w:rsid w:val="009A0CAF"/>
    <w:rsid w:val="009A10BC"/>
    <w:rsid w:val="009A17F7"/>
    <w:rsid w:val="009A5369"/>
    <w:rsid w:val="009A5446"/>
    <w:rsid w:val="009A5BFC"/>
    <w:rsid w:val="009A6298"/>
    <w:rsid w:val="009A7830"/>
    <w:rsid w:val="009B0464"/>
    <w:rsid w:val="009B1B0F"/>
    <w:rsid w:val="009B3743"/>
    <w:rsid w:val="009B3D69"/>
    <w:rsid w:val="009B745E"/>
    <w:rsid w:val="009C147B"/>
    <w:rsid w:val="009C2F2D"/>
    <w:rsid w:val="009C3F45"/>
    <w:rsid w:val="009C4718"/>
    <w:rsid w:val="009D187C"/>
    <w:rsid w:val="009D734A"/>
    <w:rsid w:val="009E109F"/>
    <w:rsid w:val="009E10BE"/>
    <w:rsid w:val="009E24D7"/>
    <w:rsid w:val="009E538A"/>
    <w:rsid w:val="009E7E11"/>
    <w:rsid w:val="009F0DFD"/>
    <w:rsid w:val="009F319B"/>
    <w:rsid w:val="009F4464"/>
    <w:rsid w:val="00A008BF"/>
    <w:rsid w:val="00A0236A"/>
    <w:rsid w:val="00A02663"/>
    <w:rsid w:val="00A02D63"/>
    <w:rsid w:val="00A03FC8"/>
    <w:rsid w:val="00A0467B"/>
    <w:rsid w:val="00A0716E"/>
    <w:rsid w:val="00A104D5"/>
    <w:rsid w:val="00A10A45"/>
    <w:rsid w:val="00A11D10"/>
    <w:rsid w:val="00A11E58"/>
    <w:rsid w:val="00A13037"/>
    <w:rsid w:val="00A1442C"/>
    <w:rsid w:val="00A24A92"/>
    <w:rsid w:val="00A24E03"/>
    <w:rsid w:val="00A25DCF"/>
    <w:rsid w:val="00A26EDD"/>
    <w:rsid w:val="00A32C68"/>
    <w:rsid w:val="00A3455B"/>
    <w:rsid w:val="00A349D5"/>
    <w:rsid w:val="00A34A7B"/>
    <w:rsid w:val="00A34DF9"/>
    <w:rsid w:val="00A36B32"/>
    <w:rsid w:val="00A4173B"/>
    <w:rsid w:val="00A41C75"/>
    <w:rsid w:val="00A43150"/>
    <w:rsid w:val="00A44785"/>
    <w:rsid w:val="00A44986"/>
    <w:rsid w:val="00A4580C"/>
    <w:rsid w:val="00A550CA"/>
    <w:rsid w:val="00A55661"/>
    <w:rsid w:val="00A55CEE"/>
    <w:rsid w:val="00A56B32"/>
    <w:rsid w:val="00A62A28"/>
    <w:rsid w:val="00A638E3"/>
    <w:rsid w:val="00A63BFD"/>
    <w:rsid w:val="00A66B4D"/>
    <w:rsid w:val="00A86DB1"/>
    <w:rsid w:val="00A8708C"/>
    <w:rsid w:val="00A93925"/>
    <w:rsid w:val="00A94D75"/>
    <w:rsid w:val="00A95AC9"/>
    <w:rsid w:val="00A95AE0"/>
    <w:rsid w:val="00AA00D6"/>
    <w:rsid w:val="00AA08C2"/>
    <w:rsid w:val="00AA16BC"/>
    <w:rsid w:val="00AA28DD"/>
    <w:rsid w:val="00AA2E49"/>
    <w:rsid w:val="00AA42C2"/>
    <w:rsid w:val="00AA68FD"/>
    <w:rsid w:val="00AA6EDF"/>
    <w:rsid w:val="00AA76C4"/>
    <w:rsid w:val="00AB001C"/>
    <w:rsid w:val="00AB5EB8"/>
    <w:rsid w:val="00AB62B2"/>
    <w:rsid w:val="00AB71D2"/>
    <w:rsid w:val="00AB78FD"/>
    <w:rsid w:val="00AC0276"/>
    <w:rsid w:val="00AC28F2"/>
    <w:rsid w:val="00AC79A0"/>
    <w:rsid w:val="00AC7D92"/>
    <w:rsid w:val="00AD00F4"/>
    <w:rsid w:val="00AD1512"/>
    <w:rsid w:val="00AD1ED4"/>
    <w:rsid w:val="00AD4F32"/>
    <w:rsid w:val="00AD5980"/>
    <w:rsid w:val="00AD6537"/>
    <w:rsid w:val="00AE12C4"/>
    <w:rsid w:val="00AE1701"/>
    <w:rsid w:val="00AE1B8F"/>
    <w:rsid w:val="00AE4E4E"/>
    <w:rsid w:val="00AE79EC"/>
    <w:rsid w:val="00AF0633"/>
    <w:rsid w:val="00AF1575"/>
    <w:rsid w:val="00AF1616"/>
    <w:rsid w:val="00AF59DC"/>
    <w:rsid w:val="00AF67D1"/>
    <w:rsid w:val="00AF6CFC"/>
    <w:rsid w:val="00AF7978"/>
    <w:rsid w:val="00B01F7D"/>
    <w:rsid w:val="00B030EF"/>
    <w:rsid w:val="00B03261"/>
    <w:rsid w:val="00B03568"/>
    <w:rsid w:val="00B10DD2"/>
    <w:rsid w:val="00B12B63"/>
    <w:rsid w:val="00B15A79"/>
    <w:rsid w:val="00B16F5E"/>
    <w:rsid w:val="00B207E2"/>
    <w:rsid w:val="00B221CF"/>
    <w:rsid w:val="00B22227"/>
    <w:rsid w:val="00B243EE"/>
    <w:rsid w:val="00B24F95"/>
    <w:rsid w:val="00B256DB"/>
    <w:rsid w:val="00B27DA3"/>
    <w:rsid w:val="00B33033"/>
    <w:rsid w:val="00B351BF"/>
    <w:rsid w:val="00B3734E"/>
    <w:rsid w:val="00B37544"/>
    <w:rsid w:val="00B3797A"/>
    <w:rsid w:val="00B408CD"/>
    <w:rsid w:val="00B446C1"/>
    <w:rsid w:val="00B45518"/>
    <w:rsid w:val="00B50089"/>
    <w:rsid w:val="00B5359F"/>
    <w:rsid w:val="00B53F90"/>
    <w:rsid w:val="00B607A3"/>
    <w:rsid w:val="00B64634"/>
    <w:rsid w:val="00B64DFE"/>
    <w:rsid w:val="00B65608"/>
    <w:rsid w:val="00B660BF"/>
    <w:rsid w:val="00B66C1E"/>
    <w:rsid w:val="00B70712"/>
    <w:rsid w:val="00B7136B"/>
    <w:rsid w:val="00B769B3"/>
    <w:rsid w:val="00B77F8C"/>
    <w:rsid w:val="00B80370"/>
    <w:rsid w:val="00B808CF"/>
    <w:rsid w:val="00B849BA"/>
    <w:rsid w:val="00B926E3"/>
    <w:rsid w:val="00B92C09"/>
    <w:rsid w:val="00B94DFE"/>
    <w:rsid w:val="00B94EA3"/>
    <w:rsid w:val="00BA153A"/>
    <w:rsid w:val="00BA3E52"/>
    <w:rsid w:val="00BA73CF"/>
    <w:rsid w:val="00BB080B"/>
    <w:rsid w:val="00BB1D1C"/>
    <w:rsid w:val="00BB35D3"/>
    <w:rsid w:val="00BC5C94"/>
    <w:rsid w:val="00BE1674"/>
    <w:rsid w:val="00BE3E6E"/>
    <w:rsid w:val="00BE4082"/>
    <w:rsid w:val="00BE6034"/>
    <w:rsid w:val="00BE6482"/>
    <w:rsid w:val="00BF1187"/>
    <w:rsid w:val="00BF17E4"/>
    <w:rsid w:val="00BF4D77"/>
    <w:rsid w:val="00BF5121"/>
    <w:rsid w:val="00C02021"/>
    <w:rsid w:val="00C02143"/>
    <w:rsid w:val="00C025FC"/>
    <w:rsid w:val="00C03F8C"/>
    <w:rsid w:val="00C0401D"/>
    <w:rsid w:val="00C04DAA"/>
    <w:rsid w:val="00C057A0"/>
    <w:rsid w:val="00C06260"/>
    <w:rsid w:val="00C06D5E"/>
    <w:rsid w:val="00C07F49"/>
    <w:rsid w:val="00C10AAF"/>
    <w:rsid w:val="00C13EB0"/>
    <w:rsid w:val="00C16535"/>
    <w:rsid w:val="00C17014"/>
    <w:rsid w:val="00C264DA"/>
    <w:rsid w:val="00C267FF"/>
    <w:rsid w:val="00C27B53"/>
    <w:rsid w:val="00C27BC2"/>
    <w:rsid w:val="00C309AB"/>
    <w:rsid w:val="00C34BC6"/>
    <w:rsid w:val="00C41597"/>
    <w:rsid w:val="00C42C78"/>
    <w:rsid w:val="00C44AD3"/>
    <w:rsid w:val="00C45B34"/>
    <w:rsid w:val="00C45C77"/>
    <w:rsid w:val="00C51075"/>
    <w:rsid w:val="00C51B57"/>
    <w:rsid w:val="00C51E30"/>
    <w:rsid w:val="00C56182"/>
    <w:rsid w:val="00C611C1"/>
    <w:rsid w:val="00C61A30"/>
    <w:rsid w:val="00C642AB"/>
    <w:rsid w:val="00C65188"/>
    <w:rsid w:val="00C65203"/>
    <w:rsid w:val="00C702C3"/>
    <w:rsid w:val="00C733D6"/>
    <w:rsid w:val="00C73595"/>
    <w:rsid w:val="00C741DC"/>
    <w:rsid w:val="00C745D1"/>
    <w:rsid w:val="00C74C38"/>
    <w:rsid w:val="00C76A04"/>
    <w:rsid w:val="00C76BD1"/>
    <w:rsid w:val="00C7740F"/>
    <w:rsid w:val="00C838C9"/>
    <w:rsid w:val="00C854F6"/>
    <w:rsid w:val="00C8581D"/>
    <w:rsid w:val="00C922A4"/>
    <w:rsid w:val="00C93602"/>
    <w:rsid w:val="00C95A4D"/>
    <w:rsid w:val="00C96988"/>
    <w:rsid w:val="00CA1893"/>
    <w:rsid w:val="00CA1A40"/>
    <w:rsid w:val="00CA4622"/>
    <w:rsid w:val="00CA72C9"/>
    <w:rsid w:val="00CB1B4A"/>
    <w:rsid w:val="00CB1D46"/>
    <w:rsid w:val="00CB342F"/>
    <w:rsid w:val="00CB39DC"/>
    <w:rsid w:val="00CB3CF5"/>
    <w:rsid w:val="00CB5156"/>
    <w:rsid w:val="00CB547B"/>
    <w:rsid w:val="00CB737E"/>
    <w:rsid w:val="00CB7CC4"/>
    <w:rsid w:val="00CC05B0"/>
    <w:rsid w:val="00CC3710"/>
    <w:rsid w:val="00CC5049"/>
    <w:rsid w:val="00CE04BA"/>
    <w:rsid w:val="00CE0AB7"/>
    <w:rsid w:val="00CE192D"/>
    <w:rsid w:val="00CE1BD4"/>
    <w:rsid w:val="00CE1CAF"/>
    <w:rsid w:val="00CE3798"/>
    <w:rsid w:val="00CE3FED"/>
    <w:rsid w:val="00CE4D15"/>
    <w:rsid w:val="00CE5A4C"/>
    <w:rsid w:val="00CE6878"/>
    <w:rsid w:val="00CF0F10"/>
    <w:rsid w:val="00CF192E"/>
    <w:rsid w:val="00CF1997"/>
    <w:rsid w:val="00CF3412"/>
    <w:rsid w:val="00CF3763"/>
    <w:rsid w:val="00CF40E6"/>
    <w:rsid w:val="00CF51ED"/>
    <w:rsid w:val="00CF6084"/>
    <w:rsid w:val="00CF6596"/>
    <w:rsid w:val="00CF7D53"/>
    <w:rsid w:val="00D0209F"/>
    <w:rsid w:val="00D04C42"/>
    <w:rsid w:val="00D05077"/>
    <w:rsid w:val="00D065AA"/>
    <w:rsid w:val="00D107C3"/>
    <w:rsid w:val="00D12D92"/>
    <w:rsid w:val="00D144FC"/>
    <w:rsid w:val="00D14EA7"/>
    <w:rsid w:val="00D1592C"/>
    <w:rsid w:val="00D15F0F"/>
    <w:rsid w:val="00D1782E"/>
    <w:rsid w:val="00D1793C"/>
    <w:rsid w:val="00D206F6"/>
    <w:rsid w:val="00D26929"/>
    <w:rsid w:val="00D2743B"/>
    <w:rsid w:val="00D3035B"/>
    <w:rsid w:val="00D31284"/>
    <w:rsid w:val="00D31908"/>
    <w:rsid w:val="00D31B95"/>
    <w:rsid w:val="00D33B49"/>
    <w:rsid w:val="00D3478F"/>
    <w:rsid w:val="00D40005"/>
    <w:rsid w:val="00D4013C"/>
    <w:rsid w:val="00D47A26"/>
    <w:rsid w:val="00D51A11"/>
    <w:rsid w:val="00D51B43"/>
    <w:rsid w:val="00D55502"/>
    <w:rsid w:val="00D5660C"/>
    <w:rsid w:val="00D5719F"/>
    <w:rsid w:val="00D57307"/>
    <w:rsid w:val="00D63C26"/>
    <w:rsid w:val="00D64DE5"/>
    <w:rsid w:val="00D65DA7"/>
    <w:rsid w:val="00D662B6"/>
    <w:rsid w:val="00D70731"/>
    <w:rsid w:val="00D713AF"/>
    <w:rsid w:val="00D71D4B"/>
    <w:rsid w:val="00D76445"/>
    <w:rsid w:val="00D82FEF"/>
    <w:rsid w:val="00D85A1A"/>
    <w:rsid w:val="00D86983"/>
    <w:rsid w:val="00D86E61"/>
    <w:rsid w:val="00D8751D"/>
    <w:rsid w:val="00D92984"/>
    <w:rsid w:val="00D9642A"/>
    <w:rsid w:val="00D97A6D"/>
    <w:rsid w:val="00DA4849"/>
    <w:rsid w:val="00DA5396"/>
    <w:rsid w:val="00DA7043"/>
    <w:rsid w:val="00DB22E7"/>
    <w:rsid w:val="00DB28CD"/>
    <w:rsid w:val="00DB4644"/>
    <w:rsid w:val="00DB62A2"/>
    <w:rsid w:val="00DB6B4B"/>
    <w:rsid w:val="00DC026F"/>
    <w:rsid w:val="00DC6A1E"/>
    <w:rsid w:val="00DC6C1A"/>
    <w:rsid w:val="00DC6F78"/>
    <w:rsid w:val="00DD1F95"/>
    <w:rsid w:val="00DD2C56"/>
    <w:rsid w:val="00DD4540"/>
    <w:rsid w:val="00DD4566"/>
    <w:rsid w:val="00DD4B11"/>
    <w:rsid w:val="00DD5BDD"/>
    <w:rsid w:val="00DE02AE"/>
    <w:rsid w:val="00DE26D0"/>
    <w:rsid w:val="00DE5A95"/>
    <w:rsid w:val="00DE5BEC"/>
    <w:rsid w:val="00DF17A2"/>
    <w:rsid w:val="00DF3151"/>
    <w:rsid w:val="00DF3352"/>
    <w:rsid w:val="00DF5343"/>
    <w:rsid w:val="00E005BA"/>
    <w:rsid w:val="00E03EB1"/>
    <w:rsid w:val="00E11CE9"/>
    <w:rsid w:val="00E13BED"/>
    <w:rsid w:val="00E15B0D"/>
    <w:rsid w:val="00E16B8F"/>
    <w:rsid w:val="00E20DD6"/>
    <w:rsid w:val="00E2184B"/>
    <w:rsid w:val="00E21D39"/>
    <w:rsid w:val="00E24094"/>
    <w:rsid w:val="00E252A1"/>
    <w:rsid w:val="00E252D6"/>
    <w:rsid w:val="00E27597"/>
    <w:rsid w:val="00E27C16"/>
    <w:rsid w:val="00E30E53"/>
    <w:rsid w:val="00E36AEF"/>
    <w:rsid w:val="00E40925"/>
    <w:rsid w:val="00E41A45"/>
    <w:rsid w:val="00E4230B"/>
    <w:rsid w:val="00E4279E"/>
    <w:rsid w:val="00E43E6A"/>
    <w:rsid w:val="00E50D78"/>
    <w:rsid w:val="00E50F22"/>
    <w:rsid w:val="00E5143C"/>
    <w:rsid w:val="00E528C0"/>
    <w:rsid w:val="00E52D03"/>
    <w:rsid w:val="00E54EDB"/>
    <w:rsid w:val="00E562C7"/>
    <w:rsid w:val="00E62E0B"/>
    <w:rsid w:val="00E639DA"/>
    <w:rsid w:val="00E65D73"/>
    <w:rsid w:val="00E66497"/>
    <w:rsid w:val="00E67624"/>
    <w:rsid w:val="00E70506"/>
    <w:rsid w:val="00E71795"/>
    <w:rsid w:val="00E72560"/>
    <w:rsid w:val="00E7524E"/>
    <w:rsid w:val="00E75633"/>
    <w:rsid w:val="00E75979"/>
    <w:rsid w:val="00E75B6A"/>
    <w:rsid w:val="00E75D3C"/>
    <w:rsid w:val="00E8062D"/>
    <w:rsid w:val="00E80824"/>
    <w:rsid w:val="00E8176A"/>
    <w:rsid w:val="00E84097"/>
    <w:rsid w:val="00E857DD"/>
    <w:rsid w:val="00E85BFD"/>
    <w:rsid w:val="00E864E6"/>
    <w:rsid w:val="00E866FB"/>
    <w:rsid w:val="00E86E1F"/>
    <w:rsid w:val="00E87347"/>
    <w:rsid w:val="00E90897"/>
    <w:rsid w:val="00E91A18"/>
    <w:rsid w:val="00E97BD5"/>
    <w:rsid w:val="00EA2D92"/>
    <w:rsid w:val="00EA3A0D"/>
    <w:rsid w:val="00EA3EFE"/>
    <w:rsid w:val="00EA5B72"/>
    <w:rsid w:val="00EA5E2A"/>
    <w:rsid w:val="00EB4088"/>
    <w:rsid w:val="00EB4BCF"/>
    <w:rsid w:val="00EB5552"/>
    <w:rsid w:val="00EB6773"/>
    <w:rsid w:val="00EB6F61"/>
    <w:rsid w:val="00EC1E8B"/>
    <w:rsid w:val="00EC3E36"/>
    <w:rsid w:val="00EC4868"/>
    <w:rsid w:val="00EC4B46"/>
    <w:rsid w:val="00EC705F"/>
    <w:rsid w:val="00ED0414"/>
    <w:rsid w:val="00ED0A7C"/>
    <w:rsid w:val="00ED0A84"/>
    <w:rsid w:val="00ED26CC"/>
    <w:rsid w:val="00ED2DD5"/>
    <w:rsid w:val="00ED3290"/>
    <w:rsid w:val="00ED372E"/>
    <w:rsid w:val="00ED4D1E"/>
    <w:rsid w:val="00ED7675"/>
    <w:rsid w:val="00EE273E"/>
    <w:rsid w:val="00EE2AAC"/>
    <w:rsid w:val="00EE483F"/>
    <w:rsid w:val="00EE5606"/>
    <w:rsid w:val="00EE688B"/>
    <w:rsid w:val="00EE7F0F"/>
    <w:rsid w:val="00EF3CA1"/>
    <w:rsid w:val="00EF78BA"/>
    <w:rsid w:val="00F01504"/>
    <w:rsid w:val="00F03888"/>
    <w:rsid w:val="00F038C3"/>
    <w:rsid w:val="00F03F5F"/>
    <w:rsid w:val="00F0471E"/>
    <w:rsid w:val="00F05333"/>
    <w:rsid w:val="00F05750"/>
    <w:rsid w:val="00F1055D"/>
    <w:rsid w:val="00F1652C"/>
    <w:rsid w:val="00F169FC"/>
    <w:rsid w:val="00F17217"/>
    <w:rsid w:val="00F23D01"/>
    <w:rsid w:val="00F3012A"/>
    <w:rsid w:val="00F365FA"/>
    <w:rsid w:val="00F379DC"/>
    <w:rsid w:val="00F405B7"/>
    <w:rsid w:val="00F4232B"/>
    <w:rsid w:val="00F42A56"/>
    <w:rsid w:val="00F4344C"/>
    <w:rsid w:val="00F440DB"/>
    <w:rsid w:val="00F44C12"/>
    <w:rsid w:val="00F46541"/>
    <w:rsid w:val="00F4770B"/>
    <w:rsid w:val="00F5500B"/>
    <w:rsid w:val="00F63A7E"/>
    <w:rsid w:val="00F66773"/>
    <w:rsid w:val="00F712EB"/>
    <w:rsid w:val="00F71784"/>
    <w:rsid w:val="00F81631"/>
    <w:rsid w:val="00F81650"/>
    <w:rsid w:val="00F8507E"/>
    <w:rsid w:val="00F8658D"/>
    <w:rsid w:val="00F8721D"/>
    <w:rsid w:val="00F91885"/>
    <w:rsid w:val="00F94A17"/>
    <w:rsid w:val="00F95C8C"/>
    <w:rsid w:val="00F96B0A"/>
    <w:rsid w:val="00F96E05"/>
    <w:rsid w:val="00F97009"/>
    <w:rsid w:val="00FA222F"/>
    <w:rsid w:val="00FA2ACD"/>
    <w:rsid w:val="00FA30EB"/>
    <w:rsid w:val="00FA3709"/>
    <w:rsid w:val="00FA3C22"/>
    <w:rsid w:val="00FA53BC"/>
    <w:rsid w:val="00FA53D0"/>
    <w:rsid w:val="00FA69AB"/>
    <w:rsid w:val="00FA71BF"/>
    <w:rsid w:val="00FB2C41"/>
    <w:rsid w:val="00FB47CA"/>
    <w:rsid w:val="00FC2F80"/>
    <w:rsid w:val="00FC55E6"/>
    <w:rsid w:val="00FC61E3"/>
    <w:rsid w:val="00FD0701"/>
    <w:rsid w:val="00FD279D"/>
    <w:rsid w:val="00FD5CCF"/>
    <w:rsid w:val="00FD7D58"/>
    <w:rsid w:val="00FE3387"/>
    <w:rsid w:val="00FE37D8"/>
    <w:rsid w:val="00FE4665"/>
    <w:rsid w:val="00FE4C36"/>
    <w:rsid w:val="00FF1735"/>
    <w:rsid w:val="00FF1C6F"/>
    <w:rsid w:val="00FF21EC"/>
    <w:rsid w:val="00FF26F8"/>
    <w:rsid w:val="00FF60F4"/>
    <w:rsid w:val="00FF62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7BD2"/>
  <w15:docId w15:val="{CF3F1979-BECE-4ABC-AEC8-E005A547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fr-FR"/>
    </w:rPr>
  </w:style>
  <w:style w:type="paragraph" w:styleId="Titre1">
    <w:name w:val="heading 1"/>
    <w:basedOn w:val="Normal"/>
    <w:next w:val="Paragrdouble"/>
    <w:qFormat/>
    <w:rsid w:val="00D12D92"/>
    <w:pPr>
      <w:keepNext/>
      <w:spacing w:before="240" w:after="60"/>
      <w:ind w:left="432" w:hanging="432"/>
      <w:outlineLvl w:val="0"/>
    </w:pPr>
    <w:rPr>
      <w:b/>
      <w:kern w:val="28"/>
      <w:u w:val="single"/>
    </w:rPr>
  </w:style>
  <w:style w:type="paragraph" w:styleId="Titre2">
    <w:name w:val="heading 2"/>
    <w:basedOn w:val="Normal"/>
    <w:next w:val="Paragrdouble"/>
    <w:qFormat/>
    <w:rsid w:val="00BA153A"/>
    <w:pPr>
      <w:keepNext/>
      <w:numPr>
        <w:numId w:val="4"/>
      </w:numPr>
      <w:spacing w:before="240" w:after="60"/>
      <w:outlineLvl w:val="1"/>
    </w:pPr>
    <w:rPr>
      <w:b/>
      <w:caps/>
      <w:u w:val="single"/>
    </w:rPr>
  </w:style>
  <w:style w:type="paragraph" w:styleId="Titre3">
    <w:name w:val="heading 3"/>
    <w:basedOn w:val="Normal"/>
    <w:next w:val="Paragrdouble"/>
    <w:qFormat/>
    <w:rsid w:val="00AF1575"/>
    <w:pPr>
      <w:keepNext/>
      <w:numPr>
        <w:ilvl w:val="1"/>
        <w:numId w:val="4"/>
      </w:numPr>
      <w:spacing w:before="240" w:after="60"/>
      <w:outlineLvl w:val="2"/>
    </w:pPr>
    <w:rPr>
      <w:b/>
    </w:rPr>
  </w:style>
  <w:style w:type="paragraph" w:styleId="Titre4">
    <w:name w:val="heading 4"/>
    <w:basedOn w:val="Normal"/>
    <w:next w:val="Paragrdouble"/>
    <w:qFormat/>
    <w:rsid w:val="00AF1575"/>
    <w:pPr>
      <w:keepNext/>
      <w:numPr>
        <w:ilvl w:val="2"/>
        <w:numId w:val="4"/>
      </w:numPr>
      <w:spacing w:before="240" w:after="60"/>
      <w:outlineLvl w:val="3"/>
    </w:pPr>
    <w:rPr>
      <w:b/>
    </w:rPr>
  </w:style>
  <w:style w:type="paragraph" w:styleId="Titre5">
    <w:name w:val="heading 5"/>
    <w:basedOn w:val="Titre4"/>
    <w:next w:val="Paragrdouble"/>
    <w:qFormat/>
    <w:rsid w:val="001B0DA6"/>
    <w:pPr>
      <w:numPr>
        <w:ilvl w:val="3"/>
      </w:numPr>
      <w:ind w:left="2495" w:hanging="1077"/>
      <w:outlineLvl w:val="4"/>
    </w:pPr>
  </w:style>
  <w:style w:type="paragraph" w:styleId="Titre6">
    <w:name w:val="heading 6"/>
    <w:basedOn w:val="Titre5"/>
    <w:next w:val="Paragrdouble"/>
    <w:qFormat/>
    <w:rsid w:val="00C025FC"/>
    <w:pPr>
      <w:numPr>
        <w:ilvl w:val="4"/>
      </w:numPr>
      <w:ind w:left="3657" w:hanging="1247"/>
      <w:outlineLvl w:val="5"/>
    </w:pPr>
  </w:style>
  <w:style w:type="paragraph" w:styleId="Titre7">
    <w:name w:val="heading 7"/>
    <w:basedOn w:val="Normal"/>
    <w:next w:val="Normal"/>
    <w:qFormat/>
    <w:pPr>
      <w:numPr>
        <w:ilvl w:val="6"/>
        <w:numId w:val="3"/>
      </w:numPr>
      <w:spacing w:before="240" w:after="60"/>
      <w:outlineLvl w:val="6"/>
    </w:pPr>
    <w:rPr>
      <w:sz w:val="20"/>
    </w:rPr>
  </w:style>
  <w:style w:type="paragraph" w:styleId="Titre8">
    <w:name w:val="heading 8"/>
    <w:basedOn w:val="Normal"/>
    <w:next w:val="Normal"/>
    <w:qFormat/>
    <w:pPr>
      <w:numPr>
        <w:ilvl w:val="7"/>
        <w:numId w:val="3"/>
      </w:numPr>
      <w:spacing w:before="240" w:after="60"/>
      <w:outlineLvl w:val="7"/>
    </w:pPr>
    <w:rPr>
      <w:i/>
      <w:sz w:val="20"/>
    </w:rPr>
  </w:style>
  <w:style w:type="paragraph" w:styleId="Titre9">
    <w:name w:val="heading 9"/>
    <w:basedOn w:val="Normal"/>
    <w:next w:val="Normal"/>
    <w:qFormat/>
    <w:pPr>
      <w:numPr>
        <w:ilvl w:val="8"/>
        <w:numId w:val="3"/>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BA153A"/>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rsid w:val="00CF51ED"/>
    <w:pPr>
      <w:widowControl w:val="0"/>
      <w:numPr>
        <w:ilvl w:val="1"/>
        <w:numId w:val="2"/>
      </w:numPr>
      <w:spacing w:before="120"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numbering" w:customStyle="1" w:styleId="Style1">
    <w:name w:val="Style1"/>
    <w:uiPriority w:val="99"/>
    <w:rsid w:val="00CE1CAF"/>
    <w:pPr>
      <w:numPr>
        <w:numId w:val="5"/>
      </w:numPr>
    </w:pPr>
  </w:style>
  <w:style w:type="paragraph" w:customStyle="1" w:styleId="Paragrsimple">
    <w:name w:val="Paragr. simple"/>
    <w:basedOn w:val="Paragrdouble"/>
    <w:next w:val="Paragrdouble"/>
    <w:qFormat/>
    <w:rsid w:val="00BA153A"/>
    <w:pPr>
      <w:spacing w:line="240" w:lineRule="auto"/>
    </w:pPr>
  </w:style>
  <w:style w:type="paragraph" w:styleId="En-ttedetabledesmatires">
    <w:name w:val="TOC Heading"/>
    <w:basedOn w:val="Titre1"/>
    <w:next w:val="Normal"/>
    <w:uiPriority w:val="39"/>
    <w:qFormat/>
    <w:rsid w:val="00BA153A"/>
    <w:pPr>
      <w:keepLines/>
      <w:spacing w:before="480" w:after="0" w:line="276" w:lineRule="auto"/>
      <w:ind w:left="0" w:firstLine="0"/>
      <w:outlineLvl w:val="9"/>
    </w:pPr>
    <w:rPr>
      <w:rFonts w:ascii="Cambria" w:hAnsi="Cambria"/>
      <w:bCs/>
      <w:color w:val="365F91"/>
      <w:kern w:val="0"/>
      <w:sz w:val="28"/>
      <w:szCs w:val="28"/>
      <w:u w:val="none"/>
      <w:lang w:eastAsia="fr-CA"/>
    </w:rPr>
  </w:style>
  <w:style w:type="paragraph" w:styleId="TM1">
    <w:name w:val="toc 1"/>
    <w:basedOn w:val="Normal"/>
    <w:next w:val="Normal"/>
    <w:autoRedefine/>
    <w:uiPriority w:val="39"/>
    <w:unhideWhenUsed/>
    <w:rsid w:val="001652CA"/>
    <w:pPr>
      <w:tabs>
        <w:tab w:val="left" w:pos="480"/>
        <w:tab w:val="right" w:leader="dot" w:pos="9352"/>
      </w:tabs>
      <w:spacing w:line="360" w:lineRule="auto"/>
    </w:pPr>
  </w:style>
  <w:style w:type="paragraph" w:styleId="TM2">
    <w:name w:val="toc 2"/>
    <w:basedOn w:val="Normal"/>
    <w:next w:val="Normal"/>
    <w:autoRedefine/>
    <w:uiPriority w:val="39"/>
    <w:unhideWhenUsed/>
    <w:rsid w:val="003B0DBA"/>
    <w:pPr>
      <w:tabs>
        <w:tab w:val="left" w:pos="880"/>
        <w:tab w:val="right" w:leader="dot" w:pos="9352"/>
      </w:tabs>
      <w:spacing w:line="276" w:lineRule="auto"/>
      <w:ind w:left="240"/>
      <w:jc w:val="both"/>
    </w:pPr>
  </w:style>
  <w:style w:type="paragraph" w:styleId="TM3">
    <w:name w:val="toc 3"/>
    <w:basedOn w:val="Normal"/>
    <w:next w:val="Normal"/>
    <w:autoRedefine/>
    <w:uiPriority w:val="39"/>
    <w:unhideWhenUsed/>
    <w:rsid w:val="00864478"/>
    <w:pPr>
      <w:tabs>
        <w:tab w:val="left" w:pos="1100"/>
        <w:tab w:val="right" w:leader="dot" w:pos="9352"/>
      </w:tabs>
      <w:spacing w:line="276" w:lineRule="auto"/>
      <w:ind w:left="567"/>
    </w:pPr>
  </w:style>
  <w:style w:type="character" w:styleId="Hyperlien">
    <w:name w:val="Hyperlink"/>
    <w:uiPriority w:val="99"/>
    <w:unhideWhenUsed/>
    <w:rsid w:val="00BA153A"/>
    <w:rPr>
      <w:color w:val="0000FF"/>
      <w:u w:val="single"/>
      <w:lang w:val="fr-CA"/>
    </w:rPr>
  </w:style>
  <w:style w:type="paragraph" w:styleId="Explorateurdedocuments">
    <w:name w:val="Document Map"/>
    <w:basedOn w:val="Normal"/>
    <w:semiHidden/>
    <w:rsid w:val="00007687"/>
    <w:pPr>
      <w:shd w:val="clear" w:color="auto" w:fill="000080"/>
    </w:pPr>
    <w:rPr>
      <w:rFonts w:ascii="Tahoma" w:hAnsi="Tahoma" w:cs="Tahoma"/>
      <w:sz w:val="20"/>
    </w:rPr>
  </w:style>
  <w:style w:type="paragraph" w:styleId="Titre">
    <w:name w:val="Title"/>
    <w:basedOn w:val="Normal"/>
    <w:qFormat/>
    <w:rsid w:val="008A4532"/>
    <w:pPr>
      <w:spacing w:before="240" w:after="60"/>
      <w:jc w:val="center"/>
      <w:outlineLvl w:val="0"/>
    </w:pPr>
    <w:rPr>
      <w:rFonts w:cs="Arial"/>
      <w:b/>
      <w:bCs/>
      <w:kern w:val="28"/>
      <w:sz w:val="32"/>
      <w:szCs w:val="32"/>
    </w:rPr>
  </w:style>
  <w:style w:type="character" w:styleId="Appelnotedebasdep">
    <w:name w:val="footnote reference"/>
    <w:basedOn w:val="Policepardfaut"/>
    <w:unhideWhenUsed/>
    <w:rsid w:val="00457956"/>
    <w:rPr>
      <w:vertAlign w:val="superscript"/>
    </w:rPr>
  </w:style>
  <w:style w:type="paragraph" w:styleId="En-tte">
    <w:name w:val="header"/>
    <w:basedOn w:val="Normal"/>
    <w:link w:val="En-tteCar"/>
    <w:uiPriority w:val="99"/>
    <w:unhideWhenUsed/>
    <w:rsid w:val="00625117"/>
    <w:pPr>
      <w:tabs>
        <w:tab w:val="center" w:pos="4320"/>
        <w:tab w:val="right" w:pos="8640"/>
      </w:tabs>
    </w:pPr>
  </w:style>
  <w:style w:type="character" w:customStyle="1" w:styleId="En-tteCar">
    <w:name w:val="En-tête Car"/>
    <w:basedOn w:val="Policepardfaut"/>
    <w:link w:val="En-tte"/>
    <w:uiPriority w:val="99"/>
    <w:rsid w:val="00625117"/>
    <w:rPr>
      <w:rFonts w:ascii="Arial" w:hAnsi="Arial"/>
      <w:sz w:val="24"/>
      <w:lang w:eastAsia="fr-FR"/>
    </w:rPr>
  </w:style>
  <w:style w:type="paragraph" w:styleId="Pieddepage">
    <w:name w:val="footer"/>
    <w:basedOn w:val="Normal"/>
    <w:link w:val="PieddepageCar"/>
    <w:uiPriority w:val="99"/>
    <w:unhideWhenUsed/>
    <w:rsid w:val="00625117"/>
    <w:pPr>
      <w:tabs>
        <w:tab w:val="center" w:pos="4320"/>
        <w:tab w:val="right" w:pos="8640"/>
      </w:tabs>
    </w:pPr>
  </w:style>
  <w:style w:type="character" w:customStyle="1" w:styleId="PieddepageCar">
    <w:name w:val="Pied de page Car"/>
    <w:basedOn w:val="Policepardfaut"/>
    <w:link w:val="Pieddepage"/>
    <w:uiPriority w:val="99"/>
    <w:rsid w:val="00625117"/>
    <w:rPr>
      <w:rFonts w:ascii="Arial" w:hAnsi="Arial"/>
      <w:sz w:val="24"/>
      <w:lang w:eastAsia="fr-FR"/>
    </w:rPr>
  </w:style>
  <w:style w:type="table" w:styleId="Grilledutableau">
    <w:name w:val="Table Grid"/>
    <w:basedOn w:val="TableauNormal"/>
    <w:rsid w:val="003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3934"/>
    <w:pPr>
      <w:ind w:left="720"/>
      <w:contextualSpacing/>
    </w:pPr>
  </w:style>
  <w:style w:type="paragraph" w:customStyle="1" w:styleId="paragraphe">
    <w:name w:val="paragraphe"/>
    <w:basedOn w:val="Normal"/>
    <w:rsid w:val="00603B9B"/>
    <w:pPr>
      <w:spacing w:before="100" w:beforeAutospacing="1" w:after="100" w:afterAutospacing="1"/>
    </w:pPr>
    <w:rPr>
      <w:rFonts w:ascii="Times New Roman" w:hAnsi="Times New Roman"/>
      <w:szCs w:val="24"/>
      <w:lang w:eastAsia="fr-CA"/>
    </w:rPr>
  </w:style>
  <w:style w:type="character" w:customStyle="1" w:styleId="apple-converted-space">
    <w:name w:val="apple-converted-space"/>
    <w:basedOn w:val="Policepardfaut"/>
    <w:rsid w:val="00603B9B"/>
  </w:style>
  <w:style w:type="character" w:customStyle="1" w:styleId="Mentionnonrsolue1">
    <w:name w:val="Mention non résolue1"/>
    <w:basedOn w:val="Policepardfaut"/>
    <w:uiPriority w:val="99"/>
    <w:semiHidden/>
    <w:unhideWhenUsed/>
    <w:rsid w:val="0065438C"/>
    <w:rPr>
      <w:color w:val="605E5C"/>
      <w:shd w:val="clear" w:color="auto" w:fill="E1DFDD"/>
    </w:rPr>
  </w:style>
  <w:style w:type="character" w:customStyle="1" w:styleId="pdf-viewer-line">
    <w:name w:val="pdf-viewer-line"/>
    <w:basedOn w:val="Policepardfaut"/>
    <w:rsid w:val="002330D2"/>
  </w:style>
  <w:style w:type="paragraph" w:styleId="NormalWeb">
    <w:name w:val="Normal (Web)"/>
    <w:basedOn w:val="Normal"/>
    <w:uiPriority w:val="99"/>
    <w:semiHidden/>
    <w:unhideWhenUsed/>
    <w:rsid w:val="00C7740F"/>
    <w:pPr>
      <w:spacing w:before="100" w:beforeAutospacing="1" w:after="100" w:afterAutospacing="1"/>
    </w:pPr>
    <w:rPr>
      <w:rFonts w:ascii="Times New Roman" w:hAnsi="Times New Roman"/>
      <w:szCs w:val="24"/>
      <w:lang w:eastAsia="fr-CA"/>
    </w:rPr>
  </w:style>
  <w:style w:type="character" w:customStyle="1" w:styleId="NotedebasdepageCar">
    <w:name w:val="Note de bas de page Car"/>
    <w:basedOn w:val="Policepardfaut"/>
    <w:link w:val="Notedebasdepage"/>
    <w:rsid w:val="007000DD"/>
    <w:rPr>
      <w:rFonts w:ascii="Arial" w:hAnsi="Arial"/>
      <w:lang w:eastAsia="fr-FR"/>
    </w:rPr>
  </w:style>
  <w:style w:type="paragraph" w:styleId="Rvision">
    <w:name w:val="Revision"/>
    <w:hidden/>
    <w:uiPriority w:val="99"/>
    <w:semiHidden/>
    <w:rsid w:val="0009015E"/>
    <w:rPr>
      <w:rFonts w:ascii="Arial" w:hAnsi="Arial"/>
      <w:sz w:val="24"/>
      <w:lang w:eastAsia="fr-FR"/>
    </w:rPr>
  </w:style>
  <w:style w:type="paragraph" w:styleId="TM4">
    <w:name w:val="toc 4"/>
    <w:basedOn w:val="Normal"/>
    <w:next w:val="Normal"/>
    <w:autoRedefine/>
    <w:uiPriority w:val="39"/>
    <w:unhideWhenUsed/>
    <w:rsid w:val="00FA3709"/>
    <w:pPr>
      <w:tabs>
        <w:tab w:val="left" w:pos="1100"/>
        <w:tab w:val="right" w:leader="dot" w:pos="9352"/>
      </w:tabs>
      <w:spacing w:after="100"/>
      <w:ind w:left="720"/>
    </w:pPr>
  </w:style>
  <w:style w:type="character" w:styleId="Marquedecommentaire">
    <w:name w:val="annotation reference"/>
    <w:basedOn w:val="Policepardfaut"/>
    <w:uiPriority w:val="99"/>
    <w:semiHidden/>
    <w:unhideWhenUsed/>
    <w:rsid w:val="0063523B"/>
    <w:rPr>
      <w:sz w:val="16"/>
      <w:szCs w:val="16"/>
    </w:rPr>
  </w:style>
  <w:style w:type="paragraph" w:styleId="Commentaire">
    <w:name w:val="annotation text"/>
    <w:basedOn w:val="Normal"/>
    <w:link w:val="CommentaireCar"/>
    <w:uiPriority w:val="99"/>
    <w:unhideWhenUsed/>
    <w:rsid w:val="0063523B"/>
    <w:rPr>
      <w:sz w:val="20"/>
    </w:rPr>
  </w:style>
  <w:style w:type="character" w:customStyle="1" w:styleId="CommentaireCar">
    <w:name w:val="Commentaire Car"/>
    <w:basedOn w:val="Policepardfaut"/>
    <w:link w:val="Commentaire"/>
    <w:uiPriority w:val="99"/>
    <w:rsid w:val="0063523B"/>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63523B"/>
    <w:rPr>
      <w:b/>
      <w:bCs/>
    </w:rPr>
  </w:style>
  <w:style w:type="character" w:customStyle="1" w:styleId="ObjetducommentaireCar">
    <w:name w:val="Objet du commentaire Car"/>
    <w:basedOn w:val="CommentaireCar"/>
    <w:link w:val="Objetducommentaire"/>
    <w:uiPriority w:val="99"/>
    <w:semiHidden/>
    <w:rsid w:val="0063523B"/>
    <w:rPr>
      <w:rFonts w:ascii="Arial" w:hAnsi="Arial"/>
      <w:b/>
      <w:bCs/>
      <w:lang w:eastAsia="fr-FR"/>
    </w:rPr>
  </w:style>
  <w:style w:type="paragraph" w:customStyle="1" w:styleId="Texte">
    <w:name w:val="Texte"/>
    <w:basedOn w:val="Normal"/>
    <w:link w:val="TexteCar"/>
    <w:qFormat/>
    <w:rsid w:val="005402D0"/>
    <w:pPr>
      <w:spacing w:after="240" w:line="360" w:lineRule="auto"/>
      <w:jc w:val="both"/>
    </w:pPr>
    <w:rPr>
      <w:rFonts w:ascii="Times New Roman" w:hAnsi="Times New Roman"/>
    </w:rPr>
  </w:style>
  <w:style w:type="character" w:customStyle="1" w:styleId="TexteCar">
    <w:name w:val="Texte Car"/>
    <w:link w:val="Texte"/>
    <w:rsid w:val="005402D0"/>
    <w:rPr>
      <w:sz w:val="24"/>
      <w:lang w:eastAsia="fr-FR"/>
    </w:rPr>
  </w:style>
  <w:style w:type="character" w:customStyle="1" w:styleId="lawlabel">
    <w:name w:val="lawlabel"/>
    <w:basedOn w:val="Policepardfaut"/>
    <w:rsid w:val="005402D0"/>
  </w:style>
  <w:style w:type="paragraph" w:customStyle="1" w:styleId="historicalnotesubitem">
    <w:name w:val="historicalnotesubitem"/>
    <w:basedOn w:val="Normal"/>
    <w:rsid w:val="005402D0"/>
    <w:pPr>
      <w:spacing w:before="100" w:beforeAutospacing="1" w:after="100" w:afterAutospacing="1"/>
    </w:pPr>
    <w:rPr>
      <w:rFonts w:ascii="Times New Roman" w:hAnsi="Times New Roman"/>
      <w:szCs w:val="24"/>
      <w:lang w:eastAsia="fr-CA"/>
    </w:rPr>
  </w:style>
  <w:style w:type="paragraph" w:customStyle="1" w:styleId="section">
    <w:name w:val="section"/>
    <w:basedOn w:val="Normal"/>
    <w:rsid w:val="005402D0"/>
    <w:pPr>
      <w:spacing w:before="100" w:beforeAutospacing="1" w:after="100" w:afterAutospacing="1"/>
    </w:pPr>
    <w:rPr>
      <w:rFonts w:ascii="Times New Roman" w:hAnsi="Times New Roman"/>
      <w:szCs w:val="24"/>
      <w:lang w:eastAsia="fr-CA"/>
    </w:rPr>
  </w:style>
  <w:style w:type="character" w:customStyle="1" w:styleId="sectionlabel">
    <w:name w:val="sectionlabel"/>
    <w:basedOn w:val="Policepardfaut"/>
    <w:rsid w:val="005402D0"/>
  </w:style>
  <w:style w:type="paragraph" w:customStyle="1" w:styleId="paragraph">
    <w:name w:val="paragraph"/>
    <w:basedOn w:val="Normal"/>
    <w:rsid w:val="005402D0"/>
    <w:pPr>
      <w:spacing w:before="100" w:beforeAutospacing="1" w:after="100" w:afterAutospacing="1"/>
    </w:pPr>
    <w:rPr>
      <w:rFonts w:ascii="Times New Roman" w:hAnsi="Times New Roman"/>
      <w:szCs w:val="24"/>
      <w:lang w:eastAsia="fr-CA"/>
    </w:rPr>
  </w:style>
  <w:style w:type="paragraph" w:customStyle="1" w:styleId="subsection">
    <w:name w:val="subsection"/>
    <w:basedOn w:val="Normal"/>
    <w:rsid w:val="005402D0"/>
    <w:pPr>
      <w:spacing w:before="100" w:beforeAutospacing="1" w:after="100" w:afterAutospacing="1"/>
    </w:pPr>
    <w:rPr>
      <w:rFonts w:ascii="Times New Roman" w:hAnsi="Times New Roman"/>
      <w:szCs w:val="24"/>
      <w:lang w:eastAsia="fr-CA"/>
    </w:rPr>
  </w:style>
  <w:style w:type="character" w:styleId="DfinitionHTML">
    <w:name w:val="HTML Definition"/>
    <w:basedOn w:val="Policepardfaut"/>
    <w:uiPriority w:val="99"/>
    <w:unhideWhenUsed/>
    <w:rsid w:val="005402D0"/>
    <w:rPr>
      <w:i/>
      <w:iCs/>
    </w:rPr>
  </w:style>
  <w:style w:type="character" w:customStyle="1" w:styleId="cf01">
    <w:name w:val="cf01"/>
    <w:basedOn w:val="Policepardfaut"/>
    <w:rsid w:val="0056639D"/>
    <w:rPr>
      <w:rFonts w:ascii="Segoe UI" w:hAnsi="Segoe UI" w:cs="Segoe UI" w:hint="default"/>
      <w:color w:val="212529"/>
      <w:sz w:val="18"/>
      <w:szCs w:val="18"/>
    </w:rPr>
  </w:style>
  <w:style w:type="paragraph" w:styleId="TM5">
    <w:name w:val="toc 5"/>
    <w:basedOn w:val="Normal"/>
    <w:next w:val="Normal"/>
    <w:autoRedefine/>
    <w:uiPriority w:val="39"/>
    <w:unhideWhenUsed/>
    <w:rsid w:val="001652CA"/>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8760954A20164A89D63E0412308309" ma:contentTypeVersion="4" ma:contentTypeDescription="Crée un document." ma:contentTypeScope="" ma:versionID="9f8be4542792864c27793559f4b19852">
  <xsd:schema xmlns:xsd="http://www.w3.org/2001/XMLSchema" xmlns:xs="http://www.w3.org/2001/XMLSchema" xmlns:p="http://schemas.microsoft.com/office/2006/metadata/properties" xmlns:ns2="7e5ba8b4-d6db-4eab-9404-f500ee3fa9a8" xmlns:ns3="4dfbed45-abbb-4b63-a31e-d7ffeeefdcae" targetNamespace="http://schemas.microsoft.com/office/2006/metadata/properties" ma:root="true" ma:fieldsID="91b1071c4f7e7e9b1233ca07554f40bc" ns2:_="" ns3:_="">
    <xsd:import namespace="7e5ba8b4-d6db-4eab-9404-f500ee3fa9a8"/>
    <xsd:import namespace="4dfbed45-abbb-4b63-a31e-d7ffeeefdcae"/>
    <xsd:element name="properties">
      <xsd:complexType>
        <xsd:sequence>
          <xsd:element name="documentManagement">
            <xsd:complexType>
              <xsd:all>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a8b4-d6db-4eab-9404-f500ee3fa9a8"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bed45-abbb-4b63-a31e-d7ffeeefdcae"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D3F2B-15EA-492A-8B48-2CF10FE3B1AB}">
  <ds:schemaRefs>
    <ds:schemaRef ds:uri="http://schemas.microsoft.com/sharepoint/v3/contenttype/forms"/>
  </ds:schemaRefs>
</ds:datastoreItem>
</file>

<file path=customXml/itemProps2.xml><?xml version="1.0" encoding="utf-8"?>
<ds:datastoreItem xmlns:ds="http://schemas.openxmlformats.org/officeDocument/2006/customXml" ds:itemID="{9CF80CF0-9AAF-4709-969E-E7A7B3C63761}">
  <ds:schemaRefs>
    <ds:schemaRef ds:uri="http://schemas.openxmlformats.org/officeDocument/2006/bibliography"/>
  </ds:schemaRefs>
</ds:datastoreItem>
</file>

<file path=customXml/itemProps3.xml><?xml version="1.0" encoding="utf-8"?>
<ds:datastoreItem xmlns:ds="http://schemas.openxmlformats.org/officeDocument/2006/customXml" ds:itemID="{0CADCAEC-B705-42CC-AB2C-0C965BA06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a8b4-d6db-4eab-9404-f500ee3fa9a8"/>
    <ds:schemaRef ds:uri="4dfbed45-abbb-4b63-a31e-d7ffeeefd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B1385-B317-4A73-AB5B-447180BDB87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9</Pages>
  <Words>27102</Words>
  <Characters>149061</Characters>
  <Application>Microsoft Office Word</Application>
  <DocSecurity>0</DocSecurity>
  <Lines>1242</Lines>
  <Paragraphs>351</Paragraphs>
  <ScaleCrop>false</ScaleCrop>
  <Company/>
  <LinksUpToDate>false</LinksUpToDate>
  <CharactersWithSpaces>175812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Deschênes, Gabrielle</cp:lastModifiedBy>
  <cp:revision>6</cp:revision>
  <dcterms:created xsi:type="dcterms:W3CDTF">2025-01-21T12:28:00Z</dcterms:created>
  <dcterms:modified xsi:type="dcterms:W3CDTF">2025-01-21T14:47:00Z</dcterms:modified>
</cp:coreProperties>
</file>