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A2BA" w14:textId="1817938F" w:rsidR="00F723F0" w:rsidRPr="00501215" w:rsidRDefault="00CB7A13">
      <w:pPr>
        <w:rPr>
          <w:lang w:val="en-CA"/>
        </w:rPr>
      </w:pPr>
      <w:r w:rsidRPr="0095073A">
        <w:rPr>
          <w:b/>
          <w:bCs/>
          <w:lang w:val="en-CA"/>
        </w:rPr>
        <w:t>English translation of the judgment of the Court by SOQUIJ</w:t>
      </w:r>
    </w:p>
    <w:tbl>
      <w:tblPr>
        <w:tblW w:w="9360" w:type="dxa"/>
        <w:tblLayout w:type="fixed"/>
        <w:tblCellMar>
          <w:left w:w="0" w:type="dxa"/>
          <w:right w:w="0" w:type="dxa"/>
        </w:tblCellMar>
        <w:tblLook w:val="0000" w:firstRow="0" w:lastRow="0" w:firstColumn="0" w:lastColumn="0" w:noHBand="0" w:noVBand="0"/>
      </w:tblPr>
      <w:tblGrid>
        <w:gridCol w:w="1030"/>
        <w:gridCol w:w="590"/>
        <w:gridCol w:w="81"/>
        <w:gridCol w:w="2269"/>
        <w:gridCol w:w="3402"/>
        <w:gridCol w:w="1988"/>
      </w:tblGrid>
      <w:tr w:rsidR="00FD0069" w:rsidRPr="00566EA6" w14:paraId="2E2116B5" w14:textId="77777777" w:rsidTr="008D18FC">
        <w:trPr>
          <w:trHeight w:val="248"/>
        </w:trPr>
        <w:tc>
          <w:tcPr>
            <w:tcW w:w="7372" w:type="dxa"/>
            <w:gridSpan w:val="5"/>
          </w:tcPr>
          <w:p w14:paraId="14DF73FE" w14:textId="69509ADE" w:rsidR="00FD0069" w:rsidRPr="00566EA6" w:rsidRDefault="00FD0069" w:rsidP="00CB7A13">
            <w:pPr>
              <w:pStyle w:val="zSoquijdatRepertorie"/>
              <w:rPr>
                <w:rFonts w:cs="Arial"/>
                <w:highlight w:val="cyan"/>
                <w:lang w:val="en-CA"/>
              </w:rPr>
            </w:pPr>
            <w:bookmarkStart w:id="0" w:name="_Hlk139900131"/>
            <w:r w:rsidRPr="00CB7A13">
              <w:rPr>
                <w:rFonts w:cs="Arial"/>
              </w:rPr>
              <w:t>Proposition</w:t>
            </w:r>
            <w:r w:rsidRPr="00FD0069">
              <w:rPr>
                <w:rFonts w:cs="Arial"/>
                <w:lang w:val="en-CA"/>
              </w:rPr>
              <w:t xml:space="preserve"> de Fuoco</w:t>
            </w:r>
          </w:p>
        </w:tc>
        <w:tc>
          <w:tcPr>
            <w:tcW w:w="1988" w:type="dxa"/>
          </w:tcPr>
          <w:p w14:paraId="5B718C52" w14:textId="11F9F798" w:rsidR="00FD0069" w:rsidRPr="00566EA6" w:rsidRDefault="00FD0069" w:rsidP="00FD0069">
            <w:pPr>
              <w:pStyle w:val="zSoquijdatRefNeutre"/>
              <w:jc w:val="right"/>
              <w:rPr>
                <w:rFonts w:cs="Arial"/>
                <w:highlight w:val="green"/>
                <w:lang w:val="en-CA"/>
              </w:rPr>
            </w:pPr>
            <w:r w:rsidRPr="00483447">
              <w:rPr>
                <w:rFonts w:cs="Arial"/>
              </w:rPr>
              <w:t>2023 QCCA 448</w:t>
            </w:r>
          </w:p>
        </w:tc>
      </w:tr>
      <w:bookmarkEnd w:id="0"/>
      <w:tr w:rsidR="00FD0069" w:rsidRPr="00B35460" w14:paraId="6112EC15" w14:textId="77777777" w:rsidTr="008D18FC">
        <w:trPr>
          <w:trHeight w:val="247"/>
        </w:trPr>
        <w:tc>
          <w:tcPr>
            <w:tcW w:w="9360" w:type="dxa"/>
            <w:gridSpan w:val="6"/>
          </w:tcPr>
          <w:p w14:paraId="736ABE49" w14:textId="765CE986" w:rsidR="00FD0069" w:rsidRPr="00501215" w:rsidRDefault="00FD0069" w:rsidP="00FD0069">
            <w:pPr>
              <w:pStyle w:val="zSoquijlblCour"/>
              <w:rPr>
                <w:lang w:val="en-CA"/>
              </w:rPr>
            </w:pPr>
            <w:r w:rsidRPr="00501215">
              <w:rPr>
                <w:lang w:val="en-CA"/>
              </w:rPr>
              <w:t>COURT OF APPEAL</w:t>
            </w:r>
          </w:p>
        </w:tc>
      </w:tr>
      <w:tr w:rsidR="00FD0069" w:rsidRPr="00B35460" w14:paraId="13D9FC87" w14:textId="77777777" w:rsidTr="008D18FC">
        <w:trPr>
          <w:trHeight w:val="540"/>
        </w:trPr>
        <w:tc>
          <w:tcPr>
            <w:tcW w:w="9360" w:type="dxa"/>
            <w:gridSpan w:val="6"/>
          </w:tcPr>
          <w:p w14:paraId="2DF7BB52" w14:textId="77777777" w:rsidR="00FD0069" w:rsidRPr="00B35460" w:rsidRDefault="00FD0069" w:rsidP="00FD0069">
            <w:pPr>
              <w:pStyle w:val="zSoquijdatDivision"/>
              <w:rPr>
                <w:lang w:val="en-CA"/>
              </w:rPr>
            </w:pPr>
          </w:p>
        </w:tc>
      </w:tr>
      <w:tr w:rsidR="00FD0069" w14:paraId="63C90489" w14:textId="77777777" w:rsidTr="008D18FC">
        <w:tc>
          <w:tcPr>
            <w:tcW w:w="9360" w:type="dxa"/>
            <w:gridSpan w:val="6"/>
          </w:tcPr>
          <w:p w14:paraId="2CB98250" w14:textId="7638DA68" w:rsidR="00FD0069" w:rsidRPr="00501215" w:rsidRDefault="00FD0069" w:rsidP="00FD0069">
            <w:pPr>
              <w:pStyle w:val="zSoquijlblPays"/>
            </w:pPr>
            <w:r w:rsidRPr="00501215">
              <w:t>CANADA</w:t>
            </w:r>
          </w:p>
        </w:tc>
      </w:tr>
      <w:tr w:rsidR="00FD0069" w14:paraId="2C241D49" w14:textId="77777777" w:rsidTr="008D18FC">
        <w:tc>
          <w:tcPr>
            <w:tcW w:w="9360" w:type="dxa"/>
            <w:gridSpan w:val="6"/>
          </w:tcPr>
          <w:p w14:paraId="31BFF4EE" w14:textId="23310CEA" w:rsidR="00FD0069" w:rsidRPr="00501215" w:rsidRDefault="00FD0069" w:rsidP="00FD0069">
            <w:pPr>
              <w:pStyle w:val="zSoquijlblProvince"/>
            </w:pPr>
            <w:r w:rsidRPr="00501215">
              <w:t>PROVINCE OF QUEBEC</w:t>
            </w:r>
          </w:p>
        </w:tc>
      </w:tr>
      <w:tr w:rsidR="00FD0069" w14:paraId="4FD490EF" w14:textId="77777777" w:rsidTr="00501215">
        <w:tc>
          <w:tcPr>
            <w:tcW w:w="1701" w:type="dxa"/>
            <w:gridSpan w:val="3"/>
          </w:tcPr>
          <w:p w14:paraId="008456A9" w14:textId="62625381" w:rsidR="00FD0069" w:rsidRPr="00501215" w:rsidRDefault="00FD0069" w:rsidP="00FD0069">
            <w:pPr>
              <w:pStyle w:val="zSoquijlblGreffe"/>
            </w:pPr>
            <w:r w:rsidRPr="00501215">
              <w:t>REGISTRY OF</w:t>
            </w:r>
          </w:p>
          <w:p w14:paraId="6FFD3C67" w14:textId="77777777" w:rsidR="00FD0069" w:rsidRDefault="00FD0069" w:rsidP="00FD0069">
            <w:pPr>
              <w:pStyle w:val="zSoquijlblGreffe"/>
            </w:pPr>
          </w:p>
        </w:tc>
        <w:tc>
          <w:tcPr>
            <w:tcW w:w="7659" w:type="dxa"/>
            <w:gridSpan w:val="3"/>
          </w:tcPr>
          <w:p w14:paraId="61031F4C" w14:textId="02BBCE52" w:rsidR="00FD0069" w:rsidRPr="00501215" w:rsidRDefault="00FD0069" w:rsidP="00FD0069">
            <w:pPr>
              <w:pStyle w:val="zSoquijdatGreffe"/>
            </w:pPr>
            <w:r w:rsidRPr="00501215">
              <w:t>MONTREAL</w:t>
            </w:r>
          </w:p>
        </w:tc>
      </w:tr>
      <w:tr w:rsidR="00FD0069" w14:paraId="020B8275" w14:textId="77777777" w:rsidTr="008D18FC">
        <w:tc>
          <w:tcPr>
            <w:tcW w:w="1030" w:type="dxa"/>
          </w:tcPr>
          <w:p w14:paraId="28C8F100" w14:textId="28E196C2" w:rsidR="00FD0069" w:rsidRPr="00501215" w:rsidRDefault="00FD0069" w:rsidP="00FD0069">
            <w:pPr>
              <w:pStyle w:val="zSoquijlblNoDossier"/>
            </w:pPr>
            <w:r w:rsidRPr="00501215">
              <w:t>No.:</w:t>
            </w:r>
          </w:p>
        </w:tc>
        <w:tc>
          <w:tcPr>
            <w:tcW w:w="8330" w:type="dxa"/>
            <w:gridSpan w:val="5"/>
          </w:tcPr>
          <w:p w14:paraId="3FD24E1D" w14:textId="3C2AF14B" w:rsidR="00FD0069" w:rsidRDefault="00FD0069" w:rsidP="00FD0069">
            <w:pPr>
              <w:pStyle w:val="zSoquijdatNoDossier"/>
            </w:pPr>
            <w:r>
              <w:t>500-09-029475-217</w:t>
            </w:r>
          </w:p>
        </w:tc>
      </w:tr>
      <w:tr w:rsidR="00FD0069" w14:paraId="0C76D2E4" w14:textId="77777777" w:rsidTr="008D18FC">
        <w:tc>
          <w:tcPr>
            <w:tcW w:w="9360" w:type="dxa"/>
            <w:gridSpan w:val="6"/>
          </w:tcPr>
          <w:p w14:paraId="0E9886C4" w14:textId="51AF6E24" w:rsidR="00FD0069" w:rsidRDefault="00FD0069" w:rsidP="00FD0069">
            <w:pPr>
              <w:pStyle w:val="zSoquijdatNoDossierAnt"/>
            </w:pPr>
            <w:r>
              <w:t>(700-11-013986-130)</w:t>
            </w:r>
          </w:p>
        </w:tc>
      </w:tr>
      <w:tr w:rsidR="00FD0069" w14:paraId="236D4739" w14:textId="77777777" w:rsidTr="008D18FC">
        <w:tc>
          <w:tcPr>
            <w:tcW w:w="9360" w:type="dxa"/>
            <w:gridSpan w:val="6"/>
          </w:tcPr>
          <w:p w14:paraId="45853C76" w14:textId="77777777" w:rsidR="00FD0069" w:rsidRDefault="00FD0069" w:rsidP="00FD0069"/>
        </w:tc>
      </w:tr>
      <w:tr w:rsidR="00FD0069" w14:paraId="6D03E6A3" w14:textId="77777777" w:rsidTr="008D18FC">
        <w:tc>
          <w:tcPr>
            <w:tcW w:w="1030" w:type="dxa"/>
          </w:tcPr>
          <w:p w14:paraId="32520CB5" w14:textId="60621CBF" w:rsidR="00FD0069" w:rsidRPr="00501215" w:rsidRDefault="00FD0069" w:rsidP="00FD0069">
            <w:pPr>
              <w:pStyle w:val="zSoquijlblDateJugement"/>
            </w:pPr>
            <w:r w:rsidRPr="00501215">
              <w:t>DATE:</w:t>
            </w:r>
          </w:p>
        </w:tc>
        <w:tc>
          <w:tcPr>
            <w:tcW w:w="8330" w:type="dxa"/>
            <w:gridSpan w:val="5"/>
          </w:tcPr>
          <w:p w14:paraId="10BE3BAC" w14:textId="13FDCE7A" w:rsidR="00FD0069" w:rsidRPr="00501215" w:rsidRDefault="00FD0069" w:rsidP="00FD0069">
            <w:pPr>
              <w:pStyle w:val="zSoquijdatDateJugement"/>
            </w:pPr>
            <w:r>
              <w:t xml:space="preserve"> </w:t>
            </w:r>
            <w:r w:rsidRPr="00501215">
              <w:t>March 31, 2023</w:t>
            </w:r>
          </w:p>
        </w:tc>
      </w:tr>
      <w:tr w:rsidR="00FD0069" w14:paraId="13E7417D" w14:textId="77777777" w:rsidTr="008D18FC">
        <w:tc>
          <w:tcPr>
            <w:tcW w:w="9360" w:type="dxa"/>
            <w:gridSpan w:val="6"/>
            <w:tcBorders>
              <w:bottom w:val="single" w:sz="8" w:space="0" w:color="auto"/>
            </w:tcBorders>
          </w:tcPr>
          <w:p w14:paraId="49B3DB0C" w14:textId="77777777" w:rsidR="00FD0069" w:rsidRDefault="00FD0069" w:rsidP="00FD0069"/>
        </w:tc>
      </w:tr>
      <w:tr w:rsidR="00FD0069" w14:paraId="7DCCCEFB" w14:textId="77777777" w:rsidTr="008D18FC">
        <w:tc>
          <w:tcPr>
            <w:tcW w:w="9360" w:type="dxa"/>
            <w:gridSpan w:val="6"/>
            <w:tcBorders>
              <w:top w:val="single" w:sz="8" w:space="0" w:color="auto"/>
            </w:tcBorders>
          </w:tcPr>
          <w:p w14:paraId="29C821FE" w14:textId="77777777" w:rsidR="00FD0069" w:rsidRDefault="00FD0069" w:rsidP="00FD0069"/>
        </w:tc>
      </w:tr>
      <w:tr w:rsidR="00FD0069" w:rsidRPr="00970795" w14:paraId="4E947858" w14:textId="77777777" w:rsidTr="008D18FC">
        <w:tc>
          <w:tcPr>
            <w:tcW w:w="1620" w:type="dxa"/>
            <w:gridSpan w:val="2"/>
          </w:tcPr>
          <w:p w14:paraId="352D7EDA" w14:textId="0E0574C7" w:rsidR="00FD0069" w:rsidRPr="00501215" w:rsidRDefault="00FD0069" w:rsidP="00FD0069">
            <w:pPr>
              <w:pStyle w:val="zSoquijlblJuge"/>
              <w:ind w:right="-142"/>
            </w:pPr>
            <w:r w:rsidRPr="00501215">
              <w:t>CORAM:</w:t>
            </w:r>
          </w:p>
        </w:tc>
        <w:tc>
          <w:tcPr>
            <w:tcW w:w="2350" w:type="dxa"/>
            <w:gridSpan w:val="2"/>
          </w:tcPr>
          <w:p w14:paraId="2D683ADA" w14:textId="603525FE" w:rsidR="00FD0069" w:rsidRPr="00501215" w:rsidRDefault="00FD0069" w:rsidP="00FD0069">
            <w:pPr>
              <w:pStyle w:val="zSoquijdatQteJuge"/>
            </w:pPr>
            <w:r w:rsidRPr="00501215">
              <w:t>THE HONOURABLE</w:t>
            </w:r>
          </w:p>
        </w:tc>
        <w:tc>
          <w:tcPr>
            <w:tcW w:w="5390" w:type="dxa"/>
            <w:gridSpan w:val="2"/>
          </w:tcPr>
          <w:p w14:paraId="12A685E1" w14:textId="6F486E53" w:rsidR="00FD0069" w:rsidRPr="00501215" w:rsidRDefault="00FD0069" w:rsidP="00FD0069">
            <w:pPr>
              <w:pStyle w:val="zSoquijdatJuge"/>
            </w:pPr>
            <w:r w:rsidRPr="00501215">
              <w:t>JULIE DUTIL, J.A.</w:t>
            </w:r>
          </w:p>
          <w:p w14:paraId="196AC38F" w14:textId="6F751D54" w:rsidR="00FD0069" w:rsidRPr="00501215" w:rsidRDefault="00FD0069" w:rsidP="00FD0069">
            <w:pPr>
              <w:pStyle w:val="zSoquijdatJuge"/>
            </w:pPr>
            <w:r w:rsidRPr="00501215">
              <w:t>ROBERT M. MAINVILLE, J.A.</w:t>
            </w:r>
          </w:p>
          <w:p w14:paraId="2FDD0EFB" w14:textId="05BD317B" w:rsidR="00FD0069" w:rsidRPr="00501215" w:rsidRDefault="00FD0069" w:rsidP="00FD0069">
            <w:pPr>
              <w:pStyle w:val="zSoquijdatJuge"/>
              <w:rPr>
                <w:lang w:val="de-DE"/>
              </w:rPr>
            </w:pPr>
            <w:bookmarkStart w:id="1" w:name="_Hlt520513784"/>
            <w:bookmarkEnd w:id="1"/>
            <w:r w:rsidRPr="00501215">
              <w:rPr>
                <w:lang w:val="en-CA"/>
              </w:rPr>
              <w:t>STEPHEN W. HAMILTON, J.A.</w:t>
            </w:r>
          </w:p>
        </w:tc>
      </w:tr>
      <w:tr w:rsidR="00FD0069" w:rsidRPr="00970795" w14:paraId="26248AC3" w14:textId="77777777" w:rsidTr="008D18FC">
        <w:tc>
          <w:tcPr>
            <w:tcW w:w="9360" w:type="dxa"/>
            <w:gridSpan w:val="6"/>
            <w:tcBorders>
              <w:bottom w:val="single" w:sz="8" w:space="0" w:color="auto"/>
            </w:tcBorders>
          </w:tcPr>
          <w:p w14:paraId="30D9948C" w14:textId="77777777" w:rsidR="00FD0069" w:rsidRDefault="00FD0069" w:rsidP="00FD0069">
            <w:pPr>
              <w:rPr>
                <w:lang w:val="de-DE"/>
              </w:rPr>
            </w:pPr>
          </w:p>
        </w:tc>
      </w:tr>
      <w:tr w:rsidR="00FD0069" w:rsidRPr="00970795" w14:paraId="1AB0A8C2" w14:textId="77777777" w:rsidTr="008D18FC">
        <w:tc>
          <w:tcPr>
            <w:tcW w:w="9360" w:type="dxa"/>
            <w:gridSpan w:val="6"/>
          </w:tcPr>
          <w:p w14:paraId="62EC34C1" w14:textId="77777777" w:rsidR="00FD0069" w:rsidRDefault="00FD0069" w:rsidP="00FD0069">
            <w:pPr>
              <w:pStyle w:val="zSoquijlblTitrePartie"/>
              <w:rPr>
                <w:lang w:val="de-DE"/>
              </w:rPr>
            </w:pPr>
          </w:p>
        </w:tc>
      </w:tr>
      <w:tr w:rsidR="00FD0069" w:rsidRPr="00970795" w14:paraId="662363F8" w14:textId="77777777" w:rsidTr="008D18FC">
        <w:tc>
          <w:tcPr>
            <w:tcW w:w="9360" w:type="dxa"/>
            <w:gridSpan w:val="6"/>
          </w:tcPr>
          <w:p w14:paraId="79484F9E" w14:textId="20FBD10A" w:rsidR="00FD0069" w:rsidRPr="00501215" w:rsidRDefault="00FD0069" w:rsidP="00FD0069">
            <w:pPr>
              <w:jc w:val="both"/>
              <w:rPr>
                <w:b/>
                <w:bCs/>
                <w:lang w:val="de-DE"/>
              </w:rPr>
            </w:pPr>
            <w:r w:rsidRPr="00501215">
              <w:rPr>
                <w:b/>
                <w:bCs/>
                <w:lang w:val="de-DE"/>
              </w:rPr>
              <w:t xml:space="preserve">IN THE MATTER OF THE PROPOSAL OF DINO FUOCO AND SUZANNE CHARETTE: </w:t>
            </w:r>
          </w:p>
        </w:tc>
      </w:tr>
      <w:tr w:rsidR="00FD0069" w:rsidRPr="00970795" w14:paraId="63AE87E1" w14:textId="77777777" w:rsidTr="008D18FC">
        <w:tc>
          <w:tcPr>
            <w:tcW w:w="9360" w:type="dxa"/>
            <w:gridSpan w:val="6"/>
          </w:tcPr>
          <w:p w14:paraId="1D33B4DF" w14:textId="77777777" w:rsidR="00FD0069" w:rsidRDefault="00FD0069" w:rsidP="00FD0069">
            <w:pPr>
              <w:pStyle w:val="zSoquijlblTitrePartie"/>
              <w:rPr>
                <w:lang w:val="de-DE"/>
              </w:rPr>
            </w:pPr>
          </w:p>
        </w:tc>
      </w:tr>
      <w:tr w:rsidR="00FD0069" w14:paraId="64A88333" w14:textId="77777777" w:rsidTr="008D18FC">
        <w:tc>
          <w:tcPr>
            <w:tcW w:w="9360" w:type="dxa"/>
            <w:gridSpan w:val="6"/>
          </w:tcPr>
          <w:p w14:paraId="0646C963" w14:textId="4D646F14" w:rsidR="00FD0069" w:rsidRPr="00501215" w:rsidRDefault="00FD0069" w:rsidP="00FD0069">
            <w:pPr>
              <w:pStyle w:val="zSoquijdatNomPartieDem"/>
              <w:rPr>
                <w:lang w:val="de-DE"/>
              </w:rPr>
            </w:pPr>
            <w:r w:rsidRPr="00501215">
              <w:t>DINO FUOCO</w:t>
            </w:r>
          </w:p>
        </w:tc>
      </w:tr>
      <w:tr w:rsidR="00FD0069" w14:paraId="1A187596" w14:textId="77777777" w:rsidTr="008D18FC">
        <w:tc>
          <w:tcPr>
            <w:tcW w:w="9360" w:type="dxa"/>
            <w:gridSpan w:val="6"/>
          </w:tcPr>
          <w:p w14:paraId="2B132FAB" w14:textId="05C84E9F" w:rsidR="00FD0069" w:rsidRPr="00501215" w:rsidRDefault="00FD0069" w:rsidP="00FD0069">
            <w:pPr>
              <w:pStyle w:val="zSoquijdatNomPartieDem"/>
            </w:pPr>
            <w:r w:rsidRPr="00501215">
              <w:t>SUZANNE CHARETTE</w:t>
            </w:r>
          </w:p>
        </w:tc>
      </w:tr>
      <w:tr w:rsidR="00FD0069" w14:paraId="2D62C500" w14:textId="77777777" w:rsidTr="008D18FC">
        <w:tc>
          <w:tcPr>
            <w:tcW w:w="9360" w:type="dxa"/>
            <w:gridSpan w:val="6"/>
          </w:tcPr>
          <w:p w14:paraId="2FBE2A1F" w14:textId="27BB505E" w:rsidR="00FD0069" w:rsidRPr="00501215" w:rsidRDefault="00FD0069" w:rsidP="00FD0069">
            <w:pPr>
              <w:pStyle w:val="zSoquijdatQtePartieDem"/>
              <w:rPr>
                <w:lang w:val="de-DE"/>
              </w:rPr>
            </w:pPr>
            <w:r w:rsidRPr="00501215">
              <w:t>APPELLANTS – Debtors</w:t>
            </w:r>
            <w:r w:rsidR="00E17B6B">
              <w:t>-</w:t>
            </w:r>
            <w:r w:rsidRPr="00501215">
              <w:t xml:space="preserve">Applicants </w:t>
            </w:r>
          </w:p>
        </w:tc>
      </w:tr>
      <w:tr w:rsidR="00FD0069" w14:paraId="5BA1DE9A" w14:textId="77777777" w:rsidTr="008D18FC">
        <w:tc>
          <w:tcPr>
            <w:tcW w:w="9360" w:type="dxa"/>
            <w:gridSpan w:val="6"/>
          </w:tcPr>
          <w:p w14:paraId="412C4D64" w14:textId="0F5E9225" w:rsidR="00FD0069" w:rsidRPr="00501215" w:rsidRDefault="00FD0069" w:rsidP="00FD0069">
            <w:pPr>
              <w:pStyle w:val="zSoquijlblLienParties"/>
              <w:rPr>
                <w:lang w:val="en-CA"/>
              </w:rPr>
            </w:pPr>
            <w:r w:rsidRPr="00501215">
              <w:rPr>
                <w:lang w:val="en-CA"/>
              </w:rPr>
              <w:t>v.</w:t>
            </w:r>
          </w:p>
        </w:tc>
      </w:tr>
      <w:tr w:rsidR="00FD0069" w14:paraId="62912A1C" w14:textId="77777777" w:rsidTr="008D18FC">
        <w:tc>
          <w:tcPr>
            <w:tcW w:w="9360" w:type="dxa"/>
            <w:gridSpan w:val="6"/>
          </w:tcPr>
          <w:p w14:paraId="6BE59BA6" w14:textId="77777777" w:rsidR="00FD0069" w:rsidRPr="000E2510" w:rsidRDefault="00FD0069" w:rsidP="00FD0069">
            <w:pPr>
              <w:rPr>
                <w:lang w:val="en-CA"/>
              </w:rPr>
            </w:pPr>
          </w:p>
        </w:tc>
      </w:tr>
      <w:tr w:rsidR="00FD0069" w14:paraId="6218EBAF" w14:textId="77777777" w:rsidTr="008D18FC">
        <w:tc>
          <w:tcPr>
            <w:tcW w:w="9360" w:type="dxa"/>
            <w:gridSpan w:val="6"/>
          </w:tcPr>
          <w:p w14:paraId="76096948" w14:textId="7A6AAA5F" w:rsidR="00FD0069" w:rsidRPr="00501215" w:rsidRDefault="00FD0069" w:rsidP="00FD0069">
            <w:pPr>
              <w:pStyle w:val="zSoquijdatNomPartieDef"/>
              <w:rPr>
                <w:lang w:val="en-CA"/>
              </w:rPr>
            </w:pPr>
            <w:r w:rsidRPr="00501215">
              <w:t>JACQUES MACCOMMEAU</w:t>
            </w:r>
          </w:p>
        </w:tc>
      </w:tr>
      <w:tr w:rsidR="00FD0069" w14:paraId="365108EF" w14:textId="77777777" w:rsidTr="008D18FC">
        <w:tc>
          <w:tcPr>
            <w:tcW w:w="9360" w:type="dxa"/>
            <w:gridSpan w:val="6"/>
          </w:tcPr>
          <w:p w14:paraId="7824C972" w14:textId="3175ECD1" w:rsidR="00FD0069" w:rsidRPr="00501215" w:rsidRDefault="00FD0069" w:rsidP="00FD0069">
            <w:pPr>
              <w:pStyle w:val="zSoquijdatNomPartieDef"/>
            </w:pPr>
            <w:r w:rsidRPr="00501215">
              <w:t>LINDA BOISCLAIR</w:t>
            </w:r>
          </w:p>
        </w:tc>
      </w:tr>
      <w:tr w:rsidR="00FD0069" w14:paraId="0A4EE336" w14:textId="77777777" w:rsidTr="008D18FC">
        <w:tc>
          <w:tcPr>
            <w:tcW w:w="9360" w:type="dxa"/>
            <w:gridSpan w:val="6"/>
          </w:tcPr>
          <w:p w14:paraId="71169494" w14:textId="6DA0E39C" w:rsidR="00FD0069" w:rsidRPr="00501215" w:rsidRDefault="00FD0069" w:rsidP="00FD0069">
            <w:pPr>
              <w:pStyle w:val="zSoquijdatQtePartieDef"/>
              <w:rPr>
                <w:lang w:val="en-CA"/>
              </w:rPr>
            </w:pPr>
            <w:r w:rsidRPr="00501215">
              <w:t xml:space="preserve">RESPONDENTS – </w:t>
            </w:r>
            <w:r w:rsidR="00E17B6B">
              <w:t>R</w:t>
            </w:r>
            <w:r w:rsidRPr="00501215">
              <w:t>espondents</w:t>
            </w:r>
          </w:p>
        </w:tc>
      </w:tr>
      <w:tr w:rsidR="00FD0069" w14:paraId="3A52E3E0" w14:textId="77777777" w:rsidTr="008D18FC">
        <w:tc>
          <w:tcPr>
            <w:tcW w:w="9360" w:type="dxa"/>
            <w:gridSpan w:val="6"/>
          </w:tcPr>
          <w:p w14:paraId="0F6F4265" w14:textId="77777777" w:rsidR="00FD0069" w:rsidRPr="000E2510" w:rsidRDefault="00FD0069" w:rsidP="00FD0069">
            <w:pPr>
              <w:rPr>
                <w:lang w:val="en-CA"/>
              </w:rPr>
            </w:pPr>
          </w:p>
        </w:tc>
      </w:tr>
      <w:tr w:rsidR="00FD0069" w14:paraId="0704434A" w14:textId="77777777" w:rsidTr="008D18FC">
        <w:tc>
          <w:tcPr>
            <w:tcW w:w="9360" w:type="dxa"/>
            <w:gridSpan w:val="6"/>
          </w:tcPr>
          <w:p w14:paraId="0A1C9EC9" w14:textId="165C9F97" w:rsidR="00FD0069" w:rsidRPr="00501215" w:rsidRDefault="00E17B6B" w:rsidP="00FD0069">
            <w:pPr>
              <w:rPr>
                <w:lang w:val="en-CA"/>
              </w:rPr>
            </w:pPr>
            <w:r>
              <w:rPr>
                <w:lang w:val="en-CA"/>
              </w:rPr>
              <w:t>a</w:t>
            </w:r>
            <w:r w:rsidR="00FD0069" w:rsidRPr="00501215">
              <w:rPr>
                <w:lang w:val="en-CA"/>
              </w:rPr>
              <w:t>nd</w:t>
            </w:r>
          </w:p>
        </w:tc>
      </w:tr>
      <w:tr w:rsidR="00FD0069" w14:paraId="4C688FC0" w14:textId="77777777" w:rsidTr="008D18FC">
        <w:tc>
          <w:tcPr>
            <w:tcW w:w="9360" w:type="dxa"/>
            <w:gridSpan w:val="6"/>
          </w:tcPr>
          <w:p w14:paraId="66224972" w14:textId="1A45C1DF" w:rsidR="00FD0069" w:rsidRPr="00501215" w:rsidRDefault="00FD0069" w:rsidP="00FD0069">
            <w:pPr>
              <w:pStyle w:val="zSoquijdatNomPartieDef"/>
              <w:rPr>
                <w:lang w:val="en-CA"/>
              </w:rPr>
            </w:pPr>
            <w:r w:rsidRPr="00501215">
              <w:rPr>
                <w:lang w:val="en-CA"/>
              </w:rPr>
              <w:t>RAYMOND CHABOT INC.</w:t>
            </w:r>
          </w:p>
        </w:tc>
      </w:tr>
      <w:tr w:rsidR="00FD0069" w14:paraId="78134A3A" w14:textId="77777777" w:rsidTr="008D18FC">
        <w:tc>
          <w:tcPr>
            <w:tcW w:w="9360" w:type="dxa"/>
            <w:gridSpan w:val="6"/>
          </w:tcPr>
          <w:p w14:paraId="5C27A5DF" w14:textId="71B0066D" w:rsidR="00FD0069" w:rsidRPr="00501215" w:rsidRDefault="00FD0069" w:rsidP="00FD0069">
            <w:pPr>
              <w:pStyle w:val="zSoquijdatQtePartieDef"/>
            </w:pPr>
            <w:r w:rsidRPr="00501215">
              <w:t>IMPLEADED PARTY – Trustee</w:t>
            </w:r>
          </w:p>
        </w:tc>
      </w:tr>
      <w:tr w:rsidR="00FD0069" w14:paraId="100EA304" w14:textId="77777777" w:rsidTr="008D18FC">
        <w:tc>
          <w:tcPr>
            <w:tcW w:w="9360" w:type="dxa"/>
            <w:gridSpan w:val="6"/>
          </w:tcPr>
          <w:p w14:paraId="6EBE27ED" w14:textId="77777777" w:rsidR="00FD0069" w:rsidRPr="00CB3EE3" w:rsidRDefault="00FD0069" w:rsidP="00FD0069"/>
        </w:tc>
      </w:tr>
      <w:tr w:rsidR="00FD0069" w14:paraId="35F586E2" w14:textId="77777777" w:rsidTr="008D18FC">
        <w:tc>
          <w:tcPr>
            <w:tcW w:w="9360" w:type="dxa"/>
            <w:gridSpan w:val="6"/>
            <w:tcBorders>
              <w:top w:val="single" w:sz="8" w:space="0" w:color="auto"/>
            </w:tcBorders>
          </w:tcPr>
          <w:p w14:paraId="18FCD148" w14:textId="77777777" w:rsidR="00FD0069" w:rsidRPr="00CB3EE3" w:rsidRDefault="00FD0069" w:rsidP="00FD0069"/>
        </w:tc>
      </w:tr>
      <w:tr w:rsidR="00FD0069" w14:paraId="01CED0DA" w14:textId="77777777" w:rsidTr="000E7203">
        <w:tc>
          <w:tcPr>
            <w:tcW w:w="9360" w:type="dxa"/>
            <w:gridSpan w:val="6"/>
            <w:shd w:val="clear" w:color="auto" w:fill="auto"/>
          </w:tcPr>
          <w:p w14:paraId="274449C5" w14:textId="7EAD086E" w:rsidR="00FD0069" w:rsidRPr="00501215" w:rsidRDefault="00FD0069" w:rsidP="00FD0069">
            <w:pPr>
              <w:pStyle w:val="zSoquijlblTypeDocument"/>
            </w:pPr>
            <w:r w:rsidRPr="00501215">
              <w:t>JUDGMENT</w:t>
            </w:r>
          </w:p>
        </w:tc>
      </w:tr>
      <w:tr w:rsidR="00FD0069" w14:paraId="03B4B513" w14:textId="77777777" w:rsidTr="008D18FC">
        <w:tc>
          <w:tcPr>
            <w:tcW w:w="9360" w:type="dxa"/>
            <w:gridSpan w:val="6"/>
            <w:tcBorders>
              <w:bottom w:val="single" w:sz="8" w:space="0" w:color="auto"/>
            </w:tcBorders>
          </w:tcPr>
          <w:p w14:paraId="762EFD34" w14:textId="77777777" w:rsidR="00FD0069" w:rsidRDefault="00FD0069" w:rsidP="00FD0069"/>
        </w:tc>
      </w:tr>
      <w:tr w:rsidR="00FD0069" w14:paraId="1A9C6477" w14:textId="77777777" w:rsidTr="008D18FC">
        <w:tc>
          <w:tcPr>
            <w:tcW w:w="9360" w:type="dxa"/>
            <w:gridSpan w:val="6"/>
            <w:tcBorders>
              <w:top w:val="single" w:sz="8" w:space="0" w:color="auto"/>
            </w:tcBorders>
          </w:tcPr>
          <w:p w14:paraId="469343CA" w14:textId="77777777" w:rsidR="00FD0069" w:rsidRDefault="00FD0069" w:rsidP="00FD0069"/>
        </w:tc>
      </w:tr>
    </w:tbl>
    <w:p w14:paraId="240AC1EE" w14:textId="0AE6DB8A" w:rsidR="006D500D" w:rsidRPr="00B35460" w:rsidRDefault="00B35460" w:rsidP="00120640">
      <w:pPr>
        <w:pStyle w:val="Paragraphe"/>
        <w:spacing w:line="280" w:lineRule="exact"/>
        <w:rPr>
          <w:lang w:val="en-CA"/>
        </w:rPr>
      </w:pPr>
      <w:bookmarkStart w:id="2" w:name="Arret"/>
      <w:r w:rsidRPr="00B35460">
        <w:rPr>
          <w:lang w:val="en-CA"/>
        </w:rPr>
        <w:t xml:space="preserve">The </w:t>
      </w:r>
      <w:r w:rsidR="0055589F">
        <w:rPr>
          <w:lang w:val="en-CA"/>
        </w:rPr>
        <w:t>A</w:t>
      </w:r>
      <w:r w:rsidRPr="00B35460">
        <w:rPr>
          <w:lang w:val="en-CA"/>
        </w:rPr>
        <w:t xml:space="preserve">ppellants appeal from a judgment rendered April 15, 2021, by </w:t>
      </w:r>
      <w:r w:rsidR="00501215" w:rsidRPr="00B35460">
        <w:rPr>
          <w:lang w:val="en-CA"/>
        </w:rPr>
        <w:t>the</w:t>
      </w:r>
      <w:r w:rsidRPr="00B35460">
        <w:rPr>
          <w:lang w:val="en-CA"/>
        </w:rPr>
        <w:t xml:space="preserve"> Superior Court (the Honourable Élise </w:t>
      </w:r>
      <w:r w:rsidR="00501215" w:rsidRPr="00B35460">
        <w:rPr>
          <w:lang w:val="en-CA"/>
        </w:rPr>
        <w:t>Poisson</w:t>
      </w:r>
      <w:r w:rsidRPr="00B35460">
        <w:rPr>
          <w:lang w:val="en-CA"/>
        </w:rPr>
        <w:t xml:space="preserve">), District of Terrebonne, dismissing the </w:t>
      </w:r>
      <w:r w:rsidR="0055589F">
        <w:rPr>
          <w:lang w:val="en-CA"/>
        </w:rPr>
        <w:t>Appellant</w:t>
      </w:r>
      <w:r w:rsidRPr="00B35460">
        <w:rPr>
          <w:lang w:val="en-CA"/>
        </w:rPr>
        <w:t>s' application for a declaratory judgment, with costs of $600.</w:t>
      </w:r>
    </w:p>
    <w:p w14:paraId="77955CEC" w14:textId="20D47C7E" w:rsidR="00CB3EE3" w:rsidRPr="00501215" w:rsidRDefault="00B35460" w:rsidP="00120640">
      <w:pPr>
        <w:pStyle w:val="Paragraphe"/>
        <w:spacing w:line="280" w:lineRule="exact"/>
        <w:rPr>
          <w:lang w:val="en-CA"/>
        </w:rPr>
      </w:pPr>
      <w:r w:rsidRPr="00501215">
        <w:rPr>
          <w:lang w:val="en-CA"/>
        </w:rPr>
        <w:t>For the reasons of Dutil</w:t>
      </w:r>
      <w:r w:rsidR="00776D97">
        <w:rPr>
          <w:lang w:val="en-CA"/>
        </w:rPr>
        <w:t>,</w:t>
      </w:r>
      <w:r w:rsidRPr="00501215">
        <w:rPr>
          <w:lang w:val="en-CA"/>
        </w:rPr>
        <w:t xml:space="preserve"> J.A., Mainville</w:t>
      </w:r>
      <w:r w:rsidR="00776D97">
        <w:rPr>
          <w:lang w:val="en-CA"/>
        </w:rPr>
        <w:t>,</w:t>
      </w:r>
      <w:r w:rsidRPr="00501215">
        <w:rPr>
          <w:lang w:val="en-CA"/>
        </w:rPr>
        <w:t xml:space="preserve"> J.A </w:t>
      </w:r>
      <w:r w:rsidR="003D5E71">
        <w:rPr>
          <w:lang w:val="en-CA"/>
        </w:rPr>
        <w:t>concurring</w:t>
      </w:r>
      <w:r w:rsidRPr="00501215">
        <w:rPr>
          <w:lang w:val="en-CA"/>
        </w:rPr>
        <w:t xml:space="preserve">, </w:t>
      </w:r>
      <w:r w:rsidRPr="00501215">
        <w:rPr>
          <w:b/>
          <w:lang w:val="en-CA"/>
        </w:rPr>
        <w:t>THE COURT</w:t>
      </w:r>
      <w:r w:rsidRPr="00501215">
        <w:rPr>
          <w:lang w:val="en-CA"/>
        </w:rPr>
        <w:t>:</w:t>
      </w:r>
      <w:r w:rsidR="00B363F2" w:rsidRPr="00501215">
        <w:rPr>
          <w:lang w:val="en-CA"/>
        </w:rPr>
        <w:t xml:space="preserve"> </w:t>
      </w:r>
    </w:p>
    <w:p w14:paraId="06B4E5ED" w14:textId="6B4CB525" w:rsidR="00CB3EE3" w:rsidRPr="00501215" w:rsidRDefault="00B35460" w:rsidP="00120640">
      <w:pPr>
        <w:pStyle w:val="Paragraphe"/>
        <w:spacing w:line="280" w:lineRule="exact"/>
        <w:rPr>
          <w:lang w:val="en-CA"/>
        </w:rPr>
      </w:pPr>
      <w:r w:rsidRPr="00501215">
        <w:rPr>
          <w:b/>
          <w:bCs/>
          <w:lang w:val="en-CA"/>
        </w:rPr>
        <w:lastRenderedPageBreak/>
        <w:t xml:space="preserve">DISMISSES </w:t>
      </w:r>
      <w:r w:rsidRPr="00501215">
        <w:rPr>
          <w:lang w:val="en-CA"/>
        </w:rPr>
        <w:t>the appeal, with legal costs fixed at the lump sum of $3,000.</w:t>
      </w:r>
    </w:p>
    <w:p w14:paraId="1E4E133F" w14:textId="6632090B" w:rsidR="00CB3EE3" w:rsidRPr="00B35460" w:rsidRDefault="00AE64C9" w:rsidP="003B670E">
      <w:pPr>
        <w:pStyle w:val="Paragraphe"/>
        <w:spacing w:line="280" w:lineRule="exact"/>
        <w:rPr>
          <w:lang w:val="en-CA"/>
        </w:rPr>
      </w:pPr>
      <w:r>
        <w:rPr>
          <w:lang w:val="en-CA"/>
        </w:rPr>
        <w:t xml:space="preserve">For other reasons, </w:t>
      </w:r>
      <w:r w:rsidR="00B35460" w:rsidRPr="00B35460">
        <w:rPr>
          <w:lang w:val="en-CA"/>
        </w:rPr>
        <w:t>Hamilton</w:t>
      </w:r>
      <w:r w:rsidR="00776D97">
        <w:rPr>
          <w:lang w:val="en-CA"/>
        </w:rPr>
        <w:t>,</w:t>
      </w:r>
      <w:r w:rsidR="00B35460" w:rsidRPr="00B35460">
        <w:rPr>
          <w:lang w:val="en-CA"/>
        </w:rPr>
        <w:t xml:space="preserve"> J.A. would have allowed the appeal and declared that the </w:t>
      </w:r>
      <w:r w:rsidR="00753860">
        <w:rPr>
          <w:lang w:val="en-CA"/>
        </w:rPr>
        <w:t>Respondent</w:t>
      </w:r>
      <w:r w:rsidR="00B35460" w:rsidRPr="00B35460">
        <w:rPr>
          <w:lang w:val="en-CA"/>
        </w:rPr>
        <w:t>s</w:t>
      </w:r>
      <w:r w:rsidR="003D5E71">
        <w:rPr>
          <w:lang w:val="en-CA"/>
        </w:rPr>
        <w:t>’ claim</w:t>
      </w:r>
      <w:r w:rsidR="00B35460" w:rsidRPr="00B35460">
        <w:rPr>
          <w:lang w:val="en-CA"/>
        </w:rPr>
        <w:t xml:space="preserve"> is a provable claim </w:t>
      </w:r>
      <w:r w:rsidR="00501215" w:rsidRPr="00B35460">
        <w:rPr>
          <w:lang w:val="en-CA"/>
        </w:rPr>
        <w:t>and</w:t>
      </w:r>
      <w:r w:rsidR="00B35460" w:rsidRPr="00B35460">
        <w:rPr>
          <w:lang w:val="en-CA"/>
        </w:rPr>
        <w:t xml:space="preserve"> that the </w:t>
      </w:r>
      <w:r w:rsidR="0055589F">
        <w:rPr>
          <w:lang w:val="en-CA"/>
        </w:rPr>
        <w:t>Appellant</w:t>
      </w:r>
      <w:r w:rsidR="00B35460" w:rsidRPr="00B35460">
        <w:rPr>
          <w:lang w:val="en-CA"/>
        </w:rPr>
        <w:t xml:space="preserve">s are released </w:t>
      </w:r>
      <w:r w:rsidR="009F2100">
        <w:rPr>
          <w:lang w:val="en-CA"/>
        </w:rPr>
        <w:t>there</w:t>
      </w:r>
      <w:r w:rsidR="00B35460" w:rsidRPr="00B35460">
        <w:rPr>
          <w:lang w:val="en-CA"/>
        </w:rPr>
        <w:t xml:space="preserve">from, except for an amount equivalent to the dividend the </w:t>
      </w:r>
      <w:r w:rsidR="00753860">
        <w:rPr>
          <w:lang w:val="en-CA"/>
        </w:rPr>
        <w:t>Respondent</w:t>
      </w:r>
      <w:r w:rsidR="00B35460" w:rsidRPr="00B35460">
        <w:rPr>
          <w:lang w:val="en-CA"/>
        </w:rPr>
        <w:t xml:space="preserve">s </w:t>
      </w:r>
      <w:r w:rsidR="001D214B">
        <w:rPr>
          <w:lang w:val="en-CA"/>
        </w:rPr>
        <w:t>w</w:t>
      </w:r>
      <w:r w:rsidR="001D214B" w:rsidRPr="00B35460">
        <w:rPr>
          <w:lang w:val="en-CA"/>
        </w:rPr>
        <w:t xml:space="preserve">ould </w:t>
      </w:r>
      <w:r w:rsidR="00B35460" w:rsidRPr="00B35460">
        <w:rPr>
          <w:lang w:val="en-CA"/>
        </w:rPr>
        <w:t xml:space="preserve">have received </w:t>
      </w:r>
      <w:r w:rsidR="001D214B" w:rsidRPr="00B35460">
        <w:rPr>
          <w:lang w:val="en-CA"/>
        </w:rPr>
        <w:t>as ordinary creditors</w:t>
      </w:r>
      <w:r w:rsidR="00566EA6">
        <w:rPr>
          <w:lang w:val="en-CA"/>
        </w:rPr>
        <w:t xml:space="preserve"> under the terms of</w:t>
      </w:r>
      <w:r w:rsidR="001D214B" w:rsidRPr="00B35460">
        <w:rPr>
          <w:lang w:val="en-CA"/>
        </w:rPr>
        <w:t xml:space="preserve"> </w:t>
      </w:r>
      <w:r w:rsidR="00B35460" w:rsidRPr="00B35460">
        <w:rPr>
          <w:lang w:val="en-CA"/>
        </w:rPr>
        <w:t xml:space="preserve">the </w:t>
      </w:r>
      <w:r w:rsidR="0055589F">
        <w:rPr>
          <w:lang w:val="en-CA"/>
        </w:rPr>
        <w:t>Appellant</w:t>
      </w:r>
      <w:r w:rsidR="00B35460" w:rsidRPr="00B35460">
        <w:rPr>
          <w:lang w:val="en-CA"/>
        </w:rPr>
        <w:t>s' propos</w:t>
      </w:r>
      <w:r w:rsidR="00501215">
        <w:rPr>
          <w:lang w:val="en-CA"/>
        </w:rPr>
        <w:t>al</w:t>
      </w:r>
      <w:r w:rsidR="00B35460" w:rsidRPr="00B35460">
        <w:rPr>
          <w:lang w:val="en-CA"/>
        </w:rPr>
        <w:t xml:space="preserve">, with the legal costs at trial </w:t>
      </w:r>
      <w:r w:rsidR="00501215" w:rsidRPr="00B35460">
        <w:rPr>
          <w:lang w:val="en-CA"/>
        </w:rPr>
        <w:t>and</w:t>
      </w:r>
      <w:r w:rsidR="00B35460" w:rsidRPr="00B35460">
        <w:rPr>
          <w:lang w:val="en-CA"/>
        </w:rPr>
        <w:t xml:space="preserve"> on appeal fixed at a lump sum of $2,600.</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043FD3" w:rsidRPr="00970795" w14:paraId="26ECD2A9" w14:textId="77777777" w:rsidTr="003E3239">
        <w:trPr>
          <w:trHeight w:val="576"/>
        </w:trPr>
        <w:tc>
          <w:tcPr>
            <w:tcW w:w="9362" w:type="dxa"/>
            <w:gridSpan w:val="3"/>
            <w:tcBorders>
              <w:top w:val="nil"/>
              <w:bottom w:val="nil"/>
            </w:tcBorders>
          </w:tcPr>
          <w:p w14:paraId="784C6C8A" w14:textId="77777777" w:rsidR="008F364A" w:rsidRPr="00B35460" w:rsidRDefault="008F364A" w:rsidP="00120640">
            <w:pPr>
              <w:keepNext/>
              <w:rPr>
                <w:lang w:val="en-CA"/>
              </w:rPr>
            </w:pPr>
          </w:p>
        </w:tc>
      </w:tr>
      <w:tr w:rsidR="00043FD3" w:rsidRPr="00970795" w14:paraId="38D66919" w14:textId="77777777" w:rsidTr="00117914">
        <w:trPr>
          <w:trHeight w:val="283"/>
        </w:trPr>
        <w:tc>
          <w:tcPr>
            <w:tcW w:w="4682" w:type="dxa"/>
            <w:gridSpan w:val="2"/>
            <w:tcBorders>
              <w:top w:val="nil"/>
              <w:bottom w:val="nil"/>
            </w:tcBorders>
          </w:tcPr>
          <w:p w14:paraId="665A5FDB" w14:textId="77777777" w:rsidR="008F364A" w:rsidRPr="00B35460" w:rsidRDefault="008F364A" w:rsidP="00120640">
            <w:pPr>
              <w:keepNext/>
              <w:rPr>
                <w:lang w:val="en-CA"/>
              </w:rPr>
            </w:pPr>
          </w:p>
        </w:tc>
        <w:tc>
          <w:tcPr>
            <w:tcW w:w="4680" w:type="dxa"/>
            <w:tcBorders>
              <w:top w:val="nil"/>
              <w:bottom w:val="single" w:sz="8" w:space="0" w:color="auto"/>
            </w:tcBorders>
          </w:tcPr>
          <w:p w14:paraId="341C32D2" w14:textId="77777777" w:rsidR="008F364A" w:rsidRPr="00B35460" w:rsidRDefault="008F364A" w:rsidP="00120640">
            <w:pPr>
              <w:keepNext/>
              <w:rPr>
                <w:lang w:val="en-CA"/>
              </w:rPr>
            </w:pPr>
          </w:p>
        </w:tc>
      </w:tr>
      <w:tr w:rsidR="00043FD3" w14:paraId="18D2DCBF" w14:textId="77777777" w:rsidTr="00117914">
        <w:trPr>
          <w:trHeight w:val="283"/>
        </w:trPr>
        <w:tc>
          <w:tcPr>
            <w:tcW w:w="4682" w:type="dxa"/>
            <w:gridSpan w:val="2"/>
            <w:tcBorders>
              <w:top w:val="nil"/>
            </w:tcBorders>
          </w:tcPr>
          <w:p w14:paraId="148AB083" w14:textId="77777777" w:rsidR="008F364A" w:rsidRPr="00B35460" w:rsidRDefault="008F364A" w:rsidP="00120640">
            <w:pPr>
              <w:keepNext/>
              <w:rPr>
                <w:lang w:val="en-CA"/>
              </w:rPr>
            </w:pPr>
          </w:p>
        </w:tc>
        <w:tc>
          <w:tcPr>
            <w:tcW w:w="4680" w:type="dxa"/>
            <w:tcBorders>
              <w:top w:val="single" w:sz="8" w:space="0" w:color="auto"/>
            </w:tcBorders>
          </w:tcPr>
          <w:p w14:paraId="27A24F8F" w14:textId="22CD9CAC" w:rsidR="008F364A" w:rsidRPr="00501215" w:rsidRDefault="00B35460" w:rsidP="00120640">
            <w:r w:rsidRPr="00501215">
              <w:t>JULIE DUTIL, J.A.</w:t>
            </w:r>
          </w:p>
        </w:tc>
      </w:tr>
      <w:tr w:rsidR="00043FD3" w14:paraId="282E503D" w14:textId="77777777" w:rsidTr="00117914">
        <w:trPr>
          <w:trHeight w:val="283"/>
        </w:trPr>
        <w:tc>
          <w:tcPr>
            <w:tcW w:w="4682" w:type="dxa"/>
            <w:gridSpan w:val="2"/>
            <w:tcBorders>
              <w:top w:val="nil"/>
            </w:tcBorders>
          </w:tcPr>
          <w:p w14:paraId="6C6B3CE9" w14:textId="77777777" w:rsidR="008F364A" w:rsidRDefault="008F364A" w:rsidP="00120640">
            <w:pPr>
              <w:keepNext/>
            </w:pPr>
            <w:bookmarkStart w:id="3" w:name="Signature2"/>
          </w:p>
        </w:tc>
        <w:tc>
          <w:tcPr>
            <w:tcW w:w="4680" w:type="dxa"/>
            <w:tcBorders>
              <w:top w:val="nil"/>
            </w:tcBorders>
          </w:tcPr>
          <w:p w14:paraId="690CB951" w14:textId="77777777" w:rsidR="008F364A" w:rsidRDefault="008F364A" w:rsidP="00120640">
            <w:pPr>
              <w:keepNext/>
            </w:pPr>
          </w:p>
        </w:tc>
      </w:tr>
      <w:tr w:rsidR="00043FD3" w14:paraId="7BA2A808" w14:textId="77777777" w:rsidTr="00117914">
        <w:trPr>
          <w:trHeight w:val="283"/>
        </w:trPr>
        <w:tc>
          <w:tcPr>
            <w:tcW w:w="4682" w:type="dxa"/>
            <w:gridSpan w:val="2"/>
            <w:tcBorders>
              <w:top w:val="nil"/>
              <w:bottom w:val="nil"/>
            </w:tcBorders>
          </w:tcPr>
          <w:p w14:paraId="13C8F8A6" w14:textId="77777777" w:rsidR="008F364A" w:rsidRDefault="008F364A" w:rsidP="00120640">
            <w:pPr>
              <w:keepNext/>
            </w:pPr>
          </w:p>
        </w:tc>
        <w:tc>
          <w:tcPr>
            <w:tcW w:w="4680" w:type="dxa"/>
            <w:tcBorders>
              <w:top w:val="nil"/>
              <w:bottom w:val="single" w:sz="8" w:space="0" w:color="auto"/>
            </w:tcBorders>
          </w:tcPr>
          <w:p w14:paraId="1FF7AC88" w14:textId="77777777" w:rsidR="008F364A" w:rsidRDefault="008F364A" w:rsidP="00120640">
            <w:pPr>
              <w:keepNext/>
            </w:pPr>
          </w:p>
        </w:tc>
      </w:tr>
      <w:tr w:rsidR="00043FD3" w14:paraId="3EF04E8A" w14:textId="77777777" w:rsidTr="00117914">
        <w:trPr>
          <w:trHeight w:val="283"/>
        </w:trPr>
        <w:tc>
          <w:tcPr>
            <w:tcW w:w="4682" w:type="dxa"/>
            <w:gridSpan w:val="2"/>
            <w:tcBorders>
              <w:top w:val="nil"/>
            </w:tcBorders>
          </w:tcPr>
          <w:p w14:paraId="2A1537D0" w14:textId="77777777" w:rsidR="008F364A" w:rsidRDefault="008F364A" w:rsidP="00120640">
            <w:pPr>
              <w:keepNext/>
            </w:pPr>
          </w:p>
        </w:tc>
        <w:tc>
          <w:tcPr>
            <w:tcW w:w="4680" w:type="dxa"/>
            <w:tcBorders>
              <w:top w:val="single" w:sz="8" w:space="0" w:color="auto"/>
            </w:tcBorders>
          </w:tcPr>
          <w:p w14:paraId="0B0AF89D" w14:textId="5B654F8E" w:rsidR="008F364A" w:rsidRPr="00501215" w:rsidRDefault="00B35460" w:rsidP="00120640">
            <w:pPr>
              <w:keepNext/>
            </w:pPr>
            <w:r w:rsidRPr="00501215">
              <w:t>ROBERT M. MAINVILLE, J.A.</w:t>
            </w:r>
          </w:p>
        </w:tc>
      </w:tr>
      <w:tr w:rsidR="00043FD3" w14:paraId="48819569" w14:textId="77777777" w:rsidTr="00117914">
        <w:trPr>
          <w:trHeight w:val="283"/>
        </w:trPr>
        <w:tc>
          <w:tcPr>
            <w:tcW w:w="4682" w:type="dxa"/>
            <w:gridSpan w:val="2"/>
            <w:tcBorders>
              <w:top w:val="nil"/>
            </w:tcBorders>
          </w:tcPr>
          <w:p w14:paraId="2401E41E" w14:textId="77777777" w:rsidR="008F364A" w:rsidRDefault="008F364A" w:rsidP="00120640">
            <w:pPr>
              <w:keepNext/>
            </w:pPr>
            <w:bookmarkStart w:id="4" w:name="Signature3"/>
            <w:bookmarkEnd w:id="3"/>
          </w:p>
        </w:tc>
        <w:tc>
          <w:tcPr>
            <w:tcW w:w="4680" w:type="dxa"/>
            <w:tcBorders>
              <w:top w:val="nil"/>
            </w:tcBorders>
          </w:tcPr>
          <w:p w14:paraId="77992085" w14:textId="77777777" w:rsidR="008F364A" w:rsidRDefault="008F364A" w:rsidP="00120640">
            <w:pPr>
              <w:keepNext/>
            </w:pPr>
          </w:p>
        </w:tc>
      </w:tr>
      <w:tr w:rsidR="00043FD3" w14:paraId="495F28BE" w14:textId="77777777" w:rsidTr="00117914">
        <w:trPr>
          <w:trHeight w:val="283"/>
        </w:trPr>
        <w:tc>
          <w:tcPr>
            <w:tcW w:w="4682" w:type="dxa"/>
            <w:gridSpan w:val="2"/>
            <w:tcBorders>
              <w:top w:val="nil"/>
              <w:bottom w:val="nil"/>
            </w:tcBorders>
          </w:tcPr>
          <w:p w14:paraId="2E4DCA2B" w14:textId="77777777" w:rsidR="008F364A" w:rsidRDefault="008F364A" w:rsidP="00120640">
            <w:pPr>
              <w:keepNext/>
            </w:pPr>
          </w:p>
        </w:tc>
        <w:tc>
          <w:tcPr>
            <w:tcW w:w="4680" w:type="dxa"/>
            <w:tcBorders>
              <w:top w:val="nil"/>
              <w:bottom w:val="single" w:sz="8" w:space="0" w:color="auto"/>
            </w:tcBorders>
          </w:tcPr>
          <w:p w14:paraId="7951921C" w14:textId="77777777" w:rsidR="008F364A" w:rsidRDefault="008F364A" w:rsidP="00120640">
            <w:pPr>
              <w:keepNext/>
            </w:pPr>
          </w:p>
        </w:tc>
      </w:tr>
      <w:tr w:rsidR="00043FD3" w:rsidRPr="00970795" w14:paraId="7D80BE3D" w14:textId="77777777" w:rsidTr="00117914">
        <w:trPr>
          <w:trHeight w:val="283"/>
        </w:trPr>
        <w:tc>
          <w:tcPr>
            <w:tcW w:w="4682" w:type="dxa"/>
            <w:gridSpan w:val="2"/>
            <w:tcBorders>
              <w:top w:val="nil"/>
            </w:tcBorders>
          </w:tcPr>
          <w:p w14:paraId="62AAE281" w14:textId="77777777" w:rsidR="008F364A" w:rsidRDefault="008F364A" w:rsidP="00120640">
            <w:pPr>
              <w:keepNext/>
            </w:pPr>
          </w:p>
        </w:tc>
        <w:tc>
          <w:tcPr>
            <w:tcW w:w="4680" w:type="dxa"/>
            <w:tcBorders>
              <w:top w:val="single" w:sz="8" w:space="0" w:color="auto"/>
            </w:tcBorders>
          </w:tcPr>
          <w:p w14:paraId="50C054C4" w14:textId="52FB7FFF" w:rsidR="008F364A" w:rsidRPr="00501215" w:rsidRDefault="00B35460" w:rsidP="00120640">
            <w:pPr>
              <w:keepNext/>
              <w:rPr>
                <w:lang w:val="en-CA"/>
              </w:rPr>
            </w:pPr>
            <w:r w:rsidRPr="00501215">
              <w:rPr>
                <w:lang w:val="en-CA"/>
              </w:rPr>
              <w:t>STEPHEN W. HAMILTON, J.A.</w:t>
            </w:r>
          </w:p>
        </w:tc>
      </w:tr>
      <w:bookmarkEnd w:id="4"/>
      <w:tr w:rsidR="00043FD3" w:rsidRPr="00970795" w14:paraId="1215B7EA" w14:textId="77777777" w:rsidTr="00423DF1">
        <w:tc>
          <w:tcPr>
            <w:tcW w:w="9362" w:type="dxa"/>
            <w:gridSpan w:val="3"/>
          </w:tcPr>
          <w:p w14:paraId="4F0F1E99" w14:textId="77777777" w:rsidR="005A78BF" w:rsidRDefault="005A78BF" w:rsidP="00120640">
            <w:pPr>
              <w:rPr>
                <w:lang w:val="en-CA"/>
              </w:rPr>
            </w:pPr>
          </w:p>
        </w:tc>
      </w:tr>
      <w:tr w:rsidR="00043FD3" w14:paraId="57F85B5D" w14:textId="77777777" w:rsidTr="00423DF1">
        <w:tc>
          <w:tcPr>
            <w:tcW w:w="9362" w:type="dxa"/>
            <w:gridSpan w:val="3"/>
          </w:tcPr>
          <w:p w14:paraId="663D47CC" w14:textId="52E55092" w:rsidR="005A78BF" w:rsidRPr="00501215" w:rsidRDefault="00B35460" w:rsidP="00120640">
            <w:pPr>
              <w:pStyle w:val="zSoquijdatNomProcureurDem"/>
              <w:rPr>
                <w:lang w:val="en-CA"/>
              </w:rPr>
            </w:pPr>
            <w:r w:rsidRPr="00501215">
              <w:rPr>
                <w:lang w:val="en-CA"/>
              </w:rPr>
              <w:t>Mtre Jean-Philippe Gervais</w:t>
            </w:r>
          </w:p>
        </w:tc>
      </w:tr>
      <w:tr w:rsidR="00043FD3" w14:paraId="40431F88" w14:textId="77777777" w:rsidTr="00423DF1">
        <w:tc>
          <w:tcPr>
            <w:tcW w:w="9362" w:type="dxa"/>
            <w:gridSpan w:val="3"/>
          </w:tcPr>
          <w:p w14:paraId="6DD5DB18" w14:textId="342A2161" w:rsidR="005A78BF" w:rsidRPr="00501215" w:rsidRDefault="00B35460" w:rsidP="00120640">
            <w:pPr>
              <w:pStyle w:val="zSoquijdatCabinetProcureurDem"/>
              <w:rPr>
                <w:lang w:val="en-CA"/>
              </w:rPr>
            </w:pPr>
            <w:r w:rsidRPr="00501215">
              <w:rPr>
                <w:lang w:val="en-CA"/>
              </w:rPr>
              <w:t>COLAS MOREIRA KAZANDJIAN ZIKOVSKY</w:t>
            </w:r>
          </w:p>
        </w:tc>
      </w:tr>
      <w:tr w:rsidR="00043FD3" w14:paraId="0550AD4A" w14:textId="77777777" w:rsidTr="00423DF1">
        <w:tc>
          <w:tcPr>
            <w:tcW w:w="9362" w:type="dxa"/>
            <w:gridSpan w:val="3"/>
          </w:tcPr>
          <w:p w14:paraId="6A1D68F7" w14:textId="13A1FC1C" w:rsidR="005A78BF" w:rsidRPr="00501215" w:rsidRDefault="00B35460" w:rsidP="00120640">
            <w:pPr>
              <w:pStyle w:val="zSoquijlblProcureurDem"/>
              <w:rPr>
                <w:lang w:val="en-CA"/>
              </w:rPr>
            </w:pPr>
            <w:r w:rsidRPr="00501215">
              <w:rPr>
                <w:lang w:val="en-CA"/>
              </w:rPr>
              <w:t xml:space="preserve">For the </w:t>
            </w:r>
            <w:r w:rsidR="0055589F">
              <w:rPr>
                <w:lang w:val="en-CA"/>
              </w:rPr>
              <w:t>Appellant</w:t>
            </w:r>
            <w:r w:rsidRPr="00501215">
              <w:rPr>
                <w:lang w:val="en-CA"/>
              </w:rPr>
              <w:t>s</w:t>
            </w:r>
          </w:p>
        </w:tc>
      </w:tr>
      <w:tr w:rsidR="00043FD3" w14:paraId="4CA5F13F" w14:textId="77777777" w:rsidTr="00423DF1">
        <w:tc>
          <w:tcPr>
            <w:tcW w:w="9362" w:type="dxa"/>
            <w:gridSpan w:val="3"/>
          </w:tcPr>
          <w:p w14:paraId="0314B665" w14:textId="77777777" w:rsidR="005A78BF" w:rsidRPr="00501215" w:rsidRDefault="005A78BF" w:rsidP="00120640">
            <w:pPr>
              <w:rPr>
                <w:lang w:val="en-CA"/>
              </w:rPr>
            </w:pPr>
          </w:p>
        </w:tc>
      </w:tr>
      <w:tr w:rsidR="00043FD3" w14:paraId="3FBFF6E7" w14:textId="77777777" w:rsidTr="00423DF1">
        <w:tc>
          <w:tcPr>
            <w:tcW w:w="9362" w:type="dxa"/>
            <w:gridSpan w:val="3"/>
          </w:tcPr>
          <w:p w14:paraId="1524CC58" w14:textId="06E5F3E7" w:rsidR="005A78BF" w:rsidRPr="00501215" w:rsidRDefault="00B35460" w:rsidP="00120640">
            <w:pPr>
              <w:pStyle w:val="zSoquijdatNomProcureurDef"/>
              <w:rPr>
                <w:lang w:val="en-CA"/>
              </w:rPr>
            </w:pPr>
            <w:r w:rsidRPr="00501215">
              <w:rPr>
                <w:lang w:val="en-CA"/>
              </w:rPr>
              <w:t>Mtre Louis Turgeon-Dorion</w:t>
            </w:r>
          </w:p>
        </w:tc>
      </w:tr>
      <w:tr w:rsidR="00043FD3" w14:paraId="392C6594" w14:textId="77777777" w:rsidTr="00423DF1">
        <w:tc>
          <w:tcPr>
            <w:tcW w:w="9362" w:type="dxa"/>
            <w:gridSpan w:val="3"/>
          </w:tcPr>
          <w:p w14:paraId="53532E84" w14:textId="7D92C8DE" w:rsidR="00620998" w:rsidRPr="00501215" w:rsidRDefault="00B35460" w:rsidP="00120640">
            <w:pPr>
              <w:pStyle w:val="zSoquijdatNomProcureurDef"/>
              <w:rPr>
                <w:lang w:val="en-CA"/>
              </w:rPr>
            </w:pPr>
            <w:r w:rsidRPr="00501215">
              <w:rPr>
                <w:lang w:val="en-CA"/>
              </w:rPr>
              <w:t>Mtre Catherine Marcoux</w:t>
            </w:r>
          </w:p>
        </w:tc>
      </w:tr>
      <w:tr w:rsidR="00043FD3" w14:paraId="57DE1FD8" w14:textId="77777777" w:rsidTr="00423DF1">
        <w:tc>
          <w:tcPr>
            <w:tcW w:w="9362" w:type="dxa"/>
            <w:gridSpan w:val="3"/>
          </w:tcPr>
          <w:p w14:paraId="426FD8D4" w14:textId="077C930D" w:rsidR="005A78BF" w:rsidRPr="00501215" w:rsidRDefault="00B35460" w:rsidP="00120640">
            <w:pPr>
              <w:pStyle w:val="zSoquijdatCabinetProcureurDef"/>
              <w:rPr>
                <w:lang w:val="en-CA"/>
              </w:rPr>
            </w:pPr>
            <w:r w:rsidRPr="00501215">
              <w:rPr>
                <w:lang w:val="en-CA"/>
              </w:rPr>
              <w:t>MORENCY SOCIÉTÉ D’AVOCATS</w:t>
            </w:r>
          </w:p>
        </w:tc>
      </w:tr>
      <w:tr w:rsidR="00043FD3" w14:paraId="4F7AD0B4" w14:textId="77777777" w:rsidTr="00423DF1">
        <w:tc>
          <w:tcPr>
            <w:tcW w:w="9362" w:type="dxa"/>
            <w:gridSpan w:val="3"/>
          </w:tcPr>
          <w:p w14:paraId="7F7891B5" w14:textId="001E5F08" w:rsidR="005A78BF" w:rsidRPr="00501215" w:rsidRDefault="00B35460" w:rsidP="00120640">
            <w:pPr>
              <w:pStyle w:val="zSoquijlblProcureurDef"/>
              <w:rPr>
                <w:lang w:val="en-CA"/>
              </w:rPr>
            </w:pPr>
            <w:r w:rsidRPr="00501215">
              <w:rPr>
                <w:lang w:val="en-CA"/>
              </w:rPr>
              <w:t xml:space="preserve">For the </w:t>
            </w:r>
            <w:r w:rsidR="00753860">
              <w:rPr>
                <w:lang w:val="en-CA"/>
              </w:rPr>
              <w:t>Respondent</w:t>
            </w:r>
            <w:r w:rsidRPr="00501215">
              <w:rPr>
                <w:lang w:val="en-CA"/>
              </w:rPr>
              <w:t>s</w:t>
            </w:r>
          </w:p>
        </w:tc>
      </w:tr>
      <w:tr w:rsidR="00043FD3" w14:paraId="241EE8A5" w14:textId="77777777" w:rsidTr="00423DF1">
        <w:tc>
          <w:tcPr>
            <w:tcW w:w="9362" w:type="dxa"/>
            <w:gridSpan w:val="3"/>
          </w:tcPr>
          <w:p w14:paraId="35A55E49" w14:textId="77777777" w:rsidR="005A78BF" w:rsidRPr="00501215" w:rsidRDefault="005A78BF" w:rsidP="00120640">
            <w:pPr>
              <w:rPr>
                <w:lang w:val="en-CA"/>
              </w:rPr>
            </w:pPr>
          </w:p>
        </w:tc>
      </w:tr>
      <w:tr w:rsidR="00043FD3" w14:paraId="4EAF8883" w14:textId="77777777" w:rsidTr="00423DF1">
        <w:tc>
          <w:tcPr>
            <w:tcW w:w="1997" w:type="dxa"/>
          </w:tcPr>
          <w:p w14:paraId="50CFB86A" w14:textId="006430DD" w:rsidR="005A78BF" w:rsidRPr="00501215" w:rsidRDefault="00B35460" w:rsidP="00120640">
            <w:pPr>
              <w:pStyle w:val="zSoquijlblDateAudience"/>
              <w:rPr>
                <w:lang w:val="en-CA"/>
              </w:rPr>
            </w:pPr>
            <w:r w:rsidRPr="00501215">
              <w:rPr>
                <w:lang w:val="en-CA"/>
              </w:rPr>
              <w:t>Date of hearing:</w:t>
            </w:r>
          </w:p>
        </w:tc>
        <w:tc>
          <w:tcPr>
            <w:tcW w:w="7365" w:type="dxa"/>
            <w:gridSpan w:val="2"/>
          </w:tcPr>
          <w:p w14:paraId="4BE2965F" w14:textId="5F9DD41D" w:rsidR="005A78BF" w:rsidRPr="00501215" w:rsidRDefault="00B35460" w:rsidP="00120640">
            <w:pPr>
              <w:pStyle w:val="zSoquijdatDateAudience"/>
              <w:rPr>
                <w:lang w:val="en-CA"/>
              </w:rPr>
            </w:pPr>
            <w:r w:rsidRPr="00501215">
              <w:rPr>
                <w:lang w:val="en-CA"/>
              </w:rPr>
              <w:t>September 28, 2022</w:t>
            </w:r>
          </w:p>
        </w:tc>
      </w:tr>
    </w:tbl>
    <w:p w14:paraId="34B92B51" w14:textId="77777777" w:rsidR="00120640" w:rsidRDefault="00120640" w:rsidP="00120640">
      <w:pPr>
        <w:sectPr w:rsidR="00120640" w:rsidSect="005D6DCE">
          <w:headerReference w:type="default" r:id="rId8"/>
          <w:footerReference w:type="default" r:id="rId9"/>
          <w:footnotePr>
            <w:numRestart w:val="eachSect"/>
          </w:footnotePr>
          <w:pgSz w:w="12242" w:h="15842" w:code="1"/>
          <w:pgMar w:top="1440" w:right="1008" w:bottom="1440" w:left="1872" w:header="1440" w:footer="792" w:gutter="0"/>
          <w:cols w:space="720"/>
          <w:formProt w:val="0"/>
          <w:titlePg/>
          <w:docGrid w:linePitch="326"/>
        </w:sectPr>
      </w:pPr>
      <w:bookmarkStart w:id="5" w:name="Opinion"/>
      <w:bookmarkEnd w:id="2"/>
    </w:p>
    <w:tbl>
      <w:tblPr>
        <w:tblW w:w="0" w:type="auto"/>
        <w:tblLayout w:type="fixed"/>
        <w:tblCellMar>
          <w:left w:w="0" w:type="dxa"/>
          <w:right w:w="0" w:type="dxa"/>
        </w:tblCellMar>
        <w:tblLook w:val="0000" w:firstRow="0" w:lastRow="0" w:firstColumn="0" w:lastColumn="0" w:noHBand="0" w:noVBand="0"/>
      </w:tblPr>
      <w:tblGrid>
        <w:gridCol w:w="9360"/>
      </w:tblGrid>
      <w:tr w:rsidR="00043FD3" w14:paraId="44E85D68" w14:textId="77777777" w:rsidTr="00131896">
        <w:tc>
          <w:tcPr>
            <w:tcW w:w="9360" w:type="dxa"/>
            <w:tcBorders>
              <w:bottom w:val="single" w:sz="8" w:space="0" w:color="auto"/>
            </w:tcBorders>
          </w:tcPr>
          <w:p w14:paraId="3EBF8171" w14:textId="77777777" w:rsidR="00120640" w:rsidRDefault="00120640" w:rsidP="00120640"/>
          <w:p w14:paraId="53D59CAC" w14:textId="77777777" w:rsidR="00120640" w:rsidRDefault="00120640" w:rsidP="00120640"/>
        </w:tc>
      </w:tr>
      <w:tr w:rsidR="00043FD3" w14:paraId="3835101D" w14:textId="77777777" w:rsidTr="00131896">
        <w:tc>
          <w:tcPr>
            <w:tcW w:w="9360" w:type="dxa"/>
            <w:tcBorders>
              <w:top w:val="single" w:sz="8" w:space="0" w:color="auto"/>
            </w:tcBorders>
          </w:tcPr>
          <w:p w14:paraId="21544057" w14:textId="77777777" w:rsidR="00120640" w:rsidRDefault="00120640" w:rsidP="00120640"/>
        </w:tc>
      </w:tr>
      <w:tr w:rsidR="00043FD3" w:rsidRPr="00970795" w14:paraId="3BCFD397" w14:textId="77777777" w:rsidTr="00131896">
        <w:tc>
          <w:tcPr>
            <w:tcW w:w="9360" w:type="dxa"/>
          </w:tcPr>
          <w:p w14:paraId="66B7FF73" w14:textId="0C52323D" w:rsidR="00120640" w:rsidRPr="00501215" w:rsidRDefault="00B35460" w:rsidP="00120640">
            <w:pPr>
              <w:pStyle w:val="zSoquijlblOpinionJuge"/>
              <w:rPr>
                <w:lang w:val="en-CA"/>
              </w:rPr>
            </w:pPr>
            <w:r w:rsidRPr="00501215">
              <w:rPr>
                <w:lang w:val="en-CA"/>
              </w:rPr>
              <w:t>REASONS OF HAMILTON</w:t>
            </w:r>
            <w:r w:rsidR="00F21F42">
              <w:rPr>
                <w:lang w:val="en-CA"/>
              </w:rPr>
              <w:t>,</w:t>
            </w:r>
            <w:r w:rsidRPr="00501215">
              <w:rPr>
                <w:lang w:val="en-CA"/>
              </w:rPr>
              <w:t xml:space="preserve"> J.A.</w:t>
            </w:r>
          </w:p>
        </w:tc>
      </w:tr>
      <w:tr w:rsidR="00043FD3" w:rsidRPr="00970795" w14:paraId="0E200F92" w14:textId="77777777" w:rsidTr="00131896">
        <w:tc>
          <w:tcPr>
            <w:tcW w:w="9360" w:type="dxa"/>
            <w:tcBorders>
              <w:bottom w:val="single" w:sz="8" w:space="0" w:color="auto"/>
            </w:tcBorders>
          </w:tcPr>
          <w:p w14:paraId="2EF52884" w14:textId="77777777" w:rsidR="00120640" w:rsidRPr="00B35460" w:rsidRDefault="00120640" w:rsidP="00120640">
            <w:pPr>
              <w:rPr>
                <w:lang w:val="en-CA"/>
              </w:rPr>
            </w:pPr>
          </w:p>
        </w:tc>
      </w:tr>
      <w:tr w:rsidR="00043FD3" w:rsidRPr="00970795" w14:paraId="0D207688" w14:textId="77777777" w:rsidTr="00131896">
        <w:tc>
          <w:tcPr>
            <w:tcW w:w="9360" w:type="dxa"/>
            <w:tcBorders>
              <w:top w:val="single" w:sz="8" w:space="0" w:color="auto"/>
            </w:tcBorders>
          </w:tcPr>
          <w:p w14:paraId="7F020FAE" w14:textId="77777777" w:rsidR="00120640" w:rsidRPr="00B35460" w:rsidRDefault="00120640" w:rsidP="00120640">
            <w:pPr>
              <w:rPr>
                <w:lang w:val="en-CA"/>
              </w:rPr>
            </w:pPr>
          </w:p>
        </w:tc>
      </w:tr>
    </w:tbl>
    <w:p w14:paraId="316FFDAC" w14:textId="08DA1785" w:rsidR="00120640" w:rsidRPr="00B35460" w:rsidRDefault="00B35460" w:rsidP="00120640">
      <w:pPr>
        <w:pStyle w:val="Paragraphe"/>
        <w:spacing w:line="280" w:lineRule="exact"/>
        <w:rPr>
          <w:lang w:val="en-CA"/>
        </w:rPr>
      </w:pPr>
      <w:r w:rsidRPr="00B35460">
        <w:rPr>
          <w:lang w:val="en-CA"/>
        </w:rPr>
        <w:t>This case raises the following issue: is a claim for latent defects affecting an immovable sold before the sellers' proposal</w:t>
      </w:r>
      <w:r w:rsidR="00CE1F2C">
        <w:rPr>
          <w:lang w:val="en-CA"/>
        </w:rPr>
        <w:t>,</w:t>
      </w:r>
      <w:r w:rsidRPr="00B35460">
        <w:rPr>
          <w:lang w:val="en-CA"/>
        </w:rPr>
        <w:t xml:space="preserve"> but discovered only after their discharge, released as a result of the proposal?</w:t>
      </w:r>
      <w:r w:rsidR="00B363F2" w:rsidRPr="00B35460">
        <w:rPr>
          <w:lang w:val="en-CA"/>
        </w:rPr>
        <w:t xml:space="preserve"> </w:t>
      </w:r>
    </w:p>
    <w:p w14:paraId="30638727" w14:textId="459CD035" w:rsidR="00120640" w:rsidRPr="00501215" w:rsidRDefault="00B35460" w:rsidP="00120640">
      <w:pPr>
        <w:pStyle w:val="Paragraphe"/>
        <w:numPr>
          <w:ilvl w:val="0"/>
          <w:numId w:val="0"/>
        </w:numPr>
        <w:spacing w:line="280" w:lineRule="exact"/>
        <w:rPr>
          <w:b/>
          <w:bCs/>
        </w:rPr>
      </w:pPr>
      <w:r w:rsidRPr="00501215">
        <w:rPr>
          <w:b/>
          <w:bCs/>
        </w:rPr>
        <w:t>BACKGROUND</w:t>
      </w:r>
    </w:p>
    <w:p w14:paraId="7544AA92" w14:textId="35B40501" w:rsidR="00120640" w:rsidRPr="00501215" w:rsidRDefault="00B35460" w:rsidP="00120640">
      <w:pPr>
        <w:pStyle w:val="Paragraphe"/>
        <w:spacing w:line="280" w:lineRule="exact"/>
        <w:rPr>
          <w:lang w:val="en-CA"/>
        </w:rPr>
      </w:pPr>
      <w:r w:rsidRPr="00501215">
        <w:rPr>
          <w:lang w:val="en-CA"/>
        </w:rPr>
        <w:t xml:space="preserve">The relevant facts of the case </w:t>
      </w:r>
      <w:r w:rsidR="00B566BA">
        <w:rPr>
          <w:lang w:val="en-CA"/>
        </w:rPr>
        <w:t xml:space="preserve">were </w:t>
      </w:r>
      <w:r w:rsidR="00C443D4">
        <w:rPr>
          <w:lang w:val="en-CA"/>
        </w:rPr>
        <w:t>not</w:t>
      </w:r>
      <w:r w:rsidRPr="00501215">
        <w:rPr>
          <w:lang w:val="en-CA"/>
        </w:rPr>
        <w:t xml:space="preserve"> contested by the parties.</w:t>
      </w:r>
    </w:p>
    <w:p w14:paraId="6650A736" w14:textId="6527DC2F" w:rsidR="00120640" w:rsidRPr="00501215" w:rsidRDefault="00B35460" w:rsidP="00120640">
      <w:pPr>
        <w:pStyle w:val="Paragraphe"/>
        <w:spacing w:line="280" w:lineRule="exact"/>
        <w:rPr>
          <w:lang w:val="en-CA"/>
        </w:rPr>
      </w:pPr>
      <w:r w:rsidRPr="00501215">
        <w:rPr>
          <w:lang w:val="en-CA"/>
        </w:rPr>
        <w:t xml:space="preserve">On </w:t>
      </w:r>
      <w:r w:rsidR="00C443D4" w:rsidRPr="00501215">
        <w:rPr>
          <w:lang w:val="en-CA"/>
        </w:rPr>
        <w:t>November</w:t>
      </w:r>
      <w:r w:rsidRPr="00501215">
        <w:rPr>
          <w:lang w:val="en-CA"/>
        </w:rPr>
        <w:t xml:space="preserve"> 9, 2009, the </w:t>
      </w:r>
      <w:r w:rsidR="00753860">
        <w:rPr>
          <w:lang w:val="en-CA"/>
        </w:rPr>
        <w:t>Respondent</w:t>
      </w:r>
      <w:r w:rsidRPr="00501215">
        <w:rPr>
          <w:lang w:val="en-CA"/>
        </w:rPr>
        <w:t xml:space="preserve">s bought an immovable from the </w:t>
      </w:r>
      <w:r w:rsidR="0055589F">
        <w:rPr>
          <w:lang w:val="en-CA"/>
        </w:rPr>
        <w:t>Appellant</w:t>
      </w:r>
      <w:r w:rsidRPr="00501215">
        <w:rPr>
          <w:lang w:val="en-CA"/>
        </w:rPr>
        <w:t>s.</w:t>
      </w:r>
    </w:p>
    <w:p w14:paraId="3F2BAC57" w14:textId="68A2317F" w:rsidR="00120640" w:rsidRPr="00890F7B" w:rsidRDefault="00B35460" w:rsidP="00890F7B">
      <w:pPr>
        <w:pStyle w:val="Paragraphe"/>
        <w:spacing w:line="280" w:lineRule="exact"/>
        <w:rPr>
          <w:lang w:val="en-CA"/>
        </w:rPr>
      </w:pPr>
      <w:r w:rsidRPr="00B35460">
        <w:rPr>
          <w:lang w:val="en-CA"/>
        </w:rPr>
        <w:t xml:space="preserve">On March 20, 2013, the </w:t>
      </w:r>
      <w:r w:rsidR="0055589F">
        <w:rPr>
          <w:lang w:val="en-CA"/>
        </w:rPr>
        <w:t>Appellant</w:t>
      </w:r>
      <w:r w:rsidRPr="00B35460">
        <w:rPr>
          <w:lang w:val="en-CA"/>
        </w:rPr>
        <w:t>s filed a proposal with the trustee Raymond Chabot inc.</w:t>
      </w:r>
      <w:r w:rsidR="00B363F2" w:rsidRPr="00B35460">
        <w:rPr>
          <w:lang w:val="en-CA"/>
        </w:rPr>
        <w:t xml:space="preserve"> </w:t>
      </w:r>
      <w:r w:rsidRPr="00501215">
        <w:rPr>
          <w:lang w:val="en-CA"/>
        </w:rPr>
        <w:t xml:space="preserve">(hereinafter the </w:t>
      </w:r>
      <w:r w:rsidR="00890F7B">
        <w:rPr>
          <w:lang w:val="en-CA"/>
        </w:rPr>
        <w:t>“</w:t>
      </w:r>
      <w:r w:rsidRPr="00501215">
        <w:rPr>
          <w:lang w:val="en-CA"/>
        </w:rPr>
        <w:t>Trustee</w:t>
      </w:r>
      <w:r w:rsidR="00890F7B">
        <w:rPr>
          <w:lang w:val="en-CA"/>
        </w:rPr>
        <w:t>”</w:t>
      </w:r>
      <w:r w:rsidRPr="00890F7B">
        <w:rPr>
          <w:lang w:val="en-CA"/>
        </w:rPr>
        <w:t xml:space="preserve">) pursuant to the </w:t>
      </w:r>
      <w:r w:rsidRPr="00890F7B">
        <w:rPr>
          <w:i/>
          <w:lang w:val="en-CA"/>
        </w:rPr>
        <w:t>Bankruptcy and Insolvency Act</w:t>
      </w:r>
      <w:r w:rsidRPr="00890F7B">
        <w:rPr>
          <w:lang w:val="en-CA"/>
        </w:rPr>
        <w:t xml:space="preserve"> (hereinafter the </w:t>
      </w:r>
      <w:r w:rsidR="00D27B0E">
        <w:rPr>
          <w:lang w:val="en-CA"/>
        </w:rPr>
        <w:t>“</w:t>
      </w:r>
      <w:r w:rsidRPr="00B35D4F">
        <w:rPr>
          <w:i/>
          <w:iCs/>
          <w:lang w:val="en-CA"/>
        </w:rPr>
        <w:t>BIA</w:t>
      </w:r>
      <w:r w:rsidR="00D27B0E">
        <w:rPr>
          <w:lang w:val="en-CA"/>
        </w:rPr>
        <w:t>”</w:t>
      </w:r>
      <w:r w:rsidRPr="00890F7B">
        <w:rPr>
          <w:lang w:val="en-CA"/>
        </w:rPr>
        <w:t>).</w:t>
      </w:r>
      <w:r w:rsidRPr="00501215">
        <w:rPr>
          <w:iCs/>
          <w:vertAlign w:val="superscript"/>
        </w:rPr>
        <w:footnoteReference w:id="1"/>
      </w:r>
      <w:r w:rsidR="00B363F2" w:rsidRPr="00890F7B">
        <w:rPr>
          <w:lang w:val="en-CA"/>
        </w:rPr>
        <w:t xml:space="preserve"> </w:t>
      </w:r>
      <w:r w:rsidRPr="00890F7B">
        <w:rPr>
          <w:lang w:val="en-CA"/>
        </w:rPr>
        <w:t xml:space="preserve">The </w:t>
      </w:r>
      <w:r w:rsidR="00753860">
        <w:rPr>
          <w:lang w:val="en-CA"/>
        </w:rPr>
        <w:t>Respondent</w:t>
      </w:r>
      <w:r w:rsidRPr="00890F7B">
        <w:rPr>
          <w:lang w:val="en-CA"/>
        </w:rPr>
        <w:t>s were not notified of the proposal and did not file any proof of claim.</w:t>
      </w:r>
    </w:p>
    <w:p w14:paraId="097F6AC3" w14:textId="4B9C0BE2" w:rsidR="00120640" w:rsidRPr="00920C25" w:rsidRDefault="00B35460" w:rsidP="005137C6">
      <w:pPr>
        <w:pStyle w:val="Paragraphe"/>
        <w:spacing w:line="280" w:lineRule="exact"/>
        <w:rPr>
          <w:lang w:val="en-CA"/>
        </w:rPr>
      </w:pPr>
      <w:r w:rsidRPr="00920C25">
        <w:rPr>
          <w:lang w:val="en-CA"/>
        </w:rPr>
        <w:t xml:space="preserve">In the context of the proposal, the Trustee distributed a dividend of $51,728.81 to the creditors, </w:t>
      </w:r>
      <w:r w:rsidR="00920C25">
        <w:rPr>
          <w:lang w:val="en-CA"/>
        </w:rPr>
        <w:t>e</w:t>
      </w:r>
      <w:r w:rsidR="001B2367" w:rsidRPr="00920C25">
        <w:rPr>
          <w:lang w:val="en-CA"/>
        </w:rPr>
        <w:t xml:space="preserve">qual to </w:t>
      </w:r>
      <w:r w:rsidRPr="00920C25">
        <w:rPr>
          <w:lang w:val="en-CA"/>
        </w:rPr>
        <w:t>7.20% of the proved claims.</w:t>
      </w:r>
      <w:r w:rsidR="00B363F2" w:rsidRPr="00920C25">
        <w:rPr>
          <w:lang w:val="en-CA"/>
        </w:rPr>
        <w:t xml:space="preserve"> </w:t>
      </w:r>
      <w:r w:rsidR="00067C1D" w:rsidRPr="00920C25">
        <w:rPr>
          <w:lang w:val="en-CA"/>
        </w:rPr>
        <w:t xml:space="preserve">It </w:t>
      </w:r>
      <w:r w:rsidR="00C443D4" w:rsidRPr="00920C25">
        <w:rPr>
          <w:lang w:val="en-CA"/>
        </w:rPr>
        <w:t>issued</w:t>
      </w:r>
      <w:r w:rsidRPr="00920C25">
        <w:rPr>
          <w:lang w:val="en-CA"/>
        </w:rPr>
        <w:t xml:space="preserve"> </w:t>
      </w:r>
      <w:r w:rsidR="00067C1D" w:rsidRPr="00920C25">
        <w:rPr>
          <w:lang w:val="en-CA"/>
        </w:rPr>
        <w:t xml:space="preserve">its </w:t>
      </w:r>
      <w:r w:rsidRPr="00920C25">
        <w:rPr>
          <w:lang w:val="en-CA"/>
        </w:rPr>
        <w:t>certificate of full performance on June 16, 2014, and was discharged on September 14, 2015.</w:t>
      </w:r>
    </w:p>
    <w:p w14:paraId="782F768E" w14:textId="24E6EE7C" w:rsidR="00120640" w:rsidRPr="00B35460" w:rsidRDefault="00B35460" w:rsidP="00120640">
      <w:pPr>
        <w:pStyle w:val="Paragraphe"/>
        <w:spacing w:line="280" w:lineRule="exact"/>
        <w:rPr>
          <w:lang w:val="en-CA"/>
        </w:rPr>
      </w:pPr>
      <w:r w:rsidRPr="00B35460">
        <w:rPr>
          <w:lang w:val="en-CA"/>
        </w:rPr>
        <w:t xml:space="preserve">On August 2, 2019, the </w:t>
      </w:r>
      <w:r w:rsidR="00753860">
        <w:rPr>
          <w:lang w:val="en-CA"/>
        </w:rPr>
        <w:t>Respondent</w:t>
      </w:r>
      <w:r w:rsidRPr="00B35460">
        <w:rPr>
          <w:lang w:val="en-CA"/>
        </w:rPr>
        <w:t xml:space="preserve">s filed an originating application </w:t>
      </w:r>
      <w:r w:rsidR="00C443D4" w:rsidRPr="00B35460">
        <w:rPr>
          <w:lang w:val="en-CA"/>
        </w:rPr>
        <w:t>against</w:t>
      </w:r>
      <w:r w:rsidRPr="00B35460">
        <w:rPr>
          <w:lang w:val="en-CA"/>
        </w:rPr>
        <w:t xml:space="preserve"> the </w:t>
      </w:r>
      <w:r w:rsidR="0055589F">
        <w:rPr>
          <w:lang w:val="en-CA"/>
        </w:rPr>
        <w:t>Appellant</w:t>
      </w:r>
      <w:r w:rsidRPr="00B35460">
        <w:rPr>
          <w:lang w:val="en-CA"/>
        </w:rPr>
        <w:t xml:space="preserve">s before the Court of Québec, </w:t>
      </w:r>
      <w:r w:rsidR="00067C1D">
        <w:rPr>
          <w:lang w:val="en-CA"/>
        </w:rPr>
        <w:t>C</w:t>
      </w:r>
      <w:r w:rsidR="00067C1D" w:rsidRPr="00B35460">
        <w:rPr>
          <w:lang w:val="en-CA"/>
        </w:rPr>
        <w:t xml:space="preserve">ivil </w:t>
      </w:r>
      <w:r w:rsidR="00067C1D">
        <w:rPr>
          <w:lang w:val="en-CA"/>
        </w:rPr>
        <w:t>D</w:t>
      </w:r>
      <w:r w:rsidR="00067C1D" w:rsidRPr="00B35460">
        <w:rPr>
          <w:lang w:val="en-CA"/>
        </w:rPr>
        <w:t>ivision</w:t>
      </w:r>
      <w:r w:rsidRPr="00B35460">
        <w:rPr>
          <w:lang w:val="en-CA"/>
        </w:rPr>
        <w:t xml:space="preserve">, District of Longueuil, bearing </w:t>
      </w:r>
      <w:r w:rsidR="00067C1D">
        <w:rPr>
          <w:lang w:val="en-CA"/>
        </w:rPr>
        <w:t xml:space="preserve">file </w:t>
      </w:r>
      <w:r w:rsidRPr="00B35460">
        <w:rPr>
          <w:lang w:val="en-CA"/>
        </w:rPr>
        <w:t xml:space="preserve">number 505-22-029009-190 (hereinafter the </w:t>
      </w:r>
      <w:r w:rsidR="00D27B0E">
        <w:rPr>
          <w:lang w:val="en-CA"/>
        </w:rPr>
        <w:t>“</w:t>
      </w:r>
      <w:r w:rsidRPr="00B35460">
        <w:rPr>
          <w:lang w:val="en-CA"/>
        </w:rPr>
        <w:t xml:space="preserve">Civil </w:t>
      </w:r>
      <w:r w:rsidR="0049129A">
        <w:rPr>
          <w:lang w:val="en-CA"/>
        </w:rPr>
        <w:t>C</w:t>
      </w:r>
      <w:r w:rsidRPr="00B35460">
        <w:rPr>
          <w:lang w:val="en-CA"/>
        </w:rPr>
        <w:t>laim</w:t>
      </w:r>
      <w:r w:rsidR="00D27B0E">
        <w:rPr>
          <w:lang w:val="en-CA"/>
        </w:rPr>
        <w:t>”</w:t>
      </w:r>
      <w:r w:rsidRPr="00B35460">
        <w:rPr>
          <w:lang w:val="en-CA"/>
        </w:rPr>
        <w:t>).</w:t>
      </w:r>
      <w:r w:rsidR="00B363F2" w:rsidRPr="00B35460">
        <w:rPr>
          <w:lang w:val="en-CA"/>
        </w:rPr>
        <w:t xml:space="preserve"> </w:t>
      </w:r>
      <w:r w:rsidRPr="00B35460">
        <w:rPr>
          <w:lang w:val="en-CA"/>
        </w:rPr>
        <w:t xml:space="preserve">In this </w:t>
      </w:r>
      <w:r w:rsidR="00C443D4" w:rsidRPr="00B35460">
        <w:rPr>
          <w:lang w:val="en-CA"/>
        </w:rPr>
        <w:t>application</w:t>
      </w:r>
      <w:r w:rsidRPr="00B35460">
        <w:rPr>
          <w:lang w:val="en-CA"/>
        </w:rPr>
        <w:t xml:space="preserve">, the </w:t>
      </w:r>
      <w:r w:rsidR="00753860">
        <w:rPr>
          <w:lang w:val="en-CA"/>
        </w:rPr>
        <w:t>Respondent</w:t>
      </w:r>
      <w:r w:rsidRPr="00B35460">
        <w:rPr>
          <w:lang w:val="en-CA"/>
        </w:rPr>
        <w:t xml:space="preserve">s claimed from the </w:t>
      </w:r>
      <w:r w:rsidR="0055589F">
        <w:rPr>
          <w:lang w:val="en-CA"/>
        </w:rPr>
        <w:t>Appellant</w:t>
      </w:r>
      <w:r w:rsidRPr="00B35460">
        <w:rPr>
          <w:lang w:val="en-CA"/>
        </w:rPr>
        <w:t xml:space="preserve">s an amount of $38,291.71 in damages to compensate the </w:t>
      </w:r>
      <w:r w:rsidR="00D769E0">
        <w:rPr>
          <w:lang w:val="en-CA"/>
        </w:rPr>
        <w:t xml:space="preserve">injury </w:t>
      </w:r>
      <w:r w:rsidR="00C443D4" w:rsidRPr="00B35460">
        <w:rPr>
          <w:lang w:val="en-CA"/>
        </w:rPr>
        <w:t>caused</w:t>
      </w:r>
      <w:r w:rsidRPr="00B35460">
        <w:rPr>
          <w:lang w:val="en-CA"/>
        </w:rPr>
        <w:t xml:space="preserve"> by the latent defects in the immovable they </w:t>
      </w:r>
      <w:r w:rsidR="00D769E0">
        <w:rPr>
          <w:lang w:val="en-CA"/>
        </w:rPr>
        <w:t xml:space="preserve">had </w:t>
      </w:r>
      <w:r w:rsidRPr="00B35460">
        <w:rPr>
          <w:lang w:val="en-CA"/>
        </w:rPr>
        <w:t xml:space="preserve">purchased from the </w:t>
      </w:r>
      <w:r w:rsidR="0055589F">
        <w:rPr>
          <w:lang w:val="en-CA"/>
        </w:rPr>
        <w:t>Appellant</w:t>
      </w:r>
      <w:r w:rsidRPr="00B35460">
        <w:rPr>
          <w:lang w:val="en-CA"/>
        </w:rPr>
        <w:t>s.</w:t>
      </w:r>
    </w:p>
    <w:p w14:paraId="4FE41CDF" w14:textId="666E9027" w:rsidR="00120640" w:rsidRPr="00B35460" w:rsidRDefault="00B35460" w:rsidP="00120640">
      <w:pPr>
        <w:pStyle w:val="Paragraphe"/>
        <w:spacing w:line="280" w:lineRule="exact"/>
        <w:rPr>
          <w:lang w:val="en-CA"/>
        </w:rPr>
      </w:pPr>
      <w:r w:rsidRPr="00B35460">
        <w:rPr>
          <w:lang w:val="en-CA"/>
        </w:rPr>
        <w:t xml:space="preserve">The </w:t>
      </w:r>
      <w:r w:rsidR="0055589F">
        <w:rPr>
          <w:lang w:val="en-CA"/>
        </w:rPr>
        <w:t>Appellant</w:t>
      </w:r>
      <w:r w:rsidRPr="00B35460">
        <w:rPr>
          <w:lang w:val="en-CA"/>
        </w:rPr>
        <w:t xml:space="preserve">s filed an </w:t>
      </w:r>
      <w:r w:rsidR="00C443D4" w:rsidRPr="00B35460">
        <w:rPr>
          <w:lang w:val="en-CA"/>
        </w:rPr>
        <w:t>application</w:t>
      </w:r>
      <w:r w:rsidRPr="00B35460">
        <w:rPr>
          <w:lang w:val="en-CA"/>
        </w:rPr>
        <w:t xml:space="preserve"> for a declaratory judgment </w:t>
      </w:r>
      <w:r w:rsidR="001B2367">
        <w:rPr>
          <w:lang w:val="en-CA"/>
        </w:rPr>
        <w:t xml:space="preserve">to recognize </w:t>
      </w:r>
      <w:r w:rsidRPr="00B35460">
        <w:rPr>
          <w:lang w:val="en-CA"/>
        </w:rPr>
        <w:t xml:space="preserve">(1) that the Civil </w:t>
      </w:r>
      <w:r w:rsidR="0034156E">
        <w:rPr>
          <w:lang w:val="en-CA"/>
        </w:rPr>
        <w:t>C</w:t>
      </w:r>
      <w:r w:rsidRPr="00B35460">
        <w:rPr>
          <w:lang w:val="en-CA"/>
        </w:rPr>
        <w:t xml:space="preserve">laim is a </w:t>
      </w:r>
      <w:r w:rsidR="00D27B0E">
        <w:rPr>
          <w:lang w:val="en-CA"/>
        </w:rPr>
        <w:t>“</w:t>
      </w:r>
      <w:r w:rsidR="003B670E" w:rsidRPr="00B35460">
        <w:rPr>
          <w:lang w:val="en-CA"/>
        </w:rPr>
        <w:t>provable</w:t>
      </w:r>
      <w:r w:rsidR="00DA7E60">
        <w:rPr>
          <w:lang w:val="en-CA"/>
        </w:rPr>
        <w:t xml:space="preserve"> claim</w:t>
      </w:r>
      <w:r w:rsidR="00D27B0E">
        <w:rPr>
          <w:lang w:val="en-CA"/>
        </w:rPr>
        <w:t>”</w:t>
      </w:r>
      <w:r w:rsidRPr="00B35460">
        <w:rPr>
          <w:lang w:val="en-CA"/>
        </w:rPr>
        <w:t xml:space="preserve"> </w:t>
      </w:r>
      <w:r w:rsidR="00B754BA">
        <w:rPr>
          <w:lang w:val="en-CA"/>
        </w:rPr>
        <w:t xml:space="preserve">in </w:t>
      </w:r>
      <w:r w:rsidRPr="00B35460">
        <w:rPr>
          <w:lang w:val="en-CA"/>
        </w:rPr>
        <w:t xml:space="preserve">their proposal and (2) that they were </w:t>
      </w:r>
      <w:r w:rsidR="0040387D">
        <w:rPr>
          <w:lang w:val="en-CA"/>
        </w:rPr>
        <w:t xml:space="preserve">therefore </w:t>
      </w:r>
      <w:r w:rsidRPr="00B35460">
        <w:rPr>
          <w:lang w:val="en-CA"/>
        </w:rPr>
        <w:t xml:space="preserve">released from this </w:t>
      </w:r>
      <w:r w:rsidR="00C443D4" w:rsidRPr="00B35460">
        <w:rPr>
          <w:lang w:val="en-CA"/>
        </w:rPr>
        <w:t>obligation</w:t>
      </w:r>
      <w:r w:rsidR="0040387D">
        <w:rPr>
          <w:lang w:val="en-CA"/>
        </w:rPr>
        <w:t>,</w:t>
      </w:r>
      <w:r w:rsidRPr="00B35460">
        <w:rPr>
          <w:lang w:val="en-CA"/>
        </w:rPr>
        <w:t xml:space="preserve"> (3) except for an amount equivalent to the dividend the </w:t>
      </w:r>
      <w:r w:rsidR="00753860">
        <w:rPr>
          <w:lang w:val="en-CA"/>
        </w:rPr>
        <w:t>Respondent</w:t>
      </w:r>
      <w:r w:rsidRPr="00B35460">
        <w:rPr>
          <w:lang w:val="en-CA"/>
        </w:rPr>
        <w:t xml:space="preserve">s </w:t>
      </w:r>
      <w:r w:rsidR="00E4572A">
        <w:rPr>
          <w:lang w:val="en-CA"/>
        </w:rPr>
        <w:t>w</w:t>
      </w:r>
      <w:r w:rsidRPr="00B35460">
        <w:rPr>
          <w:lang w:val="en-CA"/>
        </w:rPr>
        <w:t xml:space="preserve">ould have received as ordinary creditors </w:t>
      </w:r>
      <w:r w:rsidR="003E35A0">
        <w:rPr>
          <w:lang w:val="en-CA"/>
        </w:rPr>
        <w:t>pursuant to</w:t>
      </w:r>
      <w:r w:rsidR="003E35A0" w:rsidRPr="00B35460">
        <w:rPr>
          <w:lang w:val="en-CA"/>
        </w:rPr>
        <w:t xml:space="preserve"> </w:t>
      </w:r>
      <w:r w:rsidRPr="00B35460">
        <w:rPr>
          <w:lang w:val="en-CA"/>
        </w:rPr>
        <w:t xml:space="preserve">the proposal, that is, 7.20% of the amount they could be awarded in the judgment to be rendered in the Civil </w:t>
      </w:r>
      <w:r w:rsidR="009E6D6C">
        <w:rPr>
          <w:lang w:val="en-CA"/>
        </w:rPr>
        <w:t>C</w:t>
      </w:r>
      <w:r w:rsidRPr="00B35460">
        <w:rPr>
          <w:lang w:val="en-CA"/>
        </w:rPr>
        <w:t>laim file.</w:t>
      </w:r>
      <w:r w:rsidR="00B363F2" w:rsidRPr="00B35460">
        <w:rPr>
          <w:lang w:val="en-CA"/>
        </w:rPr>
        <w:t xml:space="preserve"> </w:t>
      </w:r>
      <w:r w:rsidRPr="00B35460">
        <w:rPr>
          <w:lang w:val="en-CA"/>
        </w:rPr>
        <w:t xml:space="preserve">The Civil </w:t>
      </w:r>
      <w:r w:rsidR="009E6D6C">
        <w:rPr>
          <w:lang w:val="en-CA"/>
        </w:rPr>
        <w:t>C</w:t>
      </w:r>
      <w:r w:rsidRPr="00B35460">
        <w:rPr>
          <w:lang w:val="en-CA"/>
        </w:rPr>
        <w:t xml:space="preserve">laim </w:t>
      </w:r>
      <w:r w:rsidR="005E140E">
        <w:rPr>
          <w:lang w:val="en-CA"/>
        </w:rPr>
        <w:t>wa</w:t>
      </w:r>
      <w:r w:rsidRPr="00B35460">
        <w:rPr>
          <w:lang w:val="en-CA"/>
        </w:rPr>
        <w:t xml:space="preserve">s suspended until the </w:t>
      </w:r>
      <w:r w:rsidR="0055589F">
        <w:rPr>
          <w:lang w:val="en-CA"/>
        </w:rPr>
        <w:t>Appellant</w:t>
      </w:r>
      <w:r w:rsidRPr="00B35460">
        <w:rPr>
          <w:lang w:val="en-CA"/>
        </w:rPr>
        <w:t xml:space="preserve">s' application for a declaratory </w:t>
      </w:r>
      <w:r w:rsidR="00C443D4" w:rsidRPr="00B35460">
        <w:rPr>
          <w:lang w:val="en-CA"/>
        </w:rPr>
        <w:t>judgment</w:t>
      </w:r>
      <w:r w:rsidRPr="00B35460">
        <w:rPr>
          <w:lang w:val="en-CA"/>
        </w:rPr>
        <w:t xml:space="preserve"> is decided.</w:t>
      </w:r>
    </w:p>
    <w:p w14:paraId="7D347771" w14:textId="6235D68A" w:rsidR="00120640" w:rsidRPr="00B35460" w:rsidRDefault="00B35460" w:rsidP="00120640">
      <w:pPr>
        <w:pStyle w:val="Paragraphe"/>
        <w:spacing w:line="280" w:lineRule="exact"/>
        <w:rPr>
          <w:lang w:val="en-CA"/>
        </w:rPr>
      </w:pPr>
      <w:r w:rsidRPr="00501215">
        <w:rPr>
          <w:lang w:val="en-CA"/>
        </w:rPr>
        <w:lastRenderedPageBreak/>
        <w:t xml:space="preserve">On April 15, 2021, the Superior Court, District of Terrebonne (the Honourable Élise </w:t>
      </w:r>
      <w:r w:rsidR="00C443D4" w:rsidRPr="00501215">
        <w:rPr>
          <w:lang w:val="en-CA"/>
        </w:rPr>
        <w:t>Poisson</w:t>
      </w:r>
      <w:r w:rsidRPr="00501215">
        <w:rPr>
          <w:lang w:val="en-CA"/>
        </w:rPr>
        <w:t xml:space="preserve">), dismissed the application for a declaratory </w:t>
      </w:r>
      <w:r w:rsidR="00C443D4" w:rsidRPr="00501215">
        <w:rPr>
          <w:lang w:val="en-CA"/>
        </w:rPr>
        <w:t>judgment</w:t>
      </w:r>
      <w:r w:rsidRPr="00501215">
        <w:rPr>
          <w:lang w:val="en-CA"/>
        </w:rPr>
        <w:t>.</w:t>
      </w:r>
      <w:r w:rsidRPr="00501215">
        <w:rPr>
          <w:vertAlign w:val="superscript"/>
        </w:rPr>
        <w:footnoteReference w:id="2"/>
      </w:r>
      <w:r w:rsidR="00B363F2" w:rsidRPr="00B35460">
        <w:rPr>
          <w:lang w:val="en-CA"/>
        </w:rPr>
        <w:t xml:space="preserve"> </w:t>
      </w:r>
      <w:r w:rsidR="00C443D4">
        <w:rPr>
          <w:lang w:val="en-CA"/>
        </w:rPr>
        <w:t>Borrowing</w:t>
      </w:r>
      <w:r w:rsidRPr="00B35460">
        <w:rPr>
          <w:lang w:val="en-CA"/>
        </w:rPr>
        <w:t xml:space="preserve"> the logic used by the Court in </w:t>
      </w:r>
      <w:r w:rsidRPr="00B35460">
        <w:rPr>
          <w:i/>
          <w:lang w:val="en-CA"/>
        </w:rPr>
        <w:t>Axa Assurances inc. c. Immeuble Saratoga inc.</w:t>
      </w:r>
      <w:r w:rsidR="007E0FC1">
        <w:rPr>
          <w:iCs/>
          <w:lang w:val="en-CA"/>
        </w:rPr>
        <w:t>,</w:t>
      </w:r>
      <w:r>
        <w:rPr>
          <w:vertAlign w:val="superscript"/>
        </w:rPr>
        <w:footnoteReference w:id="3"/>
      </w:r>
      <w:r w:rsidRPr="00B35460">
        <w:rPr>
          <w:lang w:val="en-CA"/>
        </w:rPr>
        <w:t xml:space="preserve"> where the facts were similar to those in </w:t>
      </w:r>
      <w:r w:rsidR="00523788">
        <w:rPr>
          <w:lang w:val="en-CA"/>
        </w:rPr>
        <w:t xml:space="preserve">the </w:t>
      </w:r>
      <w:r w:rsidRPr="00B35460">
        <w:rPr>
          <w:lang w:val="en-CA"/>
        </w:rPr>
        <w:t>case</w:t>
      </w:r>
      <w:r w:rsidR="00523788">
        <w:rPr>
          <w:lang w:val="en-CA"/>
        </w:rPr>
        <w:t xml:space="preserve"> at bar</w:t>
      </w:r>
      <w:r w:rsidRPr="00B35460">
        <w:rPr>
          <w:lang w:val="en-CA"/>
        </w:rPr>
        <w:t xml:space="preserve">, the </w:t>
      </w:r>
      <w:r w:rsidR="00C443D4" w:rsidRPr="00B35460">
        <w:rPr>
          <w:lang w:val="en-CA"/>
        </w:rPr>
        <w:t>judge</w:t>
      </w:r>
      <w:r w:rsidRPr="00B35460">
        <w:rPr>
          <w:lang w:val="en-CA"/>
        </w:rPr>
        <w:t xml:space="preserve"> determined that a buyer's right of action for latent defects </w:t>
      </w:r>
      <w:r w:rsidR="00CB1DFE">
        <w:rPr>
          <w:lang w:val="en-CA"/>
        </w:rPr>
        <w:t xml:space="preserve">arises </w:t>
      </w:r>
      <w:r w:rsidRPr="00B35460">
        <w:rPr>
          <w:lang w:val="en-CA"/>
        </w:rPr>
        <w:t>only when the defects affecting the immovable become known</w:t>
      </w:r>
      <w:r w:rsidR="00BC014C">
        <w:rPr>
          <w:lang w:val="en-CA"/>
        </w:rPr>
        <w:t xml:space="preserve"> to the buyer</w:t>
      </w:r>
      <w:r w:rsidRPr="00B35460">
        <w:rPr>
          <w:lang w:val="en-CA"/>
        </w:rPr>
        <w:t>.</w:t>
      </w:r>
      <w:r>
        <w:rPr>
          <w:vertAlign w:val="superscript"/>
        </w:rPr>
        <w:footnoteReference w:id="4"/>
      </w:r>
      <w:r w:rsidR="00B363F2" w:rsidRPr="00B35460">
        <w:rPr>
          <w:lang w:val="en-CA"/>
        </w:rPr>
        <w:t xml:space="preserve"> </w:t>
      </w:r>
      <w:r w:rsidRPr="00B35460">
        <w:rPr>
          <w:lang w:val="en-CA"/>
        </w:rPr>
        <w:t xml:space="preserve">She therefore concluded that the </w:t>
      </w:r>
      <w:r w:rsidR="00753860">
        <w:rPr>
          <w:lang w:val="en-CA"/>
        </w:rPr>
        <w:t>Respondent</w:t>
      </w:r>
      <w:r w:rsidRPr="00B35460">
        <w:rPr>
          <w:lang w:val="en-CA"/>
        </w:rPr>
        <w:t xml:space="preserve">s could not </w:t>
      </w:r>
      <w:r w:rsidR="00693518">
        <w:rPr>
          <w:lang w:val="en-CA"/>
        </w:rPr>
        <w:t xml:space="preserve">have </w:t>
      </w:r>
      <w:r w:rsidRPr="00B35460">
        <w:rPr>
          <w:lang w:val="en-CA"/>
        </w:rPr>
        <w:t>present</w:t>
      </w:r>
      <w:r w:rsidR="00693518">
        <w:rPr>
          <w:lang w:val="en-CA"/>
        </w:rPr>
        <w:t>ed</w:t>
      </w:r>
      <w:r w:rsidRPr="00B35460">
        <w:rPr>
          <w:lang w:val="en-CA"/>
        </w:rPr>
        <w:t xml:space="preserve"> </w:t>
      </w:r>
      <w:r w:rsidR="00693518">
        <w:rPr>
          <w:lang w:val="en-CA"/>
        </w:rPr>
        <w:t xml:space="preserve">a </w:t>
      </w:r>
      <w:r w:rsidRPr="00B35460">
        <w:rPr>
          <w:lang w:val="en-CA"/>
        </w:rPr>
        <w:t>claim against the</w:t>
      </w:r>
      <w:r w:rsidR="00C443D4">
        <w:rPr>
          <w:lang w:val="en-CA"/>
        </w:rPr>
        <w:t xml:space="preserve"> </w:t>
      </w:r>
      <w:r w:rsidR="0055589F">
        <w:rPr>
          <w:lang w:val="en-CA"/>
        </w:rPr>
        <w:t>Appellant</w:t>
      </w:r>
      <w:r w:rsidRPr="00B35460">
        <w:rPr>
          <w:lang w:val="en-CA"/>
        </w:rPr>
        <w:t>s when the proposal was filed because nothing at the time indicated that the immovable was affected by such defects.</w:t>
      </w:r>
      <w:r w:rsidR="00B363F2" w:rsidRPr="00B35460">
        <w:rPr>
          <w:lang w:val="en-CA"/>
        </w:rPr>
        <w:t xml:space="preserve"> </w:t>
      </w:r>
      <w:r w:rsidRPr="00B35460">
        <w:rPr>
          <w:lang w:val="en-CA"/>
        </w:rPr>
        <w:t xml:space="preserve">Accordingly, </w:t>
      </w:r>
      <w:r w:rsidR="00525574">
        <w:rPr>
          <w:lang w:val="en-CA"/>
        </w:rPr>
        <w:t xml:space="preserve">she found that the claim </w:t>
      </w:r>
      <w:r w:rsidRPr="00B35460">
        <w:rPr>
          <w:lang w:val="en-CA"/>
        </w:rPr>
        <w:t xml:space="preserve">is not a provable claim </w:t>
      </w:r>
      <w:r w:rsidR="007007B6">
        <w:rPr>
          <w:lang w:val="en-CA"/>
        </w:rPr>
        <w:t>under</w:t>
      </w:r>
      <w:r w:rsidRPr="00B35460">
        <w:rPr>
          <w:lang w:val="en-CA"/>
        </w:rPr>
        <w:t xml:space="preserve"> the proposal and the </w:t>
      </w:r>
      <w:r w:rsidR="0055589F">
        <w:rPr>
          <w:lang w:val="en-CA"/>
        </w:rPr>
        <w:t>Appellant</w:t>
      </w:r>
      <w:r w:rsidRPr="00B35460">
        <w:rPr>
          <w:lang w:val="en-CA"/>
        </w:rPr>
        <w:t xml:space="preserve">s are not released </w:t>
      </w:r>
      <w:r w:rsidR="00525574">
        <w:rPr>
          <w:lang w:val="en-CA"/>
        </w:rPr>
        <w:t>there</w:t>
      </w:r>
      <w:r w:rsidRPr="00B35460">
        <w:rPr>
          <w:lang w:val="en-CA"/>
        </w:rPr>
        <w:t>from.</w:t>
      </w:r>
    </w:p>
    <w:p w14:paraId="60D7217C" w14:textId="1C5721BA" w:rsidR="00120640" w:rsidRPr="00501215" w:rsidRDefault="00B35460" w:rsidP="00120640">
      <w:pPr>
        <w:pStyle w:val="Paragraphe"/>
        <w:spacing w:line="280" w:lineRule="exact"/>
        <w:rPr>
          <w:lang w:val="en-CA"/>
        </w:rPr>
      </w:pPr>
      <w:r w:rsidRPr="00501215">
        <w:rPr>
          <w:lang w:val="en-CA"/>
        </w:rPr>
        <w:t>Th</w:t>
      </w:r>
      <w:r w:rsidR="007007B6">
        <w:rPr>
          <w:lang w:val="en-CA"/>
        </w:rPr>
        <w:t>at</w:t>
      </w:r>
      <w:r w:rsidRPr="00501215">
        <w:rPr>
          <w:lang w:val="en-CA"/>
        </w:rPr>
        <w:t xml:space="preserve"> judgment is the subject of this appeal.</w:t>
      </w:r>
    </w:p>
    <w:p w14:paraId="382C8091" w14:textId="2F6347B4" w:rsidR="00120640" w:rsidRPr="00501215" w:rsidRDefault="00B35460" w:rsidP="00120640">
      <w:pPr>
        <w:pStyle w:val="Paragraphe"/>
        <w:numPr>
          <w:ilvl w:val="0"/>
          <w:numId w:val="0"/>
        </w:numPr>
        <w:spacing w:line="280" w:lineRule="exact"/>
        <w:rPr>
          <w:b/>
          <w:bCs/>
          <w:lang w:val="en-CA"/>
        </w:rPr>
      </w:pPr>
      <w:r w:rsidRPr="00501215">
        <w:rPr>
          <w:b/>
          <w:bCs/>
          <w:lang w:val="en-CA"/>
        </w:rPr>
        <w:t>ANALYSIS</w:t>
      </w:r>
    </w:p>
    <w:p w14:paraId="1E4D1172" w14:textId="2B0C10D7" w:rsidR="00120640" w:rsidRPr="00501215" w:rsidRDefault="00B35460" w:rsidP="00B12768">
      <w:pPr>
        <w:spacing w:before="120" w:after="120"/>
        <w:ind w:left="1066" w:hanging="357"/>
        <w:jc w:val="both"/>
        <w:outlineLvl w:val="0"/>
        <w:rPr>
          <w:b/>
          <w:kern w:val="28"/>
          <w:lang w:val="en-CA"/>
        </w:rPr>
      </w:pPr>
      <w:r w:rsidRPr="00501215">
        <w:rPr>
          <w:b/>
          <w:kern w:val="28"/>
          <w:lang w:val="en-CA"/>
        </w:rPr>
        <w:t xml:space="preserve">Relevant provisions of the </w:t>
      </w:r>
      <w:r w:rsidRPr="00501215">
        <w:rPr>
          <w:b/>
          <w:i/>
          <w:kern w:val="28"/>
          <w:lang w:val="en-CA"/>
        </w:rPr>
        <w:t>BIA</w:t>
      </w:r>
    </w:p>
    <w:p w14:paraId="0DA302EE" w14:textId="567BFF13" w:rsidR="00120640" w:rsidRPr="00B35460" w:rsidRDefault="007007B6" w:rsidP="00120640">
      <w:pPr>
        <w:pStyle w:val="Paragraphe"/>
        <w:spacing w:line="280" w:lineRule="exact"/>
        <w:rPr>
          <w:lang w:val="en-CA"/>
        </w:rPr>
      </w:pPr>
      <w:r>
        <w:rPr>
          <w:lang w:val="en-CA"/>
        </w:rPr>
        <w:t>Section</w:t>
      </w:r>
      <w:r w:rsidR="00B35460" w:rsidRPr="00B35460">
        <w:rPr>
          <w:lang w:val="en-CA"/>
        </w:rPr>
        <w:t xml:space="preserve"> 178(2) </w:t>
      </w:r>
      <w:r w:rsidR="00B35460" w:rsidRPr="007007B6">
        <w:rPr>
          <w:i/>
          <w:iCs/>
          <w:lang w:val="en-CA"/>
        </w:rPr>
        <w:t>BIA</w:t>
      </w:r>
      <w:r w:rsidR="00B35460" w:rsidRPr="00B35460">
        <w:rPr>
          <w:lang w:val="en-CA"/>
        </w:rPr>
        <w:t xml:space="preserve"> </w:t>
      </w:r>
      <w:r>
        <w:rPr>
          <w:lang w:val="en-CA"/>
        </w:rPr>
        <w:t>states</w:t>
      </w:r>
      <w:r w:rsidR="00B35460" w:rsidRPr="00B35460">
        <w:rPr>
          <w:lang w:val="en-CA"/>
        </w:rPr>
        <w:t xml:space="preserve"> the principle that </w:t>
      </w:r>
      <w:r w:rsidR="00C11CB0">
        <w:rPr>
          <w:lang w:val="en-CA"/>
        </w:rPr>
        <w:t>the</w:t>
      </w:r>
      <w:r w:rsidR="00C11CB0" w:rsidRPr="00B35460">
        <w:rPr>
          <w:lang w:val="en-CA"/>
        </w:rPr>
        <w:t xml:space="preserve"> </w:t>
      </w:r>
      <w:r w:rsidR="00B35460" w:rsidRPr="00B35460">
        <w:rPr>
          <w:lang w:val="en-CA"/>
        </w:rPr>
        <w:t xml:space="preserve">order of discharge releases the </w:t>
      </w:r>
      <w:r w:rsidR="003A20F8">
        <w:rPr>
          <w:lang w:val="en-CA"/>
        </w:rPr>
        <w:t xml:space="preserve">debtor </w:t>
      </w:r>
      <w:r w:rsidR="00B35460" w:rsidRPr="00B35460">
        <w:rPr>
          <w:lang w:val="en-CA"/>
        </w:rPr>
        <w:t xml:space="preserve">from all </w:t>
      </w:r>
      <w:r w:rsidR="008825EE">
        <w:rPr>
          <w:lang w:val="en-CA"/>
        </w:rPr>
        <w:t>claims</w:t>
      </w:r>
      <w:r w:rsidR="00F07A99">
        <w:rPr>
          <w:lang w:val="en-CA"/>
        </w:rPr>
        <w:t xml:space="preserve"> provable in bankruptcy</w:t>
      </w:r>
      <w:r w:rsidR="00B35460" w:rsidRPr="00B35460">
        <w:rPr>
          <w:lang w:val="en-CA"/>
        </w:rPr>
        <w:t>, except in those cases outlined in paragraph (1):</w:t>
      </w:r>
    </w:p>
    <w:tbl>
      <w:tblPr>
        <w:tblW w:w="0" w:type="auto"/>
        <w:tblCellMar>
          <w:left w:w="70" w:type="dxa"/>
          <w:right w:w="70" w:type="dxa"/>
        </w:tblCellMar>
        <w:tblLook w:val="0000" w:firstRow="0" w:lastRow="0" w:firstColumn="0" w:lastColumn="0" w:noHBand="0" w:noVBand="0"/>
      </w:tblPr>
      <w:tblGrid>
        <w:gridCol w:w="4689"/>
        <w:gridCol w:w="4673"/>
      </w:tblGrid>
      <w:tr w:rsidR="00043FD3" w:rsidRPr="00970795" w14:paraId="644682CE" w14:textId="77777777" w:rsidTr="00131896">
        <w:tc>
          <w:tcPr>
            <w:tcW w:w="4689" w:type="dxa"/>
          </w:tcPr>
          <w:p w14:paraId="41B426FF" w14:textId="1825C0ED" w:rsidR="00120640" w:rsidRPr="007444D2" w:rsidRDefault="008825EE" w:rsidP="00120640">
            <w:pPr>
              <w:ind w:left="720" w:right="142"/>
              <w:jc w:val="both"/>
              <w:rPr>
                <w:b/>
                <w:bCs/>
                <w:sz w:val="22"/>
                <w:shd w:val="clear" w:color="auto" w:fill="FFFFFF"/>
                <w:lang w:val="en-CA"/>
              </w:rPr>
            </w:pPr>
            <w:r w:rsidRPr="007444D2">
              <w:rPr>
                <w:b/>
                <w:bCs/>
                <w:sz w:val="22"/>
                <w:shd w:val="clear" w:color="auto" w:fill="FFFFFF"/>
                <w:lang w:val="en-CA"/>
              </w:rPr>
              <w:t xml:space="preserve">Debts not released by order of discharge </w:t>
            </w:r>
          </w:p>
          <w:p w14:paraId="3748E9DE" w14:textId="77777777" w:rsidR="00120640" w:rsidRPr="007444D2" w:rsidRDefault="00120640" w:rsidP="00120640">
            <w:pPr>
              <w:ind w:right="142"/>
              <w:jc w:val="both"/>
              <w:rPr>
                <w:sz w:val="22"/>
                <w:lang w:val="en-CA"/>
              </w:rPr>
            </w:pPr>
          </w:p>
        </w:tc>
        <w:tc>
          <w:tcPr>
            <w:tcW w:w="4673" w:type="dxa"/>
          </w:tcPr>
          <w:p w14:paraId="0340AC57" w14:textId="43C201B2" w:rsidR="00120640" w:rsidRPr="007444D2" w:rsidRDefault="008825EE" w:rsidP="00120640">
            <w:pPr>
              <w:ind w:left="144" w:right="720"/>
              <w:jc w:val="both"/>
              <w:rPr>
                <w:b/>
                <w:bCs/>
                <w:sz w:val="22"/>
              </w:rPr>
            </w:pPr>
            <w:r w:rsidRPr="007444D2">
              <w:rPr>
                <w:b/>
                <w:bCs/>
                <w:sz w:val="22"/>
              </w:rPr>
              <w:t>L’ordonnance de libération ne libère pas des dettes</w:t>
            </w:r>
          </w:p>
          <w:p w14:paraId="63202C0B" w14:textId="77777777" w:rsidR="00120640" w:rsidRPr="005E0F2A" w:rsidRDefault="00120640" w:rsidP="00120640">
            <w:pPr>
              <w:ind w:right="720"/>
              <w:jc w:val="both"/>
              <w:rPr>
                <w:sz w:val="22"/>
                <w:lang w:val="en-CA"/>
              </w:rPr>
            </w:pPr>
          </w:p>
        </w:tc>
      </w:tr>
      <w:tr w:rsidR="00043FD3" w:rsidRPr="007007B6" w14:paraId="2C64FB9D" w14:textId="77777777" w:rsidTr="00131896">
        <w:tc>
          <w:tcPr>
            <w:tcW w:w="4689" w:type="dxa"/>
          </w:tcPr>
          <w:p w14:paraId="0014FD65" w14:textId="5AFA85FB" w:rsidR="00120640" w:rsidRPr="00566EA6" w:rsidRDefault="007007B6" w:rsidP="00120640">
            <w:pPr>
              <w:ind w:left="720" w:right="142"/>
              <w:jc w:val="both"/>
              <w:rPr>
                <w:sz w:val="22"/>
                <w:lang w:val="en-CA"/>
              </w:rPr>
            </w:pPr>
            <w:r w:rsidRPr="00501215">
              <w:rPr>
                <w:b/>
                <w:bCs/>
                <w:sz w:val="22"/>
                <w:lang w:val="en-CA"/>
              </w:rPr>
              <w:t>178 (1)</w:t>
            </w:r>
            <w:r w:rsidRPr="00501215">
              <w:rPr>
                <w:bCs/>
                <w:sz w:val="22"/>
                <w:lang w:val="en-CA"/>
              </w:rPr>
              <w:t xml:space="preserve"> An order of discharge does not release the bankrupt from</w:t>
            </w:r>
            <w:r w:rsidRPr="00566EA6">
              <w:rPr>
                <w:b/>
                <w:bCs/>
                <w:sz w:val="22"/>
                <w:lang w:val="en-CA"/>
              </w:rPr>
              <w:t xml:space="preserve"> </w:t>
            </w:r>
          </w:p>
          <w:p w14:paraId="4049B607" w14:textId="77777777" w:rsidR="00120640" w:rsidRPr="00566EA6" w:rsidRDefault="00120640" w:rsidP="00120640">
            <w:pPr>
              <w:ind w:left="720" w:right="142"/>
              <w:jc w:val="both"/>
              <w:rPr>
                <w:b/>
                <w:bCs/>
                <w:sz w:val="22"/>
                <w:shd w:val="clear" w:color="auto" w:fill="FFFFFF"/>
                <w:lang w:val="en-CA"/>
              </w:rPr>
            </w:pPr>
          </w:p>
        </w:tc>
        <w:tc>
          <w:tcPr>
            <w:tcW w:w="4673" w:type="dxa"/>
          </w:tcPr>
          <w:p w14:paraId="66D8F612" w14:textId="57F2C626" w:rsidR="00120640" w:rsidRPr="007007B6" w:rsidRDefault="007007B6" w:rsidP="00120640">
            <w:pPr>
              <w:ind w:left="144" w:right="720"/>
              <w:jc w:val="both"/>
              <w:rPr>
                <w:sz w:val="22"/>
              </w:rPr>
            </w:pPr>
            <w:r w:rsidRPr="00501215">
              <w:rPr>
                <w:b/>
                <w:bCs/>
                <w:sz w:val="22"/>
              </w:rPr>
              <w:t>178 (1)</w:t>
            </w:r>
            <w:r w:rsidRPr="00501215">
              <w:rPr>
                <w:bCs/>
                <w:sz w:val="22"/>
              </w:rPr>
              <w:t xml:space="preserve"> Une ordonnance de libération ne libère pas le failli :</w:t>
            </w:r>
          </w:p>
        </w:tc>
      </w:tr>
      <w:tr w:rsidR="00043FD3" w:rsidRPr="007007B6" w14:paraId="0DB6494A" w14:textId="77777777" w:rsidTr="00131896">
        <w:tc>
          <w:tcPr>
            <w:tcW w:w="4689" w:type="dxa"/>
          </w:tcPr>
          <w:p w14:paraId="39157F2A" w14:textId="367568D1" w:rsidR="00120640" w:rsidRPr="00566EA6" w:rsidRDefault="007007B6" w:rsidP="00120640">
            <w:pPr>
              <w:ind w:left="720"/>
              <w:jc w:val="both"/>
              <w:rPr>
                <w:kern w:val="28"/>
                <w:sz w:val="22"/>
                <w:szCs w:val="22"/>
                <w:lang w:val="en-CA"/>
              </w:rPr>
            </w:pPr>
            <w:r w:rsidRPr="00566EA6">
              <w:rPr>
                <w:b/>
                <w:bCs/>
                <w:sz w:val="22"/>
                <w:lang w:val="en-CA"/>
              </w:rPr>
              <w:t>(a)</w:t>
            </w:r>
            <w:r w:rsidRPr="00566EA6">
              <w:rPr>
                <w:bCs/>
                <w:sz w:val="22"/>
                <w:lang w:val="en-CA"/>
              </w:rPr>
              <w:t xml:space="preserve"> any fine, penalty, restitution order or other order similar in nature to a fine, penalty or restitution order, imposed by a court in respect of an offence, or any debt arising out of a recognizance or bail; </w:t>
            </w:r>
          </w:p>
          <w:p w14:paraId="08BC52E4" w14:textId="77777777" w:rsidR="00120640" w:rsidRPr="00566EA6" w:rsidRDefault="00120640" w:rsidP="00120640">
            <w:pPr>
              <w:ind w:left="720" w:right="142"/>
              <w:jc w:val="both"/>
              <w:rPr>
                <w:b/>
                <w:bCs/>
                <w:sz w:val="22"/>
                <w:shd w:val="clear" w:color="auto" w:fill="FFFFFF"/>
                <w:lang w:val="en-CA"/>
              </w:rPr>
            </w:pPr>
          </w:p>
        </w:tc>
        <w:tc>
          <w:tcPr>
            <w:tcW w:w="4673" w:type="dxa"/>
          </w:tcPr>
          <w:p w14:paraId="3BC4A622" w14:textId="03FBEBB0" w:rsidR="00120640" w:rsidRPr="007007B6" w:rsidRDefault="007007B6" w:rsidP="00120640">
            <w:pPr>
              <w:ind w:left="144" w:right="720"/>
              <w:jc w:val="both"/>
              <w:rPr>
                <w:sz w:val="22"/>
              </w:rPr>
            </w:pPr>
            <w:r w:rsidRPr="00501215">
              <w:rPr>
                <w:b/>
                <w:bCs/>
                <w:kern w:val="28"/>
                <w:sz w:val="22"/>
                <w:szCs w:val="22"/>
                <w:lang w:val="fr-FR"/>
              </w:rPr>
              <w:t>a)</w:t>
            </w:r>
            <w:r w:rsidRPr="00501215">
              <w:rPr>
                <w:bCs/>
                <w:kern w:val="28"/>
                <w:sz w:val="22"/>
                <w:szCs w:val="22"/>
                <w:lang w:val="fr-FR"/>
              </w:rPr>
              <w:t xml:space="preserve"> de toute amende, pénalité, ordonnance de restitution ou toute ordonnance similaire infligée ou rendue par un tribunal, ou de toute autre dette provenant d’un engagement ou d’un cautionnement en matière pénale;</w:t>
            </w:r>
          </w:p>
          <w:p w14:paraId="02262DC3" w14:textId="20A4D1F2" w:rsidR="00120640" w:rsidRPr="007007B6" w:rsidRDefault="00120640" w:rsidP="00120640">
            <w:pPr>
              <w:ind w:left="144" w:right="720"/>
              <w:jc w:val="both"/>
              <w:rPr>
                <w:sz w:val="22"/>
              </w:rPr>
            </w:pPr>
          </w:p>
        </w:tc>
      </w:tr>
      <w:tr w:rsidR="00043FD3" w14:paraId="09BFA54A" w14:textId="77777777" w:rsidTr="00131896">
        <w:tc>
          <w:tcPr>
            <w:tcW w:w="4689" w:type="dxa"/>
          </w:tcPr>
          <w:p w14:paraId="25265F3F" w14:textId="215C0AE8" w:rsidR="00120640" w:rsidRPr="005E0F2A" w:rsidRDefault="00B35460" w:rsidP="00120640">
            <w:pPr>
              <w:ind w:left="720"/>
              <w:jc w:val="both"/>
              <w:rPr>
                <w:kern w:val="28"/>
                <w:sz w:val="22"/>
                <w:szCs w:val="22"/>
                <w:lang w:val="fr-FR"/>
              </w:rPr>
            </w:pPr>
            <w:r>
              <w:rPr>
                <w:kern w:val="28"/>
                <w:sz w:val="22"/>
                <w:szCs w:val="22"/>
                <w:lang w:val="fr-FR"/>
              </w:rPr>
              <w:t>…</w:t>
            </w:r>
          </w:p>
          <w:p w14:paraId="4C20C9AE" w14:textId="77777777" w:rsidR="00120640" w:rsidRPr="005E0F2A" w:rsidRDefault="00120640" w:rsidP="00120640">
            <w:pPr>
              <w:ind w:left="57"/>
              <w:jc w:val="both"/>
              <w:rPr>
                <w:rFonts w:ascii="Helvetica" w:hAnsi="Helvetica" w:cs="Helvetica"/>
                <w:b/>
                <w:bCs/>
                <w:color w:val="333333"/>
                <w:kern w:val="28"/>
                <w:sz w:val="22"/>
                <w:szCs w:val="22"/>
                <w:shd w:val="clear" w:color="auto" w:fill="FFFFFF"/>
              </w:rPr>
            </w:pPr>
          </w:p>
        </w:tc>
        <w:tc>
          <w:tcPr>
            <w:tcW w:w="4673" w:type="dxa"/>
          </w:tcPr>
          <w:p w14:paraId="20E5F13A" w14:textId="01253F9B" w:rsidR="00120640" w:rsidRPr="005E0F2A" w:rsidRDefault="00B35460" w:rsidP="00120640">
            <w:pPr>
              <w:ind w:left="144" w:right="720"/>
              <w:jc w:val="both"/>
              <w:rPr>
                <w:sz w:val="22"/>
                <w:lang w:val="en-CA"/>
              </w:rPr>
            </w:pPr>
            <w:r>
              <w:rPr>
                <w:sz w:val="22"/>
                <w:lang w:val="en-CA"/>
              </w:rPr>
              <w:t>…</w:t>
            </w:r>
          </w:p>
          <w:p w14:paraId="30640FD1" w14:textId="77777777" w:rsidR="00120640" w:rsidRPr="005E0F2A" w:rsidRDefault="00120640" w:rsidP="00120640">
            <w:pPr>
              <w:ind w:left="144" w:right="720"/>
              <w:jc w:val="both"/>
              <w:rPr>
                <w:sz w:val="22"/>
                <w:lang w:val="en-CA"/>
              </w:rPr>
            </w:pPr>
          </w:p>
        </w:tc>
      </w:tr>
      <w:tr w:rsidR="00043FD3" w:rsidRPr="007007B6" w14:paraId="64529D51" w14:textId="77777777" w:rsidTr="00131896">
        <w:tc>
          <w:tcPr>
            <w:tcW w:w="4689" w:type="dxa"/>
          </w:tcPr>
          <w:p w14:paraId="1834ABA0" w14:textId="50FBCD2F" w:rsidR="00120640" w:rsidRPr="007007B6" w:rsidRDefault="007007B6" w:rsidP="00120640">
            <w:pPr>
              <w:ind w:left="720"/>
              <w:jc w:val="both"/>
              <w:rPr>
                <w:kern w:val="28"/>
                <w:sz w:val="22"/>
                <w:szCs w:val="22"/>
                <w:lang w:val="en-CA"/>
              </w:rPr>
            </w:pPr>
            <w:r w:rsidRPr="007007B6">
              <w:rPr>
                <w:b/>
                <w:bCs/>
                <w:sz w:val="22"/>
                <w:lang w:val="en-CA"/>
              </w:rPr>
              <w:t>(f)</w:t>
            </w:r>
            <w:r w:rsidRPr="007007B6">
              <w:rPr>
                <w:bCs/>
                <w:sz w:val="22"/>
                <w:lang w:val="en-CA"/>
              </w:rPr>
              <w:t xml:space="preserve"> liability for the dividend that a creditor would have been entitled to receive on any provable claim not disclosed to the trustee, unless the creditor had notice or knowledge of the bankruptcy and </w:t>
            </w:r>
            <w:r w:rsidRPr="007007B6">
              <w:rPr>
                <w:bCs/>
                <w:sz w:val="22"/>
                <w:lang w:val="en-CA"/>
              </w:rPr>
              <w:lastRenderedPageBreak/>
              <w:t>failed to take reasonable action to prove his claim;</w:t>
            </w:r>
            <w:r w:rsidRPr="007007B6">
              <w:rPr>
                <w:b/>
                <w:bCs/>
                <w:kern w:val="28"/>
                <w:sz w:val="22"/>
                <w:szCs w:val="22"/>
                <w:lang w:val="en-CA"/>
              </w:rPr>
              <w:t xml:space="preserve"> </w:t>
            </w:r>
          </w:p>
          <w:p w14:paraId="37A8E541" w14:textId="77777777" w:rsidR="00120640" w:rsidRPr="007007B6" w:rsidRDefault="00120640" w:rsidP="00120640">
            <w:pPr>
              <w:ind w:left="57"/>
              <w:jc w:val="both"/>
              <w:rPr>
                <w:rFonts w:ascii="Helvetica" w:hAnsi="Helvetica" w:cs="Helvetica"/>
                <w:b/>
                <w:bCs/>
                <w:color w:val="333333"/>
                <w:kern w:val="28"/>
                <w:sz w:val="22"/>
                <w:szCs w:val="22"/>
                <w:shd w:val="clear" w:color="auto" w:fill="FFFFFF"/>
                <w:lang w:val="en-CA"/>
              </w:rPr>
            </w:pPr>
          </w:p>
        </w:tc>
        <w:tc>
          <w:tcPr>
            <w:tcW w:w="4673" w:type="dxa"/>
          </w:tcPr>
          <w:p w14:paraId="656FB711" w14:textId="5379F540" w:rsidR="00120640" w:rsidRPr="007007B6" w:rsidRDefault="007007B6" w:rsidP="00120640">
            <w:pPr>
              <w:ind w:left="144" w:right="720"/>
              <w:jc w:val="both"/>
              <w:rPr>
                <w:sz w:val="22"/>
              </w:rPr>
            </w:pPr>
            <w:r w:rsidRPr="00501215">
              <w:rPr>
                <w:b/>
                <w:bCs/>
                <w:kern w:val="28"/>
                <w:sz w:val="22"/>
                <w:szCs w:val="22"/>
                <w:lang w:val="fr-FR"/>
              </w:rPr>
              <w:lastRenderedPageBreak/>
              <w:t>f)</w:t>
            </w:r>
            <w:r w:rsidRPr="00501215">
              <w:rPr>
                <w:bCs/>
                <w:kern w:val="28"/>
                <w:sz w:val="22"/>
                <w:szCs w:val="22"/>
                <w:lang w:val="fr-FR"/>
              </w:rPr>
              <w:t xml:space="preserve"> de l’obligation visant le dividende qu’un créancier aurait eu droit de recevoir sur toute réclamation prouvable non révélée au syndic, à moins que ce créancier n’ait été averti </w:t>
            </w:r>
            <w:r w:rsidRPr="00501215">
              <w:rPr>
                <w:bCs/>
                <w:kern w:val="28"/>
                <w:sz w:val="22"/>
                <w:szCs w:val="22"/>
                <w:lang w:val="fr-FR"/>
              </w:rPr>
              <w:lastRenderedPageBreak/>
              <w:t>ou n’ait eu connaissance de la faillite et n’ait omis de prendre les mesures raisonnables pour prouver sa réclamation;</w:t>
            </w:r>
          </w:p>
          <w:p w14:paraId="09CEF9D2" w14:textId="77777777" w:rsidR="00120640" w:rsidRPr="007007B6" w:rsidRDefault="00120640" w:rsidP="00120640">
            <w:pPr>
              <w:ind w:left="144" w:right="720"/>
              <w:jc w:val="both"/>
              <w:rPr>
                <w:sz w:val="22"/>
              </w:rPr>
            </w:pPr>
          </w:p>
        </w:tc>
      </w:tr>
      <w:tr w:rsidR="00043FD3" w14:paraId="72C2B4D5" w14:textId="77777777" w:rsidTr="00131896">
        <w:tc>
          <w:tcPr>
            <w:tcW w:w="4689" w:type="dxa"/>
          </w:tcPr>
          <w:p w14:paraId="506A16D3" w14:textId="0B06B45D" w:rsidR="00120640" w:rsidRPr="005E0F2A" w:rsidRDefault="00B35460" w:rsidP="00120640">
            <w:pPr>
              <w:ind w:left="720" w:right="142"/>
              <w:jc w:val="both"/>
              <w:rPr>
                <w:sz w:val="22"/>
              </w:rPr>
            </w:pPr>
            <w:r>
              <w:rPr>
                <w:sz w:val="22"/>
              </w:rPr>
              <w:lastRenderedPageBreak/>
              <w:t>…</w:t>
            </w:r>
          </w:p>
          <w:p w14:paraId="10FA73CC" w14:textId="77777777" w:rsidR="00120640" w:rsidRPr="005E0F2A" w:rsidRDefault="00120640" w:rsidP="00120640">
            <w:pPr>
              <w:ind w:left="720" w:right="142"/>
              <w:jc w:val="both"/>
              <w:rPr>
                <w:rFonts w:ascii="Helvetica" w:hAnsi="Helvetica" w:cs="Helvetica"/>
                <w:b/>
                <w:bCs/>
                <w:color w:val="333333"/>
                <w:sz w:val="22"/>
                <w:shd w:val="clear" w:color="auto" w:fill="FFFFFF"/>
              </w:rPr>
            </w:pPr>
          </w:p>
        </w:tc>
        <w:tc>
          <w:tcPr>
            <w:tcW w:w="4673" w:type="dxa"/>
          </w:tcPr>
          <w:p w14:paraId="73391619" w14:textId="269EF8E5" w:rsidR="00120640" w:rsidRPr="005E0F2A" w:rsidRDefault="00B35460" w:rsidP="00120640">
            <w:pPr>
              <w:ind w:left="144" w:right="720"/>
              <w:jc w:val="both"/>
              <w:rPr>
                <w:sz w:val="22"/>
                <w:lang w:val="en-CA"/>
              </w:rPr>
            </w:pPr>
            <w:r>
              <w:rPr>
                <w:sz w:val="22"/>
                <w:lang w:val="en-CA"/>
              </w:rPr>
              <w:t>…</w:t>
            </w:r>
          </w:p>
          <w:p w14:paraId="7011B7BD" w14:textId="77777777" w:rsidR="00120640" w:rsidRPr="005E0F2A" w:rsidRDefault="00120640" w:rsidP="00120640">
            <w:pPr>
              <w:ind w:left="144" w:right="720"/>
              <w:jc w:val="both"/>
              <w:rPr>
                <w:sz w:val="22"/>
                <w:lang w:val="en-CA"/>
              </w:rPr>
            </w:pPr>
          </w:p>
        </w:tc>
      </w:tr>
      <w:tr w:rsidR="00043FD3" w14:paraId="489AB37F" w14:textId="77777777" w:rsidTr="00131896">
        <w:tc>
          <w:tcPr>
            <w:tcW w:w="4689" w:type="dxa"/>
          </w:tcPr>
          <w:p w14:paraId="4EEFAAF2" w14:textId="77777777" w:rsidR="007007B6" w:rsidRPr="00501215" w:rsidRDefault="007007B6" w:rsidP="00FD4C2C">
            <w:pPr>
              <w:ind w:left="781" w:right="720"/>
              <w:jc w:val="both"/>
              <w:rPr>
                <w:b/>
                <w:bCs/>
                <w:sz w:val="22"/>
                <w:lang w:val="en-CA"/>
              </w:rPr>
            </w:pPr>
            <w:r w:rsidRPr="00501215">
              <w:rPr>
                <w:b/>
                <w:bCs/>
                <w:sz w:val="22"/>
                <w:lang w:val="en-CA"/>
              </w:rPr>
              <w:t>Claims released</w:t>
            </w:r>
          </w:p>
          <w:p w14:paraId="4BCC10DB" w14:textId="77777777" w:rsidR="00120640" w:rsidRPr="005E0F2A" w:rsidRDefault="00120640" w:rsidP="007007B6">
            <w:pPr>
              <w:ind w:left="720" w:right="142"/>
              <w:jc w:val="both"/>
              <w:rPr>
                <w:rFonts w:ascii="Helvetica" w:hAnsi="Helvetica" w:cs="Helvetica"/>
                <w:b/>
                <w:bCs/>
                <w:color w:val="333333"/>
                <w:sz w:val="22"/>
                <w:shd w:val="clear" w:color="auto" w:fill="FFFFFF"/>
              </w:rPr>
            </w:pPr>
          </w:p>
        </w:tc>
        <w:tc>
          <w:tcPr>
            <w:tcW w:w="4673" w:type="dxa"/>
          </w:tcPr>
          <w:p w14:paraId="0E924927" w14:textId="77777777" w:rsidR="007007B6" w:rsidRPr="00501215" w:rsidRDefault="007007B6" w:rsidP="00FD4C2C">
            <w:pPr>
              <w:ind w:left="720" w:right="142" w:hanging="518"/>
              <w:jc w:val="both"/>
              <w:rPr>
                <w:sz w:val="22"/>
              </w:rPr>
            </w:pPr>
            <w:r w:rsidRPr="00501215">
              <w:rPr>
                <w:rFonts w:ascii="Helvetica" w:hAnsi="Helvetica" w:cs="Helvetica"/>
                <w:b/>
                <w:bCs/>
                <w:color w:val="333333"/>
                <w:sz w:val="22"/>
                <w:shd w:val="clear" w:color="auto" w:fill="FFFFFF"/>
              </w:rPr>
              <w:t>Réclamations libérées</w:t>
            </w:r>
          </w:p>
          <w:p w14:paraId="600C07F9" w14:textId="77777777" w:rsidR="00120640" w:rsidRPr="005E0F2A" w:rsidRDefault="00120640" w:rsidP="007007B6">
            <w:pPr>
              <w:ind w:left="144" w:right="720"/>
              <w:jc w:val="both"/>
              <w:rPr>
                <w:sz w:val="22"/>
                <w:lang w:val="en-CA"/>
              </w:rPr>
            </w:pPr>
          </w:p>
        </w:tc>
      </w:tr>
      <w:tr w:rsidR="00043FD3" w:rsidRPr="00FD4C2C" w14:paraId="5C14A05F" w14:textId="77777777" w:rsidTr="00131896">
        <w:tc>
          <w:tcPr>
            <w:tcW w:w="4689" w:type="dxa"/>
          </w:tcPr>
          <w:p w14:paraId="0A91DB04" w14:textId="77777777" w:rsidR="00FD4C2C" w:rsidRPr="005E0F2A" w:rsidRDefault="00FD4C2C" w:rsidP="00FD4C2C">
            <w:pPr>
              <w:ind w:left="639" w:right="720"/>
              <w:jc w:val="both"/>
              <w:rPr>
                <w:sz w:val="22"/>
                <w:lang w:val="en-CA"/>
              </w:rPr>
            </w:pPr>
            <w:r>
              <w:rPr>
                <w:b/>
                <w:bCs/>
                <w:sz w:val="22"/>
                <w:lang w:val="en-CA"/>
              </w:rPr>
              <w:t>(2)</w:t>
            </w:r>
            <w:r w:rsidRPr="005E0F2A">
              <w:rPr>
                <w:sz w:val="22"/>
                <w:lang w:val="en-CA"/>
              </w:rPr>
              <w:t xml:space="preserve"> </w:t>
            </w:r>
            <w:r w:rsidRPr="00501215">
              <w:rPr>
                <w:sz w:val="22"/>
                <w:u w:val="single"/>
                <w:lang w:val="en-CA"/>
              </w:rPr>
              <w:t>Subject to subsection (1), an order of discharge releases the bankrupt from all claims provable in bankruptcy</w:t>
            </w:r>
            <w:r w:rsidRPr="00501215">
              <w:rPr>
                <w:sz w:val="22"/>
                <w:lang w:val="en-CA"/>
              </w:rPr>
              <w:t>.</w:t>
            </w:r>
          </w:p>
          <w:p w14:paraId="7840142B" w14:textId="77777777" w:rsidR="00120640" w:rsidRPr="00566EA6" w:rsidRDefault="00120640" w:rsidP="00FD4C2C">
            <w:pPr>
              <w:ind w:left="720" w:right="142"/>
              <w:jc w:val="both"/>
              <w:rPr>
                <w:rFonts w:ascii="Helvetica" w:hAnsi="Helvetica" w:cs="Helvetica"/>
                <w:b/>
                <w:bCs/>
                <w:color w:val="333333"/>
                <w:sz w:val="22"/>
                <w:shd w:val="clear" w:color="auto" w:fill="FFFFFF"/>
                <w:lang w:val="en-CA"/>
              </w:rPr>
            </w:pPr>
          </w:p>
        </w:tc>
        <w:tc>
          <w:tcPr>
            <w:tcW w:w="4673" w:type="dxa"/>
          </w:tcPr>
          <w:p w14:paraId="53F51189" w14:textId="77777777" w:rsidR="00FD4C2C" w:rsidRPr="005E0F2A" w:rsidRDefault="00FD4C2C" w:rsidP="00FD4C2C">
            <w:pPr>
              <w:ind w:left="202" w:right="142"/>
              <w:jc w:val="both"/>
              <w:rPr>
                <w:sz w:val="22"/>
              </w:rPr>
            </w:pPr>
            <w:r>
              <w:rPr>
                <w:sz w:val="22"/>
              </w:rPr>
              <w:t>(2)</w:t>
            </w:r>
            <w:r w:rsidRPr="005E0F2A">
              <w:rPr>
                <w:sz w:val="22"/>
              </w:rPr>
              <w:t xml:space="preserve"> </w:t>
            </w:r>
            <w:r w:rsidRPr="00501215">
              <w:rPr>
                <w:sz w:val="22"/>
                <w:u w:val="single"/>
              </w:rPr>
              <w:t>Une ordonnance de libération libère le failli de toutes autres réclamations prouvables en matière de faillite</w:t>
            </w:r>
            <w:r w:rsidRPr="00501215">
              <w:rPr>
                <w:sz w:val="22"/>
              </w:rPr>
              <w:t>.</w:t>
            </w:r>
          </w:p>
          <w:p w14:paraId="760294D5" w14:textId="77777777" w:rsidR="00120640" w:rsidRPr="00FD4C2C" w:rsidRDefault="00120640" w:rsidP="00FD4C2C">
            <w:pPr>
              <w:ind w:left="144" w:right="720"/>
              <w:jc w:val="both"/>
              <w:rPr>
                <w:b/>
                <w:bCs/>
                <w:sz w:val="22"/>
              </w:rPr>
            </w:pPr>
          </w:p>
        </w:tc>
      </w:tr>
      <w:tr w:rsidR="00043FD3" w14:paraId="620C7859" w14:textId="77777777" w:rsidTr="00131896">
        <w:tc>
          <w:tcPr>
            <w:tcW w:w="4689" w:type="dxa"/>
          </w:tcPr>
          <w:p w14:paraId="1E59330E" w14:textId="5DA5D9C7" w:rsidR="00120640" w:rsidRPr="00501215" w:rsidRDefault="00FD4C2C" w:rsidP="00120640">
            <w:pPr>
              <w:ind w:left="720" w:right="142"/>
              <w:jc w:val="right"/>
              <w:rPr>
                <w:rFonts w:ascii="Helvetica" w:hAnsi="Helvetica" w:cs="Helvetica"/>
                <w:b/>
                <w:bCs/>
                <w:color w:val="333333"/>
                <w:sz w:val="22"/>
                <w:shd w:val="clear" w:color="auto" w:fill="FFFFFF"/>
              </w:rPr>
            </w:pPr>
            <w:r w:rsidRPr="00501215">
              <w:rPr>
                <w:rFonts w:cs="Arial"/>
                <w:sz w:val="22"/>
                <w:lang w:val="en-CA"/>
              </w:rPr>
              <w:t>[Emphasis added]</w:t>
            </w:r>
          </w:p>
        </w:tc>
        <w:tc>
          <w:tcPr>
            <w:tcW w:w="4673" w:type="dxa"/>
          </w:tcPr>
          <w:p w14:paraId="0878D129" w14:textId="60EE22D4" w:rsidR="00120640" w:rsidRPr="00501215" w:rsidRDefault="00FD4C2C" w:rsidP="00120640">
            <w:pPr>
              <w:ind w:left="144" w:right="720"/>
              <w:jc w:val="right"/>
              <w:rPr>
                <w:rFonts w:cs="Arial"/>
                <w:sz w:val="22"/>
                <w:lang w:val="en-CA"/>
              </w:rPr>
            </w:pPr>
            <w:r w:rsidRPr="00501215">
              <w:rPr>
                <w:sz w:val="22"/>
              </w:rPr>
              <w:t>[Soulignement ajouté]</w:t>
            </w:r>
            <w:r w:rsidRPr="00501215">
              <w:rPr>
                <w:rFonts w:cs="Arial"/>
                <w:sz w:val="22"/>
                <w:lang w:val="en-CA"/>
              </w:rPr>
              <w:t xml:space="preserve"> </w:t>
            </w:r>
          </w:p>
          <w:p w14:paraId="5F08720E" w14:textId="1BF105D1" w:rsidR="00B12768" w:rsidRPr="000E2510" w:rsidRDefault="00B12768" w:rsidP="00120640">
            <w:pPr>
              <w:ind w:left="144" w:right="720"/>
              <w:jc w:val="right"/>
              <w:rPr>
                <w:sz w:val="22"/>
                <w:lang w:val="en-CA"/>
              </w:rPr>
            </w:pPr>
          </w:p>
        </w:tc>
      </w:tr>
    </w:tbl>
    <w:p w14:paraId="1371D270" w14:textId="60BC04B6" w:rsidR="00120640" w:rsidRPr="00B35460" w:rsidRDefault="00FD4C2C" w:rsidP="00120640">
      <w:pPr>
        <w:pStyle w:val="Paragraphe"/>
        <w:spacing w:line="280" w:lineRule="exact"/>
        <w:rPr>
          <w:lang w:val="en-CA"/>
        </w:rPr>
      </w:pPr>
      <w:bookmarkStart w:id="6" w:name="_Hlk125292509"/>
      <w:r>
        <w:rPr>
          <w:lang w:val="en-CA"/>
        </w:rPr>
        <w:t>Section</w:t>
      </w:r>
      <w:r w:rsidR="00B35460" w:rsidRPr="00B35460">
        <w:rPr>
          <w:lang w:val="en-CA"/>
        </w:rPr>
        <w:t xml:space="preserve"> 12</w:t>
      </w:r>
      <w:r>
        <w:rPr>
          <w:lang w:val="en-CA"/>
        </w:rPr>
        <w:t>1(1)</w:t>
      </w:r>
      <w:r w:rsidR="00B35460" w:rsidRPr="00B35460">
        <w:rPr>
          <w:lang w:val="en-CA"/>
        </w:rPr>
        <w:t xml:space="preserve"> </w:t>
      </w:r>
      <w:r w:rsidR="00B35460" w:rsidRPr="00FD4C2C">
        <w:rPr>
          <w:i/>
          <w:iCs/>
          <w:lang w:val="en-CA"/>
        </w:rPr>
        <w:t>BIA</w:t>
      </w:r>
      <w:r w:rsidR="00B35460" w:rsidRPr="00B35460">
        <w:rPr>
          <w:lang w:val="en-CA"/>
        </w:rPr>
        <w:t xml:space="preserve"> broadly defines the expression </w:t>
      </w:r>
      <w:r>
        <w:rPr>
          <w:lang w:val="en-CA"/>
        </w:rPr>
        <w:t>“claims provable”</w:t>
      </w:r>
      <w:r w:rsidR="00B35460" w:rsidRPr="00B35460">
        <w:rPr>
          <w:lang w:val="en-CA"/>
        </w:rPr>
        <w:t>:</w:t>
      </w:r>
    </w:p>
    <w:tbl>
      <w:tblPr>
        <w:tblW w:w="0" w:type="auto"/>
        <w:tblCellMar>
          <w:left w:w="70" w:type="dxa"/>
          <w:right w:w="70" w:type="dxa"/>
        </w:tblCellMar>
        <w:tblLook w:val="0000" w:firstRow="0" w:lastRow="0" w:firstColumn="0" w:lastColumn="0" w:noHBand="0" w:noVBand="0"/>
      </w:tblPr>
      <w:tblGrid>
        <w:gridCol w:w="4689"/>
        <w:gridCol w:w="4673"/>
      </w:tblGrid>
      <w:tr w:rsidR="00043FD3" w14:paraId="655463EB" w14:textId="77777777" w:rsidTr="00131896">
        <w:tc>
          <w:tcPr>
            <w:tcW w:w="4689" w:type="dxa"/>
          </w:tcPr>
          <w:p w14:paraId="5375DE71" w14:textId="52E3EFAB" w:rsidR="00120640" w:rsidRPr="00FD4C2C" w:rsidRDefault="00FD4C2C" w:rsidP="00FD4C2C">
            <w:pPr>
              <w:ind w:left="720" w:right="142"/>
              <w:jc w:val="both"/>
              <w:rPr>
                <w:b/>
                <w:bCs/>
                <w:sz w:val="22"/>
                <w:szCs w:val="22"/>
                <w:lang w:val="en-CA"/>
              </w:rPr>
            </w:pPr>
            <w:r w:rsidRPr="00FD4C2C">
              <w:rPr>
                <w:b/>
                <w:bCs/>
                <w:sz w:val="22"/>
                <w:szCs w:val="22"/>
                <w:lang w:val="en-CA"/>
              </w:rPr>
              <w:t>Claims provable</w:t>
            </w:r>
          </w:p>
        </w:tc>
        <w:tc>
          <w:tcPr>
            <w:tcW w:w="4673" w:type="dxa"/>
          </w:tcPr>
          <w:p w14:paraId="6BE3703C" w14:textId="5CD386CF" w:rsidR="00120640" w:rsidRPr="00FD4C2C" w:rsidRDefault="00FD4C2C" w:rsidP="00FD4C2C">
            <w:pPr>
              <w:ind w:left="720" w:right="142" w:hanging="518"/>
              <w:jc w:val="both"/>
              <w:rPr>
                <w:b/>
                <w:bCs/>
                <w:sz w:val="22"/>
              </w:rPr>
            </w:pPr>
            <w:r w:rsidRPr="00501215">
              <w:rPr>
                <w:b/>
                <w:bCs/>
                <w:sz w:val="22"/>
              </w:rPr>
              <w:t>Réclamations prouvables</w:t>
            </w:r>
          </w:p>
          <w:p w14:paraId="0F55B02D" w14:textId="77777777" w:rsidR="00120640" w:rsidRPr="005E0F2A" w:rsidRDefault="00120640" w:rsidP="00120640">
            <w:pPr>
              <w:ind w:left="144" w:right="720"/>
              <w:jc w:val="both"/>
              <w:rPr>
                <w:rFonts w:ascii="Helvetica" w:hAnsi="Helvetica" w:cs="Helvetica"/>
                <w:bCs/>
                <w:color w:val="333333"/>
                <w:sz w:val="22"/>
                <w:szCs w:val="24"/>
                <w:lang w:val="en-CA"/>
              </w:rPr>
            </w:pPr>
          </w:p>
        </w:tc>
      </w:tr>
      <w:tr w:rsidR="00043FD3" w:rsidRPr="00FD4C2C" w14:paraId="0E31349E" w14:textId="77777777" w:rsidTr="00131896">
        <w:tc>
          <w:tcPr>
            <w:tcW w:w="4689" w:type="dxa"/>
          </w:tcPr>
          <w:p w14:paraId="1F2F0F2C" w14:textId="77777777" w:rsidR="00FD4C2C" w:rsidRPr="00501215" w:rsidRDefault="00FD4C2C" w:rsidP="00FD4C2C">
            <w:pPr>
              <w:ind w:left="497" w:right="720"/>
              <w:jc w:val="both"/>
              <w:rPr>
                <w:sz w:val="22"/>
                <w:lang w:val="en-CA"/>
              </w:rPr>
            </w:pPr>
            <w:r w:rsidRPr="00501215">
              <w:rPr>
                <w:b/>
                <w:bCs/>
                <w:sz w:val="22"/>
                <w:lang w:val="en-CA"/>
              </w:rPr>
              <w:t>121 (1)</w:t>
            </w:r>
            <w:r w:rsidRPr="00501215">
              <w:rPr>
                <w:bCs/>
                <w:sz w:val="22"/>
                <w:lang w:val="en-CA"/>
              </w:rPr>
              <w:t> </w:t>
            </w:r>
            <w:r w:rsidRPr="00501215">
              <w:rPr>
                <w:bCs/>
                <w:sz w:val="22"/>
                <w:u w:val="single"/>
                <w:lang w:val="en-CA"/>
              </w:rPr>
              <w:t>All debts and liabilities</w:t>
            </w:r>
            <w:r w:rsidRPr="00501215">
              <w:rPr>
                <w:bCs/>
                <w:sz w:val="22"/>
                <w:lang w:val="en-CA"/>
              </w:rPr>
              <w:t xml:space="preserve">, </w:t>
            </w:r>
            <w:r w:rsidRPr="00501215">
              <w:rPr>
                <w:bCs/>
                <w:sz w:val="22"/>
                <w:u w:val="single"/>
                <w:lang w:val="en-CA"/>
              </w:rPr>
              <w:t>present or future</w:t>
            </w:r>
            <w:r w:rsidRPr="00501215">
              <w:rPr>
                <w:bCs/>
                <w:sz w:val="22"/>
                <w:lang w:val="en-CA"/>
              </w:rPr>
              <w:t xml:space="preserve">, </w:t>
            </w:r>
            <w:r w:rsidRPr="00501215">
              <w:rPr>
                <w:bCs/>
                <w:sz w:val="22"/>
                <w:u w:val="single"/>
                <w:lang w:val="en-CA"/>
              </w:rPr>
              <w:t>to which the bankrupt is subject on the day on which the bankrupt becomes bankrupt or to which the bankrupt may become subject before the bankrupt’s discharge</w:t>
            </w:r>
            <w:r w:rsidRPr="00501215">
              <w:rPr>
                <w:bCs/>
                <w:sz w:val="22"/>
                <w:lang w:val="en-CA"/>
              </w:rPr>
              <w:t xml:space="preserve"> </w:t>
            </w:r>
            <w:r w:rsidRPr="00501215">
              <w:rPr>
                <w:bCs/>
                <w:sz w:val="22"/>
                <w:u w:val="single"/>
                <w:lang w:val="en-CA"/>
              </w:rPr>
              <w:t>by reason of any obligation incurred before the day on which the bankrupt becomes bankrupt</w:t>
            </w:r>
            <w:r w:rsidRPr="00501215">
              <w:rPr>
                <w:bCs/>
                <w:sz w:val="22"/>
                <w:lang w:val="en-CA"/>
              </w:rPr>
              <w:t xml:space="preserve"> shall be deemed to be claims provable in proceedings under this Act.</w:t>
            </w:r>
          </w:p>
          <w:p w14:paraId="718A29B3" w14:textId="399F4972" w:rsidR="00120640" w:rsidRPr="00566EA6" w:rsidRDefault="00120640" w:rsidP="00120640">
            <w:pPr>
              <w:ind w:left="720" w:right="142"/>
              <w:jc w:val="both"/>
              <w:rPr>
                <w:bCs/>
                <w:sz w:val="22"/>
                <w:lang w:val="en-CA"/>
              </w:rPr>
            </w:pPr>
          </w:p>
          <w:p w14:paraId="5C6EB77B" w14:textId="77777777" w:rsidR="00120640" w:rsidRPr="00566EA6" w:rsidRDefault="00120640" w:rsidP="00120640">
            <w:pPr>
              <w:ind w:left="720" w:right="142"/>
              <w:jc w:val="both"/>
              <w:rPr>
                <w:sz w:val="22"/>
                <w:lang w:val="en-CA"/>
              </w:rPr>
            </w:pPr>
          </w:p>
        </w:tc>
        <w:tc>
          <w:tcPr>
            <w:tcW w:w="4673" w:type="dxa"/>
          </w:tcPr>
          <w:p w14:paraId="730E7F29" w14:textId="768724E5" w:rsidR="00120640" w:rsidRPr="00FD4C2C" w:rsidRDefault="00FD4C2C" w:rsidP="00FD4C2C">
            <w:pPr>
              <w:ind w:left="144" w:right="720"/>
              <w:jc w:val="both"/>
              <w:rPr>
                <w:sz w:val="22"/>
              </w:rPr>
            </w:pPr>
            <w:r>
              <w:rPr>
                <w:b/>
                <w:bCs/>
                <w:sz w:val="22"/>
              </w:rPr>
              <w:t>1</w:t>
            </w:r>
            <w:r w:rsidRPr="00501215">
              <w:rPr>
                <w:b/>
                <w:bCs/>
                <w:sz w:val="22"/>
              </w:rPr>
              <w:t>21 (1)</w:t>
            </w:r>
            <w:r w:rsidRPr="00501215">
              <w:rPr>
                <w:bCs/>
                <w:sz w:val="22"/>
              </w:rPr>
              <w:t> </w:t>
            </w:r>
            <w:r w:rsidRPr="00501215">
              <w:rPr>
                <w:bCs/>
                <w:sz w:val="22"/>
                <w:u w:val="single"/>
              </w:rPr>
              <w:t>Toutes créances et tous engagements, présents ou futurs, auxquels le failli est assujetti à la date à laquelle il devient failli, ou auxquels il peut devenir assujetti avant sa libération, en raison d’une obligation contractée antérieurement à cette date</w:t>
            </w:r>
            <w:r w:rsidRPr="00501215">
              <w:rPr>
                <w:bCs/>
                <w:sz w:val="22"/>
              </w:rPr>
              <w:t>, sont réputés des réclamations prouvables dans des procédures entamées en vertu de la présente loi.</w:t>
            </w:r>
          </w:p>
        </w:tc>
      </w:tr>
      <w:tr w:rsidR="00043FD3" w14:paraId="0AB0F3D9" w14:textId="77777777" w:rsidTr="00131896">
        <w:tc>
          <w:tcPr>
            <w:tcW w:w="4689" w:type="dxa"/>
          </w:tcPr>
          <w:p w14:paraId="10BC5A75" w14:textId="6D87541F" w:rsidR="00120640" w:rsidRPr="00501215" w:rsidRDefault="00FD4C2C" w:rsidP="00120640">
            <w:pPr>
              <w:ind w:left="720" w:right="142"/>
              <w:jc w:val="right"/>
              <w:rPr>
                <w:sz w:val="22"/>
                <w:szCs w:val="22"/>
              </w:rPr>
            </w:pPr>
            <w:r w:rsidRPr="00501215">
              <w:rPr>
                <w:sz w:val="22"/>
                <w:szCs w:val="22"/>
                <w:lang w:val="en-CA"/>
              </w:rPr>
              <w:t>[Emphasis added]</w:t>
            </w:r>
          </w:p>
          <w:p w14:paraId="24E6F1CE" w14:textId="77777777" w:rsidR="00120640" w:rsidRPr="000E2510" w:rsidRDefault="00120640" w:rsidP="00120640">
            <w:pPr>
              <w:ind w:left="720" w:right="142"/>
              <w:jc w:val="both"/>
              <w:rPr>
                <w:sz w:val="22"/>
              </w:rPr>
            </w:pPr>
          </w:p>
        </w:tc>
        <w:tc>
          <w:tcPr>
            <w:tcW w:w="4673" w:type="dxa"/>
          </w:tcPr>
          <w:p w14:paraId="4AD72142" w14:textId="75190A74" w:rsidR="00120640" w:rsidRPr="00501215" w:rsidRDefault="00FD4C2C" w:rsidP="00120640">
            <w:pPr>
              <w:ind w:left="144" w:right="720"/>
              <w:jc w:val="right"/>
              <w:rPr>
                <w:sz w:val="22"/>
                <w:szCs w:val="22"/>
                <w:lang w:val="en-CA"/>
              </w:rPr>
            </w:pPr>
            <w:r w:rsidRPr="00501215">
              <w:rPr>
                <w:sz w:val="22"/>
                <w:szCs w:val="22"/>
              </w:rPr>
              <w:t>[Soulignement ajouté]</w:t>
            </w:r>
            <w:r w:rsidRPr="00501215">
              <w:rPr>
                <w:sz w:val="22"/>
                <w:szCs w:val="22"/>
                <w:lang w:val="en-CA"/>
              </w:rPr>
              <w:t xml:space="preserve"> </w:t>
            </w:r>
          </w:p>
          <w:p w14:paraId="3A23CE5F" w14:textId="77777777" w:rsidR="00120640" w:rsidRPr="000E2510" w:rsidRDefault="00120640" w:rsidP="00120640">
            <w:pPr>
              <w:ind w:left="144" w:right="720"/>
              <w:jc w:val="both"/>
              <w:rPr>
                <w:sz w:val="22"/>
                <w:lang w:val="en-CA"/>
              </w:rPr>
            </w:pPr>
          </w:p>
        </w:tc>
      </w:tr>
    </w:tbl>
    <w:p w14:paraId="41877D6F" w14:textId="17D86236" w:rsidR="00120640" w:rsidRPr="00B35460" w:rsidRDefault="00FD4C2C" w:rsidP="00120640">
      <w:pPr>
        <w:pStyle w:val="Paragraphe"/>
        <w:spacing w:line="280" w:lineRule="exact"/>
        <w:rPr>
          <w:lang w:val="en-CA"/>
        </w:rPr>
      </w:pPr>
      <w:r>
        <w:rPr>
          <w:lang w:val="en-CA"/>
        </w:rPr>
        <w:t>S</w:t>
      </w:r>
      <w:r w:rsidR="00B35460" w:rsidRPr="00B35460">
        <w:rPr>
          <w:lang w:val="en-CA"/>
        </w:rPr>
        <w:t>ection 121</w:t>
      </w:r>
      <w:r>
        <w:rPr>
          <w:lang w:val="en-CA"/>
        </w:rPr>
        <w:t>(2)</w:t>
      </w:r>
      <w:r w:rsidR="00B35460" w:rsidRPr="00B35460">
        <w:rPr>
          <w:lang w:val="en-CA"/>
        </w:rPr>
        <w:t xml:space="preserve"> </w:t>
      </w:r>
      <w:r w:rsidR="00B35460" w:rsidRPr="00FD4C2C">
        <w:rPr>
          <w:i/>
          <w:iCs/>
          <w:lang w:val="en-CA"/>
        </w:rPr>
        <w:t>BIA</w:t>
      </w:r>
      <w:r w:rsidR="00B35460" w:rsidRPr="00B35460">
        <w:rPr>
          <w:lang w:val="en-CA"/>
        </w:rPr>
        <w:t xml:space="preserve"> adds that a contingent or unliquidated claim may also be </w:t>
      </w:r>
      <w:r w:rsidR="00A222A6">
        <w:rPr>
          <w:lang w:val="en-CA"/>
        </w:rPr>
        <w:t xml:space="preserve">a </w:t>
      </w:r>
      <w:r w:rsidR="00B35460" w:rsidRPr="00B35460">
        <w:rPr>
          <w:lang w:val="en-CA"/>
        </w:rPr>
        <w:t>provable claim:</w:t>
      </w:r>
    </w:p>
    <w:tbl>
      <w:tblPr>
        <w:tblW w:w="0" w:type="auto"/>
        <w:tblCellMar>
          <w:left w:w="70" w:type="dxa"/>
          <w:right w:w="70" w:type="dxa"/>
        </w:tblCellMar>
        <w:tblLook w:val="0000" w:firstRow="0" w:lastRow="0" w:firstColumn="0" w:lastColumn="0" w:noHBand="0" w:noVBand="0"/>
      </w:tblPr>
      <w:tblGrid>
        <w:gridCol w:w="4689"/>
        <w:gridCol w:w="4673"/>
      </w:tblGrid>
      <w:tr w:rsidR="00043FD3" w:rsidRPr="00EB418B" w14:paraId="0E004C7C" w14:textId="77777777" w:rsidTr="00131896">
        <w:tc>
          <w:tcPr>
            <w:tcW w:w="4689" w:type="dxa"/>
          </w:tcPr>
          <w:p w14:paraId="744C87A1" w14:textId="5622C144" w:rsidR="00EB418B" w:rsidRPr="00501215" w:rsidRDefault="00EB418B" w:rsidP="00EB418B">
            <w:pPr>
              <w:ind w:left="781" w:right="720"/>
              <w:jc w:val="both"/>
              <w:rPr>
                <w:b/>
                <w:bCs/>
                <w:sz w:val="22"/>
                <w:lang w:val="en-CA"/>
              </w:rPr>
            </w:pPr>
            <w:r w:rsidRPr="00501215">
              <w:rPr>
                <w:b/>
                <w:bCs/>
                <w:sz w:val="22"/>
                <w:lang w:val="en-CA"/>
              </w:rPr>
              <w:t>Contingent and unliquidated claims</w:t>
            </w:r>
          </w:p>
          <w:p w14:paraId="05E3EE9C" w14:textId="36FC0F72" w:rsidR="00120640" w:rsidRPr="00EB418B" w:rsidRDefault="00120640" w:rsidP="00120640">
            <w:pPr>
              <w:ind w:left="720" w:right="142"/>
              <w:jc w:val="both"/>
              <w:rPr>
                <w:b/>
                <w:bCs/>
                <w:sz w:val="22"/>
                <w:lang w:val="en-CA"/>
              </w:rPr>
            </w:pPr>
          </w:p>
          <w:p w14:paraId="14457DA3" w14:textId="77777777" w:rsidR="00120640" w:rsidRPr="00EB418B" w:rsidRDefault="00120640" w:rsidP="00120640">
            <w:pPr>
              <w:ind w:left="720" w:right="142"/>
              <w:jc w:val="both"/>
              <w:rPr>
                <w:sz w:val="22"/>
                <w:szCs w:val="22"/>
                <w:lang w:val="en-CA"/>
              </w:rPr>
            </w:pPr>
          </w:p>
        </w:tc>
        <w:tc>
          <w:tcPr>
            <w:tcW w:w="4673" w:type="dxa"/>
          </w:tcPr>
          <w:p w14:paraId="77D6FEF7" w14:textId="0E5D339C" w:rsidR="00120640" w:rsidRPr="005E0F2A" w:rsidRDefault="00EB418B" w:rsidP="00EB418B">
            <w:pPr>
              <w:ind w:left="144" w:right="720"/>
              <w:jc w:val="both"/>
              <w:rPr>
                <w:sz w:val="22"/>
                <w:szCs w:val="22"/>
                <w:lang w:val="en-CA"/>
              </w:rPr>
            </w:pPr>
            <w:r w:rsidRPr="00EB418B">
              <w:rPr>
                <w:b/>
                <w:bCs/>
                <w:sz w:val="22"/>
                <w:lang w:val="en-CA"/>
              </w:rPr>
              <w:t>Décision</w:t>
            </w:r>
          </w:p>
        </w:tc>
      </w:tr>
      <w:tr w:rsidR="00043FD3" w:rsidRPr="00EB418B" w14:paraId="1D93A575" w14:textId="77777777" w:rsidTr="00131896">
        <w:tc>
          <w:tcPr>
            <w:tcW w:w="4689" w:type="dxa"/>
          </w:tcPr>
          <w:p w14:paraId="3AFB7792" w14:textId="77777777" w:rsidR="00EB418B" w:rsidRPr="005E0F2A" w:rsidRDefault="00EB418B" w:rsidP="00EB418B">
            <w:pPr>
              <w:ind w:left="781" w:right="651"/>
              <w:jc w:val="both"/>
              <w:rPr>
                <w:sz w:val="22"/>
                <w:lang w:val="en-CA"/>
              </w:rPr>
            </w:pPr>
            <w:r>
              <w:rPr>
                <w:b/>
                <w:bCs/>
                <w:sz w:val="22"/>
                <w:lang w:val="en-CA"/>
              </w:rPr>
              <w:t>(2)</w:t>
            </w:r>
            <w:r w:rsidRPr="005E0F2A">
              <w:rPr>
                <w:sz w:val="22"/>
                <w:lang w:val="en-CA"/>
              </w:rPr>
              <w:t> </w:t>
            </w:r>
            <w:r w:rsidRPr="00501215">
              <w:rPr>
                <w:sz w:val="22"/>
                <w:lang w:val="en-CA"/>
              </w:rPr>
              <w:t xml:space="preserve">The determination </w:t>
            </w:r>
            <w:r w:rsidRPr="00501215">
              <w:rPr>
                <w:sz w:val="22"/>
                <w:u w:val="single"/>
                <w:lang w:val="en-CA"/>
              </w:rPr>
              <w:t xml:space="preserve">whether a contingent or unliquidated claim </w:t>
            </w:r>
            <w:r w:rsidRPr="00501215">
              <w:rPr>
                <w:sz w:val="22"/>
                <w:u w:val="single"/>
                <w:lang w:val="en-CA"/>
              </w:rPr>
              <w:lastRenderedPageBreak/>
              <w:t>is a provable claim</w:t>
            </w:r>
            <w:r w:rsidRPr="00501215">
              <w:rPr>
                <w:sz w:val="22"/>
                <w:lang w:val="en-CA"/>
              </w:rPr>
              <w:t xml:space="preserve"> and </w:t>
            </w:r>
            <w:r w:rsidRPr="00501215">
              <w:rPr>
                <w:sz w:val="22"/>
                <w:u w:val="single"/>
                <w:lang w:val="en-CA"/>
              </w:rPr>
              <w:t>the valuation of such a claim</w:t>
            </w:r>
            <w:r w:rsidRPr="00501215">
              <w:rPr>
                <w:sz w:val="22"/>
                <w:lang w:val="en-CA"/>
              </w:rPr>
              <w:t xml:space="preserve"> shall be made in accordance with section 135.</w:t>
            </w:r>
          </w:p>
          <w:p w14:paraId="0451FCAF" w14:textId="77777777" w:rsidR="00120640" w:rsidRPr="00566EA6" w:rsidRDefault="00120640" w:rsidP="00EB418B">
            <w:pPr>
              <w:ind w:left="720" w:right="142"/>
              <w:jc w:val="both"/>
              <w:rPr>
                <w:sz w:val="22"/>
                <w:lang w:val="en-CA"/>
              </w:rPr>
            </w:pPr>
          </w:p>
        </w:tc>
        <w:tc>
          <w:tcPr>
            <w:tcW w:w="4673" w:type="dxa"/>
          </w:tcPr>
          <w:p w14:paraId="59E38F05" w14:textId="77777777" w:rsidR="00EB418B" w:rsidRPr="005E0F2A" w:rsidRDefault="00EB418B" w:rsidP="003B3EFB">
            <w:pPr>
              <w:tabs>
                <w:tab w:val="left" w:pos="3887"/>
              </w:tabs>
              <w:ind w:left="60" w:right="643"/>
              <w:jc w:val="both"/>
              <w:rPr>
                <w:kern w:val="28"/>
                <w:sz w:val="22"/>
                <w:szCs w:val="16"/>
              </w:rPr>
            </w:pPr>
            <w:r>
              <w:rPr>
                <w:b/>
                <w:bCs/>
                <w:kern w:val="28"/>
                <w:sz w:val="22"/>
                <w:szCs w:val="16"/>
              </w:rPr>
              <w:lastRenderedPageBreak/>
              <w:t>(2)</w:t>
            </w:r>
            <w:r w:rsidRPr="005E0F2A">
              <w:rPr>
                <w:kern w:val="28"/>
                <w:sz w:val="22"/>
                <w:szCs w:val="16"/>
              </w:rPr>
              <w:t> </w:t>
            </w:r>
            <w:r w:rsidRPr="00501215">
              <w:rPr>
                <w:kern w:val="28"/>
                <w:sz w:val="22"/>
                <w:szCs w:val="16"/>
              </w:rPr>
              <w:t xml:space="preserve">La question de savoir </w:t>
            </w:r>
            <w:r w:rsidRPr="00501215">
              <w:rPr>
                <w:kern w:val="28"/>
                <w:sz w:val="22"/>
                <w:szCs w:val="16"/>
                <w:u w:val="single"/>
              </w:rPr>
              <w:t xml:space="preserve">si une réclamation éventuelle ou non liquidée </w:t>
            </w:r>
            <w:r w:rsidRPr="00501215">
              <w:rPr>
                <w:kern w:val="28"/>
                <w:sz w:val="22"/>
                <w:szCs w:val="16"/>
                <w:u w:val="single"/>
              </w:rPr>
              <w:lastRenderedPageBreak/>
              <w:t>constitue une réclamation prouvable</w:t>
            </w:r>
            <w:r w:rsidRPr="00501215">
              <w:rPr>
                <w:kern w:val="28"/>
                <w:sz w:val="22"/>
                <w:szCs w:val="16"/>
              </w:rPr>
              <w:t xml:space="preserve"> et, le cas échéant, </w:t>
            </w:r>
            <w:r w:rsidRPr="00501215">
              <w:rPr>
                <w:kern w:val="28"/>
                <w:sz w:val="22"/>
                <w:szCs w:val="16"/>
                <w:u w:val="single"/>
              </w:rPr>
              <w:t>son évaluation</w:t>
            </w:r>
            <w:r w:rsidRPr="00501215">
              <w:rPr>
                <w:kern w:val="28"/>
                <w:sz w:val="22"/>
                <w:szCs w:val="16"/>
              </w:rPr>
              <w:t xml:space="preserve"> sont décidées en application de l’article 135.</w:t>
            </w:r>
          </w:p>
          <w:p w14:paraId="2E58BE92" w14:textId="77777777" w:rsidR="00120640" w:rsidRPr="00EB418B" w:rsidRDefault="00120640" w:rsidP="00EB418B">
            <w:pPr>
              <w:ind w:left="144" w:right="720"/>
              <w:jc w:val="both"/>
              <w:rPr>
                <w:sz w:val="22"/>
              </w:rPr>
            </w:pPr>
          </w:p>
        </w:tc>
      </w:tr>
      <w:tr w:rsidR="00043FD3" w14:paraId="633B6456" w14:textId="77777777" w:rsidTr="00131896">
        <w:tc>
          <w:tcPr>
            <w:tcW w:w="4689" w:type="dxa"/>
          </w:tcPr>
          <w:p w14:paraId="443F38BE" w14:textId="0E15E92E" w:rsidR="00120640" w:rsidRPr="00501215" w:rsidRDefault="003B3EFB" w:rsidP="00120640">
            <w:pPr>
              <w:ind w:left="720" w:right="142"/>
              <w:jc w:val="right"/>
              <w:rPr>
                <w:sz w:val="22"/>
              </w:rPr>
            </w:pPr>
            <w:r w:rsidRPr="00501215">
              <w:rPr>
                <w:rFonts w:cs="Arial"/>
                <w:sz w:val="22"/>
                <w:szCs w:val="22"/>
                <w:lang w:val="en-CA"/>
              </w:rPr>
              <w:lastRenderedPageBreak/>
              <w:t>[Emphasis added]</w:t>
            </w:r>
          </w:p>
        </w:tc>
        <w:tc>
          <w:tcPr>
            <w:tcW w:w="4673" w:type="dxa"/>
          </w:tcPr>
          <w:p w14:paraId="4870B68D" w14:textId="2005AD37" w:rsidR="00120640" w:rsidRPr="00501215" w:rsidRDefault="003B3EFB" w:rsidP="00120640">
            <w:pPr>
              <w:ind w:left="144" w:right="720"/>
              <w:jc w:val="right"/>
              <w:rPr>
                <w:rFonts w:cs="Arial"/>
                <w:sz w:val="22"/>
                <w:szCs w:val="22"/>
                <w:lang w:val="en-CA"/>
              </w:rPr>
            </w:pPr>
            <w:r w:rsidRPr="00501215">
              <w:rPr>
                <w:sz w:val="22"/>
                <w:szCs w:val="22"/>
              </w:rPr>
              <w:t>[Soulignements ajoutés]</w:t>
            </w:r>
            <w:r w:rsidRPr="00501215">
              <w:rPr>
                <w:rFonts w:cs="Arial"/>
                <w:sz w:val="22"/>
                <w:szCs w:val="22"/>
                <w:lang w:val="en-CA"/>
              </w:rPr>
              <w:t xml:space="preserve"> </w:t>
            </w:r>
          </w:p>
          <w:p w14:paraId="27181DC9" w14:textId="77777777" w:rsidR="00120640" w:rsidRPr="005E0F2A" w:rsidRDefault="00120640" w:rsidP="00120640">
            <w:pPr>
              <w:ind w:left="144" w:right="720"/>
              <w:jc w:val="both"/>
              <w:rPr>
                <w:sz w:val="22"/>
                <w:lang w:val="en-CA"/>
              </w:rPr>
            </w:pPr>
          </w:p>
        </w:tc>
      </w:tr>
    </w:tbl>
    <w:p w14:paraId="2531F5B0" w14:textId="1297A64F" w:rsidR="00120640" w:rsidRPr="00B35460" w:rsidRDefault="00B35460" w:rsidP="00B12768">
      <w:pPr>
        <w:pStyle w:val="Paragraphe"/>
        <w:spacing w:line="280" w:lineRule="exact"/>
        <w:rPr>
          <w:lang w:val="en-CA"/>
        </w:rPr>
      </w:pPr>
      <w:r w:rsidRPr="00B35460">
        <w:rPr>
          <w:lang w:val="en-CA"/>
        </w:rPr>
        <w:t xml:space="preserve">The procedure to address such a claim is set out under </w:t>
      </w:r>
      <w:r w:rsidR="003B3EFB">
        <w:rPr>
          <w:lang w:val="en-CA"/>
        </w:rPr>
        <w:t>s</w:t>
      </w:r>
      <w:r w:rsidRPr="00B35460">
        <w:rPr>
          <w:lang w:val="en-CA"/>
        </w:rPr>
        <w:t>ection 135</w:t>
      </w:r>
      <w:r w:rsidR="003B3EFB">
        <w:rPr>
          <w:lang w:val="en-CA"/>
        </w:rPr>
        <w:t>(1.1)</w:t>
      </w:r>
      <w:r w:rsidRPr="00B35460">
        <w:rPr>
          <w:lang w:val="en-CA"/>
        </w:rPr>
        <w:t xml:space="preserve"> </w:t>
      </w:r>
      <w:r w:rsidRPr="00B35460">
        <w:rPr>
          <w:i/>
          <w:lang w:val="en-CA"/>
        </w:rPr>
        <w:t>BIA</w:t>
      </w:r>
      <w:r w:rsidRPr="00B35460">
        <w:rPr>
          <w:lang w:val="en-CA"/>
        </w:rPr>
        <w:t>:</w:t>
      </w:r>
    </w:p>
    <w:tbl>
      <w:tblPr>
        <w:tblW w:w="9378" w:type="dxa"/>
        <w:tblCellMar>
          <w:left w:w="70" w:type="dxa"/>
          <w:right w:w="70" w:type="dxa"/>
        </w:tblCellMar>
        <w:tblLook w:val="0000" w:firstRow="0" w:lastRow="0" w:firstColumn="0" w:lastColumn="0" w:noHBand="0" w:noVBand="0"/>
      </w:tblPr>
      <w:tblGrid>
        <w:gridCol w:w="4689"/>
        <w:gridCol w:w="4689"/>
      </w:tblGrid>
      <w:tr w:rsidR="00E45ADA" w14:paraId="12CE0A14" w14:textId="77777777" w:rsidTr="00E45ADA">
        <w:tc>
          <w:tcPr>
            <w:tcW w:w="4689" w:type="dxa"/>
          </w:tcPr>
          <w:p w14:paraId="42B41A16" w14:textId="77777777" w:rsidR="00E45ADA" w:rsidRPr="00501215" w:rsidRDefault="00E45ADA" w:rsidP="00E45ADA">
            <w:pPr>
              <w:ind w:left="144" w:right="720"/>
              <w:jc w:val="both"/>
              <w:rPr>
                <w:b/>
                <w:bCs/>
                <w:sz w:val="22"/>
                <w:lang w:val="en-CA"/>
              </w:rPr>
            </w:pPr>
            <w:r w:rsidRPr="00501215">
              <w:rPr>
                <w:b/>
                <w:bCs/>
                <w:sz w:val="22"/>
                <w:lang w:val="en-CA"/>
              </w:rPr>
              <w:t>Determination of provable claims</w:t>
            </w:r>
          </w:p>
          <w:p w14:paraId="57FDC5B6" w14:textId="77777777" w:rsidR="00E45ADA" w:rsidRPr="00501215" w:rsidRDefault="00E45ADA" w:rsidP="00E45ADA">
            <w:pPr>
              <w:ind w:left="720" w:right="142"/>
              <w:jc w:val="both"/>
              <w:rPr>
                <w:b/>
                <w:bCs/>
                <w:sz w:val="22"/>
              </w:rPr>
            </w:pPr>
          </w:p>
        </w:tc>
        <w:tc>
          <w:tcPr>
            <w:tcW w:w="4689" w:type="dxa"/>
          </w:tcPr>
          <w:p w14:paraId="147FDCA2" w14:textId="11251E08" w:rsidR="00E45ADA" w:rsidRPr="00501215" w:rsidRDefault="00E45ADA" w:rsidP="00E45ADA">
            <w:pPr>
              <w:ind w:left="720" w:right="142"/>
              <w:jc w:val="both"/>
              <w:rPr>
                <w:b/>
                <w:bCs/>
                <w:sz w:val="22"/>
              </w:rPr>
            </w:pPr>
            <w:r w:rsidRPr="00501215">
              <w:rPr>
                <w:b/>
                <w:bCs/>
                <w:sz w:val="22"/>
              </w:rPr>
              <w:t>Réclamations éventuelles et non liquidées</w:t>
            </w:r>
          </w:p>
          <w:p w14:paraId="08AB3516" w14:textId="6AB74931" w:rsidR="00E45ADA" w:rsidRPr="005E0F2A" w:rsidRDefault="00E45ADA" w:rsidP="00E45ADA">
            <w:pPr>
              <w:ind w:left="720" w:right="142"/>
              <w:jc w:val="both"/>
              <w:rPr>
                <w:b/>
                <w:bCs/>
                <w:sz w:val="22"/>
              </w:rPr>
            </w:pPr>
          </w:p>
        </w:tc>
      </w:tr>
      <w:tr w:rsidR="00E45ADA" w:rsidRPr="00E45ADA" w14:paraId="27ED6AF2" w14:textId="77777777" w:rsidTr="00E45ADA">
        <w:tc>
          <w:tcPr>
            <w:tcW w:w="4689" w:type="dxa"/>
          </w:tcPr>
          <w:p w14:paraId="12599D61" w14:textId="77777777" w:rsidR="00E45ADA" w:rsidRPr="00501215" w:rsidRDefault="00E45ADA" w:rsidP="00E45ADA">
            <w:pPr>
              <w:ind w:left="144" w:right="720"/>
              <w:jc w:val="both"/>
              <w:rPr>
                <w:sz w:val="22"/>
                <w:lang w:val="en-CA"/>
              </w:rPr>
            </w:pPr>
            <w:r w:rsidRPr="00501215">
              <w:rPr>
                <w:b/>
                <w:sz w:val="22"/>
                <w:lang w:val="en-CA"/>
              </w:rPr>
              <w:t>(1.1)</w:t>
            </w:r>
            <w:r w:rsidRPr="00501215">
              <w:rPr>
                <w:sz w:val="22"/>
                <w:lang w:val="en-CA"/>
              </w:rPr>
              <w:t xml:space="preserve"> </w:t>
            </w:r>
            <w:r w:rsidRPr="00501215">
              <w:rPr>
                <w:sz w:val="22"/>
                <w:u w:val="single"/>
                <w:lang w:val="en-CA"/>
              </w:rPr>
              <w:t>The trustee shall determine whether any contingent claim or unliquidated claim is a provable claim</w:t>
            </w:r>
            <w:r w:rsidRPr="00501215">
              <w:rPr>
                <w:sz w:val="22"/>
                <w:lang w:val="en-CA"/>
              </w:rPr>
              <w:t xml:space="preserve">, and, </w:t>
            </w:r>
            <w:r w:rsidRPr="00501215">
              <w:rPr>
                <w:sz w:val="22"/>
                <w:u w:val="single"/>
                <w:lang w:val="en-CA"/>
              </w:rPr>
              <w:t>if a provable claim</w:t>
            </w:r>
            <w:r w:rsidRPr="00501215">
              <w:rPr>
                <w:sz w:val="22"/>
                <w:lang w:val="en-CA"/>
              </w:rPr>
              <w:t xml:space="preserve">, </w:t>
            </w:r>
            <w:r w:rsidRPr="00501215">
              <w:rPr>
                <w:sz w:val="22"/>
                <w:u w:val="single"/>
                <w:lang w:val="en-CA"/>
              </w:rPr>
              <w:t>the trustee shall value it</w:t>
            </w:r>
            <w:r w:rsidRPr="00501215">
              <w:rPr>
                <w:sz w:val="22"/>
                <w:lang w:val="en-CA"/>
              </w:rPr>
              <w:t>, and the claim is thereafter, subject to this section, deemed a proved claim to the amount of its valuation.</w:t>
            </w:r>
          </w:p>
          <w:p w14:paraId="5CA18F8C" w14:textId="77777777" w:rsidR="00E45ADA" w:rsidRPr="00E45ADA" w:rsidRDefault="00E45ADA" w:rsidP="00E45ADA">
            <w:pPr>
              <w:ind w:left="720" w:right="142"/>
              <w:jc w:val="both"/>
              <w:rPr>
                <w:b/>
                <w:bCs/>
                <w:sz w:val="22"/>
                <w:lang w:val="en-CA"/>
              </w:rPr>
            </w:pPr>
          </w:p>
        </w:tc>
        <w:tc>
          <w:tcPr>
            <w:tcW w:w="4689" w:type="dxa"/>
          </w:tcPr>
          <w:p w14:paraId="05656C1F" w14:textId="3D96C8C9" w:rsidR="00E45ADA" w:rsidRPr="00501215" w:rsidRDefault="00E45ADA" w:rsidP="00E45ADA">
            <w:pPr>
              <w:ind w:left="720" w:right="142"/>
              <w:jc w:val="both"/>
              <w:rPr>
                <w:sz w:val="22"/>
              </w:rPr>
            </w:pPr>
            <w:r w:rsidRPr="00501215">
              <w:rPr>
                <w:b/>
                <w:bCs/>
                <w:sz w:val="22"/>
              </w:rPr>
              <w:t>(1.1)</w:t>
            </w:r>
            <w:r w:rsidRPr="00501215">
              <w:rPr>
                <w:bCs/>
                <w:sz w:val="22"/>
              </w:rPr>
              <w:t> </w:t>
            </w:r>
            <w:r w:rsidRPr="00501215">
              <w:rPr>
                <w:bCs/>
                <w:sz w:val="22"/>
                <w:u w:val="single"/>
              </w:rPr>
              <w:t>Le syndic décide si une réclamation éventuelle ou non liquidée est une réclamation prouvable</w:t>
            </w:r>
            <w:r w:rsidRPr="00501215">
              <w:rPr>
                <w:bCs/>
                <w:sz w:val="22"/>
              </w:rPr>
              <w:t xml:space="preserve"> et, </w:t>
            </w:r>
            <w:r w:rsidRPr="00501215">
              <w:rPr>
                <w:bCs/>
                <w:sz w:val="22"/>
                <w:u w:val="single"/>
              </w:rPr>
              <w:t>le cas échéant</w:t>
            </w:r>
            <w:r w:rsidRPr="00501215">
              <w:rPr>
                <w:bCs/>
                <w:sz w:val="22"/>
              </w:rPr>
              <w:t xml:space="preserve">, </w:t>
            </w:r>
            <w:r w:rsidRPr="00501215">
              <w:rPr>
                <w:bCs/>
                <w:sz w:val="22"/>
                <w:u w:val="single"/>
              </w:rPr>
              <w:t>il l’évalue</w:t>
            </w:r>
            <w:r w:rsidRPr="00501215">
              <w:rPr>
                <w:bCs/>
                <w:sz w:val="22"/>
              </w:rPr>
              <w:t>; sous réserve des autres dispositions du présent article, la réclamation est dès lors réputée prouvée pour le montant de l’évaluation.</w:t>
            </w:r>
          </w:p>
          <w:p w14:paraId="1EF1A659" w14:textId="77777777" w:rsidR="00E45ADA" w:rsidRPr="005E0F2A" w:rsidRDefault="00E45ADA" w:rsidP="00E45ADA">
            <w:pPr>
              <w:ind w:left="720" w:right="142"/>
              <w:jc w:val="both"/>
              <w:rPr>
                <w:sz w:val="22"/>
              </w:rPr>
            </w:pPr>
          </w:p>
        </w:tc>
      </w:tr>
      <w:tr w:rsidR="00E45ADA" w14:paraId="2F74B9C7" w14:textId="77777777" w:rsidTr="00E45ADA">
        <w:tc>
          <w:tcPr>
            <w:tcW w:w="4689" w:type="dxa"/>
          </w:tcPr>
          <w:p w14:paraId="12F74E7C" w14:textId="6F57109A" w:rsidR="00E45ADA" w:rsidRPr="00501215" w:rsidRDefault="00E45ADA" w:rsidP="00E45ADA">
            <w:pPr>
              <w:ind w:left="144" w:right="720"/>
              <w:jc w:val="right"/>
              <w:rPr>
                <w:sz w:val="22"/>
                <w:szCs w:val="22"/>
                <w:lang w:val="en-CA"/>
              </w:rPr>
            </w:pPr>
            <w:r w:rsidRPr="00501215">
              <w:rPr>
                <w:sz w:val="22"/>
                <w:szCs w:val="22"/>
                <w:lang w:val="en-CA"/>
              </w:rPr>
              <w:t>[Emphasis added]</w:t>
            </w:r>
          </w:p>
          <w:p w14:paraId="3318B8DE" w14:textId="77777777" w:rsidR="00E45ADA" w:rsidRPr="00501215" w:rsidRDefault="00E45ADA" w:rsidP="00E45ADA">
            <w:pPr>
              <w:ind w:left="720" w:right="142"/>
              <w:jc w:val="right"/>
              <w:rPr>
                <w:sz w:val="22"/>
                <w:lang w:val="en-CA"/>
              </w:rPr>
            </w:pPr>
          </w:p>
        </w:tc>
        <w:tc>
          <w:tcPr>
            <w:tcW w:w="4689" w:type="dxa"/>
          </w:tcPr>
          <w:p w14:paraId="5A2C7BB6" w14:textId="3D0CE778" w:rsidR="00E45ADA" w:rsidRPr="00501215" w:rsidRDefault="00E45ADA" w:rsidP="00E45ADA">
            <w:pPr>
              <w:ind w:left="720" w:right="142"/>
              <w:jc w:val="right"/>
              <w:rPr>
                <w:sz w:val="22"/>
                <w:lang w:val="en-CA"/>
              </w:rPr>
            </w:pPr>
            <w:r w:rsidRPr="00501215">
              <w:rPr>
                <w:sz w:val="22"/>
                <w:lang w:val="en-CA"/>
              </w:rPr>
              <w:t>[Soulignements ajoutés]</w:t>
            </w:r>
          </w:p>
          <w:p w14:paraId="7792DEFD" w14:textId="77777777" w:rsidR="00E45ADA" w:rsidRPr="005E0F2A" w:rsidRDefault="00E45ADA" w:rsidP="00E45ADA">
            <w:pPr>
              <w:ind w:left="720" w:right="142"/>
              <w:jc w:val="both"/>
              <w:rPr>
                <w:sz w:val="22"/>
              </w:rPr>
            </w:pPr>
          </w:p>
        </w:tc>
      </w:tr>
    </w:tbl>
    <w:bookmarkEnd w:id="6"/>
    <w:p w14:paraId="2C07E0D5" w14:textId="54B7C53F" w:rsidR="00120640" w:rsidRPr="00B35460" w:rsidRDefault="00B35460" w:rsidP="00EA7348">
      <w:pPr>
        <w:pStyle w:val="Paragraphe"/>
        <w:spacing w:before="80" w:after="80" w:line="280" w:lineRule="exact"/>
        <w:rPr>
          <w:lang w:val="en-CA"/>
        </w:rPr>
      </w:pPr>
      <w:r w:rsidRPr="00B35460">
        <w:rPr>
          <w:lang w:val="en-CA"/>
        </w:rPr>
        <w:t>These same provisions apply to proposals or arrangements by the debtor</w:t>
      </w:r>
      <w:r w:rsidR="00E45ADA">
        <w:rPr>
          <w:lang w:val="en-CA"/>
        </w:rPr>
        <w:t xml:space="preserve"> and</w:t>
      </w:r>
      <w:r w:rsidRPr="00501215">
        <w:rPr>
          <w:lang w:val="en-CA"/>
        </w:rPr>
        <w:t xml:space="preserve"> are reproduced in full in a schedule to this </w:t>
      </w:r>
      <w:r w:rsidR="00E45ADA" w:rsidRPr="00501215">
        <w:rPr>
          <w:lang w:val="en-CA"/>
        </w:rPr>
        <w:t>judgment</w:t>
      </w:r>
      <w:r w:rsidRPr="00501215">
        <w:rPr>
          <w:lang w:val="en-CA"/>
        </w:rPr>
        <w:t>.</w:t>
      </w:r>
    </w:p>
    <w:p w14:paraId="4549278A" w14:textId="6963FFD3" w:rsidR="00120640" w:rsidRPr="00501215" w:rsidRDefault="00B35460" w:rsidP="00EA7348">
      <w:pPr>
        <w:pStyle w:val="Citationenretrait"/>
        <w:spacing w:before="80" w:after="80"/>
        <w:rPr>
          <w:b/>
          <w:bCs/>
          <w:lang w:val="en-CA"/>
        </w:rPr>
      </w:pPr>
      <w:r w:rsidRPr="00501215">
        <w:rPr>
          <w:b/>
          <w:bCs/>
          <w:lang w:val="en-CA"/>
        </w:rPr>
        <w:t xml:space="preserve">The fundamental objectives of the </w:t>
      </w:r>
      <w:r w:rsidRPr="00501215">
        <w:rPr>
          <w:b/>
          <w:bCs/>
          <w:i/>
          <w:lang w:val="en-CA"/>
        </w:rPr>
        <w:t>BIA</w:t>
      </w:r>
    </w:p>
    <w:p w14:paraId="227EC302" w14:textId="6527BA6E" w:rsidR="00120640" w:rsidRPr="00B35460" w:rsidRDefault="00B35460" w:rsidP="00EA7348">
      <w:pPr>
        <w:pStyle w:val="Paragraphe"/>
        <w:spacing w:before="80" w:after="80" w:line="280" w:lineRule="exact"/>
        <w:rPr>
          <w:lang w:val="en-CA"/>
        </w:rPr>
      </w:pPr>
      <w:r w:rsidRPr="00B35460">
        <w:rPr>
          <w:lang w:val="en-CA"/>
        </w:rPr>
        <w:t xml:space="preserve">To circumscribe the scope of these provisions, </w:t>
      </w:r>
      <w:r w:rsidR="00C92D6B">
        <w:rPr>
          <w:lang w:val="en-CA"/>
        </w:rPr>
        <w:t xml:space="preserve">one must remember </w:t>
      </w:r>
      <w:r w:rsidRPr="00B35460">
        <w:rPr>
          <w:lang w:val="en-CA"/>
        </w:rPr>
        <w:t xml:space="preserve">that bankruptcy is a mechanism with two main objectives: (1) </w:t>
      </w:r>
      <w:r w:rsidR="00260759">
        <w:rPr>
          <w:lang w:val="en-CA"/>
        </w:rPr>
        <w:t xml:space="preserve">to </w:t>
      </w:r>
      <w:r w:rsidRPr="00B35460">
        <w:rPr>
          <w:lang w:val="en-CA"/>
        </w:rPr>
        <w:t xml:space="preserve">guarantee the equitable </w:t>
      </w:r>
      <w:r w:rsidR="000E2AF5">
        <w:rPr>
          <w:lang w:val="en-CA"/>
        </w:rPr>
        <w:t xml:space="preserve">treatment of </w:t>
      </w:r>
      <w:r w:rsidRPr="00B35460">
        <w:rPr>
          <w:lang w:val="en-CA"/>
        </w:rPr>
        <w:t>creditors</w:t>
      </w:r>
      <w:r>
        <w:rPr>
          <w:vertAlign w:val="superscript"/>
        </w:rPr>
        <w:footnoteReference w:id="5"/>
      </w:r>
      <w:r w:rsidRPr="00B35460">
        <w:rPr>
          <w:lang w:val="en-CA"/>
        </w:rPr>
        <w:t xml:space="preserve"> and (2) </w:t>
      </w:r>
      <w:r w:rsidR="00260759">
        <w:rPr>
          <w:lang w:val="en-CA"/>
        </w:rPr>
        <w:t xml:space="preserve">to </w:t>
      </w:r>
      <w:r w:rsidRPr="00B35460">
        <w:rPr>
          <w:lang w:val="en-CA"/>
        </w:rPr>
        <w:t xml:space="preserve">enable the financial rehabilitation of honest debtors who </w:t>
      </w:r>
      <w:r w:rsidR="00434884">
        <w:rPr>
          <w:lang w:val="en-CA"/>
        </w:rPr>
        <w:t xml:space="preserve">have </w:t>
      </w:r>
      <w:r w:rsidR="000E2AF5">
        <w:rPr>
          <w:lang w:val="en-CA"/>
        </w:rPr>
        <w:t xml:space="preserve">simply </w:t>
      </w:r>
      <w:r w:rsidR="00434884">
        <w:rPr>
          <w:lang w:val="en-CA"/>
        </w:rPr>
        <w:t>been</w:t>
      </w:r>
      <w:r w:rsidRPr="00B35460">
        <w:rPr>
          <w:lang w:val="en-CA"/>
        </w:rPr>
        <w:t xml:space="preserve"> unlucky.</w:t>
      </w:r>
      <w:r>
        <w:rPr>
          <w:vertAlign w:val="superscript"/>
        </w:rPr>
        <w:footnoteReference w:id="6"/>
      </w:r>
      <w:r w:rsidR="00B363F2" w:rsidRPr="00B35460">
        <w:rPr>
          <w:lang w:val="en-CA"/>
        </w:rPr>
        <w:t xml:space="preserve"> </w:t>
      </w:r>
      <w:r w:rsidRPr="00B35460">
        <w:rPr>
          <w:lang w:val="en-CA"/>
        </w:rPr>
        <w:t xml:space="preserve">It bears </w:t>
      </w:r>
      <w:r w:rsidR="00D27B0E">
        <w:rPr>
          <w:lang w:val="en-CA"/>
        </w:rPr>
        <w:t>saying</w:t>
      </w:r>
      <w:r w:rsidRPr="00B35460">
        <w:rPr>
          <w:lang w:val="en-CA"/>
        </w:rPr>
        <w:t xml:space="preserve"> that these</w:t>
      </w:r>
      <w:r w:rsidR="004A0BED">
        <w:rPr>
          <w:lang w:val="en-CA"/>
        </w:rPr>
        <w:t xml:space="preserve"> </w:t>
      </w:r>
      <w:r w:rsidRPr="00B35460">
        <w:rPr>
          <w:lang w:val="en-CA"/>
        </w:rPr>
        <w:t xml:space="preserve">same objectives </w:t>
      </w:r>
      <w:r w:rsidR="001B2367">
        <w:rPr>
          <w:lang w:val="en-CA"/>
        </w:rPr>
        <w:t xml:space="preserve">also </w:t>
      </w:r>
      <w:r w:rsidR="004A0BED">
        <w:rPr>
          <w:lang w:val="en-CA"/>
        </w:rPr>
        <w:t xml:space="preserve">underpin </w:t>
      </w:r>
      <w:r w:rsidRPr="00B35460">
        <w:rPr>
          <w:lang w:val="en-CA"/>
        </w:rPr>
        <w:t xml:space="preserve">debtor proposals and arrangements. </w:t>
      </w:r>
    </w:p>
    <w:p w14:paraId="740BF073" w14:textId="0ED0BC71" w:rsidR="00120640" w:rsidRPr="00B35460" w:rsidRDefault="00B35460" w:rsidP="00EA7348">
      <w:pPr>
        <w:pStyle w:val="Paragraphe"/>
        <w:spacing w:before="80" w:after="80" w:line="280" w:lineRule="exact"/>
        <w:rPr>
          <w:lang w:val="en-CA"/>
        </w:rPr>
      </w:pPr>
      <w:r>
        <w:rPr>
          <w:lang w:val="en-CA"/>
        </w:rPr>
        <w:t>To achieve these two objectives, a maximum</w:t>
      </w:r>
      <w:r w:rsidR="00260759">
        <w:rPr>
          <w:lang w:val="en-CA"/>
        </w:rPr>
        <w:t xml:space="preserve"> number</w:t>
      </w:r>
      <w:r>
        <w:rPr>
          <w:lang w:val="en-CA"/>
        </w:rPr>
        <w:t xml:space="preserve"> of creditors must be able to take part in the bankruptcy process and to share the proceeds from the administration of the debtor's assets.</w:t>
      </w:r>
      <w:r w:rsidR="00B363F2" w:rsidRPr="00B35460">
        <w:rPr>
          <w:lang w:val="en-CA"/>
        </w:rPr>
        <w:t xml:space="preserve"> </w:t>
      </w:r>
      <w:r w:rsidRPr="00B35460">
        <w:rPr>
          <w:lang w:val="en-CA"/>
        </w:rPr>
        <w:t>Conversely, the debtor must be discharged from a maximum</w:t>
      </w:r>
      <w:r w:rsidR="00260759">
        <w:rPr>
          <w:lang w:val="en-CA"/>
        </w:rPr>
        <w:t xml:space="preserve"> </w:t>
      </w:r>
      <w:r w:rsidR="00A86719">
        <w:rPr>
          <w:lang w:val="en-CA"/>
        </w:rPr>
        <w:t xml:space="preserve">number </w:t>
      </w:r>
      <w:r w:rsidRPr="00B35460">
        <w:rPr>
          <w:lang w:val="en-CA"/>
        </w:rPr>
        <w:t>of debts.</w:t>
      </w:r>
      <w:r w:rsidR="00B363F2" w:rsidRPr="00B35460">
        <w:rPr>
          <w:lang w:val="en-CA"/>
        </w:rPr>
        <w:t xml:space="preserve"> </w:t>
      </w:r>
      <w:r w:rsidRPr="00501215">
        <w:rPr>
          <w:lang w:val="en-CA"/>
        </w:rPr>
        <w:t xml:space="preserve">On this subject, in </w:t>
      </w:r>
      <w:r w:rsidRPr="00501215">
        <w:rPr>
          <w:i/>
          <w:lang w:val="en-CA"/>
        </w:rPr>
        <w:t>AbitibiBowater</w:t>
      </w:r>
      <w:r w:rsidRPr="00501215">
        <w:rPr>
          <w:lang w:val="en-CA"/>
        </w:rPr>
        <w:t>,</w:t>
      </w:r>
      <w:r w:rsidRPr="00501215">
        <w:rPr>
          <w:vertAlign w:val="superscript"/>
        </w:rPr>
        <w:footnoteReference w:id="7"/>
      </w:r>
      <w:r w:rsidRPr="00501215">
        <w:rPr>
          <w:lang w:val="en-CA"/>
        </w:rPr>
        <w:t xml:space="preserve"> the majority of the Supreme Court wrote:</w:t>
      </w:r>
    </w:p>
    <w:p w14:paraId="09146BFC" w14:textId="2923C347" w:rsidR="00120640" w:rsidRPr="00B35460" w:rsidRDefault="00B35460" w:rsidP="00120640">
      <w:pPr>
        <w:spacing w:before="120" w:after="120"/>
        <w:ind w:left="720" w:right="720"/>
        <w:jc w:val="both"/>
        <w:rPr>
          <w:kern w:val="24"/>
          <w:sz w:val="22"/>
          <w:lang w:val="en-CA"/>
        </w:rPr>
      </w:pPr>
      <w:r w:rsidRPr="00B35460">
        <w:rPr>
          <w:kern w:val="24"/>
          <w:sz w:val="22"/>
          <w:lang w:val="en-CA"/>
        </w:rPr>
        <w:lastRenderedPageBreak/>
        <w:t>[35]</w:t>
      </w:r>
      <w:r w:rsidR="00B363F2" w:rsidRPr="00B35460">
        <w:rPr>
          <w:kern w:val="24"/>
          <w:sz w:val="22"/>
          <w:lang w:val="en-CA"/>
        </w:rPr>
        <w:tab/>
      </w:r>
      <w:r w:rsidRPr="00B35460">
        <w:rPr>
          <w:kern w:val="24"/>
          <w:sz w:val="22"/>
          <w:lang w:val="en-CA"/>
        </w:rPr>
        <w:t>... it is more equitable to allow as many creditors as possible to participate in the process and share in the liquidation proceeds.</w:t>
      </w:r>
      <w:r w:rsidR="00B363F2" w:rsidRPr="00B35460">
        <w:rPr>
          <w:kern w:val="24"/>
          <w:sz w:val="22"/>
          <w:lang w:val="en-CA"/>
        </w:rPr>
        <w:t xml:space="preserve"> </w:t>
      </w:r>
      <w:r w:rsidRPr="00B35460">
        <w:rPr>
          <w:kern w:val="24"/>
          <w:sz w:val="22"/>
          <w:lang w:val="en-CA"/>
        </w:rPr>
        <w:t>This makes it possible to include creditors whose claims have not yet matured when the corporate debtor files for bankruptcy, and thus avert a situation in which they would be faced with an inactive debtor that cannot satisfy a judgment. The rationale is slightly different in the context of a corporate proposal or reorganization. In such cases, the broad approach serves not only to ensure fairness between creditors, but also to allow the debtor to make as fresh a start as possible after a proposal or an arrangement is approved.</w:t>
      </w:r>
    </w:p>
    <w:p w14:paraId="6F7F4DEE" w14:textId="745DB9E8" w:rsidR="00120640" w:rsidRPr="00CE401F" w:rsidRDefault="00CE401F" w:rsidP="00120640">
      <w:pPr>
        <w:pStyle w:val="Paragraphe"/>
        <w:spacing w:line="280" w:lineRule="exact"/>
        <w:rPr>
          <w:lang w:val="en-CA"/>
        </w:rPr>
      </w:pPr>
      <w:r w:rsidRPr="00CE401F">
        <w:rPr>
          <w:lang w:val="en-CA"/>
        </w:rPr>
        <w:t xml:space="preserve">Because creditors with </w:t>
      </w:r>
      <w:r w:rsidR="00D27B0E">
        <w:rPr>
          <w:lang w:val="en-CA"/>
        </w:rPr>
        <w:t>“</w:t>
      </w:r>
      <w:r w:rsidRPr="00CE401F">
        <w:rPr>
          <w:lang w:val="en-CA"/>
        </w:rPr>
        <w:t>provable</w:t>
      </w:r>
      <w:r w:rsidR="000D686D">
        <w:rPr>
          <w:lang w:val="en-CA"/>
        </w:rPr>
        <w:t xml:space="preserve"> claims</w:t>
      </w:r>
      <w:r w:rsidR="00D27B0E">
        <w:rPr>
          <w:lang w:val="en-CA"/>
        </w:rPr>
        <w:t>”</w:t>
      </w:r>
      <w:r w:rsidRPr="00CE401F">
        <w:rPr>
          <w:lang w:val="en-CA"/>
        </w:rPr>
        <w:t xml:space="preserve"> take part in the bankruptcy process and the </w:t>
      </w:r>
      <w:r w:rsidR="00D27B0E">
        <w:rPr>
          <w:lang w:val="en-CA"/>
        </w:rPr>
        <w:t>“</w:t>
      </w:r>
      <w:r w:rsidRPr="00CE401F">
        <w:rPr>
          <w:lang w:val="en-CA"/>
        </w:rPr>
        <w:t>provable</w:t>
      </w:r>
      <w:r w:rsidR="000D686D">
        <w:rPr>
          <w:lang w:val="en-CA"/>
        </w:rPr>
        <w:t xml:space="preserve"> claims</w:t>
      </w:r>
      <w:r w:rsidR="00D27B0E">
        <w:rPr>
          <w:lang w:val="en-CA"/>
        </w:rPr>
        <w:t>”</w:t>
      </w:r>
      <w:r w:rsidRPr="00CE401F">
        <w:rPr>
          <w:lang w:val="en-CA"/>
        </w:rPr>
        <w:t xml:space="preserve"> are released by the order of discharge, </w:t>
      </w:r>
      <w:r w:rsidR="00F54FA6">
        <w:rPr>
          <w:lang w:val="en-CA"/>
        </w:rPr>
        <w:t>both</w:t>
      </w:r>
      <w:r w:rsidRPr="00CE401F">
        <w:rPr>
          <w:lang w:val="en-CA"/>
        </w:rPr>
        <w:t xml:space="preserve"> objectives are achieved by favouring a broad </w:t>
      </w:r>
      <w:r w:rsidR="00F54FA6" w:rsidRPr="00CE401F">
        <w:rPr>
          <w:lang w:val="en-CA"/>
        </w:rPr>
        <w:t>interpretation</w:t>
      </w:r>
      <w:r w:rsidRPr="00CE401F">
        <w:rPr>
          <w:lang w:val="en-CA"/>
        </w:rPr>
        <w:t xml:space="preserve"> of the expression </w:t>
      </w:r>
      <w:r w:rsidR="00D27B0E">
        <w:rPr>
          <w:lang w:val="en-CA"/>
        </w:rPr>
        <w:t>“</w:t>
      </w:r>
      <w:r w:rsidR="00F001DC" w:rsidRPr="00CE401F">
        <w:rPr>
          <w:lang w:val="en-CA"/>
        </w:rPr>
        <w:t>provable</w:t>
      </w:r>
      <w:r w:rsidR="000D686D">
        <w:rPr>
          <w:lang w:val="en-CA"/>
        </w:rPr>
        <w:t xml:space="preserve"> claim</w:t>
      </w:r>
      <w:r w:rsidR="00D27B0E">
        <w:rPr>
          <w:lang w:val="en-CA"/>
        </w:rPr>
        <w:t>”</w:t>
      </w:r>
      <w:r w:rsidRPr="00CE401F">
        <w:rPr>
          <w:lang w:val="en-CA"/>
        </w:rPr>
        <w:t>.</w:t>
      </w:r>
      <w:r w:rsidR="00B363F2" w:rsidRPr="00CE401F">
        <w:rPr>
          <w:lang w:val="en-CA"/>
        </w:rPr>
        <w:t xml:space="preserve"> </w:t>
      </w:r>
    </w:p>
    <w:p w14:paraId="01DD83D3" w14:textId="21A5A644" w:rsidR="00120640" w:rsidRPr="00CE401F" w:rsidRDefault="00CE401F" w:rsidP="00120640">
      <w:pPr>
        <w:pStyle w:val="Paragraphe"/>
        <w:spacing w:line="280" w:lineRule="exact"/>
        <w:rPr>
          <w:lang w:val="en-CA"/>
        </w:rPr>
      </w:pPr>
      <w:r w:rsidRPr="00CE401F">
        <w:rPr>
          <w:lang w:val="en-CA"/>
        </w:rPr>
        <w:t xml:space="preserve">In </w:t>
      </w:r>
      <w:r w:rsidRPr="00CE401F">
        <w:rPr>
          <w:i/>
          <w:lang w:val="en-CA"/>
        </w:rPr>
        <w:t>Schreyer</w:t>
      </w:r>
      <w:r w:rsidRPr="00CE401F">
        <w:rPr>
          <w:lang w:val="en-CA"/>
        </w:rPr>
        <w:t>,</w:t>
      </w:r>
      <w:r>
        <w:rPr>
          <w:vertAlign w:val="superscript"/>
        </w:rPr>
        <w:footnoteReference w:id="8"/>
      </w:r>
      <w:r w:rsidRPr="00CE401F">
        <w:rPr>
          <w:lang w:val="en-CA"/>
        </w:rPr>
        <w:t xml:space="preserve"> LeBel</w:t>
      </w:r>
      <w:r w:rsidR="000D285C">
        <w:rPr>
          <w:lang w:val="en-CA"/>
        </w:rPr>
        <w:t>,</w:t>
      </w:r>
      <w:r w:rsidRPr="00CE401F">
        <w:rPr>
          <w:lang w:val="en-CA"/>
        </w:rPr>
        <w:t xml:space="preserve"> J., on behalf of the majority, </w:t>
      </w:r>
      <w:r w:rsidR="00C30562">
        <w:rPr>
          <w:lang w:val="en-CA"/>
        </w:rPr>
        <w:t xml:space="preserve">explained that </w:t>
      </w:r>
      <w:r w:rsidRPr="00CE401F">
        <w:rPr>
          <w:lang w:val="en-CA"/>
        </w:rPr>
        <w:t xml:space="preserve">the expression </w:t>
      </w:r>
      <w:r w:rsidR="00D27B0E">
        <w:rPr>
          <w:lang w:val="en-CA"/>
        </w:rPr>
        <w:t>“</w:t>
      </w:r>
      <w:r w:rsidR="00F001DC" w:rsidRPr="00CE401F">
        <w:rPr>
          <w:lang w:val="en-CA"/>
        </w:rPr>
        <w:t>provable</w:t>
      </w:r>
      <w:r w:rsidR="000D686D">
        <w:rPr>
          <w:lang w:val="en-CA"/>
        </w:rPr>
        <w:t xml:space="preserve"> claim</w:t>
      </w:r>
      <w:r w:rsidR="00D27B0E">
        <w:rPr>
          <w:lang w:val="en-CA"/>
        </w:rPr>
        <w:t>”</w:t>
      </w:r>
      <w:r w:rsidRPr="00CE401F">
        <w:rPr>
          <w:lang w:val="en-CA"/>
        </w:rPr>
        <w:t xml:space="preserve"> set out under section 121 BIA </w:t>
      </w:r>
      <w:r w:rsidR="00C30562">
        <w:rPr>
          <w:lang w:val="en-CA"/>
        </w:rPr>
        <w:t xml:space="preserve">must be interpreted </w:t>
      </w:r>
      <w:r w:rsidRPr="00CE401F">
        <w:rPr>
          <w:lang w:val="en-CA"/>
        </w:rPr>
        <w:t xml:space="preserve">broadly to include all </w:t>
      </w:r>
      <w:r w:rsidR="00C30562">
        <w:rPr>
          <w:lang w:val="en-CA"/>
        </w:rPr>
        <w:t xml:space="preserve">debts and liabilities existing </w:t>
      </w:r>
      <w:r w:rsidRPr="00CE401F">
        <w:rPr>
          <w:lang w:val="en-CA"/>
        </w:rPr>
        <w:t xml:space="preserve">at the time of </w:t>
      </w:r>
      <w:r w:rsidR="00C30562">
        <w:rPr>
          <w:lang w:val="en-CA"/>
        </w:rPr>
        <w:t xml:space="preserve">the </w:t>
      </w:r>
      <w:r w:rsidRPr="00CE401F">
        <w:rPr>
          <w:lang w:val="en-CA"/>
        </w:rPr>
        <w:t xml:space="preserve">bankruptcy or arising from obligations </w:t>
      </w:r>
      <w:r w:rsidR="001A01DC">
        <w:rPr>
          <w:lang w:val="en-CA"/>
        </w:rPr>
        <w:t>incurred</w:t>
      </w:r>
      <w:r w:rsidRPr="00CE401F">
        <w:rPr>
          <w:lang w:val="en-CA"/>
        </w:rPr>
        <w:t xml:space="preserve"> before the </w:t>
      </w:r>
      <w:r w:rsidR="001A01DC">
        <w:rPr>
          <w:lang w:val="en-CA"/>
        </w:rPr>
        <w:t>day</w:t>
      </w:r>
      <w:r w:rsidR="001A01DC" w:rsidRPr="00CE401F">
        <w:rPr>
          <w:lang w:val="en-CA"/>
        </w:rPr>
        <w:t xml:space="preserve"> </w:t>
      </w:r>
      <w:r w:rsidRPr="00CE401F">
        <w:rPr>
          <w:lang w:val="en-CA"/>
        </w:rPr>
        <w:t>on which the debtor bec</w:t>
      </w:r>
      <w:r w:rsidR="00F54FA6">
        <w:rPr>
          <w:lang w:val="en-CA"/>
        </w:rPr>
        <w:t>a</w:t>
      </w:r>
      <w:r w:rsidRPr="00CE401F">
        <w:rPr>
          <w:lang w:val="en-CA"/>
        </w:rPr>
        <w:t>me bankrupt:</w:t>
      </w:r>
    </w:p>
    <w:p w14:paraId="2A16D98B" w14:textId="1FAB43D0" w:rsidR="00120640" w:rsidRPr="00CE401F" w:rsidRDefault="00CE401F" w:rsidP="00120640">
      <w:pPr>
        <w:spacing w:before="120" w:after="120"/>
        <w:ind w:left="720" w:right="720"/>
        <w:jc w:val="both"/>
        <w:rPr>
          <w:kern w:val="24"/>
          <w:sz w:val="22"/>
          <w:lang w:val="en-CA"/>
        </w:rPr>
      </w:pPr>
      <w:r w:rsidRPr="00CE401F">
        <w:rPr>
          <w:kern w:val="24"/>
          <w:sz w:val="22"/>
          <w:lang w:val="en-CA"/>
        </w:rPr>
        <w:t>[26]</w:t>
      </w:r>
      <w:r w:rsidR="00B363F2" w:rsidRPr="00CE401F">
        <w:rPr>
          <w:kern w:val="24"/>
          <w:sz w:val="22"/>
          <w:lang w:val="en-CA"/>
        </w:rPr>
        <w:tab/>
      </w:r>
      <w:r w:rsidRPr="00CE401F">
        <w:rPr>
          <w:kern w:val="24"/>
          <w:sz w:val="22"/>
          <w:lang w:val="en-CA"/>
        </w:rPr>
        <w:t xml:space="preserve">Section 121 </w:t>
      </w:r>
      <w:r w:rsidRPr="00F54FA6">
        <w:rPr>
          <w:i/>
          <w:iCs/>
          <w:kern w:val="24"/>
          <w:sz w:val="22"/>
          <w:lang w:val="en-CA"/>
        </w:rPr>
        <w:t>BIA</w:t>
      </w:r>
      <w:r w:rsidRPr="00CE401F">
        <w:rPr>
          <w:kern w:val="24"/>
          <w:sz w:val="22"/>
          <w:lang w:val="en-CA"/>
        </w:rPr>
        <w:t xml:space="preserve"> contains a broad definition of a provable claim, which </w:t>
      </w:r>
      <w:r w:rsidRPr="00CE401F">
        <w:rPr>
          <w:kern w:val="24"/>
          <w:sz w:val="22"/>
          <w:u w:val="single"/>
          <w:lang w:val="en-CA"/>
        </w:rPr>
        <w:t>includes all debts and liabilities that exist at the time of the bankruptcy or that arise out of obligations incurred before the day the debtor went into bankruptcy</w:t>
      </w:r>
      <w:r w:rsidRPr="00CE401F">
        <w:rPr>
          <w:kern w:val="24"/>
          <w:sz w:val="22"/>
          <w:lang w:val="en-CA"/>
        </w:rPr>
        <w:t>.</w:t>
      </w:r>
      <w:r w:rsidR="00B363F2" w:rsidRPr="00CE401F">
        <w:rPr>
          <w:kern w:val="24"/>
          <w:sz w:val="22"/>
          <w:lang w:val="en-CA"/>
        </w:rPr>
        <w:t xml:space="preserve"> </w:t>
      </w:r>
      <w:r w:rsidRPr="00566EA6">
        <w:rPr>
          <w:kern w:val="24"/>
          <w:sz w:val="22"/>
          <w:lang w:val="en-CA"/>
        </w:rPr>
        <w:t xml:space="preserve">Thus, </w:t>
      </w:r>
      <w:r w:rsidR="00EE7AF9">
        <w:rPr>
          <w:kern w:val="24"/>
          <w:sz w:val="22"/>
          <w:lang w:val="en-CA"/>
        </w:rPr>
        <w:t>s. 1</w:t>
      </w:r>
      <w:r w:rsidRPr="00501215">
        <w:rPr>
          <w:kern w:val="24"/>
          <w:sz w:val="22"/>
          <w:lang w:val="en-CA"/>
        </w:rPr>
        <w:t>21 provides that “[a]</w:t>
      </w:r>
      <w:proofErr w:type="spellStart"/>
      <w:r w:rsidRPr="00501215">
        <w:rPr>
          <w:kern w:val="24"/>
          <w:sz w:val="22"/>
          <w:lang w:val="en-CA"/>
        </w:rPr>
        <w:t>ll</w:t>
      </w:r>
      <w:proofErr w:type="spellEnd"/>
      <w:r w:rsidRPr="00501215">
        <w:rPr>
          <w:kern w:val="24"/>
          <w:sz w:val="22"/>
          <w:lang w:val="en-CA"/>
        </w:rPr>
        <w:t xml:space="preserve"> debts and liabilities, present or future, to which the bankrupt is subject on the day on which the bankrupt becomes bankrupt or to which the bankrupt may become subject before the bankrupt’s discharge by reason of any obligation incurred before the day on which the bankrupt becomes bankrupt” are deemed to be provable claims.</w:t>
      </w:r>
      <w:r w:rsidR="00B363F2" w:rsidRPr="00CE401F">
        <w:rPr>
          <w:kern w:val="24"/>
          <w:sz w:val="22"/>
          <w:lang w:val="en-CA"/>
        </w:rPr>
        <w:t xml:space="preserve"> </w:t>
      </w:r>
      <w:r w:rsidRPr="00566EA6">
        <w:rPr>
          <w:kern w:val="24"/>
          <w:sz w:val="22"/>
          <w:lang w:val="en-CA"/>
        </w:rPr>
        <w:t xml:space="preserve">According to </w:t>
      </w:r>
      <w:r w:rsidR="00EE7AF9">
        <w:rPr>
          <w:kern w:val="24"/>
          <w:sz w:val="22"/>
          <w:lang w:val="en-CA"/>
        </w:rPr>
        <w:t>s. 1</w:t>
      </w:r>
      <w:r w:rsidRPr="00566EA6">
        <w:rPr>
          <w:kern w:val="24"/>
          <w:sz w:val="22"/>
          <w:lang w:val="en-CA"/>
        </w:rPr>
        <w:t xml:space="preserve">21(2), the trustee must apply </w:t>
      </w:r>
      <w:r w:rsidR="00EE7AF9">
        <w:rPr>
          <w:kern w:val="24"/>
          <w:sz w:val="22"/>
          <w:lang w:val="en-CA"/>
        </w:rPr>
        <w:t>s. 1</w:t>
      </w:r>
      <w:r w:rsidRPr="00501215">
        <w:rPr>
          <w:kern w:val="24"/>
          <w:sz w:val="22"/>
          <w:lang w:val="en-CA"/>
        </w:rPr>
        <w:t xml:space="preserve">35 </w:t>
      </w:r>
      <w:r w:rsidRPr="00501215">
        <w:rPr>
          <w:i/>
          <w:kern w:val="24"/>
          <w:sz w:val="22"/>
          <w:lang w:val="en-CA"/>
        </w:rPr>
        <w:t>BIA</w:t>
      </w:r>
      <w:r w:rsidRPr="00501215">
        <w:rPr>
          <w:kern w:val="24"/>
          <w:sz w:val="22"/>
          <w:lang w:val="en-CA"/>
        </w:rPr>
        <w:t xml:space="preserve"> to determine whether contingent or unliquidated claims are provable.</w:t>
      </w:r>
      <w:r w:rsidR="00B363F2" w:rsidRPr="00CE401F">
        <w:rPr>
          <w:kern w:val="24"/>
          <w:sz w:val="22"/>
          <w:lang w:val="en-CA"/>
        </w:rPr>
        <w:t xml:space="preserve"> </w:t>
      </w:r>
      <w:r w:rsidRPr="00CE401F">
        <w:rPr>
          <w:kern w:val="24"/>
          <w:sz w:val="22"/>
          <w:u w:val="single"/>
          <w:lang w:val="en-CA"/>
        </w:rPr>
        <w:t>If the debt exists and can be liquidated, if the underlying obligation exists as of the date of bankruptcy and if no exemption applies, the claim will be deemed to be provable</w:t>
      </w:r>
      <w:r w:rsidRPr="00CE401F">
        <w:rPr>
          <w:kern w:val="24"/>
          <w:sz w:val="22"/>
          <w:lang w:val="en-CA"/>
        </w:rPr>
        <w:t>.</w:t>
      </w:r>
    </w:p>
    <w:p w14:paraId="49A48390" w14:textId="333922E3" w:rsidR="00120640" w:rsidRPr="00501215" w:rsidRDefault="00CE401F" w:rsidP="00120640">
      <w:pPr>
        <w:spacing w:before="120" w:after="120"/>
        <w:ind w:left="720" w:right="720"/>
        <w:jc w:val="right"/>
        <w:rPr>
          <w:kern w:val="24"/>
          <w:sz w:val="22"/>
        </w:rPr>
      </w:pPr>
      <w:r w:rsidRPr="00501215">
        <w:rPr>
          <w:kern w:val="24"/>
          <w:sz w:val="22"/>
        </w:rPr>
        <w:t>[Emphasis added]</w:t>
      </w:r>
    </w:p>
    <w:p w14:paraId="47580287" w14:textId="349E5349" w:rsidR="00120640" w:rsidRPr="000C77F9" w:rsidRDefault="00033221" w:rsidP="00120640">
      <w:pPr>
        <w:pStyle w:val="Paragraphe"/>
        <w:spacing w:line="280" w:lineRule="exact"/>
        <w:rPr>
          <w:lang w:val="en-CA"/>
        </w:rPr>
      </w:pPr>
      <w:r>
        <w:rPr>
          <w:lang w:val="en-CA"/>
        </w:rPr>
        <w:t>T</w:t>
      </w:r>
      <w:r w:rsidR="000C77F9" w:rsidRPr="000C77F9">
        <w:rPr>
          <w:lang w:val="en-CA"/>
        </w:rPr>
        <w:t>he objective of financially rehabilitating the debtor</w:t>
      </w:r>
      <w:r w:rsidR="00600F28">
        <w:rPr>
          <w:lang w:val="en-CA"/>
        </w:rPr>
        <w:t>, on the other hand,</w:t>
      </w:r>
      <w:r w:rsidR="000C77F9" w:rsidRPr="000C77F9">
        <w:rPr>
          <w:lang w:val="en-CA"/>
        </w:rPr>
        <w:t xml:space="preserve"> favour</w:t>
      </w:r>
      <w:r w:rsidR="00B557F8">
        <w:rPr>
          <w:lang w:val="en-CA"/>
        </w:rPr>
        <w:t>s</w:t>
      </w:r>
      <w:r w:rsidR="000C77F9" w:rsidRPr="000C77F9">
        <w:rPr>
          <w:lang w:val="en-CA"/>
        </w:rPr>
        <w:t xml:space="preserve"> a restrictive interpretation of the exceptions set out under section 178(1) </w:t>
      </w:r>
      <w:r w:rsidR="000C77F9" w:rsidRPr="00B557F8">
        <w:rPr>
          <w:i/>
          <w:iCs/>
          <w:lang w:val="en-CA"/>
        </w:rPr>
        <w:t>BIA</w:t>
      </w:r>
      <w:r w:rsidR="000C77F9" w:rsidRPr="000C77F9">
        <w:rPr>
          <w:lang w:val="en-CA"/>
        </w:rPr>
        <w:t>.</w:t>
      </w:r>
      <w:r w:rsidR="00B363F2" w:rsidRPr="000C77F9">
        <w:rPr>
          <w:lang w:val="en-CA"/>
        </w:rPr>
        <w:t xml:space="preserve"> </w:t>
      </w:r>
      <w:r w:rsidR="000C77F9" w:rsidRPr="00501215">
        <w:rPr>
          <w:lang w:val="en-CA"/>
        </w:rPr>
        <w:t xml:space="preserve">In this regard, in </w:t>
      </w:r>
      <w:r w:rsidR="000C77F9" w:rsidRPr="00501215">
        <w:rPr>
          <w:i/>
          <w:lang w:val="en-CA"/>
        </w:rPr>
        <w:t>Moloney</w:t>
      </w:r>
      <w:r w:rsidR="000C77F9" w:rsidRPr="00501215">
        <w:rPr>
          <w:lang w:val="en-CA"/>
        </w:rPr>
        <w:t>,</w:t>
      </w:r>
      <w:r w:rsidR="000C77F9" w:rsidRPr="00501215">
        <w:rPr>
          <w:vertAlign w:val="superscript"/>
        </w:rPr>
        <w:footnoteReference w:id="9"/>
      </w:r>
      <w:r w:rsidR="000C77F9" w:rsidRPr="00501215">
        <w:rPr>
          <w:lang w:val="en-CA"/>
        </w:rPr>
        <w:t xml:space="preserve"> Gascon</w:t>
      </w:r>
      <w:r w:rsidR="00F224CB">
        <w:rPr>
          <w:lang w:val="en-CA"/>
        </w:rPr>
        <w:t>,</w:t>
      </w:r>
      <w:r w:rsidR="000C77F9" w:rsidRPr="00501215">
        <w:rPr>
          <w:lang w:val="en-CA"/>
        </w:rPr>
        <w:t xml:space="preserve"> J., on behalf of the majority of the Supreme Court</w:t>
      </w:r>
      <w:r w:rsidR="00B557F8">
        <w:rPr>
          <w:lang w:val="en-CA"/>
        </w:rPr>
        <w:t>, stated</w:t>
      </w:r>
      <w:r w:rsidR="000C77F9" w:rsidRPr="00501215">
        <w:rPr>
          <w:lang w:val="en-CA"/>
        </w:rPr>
        <w:t>:</w:t>
      </w:r>
      <w:r w:rsidR="000C77F9" w:rsidRPr="000C77F9">
        <w:rPr>
          <w:lang w:val="en-CA"/>
        </w:rPr>
        <w:t xml:space="preserve"> </w:t>
      </w:r>
      <w:r w:rsidR="00B363F2" w:rsidRPr="000C77F9">
        <w:rPr>
          <w:lang w:val="en-CA"/>
        </w:rPr>
        <w:t xml:space="preserve"> </w:t>
      </w:r>
    </w:p>
    <w:p w14:paraId="1665DF5E" w14:textId="4CA73A06" w:rsidR="00120640" w:rsidRPr="000C77F9" w:rsidRDefault="000C77F9" w:rsidP="00120640">
      <w:pPr>
        <w:spacing w:before="120" w:after="120"/>
        <w:ind w:left="720" w:right="720"/>
        <w:jc w:val="both"/>
        <w:rPr>
          <w:kern w:val="24"/>
          <w:sz w:val="22"/>
          <w:lang w:val="en-CA"/>
        </w:rPr>
      </w:pPr>
      <w:r w:rsidRPr="000C77F9">
        <w:rPr>
          <w:kern w:val="24"/>
          <w:sz w:val="22"/>
          <w:lang w:val="en-CA"/>
        </w:rPr>
        <w:t>[79]</w:t>
      </w:r>
      <w:r w:rsidR="00B363F2" w:rsidRPr="000C77F9">
        <w:rPr>
          <w:kern w:val="24"/>
          <w:sz w:val="22"/>
          <w:lang w:val="en-CA"/>
        </w:rPr>
        <w:tab/>
      </w:r>
      <w:r w:rsidRPr="000C77F9">
        <w:rPr>
          <w:kern w:val="24"/>
          <w:sz w:val="22"/>
          <w:lang w:val="en-CA"/>
        </w:rPr>
        <w:t xml:space="preserve">In furthering financial rehabilitation, Parliament expressly selected which debts survive bankruptcy and which are discharged: </w:t>
      </w:r>
      <w:r w:rsidR="00EE7AF9">
        <w:rPr>
          <w:kern w:val="24"/>
          <w:sz w:val="22"/>
          <w:lang w:val="en-CA"/>
        </w:rPr>
        <w:t>s. 1</w:t>
      </w:r>
      <w:r w:rsidRPr="000C77F9">
        <w:rPr>
          <w:kern w:val="24"/>
          <w:sz w:val="22"/>
          <w:lang w:val="en-CA"/>
        </w:rPr>
        <w:t>78(1) and (2). It did so having regard to competing policy objectives.</w:t>
      </w:r>
      <w:r w:rsidR="00B363F2" w:rsidRPr="000C77F9">
        <w:rPr>
          <w:kern w:val="24"/>
          <w:sz w:val="22"/>
          <w:lang w:val="en-CA"/>
        </w:rPr>
        <w:t xml:space="preserve"> </w:t>
      </w:r>
      <w:r w:rsidRPr="000C77F9">
        <w:rPr>
          <w:kern w:val="24"/>
          <w:sz w:val="22"/>
          <w:lang w:val="en-CA"/>
        </w:rPr>
        <w:t xml:space="preserve">This is a delicate exercise, because </w:t>
      </w:r>
      <w:r w:rsidRPr="000C77F9">
        <w:rPr>
          <w:kern w:val="24"/>
          <w:sz w:val="22"/>
          <w:lang w:val="en-CA"/>
        </w:rPr>
        <w:lastRenderedPageBreak/>
        <w:t>the more claims that survive bankruptcy, the more difficult it becomes for a debtor to rehabilitate:</w:t>
      </w:r>
      <w:r w:rsidR="00B363F2" w:rsidRPr="000C77F9">
        <w:rPr>
          <w:kern w:val="24"/>
          <w:sz w:val="22"/>
          <w:lang w:val="en-CA"/>
        </w:rPr>
        <w:t xml:space="preserve"> </w:t>
      </w:r>
      <w:r w:rsidR="00B35460" w:rsidRPr="000C77F9">
        <w:rPr>
          <w:kern w:val="24"/>
          <w:sz w:val="22"/>
          <w:lang w:val="en-CA"/>
        </w:rPr>
        <w:t>…</w:t>
      </w:r>
    </w:p>
    <w:p w14:paraId="5D36E952" w14:textId="17E18FAC" w:rsidR="00120640" w:rsidRPr="000C77F9" w:rsidRDefault="000C77F9" w:rsidP="006F0F64">
      <w:pPr>
        <w:pStyle w:val="Paragraphe"/>
        <w:spacing w:after="240" w:line="280" w:lineRule="exact"/>
        <w:rPr>
          <w:lang w:val="en-CA"/>
        </w:rPr>
      </w:pPr>
      <w:r w:rsidRPr="000C77F9">
        <w:rPr>
          <w:lang w:val="en-CA"/>
        </w:rPr>
        <w:t>As Gascon</w:t>
      </w:r>
      <w:r w:rsidR="00217555">
        <w:rPr>
          <w:lang w:val="en-CA"/>
        </w:rPr>
        <w:t>,</w:t>
      </w:r>
      <w:r w:rsidRPr="000C77F9">
        <w:rPr>
          <w:lang w:val="en-CA"/>
        </w:rPr>
        <w:t xml:space="preserve"> J. indicates, the exceptions set out under section 178(1) </w:t>
      </w:r>
      <w:r w:rsidRPr="00B557F8">
        <w:rPr>
          <w:i/>
          <w:iCs/>
          <w:lang w:val="en-CA"/>
        </w:rPr>
        <w:t>BIA</w:t>
      </w:r>
      <w:r w:rsidRPr="000C77F9">
        <w:rPr>
          <w:lang w:val="en-CA"/>
        </w:rPr>
        <w:t xml:space="preserve"> reflect various general policy</w:t>
      </w:r>
      <w:r w:rsidR="00896B46" w:rsidRPr="00896B46">
        <w:rPr>
          <w:lang w:val="en-CA"/>
        </w:rPr>
        <w:t xml:space="preserve"> </w:t>
      </w:r>
      <w:r w:rsidR="00896B46" w:rsidRPr="000C77F9">
        <w:rPr>
          <w:lang w:val="en-CA"/>
        </w:rPr>
        <w:t>objectives</w:t>
      </w:r>
      <w:r w:rsidRPr="000C77F9">
        <w:rPr>
          <w:lang w:val="en-CA"/>
        </w:rPr>
        <w:t xml:space="preserve">: they include fines, </w:t>
      </w:r>
      <w:r w:rsidR="009F5AC0">
        <w:rPr>
          <w:lang w:val="en-CA"/>
        </w:rPr>
        <w:t xml:space="preserve">damages awarded </w:t>
      </w:r>
      <w:r w:rsidRPr="000C77F9">
        <w:rPr>
          <w:lang w:val="en-CA"/>
        </w:rPr>
        <w:t xml:space="preserve">for intentional bodily injury and sexual assault, </w:t>
      </w:r>
      <w:r w:rsidR="009F5AC0">
        <w:rPr>
          <w:lang w:val="en-CA"/>
        </w:rPr>
        <w:t xml:space="preserve">alimentary </w:t>
      </w:r>
      <w:r w:rsidRPr="000C77F9">
        <w:rPr>
          <w:lang w:val="en-CA"/>
        </w:rPr>
        <w:t>support, fraud, and student and apprentice loans.</w:t>
      </w:r>
      <w:r w:rsidR="00B363F2" w:rsidRPr="000C77F9">
        <w:rPr>
          <w:lang w:val="en-CA"/>
        </w:rPr>
        <w:t xml:space="preserve"> </w:t>
      </w:r>
    </w:p>
    <w:p w14:paraId="1EA1D644" w14:textId="43516791" w:rsidR="00120640" w:rsidRPr="000C77F9" w:rsidRDefault="000C77F9" w:rsidP="006F0F64">
      <w:pPr>
        <w:pStyle w:val="Paragraphe"/>
        <w:spacing w:after="240" w:line="280" w:lineRule="exact"/>
        <w:rPr>
          <w:lang w:val="en-CA"/>
        </w:rPr>
      </w:pPr>
      <w:r w:rsidRPr="000C77F9">
        <w:rPr>
          <w:lang w:val="en-CA"/>
        </w:rPr>
        <w:t>Because any exception to a debtor's discharge makes his or her financial rehabilitation more difficult, Gascon</w:t>
      </w:r>
      <w:r w:rsidR="00B854C0">
        <w:rPr>
          <w:lang w:val="en-CA"/>
        </w:rPr>
        <w:t>,</w:t>
      </w:r>
      <w:r w:rsidRPr="000C77F9">
        <w:rPr>
          <w:lang w:val="en-CA"/>
        </w:rPr>
        <w:t xml:space="preserve"> J. </w:t>
      </w:r>
      <w:r w:rsidR="00B854C0">
        <w:rPr>
          <w:lang w:val="en-CA"/>
        </w:rPr>
        <w:t xml:space="preserve">specified </w:t>
      </w:r>
      <w:r w:rsidRPr="000C77F9">
        <w:rPr>
          <w:lang w:val="en-CA"/>
        </w:rPr>
        <w:t xml:space="preserve">that sections 178(1) and (2) of the </w:t>
      </w:r>
      <w:r w:rsidRPr="002B3B8F">
        <w:rPr>
          <w:i/>
          <w:iCs/>
          <w:lang w:val="en-CA"/>
        </w:rPr>
        <w:t>BIA</w:t>
      </w:r>
      <w:r w:rsidRPr="000C77F9">
        <w:rPr>
          <w:lang w:val="en-CA"/>
        </w:rPr>
        <w:t xml:space="preserve"> are exhaustive.</w:t>
      </w:r>
      <w:r>
        <w:rPr>
          <w:vertAlign w:val="superscript"/>
        </w:rPr>
        <w:footnoteReference w:id="10"/>
      </w:r>
      <w:r w:rsidR="00B363F2" w:rsidRPr="000C77F9">
        <w:rPr>
          <w:lang w:val="en-CA"/>
        </w:rPr>
        <w:t xml:space="preserve"> </w:t>
      </w:r>
      <w:r w:rsidRPr="000C77F9">
        <w:rPr>
          <w:lang w:val="en-CA"/>
        </w:rPr>
        <w:t xml:space="preserve">No debts </w:t>
      </w:r>
      <w:r w:rsidR="002B3B8F" w:rsidRPr="000C77F9">
        <w:rPr>
          <w:lang w:val="en-CA"/>
        </w:rPr>
        <w:t>other</w:t>
      </w:r>
      <w:r w:rsidRPr="000C77F9">
        <w:rPr>
          <w:lang w:val="en-CA"/>
        </w:rPr>
        <w:t xml:space="preserve"> than the ones set out under section 178(1) </w:t>
      </w:r>
      <w:r w:rsidRPr="002B3B8F">
        <w:rPr>
          <w:i/>
          <w:iCs/>
          <w:lang w:val="en-CA"/>
        </w:rPr>
        <w:t>BIA</w:t>
      </w:r>
      <w:r w:rsidRPr="000C77F9">
        <w:rPr>
          <w:lang w:val="en-CA"/>
        </w:rPr>
        <w:t xml:space="preserve"> </w:t>
      </w:r>
      <w:r w:rsidR="002B3B8F">
        <w:rPr>
          <w:lang w:val="en-CA"/>
        </w:rPr>
        <w:t>can</w:t>
      </w:r>
      <w:r w:rsidRPr="000C77F9">
        <w:rPr>
          <w:lang w:val="en-CA"/>
        </w:rPr>
        <w:t xml:space="preserve"> survive an order of discharge.</w:t>
      </w:r>
      <w:r w:rsidR="00B363F2" w:rsidRPr="000C77F9">
        <w:rPr>
          <w:lang w:val="en-CA"/>
        </w:rPr>
        <w:t xml:space="preserve"> </w:t>
      </w:r>
    </w:p>
    <w:p w14:paraId="41A5C29F" w14:textId="24FEF45A" w:rsidR="00120640" w:rsidRPr="000C77F9" w:rsidRDefault="00695D97" w:rsidP="006F0F64">
      <w:pPr>
        <w:pStyle w:val="Paragraphe"/>
        <w:spacing w:after="240" w:line="280" w:lineRule="exact"/>
        <w:rPr>
          <w:lang w:val="en-CA"/>
        </w:rPr>
      </w:pPr>
      <w:r>
        <w:rPr>
          <w:lang w:val="en-CA"/>
        </w:rPr>
        <w:t xml:space="preserve">Consequently, </w:t>
      </w:r>
      <w:r w:rsidR="00D96497">
        <w:rPr>
          <w:lang w:val="en-CA"/>
        </w:rPr>
        <w:t>prudence is required</w:t>
      </w:r>
      <w:r w:rsidR="000C77F9" w:rsidRPr="000C77F9">
        <w:rPr>
          <w:lang w:val="en-CA"/>
        </w:rPr>
        <w:t xml:space="preserve"> before finding that a claim is not a provable claim.</w:t>
      </w:r>
      <w:r w:rsidR="00B363F2" w:rsidRPr="000C77F9">
        <w:rPr>
          <w:lang w:val="en-CA"/>
        </w:rPr>
        <w:t xml:space="preserve"> </w:t>
      </w:r>
      <w:r w:rsidR="000C77F9">
        <w:rPr>
          <w:lang w:val="en-CA"/>
        </w:rPr>
        <w:t xml:space="preserve">Indeed, rejecting a claim may entail consequences that are inconsistent with the objectives of </w:t>
      </w:r>
      <w:r w:rsidR="002B3B8F">
        <w:rPr>
          <w:lang w:val="en-CA"/>
        </w:rPr>
        <w:t>the</w:t>
      </w:r>
      <w:r w:rsidR="000C77F9">
        <w:rPr>
          <w:lang w:val="en-CA"/>
        </w:rPr>
        <w:t xml:space="preserve"> </w:t>
      </w:r>
      <w:r w:rsidR="000C77F9" w:rsidRPr="002B3B8F">
        <w:rPr>
          <w:i/>
          <w:iCs/>
          <w:lang w:val="en-CA"/>
        </w:rPr>
        <w:t>BIA</w:t>
      </w:r>
      <w:r w:rsidR="000C77F9">
        <w:rPr>
          <w:lang w:val="en-CA"/>
        </w:rPr>
        <w:t>.</w:t>
      </w:r>
      <w:r w:rsidR="00B363F2" w:rsidRPr="000C77F9">
        <w:rPr>
          <w:lang w:val="en-CA"/>
        </w:rPr>
        <w:t xml:space="preserve"> </w:t>
      </w:r>
    </w:p>
    <w:p w14:paraId="0F283863" w14:textId="44D5651F" w:rsidR="00120640" w:rsidRPr="000C77F9" w:rsidRDefault="00E71AEF" w:rsidP="006F0F64">
      <w:pPr>
        <w:pStyle w:val="Paragraphe"/>
        <w:spacing w:after="240" w:line="280" w:lineRule="exact"/>
        <w:rPr>
          <w:lang w:val="en-CA"/>
        </w:rPr>
      </w:pPr>
      <w:r>
        <w:rPr>
          <w:lang w:val="en-CA"/>
        </w:rPr>
        <w:t>For one thing</w:t>
      </w:r>
      <w:r w:rsidR="00A639D9">
        <w:rPr>
          <w:lang w:val="en-CA"/>
        </w:rPr>
        <w:t>, i</w:t>
      </w:r>
      <w:r w:rsidR="000C77F9" w:rsidRPr="000C77F9">
        <w:rPr>
          <w:lang w:val="en-CA"/>
        </w:rPr>
        <w:t xml:space="preserve">f </w:t>
      </w:r>
      <w:r w:rsidR="002B3B8F" w:rsidRPr="000C77F9">
        <w:rPr>
          <w:lang w:val="en-CA"/>
        </w:rPr>
        <w:t>the</w:t>
      </w:r>
      <w:r w:rsidR="000C77F9" w:rsidRPr="000C77F9">
        <w:rPr>
          <w:lang w:val="en-CA"/>
        </w:rPr>
        <w:t xml:space="preserve"> claim </w:t>
      </w:r>
      <w:r w:rsidR="002B3B8F" w:rsidRPr="000C77F9">
        <w:rPr>
          <w:lang w:val="en-CA"/>
        </w:rPr>
        <w:t>is</w:t>
      </w:r>
      <w:r w:rsidR="000C77F9" w:rsidRPr="000C77F9">
        <w:rPr>
          <w:lang w:val="en-CA"/>
        </w:rPr>
        <w:t xml:space="preserve"> not characterized as a provable claim, the creditor cannot take part in the bankruptcy or proposal, nor can he or she receive a dividend.</w:t>
      </w:r>
      <w:r w:rsidR="00B363F2" w:rsidRPr="000C77F9">
        <w:rPr>
          <w:lang w:val="en-CA"/>
        </w:rPr>
        <w:t xml:space="preserve"> </w:t>
      </w:r>
      <w:r w:rsidR="000C77F9" w:rsidRPr="000C77F9">
        <w:rPr>
          <w:lang w:val="en-CA"/>
        </w:rPr>
        <w:t>Rather, the creditor's claim survives the debtor's order of discharge.</w:t>
      </w:r>
      <w:r w:rsidR="00B363F2" w:rsidRPr="000C77F9">
        <w:rPr>
          <w:lang w:val="en-CA"/>
        </w:rPr>
        <w:t xml:space="preserve"> </w:t>
      </w:r>
      <w:r w:rsidR="000C77F9" w:rsidRPr="000C77F9">
        <w:rPr>
          <w:lang w:val="en-CA"/>
        </w:rPr>
        <w:t>Depending on the circumstances, it could be unfair to the creditor</w:t>
      </w:r>
      <w:r w:rsidR="00B002D7">
        <w:rPr>
          <w:lang w:val="en-CA"/>
        </w:rPr>
        <w:t>,</w:t>
      </w:r>
      <w:r w:rsidR="000C77F9" w:rsidRPr="000C77F9">
        <w:rPr>
          <w:lang w:val="en-CA"/>
        </w:rPr>
        <w:t xml:space="preserve"> or even to the debtor and </w:t>
      </w:r>
      <w:r w:rsidR="00B002D7">
        <w:rPr>
          <w:lang w:val="en-CA"/>
        </w:rPr>
        <w:t xml:space="preserve">the </w:t>
      </w:r>
      <w:r w:rsidR="000C77F9" w:rsidRPr="000C77F9">
        <w:rPr>
          <w:lang w:val="en-CA"/>
        </w:rPr>
        <w:t>mass of creditors.</w:t>
      </w:r>
      <w:r w:rsidR="00B363F2" w:rsidRPr="000C77F9">
        <w:rPr>
          <w:lang w:val="en-CA"/>
        </w:rPr>
        <w:t xml:space="preserve"> </w:t>
      </w:r>
      <w:r w:rsidR="00452561">
        <w:rPr>
          <w:lang w:val="en-CA"/>
        </w:rPr>
        <w:t>Let me explain:</w:t>
      </w:r>
      <w:r w:rsidR="00B363F2" w:rsidRPr="000C77F9">
        <w:rPr>
          <w:lang w:val="en-CA"/>
        </w:rPr>
        <w:t xml:space="preserve"> </w:t>
      </w:r>
    </w:p>
    <w:p w14:paraId="1507F3A7" w14:textId="27B89908" w:rsidR="00120640" w:rsidRPr="000C77F9" w:rsidRDefault="000C77F9" w:rsidP="006F0F64">
      <w:pPr>
        <w:numPr>
          <w:ilvl w:val="0"/>
          <w:numId w:val="19"/>
        </w:numPr>
        <w:spacing w:before="120" w:after="240"/>
        <w:ind w:left="714" w:hanging="357"/>
        <w:jc w:val="both"/>
        <w:rPr>
          <w:kern w:val="28"/>
          <w:lang w:val="en-CA"/>
        </w:rPr>
      </w:pPr>
      <w:r w:rsidRPr="000C77F9">
        <w:rPr>
          <w:kern w:val="28"/>
          <w:lang w:val="en-CA"/>
        </w:rPr>
        <w:t xml:space="preserve">It could be unfair to </w:t>
      </w:r>
      <w:r w:rsidR="00C078AF">
        <w:rPr>
          <w:kern w:val="28"/>
          <w:lang w:val="en-CA"/>
        </w:rPr>
        <w:t>the</w:t>
      </w:r>
      <w:r w:rsidRPr="000C77F9">
        <w:rPr>
          <w:kern w:val="28"/>
          <w:lang w:val="en-CA"/>
        </w:rPr>
        <w:t xml:space="preserve"> creditor in a corporate bankruptcy because he or she may presumably never be paid</w:t>
      </w:r>
      <w:r w:rsidR="00C078AF">
        <w:rPr>
          <w:kern w:val="28"/>
          <w:lang w:val="en-CA"/>
        </w:rPr>
        <w:t>,</w:t>
      </w:r>
      <w:r w:rsidRPr="000C77F9">
        <w:rPr>
          <w:kern w:val="28"/>
          <w:lang w:val="en-CA"/>
        </w:rPr>
        <w:t xml:space="preserve"> even if the claim </w:t>
      </w:r>
      <w:r w:rsidR="00C078AF">
        <w:rPr>
          <w:kern w:val="28"/>
          <w:lang w:val="en-CA"/>
        </w:rPr>
        <w:t>later came to be</w:t>
      </w:r>
      <w:r w:rsidRPr="000C77F9">
        <w:rPr>
          <w:kern w:val="28"/>
          <w:lang w:val="en-CA"/>
        </w:rPr>
        <w:t>.</w:t>
      </w:r>
      <w:r w:rsidR="00B363F2" w:rsidRPr="000C77F9">
        <w:rPr>
          <w:kern w:val="28"/>
          <w:lang w:val="en-CA"/>
        </w:rPr>
        <w:t xml:space="preserve"> </w:t>
      </w:r>
    </w:p>
    <w:p w14:paraId="6D1AFE4B" w14:textId="0A299908" w:rsidR="00120640" w:rsidRPr="00AC1AF7" w:rsidRDefault="000C77F9" w:rsidP="006F0F64">
      <w:pPr>
        <w:numPr>
          <w:ilvl w:val="0"/>
          <w:numId w:val="19"/>
        </w:numPr>
        <w:spacing w:before="120" w:after="240"/>
        <w:ind w:left="714" w:hanging="357"/>
        <w:jc w:val="both"/>
        <w:rPr>
          <w:kern w:val="28"/>
          <w:lang w:val="en-CA"/>
        </w:rPr>
      </w:pPr>
      <w:r w:rsidRPr="000C77F9">
        <w:rPr>
          <w:kern w:val="28"/>
          <w:lang w:val="en-CA"/>
        </w:rPr>
        <w:t xml:space="preserve">It could be unfair </w:t>
      </w:r>
      <w:r w:rsidR="00C078AF">
        <w:rPr>
          <w:kern w:val="28"/>
          <w:lang w:val="en-CA"/>
        </w:rPr>
        <w:t>to</w:t>
      </w:r>
      <w:r w:rsidRPr="000C77F9">
        <w:rPr>
          <w:kern w:val="28"/>
          <w:lang w:val="en-CA"/>
        </w:rPr>
        <w:t xml:space="preserve"> the debtor and </w:t>
      </w:r>
      <w:r w:rsidR="00DC3A1D">
        <w:rPr>
          <w:kern w:val="28"/>
          <w:lang w:val="en-CA"/>
        </w:rPr>
        <w:t xml:space="preserve">the </w:t>
      </w:r>
      <w:r w:rsidRPr="000C77F9">
        <w:rPr>
          <w:kern w:val="28"/>
          <w:lang w:val="en-CA"/>
        </w:rPr>
        <w:t xml:space="preserve">mass of creditors in a personal bankruptcy or proposal if the creditor's claim were to later </w:t>
      </w:r>
      <w:r w:rsidR="00C078AF">
        <w:rPr>
          <w:kern w:val="28"/>
          <w:lang w:val="en-CA"/>
        </w:rPr>
        <w:t>come to be</w:t>
      </w:r>
      <w:r w:rsidRPr="000C77F9">
        <w:rPr>
          <w:kern w:val="28"/>
          <w:lang w:val="en-CA"/>
        </w:rPr>
        <w:t>.</w:t>
      </w:r>
      <w:r w:rsidR="00B363F2" w:rsidRPr="000C77F9">
        <w:rPr>
          <w:kern w:val="28"/>
          <w:lang w:val="en-CA"/>
        </w:rPr>
        <w:t xml:space="preserve"> </w:t>
      </w:r>
      <w:r w:rsidRPr="000C77F9">
        <w:rPr>
          <w:kern w:val="28"/>
          <w:lang w:val="en-CA"/>
        </w:rPr>
        <w:t xml:space="preserve">In such a case, the </w:t>
      </w:r>
      <w:r w:rsidR="00C078AF" w:rsidRPr="000C77F9">
        <w:rPr>
          <w:kern w:val="28"/>
          <w:lang w:val="en-CA"/>
        </w:rPr>
        <w:t>creditor</w:t>
      </w:r>
      <w:r w:rsidRPr="000C77F9">
        <w:rPr>
          <w:kern w:val="28"/>
          <w:lang w:val="en-CA"/>
        </w:rPr>
        <w:t xml:space="preserve"> could then claim his or her entire claim</w:t>
      </w:r>
      <w:r w:rsidR="00F6413A">
        <w:rPr>
          <w:kern w:val="28"/>
          <w:lang w:val="en-CA"/>
        </w:rPr>
        <w:t xml:space="preserve"> and</w:t>
      </w:r>
      <w:r w:rsidR="00DC3A1D">
        <w:rPr>
          <w:kern w:val="28"/>
          <w:lang w:val="en-CA"/>
        </w:rPr>
        <w:t xml:space="preserve"> </w:t>
      </w:r>
      <w:r w:rsidR="00AC1AF7" w:rsidRPr="00AC1AF7">
        <w:rPr>
          <w:kern w:val="28"/>
          <w:lang w:val="en-CA"/>
        </w:rPr>
        <w:t xml:space="preserve">would </w:t>
      </w:r>
      <w:r w:rsidR="006706C2">
        <w:rPr>
          <w:kern w:val="28"/>
          <w:lang w:val="en-CA"/>
        </w:rPr>
        <w:t xml:space="preserve">thereby </w:t>
      </w:r>
      <w:r w:rsidR="00AC1AF7" w:rsidRPr="00AC1AF7">
        <w:rPr>
          <w:kern w:val="28"/>
          <w:lang w:val="en-CA"/>
        </w:rPr>
        <w:t>be entitled to more than the other creditors</w:t>
      </w:r>
      <w:r w:rsidR="00F6413A">
        <w:rPr>
          <w:kern w:val="28"/>
          <w:lang w:val="en-CA"/>
        </w:rPr>
        <w:t>,</w:t>
      </w:r>
      <w:r w:rsidR="00AC1AF7" w:rsidRPr="00AC1AF7">
        <w:rPr>
          <w:kern w:val="28"/>
          <w:lang w:val="en-CA"/>
        </w:rPr>
        <w:t xml:space="preserve"> and the debtor would have greater difficulty achieving financial rehabilitation.</w:t>
      </w:r>
    </w:p>
    <w:p w14:paraId="3F9A7F07" w14:textId="63FBBABA" w:rsidR="00120640" w:rsidRPr="00AC1AF7" w:rsidRDefault="00A639D9" w:rsidP="006F0F64">
      <w:pPr>
        <w:pStyle w:val="Paragraphe"/>
        <w:spacing w:after="240" w:line="280" w:lineRule="exact"/>
        <w:rPr>
          <w:lang w:val="en-CA"/>
        </w:rPr>
      </w:pPr>
      <w:r>
        <w:rPr>
          <w:lang w:val="en-CA"/>
        </w:rPr>
        <w:t>Moreover</w:t>
      </w:r>
      <w:r w:rsidR="00AC1AF7" w:rsidRPr="00AC1AF7">
        <w:rPr>
          <w:lang w:val="en-CA"/>
        </w:rPr>
        <w:t xml:space="preserve">, to allow a claim to survive discharge creates a new exception under section 178(1) </w:t>
      </w:r>
      <w:r w:rsidR="00AC1AF7" w:rsidRPr="00C078AF">
        <w:rPr>
          <w:i/>
          <w:iCs/>
          <w:lang w:val="en-CA"/>
        </w:rPr>
        <w:t>BIA</w:t>
      </w:r>
      <w:r w:rsidR="00AC1AF7" w:rsidRPr="00AC1AF7">
        <w:rPr>
          <w:lang w:val="en-CA"/>
        </w:rPr>
        <w:t xml:space="preserve">, </w:t>
      </w:r>
      <w:r w:rsidR="00C078AF">
        <w:rPr>
          <w:lang w:val="en-CA"/>
        </w:rPr>
        <w:t>one that</w:t>
      </w:r>
      <w:r w:rsidR="00AC1AF7" w:rsidRPr="00AC1AF7">
        <w:rPr>
          <w:lang w:val="en-CA"/>
        </w:rPr>
        <w:t xml:space="preserve"> was not provided for by Parliament.</w:t>
      </w:r>
      <w:r w:rsidR="00B363F2" w:rsidRPr="00AC1AF7">
        <w:rPr>
          <w:lang w:val="en-CA"/>
        </w:rPr>
        <w:t xml:space="preserve"> </w:t>
      </w:r>
      <w:r w:rsidR="00AC1AF7" w:rsidRPr="00AC1AF7">
        <w:rPr>
          <w:lang w:val="en-CA"/>
        </w:rPr>
        <w:t>As Gascon</w:t>
      </w:r>
      <w:r w:rsidR="00D2110D">
        <w:rPr>
          <w:lang w:val="en-CA"/>
        </w:rPr>
        <w:t>,</w:t>
      </w:r>
      <w:r w:rsidR="00AC1AF7" w:rsidRPr="00AC1AF7">
        <w:rPr>
          <w:lang w:val="en-CA"/>
        </w:rPr>
        <w:t xml:space="preserve"> J. highlighted in </w:t>
      </w:r>
      <w:r w:rsidR="00AC1AF7" w:rsidRPr="00AC1AF7">
        <w:rPr>
          <w:i/>
          <w:lang w:val="en-CA"/>
        </w:rPr>
        <w:t>Moloney</w:t>
      </w:r>
      <w:r w:rsidR="00AC1AF7" w:rsidRPr="00AC1AF7">
        <w:rPr>
          <w:lang w:val="en-CA"/>
        </w:rPr>
        <w:t xml:space="preserve">, there </w:t>
      </w:r>
      <w:r w:rsidR="002033D1">
        <w:rPr>
          <w:lang w:val="en-CA"/>
        </w:rPr>
        <w:t>can</w:t>
      </w:r>
      <w:r w:rsidR="00AC1AF7" w:rsidRPr="00AC1AF7">
        <w:rPr>
          <w:lang w:val="en-CA"/>
        </w:rPr>
        <w:t xml:space="preserve">not usually be claims </w:t>
      </w:r>
      <w:r w:rsidR="002033D1">
        <w:rPr>
          <w:lang w:val="en-CA"/>
        </w:rPr>
        <w:t xml:space="preserve">that </w:t>
      </w:r>
      <w:r w:rsidR="00AC1AF7" w:rsidRPr="00AC1AF7">
        <w:rPr>
          <w:lang w:val="en-CA"/>
        </w:rPr>
        <w:t>surviv</w:t>
      </w:r>
      <w:r w:rsidR="002033D1">
        <w:rPr>
          <w:lang w:val="en-CA"/>
        </w:rPr>
        <w:t>e</w:t>
      </w:r>
      <w:r w:rsidR="00AC1AF7" w:rsidRPr="00AC1AF7">
        <w:rPr>
          <w:lang w:val="en-CA"/>
        </w:rPr>
        <w:t xml:space="preserve"> the order of discharge </w:t>
      </w:r>
      <w:r w:rsidR="002033D1">
        <w:rPr>
          <w:lang w:val="en-CA"/>
        </w:rPr>
        <w:t xml:space="preserve">other than </w:t>
      </w:r>
      <w:r w:rsidR="00AC1AF7" w:rsidRPr="00AC1AF7">
        <w:rPr>
          <w:lang w:val="en-CA"/>
        </w:rPr>
        <w:t>those set out in section</w:t>
      </w:r>
      <w:r w:rsidR="00B363F2" w:rsidRPr="00AC1AF7">
        <w:rPr>
          <w:lang w:val="en-CA"/>
        </w:rPr>
        <w:t> </w:t>
      </w:r>
      <w:r w:rsidR="00AC1AF7" w:rsidRPr="00501215">
        <w:rPr>
          <w:lang w:val="en-CA"/>
        </w:rPr>
        <w:t xml:space="preserve">178(1) </w:t>
      </w:r>
      <w:r w:rsidR="00AC1AF7" w:rsidRPr="00C078AF">
        <w:rPr>
          <w:i/>
          <w:iCs/>
          <w:lang w:val="en-CA"/>
        </w:rPr>
        <w:t>BIA</w:t>
      </w:r>
      <w:r w:rsidR="00AC1AF7" w:rsidRPr="00501215">
        <w:rPr>
          <w:lang w:val="en-CA"/>
        </w:rPr>
        <w:t>.</w:t>
      </w:r>
    </w:p>
    <w:p w14:paraId="25080C15" w14:textId="5DFB8D3E" w:rsidR="00120640" w:rsidRPr="00501215" w:rsidRDefault="00AC1AF7" w:rsidP="006F0F64">
      <w:pPr>
        <w:keepNext/>
        <w:spacing w:before="120" w:after="120"/>
        <w:ind w:left="1066" w:hanging="357"/>
        <w:jc w:val="both"/>
        <w:outlineLvl w:val="0"/>
        <w:rPr>
          <w:b/>
          <w:kern w:val="28"/>
        </w:rPr>
      </w:pPr>
      <w:bookmarkStart w:id="7" w:name="_Hlk128918753"/>
      <w:r w:rsidRPr="00501215">
        <w:rPr>
          <w:b/>
          <w:i/>
          <w:kern w:val="28"/>
        </w:rPr>
        <w:lastRenderedPageBreak/>
        <w:t xml:space="preserve">AXA </w:t>
      </w:r>
      <w:r w:rsidR="00C078AF">
        <w:rPr>
          <w:b/>
          <w:i/>
          <w:kern w:val="28"/>
        </w:rPr>
        <w:t>Assurances</w:t>
      </w:r>
    </w:p>
    <w:bookmarkEnd w:id="7"/>
    <w:p w14:paraId="40C4419E" w14:textId="77C3DB12" w:rsidR="00120640" w:rsidRPr="00AC1AF7" w:rsidRDefault="00AC1AF7" w:rsidP="006F0F64">
      <w:pPr>
        <w:pStyle w:val="Paragraphe"/>
        <w:keepNext/>
        <w:spacing w:line="280" w:lineRule="exact"/>
        <w:rPr>
          <w:lang w:val="en-CA"/>
        </w:rPr>
      </w:pPr>
      <w:r w:rsidRPr="00AC1AF7">
        <w:rPr>
          <w:lang w:val="en-CA"/>
        </w:rPr>
        <w:t xml:space="preserve">The </w:t>
      </w:r>
      <w:r w:rsidR="00753860">
        <w:rPr>
          <w:lang w:val="en-CA"/>
        </w:rPr>
        <w:t>Respondent</w:t>
      </w:r>
      <w:r w:rsidRPr="00AC1AF7">
        <w:rPr>
          <w:lang w:val="en-CA"/>
        </w:rPr>
        <w:t xml:space="preserve">s argue that </w:t>
      </w:r>
      <w:r w:rsidR="00C078AF" w:rsidRPr="00AC1AF7">
        <w:rPr>
          <w:lang w:val="en-CA"/>
        </w:rPr>
        <w:t>the</w:t>
      </w:r>
      <w:r w:rsidRPr="00AC1AF7">
        <w:rPr>
          <w:lang w:val="en-CA"/>
        </w:rPr>
        <w:t xml:space="preserve"> Court previously decided the issue </w:t>
      </w:r>
      <w:r w:rsidR="00C078AF" w:rsidRPr="00AC1AF7">
        <w:rPr>
          <w:lang w:val="en-CA"/>
        </w:rPr>
        <w:t>raised</w:t>
      </w:r>
      <w:r w:rsidRPr="00AC1AF7">
        <w:rPr>
          <w:lang w:val="en-CA"/>
        </w:rPr>
        <w:t xml:space="preserve"> in this appeal</w:t>
      </w:r>
      <w:r w:rsidR="00434884">
        <w:rPr>
          <w:lang w:val="en-CA"/>
        </w:rPr>
        <w:t xml:space="preserve"> in</w:t>
      </w:r>
      <w:r w:rsidRPr="00AC1AF7">
        <w:rPr>
          <w:lang w:val="en-CA"/>
        </w:rPr>
        <w:t xml:space="preserve"> </w:t>
      </w:r>
      <w:r w:rsidRPr="00434884">
        <w:rPr>
          <w:i/>
          <w:iCs/>
          <w:lang w:val="en-CA"/>
        </w:rPr>
        <w:t xml:space="preserve">Axa </w:t>
      </w:r>
      <w:r w:rsidR="00C078AF" w:rsidRPr="00434884">
        <w:rPr>
          <w:i/>
          <w:iCs/>
          <w:lang w:val="en-CA"/>
        </w:rPr>
        <w:t>Assurances</w:t>
      </w:r>
      <w:r w:rsidR="003925BE">
        <w:rPr>
          <w:lang w:val="en-CA"/>
        </w:rPr>
        <w:t>,</w:t>
      </w:r>
      <w:r w:rsidR="005C2817" w:rsidRPr="005C2817">
        <w:rPr>
          <w:lang w:val="en-CA"/>
        </w:rPr>
        <w:t xml:space="preserve"> </w:t>
      </w:r>
      <w:r w:rsidR="005C2817" w:rsidRPr="00AC1AF7">
        <w:rPr>
          <w:lang w:val="en-CA"/>
        </w:rPr>
        <w:t>in 2007</w:t>
      </w:r>
      <w:r w:rsidRPr="00AC1AF7">
        <w:rPr>
          <w:lang w:val="en-CA"/>
        </w:rPr>
        <w:t>:</w:t>
      </w:r>
      <w:r>
        <w:rPr>
          <w:vertAlign w:val="superscript"/>
        </w:rPr>
        <w:footnoteReference w:id="11"/>
      </w:r>
    </w:p>
    <w:p w14:paraId="1329D0D8" w14:textId="2D895C5E" w:rsidR="00606826" w:rsidRDefault="00606826" w:rsidP="006F0F64">
      <w:pPr>
        <w:keepNext/>
        <w:spacing w:before="120" w:after="120"/>
        <w:ind w:left="720" w:right="720"/>
        <w:jc w:val="both"/>
        <w:rPr>
          <w:kern w:val="24"/>
          <w:sz w:val="22"/>
          <w:lang w:val="en-CA"/>
        </w:rPr>
      </w:pPr>
      <w:r>
        <w:rPr>
          <w:kern w:val="24"/>
          <w:sz w:val="22"/>
          <w:lang w:val="en-CA"/>
        </w:rPr>
        <w:t>[</w:t>
      </w:r>
      <w:r w:rsidRPr="00606826">
        <w:rPr>
          <w:smallCaps/>
          <w:kern w:val="24"/>
          <w:sz w:val="22"/>
          <w:lang w:val="en-CA"/>
        </w:rPr>
        <w:t>translation</w:t>
      </w:r>
      <w:r>
        <w:rPr>
          <w:kern w:val="24"/>
          <w:sz w:val="22"/>
          <w:lang w:val="en-CA"/>
        </w:rPr>
        <w:t>]</w:t>
      </w:r>
    </w:p>
    <w:p w14:paraId="441628E2" w14:textId="6DE9F308" w:rsidR="00120640" w:rsidRPr="00AC1AF7" w:rsidRDefault="00AC1AF7" w:rsidP="006F0F64">
      <w:pPr>
        <w:keepNext/>
        <w:spacing w:before="120" w:after="120"/>
        <w:ind w:left="720" w:right="720"/>
        <w:jc w:val="both"/>
        <w:rPr>
          <w:kern w:val="24"/>
          <w:sz w:val="22"/>
          <w:lang w:val="en-CA"/>
        </w:rPr>
      </w:pPr>
      <w:r w:rsidRPr="00AC1AF7">
        <w:rPr>
          <w:kern w:val="24"/>
          <w:sz w:val="22"/>
          <w:lang w:val="en-CA"/>
        </w:rPr>
        <w:t xml:space="preserve">[27] </w:t>
      </w:r>
      <w:r w:rsidR="00B363F2" w:rsidRPr="00AC1AF7">
        <w:rPr>
          <w:kern w:val="24"/>
          <w:sz w:val="22"/>
          <w:lang w:val="en-CA"/>
        </w:rPr>
        <w:tab/>
      </w:r>
      <w:r w:rsidRPr="00AC1AF7">
        <w:rPr>
          <w:kern w:val="24"/>
          <w:sz w:val="22"/>
          <w:lang w:val="en-CA"/>
        </w:rPr>
        <w:t xml:space="preserve">In these circumstances, it </w:t>
      </w:r>
      <w:r w:rsidR="00C45119">
        <w:rPr>
          <w:kern w:val="24"/>
          <w:sz w:val="22"/>
          <w:lang w:val="en-CA"/>
        </w:rPr>
        <w:t xml:space="preserve">must be </w:t>
      </w:r>
      <w:r w:rsidRPr="00AC1AF7">
        <w:rPr>
          <w:kern w:val="24"/>
          <w:sz w:val="22"/>
          <w:lang w:val="en-CA"/>
        </w:rPr>
        <w:t>conclude</w:t>
      </w:r>
      <w:r w:rsidR="00C45119">
        <w:rPr>
          <w:kern w:val="24"/>
          <w:sz w:val="22"/>
          <w:lang w:val="en-CA"/>
        </w:rPr>
        <w:t>d</w:t>
      </w:r>
      <w:r w:rsidRPr="00AC1AF7">
        <w:rPr>
          <w:kern w:val="24"/>
          <w:sz w:val="22"/>
          <w:lang w:val="en-CA"/>
        </w:rPr>
        <w:t xml:space="preserve"> that Villiard's bankruptcy did not release </w:t>
      </w:r>
      <w:r w:rsidR="005C2817" w:rsidRPr="00AC1AF7">
        <w:rPr>
          <w:kern w:val="24"/>
          <w:sz w:val="22"/>
          <w:lang w:val="en-CA"/>
        </w:rPr>
        <w:t>h</w:t>
      </w:r>
      <w:r w:rsidR="005C2817">
        <w:rPr>
          <w:kern w:val="24"/>
          <w:sz w:val="22"/>
          <w:lang w:val="en-CA"/>
        </w:rPr>
        <w:t>er</w:t>
      </w:r>
      <w:r w:rsidR="005C2817" w:rsidRPr="00AC1AF7">
        <w:rPr>
          <w:kern w:val="24"/>
          <w:sz w:val="22"/>
          <w:lang w:val="en-CA"/>
        </w:rPr>
        <w:t xml:space="preserve"> </w:t>
      </w:r>
      <w:r w:rsidRPr="00AC1AF7">
        <w:rPr>
          <w:kern w:val="24"/>
          <w:sz w:val="22"/>
          <w:lang w:val="en-CA"/>
        </w:rPr>
        <w:t xml:space="preserve">from the claim arising from the warranty obligation even though it was </w:t>
      </w:r>
      <w:r w:rsidR="00793F64">
        <w:rPr>
          <w:kern w:val="24"/>
          <w:sz w:val="22"/>
          <w:lang w:val="en-CA"/>
        </w:rPr>
        <w:t xml:space="preserve">a </w:t>
      </w:r>
      <w:r w:rsidR="00820A0D">
        <w:rPr>
          <w:kern w:val="24"/>
          <w:sz w:val="22"/>
          <w:lang w:val="en-CA"/>
        </w:rPr>
        <w:t xml:space="preserve">pre-bankruptcy </w:t>
      </w:r>
      <w:r w:rsidR="00793F64">
        <w:rPr>
          <w:kern w:val="24"/>
          <w:sz w:val="22"/>
          <w:lang w:val="en-CA"/>
        </w:rPr>
        <w:t>liability</w:t>
      </w:r>
      <w:r w:rsidRPr="00AC1AF7">
        <w:rPr>
          <w:kern w:val="24"/>
          <w:sz w:val="22"/>
          <w:lang w:val="en-CA"/>
        </w:rPr>
        <w:t>.</w:t>
      </w:r>
      <w:r w:rsidR="00B363F2" w:rsidRPr="00AC1AF7">
        <w:rPr>
          <w:kern w:val="24"/>
          <w:sz w:val="22"/>
          <w:lang w:val="en-CA"/>
        </w:rPr>
        <w:t xml:space="preserve"> </w:t>
      </w:r>
      <w:r w:rsidRPr="00AC1AF7">
        <w:rPr>
          <w:kern w:val="24"/>
          <w:sz w:val="22"/>
          <w:lang w:val="en-CA"/>
        </w:rPr>
        <w:t>Because it is not a provable claim</w:t>
      </w:r>
      <w:r w:rsidR="00E258AE">
        <w:rPr>
          <w:kern w:val="24"/>
          <w:sz w:val="22"/>
          <w:lang w:val="en-CA"/>
        </w:rPr>
        <w:t>,</w:t>
      </w:r>
      <w:r w:rsidRPr="00AC1AF7">
        <w:rPr>
          <w:kern w:val="24"/>
          <w:sz w:val="22"/>
          <w:lang w:val="en-CA"/>
        </w:rPr>
        <w:t xml:space="preserve"> Villiard continues to be bound by the warranty of quality even after </w:t>
      </w:r>
      <w:r w:rsidR="005C2817" w:rsidRPr="00AC1AF7">
        <w:rPr>
          <w:kern w:val="24"/>
          <w:sz w:val="22"/>
          <w:lang w:val="en-CA"/>
        </w:rPr>
        <w:t>h</w:t>
      </w:r>
      <w:r w:rsidR="005C2817">
        <w:rPr>
          <w:kern w:val="24"/>
          <w:sz w:val="22"/>
          <w:lang w:val="en-CA"/>
        </w:rPr>
        <w:t>er</w:t>
      </w:r>
      <w:r w:rsidR="005C2817" w:rsidRPr="00AC1AF7">
        <w:rPr>
          <w:kern w:val="24"/>
          <w:sz w:val="22"/>
          <w:lang w:val="en-CA"/>
        </w:rPr>
        <w:t xml:space="preserve"> </w:t>
      </w:r>
      <w:r w:rsidRPr="00AC1AF7">
        <w:rPr>
          <w:kern w:val="24"/>
          <w:sz w:val="22"/>
          <w:lang w:val="en-CA"/>
        </w:rPr>
        <w:t>discharge.</w:t>
      </w:r>
    </w:p>
    <w:p w14:paraId="212B41D1" w14:textId="151BEA79" w:rsidR="00120640" w:rsidRPr="00AC1AF7" w:rsidRDefault="00606826" w:rsidP="00120640">
      <w:pPr>
        <w:pStyle w:val="Paragraphe"/>
        <w:spacing w:line="280" w:lineRule="exact"/>
        <w:rPr>
          <w:lang w:val="en-CA"/>
        </w:rPr>
      </w:pPr>
      <w:r>
        <w:rPr>
          <w:lang w:val="en-CA"/>
        </w:rPr>
        <w:t>I</w:t>
      </w:r>
      <w:r w:rsidR="00AC1AF7" w:rsidRPr="00AC1AF7">
        <w:rPr>
          <w:lang w:val="en-CA"/>
        </w:rPr>
        <w:t>n fact</w:t>
      </w:r>
      <w:r>
        <w:rPr>
          <w:lang w:val="en-CA"/>
        </w:rPr>
        <w:t xml:space="preserve">, </w:t>
      </w:r>
      <w:r w:rsidRPr="00AC1AF7">
        <w:rPr>
          <w:lang w:val="en-CA"/>
        </w:rPr>
        <w:t>the Superior Court rel</w:t>
      </w:r>
      <w:r>
        <w:rPr>
          <w:lang w:val="en-CA"/>
        </w:rPr>
        <w:t>ied</w:t>
      </w:r>
      <w:r w:rsidR="00AC1AF7" w:rsidRPr="00AC1AF7">
        <w:rPr>
          <w:lang w:val="en-CA"/>
        </w:rPr>
        <w:t xml:space="preserve"> on that judgment </w:t>
      </w:r>
      <w:r>
        <w:rPr>
          <w:lang w:val="en-CA"/>
        </w:rPr>
        <w:t>to</w:t>
      </w:r>
      <w:r w:rsidR="00AC1AF7" w:rsidRPr="00AC1AF7">
        <w:rPr>
          <w:lang w:val="en-CA"/>
        </w:rPr>
        <w:t xml:space="preserve"> dismiss the </w:t>
      </w:r>
      <w:r w:rsidR="0055589F">
        <w:rPr>
          <w:lang w:val="en-CA"/>
        </w:rPr>
        <w:t>Appellant</w:t>
      </w:r>
      <w:r w:rsidR="00AC1AF7" w:rsidRPr="00AC1AF7">
        <w:rPr>
          <w:lang w:val="en-CA"/>
        </w:rPr>
        <w:t>s' application for a declaratory judgment in this file.</w:t>
      </w:r>
    </w:p>
    <w:p w14:paraId="1388AEFE" w14:textId="511C66A5" w:rsidR="00120640" w:rsidRPr="00AC1AF7" w:rsidRDefault="00AC1AF7" w:rsidP="00120640">
      <w:pPr>
        <w:pStyle w:val="Paragraphe"/>
        <w:spacing w:line="280" w:lineRule="exact"/>
        <w:rPr>
          <w:lang w:val="en-CA"/>
        </w:rPr>
      </w:pPr>
      <w:r w:rsidRPr="00AC1AF7">
        <w:rPr>
          <w:lang w:val="en-CA"/>
        </w:rPr>
        <w:t xml:space="preserve">The </w:t>
      </w:r>
      <w:r w:rsidR="0055589F">
        <w:rPr>
          <w:lang w:val="en-CA"/>
        </w:rPr>
        <w:t>Appellant</w:t>
      </w:r>
      <w:r w:rsidRPr="00AC1AF7">
        <w:rPr>
          <w:lang w:val="en-CA"/>
        </w:rPr>
        <w:t xml:space="preserve">s suggest that </w:t>
      </w:r>
      <w:r w:rsidRPr="00AC1AF7">
        <w:rPr>
          <w:i/>
          <w:lang w:val="en-CA"/>
        </w:rPr>
        <w:t>Axa Assurances</w:t>
      </w:r>
      <w:r w:rsidRPr="00AC1AF7">
        <w:rPr>
          <w:lang w:val="en-CA"/>
        </w:rPr>
        <w:t xml:space="preserve"> should not be followed, arguing that this </w:t>
      </w:r>
      <w:r w:rsidR="00606826" w:rsidRPr="00AC1AF7">
        <w:rPr>
          <w:lang w:val="en-CA"/>
        </w:rPr>
        <w:t>judgment</w:t>
      </w:r>
      <w:r w:rsidRPr="00AC1AF7">
        <w:rPr>
          <w:lang w:val="en-CA"/>
        </w:rPr>
        <w:t xml:space="preserve"> runs counter to </w:t>
      </w:r>
      <w:r w:rsidR="00606826">
        <w:rPr>
          <w:lang w:val="en-CA"/>
        </w:rPr>
        <w:t>subsequent</w:t>
      </w:r>
      <w:r w:rsidRPr="00AC1AF7">
        <w:rPr>
          <w:lang w:val="en-CA"/>
        </w:rPr>
        <w:t xml:space="preserve"> judgments by the Supreme Court and the courts of other provinces.</w:t>
      </w:r>
    </w:p>
    <w:p w14:paraId="7DAE055C" w14:textId="17B460B8" w:rsidR="00120640" w:rsidRPr="00AC1AF7" w:rsidRDefault="00AC1AF7" w:rsidP="00120640">
      <w:pPr>
        <w:pStyle w:val="Paragraphe"/>
        <w:spacing w:line="280" w:lineRule="exact"/>
        <w:rPr>
          <w:lang w:val="en-CA"/>
        </w:rPr>
      </w:pPr>
      <w:r w:rsidRPr="00AC1AF7">
        <w:rPr>
          <w:lang w:val="en-CA"/>
        </w:rPr>
        <w:t xml:space="preserve">In </w:t>
      </w:r>
      <w:r w:rsidRPr="00606826">
        <w:rPr>
          <w:i/>
          <w:iCs/>
          <w:lang w:val="en-CA"/>
        </w:rPr>
        <w:t>Axa Assurances</w:t>
      </w:r>
      <w:r w:rsidRPr="00AC1AF7">
        <w:rPr>
          <w:lang w:val="en-CA"/>
        </w:rPr>
        <w:t xml:space="preserve">, the Court indicated that a claim will be characterized as a </w:t>
      </w:r>
      <w:r w:rsidR="00803229">
        <w:rPr>
          <w:lang w:val="en-CA"/>
        </w:rPr>
        <w:t>“</w:t>
      </w:r>
      <w:r w:rsidRPr="00AC1AF7">
        <w:rPr>
          <w:lang w:val="en-CA"/>
        </w:rPr>
        <w:t>provable</w:t>
      </w:r>
      <w:r w:rsidR="0007792B">
        <w:rPr>
          <w:lang w:val="en-CA"/>
        </w:rPr>
        <w:t xml:space="preserve"> claim</w:t>
      </w:r>
      <w:r w:rsidR="00803229">
        <w:rPr>
          <w:lang w:val="en-CA"/>
        </w:rPr>
        <w:t>”</w:t>
      </w:r>
      <w:r w:rsidRPr="00AC1AF7">
        <w:rPr>
          <w:lang w:val="en-CA"/>
        </w:rPr>
        <w:t xml:space="preserve"> when it meets three conditions:</w:t>
      </w:r>
      <w:r>
        <w:rPr>
          <w:vertAlign w:val="superscript"/>
        </w:rPr>
        <w:footnoteReference w:id="12"/>
      </w:r>
    </w:p>
    <w:p w14:paraId="64DA791C" w14:textId="77B37431" w:rsidR="00606826" w:rsidRDefault="00606826" w:rsidP="00120640">
      <w:pPr>
        <w:spacing w:before="120" w:after="120"/>
        <w:ind w:left="720" w:right="720"/>
        <w:jc w:val="both"/>
        <w:rPr>
          <w:kern w:val="24"/>
          <w:sz w:val="22"/>
          <w:lang w:val="en-CA"/>
        </w:rPr>
      </w:pPr>
      <w:r>
        <w:rPr>
          <w:kern w:val="24"/>
          <w:sz w:val="22"/>
          <w:lang w:val="en-CA"/>
        </w:rPr>
        <w:t>[</w:t>
      </w:r>
      <w:r w:rsidRPr="00606826">
        <w:rPr>
          <w:smallCaps/>
          <w:kern w:val="24"/>
          <w:sz w:val="22"/>
          <w:lang w:val="en-CA"/>
        </w:rPr>
        <w:t>translation</w:t>
      </w:r>
      <w:r>
        <w:rPr>
          <w:kern w:val="24"/>
          <w:sz w:val="22"/>
          <w:lang w:val="en-CA"/>
        </w:rPr>
        <w:t>]</w:t>
      </w:r>
    </w:p>
    <w:p w14:paraId="18109861" w14:textId="77F2DD3B" w:rsidR="00120640" w:rsidRPr="00AC1AF7" w:rsidRDefault="00AC1AF7" w:rsidP="00120640">
      <w:pPr>
        <w:spacing w:before="120" w:after="120"/>
        <w:ind w:left="720" w:right="720"/>
        <w:jc w:val="both"/>
        <w:rPr>
          <w:kern w:val="24"/>
          <w:sz w:val="22"/>
          <w:lang w:val="en-CA"/>
        </w:rPr>
      </w:pPr>
      <w:bookmarkStart w:id="8" w:name="_Hlk139897957"/>
      <w:r w:rsidRPr="00AC1AF7">
        <w:rPr>
          <w:kern w:val="24"/>
          <w:sz w:val="22"/>
          <w:lang w:val="en-CA"/>
        </w:rPr>
        <w:t>[18]</w:t>
      </w:r>
      <w:r w:rsidR="00B363F2" w:rsidRPr="00AC1AF7">
        <w:rPr>
          <w:kern w:val="24"/>
          <w:sz w:val="22"/>
          <w:lang w:val="en-CA"/>
        </w:rPr>
        <w:tab/>
      </w:r>
      <w:r w:rsidRPr="00501215">
        <w:rPr>
          <w:kern w:val="24"/>
          <w:sz w:val="22"/>
          <w:lang w:val="en-CA"/>
        </w:rPr>
        <w:t xml:space="preserve">A review of the case law reveals that the expression </w:t>
      </w:r>
      <w:r w:rsidR="00D27B0E">
        <w:rPr>
          <w:kern w:val="24"/>
          <w:sz w:val="22"/>
          <w:lang w:val="en-CA"/>
        </w:rPr>
        <w:t>“</w:t>
      </w:r>
      <w:r w:rsidRPr="00501215">
        <w:rPr>
          <w:kern w:val="24"/>
          <w:sz w:val="22"/>
          <w:lang w:val="en-CA"/>
        </w:rPr>
        <w:t>provable</w:t>
      </w:r>
      <w:r w:rsidR="00CA0F0E">
        <w:rPr>
          <w:kern w:val="24"/>
          <w:sz w:val="22"/>
          <w:lang w:val="en-CA"/>
        </w:rPr>
        <w:t xml:space="preserve"> claim</w:t>
      </w:r>
      <w:r w:rsidR="00D27B0E">
        <w:rPr>
          <w:kern w:val="24"/>
          <w:sz w:val="22"/>
          <w:lang w:val="en-CA"/>
        </w:rPr>
        <w:t>”</w:t>
      </w:r>
      <w:r w:rsidRPr="00501215">
        <w:rPr>
          <w:kern w:val="24"/>
          <w:sz w:val="22"/>
          <w:lang w:val="en-CA"/>
        </w:rPr>
        <w:t xml:space="preserve"> under section 121 </w:t>
      </w:r>
      <w:r w:rsidRPr="00606826">
        <w:rPr>
          <w:i/>
          <w:iCs/>
          <w:kern w:val="24"/>
          <w:sz w:val="22"/>
          <w:lang w:val="en-CA"/>
        </w:rPr>
        <w:t>BIA</w:t>
      </w:r>
      <w:r w:rsidRPr="00501215">
        <w:rPr>
          <w:kern w:val="24"/>
          <w:sz w:val="22"/>
          <w:lang w:val="en-CA"/>
        </w:rPr>
        <w:t xml:space="preserve"> require</w:t>
      </w:r>
      <w:r w:rsidR="00606826">
        <w:rPr>
          <w:kern w:val="24"/>
          <w:sz w:val="22"/>
          <w:lang w:val="en-CA"/>
        </w:rPr>
        <w:t>s</w:t>
      </w:r>
      <w:r w:rsidRPr="00501215">
        <w:rPr>
          <w:kern w:val="24"/>
          <w:sz w:val="22"/>
          <w:lang w:val="en-CA"/>
        </w:rPr>
        <w:t xml:space="preserve"> </w:t>
      </w:r>
      <w:r w:rsidRPr="00501215">
        <w:rPr>
          <w:kern w:val="24"/>
          <w:sz w:val="22"/>
          <w:u w:val="single"/>
          <w:lang w:val="en-CA"/>
        </w:rPr>
        <w:t xml:space="preserve">(1) that </w:t>
      </w:r>
      <w:r w:rsidR="00D27B0E">
        <w:rPr>
          <w:kern w:val="24"/>
          <w:sz w:val="22"/>
          <w:u w:val="single"/>
          <w:lang w:val="en-CA"/>
        </w:rPr>
        <w:t>“</w:t>
      </w:r>
      <w:r w:rsidRPr="00501215">
        <w:rPr>
          <w:kern w:val="24"/>
          <w:sz w:val="22"/>
          <w:u w:val="single"/>
          <w:lang w:val="en-CA"/>
        </w:rPr>
        <w:t>all the elements</w:t>
      </w:r>
      <w:r w:rsidR="00D27B0E">
        <w:rPr>
          <w:kern w:val="24"/>
          <w:sz w:val="22"/>
          <w:u w:val="single"/>
          <w:lang w:val="en-CA"/>
        </w:rPr>
        <w:t>”</w:t>
      </w:r>
      <w:r w:rsidRPr="00501215">
        <w:rPr>
          <w:kern w:val="24"/>
          <w:sz w:val="22"/>
          <w:u w:val="single"/>
          <w:lang w:val="en-CA"/>
        </w:rPr>
        <w:t xml:space="preserve"> supporting the claim be present before the date of bankruptcy</w:t>
      </w:r>
      <w:r w:rsidRPr="00501215">
        <w:rPr>
          <w:kern w:val="24"/>
          <w:sz w:val="22"/>
          <w:lang w:val="en-CA"/>
        </w:rPr>
        <w:t xml:space="preserve"> (2) that the claim </w:t>
      </w:r>
      <w:r w:rsidR="00E754B0">
        <w:rPr>
          <w:kern w:val="24"/>
          <w:sz w:val="22"/>
          <w:lang w:val="en-CA"/>
        </w:rPr>
        <w:t>“</w:t>
      </w:r>
      <w:r w:rsidRPr="00501215">
        <w:rPr>
          <w:kern w:val="24"/>
          <w:sz w:val="22"/>
          <w:lang w:val="en-CA"/>
        </w:rPr>
        <w:t>have a serious degree of certainty and probability</w:t>
      </w:r>
      <w:r w:rsidR="00E754B0">
        <w:rPr>
          <w:kern w:val="24"/>
          <w:sz w:val="22"/>
          <w:lang w:val="en-CA"/>
        </w:rPr>
        <w:t>”</w:t>
      </w:r>
      <w:r w:rsidRPr="00501215">
        <w:rPr>
          <w:kern w:val="24"/>
          <w:sz w:val="22"/>
          <w:lang w:val="en-CA"/>
        </w:rPr>
        <w:t xml:space="preserve"> and </w:t>
      </w:r>
      <w:r w:rsidRPr="00501215">
        <w:rPr>
          <w:kern w:val="24"/>
          <w:sz w:val="22"/>
          <w:u w:val="single"/>
          <w:lang w:val="en-CA"/>
        </w:rPr>
        <w:t xml:space="preserve">(3) that the alleged faults and </w:t>
      </w:r>
      <w:r w:rsidR="00A61643">
        <w:rPr>
          <w:kern w:val="24"/>
          <w:sz w:val="22"/>
          <w:u w:val="single"/>
          <w:lang w:val="en-CA"/>
        </w:rPr>
        <w:t xml:space="preserve">the </w:t>
      </w:r>
      <w:r w:rsidRPr="00501215">
        <w:rPr>
          <w:kern w:val="24"/>
          <w:sz w:val="22"/>
          <w:u w:val="single"/>
          <w:lang w:val="en-CA"/>
        </w:rPr>
        <w:t>damages arising therefrom predate the bankruptcy, even if the claim is dispute</w:t>
      </w:r>
      <w:r w:rsidR="0094184B">
        <w:rPr>
          <w:kern w:val="24"/>
          <w:sz w:val="22"/>
          <w:u w:val="single"/>
          <w:lang w:val="en-CA"/>
        </w:rPr>
        <w:t>d</w:t>
      </w:r>
      <w:r w:rsidRPr="00501215">
        <w:rPr>
          <w:kern w:val="24"/>
          <w:sz w:val="22"/>
          <w:lang w:val="en-CA"/>
        </w:rPr>
        <w:t>.</w:t>
      </w:r>
    </w:p>
    <w:bookmarkEnd w:id="8"/>
    <w:p w14:paraId="56CE0CD1" w14:textId="3B1E2369" w:rsidR="00B12768" w:rsidRPr="00501215" w:rsidRDefault="00AC1AF7" w:rsidP="00B12768">
      <w:pPr>
        <w:spacing w:before="120" w:after="120"/>
        <w:ind w:left="720" w:right="720"/>
        <w:jc w:val="right"/>
        <w:rPr>
          <w:kern w:val="24"/>
          <w:sz w:val="22"/>
        </w:rPr>
      </w:pPr>
      <w:r w:rsidRPr="00501215">
        <w:rPr>
          <w:kern w:val="24"/>
          <w:sz w:val="22"/>
        </w:rPr>
        <w:t>[Emphasis added]</w:t>
      </w:r>
    </w:p>
    <w:p w14:paraId="0E288BA7" w14:textId="0F4E7B63" w:rsidR="00120640" w:rsidRPr="00AC1AF7" w:rsidRDefault="00AC1AF7" w:rsidP="00120640">
      <w:pPr>
        <w:pStyle w:val="Paragraphe"/>
        <w:spacing w:line="280" w:lineRule="exact"/>
        <w:rPr>
          <w:lang w:val="en-CA"/>
        </w:rPr>
      </w:pPr>
      <w:r w:rsidRPr="00AC1AF7">
        <w:rPr>
          <w:lang w:val="en-CA"/>
        </w:rPr>
        <w:t xml:space="preserve">The first and third conditions of the </w:t>
      </w:r>
      <w:r w:rsidRPr="00606826">
        <w:rPr>
          <w:i/>
          <w:iCs/>
          <w:lang w:val="en-CA"/>
        </w:rPr>
        <w:t>Axa Assurances</w:t>
      </w:r>
      <w:r w:rsidRPr="00AC1AF7">
        <w:rPr>
          <w:lang w:val="en-CA"/>
        </w:rPr>
        <w:t xml:space="preserve"> test address the prior existence of the claim.</w:t>
      </w:r>
      <w:r w:rsidR="00B363F2" w:rsidRPr="00AC1AF7">
        <w:rPr>
          <w:lang w:val="en-CA"/>
        </w:rPr>
        <w:t xml:space="preserve"> </w:t>
      </w:r>
      <w:r w:rsidRPr="00AC1AF7">
        <w:rPr>
          <w:lang w:val="en-CA"/>
        </w:rPr>
        <w:t xml:space="preserve">The second condition addresses the sufficient </w:t>
      </w:r>
      <w:r w:rsidR="00606826" w:rsidRPr="00AC1AF7">
        <w:rPr>
          <w:lang w:val="en-CA"/>
        </w:rPr>
        <w:t>certainty</w:t>
      </w:r>
      <w:r w:rsidRPr="00AC1AF7">
        <w:rPr>
          <w:lang w:val="en-CA"/>
        </w:rPr>
        <w:t xml:space="preserve"> of the claim.</w:t>
      </w:r>
      <w:r w:rsidR="00B363F2" w:rsidRPr="00AC1AF7">
        <w:rPr>
          <w:lang w:val="en-CA"/>
        </w:rPr>
        <w:t xml:space="preserve"> </w:t>
      </w:r>
    </w:p>
    <w:p w14:paraId="44824488" w14:textId="384C44E7" w:rsidR="00120640" w:rsidRPr="00AC1AF7" w:rsidRDefault="00AC1AF7" w:rsidP="00B12768">
      <w:pPr>
        <w:pStyle w:val="Citationenretrait"/>
        <w:rPr>
          <w:b/>
          <w:bCs/>
          <w:sz w:val="24"/>
          <w:szCs w:val="24"/>
          <w:lang w:val="en-CA"/>
        </w:rPr>
      </w:pPr>
      <w:r w:rsidRPr="00AC1AF7">
        <w:rPr>
          <w:b/>
          <w:bCs/>
          <w:sz w:val="24"/>
          <w:szCs w:val="24"/>
          <w:lang w:val="en-CA"/>
        </w:rPr>
        <w:t>The prior existence of the claim</w:t>
      </w:r>
    </w:p>
    <w:p w14:paraId="548BFE74" w14:textId="40CC6B51" w:rsidR="00120640" w:rsidRPr="00AC1AF7" w:rsidRDefault="00AC1AF7" w:rsidP="00120640">
      <w:pPr>
        <w:pStyle w:val="Paragraphe"/>
        <w:spacing w:line="280" w:lineRule="exact"/>
        <w:rPr>
          <w:lang w:val="en-CA"/>
        </w:rPr>
      </w:pPr>
      <w:r w:rsidRPr="00AC1AF7">
        <w:rPr>
          <w:lang w:val="en-CA"/>
        </w:rPr>
        <w:t xml:space="preserve">The </w:t>
      </w:r>
      <w:r w:rsidRPr="00606826">
        <w:rPr>
          <w:i/>
          <w:iCs/>
          <w:lang w:val="en-CA"/>
        </w:rPr>
        <w:t>Axa Assurances</w:t>
      </w:r>
      <w:r w:rsidRPr="00AC1AF7">
        <w:rPr>
          <w:lang w:val="en-CA"/>
        </w:rPr>
        <w:t xml:space="preserve"> test requires that [</w:t>
      </w:r>
      <w:r w:rsidRPr="00606826">
        <w:rPr>
          <w:smallCaps/>
          <w:lang w:val="en-CA"/>
        </w:rPr>
        <w:t>translation</w:t>
      </w:r>
      <w:r w:rsidRPr="00AC1AF7">
        <w:rPr>
          <w:lang w:val="en-CA"/>
        </w:rPr>
        <w:t xml:space="preserve">] </w:t>
      </w:r>
      <w:r w:rsidR="00606826">
        <w:rPr>
          <w:lang w:val="en-CA"/>
        </w:rPr>
        <w:t>“</w:t>
      </w:r>
      <w:r w:rsidRPr="00AC1AF7">
        <w:rPr>
          <w:lang w:val="en-CA"/>
        </w:rPr>
        <w:t>all the elements</w:t>
      </w:r>
      <w:r w:rsidR="00606826">
        <w:rPr>
          <w:lang w:val="en-CA"/>
        </w:rPr>
        <w:t>”</w:t>
      </w:r>
      <w:r>
        <w:rPr>
          <w:vertAlign w:val="superscript"/>
        </w:rPr>
        <w:footnoteReference w:id="13"/>
      </w:r>
      <w:r w:rsidRPr="00AC1AF7">
        <w:rPr>
          <w:lang w:val="en-CA"/>
        </w:rPr>
        <w:t xml:space="preserve"> support</w:t>
      </w:r>
      <w:r w:rsidR="00606826">
        <w:rPr>
          <w:lang w:val="en-CA"/>
        </w:rPr>
        <w:t>ing</w:t>
      </w:r>
      <w:r w:rsidRPr="00AC1AF7">
        <w:rPr>
          <w:lang w:val="en-CA"/>
        </w:rPr>
        <w:t xml:space="preserve"> the claim, including the alleged faults and the damages arising </w:t>
      </w:r>
      <w:r w:rsidR="00606826" w:rsidRPr="00AC1AF7">
        <w:rPr>
          <w:lang w:val="en-CA"/>
        </w:rPr>
        <w:t>therefrom</w:t>
      </w:r>
      <w:r w:rsidRPr="00AC1AF7">
        <w:rPr>
          <w:lang w:val="en-CA"/>
        </w:rPr>
        <w:t xml:space="preserve">, </w:t>
      </w:r>
      <w:r w:rsidRPr="00AC1AF7">
        <w:rPr>
          <w:i/>
          <w:lang w:val="en-CA"/>
        </w:rPr>
        <w:t>predate</w:t>
      </w:r>
      <w:r w:rsidRPr="00AC1AF7">
        <w:rPr>
          <w:lang w:val="en-CA"/>
        </w:rPr>
        <w:t xml:space="preserve"> the bankruptcy.</w:t>
      </w:r>
      <w:r w:rsidR="00B363F2" w:rsidRPr="00AC1AF7">
        <w:rPr>
          <w:lang w:val="en-CA"/>
        </w:rPr>
        <w:t xml:space="preserve"> </w:t>
      </w:r>
      <w:r w:rsidRPr="00AC1AF7">
        <w:rPr>
          <w:lang w:val="en-CA"/>
        </w:rPr>
        <w:t xml:space="preserve">Because in </w:t>
      </w:r>
      <w:r w:rsidR="00523788">
        <w:rPr>
          <w:lang w:val="en-CA"/>
        </w:rPr>
        <w:t xml:space="preserve">the </w:t>
      </w:r>
      <w:r w:rsidRPr="00AC1AF7">
        <w:rPr>
          <w:lang w:val="en-CA"/>
        </w:rPr>
        <w:t>case</w:t>
      </w:r>
      <w:r w:rsidR="00523788">
        <w:rPr>
          <w:lang w:val="en-CA"/>
        </w:rPr>
        <w:t xml:space="preserve"> at bar</w:t>
      </w:r>
      <w:r w:rsidRPr="00AC1AF7">
        <w:rPr>
          <w:lang w:val="en-CA"/>
        </w:rPr>
        <w:t xml:space="preserve">, the latent defects were discovered </w:t>
      </w:r>
      <w:r w:rsidRPr="00AC1AF7">
        <w:rPr>
          <w:i/>
          <w:lang w:val="en-CA"/>
        </w:rPr>
        <w:t>only after</w:t>
      </w:r>
      <w:r w:rsidRPr="00AC1AF7">
        <w:rPr>
          <w:lang w:val="en-CA"/>
        </w:rPr>
        <w:t xml:space="preserve"> the bankruptcy, they do not meet these conditions.</w:t>
      </w:r>
      <w:r w:rsidR="00B363F2" w:rsidRPr="00AC1AF7">
        <w:rPr>
          <w:lang w:val="en-CA"/>
        </w:rPr>
        <w:t xml:space="preserve"> </w:t>
      </w:r>
    </w:p>
    <w:p w14:paraId="19AD9B4F" w14:textId="3A207CEB" w:rsidR="00120640" w:rsidRPr="00606826" w:rsidRDefault="00AC1AF7" w:rsidP="005118AA">
      <w:pPr>
        <w:pStyle w:val="Paragraphe"/>
        <w:spacing w:line="280" w:lineRule="exact"/>
        <w:rPr>
          <w:lang w:val="en-CA"/>
        </w:rPr>
      </w:pPr>
      <w:r w:rsidRPr="00AC1AF7">
        <w:rPr>
          <w:lang w:val="en-CA"/>
        </w:rPr>
        <w:lastRenderedPageBreak/>
        <w:t xml:space="preserve">In 2012, in </w:t>
      </w:r>
      <w:r w:rsidRPr="00AC1AF7">
        <w:rPr>
          <w:i/>
          <w:lang w:val="en-CA"/>
        </w:rPr>
        <w:t>AbitibiBowater</w:t>
      </w:r>
      <w:r w:rsidRPr="00606826">
        <w:rPr>
          <w:iCs/>
          <w:lang w:val="en-CA"/>
        </w:rPr>
        <w:t>,</w:t>
      </w:r>
      <w:r>
        <w:rPr>
          <w:vertAlign w:val="superscript"/>
        </w:rPr>
        <w:footnoteReference w:id="14"/>
      </w:r>
      <w:r w:rsidRPr="00AC1AF7">
        <w:rPr>
          <w:i/>
          <w:lang w:val="en-CA"/>
        </w:rPr>
        <w:t xml:space="preserve"> </w:t>
      </w:r>
      <w:r w:rsidRPr="00AC1AF7">
        <w:rPr>
          <w:lang w:val="en-CA"/>
        </w:rPr>
        <w:t xml:space="preserve">the Supreme Court stated its test to determine whether a claim could be characterized as a </w:t>
      </w:r>
      <w:r w:rsidR="00E754B0">
        <w:rPr>
          <w:lang w:val="en-CA"/>
        </w:rPr>
        <w:t>“</w:t>
      </w:r>
      <w:r w:rsidRPr="00AC1AF7">
        <w:rPr>
          <w:lang w:val="en-CA"/>
        </w:rPr>
        <w:t>provable</w:t>
      </w:r>
      <w:r w:rsidR="00411DFC">
        <w:rPr>
          <w:lang w:val="en-CA"/>
        </w:rPr>
        <w:t xml:space="preserve"> claim</w:t>
      </w:r>
      <w:r w:rsidR="00E754B0">
        <w:rPr>
          <w:lang w:val="en-CA"/>
        </w:rPr>
        <w:t>”</w:t>
      </w:r>
      <w:r w:rsidRPr="00AC1AF7">
        <w:rPr>
          <w:lang w:val="en-CA"/>
        </w:rPr>
        <w:t xml:space="preserve"> </w:t>
      </w:r>
      <w:r w:rsidR="00606826" w:rsidRPr="00AC1AF7">
        <w:rPr>
          <w:lang w:val="en-CA"/>
        </w:rPr>
        <w:t>within</w:t>
      </w:r>
      <w:r w:rsidRPr="00AC1AF7">
        <w:rPr>
          <w:lang w:val="en-CA"/>
        </w:rPr>
        <w:t xml:space="preserve"> the meaning of section 121 </w:t>
      </w:r>
      <w:r w:rsidRPr="00606826">
        <w:rPr>
          <w:i/>
          <w:iCs/>
          <w:lang w:val="en-CA"/>
        </w:rPr>
        <w:t>BIA</w:t>
      </w:r>
      <w:r w:rsidRPr="00AC1AF7">
        <w:rPr>
          <w:lang w:val="en-CA"/>
        </w:rPr>
        <w:t>.</w:t>
      </w:r>
      <w:r w:rsidR="00B363F2" w:rsidRPr="00AC1AF7">
        <w:rPr>
          <w:lang w:val="en-CA"/>
        </w:rPr>
        <w:t xml:space="preserve"> </w:t>
      </w:r>
      <w:r w:rsidRPr="00606826">
        <w:rPr>
          <w:lang w:val="en-CA"/>
        </w:rPr>
        <w:t>Thus, Deschamps</w:t>
      </w:r>
      <w:r w:rsidR="007706F6">
        <w:rPr>
          <w:lang w:val="en-CA"/>
        </w:rPr>
        <w:t>,</w:t>
      </w:r>
      <w:r w:rsidRPr="00606826">
        <w:rPr>
          <w:lang w:val="en-CA"/>
        </w:rPr>
        <w:t xml:space="preserve"> J., on behalf of the majority</w:t>
      </w:r>
      <w:r w:rsidR="007706F6">
        <w:rPr>
          <w:lang w:val="en-CA"/>
        </w:rPr>
        <w:t>,</w:t>
      </w:r>
      <w:r w:rsidRPr="00606826">
        <w:rPr>
          <w:lang w:val="en-CA"/>
        </w:rPr>
        <w:t xml:space="preserve"> wrote:</w:t>
      </w:r>
      <w:r w:rsidRPr="00501215">
        <w:rPr>
          <w:vertAlign w:val="superscript"/>
        </w:rPr>
        <w:footnoteReference w:id="15"/>
      </w:r>
    </w:p>
    <w:p w14:paraId="342BE025" w14:textId="7D3DD7C4" w:rsidR="00120640" w:rsidRPr="0001318C" w:rsidRDefault="00CE401F" w:rsidP="00120640">
      <w:pPr>
        <w:spacing w:before="120" w:after="120"/>
        <w:ind w:left="720" w:right="720"/>
        <w:jc w:val="both"/>
        <w:rPr>
          <w:kern w:val="24"/>
          <w:sz w:val="22"/>
          <w:lang w:val="en-CA"/>
        </w:rPr>
      </w:pPr>
      <w:r w:rsidRPr="00AC1AF7">
        <w:rPr>
          <w:kern w:val="24"/>
          <w:sz w:val="22"/>
          <w:lang w:val="en-CA"/>
        </w:rPr>
        <w:t>[26]</w:t>
      </w:r>
      <w:r w:rsidR="00B363F2" w:rsidRPr="00AC1AF7">
        <w:rPr>
          <w:kern w:val="24"/>
          <w:sz w:val="22"/>
          <w:lang w:val="en-CA"/>
        </w:rPr>
        <w:tab/>
      </w:r>
      <w:r w:rsidR="00AC1AF7" w:rsidRPr="00501215">
        <w:rPr>
          <w:kern w:val="24"/>
          <w:sz w:val="22"/>
          <w:lang w:val="en-CA"/>
        </w:rPr>
        <w:t>These provisions highlight three requirements that are relevant to the case at bar.</w:t>
      </w:r>
      <w:r w:rsidR="00B363F2" w:rsidRPr="00AC1AF7">
        <w:rPr>
          <w:kern w:val="24"/>
          <w:sz w:val="22"/>
          <w:lang w:val="en-CA"/>
        </w:rPr>
        <w:t xml:space="preserve"> </w:t>
      </w:r>
      <w:r w:rsidR="00AC1AF7" w:rsidRPr="00501215">
        <w:rPr>
          <w:kern w:val="24"/>
          <w:sz w:val="22"/>
          <w:lang w:val="en-CA"/>
        </w:rPr>
        <w:t>First, there must be a debt, a liability or an obligation to a creditor.</w:t>
      </w:r>
      <w:r w:rsidR="00B363F2" w:rsidRPr="00AC1AF7">
        <w:rPr>
          <w:kern w:val="24"/>
          <w:sz w:val="22"/>
          <w:lang w:val="en-CA"/>
        </w:rPr>
        <w:t xml:space="preserve"> </w:t>
      </w:r>
      <w:r w:rsidR="00AC1AF7" w:rsidRPr="00501215">
        <w:rPr>
          <w:kern w:val="24"/>
          <w:sz w:val="22"/>
          <w:u w:val="single"/>
          <w:lang w:val="en-CA"/>
        </w:rPr>
        <w:t xml:space="preserve">Second, the debt, liability or obligation must be incurred </w:t>
      </w:r>
      <w:r w:rsidR="00AC1AF7" w:rsidRPr="00A3262D">
        <w:rPr>
          <w:iCs/>
          <w:kern w:val="24"/>
          <w:sz w:val="22"/>
          <w:u w:val="single"/>
          <w:lang w:val="en-CA"/>
        </w:rPr>
        <w:t>before the debtor becomes bankrupt</w:t>
      </w:r>
      <w:r w:rsidR="00AC1AF7" w:rsidRPr="00501215">
        <w:rPr>
          <w:kern w:val="24"/>
          <w:sz w:val="22"/>
          <w:lang w:val="en-CA"/>
        </w:rPr>
        <w:t>.</w:t>
      </w:r>
      <w:r w:rsidR="00B363F2" w:rsidRPr="00AC1AF7">
        <w:rPr>
          <w:kern w:val="24"/>
          <w:sz w:val="22"/>
          <w:lang w:val="en-CA"/>
        </w:rPr>
        <w:t xml:space="preserve"> </w:t>
      </w:r>
      <w:r w:rsidR="00AC1AF7" w:rsidRPr="00501215">
        <w:rPr>
          <w:kern w:val="24"/>
          <w:sz w:val="22"/>
          <w:lang w:val="en-CA"/>
        </w:rPr>
        <w:t xml:space="preserve">Third, it must be possible to attach a monetary value to the debt, liability or obligation. </w:t>
      </w:r>
      <w:r w:rsidR="00AC1AF7" w:rsidRPr="0001318C">
        <w:rPr>
          <w:kern w:val="24"/>
          <w:sz w:val="22"/>
          <w:lang w:val="en-CA"/>
        </w:rPr>
        <w:t>I will examine each of these requirements in turn.</w:t>
      </w:r>
      <w:r w:rsidR="00B363F2" w:rsidRPr="0001318C">
        <w:rPr>
          <w:kern w:val="24"/>
          <w:sz w:val="22"/>
          <w:lang w:val="en-CA"/>
        </w:rPr>
        <w:t xml:space="preserve"> </w:t>
      </w:r>
    </w:p>
    <w:p w14:paraId="1242B8FF" w14:textId="488B7622" w:rsidR="00120640" w:rsidRPr="0001318C" w:rsidRDefault="00B35460" w:rsidP="00B12768">
      <w:pPr>
        <w:spacing w:before="120" w:after="120"/>
        <w:ind w:left="720" w:right="720"/>
        <w:jc w:val="right"/>
        <w:rPr>
          <w:kern w:val="24"/>
          <w:sz w:val="22"/>
          <w:lang w:val="en-CA"/>
        </w:rPr>
      </w:pPr>
      <w:r w:rsidRPr="0001318C">
        <w:rPr>
          <w:kern w:val="24"/>
          <w:sz w:val="22"/>
          <w:lang w:val="en-CA"/>
        </w:rPr>
        <w:t>[Emphasis added]</w:t>
      </w:r>
    </w:p>
    <w:p w14:paraId="24BFC20A" w14:textId="293FE0FA" w:rsidR="00120640" w:rsidRPr="00AC1AF7" w:rsidRDefault="00AC1AF7" w:rsidP="00120640">
      <w:pPr>
        <w:pStyle w:val="Paragraphe"/>
        <w:spacing w:line="280" w:lineRule="exact"/>
        <w:rPr>
          <w:lang w:val="en-CA"/>
        </w:rPr>
      </w:pPr>
      <w:r w:rsidRPr="00AC1AF7">
        <w:rPr>
          <w:lang w:val="en-CA"/>
        </w:rPr>
        <w:t xml:space="preserve">This test is less restrictive than the one in </w:t>
      </w:r>
      <w:r w:rsidRPr="0001318C">
        <w:rPr>
          <w:i/>
          <w:iCs/>
          <w:lang w:val="en-CA"/>
        </w:rPr>
        <w:t>Axa Assurances</w:t>
      </w:r>
      <w:r w:rsidRPr="00AC1AF7">
        <w:rPr>
          <w:lang w:val="en-CA"/>
        </w:rPr>
        <w:t xml:space="preserve"> with respect to prior existence.</w:t>
      </w:r>
      <w:r w:rsidR="00B363F2" w:rsidRPr="00AC1AF7">
        <w:rPr>
          <w:lang w:val="en-CA"/>
        </w:rPr>
        <w:t xml:space="preserve"> </w:t>
      </w:r>
      <w:r w:rsidRPr="00AC1AF7">
        <w:rPr>
          <w:lang w:val="en-CA"/>
        </w:rPr>
        <w:t xml:space="preserve">The second condition of the </w:t>
      </w:r>
      <w:r w:rsidRPr="00AC1AF7">
        <w:rPr>
          <w:i/>
          <w:lang w:val="en-CA"/>
        </w:rPr>
        <w:t>AbitibiBowater</w:t>
      </w:r>
      <w:r w:rsidRPr="00AC1AF7">
        <w:rPr>
          <w:lang w:val="en-CA"/>
        </w:rPr>
        <w:t xml:space="preserve"> test requires only that the </w:t>
      </w:r>
      <w:r w:rsidR="0001318C">
        <w:rPr>
          <w:lang w:val="en-CA"/>
        </w:rPr>
        <w:t>“</w:t>
      </w:r>
      <w:r w:rsidRPr="00AC1AF7">
        <w:rPr>
          <w:lang w:val="en-CA"/>
        </w:rPr>
        <w:t>debt, liability or obligation must be incurred before the debtor becomes bankrupt</w:t>
      </w:r>
      <w:r w:rsidR="0001318C">
        <w:rPr>
          <w:lang w:val="en-CA"/>
        </w:rPr>
        <w:t>”</w:t>
      </w:r>
      <w:r w:rsidRPr="00AC1AF7">
        <w:rPr>
          <w:lang w:val="en-CA"/>
        </w:rPr>
        <w:t>,</w:t>
      </w:r>
      <w:r>
        <w:rPr>
          <w:vertAlign w:val="superscript"/>
        </w:rPr>
        <w:footnoteReference w:id="16"/>
      </w:r>
      <w:r w:rsidRPr="00AC1AF7">
        <w:rPr>
          <w:lang w:val="en-CA"/>
        </w:rPr>
        <w:t xml:space="preserve"> without going so far as to require that the damages </w:t>
      </w:r>
      <w:r w:rsidR="0001318C">
        <w:rPr>
          <w:lang w:val="en-CA"/>
        </w:rPr>
        <w:t xml:space="preserve">have </w:t>
      </w:r>
      <w:r w:rsidR="001C6626">
        <w:rPr>
          <w:lang w:val="en-CA"/>
        </w:rPr>
        <w:t>materialized</w:t>
      </w:r>
      <w:r w:rsidRPr="00AC1AF7">
        <w:rPr>
          <w:lang w:val="en-CA"/>
        </w:rPr>
        <w:t>.</w:t>
      </w:r>
      <w:r w:rsidR="00B363F2" w:rsidRPr="00AC1AF7">
        <w:rPr>
          <w:lang w:val="en-CA"/>
        </w:rPr>
        <w:t xml:space="preserve"> </w:t>
      </w:r>
    </w:p>
    <w:p w14:paraId="6B83C456" w14:textId="73D34FC7" w:rsidR="00120640" w:rsidRPr="00AC1AF7" w:rsidRDefault="00AC1AF7" w:rsidP="00120640">
      <w:pPr>
        <w:pStyle w:val="Paragraphe"/>
        <w:spacing w:line="280" w:lineRule="exact"/>
        <w:rPr>
          <w:lang w:val="en-CA"/>
        </w:rPr>
      </w:pPr>
      <w:r w:rsidRPr="00AC1AF7">
        <w:rPr>
          <w:lang w:val="en-CA"/>
        </w:rPr>
        <w:t xml:space="preserve">In my opinion, this way of considering the prior existence requirement complies with the language of the </w:t>
      </w:r>
      <w:r w:rsidRPr="0001318C">
        <w:rPr>
          <w:i/>
          <w:iCs/>
          <w:lang w:val="en-CA"/>
        </w:rPr>
        <w:t>BIA</w:t>
      </w:r>
      <w:r w:rsidRPr="00AC1AF7">
        <w:rPr>
          <w:lang w:val="en-CA"/>
        </w:rPr>
        <w:t>.</w:t>
      </w:r>
      <w:r w:rsidR="00B363F2" w:rsidRPr="00AC1AF7">
        <w:rPr>
          <w:lang w:val="en-CA"/>
        </w:rPr>
        <w:t xml:space="preserve"> </w:t>
      </w:r>
      <w:r w:rsidRPr="00AC1AF7">
        <w:rPr>
          <w:lang w:val="en-CA"/>
        </w:rPr>
        <w:t xml:space="preserve">First, section 121(1) </w:t>
      </w:r>
      <w:r w:rsidRPr="0001318C">
        <w:rPr>
          <w:i/>
          <w:iCs/>
          <w:lang w:val="en-CA"/>
        </w:rPr>
        <w:t>BIA</w:t>
      </w:r>
      <w:r w:rsidRPr="00AC1AF7">
        <w:rPr>
          <w:lang w:val="en-CA"/>
        </w:rPr>
        <w:t xml:space="preserve"> expressly provides for the possibility of a future claim being deemed to be a provable claim on condition that the obligation was </w:t>
      </w:r>
      <w:r w:rsidR="001A01DC">
        <w:rPr>
          <w:lang w:val="en-CA"/>
        </w:rPr>
        <w:t>incurred</w:t>
      </w:r>
      <w:r w:rsidR="001A01DC" w:rsidRPr="00AC1AF7">
        <w:rPr>
          <w:lang w:val="en-CA"/>
        </w:rPr>
        <w:t xml:space="preserve"> </w:t>
      </w:r>
      <w:r w:rsidRPr="00AC1AF7">
        <w:rPr>
          <w:lang w:val="en-CA"/>
        </w:rPr>
        <w:t>before the bankruptcy.</w:t>
      </w:r>
      <w:r w:rsidR="00B363F2" w:rsidRPr="00AC1AF7">
        <w:rPr>
          <w:lang w:val="en-CA"/>
        </w:rPr>
        <w:t xml:space="preserve"> </w:t>
      </w:r>
      <w:r w:rsidRPr="00AC1AF7">
        <w:rPr>
          <w:lang w:val="en-CA"/>
        </w:rPr>
        <w:t xml:space="preserve">Then, sections 121(2) and 135(1.1) of the </w:t>
      </w:r>
      <w:r w:rsidRPr="0001318C">
        <w:rPr>
          <w:i/>
          <w:iCs/>
          <w:lang w:val="en-CA"/>
        </w:rPr>
        <w:t>BIA</w:t>
      </w:r>
      <w:r w:rsidRPr="00AC1AF7">
        <w:rPr>
          <w:lang w:val="en-CA"/>
        </w:rPr>
        <w:t xml:space="preserve"> address </w:t>
      </w:r>
      <w:r w:rsidR="007C567C">
        <w:rPr>
          <w:lang w:val="en-CA"/>
        </w:rPr>
        <w:t xml:space="preserve">the possibility that a </w:t>
      </w:r>
      <w:r w:rsidRPr="00AC1AF7">
        <w:rPr>
          <w:lang w:val="en-CA"/>
        </w:rPr>
        <w:t xml:space="preserve">contingent or </w:t>
      </w:r>
      <w:r w:rsidR="0001318C" w:rsidRPr="00AC1AF7">
        <w:rPr>
          <w:lang w:val="en-CA"/>
        </w:rPr>
        <w:t>unliquidated</w:t>
      </w:r>
      <w:r w:rsidRPr="00AC1AF7">
        <w:rPr>
          <w:lang w:val="en-CA"/>
        </w:rPr>
        <w:t xml:space="preserve"> claim </w:t>
      </w:r>
      <w:r w:rsidR="007C567C">
        <w:rPr>
          <w:lang w:val="en-CA"/>
        </w:rPr>
        <w:t xml:space="preserve">may be a </w:t>
      </w:r>
      <w:r w:rsidRPr="00AC1AF7">
        <w:rPr>
          <w:lang w:val="en-CA"/>
        </w:rPr>
        <w:t>provable claim.</w:t>
      </w:r>
    </w:p>
    <w:p w14:paraId="390FF4C1" w14:textId="7F1FDB8A" w:rsidR="00120640" w:rsidRPr="00AC1AF7" w:rsidRDefault="00AC1AF7" w:rsidP="00120640">
      <w:pPr>
        <w:pStyle w:val="Paragraphe"/>
        <w:spacing w:line="280" w:lineRule="exact"/>
        <w:rPr>
          <w:lang w:val="en-CA"/>
        </w:rPr>
      </w:pPr>
      <w:r w:rsidRPr="00AC1AF7">
        <w:rPr>
          <w:lang w:val="en-CA"/>
        </w:rPr>
        <w:t xml:space="preserve">Furthermore, the principle that whatever happened before the bankruptcy or proposal </w:t>
      </w:r>
      <w:r w:rsidR="00E407DA">
        <w:rPr>
          <w:lang w:val="en-CA"/>
        </w:rPr>
        <w:t xml:space="preserve">is </w:t>
      </w:r>
      <w:r w:rsidRPr="00AC1AF7">
        <w:rPr>
          <w:lang w:val="en-CA"/>
        </w:rPr>
        <w:t>included in the bankruptcy or proposal</w:t>
      </w:r>
      <w:r w:rsidR="006173FE">
        <w:rPr>
          <w:lang w:val="en-CA"/>
        </w:rPr>
        <w:t>,</w:t>
      </w:r>
      <w:r w:rsidRPr="00AC1AF7">
        <w:rPr>
          <w:lang w:val="en-CA"/>
        </w:rPr>
        <w:t xml:space="preserve"> while everything that happens after </w:t>
      </w:r>
      <w:r w:rsidR="00E407DA">
        <w:rPr>
          <w:lang w:val="en-CA"/>
        </w:rPr>
        <w:t xml:space="preserve">is </w:t>
      </w:r>
      <w:r w:rsidR="0001318C">
        <w:rPr>
          <w:lang w:val="en-CA"/>
        </w:rPr>
        <w:t>not, is in line with</w:t>
      </w:r>
      <w:r w:rsidRPr="00AC1AF7">
        <w:rPr>
          <w:lang w:val="en-CA"/>
        </w:rPr>
        <w:t xml:space="preserve"> the fundamental objectives of the </w:t>
      </w:r>
      <w:r w:rsidRPr="0001318C">
        <w:rPr>
          <w:i/>
          <w:iCs/>
          <w:lang w:val="en-CA"/>
        </w:rPr>
        <w:t>BIA</w:t>
      </w:r>
      <w:r w:rsidRPr="00AC1AF7">
        <w:rPr>
          <w:lang w:val="en-CA"/>
        </w:rPr>
        <w:t>.</w:t>
      </w:r>
      <w:r w:rsidR="00B363F2" w:rsidRPr="00AC1AF7">
        <w:rPr>
          <w:lang w:val="en-CA"/>
        </w:rPr>
        <w:t xml:space="preserve"> </w:t>
      </w:r>
      <w:r w:rsidRPr="00AC1AF7">
        <w:rPr>
          <w:lang w:val="en-CA"/>
        </w:rPr>
        <w:t>All the creditors that did business with the debtor before the bankruptcy or proposal are treated the same way.</w:t>
      </w:r>
      <w:r w:rsidR="00B363F2" w:rsidRPr="00AC1AF7">
        <w:rPr>
          <w:lang w:val="en-CA"/>
        </w:rPr>
        <w:t xml:space="preserve"> </w:t>
      </w:r>
      <w:r w:rsidRPr="00AC1AF7">
        <w:rPr>
          <w:lang w:val="en-CA"/>
        </w:rPr>
        <w:t xml:space="preserve">The debtor hands over all the assets generated by his </w:t>
      </w:r>
      <w:r w:rsidR="0050159A">
        <w:rPr>
          <w:lang w:val="en-CA"/>
        </w:rPr>
        <w:t xml:space="preserve">or her </w:t>
      </w:r>
      <w:r w:rsidRPr="00AC1AF7">
        <w:rPr>
          <w:lang w:val="en-CA"/>
        </w:rPr>
        <w:t>activities before</w:t>
      </w:r>
      <w:r w:rsidR="0001318C">
        <w:rPr>
          <w:lang w:val="en-CA"/>
        </w:rPr>
        <w:t xml:space="preserve"> </w:t>
      </w:r>
      <w:r w:rsidR="0001318C" w:rsidRPr="00AC1AF7">
        <w:rPr>
          <w:lang w:val="en-CA"/>
        </w:rPr>
        <w:t>the</w:t>
      </w:r>
      <w:r w:rsidRPr="00AC1AF7">
        <w:rPr>
          <w:lang w:val="en-CA"/>
        </w:rPr>
        <w:t xml:space="preserve"> bankruptcy to </w:t>
      </w:r>
      <w:r w:rsidR="0050159A">
        <w:rPr>
          <w:lang w:val="en-CA"/>
        </w:rPr>
        <w:t>the</w:t>
      </w:r>
      <w:r w:rsidR="0050159A" w:rsidRPr="00AC1AF7">
        <w:rPr>
          <w:lang w:val="en-CA"/>
        </w:rPr>
        <w:t xml:space="preserve"> </w:t>
      </w:r>
      <w:r w:rsidRPr="00AC1AF7">
        <w:rPr>
          <w:lang w:val="en-CA"/>
        </w:rPr>
        <w:t xml:space="preserve">trustee and, in </w:t>
      </w:r>
      <w:r w:rsidR="00FC543C">
        <w:rPr>
          <w:lang w:val="en-CA"/>
        </w:rPr>
        <w:t>return</w:t>
      </w:r>
      <w:r w:rsidRPr="00AC1AF7">
        <w:rPr>
          <w:lang w:val="en-CA"/>
        </w:rPr>
        <w:t xml:space="preserve">, is released from all the claims relating to </w:t>
      </w:r>
      <w:r w:rsidR="001B2367">
        <w:rPr>
          <w:lang w:val="en-CA"/>
        </w:rPr>
        <w:t xml:space="preserve">those </w:t>
      </w:r>
      <w:r w:rsidRPr="00AC1AF7">
        <w:rPr>
          <w:lang w:val="en-CA"/>
        </w:rPr>
        <w:t>activities.</w:t>
      </w:r>
      <w:r w:rsidR="00B363F2" w:rsidRPr="00AC1AF7">
        <w:rPr>
          <w:lang w:val="en-CA"/>
        </w:rPr>
        <w:t xml:space="preserve"> </w:t>
      </w:r>
    </w:p>
    <w:p w14:paraId="342D5DF7" w14:textId="7EEA16B2" w:rsidR="00120640" w:rsidRPr="00AC1AF7" w:rsidRDefault="00251720" w:rsidP="00120640">
      <w:pPr>
        <w:pStyle w:val="Paragraphe"/>
        <w:spacing w:line="280" w:lineRule="exact"/>
        <w:rPr>
          <w:lang w:val="en-CA"/>
        </w:rPr>
      </w:pPr>
      <w:r>
        <w:rPr>
          <w:lang w:val="en-CA"/>
        </w:rPr>
        <w:t xml:space="preserve">Returning to </w:t>
      </w:r>
      <w:r w:rsidR="00AC1AF7" w:rsidRPr="00AC1AF7">
        <w:rPr>
          <w:lang w:val="en-CA"/>
        </w:rPr>
        <w:t xml:space="preserve">the facts of </w:t>
      </w:r>
      <w:r w:rsidR="00523788">
        <w:rPr>
          <w:lang w:val="en-CA"/>
        </w:rPr>
        <w:t xml:space="preserve">the </w:t>
      </w:r>
      <w:r w:rsidR="00AC1AF7" w:rsidRPr="00AC1AF7">
        <w:rPr>
          <w:lang w:val="en-CA"/>
        </w:rPr>
        <w:t>case</w:t>
      </w:r>
      <w:r w:rsidR="00523788">
        <w:rPr>
          <w:lang w:val="en-CA"/>
        </w:rPr>
        <w:t xml:space="preserve"> at bar</w:t>
      </w:r>
      <w:r w:rsidR="00AC1AF7" w:rsidRPr="00AC1AF7">
        <w:rPr>
          <w:lang w:val="en-CA"/>
        </w:rPr>
        <w:t xml:space="preserve">, the proceeds of the </w:t>
      </w:r>
      <w:r w:rsidR="0064634D">
        <w:rPr>
          <w:lang w:val="en-CA"/>
        </w:rPr>
        <w:t xml:space="preserve">2009 </w:t>
      </w:r>
      <w:r w:rsidR="00AC1AF7" w:rsidRPr="00AC1AF7">
        <w:rPr>
          <w:lang w:val="en-CA"/>
        </w:rPr>
        <w:t xml:space="preserve">sale of the house are included in the assets </w:t>
      </w:r>
      <w:r w:rsidR="006A0F1B">
        <w:rPr>
          <w:lang w:val="en-CA"/>
        </w:rPr>
        <w:t>referred to in</w:t>
      </w:r>
      <w:r w:rsidR="00AC1AF7" w:rsidRPr="00AC1AF7">
        <w:rPr>
          <w:lang w:val="en-CA"/>
        </w:rPr>
        <w:t xml:space="preserve"> the proposal and it is appropriate </w:t>
      </w:r>
      <w:r w:rsidR="0064634D">
        <w:rPr>
          <w:lang w:val="en-CA"/>
        </w:rPr>
        <w:t xml:space="preserve">that </w:t>
      </w:r>
      <w:r w:rsidR="00AC1AF7" w:rsidRPr="00AC1AF7">
        <w:rPr>
          <w:lang w:val="en-CA"/>
        </w:rPr>
        <w:t>the claim arising f</w:t>
      </w:r>
      <w:r w:rsidR="00CD2459">
        <w:rPr>
          <w:lang w:val="en-CA"/>
        </w:rPr>
        <w:t>r</w:t>
      </w:r>
      <w:r w:rsidR="00AC1AF7" w:rsidRPr="00AC1AF7">
        <w:rPr>
          <w:lang w:val="en-CA"/>
        </w:rPr>
        <w:t xml:space="preserve">om this sale also be </w:t>
      </w:r>
      <w:r w:rsidR="006A0F1B">
        <w:rPr>
          <w:lang w:val="en-CA"/>
        </w:rPr>
        <w:t>included</w:t>
      </w:r>
      <w:r w:rsidR="00AC1AF7" w:rsidRPr="00AC1AF7">
        <w:rPr>
          <w:lang w:val="en-CA"/>
        </w:rPr>
        <w:t>.</w:t>
      </w:r>
      <w:r w:rsidR="00B363F2" w:rsidRPr="00AC1AF7">
        <w:rPr>
          <w:lang w:val="en-CA"/>
        </w:rPr>
        <w:t xml:space="preserve"> </w:t>
      </w:r>
      <w:r w:rsidR="00CD2459" w:rsidRPr="00AC1AF7">
        <w:rPr>
          <w:lang w:val="en-CA"/>
        </w:rPr>
        <w:t>Conversely</w:t>
      </w:r>
      <w:r w:rsidR="00AC1AF7" w:rsidRPr="00AC1AF7">
        <w:rPr>
          <w:lang w:val="en-CA"/>
        </w:rPr>
        <w:t xml:space="preserve">, as of the bankruptcy or proposal, the debtor who </w:t>
      </w:r>
      <w:r w:rsidR="00757E63">
        <w:rPr>
          <w:lang w:val="en-CA"/>
        </w:rPr>
        <w:t>incurs</w:t>
      </w:r>
      <w:r w:rsidR="00757E63" w:rsidRPr="00AC1AF7">
        <w:rPr>
          <w:lang w:val="en-CA"/>
        </w:rPr>
        <w:t xml:space="preserve"> </w:t>
      </w:r>
      <w:r w:rsidR="00AC1AF7" w:rsidRPr="00AC1AF7">
        <w:rPr>
          <w:lang w:val="en-CA"/>
        </w:rPr>
        <w:t>obligations is liable for them.</w:t>
      </w:r>
      <w:r w:rsidR="00B363F2" w:rsidRPr="00AC1AF7">
        <w:rPr>
          <w:lang w:val="en-CA"/>
        </w:rPr>
        <w:t xml:space="preserve"> </w:t>
      </w:r>
    </w:p>
    <w:p w14:paraId="4B7A9C01" w14:textId="67053541" w:rsidR="00120640" w:rsidRPr="00AC1AF7" w:rsidRDefault="00636E98" w:rsidP="00120640">
      <w:pPr>
        <w:pStyle w:val="Paragraphe"/>
        <w:spacing w:line="280" w:lineRule="exact"/>
        <w:rPr>
          <w:lang w:val="en-CA"/>
        </w:rPr>
      </w:pPr>
      <w:r>
        <w:rPr>
          <w:lang w:val="en-CA"/>
        </w:rPr>
        <w:t>This</w:t>
      </w:r>
      <w:r w:rsidRPr="00AC1AF7">
        <w:rPr>
          <w:lang w:val="en-CA"/>
        </w:rPr>
        <w:t xml:space="preserve"> </w:t>
      </w:r>
      <w:r w:rsidR="00AC1AF7" w:rsidRPr="00AC1AF7">
        <w:rPr>
          <w:lang w:val="en-CA"/>
        </w:rPr>
        <w:t xml:space="preserve">is enough to set aside the </w:t>
      </w:r>
      <w:r w:rsidR="005743C8" w:rsidRPr="00CD2459">
        <w:rPr>
          <w:i/>
          <w:iCs/>
          <w:lang w:val="en-CA"/>
        </w:rPr>
        <w:t>Axa Assurances</w:t>
      </w:r>
      <w:r w:rsidR="005743C8" w:rsidRPr="00AC1AF7" w:rsidDel="005743C8">
        <w:rPr>
          <w:lang w:val="en-CA"/>
        </w:rPr>
        <w:t xml:space="preserve"> </w:t>
      </w:r>
      <w:r w:rsidR="00AC1AF7" w:rsidRPr="00AC1AF7">
        <w:rPr>
          <w:lang w:val="en-CA"/>
        </w:rPr>
        <w:t xml:space="preserve">prior existence </w:t>
      </w:r>
      <w:r w:rsidR="005743C8">
        <w:rPr>
          <w:lang w:val="en-CA"/>
        </w:rPr>
        <w:t>requirement</w:t>
      </w:r>
      <w:r w:rsidR="00AC1AF7" w:rsidRPr="00AC1AF7">
        <w:rPr>
          <w:lang w:val="en-CA"/>
        </w:rPr>
        <w:t>.</w:t>
      </w:r>
      <w:r w:rsidR="00B363F2" w:rsidRPr="00AC1AF7">
        <w:rPr>
          <w:lang w:val="en-CA"/>
        </w:rPr>
        <w:t xml:space="preserve"> </w:t>
      </w:r>
    </w:p>
    <w:p w14:paraId="39BFB2F2" w14:textId="4ACA6741" w:rsidR="00120640" w:rsidRPr="00AC1AF7" w:rsidRDefault="00AC1AF7" w:rsidP="00120640">
      <w:pPr>
        <w:pStyle w:val="Paragraphe"/>
        <w:spacing w:line="280" w:lineRule="exact"/>
        <w:rPr>
          <w:lang w:val="en-CA"/>
        </w:rPr>
      </w:pPr>
      <w:r w:rsidRPr="00AC1AF7">
        <w:rPr>
          <w:lang w:val="en-CA"/>
        </w:rPr>
        <w:t xml:space="preserve">The </w:t>
      </w:r>
      <w:r w:rsidR="00753860">
        <w:rPr>
          <w:lang w:val="en-CA"/>
        </w:rPr>
        <w:t>Respondent</w:t>
      </w:r>
      <w:r w:rsidRPr="00AC1AF7">
        <w:rPr>
          <w:lang w:val="en-CA"/>
        </w:rPr>
        <w:t xml:space="preserve">s' Civil </w:t>
      </w:r>
      <w:r w:rsidR="009E6D6C">
        <w:rPr>
          <w:lang w:val="en-CA"/>
        </w:rPr>
        <w:t>C</w:t>
      </w:r>
      <w:r w:rsidRPr="00AC1AF7">
        <w:rPr>
          <w:lang w:val="en-CA"/>
        </w:rPr>
        <w:t xml:space="preserve">laim </w:t>
      </w:r>
      <w:r w:rsidR="005A54AE">
        <w:rPr>
          <w:lang w:val="en-CA"/>
        </w:rPr>
        <w:t xml:space="preserve">satisfies </w:t>
      </w:r>
      <w:r w:rsidRPr="00AC1AF7">
        <w:rPr>
          <w:lang w:val="en-CA"/>
        </w:rPr>
        <w:t xml:space="preserve">the prior existence </w:t>
      </w:r>
      <w:r w:rsidR="005A54AE" w:rsidRPr="00AC1AF7">
        <w:rPr>
          <w:lang w:val="en-CA"/>
        </w:rPr>
        <w:t xml:space="preserve">criterion </w:t>
      </w:r>
      <w:r w:rsidRPr="00AC1AF7">
        <w:rPr>
          <w:lang w:val="en-CA"/>
        </w:rPr>
        <w:t xml:space="preserve">stated by </w:t>
      </w:r>
      <w:r w:rsidR="00CD2459" w:rsidRPr="00AC1AF7">
        <w:rPr>
          <w:lang w:val="en-CA"/>
        </w:rPr>
        <w:t>the</w:t>
      </w:r>
      <w:r w:rsidRPr="00AC1AF7">
        <w:rPr>
          <w:lang w:val="en-CA"/>
        </w:rPr>
        <w:t xml:space="preserve"> Supreme Court in </w:t>
      </w:r>
      <w:r w:rsidRPr="00AC1AF7">
        <w:rPr>
          <w:i/>
          <w:lang w:val="en-CA"/>
        </w:rPr>
        <w:t>AbitibiBowater</w:t>
      </w:r>
      <w:r w:rsidRPr="00AC1AF7">
        <w:rPr>
          <w:lang w:val="en-CA"/>
        </w:rPr>
        <w:t xml:space="preserve"> because the sale of the immovable took place before the proposal. As we have </w:t>
      </w:r>
      <w:r w:rsidR="00CD2459" w:rsidRPr="00AC1AF7">
        <w:rPr>
          <w:lang w:val="en-CA"/>
        </w:rPr>
        <w:t>just</w:t>
      </w:r>
      <w:r w:rsidRPr="00AC1AF7">
        <w:rPr>
          <w:lang w:val="en-CA"/>
        </w:rPr>
        <w:t xml:space="preserve"> seen, it is of no consequence that the damages </w:t>
      </w:r>
      <w:r w:rsidR="005A54AE">
        <w:rPr>
          <w:lang w:val="en-CA"/>
        </w:rPr>
        <w:t xml:space="preserve">materialized </w:t>
      </w:r>
      <w:r w:rsidRPr="00AC1AF7">
        <w:rPr>
          <w:lang w:val="en-CA"/>
        </w:rPr>
        <w:t xml:space="preserve">only after </w:t>
      </w:r>
      <w:r w:rsidR="005A54AE">
        <w:rPr>
          <w:lang w:val="en-CA"/>
        </w:rPr>
        <w:t>the</w:t>
      </w:r>
      <w:r w:rsidR="001B2367">
        <w:rPr>
          <w:lang w:val="en-CA"/>
        </w:rPr>
        <w:t xml:space="preserve"> proposal</w:t>
      </w:r>
      <w:r w:rsidRPr="00AC1AF7">
        <w:rPr>
          <w:lang w:val="en-CA"/>
        </w:rPr>
        <w:t>.</w:t>
      </w:r>
    </w:p>
    <w:p w14:paraId="37F74232" w14:textId="7E537E3B" w:rsidR="00120640" w:rsidRPr="00501215" w:rsidRDefault="00AC1AF7" w:rsidP="00B12768">
      <w:pPr>
        <w:spacing w:before="120" w:after="120"/>
        <w:ind w:left="1066" w:hanging="357"/>
        <w:jc w:val="both"/>
        <w:outlineLvl w:val="0"/>
        <w:rPr>
          <w:b/>
          <w:kern w:val="28"/>
        </w:rPr>
      </w:pPr>
      <w:r w:rsidRPr="00501215">
        <w:rPr>
          <w:b/>
          <w:kern w:val="28"/>
        </w:rPr>
        <w:lastRenderedPageBreak/>
        <w:t>Sufficient certainty</w:t>
      </w:r>
    </w:p>
    <w:p w14:paraId="73025FDC" w14:textId="6BCF3990" w:rsidR="00120640" w:rsidRPr="00AC1AF7" w:rsidRDefault="00AC1AF7" w:rsidP="00B12768">
      <w:pPr>
        <w:pStyle w:val="Paragraphe"/>
        <w:spacing w:line="280" w:lineRule="exact"/>
        <w:rPr>
          <w:lang w:val="en-CA"/>
        </w:rPr>
      </w:pPr>
      <w:r w:rsidRPr="00AC1AF7">
        <w:rPr>
          <w:lang w:val="en-CA"/>
        </w:rPr>
        <w:t xml:space="preserve">The second condition of the </w:t>
      </w:r>
      <w:r w:rsidRPr="00CD2459">
        <w:rPr>
          <w:i/>
          <w:iCs/>
          <w:lang w:val="en-CA"/>
        </w:rPr>
        <w:t>Axa Assurances</w:t>
      </w:r>
      <w:r w:rsidRPr="00AC1AF7">
        <w:rPr>
          <w:lang w:val="en-CA"/>
        </w:rPr>
        <w:t xml:space="preserve"> test requires that the claim</w:t>
      </w:r>
      <w:r w:rsidR="00CD2459">
        <w:rPr>
          <w:lang w:val="en-CA"/>
        </w:rPr>
        <w:t xml:space="preserve"> [</w:t>
      </w:r>
      <w:r w:rsidR="00CD2459" w:rsidRPr="00CD2459">
        <w:rPr>
          <w:smallCaps/>
          <w:lang w:val="en-CA"/>
        </w:rPr>
        <w:t>translation</w:t>
      </w:r>
      <w:r w:rsidR="00CD2459">
        <w:rPr>
          <w:lang w:val="en-CA"/>
        </w:rPr>
        <w:t>] “</w:t>
      </w:r>
      <w:r w:rsidRPr="00AC1AF7">
        <w:rPr>
          <w:lang w:val="en-CA"/>
        </w:rPr>
        <w:t>include a serious degree of certainty and probability</w:t>
      </w:r>
      <w:r w:rsidR="00CD2459">
        <w:rPr>
          <w:lang w:val="en-CA"/>
        </w:rPr>
        <w:t>”</w:t>
      </w:r>
      <w:r w:rsidRPr="00AC1AF7">
        <w:rPr>
          <w:lang w:val="en-CA"/>
        </w:rPr>
        <w:t>.</w:t>
      </w:r>
      <w:r>
        <w:rPr>
          <w:vertAlign w:val="superscript"/>
        </w:rPr>
        <w:footnoteReference w:id="17"/>
      </w:r>
      <w:r w:rsidR="00B363F2" w:rsidRPr="00AC1AF7">
        <w:rPr>
          <w:lang w:val="en-CA"/>
        </w:rPr>
        <w:t xml:space="preserve"> </w:t>
      </w:r>
    </w:p>
    <w:p w14:paraId="3D246ADE" w14:textId="010A9AFF" w:rsidR="00120640" w:rsidRPr="00AC1AF7" w:rsidRDefault="00AC1AF7" w:rsidP="00120640">
      <w:pPr>
        <w:pStyle w:val="Paragraphe"/>
        <w:spacing w:line="280" w:lineRule="exact"/>
        <w:rPr>
          <w:lang w:val="en-CA"/>
        </w:rPr>
      </w:pPr>
      <w:r w:rsidRPr="00AC1AF7">
        <w:rPr>
          <w:lang w:val="en-CA"/>
        </w:rPr>
        <w:t>This criterion originated in the case law.</w:t>
      </w:r>
      <w:r w:rsidR="00B363F2" w:rsidRPr="00AC1AF7">
        <w:rPr>
          <w:lang w:val="en-CA"/>
        </w:rPr>
        <w:t xml:space="preserve"> </w:t>
      </w:r>
      <w:r w:rsidRPr="00AC1AF7">
        <w:rPr>
          <w:lang w:val="en-CA"/>
        </w:rPr>
        <w:t xml:space="preserve">The first judgment that refers to this notion is </w:t>
      </w:r>
      <w:r w:rsidRPr="00AC1AF7">
        <w:rPr>
          <w:i/>
          <w:lang w:val="en-CA"/>
        </w:rPr>
        <w:t>Claude Resources</w:t>
      </w:r>
      <w:r w:rsidRPr="00AC1AF7">
        <w:rPr>
          <w:lang w:val="en-CA"/>
        </w:rPr>
        <w:t>, from 1993, rendered by the Court of Queen's Bench for Saskatchewan.</w:t>
      </w:r>
      <w:r>
        <w:rPr>
          <w:vertAlign w:val="superscript"/>
        </w:rPr>
        <w:footnoteReference w:id="18"/>
      </w:r>
      <w:r w:rsidRPr="00AC1AF7">
        <w:rPr>
          <w:lang w:val="en-CA"/>
        </w:rPr>
        <w:t xml:space="preserve"> </w:t>
      </w:r>
    </w:p>
    <w:p w14:paraId="39248883" w14:textId="16113694" w:rsidR="00120640" w:rsidRPr="00AC1AF7" w:rsidRDefault="00AC1AF7" w:rsidP="00120640">
      <w:pPr>
        <w:pStyle w:val="Paragraphe"/>
        <w:spacing w:line="280" w:lineRule="exact"/>
        <w:rPr>
          <w:lang w:val="en-CA"/>
        </w:rPr>
      </w:pPr>
      <w:r w:rsidRPr="00501215">
        <w:rPr>
          <w:lang w:val="en-CA"/>
        </w:rPr>
        <w:t xml:space="preserve">The connection between this criterion and the </w:t>
      </w:r>
      <w:r w:rsidRPr="0092763E">
        <w:rPr>
          <w:i/>
          <w:iCs/>
          <w:lang w:val="en-CA"/>
        </w:rPr>
        <w:t>BIA</w:t>
      </w:r>
      <w:r w:rsidRPr="00501215">
        <w:rPr>
          <w:lang w:val="en-CA"/>
        </w:rPr>
        <w:t xml:space="preserve"> is tenuous.</w:t>
      </w:r>
      <w:r w:rsidR="00B363F2" w:rsidRPr="00AC1AF7">
        <w:rPr>
          <w:lang w:val="en-CA"/>
        </w:rPr>
        <w:t xml:space="preserve"> </w:t>
      </w:r>
      <w:r w:rsidRPr="00AC1AF7">
        <w:rPr>
          <w:lang w:val="en-CA"/>
        </w:rPr>
        <w:t xml:space="preserve">Section 121(1) </w:t>
      </w:r>
      <w:r w:rsidRPr="0092763E">
        <w:rPr>
          <w:i/>
          <w:iCs/>
          <w:lang w:val="en-CA"/>
        </w:rPr>
        <w:t>BIA</w:t>
      </w:r>
      <w:r w:rsidRPr="00AC1AF7">
        <w:rPr>
          <w:lang w:val="en-CA"/>
        </w:rPr>
        <w:t xml:space="preserve"> expressly provides for the possibility that a future claim could be deemed a provable claim and sections 121(2) </w:t>
      </w:r>
      <w:r w:rsidR="0092763E" w:rsidRPr="00AC1AF7">
        <w:rPr>
          <w:lang w:val="en-CA"/>
        </w:rPr>
        <w:t>and</w:t>
      </w:r>
      <w:r w:rsidRPr="00AC1AF7">
        <w:rPr>
          <w:lang w:val="en-CA"/>
        </w:rPr>
        <w:t xml:space="preserve"> 135(1.1) address the </w:t>
      </w:r>
      <w:r w:rsidR="0092763E" w:rsidRPr="00AC1AF7">
        <w:rPr>
          <w:lang w:val="en-CA"/>
        </w:rPr>
        <w:t>possibility</w:t>
      </w:r>
      <w:r w:rsidRPr="00AC1AF7">
        <w:rPr>
          <w:lang w:val="en-CA"/>
        </w:rPr>
        <w:t xml:space="preserve"> that a contingent or unliquidated claim </w:t>
      </w:r>
      <w:r w:rsidR="0092763E">
        <w:rPr>
          <w:lang w:val="en-CA"/>
        </w:rPr>
        <w:t xml:space="preserve">could </w:t>
      </w:r>
      <w:r w:rsidRPr="00AC1AF7">
        <w:rPr>
          <w:lang w:val="en-CA"/>
        </w:rPr>
        <w:t>be a provable claim.</w:t>
      </w:r>
      <w:r w:rsidR="00B363F2" w:rsidRPr="00AC1AF7">
        <w:rPr>
          <w:lang w:val="en-CA"/>
        </w:rPr>
        <w:t xml:space="preserve"> </w:t>
      </w:r>
      <w:r w:rsidRPr="00AC1AF7">
        <w:rPr>
          <w:lang w:val="en-CA"/>
        </w:rPr>
        <w:t xml:space="preserve">The notion of </w:t>
      </w:r>
      <w:r w:rsidR="0092763E">
        <w:rPr>
          <w:lang w:val="en-CA"/>
        </w:rPr>
        <w:t>“</w:t>
      </w:r>
      <w:r w:rsidRPr="00AC1AF7">
        <w:rPr>
          <w:lang w:val="en-CA"/>
        </w:rPr>
        <w:t>sufficient certainty</w:t>
      </w:r>
      <w:r w:rsidR="0092763E">
        <w:rPr>
          <w:lang w:val="en-CA"/>
        </w:rPr>
        <w:t>”</w:t>
      </w:r>
      <w:r w:rsidRPr="00AC1AF7">
        <w:rPr>
          <w:lang w:val="en-CA"/>
        </w:rPr>
        <w:t xml:space="preserve"> is not there and it is not necessary.</w:t>
      </w:r>
      <w:r w:rsidR="00B363F2" w:rsidRPr="00AC1AF7">
        <w:rPr>
          <w:lang w:val="en-CA"/>
        </w:rPr>
        <w:t xml:space="preserve"> </w:t>
      </w:r>
      <w:r w:rsidRPr="00AC1AF7">
        <w:rPr>
          <w:lang w:val="en-CA"/>
        </w:rPr>
        <w:t>The trustee can accept an uncertain claim as a provable claim and assess it accordingly.</w:t>
      </w:r>
    </w:p>
    <w:p w14:paraId="4995D677" w14:textId="60542BC4" w:rsidR="00120640" w:rsidRPr="0072369C" w:rsidRDefault="0072369C" w:rsidP="00120640">
      <w:pPr>
        <w:pStyle w:val="Paragraphe"/>
        <w:spacing w:line="280" w:lineRule="exact"/>
        <w:rPr>
          <w:lang w:val="en-CA"/>
        </w:rPr>
      </w:pPr>
      <w:r w:rsidRPr="0072369C">
        <w:rPr>
          <w:lang w:val="en-CA"/>
        </w:rPr>
        <w:t xml:space="preserve">In the years </w:t>
      </w:r>
      <w:r w:rsidR="0092763E">
        <w:rPr>
          <w:lang w:val="en-CA"/>
        </w:rPr>
        <w:t>since</w:t>
      </w:r>
      <w:r w:rsidRPr="0072369C">
        <w:rPr>
          <w:lang w:val="en-CA"/>
        </w:rPr>
        <w:t xml:space="preserve"> </w:t>
      </w:r>
      <w:r w:rsidRPr="0092763E">
        <w:rPr>
          <w:i/>
          <w:iCs/>
          <w:lang w:val="en-CA"/>
        </w:rPr>
        <w:t>Claude Resources</w:t>
      </w:r>
      <w:r w:rsidR="0092763E">
        <w:rPr>
          <w:lang w:val="en-CA"/>
        </w:rPr>
        <w:t xml:space="preserve"> was rendered</w:t>
      </w:r>
      <w:r w:rsidRPr="0072369C">
        <w:rPr>
          <w:lang w:val="en-CA"/>
        </w:rPr>
        <w:t xml:space="preserve">, this notion of sufficient certainty has been the subject of some jurisprudential controversy, </w:t>
      </w:r>
      <w:r w:rsidR="0092763E">
        <w:rPr>
          <w:lang w:val="en-CA"/>
        </w:rPr>
        <w:t xml:space="preserve">with </w:t>
      </w:r>
      <w:r w:rsidRPr="0072369C">
        <w:rPr>
          <w:lang w:val="en-CA"/>
        </w:rPr>
        <w:t xml:space="preserve">the courts of some provinces accepting it (including this Court in </w:t>
      </w:r>
      <w:r w:rsidRPr="0092763E">
        <w:rPr>
          <w:i/>
          <w:iCs/>
          <w:lang w:val="en-CA"/>
        </w:rPr>
        <w:t>Axa Assurances</w:t>
      </w:r>
      <w:r>
        <w:rPr>
          <w:vertAlign w:val="superscript"/>
        </w:rPr>
        <w:footnoteReference w:id="19"/>
      </w:r>
      <w:r w:rsidR="00E754B0" w:rsidRPr="0072369C">
        <w:rPr>
          <w:lang w:val="en-CA"/>
        </w:rPr>
        <w:t>),</w:t>
      </w:r>
      <w:r>
        <w:rPr>
          <w:vertAlign w:val="superscript"/>
        </w:rPr>
        <w:footnoteReference w:id="20"/>
      </w:r>
      <w:r w:rsidRPr="0072369C">
        <w:rPr>
          <w:lang w:val="en-CA"/>
        </w:rPr>
        <w:t xml:space="preserve"> and others rejecting it or limiting its scope.</w:t>
      </w:r>
      <w:r>
        <w:rPr>
          <w:vertAlign w:val="superscript"/>
        </w:rPr>
        <w:footnoteReference w:id="21"/>
      </w:r>
      <w:r w:rsidR="00B363F2" w:rsidRPr="0072369C">
        <w:rPr>
          <w:lang w:val="en-CA"/>
        </w:rPr>
        <w:t xml:space="preserve"> </w:t>
      </w:r>
      <w:r w:rsidRPr="0072369C">
        <w:rPr>
          <w:lang w:val="en-CA"/>
        </w:rPr>
        <w:t xml:space="preserve">It </w:t>
      </w:r>
      <w:r w:rsidR="00820AAB">
        <w:rPr>
          <w:lang w:val="en-CA"/>
        </w:rPr>
        <w:t xml:space="preserve">has </w:t>
      </w:r>
      <w:r w:rsidRPr="0072369C">
        <w:rPr>
          <w:lang w:val="en-CA"/>
        </w:rPr>
        <w:t xml:space="preserve">also </w:t>
      </w:r>
      <w:r w:rsidR="00820AAB">
        <w:rPr>
          <w:lang w:val="en-CA"/>
        </w:rPr>
        <w:t xml:space="preserve">been </w:t>
      </w:r>
      <w:r w:rsidRPr="0072369C">
        <w:rPr>
          <w:lang w:val="en-CA"/>
        </w:rPr>
        <w:t>the subject of sharp criticism by some authors</w:t>
      </w:r>
      <w:r>
        <w:rPr>
          <w:vertAlign w:val="superscript"/>
        </w:rPr>
        <w:footnoteReference w:id="22"/>
      </w:r>
      <w:r w:rsidRPr="0072369C">
        <w:rPr>
          <w:lang w:val="en-CA"/>
        </w:rPr>
        <w:t xml:space="preserve"> who pointed out, quite rightly in my view, that it was inconsistent with the fundamental objectives of insolvency law.</w:t>
      </w:r>
      <w:r w:rsidR="00B363F2" w:rsidRPr="0072369C">
        <w:rPr>
          <w:lang w:val="en-CA"/>
        </w:rPr>
        <w:t xml:space="preserve"> </w:t>
      </w:r>
    </w:p>
    <w:p w14:paraId="14517B02" w14:textId="1C61A51F" w:rsidR="00120640" w:rsidRPr="0072369C" w:rsidRDefault="0072369C" w:rsidP="00120640">
      <w:pPr>
        <w:pStyle w:val="Paragraphe"/>
        <w:spacing w:line="280" w:lineRule="exact"/>
        <w:rPr>
          <w:lang w:val="en-CA"/>
        </w:rPr>
      </w:pPr>
      <w:r w:rsidRPr="0072369C">
        <w:rPr>
          <w:lang w:val="en-CA"/>
        </w:rPr>
        <w:t>In spite of the criticisms, the Supreme Court confirmed th</w:t>
      </w:r>
      <w:r w:rsidR="003B558E">
        <w:rPr>
          <w:lang w:val="en-CA"/>
        </w:rPr>
        <w:t>e</w:t>
      </w:r>
      <w:r w:rsidRPr="0072369C">
        <w:rPr>
          <w:lang w:val="en-CA"/>
        </w:rPr>
        <w:t xml:space="preserve"> notion of sufficient certainty</w:t>
      </w:r>
      <w:r w:rsidR="0092763E">
        <w:rPr>
          <w:lang w:val="en-CA"/>
        </w:rPr>
        <w:t>,</w:t>
      </w:r>
      <w:r w:rsidRPr="0072369C">
        <w:rPr>
          <w:lang w:val="en-CA"/>
        </w:rPr>
        <w:t xml:space="preserve"> while rewording it</w:t>
      </w:r>
      <w:r w:rsidR="0092763E">
        <w:rPr>
          <w:lang w:val="en-CA"/>
        </w:rPr>
        <w:t>,</w:t>
      </w:r>
      <w:r w:rsidRPr="0072369C">
        <w:rPr>
          <w:lang w:val="en-CA"/>
        </w:rPr>
        <w:t xml:space="preserve"> in two judgments rendered after </w:t>
      </w:r>
      <w:r w:rsidRPr="0092763E">
        <w:rPr>
          <w:i/>
          <w:iCs/>
          <w:lang w:val="en-CA"/>
        </w:rPr>
        <w:t>Axa Assurances</w:t>
      </w:r>
      <w:r w:rsidRPr="0072369C">
        <w:rPr>
          <w:lang w:val="en-CA"/>
        </w:rPr>
        <w:t xml:space="preserve"> on environmental orders, </w:t>
      </w:r>
      <w:r w:rsidR="001B2367">
        <w:rPr>
          <w:lang w:val="en-CA"/>
        </w:rPr>
        <w:t>namely</w:t>
      </w:r>
      <w:r w:rsidRPr="0072369C">
        <w:rPr>
          <w:lang w:val="en-CA"/>
        </w:rPr>
        <w:t xml:space="preserve">, </w:t>
      </w:r>
      <w:r w:rsidRPr="0072369C">
        <w:rPr>
          <w:i/>
          <w:lang w:val="en-CA"/>
        </w:rPr>
        <w:t>AbitibiBowater</w:t>
      </w:r>
      <w:r>
        <w:rPr>
          <w:vertAlign w:val="superscript"/>
        </w:rPr>
        <w:footnoteReference w:id="23"/>
      </w:r>
      <w:r w:rsidRPr="0072369C">
        <w:rPr>
          <w:i/>
          <w:lang w:val="en-CA"/>
        </w:rPr>
        <w:t xml:space="preserve"> </w:t>
      </w:r>
      <w:r w:rsidRPr="0072369C">
        <w:rPr>
          <w:lang w:val="en-CA"/>
        </w:rPr>
        <w:t xml:space="preserve">and </w:t>
      </w:r>
      <w:r w:rsidRPr="0072369C">
        <w:rPr>
          <w:i/>
          <w:lang w:val="en-CA"/>
        </w:rPr>
        <w:t>Orphan Well</w:t>
      </w:r>
      <w:r w:rsidRPr="0072369C">
        <w:rPr>
          <w:lang w:val="en-CA"/>
        </w:rPr>
        <w:t>.</w:t>
      </w:r>
      <w:r w:rsidRPr="0072369C">
        <w:rPr>
          <w:vertAlign w:val="superscript"/>
          <w:lang w:val="en-CA"/>
        </w:rPr>
        <w:t xml:space="preserve"> </w:t>
      </w:r>
      <w:r>
        <w:rPr>
          <w:vertAlign w:val="superscript"/>
        </w:rPr>
        <w:footnoteReference w:id="24"/>
      </w:r>
    </w:p>
    <w:p w14:paraId="14E8C529" w14:textId="35E3B298" w:rsidR="00120640" w:rsidRPr="0072369C" w:rsidRDefault="0072369C" w:rsidP="00120640">
      <w:pPr>
        <w:pStyle w:val="Paragraphe"/>
        <w:spacing w:line="280" w:lineRule="exact"/>
        <w:rPr>
          <w:lang w:val="en-CA"/>
        </w:rPr>
      </w:pPr>
      <w:r w:rsidRPr="0072369C">
        <w:rPr>
          <w:lang w:val="en-CA"/>
        </w:rPr>
        <w:lastRenderedPageBreak/>
        <w:t xml:space="preserve">In </w:t>
      </w:r>
      <w:r w:rsidRPr="0072369C">
        <w:rPr>
          <w:i/>
          <w:lang w:val="en-CA"/>
        </w:rPr>
        <w:t>AbitibiBowater</w:t>
      </w:r>
      <w:r w:rsidR="00050B48">
        <w:rPr>
          <w:iCs/>
          <w:lang w:val="en-CA"/>
        </w:rPr>
        <w:t>,</w:t>
      </w:r>
      <w:r w:rsidRPr="0072369C">
        <w:rPr>
          <w:lang w:val="en-CA"/>
        </w:rPr>
        <w:t xml:space="preserve"> the Newfoundland and Labrador Minister of Environment and Conservation had ordered the debtor to </w:t>
      </w:r>
      <w:r w:rsidR="0092763E">
        <w:rPr>
          <w:lang w:val="en-CA"/>
        </w:rPr>
        <w:t>carry out</w:t>
      </w:r>
      <w:r w:rsidRPr="0072369C">
        <w:rPr>
          <w:lang w:val="en-CA"/>
        </w:rPr>
        <w:t xml:space="preserve"> decontamination work.</w:t>
      </w:r>
      <w:r w:rsidR="00B363F2" w:rsidRPr="0072369C">
        <w:rPr>
          <w:lang w:val="en-CA"/>
        </w:rPr>
        <w:t xml:space="preserve"> </w:t>
      </w:r>
      <w:r w:rsidRPr="0072369C">
        <w:rPr>
          <w:lang w:val="en-CA"/>
        </w:rPr>
        <w:t>If it did not, the province could then do the work itself and claim the cost.</w:t>
      </w:r>
      <w:r w:rsidR="00B363F2" w:rsidRPr="0072369C">
        <w:rPr>
          <w:lang w:val="en-CA"/>
        </w:rPr>
        <w:t xml:space="preserve"> </w:t>
      </w:r>
      <w:r w:rsidRPr="0072369C">
        <w:rPr>
          <w:lang w:val="en-CA"/>
        </w:rPr>
        <w:t xml:space="preserve">The province maintained that these environmental orders were of a non-pecuniary nature, such that they </w:t>
      </w:r>
      <w:r w:rsidR="00F45715">
        <w:rPr>
          <w:lang w:val="en-CA"/>
        </w:rPr>
        <w:t>could</w:t>
      </w:r>
      <w:r w:rsidRPr="0072369C">
        <w:rPr>
          <w:lang w:val="en-CA"/>
        </w:rPr>
        <w:t xml:space="preserve"> </w:t>
      </w:r>
      <w:r w:rsidR="00050B48">
        <w:rPr>
          <w:lang w:val="en-CA"/>
        </w:rPr>
        <w:t xml:space="preserve">not </w:t>
      </w:r>
      <w:r w:rsidRPr="0072369C">
        <w:rPr>
          <w:lang w:val="en-CA"/>
        </w:rPr>
        <w:t xml:space="preserve">be characterized as provable claims in the debtor's arrangement, whereas the debtor </w:t>
      </w:r>
      <w:r w:rsidR="00F45715" w:rsidRPr="0072369C">
        <w:rPr>
          <w:lang w:val="en-CA"/>
        </w:rPr>
        <w:t>argued</w:t>
      </w:r>
      <w:r w:rsidRPr="0072369C">
        <w:rPr>
          <w:lang w:val="en-CA"/>
        </w:rPr>
        <w:t xml:space="preserve"> the opposite.</w:t>
      </w:r>
      <w:r w:rsidR="00B363F2" w:rsidRPr="0072369C">
        <w:rPr>
          <w:lang w:val="en-CA"/>
        </w:rPr>
        <w:t xml:space="preserve"> </w:t>
      </w:r>
    </w:p>
    <w:p w14:paraId="40E069AC" w14:textId="2C214B87" w:rsidR="00120640" w:rsidRPr="00046DBE" w:rsidRDefault="0072369C" w:rsidP="00120640">
      <w:pPr>
        <w:pStyle w:val="Paragraphe"/>
        <w:spacing w:line="280" w:lineRule="exact"/>
        <w:rPr>
          <w:lang w:val="en-CA"/>
        </w:rPr>
      </w:pPr>
      <w:r w:rsidRPr="0072369C">
        <w:rPr>
          <w:lang w:val="en-CA"/>
        </w:rPr>
        <w:t xml:space="preserve">It </w:t>
      </w:r>
      <w:r w:rsidR="00F45715" w:rsidRPr="0072369C">
        <w:rPr>
          <w:lang w:val="en-CA"/>
        </w:rPr>
        <w:t>was</w:t>
      </w:r>
      <w:r w:rsidRPr="0072369C">
        <w:rPr>
          <w:lang w:val="en-CA"/>
        </w:rPr>
        <w:t xml:space="preserve"> in this particular context that the Supreme Court </w:t>
      </w:r>
      <w:r w:rsidR="00F45715" w:rsidRPr="0072369C">
        <w:rPr>
          <w:lang w:val="en-CA"/>
        </w:rPr>
        <w:t>developed</w:t>
      </w:r>
      <w:r w:rsidRPr="0072369C">
        <w:rPr>
          <w:lang w:val="en-CA"/>
        </w:rPr>
        <w:t xml:space="preserve"> its tripartite test to determine what debts can be characterized as </w:t>
      </w:r>
      <w:r w:rsidR="00E754B0">
        <w:rPr>
          <w:lang w:val="en-CA"/>
        </w:rPr>
        <w:t>“</w:t>
      </w:r>
      <w:r w:rsidRPr="0072369C">
        <w:rPr>
          <w:lang w:val="en-CA"/>
        </w:rPr>
        <w:t>provable</w:t>
      </w:r>
      <w:r w:rsidR="000759D5">
        <w:rPr>
          <w:lang w:val="en-CA"/>
        </w:rPr>
        <w:t xml:space="preserve"> claims</w:t>
      </w:r>
      <w:r w:rsidR="00E754B0">
        <w:rPr>
          <w:lang w:val="en-CA"/>
        </w:rPr>
        <w:t>”</w:t>
      </w:r>
      <w:r w:rsidRPr="0072369C">
        <w:rPr>
          <w:lang w:val="en-CA"/>
        </w:rPr>
        <w:t xml:space="preserve"> within the meaning of section 121 </w:t>
      </w:r>
      <w:r w:rsidRPr="00F45715">
        <w:rPr>
          <w:i/>
          <w:iCs/>
          <w:lang w:val="en-CA"/>
        </w:rPr>
        <w:t>BIA</w:t>
      </w:r>
      <w:r w:rsidR="00904524">
        <w:rPr>
          <w:lang w:val="en-CA"/>
        </w:rPr>
        <w:t>.</w:t>
      </w:r>
      <w:r w:rsidRPr="0072369C">
        <w:rPr>
          <w:lang w:val="en-CA"/>
        </w:rPr>
        <w:t xml:space="preserve"> It reworded the criterion of sufficient certainty as follows: </w:t>
      </w:r>
      <w:r w:rsidR="00F45715">
        <w:rPr>
          <w:lang w:val="en-CA"/>
        </w:rPr>
        <w:t>“</w:t>
      </w:r>
      <w:r w:rsidRPr="0072369C">
        <w:rPr>
          <w:lang w:val="en-CA"/>
        </w:rPr>
        <w:t>it must be possible to attach a monetary value to the debt, liability or obligation</w:t>
      </w:r>
      <w:r w:rsidR="00F45715">
        <w:rPr>
          <w:lang w:val="en-CA"/>
        </w:rPr>
        <w:t>”</w:t>
      </w:r>
      <w:r w:rsidRPr="0072369C">
        <w:rPr>
          <w:lang w:val="en-CA"/>
        </w:rPr>
        <w:t>.</w:t>
      </w:r>
      <w:r>
        <w:rPr>
          <w:vertAlign w:val="superscript"/>
        </w:rPr>
        <w:footnoteReference w:id="25"/>
      </w:r>
      <w:r w:rsidR="00B363F2" w:rsidRPr="0072369C">
        <w:rPr>
          <w:lang w:val="en-CA"/>
        </w:rPr>
        <w:t xml:space="preserve"> </w:t>
      </w:r>
      <w:r w:rsidR="00046DBE" w:rsidRPr="00046DBE">
        <w:rPr>
          <w:lang w:val="en-CA"/>
        </w:rPr>
        <w:t xml:space="preserve">With that criterion, the Supreme Court sought to determine the probability that environmental orders, which are not stated </w:t>
      </w:r>
      <w:r w:rsidR="00F45715">
        <w:rPr>
          <w:lang w:val="en-CA"/>
        </w:rPr>
        <w:t>in</w:t>
      </w:r>
      <w:r w:rsidR="00046DBE" w:rsidRPr="00046DBE">
        <w:rPr>
          <w:lang w:val="en-CA"/>
        </w:rPr>
        <w:t xml:space="preserve"> pecuniary terms,</w:t>
      </w:r>
      <w:r w:rsidR="00762E0F">
        <w:rPr>
          <w:lang w:val="en-CA"/>
        </w:rPr>
        <w:t xml:space="preserve"> </w:t>
      </w:r>
      <w:r w:rsidR="002241C3">
        <w:rPr>
          <w:lang w:val="en-CA"/>
        </w:rPr>
        <w:t>will</w:t>
      </w:r>
      <w:r w:rsidR="00046DBE" w:rsidRPr="00046DBE">
        <w:rPr>
          <w:lang w:val="en-CA"/>
        </w:rPr>
        <w:t xml:space="preserve"> be converted into pecuniary debts.</w:t>
      </w:r>
      <w:r w:rsidR="00B363F2" w:rsidRPr="00046DBE">
        <w:rPr>
          <w:lang w:val="en-CA"/>
        </w:rPr>
        <w:t xml:space="preserve"> </w:t>
      </w:r>
    </w:p>
    <w:p w14:paraId="7C42B2AA" w14:textId="6B4FFF4E" w:rsidR="00120640" w:rsidRPr="00046DBE" w:rsidRDefault="00046DBE" w:rsidP="00120640">
      <w:pPr>
        <w:pStyle w:val="Paragraphe"/>
        <w:spacing w:line="280" w:lineRule="exact"/>
        <w:rPr>
          <w:lang w:val="en-CA"/>
        </w:rPr>
      </w:pPr>
      <w:r w:rsidRPr="00046DBE">
        <w:rPr>
          <w:lang w:val="en-CA"/>
        </w:rPr>
        <w:t>On behalf of the majority, Deschamps</w:t>
      </w:r>
      <w:r w:rsidR="005E5B59">
        <w:rPr>
          <w:lang w:val="en-CA"/>
        </w:rPr>
        <w:t>,</w:t>
      </w:r>
      <w:r w:rsidRPr="00046DBE">
        <w:rPr>
          <w:lang w:val="en-CA"/>
        </w:rPr>
        <w:t xml:space="preserve"> J</w:t>
      </w:r>
      <w:r w:rsidR="00F45715">
        <w:rPr>
          <w:lang w:val="en-CA"/>
        </w:rPr>
        <w:t>.</w:t>
      </w:r>
      <w:r w:rsidRPr="00046DBE">
        <w:rPr>
          <w:lang w:val="en-CA"/>
        </w:rPr>
        <w:t xml:space="preserve"> </w:t>
      </w:r>
      <w:r w:rsidR="005E5B59">
        <w:rPr>
          <w:lang w:val="en-CA"/>
        </w:rPr>
        <w:t xml:space="preserve">specified </w:t>
      </w:r>
      <w:r w:rsidRPr="00046DBE">
        <w:rPr>
          <w:lang w:val="en-CA"/>
        </w:rPr>
        <w:t xml:space="preserve">that the aim of this condition is for contingent claims to be included in the insolvency process only if it is sufficiently certain that the event that has not yet </w:t>
      </w:r>
      <w:r w:rsidR="00F45715" w:rsidRPr="00046DBE">
        <w:rPr>
          <w:lang w:val="en-CA"/>
        </w:rPr>
        <w:t>occurred</w:t>
      </w:r>
      <w:r w:rsidRPr="00046DBE">
        <w:rPr>
          <w:lang w:val="en-CA"/>
        </w:rPr>
        <w:t xml:space="preserve"> </w:t>
      </w:r>
      <w:r w:rsidR="00F45715">
        <w:rPr>
          <w:lang w:val="en-CA"/>
        </w:rPr>
        <w:t xml:space="preserve">will </w:t>
      </w:r>
      <w:r w:rsidRPr="00046DBE">
        <w:rPr>
          <w:lang w:val="en-CA"/>
        </w:rPr>
        <w:t>happen:</w:t>
      </w:r>
      <w:r>
        <w:rPr>
          <w:vertAlign w:val="superscript"/>
        </w:rPr>
        <w:footnoteReference w:id="26"/>
      </w:r>
      <w:r w:rsidR="00B363F2" w:rsidRPr="00046DBE">
        <w:rPr>
          <w:lang w:val="en-CA"/>
        </w:rPr>
        <w:t xml:space="preserve"> </w:t>
      </w:r>
    </w:p>
    <w:p w14:paraId="25CD1307" w14:textId="4CD18398" w:rsidR="00120640" w:rsidRPr="00046DBE" w:rsidRDefault="00046DBE" w:rsidP="00120640">
      <w:pPr>
        <w:spacing w:before="120" w:after="120"/>
        <w:ind w:left="720" w:right="720"/>
        <w:jc w:val="both"/>
        <w:rPr>
          <w:kern w:val="24"/>
          <w:sz w:val="22"/>
          <w:lang w:val="en-CA"/>
        </w:rPr>
      </w:pPr>
      <w:r w:rsidRPr="00046DBE">
        <w:rPr>
          <w:kern w:val="24"/>
          <w:sz w:val="22"/>
          <w:lang w:val="en-CA"/>
        </w:rPr>
        <w:t>[36]</w:t>
      </w:r>
      <w:r w:rsidR="00B363F2" w:rsidRPr="00046DBE">
        <w:rPr>
          <w:kern w:val="24"/>
          <w:sz w:val="22"/>
          <w:lang w:val="en-CA"/>
        </w:rPr>
        <w:tab/>
      </w:r>
      <w:r w:rsidRPr="00046DBE">
        <w:rPr>
          <w:kern w:val="24"/>
          <w:sz w:val="22"/>
          <w:lang w:val="en-CA"/>
        </w:rPr>
        <w:t>The criterion used by courts to determine whether a contingent claim will be included in the insolvency process is whether the event that has not yet occurred is too remote or speculative.</w:t>
      </w:r>
      <w:r w:rsidR="00B363F2" w:rsidRPr="00046DBE">
        <w:rPr>
          <w:kern w:val="24"/>
          <w:sz w:val="22"/>
          <w:lang w:val="en-CA"/>
        </w:rPr>
        <w:t xml:space="preserve"> </w:t>
      </w:r>
      <w:r w:rsidRPr="00501215">
        <w:rPr>
          <w:kern w:val="24"/>
          <w:sz w:val="22"/>
          <w:lang w:val="en-CA"/>
        </w:rPr>
        <w:t xml:space="preserve">In the context of an environmental order, this means </w:t>
      </w:r>
      <w:r w:rsidRPr="00501215">
        <w:rPr>
          <w:kern w:val="24"/>
          <w:sz w:val="22"/>
          <w:u w:val="single"/>
          <w:lang w:val="en-CA"/>
        </w:rPr>
        <w:t>that there must be sufficient indications that the regulatory body that triggered the enforcement mechanism will ultimately perform remediation work and assert a monetary claim to have its costs reimbursed</w:t>
      </w:r>
      <w:r w:rsidRPr="00501215">
        <w:rPr>
          <w:kern w:val="24"/>
          <w:sz w:val="22"/>
          <w:lang w:val="en-CA"/>
        </w:rPr>
        <w:t>.</w:t>
      </w:r>
      <w:r w:rsidR="00B363F2" w:rsidRPr="00046DBE">
        <w:rPr>
          <w:kern w:val="24"/>
          <w:sz w:val="22"/>
          <w:lang w:val="en-CA"/>
        </w:rPr>
        <w:t xml:space="preserve"> </w:t>
      </w:r>
      <w:r w:rsidRPr="00501215">
        <w:rPr>
          <w:kern w:val="24"/>
          <w:sz w:val="22"/>
          <w:lang w:val="en-CA"/>
        </w:rPr>
        <w:t>If there is sufficient certainty in this regard, the court will conclude that the order can be subjected to the insolvency process.</w:t>
      </w:r>
    </w:p>
    <w:p w14:paraId="475FC357" w14:textId="77023B42" w:rsidR="00120640" w:rsidRPr="00501215" w:rsidRDefault="00B35460" w:rsidP="00B12768">
      <w:pPr>
        <w:spacing w:before="120" w:after="120"/>
        <w:ind w:left="720" w:right="720"/>
        <w:jc w:val="right"/>
        <w:rPr>
          <w:kern w:val="24"/>
          <w:sz w:val="22"/>
        </w:rPr>
      </w:pPr>
      <w:r w:rsidRPr="00501215">
        <w:rPr>
          <w:kern w:val="24"/>
          <w:sz w:val="22"/>
        </w:rPr>
        <w:t>[Emphasis added]</w:t>
      </w:r>
    </w:p>
    <w:p w14:paraId="3FD5CB9A" w14:textId="56CE8AEA" w:rsidR="00120640" w:rsidRPr="0063013F" w:rsidRDefault="0063013F" w:rsidP="00120640">
      <w:pPr>
        <w:pStyle w:val="Paragraphe"/>
        <w:spacing w:line="280" w:lineRule="exact"/>
        <w:rPr>
          <w:lang w:val="en-CA"/>
        </w:rPr>
      </w:pPr>
      <w:r w:rsidRPr="0063013F">
        <w:rPr>
          <w:lang w:val="en-CA"/>
        </w:rPr>
        <w:t xml:space="preserve">In </w:t>
      </w:r>
      <w:r w:rsidR="00040CF5">
        <w:rPr>
          <w:lang w:val="en-CA"/>
        </w:rPr>
        <w:t>that</w:t>
      </w:r>
      <w:r w:rsidRPr="0063013F">
        <w:rPr>
          <w:lang w:val="en-CA"/>
        </w:rPr>
        <w:t xml:space="preserve"> case, </w:t>
      </w:r>
      <w:r w:rsidR="00040CF5" w:rsidRPr="0063013F">
        <w:rPr>
          <w:lang w:val="en-CA"/>
        </w:rPr>
        <w:t xml:space="preserve">based on the factual observations of the trial judge, </w:t>
      </w:r>
      <w:r w:rsidRPr="0063013F">
        <w:rPr>
          <w:lang w:val="en-CA"/>
        </w:rPr>
        <w:t xml:space="preserve">the majority concluded that it was sufficiently certain that the province would </w:t>
      </w:r>
      <w:r w:rsidR="005C4205" w:rsidRPr="0063013F">
        <w:rPr>
          <w:lang w:val="en-CA"/>
        </w:rPr>
        <w:t>perform</w:t>
      </w:r>
      <w:r w:rsidRPr="0063013F">
        <w:rPr>
          <w:lang w:val="en-CA"/>
        </w:rPr>
        <w:t xml:space="preserve"> the decontamination work </w:t>
      </w:r>
      <w:r w:rsidR="005C4205" w:rsidRPr="0063013F">
        <w:rPr>
          <w:lang w:val="en-CA"/>
        </w:rPr>
        <w:t>and</w:t>
      </w:r>
      <w:r w:rsidRPr="0063013F">
        <w:rPr>
          <w:lang w:val="en-CA"/>
        </w:rPr>
        <w:t xml:space="preserve"> that it was therefore included in the definition of a </w:t>
      </w:r>
      <w:r w:rsidR="005C4205" w:rsidRPr="0063013F">
        <w:rPr>
          <w:lang w:val="en-CA"/>
        </w:rPr>
        <w:t>creditor</w:t>
      </w:r>
      <w:r w:rsidRPr="0063013F">
        <w:rPr>
          <w:lang w:val="en-CA"/>
        </w:rPr>
        <w:t xml:space="preserve"> with a pecuniary claim.</w:t>
      </w:r>
      <w:r w:rsidR="00B363F2" w:rsidRPr="0063013F">
        <w:rPr>
          <w:lang w:val="en-CA"/>
        </w:rPr>
        <w:t xml:space="preserve">  </w:t>
      </w:r>
    </w:p>
    <w:p w14:paraId="07F0BB79" w14:textId="732FE198" w:rsidR="00120640" w:rsidRPr="0063013F" w:rsidRDefault="0063013F" w:rsidP="00120640">
      <w:pPr>
        <w:pStyle w:val="Paragraphe"/>
        <w:spacing w:line="280" w:lineRule="exact"/>
        <w:rPr>
          <w:lang w:val="en-CA"/>
        </w:rPr>
      </w:pPr>
      <w:r w:rsidRPr="0063013F">
        <w:rPr>
          <w:lang w:val="en-CA"/>
        </w:rPr>
        <w:t xml:space="preserve">The facts in </w:t>
      </w:r>
      <w:r w:rsidRPr="0063013F">
        <w:rPr>
          <w:i/>
          <w:lang w:val="en-CA"/>
        </w:rPr>
        <w:t>Orphan Well</w:t>
      </w:r>
      <w:r w:rsidRPr="0063013F">
        <w:rPr>
          <w:lang w:val="en-CA"/>
        </w:rPr>
        <w:t xml:space="preserve"> were similar to those in </w:t>
      </w:r>
      <w:r w:rsidRPr="0063013F">
        <w:rPr>
          <w:i/>
          <w:lang w:val="en-CA"/>
        </w:rPr>
        <w:t>AbitibiBowater</w:t>
      </w:r>
      <w:r w:rsidRPr="0063013F">
        <w:rPr>
          <w:lang w:val="en-CA"/>
        </w:rPr>
        <w:t>.</w:t>
      </w:r>
      <w:r w:rsidR="00B363F2" w:rsidRPr="0063013F">
        <w:rPr>
          <w:lang w:val="en-CA"/>
        </w:rPr>
        <w:t xml:space="preserve"> </w:t>
      </w:r>
      <w:r w:rsidRPr="0063013F">
        <w:rPr>
          <w:lang w:val="en-CA"/>
        </w:rPr>
        <w:t>In that case, the issue was end-of-life responsibilities incumbent on the debtor with respect to oil wells.</w:t>
      </w:r>
      <w:r w:rsidR="00B363F2" w:rsidRPr="0063013F">
        <w:rPr>
          <w:lang w:val="en-CA"/>
        </w:rPr>
        <w:t xml:space="preserve"> </w:t>
      </w:r>
      <w:r w:rsidRPr="0063013F">
        <w:rPr>
          <w:lang w:val="en-CA"/>
        </w:rPr>
        <w:t>Wagner</w:t>
      </w:r>
      <w:r w:rsidR="009E22E8">
        <w:rPr>
          <w:lang w:val="en-CA"/>
        </w:rPr>
        <w:t>,</w:t>
      </w:r>
      <w:r w:rsidRPr="0063013F">
        <w:rPr>
          <w:lang w:val="en-CA"/>
        </w:rPr>
        <w:t xml:space="preserve"> J.</w:t>
      </w:r>
      <w:r w:rsidR="009E22E8">
        <w:rPr>
          <w:lang w:val="en-CA"/>
        </w:rPr>
        <w:t>,</w:t>
      </w:r>
      <w:r w:rsidRPr="0063013F">
        <w:rPr>
          <w:lang w:val="en-CA"/>
        </w:rPr>
        <w:t xml:space="preserve"> on behalf of the majority, concluded that the regulatory authority </w:t>
      </w:r>
      <w:r w:rsidR="00007642">
        <w:rPr>
          <w:lang w:val="en-CA"/>
        </w:rPr>
        <w:t xml:space="preserve">could not </w:t>
      </w:r>
      <w:r w:rsidRPr="0063013F">
        <w:rPr>
          <w:lang w:val="en-CA"/>
        </w:rPr>
        <w:t xml:space="preserve">financially benefit from the </w:t>
      </w:r>
      <w:r w:rsidR="00041C96">
        <w:rPr>
          <w:lang w:val="en-CA"/>
        </w:rPr>
        <w:t>enforcement</w:t>
      </w:r>
      <w:r w:rsidR="00041C96" w:rsidRPr="0063013F">
        <w:rPr>
          <w:lang w:val="en-CA"/>
        </w:rPr>
        <w:t xml:space="preserve"> </w:t>
      </w:r>
      <w:r w:rsidRPr="0063013F">
        <w:rPr>
          <w:lang w:val="en-CA"/>
        </w:rPr>
        <w:t xml:space="preserve">of </w:t>
      </w:r>
      <w:r w:rsidR="00041C96">
        <w:rPr>
          <w:lang w:val="en-CA"/>
        </w:rPr>
        <w:t xml:space="preserve">the </w:t>
      </w:r>
      <w:r w:rsidR="00040CF5" w:rsidRPr="0063013F">
        <w:rPr>
          <w:lang w:val="en-CA"/>
        </w:rPr>
        <w:t>obligations</w:t>
      </w:r>
      <w:r w:rsidRPr="0063013F">
        <w:rPr>
          <w:lang w:val="en-CA"/>
        </w:rPr>
        <w:t xml:space="preserve"> and </w:t>
      </w:r>
      <w:r w:rsidR="00007642">
        <w:rPr>
          <w:lang w:val="en-CA"/>
        </w:rPr>
        <w:t xml:space="preserve">was </w:t>
      </w:r>
      <w:r w:rsidR="00040CF5" w:rsidRPr="0063013F">
        <w:rPr>
          <w:lang w:val="en-CA"/>
        </w:rPr>
        <w:t>therefore</w:t>
      </w:r>
      <w:r w:rsidRPr="0063013F">
        <w:rPr>
          <w:lang w:val="en-CA"/>
        </w:rPr>
        <w:t xml:space="preserve"> not a creditor within the meaning of the first condition of the </w:t>
      </w:r>
      <w:r w:rsidRPr="0063013F">
        <w:rPr>
          <w:i/>
          <w:lang w:val="en-CA"/>
        </w:rPr>
        <w:t>AbitibiBowater</w:t>
      </w:r>
      <w:r w:rsidRPr="0063013F">
        <w:rPr>
          <w:lang w:val="en-CA"/>
        </w:rPr>
        <w:t xml:space="preserve"> test:</w:t>
      </w:r>
      <w:r>
        <w:rPr>
          <w:vertAlign w:val="superscript"/>
        </w:rPr>
        <w:footnoteReference w:id="27"/>
      </w:r>
    </w:p>
    <w:p w14:paraId="3954D358" w14:textId="17521EEF" w:rsidR="00120640" w:rsidRPr="0063013F" w:rsidRDefault="0063013F" w:rsidP="00B12768">
      <w:pPr>
        <w:spacing w:before="120" w:after="120"/>
        <w:ind w:left="720" w:right="720"/>
        <w:jc w:val="both"/>
        <w:rPr>
          <w:kern w:val="24"/>
          <w:sz w:val="22"/>
          <w:lang w:val="en-CA"/>
        </w:rPr>
      </w:pPr>
      <w:r w:rsidRPr="0063013F">
        <w:rPr>
          <w:kern w:val="24"/>
          <w:sz w:val="22"/>
          <w:lang w:val="en-CA"/>
        </w:rPr>
        <w:t>[135]</w:t>
      </w:r>
      <w:r w:rsidR="00B363F2" w:rsidRPr="0063013F">
        <w:rPr>
          <w:kern w:val="24"/>
          <w:sz w:val="22"/>
          <w:lang w:val="en-CA"/>
        </w:rPr>
        <w:tab/>
      </w:r>
      <w:r w:rsidRPr="0063013F">
        <w:rPr>
          <w:kern w:val="24"/>
          <w:sz w:val="22"/>
          <w:lang w:val="en-CA"/>
        </w:rPr>
        <w:t>... it is clear that the Regulator is not a creditor of the Redwater estate.</w:t>
      </w:r>
      <w:r w:rsidR="00B363F2" w:rsidRPr="0063013F">
        <w:rPr>
          <w:kern w:val="24"/>
          <w:sz w:val="22"/>
          <w:lang w:val="en-CA"/>
        </w:rPr>
        <w:t xml:space="preserve"> </w:t>
      </w:r>
      <w:r w:rsidRPr="0063013F">
        <w:rPr>
          <w:kern w:val="24"/>
          <w:sz w:val="22"/>
          <w:lang w:val="en-CA"/>
        </w:rPr>
        <w:t xml:space="preserve">The end-of-life obligations the Regulator seeks to enforce against Redwater are public </w:t>
      </w:r>
      <w:r w:rsidRPr="0063013F">
        <w:rPr>
          <w:kern w:val="24"/>
          <w:sz w:val="22"/>
          <w:lang w:val="en-CA"/>
        </w:rPr>
        <w:lastRenderedPageBreak/>
        <w:t>duties.</w:t>
      </w:r>
      <w:r w:rsidR="00B363F2" w:rsidRPr="0063013F">
        <w:rPr>
          <w:kern w:val="24"/>
          <w:sz w:val="22"/>
          <w:lang w:val="en-CA"/>
        </w:rPr>
        <w:t xml:space="preserve"> </w:t>
      </w:r>
      <w:r w:rsidRPr="0063013F">
        <w:rPr>
          <w:kern w:val="24"/>
          <w:sz w:val="22"/>
          <w:lang w:val="en-CA"/>
        </w:rPr>
        <w:t>Neither the Regulator nor the Government of Alberta stands to benefit financially from the enforcement of these obligations.</w:t>
      </w:r>
      <w:r w:rsidR="00B363F2" w:rsidRPr="0063013F">
        <w:rPr>
          <w:kern w:val="24"/>
          <w:sz w:val="22"/>
          <w:lang w:val="en-CA"/>
        </w:rPr>
        <w:t xml:space="preserve"> </w:t>
      </w:r>
      <w:r w:rsidRPr="0063013F">
        <w:rPr>
          <w:kern w:val="24"/>
          <w:sz w:val="22"/>
          <w:lang w:val="en-CA"/>
        </w:rPr>
        <w:t>These public duties are owed, not to a creditor, but, rather, to fellow citizens, and are therefore outside the scope of “provable claims”.</w:t>
      </w:r>
    </w:p>
    <w:p w14:paraId="063CAE44" w14:textId="6D192F0C" w:rsidR="00120640" w:rsidRPr="00A03430" w:rsidRDefault="0063013F" w:rsidP="00120640">
      <w:pPr>
        <w:pStyle w:val="Paragraphe"/>
        <w:spacing w:line="280" w:lineRule="exact"/>
        <w:rPr>
          <w:lang w:val="en-CA"/>
        </w:rPr>
      </w:pPr>
      <w:r w:rsidRPr="00501215">
        <w:rPr>
          <w:lang w:val="en-CA"/>
        </w:rPr>
        <w:t xml:space="preserve">This conclusion </w:t>
      </w:r>
      <w:r w:rsidR="00AC1DDF">
        <w:rPr>
          <w:lang w:val="en-CA"/>
        </w:rPr>
        <w:t>wa</w:t>
      </w:r>
      <w:r w:rsidRPr="00501215">
        <w:rPr>
          <w:lang w:val="en-CA"/>
        </w:rPr>
        <w:t>s enough to decide the appeal.</w:t>
      </w:r>
      <w:r w:rsidR="00B363F2" w:rsidRPr="0063013F">
        <w:rPr>
          <w:lang w:val="en-CA"/>
        </w:rPr>
        <w:t xml:space="preserve"> </w:t>
      </w:r>
      <w:r w:rsidR="00A03430" w:rsidRPr="00A03430">
        <w:rPr>
          <w:lang w:val="en-CA"/>
        </w:rPr>
        <w:t>However, Wagner</w:t>
      </w:r>
      <w:r w:rsidR="00767FF7">
        <w:rPr>
          <w:lang w:val="en-CA"/>
        </w:rPr>
        <w:t>,</w:t>
      </w:r>
      <w:r w:rsidR="00A03430" w:rsidRPr="00A03430">
        <w:rPr>
          <w:lang w:val="en-CA"/>
        </w:rPr>
        <w:t xml:space="preserve"> J.</w:t>
      </w:r>
      <w:r w:rsidR="001A7B5D">
        <w:rPr>
          <w:lang w:val="en-CA"/>
        </w:rPr>
        <w:t>,</w:t>
      </w:r>
      <w:r w:rsidR="00A03430" w:rsidRPr="00A03430">
        <w:rPr>
          <w:lang w:val="en-CA"/>
        </w:rPr>
        <w:t xml:space="preserve"> </w:t>
      </w:r>
      <w:r w:rsidR="001A7B5D" w:rsidRPr="001A7B5D">
        <w:rPr>
          <w:i/>
          <w:iCs/>
          <w:lang w:val="en-CA"/>
        </w:rPr>
        <w:t>in obiter</w:t>
      </w:r>
      <w:r w:rsidR="001A7B5D">
        <w:rPr>
          <w:lang w:val="en-CA"/>
        </w:rPr>
        <w:t>,</w:t>
      </w:r>
      <w:r w:rsidR="001A7B5D" w:rsidRPr="00A03430">
        <w:rPr>
          <w:lang w:val="en-CA"/>
        </w:rPr>
        <w:t xml:space="preserve"> </w:t>
      </w:r>
      <w:r w:rsidR="00A03430" w:rsidRPr="00A03430">
        <w:rPr>
          <w:lang w:val="en-CA"/>
        </w:rPr>
        <w:t xml:space="preserve">continued his analysis of </w:t>
      </w:r>
      <w:r w:rsidR="001A7B5D" w:rsidRPr="00A03430">
        <w:rPr>
          <w:lang w:val="en-CA"/>
        </w:rPr>
        <w:t>the</w:t>
      </w:r>
      <w:r w:rsidR="00A03430" w:rsidRPr="00A03430">
        <w:rPr>
          <w:lang w:val="en-CA"/>
        </w:rPr>
        <w:t xml:space="preserve"> sufficient </w:t>
      </w:r>
      <w:r w:rsidR="001A7B5D" w:rsidRPr="00A03430">
        <w:rPr>
          <w:lang w:val="en-CA"/>
        </w:rPr>
        <w:t>certainty</w:t>
      </w:r>
      <w:r w:rsidR="00A03430" w:rsidRPr="00A03430">
        <w:rPr>
          <w:lang w:val="en-CA"/>
        </w:rPr>
        <w:t xml:space="preserve"> criterion, finding that such an analysis might be useful in the future.</w:t>
      </w:r>
      <w:r w:rsidR="00A03430">
        <w:rPr>
          <w:vertAlign w:val="superscript"/>
        </w:rPr>
        <w:footnoteReference w:id="28"/>
      </w:r>
      <w:r w:rsidR="00B363F2" w:rsidRPr="00A03430">
        <w:rPr>
          <w:lang w:val="en-CA"/>
        </w:rPr>
        <w:t xml:space="preserve"> </w:t>
      </w:r>
      <w:r w:rsidR="00A03430" w:rsidRPr="00A03430">
        <w:rPr>
          <w:lang w:val="en-CA"/>
        </w:rPr>
        <w:t xml:space="preserve">He </w:t>
      </w:r>
      <w:r w:rsidR="00086803">
        <w:rPr>
          <w:lang w:val="en-CA"/>
        </w:rPr>
        <w:t xml:space="preserve">specified </w:t>
      </w:r>
      <w:r w:rsidR="00A03430" w:rsidRPr="00A03430">
        <w:rPr>
          <w:lang w:val="en-CA"/>
        </w:rPr>
        <w:t xml:space="preserve">that the third condition of the </w:t>
      </w:r>
      <w:r w:rsidR="00A03430" w:rsidRPr="00A03430">
        <w:rPr>
          <w:i/>
          <w:lang w:val="en-CA"/>
        </w:rPr>
        <w:t>AbitibiBowater</w:t>
      </w:r>
      <w:r w:rsidR="00A03430" w:rsidRPr="00A03430">
        <w:rPr>
          <w:lang w:val="en-CA"/>
        </w:rPr>
        <w:t xml:space="preserve"> test was not limited to characterizing the nature of the claim as </w:t>
      </w:r>
      <w:r w:rsidR="001A7B5D">
        <w:rPr>
          <w:lang w:val="en-CA"/>
        </w:rPr>
        <w:t>“financial”</w:t>
      </w:r>
      <w:r w:rsidR="00A03430" w:rsidRPr="00A03430">
        <w:rPr>
          <w:lang w:val="en-CA"/>
        </w:rPr>
        <w:t xml:space="preserve"> or </w:t>
      </w:r>
      <w:r w:rsidR="001A7B5D">
        <w:rPr>
          <w:lang w:val="en-CA"/>
        </w:rPr>
        <w:t>“</w:t>
      </w:r>
      <w:r w:rsidR="00A03430" w:rsidRPr="00A03430">
        <w:rPr>
          <w:lang w:val="en-CA"/>
        </w:rPr>
        <w:t>no</w:t>
      </w:r>
      <w:r w:rsidR="001A7B5D">
        <w:rPr>
          <w:lang w:val="en-CA"/>
        </w:rPr>
        <w:t>t</w:t>
      </w:r>
      <w:r w:rsidR="00A03430" w:rsidRPr="00A03430">
        <w:rPr>
          <w:lang w:val="en-CA"/>
        </w:rPr>
        <w:t xml:space="preserve"> </w:t>
      </w:r>
      <w:r w:rsidR="001A7B5D">
        <w:rPr>
          <w:lang w:val="en-CA"/>
        </w:rPr>
        <w:t>financial”</w:t>
      </w:r>
      <w:r w:rsidR="00086803">
        <w:rPr>
          <w:lang w:val="en-CA"/>
        </w:rPr>
        <w:t>,</w:t>
      </w:r>
      <w:r w:rsidR="00A03430" w:rsidRPr="00A03430">
        <w:rPr>
          <w:lang w:val="en-CA"/>
        </w:rPr>
        <w:t xml:space="preserve"> as some would have it,</w:t>
      </w:r>
      <w:r w:rsidR="00A03430">
        <w:rPr>
          <w:vertAlign w:val="superscript"/>
        </w:rPr>
        <w:footnoteReference w:id="29"/>
      </w:r>
      <w:r w:rsidR="00A03430" w:rsidRPr="00A03430">
        <w:rPr>
          <w:lang w:val="en-CA"/>
        </w:rPr>
        <w:t xml:space="preserve"> but also included an analysis of </w:t>
      </w:r>
      <w:r w:rsidR="001A7B5D" w:rsidRPr="00A03430">
        <w:rPr>
          <w:lang w:val="en-CA"/>
        </w:rPr>
        <w:t>the</w:t>
      </w:r>
      <w:r w:rsidR="00A03430" w:rsidRPr="00A03430">
        <w:rPr>
          <w:lang w:val="en-CA"/>
        </w:rPr>
        <w:t xml:space="preserve"> certainty of the claim:</w:t>
      </w:r>
      <w:r w:rsidR="00A03430">
        <w:rPr>
          <w:vertAlign w:val="superscript"/>
        </w:rPr>
        <w:footnoteReference w:id="30"/>
      </w:r>
      <w:r w:rsidR="00A03430" w:rsidRPr="00A03430">
        <w:rPr>
          <w:i/>
          <w:lang w:val="en-CA"/>
        </w:rPr>
        <w:t xml:space="preserve"> </w:t>
      </w:r>
      <w:r w:rsidR="00B363F2" w:rsidRPr="00A03430">
        <w:rPr>
          <w:lang w:val="en-CA"/>
        </w:rPr>
        <w:t xml:space="preserve"> </w:t>
      </w:r>
    </w:p>
    <w:p w14:paraId="60F60B44" w14:textId="7A2EDD63" w:rsidR="00120640" w:rsidRPr="00A03430" w:rsidRDefault="00A03430" w:rsidP="00B12768">
      <w:pPr>
        <w:spacing w:before="120" w:after="120"/>
        <w:ind w:left="720"/>
        <w:jc w:val="both"/>
        <w:rPr>
          <w:kern w:val="28"/>
          <w:sz w:val="22"/>
          <w:lang w:val="en-CA"/>
        </w:rPr>
      </w:pPr>
      <w:r w:rsidRPr="00A03430">
        <w:rPr>
          <w:kern w:val="28"/>
          <w:sz w:val="22"/>
          <w:lang w:val="en-CA"/>
        </w:rPr>
        <w:t>[146]</w:t>
      </w:r>
      <w:r w:rsidR="00B363F2" w:rsidRPr="00A03430">
        <w:rPr>
          <w:kern w:val="28"/>
          <w:sz w:val="22"/>
          <w:lang w:val="en-CA"/>
        </w:rPr>
        <w:tab/>
      </w:r>
      <w:r w:rsidRPr="00A03430">
        <w:rPr>
          <w:kern w:val="28"/>
          <w:sz w:val="22"/>
          <w:lang w:val="en-CA"/>
        </w:rPr>
        <w:t>... Considering whether an order is intrinsically financial is an erroneous interpretation of the third step of the Abitibi test.</w:t>
      </w:r>
      <w:r w:rsidR="00B363F2" w:rsidRPr="00A03430">
        <w:rPr>
          <w:kern w:val="28"/>
          <w:sz w:val="22"/>
          <w:lang w:val="en-CA"/>
        </w:rPr>
        <w:t xml:space="preserve"> </w:t>
      </w:r>
      <w:r w:rsidRPr="00501215">
        <w:rPr>
          <w:kern w:val="28"/>
          <w:sz w:val="22"/>
          <w:lang w:val="en-CA"/>
        </w:rPr>
        <w:t>It is too broad and would result in a provable claim being found even where the existence of a monetary claim in bankruptcy is merely speculative.</w:t>
      </w:r>
    </w:p>
    <w:p w14:paraId="5A1B221E" w14:textId="5CCD83E2" w:rsidR="00120640" w:rsidRPr="00A03430" w:rsidRDefault="00A03430" w:rsidP="00120640">
      <w:pPr>
        <w:pStyle w:val="Paragraphe"/>
        <w:spacing w:line="280" w:lineRule="exact"/>
        <w:rPr>
          <w:lang w:val="en-CA"/>
        </w:rPr>
      </w:pPr>
      <w:r w:rsidRPr="00A03430">
        <w:rPr>
          <w:lang w:val="en-CA"/>
        </w:rPr>
        <w:t>A similar test was applied by this Court in disciplinary proceedings.</w:t>
      </w:r>
      <w:r>
        <w:rPr>
          <w:vertAlign w:val="superscript"/>
        </w:rPr>
        <w:footnoteReference w:id="31"/>
      </w:r>
      <w:r w:rsidR="00B363F2" w:rsidRPr="00A03430">
        <w:rPr>
          <w:lang w:val="en-CA"/>
        </w:rPr>
        <w:t xml:space="preserve"> </w:t>
      </w:r>
      <w:r w:rsidRPr="00A03430">
        <w:rPr>
          <w:lang w:val="en-CA"/>
        </w:rPr>
        <w:t>In those matters, the Court had to determine whether such proceedings were likely to result in orders to pay a fine, in which case they could then be characterized as provable claims.</w:t>
      </w:r>
      <w:r w:rsidR="00B363F2" w:rsidRPr="00A03430">
        <w:rPr>
          <w:lang w:val="en-CA"/>
        </w:rPr>
        <w:t xml:space="preserve"> </w:t>
      </w:r>
    </w:p>
    <w:p w14:paraId="5DF8C0BF" w14:textId="72F00CE2" w:rsidR="00120640" w:rsidRPr="00A03430" w:rsidRDefault="00A03430" w:rsidP="00120640">
      <w:pPr>
        <w:pStyle w:val="Paragraphe"/>
        <w:spacing w:line="280" w:lineRule="exact"/>
        <w:rPr>
          <w:lang w:val="en-CA"/>
        </w:rPr>
      </w:pPr>
      <w:r w:rsidRPr="00A03430">
        <w:rPr>
          <w:lang w:val="en-CA"/>
        </w:rPr>
        <w:t>In my view, the sufficient certainty criterion risks violat</w:t>
      </w:r>
      <w:r w:rsidR="001A7B5D">
        <w:rPr>
          <w:lang w:val="en-CA"/>
        </w:rPr>
        <w:t>ing</w:t>
      </w:r>
      <w:r w:rsidRPr="00A03430">
        <w:rPr>
          <w:lang w:val="en-CA"/>
        </w:rPr>
        <w:t xml:space="preserve"> the fundamental objectives of the </w:t>
      </w:r>
      <w:r w:rsidRPr="001A7B5D">
        <w:rPr>
          <w:i/>
          <w:iCs/>
          <w:lang w:val="en-CA"/>
        </w:rPr>
        <w:t>BIA</w:t>
      </w:r>
      <w:r w:rsidRPr="00A03430">
        <w:rPr>
          <w:lang w:val="en-CA"/>
        </w:rPr>
        <w:t>.</w:t>
      </w:r>
      <w:r w:rsidR="00B363F2" w:rsidRPr="00A03430">
        <w:rPr>
          <w:lang w:val="en-CA"/>
        </w:rPr>
        <w:t xml:space="preserve"> </w:t>
      </w:r>
      <w:r w:rsidRPr="00A03430">
        <w:rPr>
          <w:lang w:val="en-CA"/>
        </w:rPr>
        <w:t xml:space="preserve">If a claim is deemed insufficiently certain, it cannot </w:t>
      </w:r>
      <w:r w:rsidR="001A7B5D" w:rsidRPr="00A03430">
        <w:rPr>
          <w:lang w:val="en-CA"/>
        </w:rPr>
        <w:t>then</w:t>
      </w:r>
      <w:r w:rsidRPr="00A03430">
        <w:rPr>
          <w:lang w:val="en-CA"/>
        </w:rPr>
        <w:t xml:space="preserve"> be characterized as a provable claim.</w:t>
      </w:r>
      <w:r w:rsidR="00B363F2" w:rsidRPr="00A03430">
        <w:rPr>
          <w:lang w:val="en-CA"/>
        </w:rPr>
        <w:t xml:space="preserve"> </w:t>
      </w:r>
      <w:r w:rsidRPr="00A03430">
        <w:rPr>
          <w:lang w:val="en-CA"/>
        </w:rPr>
        <w:t>The creditor is therefore excluded from the bankruptcy or proposal and receives no dividend.</w:t>
      </w:r>
      <w:r w:rsidR="00B363F2" w:rsidRPr="00A03430">
        <w:rPr>
          <w:lang w:val="en-CA"/>
        </w:rPr>
        <w:t xml:space="preserve"> </w:t>
      </w:r>
      <w:r w:rsidRPr="00A03430">
        <w:rPr>
          <w:lang w:val="en-CA"/>
        </w:rPr>
        <w:t xml:space="preserve">This consequence is not dramatic for this creditor – </w:t>
      </w:r>
      <w:r w:rsidR="001A7B5D">
        <w:rPr>
          <w:lang w:val="en-CA"/>
        </w:rPr>
        <w:t>there is</w:t>
      </w:r>
      <w:r w:rsidRPr="00A03430">
        <w:rPr>
          <w:lang w:val="en-CA"/>
        </w:rPr>
        <w:t xml:space="preserve"> little difference </w:t>
      </w:r>
      <w:r w:rsidR="001A7B5D">
        <w:rPr>
          <w:lang w:val="en-CA"/>
        </w:rPr>
        <w:t>to</w:t>
      </w:r>
      <w:r w:rsidRPr="00A03430">
        <w:rPr>
          <w:lang w:val="en-CA"/>
        </w:rPr>
        <w:t xml:space="preserve"> him or her between receiving no dividend </w:t>
      </w:r>
      <w:r w:rsidR="001A7B5D" w:rsidRPr="00A03430">
        <w:rPr>
          <w:lang w:val="en-CA"/>
        </w:rPr>
        <w:t>and</w:t>
      </w:r>
      <w:r w:rsidRPr="00A03430">
        <w:rPr>
          <w:lang w:val="en-CA"/>
        </w:rPr>
        <w:t xml:space="preserve"> receiving a small dividend based on a minimal assessment due to the uncertain nature of </w:t>
      </w:r>
      <w:r w:rsidR="00772EB8">
        <w:rPr>
          <w:lang w:val="en-CA"/>
        </w:rPr>
        <w:t>the</w:t>
      </w:r>
      <w:r w:rsidRPr="00A03430">
        <w:rPr>
          <w:lang w:val="en-CA"/>
        </w:rPr>
        <w:t xml:space="preserve"> claim.</w:t>
      </w:r>
    </w:p>
    <w:p w14:paraId="2B075626" w14:textId="2D82301B" w:rsidR="00120640" w:rsidRPr="00F5511E" w:rsidRDefault="00A03430" w:rsidP="00120640">
      <w:pPr>
        <w:pStyle w:val="Paragraphe"/>
        <w:spacing w:line="280" w:lineRule="exact"/>
        <w:rPr>
          <w:lang w:val="en-CA"/>
        </w:rPr>
      </w:pPr>
      <w:r w:rsidRPr="00A03430">
        <w:rPr>
          <w:lang w:val="en-CA"/>
        </w:rPr>
        <w:t>However, the consequence to the debtor is potentially serious.</w:t>
      </w:r>
      <w:r w:rsidR="00B363F2" w:rsidRPr="00A03430">
        <w:rPr>
          <w:lang w:val="en-CA"/>
        </w:rPr>
        <w:t xml:space="preserve"> </w:t>
      </w:r>
      <w:r w:rsidRPr="00A03430">
        <w:rPr>
          <w:lang w:val="en-CA"/>
        </w:rPr>
        <w:t xml:space="preserve">If the claim is deemed insufficiently certain </w:t>
      </w:r>
      <w:r w:rsidR="00584AE5">
        <w:rPr>
          <w:lang w:val="en-CA"/>
        </w:rPr>
        <w:t>at the time of</w:t>
      </w:r>
      <w:r w:rsidR="00584AE5" w:rsidRPr="00A03430">
        <w:rPr>
          <w:lang w:val="en-CA"/>
        </w:rPr>
        <w:t xml:space="preserve"> </w:t>
      </w:r>
      <w:r w:rsidRPr="00A03430">
        <w:rPr>
          <w:lang w:val="en-CA"/>
        </w:rPr>
        <w:t>the bankruptcy or proposal, the debtor will not be released</w:t>
      </w:r>
      <w:r w:rsidR="001E005D">
        <w:rPr>
          <w:lang w:val="en-CA"/>
        </w:rPr>
        <w:t xml:space="preserve"> therefrom</w:t>
      </w:r>
      <w:r w:rsidRPr="00A03430">
        <w:rPr>
          <w:lang w:val="en-CA"/>
        </w:rPr>
        <w:t>.</w:t>
      </w:r>
      <w:r w:rsidR="00B363F2" w:rsidRPr="00A03430">
        <w:rPr>
          <w:lang w:val="en-CA"/>
        </w:rPr>
        <w:t xml:space="preserve"> </w:t>
      </w:r>
      <w:r w:rsidRPr="00A03430">
        <w:rPr>
          <w:lang w:val="en-CA"/>
        </w:rPr>
        <w:t xml:space="preserve">If that claim </w:t>
      </w:r>
      <w:r w:rsidR="00154F16">
        <w:rPr>
          <w:lang w:val="en-CA"/>
        </w:rPr>
        <w:t xml:space="preserve">materializes </w:t>
      </w:r>
      <w:r w:rsidRPr="00A03430">
        <w:rPr>
          <w:lang w:val="en-CA"/>
        </w:rPr>
        <w:t xml:space="preserve">later, </w:t>
      </w:r>
      <w:r w:rsidR="00221A2A">
        <w:rPr>
          <w:lang w:val="en-CA"/>
        </w:rPr>
        <w:t>the debtor</w:t>
      </w:r>
      <w:r w:rsidRPr="00A03430">
        <w:rPr>
          <w:lang w:val="en-CA"/>
        </w:rPr>
        <w:t xml:space="preserve"> is fully </w:t>
      </w:r>
      <w:r w:rsidR="00DA284A">
        <w:rPr>
          <w:lang w:val="en-CA"/>
        </w:rPr>
        <w:t xml:space="preserve">liable </w:t>
      </w:r>
      <w:r w:rsidR="00B10F56">
        <w:rPr>
          <w:lang w:val="en-CA"/>
        </w:rPr>
        <w:t>there</w:t>
      </w:r>
      <w:r w:rsidRPr="00A03430">
        <w:rPr>
          <w:lang w:val="en-CA"/>
        </w:rPr>
        <w:t>for.</w:t>
      </w:r>
      <w:r w:rsidR="00B363F2" w:rsidRPr="00A03430">
        <w:rPr>
          <w:lang w:val="en-CA"/>
        </w:rPr>
        <w:t xml:space="preserve"> </w:t>
      </w:r>
      <w:r w:rsidR="00F5511E" w:rsidRPr="00F5511E">
        <w:rPr>
          <w:lang w:val="en-CA"/>
        </w:rPr>
        <w:t xml:space="preserve">This result clearly goes </w:t>
      </w:r>
      <w:r w:rsidR="00C53689" w:rsidRPr="00F5511E">
        <w:rPr>
          <w:lang w:val="en-CA"/>
        </w:rPr>
        <w:t>against</w:t>
      </w:r>
      <w:r w:rsidR="00F5511E" w:rsidRPr="00F5511E">
        <w:rPr>
          <w:lang w:val="en-CA"/>
        </w:rPr>
        <w:t xml:space="preserve"> the fundamental principle of the </w:t>
      </w:r>
      <w:r w:rsidR="00F5511E" w:rsidRPr="00B715B9">
        <w:rPr>
          <w:i/>
          <w:iCs/>
          <w:lang w:val="en-CA"/>
        </w:rPr>
        <w:t>BIA</w:t>
      </w:r>
      <w:r w:rsidR="00F5511E" w:rsidRPr="00F5511E">
        <w:rPr>
          <w:lang w:val="en-CA"/>
        </w:rPr>
        <w:t xml:space="preserve"> that the debtor must be </w:t>
      </w:r>
      <w:r w:rsidR="004C4208">
        <w:rPr>
          <w:lang w:val="en-CA"/>
        </w:rPr>
        <w:t xml:space="preserve">released </w:t>
      </w:r>
      <w:r w:rsidR="00F5511E" w:rsidRPr="00F5511E">
        <w:rPr>
          <w:lang w:val="en-CA"/>
        </w:rPr>
        <w:t xml:space="preserve">from all the obligations </w:t>
      </w:r>
      <w:r w:rsidR="00757E63">
        <w:rPr>
          <w:lang w:val="en-CA"/>
        </w:rPr>
        <w:t>incurred</w:t>
      </w:r>
      <w:r w:rsidR="00757E63" w:rsidRPr="00F5511E">
        <w:rPr>
          <w:lang w:val="en-CA"/>
        </w:rPr>
        <w:t xml:space="preserve"> </w:t>
      </w:r>
      <w:r w:rsidR="00F5511E" w:rsidRPr="00F5511E">
        <w:rPr>
          <w:lang w:val="en-CA"/>
        </w:rPr>
        <w:t xml:space="preserve">before the bankruptcy or proposal </w:t>
      </w:r>
      <w:r w:rsidR="00C53689" w:rsidRPr="00F5511E">
        <w:rPr>
          <w:lang w:val="en-CA"/>
        </w:rPr>
        <w:t>and</w:t>
      </w:r>
      <w:r w:rsidR="00F5511E" w:rsidRPr="00F5511E">
        <w:rPr>
          <w:lang w:val="en-CA"/>
        </w:rPr>
        <w:t xml:space="preserve"> must be able to start anew.</w:t>
      </w:r>
      <w:r w:rsidR="00B363F2" w:rsidRPr="00F5511E">
        <w:rPr>
          <w:lang w:val="en-CA"/>
        </w:rPr>
        <w:t xml:space="preserve"> </w:t>
      </w:r>
      <w:r w:rsidR="00F5511E" w:rsidRPr="00F5511E">
        <w:rPr>
          <w:lang w:val="en-CA"/>
        </w:rPr>
        <w:t xml:space="preserve">It is also illogical (why would a claim survive because it is speculative?) and inconsistent with </w:t>
      </w:r>
      <w:r w:rsidR="00C53689" w:rsidRPr="00F5511E">
        <w:rPr>
          <w:lang w:val="en-CA"/>
        </w:rPr>
        <w:t>the</w:t>
      </w:r>
      <w:r w:rsidR="00F5511E" w:rsidRPr="00F5511E">
        <w:rPr>
          <w:lang w:val="en-CA"/>
        </w:rPr>
        <w:t xml:space="preserve"> remarks of Gascon</w:t>
      </w:r>
      <w:r w:rsidR="008D6BBD">
        <w:rPr>
          <w:lang w:val="en-CA"/>
        </w:rPr>
        <w:t>,</w:t>
      </w:r>
      <w:r w:rsidR="00F5511E" w:rsidRPr="00F5511E">
        <w:rPr>
          <w:lang w:val="en-CA"/>
        </w:rPr>
        <w:t xml:space="preserve"> J. in </w:t>
      </w:r>
      <w:r w:rsidR="00F5511E" w:rsidRPr="00B715B9">
        <w:rPr>
          <w:i/>
          <w:iCs/>
          <w:lang w:val="en-CA"/>
        </w:rPr>
        <w:t>Moloney</w:t>
      </w:r>
      <w:r w:rsidR="00F5511E" w:rsidRPr="00F5511E">
        <w:rPr>
          <w:lang w:val="en-CA"/>
        </w:rPr>
        <w:t xml:space="preserve"> </w:t>
      </w:r>
      <w:r w:rsidR="008D6BBD">
        <w:rPr>
          <w:lang w:val="en-CA"/>
        </w:rPr>
        <w:t xml:space="preserve">to the effect </w:t>
      </w:r>
      <w:r w:rsidR="00F5511E" w:rsidRPr="00F5511E">
        <w:rPr>
          <w:lang w:val="en-CA"/>
        </w:rPr>
        <w:t xml:space="preserve">that exceptions to the bankrupt's discharge are exhaustively listed under section 178(1) </w:t>
      </w:r>
      <w:r w:rsidR="00F5511E" w:rsidRPr="00B715B9">
        <w:rPr>
          <w:i/>
          <w:iCs/>
          <w:lang w:val="en-CA"/>
        </w:rPr>
        <w:t>BIA</w:t>
      </w:r>
      <w:r w:rsidR="00F5511E" w:rsidRPr="00F5511E">
        <w:rPr>
          <w:lang w:val="en-CA"/>
        </w:rPr>
        <w:t>.</w:t>
      </w:r>
      <w:r w:rsidR="00B363F2" w:rsidRPr="00F5511E">
        <w:rPr>
          <w:lang w:val="en-CA"/>
        </w:rPr>
        <w:t xml:space="preserve"> </w:t>
      </w:r>
      <w:r w:rsidR="00F5511E" w:rsidRPr="00F5511E">
        <w:rPr>
          <w:lang w:val="en-CA"/>
        </w:rPr>
        <w:t xml:space="preserve">Indeed, it creates a new exception for speculative claims </w:t>
      </w:r>
      <w:r w:rsidR="00B715B9">
        <w:rPr>
          <w:lang w:val="en-CA"/>
        </w:rPr>
        <w:t>that is wholly unrelated to</w:t>
      </w:r>
      <w:r w:rsidR="00F5511E" w:rsidRPr="00F5511E">
        <w:rPr>
          <w:lang w:val="en-CA"/>
        </w:rPr>
        <w:t xml:space="preserve"> those </w:t>
      </w:r>
      <w:r w:rsidR="00B42CD9">
        <w:rPr>
          <w:lang w:val="en-CA"/>
        </w:rPr>
        <w:t xml:space="preserve">listed </w:t>
      </w:r>
      <w:r w:rsidR="00F5511E" w:rsidRPr="00F5511E">
        <w:rPr>
          <w:lang w:val="en-CA"/>
        </w:rPr>
        <w:t xml:space="preserve">under section 178(1) </w:t>
      </w:r>
      <w:r w:rsidR="00F5511E" w:rsidRPr="00B715B9">
        <w:rPr>
          <w:i/>
          <w:iCs/>
          <w:lang w:val="en-CA"/>
        </w:rPr>
        <w:t>BIA</w:t>
      </w:r>
      <w:r w:rsidR="00F5511E" w:rsidRPr="00F5511E">
        <w:rPr>
          <w:lang w:val="en-CA"/>
        </w:rPr>
        <w:t>.</w:t>
      </w:r>
    </w:p>
    <w:p w14:paraId="5380C5D2" w14:textId="4F3F7069" w:rsidR="00120640" w:rsidRPr="00F5511E" w:rsidRDefault="00F5511E" w:rsidP="00120640">
      <w:pPr>
        <w:pStyle w:val="Paragraphe"/>
        <w:spacing w:line="280" w:lineRule="exact"/>
        <w:rPr>
          <w:lang w:val="en-CA"/>
        </w:rPr>
      </w:pPr>
      <w:r w:rsidRPr="00F5511E">
        <w:rPr>
          <w:lang w:val="en-CA"/>
        </w:rPr>
        <w:t>In my view, it would be better to limit the application of the sufficient certainty criterion.</w:t>
      </w:r>
      <w:r w:rsidR="00B363F2" w:rsidRPr="00F5511E">
        <w:rPr>
          <w:lang w:val="en-CA"/>
        </w:rPr>
        <w:t xml:space="preserve"> </w:t>
      </w:r>
      <w:r w:rsidRPr="00501215">
        <w:rPr>
          <w:lang w:val="en-CA"/>
        </w:rPr>
        <w:t>There are two ways to do so.</w:t>
      </w:r>
      <w:r w:rsidR="00B363F2" w:rsidRPr="00F5511E">
        <w:rPr>
          <w:lang w:val="en-CA"/>
        </w:rPr>
        <w:t xml:space="preserve"> </w:t>
      </w:r>
    </w:p>
    <w:p w14:paraId="0E31F736" w14:textId="5AFD636B" w:rsidR="00120640" w:rsidRPr="00F5511E" w:rsidRDefault="00F5511E" w:rsidP="00120640">
      <w:pPr>
        <w:pStyle w:val="Paragraphe"/>
        <w:spacing w:line="280" w:lineRule="exact"/>
        <w:rPr>
          <w:lang w:val="en-CA"/>
        </w:rPr>
      </w:pPr>
      <w:r w:rsidRPr="00F5511E">
        <w:rPr>
          <w:lang w:val="en-CA"/>
        </w:rPr>
        <w:lastRenderedPageBreak/>
        <w:t xml:space="preserve">One solution would be to limit the notion of insufficient certainty to </w:t>
      </w:r>
      <w:r w:rsidR="001B2367">
        <w:rPr>
          <w:lang w:val="en-CA"/>
        </w:rPr>
        <w:t>the</w:t>
      </w:r>
      <w:r w:rsidR="001B2367" w:rsidRPr="00F5511E">
        <w:rPr>
          <w:lang w:val="en-CA"/>
        </w:rPr>
        <w:t xml:space="preserve"> </w:t>
      </w:r>
      <w:r w:rsidRPr="00F5511E">
        <w:rPr>
          <w:lang w:val="en-CA"/>
        </w:rPr>
        <w:t>clearest of cases, where the trustee has a very high level of certainty that the condition will never come to pass.</w:t>
      </w:r>
      <w:r w:rsidR="00B363F2" w:rsidRPr="00F5511E">
        <w:rPr>
          <w:lang w:val="en-CA"/>
        </w:rPr>
        <w:t xml:space="preserve"> </w:t>
      </w:r>
      <w:r w:rsidRPr="00F5511E">
        <w:rPr>
          <w:lang w:val="en-CA"/>
        </w:rPr>
        <w:t xml:space="preserve">Care should be taken not to reject a proof of claim as insufficiently certain only to then have the condition come to pass. </w:t>
      </w:r>
      <w:r>
        <w:rPr>
          <w:lang w:val="en-CA"/>
        </w:rPr>
        <w:t>As Belzil</w:t>
      </w:r>
      <w:r w:rsidR="00F8154E">
        <w:rPr>
          <w:lang w:val="en-CA"/>
        </w:rPr>
        <w:t>,</w:t>
      </w:r>
      <w:r>
        <w:rPr>
          <w:lang w:val="en-CA"/>
        </w:rPr>
        <w:t xml:space="preserve"> J. of the Court of Queen's Bench </w:t>
      </w:r>
      <w:r w:rsidR="00B42CD9">
        <w:rPr>
          <w:lang w:val="en-CA"/>
        </w:rPr>
        <w:t xml:space="preserve">of </w:t>
      </w:r>
      <w:r>
        <w:rPr>
          <w:lang w:val="en-CA"/>
        </w:rPr>
        <w:t xml:space="preserve">Alberta said, </w:t>
      </w:r>
      <w:r w:rsidR="00E42B15">
        <w:rPr>
          <w:lang w:val="en-CA"/>
        </w:rPr>
        <w:t>“</w:t>
      </w:r>
      <w:r>
        <w:rPr>
          <w:lang w:val="en-CA"/>
        </w:rPr>
        <w:t>It would be incongruous in the extreme if a Trustee rejected a claim as being too remote and speculative only to have a Court later conclude that the claim was valid and quantifiable</w:t>
      </w:r>
      <w:r w:rsidR="00E42B15">
        <w:rPr>
          <w:lang w:val="en-CA"/>
        </w:rPr>
        <w:t>”</w:t>
      </w:r>
      <w:r w:rsidRPr="00F5511E">
        <w:rPr>
          <w:lang w:val="en-CA"/>
        </w:rPr>
        <w:t>.</w:t>
      </w:r>
      <w:r>
        <w:rPr>
          <w:vertAlign w:val="superscript"/>
        </w:rPr>
        <w:footnoteReference w:id="32"/>
      </w:r>
      <w:r w:rsidR="00B363F2" w:rsidRPr="00F5511E">
        <w:rPr>
          <w:lang w:val="en-CA"/>
        </w:rPr>
        <w:t xml:space="preserve"> </w:t>
      </w:r>
      <w:r w:rsidRPr="00F5511E">
        <w:rPr>
          <w:lang w:val="en-CA"/>
        </w:rPr>
        <w:t xml:space="preserve">In those cases where the condition coming to pass is uncertain, it would be better to accept the proof of claim </w:t>
      </w:r>
      <w:r w:rsidR="00E42B15">
        <w:rPr>
          <w:lang w:val="en-CA"/>
        </w:rPr>
        <w:t>and</w:t>
      </w:r>
      <w:r w:rsidRPr="00F5511E">
        <w:rPr>
          <w:lang w:val="en-CA"/>
        </w:rPr>
        <w:t xml:space="preserve"> </w:t>
      </w:r>
      <w:r w:rsidR="001B2367">
        <w:rPr>
          <w:lang w:val="en-CA"/>
        </w:rPr>
        <w:t>value</w:t>
      </w:r>
      <w:r w:rsidR="001B2367" w:rsidRPr="00F5511E">
        <w:rPr>
          <w:lang w:val="en-CA"/>
        </w:rPr>
        <w:t xml:space="preserve"> </w:t>
      </w:r>
      <w:r w:rsidRPr="00F5511E">
        <w:rPr>
          <w:lang w:val="en-CA"/>
        </w:rPr>
        <w:t>the debt at a minim</w:t>
      </w:r>
      <w:r w:rsidR="001B2367">
        <w:rPr>
          <w:lang w:val="en-CA"/>
        </w:rPr>
        <w:t>al</w:t>
      </w:r>
      <w:r w:rsidRPr="00F5511E">
        <w:rPr>
          <w:lang w:val="en-CA"/>
        </w:rPr>
        <w:t xml:space="preserve"> amount due to the high degree of uncertainty.</w:t>
      </w:r>
    </w:p>
    <w:p w14:paraId="2DE59801" w14:textId="4D0C4CB1" w:rsidR="00120640" w:rsidRPr="00EA1BC8" w:rsidRDefault="00F5511E" w:rsidP="00120640">
      <w:pPr>
        <w:pStyle w:val="Paragraphe"/>
        <w:spacing w:line="280" w:lineRule="exact"/>
        <w:rPr>
          <w:lang w:val="en-CA"/>
        </w:rPr>
      </w:pPr>
      <w:r w:rsidRPr="00F5511E">
        <w:rPr>
          <w:lang w:val="en-CA"/>
        </w:rPr>
        <w:t xml:space="preserve">Another solution would be to limit the </w:t>
      </w:r>
      <w:r w:rsidR="00E42B15" w:rsidRPr="00F5511E">
        <w:rPr>
          <w:lang w:val="en-CA"/>
        </w:rPr>
        <w:t>application</w:t>
      </w:r>
      <w:r w:rsidRPr="00F5511E">
        <w:rPr>
          <w:lang w:val="en-CA"/>
        </w:rPr>
        <w:t xml:space="preserve"> of the sufficient certainty criterion to those claims concerning public </w:t>
      </w:r>
      <w:r w:rsidR="00E42B15">
        <w:rPr>
          <w:lang w:val="en-CA"/>
        </w:rPr>
        <w:t>duties</w:t>
      </w:r>
      <w:r w:rsidRPr="00F5511E">
        <w:rPr>
          <w:lang w:val="en-CA"/>
        </w:rPr>
        <w:t>.</w:t>
      </w:r>
      <w:r w:rsidR="00B363F2" w:rsidRPr="00F5511E">
        <w:rPr>
          <w:lang w:val="en-CA"/>
        </w:rPr>
        <w:t xml:space="preserve"> </w:t>
      </w:r>
      <w:r w:rsidRPr="00F5511E">
        <w:rPr>
          <w:lang w:val="en-CA"/>
        </w:rPr>
        <w:t xml:space="preserve">There are public interest reasons that could justify not </w:t>
      </w:r>
      <w:r w:rsidR="00E42B15" w:rsidRPr="00F5511E">
        <w:rPr>
          <w:lang w:val="en-CA"/>
        </w:rPr>
        <w:t>releasing</w:t>
      </w:r>
      <w:r w:rsidRPr="00F5511E">
        <w:rPr>
          <w:lang w:val="en-CA"/>
        </w:rPr>
        <w:t xml:space="preserve"> debtor</w:t>
      </w:r>
      <w:r w:rsidR="00613F63">
        <w:rPr>
          <w:lang w:val="en-CA"/>
        </w:rPr>
        <w:t>s</w:t>
      </w:r>
      <w:r w:rsidRPr="00F5511E">
        <w:rPr>
          <w:lang w:val="en-CA"/>
        </w:rPr>
        <w:t xml:space="preserve"> from </w:t>
      </w:r>
      <w:r w:rsidR="00613F63">
        <w:rPr>
          <w:lang w:val="en-CA"/>
        </w:rPr>
        <w:t xml:space="preserve">their </w:t>
      </w:r>
      <w:r w:rsidRPr="00F5511E">
        <w:rPr>
          <w:lang w:val="en-CA"/>
        </w:rPr>
        <w:t>environmental obligations.</w:t>
      </w:r>
      <w:r w:rsidR="00B363F2" w:rsidRPr="00F5511E">
        <w:rPr>
          <w:lang w:val="en-CA"/>
        </w:rPr>
        <w:t xml:space="preserve"> </w:t>
      </w:r>
      <w:r w:rsidRPr="00F5511E">
        <w:rPr>
          <w:lang w:val="en-CA"/>
        </w:rPr>
        <w:t xml:space="preserve">In </w:t>
      </w:r>
      <w:r w:rsidRPr="00F5511E">
        <w:rPr>
          <w:i/>
          <w:lang w:val="en-CA"/>
        </w:rPr>
        <w:t>Orphan Well</w:t>
      </w:r>
      <w:r w:rsidRPr="00F5511E">
        <w:rPr>
          <w:lang w:val="en-CA"/>
        </w:rPr>
        <w:t>, Wagner</w:t>
      </w:r>
      <w:r w:rsidR="00931926">
        <w:rPr>
          <w:lang w:val="en-CA"/>
        </w:rPr>
        <w:t>,</w:t>
      </w:r>
      <w:r w:rsidRPr="00F5511E">
        <w:rPr>
          <w:lang w:val="en-CA"/>
        </w:rPr>
        <w:t xml:space="preserve"> J. clearly </w:t>
      </w:r>
      <w:r w:rsidR="00931926">
        <w:rPr>
          <w:lang w:val="en-CA"/>
        </w:rPr>
        <w:t xml:space="preserve">said </w:t>
      </w:r>
      <w:r w:rsidRPr="00F5511E">
        <w:rPr>
          <w:lang w:val="en-CA"/>
        </w:rPr>
        <w:t xml:space="preserve">so: the debtor must not be released from his </w:t>
      </w:r>
      <w:r w:rsidR="00F51058">
        <w:rPr>
          <w:lang w:val="en-CA"/>
        </w:rPr>
        <w:t xml:space="preserve">or her </w:t>
      </w:r>
      <w:r w:rsidRPr="00F5511E">
        <w:rPr>
          <w:lang w:val="en-CA"/>
        </w:rPr>
        <w:t xml:space="preserve">environmental </w:t>
      </w:r>
      <w:r w:rsidR="00E42B15">
        <w:rPr>
          <w:lang w:val="en-CA"/>
        </w:rPr>
        <w:t>duty</w:t>
      </w:r>
      <w:r w:rsidRPr="00F5511E">
        <w:rPr>
          <w:lang w:val="en-CA"/>
        </w:rPr>
        <w:t xml:space="preserve"> because, if </w:t>
      </w:r>
      <w:r w:rsidR="00F51058">
        <w:rPr>
          <w:lang w:val="en-CA"/>
        </w:rPr>
        <w:t xml:space="preserve">the debtor </w:t>
      </w:r>
      <w:r w:rsidRPr="00F5511E">
        <w:rPr>
          <w:lang w:val="en-CA"/>
        </w:rPr>
        <w:t xml:space="preserve">is released, the obligation to clean the site falls on the </w:t>
      </w:r>
      <w:r w:rsidR="00F51058">
        <w:rPr>
          <w:lang w:val="en-CA"/>
        </w:rPr>
        <w:t>s</w:t>
      </w:r>
      <w:r w:rsidRPr="00F5511E">
        <w:rPr>
          <w:lang w:val="en-CA"/>
        </w:rPr>
        <w:t>tate, that is, on taxpayers.</w:t>
      </w:r>
      <w:r w:rsidR="00B363F2" w:rsidRPr="00F5511E">
        <w:rPr>
          <w:lang w:val="en-CA"/>
        </w:rPr>
        <w:t xml:space="preserve"> </w:t>
      </w:r>
      <w:r w:rsidR="00EA1BC8" w:rsidRPr="00EA1BC8">
        <w:rPr>
          <w:lang w:val="en-CA"/>
        </w:rPr>
        <w:t xml:space="preserve">Certainly, environmental </w:t>
      </w:r>
      <w:r w:rsidR="00E42B15">
        <w:rPr>
          <w:lang w:val="en-CA"/>
        </w:rPr>
        <w:t>duties</w:t>
      </w:r>
      <w:r w:rsidR="00EA1BC8" w:rsidRPr="00EA1BC8">
        <w:rPr>
          <w:lang w:val="en-CA"/>
        </w:rPr>
        <w:t xml:space="preserve"> are not part of </w:t>
      </w:r>
      <w:r w:rsidR="00E42B15" w:rsidRPr="00EA1BC8">
        <w:rPr>
          <w:lang w:val="en-CA"/>
        </w:rPr>
        <w:t>the</w:t>
      </w:r>
      <w:r w:rsidR="00EA1BC8" w:rsidRPr="00EA1BC8">
        <w:rPr>
          <w:lang w:val="en-CA"/>
        </w:rPr>
        <w:t xml:space="preserve"> exhaustive list of exceptions to the debtor's release set out under section 178(1) </w:t>
      </w:r>
      <w:r w:rsidR="00EA1BC8" w:rsidRPr="00E42B15">
        <w:rPr>
          <w:i/>
          <w:iCs/>
          <w:lang w:val="en-CA"/>
        </w:rPr>
        <w:t>BIA</w:t>
      </w:r>
      <w:r w:rsidR="00EA1BC8" w:rsidRPr="00EA1BC8">
        <w:rPr>
          <w:lang w:val="en-CA"/>
        </w:rPr>
        <w:t>, but they are of the same nature as the exceptions set out thereunder.</w:t>
      </w:r>
      <w:r w:rsidR="00B363F2" w:rsidRPr="00EA1BC8">
        <w:rPr>
          <w:lang w:val="en-CA"/>
        </w:rPr>
        <w:t xml:space="preserve"> </w:t>
      </w:r>
      <w:r w:rsidR="00EA1BC8" w:rsidRPr="00EA1BC8">
        <w:rPr>
          <w:lang w:val="en-CA"/>
        </w:rPr>
        <w:t xml:space="preserve">The only way not to release the debtor from this obligation </w:t>
      </w:r>
      <w:r w:rsidR="00950B90" w:rsidRPr="00D44364">
        <w:rPr>
          <w:lang w:val="en-CA"/>
        </w:rPr>
        <w:t xml:space="preserve">was to conclude that it was </w:t>
      </w:r>
      <w:r w:rsidR="00EA1BC8" w:rsidRPr="00EA1BC8">
        <w:rPr>
          <w:lang w:val="en-CA"/>
        </w:rPr>
        <w:t xml:space="preserve">not a provable claim within the meaning of section 121 </w:t>
      </w:r>
      <w:r w:rsidR="00EA1BC8" w:rsidRPr="00E42B15">
        <w:rPr>
          <w:i/>
          <w:iCs/>
          <w:lang w:val="en-CA"/>
        </w:rPr>
        <w:t>BIA</w:t>
      </w:r>
      <w:r w:rsidR="00EA1BC8" w:rsidRPr="00EA1BC8">
        <w:rPr>
          <w:lang w:val="en-CA"/>
        </w:rPr>
        <w:t>.</w:t>
      </w:r>
      <w:r w:rsidR="00B363F2" w:rsidRPr="00EA1BC8">
        <w:rPr>
          <w:lang w:val="en-CA"/>
        </w:rPr>
        <w:t xml:space="preserve"> </w:t>
      </w:r>
      <w:r w:rsidR="00EA1BC8" w:rsidRPr="00EA1BC8">
        <w:rPr>
          <w:lang w:val="en-CA"/>
        </w:rPr>
        <w:t>The same observation applies to disciplinary proceedings.</w:t>
      </w:r>
      <w:r w:rsidR="00EA1BC8">
        <w:rPr>
          <w:vertAlign w:val="superscript"/>
        </w:rPr>
        <w:footnoteReference w:id="33"/>
      </w:r>
    </w:p>
    <w:p w14:paraId="5C05197B" w14:textId="4D2E2B33" w:rsidR="00120640" w:rsidRPr="00EA1BC8" w:rsidRDefault="00EA1BC8" w:rsidP="00120640">
      <w:pPr>
        <w:pStyle w:val="Paragraphe"/>
        <w:spacing w:line="280" w:lineRule="exact"/>
        <w:rPr>
          <w:lang w:val="en-CA"/>
        </w:rPr>
      </w:pPr>
      <w:r w:rsidRPr="00EA1BC8">
        <w:rPr>
          <w:color w:val="000000"/>
          <w:lang w:val="en-CA"/>
        </w:rPr>
        <w:t>The distinction between public duties and purely private duties is well known.</w:t>
      </w:r>
      <w:r w:rsidR="00B363F2" w:rsidRPr="00EA1BC8">
        <w:rPr>
          <w:color w:val="000000"/>
          <w:lang w:val="en-CA"/>
        </w:rPr>
        <w:t xml:space="preserve"> </w:t>
      </w:r>
      <w:r w:rsidRPr="00EA1BC8">
        <w:rPr>
          <w:lang w:val="en-CA"/>
        </w:rPr>
        <w:t xml:space="preserve">In </w:t>
      </w:r>
      <w:r w:rsidRPr="00EA1BC8">
        <w:rPr>
          <w:i/>
          <w:lang w:val="en-CA"/>
        </w:rPr>
        <w:t>AbitibiBowater</w:t>
      </w:r>
      <w:r w:rsidRPr="00EA1BC8">
        <w:rPr>
          <w:lang w:val="en-CA"/>
        </w:rPr>
        <w:t>, McLachlin</w:t>
      </w:r>
      <w:r w:rsidR="0099187F">
        <w:rPr>
          <w:lang w:val="en-CA"/>
        </w:rPr>
        <w:t>,</w:t>
      </w:r>
      <w:r w:rsidRPr="00EA1BC8">
        <w:rPr>
          <w:lang w:val="en-CA"/>
        </w:rPr>
        <w:t xml:space="preserve"> J., dissenting, characterized the environmental </w:t>
      </w:r>
      <w:r w:rsidR="003C276D" w:rsidRPr="00EA1BC8">
        <w:rPr>
          <w:lang w:val="en-CA"/>
        </w:rPr>
        <w:t>obligations</w:t>
      </w:r>
      <w:r w:rsidRPr="00EA1BC8">
        <w:rPr>
          <w:lang w:val="en-CA"/>
        </w:rPr>
        <w:t xml:space="preserve"> as duties to protect the public and made </w:t>
      </w:r>
      <w:r w:rsidR="003C276D">
        <w:rPr>
          <w:lang w:val="en-CA"/>
        </w:rPr>
        <w:t>“</w:t>
      </w:r>
      <w:r w:rsidRPr="00EA1BC8">
        <w:rPr>
          <w:lang w:val="en-CA"/>
        </w:rPr>
        <w:t>[t]he distinction between regulatory obligations under the general law aimed at the protection of the public and monetary claims that can be compromised in CCAA restructuring or bankruptcy</w:t>
      </w:r>
      <w:r w:rsidR="003C276D">
        <w:rPr>
          <w:lang w:val="en-CA"/>
        </w:rPr>
        <w:t>”</w:t>
      </w:r>
      <w:r w:rsidRPr="00EA1BC8">
        <w:rPr>
          <w:lang w:val="en-CA"/>
        </w:rPr>
        <w:t>.</w:t>
      </w:r>
      <w:r>
        <w:rPr>
          <w:vertAlign w:val="superscript"/>
        </w:rPr>
        <w:footnoteReference w:id="34"/>
      </w:r>
      <w:r w:rsidR="00B363F2" w:rsidRPr="00EA1BC8">
        <w:rPr>
          <w:lang w:val="en-CA"/>
        </w:rPr>
        <w:t xml:space="preserve"> </w:t>
      </w:r>
      <w:r w:rsidRPr="00EA1BC8">
        <w:rPr>
          <w:lang w:val="en-CA"/>
        </w:rPr>
        <w:t xml:space="preserve">It is clear that the claim for latent defects is a </w:t>
      </w:r>
      <w:r w:rsidR="003C276D">
        <w:rPr>
          <w:lang w:val="en-CA"/>
        </w:rPr>
        <w:t>financial</w:t>
      </w:r>
      <w:r w:rsidRPr="00EA1BC8">
        <w:rPr>
          <w:lang w:val="en-CA"/>
        </w:rPr>
        <w:t xml:space="preserve"> claim that does not concern the protection of the public.</w:t>
      </w:r>
      <w:r w:rsidR="00B363F2" w:rsidRPr="00EA1BC8">
        <w:rPr>
          <w:lang w:val="en-CA"/>
        </w:rPr>
        <w:t xml:space="preserve"> </w:t>
      </w:r>
      <w:r w:rsidRPr="00EA1BC8">
        <w:rPr>
          <w:lang w:val="en-CA"/>
        </w:rPr>
        <w:t xml:space="preserve">It is not of the same nature as those exceptions set out in section 178(1) </w:t>
      </w:r>
      <w:r w:rsidRPr="003C276D">
        <w:rPr>
          <w:i/>
          <w:iCs/>
          <w:lang w:val="en-CA"/>
        </w:rPr>
        <w:t>BIA</w:t>
      </w:r>
      <w:r w:rsidRPr="00EA1BC8">
        <w:rPr>
          <w:lang w:val="en-CA"/>
        </w:rPr>
        <w:t>.</w:t>
      </w:r>
      <w:r w:rsidR="00B363F2" w:rsidRPr="00EA1BC8">
        <w:rPr>
          <w:lang w:val="en-CA"/>
        </w:rPr>
        <w:t xml:space="preserve"> </w:t>
      </w:r>
      <w:r w:rsidRPr="00EA1BC8">
        <w:rPr>
          <w:lang w:val="en-CA"/>
        </w:rPr>
        <w:t xml:space="preserve">These exceptions concern debts for which there is a certain collective interest </w:t>
      </w:r>
      <w:r w:rsidR="003C276D">
        <w:rPr>
          <w:lang w:val="en-CA"/>
        </w:rPr>
        <w:t>that justifies</w:t>
      </w:r>
      <w:r w:rsidRPr="00EA1BC8">
        <w:rPr>
          <w:lang w:val="en-CA"/>
        </w:rPr>
        <w:t xml:space="preserve"> not releasing the debtor.</w:t>
      </w:r>
      <w:r w:rsidR="00B363F2" w:rsidRPr="00EA1BC8">
        <w:rPr>
          <w:lang w:val="en-CA"/>
        </w:rPr>
        <w:t xml:space="preserve"> </w:t>
      </w:r>
      <w:r w:rsidRPr="00EA1BC8">
        <w:rPr>
          <w:lang w:val="en-CA"/>
        </w:rPr>
        <w:t>Such collective interest does not exist in the context of an obligation of quality covering private property.</w:t>
      </w:r>
    </w:p>
    <w:p w14:paraId="4AAF6996" w14:textId="09B3AD0F" w:rsidR="00120640" w:rsidRPr="00EA1BC8" w:rsidRDefault="00EA1BC8" w:rsidP="00120640">
      <w:pPr>
        <w:pStyle w:val="Paragraphe"/>
        <w:spacing w:line="280" w:lineRule="exact"/>
        <w:rPr>
          <w:lang w:val="en-CA"/>
        </w:rPr>
      </w:pPr>
      <w:r w:rsidRPr="00EA1BC8">
        <w:rPr>
          <w:lang w:val="en-CA"/>
        </w:rPr>
        <w:t xml:space="preserve">In my view, limiting the application of the sufficient </w:t>
      </w:r>
      <w:r w:rsidR="003C276D" w:rsidRPr="00EA1BC8">
        <w:rPr>
          <w:lang w:val="en-CA"/>
        </w:rPr>
        <w:t>certainty</w:t>
      </w:r>
      <w:r w:rsidRPr="00EA1BC8">
        <w:rPr>
          <w:lang w:val="en-CA"/>
        </w:rPr>
        <w:t xml:space="preserve"> criterion to public duties would be a good solution.</w:t>
      </w:r>
      <w:r w:rsidR="00B363F2" w:rsidRPr="00EA1BC8">
        <w:rPr>
          <w:lang w:val="en-CA"/>
        </w:rPr>
        <w:t xml:space="preserve"> </w:t>
      </w:r>
      <w:r w:rsidRPr="00EA1BC8">
        <w:rPr>
          <w:lang w:val="en-CA"/>
        </w:rPr>
        <w:t xml:space="preserve">If that is the case, any claim against </w:t>
      </w:r>
      <w:r w:rsidR="00882281">
        <w:rPr>
          <w:lang w:val="en-CA"/>
        </w:rPr>
        <w:t xml:space="preserve">a </w:t>
      </w:r>
      <w:r w:rsidRPr="00EA1BC8">
        <w:rPr>
          <w:lang w:val="en-CA"/>
        </w:rPr>
        <w:t xml:space="preserve">debtor </w:t>
      </w:r>
      <w:r w:rsidR="003C276D" w:rsidRPr="00EA1BC8">
        <w:rPr>
          <w:lang w:val="en-CA"/>
        </w:rPr>
        <w:t>based</w:t>
      </w:r>
      <w:r w:rsidRPr="00EA1BC8">
        <w:rPr>
          <w:lang w:val="en-CA"/>
        </w:rPr>
        <w:t xml:space="preserve"> on an obligation of quality </w:t>
      </w:r>
      <w:r w:rsidR="003C276D" w:rsidRPr="00EA1BC8">
        <w:rPr>
          <w:lang w:val="en-CA"/>
        </w:rPr>
        <w:t>for latent</w:t>
      </w:r>
      <w:r w:rsidRPr="00EA1BC8">
        <w:rPr>
          <w:lang w:val="en-CA"/>
        </w:rPr>
        <w:t xml:space="preserve"> defects </w:t>
      </w:r>
      <w:r w:rsidR="00757E63">
        <w:rPr>
          <w:lang w:val="en-CA"/>
        </w:rPr>
        <w:t>incurred</w:t>
      </w:r>
      <w:r w:rsidR="00757E63" w:rsidRPr="00EA1BC8">
        <w:rPr>
          <w:lang w:val="en-CA"/>
        </w:rPr>
        <w:t xml:space="preserve"> </w:t>
      </w:r>
      <w:r w:rsidRPr="00EA1BC8">
        <w:rPr>
          <w:lang w:val="en-CA"/>
        </w:rPr>
        <w:t xml:space="preserve">before </w:t>
      </w:r>
      <w:r w:rsidR="00882281">
        <w:rPr>
          <w:lang w:val="en-CA"/>
        </w:rPr>
        <w:t xml:space="preserve">the </w:t>
      </w:r>
      <w:r w:rsidRPr="00EA1BC8">
        <w:rPr>
          <w:lang w:val="en-CA"/>
        </w:rPr>
        <w:t xml:space="preserve">proposal or bankruptcy should be characterized as </w:t>
      </w:r>
      <w:r w:rsidR="00CE77BB">
        <w:rPr>
          <w:lang w:val="en-CA"/>
        </w:rPr>
        <w:t xml:space="preserve">a </w:t>
      </w:r>
      <w:r w:rsidR="003C276D">
        <w:rPr>
          <w:lang w:val="en-CA"/>
        </w:rPr>
        <w:t>“</w:t>
      </w:r>
      <w:r w:rsidRPr="00EA1BC8">
        <w:rPr>
          <w:lang w:val="en-CA"/>
        </w:rPr>
        <w:t>provable</w:t>
      </w:r>
      <w:r w:rsidR="00640514">
        <w:rPr>
          <w:lang w:val="en-CA"/>
        </w:rPr>
        <w:t xml:space="preserve"> claim</w:t>
      </w:r>
      <w:r w:rsidR="003C276D">
        <w:rPr>
          <w:lang w:val="en-CA"/>
        </w:rPr>
        <w:t>”</w:t>
      </w:r>
      <w:r w:rsidRPr="00EA1BC8">
        <w:rPr>
          <w:lang w:val="en-CA"/>
        </w:rPr>
        <w:t xml:space="preserve"> and the debtor should be released</w:t>
      </w:r>
      <w:r w:rsidR="00882281">
        <w:rPr>
          <w:lang w:val="en-CA"/>
        </w:rPr>
        <w:t xml:space="preserve"> therefrom</w:t>
      </w:r>
      <w:r w:rsidRPr="00EA1BC8">
        <w:rPr>
          <w:lang w:val="en-CA"/>
        </w:rPr>
        <w:t xml:space="preserve">, even if the defect had not yet appeared on the date of </w:t>
      </w:r>
      <w:r w:rsidR="003C276D" w:rsidRPr="00EA1BC8">
        <w:rPr>
          <w:lang w:val="en-CA"/>
        </w:rPr>
        <w:t>the</w:t>
      </w:r>
      <w:r w:rsidRPr="00EA1BC8">
        <w:rPr>
          <w:lang w:val="en-CA"/>
        </w:rPr>
        <w:t xml:space="preserve"> bankruptcy or proposal.</w:t>
      </w:r>
      <w:r w:rsidR="00B363F2" w:rsidRPr="00EA1BC8">
        <w:rPr>
          <w:lang w:val="en-CA"/>
        </w:rPr>
        <w:t xml:space="preserve"> </w:t>
      </w:r>
      <w:r w:rsidRPr="00EA1BC8">
        <w:rPr>
          <w:lang w:val="en-CA"/>
        </w:rPr>
        <w:t xml:space="preserve">This solution appears more consistent with the teachings of the Supreme Court that the expression </w:t>
      </w:r>
      <w:r w:rsidR="003C276D">
        <w:rPr>
          <w:lang w:val="en-CA"/>
        </w:rPr>
        <w:t>“</w:t>
      </w:r>
      <w:r w:rsidRPr="00EA1BC8">
        <w:rPr>
          <w:lang w:val="en-CA"/>
        </w:rPr>
        <w:t>provable</w:t>
      </w:r>
      <w:r w:rsidR="009A41DE">
        <w:rPr>
          <w:lang w:val="en-CA"/>
        </w:rPr>
        <w:t xml:space="preserve"> claims</w:t>
      </w:r>
      <w:r w:rsidR="003C276D">
        <w:rPr>
          <w:lang w:val="en-CA"/>
        </w:rPr>
        <w:t>”</w:t>
      </w:r>
      <w:r w:rsidRPr="00EA1BC8">
        <w:rPr>
          <w:lang w:val="en-CA"/>
        </w:rPr>
        <w:t xml:space="preserve"> must receive a broad interpretation due to the fundamental objective of the </w:t>
      </w:r>
      <w:r w:rsidRPr="003C276D">
        <w:rPr>
          <w:i/>
          <w:iCs/>
          <w:lang w:val="en-CA"/>
        </w:rPr>
        <w:t>BIA</w:t>
      </w:r>
      <w:r w:rsidRPr="00EA1BC8">
        <w:rPr>
          <w:lang w:val="en-CA"/>
        </w:rPr>
        <w:t xml:space="preserve"> to favour the debtor's financial rehabilitation.</w:t>
      </w:r>
      <w:r w:rsidR="00B363F2" w:rsidRPr="00EA1BC8">
        <w:rPr>
          <w:lang w:val="en-CA"/>
        </w:rPr>
        <w:t xml:space="preserve"> </w:t>
      </w:r>
      <w:r w:rsidRPr="00EA1BC8">
        <w:rPr>
          <w:lang w:val="en-CA"/>
        </w:rPr>
        <w:t xml:space="preserve">Another </w:t>
      </w:r>
      <w:r w:rsidRPr="00EA1BC8">
        <w:rPr>
          <w:lang w:val="en-CA"/>
        </w:rPr>
        <w:lastRenderedPageBreak/>
        <w:t xml:space="preserve">advantage of this approach is that it makes no distinction between the buyers based on the date the latent defect was discovered and does not create a pernicious incentive for them to </w:t>
      </w:r>
      <w:r w:rsidR="003C276D">
        <w:rPr>
          <w:lang w:val="en-CA"/>
        </w:rPr>
        <w:t>“</w:t>
      </w:r>
      <w:r w:rsidRPr="00EA1BC8">
        <w:rPr>
          <w:lang w:val="en-CA"/>
        </w:rPr>
        <w:t>postpone</w:t>
      </w:r>
      <w:r w:rsidR="003C276D">
        <w:rPr>
          <w:lang w:val="en-CA"/>
        </w:rPr>
        <w:t>”</w:t>
      </w:r>
      <w:r w:rsidRPr="00EA1BC8">
        <w:rPr>
          <w:lang w:val="en-CA"/>
        </w:rPr>
        <w:t xml:space="preserve"> the discovery, thereby avoiding a problem caused by </w:t>
      </w:r>
      <w:r w:rsidR="003C276D" w:rsidRPr="00EA1BC8">
        <w:rPr>
          <w:lang w:val="en-CA"/>
        </w:rPr>
        <w:t>the</w:t>
      </w:r>
      <w:r w:rsidRPr="00EA1BC8">
        <w:rPr>
          <w:lang w:val="en-CA"/>
        </w:rPr>
        <w:t xml:space="preserve"> sufficient certainty criterion.</w:t>
      </w:r>
      <w:r>
        <w:rPr>
          <w:vertAlign w:val="superscript"/>
        </w:rPr>
        <w:footnoteReference w:id="35"/>
      </w:r>
      <w:r w:rsidR="00B363F2" w:rsidRPr="00EA1BC8">
        <w:rPr>
          <w:lang w:val="en-CA"/>
        </w:rPr>
        <w:t xml:space="preserve"> </w:t>
      </w:r>
    </w:p>
    <w:p w14:paraId="46727A88" w14:textId="0C376835" w:rsidR="00120640" w:rsidRPr="00EA1BC8" w:rsidRDefault="00A07EB0" w:rsidP="00120640">
      <w:pPr>
        <w:pStyle w:val="Paragraphe"/>
        <w:spacing w:line="280" w:lineRule="exact"/>
        <w:rPr>
          <w:lang w:val="en-CA"/>
        </w:rPr>
      </w:pPr>
      <w:r>
        <w:rPr>
          <w:lang w:val="en-CA"/>
        </w:rPr>
        <w:t>T</w:t>
      </w:r>
      <w:r w:rsidR="00EA1BC8" w:rsidRPr="00EA1BC8">
        <w:rPr>
          <w:lang w:val="en-CA"/>
        </w:rPr>
        <w:t>he Supreme Court</w:t>
      </w:r>
      <w:r>
        <w:rPr>
          <w:lang w:val="en-CA"/>
        </w:rPr>
        <w:t>, however,</w:t>
      </w:r>
      <w:r w:rsidR="00EA1BC8" w:rsidRPr="00EA1BC8">
        <w:rPr>
          <w:lang w:val="en-CA"/>
        </w:rPr>
        <w:t xml:space="preserve"> adopted the criterion of sufficient certainty in </w:t>
      </w:r>
      <w:r w:rsidR="00EA1BC8" w:rsidRPr="00EA1BC8">
        <w:rPr>
          <w:i/>
          <w:lang w:val="en-CA"/>
        </w:rPr>
        <w:t>AbitibiBowater</w:t>
      </w:r>
      <w:r w:rsidR="00EA1BC8" w:rsidRPr="00EA1BC8">
        <w:rPr>
          <w:lang w:val="en-CA"/>
        </w:rPr>
        <w:t xml:space="preserve"> and </w:t>
      </w:r>
      <w:r w:rsidR="00EA1BC8" w:rsidRPr="00EA1BC8">
        <w:rPr>
          <w:i/>
          <w:lang w:val="en-CA"/>
        </w:rPr>
        <w:t>Orphan Well</w:t>
      </w:r>
      <w:r w:rsidR="00EA1BC8" w:rsidRPr="00EA1BC8">
        <w:rPr>
          <w:lang w:val="en-CA"/>
        </w:rPr>
        <w:t xml:space="preserve"> without adding that this criterion applies only to claims concerning public duties.</w:t>
      </w:r>
      <w:r w:rsidR="00B363F2" w:rsidRPr="00EA1BC8">
        <w:rPr>
          <w:lang w:val="en-CA"/>
        </w:rPr>
        <w:t xml:space="preserve"> </w:t>
      </w:r>
      <w:r w:rsidR="00EA1BC8">
        <w:rPr>
          <w:lang w:val="en-CA"/>
        </w:rPr>
        <w:t xml:space="preserve">It is up to </w:t>
      </w:r>
      <w:r w:rsidR="003C276D">
        <w:rPr>
          <w:lang w:val="en-CA"/>
        </w:rPr>
        <w:t>the</w:t>
      </w:r>
      <w:r w:rsidR="00EA1BC8">
        <w:rPr>
          <w:lang w:val="en-CA"/>
        </w:rPr>
        <w:t xml:space="preserve"> Supreme Court to establish the scope of </w:t>
      </w:r>
      <w:r w:rsidR="00D21F6B">
        <w:rPr>
          <w:lang w:val="en-CA"/>
        </w:rPr>
        <w:t xml:space="preserve">its </w:t>
      </w:r>
      <w:r w:rsidR="00EA1BC8">
        <w:rPr>
          <w:lang w:val="en-CA"/>
        </w:rPr>
        <w:t>judgments.</w:t>
      </w:r>
      <w:r w:rsidR="00B363F2" w:rsidRPr="00EA1BC8">
        <w:rPr>
          <w:lang w:val="en-CA"/>
        </w:rPr>
        <w:t xml:space="preserve"> </w:t>
      </w:r>
      <w:r w:rsidR="00EA1BC8">
        <w:rPr>
          <w:lang w:val="en-CA"/>
        </w:rPr>
        <w:t xml:space="preserve">Furthermore, other courts (including this </w:t>
      </w:r>
      <w:r w:rsidR="003C276D">
        <w:rPr>
          <w:lang w:val="en-CA"/>
        </w:rPr>
        <w:t>Court</w:t>
      </w:r>
      <w:r w:rsidR="00EA1BC8">
        <w:rPr>
          <w:lang w:val="en-CA"/>
        </w:rPr>
        <w:t xml:space="preserve">) </w:t>
      </w:r>
      <w:r w:rsidR="00DE6713">
        <w:rPr>
          <w:lang w:val="en-CA"/>
        </w:rPr>
        <w:t xml:space="preserve">have </w:t>
      </w:r>
      <w:r w:rsidR="00EA1BC8">
        <w:rPr>
          <w:lang w:val="en-CA"/>
        </w:rPr>
        <w:t>applied this criterion to other claims, in particular to disciplinary proceedings.</w:t>
      </w:r>
      <w:r w:rsidR="00B363F2" w:rsidRPr="00EA1BC8">
        <w:rPr>
          <w:lang w:val="en-CA"/>
        </w:rPr>
        <w:t xml:space="preserve"> </w:t>
      </w:r>
      <w:r w:rsidR="00EA1BC8" w:rsidRPr="00EA1BC8">
        <w:rPr>
          <w:lang w:val="en-CA"/>
        </w:rPr>
        <w:t>The Court also applied i</w:t>
      </w:r>
      <w:r w:rsidR="003C276D">
        <w:rPr>
          <w:lang w:val="en-CA"/>
        </w:rPr>
        <w:t>t</w:t>
      </w:r>
      <w:r w:rsidR="00EA1BC8" w:rsidRPr="00EA1BC8">
        <w:rPr>
          <w:lang w:val="en-CA"/>
        </w:rPr>
        <w:t xml:space="preserve"> in </w:t>
      </w:r>
      <w:r w:rsidR="00EA1BC8" w:rsidRPr="003C276D">
        <w:rPr>
          <w:i/>
          <w:iCs/>
          <w:lang w:val="en-CA"/>
        </w:rPr>
        <w:t>Axa Assurances</w:t>
      </w:r>
      <w:r w:rsidR="00EA1BC8" w:rsidRPr="00EA1BC8">
        <w:rPr>
          <w:lang w:val="en-CA"/>
        </w:rPr>
        <w:t>, a matter concerning latent defects.</w:t>
      </w:r>
      <w:r w:rsidR="00B363F2" w:rsidRPr="00EA1BC8">
        <w:rPr>
          <w:lang w:val="en-CA"/>
        </w:rPr>
        <w:t xml:space="preserve"> </w:t>
      </w:r>
      <w:r w:rsidR="00EA1BC8" w:rsidRPr="00EA1BC8">
        <w:rPr>
          <w:lang w:val="en-CA"/>
        </w:rPr>
        <w:t xml:space="preserve">In these circumstances, it </w:t>
      </w:r>
      <w:r w:rsidR="0041122B">
        <w:rPr>
          <w:lang w:val="en-CA"/>
        </w:rPr>
        <w:t>would be</w:t>
      </w:r>
      <w:r w:rsidR="00EA1BC8" w:rsidRPr="00EA1BC8">
        <w:rPr>
          <w:lang w:val="en-CA"/>
        </w:rPr>
        <w:t xml:space="preserve"> more cautious to leave the question open and to assume that the sufficient certainty criterion applies to </w:t>
      </w:r>
      <w:r w:rsidR="00523788">
        <w:rPr>
          <w:lang w:val="en-CA"/>
        </w:rPr>
        <w:t xml:space="preserve">the </w:t>
      </w:r>
      <w:r w:rsidR="00EA1BC8" w:rsidRPr="00EA1BC8">
        <w:rPr>
          <w:lang w:val="en-CA"/>
        </w:rPr>
        <w:t>case</w:t>
      </w:r>
      <w:r w:rsidR="00523788">
        <w:rPr>
          <w:lang w:val="en-CA"/>
        </w:rPr>
        <w:t xml:space="preserve"> at bar</w:t>
      </w:r>
      <w:r w:rsidR="00EA1BC8" w:rsidRPr="00EA1BC8">
        <w:rPr>
          <w:lang w:val="en-CA"/>
        </w:rPr>
        <w:t xml:space="preserve">, especially </w:t>
      </w:r>
      <w:r w:rsidR="0041122B">
        <w:rPr>
          <w:lang w:val="en-CA"/>
        </w:rPr>
        <w:t>because</w:t>
      </w:r>
      <w:r w:rsidR="00EA1BC8" w:rsidRPr="00EA1BC8">
        <w:rPr>
          <w:lang w:val="en-CA"/>
        </w:rPr>
        <w:t xml:space="preserve"> it is not necessary to decide th</w:t>
      </w:r>
      <w:r w:rsidR="003C276D">
        <w:rPr>
          <w:lang w:val="en-CA"/>
        </w:rPr>
        <w:t>at</w:t>
      </w:r>
      <w:r w:rsidR="00EA1BC8" w:rsidRPr="00EA1BC8">
        <w:rPr>
          <w:lang w:val="en-CA"/>
        </w:rPr>
        <w:t xml:space="preserve"> issue to decide this appeal. </w:t>
      </w:r>
    </w:p>
    <w:p w14:paraId="30D3817C" w14:textId="44A568C3" w:rsidR="00120640" w:rsidRPr="00EA1BC8" w:rsidRDefault="00C16740" w:rsidP="00B12768">
      <w:pPr>
        <w:spacing w:before="120" w:after="120"/>
        <w:ind w:left="1066" w:hanging="357"/>
        <w:jc w:val="both"/>
        <w:outlineLvl w:val="0"/>
        <w:rPr>
          <w:b/>
          <w:kern w:val="28"/>
          <w:lang w:val="en-CA"/>
        </w:rPr>
      </w:pPr>
      <w:r>
        <w:rPr>
          <w:b/>
          <w:kern w:val="28"/>
          <w:lang w:val="en-CA"/>
        </w:rPr>
        <w:t xml:space="preserve">Point in time for assessing </w:t>
      </w:r>
      <w:r w:rsidR="00EA1BC8" w:rsidRPr="00EA1BC8">
        <w:rPr>
          <w:b/>
          <w:kern w:val="28"/>
          <w:lang w:val="en-CA"/>
        </w:rPr>
        <w:t xml:space="preserve">sufficient certainty </w:t>
      </w:r>
    </w:p>
    <w:p w14:paraId="3D1B2FDD" w14:textId="4B349F03" w:rsidR="00120640" w:rsidRPr="00EA1BC8" w:rsidRDefault="00EA1BC8" w:rsidP="00B12768">
      <w:pPr>
        <w:pStyle w:val="Paragraphe"/>
        <w:spacing w:line="280" w:lineRule="exact"/>
        <w:rPr>
          <w:lang w:val="en-CA"/>
        </w:rPr>
      </w:pPr>
      <w:r w:rsidRPr="00EA1BC8">
        <w:rPr>
          <w:lang w:val="en-CA"/>
        </w:rPr>
        <w:t xml:space="preserve">In principle, the </w:t>
      </w:r>
      <w:r w:rsidR="008A4289">
        <w:rPr>
          <w:lang w:val="en-CA"/>
        </w:rPr>
        <w:t>t</w:t>
      </w:r>
      <w:r w:rsidRPr="00EA1BC8">
        <w:rPr>
          <w:lang w:val="en-CA"/>
        </w:rPr>
        <w:t>rustee (o</w:t>
      </w:r>
      <w:r w:rsidR="00C930F7">
        <w:rPr>
          <w:lang w:val="en-CA"/>
        </w:rPr>
        <w:t>r</w:t>
      </w:r>
      <w:r w:rsidRPr="00EA1BC8">
        <w:rPr>
          <w:lang w:val="en-CA"/>
        </w:rPr>
        <w:t xml:space="preserve">, on appeal, the </w:t>
      </w:r>
      <w:r w:rsidR="00C930F7">
        <w:rPr>
          <w:lang w:val="en-CA"/>
        </w:rPr>
        <w:t>c</w:t>
      </w:r>
      <w:r w:rsidRPr="00EA1BC8">
        <w:rPr>
          <w:lang w:val="en-CA"/>
        </w:rPr>
        <w:t xml:space="preserve">ourt) </w:t>
      </w:r>
      <w:r w:rsidR="008A4289">
        <w:rPr>
          <w:lang w:val="en-CA"/>
        </w:rPr>
        <w:t xml:space="preserve">characterizes </w:t>
      </w:r>
      <w:r w:rsidRPr="00EA1BC8">
        <w:rPr>
          <w:lang w:val="en-CA"/>
        </w:rPr>
        <w:t xml:space="preserve">a claim as provable or not and </w:t>
      </w:r>
      <w:r w:rsidR="00C930F7">
        <w:rPr>
          <w:lang w:val="en-CA"/>
        </w:rPr>
        <w:t>values</w:t>
      </w:r>
      <w:r w:rsidRPr="00EA1BC8">
        <w:rPr>
          <w:lang w:val="en-CA"/>
        </w:rPr>
        <w:t xml:space="preserve"> it as of the date of the bankruptcy or proposal when </w:t>
      </w:r>
      <w:r w:rsidR="00800AFD">
        <w:rPr>
          <w:lang w:val="en-CA"/>
        </w:rPr>
        <w:t>it examines</w:t>
      </w:r>
      <w:r w:rsidR="00071D5E" w:rsidRPr="00EA1BC8">
        <w:rPr>
          <w:lang w:val="en-CA"/>
        </w:rPr>
        <w:t xml:space="preserve"> </w:t>
      </w:r>
      <w:r w:rsidRPr="00EA1BC8">
        <w:rPr>
          <w:lang w:val="en-CA"/>
        </w:rPr>
        <w:t>the proofs of claim filed by the creditors.</w:t>
      </w:r>
      <w:r w:rsidR="00B363F2" w:rsidRPr="00EA1BC8">
        <w:rPr>
          <w:lang w:val="en-CA"/>
        </w:rPr>
        <w:t xml:space="preserve"> </w:t>
      </w:r>
      <w:r w:rsidRPr="00EA1BC8">
        <w:rPr>
          <w:lang w:val="en-CA"/>
        </w:rPr>
        <w:t>Sufficient certainty is therefore assessed at this moment.</w:t>
      </w:r>
      <w:r w:rsidR="00B363F2" w:rsidRPr="00EA1BC8">
        <w:rPr>
          <w:lang w:val="en-CA"/>
        </w:rPr>
        <w:t xml:space="preserve"> </w:t>
      </w:r>
      <w:r w:rsidRPr="00EA1BC8">
        <w:rPr>
          <w:lang w:val="en-CA"/>
        </w:rPr>
        <w:t xml:space="preserve">Indeed, if the </w:t>
      </w:r>
      <w:r w:rsidR="00753860">
        <w:rPr>
          <w:lang w:val="en-CA"/>
        </w:rPr>
        <w:t>Respondent</w:t>
      </w:r>
      <w:r w:rsidRPr="00EA1BC8">
        <w:rPr>
          <w:lang w:val="en-CA"/>
        </w:rPr>
        <w:t xml:space="preserve">s had filed a proof of claim in </w:t>
      </w:r>
      <w:r w:rsidR="00523788">
        <w:rPr>
          <w:lang w:val="en-CA"/>
        </w:rPr>
        <w:t xml:space="preserve">the present matter </w:t>
      </w:r>
      <w:r w:rsidRPr="00EA1BC8">
        <w:rPr>
          <w:lang w:val="en-CA"/>
        </w:rPr>
        <w:t xml:space="preserve">at the time of the proposal in 2013, the </w:t>
      </w:r>
      <w:r w:rsidR="008F5707">
        <w:rPr>
          <w:lang w:val="en-CA"/>
        </w:rPr>
        <w:t>T</w:t>
      </w:r>
      <w:r w:rsidRPr="00EA1BC8">
        <w:rPr>
          <w:lang w:val="en-CA"/>
        </w:rPr>
        <w:t>rustee would have had to assess the certainty based on the information available at that time.</w:t>
      </w:r>
      <w:r w:rsidR="00B363F2" w:rsidRPr="00EA1BC8">
        <w:rPr>
          <w:lang w:val="en-CA"/>
        </w:rPr>
        <w:t xml:space="preserve"> </w:t>
      </w:r>
      <w:bookmarkStart w:id="9" w:name="_Hlk128991772"/>
      <w:r w:rsidRPr="00EA1BC8">
        <w:rPr>
          <w:lang w:val="en-CA"/>
        </w:rPr>
        <w:t>Because no defect had yet appeared</w:t>
      </w:r>
      <w:r w:rsidR="00071D5E">
        <w:rPr>
          <w:lang w:val="en-CA"/>
        </w:rPr>
        <w:t xml:space="preserve"> at the time</w:t>
      </w:r>
      <w:r w:rsidRPr="00EA1BC8">
        <w:rPr>
          <w:lang w:val="en-CA"/>
        </w:rPr>
        <w:t xml:space="preserve">, the </w:t>
      </w:r>
      <w:r w:rsidR="008F5707">
        <w:rPr>
          <w:lang w:val="en-CA"/>
        </w:rPr>
        <w:t>T</w:t>
      </w:r>
      <w:r w:rsidRPr="00EA1BC8">
        <w:rPr>
          <w:lang w:val="en-CA"/>
        </w:rPr>
        <w:t xml:space="preserve">rustee would have </w:t>
      </w:r>
      <w:r w:rsidR="0041122B">
        <w:rPr>
          <w:lang w:val="en-CA"/>
        </w:rPr>
        <w:t>likely</w:t>
      </w:r>
      <w:r w:rsidRPr="00EA1BC8">
        <w:rPr>
          <w:lang w:val="en-CA"/>
        </w:rPr>
        <w:t xml:space="preserve"> rejected the proof of claim as insufficiently certain.</w:t>
      </w:r>
      <w:r w:rsidR="00B363F2" w:rsidRPr="00EA1BC8">
        <w:rPr>
          <w:lang w:val="en-CA"/>
        </w:rPr>
        <w:t xml:space="preserve"> </w:t>
      </w:r>
      <w:bookmarkEnd w:id="9"/>
      <w:r w:rsidRPr="00EA1BC8">
        <w:rPr>
          <w:lang w:val="en-CA"/>
        </w:rPr>
        <w:t xml:space="preserve">However, the </w:t>
      </w:r>
      <w:r w:rsidR="0041122B">
        <w:rPr>
          <w:lang w:val="en-CA"/>
        </w:rPr>
        <w:t>T</w:t>
      </w:r>
      <w:r w:rsidRPr="00EA1BC8">
        <w:rPr>
          <w:lang w:val="en-CA"/>
        </w:rPr>
        <w:t xml:space="preserve">rustee did not have to </w:t>
      </w:r>
      <w:r w:rsidR="00800AFD">
        <w:rPr>
          <w:lang w:val="en-CA"/>
        </w:rPr>
        <w:t>perform</w:t>
      </w:r>
      <w:r w:rsidR="00800AFD" w:rsidRPr="00EA1BC8">
        <w:rPr>
          <w:lang w:val="en-CA"/>
        </w:rPr>
        <w:t xml:space="preserve"> </w:t>
      </w:r>
      <w:r w:rsidRPr="00EA1BC8">
        <w:rPr>
          <w:lang w:val="en-CA"/>
        </w:rPr>
        <w:t>this exercise because no proof of claim was filed.</w:t>
      </w:r>
    </w:p>
    <w:p w14:paraId="57080581" w14:textId="70963CE5" w:rsidR="00120640" w:rsidRPr="00EA1BC8" w:rsidRDefault="00EA1BC8" w:rsidP="00120640">
      <w:pPr>
        <w:pStyle w:val="Paragraphe"/>
        <w:spacing w:line="280" w:lineRule="exact"/>
        <w:rPr>
          <w:lang w:val="en-CA"/>
        </w:rPr>
      </w:pPr>
      <w:r w:rsidRPr="00EA1BC8">
        <w:rPr>
          <w:lang w:val="en-CA"/>
        </w:rPr>
        <w:t xml:space="preserve">The question therefore surfaced for the first time in </w:t>
      </w:r>
      <w:r w:rsidR="00523788">
        <w:rPr>
          <w:lang w:val="en-CA"/>
        </w:rPr>
        <w:t xml:space="preserve">the </w:t>
      </w:r>
      <w:r w:rsidR="00BB5AD6">
        <w:rPr>
          <w:lang w:val="en-CA"/>
        </w:rPr>
        <w:t xml:space="preserve">case </w:t>
      </w:r>
      <w:r w:rsidR="00523788">
        <w:rPr>
          <w:lang w:val="en-CA"/>
        </w:rPr>
        <w:t xml:space="preserve">at bar </w:t>
      </w:r>
      <w:r w:rsidRPr="00EA1BC8">
        <w:rPr>
          <w:lang w:val="en-CA"/>
        </w:rPr>
        <w:t xml:space="preserve">when the </w:t>
      </w:r>
      <w:r w:rsidR="00753860">
        <w:rPr>
          <w:lang w:val="en-CA"/>
        </w:rPr>
        <w:t>Respondent</w:t>
      </w:r>
      <w:r w:rsidRPr="00EA1BC8">
        <w:rPr>
          <w:lang w:val="en-CA"/>
        </w:rPr>
        <w:t xml:space="preserve">s sued the </w:t>
      </w:r>
      <w:r w:rsidR="0055589F">
        <w:rPr>
          <w:lang w:val="en-CA"/>
        </w:rPr>
        <w:t>Appellant</w:t>
      </w:r>
      <w:r w:rsidRPr="00EA1BC8">
        <w:rPr>
          <w:lang w:val="en-CA"/>
        </w:rPr>
        <w:t>s in 2019.</w:t>
      </w:r>
      <w:r w:rsidR="00B363F2" w:rsidRPr="00EA1BC8">
        <w:rPr>
          <w:lang w:val="en-CA"/>
        </w:rPr>
        <w:t xml:space="preserve"> </w:t>
      </w:r>
      <w:r w:rsidRPr="00EA1BC8">
        <w:rPr>
          <w:lang w:val="en-CA"/>
        </w:rPr>
        <w:t xml:space="preserve">The claim must still be </w:t>
      </w:r>
      <w:r w:rsidR="0041122B">
        <w:rPr>
          <w:lang w:val="en-CA"/>
        </w:rPr>
        <w:t>valued</w:t>
      </w:r>
      <w:r w:rsidRPr="00EA1BC8">
        <w:rPr>
          <w:lang w:val="en-CA"/>
        </w:rPr>
        <w:t xml:space="preserve"> on the date of the proposal in 2013, but the question is whether</w:t>
      </w:r>
      <w:r w:rsidR="00147A1E">
        <w:rPr>
          <w:lang w:val="en-CA"/>
        </w:rPr>
        <w:t>, in valuing the claim,</w:t>
      </w:r>
      <w:r w:rsidRPr="00EA1BC8">
        <w:rPr>
          <w:lang w:val="en-CA"/>
        </w:rPr>
        <w:t xml:space="preserve"> the </w:t>
      </w:r>
      <w:r w:rsidR="0041122B">
        <w:rPr>
          <w:lang w:val="en-CA"/>
        </w:rPr>
        <w:t>C</w:t>
      </w:r>
      <w:r w:rsidRPr="00EA1BC8">
        <w:rPr>
          <w:lang w:val="en-CA"/>
        </w:rPr>
        <w:t>ourt must limit itself to the information available in 2013</w:t>
      </w:r>
      <w:r w:rsidR="00D45D25">
        <w:rPr>
          <w:lang w:val="en-CA"/>
        </w:rPr>
        <w:t>,</w:t>
      </w:r>
      <w:r w:rsidRPr="00EA1BC8">
        <w:rPr>
          <w:lang w:val="en-CA"/>
        </w:rPr>
        <w:t xml:space="preserve"> or </w:t>
      </w:r>
      <w:r w:rsidR="00147A1E">
        <w:rPr>
          <w:lang w:val="en-CA"/>
        </w:rPr>
        <w:t>whether</w:t>
      </w:r>
      <w:r w:rsidRPr="00EA1BC8">
        <w:rPr>
          <w:lang w:val="en-CA"/>
        </w:rPr>
        <w:t xml:space="preserve"> it can take into consideration the information available in 2019.</w:t>
      </w:r>
      <w:r w:rsidR="00B363F2" w:rsidRPr="00EA1BC8">
        <w:rPr>
          <w:lang w:val="en-CA"/>
        </w:rPr>
        <w:t xml:space="preserve"> </w:t>
      </w:r>
    </w:p>
    <w:p w14:paraId="69C805FE" w14:textId="14AAA7FE" w:rsidR="00120640" w:rsidRPr="00EA1BC8" w:rsidRDefault="00EA1BC8" w:rsidP="00120640">
      <w:pPr>
        <w:pStyle w:val="Paragraphe"/>
        <w:spacing w:line="280" w:lineRule="exact"/>
        <w:rPr>
          <w:lang w:val="en-CA"/>
        </w:rPr>
      </w:pPr>
      <w:r w:rsidRPr="00EA1BC8">
        <w:rPr>
          <w:lang w:val="en-CA"/>
        </w:rPr>
        <w:t xml:space="preserve">In my view, the information available in 2019 must be considered to </w:t>
      </w:r>
      <w:r w:rsidR="0041122B">
        <w:rPr>
          <w:lang w:val="en-CA"/>
        </w:rPr>
        <w:t>value</w:t>
      </w:r>
      <w:r w:rsidRPr="00EA1BC8">
        <w:rPr>
          <w:lang w:val="en-CA"/>
        </w:rPr>
        <w:t xml:space="preserve"> the </w:t>
      </w:r>
      <w:r w:rsidR="00753860">
        <w:rPr>
          <w:lang w:val="en-CA"/>
        </w:rPr>
        <w:t>Respondent</w:t>
      </w:r>
      <w:r w:rsidRPr="00EA1BC8">
        <w:rPr>
          <w:lang w:val="en-CA"/>
        </w:rPr>
        <w:t>s' claim.</w:t>
      </w:r>
      <w:r w:rsidR="00B363F2" w:rsidRPr="00EA1BC8">
        <w:rPr>
          <w:lang w:val="en-CA"/>
        </w:rPr>
        <w:t xml:space="preserve"> </w:t>
      </w:r>
      <w:r w:rsidRPr="00EA1BC8">
        <w:rPr>
          <w:lang w:val="en-CA"/>
        </w:rPr>
        <w:t>Otherwise, the Court would have to conclude that the claim was too uncertain in 2013, which makes no sense.</w:t>
      </w:r>
      <w:r w:rsidR="00B363F2" w:rsidRPr="00EA1BC8">
        <w:rPr>
          <w:lang w:val="en-CA"/>
        </w:rPr>
        <w:t xml:space="preserve"> </w:t>
      </w:r>
      <w:r w:rsidRPr="00EA1BC8">
        <w:rPr>
          <w:lang w:val="en-CA"/>
        </w:rPr>
        <w:t xml:space="preserve">The risk of rejecting a claim as too </w:t>
      </w:r>
      <w:r w:rsidR="0041122B" w:rsidRPr="00EA1BC8">
        <w:rPr>
          <w:lang w:val="en-CA"/>
        </w:rPr>
        <w:t>uncertain</w:t>
      </w:r>
      <w:r w:rsidRPr="00EA1BC8">
        <w:rPr>
          <w:lang w:val="en-CA"/>
        </w:rPr>
        <w:t xml:space="preserve"> is that the condition come</w:t>
      </w:r>
      <w:r w:rsidR="00D45D25">
        <w:rPr>
          <w:lang w:val="en-CA"/>
        </w:rPr>
        <w:t>s</w:t>
      </w:r>
      <w:r w:rsidRPr="00EA1BC8">
        <w:rPr>
          <w:lang w:val="en-CA"/>
        </w:rPr>
        <w:t xml:space="preserve"> to pass.</w:t>
      </w:r>
      <w:r w:rsidR="00B363F2" w:rsidRPr="00EA1BC8">
        <w:rPr>
          <w:lang w:val="en-CA"/>
        </w:rPr>
        <w:t xml:space="preserve"> </w:t>
      </w:r>
      <w:bookmarkStart w:id="10" w:name="_Hlk128921273"/>
      <w:r>
        <w:rPr>
          <w:lang w:val="en-CA"/>
        </w:rPr>
        <w:t xml:space="preserve">To repeat </w:t>
      </w:r>
      <w:r w:rsidR="0041122B">
        <w:rPr>
          <w:lang w:val="en-CA"/>
        </w:rPr>
        <w:t>the</w:t>
      </w:r>
      <w:r>
        <w:rPr>
          <w:lang w:val="en-CA"/>
        </w:rPr>
        <w:t xml:space="preserve"> warning of Belzil</w:t>
      </w:r>
      <w:r w:rsidR="00993440">
        <w:rPr>
          <w:lang w:val="en-CA"/>
        </w:rPr>
        <w:t>,</w:t>
      </w:r>
      <w:r>
        <w:rPr>
          <w:lang w:val="en-CA"/>
        </w:rPr>
        <w:t xml:space="preserve"> J., </w:t>
      </w:r>
      <w:r w:rsidR="0041122B">
        <w:rPr>
          <w:lang w:val="en-CA"/>
        </w:rPr>
        <w:t>“</w:t>
      </w:r>
      <w:r>
        <w:rPr>
          <w:lang w:val="en-CA"/>
        </w:rPr>
        <w:t xml:space="preserve">It would be incongruous in the extreme if a Trustee rejected a claim as being too remote and speculative only to have a Court later conclude that the claim was valid and </w:t>
      </w:r>
      <w:r>
        <w:rPr>
          <w:lang w:val="en-CA"/>
        </w:rPr>
        <w:lastRenderedPageBreak/>
        <w:t>quantifiable</w:t>
      </w:r>
      <w:r w:rsidR="0041122B">
        <w:rPr>
          <w:lang w:val="en-CA"/>
        </w:rPr>
        <w:t>”</w:t>
      </w:r>
      <w:r>
        <w:rPr>
          <w:lang w:val="en-CA"/>
        </w:rPr>
        <w:t>.</w:t>
      </w:r>
      <w:r w:rsidR="00F5511E">
        <w:rPr>
          <w:vertAlign w:val="superscript"/>
        </w:rPr>
        <w:footnoteReference w:id="36"/>
      </w:r>
      <w:r w:rsidR="00B363F2" w:rsidRPr="00F5511E">
        <w:rPr>
          <w:lang w:val="en-CA"/>
        </w:rPr>
        <w:t xml:space="preserve"> </w:t>
      </w:r>
      <w:bookmarkEnd w:id="10"/>
      <w:r w:rsidR="00523788">
        <w:rPr>
          <w:lang w:val="en-CA"/>
        </w:rPr>
        <w:t>The case at bar</w:t>
      </w:r>
      <w:r w:rsidRPr="00EA1BC8">
        <w:rPr>
          <w:lang w:val="en-CA"/>
        </w:rPr>
        <w:t xml:space="preserve"> is worse: we know that the condition </w:t>
      </w:r>
      <w:r w:rsidR="00366187">
        <w:rPr>
          <w:lang w:val="en-CA"/>
        </w:rPr>
        <w:t>was fulfilled</w:t>
      </w:r>
      <w:r w:rsidRPr="00EA1BC8">
        <w:rPr>
          <w:lang w:val="en-CA"/>
        </w:rPr>
        <w:t xml:space="preserve"> in 2019.</w:t>
      </w:r>
      <w:r w:rsidR="00B363F2" w:rsidRPr="00EA1BC8">
        <w:rPr>
          <w:lang w:val="en-CA"/>
        </w:rPr>
        <w:t xml:space="preserve"> </w:t>
      </w:r>
      <w:r w:rsidRPr="00EA1BC8">
        <w:rPr>
          <w:lang w:val="en-CA"/>
        </w:rPr>
        <w:t xml:space="preserve">It would be inconsistent to allow the claim to survive the proposal because it was too uncertain in 2013, while knowing that it is now certain. </w:t>
      </w:r>
    </w:p>
    <w:p w14:paraId="399AE333" w14:textId="562229EE" w:rsidR="00120640" w:rsidRPr="00EA1BC8" w:rsidRDefault="00D83B8B" w:rsidP="00120640">
      <w:pPr>
        <w:pStyle w:val="Paragraphe"/>
        <w:spacing w:line="280" w:lineRule="exact"/>
        <w:rPr>
          <w:lang w:val="en-CA"/>
        </w:rPr>
      </w:pPr>
      <w:r>
        <w:rPr>
          <w:lang w:val="en-CA"/>
        </w:rPr>
        <w:t>T</w:t>
      </w:r>
      <w:r w:rsidR="00EA1BC8" w:rsidRPr="00501215">
        <w:rPr>
          <w:lang w:val="en-CA"/>
        </w:rPr>
        <w:t xml:space="preserve">he </w:t>
      </w:r>
      <w:r w:rsidR="00753860">
        <w:rPr>
          <w:lang w:val="en-CA"/>
        </w:rPr>
        <w:t>Respondent</w:t>
      </w:r>
      <w:r w:rsidR="00EA1BC8" w:rsidRPr="00501215">
        <w:rPr>
          <w:lang w:val="en-CA"/>
        </w:rPr>
        <w:t>s</w:t>
      </w:r>
      <w:r>
        <w:rPr>
          <w:lang w:val="en-CA"/>
        </w:rPr>
        <w:t>, however,</w:t>
      </w:r>
      <w:r w:rsidR="00EA1BC8" w:rsidRPr="00501215">
        <w:rPr>
          <w:lang w:val="en-CA"/>
        </w:rPr>
        <w:t xml:space="preserve"> are not without recourse.</w:t>
      </w:r>
      <w:r w:rsidR="00B363F2" w:rsidRPr="00EA1BC8">
        <w:rPr>
          <w:lang w:val="en-CA"/>
        </w:rPr>
        <w:t xml:space="preserve"> </w:t>
      </w:r>
      <w:r w:rsidR="00EA1BC8" w:rsidRPr="00EA1BC8">
        <w:rPr>
          <w:lang w:val="en-CA"/>
        </w:rPr>
        <w:t>Section 178(1)(</w:t>
      </w:r>
      <w:r w:rsidR="00EA1BC8" w:rsidRPr="0041122B">
        <w:rPr>
          <w:i/>
          <w:iCs/>
          <w:lang w:val="en-CA"/>
        </w:rPr>
        <w:t>f</w:t>
      </w:r>
      <w:r w:rsidR="00EA1BC8" w:rsidRPr="00EA1BC8">
        <w:rPr>
          <w:lang w:val="en-CA"/>
        </w:rPr>
        <w:t xml:space="preserve">) </w:t>
      </w:r>
      <w:r w:rsidR="00EA1BC8" w:rsidRPr="0041122B">
        <w:rPr>
          <w:i/>
          <w:iCs/>
          <w:lang w:val="en-CA"/>
        </w:rPr>
        <w:t>BIA</w:t>
      </w:r>
      <w:r w:rsidR="00EA1BC8" w:rsidRPr="00EA1BC8">
        <w:rPr>
          <w:lang w:val="en-CA"/>
        </w:rPr>
        <w:t xml:space="preserve"> allows the creditor who did not file a proof of claim, because the creditor had no knowledge of the bankruptcy or proposal at the time, to present his or her claim even after the debtor and the trustee have been discharged.</w:t>
      </w:r>
      <w:r w:rsidR="00B363F2" w:rsidRPr="00EA1BC8">
        <w:rPr>
          <w:lang w:val="en-CA"/>
        </w:rPr>
        <w:t xml:space="preserve"> </w:t>
      </w:r>
      <w:r w:rsidR="00EA1BC8" w:rsidRPr="00EA1BC8">
        <w:rPr>
          <w:lang w:val="en-CA"/>
        </w:rPr>
        <w:t xml:space="preserve">The discharged debtor </w:t>
      </w:r>
      <w:r w:rsidR="00F71583">
        <w:rPr>
          <w:lang w:val="en-CA"/>
        </w:rPr>
        <w:t>must then</w:t>
      </w:r>
      <w:r w:rsidR="00EA1BC8" w:rsidRPr="00EA1BC8">
        <w:rPr>
          <w:lang w:val="en-CA"/>
        </w:rPr>
        <w:t xml:space="preserve"> pay the creditor the </w:t>
      </w:r>
      <w:r w:rsidR="0041122B" w:rsidRPr="00EA1BC8">
        <w:rPr>
          <w:lang w:val="en-CA"/>
        </w:rPr>
        <w:t>dividend</w:t>
      </w:r>
      <w:r w:rsidR="00EA1BC8" w:rsidRPr="00EA1BC8">
        <w:rPr>
          <w:lang w:val="en-CA"/>
        </w:rPr>
        <w:t xml:space="preserve"> </w:t>
      </w:r>
      <w:r w:rsidR="0041122B">
        <w:rPr>
          <w:lang w:val="en-CA"/>
        </w:rPr>
        <w:t xml:space="preserve">to which </w:t>
      </w:r>
      <w:r w:rsidR="00EA1BC8" w:rsidRPr="00EA1BC8">
        <w:rPr>
          <w:lang w:val="en-CA"/>
        </w:rPr>
        <w:t xml:space="preserve">he </w:t>
      </w:r>
      <w:r w:rsidR="00223246">
        <w:rPr>
          <w:lang w:val="en-CA"/>
        </w:rPr>
        <w:t xml:space="preserve">or she </w:t>
      </w:r>
      <w:r w:rsidR="00EA1BC8" w:rsidRPr="00EA1BC8">
        <w:rPr>
          <w:lang w:val="en-CA"/>
        </w:rPr>
        <w:t xml:space="preserve">would </w:t>
      </w:r>
      <w:r w:rsidR="003B7A1F">
        <w:rPr>
          <w:lang w:val="en-CA"/>
        </w:rPr>
        <w:t xml:space="preserve">ordinarily </w:t>
      </w:r>
      <w:r w:rsidR="00EA1BC8" w:rsidRPr="00EA1BC8">
        <w:rPr>
          <w:lang w:val="en-CA"/>
        </w:rPr>
        <w:t xml:space="preserve">have been entitled had a proof of claim </w:t>
      </w:r>
      <w:r w:rsidR="00223246">
        <w:rPr>
          <w:lang w:val="en-CA"/>
        </w:rPr>
        <w:t xml:space="preserve">been filed </w:t>
      </w:r>
      <w:r w:rsidR="00EA1BC8" w:rsidRPr="00EA1BC8">
        <w:rPr>
          <w:lang w:val="en-CA"/>
        </w:rPr>
        <w:t xml:space="preserve">in time. </w:t>
      </w:r>
    </w:p>
    <w:p w14:paraId="060AF406" w14:textId="350BDB6F" w:rsidR="00120640" w:rsidRPr="00EA1BC8" w:rsidRDefault="000615AC" w:rsidP="00120640">
      <w:pPr>
        <w:pStyle w:val="Paragraphe"/>
        <w:spacing w:line="280" w:lineRule="exact"/>
        <w:rPr>
          <w:lang w:val="en-CA"/>
        </w:rPr>
      </w:pPr>
      <w:r w:rsidRPr="00501215">
        <w:rPr>
          <w:lang w:val="en-CA"/>
        </w:rPr>
        <w:t>This</w:t>
      </w:r>
      <w:r w:rsidR="00EA1BC8" w:rsidRPr="00501215">
        <w:rPr>
          <w:lang w:val="en-CA"/>
        </w:rPr>
        <w:t xml:space="preserve"> provision applies here.</w:t>
      </w:r>
      <w:r w:rsidR="00B363F2" w:rsidRPr="00EA1BC8">
        <w:rPr>
          <w:lang w:val="en-CA"/>
        </w:rPr>
        <w:t xml:space="preserve"> </w:t>
      </w:r>
      <w:r w:rsidR="00EA1BC8" w:rsidRPr="00EA1BC8">
        <w:rPr>
          <w:lang w:val="en-CA"/>
        </w:rPr>
        <w:t xml:space="preserve">The </w:t>
      </w:r>
      <w:r w:rsidR="00753860">
        <w:rPr>
          <w:lang w:val="en-CA"/>
        </w:rPr>
        <w:t>Respondent</w:t>
      </w:r>
      <w:r w:rsidR="00EA1BC8" w:rsidRPr="00EA1BC8">
        <w:rPr>
          <w:lang w:val="en-CA"/>
        </w:rPr>
        <w:t xml:space="preserve">s did </w:t>
      </w:r>
      <w:r w:rsidRPr="00EA1BC8">
        <w:rPr>
          <w:lang w:val="en-CA"/>
        </w:rPr>
        <w:t>not</w:t>
      </w:r>
      <w:r w:rsidR="00EA1BC8" w:rsidRPr="00EA1BC8">
        <w:rPr>
          <w:lang w:val="en-CA"/>
        </w:rPr>
        <w:t xml:space="preserve"> file a proof of claim in 2013 because they </w:t>
      </w:r>
      <w:r w:rsidR="00F71583">
        <w:rPr>
          <w:lang w:val="en-CA"/>
        </w:rPr>
        <w:t>had no knowledge of</w:t>
      </w:r>
      <w:r w:rsidR="00EA1BC8" w:rsidRPr="00EA1BC8">
        <w:rPr>
          <w:lang w:val="en-CA"/>
        </w:rPr>
        <w:t xml:space="preserve"> the </w:t>
      </w:r>
      <w:r w:rsidR="0055589F">
        <w:rPr>
          <w:lang w:val="en-CA"/>
        </w:rPr>
        <w:t>Appellant</w:t>
      </w:r>
      <w:r w:rsidR="00EA1BC8" w:rsidRPr="00EA1BC8">
        <w:rPr>
          <w:lang w:val="en-CA"/>
        </w:rPr>
        <w:t>s' proposal or their claim against them.</w:t>
      </w:r>
      <w:r w:rsidR="00B363F2" w:rsidRPr="00EA1BC8">
        <w:rPr>
          <w:lang w:val="en-CA"/>
        </w:rPr>
        <w:t xml:space="preserve"> </w:t>
      </w:r>
      <w:r w:rsidR="00EA1BC8" w:rsidRPr="00EA1BC8">
        <w:rPr>
          <w:lang w:val="en-CA"/>
        </w:rPr>
        <w:t>Pursuant to section 178(1</w:t>
      </w:r>
      <w:r w:rsidR="002C4ED6">
        <w:rPr>
          <w:lang w:val="en-CA"/>
        </w:rPr>
        <w:t>)</w:t>
      </w:r>
      <w:r w:rsidR="00EA1BC8" w:rsidRPr="00EA1BC8">
        <w:rPr>
          <w:lang w:val="en-CA"/>
        </w:rPr>
        <w:t>(</w:t>
      </w:r>
      <w:r w:rsidR="00EA1BC8" w:rsidRPr="000615AC">
        <w:rPr>
          <w:i/>
          <w:iCs/>
          <w:lang w:val="en-CA"/>
        </w:rPr>
        <w:t>f</w:t>
      </w:r>
      <w:r w:rsidR="00EA1BC8" w:rsidRPr="00EA1BC8">
        <w:rPr>
          <w:lang w:val="en-CA"/>
        </w:rPr>
        <w:t xml:space="preserve">) </w:t>
      </w:r>
      <w:r w:rsidR="00EA1BC8" w:rsidRPr="000615AC">
        <w:rPr>
          <w:i/>
          <w:iCs/>
          <w:lang w:val="en-CA"/>
        </w:rPr>
        <w:t>BIA</w:t>
      </w:r>
      <w:r w:rsidR="00EA1BC8" w:rsidRPr="00EA1BC8">
        <w:rPr>
          <w:lang w:val="en-CA"/>
        </w:rPr>
        <w:t xml:space="preserve">, the </w:t>
      </w:r>
      <w:r w:rsidR="00753860">
        <w:rPr>
          <w:lang w:val="en-CA"/>
        </w:rPr>
        <w:t>Respondent</w:t>
      </w:r>
      <w:r w:rsidR="00EA1BC8" w:rsidRPr="00EA1BC8">
        <w:rPr>
          <w:lang w:val="en-CA"/>
        </w:rPr>
        <w:t xml:space="preserve">s have therefore kept their right to the dividend they would have been entitled to receive in the </w:t>
      </w:r>
      <w:r w:rsidR="0055589F">
        <w:rPr>
          <w:lang w:val="en-CA"/>
        </w:rPr>
        <w:t>Appellant</w:t>
      </w:r>
      <w:r w:rsidR="00EA1BC8" w:rsidRPr="00EA1BC8">
        <w:rPr>
          <w:lang w:val="en-CA"/>
        </w:rPr>
        <w:t xml:space="preserve">s' proposal as ordinary creditors. </w:t>
      </w:r>
      <w:r w:rsidR="00B363F2" w:rsidRPr="00EA1BC8">
        <w:rPr>
          <w:lang w:val="en-CA"/>
        </w:rPr>
        <w:t xml:space="preserve"> </w:t>
      </w:r>
    </w:p>
    <w:p w14:paraId="6D402B25" w14:textId="1DCB02FD" w:rsidR="00120640" w:rsidRPr="00EA1BC8" w:rsidRDefault="00EA1BC8" w:rsidP="00120640">
      <w:pPr>
        <w:pStyle w:val="Paragraphe"/>
        <w:spacing w:line="280" w:lineRule="exact"/>
        <w:rPr>
          <w:lang w:val="en-CA"/>
        </w:rPr>
      </w:pPr>
      <w:r w:rsidRPr="00501215">
        <w:rPr>
          <w:lang w:val="en-CA"/>
        </w:rPr>
        <w:t>This result seems fair to me.</w:t>
      </w:r>
      <w:r w:rsidR="00B363F2" w:rsidRPr="00EA1BC8">
        <w:rPr>
          <w:lang w:val="en-CA"/>
        </w:rPr>
        <w:t xml:space="preserve"> </w:t>
      </w:r>
      <w:r w:rsidRPr="00EA1BC8">
        <w:rPr>
          <w:lang w:val="en-CA"/>
        </w:rPr>
        <w:t xml:space="preserve">The </w:t>
      </w:r>
      <w:r w:rsidR="00753860">
        <w:rPr>
          <w:lang w:val="en-CA"/>
        </w:rPr>
        <w:t>Respondent</w:t>
      </w:r>
      <w:r w:rsidRPr="00EA1BC8">
        <w:rPr>
          <w:lang w:val="en-CA"/>
        </w:rPr>
        <w:t>s receive the same dividend they would have receive</w:t>
      </w:r>
      <w:r w:rsidR="000615AC">
        <w:rPr>
          <w:lang w:val="en-CA"/>
        </w:rPr>
        <w:t>d</w:t>
      </w:r>
      <w:r w:rsidRPr="00EA1BC8">
        <w:rPr>
          <w:lang w:val="en-CA"/>
        </w:rPr>
        <w:t xml:space="preserve"> had they discovered the defect in 2013 and filed a proof of claim in due time.</w:t>
      </w:r>
      <w:r w:rsidR="00B363F2" w:rsidRPr="00EA1BC8">
        <w:rPr>
          <w:lang w:val="en-CA"/>
        </w:rPr>
        <w:t xml:space="preserve"> </w:t>
      </w:r>
      <w:r w:rsidRPr="00EA1BC8">
        <w:rPr>
          <w:lang w:val="en-CA"/>
        </w:rPr>
        <w:t xml:space="preserve">They must not lose all their remedies because of the late discovery of the defect, but </w:t>
      </w:r>
      <w:r w:rsidR="00F71583">
        <w:rPr>
          <w:lang w:val="en-CA"/>
        </w:rPr>
        <w:t>neither must they</w:t>
      </w:r>
      <w:r w:rsidRPr="00EA1BC8">
        <w:rPr>
          <w:lang w:val="en-CA"/>
        </w:rPr>
        <w:t xml:space="preserve"> benefit therefrom. </w:t>
      </w:r>
      <w:r w:rsidR="00B363F2" w:rsidRPr="00EA1BC8">
        <w:rPr>
          <w:lang w:val="en-CA"/>
        </w:rPr>
        <w:t xml:space="preserve"> </w:t>
      </w:r>
    </w:p>
    <w:p w14:paraId="51C427A5" w14:textId="4523A62F" w:rsidR="00120640" w:rsidRPr="00EA1BC8" w:rsidRDefault="00EA1BC8" w:rsidP="00120640">
      <w:pPr>
        <w:pStyle w:val="Paragraphe"/>
        <w:spacing w:line="280" w:lineRule="exact"/>
        <w:rPr>
          <w:lang w:val="en-CA"/>
        </w:rPr>
      </w:pPr>
      <w:r w:rsidRPr="00EA1BC8">
        <w:rPr>
          <w:lang w:val="en-CA"/>
        </w:rPr>
        <w:t xml:space="preserve">This result is available in this appeal only because of the fact that the </w:t>
      </w:r>
      <w:r w:rsidR="00753860">
        <w:rPr>
          <w:lang w:val="en-CA"/>
        </w:rPr>
        <w:t>Respondent</w:t>
      </w:r>
      <w:r w:rsidRPr="00EA1BC8">
        <w:rPr>
          <w:lang w:val="en-CA"/>
        </w:rPr>
        <w:t xml:space="preserve">s did not know about the </w:t>
      </w:r>
      <w:r w:rsidR="0055589F">
        <w:rPr>
          <w:lang w:val="en-CA"/>
        </w:rPr>
        <w:t>Appellant</w:t>
      </w:r>
      <w:r w:rsidRPr="00EA1BC8">
        <w:rPr>
          <w:lang w:val="en-CA"/>
        </w:rPr>
        <w:t>s' proposal.</w:t>
      </w:r>
      <w:r w:rsidR="00B363F2" w:rsidRPr="00EA1BC8">
        <w:rPr>
          <w:lang w:val="en-CA"/>
        </w:rPr>
        <w:t xml:space="preserve"> </w:t>
      </w:r>
      <w:r w:rsidRPr="00EA1BC8">
        <w:rPr>
          <w:lang w:val="en-CA"/>
        </w:rPr>
        <w:t>It is certainly foreseeable that trustees will adapt their practices and close the door to the application of section 178(1)(</w:t>
      </w:r>
      <w:r w:rsidRPr="000615AC">
        <w:rPr>
          <w:i/>
          <w:iCs/>
          <w:lang w:val="en-CA"/>
        </w:rPr>
        <w:t>f</w:t>
      </w:r>
      <w:r w:rsidRPr="00EA1BC8">
        <w:rPr>
          <w:lang w:val="en-CA"/>
        </w:rPr>
        <w:t xml:space="preserve">) </w:t>
      </w:r>
      <w:r w:rsidRPr="000615AC">
        <w:rPr>
          <w:i/>
          <w:iCs/>
          <w:lang w:val="en-CA"/>
        </w:rPr>
        <w:t>BIA</w:t>
      </w:r>
      <w:r w:rsidRPr="00EA1BC8">
        <w:rPr>
          <w:lang w:val="en-CA"/>
        </w:rPr>
        <w:t xml:space="preserve"> in the future by preparing an exhaustive list of potential creditors to maximize the discharge</w:t>
      </w:r>
      <w:r w:rsidR="00F71583" w:rsidRPr="00F71583">
        <w:rPr>
          <w:lang w:val="en-CA"/>
        </w:rPr>
        <w:t xml:space="preserve"> </w:t>
      </w:r>
      <w:r w:rsidR="00F71583">
        <w:rPr>
          <w:lang w:val="en-CA"/>
        </w:rPr>
        <w:t xml:space="preserve">of </w:t>
      </w:r>
      <w:r w:rsidR="00F71583" w:rsidRPr="00EA1BC8">
        <w:rPr>
          <w:lang w:val="en-CA"/>
        </w:rPr>
        <w:t>debtors</w:t>
      </w:r>
      <w:r w:rsidRPr="00EA1BC8">
        <w:rPr>
          <w:lang w:val="en-CA"/>
        </w:rPr>
        <w:t>.</w:t>
      </w:r>
      <w:r w:rsidR="00B363F2" w:rsidRPr="00EA1BC8">
        <w:rPr>
          <w:lang w:val="en-CA"/>
        </w:rPr>
        <w:t xml:space="preserve"> </w:t>
      </w:r>
      <w:r w:rsidRPr="00EA1BC8">
        <w:rPr>
          <w:lang w:val="en-CA"/>
        </w:rPr>
        <w:t xml:space="preserve">If that </w:t>
      </w:r>
      <w:r w:rsidR="008B48D0">
        <w:rPr>
          <w:lang w:val="en-CA"/>
        </w:rPr>
        <w:t>happens</w:t>
      </w:r>
      <w:r w:rsidRPr="00EA1BC8">
        <w:rPr>
          <w:lang w:val="en-CA"/>
        </w:rPr>
        <w:t xml:space="preserve">, </w:t>
      </w:r>
      <w:r w:rsidR="008B48D0">
        <w:rPr>
          <w:lang w:val="en-CA"/>
        </w:rPr>
        <w:t>one</w:t>
      </w:r>
      <w:r w:rsidR="008B48D0" w:rsidRPr="00EA1BC8">
        <w:rPr>
          <w:lang w:val="en-CA"/>
        </w:rPr>
        <w:t xml:space="preserve"> </w:t>
      </w:r>
      <w:r w:rsidRPr="00EA1BC8">
        <w:rPr>
          <w:lang w:val="en-CA"/>
        </w:rPr>
        <w:t>can imagine that it will become rather rare for creditor</w:t>
      </w:r>
      <w:r w:rsidR="008B48D0">
        <w:rPr>
          <w:lang w:val="en-CA"/>
        </w:rPr>
        <w:t>s</w:t>
      </w:r>
      <w:r w:rsidRPr="00EA1BC8">
        <w:rPr>
          <w:lang w:val="en-CA"/>
        </w:rPr>
        <w:t xml:space="preserve"> not to be aware of the bankruptcy or proposal of the debtor and </w:t>
      </w:r>
      <w:r w:rsidR="007B09BD">
        <w:rPr>
          <w:lang w:val="en-CA"/>
        </w:rPr>
        <w:t xml:space="preserve">to be able to </w:t>
      </w:r>
      <w:r w:rsidRPr="00EA1BC8">
        <w:rPr>
          <w:lang w:val="en-CA"/>
        </w:rPr>
        <w:t xml:space="preserve">present their claim </w:t>
      </w:r>
      <w:r w:rsidR="00493479">
        <w:rPr>
          <w:lang w:val="en-CA"/>
        </w:rPr>
        <w:t xml:space="preserve">later (when the damage materializes) </w:t>
      </w:r>
      <w:r w:rsidRPr="00EA1BC8">
        <w:rPr>
          <w:lang w:val="en-CA"/>
        </w:rPr>
        <w:t>and obtain a dividend despite the debtor's discharge.</w:t>
      </w:r>
      <w:r w:rsidR="00B363F2" w:rsidRPr="00EA1BC8">
        <w:rPr>
          <w:lang w:val="en-CA"/>
        </w:rPr>
        <w:t xml:space="preserve"> </w:t>
      </w:r>
      <w:r w:rsidRPr="00EA1BC8">
        <w:rPr>
          <w:lang w:val="en-CA"/>
        </w:rPr>
        <w:t>In practice, this undoubtedly means that it will become rare for a creditor with a contingent claim on the date of the bankruptcy or proposal to obtain any dividend.</w:t>
      </w:r>
      <w:r w:rsidR="00B363F2" w:rsidRPr="00EA1BC8">
        <w:rPr>
          <w:lang w:val="en-CA"/>
        </w:rPr>
        <w:t xml:space="preserve"> </w:t>
      </w:r>
    </w:p>
    <w:p w14:paraId="6D31D2DC" w14:textId="058AAE2E" w:rsidR="00120640" w:rsidRPr="000615AC" w:rsidRDefault="00EA1BC8" w:rsidP="00120640">
      <w:pPr>
        <w:pStyle w:val="Paragraphe"/>
        <w:spacing w:line="280" w:lineRule="exact"/>
        <w:rPr>
          <w:lang w:val="en-CA"/>
        </w:rPr>
      </w:pPr>
      <w:r w:rsidRPr="00EA1BC8">
        <w:rPr>
          <w:lang w:val="en-CA"/>
        </w:rPr>
        <w:t xml:space="preserve">I remain </w:t>
      </w:r>
      <w:r w:rsidR="000615AC">
        <w:rPr>
          <w:lang w:val="en-CA"/>
        </w:rPr>
        <w:t xml:space="preserve">of </w:t>
      </w:r>
      <w:r w:rsidRPr="00EA1BC8">
        <w:rPr>
          <w:lang w:val="en-CA"/>
        </w:rPr>
        <w:t>the view that the best solution to this problem would be to limit the notion of sufficient certainty to public duties.</w:t>
      </w:r>
      <w:r w:rsidR="00B363F2" w:rsidRPr="00EA1BC8">
        <w:rPr>
          <w:lang w:val="en-CA"/>
        </w:rPr>
        <w:t xml:space="preserve"> </w:t>
      </w:r>
      <w:r w:rsidRPr="000615AC">
        <w:rPr>
          <w:lang w:val="en-CA"/>
        </w:rPr>
        <w:t>But I will leave this question for another day.</w:t>
      </w:r>
      <w:r w:rsidR="00B363F2" w:rsidRPr="000615AC">
        <w:rPr>
          <w:lang w:val="en-CA"/>
        </w:rPr>
        <w:t xml:space="preserve"> </w:t>
      </w:r>
    </w:p>
    <w:p w14:paraId="2B732DAC" w14:textId="6F6B0F12" w:rsidR="00120640" w:rsidRPr="00EA1BC8" w:rsidRDefault="00EA1BC8" w:rsidP="00120640">
      <w:pPr>
        <w:pStyle w:val="Paragraphe"/>
        <w:spacing w:line="280" w:lineRule="exact"/>
        <w:rPr>
          <w:lang w:val="en-CA"/>
        </w:rPr>
      </w:pPr>
      <w:r w:rsidRPr="00EA1BC8">
        <w:rPr>
          <w:lang w:val="en-CA"/>
        </w:rPr>
        <w:t xml:space="preserve">I would therefore allow the appeal and declare that the claim made by the </w:t>
      </w:r>
      <w:r w:rsidR="00753860">
        <w:rPr>
          <w:lang w:val="en-CA"/>
        </w:rPr>
        <w:t>Respondent</w:t>
      </w:r>
      <w:r w:rsidRPr="00EA1BC8">
        <w:rPr>
          <w:lang w:val="en-CA"/>
        </w:rPr>
        <w:t xml:space="preserve">s is a provable claim and that the </w:t>
      </w:r>
      <w:r w:rsidR="0055589F">
        <w:rPr>
          <w:lang w:val="en-CA"/>
        </w:rPr>
        <w:t>Appellant</w:t>
      </w:r>
      <w:r w:rsidRPr="00EA1BC8">
        <w:rPr>
          <w:lang w:val="en-CA"/>
        </w:rPr>
        <w:t xml:space="preserve">s are released </w:t>
      </w:r>
      <w:r w:rsidR="00D55E15">
        <w:rPr>
          <w:lang w:val="en-CA"/>
        </w:rPr>
        <w:t>there</w:t>
      </w:r>
      <w:r w:rsidRPr="00EA1BC8">
        <w:rPr>
          <w:lang w:val="en-CA"/>
        </w:rPr>
        <w:t xml:space="preserve">from, except for an amount equivalent to the dividend the </w:t>
      </w:r>
      <w:r w:rsidR="00753860">
        <w:rPr>
          <w:lang w:val="en-CA"/>
        </w:rPr>
        <w:t>Respondent</w:t>
      </w:r>
      <w:r w:rsidRPr="00EA1BC8">
        <w:rPr>
          <w:lang w:val="en-CA"/>
        </w:rPr>
        <w:t xml:space="preserve">s </w:t>
      </w:r>
      <w:r w:rsidR="000615AC" w:rsidRPr="00EA1BC8">
        <w:rPr>
          <w:lang w:val="en-CA"/>
        </w:rPr>
        <w:t>would</w:t>
      </w:r>
      <w:r w:rsidRPr="00EA1BC8">
        <w:rPr>
          <w:lang w:val="en-CA"/>
        </w:rPr>
        <w:t xml:space="preserve"> have received </w:t>
      </w:r>
      <w:r w:rsidR="008E203E" w:rsidRPr="00EA1BC8">
        <w:rPr>
          <w:lang w:val="en-CA"/>
        </w:rPr>
        <w:t>as ordinary creditors</w:t>
      </w:r>
      <w:r w:rsidR="008E203E">
        <w:rPr>
          <w:lang w:val="en-CA"/>
        </w:rPr>
        <w:t xml:space="preserve"> </w:t>
      </w:r>
      <w:r w:rsidRPr="00EA1BC8">
        <w:rPr>
          <w:lang w:val="en-CA"/>
        </w:rPr>
        <w:t xml:space="preserve">in the </w:t>
      </w:r>
      <w:r w:rsidR="0055589F">
        <w:rPr>
          <w:lang w:val="en-CA"/>
        </w:rPr>
        <w:t>Appellant</w:t>
      </w:r>
      <w:r w:rsidRPr="00EA1BC8">
        <w:rPr>
          <w:lang w:val="en-CA"/>
        </w:rPr>
        <w:t>s' propos</w:t>
      </w:r>
      <w:r w:rsidR="008E203E">
        <w:rPr>
          <w:lang w:val="en-CA"/>
        </w:rPr>
        <w:t>al</w:t>
      </w:r>
      <w:r w:rsidRPr="00EA1BC8">
        <w:rPr>
          <w:lang w:val="en-CA"/>
        </w:rPr>
        <w:t>,</w:t>
      </w:r>
      <w:r w:rsidR="005C62E8">
        <w:rPr>
          <w:lang w:val="en-CA"/>
        </w:rPr>
        <w:t xml:space="preserve"> </w:t>
      </w:r>
      <w:r w:rsidRPr="00EA1BC8">
        <w:rPr>
          <w:lang w:val="en-CA"/>
        </w:rPr>
        <w:t xml:space="preserve">with the legal costs set at </w:t>
      </w:r>
      <w:r w:rsidR="007F6E97">
        <w:rPr>
          <w:lang w:val="en-CA"/>
        </w:rPr>
        <w:t xml:space="preserve">a </w:t>
      </w:r>
      <w:r w:rsidRPr="00EA1BC8">
        <w:rPr>
          <w:lang w:val="en-CA"/>
        </w:rPr>
        <w:t xml:space="preserve">lump sum of $600 in first instance </w:t>
      </w:r>
      <w:r w:rsidR="000615AC" w:rsidRPr="00EA1BC8">
        <w:rPr>
          <w:lang w:val="en-CA"/>
        </w:rPr>
        <w:t>and</w:t>
      </w:r>
      <w:r w:rsidRPr="00EA1BC8">
        <w:rPr>
          <w:lang w:val="en-CA"/>
        </w:rPr>
        <w:t xml:space="preserve"> $2,000 on appeal.</w:t>
      </w:r>
    </w:p>
    <w:p w14:paraId="7CABDAC0" w14:textId="30D91CA3" w:rsidR="00120640" w:rsidRPr="00EA1BC8" w:rsidRDefault="000615AC" w:rsidP="00120640">
      <w:pPr>
        <w:pStyle w:val="Paragraphe"/>
        <w:spacing w:line="280" w:lineRule="exact"/>
        <w:rPr>
          <w:lang w:val="en-CA"/>
        </w:rPr>
      </w:pPr>
      <w:r w:rsidRPr="00EA1BC8">
        <w:rPr>
          <w:lang w:val="en-CA"/>
        </w:rPr>
        <w:t>Since</w:t>
      </w:r>
      <w:r w:rsidR="00EA1BC8" w:rsidRPr="00EA1BC8">
        <w:rPr>
          <w:lang w:val="en-CA"/>
        </w:rPr>
        <w:t xml:space="preserve"> </w:t>
      </w:r>
      <w:r w:rsidR="008E203E">
        <w:rPr>
          <w:lang w:val="en-CA"/>
        </w:rPr>
        <w:t>writing</w:t>
      </w:r>
      <w:r w:rsidR="00EA1BC8" w:rsidRPr="00EA1BC8">
        <w:rPr>
          <w:lang w:val="en-CA"/>
        </w:rPr>
        <w:t xml:space="preserve"> my reasons, I have read the reasons of my colleague Dutil</w:t>
      </w:r>
      <w:r w:rsidR="00D416E1">
        <w:rPr>
          <w:lang w:val="en-CA"/>
        </w:rPr>
        <w:t>,</w:t>
      </w:r>
      <w:r w:rsidR="00EA1BC8" w:rsidRPr="00EA1BC8">
        <w:rPr>
          <w:lang w:val="en-CA"/>
        </w:rPr>
        <w:t xml:space="preserve"> J.A., with which my colleague Mainville</w:t>
      </w:r>
      <w:r w:rsidR="00D416E1">
        <w:rPr>
          <w:lang w:val="en-CA"/>
        </w:rPr>
        <w:t>,</w:t>
      </w:r>
      <w:r w:rsidR="00EA1BC8" w:rsidRPr="00EA1BC8">
        <w:rPr>
          <w:lang w:val="en-CA"/>
        </w:rPr>
        <w:t xml:space="preserve"> J.A. agrees, proposing to dismiss the appeal.</w:t>
      </w:r>
      <w:r w:rsidR="00B363F2" w:rsidRPr="00EA1BC8">
        <w:rPr>
          <w:lang w:val="en-CA"/>
        </w:rPr>
        <w:t xml:space="preserve"> </w:t>
      </w:r>
      <w:r w:rsidR="00EA1BC8" w:rsidRPr="00EA1BC8">
        <w:rPr>
          <w:lang w:val="en-CA"/>
        </w:rPr>
        <w:t xml:space="preserve">They do not </w:t>
      </w:r>
      <w:r w:rsidR="00EA1BC8" w:rsidRPr="00EA1BC8">
        <w:rPr>
          <w:lang w:val="en-CA"/>
        </w:rPr>
        <w:lastRenderedPageBreak/>
        <w:t xml:space="preserve">agree with my </w:t>
      </w:r>
      <w:r w:rsidR="00D416E1">
        <w:rPr>
          <w:lang w:val="en-CA"/>
        </w:rPr>
        <w:t xml:space="preserve">desire </w:t>
      </w:r>
      <w:r w:rsidR="00EA1BC8" w:rsidRPr="00EA1BC8">
        <w:rPr>
          <w:lang w:val="en-CA"/>
        </w:rPr>
        <w:t>to limit the application of sufficient certainty to public duties.</w:t>
      </w:r>
      <w:r w:rsidR="00B363F2" w:rsidRPr="00EA1BC8">
        <w:rPr>
          <w:lang w:val="en-CA"/>
        </w:rPr>
        <w:t xml:space="preserve"> </w:t>
      </w:r>
      <w:r w:rsidR="00EA1BC8" w:rsidRPr="00501215">
        <w:rPr>
          <w:lang w:val="en-CA"/>
        </w:rPr>
        <w:t xml:space="preserve">I understand them, given the case law of </w:t>
      </w:r>
      <w:r w:rsidRPr="00501215">
        <w:rPr>
          <w:lang w:val="en-CA"/>
        </w:rPr>
        <w:t>the</w:t>
      </w:r>
      <w:r w:rsidR="00EA1BC8" w:rsidRPr="00501215">
        <w:rPr>
          <w:lang w:val="en-CA"/>
        </w:rPr>
        <w:t xml:space="preserve"> Supreme Court and this Court.</w:t>
      </w:r>
      <w:r w:rsidR="00B363F2" w:rsidRPr="00EA1BC8">
        <w:rPr>
          <w:lang w:val="en-CA"/>
        </w:rPr>
        <w:t xml:space="preserve"> </w:t>
      </w:r>
      <w:r w:rsidR="00EA1BC8">
        <w:rPr>
          <w:lang w:val="en-CA"/>
        </w:rPr>
        <w:t>I agree that this question should remain open.</w:t>
      </w:r>
    </w:p>
    <w:p w14:paraId="67F3EB96" w14:textId="79FD80AE" w:rsidR="00120640" w:rsidRPr="00EA1BC8" w:rsidRDefault="00EA1BC8" w:rsidP="00120640">
      <w:pPr>
        <w:pStyle w:val="Paragraphe"/>
        <w:spacing w:line="280" w:lineRule="exact"/>
        <w:rPr>
          <w:lang w:val="en-CA"/>
        </w:rPr>
      </w:pPr>
      <w:r w:rsidRPr="00EA1BC8">
        <w:rPr>
          <w:lang w:val="en-CA"/>
        </w:rPr>
        <w:t xml:space="preserve">However, my conclusion is based on the fact that the courts were called upon to assess sufficient certainly only in 2019, </w:t>
      </w:r>
      <w:r w:rsidR="009B3714">
        <w:rPr>
          <w:lang w:val="en-CA"/>
        </w:rPr>
        <w:t xml:space="preserve">at which point </w:t>
      </w:r>
      <w:r w:rsidRPr="00EA1BC8">
        <w:rPr>
          <w:lang w:val="en-CA"/>
        </w:rPr>
        <w:t xml:space="preserve">it was clear that the </w:t>
      </w:r>
      <w:r w:rsidR="00753860">
        <w:rPr>
          <w:lang w:val="en-CA"/>
        </w:rPr>
        <w:t>Respondent</w:t>
      </w:r>
      <w:r w:rsidRPr="00EA1BC8">
        <w:rPr>
          <w:lang w:val="en-CA"/>
        </w:rPr>
        <w:t>s' claim was sufficiently certain.</w:t>
      </w:r>
      <w:r w:rsidR="00B363F2" w:rsidRPr="00EA1BC8">
        <w:rPr>
          <w:lang w:val="en-CA"/>
        </w:rPr>
        <w:t xml:space="preserve"> </w:t>
      </w:r>
      <w:r w:rsidRPr="00EA1BC8">
        <w:rPr>
          <w:lang w:val="en-CA"/>
        </w:rPr>
        <w:t>My colleagues do not address this question, but the effect of their judgment is to allow the claim to survive the proposal because it was too uncertain in 2013, notwithstanding the fact that it is now certain.</w:t>
      </w:r>
      <w:r w:rsidR="00B363F2" w:rsidRPr="00EA1BC8">
        <w:rPr>
          <w:lang w:val="en-CA"/>
        </w:rPr>
        <w:t xml:space="preserve"> </w:t>
      </w:r>
      <w:r w:rsidRPr="00501215">
        <w:rPr>
          <w:lang w:val="en-CA"/>
        </w:rPr>
        <w:t>I cannot agree with this conclusion.</w:t>
      </w:r>
    </w:p>
    <w:tbl>
      <w:tblPr>
        <w:tblW w:w="0" w:type="auto"/>
        <w:tblLayout w:type="fixed"/>
        <w:tblCellMar>
          <w:left w:w="0" w:type="dxa"/>
          <w:right w:w="0" w:type="dxa"/>
        </w:tblCellMar>
        <w:tblLook w:val="0000" w:firstRow="0" w:lastRow="0" w:firstColumn="0" w:lastColumn="0" w:noHBand="0" w:noVBand="0"/>
      </w:tblPr>
      <w:tblGrid>
        <w:gridCol w:w="4735"/>
        <w:gridCol w:w="4625"/>
      </w:tblGrid>
      <w:tr w:rsidR="00043FD3" w:rsidRPr="00EA1BC8" w14:paraId="4220DF3C" w14:textId="77777777" w:rsidTr="00131896">
        <w:trPr>
          <w:cantSplit/>
          <w:trHeight w:val="513"/>
        </w:trPr>
        <w:tc>
          <w:tcPr>
            <w:tcW w:w="9360" w:type="dxa"/>
            <w:gridSpan w:val="2"/>
          </w:tcPr>
          <w:p w14:paraId="13A1D2CE" w14:textId="77777777" w:rsidR="00120640" w:rsidRPr="005E0F2A" w:rsidRDefault="00120640" w:rsidP="00131896">
            <w:pPr>
              <w:rPr>
                <w:lang w:val="en-CA"/>
              </w:rPr>
            </w:pPr>
          </w:p>
        </w:tc>
      </w:tr>
      <w:tr w:rsidR="00043FD3" w:rsidRPr="00EA1BC8" w14:paraId="23804113" w14:textId="77777777" w:rsidTr="00131896">
        <w:trPr>
          <w:cantSplit/>
          <w:trHeight w:val="277"/>
        </w:trPr>
        <w:tc>
          <w:tcPr>
            <w:tcW w:w="4735" w:type="dxa"/>
            <w:vMerge w:val="restart"/>
          </w:tcPr>
          <w:p w14:paraId="0220D5B2" w14:textId="77777777" w:rsidR="00120640" w:rsidRPr="005E0F2A" w:rsidRDefault="00120640" w:rsidP="00131896">
            <w:pPr>
              <w:rPr>
                <w:lang w:val="en-CA"/>
              </w:rPr>
            </w:pPr>
          </w:p>
        </w:tc>
        <w:tc>
          <w:tcPr>
            <w:tcW w:w="4625" w:type="dxa"/>
            <w:tcBorders>
              <w:bottom w:val="single" w:sz="8" w:space="0" w:color="auto"/>
            </w:tcBorders>
          </w:tcPr>
          <w:p w14:paraId="40B2B96C" w14:textId="77777777" w:rsidR="00120640" w:rsidRPr="005E0F2A" w:rsidRDefault="00120640" w:rsidP="00131896">
            <w:pPr>
              <w:rPr>
                <w:lang w:val="en-CA"/>
              </w:rPr>
            </w:pPr>
          </w:p>
        </w:tc>
      </w:tr>
      <w:tr w:rsidR="00043FD3" w:rsidRPr="00970795" w14:paraId="0833CE85" w14:textId="77777777" w:rsidTr="00131896">
        <w:trPr>
          <w:cantSplit/>
          <w:trHeight w:val="276"/>
        </w:trPr>
        <w:tc>
          <w:tcPr>
            <w:tcW w:w="4735" w:type="dxa"/>
            <w:vMerge/>
          </w:tcPr>
          <w:p w14:paraId="0A4D4268" w14:textId="77777777" w:rsidR="00120640" w:rsidRPr="005E0F2A" w:rsidRDefault="00120640" w:rsidP="00131896">
            <w:pPr>
              <w:rPr>
                <w:lang w:val="en-CA"/>
              </w:rPr>
            </w:pPr>
          </w:p>
        </w:tc>
        <w:tc>
          <w:tcPr>
            <w:tcW w:w="4625" w:type="dxa"/>
          </w:tcPr>
          <w:p w14:paraId="50F954B7" w14:textId="267F1E68" w:rsidR="00120640" w:rsidRPr="00501215" w:rsidRDefault="00B35460" w:rsidP="00131896">
            <w:pPr>
              <w:rPr>
                <w:lang w:val="en-CA"/>
              </w:rPr>
            </w:pPr>
            <w:r w:rsidRPr="00501215">
              <w:rPr>
                <w:lang w:val="en-CA"/>
              </w:rPr>
              <w:t>STEPHEN W. HAMILTON, J.A.</w:t>
            </w:r>
          </w:p>
        </w:tc>
      </w:tr>
    </w:tbl>
    <w:p w14:paraId="28930AA1" w14:textId="77777777" w:rsidR="00B226A6" w:rsidRPr="00B12768" w:rsidRDefault="00B226A6" w:rsidP="00B226A6">
      <w:pPr>
        <w:rPr>
          <w:lang w:val="en-CA"/>
        </w:rPr>
        <w:sectPr w:rsidR="00B226A6" w:rsidRPr="00B12768" w:rsidSect="00B226A6">
          <w:headerReference w:type="default" r:id="rId10"/>
          <w:pgSz w:w="12242" w:h="15842" w:code="1"/>
          <w:pgMar w:top="1440" w:right="1008" w:bottom="1440" w:left="1872" w:header="1440" w:footer="792" w:gutter="0"/>
          <w:cols w:space="720"/>
          <w:formProt w:val="0"/>
          <w:docGrid w:linePitch="326"/>
        </w:sectPr>
      </w:pPr>
    </w:p>
    <w:tbl>
      <w:tblPr>
        <w:tblW w:w="0" w:type="auto"/>
        <w:tblLayout w:type="fixed"/>
        <w:tblCellMar>
          <w:left w:w="0" w:type="dxa"/>
          <w:right w:w="0" w:type="dxa"/>
        </w:tblCellMar>
        <w:tblLook w:val="0000" w:firstRow="0" w:lastRow="0" w:firstColumn="0" w:lastColumn="0" w:noHBand="0" w:noVBand="0"/>
      </w:tblPr>
      <w:tblGrid>
        <w:gridCol w:w="9360"/>
      </w:tblGrid>
      <w:tr w:rsidR="00043FD3" w:rsidRPr="00970795" w14:paraId="4078C0EA" w14:textId="77777777" w:rsidTr="00131896">
        <w:tc>
          <w:tcPr>
            <w:tcW w:w="9360" w:type="dxa"/>
            <w:tcBorders>
              <w:bottom w:val="single" w:sz="8" w:space="0" w:color="auto"/>
            </w:tcBorders>
          </w:tcPr>
          <w:p w14:paraId="2C0B8D31" w14:textId="77777777" w:rsidR="00B226A6" w:rsidRPr="00B12768" w:rsidRDefault="00B363F2" w:rsidP="00131896">
            <w:pPr>
              <w:rPr>
                <w:lang w:val="en-CA"/>
              </w:rPr>
            </w:pPr>
            <w:r w:rsidRPr="00B12768">
              <w:rPr>
                <w:lang w:val="en-CA"/>
              </w:rPr>
              <w:lastRenderedPageBreak/>
              <w:br w:type="page"/>
            </w:r>
          </w:p>
          <w:p w14:paraId="52346E4F" w14:textId="77777777" w:rsidR="00B226A6" w:rsidRPr="00B12768" w:rsidRDefault="00B226A6" w:rsidP="00131896">
            <w:pPr>
              <w:rPr>
                <w:lang w:val="en-CA"/>
              </w:rPr>
            </w:pPr>
          </w:p>
        </w:tc>
      </w:tr>
      <w:tr w:rsidR="00043FD3" w:rsidRPr="00970795" w14:paraId="1B4ACABE" w14:textId="77777777" w:rsidTr="00131896">
        <w:tc>
          <w:tcPr>
            <w:tcW w:w="9360" w:type="dxa"/>
            <w:tcBorders>
              <w:top w:val="single" w:sz="8" w:space="0" w:color="auto"/>
            </w:tcBorders>
          </w:tcPr>
          <w:p w14:paraId="738DA047" w14:textId="77777777" w:rsidR="00B226A6" w:rsidRPr="00B12768" w:rsidRDefault="00B226A6" w:rsidP="00131896">
            <w:pPr>
              <w:rPr>
                <w:lang w:val="en-CA"/>
              </w:rPr>
            </w:pPr>
          </w:p>
        </w:tc>
      </w:tr>
      <w:tr w:rsidR="00043FD3" w:rsidRPr="00970795" w14:paraId="7140CD1E" w14:textId="77777777" w:rsidTr="00131896">
        <w:tc>
          <w:tcPr>
            <w:tcW w:w="9360" w:type="dxa"/>
          </w:tcPr>
          <w:p w14:paraId="1F5093BF" w14:textId="7ECDE3FC" w:rsidR="00B226A6" w:rsidRPr="00501215" w:rsidRDefault="00EA1BC8" w:rsidP="00131896">
            <w:pPr>
              <w:pStyle w:val="zSoquijlblOpinionJuge"/>
              <w:rPr>
                <w:lang w:val="en-CA"/>
              </w:rPr>
            </w:pPr>
            <w:r w:rsidRPr="00501215">
              <w:rPr>
                <w:lang w:val="en-CA"/>
              </w:rPr>
              <w:t>REASONS OF DUTIL</w:t>
            </w:r>
            <w:r w:rsidR="001A7436">
              <w:rPr>
                <w:lang w:val="en-CA"/>
              </w:rPr>
              <w:t>,</w:t>
            </w:r>
            <w:r w:rsidRPr="00501215">
              <w:rPr>
                <w:lang w:val="en-CA"/>
              </w:rPr>
              <w:t xml:space="preserve"> J.A.</w:t>
            </w:r>
          </w:p>
        </w:tc>
      </w:tr>
      <w:tr w:rsidR="00043FD3" w:rsidRPr="00970795" w14:paraId="3C71F25F" w14:textId="77777777" w:rsidTr="00131896">
        <w:tc>
          <w:tcPr>
            <w:tcW w:w="9360" w:type="dxa"/>
            <w:tcBorders>
              <w:bottom w:val="single" w:sz="8" w:space="0" w:color="auto"/>
            </w:tcBorders>
          </w:tcPr>
          <w:p w14:paraId="5E09E3B8" w14:textId="77777777" w:rsidR="00B226A6" w:rsidRPr="00EA1BC8" w:rsidRDefault="00B226A6" w:rsidP="00131896">
            <w:pPr>
              <w:rPr>
                <w:lang w:val="en-CA"/>
              </w:rPr>
            </w:pPr>
          </w:p>
        </w:tc>
      </w:tr>
      <w:tr w:rsidR="00043FD3" w:rsidRPr="00970795" w14:paraId="18D296D9" w14:textId="77777777" w:rsidTr="00131896">
        <w:tc>
          <w:tcPr>
            <w:tcW w:w="9360" w:type="dxa"/>
            <w:tcBorders>
              <w:top w:val="single" w:sz="8" w:space="0" w:color="auto"/>
            </w:tcBorders>
          </w:tcPr>
          <w:p w14:paraId="7A6BE8E5" w14:textId="77777777" w:rsidR="00B226A6" w:rsidRPr="00EA1BC8" w:rsidRDefault="00B226A6" w:rsidP="00131896">
            <w:pPr>
              <w:rPr>
                <w:lang w:val="en-CA"/>
              </w:rPr>
            </w:pPr>
          </w:p>
        </w:tc>
      </w:tr>
    </w:tbl>
    <w:p w14:paraId="61F1CDD5" w14:textId="7B119B51" w:rsidR="00B226A6" w:rsidRPr="00482832" w:rsidRDefault="00482832" w:rsidP="00B226A6">
      <w:pPr>
        <w:pStyle w:val="Paragraphe"/>
        <w:spacing w:line="280" w:lineRule="exact"/>
        <w:rPr>
          <w:lang w:val="en-CA"/>
        </w:rPr>
      </w:pPr>
      <w:r w:rsidRPr="00482832">
        <w:rPr>
          <w:lang w:val="en-CA"/>
        </w:rPr>
        <w:t>My colleague Hamilton</w:t>
      </w:r>
      <w:r w:rsidR="00A41745">
        <w:rPr>
          <w:lang w:val="en-CA"/>
        </w:rPr>
        <w:t>,</w:t>
      </w:r>
      <w:r w:rsidRPr="00482832">
        <w:rPr>
          <w:lang w:val="en-CA"/>
        </w:rPr>
        <w:t xml:space="preserve"> J.A. is of the opinion that the claim for latent defects affecting an immovable sold before </w:t>
      </w:r>
      <w:r w:rsidR="000615AC" w:rsidRPr="00482832">
        <w:rPr>
          <w:lang w:val="en-CA"/>
        </w:rPr>
        <w:t>the</w:t>
      </w:r>
      <w:r w:rsidRPr="00482832">
        <w:rPr>
          <w:lang w:val="en-CA"/>
        </w:rPr>
        <w:t xml:space="preserve"> </w:t>
      </w:r>
      <w:r w:rsidR="0055589F">
        <w:rPr>
          <w:lang w:val="en-CA"/>
        </w:rPr>
        <w:t>Appellant</w:t>
      </w:r>
      <w:r w:rsidRPr="00482832">
        <w:rPr>
          <w:lang w:val="en-CA"/>
        </w:rPr>
        <w:t>s' proposal was filed but</w:t>
      </w:r>
      <w:r w:rsidR="003F64C3">
        <w:rPr>
          <w:lang w:val="en-CA"/>
        </w:rPr>
        <w:t xml:space="preserve"> which </w:t>
      </w:r>
      <w:r w:rsidRPr="00482832">
        <w:rPr>
          <w:lang w:val="en-CA"/>
        </w:rPr>
        <w:t xml:space="preserve">appeared </w:t>
      </w:r>
      <w:r w:rsidR="00DE10BF" w:rsidRPr="00E9088B">
        <w:rPr>
          <w:lang w:val="en-CA"/>
        </w:rPr>
        <w:t xml:space="preserve">long </w:t>
      </w:r>
      <w:r w:rsidRPr="00482832">
        <w:rPr>
          <w:lang w:val="en-CA"/>
        </w:rPr>
        <w:t xml:space="preserve">after the debtor was discharged is a claim provable within the meaning of section 121 of </w:t>
      </w:r>
      <w:r w:rsidR="003F64C3" w:rsidRPr="00482832">
        <w:rPr>
          <w:lang w:val="en-CA"/>
        </w:rPr>
        <w:t>the</w:t>
      </w:r>
      <w:r w:rsidRPr="00482832">
        <w:rPr>
          <w:lang w:val="en-CA"/>
        </w:rPr>
        <w:t xml:space="preserve"> </w:t>
      </w:r>
      <w:r w:rsidRPr="00482832">
        <w:rPr>
          <w:i/>
          <w:lang w:val="en-CA"/>
        </w:rPr>
        <w:t>Bankruptcy and Insolvency Act</w:t>
      </w:r>
      <w:r>
        <w:rPr>
          <w:rStyle w:val="Appelnotedebasdep"/>
        </w:rPr>
        <w:footnoteReference w:id="37"/>
      </w:r>
      <w:r w:rsidRPr="00482832">
        <w:rPr>
          <w:lang w:val="en-CA"/>
        </w:rPr>
        <w:t xml:space="preserve"> (</w:t>
      </w:r>
      <w:r w:rsidRPr="003F64C3">
        <w:rPr>
          <w:i/>
          <w:iCs/>
          <w:lang w:val="en-CA"/>
        </w:rPr>
        <w:t>BIA</w:t>
      </w:r>
      <w:r w:rsidRPr="00482832">
        <w:rPr>
          <w:lang w:val="en-CA"/>
        </w:rPr>
        <w:t xml:space="preserve">) and that the appeal </w:t>
      </w:r>
      <w:r w:rsidR="003F64C3" w:rsidRPr="00482832">
        <w:rPr>
          <w:lang w:val="en-CA"/>
        </w:rPr>
        <w:t>should</w:t>
      </w:r>
      <w:r w:rsidRPr="00482832">
        <w:rPr>
          <w:lang w:val="en-CA"/>
        </w:rPr>
        <w:t xml:space="preserve"> be allowed.</w:t>
      </w:r>
      <w:r w:rsidR="00B363F2" w:rsidRPr="00482832">
        <w:rPr>
          <w:lang w:val="en-CA"/>
        </w:rPr>
        <w:t xml:space="preserve"> </w:t>
      </w:r>
      <w:r w:rsidRPr="00501215">
        <w:rPr>
          <w:lang w:val="en-CA"/>
        </w:rPr>
        <w:t>With respect, I do not share his point of view.</w:t>
      </w:r>
    </w:p>
    <w:p w14:paraId="14725DC4" w14:textId="01EA1C6A" w:rsidR="00B226A6" w:rsidRPr="00482832" w:rsidRDefault="00482832" w:rsidP="00B226A6">
      <w:pPr>
        <w:pStyle w:val="Paragraphe"/>
        <w:spacing w:line="280" w:lineRule="exact"/>
        <w:rPr>
          <w:lang w:val="en-CA"/>
        </w:rPr>
      </w:pPr>
      <w:r w:rsidRPr="00482832">
        <w:rPr>
          <w:lang w:val="en-CA"/>
        </w:rPr>
        <w:t xml:space="preserve">Under sections 121(1) and 135 </w:t>
      </w:r>
      <w:r w:rsidRPr="003F64C3">
        <w:rPr>
          <w:i/>
          <w:iCs/>
          <w:lang w:val="en-CA"/>
        </w:rPr>
        <w:t>BIA</w:t>
      </w:r>
      <w:r w:rsidRPr="00482832">
        <w:rPr>
          <w:lang w:val="en-CA"/>
        </w:rPr>
        <w:t xml:space="preserve">, the </w:t>
      </w:r>
      <w:r w:rsidR="00D259B6">
        <w:rPr>
          <w:lang w:val="en-CA"/>
        </w:rPr>
        <w:t>t</w:t>
      </w:r>
      <w:r w:rsidRPr="00482832">
        <w:rPr>
          <w:lang w:val="en-CA"/>
        </w:rPr>
        <w:t xml:space="preserve">rustee must analyze the claims received and determine whether they may be characterized as </w:t>
      </w:r>
      <w:r w:rsidR="006A2E02">
        <w:rPr>
          <w:lang w:val="en-CA"/>
        </w:rPr>
        <w:t>“</w:t>
      </w:r>
      <w:r w:rsidRPr="00482832">
        <w:rPr>
          <w:lang w:val="en-CA"/>
        </w:rPr>
        <w:t>claims provable</w:t>
      </w:r>
      <w:r w:rsidR="006A2E02">
        <w:rPr>
          <w:lang w:val="en-CA"/>
        </w:rPr>
        <w:t>”</w:t>
      </w:r>
      <w:r w:rsidRPr="00482832">
        <w:rPr>
          <w:lang w:val="en-CA"/>
        </w:rPr>
        <w:t>.</w:t>
      </w:r>
      <w:r w:rsidR="00B363F2" w:rsidRPr="00482832">
        <w:rPr>
          <w:lang w:val="en-CA"/>
        </w:rPr>
        <w:t xml:space="preserve"> </w:t>
      </w:r>
      <w:r w:rsidRPr="00482832">
        <w:rPr>
          <w:lang w:val="en-CA"/>
        </w:rPr>
        <w:t>As my colleague Hamilton</w:t>
      </w:r>
      <w:r w:rsidR="00D259B6">
        <w:rPr>
          <w:lang w:val="en-CA"/>
        </w:rPr>
        <w:t>,</w:t>
      </w:r>
      <w:r w:rsidRPr="00482832">
        <w:rPr>
          <w:lang w:val="en-CA"/>
        </w:rPr>
        <w:t xml:space="preserve"> J.A. explains, the mechanism provided </w:t>
      </w:r>
      <w:r w:rsidR="00D259B6">
        <w:rPr>
          <w:lang w:val="en-CA"/>
        </w:rPr>
        <w:t xml:space="preserve">for </w:t>
      </w:r>
      <w:r w:rsidRPr="00482832">
        <w:rPr>
          <w:lang w:val="en-CA"/>
        </w:rPr>
        <w:t xml:space="preserve">makes it possible to both guarantee the equitable </w:t>
      </w:r>
      <w:r w:rsidR="00D259B6">
        <w:rPr>
          <w:lang w:val="en-CA"/>
        </w:rPr>
        <w:t xml:space="preserve">treatment of </w:t>
      </w:r>
      <w:r w:rsidRPr="00482832">
        <w:rPr>
          <w:lang w:val="en-CA"/>
        </w:rPr>
        <w:t>creditors and the rehabilitation of honest debtors.</w:t>
      </w:r>
      <w:r>
        <w:rPr>
          <w:rStyle w:val="Appelnotedebasdep"/>
        </w:rPr>
        <w:footnoteReference w:id="38"/>
      </w:r>
    </w:p>
    <w:p w14:paraId="0283E593" w14:textId="0101BC3F" w:rsidR="00B226A6" w:rsidRPr="00482832" w:rsidRDefault="00482832" w:rsidP="00B226A6">
      <w:pPr>
        <w:pStyle w:val="Paragraphe"/>
        <w:spacing w:line="280" w:lineRule="exact"/>
        <w:rPr>
          <w:lang w:val="en-CA"/>
        </w:rPr>
      </w:pPr>
      <w:r>
        <w:rPr>
          <w:lang w:val="en-CA"/>
        </w:rPr>
        <w:t>The case law on claims provable is abundant.</w:t>
      </w:r>
      <w:r w:rsidR="00B363F2" w:rsidRPr="00482832">
        <w:rPr>
          <w:lang w:val="en-CA"/>
        </w:rPr>
        <w:t xml:space="preserve"> </w:t>
      </w:r>
      <w:r w:rsidRPr="00501215">
        <w:rPr>
          <w:lang w:val="en-CA"/>
        </w:rPr>
        <w:t xml:space="preserve">With respect to </w:t>
      </w:r>
      <w:r w:rsidR="002D1A66">
        <w:rPr>
          <w:lang w:val="en-CA"/>
        </w:rPr>
        <w:t>a</w:t>
      </w:r>
      <w:r w:rsidRPr="00501215">
        <w:rPr>
          <w:lang w:val="en-CA"/>
        </w:rPr>
        <w:t xml:space="preserve"> claim arising from the warranty for latent defects discovered after the debtor's discharge, in </w:t>
      </w:r>
      <w:r w:rsidRPr="00501215">
        <w:rPr>
          <w:i/>
          <w:lang w:val="en-CA"/>
        </w:rPr>
        <w:t>Axa Assurances</w:t>
      </w:r>
      <w:r w:rsidRPr="00501215">
        <w:rPr>
          <w:lang w:val="en-CA"/>
        </w:rPr>
        <w:t>,</w:t>
      </w:r>
      <w:r w:rsidRPr="00501215">
        <w:rPr>
          <w:rStyle w:val="Appelnotedebasdep"/>
        </w:rPr>
        <w:footnoteReference w:id="39"/>
      </w:r>
      <w:r w:rsidRPr="00501215">
        <w:rPr>
          <w:lang w:val="en-CA"/>
        </w:rPr>
        <w:t xml:space="preserve"> </w:t>
      </w:r>
      <w:r w:rsidR="00B671CB" w:rsidRPr="00501215">
        <w:rPr>
          <w:lang w:val="en-CA"/>
        </w:rPr>
        <w:t>this Court</w:t>
      </w:r>
      <w:r w:rsidR="00B671CB">
        <w:rPr>
          <w:lang w:val="en-CA"/>
        </w:rPr>
        <w:t xml:space="preserve"> </w:t>
      </w:r>
      <w:r w:rsidRPr="00501215">
        <w:rPr>
          <w:lang w:val="en-CA"/>
        </w:rPr>
        <w:t xml:space="preserve">specified the conditions </w:t>
      </w:r>
      <w:r w:rsidR="002D1A66">
        <w:rPr>
          <w:lang w:val="en-CA"/>
        </w:rPr>
        <w:t xml:space="preserve">under </w:t>
      </w:r>
      <w:r w:rsidRPr="00501215">
        <w:rPr>
          <w:lang w:val="en-CA"/>
        </w:rPr>
        <w:t xml:space="preserve">which </w:t>
      </w:r>
      <w:r w:rsidR="002D1A66">
        <w:rPr>
          <w:lang w:val="en-CA"/>
        </w:rPr>
        <w:t xml:space="preserve">it </w:t>
      </w:r>
      <w:r w:rsidRPr="00501215">
        <w:rPr>
          <w:lang w:val="en-CA"/>
        </w:rPr>
        <w:t>may be characterized as a claim</w:t>
      </w:r>
      <w:r w:rsidR="00DE10BF" w:rsidRPr="00E9088B">
        <w:rPr>
          <w:lang w:val="en-CA"/>
        </w:rPr>
        <w:t xml:space="preserve"> provable</w:t>
      </w:r>
      <w:r w:rsidRPr="00501215">
        <w:rPr>
          <w:lang w:val="en-CA"/>
        </w:rPr>
        <w:t>:</w:t>
      </w:r>
      <w:r w:rsidR="00B363F2" w:rsidRPr="00482832">
        <w:rPr>
          <w:lang w:val="en-CA"/>
        </w:rPr>
        <w:t xml:space="preserve"> </w:t>
      </w:r>
    </w:p>
    <w:p w14:paraId="0F706738" w14:textId="3F3133B2" w:rsidR="003655DC" w:rsidRPr="003655DC" w:rsidRDefault="003655DC" w:rsidP="00B226A6">
      <w:pPr>
        <w:pStyle w:val="Citationenretrait"/>
        <w:rPr>
          <w:smallCaps/>
          <w:lang w:val="en-CA"/>
        </w:rPr>
      </w:pPr>
      <w:r>
        <w:rPr>
          <w:lang w:val="en-CA"/>
        </w:rPr>
        <w:t>[</w:t>
      </w:r>
      <w:r w:rsidRPr="007B4D81">
        <w:rPr>
          <w:smallCaps/>
          <w:lang w:val="en-CA"/>
        </w:rPr>
        <w:t>translation</w:t>
      </w:r>
      <w:r>
        <w:rPr>
          <w:lang w:val="en-CA"/>
        </w:rPr>
        <w:t>]</w:t>
      </w:r>
    </w:p>
    <w:p w14:paraId="190AE2D1" w14:textId="3A3DC300" w:rsidR="00B226A6" w:rsidRPr="00AC1AF7" w:rsidRDefault="00AC1AF7" w:rsidP="00B226A6">
      <w:pPr>
        <w:pStyle w:val="Citationenretrait"/>
        <w:rPr>
          <w:lang w:val="en-CA"/>
        </w:rPr>
      </w:pPr>
      <w:r w:rsidRPr="00AC1AF7">
        <w:rPr>
          <w:lang w:val="en-CA"/>
        </w:rPr>
        <w:t>[18]</w:t>
      </w:r>
      <w:r w:rsidR="00B363F2" w:rsidRPr="00AC1AF7">
        <w:rPr>
          <w:lang w:val="en-CA"/>
        </w:rPr>
        <w:tab/>
      </w:r>
      <w:r w:rsidRPr="00501215">
        <w:rPr>
          <w:lang w:val="en-CA"/>
        </w:rPr>
        <w:t xml:space="preserve">A review of the case law reveals that the expression </w:t>
      </w:r>
      <w:r w:rsidR="006A2E02">
        <w:rPr>
          <w:lang w:val="en-CA"/>
        </w:rPr>
        <w:t>“</w:t>
      </w:r>
      <w:r w:rsidRPr="00501215">
        <w:rPr>
          <w:lang w:val="en-CA"/>
        </w:rPr>
        <w:t>provable</w:t>
      </w:r>
      <w:r w:rsidR="009849F5">
        <w:rPr>
          <w:lang w:val="en-CA"/>
        </w:rPr>
        <w:t xml:space="preserve"> claim</w:t>
      </w:r>
      <w:r w:rsidR="006A2E02">
        <w:rPr>
          <w:lang w:val="en-CA"/>
        </w:rPr>
        <w:t>”</w:t>
      </w:r>
      <w:r w:rsidRPr="00501215">
        <w:rPr>
          <w:lang w:val="en-CA"/>
        </w:rPr>
        <w:t xml:space="preserve"> under section 121 BIA require</w:t>
      </w:r>
      <w:r w:rsidR="00AA59E1">
        <w:rPr>
          <w:lang w:val="en-CA"/>
        </w:rPr>
        <w:t>s</w:t>
      </w:r>
      <w:r w:rsidRPr="00501215">
        <w:rPr>
          <w:lang w:val="en-CA"/>
        </w:rPr>
        <w:t xml:space="preserve"> </w:t>
      </w:r>
      <w:r w:rsidRPr="00C74FA8">
        <w:rPr>
          <w:lang w:val="en-CA"/>
        </w:rPr>
        <w:t xml:space="preserve">(1) that </w:t>
      </w:r>
      <w:r w:rsidR="006A2E02" w:rsidRPr="00C74FA8">
        <w:rPr>
          <w:lang w:val="en-CA"/>
        </w:rPr>
        <w:t>“</w:t>
      </w:r>
      <w:r w:rsidRPr="00C74FA8">
        <w:rPr>
          <w:lang w:val="en-CA"/>
        </w:rPr>
        <w:t>all the elements</w:t>
      </w:r>
      <w:r w:rsidR="006A2E02" w:rsidRPr="00C74FA8">
        <w:rPr>
          <w:lang w:val="en-CA"/>
        </w:rPr>
        <w:t>”</w:t>
      </w:r>
      <w:r w:rsidRPr="00C74FA8">
        <w:rPr>
          <w:lang w:val="en-CA"/>
        </w:rPr>
        <w:t xml:space="preserve"> supporting the claim be present before the date of bankruptcy</w:t>
      </w:r>
      <w:r w:rsidRPr="00501215">
        <w:rPr>
          <w:lang w:val="en-CA"/>
        </w:rPr>
        <w:t xml:space="preserve"> (2) that the claim </w:t>
      </w:r>
      <w:r w:rsidR="006A2E02">
        <w:rPr>
          <w:lang w:val="en-CA"/>
        </w:rPr>
        <w:t>“</w:t>
      </w:r>
      <w:r w:rsidRPr="00501215">
        <w:rPr>
          <w:lang w:val="en-CA"/>
        </w:rPr>
        <w:t>have a serious degree of certainty and probability</w:t>
      </w:r>
      <w:r w:rsidR="006A2E02">
        <w:rPr>
          <w:lang w:val="en-CA"/>
        </w:rPr>
        <w:t>”</w:t>
      </w:r>
      <w:r w:rsidRPr="00501215">
        <w:rPr>
          <w:lang w:val="en-CA"/>
        </w:rPr>
        <w:t xml:space="preserve"> and </w:t>
      </w:r>
      <w:r w:rsidRPr="00C74FA8">
        <w:rPr>
          <w:lang w:val="en-CA"/>
        </w:rPr>
        <w:t xml:space="preserve">(3) that the alleged faults and </w:t>
      </w:r>
      <w:r w:rsidR="0068386E" w:rsidRPr="00C74FA8">
        <w:rPr>
          <w:lang w:val="en-CA"/>
        </w:rPr>
        <w:t xml:space="preserve">the </w:t>
      </w:r>
      <w:r w:rsidRPr="00C74FA8">
        <w:rPr>
          <w:lang w:val="en-CA"/>
        </w:rPr>
        <w:t>damages arising therefrom predate the bankruptcy, even if the claim is dispute</w:t>
      </w:r>
      <w:r w:rsidR="00D05F56" w:rsidRPr="00C74FA8">
        <w:rPr>
          <w:lang w:val="en-CA"/>
        </w:rPr>
        <w:t>d</w:t>
      </w:r>
      <w:r w:rsidRPr="00501215">
        <w:rPr>
          <w:lang w:val="en-CA"/>
        </w:rPr>
        <w:t>.</w:t>
      </w:r>
    </w:p>
    <w:p w14:paraId="51AC180F" w14:textId="51F1630B" w:rsidR="00B226A6" w:rsidRPr="00482832" w:rsidRDefault="00482832" w:rsidP="00B226A6">
      <w:pPr>
        <w:spacing w:before="120" w:after="120"/>
        <w:ind w:left="720" w:right="720"/>
        <w:jc w:val="both"/>
        <w:rPr>
          <w:kern w:val="24"/>
          <w:sz w:val="22"/>
          <w:szCs w:val="22"/>
          <w:lang w:val="en-CA"/>
        </w:rPr>
      </w:pPr>
      <w:r w:rsidRPr="00482832">
        <w:rPr>
          <w:kern w:val="24"/>
          <w:sz w:val="22"/>
          <w:szCs w:val="22"/>
          <w:lang w:val="en-CA"/>
        </w:rPr>
        <w:t xml:space="preserve">[19] At the time of Villiard's bankruptcy, </w:t>
      </w:r>
      <w:r w:rsidR="00C52C0A">
        <w:rPr>
          <w:kern w:val="24"/>
          <w:sz w:val="22"/>
          <w:szCs w:val="22"/>
          <w:lang w:val="en-CA"/>
        </w:rPr>
        <w:t xml:space="preserve">in 1987, </w:t>
      </w:r>
      <w:r w:rsidRPr="00482832">
        <w:rPr>
          <w:kern w:val="24"/>
          <w:sz w:val="22"/>
          <w:szCs w:val="22"/>
          <w:lang w:val="en-CA"/>
        </w:rPr>
        <w:t>it would have been impossible for D'Orazio to file a claim with the trustee because he was unaware of the existence of latent defects affecting his home's fireplace.</w:t>
      </w:r>
    </w:p>
    <w:p w14:paraId="5223E7C4" w14:textId="0F2462B8" w:rsidR="00B226A6" w:rsidRPr="00566EA6" w:rsidRDefault="00B35460" w:rsidP="00B226A6">
      <w:pPr>
        <w:pStyle w:val="Citationenretrait"/>
        <w:rPr>
          <w:lang w:val="en-CA"/>
        </w:rPr>
      </w:pPr>
      <w:bookmarkStart w:id="11" w:name="_Hlk128058704"/>
      <w:r w:rsidRPr="00566EA6">
        <w:rPr>
          <w:lang w:val="en-CA"/>
        </w:rPr>
        <w:t>…</w:t>
      </w:r>
    </w:p>
    <w:p w14:paraId="467F2EC2" w14:textId="2C79708F" w:rsidR="00B226A6" w:rsidRPr="00482832" w:rsidRDefault="00482832" w:rsidP="00B226A6">
      <w:pPr>
        <w:pStyle w:val="Citationenretrait"/>
        <w:rPr>
          <w:szCs w:val="22"/>
          <w:vertAlign w:val="superscript"/>
          <w:lang w:val="en-CA"/>
        </w:rPr>
      </w:pPr>
      <w:r w:rsidRPr="00482832">
        <w:rPr>
          <w:lang w:val="en-CA"/>
        </w:rPr>
        <w:t xml:space="preserve">[27] In these circumstances, it </w:t>
      </w:r>
      <w:r w:rsidR="006E5005">
        <w:rPr>
          <w:lang w:val="en-CA"/>
        </w:rPr>
        <w:t xml:space="preserve">must be </w:t>
      </w:r>
      <w:r w:rsidRPr="00482832">
        <w:rPr>
          <w:lang w:val="en-CA"/>
        </w:rPr>
        <w:t>conclude</w:t>
      </w:r>
      <w:r w:rsidR="006E5005">
        <w:rPr>
          <w:lang w:val="en-CA"/>
        </w:rPr>
        <w:t>d</w:t>
      </w:r>
      <w:r w:rsidRPr="00482832">
        <w:rPr>
          <w:lang w:val="en-CA"/>
        </w:rPr>
        <w:t xml:space="preserve"> that Villiard's bankruptcy did not release </w:t>
      </w:r>
      <w:r w:rsidR="00D05F56" w:rsidRPr="00482832">
        <w:rPr>
          <w:lang w:val="en-CA"/>
        </w:rPr>
        <w:t>h</w:t>
      </w:r>
      <w:r w:rsidR="00D05F56">
        <w:rPr>
          <w:lang w:val="en-CA"/>
        </w:rPr>
        <w:t xml:space="preserve">er </w:t>
      </w:r>
      <w:r w:rsidRPr="00482832">
        <w:rPr>
          <w:lang w:val="en-CA"/>
        </w:rPr>
        <w:t xml:space="preserve">from the claim arising from the warranty obligation even though it was </w:t>
      </w:r>
      <w:r w:rsidR="00DE10BF" w:rsidRPr="00E9088B">
        <w:rPr>
          <w:lang w:val="en-CA"/>
        </w:rPr>
        <w:lastRenderedPageBreak/>
        <w:t>an undertaking which predated the bankruptcy</w:t>
      </w:r>
      <w:r w:rsidRPr="00482832">
        <w:rPr>
          <w:lang w:val="en-CA"/>
        </w:rPr>
        <w:t>.</w:t>
      </w:r>
      <w:r w:rsidR="00B363F2" w:rsidRPr="00482832">
        <w:rPr>
          <w:lang w:val="en-CA"/>
        </w:rPr>
        <w:t xml:space="preserve"> </w:t>
      </w:r>
      <w:r w:rsidRPr="00482832">
        <w:rPr>
          <w:lang w:val="en-CA"/>
        </w:rPr>
        <w:t>Because it is not a claim</w:t>
      </w:r>
      <w:r w:rsidR="00DE10BF" w:rsidRPr="00E9088B">
        <w:rPr>
          <w:lang w:val="en-CA"/>
        </w:rPr>
        <w:t xml:space="preserve"> provable</w:t>
      </w:r>
      <w:r w:rsidRPr="00482832">
        <w:rPr>
          <w:lang w:val="en-CA"/>
        </w:rPr>
        <w:t xml:space="preserve">, Villiard continues to be bound by the warranty of quality even after </w:t>
      </w:r>
      <w:r w:rsidR="009C580C" w:rsidRPr="00482832">
        <w:rPr>
          <w:lang w:val="en-CA"/>
        </w:rPr>
        <w:t>h</w:t>
      </w:r>
      <w:r w:rsidR="009C580C">
        <w:rPr>
          <w:lang w:val="en-CA"/>
        </w:rPr>
        <w:t>er</w:t>
      </w:r>
      <w:r w:rsidR="009C580C" w:rsidRPr="00482832">
        <w:rPr>
          <w:lang w:val="en-CA"/>
        </w:rPr>
        <w:t xml:space="preserve"> </w:t>
      </w:r>
      <w:r w:rsidRPr="00482832">
        <w:rPr>
          <w:lang w:val="en-CA"/>
        </w:rPr>
        <w:t>discharge.</w:t>
      </w:r>
      <w:r w:rsidR="00B363F2">
        <w:rPr>
          <w:rStyle w:val="Appelnotedebasdep"/>
          <w:szCs w:val="22"/>
        </w:rPr>
        <w:footnoteReference w:id="40"/>
      </w:r>
    </w:p>
    <w:bookmarkEnd w:id="11"/>
    <w:p w14:paraId="1831992D" w14:textId="49DFF098" w:rsidR="00B226A6" w:rsidRPr="00501215" w:rsidRDefault="00482832" w:rsidP="00B226A6">
      <w:pPr>
        <w:pStyle w:val="Paragraphe"/>
        <w:spacing w:line="280" w:lineRule="exact"/>
        <w:rPr>
          <w:lang w:val="en-CA"/>
        </w:rPr>
      </w:pPr>
      <w:r w:rsidRPr="00501215">
        <w:rPr>
          <w:lang w:val="en-CA"/>
        </w:rPr>
        <w:t xml:space="preserve">In that case, the Court therefore determined that the claim was not a claim </w:t>
      </w:r>
      <w:r w:rsidR="00DE10BF" w:rsidRPr="00E9088B">
        <w:rPr>
          <w:lang w:val="en-CA"/>
        </w:rPr>
        <w:t xml:space="preserve">provable </w:t>
      </w:r>
      <w:r w:rsidRPr="00501215">
        <w:rPr>
          <w:lang w:val="en-CA"/>
        </w:rPr>
        <w:t xml:space="preserve">because the </w:t>
      </w:r>
      <w:r w:rsidR="009C580C">
        <w:rPr>
          <w:lang w:val="en-CA"/>
        </w:rPr>
        <w:t xml:space="preserve">existence of the </w:t>
      </w:r>
      <w:r w:rsidRPr="00501215">
        <w:rPr>
          <w:lang w:val="en-CA"/>
        </w:rPr>
        <w:t>latent defect could not have been suspected on the date of the bankruptcy.</w:t>
      </w:r>
    </w:p>
    <w:p w14:paraId="41CE1EE0" w14:textId="27EC86F9" w:rsidR="00B226A6" w:rsidRDefault="00482832" w:rsidP="00B226A6">
      <w:pPr>
        <w:pStyle w:val="Paragraphe"/>
        <w:spacing w:line="280" w:lineRule="exact"/>
      </w:pPr>
      <w:r w:rsidRPr="00482832">
        <w:rPr>
          <w:lang w:val="en-CA"/>
        </w:rPr>
        <w:t>Since then, the Supreme Court</w:t>
      </w:r>
      <w:r w:rsidR="00432829">
        <w:rPr>
          <w:lang w:val="en-CA"/>
        </w:rPr>
        <w:t>,</w:t>
      </w:r>
      <w:r w:rsidRPr="00482832">
        <w:rPr>
          <w:lang w:val="en-CA"/>
        </w:rPr>
        <w:t xml:space="preserve"> in </w:t>
      </w:r>
      <w:r w:rsidRPr="00482832">
        <w:rPr>
          <w:i/>
          <w:lang w:val="en-CA"/>
        </w:rPr>
        <w:t>AbitibiBowater</w:t>
      </w:r>
      <w:r w:rsidR="00432829">
        <w:rPr>
          <w:iCs/>
          <w:lang w:val="en-CA"/>
        </w:rPr>
        <w:t>,</w:t>
      </w:r>
      <w:r w:rsidRPr="00482832">
        <w:rPr>
          <w:i/>
          <w:lang w:val="en-CA"/>
        </w:rPr>
        <w:t xml:space="preserve"> </w:t>
      </w:r>
      <w:r w:rsidRPr="00482832">
        <w:rPr>
          <w:lang w:val="en-CA"/>
        </w:rPr>
        <w:t xml:space="preserve">reviewed the interpretation that sections 121(1) and 135(1.1) </w:t>
      </w:r>
      <w:r w:rsidRPr="00296FB4">
        <w:rPr>
          <w:i/>
          <w:iCs/>
          <w:lang w:val="en-CA"/>
        </w:rPr>
        <w:t>BIA</w:t>
      </w:r>
      <w:r w:rsidRPr="00482832">
        <w:rPr>
          <w:lang w:val="en-CA"/>
        </w:rPr>
        <w:t xml:space="preserve"> should receive and</w:t>
      </w:r>
      <w:r w:rsidR="001853EC">
        <w:rPr>
          <w:lang w:val="en-CA"/>
        </w:rPr>
        <w:t>,</w:t>
      </w:r>
      <w:r w:rsidRPr="00482832">
        <w:rPr>
          <w:lang w:val="en-CA"/>
        </w:rPr>
        <w:t xml:space="preserve"> more particularly, the conditions to </w:t>
      </w:r>
      <w:r w:rsidR="001853EC">
        <w:rPr>
          <w:lang w:val="en-CA"/>
        </w:rPr>
        <w:t xml:space="preserve">be </w:t>
      </w:r>
      <w:r w:rsidRPr="00482832">
        <w:rPr>
          <w:lang w:val="en-CA"/>
        </w:rPr>
        <w:t>met for a claim to be characterized as provable.</w:t>
      </w:r>
      <w:r w:rsidR="00B363F2" w:rsidRPr="00482832">
        <w:rPr>
          <w:lang w:val="en-CA"/>
        </w:rPr>
        <w:t xml:space="preserve"> </w:t>
      </w:r>
      <w:r w:rsidRPr="00501215">
        <w:t>Deschamps</w:t>
      </w:r>
      <w:r w:rsidR="00095BD7">
        <w:t>,</w:t>
      </w:r>
      <w:r w:rsidRPr="00501215">
        <w:t xml:space="preserve"> J., for the majority, wrote:</w:t>
      </w:r>
    </w:p>
    <w:p w14:paraId="1B8354D0" w14:textId="3802CF15" w:rsidR="00B226A6" w:rsidRPr="00FF718D" w:rsidRDefault="00CE401F" w:rsidP="00B226A6">
      <w:pPr>
        <w:pStyle w:val="Citationenretrait"/>
        <w:spacing w:after="0"/>
        <w:rPr>
          <w:lang w:val="en-CA"/>
        </w:rPr>
      </w:pPr>
      <w:r w:rsidRPr="00AC1AF7">
        <w:rPr>
          <w:lang w:val="en-CA"/>
        </w:rPr>
        <w:t>[26]</w:t>
      </w:r>
      <w:r w:rsidR="00B363F2" w:rsidRPr="00AC1AF7">
        <w:rPr>
          <w:lang w:val="en-CA"/>
        </w:rPr>
        <w:tab/>
      </w:r>
      <w:r w:rsidR="00AC1AF7" w:rsidRPr="00501215">
        <w:rPr>
          <w:lang w:val="en-CA"/>
        </w:rPr>
        <w:t>These provisions highlight three requirements that are relevant to the case at bar.</w:t>
      </w:r>
      <w:r w:rsidR="00B363F2" w:rsidRPr="00AC1AF7">
        <w:rPr>
          <w:lang w:val="en-CA"/>
        </w:rPr>
        <w:t xml:space="preserve"> </w:t>
      </w:r>
      <w:r w:rsidR="00AC1AF7" w:rsidRPr="00501215">
        <w:rPr>
          <w:lang w:val="en-CA"/>
        </w:rPr>
        <w:t xml:space="preserve">First, there must be a debt, a liability or an obligation to a creditor. </w:t>
      </w:r>
      <w:r w:rsidR="00AC1AF7" w:rsidRPr="00A04C46">
        <w:rPr>
          <w:lang w:val="en-CA"/>
        </w:rPr>
        <w:t xml:space="preserve">Second, the debt, liability or obligation must be incurred </w:t>
      </w:r>
      <w:r w:rsidR="00AC1AF7" w:rsidRPr="00A04C46">
        <w:rPr>
          <w:iCs/>
          <w:lang w:val="en-CA"/>
        </w:rPr>
        <w:t>before the debtor becomes bankrupt</w:t>
      </w:r>
      <w:r w:rsidR="00AC1AF7" w:rsidRPr="00501215">
        <w:rPr>
          <w:lang w:val="en-CA"/>
        </w:rPr>
        <w:t>.</w:t>
      </w:r>
      <w:r w:rsidR="00B363F2" w:rsidRPr="00AC1AF7">
        <w:rPr>
          <w:lang w:val="en-CA"/>
        </w:rPr>
        <w:t xml:space="preserve"> </w:t>
      </w:r>
      <w:r w:rsidR="00AC1AF7" w:rsidRPr="00501215">
        <w:rPr>
          <w:u w:val="single"/>
          <w:lang w:val="en-CA"/>
        </w:rPr>
        <w:t>Third, it must be possible to attach a monetary value to the debt, liability or obligation</w:t>
      </w:r>
      <w:r w:rsidR="00AC1AF7" w:rsidRPr="00296FB4">
        <w:rPr>
          <w:lang w:val="en-CA"/>
        </w:rPr>
        <w:t xml:space="preserve">. </w:t>
      </w:r>
      <w:r w:rsidR="00AC1AF7" w:rsidRPr="00501215">
        <w:rPr>
          <w:lang w:val="en-CA"/>
        </w:rPr>
        <w:t>I will examine each of these requirements in turn.</w:t>
      </w:r>
      <w:r w:rsidR="00B363F2">
        <w:rPr>
          <w:rStyle w:val="Appelnotedebasdep"/>
        </w:rPr>
        <w:footnoteReference w:id="41"/>
      </w:r>
    </w:p>
    <w:p w14:paraId="18597673" w14:textId="5ECF1D30" w:rsidR="00B226A6" w:rsidRPr="00501215" w:rsidRDefault="00B35460" w:rsidP="00B226A6">
      <w:pPr>
        <w:pStyle w:val="Citationenretrait"/>
        <w:spacing w:before="0"/>
        <w:jc w:val="right"/>
        <w:rPr>
          <w:lang w:val="en-CA"/>
        </w:rPr>
      </w:pPr>
      <w:r w:rsidRPr="00501215">
        <w:rPr>
          <w:rFonts w:cs="Arial"/>
          <w:lang w:val="en-CA"/>
        </w:rPr>
        <w:t>[Emphasis added]</w:t>
      </w:r>
    </w:p>
    <w:p w14:paraId="3B21C6CF" w14:textId="405B94AB" w:rsidR="00B226A6" w:rsidRPr="00FF718D" w:rsidRDefault="00FF718D" w:rsidP="00B226A6">
      <w:pPr>
        <w:pStyle w:val="Paragraphe"/>
        <w:spacing w:line="280" w:lineRule="exact"/>
        <w:rPr>
          <w:lang w:val="en-CA"/>
        </w:rPr>
      </w:pPr>
      <w:r w:rsidRPr="00FF718D">
        <w:rPr>
          <w:lang w:val="en-CA"/>
        </w:rPr>
        <w:t>Deschamps</w:t>
      </w:r>
      <w:r w:rsidR="00520231">
        <w:rPr>
          <w:lang w:val="en-CA"/>
        </w:rPr>
        <w:t>,</w:t>
      </w:r>
      <w:r w:rsidRPr="00FF718D">
        <w:rPr>
          <w:lang w:val="en-CA"/>
        </w:rPr>
        <w:t xml:space="preserve"> J. reiterated the </w:t>
      </w:r>
      <w:r w:rsidR="00296FB4" w:rsidRPr="00FF718D">
        <w:rPr>
          <w:lang w:val="en-CA"/>
        </w:rPr>
        <w:t>particular</w:t>
      </w:r>
      <w:r w:rsidRPr="00FF718D">
        <w:rPr>
          <w:lang w:val="en-CA"/>
        </w:rPr>
        <w:t xml:space="preserve"> approach of the </w:t>
      </w:r>
      <w:r w:rsidRPr="00296FB4">
        <w:rPr>
          <w:i/>
          <w:iCs/>
          <w:lang w:val="en-CA"/>
        </w:rPr>
        <w:t>BIA</w:t>
      </w:r>
      <w:r w:rsidRPr="00FF718D">
        <w:rPr>
          <w:lang w:val="en-CA"/>
        </w:rPr>
        <w:t xml:space="preserve"> that </w:t>
      </w:r>
      <w:r w:rsidR="00296FB4" w:rsidRPr="00FF718D">
        <w:rPr>
          <w:lang w:val="en-CA"/>
        </w:rPr>
        <w:t>makes</w:t>
      </w:r>
      <w:r w:rsidRPr="00FF718D">
        <w:rPr>
          <w:lang w:val="en-CA"/>
        </w:rPr>
        <w:t xml:space="preserve"> it possible to </w:t>
      </w:r>
      <w:r w:rsidR="00520231">
        <w:rPr>
          <w:lang w:val="en-CA"/>
        </w:rPr>
        <w:t xml:space="preserve">assert </w:t>
      </w:r>
      <w:r w:rsidRPr="00FF718D">
        <w:rPr>
          <w:lang w:val="en-CA"/>
        </w:rPr>
        <w:t>a claim in insolvency proceedings, even if it is depend</w:t>
      </w:r>
      <w:r w:rsidR="00520231">
        <w:rPr>
          <w:lang w:val="en-CA"/>
        </w:rPr>
        <w:t>e</w:t>
      </w:r>
      <w:r w:rsidRPr="00FF718D">
        <w:rPr>
          <w:lang w:val="en-CA"/>
        </w:rPr>
        <w:t xml:space="preserve">nt on an event that has not yet </w:t>
      </w:r>
      <w:r w:rsidR="00793F64">
        <w:rPr>
          <w:lang w:val="en-CA"/>
        </w:rPr>
        <w:t>occurred</w:t>
      </w:r>
      <w:r w:rsidRPr="00FF718D">
        <w:rPr>
          <w:lang w:val="en-CA"/>
        </w:rPr>
        <w:t xml:space="preserve">, contrary to common </w:t>
      </w:r>
      <w:r w:rsidR="00F558E3">
        <w:rPr>
          <w:lang w:val="en-CA"/>
        </w:rPr>
        <w:t xml:space="preserve">law </w:t>
      </w:r>
      <w:r w:rsidRPr="00FF718D">
        <w:rPr>
          <w:lang w:val="en-CA"/>
        </w:rPr>
        <w:t>and civil law rules.</w:t>
      </w:r>
      <w:r>
        <w:rPr>
          <w:rStyle w:val="Appelnotedebasdep"/>
        </w:rPr>
        <w:footnoteReference w:id="42"/>
      </w:r>
      <w:r w:rsidR="00B363F2" w:rsidRPr="00FF718D">
        <w:rPr>
          <w:lang w:val="en-CA"/>
        </w:rPr>
        <w:t xml:space="preserve"> </w:t>
      </w:r>
      <w:r w:rsidRPr="00FF718D">
        <w:rPr>
          <w:lang w:val="en-CA"/>
        </w:rPr>
        <w:t>She point</w:t>
      </w:r>
      <w:r w:rsidR="008B0742">
        <w:rPr>
          <w:lang w:val="en-CA"/>
        </w:rPr>
        <w:t>ed</w:t>
      </w:r>
      <w:r w:rsidRPr="00FF718D">
        <w:rPr>
          <w:lang w:val="en-CA"/>
        </w:rPr>
        <w:t xml:space="preserve"> out that this ensure</w:t>
      </w:r>
      <w:r w:rsidR="00296FB4">
        <w:rPr>
          <w:lang w:val="en-CA"/>
        </w:rPr>
        <w:t>s</w:t>
      </w:r>
      <w:r w:rsidRPr="00FF718D">
        <w:rPr>
          <w:lang w:val="en-CA"/>
        </w:rPr>
        <w:t xml:space="preserve"> equity between creditors and the </w:t>
      </w:r>
      <w:r w:rsidR="008B0742">
        <w:rPr>
          <w:lang w:val="en-CA"/>
        </w:rPr>
        <w:t>finality</w:t>
      </w:r>
      <w:r w:rsidRPr="00FF718D">
        <w:rPr>
          <w:lang w:val="en-CA"/>
        </w:rPr>
        <w:t xml:space="preserve"> of </w:t>
      </w:r>
      <w:r w:rsidR="00296FB4" w:rsidRPr="00FF718D">
        <w:rPr>
          <w:lang w:val="en-CA"/>
        </w:rPr>
        <w:t>the</w:t>
      </w:r>
      <w:r w:rsidRPr="00FF718D">
        <w:rPr>
          <w:lang w:val="en-CA"/>
        </w:rPr>
        <w:t xml:space="preserve"> insolvency proceeding for the debtor</w:t>
      </w:r>
      <w:r w:rsidR="008B0742">
        <w:rPr>
          <w:lang w:val="en-CA"/>
        </w:rPr>
        <w:t>,</w:t>
      </w:r>
      <w:r w:rsidRPr="00FF718D">
        <w:rPr>
          <w:lang w:val="en-CA"/>
        </w:rPr>
        <w:t xml:space="preserve"> who may </w:t>
      </w:r>
      <w:r w:rsidR="00296FB4">
        <w:rPr>
          <w:lang w:val="en-CA"/>
        </w:rPr>
        <w:t>t</w:t>
      </w:r>
      <w:r w:rsidRPr="00FF718D">
        <w:rPr>
          <w:lang w:val="en-CA"/>
        </w:rPr>
        <w:t>h</w:t>
      </w:r>
      <w:r w:rsidR="00296FB4">
        <w:rPr>
          <w:lang w:val="en-CA"/>
        </w:rPr>
        <w:t>e</w:t>
      </w:r>
      <w:r w:rsidRPr="00FF718D">
        <w:rPr>
          <w:lang w:val="en-CA"/>
        </w:rPr>
        <w:t xml:space="preserve">n benefit from a </w:t>
      </w:r>
      <w:r w:rsidR="008B0742">
        <w:rPr>
          <w:lang w:val="en-CA"/>
        </w:rPr>
        <w:t xml:space="preserve">fresh </w:t>
      </w:r>
      <w:r w:rsidRPr="00FF718D">
        <w:rPr>
          <w:lang w:val="en-CA"/>
        </w:rPr>
        <w:t>start.</w:t>
      </w:r>
      <w:r>
        <w:rPr>
          <w:rStyle w:val="Appelnotedebasdep"/>
        </w:rPr>
        <w:footnoteReference w:id="43"/>
      </w:r>
    </w:p>
    <w:p w14:paraId="19D4D369" w14:textId="445B41F1" w:rsidR="00B226A6" w:rsidRPr="00FF718D" w:rsidRDefault="00FF718D" w:rsidP="00B226A6">
      <w:pPr>
        <w:pStyle w:val="Paragraphe"/>
        <w:spacing w:line="280" w:lineRule="exact"/>
        <w:rPr>
          <w:lang w:val="en-CA"/>
        </w:rPr>
      </w:pPr>
      <w:r w:rsidRPr="00FF718D">
        <w:rPr>
          <w:lang w:val="en-CA"/>
        </w:rPr>
        <w:t xml:space="preserve">In the first part of paragraph [36] of </w:t>
      </w:r>
      <w:r w:rsidRPr="00FF718D">
        <w:rPr>
          <w:i/>
          <w:lang w:val="en-CA"/>
        </w:rPr>
        <w:t>AbitibiBowater</w:t>
      </w:r>
      <w:r w:rsidRPr="00FF718D">
        <w:rPr>
          <w:lang w:val="en-CA"/>
        </w:rPr>
        <w:t>, Deschamps</w:t>
      </w:r>
      <w:r w:rsidR="001D692B">
        <w:rPr>
          <w:lang w:val="en-CA"/>
        </w:rPr>
        <w:t>,</w:t>
      </w:r>
      <w:r w:rsidRPr="00FF718D">
        <w:rPr>
          <w:lang w:val="en-CA"/>
        </w:rPr>
        <w:t xml:space="preserve"> J. </w:t>
      </w:r>
      <w:r w:rsidR="00D55C57">
        <w:rPr>
          <w:lang w:val="en-CA"/>
        </w:rPr>
        <w:t>referred to</w:t>
      </w:r>
      <w:r w:rsidRPr="00FF718D">
        <w:rPr>
          <w:lang w:val="en-CA"/>
        </w:rPr>
        <w:t xml:space="preserve"> the criterion accepted by </w:t>
      </w:r>
      <w:r w:rsidR="00296FB4" w:rsidRPr="00FF718D">
        <w:rPr>
          <w:lang w:val="en-CA"/>
        </w:rPr>
        <w:t>the</w:t>
      </w:r>
      <w:r w:rsidRPr="00FF718D">
        <w:rPr>
          <w:lang w:val="en-CA"/>
        </w:rPr>
        <w:t xml:space="preserve"> courts to decide whether a contingent claim </w:t>
      </w:r>
      <w:r w:rsidR="00D543AC">
        <w:rPr>
          <w:lang w:val="en-CA"/>
        </w:rPr>
        <w:t xml:space="preserve">can </w:t>
      </w:r>
      <w:r w:rsidRPr="00FF718D">
        <w:rPr>
          <w:lang w:val="en-CA"/>
        </w:rPr>
        <w:t>be included in the insolvency process</w:t>
      </w:r>
      <w:r w:rsidR="00D543AC">
        <w:rPr>
          <w:lang w:val="en-CA"/>
        </w:rPr>
        <w:t xml:space="preserve"> –</w:t>
      </w:r>
      <w:r w:rsidRPr="00FF718D">
        <w:rPr>
          <w:lang w:val="en-CA"/>
        </w:rPr>
        <w:t xml:space="preserve"> that is, </w:t>
      </w:r>
      <w:r w:rsidR="00261BA0">
        <w:rPr>
          <w:lang w:val="en-CA"/>
        </w:rPr>
        <w:t xml:space="preserve">that </w:t>
      </w:r>
      <w:r w:rsidR="00296FB4" w:rsidRPr="00FF718D">
        <w:rPr>
          <w:lang w:val="en-CA"/>
        </w:rPr>
        <w:t>the</w:t>
      </w:r>
      <w:r w:rsidRPr="00FF718D">
        <w:rPr>
          <w:lang w:val="en-CA"/>
        </w:rPr>
        <w:t xml:space="preserve"> event not be too remote or speculative.</w:t>
      </w:r>
      <w:r w:rsidR="00B363F2" w:rsidRPr="00FF718D">
        <w:rPr>
          <w:lang w:val="en-CA"/>
        </w:rPr>
        <w:t xml:space="preserve"> </w:t>
      </w:r>
      <w:r w:rsidRPr="00FF718D">
        <w:rPr>
          <w:lang w:val="en-CA"/>
        </w:rPr>
        <w:t xml:space="preserve">She then </w:t>
      </w:r>
      <w:r w:rsidR="00956CF7">
        <w:rPr>
          <w:lang w:val="en-CA"/>
        </w:rPr>
        <w:t xml:space="preserve">specified </w:t>
      </w:r>
      <w:r w:rsidRPr="00FF718D">
        <w:rPr>
          <w:lang w:val="en-CA"/>
        </w:rPr>
        <w:t xml:space="preserve">how this criterion </w:t>
      </w:r>
      <w:r w:rsidR="00296FB4" w:rsidRPr="00FF718D">
        <w:rPr>
          <w:lang w:val="en-CA"/>
        </w:rPr>
        <w:t>must</w:t>
      </w:r>
      <w:r w:rsidRPr="00FF718D">
        <w:rPr>
          <w:lang w:val="en-CA"/>
        </w:rPr>
        <w:t xml:space="preserve"> be applied in the context of an environmental order:</w:t>
      </w:r>
    </w:p>
    <w:p w14:paraId="14BF1F51" w14:textId="3A0F236F" w:rsidR="00B226A6" w:rsidRPr="00046DBE" w:rsidRDefault="00046DBE" w:rsidP="00B226A6">
      <w:pPr>
        <w:pStyle w:val="Citationenretrait"/>
        <w:spacing w:after="0"/>
        <w:rPr>
          <w:lang w:val="en-CA"/>
        </w:rPr>
      </w:pPr>
      <w:r w:rsidRPr="00FF718D">
        <w:rPr>
          <w:lang w:val="en-CA"/>
        </w:rPr>
        <w:t>[36]</w:t>
      </w:r>
      <w:r w:rsidR="00B363F2" w:rsidRPr="00FF718D">
        <w:rPr>
          <w:lang w:val="en-CA"/>
        </w:rPr>
        <w:tab/>
      </w:r>
      <w:r w:rsidR="00FF718D" w:rsidRPr="00FF718D">
        <w:rPr>
          <w:u w:val="single"/>
          <w:lang w:val="en-CA"/>
        </w:rPr>
        <w:t>The criterion used by courts to determine whether a contingent claim will be included in the insolvency process is whether the event that has not yet occurred is too remote or speculative</w:t>
      </w:r>
      <w:r w:rsidR="00FF718D" w:rsidRPr="00FF718D">
        <w:rPr>
          <w:lang w:val="en-CA"/>
        </w:rPr>
        <w:t>. (</w:t>
      </w:r>
      <w:r w:rsidR="00FF718D" w:rsidRPr="00FF718D">
        <w:rPr>
          <w:i/>
          <w:lang w:val="en-CA"/>
        </w:rPr>
        <w:t>Confederation Treasury Services Ltd.</w:t>
      </w:r>
      <w:r w:rsidR="00FF718D" w:rsidRPr="00501215">
        <w:rPr>
          <w:iCs/>
          <w:lang w:val="en-CA"/>
        </w:rPr>
        <w:t xml:space="preserve"> </w:t>
      </w:r>
      <w:r w:rsidR="00FF718D" w:rsidRPr="00501215">
        <w:rPr>
          <w:i/>
          <w:iCs/>
          <w:lang w:val="en-CA"/>
        </w:rPr>
        <w:t>(Bankrupt)</w:t>
      </w:r>
      <w:r w:rsidR="00FF718D" w:rsidRPr="00501215">
        <w:rPr>
          <w:iCs/>
          <w:lang w:val="en-CA"/>
        </w:rPr>
        <w:t xml:space="preserve">, </w:t>
      </w:r>
      <w:r w:rsidR="00FF718D" w:rsidRPr="00501215">
        <w:rPr>
          <w:i/>
          <w:iCs/>
          <w:lang w:val="en-CA"/>
        </w:rPr>
        <w:t>Re</w:t>
      </w:r>
      <w:r w:rsidR="00FF718D" w:rsidRPr="00501215">
        <w:rPr>
          <w:iCs/>
          <w:lang w:val="en-CA"/>
        </w:rPr>
        <w:t xml:space="preserve"> (1997), 96 O.A.C. 75).</w:t>
      </w:r>
      <w:r w:rsidR="00B363F2" w:rsidRPr="00FF718D">
        <w:rPr>
          <w:lang w:val="en-CA"/>
        </w:rPr>
        <w:t xml:space="preserve"> </w:t>
      </w:r>
      <w:r w:rsidRPr="00501215">
        <w:rPr>
          <w:lang w:val="en-CA"/>
        </w:rPr>
        <w:t xml:space="preserve">In the context of an environmental order, this means </w:t>
      </w:r>
      <w:r w:rsidRPr="00A04C46">
        <w:rPr>
          <w:lang w:val="en-CA"/>
        </w:rPr>
        <w:t>that there must be sufficient indications that the regulatory body that triggered the enforcement mechanism will ultimately perform remediation work and assert a monetary claim to have its costs reimbursed</w:t>
      </w:r>
      <w:r w:rsidRPr="00501215">
        <w:rPr>
          <w:lang w:val="en-CA"/>
        </w:rPr>
        <w:t>.</w:t>
      </w:r>
      <w:r w:rsidR="00B363F2" w:rsidRPr="00046DBE">
        <w:rPr>
          <w:lang w:val="en-CA"/>
        </w:rPr>
        <w:t xml:space="preserve"> </w:t>
      </w:r>
      <w:r w:rsidRPr="00501215">
        <w:rPr>
          <w:lang w:val="en-CA"/>
        </w:rPr>
        <w:t>If there is sufficient certainty in this regard, the court will conclude that the order can be subjected to the insolvency process.</w:t>
      </w:r>
      <w:r w:rsidR="00B363F2">
        <w:rPr>
          <w:rStyle w:val="Appelnotedebasdep"/>
        </w:rPr>
        <w:footnoteReference w:id="44"/>
      </w:r>
    </w:p>
    <w:p w14:paraId="03211470" w14:textId="7BFDA46C" w:rsidR="00B226A6" w:rsidRPr="00501215" w:rsidRDefault="00B35460" w:rsidP="00B226A6">
      <w:pPr>
        <w:pStyle w:val="Citationenretrait"/>
        <w:spacing w:before="0"/>
        <w:jc w:val="right"/>
      </w:pPr>
      <w:r w:rsidRPr="00501215">
        <w:rPr>
          <w:rFonts w:cs="Arial"/>
        </w:rPr>
        <w:lastRenderedPageBreak/>
        <w:t>[Emphasis added]</w:t>
      </w:r>
    </w:p>
    <w:p w14:paraId="2719AE08" w14:textId="1BBA4A0C" w:rsidR="00B226A6" w:rsidRPr="00FF718D" w:rsidRDefault="00FF718D" w:rsidP="00B226A6">
      <w:pPr>
        <w:pStyle w:val="Paragraphe"/>
        <w:spacing w:line="280" w:lineRule="exact"/>
        <w:rPr>
          <w:lang w:val="en-CA"/>
        </w:rPr>
      </w:pPr>
      <w:r w:rsidRPr="00FF718D">
        <w:rPr>
          <w:lang w:val="en-CA"/>
        </w:rPr>
        <w:t>It clearly appears</w:t>
      </w:r>
      <w:r w:rsidR="00975FF5">
        <w:rPr>
          <w:lang w:val="en-CA"/>
        </w:rPr>
        <w:t xml:space="preserve"> both</w:t>
      </w:r>
      <w:r w:rsidRPr="00FF718D">
        <w:rPr>
          <w:lang w:val="en-CA"/>
        </w:rPr>
        <w:t xml:space="preserve"> from paragraph [26] and </w:t>
      </w:r>
      <w:r w:rsidR="00975FF5">
        <w:rPr>
          <w:lang w:val="en-CA"/>
        </w:rPr>
        <w:t xml:space="preserve">from paragraph </w:t>
      </w:r>
      <w:r w:rsidRPr="00FF718D">
        <w:rPr>
          <w:lang w:val="en-CA"/>
        </w:rPr>
        <w:t>[36] of</w:t>
      </w:r>
      <w:r w:rsidRPr="00FF718D">
        <w:rPr>
          <w:i/>
          <w:lang w:val="en-CA"/>
        </w:rPr>
        <w:t xml:space="preserve"> AbitibiBowater</w:t>
      </w:r>
      <w:r w:rsidRPr="00FF718D">
        <w:rPr>
          <w:lang w:val="en-CA"/>
        </w:rPr>
        <w:t xml:space="preserve"> that the principles set out in that </w:t>
      </w:r>
      <w:r w:rsidR="006D534F" w:rsidRPr="00FF718D">
        <w:rPr>
          <w:lang w:val="en-CA"/>
        </w:rPr>
        <w:t>judgment</w:t>
      </w:r>
      <w:r w:rsidR="00052608">
        <w:rPr>
          <w:lang w:val="en-CA"/>
        </w:rPr>
        <w:t xml:space="preserve"> do not</w:t>
      </w:r>
      <w:r w:rsidRPr="00FF718D">
        <w:rPr>
          <w:lang w:val="en-CA"/>
        </w:rPr>
        <w:t xml:space="preserve"> </w:t>
      </w:r>
      <w:r w:rsidR="0073019C" w:rsidRPr="00FF718D">
        <w:rPr>
          <w:lang w:val="en-CA"/>
        </w:rPr>
        <w:t>apply</w:t>
      </w:r>
      <w:r w:rsidRPr="00FF718D">
        <w:rPr>
          <w:lang w:val="en-CA"/>
        </w:rPr>
        <w:t xml:space="preserve"> </w:t>
      </w:r>
      <w:r w:rsidR="002A227D">
        <w:rPr>
          <w:lang w:val="en-CA"/>
        </w:rPr>
        <w:t xml:space="preserve">solely </w:t>
      </w:r>
      <w:r w:rsidRPr="00FF718D">
        <w:rPr>
          <w:lang w:val="en-CA"/>
        </w:rPr>
        <w:t>to environmental orders, as my colleague Hamilton</w:t>
      </w:r>
      <w:r w:rsidR="00975FF5">
        <w:rPr>
          <w:lang w:val="en-CA"/>
        </w:rPr>
        <w:t>,</w:t>
      </w:r>
      <w:r w:rsidRPr="00FF718D">
        <w:rPr>
          <w:lang w:val="en-CA"/>
        </w:rPr>
        <w:t xml:space="preserve"> J.A. would like </w:t>
      </w:r>
      <w:r w:rsidR="00052608">
        <w:rPr>
          <w:lang w:val="en-CA"/>
        </w:rPr>
        <w:t xml:space="preserve">them </w:t>
      </w:r>
      <w:r w:rsidRPr="00FF718D">
        <w:rPr>
          <w:lang w:val="en-CA"/>
        </w:rPr>
        <w:t xml:space="preserve">to, but to all contingent claims within the meaning of section 121(1) </w:t>
      </w:r>
      <w:r w:rsidRPr="00743D24">
        <w:rPr>
          <w:i/>
          <w:iCs/>
          <w:lang w:val="en-CA"/>
        </w:rPr>
        <w:t>BIA</w:t>
      </w:r>
      <w:r w:rsidRPr="00FF718D">
        <w:rPr>
          <w:lang w:val="en-CA"/>
        </w:rPr>
        <w:t>.</w:t>
      </w:r>
      <w:r w:rsidR="00B363F2" w:rsidRPr="00FF718D">
        <w:rPr>
          <w:lang w:val="en-CA"/>
        </w:rPr>
        <w:t xml:space="preserve"> </w:t>
      </w:r>
      <w:r w:rsidRPr="00FF718D">
        <w:rPr>
          <w:lang w:val="en-CA"/>
        </w:rPr>
        <w:t xml:space="preserve">In every case, </w:t>
      </w:r>
      <w:r w:rsidR="006D534F" w:rsidRPr="00FF718D">
        <w:rPr>
          <w:lang w:val="en-CA"/>
        </w:rPr>
        <w:t>the</w:t>
      </w:r>
      <w:r w:rsidRPr="00FF718D">
        <w:rPr>
          <w:lang w:val="en-CA"/>
        </w:rPr>
        <w:t xml:space="preserve"> contingent claim </w:t>
      </w:r>
      <w:r w:rsidR="008A7237">
        <w:rPr>
          <w:lang w:val="en-CA"/>
        </w:rPr>
        <w:t xml:space="preserve">must </w:t>
      </w:r>
      <w:r w:rsidRPr="00FF718D">
        <w:rPr>
          <w:lang w:val="en-CA"/>
        </w:rPr>
        <w:t>not be too remote or speculative for it to be included in the insolvency process.</w:t>
      </w:r>
      <w:r w:rsidR="00B363F2" w:rsidRPr="00FF718D">
        <w:rPr>
          <w:lang w:val="en-CA"/>
        </w:rPr>
        <w:t xml:space="preserve"> </w:t>
      </w:r>
      <w:r w:rsidRPr="00501215">
        <w:rPr>
          <w:lang w:val="en-CA"/>
        </w:rPr>
        <w:t>Moreover, it must be possible to attach a monetary value to it.</w:t>
      </w:r>
      <w:r w:rsidR="00B363F2" w:rsidRPr="00FF718D">
        <w:rPr>
          <w:lang w:val="en-CA"/>
        </w:rPr>
        <w:t xml:space="preserve"> </w:t>
      </w:r>
      <w:r w:rsidRPr="00501215">
        <w:rPr>
          <w:lang w:val="en-CA"/>
        </w:rPr>
        <w:t>The case law is clear in this regard.</w:t>
      </w:r>
    </w:p>
    <w:p w14:paraId="1F363C3B" w14:textId="6DCD35DE" w:rsidR="00B226A6" w:rsidRPr="00FF718D" w:rsidRDefault="00FF718D" w:rsidP="00B226A6">
      <w:pPr>
        <w:pStyle w:val="Paragraphe"/>
        <w:spacing w:line="280" w:lineRule="exact"/>
        <w:rPr>
          <w:lang w:val="en-CA"/>
        </w:rPr>
      </w:pPr>
      <w:r w:rsidRPr="00FF718D">
        <w:rPr>
          <w:lang w:val="en-CA"/>
        </w:rPr>
        <w:t xml:space="preserve">In fact, a few years after </w:t>
      </w:r>
      <w:r w:rsidRPr="00FF718D">
        <w:rPr>
          <w:i/>
          <w:lang w:val="en-CA"/>
        </w:rPr>
        <w:t>AbitibiBowater</w:t>
      </w:r>
      <w:r w:rsidRPr="00FF718D">
        <w:rPr>
          <w:lang w:val="en-CA"/>
        </w:rPr>
        <w:t>, Wagner</w:t>
      </w:r>
      <w:r w:rsidR="006B2650">
        <w:rPr>
          <w:lang w:val="en-CA"/>
        </w:rPr>
        <w:t>,</w:t>
      </w:r>
      <w:r w:rsidRPr="00FF718D">
        <w:rPr>
          <w:lang w:val="en-CA"/>
        </w:rPr>
        <w:t xml:space="preserve"> C.J., in </w:t>
      </w:r>
      <w:r w:rsidRPr="00FF718D">
        <w:rPr>
          <w:i/>
          <w:lang w:val="en-CA"/>
        </w:rPr>
        <w:t xml:space="preserve">Orphan Well Assn. </w:t>
      </w:r>
      <w:r w:rsidR="00743D24">
        <w:rPr>
          <w:i/>
          <w:lang w:val="en-CA"/>
        </w:rPr>
        <w:t>v</w:t>
      </w:r>
      <w:r w:rsidRPr="00FF718D">
        <w:rPr>
          <w:i/>
          <w:lang w:val="en-CA"/>
        </w:rPr>
        <w:t>. Grand Thorton</w:t>
      </w:r>
      <w:r w:rsidR="00EE1678">
        <w:rPr>
          <w:iCs/>
          <w:lang w:val="en-CA"/>
        </w:rPr>
        <w:t>,</w:t>
      </w:r>
      <w:r w:rsidRPr="00FF718D">
        <w:rPr>
          <w:lang w:val="en-CA"/>
        </w:rPr>
        <w:t xml:space="preserve"> revisited this criterion of </w:t>
      </w:r>
      <w:r w:rsidR="00743D24">
        <w:rPr>
          <w:lang w:val="en-CA"/>
        </w:rPr>
        <w:t>“</w:t>
      </w:r>
      <w:r w:rsidRPr="00FF718D">
        <w:rPr>
          <w:lang w:val="en-CA"/>
        </w:rPr>
        <w:t>sufficient certainty</w:t>
      </w:r>
      <w:r w:rsidR="00743D24">
        <w:rPr>
          <w:lang w:val="en-CA"/>
        </w:rPr>
        <w:t>”</w:t>
      </w:r>
      <w:r w:rsidRPr="00FF718D">
        <w:rPr>
          <w:lang w:val="en-CA"/>
        </w:rPr>
        <w:t>.</w:t>
      </w:r>
      <w:r w:rsidR="00B363F2" w:rsidRPr="00FF718D">
        <w:rPr>
          <w:lang w:val="en-CA"/>
        </w:rPr>
        <w:t xml:space="preserve"> </w:t>
      </w:r>
      <w:r w:rsidRPr="00501215">
        <w:rPr>
          <w:lang w:val="en-CA"/>
        </w:rPr>
        <w:t>He said:</w:t>
      </w:r>
    </w:p>
    <w:p w14:paraId="7EB16D4F" w14:textId="1DEB757B" w:rsidR="00B226A6" w:rsidRPr="00FF718D" w:rsidRDefault="00A03430" w:rsidP="00B226A6">
      <w:pPr>
        <w:pStyle w:val="Citationenretrait"/>
        <w:rPr>
          <w:lang w:val="en-CA"/>
        </w:rPr>
      </w:pPr>
      <w:r w:rsidRPr="00FF718D">
        <w:rPr>
          <w:lang w:val="en-CA"/>
        </w:rPr>
        <w:t>[146]</w:t>
      </w:r>
      <w:r w:rsidR="00B363F2" w:rsidRPr="00FF718D">
        <w:rPr>
          <w:lang w:val="en-CA"/>
        </w:rPr>
        <w:tab/>
      </w:r>
      <w:r w:rsidR="00FF718D" w:rsidRPr="00FF718D">
        <w:rPr>
          <w:lang w:val="en-CA"/>
        </w:rPr>
        <w:t>Below, I will explain why the OWA’s involvement is insufficient to satisfy the “sufficient certainty” test. First, I note that any reliance the chambers judge placed on the intrinsically financial nature of the Abandonment Orders was an error.</w:t>
      </w:r>
      <w:r w:rsidR="00B363F2" w:rsidRPr="00FF718D">
        <w:rPr>
          <w:lang w:val="en-CA"/>
        </w:rPr>
        <w:t xml:space="preserve"> </w:t>
      </w:r>
      <w:r w:rsidR="00FF718D" w:rsidRPr="00501215">
        <w:rPr>
          <w:lang w:val="en-CA"/>
        </w:rPr>
        <w:t xml:space="preserve">In this regard, I am in complete agreement with Martin J.A. </w:t>
      </w:r>
      <w:r w:rsidR="00FF718D" w:rsidRPr="00FF718D">
        <w:rPr>
          <w:lang w:val="en-CA"/>
        </w:rPr>
        <w:t xml:space="preserve">Considering whether an order is intrinsically financial is an erroneous interpretation of the third step of the </w:t>
      </w:r>
      <w:r w:rsidR="00FF718D" w:rsidRPr="00FF718D">
        <w:rPr>
          <w:i/>
          <w:lang w:val="en-CA"/>
        </w:rPr>
        <w:t>Abitibi</w:t>
      </w:r>
      <w:r w:rsidR="00FF718D" w:rsidRPr="00FF718D">
        <w:rPr>
          <w:lang w:val="en-CA"/>
        </w:rPr>
        <w:t xml:space="preserve"> test.</w:t>
      </w:r>
      <w:r w:rsidR="00B363F2" w:rsidRPr="00FF718D">
        <w:rPr>
          <w:lang w:val="en-CA"/>
        </w:rPr>
        <w:t xml:space="preserve"> </w:t>
      </w:r>
      <w:r w:rsidRPr="00501215">
        <w:rPr>
          <w:lang w:val="en-CA"/>
        </w:rPr>
        <w:t>It is too broad and would result in a provable claim being found even where the existence of a monetary claim in bankruptcy is merely speculative.</w:t>
      </w:r>
      <w:r w:rsidR="00B363F2" w:rsidRPr="00A03430">
        <w:rPr>
          <w:lang w:val="en-CA"/>
        </w:rPr>
        <w:t xml:space="preserve"> </w:t>
      </w:r>
      <w:r w:rsidR="00FF718D" w:rsidRPr="00FF718D">
        <w:rPr>
          <w:lang w:val="en-CA"/>
        </w:rPr>
        <w:t xml:space="preserve">Thus, in </w:t>
      </w:r>
      <w:r w:rsidR="00FF718D" w:rsidRPr="00FF718D">
        <w:rPr>
          <w:i/>
          <w:lang w:val="en-CA"/>
        </w:rPr>
        <w:t>Nortel</w:t>
      </w:r>
      <w:r w:rsidR="00FF718D" w:rsidRPr="00FF718D">
        <w:rPr>
          <w:lang w:val="en-CA"/>
        </w:rPr>
        <w:t xml:space="preserve"> CA, Juriansz J.A. rightly rejected the argument that the </w:t>
      </w:r>
      <w:r w:rsidR="00FF718D" w:rsidRPr="00FF718D">
        <w:rPr>
          <w:i/>
          <w:lang w:val="en-CA"/>
        </w:rPr>
        <w:t>Abitibi</w:t>
      </w:r>
      <w:r w:rsidR="00FF718D" w:rsidRPr="00FF718D">
        <w:rPr>
          <w:lang w:val="en-CA"/>
        </w:rPr>
        <w:t xml:space="preserve"> test did not require a determination that the regulator would perform the environmental work and claim reimbursement, and that it was sufficient for there to be an environmental order requiring an expenditure of funds by the bankrupt estate.</w:t>
      </w:r>
      <w:r w:rsidR="00FF718D">
        <w:rPr>
          <w:rStyle w:val="Appelnotedebasdep"/>
        </w:rPr>
        <w:footnoteReference w:id="45"/>
      </w:r>
    </w:p>
    <w:p w14:paraId="77BB73A5" w14:textId="310D7510" w:rsidR="00B226A6" w:rsidRPr="00FF718D" w:rsidRDefault="00FF718D" w:rsidP="00B226A6">
      <w:pPr>
        <w:pStyle w:val="Paragraphe"/>
        <w:spacing w:line="280" w:lineRule="exact"/>
        <w:rPr>
          <w:lang w:val="en-CA"/>
        </w:rPr>
      </w:pPr>
      <w:r w:rsidRPr="00501215">
        <w:rPr>
          <w:lang w:val="en-CA"/>
        </w:rPr>
        <w:t xml:space="preserve">This criterion is therefore essential to determining </w:t>
      </w:r>
      <w:r w:rsidR="00743D24" w:rsidRPr="00501215">
        <w:rPr>
          <w:lang w:val="en-CA"/>
        </w:rPr>
        <w:t>whether</w:t>
      </w:r>
      <w:r w:rsidRPr="00501215">
        <w:rPr>
          <w:lang w:val="en-CA"/>
        </w:rPr>
        <w:t xml:space="preserve"> a claim may be characterized as provable.</w:t>
      </w:r>
      <w:r w:rsidR="00B363F2" w:rsidRPr="00FF718D">
        <w:rPr>
          <w:lang w:val="en-CA"/>
        </w:rPr>
        <w:t xml:space="preserve"> </w:t>
      </w:r>
      <w:r w:rsidRPr="00FF718D">
        <w:rPr>
          <w:lang w:val="en-CA"/>
        </w:rPr>
        <w:t>Contrary to the conclusion drawn by my colleague Hamilton</w:t>
      </w:r>
      <w:r w:rsidR="002A6DDC">
        <w:rPr>
          <w:lang w:val="en-CA"/>
        </w:rPr>
        <w:t>,</w:t>
      </w:r>
      <w:r w:rsidRPr="00FF718D">
        <w:rPr>
          <w:lang w:val="en-CA"/>
        </w:rPr>
        <w:t xml:space="preserve"> J.A., the section of that judgment concerning the </w:t>
      </w:r>
      <w:r w:rsidR="00B35B1C">
        <w:rPr>
          <w:lang w:val="en-CA"/>
        </w:rPr>
        <w:t>“</w:t>
      </w:r>
      <w:r w:rsidRPr="00FF718D">
        <w:rPr>
          <w:lang w:val="en-CA"/>
        </w:rPr>
        <w:t>sufficient certainty</w:t>
      </w:r>
      <w:r w:rsidR="00B35B1C">
        <w:rPr>
          <w:lang w:val="en-CA"/>
        </w:rPr>
        <w:t>”</w:t>
      </w:r>
      <w:r w:rsidRPr="00FF718D">
        <w:rPr>
          <w:lang w:val="en-CA"/>
        </w:rPr>
        <w:t xml:space="preserve"> criterion is not a mere </w:t>
      </w:r>
      <w:r w:rsidRPr="00FF718D">
        <w:rPr>
          <w:i/>
          <w:lang w:val="en-CA"/>
        </w:rPr>
        <w:t>obiter dictum</w:t>
      </w:r>
      <w:r w:rsidRPr="00FF718D">
        <w:rPr>
          <w:lang w:val="en-CA"/>
        </w:rPr>
        <w:t xml:space="preserve"> this Court m</w:t>
      </w:r>
      <w:r w:rsidR="00B35B1C">
        <w:rPr>
          <w:lang w:val="en-CA"/>
        </w:rPr>
        <w:t>a</w:t>
      </w:r>
      <w:r w:rsidRPr="00FF718D">
        <w:rPr>
          <w:lang w:val="en-CA"/>
        </w:rPr>
        <w:t>y set aside.</w:t>
      </w:r>
      <w:r w:rsidR="00B363F2" w:rsidRPr="00FF718D">
        <w:rPr>
          <w:lang w:val="en-CA"/>
        </w:rPr>
        <w:t xml:space="preserve"> </w:t>
      </w:r>
      <w:r w:rsidRPr="00FF718D">
        <w:rPr>
          <w:lang w:val="en-CA"/>
        </w:rPr>
        <w:t>Wagner</w:t>
      </w:r>
      <w:r w:rsidR="002A6DDC">
        <w:rPr>
          <w:lang w:val="en-CA"/>
        </w:rPr>
        <w:t>,</w:t>
      </w:r>
      <w:r w:rsidRPr="00FF718D">
        <w:rPr>
          <w:lang w:val="en-CA"/>
        </w:rPr>
        <w:t xml:space="preserve"> C.J. thought it necessary to give indications on the analysis of this criterion because </w:t>
      </w:r>
      <w:r w:rsidR="00B35B1C">
        <w:rPr>
          <w:lang w:val="en-CA"/>
        </w:rPr>
        <w:t>they</w:t>
      </w:r>
      <w:r w:rsidRPr="00FF718D">
        <w:rPr>
          <w:lang w:val="en-CA"/>
        </w:rPr>
        <w:t xml:space="preserve"> might </w:t>
      </w:r>
      <w:r w:rsidR="00B35B1C">
        <w:rPr>
          <w:lang w:val="en-CA"/>
        </w:rPr>
        <w:t>prove</w:t>
      </w:r>
      <w:r w:rsidRPr="00FF718D">
        <w:rPr>
          <w:lang w:val="en-CA"/>
        </w:rPr>
        <w:t xml:space="preserve"> useful </w:t>
      </w:r>
      <w:r w:rsidR="00F54EA9">
        <w:rPr>
          <w:lang w:val="en-CA"/>
        </w:rPr>
        <w:t>in future cases</w:t>
      </w:r>
      <w:r w:rsidRPr="00FF718D">
        <w:rPr>
          <w:lang w:val="en-CA"/>
        </w:rPr>
        <w:t>.</w:t>
      </w:r>
      <w:r>
        <w:rPr>
          <w:rStyle w:val="Appelnotedebasdep"/>
        </w:rPr>
        <w:footnoteReference w:id="46"/>
      </w:r>
      <w:r w:rsidR="00B363F2" w:rsidRPr="00FF718D">
        <w:rPr>
          <w:lang w:val="en-CA"/>
        </w:rPr>
        <w:t xml:space="preserve"> </w:t>
      </w:r>
      <w:r w:rsidRPr="00FF718D">
        <w:rPr>
          <w:lang w:val="en-CA"/>
        </w:rPr>
        <w:t xml:space="preserve">These are </w:t>
      </w:r>
      <w:r w:rsidR="0015308D">
        <w:rPr>
          <w:lang w:val="en-CA"/>
        </w:rPr>
        <w:t xml:space="preserve">supplementary </w:t>
      </w:r>
      <w:r w:rsidRPr="00FF718D">
        <w:rPr>
          <w:lang w:val="en-CA"/>
        </w:rPr>
        <w:t xml:space="preserve">reasons that add to the </w:t>
      </w:r>
      <w:r w:rsidR="008A7237">
        <w:rPr>
          <w:lang w:val="en-CA"/>
        </w:rPr>
        <w:t>preceding</w:t>
      </w:r>
      <w:r w:rsidR="008A7237" w:rsidRPr="00FF718D">
        <w:rPr>
          <w:lang w:val="en-CA"/>
        </w:rPr>
        <w:t xml:space="preserve"> </w:t>
      </w:r>
      <w:r w:rsidRPr="00FF718D">
        <w:rPr>
          <w:lang w:val="en-CA"/>
        </w:rPr>
        <w:t>ones.</w:t>
      </w:r>
    </w:p>
    <w:p w14:paraId="6D507C32" w14:textId="7098603D" w:rsidR="00B226A6" w:rsidRPr="00FF718D" w:rsidRDefault="00FF718D" w:rsidP="00B226A6">
      <w:pPr>
        <w:pStyle w:val="Paragraphe"/>
        <w:spacing w:line="280" w:lineRule="exact"/>
        <w:rPr>
          <w:lang w:val="en-CA"/>
        </w:rPr>
      </w:pPr>
      <w:r w:rsidRPr="00FF718D">
        <w:rPr>
          <w:lang w:val="en-CA"/>
        </w:rPr>
        <w:t xml:space="preserve">The </w:t>
      </w:r>
      <w:r w:rsidR="0055589F">
        <w:rPr>
          <w:lang w:val="en-CA"/>
        </w:rPr>
        <w:t>Appellant</w:t>
      </w:r>
      <w:r w:rsidRPr="00FF718D">
        <w:rPr>
          <w:lang w:val="en-CA"/>
        </w:rPr>
        <w:t xml:space="preserve">s argue that only the prior existence of the obligation pursuant to which a claim is made </w:t>
      </w:r>
      <w:r w:rsidR="008656E8">
        <w:rPr>
          <w:lang w:val="en-CA"/>
        </w:rPr>
        <w:t>is</w:t>
      </w:r>
      <w:r w:rsidRPr="00FF718D">
        <w:rPr>
          <w:lang w:val="en-CA"/>
        </w:rPr>
        <w:t xml:space="preserve"> relevant to determine whether it is a claim</w:t>
      </w:r>
      <w:r w:rsidR="00DE10BF" w:rsidRPr="00E9088B">
        <w:rPr>
          <w:lang w:val="en-CA"/>
        </w:rPr>
        <w:t xml:space="preserve"> provable</w:t>
      </w:r>
      <w:r w:rsidRPr="00FF718D">
        <w:rPr>
          <w:lang w:val="en-CA"/>
        </w:rPr>
        <w:t>.</w:t>
      </w:r>
      <w:r w:rsidR="00B363F2" w:rsidRPr="00FF718D">
        <w:rPr>
          <w:lang w:val="en-CA"/>
        </w:rPr>
        <w:t xml:space="preserve"> </w:t>
      </w:r>
      <w:r w:rsidRPr="00FF718D">
        <w:rPr>
          <w:lang w:val="en-CA"/>
        </w:rPr>
        <w:t xml:space="preserve">In their view, the hypothetical or contingent nature of </w:t>
      </w:r>
      <w:r w:rsidR="00B35B1C" w:rsidRPr="00FF718D">
        <w:rPr>
          <w:lang w:val="en-CA"/>
        </w:rPr>
        <w:t>the</w:t>
      </w:r>
      <w:r w:rsidRPr="00FF718D">
        <w:rPr>
          <w:lang w:val="en-CA"/>
        </w:rPr>
        <w:t xml:space="preserve"> claim should be analyzed only </w:t>
      </w:r>
      <w:r w:rsidR="00DE10BF" w:rsidRPr="00E9088B">
        <w:rPr>
          <w:lang w:val="en-CA"/>
        </w:rPr>
        <w:t>at the time</w:t>
      </w:r>
      <w:r w:rsidRPr="00FF718D">
        <w:rPr>
          <w:lang w:val="en-CA"/>
        </w:rPr>
        <w:t xml:space="preserve"> the claim is filed.</w:t>
      </w:r>
      <w:r w:rsidR="00B363F2" w:rsidRPr="00FF718D">
        <w:rPr>
          <w:lang w:val="en-CA"/>
        </w:rPr>
        <w:t xml:space="preserve"> </w:t>
      </w:r>
      <w:r w:rsidRPr="00501215">
        <w:rPr>
          <w:lang w:val="en-CA"/>
        </w:rPr>
        <w:t>My colleague Hamilton</w:t>
      </w:r>
      <w:r w:rsidR="004323E0">
        <w:rPr>
          <w:lang w:val="en-CA"/>
        </w:rPr>
        <w:t>,</w:t>
      </w:r>
      <w:r w:rsidRPr="00501215">
        <w:rPr>
          <w:lang w:val="en-CA"/>
        </w:rPr>
        <w:t xml:space="preserve"> J.A. essentially agrees with this approach.</w:t>
      </w:r>
    </w:p>
    <w:p w14:paraId="43B982B9" w14:textId="41C7B81E" w:rsidR="00B226A6" w:rsidRPr="00FF718D" w:rsidRDefault="00CC4982" w:rsidP="00B226A6">
      <w:pPr>
        <w:pStyle w:val="Paragraphe"/>
        <w:spacing w:line="280" w:lineRule="exact"/>
        <w:rPr>
          <w:lang w:val="en-CA"/>
        </w:rPr>
      </w:pPr>
      <w:r>
        <w:rPr>
          <w:lang w:val="en-CA"/>
        </w:rPr>
        <w:t>I cannot accept this argument</w:t>
      </w:r>
      <w:r w:rsidR="00FF718D" w:rsidRPr="00501215">
        <w:rPr>
          <w:lang w:val="en-CA"/>
        </w:rPr>
        <w:t>.</w:t>
      </w:r>
      <w:r w:rsidR="00B363F2" w:rsidRPr="00FF718D">
        <w:rPr>
          <w:lang w:val="en-CA"/>
        </w:rPr>
        <w:t xml:space="preserve"> </w:t>
      </w:r>
      <w:r w:rsidR="00FF718D" w:rsidRPr="00501215">
        <w:rPr>
          <w:lang w:val="en-CA"/>
        </w:rPr>
        <w:t>Th</w:t>
      </w:r>
      <w:r w:rsidR="00FA0F74">
        <w:rPr>
          <w:lang w:val="en-CA"/>
        </w:rPr>
        <w:t>e</w:t>
      </w:r>
      <w:r w:rsidR="00FF718D" w:rsidRPr="00501215">
        <w:rPr>
          <w:lang w:val="en-CA"/>
        </w:rPr>
        <w:t xml:space="preserve"> assessment must be done at the time of the bankruptcy or </w:t>
      </w:r>
      <w:r w:rsidR="00FA0F74">
        <w:rPr>
          <w:lang w:val="en-CA"/>
        </w:rPr>
        <w:t xml:space="preserve">the filing of the </w:t>
      </w:r>
      <w:r w:rsidR="00FF718D" w:rsidRPr="00501215">
        <w:rPr>
          <w:lang w:val="en-CA"/>
        </w:rPr>
        <w:t>proposal.</w:t>
      </w:r>
      <w:r w:rsidR="00B363F2" w:rsidRPr="00FF718D">
        <w:rPr>
          <w:lang w:val="en-CA"/>
        </w:rPr>
        <w:t xml:space="preserve"> </w:t>
      </w:r>
      <w:r w:rsidR="00FF718D" w:rsidRPr="00FF718D">
        <w:rPr>
          <w:lang w:val="en-CA"/>
        </w:rPr>
        <w:t xml:space="preserve">As the Supreme Court stated in </w:t>
      </w:r>
      <w:r w:rsidR="00FF718D" w:rsidRPr="00FF718D">
        <w:rPr>
          <w:i/>
          <w:lang w:val="en-CA"/>
        </w:rPr>
        <w:t>Schreyer</w:t>
      </w:r>
      <w:r w:rsidR="00FF718D" w:rsidRPr="00FF718D">
        <w:rPr>
          <w:lang w:val="en-CA"/>
        </w:rPr>
        <w:t>,</w:t>
      </w:r>
      <w:r w:rsidR="00FF718D">
        <w:rPr>
          <w:rStyle w:val="Appelnotedebasdep"/>
        </w:rPr>
        <w:footnoteReference w:id="47"/>
      </w:r>
      <w:r w:rsidR="00FF718D" w:rsidRPr="00FF718D">
        <w:rPr>
          <w:lang w:val="en-CA"/>
        </w:rPr>
        <w:t xml:space="preserve"> the date of the bankruptcy is of critical importance when it is necessary to determine whether a claim may be characterized as provable within the meaning of the </w:t>
      </w:r>
      <w:r w:rsidR="00FF718D" w:rsidRPr="00FF718D">
        <w:rPr>
          <w:i/>
          <w:lang w:val="en-CA"/>
        </w:rPr>
        <w:t>BIA</w:t>
      </w:r>
      <w:r w:rsidR="00FF718D" w:rsidRPr="00FF718D">
        <w:rPr>
          <w:lang w:val="en-CA"/>
        </w:rPr>
        <w:t>.</w:t>
      </w:r>
      <w:r w:rsidR="007E16B4" w:rsidRPr="00FF718D">
        <w:rPr>
          <w:lang w:val="en-CA"/>
        </w:rPr>
        <w:t xml:space="preserve"> </w:t>
      </w:r>
      <w:r w:rsidR="00FF718D" w:rsidRPr="00FF718D">
        <w:rPr>
          <w:lang w:val="en-CA"/>
        </w:rPr>
        <w:t xml:space="preserve">If it is liquidated as of the date of </w:t>
      </w:r>
      <w:r w:rsidR="00B35B1C" w:rsidRPr="00FF718D">
        <w:rPr>
          <w:lang w:val="en-CA"/>
        </w:rPr>
        <w:t>the</w:t>
      </w:r>
      <w:r w:rsidR="00FF718D" w:rsidRPr="00FF718D">
        <w:rPr>
          <w:lang w:val="en-CA"/>
        </w:rPr>
        <w:t xml:space="preserve"> bankruptcy, there is no doubt that it is a claim</w:t>
      </w:r>
      <w:r w:rsidR="00DE10BF" w:rsidRPr="00E9088B">
        <w:rPr>
          <w:lang w:val="en-CA"/>
        </w:rPr>
        <w:t xml:space="preserve"> </w:t>
      </w:r>
      <w:r w:rsidR="00582945" w:rsidRPr="00E9088B">
        <w:rPr>
          <w:lang w:val="en-CA"/>
        </w:rPr>
        <w:t>p</w:t>
      </w:r>
      <w:r w:rsidR="00DE10BF" w:rsidRPr="00E9088B">
        <w:rPr>
          <w:lang w:val="en-CA"/>
        </w:rPr>
        <w:t>rovable</w:t>
      </w:r>
      <w:r w:rsidR="00FF718D" w:rsidRPr="00FF718D">
        <w:rPr>
          <w:lang w:val="en-CA"/>
        </w:rPr>
        <w:t>.</w:t>
      </w:r>
      <w:r w:rsidR="007E16B4" w:rsidRPr="00FF718D">
        <w:rPr>
          <w:lang w:val="en-CA"/>
        </w:rPr>
        <w:t xml:space="preserve"> </w:t>
      </w:r>
      <w:r w:rsidR="00FF718D" w:rsidRPr="00FF718D">
        <w:rPr>
          <w:lang w:val="en-CA"/>
        </w:rPr>
        <w:t xml:space="preserve">However, if </w:t>
      </w:r>
      <w:r w:rsidR="00FF718D" w:rsidRPr="00FF718D">
        <w:rPr>
          <w:lang w:val="en-CA"/>
        </w:rPr>
        <w:lastRenderedPageBreak/>
        <w:t>it</w:t>
      </w:r>
      <w:r w:rsidR="00B35B1C">
        <w:rPr>
          <w:lang w:val="en-CA"/>
        </w:rPr>
        <w:t xml:space="preserve"> is</w:t>
      </w:r>
      <w:r w:rsidR="00FF718D" w:rsidRPr="00FF718D">
        <w:rPr>
          <w:lang w:val="en-CA"/>
        </w:rPr>
        <w:t xml:space="preserve"> not liquidated on that date, it becomes necessary to determine whether </w:t>
      </w:r>
      <w:r w:rsidR="00FE5A49">
        <w:rPr>
          <w:lang w:val="en-CA"/>
        </w:rPr>
        <w:t>the claim</w:t>
      </w:r>
      <w:r w:rsidR="00FE5A49" w:rsidRPr="00FF718D">
        <w:rPr>
          <w:lang w:val="en-CA"/>
        </w:rPr>
        <w:t xml:space="preserve"> </w:t>
      </w:r>
      <w:r w:rsidR="00FF718D" w:rsidRPr="00FF718D">
        <w:rPr>
          <w:lang w:val="en-CA"/>
        </w:rPr>
        <w:t xml:space="preserve">is too uncertain or hypothetical to be valued by </w:t>
      </w:r>
      <w:r w:rsidR="00B35B1C" w:rsidRPr="00FF718D">
        <w:rPr>
          <w:lang w:val="en-CA"/>
        </w:rPr>
        <w:t>the</w:t>
      </w:r>
      <w:r w:rsidR="00FF718D" w:rsidRPr="00FF718D">
        <w:rPr>
          <w:lang w:val="en-CA"/>
        </w:rPr>
        <w:t xml:space="preserve"> </w:t>
      </w:r>
      <w:r w:rsidR="00B35B1C" w:rsidRPr="00FF718D">
        <w:rPr>
          <w:lang w:val="en-CA"/>
        </w:rPr>
        <w:t>trustee</w:t>
      </w:r>
      <w:r w:rsidR="00FF718D" w:rsidRPr="00FF718D">
        <w:rPr>
          <w:lang w:val="en-CA"/>
        </w:rPr>
        <w:t xml:space="preserve"> under section 135 </w:t>
      </w:r>
      <w:r w:rsidR="00FF718D" w:rsidRPr="00B35B1C">
        <w:rPr>
          <w:i/>
          <w:iCs/>
          <w:lang w:val="en-CA"/>
        </w:rPr>
        <w:t>BIA</w:t>
      </w:r>
      <w:r w:rsidR="00FF718D" w:rsidRPr="00FF718D">
        <w:rPr>
          <w:lang w:val="en-CA"/>
        </w:rPr>
        <w:t>.</w:t>
      </w:r>
      <w:r w:rsidR="00B363F2" w:rsidRPr="00FF718D">
        <w:rPr>
          <w:lang w:val="en-CA"/>
        </w:rPr>
        <w:t xml:space="preserve"> </w:t>
      </w:r>
      <w:r w:rsidR="00FF718D" w:rsidRPr="00FF718D">
        <w:rPr>
          <w:lang w:val="en-CA"/>
        </w:rPr>
        <w:t xml:space="preserve">The approach proposed by the </w:t>
      </w:r>
      <w:r w:rsidR="0055589F">
        <w:rPr>
          <w:lang w:val="en-CA"/>
        </w:rPr>
        <w:t>Appellant</w:t>
      </w:r>
      <w:r w:rsidR="00B35B1C" w:rsidRPr="00FF718D">
        <w:rPr>
          <w:lang w:val="en-CA"/>
        </w:rPr>
        <w:t>s</w:t>
      </w:r>
      <w:r w:rsidR="00FF718D" w:rsidRPr="00FF718D">
        <w:rPr>
          <w:lang w:val="en-CA"/>
        </w:rPr>
        <w:t xml:space="preserve"> and </w:t>
      </w:r>
      <w:r w:rsidR="00B35B1C" w:rsidRPr="00FF718D">
        <w:rPr>
          <w:lang w:val="en-CA"/>
        </w:rPr>
        <w:t>accepted</w:t>
      </w:r>
      <w:r w:rsidR="00FF718D" w:rsidRPr="00FF718D">
        <w:rPr>
          <w:lang w:val="en-CA"/>
        </w:rPr>
        <w:t xml:space="preserve"> by my colleague Hamilton</w:t>
      </w:r>
      <w:r w:rsidR="00B50DA8">
        <w:rPr>
          <w:lang w:val="en-CA"/>
        </w:rPr>
        <w:t>,</w:t>
      </w:r>
      <w:r w:rsidR="00FF718D" w:rsidRPr="00FF718D">
        <w:rPr>
          <w:lang w:val="en-CA"/>
        </w:rPr>
        <w:t xml:space="preserve"> J.A. calls </w:t>
      </w:r>
      <w:r w:rsidR="00B50DA8">
        <w:rPr>
          <w:lang w:val="en-CA"/>
        </w:rPr>
        <w:t xml:space="preserve">this </w:t>
      </w:r>
      <w:r w:rsidR="00B50DA8" w:rsidRPr="00FF718D">
        <w:rPr>
          <w:lang w:val="en-CA"/>
        </w:rPr>
        <w:t xml:space="preserve">Supreme Court </w:t>
      </w:r>
      <w:r w:rsidR="00B50DA8">
        <w:rPr>
          <w:lang w:val="en-CA"/>
        </w:rPr>
        <w:t xml:space="preserve">case law </w:t>
      </w:r>
      <w:r w:rsidR="00FF718D" w:rsidRPr="00FF718D">
        <w:rPr>
          <w:lang w:val="en-CA"/>
        </w:rPr>
        <w:t>into question.</w:t>
      </w:r>
    </w:p>
    <w:p w14:paraId="3ED8D716" w14:textId="4A57F4F1" w:rsidR="00B226A6" w:rsidRPr="00FF718D" w:rsidRDefault="00FF718D" w:rsidP="00B226A6">
      <w:pPr>
        <w:pStyle w:val="Paragraphe"/>
        <w:spacing w:line="280" w:lineRule="exact"/>
        <w:rPr>
          <w:lang w:val="en-CA"/>
        </w:rPr>
      </w:pPr>
      <w:r w:rsidRPr="00FF718D">
        <w:rPr>
          <w:lang w:val="en-CA"/>
        </w:rPr>
        <w:t xml:space="preserve">Yet, in </w:t>
      </w:r>
      <w:r w:rsidRPr="00FF718D">
        <w:rPr>
          <w:i/>
          <w:lang w:val="en-CA"/>
        </w:rPr>
        <w:t>Thibault</w:t>
      </w:r>
      <w:r w:rsidRPr="00FF718D">
        <w:rPr>
          <w:lang w:val="en-CA"/>
        </w:rPr>
        <w:t>, my colleague Schrager</w:t>
      </w:r>
      <w:r w:rsidR="00892116">
        <w:rPr>
          <w:lang w:val="en-CA"/>
        </w:rPr>
        <w:t>,</w:t>
      </w:r>
      <w:r w:rsidRPr="00FF718D">
        <w:rPr>
          <w:lang w:val="en-CA"/>
        </w:rPr>
        <w:t xml:space="preserve"> J.A. clearly explained that it was on the date of the bankruptcy that the hypothetical nature of </w:t>
      </w:r>
      <w:r w:rsidR="00B35B1C" w:rsidRPr="00FF718D">
        <w:rPr>
          <w:lang w:val="en-CA"/>
        </w:rPr>
        <w:t>the</w:t>
      </w:r>
      <w:r w:rsidRPr="00FF718D">
        <w:rPr>
          <w:lang w:val="en-CA"/>
        </w:rPr>
        <w:t xml:space="preserve"> claim must be valued:</w:t>
      </w:r>
      <w:r w:rsidR="00B363F2" w:rsidRPr="00FF718D">
        <w:rPr>
          <w:lang w:val="en-CA"/>
        </w:rPr>
        <w:t xml:space="preserve"> </w:t>
      </w:r>
    </w:p>
    <w:p w14:paraId="1FC045B4" w14:textId="375B4F80" w:rsidR="00B226A6" w:rsidRPr="004C3197" w:rsidRDefault="00FF718D" w:rsidP="00B226A6">
      <w:pPr>
        <w:pStyle w:val="Citationenretrait"/>
        <w:rPr>
          <w:u w:val="single"/>
          <w:lang w:val="en-CA"/>
        </w:rPr>
      </w:pPr>
      <w:r>
        <w:rPr>
          <w:lang w:val="en-CA"/>
        </w:rPr>
        <w:t>[20]</w:t>
      </w:r>
      <w:r w:rsidR="00B363F2" w:rsidRPr="004C3197">
        <w:rPr>
          <w:lang w:val="en-CA"/>
        </w:rPr>
        <w:tab/>
      </w:r>
      <w:r w:rsidRPr="00FF718D">
        <w:rPr>
          <w:lang w:val="en-CA"/>
        </w:rPr>
        <w:t xml:space="preserve">It has been stated that in order to come within the definition of “claim provable”, the existence of the debt must be, </w:t>
      </w:r>
      <w:r w:rsidRPr="00FF718D">
        <w:rPr>
          <w:u w:val="single"/>
          <w:lang w:val="en-CA"/>
        </w:rPr>
        <w:t>at the date of the bankruptcy, probable and not hypothetical, or not too remote or speculative, as Appellant submits.</w:t>
      </w:r>
      <w:r w:rsidR="00B363F2" w:rsidRPr="004C3197">
        <w:rPr>
          <w:u w:val="single"/>
          <w:lang w:val="en-CA"/>
        </w:rPr>
        <w:t xml:space="preserve"> </w:t>
      </w:r>
    </w:p>
    <w:p w14:paraId="2E3ED4A5" w14:textId="1D4F3B38" w:rsidR="00B226A6" w:rsidRPr="004C3197" w:rsidRDefault="00B35460" w:rsidP="00B226A6">
      <w:pPr>
        <w:pStyle w:val="Citationenretrait"/>
        <w:rPr>
          <w:lang w:val="en-CA"/>
        </w:rPr>
      </w:pPr>
      <w:r>
        <w:rPr>
          <w:lang w:val="en-CA"/>
        </w:rPr>
        <w:t>…</w:t>
      </w:r>
    </w:p>
    <w:p w14:paraId="3B709801" w14:textId="1D6B5E5A" w:rsidR="00B226A6" w:rsidRDefault="00CE401F" w:rsidP="00B226A6">
      <w:pPr>
        <w:pStyle w:val="Citationenretrait"/>
        <w:spacing w:after="0"/>
        <w:rPr>
          <w:lang w:val="en-CA"/>
        </w:rPr>
      </w:pPr>
      <w:r>
        <w:rPr>
          <w:lang w:val="en-CA"/>
        </w:rPr>
        <w:t>[26]</w:t>
      </w:r>
      <w:r w:rsidR="00B363F2" w:rsidRPr="004C3197">
        <w:rPr>
          <w:lang w:val="en-CA"/>
        </w:rPr>
        <w:tab/>
      </w:r>
      <w:r w:rsidR="00FF718D">
        <w:rPr>
          <w:lang w:val="en-CA"/>
        </w:rPr>
        <w:t>In all cases, an inquiry should be made as to when the obligation was incurred.</w:t>
      </w:r>
      <w:r w:rsidR="00B363F2" w:rsidRPr="004C3197">
        <w:rPr>
          <w:lang w:val="en-CA"/>
        </w:rPr>
        <w:t xml:space="preserve"> </w:t>
      </w:r>
      <w:r w:rsidR="00FF718D">
        <w:rPr>
          <w:lang w:val="en-CA"/>
        </w:rPr>
        <w:t>In this case, I believe the date was the hearing date when Respondent indicated that he was pleading guilty.</w:t>
      </w:r>
      <w:r w:rsidR="00B363F2" w:rsidRPr="004C3197">
        <w:rPr>
          <w:lang w:val="en-CA"/>
        </w:rPr>
        <w:t xml:space="preserve"> </w:t>
      </w:r>
      <w:r w:rsidR="00FF718D">
        <w:rPr>
          <w:lang w:val="en-CA"/>
        </w:rPr>
        <w:t>However, even if that were not the precise date when the obligation was created, I believe that the long delay of the committee in rendering a decision finding Respondent guilty and then imposing the monetary sanction is relevant in determining that the fines imposed were claims provable.</w:t>
      </w:r>
      <w:r w:rsidR="00B363F2" w:rsidRPr="004C3197">
        <w:rPr>
          <w:lang w:val="en-CA"/>
        </w:rPr>
        <w:t xml:space="preserve"> </w:t>
      </w:r>
      <w:r w:rsidR="00FF718D" w:rsidRPr="00501215">
        <w:rPr>
          <w:lang w:val="en-CA"/>
        </w:rPr>
        <w:t xml:space="preserve">In this respect, the decision of the Supreme Court of Canada in </w:t>
      </w:r>
      <w:r w:rsidR="00FF718D" w:rsidRPr="00501215">
        <w:rPr>
          <w:i/>
          <w:lang w:val="en-CA"/>
        </w:rPr>
        <w:t>Newfoundland and Labrador v. AbitibiBowater Inc.</w:t>
      </w:r>
      <w:r w:rsidR="00FF718D" w:rsidRPr="00501215">
        <w:rPr>
          <w:lang w:val="en-CA"/>
        </w:rPr>
        <w:t xml:space="preserve"> is relevant.</w:t>
      </w:r>
      <w:r w:rsidR="00B363F2" w:rsidRPr="004C3197">
        <w:rPr>
          <w:lang w:val="en-CA"/>
        </w:rPr>
        <w:t xml:space="preserve"> </w:t>
      </w:r>
      <w:r w:rsidR="00FF718D">
        <w:rPr>
          <w:lang w:val="en-CA"/>
        </w:rPr>
        <w:t>Speaking through Justice Deschamps, the Court indicated that, in order to determine whether a claim is a claim provable, a factual inquiry is required to determine whether the conditions for the inclusion of the claim as a claim provable are met.</w:t>
      </w:r>
      <w:r w:rsidR="00B363F2" w:rsidRPr="004C3197">
        <w:rPr>
          <w:lang w:val="en-CA"/>
        </w:rPr>
        <w:t xml:space="preserve"> </w:t>
      </w:r>
      <w:r w:rsidR="00FF718D" w:rsidRPr="00FF718D">
        <w:rPr>
          <w:lang w:val="en-CA"/>
        </w:rPr>
        <w:t xml:space="preserve">Thus, in this case, it is facile to say that the fines had not yet been imposed </w:t>
      </w:r>
      <w:r w:rsidR="00FF718D" w:rsidRPr="00FF718D">
        <w:rPr>
          <w:u w:val="single"/>
          <w:lang w:val="en-CA"/>
        </w:rPr>
        <w:t>on the date of the bankruptcy</w:t>
      </w:r>
      <w:r w:rsidR="00FF718D" w:rsidRPr="00FF718D">
        <w:rPr>
          <w:lang w:val="en-CA"/>
        </w:rPr>
        <w:t>.</w:t>
      </w:r>
      <w:r w:rsidR="00B363F2" w:rsidRPr="004C3197">
        <w:rPr>
          <w:lang w:val="en-CA"/>
        </w:rPr>
        <w:t xml:space="preserve"> </w:t>
      </w:r>
      <w:r w:rsidR="00FF718D" w:rsidRPr="00FF718D">
        <w:rPr>
          <w:lang w:val="en-CA"/>
        </w:rPr>
        <w:t xml:space="preserve">The appropriate factual inquiry is whether, </w:t>
      </w:r>
      <w:r w:rsidR="00FF718D" w:rsidRPr="00FF718D">
        <w:rPr>
          <w:u w:val="single"/>
          <w:lang w:val="en-CA"/>
        </w:rPr>
        <w:t>at the date of the bankruptcy</w:t>
      </w:r>
      <w:r w:rsidR="00FF718D" w:rsidRPr="00FF718D">
        <w:rPr>
          <w:lang w:val="en-CA"/>
        </w:rPr>
        <w:t>, the conditions were met in order to affirm that a sanction would probably be imposed.</w:t>
      </w:r>
      <w:r w:rsidR="00B363F2" w:rsidRPr="004C3197">
        <w:rPr>
          <w:lang w:val="en-CA"/>
        </w:rPr>
        <w:t xml:space="preserve"> </w:t>
      </w:r>
      <w:r w:rsidR="00FF718D" w:rsidRPr="00FF718D">
        <w:rPr>
          <w:lang w:val="en-CA"/>
        </w:rPr>
        <w:t xml:space="preserve">In </w:t>
      </w:r>
      <w:r w:rsidR="00FF718D" w:rsidRPr="00FF718D">
        <w:rPr>
          <w:i/>
          <w:lang w:val="en-CA"/>
        </w:rPr>
        <w:t>Harton</w:t>
      </w:r>
      <w:r w:rsidR="00FF718D" w:rsidRPr="00FF718D">
        <w:rPr>
          <w:lang w:val="en-CA"/>
        </w:rPr>
        <w:t xml:space="preserve"> (decided years prior to </w:t>
      </w:r>
      <w:r w:rsidR="00FF718D" w:rsidRPr="00AD02BF">
        <w:rPr>
          <w:i/>
          <w:iCs/>
          <w:lang w:val="en-CA"/>
        </w:rPr>
        <w:t>Abitibi</w:t>
      </w:r>
      <w:r w:rsidR="00FF718D" w:rsidRPr="00FF718D">
        <w:rPr>
          <w:lang w:val="en-CA"/>
        </w:rPr>
        <w:t>) it could be said that the condition was not met.</w:t>
      </w:r>
      <w:r w:rsidR="00B363F2" w:rsidRPr="004C3197">
        <w:rPr>
          <w:lang w:val="en-CA"/>
        </w:rPr>
        <w:t xml:space="preserve"> </w:t>
      </w:r>
      <w:r w:rsidR="00FF718D">
        <w:rPr>
          <w:lang w:val="en-CA"/>
        </w:rPr>
        <w:t>In the present case, not only was the hearing held before bankruptcy but the Respondent indicated that he would plead guilty thus making himself liable to a penalty.</w:t>
      </w:r>
      <w:r w:rsidR="00B363F2" w:rsidRPr="004C3197">
        <w:rPr>
          <w:lang w:val="en-CA"/>
        </w:rPr>
        <w:t xml:space="preserve"> </w:t>
      </w:r>
      <w:r w:rsidR="00FF718D">
        <w:rPr>
          <w:lang w:val="en-CA"/>
        </w:rPr>
        <w:t>Once the committee would not accept his guilty plea, Respondent presented legal arguments based on the Charter, but that too occurred eight months prior to the bankruptcy.</w:t>
      </w:r>
      <w:r w:rsidR="00B363F2" w:rsidRPr="004C3197">
        <w:rPr>
          <w:lang w:val="en-CA"/>
        </w:rPr>
        <w:t xml:space="preserve"> </w:t>
      </w:r>
      <w:r w:rsidR="00FF718D">
        <w:rPr>
          <w:lang w:val="en-CA"/>
        </w:rPr>
        <w:t>It is true that the imposition of a fine, as opposed to a purely non-monetary penalty, was discretionary.</w:t>
      </w:r>
      <w:r w:rsidR="00B363F2" w:rsidRPr="004C3197">
        <w:rPr>
          <w:lang w:val="en-CA"/>
        </w:rPr>
        <w:t xml:space="preserve"> </w:t>
      </w:r>
      <w:r w:rsidR="00FF718D" w:rsidRPr="00FF718D">
        <w:rPr>
          <w:lang w:val="en-CA"/>
        </w:rPr>
        <w:t xml:space="preserve">However, it is not erroneous to consider the imposition of a fine probable or at least more than hypothetical as </w:t>
      </w:r>
      <w:r w:rsidR="00FF718D" w:rsidRPr="00FF718D">
        <w:rPr>
          <w:u w:val="single"/>
          <w:lang w:val="en-CA"/>
        </w:rPr>
        <w:t>at the date of the bankruptcy</w:t>
      </w:r>
      <w:r w:rsidR="00FF718D" w:rsidRPr="00FF718D">
        <w:rPr>
          <w:lang w:val="en-CA"/>
        </w:rPr>
        <w:t>.</w:t>
      </w:r>
      <w:r w:rsidR="00B363F2" w:rsidRPr="004C3197">
        <w:rPr>
          <w:lang w:val="en-CA"/>
        </w:rPr>
        <w:t xml:space="preserve"> </w:t>
      </w:r>
      <w:r w:rsidR="00FF718D">
        <w:rPr>
          <w:lang w:val="en-CA"/>
        </w:rPr>
        <w:t xml:space="preserve">As such, no palpable error of fact or mixed fact and law appears from the judgment of the Court of Quebec despite the judge’s inaccurate reading of Section 121(1) </w:t>
      </w:r>
      <w:r w:rsidR="00FF718D" w:rsidRPr="00AD02BF">
        <w:rPr>
          <w:i/>
          <w:iCs/>
          <w:lang w:val="en-CA"/>
        </w:rPr>
        <w:t>BIA</w:t>
      </w:r>
      <w:r w:rsidR="00FF718D">
        <w:rPr>
          <w:lang w:val="en-CA"/>
        </w:rPr>
        <w:t>.</w:t>
      </w:r>
    </w:p>
    <w:p w14:paraId="698444F0" w14:textId="5974A49C" w:rsidR="00B226A6" w:rsidRPr="00501215" w:rsidRDefault="00B35460" w:rsidP="007E16B4">
      <w:pPr>
        <w:pStyle w:val="Citationenretrait"/>
        <w:jc w:val="right"/>
      </w:pPr>
      <w:r w:rsidRPr="00501215">
        <w:t>[</w:t>
      </w:r>
      <w:r w:rsidR="00B35B1C">
        <w:t>Emphasis added</w:t>
      </w:r>
      <w:r w:rsidRPr="00501215">
        <w:t>]</w:t>
      </w:r>
    </w:p>
    <w:p w14:paraId="12559E95" w14:textId="0CD9316A" w:rsidR="00B226A6" w:rsidRPr="00BA52F1" w:rsidRDefault="00BA52F1" w:rsidP="00B226A6">
      <w:pPr>
        <w:pStyle w:val="Paragraphe"/>
        <w:spacing w:line="280" w:lineRule="exact"/>
        <w:rPr>
          <w:lang w:val="en-CA"/>
        </w:rPr>
      </w:pPr>
      <w:r w:rsidRPr="00501215">
        <w:rPr>
          <w:lang w:val="en-CA"/>
        </w:rPr>
        <w:t>As Schrager</w:t>
      </w:r>
      <w:r w:rsidR="00AE36BE">
        <w:rPr>
          <w:lang w:val="en-CA"/>
        </w:rPr>
        <w:t>,</w:t>
      </w:r>
      <w:r w:rsidRPr="00501215">
        <w:rPr>
          <w:lang w:val="en-CA"/>
        </w:rPr>
        <w:t xml:space="preserve"> J.A. state</w:t>
      </w:r>
      <w:r w:rsidR="00DE10BF" w:rsidRPr="00E9088B">
        <w:rPr>
          <w:lang w:val="en-CA"/>
        </w:rPr>
        <w:t>s</w:t>
      </w:r>
      <w:r w:rsidRPr="00501215">
        <w:rPr>
          <w:lang w:val="en-CA"/>
        </w:rPr>
        <w:t xml:space="preserve">, the facts of each case </w:t>
      </w:r>
      <w:r w:rsidR="00C45521">
        <w:rPr>
          <w:lang w:val="en-CA"/>
        </w:rPr>
        <w:t xml:space="preserve">must be examined </w:t>
      </w:r>
      <w:r w:rsidRPr="00501215">
        <w:rPr>
          <w:lang w:val="en-CA"/>
        </w:rPr>
        <w:t xml:space="preserve">to determine whether the event that has not yet </w:t>
      </w:r>
      <w:r w:rsidR="00B35B1C" w:rsidRPr="00501215">
        <w:rPr>
          <w:lang w:val="en-CA"/>
        </w:rPr>
        <w:t>occurred</w:t>
      </w:r>
      <w:r w:rsidRPr="00501215">
        <w:rPr>
          <w:lang w:val="en-CA"/>
        </w:rPr>
        <w:t xml:space="preserve"> is too remote or speculative at the time of the bankruptcy to allow the claim to be characterized as provable within the meaning of the </w:t>
      </w:r>
      <w:r w:rsidRPr="00B35B1C">
        <w:rPr>
          <w:i/>
          <w:iCs/>
          <w:lang w:val="en-CA"/>
        </w:rPr>
        <w:lastRenderedPageBreak/>
        <w:t>BIA</w:t>
      </w:r>
      <w:r w:rsidRPr="00501215">
        <w:rPr>
          <w:lang w:val="en-CA"/>
        </w:rPr>
        <w:t>.</w:t>
      </w:r>
      <w:r w:rsidR="00B363F2" w:rsidRPr="00BA52F1">
        <w:rPr>
          <w:lang w:val="en-CA"/>
        </w:rPr>
        <w:t xml:space="preserve"> </w:t>
      </w:r>
      <w:r w:rsidRPr="00BA52F1">
        <w:rPr>
          <w:lang w:val="en-CA"/>
        </w:rPr>
        <w:t xml:space="preserve">If there is no error of law in the application of </w:t>
      </w:r>
      <w:r w:rsidR="00B35B1C" w:rsidRPr="00BA52F1">
        <w:rPr>
          <w:lang w:val="en-CA"/>
        </w:rPr>
        <w:t>the</w:t>
      </w:r>
      <w:r w:rsidRPr="00BA52F1">
        <w:rPr>
          <w:lang w:val="en-CA"/>
        </w:rPr>
        <w:t xml:space="preserve"> principles of law, it is a question of fact or at best a mixed question.</w:t>
      </w:r>
      <w:r w:rsidR="00B363F2" w:rsidRPr="00BA52F1">
        <w:rPr>
          <w:lang w:val="en-CA"/>
        </w:rPr>
        <w:t xml:space="preserve"> </w:t>
      </w:r>
      <w:r w:rsidR="00B35B1C" w:rsidRPr="00BA52F1">
        <w:rPr>
          <w:lang w:val="en-CA"/>
        </w:rPr>
        <w:t>The</w:t>
      </w:r>
      <w:r w:rsidRPr="00BA52F1">
        <w:rPr>
          <w:lang w:val="en-CA"/>
        </w:rPr>
        <w:t xml:space="preserve"> Court can </w:t>
      </w:r>
      <w:r w:rsidR="00DE10BF" w:rsidRPr="00E9088B">
        <w:rPr>
          <w:lang w:val="en-CA"/>
        </w:rPr>
        <w:t>therefore</w:t>
      </w:r>
      <w:r w:rsidRPr="00BA52F1">
        <w:rPr>
          <w:lang w:val="en-CA"/>
        </w:rPr>
        <w:t xml:space="preserve"> intervene only where there is a palpable and overriding error</w:t>
      </w:r>
      <w:r w:rsidR="00AE36BE">
        <w:rPr>
          <w:lang w:val="en-CA"/>
        </w:rPr>
        <w:t>,</w:t>
      </w:r>
      <w:r w:rsidR="00B35B1C">
        <w:rPr>
          <w:lang w:val="en-CA"/>
        </w:rPr>
        <w:t xml:space="preserve"> and there is none here</w:t>
      </w:r>
      <w:r w:rsidRPr="00BA52F1">
        <w:rPr>
          <w:lang w:val="en-CA"/>
        </w:rPr>
        <w:t>.</w:t>
      </w:r>
    </w:p>
    <w:p w14:paraId="79B1631D" w14:textId="66021F40" w:rsidR="00B226A6" w:rsidRPr="00B55812" w:rsidRDefault="00BA52F1" w:rsidP="00B226A6">
      <w:pPr>
        <w:pStyle w:val="Paragraphe"/>
        <w:spacing w:line="280" w:lineRule="exact"/>
        <w:rPr>
          <w:lang w:val="en-CA"/>
        </w:rPr>
      </w:pPr>
      <w:r w:rsidRPr="00BA52F1">
        <w:rPr>
          <w:lang w:val="en-CA"/>
        </w:rPr>
        <w:t xml:space="preserve">Like the </w:t>
      </w:r>
      <w:r w:rsidR="0055589F">
        <w:rPr>
          <w:lang w:val="en-CA"/>
        </w:rPr>
        <w:t>Appellant</w:t>
      </w:r>
      <w:r w:rsidRPr="00BA52F1">
        <w:rPr>
          <w:lang w:val="en-CA"/>
        </w:rPr>
        <w:t>s, my colleague Hamilton</w:t>
      </w:r>
      <w:r w:rsidR="0010699C">
        <w:rPr>
          <w:lang w:val="en-CA"/>
        </w:rPr>
        <w:t>,</w:t>
      </w:r>
      <w:r w:rsidRPr="00BA52F1">
        <w:rPr>
          <w:lang w:val="en-CA"/>
        </w:rPr>
        <w:t xml:space="preserve"> J.A. argues that the entire body of case law stated above is either wrong or inapplicable </w:t>
      </w:r>
      <w:r w:rsidR="00B35B1C" w:rsidRPr="00BA52F1">
        <w:rPr>
          <w:lang w:val="en-CA"/>
        </w:rPr>
        <w:t>and</w:t>
      </w:r>
      <w:r w:rsidRPr="00BA52F1">
        <w:rPr>
          <w:lang w:val="en-CA"/>
        </w:rPr>
        <w:t xml:space="preserve"> that a new reading of the law should be adopted</w:t>
      </w:r>
      <w:r w:rsidR="00B35B1C">
        <w:rPr>
          <w:lang w:val="en-CA"/>
        </w:rPr>
        <w:t xml:space="preserve"> here</w:t>
      </w:r>
      <w:r w:rsidRPr="00BA52F1">
        <w:rPr>
          <w:lang w:val="en-CA"/>
        </w:rPr>
        <w:t>.</w:t>
      </w:r>
      <w:r w:rsidR="00B363F2" w:rsidRPr="00BA52F1">
        <w:rPr>
          <w:lang w:val="en-CA"/>
        </w:rPr>
        <w:t xml:space="preserve"> </w:t>
      </w:r>
      <w:r w:rsidRPr="00BA52F1">
        <w:rPr>
          <w:rFonts w:cs="Arial"/>
          <w:color w:val="000000"/>
          <w:lang w:val="en-CA"/>
        </w:rPr>
        <w:t xml:space="preserve">With respect, that is to flout the rule of precedent, </w:t>
      </w:r>
      <w:r w:rsidR="00B35B1C">
        <w:rPr>
          <w:rFonts w:cs="Arial"/>
          <w:color w:val="000000"/>
          <w:lang w:val="en-CA"/>
        </w:rPr>
        <w:t>also known as</w:t>
      </w:r>
      <w:r w:rsidRPr="00BA52F1">
        <w:rPr>
          <w:rFonts w:cs="Arial"/>
          <w:color w:val="000000"/>
          <w:lang w:val="en-CA"/>
        </w:rPr>
        <w:t xml:space="preserve"> </w:t>
      </w:r>
      <w:r w:rsidRPr="00B35B1C">
        <w:rPr>
          <w:rFonts w:cs="Arial"/>
          <w:i/>
          <w:iCs/>
          <w:color w:val="000000"/>
          <w:lang w:val="en-CA"/>
        </w:rPr>
        <w:t>stare decisis</w:t>
      </w:r>
      <w:r w:rsidRPr="00BA52F1">
        <w:rPr>
          <w:rFonts w:cs="Arial"/>
          <w:color w:val="000000"/>
          <w:lang w:val="en-CA"/>
        </w:rPr>
        <w:t xml:space="preserve">, </w:t>
      </w:r>
      <w:r w:rsidR="0010699C">
        <w:rPr>
          <w:rFonts w:cs="Arial"/>
          <w:color w:val="000000"/>
          <w:lang w:val="en-CA"/>
        </w:rPr>
        <w:t>whose</w:t>
      </w:r>
      <w:r w:rsidRPr="00BA52F1">
        <w:rPr>
          <w:rFonts w:cs="Arial"/>
          <w:color w:val="000000"/>
          <w:lang w:val="en-CA"/>
        </w:rPr>
        <w:t xml:space="preserve"> </w:t>
      </w:r>
      <w:r w:rsidR="00F64975">
        <w:rPr>
          <w:rFonts w:cs="Arial"/>
          <w:color w:val="000000"/>
          <w:lang w:val="en-CA"/>
        </w:rPr>
        <w:t xml:space="preserve">purpose </w:t>
      </w:r>
      <w:r w:rsidRPr="00BA52F1">
        <w:rPr>
          <w:rFonts w:cs="Arial"/>
          <w:color w:val="000000"/>
          <w:lang w:val="en-CA"/>
        </w:rPr>
        <w:t xml:space="preserve">is to ensure the certainty of the law </w:t>
      </w:r>
      <w:r w:rsidR="00B55812" w:rsidRPr="00BA52F1">
        <w:rPr>
          <w:rFonts w:cs="Arial"/>
          <w:color w:val="000000"/>
          <w:lang w:val="en-CA"/>
        </w:rPr>
        <w:t>and</w:t>
      </w:r>
      <w:r w:rsidRPr="00BA52F1">
        <w:rPr>
          <w:rFonts w:cs="Arial"/>
          <w:color w:val="000000"/>
          <w:lang w:val="en-CA"/>
        </w:rPr>
        <w:t xml:space="preserve"> is</w:t>
      </w:r>
      <w:r w:rsidR="00F64975">
        <w:rPr>
          <w:rFonts w:cs="Arial"/>
          <w:color w:val="000000"/>
          <w:lang w:val="en-CA"/>
        </w:rPr>
        <w:t>,</w:t>
      </w:r>
      <w:r w:rsidRPr="00BA52F1">
        <w:rPr>
          <w:rFonts w:cs="Arial"/>
          <w:color w:val="000000"/>
          <w:lang w:val="en-CA"/>
        </w:rPr>
        <w:t xml:space="preserve"> in fact</w:t>
      </w:r>
      <w:r w:rsidR="00F64975">
        <w:rPr>
          <w:rFonts w:cs="Arial"/>
          <w:color w:val="000000"/>
          <w:lang w:val="en-CA"/>
        </w:rPr>
        <w:t>,</w:t>
      </w:r>
      <w:r w:rsidRPr="00BA52F1">
        <w:rPr>
          <w:rFonts w:cs="Arial"/>
          <w:color w:val="000000"/>
          <w:lang w:val="en-CA"/>
        </w:rPr>
        <w:t xml:space="preserve"> one of the </w:t>
      </w:r>
      <w:r w:rsidR="00F64975">
        <w:rPr>
          <w:rFonts w:cs="Arial"/>
          <w:color w:val="000000"/>
          <w:lang w:val="en-CA"/>
        </w:rPr>
        <w:t xml:space="preserve">foundational principles </w:t>
      </w:r>
      <w:r w:rsidRPr="00BA52F1">
        <w:rPr>
          <w:rFonts w:cs="Arial"/>
          <w:color w:val="000000"/>
          <w:lang w:val="en-CA"/>
        </w:rPr>
        <w:t xml:space="preserve">of our law because it </w:t>
      </w:r>
      <w:r w:rsidR="00A000A2">
        <w:rPr>
          <w:rFonts w:cs="Arial"/>
          <w:color w:val="000000"/>
          <w:lang w:val="en-CA"/>
        </w:rPr>
        <w:t xml:space="preserve">promotes predictability, reduces arbitrariness </w:t>
      </w:r>
      <w:r w:rsidRPr="00BA52F1">
        <w:rPr>
          <w:rFonts w:cs="Arial"/>
          <w:color w:val="000000"/>
          <w:lang w:val="en-CA"/>
        </w:rPr>
        <w:t xml:space="preserve">and </w:t>
      </w:r>
      <w:r w:rsidR="00A000A2">
        <w:rPr>
          <w:rFonts w:cs="Arial"/>
          <w:color w:val="000000"/>
          <w:lang w:val="en-CA"/>
        </w:rPr>
        <w:t xml:space="preserve">enhances </w:t>
      </w:r>
      <w:r w:rsidRPr="00BA52F1">
        <w:rPr>
          <w:rFonts w:cs="Arial"/>
          <w:color w:val="000000"/>
          <w:lang w:val="en-CA"/>
        </w:rPr>
        <w:t>fairness by making justice more effective and economical and by discouraging the multiplication of legal proceedings.</w:t>
      </w:r>
      <w:r>
        <w:rPr>
          <w:rStyle w:val="Appelnotedebasdep"/>
          <w:rFonts w:cs="Arial"/>
          <w:color w:val="000000"/>
        </w:rPr>
        <w:footnoteReference w:id="48"/>
      </w:r>
      <w:r w:rsidR="00B363F2" w:rsidRPr="00BA52F1">
        <w:rPr>
          <w:rFonts w:cs="Arial"/>
          <w:color w:val="000000"/>
          <w:lang w:val="en-CA"/>
        </w:rPr>
        <w:t xml:space="preserve"> </w:t>
      </w:r>
      <w:r w:rsidR="00586521">
        <w:rPr>
          <w:rFonts w:cs="Arial"/>
          <w:color w:val="000000"/>
          <w:kern w:val="0"/>
          <w:lang w:val="en-CA"/>
        </w:rPr>
        <w:t>While</w:t>
      </w:r>
      <w:r w:rsidRPr="00BA52F1">
        <w:rPr>
          <w:rFonts w:cs="Arial"/>
          <w:color w:val="000000"/>
          <w:kern w:val="0"/>
          <w:lang w:val="en-CA"/>
        </w:rPr>
        <w:t xml:space="preserve"> the Supreme Court, in its judgments in </w:t>
      </w:r>
      <w:r w:rsidRPr="00BA52F1">
        <w:rPr>
          <w:rFonts w:cs="Arial"/>
          <w:i/>
          <w:color w:val="000000"/>
          <w:kern w:val="0"/>
          <w:lang w:val="en-CA"/>
        </w:rPr>
        <w:t>Bedford</w:t>
      </w:r>
      <w:r>
        <w:rPr>
          <w:rStyle w:val="Appelnotedebasdep"/>
          <w:rFonts w:cs="Arial"/>
          <w:color w:val="000000"/>
          <w:kern w:val="0"/>
        </w:rPr>
        <w:footnoteReference w:id="49"/>
      </w:r>
      <w:r w:rsidRPr="00BA52F1">
        <w:rPr>
          <w:rFonts w:cs="Arial"/>
          <w:color w:val="000000"/>
          <w:kern w:val="0"/>
          <w:lang w:val="en-CA"/>
        </w:rPr>
        <w:t xml:space="preserve"> and </w:t>
      </w:r>
      <w:r w:rsidRPr="00BA52F1">
        <w:rPr>
          <w:rFonts w:cs="Arial"/>
          <w:i/>
          <w:color w:val="000000"/>
          <w:kern w:val="0"/>
          <w:lang w:val="en-CA"/>
        </w:rPr>
        <w:t>Carter</w:t>
      </w:r>
      <w:r w:rsidRPr="00BA52F1">
        <w:rPr>
          <w:rFonts w:cs="Arial"/>
          <w:color w:val="000000"/>
          <w:kern w:val="0"/>
          <w:lang w:val="en-CA"/>
        </w:rPr>
        <w:t>,</w:t>
      </w:r>
      <w:r w:rsidRPr="00BA52F1">
        <w:rPr>
          <w:rStyle w:val="Appelnotedebasdep"/>
          <w:rFonts w:cs="Arial"/>
          <w:color w:val="000000"/>
          <w:kern w:val="0"/>
          <w:lang w:val="en-CA"/>
        </w:rPr>
        <w:t xml:space="preserve"> </w:t>
      </w:r>
      <w:r>
        <w:rPr>
          <w:rStyle w:val="Appelnotedebasdep"/>
          <w:rFonts w:cs="Arial"/>
          <w:color w:val="000000"/>
          <w:kern w:val="0"/>
        </w:rPr>
        <w:footnoteReference w:id="50"/>
      </w:r>
      <w:r w:rsidRPr="00BA52F1">
        <w:rPr>
          <w:rFonts w:cs="Arial"/>
          <w:color w:val="000000"/>
          <w:kern w:val="0"/>
          <w:lang w:val="en-CA"/>
        </w:rPr>
        <w:t xml:space="preserve"> opened the door to the possibility of not following its precedents in certain exceptional circumstances</w:t>
      </w:r>
      <w:r w:rsidR="001C16C9">
        <w:rPr>
          <w:rFonts w:cs="Arial"/>
          <w:color w:val="000000"/>
          <w:kern w:val="0"/>
          <w:lang w:val="en-CA"/>
        </w:rPr>
        <w:t xml:space="preserve"> –</w:t>
      </w:r>
      <w:r w:rsidRPr="00BA52F1">
        <w:rPr>
          <w:rFonts w:cs="Arial"/>
          <w:color w:val="000000"/>
          <w:kern w:val="0"/>
          <w:lang w:val="en-CA"/>
        </w:rPr>
        <w:t xml:space="preserve"> that is (1) when a new legal issue is raised</w:t>
      </w:r>
      <w:r w:rsidR="001C16C9">
        <w:rPr>
          <w:rFonts w:cs="Arial"/>
          <w:color w:val="000000"/>
          <w:kern w:val="0"/>
          <w:lang w:val="en-CA"/>
        </w:rPr>
        <w:t>,</w:t>
      </w:r>
      <w:r w:rsidRPr="00BA52F1">
        <w:rPr>
          <w:rFonts w:cs="Arial"/>
          <w:color w:val="000000"/>
          <w:kern w:val="0"/>
          <w:lang w:val="en-CA"/>
        </w:rPr>
        <w:t xml:space="preserve"> or (2) when a change in the circumstances or evidence </w:t>
      </w:r>
      <w:r w:rsidR="00B55812">
        <w:rPr>
          <w:rFonts w:cs="Arial"/>
          <w:color w:val="000000"/>
          <w:kern w:val="0"/>
          <w:lang w:val="en-CA"/>
        </w:rPr>
        <w:t>“</w:t>
      </w:r>
      <w:r w:rsidRPr="00BA52F1">
        <w:rPr>
          <w:rFonts w:cs="Arial"/>
          <w:color w:val="000000"/>
          <w:kern w:val="0"/>
          <w:lang w:val="en-CA"/>
        </w:rPr>
        <w:t>fundamentally shifts the parameters</w:t>
      </w:r>
      <w:r w:rsidR="0035485C">
        <w:rPr>
          <w:rFonts w:cs="Arial"/>
          <w:color w:val="000000"/>
          <w:kern w:val="0"/>
          <w:lang w:val="en-CA"/>
        </w:rPr>
        <w:t xml:space="preserve"> of the debate</w:t>
      </w:r>
      <w:r w:rsidR="00B55812">
        <w:rPr>
          <w:rFonts w:cs="Arial"/>
          <w:color w:val="000000"/>
          <w:kern w:val="0"/>
          <w:lang w:val="en-CA"/>
        </w:rPr>
        <w:t>”</w:t>
      </w:r>
      <w:r w:rsidR="001C16C9">
        <w:rPr>
          <w:rFonts w:cs="Arial"/>
          <w:color w:val="000000"/>
          <w:kern w:val="0"/>
          <w:lang w:val="en-CA"/>
        </w:rPr>
        <w:t xml:space="preserve"> –</w:t>
      </w:r>
      <w:r w:rsidRPr="00BA52F1">
        <w:rPr>
          <w:rFonts w:cs="Arial"/>
          <w:color w:val="000000"/>
          <w:kern w:val="0"/>
          <w:lang w:val="en-CA"/>
        </w:rPr>
        <w:t xml:space="preserve"> </w:t>
      </w:r>
      <w:r w:rsidR="0035485C">
        <w:rPr>
          <w:rFonts w:cs="Arial"/>
          <w:color w:val="000000"/>
          <w:kern w:val="0"/>
          <w:lang w:val="en-CA"/>
        </w:rPr>
        <w:t xml:space="preserve">this </w:t>
      </w:r>
      <w:r w:rsidRPr="00BA52F1">
        <w:rPr>
          <w:rFonts w:cs="Arial"/>
          <w:color w:val="000000"/>
          <w:kern w:val="0"/>
          <w:lang w:val="en-CA"/>
        </w:rPr>
        <w:t xml:space="preserve">is a high threshold, as the Supreme Court reminded us in </w:t>
      </w:r>
      <w:r w:rsidRPr="00BA52F1">
        <w:rPr>
          <w:rFonts w:cs="Arial"/>
          <w:i/>
          <w:color w:val="000000"/>
          <w:kern w:val="0"/>
          <w:lang w:val="en-CA"/>
        </w:rPr>
        <w:t>R. v. Comeau</w:t>
      </w:r>
      <w:r w:rsidRPr="00BA52F1">
        <w:rPr>
          <w:rFonts w:cs="Arial"/>
          <w:color w:val="000000"/>
          <w:kern w:val="0"/>
          <w:lang w:val="en-CA"/>
        </w:rPr>
        <w:t>,</w:t>
      </w:r>
      <w:r w:rsidRPr="00BA52F1">
        <w:rPr>
          <w:rStyle w:val="Appelnotedebasdep"/>
          <w:rFonts w:cs="Arial"/>
          <w:color w:val="000000"/>
          <w:kern w:val="0"/>
          <w:lang w:val="en-CA"/>
        </w:rPr>
        <w:t xml:space="preserve"> </w:t>
      </w:r>
      <w:r>
        <w:rPr>
          <w:rStyle w:val="Appelnotedebasdep"/>
          <w:rFonts w:cs="Arial"/>
          <w:color w:val="000000"/>
          <w:kern w:val="0"/>
        </w:rPr>
        <w:footnoteReference w:id="51"/>
      </w:r>
      <w:r w:rsidRPr="00BA52F1">
        <w:rPr>
          <w:rFonts w:cs="Arial"/>
          <w:color w:val="000000"/>
          <w:kern w:val="0"/>
          <w:lang w:val="en-CA"/>
        </w:rPr>
        <w:t xml:space="preserve"> </w:t>
      </w:r>
      <w:r w:rsidR="001C16C9">
        <w:rPr>
          <w:rFonts w:cs="Arial"/>
          <w:color w:val="000000"/>
          <w:kern w:val="0"/>
          <w:lang w:val="en-CA"/>
        </w:rPr>
        <w:t xml:space="preserve">one that </w:t>
      </w:r>
      <w:r w:rsidRPr="00BA52F1">
        <w:rPr>
          <w:rFonts w:cs="Arial"/>
          <w:color w:val="000000"/>
          <w:kern w:val="0"/>
          <w:lang w:val="en-CA"/>
        </w:rPr>
        <w:t xml:space="preserve">may apply </w:t>
      </w:r>
      <w:r w:rsidR="002053DB">
        <w:rPr>
          <w:rFonts w:cs="Arial"/>
          <w:color w:val="000000"/>
          <w:kern w:val="0"/>
          <w:lang w:val="en-CA"/>
        </w:rPr>
        <w:t xml:space="preserve">especially </w:t>
      </w:r>
      <w:r w:rsidRPr="00BA52F1">
        <w:rPr>
          <w:rFonts w:cs="Arial"/>
          <w:color w:val="000000"/>
          <w:kern w:val="0"/>
          <w:lang w:val="en-CA"/>
        </w:rPr>
        <w:t xml:space="preserve">when </w:t>
      </w:r>
      <w:r w:rsidR="00B55812" w:rsidRPr="00BA52F1">
        <w:rPr>
          <w:rFonts w:cs="Arial"/>
          <w:color w:val="000000"/>
          <w:kern w:val="0"/>
          <w:lang w:val="en-CA"/>
        </w:rPr>
        <w:t>constitutional</w:t>
      </w:r>
      <w:r w:rsidRPr="00BA52F1">
        <w:rPr>
          <w:rFonts w:cs="Arial"/>
          <w:color w:val="000000"/>
          <w:kern w:val="0"/>
          <w:lang w:val="en-CA"/>
        </w:rPr>
        <w:t xml:space="preserve"> questions are at issue </w:t>
      </w:r>
      <w:r w:rsidR="00B55812" w:rsidRPr="00BA52F1">
        <w:rPr>
          <w:rFonts w:cs="Arial"/>
          <w:color w:val="000000"/>
          <w:kern w:val="0"/>
          <w:lang w:val="en-CA"/>
        </w:rPr>
        <w:t>and</w:t>
      </w:r>
      <w:r w:rsidRPr="00BA52F1">
        <w:rPr>
          <w:rFonts w:cs="Arial"/>
          <w:color w:val="000000"/>
          <w:kern w:val="0"/>
          <w:lang w:val="en-CA"/>
        </w:rPr>
        <w:t xml:space="preserve"> the </w:t>
      </w:r>
      <w:r w:rsidR="00B55812" w:rsidRPr="00BA52F1">
        <w:rPr>
          <w:rFonts w:cs="Arial"/>
          <w:color w:val="000000"/>
          <w:kern w:val="0"/>
          <w:lang w:val="en-CA"/>
        </w:rPr>
        <w:t>facts</w:t>
      </w:r>
      <w:r w:rsidRPr="00BA52F1">
        <w:rPr>
          <w:rFonts w:cs="Arial"/>
          <w:color w:val="000000"/>
          <w:kern w:val="0"/>
          <w:lang w:val="en-CA"/>
        </w:rPr>
        <w:t xml:space="preserve"> that gave rise to the precedent are </w:t>
      </w:r>
      <w:r w:rsidR="001C16C9">
        <w:rPr>
          <w:rFonts w:cs="Arial"/>
          <w:color w:val="000000"/>
          <w:kern w:val="0"/>
          <w:lang w:val="en-CA"/>
        </w:rPr>
        <w:t xml:space="preserve">radically </w:t>
      </w:r>
      <w:r w:rsidRPr="00BA52F1">
        <w:rPr>
          <w:rFonts w:cs="Arial"/>
          <w:color w:val="000000"/>
          <w:kern w:val="0"/>
          <w:lang w:val="en-CA"/>
        </w:rPr>
        <w:t>different.</w:t>
      </w:r>
      <w:r>
        <w:rPr>
          <w:rStyle w:val="Appelnotedebasdep"/>
          <w:rFonts w:cs="Arial"/>
          <w:color w:val="000000"/>
          <w:kern w:val="0"/>
        </w:rPr>
        <w:footnoteReference w:id="52"/>
      </w:r>
      <w:r w:rsidR="00B363F2" w:rsidRPr="00BA52F1">
        <w:rPr>
          <w:rFonts w:cs="Arial"/>
          <w:color w:val="000000"/>
          <w:kern w:val="0"/>
          <w:lang w:val="en-CA"/>
        </w:rPr>
        <w:t xml:space="preserve"> </w:t>
      </w:r>
      <w:r w:rsidRPr="00B55812">
        <w:rPr>
          <w:rFonts w:cs="Arial"/>
          <w:color w:val="000000"/>
          <w:kern w:val="0"/>
          <w:lang w:val="en-CA"/>
        </w:rPr>
        <w:t>That is clearly not the case here.</w:t>
      </w:r>
      <w:r w:rsidR="00B363F2" w:rsidRPr="00B55812">
        <w:rPr>
          <w:rFonts w:cs="Arial"/>
          <w:color w:val="000000"/>
          <w:kern w:val="0"/>
          <w:lang w:val="en-CA"/>
        </w:rPr>
        <w:t xml:space="preserve"> </w:t>
      </w:r>
    </w:p>
    <w:p w14:paraId="25343717" w14:textId="7FC5A254" w:rsidR="00B226A6" w:rsidRPr="00AE0C56" w:rsidRDefault="00225DDB" w:rsidP="00B226A6">
      <w:pPr>
        <w:pStyle w:val="Paragraphe"/>
        <w:spacing w:line="280" w:lineRule="exact"/>
        <w:rPr>
          <w:lang w:val="en-CA"/>
        </w:rPr>
      </w:pPr>
      <w:r w:rsidRPr="00225DDB">
        <w:rPr>
          <w:lang w:val="en-CA"/>
        </w:rPr>
        <w:t xml:space="preserve">As for the Court's precedents, </w:t>
      </w:r>
      <w:r w:rsidR="00125B95" w:rsidRPr="00E9088B">
        <w:rPr>
          <w:lang w:val="en-CA"/>
        </w:rPr>
        <w:t xml:space="preserve">these must be followed by the Court itself, </w:t>
      </w:r>
      <w:r w:rsidRPr="00225DDB">
        <w:rPr>
          <w:lang w:val="en-CA"/>
        </w:rPr>
        <w:t xml:space="preserve">unless a subsequent judgment of the Supreme Court invalidates the reasoning of the judgment being used as precedent, </w:t>
      </w:r>
      <w:r w:rsidR="006838F9">
        <w:rPr>
          <w:lang w:val="en-CA"/>
        </w:rPr>
        <w:t xml:space="preserve">unless </w:t>
      </w:r>
      <w:r w:rsidRPr="00225DDB">
        <w:rPr>
          <w:lang w:val="en-CA"/>
        </w:rPr>
        <w:t xml:space="preserve">the Court notes an error or there are </w:t>
      </w:r>
      <w:r w:rsidR="006838F9">
        <w:rPr>
          <w:lang w:val="en-CA"/>
        </w:rPr>
        <w:t xml:space="preserve">compelling </w:t>
      </w:r>
      <w:r w:rsidRPr="00225DDB">
        <w:rPr>
          <w:lang w:val="en-CA"/>
        </w:rPr>
        <w:t xml:space="preserve">reasons or circumstances to </w:t>
      </w:r>
      <w:r w:rsidR="006838F9">
        <w:rPr>
          <w:lang w:val="en-CA"/>
        </w:rPr>
        <w:t>depart from precedent,</w:t>
      </w:r>
      <w:r w:rsidRPr="00225DDB">
        <w:rPr>
          <w:lang w:val="en-CA"/>
        </w:rPr>
        <w:t xml:space="preserve"> or </w:t>
      </w:r>
      <w:r w:rsidR="006838F9">
        <w:rPr>
          <w:lang w:val="en-CA"/>
        </w:rPr>
        <w:t xml:space="preserve">unless </w:t>
      </w:r>
      <w:r w:rsidRPr="00225DDB">
        <w:rPr>
          <w:lang w:val="en-CA"/>
        </w:rPr>
        <w:t xml:space="preserve">the earlier </w:t>
      </w:r>
      <w:r w:rsidR="00AE0C56" w:rsidRPr="00225DDB">
        <w:rPr>
          <w:lang w:val="en-CA"/>
        </w:rPr>
        <w:t>judgment</w:t>
      </w:r>
      <w:r w:rsidRPr="00225DDB">
        <w:rPr>
          <w:lang w:val="en-CA"/>
        </w:rPr>
        <w:t xml:space="preserve"> is clearly wrong</w:t>
      </w:r>
      <w:r w:rsidR="00AE0C56">
        <w:rPr>
          <w:lang w:val="en-CA"/>
        </w:rPr>
        <w:t>.</w:t>
      </w:r>
      <w:r>
        <w:rPr>
          <w:rStyle w:val="Appelnotedebasdep"/>
          <w:rFonts w:cs="Arial"/>
          <w:color w:val="000000"/>
        </w:rPr>
        <w:footnoteReference w:id="53"/>
      </w:r>
      <w:r w:rsidR="00B363F2" w:rsidRPr="00225DDB">
        <w:rPr>
          <w:lang w:val="en-CA"/>
        </w:rPr>
        <w:t xml:space="preserve"> </w:t>
      </w:r>
      <w:r w:rsidRPr="00AE0C56">
        <w:rPr>
          <w:lang w:val="en-CA"/>
        </w:rPr>
        <w:t xml:space="preserve">Once again, that is not </w:t>
      </w:r>
      <w:r w:rsidR="00AE0C56" w:rsidRPr="00AE0C56">
        <w:rPr>
          <w:lang w:val="en-CA"/>
        </w:rPr>
        <w:t>the</w:t>
      </w:r>
      <w:r w:rsidRPr="00AE0C56">
        <w:rPr>
          <w:lang w:val="en-CA"/>
        </w:rPr>
        <w:t xml:space="preserve"> case here.</w:t>
      </w:r>
    </w:p>
    <w:p w14:paraId="5F322207" w14:textId="134AE858" w:rsidR="00B226A6" w:rsidRPr="00225DDB" w:rsidRDefault="00225DDB" w:rsidP="00B226A6">
      <w:pPr>
        <w:pStyle w:val="Paragraphe"/>
        <w:spacing w:line="280" w:lineRule="exact"/>
        <w:rPr>
          <w:lang w:val="en-CA"/>
        </w:rPr>
      </w:pPr>
      <w:r w:rsidRPr="00501215">
        <w:rPr>
          <w:lang w:val="en-CA"/>
        </w:rPr>
        <w:t xml:space="preserve">In </w:t>
      </w:r>
      <w:r w:rsidR="00791FA3">
        <w:rPr>
          <w:lang w:val="en-CA"/>
        </w:rPr>
        <w:t xml:space="preserve">the </w:t>
      </w:r>
      <w:r w:rsidRPr="00501215">
        <w:rPr>
          <w:lang w:val="en-CA"/>
        </w:rPr>
        <w:t>case</w:t>
      </w:r>
      <w:r w:rsidR="00791FA3">
        <w:rPr>
          <w:lang w:val="en-CA"/>
        </w:rPr>
        <w:t xml:space="preserve"> at bar</w:t>
      </w:r>
      <w:r w:rsidRPr="00501215">
        <w:rPr>
          <w:lang w:val="en-CA"/>
        </w:rPr>
        <w:t xml:space="preserve">, the trial judge applied the correct legal principles established by a </w:t>
      </w:r>
      <w:r w:rsidR="005A49B1">
        <w:rPr>
          <w:lang w:val="en-CA"/>
        </w:rPr>
        <w:t xml:space="preserve">solid </w:t>
      </w:r>
      <w:r w:rsidRPr="00501215">
        <w:rPr>
          <w:lang w:val="en-CA"/>
        </w:rPr>
        <w:t>body of case law that should not be disregarded.</w:t>
      </w:r>
      <w:r w:rsidR="00B363F2" w:rsidRPr="00225DDB">
        <w:rPr>
          <w:lang w:val="en-CA"/>
        </w:rPr>
        <w:t xml:space="preserve"> </w:t>
      </w:r>
      <w:r w:rsidRPr="00225DDB">
        <w:rPr>
          <w:lang w:val="en-CA"/>
        </w:rPr>
        <w:t xml:space="preserve">In addition, </w:t>
      </w:r>
      <w:r w:rsidR="004552DF">
        <w:rPr>
          <w:lang w:val="en-CA"/>
        </w:rPr>
        <w:t xml:space="preserve">her </w:t>
      </w:r>
      <w:r w:rsidRPr="00225DDB">
        <w:rPr>
          <w:lang w:val="en-CA"/>
        </w:rPr>
        <w:t xml:space="preserve">judgment rests on the fact that prior to the fall of 2017, </w:t>
      </w:r>
      <w:r w:rsidR="003F5690">
        <w:rPr>
          <w:lang w:val="en-CA"/>
        </w:rPr>
        <w:t xml:space="preserve">that is, </w:t>
      </w:r>
      <w:r w:rsidR="00F50A73">
        <w:rPr>
          <w:lang w:val="en-CA"/>
        </w:rPr>
        <w:t xml:space="preserve">well </w:t>
      </w:r>
      <w:r w:rsidRPr="00225DDB">
        <w:rPr>
          <w:lang w:val="en-CA"/>
        </w:rPr>
        <w:t xml:space="preserve">after the proposal was filed in 2013 and the certificate of full performance was issued on June 16, 2014, there was no </w:t>
      </w:r>
      <w:r w:rsidR="003F5690">
        <w:rPr>
          <w:lang w:val="en-CA"/>
        </w:rPr>
        <w:t>indication of the</w:t>
      </w:r>
      <w:r w:rsidRPr="00225DDB">
        <w:rPr>
          <w:lang w:val="en-CA"/>
        </w:rPr>
        <w:t xml:space="preserve"> latent defects affecting the immovable.</w:t>
      </w:r>
      <w:r>
        <w:rPr>
          <w:rStyle w:val="Appelnotedebasdep"/>
        </w:rPr>
        <w:footnoteReference w:id="54"/>
      </w:r>
      <w:r w:rsidR="00B363F2" w:rsidRPr="00225DDB">
        <w:rPr>
          <w:lang w:val="en-CA"/>
        </w:rPr>
        <w:t xml:space="preserve"> </w:t>
      </w:r>
      <w:r w:rsidRPr="00501215">
        <w:rPr>
          <w:lang w:val="en-CA"/>
        </w:rPr>
        <w:t xml:space="preserve">This </w:t>
      </w:r>
      <w:r w:rsidR="00AE0C56" w:rsidRPr="00501215">
        <w:rPr>
          <w:lang w:val="en-CA"/>
        </w:rPr>
        <w:t>conclusion</w:t>
      </w:r>
      <w:r w:rsidRPr="00501215">
        <w:rPr>
          <w:lang w:val="en-CA"/>
        </w:rPr>
        <w:t xml:space="preserve"> of </w:t>
      </w:r>
      <w:r w:rsidR="00AE0C56">
        <w:rPr>
          <w:lang w:val="en-CA"/>
        </w:rPr>
        <w:t>f</w:t>
      </w:r>
      <w:r w:rsidRPr="00501215">
        <w:rPr>
          <w:lang w:val="en-CA"/>
        </w:rPr>
        <w:t>act is central to the outcome of this dispute.</w:t>
      </w:r>
      <w:r w:rsidR="00B363F2" w:rsidRPr="00225DDB">
        <w:rPr>
          <w:lang w:val="en-CA"/>
        </w:rPr>
        <w:t xml:space="preserve"> </w:t>
      </w:r>
      <w:r w:rsidR="00AE0C56" w:rsidRPr="00501215">
        <w:rPr>
          <w:lang w:val="en-CA"/>
        </w:rPr>
        <w:t>Indeed</w:t>
      </w:r>
      <w:r w:rsidRPr="00501215">
        <w:rPr>
          <w:lang w:val="en-CA"/>
        </w:rPr>
        <w:t>, when the proposal was filed in 2013, or even before June 2014, it was impossible to foretell that a claim for latent defects would eventually be filed.</w:t>
      </w:r>
      <w:r w:rsidR="00B363F2" w:rsidRPr="00225DDB">
        <w:rPr>
          <w:lang w:val="en-CA"/>
        </w:rPr>
        <w:t xml:space="preserve"> </w:t>
      </w:r>
      <w:r w:rsidRPr="00501215">
        <w:rPr>
          <w:lang w:val="en-CA"/>
        </w:rPr>
        <w:t xml:space="preserve">While the </w:t>
      </w:r>
      <w:r w:rsidR="0055589F">
        <w:rPr>
          <w:lang w:val="en-CA"/>
        </w:rPr>
        <w:t>Appellant</w:t>
      </w:r>
      <w:r w:rsidRPr="00501215">
        <w:rPr>
          <w:lang w:val="en-CA"/>
        </w:rPr>
        <w:t xml:space="preserve">s’ obligation of warranty of quality existed at the time of the proposal, the debt that could have arisen </w:t>
      </w:r>
      <w:r w:rsidR="00E85A38">
        <w:rPr>
          <w:lang w:val="en-CA"/>
        </w:rPr>
        <w:t xml:space="preserve">therefrom </w:t>
      </w:r>
      <w:r w:rsidRPr="00501215">
        <w:rPr>
          <w:lang w:val="en-CA"/>
        </w:rPr>
        <w:t>was hypothetical and it was impossible to attach a monetary value to it.</w:t>
      </w:r>
    </w:p>
    <w:p w14:paraId="21505AFC" w14:textId="16962E41" w:rsidR="00B226A6" w:rsidRPr="00225DDB" w:rsidRDefault="00225DDB" w:rsidP="00B226A6">
      <w:pPr>
        <w:pStyle w:val="Paragraphe"/>
        <w:spacing w:line="280" w:lineRule="exact"/>
        <w:rPr>
          <w:lang w:val="en-CA"/>
        </w:rPr>
      </w:pPr>
      <w:r w:rsidRPr="00225DDB">
        <w:rPr>
          <w:lang w:val="en-CA"/>
        </w:rPr>
        <w:t>The judge therefore did not commit any reviewable error and I am of the vie</w:t>
      </w:r>
      <w:r w:rsidR="00AE0C56">
        <w:rPr>
          <w:lang w:val="en-CA"/>
        </w:rPr>
        <w:t>w</w:t>
      </w:r>
      <w:r w:rsidRPr="00225DDB">
        <w:rPr>
          <w:lang w:val="en-CA"/>
        </w:rPr>
        <w:t xml:space="preserve"> that </w:t>
      </w:r>
      <w:r w:rsidR="00F7451F">
        <w:rPr>
          <w:lang w:val="en-CA"/>
        </w:rPr>
        <w:t xml:space="preserve">her </w:t>
      </w:r>
      <w:r w:rsidRPr="00225DDB">
        <w:rPr>
          <w:lang w:val="en-CA"/>
        </w:rPr>
        <w:t>judgment must be upheld.</w:t>
      </w:r>
      <w:r w:rsidR="00B363F2" w:rsidRPr="00225DDB">
        <w:rPr>
          <w:lang w:val="en-CA"/>
        </w:rPr>
        <w:t xml:space="preserve"> </w:t>
      </w:r>
    </w:p>
    <w:p w14:paraId="22BF335D" w14:textId="30F47145" w:rsidR="00B226A6" w:rsidRPr="00501215" w:rsidRDefault="00225DDB" w:rsidP="00B226A6">
      <w:pPr>
        <w:pStyle w:val="Paragraphe"/>
        <w:spacing w:line="280" w:lineRule="exact"/>
        <w:rPr>
          <w:lang w:val="en-CA"/>
        </w:rPr>
      </w:pPr>
      <w:r w:rsidRPr="00501215">
        <w:rPr>
          <w:lang w:val="en-CA"/>
        </w:rPr>
        <w:lastRenderedPageBreak/>
        <w:t>For these reasons, I would dismiss the appeal, with legal costs set at the lump sum of $3,000.</w:t>
      </w:r>
    </w:p>
    <w:tbl>
      <w:tblPr>
        <w:tblW w:w="0" w:type="auto"/>
        <w:tblInd w:w="70" w:type="dxa"/>
        <w:tblLayout w:type="fixed"/>
        <w:tblCellMar>
          <w:left w:w="70" w:type="dxa"/>
          <w:right w:w="70" w:type="dxa"/>
        </w:tblCellMar>
        <w:tblLook w:val="0000" w:firstRow="0" w:lastRow="0" w:firstColumn="0" w:lastColumn="0" w:noHBand="0" w:noVBand="0"/>
      </w:tblPr>
      <w:tblGrid>
        <w:gridCol w:w="4735"/>
        <w:gridCol w:w="4625"/>
      </w:tblGrid>
      <w:tr w:rsidR="00043FD3" w:rsidRPr="00970795" w14:paraId="6AA4457E" w14:textId="77777777" w:rsidTr="00131896">
        <w:trPr>
          <w:cantSplit/>
          <w:trHeight w:val="513"/>
        </w:trPr>
        <w:tc>
          <w:tcPr>
            <w:tcW w:w="9360" w:type="dxa"/>
            <w:gridSpan w:val="2"/>
          </w:tcPr>
          <w:p w14:paraId="1C224B02" w14:textId="77777777" w:rsidR="00B226A6" w:rsidRPr="00225DDB" w:rsidRDefault="00B226A6" w:rsidP="00131896">
            <w:pPr>
              <w:rPr>
                <w:lang w:val="en-CA"/>
              </w:rPr>
            </w:pPr>
          </w:p>
        </w:tc>
      </w:tr>
      <w:tr w:rsidR="00043FD3" w:rsidRPr="00970795" w14:paraId="59A968A6" w14:textId="77777777" w:rsidTr="00131896">
        <w:tblPrEx>
          <w:tblCellMar>
            <w:left w:w="0" w:type="dxa"/>
            <w:right w:w="0" w:type="dxa"/>
          </w:tblCellMar>
        </w:tblPrEx>
        <w:trPr>
          <w:cantSplit/>
          <w:trHeight w:val="277"/>
        </w:trPr>
        <w:tc>
          <w:tcPr>
            <w:tcW w:w="4735" w:type="dxa"/>
            <w:vMerge w:val="restart"/>
          </w:tcPr>
          <w:p w14:paraId="3B0AF4B3" w14:textId="77777777" w:rsidR="00B226A6" w:rsidRPr="00225DDB" w:rsidRDefault="00B226A6" w:rsidP="00131896">
            <w:pPr>
              <w:rPr>
                <w:lang w:val="en-CA"/>
              </w:rPr>
            </w:pPr>
          </w:p>
        </w:tc>
        <w:tc>
          <w:tcPr>
            <w:tcW w:w="4625" w:type="dxa"/>
            <w:tcBorders>
              <w:bottom w:val="single" w:sz="8" w:space="0" w:color="auto"/>
            </w:tcBorders>
          </w:tcPr>
          <w:p w14:paraId="2E5A4F85" w14:textId="77777777" w:rsidR="00B226A6" w:rsidRPr="00225DDB" w:rsidRDefault="00B226A6" w:rsidP="00131896">
            <w:pPr>
              <w:rPr>
                <w:lang w:val="en-CA"/>
              </w:rPr>
            </w:pPr>
          </w:p>
        </w:tc>
      </w:tr>
      <w:tr w:rsidR="00043FD3" w14:paraId="320A814D" w14:textId="77777777" w:rsidTr="00131896">
        <w:tblPrEx>
          <w:tblCellMar>
            <w:left w:w="0" w:type="dxa"/>
            <w:right w:w="0" w:type="dxa"/>
          </w:tblCellMar>
        </w:tblPrEx>
        <w:trPr>
          <w:cantSplit/>
          <w:trHeight w:val="276"/>
        </w:trPr>
        <w:tc>
          <w:tcPr>
            <w:tcW w:w="4735" w:type="dxa"/>
            <w:vMerge/>
          </w:tcPr>
          <w:p w14:paraId="53207F25" w14:textId="77777777" w:rsidR="00B226A6" w:rsidRPr="00225DDB" w:rsidRDefault="00B226A6" w:rsidP="00131896">
            <w:pPr>
              <w:rPr>
                <w:lang w:val="en-CA"/>
              </w:rPr>
            </w:pPr>
          </w:p>
        </w:tc>
        <w:tc>
          <w:tcPr>
            <w:tcW w:w="4625" w:type="dxa"/>
          </w:tcPr>
          <w:p w14:paraId="20BA9C4A" w14:textId="358014B7" w:rsidR="00B226A6" w:rsidRPr="00501215" w:rsidRDefault="00B35460" w:rsidP="00131896">
            <w:r w:rsidRPr="00501215">
              <w:t>JULIE DUTIL, J.A.</w:t>
            </w:r>
          </w:p>
        </w:tc>
      </w:tr>
    </w:tbl>
    <w:p w14:paraId="46867638" w14:textId="77777777" w:rsidR="00120640" w:rsidRPr="00B226A6" w:rsidRDefault="00120640" w:rsidP="00120640">
      <w:pPr>
        <w:pStyle w:val="Paragraphe"/>
        <w:numPr>
          <w:ilvl w:val="0"/>
          <w:numId w:val="0"/>
        </w:numPr>
      </w:pPr>
    </w:p>
    <w:p w14:paraId="2F721B23" w14:textId="1A792A3D" w:rsidR="00120640" w:rsidRPr="00225DDB" w:rsidRDefault="00B363F2" w:rsidP="00120640">
      <w:pPr>
        <w:pStyle w:val="Paragraphe"/>
        <w:numPr>
          <w:ilvl w:val="0"/>
          <w:numId w:val="0"/>
        </w:numPr>
        <w:jc w:val="center"/>
        <w:rPr>
          <w:lang w:val="en-CA"/>
        </w:rPr>
      </w:pPr>
      <w:r w:rsidRPr="00225DDB">
        <w:rPr>
          <w:lang w:val="en-CA"/>
        </w:rPr>
        <w:br w:type="page"/>
      </w:r>
      <w:r w:rsidR="00225DDB" w:rsidRPr="00501215">
        <w:rPr>
          <w:lang w:val="en-CA"/>
        </w:rPr>
        <w:lastRenderedPageBreak/>
        <w:t xml:space="preserve">SCHEDULE – </w:t>
      </w:r>
      <w:r w:rsidR="00225DDB" w:rsidRPr="00501215">
        <w:rPr>
          <w:i/>
          <w:lang w:val="en-CA"/>
        </w:rPr>
        <w:t>Bankruptcy and Insolvency Act</w:t>
      </w:r>
      <w:r w:rsidR="00225DDB" w:rsidRPr="00501215">
        <w:rPr>
          <w:lang w:val="en-CA"/>
        </w:rPr>
        <w:t>, R.S.C. (1985) c. B-3.</w:t>
      </w:r>
    </w:p>
    <w:tbl>
      <w:tblPr>
        <w:tblW w:w="0" w:type="auto"/>
        <w:tblCellMar>
          <w:left w:w="70" w:type="dxa"/>
          <w:right w:w="70" w:type="dxa"/>
        </w:tblCellMar>
        <w:tblLook w:val="0000" w:firstRow="0" w:lastRow="0" w:firstColumn="0" w:lastColumn="0" w:noHBand="0" w:noVBand="0"/>
      </w:tblPr>
      <w:tblGrid>
        <w:gridCol w:w="4681"/>
        <w:gridCol w:w="4681"/>
      </w:tblGrid>
      <w:tr w:rsidR="00B363F2" w14:paraId="6E6872E7" w14:textId="77777777" w:rsidTr="00867511">
        <w:tc>
          <w:tcPr>
            <w:tcW w:w="4681" w:type="dxa"/>
          </w:tcPr>
          <w:p w14:paraId="330FF3A6" w14:textId="77777777" w:rsidR="00B363F2" w:rsidRPr="00501215" w:rsidRDefault="00B363F2" w:rsidP="00B363F2">
            <w:pPr>
              <w:ind w:left="144" w:right="720"/>
              <w:jc w:val="both"/>
              <w:rPr>
                <w:b/>
                <w:bCs/>
                <w:sz w:val="22"/>
                <w:lang w:val="en-CA"/>
              </w:rPr>
            </w:pPr>
            <w:r w:rsidRPr="00501215">
              <w:rPr>
                <w:b/>
                <w:bCs/>
                <w:sz w:val="22"/>
                <w:lang w:val="en-CA"/>
              </w:rPr>
              <w:t>Definitions</w:t>
            </w:r>
          </w:p>
          <w:p w14:paraId="1B8BBEB2" w14:textId="77777777" w:rsidR="00B363F2" w:rsidRPr="00501215" w:rsidRDefault="00B363F2" w:rsidP="00B363F2">
            <w:pPr>
              <w:ind w:left="720" w:right="142"/>
              <w:jc w:val="both"/>
              <w:rPr>
                <w:b/>
                <w:bCs/>
                <w:sz w:val="22"/>
              </w:rPr>
            </w:pPr>
          </w:p>
        </w:tc>
        <w:tc>
          <w:tcPr>
            <w:tcW w:w="4681" w:type="dxa"/>
          </w:tcPr>
          <w:p w14:paraId="4787CA8E" w14:textId="5E8E7E2F" w:rsidR="00B363F2" w:rsidRPr="00501215" w:rsidRDefault="00B363F2" w:rsidP="00B363F2">
            <w:pPr>
              <w:ind w:left="720" w:right="142"/>
              <w:jc w:val="both"/>
              <w:rPr>
                <w:b/>
                <w:bCs/>
                <w:sz w:val="22"/>
              </w:rPr>
            </w:pPr>
            <w:r w:rsidRPr="00501215">
              <w:rPr>
                <w:b/>
                <w:bCs/>
                <w:sz w:val="22"/>
              </w:rPr>
              <w:t>Définitions</w:t>
            </w:r>
          </w:p>
        </w:tc>
      </w:tr>
      <w:tr w:rsidR="00B363F2" w14:paraId="73D1D10B" w14:textId="77777777" w:rsidTr="00867511">
        <w:tc>
          <w:tcPr>
            <w:tcW w:w="4681" w:type="dxa"/>
          </w:tcPr>
          <w:p w14:paraId="06030412" w14:textId="77777777" w:rsidR="00B363F2" w:rsidRPr="005E0F2A" w:rsidRDefault="00B363F2" w:rsidP="00B363F2">
            <w:pPr>
              <w:ind w:left="144" w:right="720"/>
              <w:jc w:val="both"/>
              <w:rPr>
                <w:b/>
                <w:bCs/>
                <w:sz w:val="22"/>
                <w:lang w:val="en-CA"/>
              </w:rPr>
            </w:pPr>
            <w:r>
              <w:rPr>
                <w:b/>
                <w:bCs/>
                <w:sz w:val="22"/>
                <w:lang w:val="en-CA"/>
              </w:rPr>
              <w:t>2</w:t>
            </w:r>
          </w:p>
          <w:p w14:paraId="62DFB3BC" w14:textId="77777777" w:rsidR="00B363F2" w:rsidRDefault="00B363F2" w:rsidP="00B363F2">
            <w:pPr>
              <w:ind w:left="720" w:right="142"/>
              <w:jc w:val="both"/>
              <w:rPr>
                <w:b/>
                <w:bCs/>
                <w:sz w:val="22"/>
              </w:rPr>
            </w:pPr>
          </w:p>
        </w:tc>
        <w:tc>
          <w:tcPr>
            <w:tcW w:w="4681" w:type="dxa"/>
          </w:tcPr>
          <w:p w14:paraId="380CE7D4" w14:textId="5B1F8289" w:rsidR="00B363F2" w:rsidRPr="005E0F2A" w:rsidRDefault="00B363F2" w:rsidP="00B363F2">
            <w:pPr>
              <w:ind w:left="720" w:right="142"/>
              <w:jc w:val="both"/>
              <w:rPr>
                <w:b/>
                <w:bCs/>
                <w:sz w:val="22"/>
              </w:rPr>
            </w:pPr>
            <w:r>
              <w:rPr>
                <w:b/>
                <w:bCs/>
                <w:sz w:val="22"/>
              </w:rPr>
              <w:t>2</w:t>
            </w:r>
          </w:p>
          <w:p w14:paraId="622676AC" w14:textId="77777777" w:rsidR="00B363F2" w:rsidRPr="005E0F2A" w:rsidRDefault="00B363F2" w:rsidP="00B363F2">
            <w:pPr>
              <w:ind w:left="720" w:right="142"/>
              <w:jc w:val="both"/>
              <w:rPr>
                <w:b/>
                <w:bCs/>
                <w:sz w:val="22"/>
                <w:lang w:val="en-CA"/>
              </w:rPr>
            </w:pPr>
          </w:p>
        </w:tc>
      </w:tr>
      <w:tr w:rsidR="00B363F2" w14:paraId="0A3BB5D2" w14:textId="77777777" w:rsidTr="00867511">
        <w:tc>
          <w:tcPr>
            <w:tcW w:w="4681" w:type="dxa"/>
          </w:tcPr>
          <w:p w14:paraId="3CBFD512" w14:textId="77777777" w:rsidR="00B363F2" w:rsidRPr="005E0F2A" w:rsidRDefault="00B363F2" w:rsidP="00B363F2">
            <w:pPr>
              <w:ind w:left="144" w:right="720"/>
              <w:jc w:val="both"/>
              <w:rPr>
                <w:sz w:val="22"/>
                <w:lang w:val="en-CA"/>
              </w:rPr>
            </w:pPr>
            <w:r>
              <w:rPr>
                <w:sz w:val="22"/>
                <w:lang w:val="en-CA"/>
              </w:rPr>
              <w:t>…</w:t>
            </w:r>
          </w:p>
          <w:p w14:paraId="673D1726" w14:textId="77777777" w:rsidR="00B363F2" w:rsidRDefault="00B363F2" w:rsidP="00B363F2">
            <w:pPr>
              <w:ind w:left="720" w:right="142"/>
              <w:jc w:val="both"/>
              <w:rPr>
                <w:sz w:val="22"/>
              </w:rPr>
            </w:pPr>
          </w:p>
        </w:tc>
        <w:tc>
          <w:tcPr>
            <w:tcW w:w="4681" w:type="dxa"/>
          </w:tcPr>
          <w:p w14:paraId="534D78E6" w14:textId="3AFF17B4" w:rsidR="00B363F2" w:rsidRPr="005E0F2A" w:rsidRDefault="00B363F2" w:rsidP="00B363F2">
            <w:pPr>
              <w:ind w:left="720" w:right="142"/>
              <w:jc w:val="both"/>
              <w:rPr>
                <w:sz w:val="22"/>
              </w:rPr>
            </w:pPr>
            <w:r>
              <w:rPr>
                <w:sz w:val="22"/>
              </w:rPr>
              <w:t>…</w:t>
            </w:r>
          </w:p>
          <w:p w14:paraId="5E23EA97" w14:textId="77777777" w:rsidR="00B363F2" w:rsidRPr="005E0F2A" w:rsidRDefault="00B363F2" w:rsidP="00B363F2">
            <w:pPr>
              <w:ind w:left="720" w:right="142"/>
              <w:jc w:val="both"/>
              <w:rPr>
                <w:sz w:val="22"/>
                <w:lang w:val="en-CA"/>
              </w:rPr>
            </w:pPr>
          </w:p>
        </w:tc>
      </w:tr>
      <w:tr w:rsidR="00B363F2" w:rsidRPr="00B363F2" w14:paraId="547921B5" w14:textId="77777777" w:rsidTr="00867511">
        <w:tc>
          <w:tcPr>
            <w:tcW w:w="4681" w:type="dxa"/>
          </w:tcPr>
          <w:p w14:paraId="265DE5AA" w14:textId="77777777" w:rsidR="00B363F2" w:rsidRPr="005E0F2A" w:rsidRDefault="00B363F2" w:rsidP="00B363F2">
            <w:pPr>
              <w:ind w:left="144" w:right="720"/>
              <w:jc w:val="both"/>
              <w:rPr>
                <w:kern w:val="28"/>
                <w:sz w:val="22"/>
                <w:lang w:val="en-CA"/>
              </w:rPr>
            </w:pPr>
            <w:r>
              <w:rPr>
                <w:kern w:val="28"/>
                <w:sz w:val="22"/>
                <w:lang w:val="en-CA"/>
              </w:rPr>
              <w:t>Provable claim: Includes any claim or liability provable in proceedings under this Act by a creditor</w:t>
            </w:r>
          </w:p>
          <w:p w14:paraId="084D01E1" w14:textId="77777777" w:rsidR="00B363F2" w:rsidRPr="00B363F2" w:rsidRDefault="00B363F2" w:rsidP="00B363F2">
            <w:pPr>
              <w:ind w:left="720" w:right="142"/>
              <w:jc w:val="both"/>
              <w:rPr>
                <w:sz w:val="22"/>
                <w:lang w:val="en-CA"/>
              </w:rPr>
            </w:pPr>
          </w:p>
        </w:tc>
        <w:tc>
          <w:tcPr>
            <w:tcW w:w="4681" w:type="dxa"/>
          </w:tcPr>
          <w:p w14:paraId="2FBAF30F" w14:textId="2DAE06F0" w:rsidR="00B363F2" w:rsidRPr="005E0F2A" w:rsidRDefault="00B363F2" w:rsidP="00B363F2">
            <w:pPr>
              <w:ind w:left="720" w:right="142"/>
              <w:jc w:val="both"/>
              <w:rPr>
                <w:sz w:val="22"/>
              </w:rPr>
            </w:pPr>
            <w:r w:rsidRPr="00501215">
              <w:rPr>
                <w:sz w:val="22"/>
              </w:rPr>
              <w:t>Réclamation prouvable Toute réclamation ou créance pouvant être prouvée dans des procédures intentées sous l’autorité de la présente loi par un créancier.</w:t>
            </w:r>
            <w:r w:rsidRPr="005E0F2A">
              <w:rPr>
                <w:sz w:val="22"/>
              </w:rPr>
              <w:t> </w:t>
            </w:r>
          </w:p>
          <w:p w14:paraId="320B6203" w14:textId="77777777" w:rsidR="00B363F2" w:rsidRPr="005E0F2A" w:rsidRDefault="00B363F2" w:rsidP="00B363F2">
            <w:pPr>
              <w:ind w:left="720" w:right="142"/>
              <w:jc w:val="both"/>
              <w:rPr>
                <w:sz w:val="22"/>
              </w:rPr>
            </w:pPr>
          </w:p>
        </w:tc>
      </w:tr>
      <w:tr w:rsidR="00B363F2" w14:paraId="20836851" w14:textId="77777777" w:rsidTr="00867511">
        <w:tc>
          <w:tcPr>
            <w:tcW w:w="4681" w:type="dxa"/>
          </w:tcPr>
          <w:p w14:paraId="7B40613A" w14:textId="77777777" w:rsidR="00B363F2" w:rsidRPr="005E0F2A" w:rsidRDefault="00B363F2" w:rsidP="00B363F2">
            <w:pPr>
              <w:ind w:left="144" w:right="720"/>
              <w:jc w:val="both"/>
              <w:rPr>
                <w:kern w:val="28"/>
                <w:sz w:val="22"/>
                <w:lang w:val="en-CA"/>
              </w:rPr>
            </w:pPr>
            <w:r>
              <w:rPr>
                <w:kern w:val="28"/>
                <w:sz w:val="22"/>
                <w:lang w:val="en-CA"/>
              </w:rPr>
              <w:t>…</w:t>
            </w:r>
          </w:p>
          <w:p w14:paraId="7A3DAC36" w14:textId="77777777" w:rsidR="00B363F2" w:rsidRDefault="00B363F2" w:rsidP="00B363F2">
            <w:pPr>
              <w:ind w:left="720" w:right="142"/>
              <w:jc w:val="both"/>
              <w:rPr>
                <w:kern w:val="28"/>
                <w:sz w:val="22"/>
              </w:rPr>
            </w:pPr>
          </w:p>
        </w:tc>
        <w:tc>
          <w:tcPr>
            <w:tcW w:w="4681" w:type="dxa"/>
          </w:tcPr>
          <w:p w14:paraId="460F0A99" w14:textId="0D4DBC4E" w:rsidR="00B363F2" w:rsidRPr="005E0F2A" w:rsidRDefault="00B363F2" w:rsidP="00B363F2">
            <w:pPr>
              <w:ind w:left="720" w:right="142"/>
              <w:jc w:val="both"/>
              <w:rPr>
                <w:kern w:val="28"/>
                <w:sz w:val="22"/>
              </w:rPr>
            </w:pPr>
            <w:r>
              <w:rPr>
                <w:kern w:val="28"/>
                <w:sz w:val="22"/>
              </w:rPr>
              <w:t>…</w:t>
            </w:r>
          </w:p>
          <w:p w14:paraId="4A16745C" w14:textId="77777777" w:rsidR="00B363F2" w:rsidRPr="005E0F2A" w:rsidRDefault="00B363F2" w:rsidP="00B363F2">
            <w:pPr>
              <w:ind w:left="720" w:right="142"/>
              <w:jc w:val="both"/>
              <w:rPr>
                <w:sz w:val="22"/>
                <w:lang w:val="en-CA"/>
              </w:rPr>
            </w:pPr>
          </w:p>
        </w:tc>
      </w:tr>
      <w:tr w:rsidR="00B363F2" w14:paraId="0E9D3FD5" w14:textId="77777777" w:rsidTr="00B363F2">
        <w:trPr>
          <w:trHeight w:val="722"/>
        </w:trPr>
        <w:tc>
          <w:tcPr>
            <w:tcW w:w="4681" w:type="dxa"/>
          </w:tcPr>
          <w:p w14:paraId="6FDEF04B" w14:textId="77777777" w:rsidR="00B363F2" w:rsidRPr="00501215" w:rsidRDefault="00B363F2" w:rsidP="00B363F2">
            <w:pPr>
              <w:ind w:left="144" w:right="720"/>
              <w:jc w:val="both"/>
              <w:rPr>
                <w:b/>
                <w:bCs/>
                <w:kern w:val="28"/>
                <w:sz w:val="22"/>
                <w:lang w:val="en-CA"/>
              </w:rPr>
            </w:pPr>
            <w:r w:rsidRPr="00501215">
              <w:rPr>
                <w:b/>
                <w:bCs/>
                <w:kern w:val="28"/>
                <w:sz w:val="22"/>
                <w:lang w:val="en-CA"/>
              </w:rPr>
              <w:t>Claims provable</w:t>
            </w:r>
          </w:p>
          <w:p w14:paraId="6A0C4C95" w14:textId="77777777" w:rsidR="00B363F2" w:rsidRPr="00501215" w:rsidRDefault="00B363F2" w:rsidP="00B363F2">
            <w:pPr>
              <w:ind w:left="720" w:right="142"/>
              <w:jc w:val="both"/>
              <w:rPr>
                <w:b/>
                <w:bCs/>
                <w:sz w:val="22"/>
              </w:rPr>
            </w:pPr>
          </w:p>
        </w:tc>
        <w:tc>
          <w:tcPr>
            <w:tcW w:w="4681" w:type="dxa"/>
          </w:tcPr>
          <w:p w14:paraId="6C45A7BE" w14:textId="2B049672" w:rsidR="00B363F2" w:rsidRPr="00501215" w:rsidRDefault="00B363F2" w:rsidP="00B363F2">
            <w:pPr>
              <w:ind w:left="720" w:right="142"/>
              <w:jc w:val="both"/>
              <w:rPr>
                <w:b/>
                <w:bCs/>
                <w:sz w:val="22"/>
              </w:rPr>
            </w:pPr>
            <w:r w:rsidRPr="00501215">
              <w:rPr>
                <w:b/>
                <w:bCs/>
                <w:sz w:val="22"/>
              </w:rPr>
              <w:t>Réclamations prouvables</w:t>
            </w:r>
          </w:p>
          <w:p w14:paraId="47410654" w14:textId="77777777" w:rsidR="00B363F2" w:rsidRPr="005E0F2A" w:rsidRDefault="00B363F2" w:rsidP="00B363F2">
            <w:pPr>
              <w:ind w:left="720" w:right="142"/>
              <w:jc w:val="both"/>
              <w:rPr>
                <w:b/>
                <w:bCs/>
                <w:sz w:val="22"/>
                <w:lang w:val="en-CA"/>
              </w:rPr>
            </w:pPr>
          </w:p>
        </w:tc>
      </w:tr>
      <w:tr w:rsidR="00B363F2" w:rsidRPr="00B363F2" w14:paraId="360787D9" w14:textId="77777777" w:rsidTr="00867511">
        <w:tc>
          <w:tcPr>
            <w:tcW w:w="4681" w:type="dxa"/>
          </w:tcPr>
          <w:p w14:paraId="56B561C2" w14:textId="77777777" w:rsidR="00B363F2" w:rsidRPr="00501215" w:rsidRDefault="00B363F2" w:rsidP="00B363F2">
            <w:pPr>
              <w:ind w:left="144" w:right="720"/>
              <w:jc w:val="both"/>
              <w:rPr>
                <w:kern w:val="28"/>
                <w:sz w:val="22"/>
                <w:lang w:val="en-CA"/>
              </w:rPr>
            </w:pPr>
            <w:r w:rsidRPr="00501215">
              <w:rPr>
                <w:b/>
                <w:bCs/>
                <w:kern w:val="28"/>
                <w:sz w:val="22"/>
                <w:lang w:val="en-CA"/>
              </w:rPr>
              <w:t>121 (1)</w:t>
            </w:r>
            <w:r w:rsidRPr="00501215">
              <w:rPr>
                <w:bCs/>
                <w:kern w:val="28"/>
                <w:sz w:val="22"/>
                <w:lang w:val="en-CA"/>
              </w:rPr>
              <w:t> </w:t>
            </w:r>
            <w:r w:rsidRPr="00B363F2">
              <w:rPr>
                <w:bCs/>
                <w:kern w:val="28"/>
                <w:sz w:val="22"/>
                <w:lang w:val="en-CA"/>
              </w:rPr>
              <w:t>All debts and liabilities, present or future, to which the bankrupt is subject on the day on which the bankrupt becomes bankrupt or to which the bankrupt may become subject before the bankrupt’s discharge by reason of any obligation incurred before the day on which the bankrupt becomes bankrupt</w:t>
            </w:r>
            <w:r w:rsidRPr="00501215">
              <w:rPr>
                <w:bCs/>
                <w:kern w:val="28"/>
                <w:sz w:val="22"/>
                <w:lang w:val="en-CA"/>
              </w:rPr>
              <w:t xml:space="preserve"> shall be deemed to be claims provable in proceedings under this Act.</w:t>
            </w:r>
          </w:p>
          <w:p w14:paraId="3ED1F995" w14:textId="77777777" w:rsidR="00B363F2" w:rsidRPr="00B363F2" w:rsidRDefault="00B363F2" w:rsidP="00B363F2">
            <w:pPr>
              <w:ind w:left="720" w:right="142"/>
              <w:jc w:val="both"/>
              <w:rPr>
                <w:b/>
                <w:bCs/>
                <w:sz w:val="22"/>
                <w:lang w:val="en-CA"/>
              </w:rPr>
            </w:pPr>
          </w:p>
        </w:tc>
        <w:tc>
          <w:tcPr>
            <w:tcW w:w="4681" w:type="dxa"/>
          </w:tcPr>
          <w:p w14:paraId="41A68BD2" w14:textId="74E2E0AB" w:rsidR="00B363F2" w:rsidRPr="00501215" w:rsidRDefault="00B363F2" w:rsidP="00B363F2">
            <w:pPr>
              <w:ind w:left="720" w:right="142"/>
              <w:jc w:val="both"/>
              <w:rPr>
                <w:sz w:val="22"/>
              </w:rPr>
            </w:pPr>
            <w:r w:rsidRPr="00501215">
              <w:rPr>
                <w:b/>
                <w:bCs/>
                <w:sz w:val="22"/>
              </w:rPr>
              <w:t>121 (1)</w:t>
            </w:r>
            <w:r w:rsidRPr="00501215">
              <w:rPr>
                <w:bCs/>
                <w:sz w:val="22"/>
              </w:rPr>
              <w:t> </w:t>
            </w:r>
            <w:r w:rsidRPr="00B363F2">
              <w:rPr>
                <w:bCs/>
                <w:sz w:val="22"/>
              </w:rPr>
              <w:t>Toutes créances et tous engagements, présents ou futurs, auxquels le failli est assujetti à la date à laquelle il devient failli, ou auxquels il peut devenir assujetti avant sa libération, en raison d’une obligation contractée antérieurement à cette date</w:t>
            </w:r>
            <w:r w:rsidRPr="00501215">
              <w:rPr>
                <w:bCs/>
                <w:sz w:val="22"/>
              </w:rPr>
              <w:t>, sont réputés des réclamations prouvables dans des procédures entamées en vertu de la présente loi.</w:t>
            </w:r>
          </w:p>
        </w:tc>
      </w:tr>
      <w:tr w:rsidR="00B363F2" w14:paraId="07B99A45" w14:textId="77777777" w:rsidTr="00867511">
        <w:tc>
          <w:tcPr>
            <w:tcW w:w="4681" w:type="dxa"/>
          </w:tcPr>
          <w:p w14:paraId="07743AB4" w14:textId="77777777" w:rsidR="00B363F2" w:rsidRPr="00501215" w:rsidRDefault="00B363F2" w:rsidP="00B363F2">
            <w:pPr>
              <w:ind w:left="144" w:right="720"/>
              <w:jc w:val="both"/>
              <w:rPr>
                <w:b/>
                <w:bCs/>
                <w:kern w:val="28"/>
                <w:sz w:val="22"/>
                <w:lang w:val="en-CA"/>
              </w:rPr>
            </w:pPr>
            <w:r w:rsidRPr="00501215">
              <w:rPr>
                <w:b/>
                <w:bCs/>
                <w:kern w:val="28"/>
                <w:sz w:val="22"/>
                <w:lang w:val="en-CA"/>
              </w:rPr>
              <w:t>Contingent and unliquidated claims</w:t>
            </w:r>
          </w:p>
          <w:p w14:paraId="4B22BAC1" w14:textId="77777777" w:rsidR="00B363F2" w:rsidRPr="00501215" w:rsidRDefault="00B363F2" w:rsidP="00B363F2">
            <w:pPr>
              <w:ind w:left="720" w:right="142"/>
              <w:jc w:val="both"/>
              <w:rPr>
                <w:b/>
                <w:bCs/>
                <w:sz w:val="22"/>
              </w:rPr>
            </w:pPr>
          </w:p>
        </w:tc>
        <w:tc>
          <w:tcPr>
            <w:tcW w:w="4681" w:type="dxa"/>
          </w:tcPr>
          <w:p w14:paraId="59F35391" w14:textId="18608D8B" w:rsidR="00B363F2" w:rsidRPr="00501215" w:rsidRDefault="00B363F2" w:rsidP="00B363F2">
            <w:pPr>
              <w:ind w:left="720" w:right="142"/>
              <w:jc w:val="both"/>
              <w:rPr>
                <w:b/>
                <w:bCs/>
                <w:sz w:val="22"/>
              </w:rPr>
            </w:pPr>
            <w:r w:rsidRPr="00501215">
              <w:rPr>
                <w:b/>
                <w:bCs/>
                <w:sz w:val="22"/>
              </w:rPr>
              <w:t>Décision</w:t>
            </w:r>
          </w:p>
          <w:p w14:paraId="66D9C34E" w14:textId="77777777" w:rsidR="00B363F2" w:rsidRPr="005E0F2A" w:rsidRDefault="00B363F2" w:rsidP="00B363F2">
            <w:pPr>
              <w:ind w:left="720" w:right="142"/>
              <w:jc w:val="both"/>
              <w:rPr>
                <w:b/>
                <w:bCs/>
                <w:sz w:val="22"/>
                <w:lang w:val="en-CA"/>
              </w:rPr>
            </w:pPr>
          </w:p>
        </w:tc>
      </w:tr>
      <w:tr w:rsidR="00B363F2" w:rsidRPr="00B363F2" w14:paraId="425F4132" w14:textId="77777777" w:rsidTr="00867511">
        <w:tc>
          <w:tcPr>
            <w:tcW w:w="4681" w:type="dxa"/>
          </w:tcPr>
          <w:p w14:paraId="10FCBC19" w14:textId="77777777" w:rsidR="00B363F2" w:rsidRPr="005E0F2A" w:rsidRDefault="00B363F2" w:rsidP="00B363F2">
            <w:pPr>
              <w:ind w:left="144" w:right="720"/>
              <w:jc w:val="both"/>
              <w:rPr>
                <w:kern w:val="28"/>
                <w:sz w:val="22"/>
                <w:lang w:val="en-CA"/>
              </w:rPr>
            </w:pPr>
            <w:r>
              <w:rPr>
                <w:b/>
                <w:bCs/>
                <w:kern w:val="28"/>
                <w:sz w:val="22"/>
                <w:lang w:val="en-CA"/>
              </w:rPr>
              <w:t>(2)</w:t>
            </w:r>
            <w:r w:rsidRPr="005E0F2A">
              <w:rPr>
                <w:kern w:val="28"/>
                <w:sz w:val="22"/>
                <w:lang w:val="en-CA"/>
              </w:rPr>
              <w:t> </w:t>
            </w:r>
            <w:r w:rsidRPr="00501215">
              <w:rPr>
                <w:kern w:val="28"/>
                <w:sz w:val="22"/>
                <w:lang w:val="en-CA"/>
              </w:rPr>
              <w:t xml:space="preserve">The determination </w:t>
            </w:r>
            <w:r w:rsidRPr="00B363F2">
              <w:rPr>
                <w:kern w:val="28"/>
                <w:sz w:val="22"/>
                <w:lang w:val="en-CA"/>
              </w:rPr>
              <w:t>whether a contingent or unliquidated claim is a provable claim and the valuation of such a claim</w:t>
            </w:r>
            <w:r w:rsidRPr="00501215">
              <w:rPr>
                <w:kern w:val="28"/>
                <w:sz w:val="22"/>
                <w:lang w:val="en-CA"/>
              </w:rPr>
              <w:t xml:space="preserve"> shall be made in accordance with section 135.</w:t>
            </w:r>
          </w:p>
          <w:p w14:paraId="12889075" w14:textId="77777777" w:rsidR="00B363F2" w:rsidRPr="00B363F2" w:rsidRDefault="00B363F2" w:rsidP="00B363F2">
            <w:pPr>
              <w:ind w:left="720" w:right="142"/>
              <w:jc w:val="both"/>
              <w:rPr>
                <w:b/>
                <w:bCs/>
                <w:kern w:val="28"/>
                <w:sz w:val="22"/>
                <w:lang w:val="en-CA"/>
              </w:rPr>
            </w:pPr>
          </w:p>
        </w:tc>
        <w:tc>
          <w:tcPr>
            <w:tcW w:w="4681" w:type="dxa"/>
          </w:tcPr>
          <w:p w14:paraId="765FFFD6" w14:textId="0E634CDE" w:rsidR="00B363F2" w:rsidRPr="005E0F2A" w:rsidRDefault="00B363F2" w:rsidP="00B363F2">
            <w:pPr>
              <w:ind w:left="720" w:right="142"/>
              <w:jc w:val="both"/>
              <w:rPr>
                <w:kern w:val="28"/>
                <w:sz w:val="22"/>
              </w:rPr>
            </w:pPr>
            <w:r>
              <w:rPr>
                <w:b/>
                <w:bCs/>
                <w:kern w:val="28"/>
                <w:sz w:val="22"/>
              </w:rPr>
              <w:t>(2)</w:t>
            </w:r>
            <w:r w:rsidRPr="005E0F2A">
              <w:rPr>
                <w:kern w:val="28"/>
                <w:sz w:val="22"/>
              </w:rPr>
              <w:t> </w:t>
            </w:r>
            <w:r w:rsidRPr="00501215">
              <w:rPr>
                <w:kern w:val="28"/>
                <w:sz w:val="22"/>
              </w:rPr>
              <w:t>La question de savoir si une réclamation éventuelle ou non liquidée constitue une réclamation prouvable et, le cas échéant, son évaluation sont décidées en application de l’article 135.</w:t>
            </w:r>
          </w:p>
          <w:p w14:paraId="5BE6AC7A" w14:textId="77777777" w:rsidR="00B363F2" w:rsidRPr="005E0F2A" w:rsidRDefault="00B363F2" w:rsidP="00B363F2">
            <w:pPr>
              <w:ind w:left="720" w:right="142"/>
              <w:jc w:val="both"/>
              <w:rPr>
                <w:sz w:val="22"/>
              </w:rPr>
            </w:pPr>
          </w:p>
        </w:tc>
      </w:tr>
      <w:tr w:rsidR="00B363F2" w14:paraId="6E0EAB4F" w14:textId="77777777" w:rsidTr="00867511">
        <w:tc>
          <w:tcPr>
            <w:tcW w:w="4681" w:type="dxa"/>
          </w:tcPr>
          <w:p w14:paraId="4AC8C11B" w14:textId="77777777" w:rsidR="00B363F2" w:rsidRPr="005E0F2A" w:rsidRDefault="00B363F2" w:rsidP="00B363F2">
            <w:pPr>
              <w:ind w:left="144" w:right="720"/>
              <w:jc w:val="both"/>
              <w:rPr>
                <w:kern w:val="28"/>
                <w:sz w:val="22"/>
                <w:lang w:val="en-CA"/>
              </w:rPr>
            </w:pPr>
            <w:r>
              <w:rPr>
                <w:kern w:val="28"/>
                <w:sz w:val="22"/>
                <w:lang w:val="en-CA"/>
              </w:rPr>
              <w:t>…</w:t>
            </w:r>
          </w:p>
          <w:p w14:paraId="40D2355B" w14:textId="77777777" w:rsidR="00B363F2" w:rsidRDefault="00B363F2" w:rsidP="00B363F2">
            <w:pPr>
              <w:ind w:left="720" w:right="142"/>
              <w:jc w:val="both"/>
              <w:rPr>
                <w:kern w:val="28"/>
                <w:sz w:val="22"/>
              </w:rPr>
            </w:pPr>
          </w:p>
        </w:tc>
        <w:tc>
          <w:tcPr>
            <w:tcW w:w="4681" w:type="dxa"/>
          </w:tcPr>
          <w:p w14:paraId="5B54F5FA" w14:textId="1C1A87A3" w:rsidR="00B363F2" w:rsidRPr="005E0F2A" w:rsidRDefault="00B363F2" w:rsidP="00B363F2">
            <w:pPr>
              <w:ind w:left="720" w:right="142"/>
              <w:jc w:val="both"/>
              <w:rPr>
                <w:kern w:val="28"/>
                <w:sz w:val="22"/>
              </w:rPr>
            </w:pPr>
            <w:r>
              <w:rPr>
                <w:kern w:val="28"/>
                <w:sz w:val="22"/>
              </w:rPr>
              <w:t>…</w:t>
            </w:r>
          </w:p>
          <w:p w14:paraId="656D575A" w14:textId="77777777" w:rsidR="00B363F2" w:rsidRPr="005E0F2A" w:rsidRDefault="00B363F2" w:rsidP="00B363F2">
            <w:pPr>
              <w:ind w:left="720" w:right="142"/>
              <w:jc w:val="both"/>
              <w:rPr>
                <w:sz w:val="22"/>
                <w:lang w:val="en-CA"/>
              </w:rPr>
            </w:pPr>
          </w:p>
        </w:tc>
      </w:tr>
      <w:tr w:rsidR="00B363F2" w14:paraId="0E59004B" w14:textId="77777777" w:rsidTr="00867511">
        <w:tc>
          <w:tcPr>
            <w:tcW w:w="4681" w:type="dxa"/>
          </w:tcPr>
          <w:p w14:paraId="12A5013A" w14:textId="77777777" w:rsidR="00B363F2" w:rsidRDefault="00B363F2" w:rsidP="00B363F2">
            <w:pPr>
              <w:ind w:left="144" w:right="720"/>
              <w:jc w:val="both"/>
              <w:rPr>
                <w:b/>
                <w:bCs/>
                <w:kern w:val="28"/>
                <w:sz w:val="22"/>
                <w:lang w:val="en-CA"/>
              </w:rPr>
            </w:pPr>
          </w:p>
          <w:p w14:paraId="5F2CCE6F" w14:textId="77777777" w:rsidR="00B363F2" w:rsidRDefault="00B363F2" w:rsidP="00B363F2">
            <w:pPr>
              <w:ind w:left="144" w:right="720"/>
              <w:jc w:val="both"/>
              <w:rPr>
                <w:b/>
                <w:bCs/>
                <w:kern w:val="28"/>
                <w:sz w:val="22"/>
                <w:lang w:val="en-CA"/>
              </w:rPr>
            </w:pPr>
          </w:p>
          <w:p w14:paraId="54F85349" w14:textId="77777777" w:rsidR="00B363F2" w:rsidRPr="005E0F2A" w:rsidRDefault="00B363F2" w:rsidP="00B363F2">
            <w:pPr>
              <w:ind w:left="144" w:right="720"/>
              <w:jc w:val="both"/>
              <w:rPr>
                <w:b/>
                <w:bCs/>
                <w:kern w:val="28"/>
                <w:sz w:val="22"/>
                <w:lang w:val="en-CA"/>
              </w:rPr>
            </w:pPr>
            <w:r>
              <w:rPr>
                <w:b/>
                <w:bCs/>
                <w:kern w:val="28"/>
                <w:sz w:val="22"/>
                <w:lang w:val="en-CA"/>
              </w:rPr>
              <w:lastRenderedPageBreak/>
              <w:t>Trustee shall examine proof</w:t>
            </w:r>
          </w:p>
          <w:p w14:paraId="04A4E3BF" w14:textId="77777777" w:rsidR="00B363F2" w:rsidRDefault="00B363F2" w:rsidP="00B363F2">
            <w:pPr>
              <w:ind w:left="720" w:right="142"/>
              <w:jc w:val="both"/>
              <w:rPr>
                <w:b/>
                <w:bCs/>
                <w:sz w:val="22"/>
              </w:rPr>
            </w:pPr>
          </w:p>
        </w:tc>
        <w:tc>
          <w:tcPr>
            <w:tcW w:w="4681" w:type="dxa"/>
          </w:tcPr>
          <w:p w14:paraId="6F336115" w14:textId="5B55C64A" w:rsidR="00B363F2" w:rsidRDefault="00B363F2" w:rsidP="00B363F2">
            <w:pPr>
              <w:ind w:left="720" w:right="142"/>
              <w:jc w:val="both"/>
              <w:rPr>
                <w:b/>
                <w:bCs/>
                <w:sz w:val="22"/>
              </w:rPr>
            </w:pPr>
          </w:p>
          <w:p w14:paraId="701252DA" w14:textId="77777777" w:rsidR="00B363F2" w:rsidRDefault="00B363F2" w:rsidP="00B363F2">
            <w:pPr>
              <w:ind w:left="720" w:right="142"/>
              <w:jc w:val="both"/>
              <w:rPr>
                <w:b/>
                <w:bCs/>
                <w:sz w:val="22"/>
              </w:rPr>
            </w:pPr>
          </w:p>
          <w:p w14:paraId="43CEE8B7" w14:textId="391D895B" w:rsidR="00B363F2" w:rsidRPr="00501215" w:rsidRDefault="00B363F2" w:rsidP="00B363F2">
            <w:pPr>
              <w:ind w:left="720" w:right="142"/>
              <w:jc w:val="both"/>
              <w:rPr>
                <w:b/>
                <w:bCs/>
                <w:sz w:val="22"/>
              </w:rPr>
            </w:pPr>
            <w:r w:rsidRPr="00501215">
              <w:rPr>
                <w:b/>
                <w:bCs/>
                <w:sz w:val="22"/>
              </w:rPr>
              <w:lastRenderedPageBreak/>
              <w:t>Examen de la preuve</w:t>
            </w:r>
          </w:p>
          <w:p w14:paraId="73C2876C" w14:textId="77777777" w:rsidR="00B363F2" w:rsidRPr="005E0F2A" w:rsidRDefault="00B363F2" w:rsidP="00B363F2">
            <w:pPr>
              <w:ind w:left="720" w:right="142"/>
              <w:jc w:val="both"/>
              <w:rPr>
                <w:b/>
                <w:bCs/>
                <w:sz w:val="22"/>
                <w:lang w:val="en-CA"/>
              </w:rPr>
            </w:pPr>
          </w:p>
        </w:tc>
      </w:tr>
      <w:tr w:rsidR="00B363F2" w:rsidRPr="00B363F2" w14:paraId="00C740C7" w14:textId="77777777" w:rsidTr="00867511">
        <w:tc>
          <w:tcPr>
            <w:tcW w:w="4681" w:type="dxa"/>
          </w:tcPr>
          <w:p w14:paraId="55A004FD" w14:textId="77777777" w:rsidR="00B363F2" w:rsidRPr="005E0F2A" w:rsidRDefault="00B363F2" w:rsidP="00B363F2">
            <w:pPr>
              <w:ind w:left="144" w:right="720"/>
              <w:jc w:val="both"/>
              <w:rPr>
                <w:kern w:val="28"/>
                <w:sz w:val="22"/>
                <w:lang w:val="en-CA"/>
              </w:rPr>
            </w:pPr>
            <w:r w:rsidRPr="00225DDB">
              <w:rPr>
                <w:b/>
                <w:bCs/>
                <w:kern w:val="28"/>
                <w:sz w:val="22"/>
                <w:lang w:val="en-CA"/>
              </w:rPr>
              <w:lastRenderedPageBreak/>
              <w:t>135 (1)</w:t>
            </w:r>
            <w:r w:rsidRPr="00225DDB">
              <w:rPr>
                <w:bCs/>
                <w:kern w:val="28"/>
                <w:sz w:val="22"/>
                <w:lang w:val="en-CA"/>
              </w:rPr>
              <w:t xml:space="preserve"> The trustee shall examine every proof of claim or proof of security and the grounds therefor and may require further evidence in support of the claim or security.</w:t>
            </w:r>
          </w:p>
          <w:p w14:paraId="592AB7CD" w14:textId="77777777" w:rsidR="00B363F2" w:rsidRPr="00B363F2" w:rsidRDefault="00B363F2" w:rsidP="00B363F2">
            <w:pPr>
              <w:ind w:left="720" w:right="142"/>
              <w:jc w:val="both"/>
              <w:rPr>
                <w:b/>
                <w:bCs/>
                <w:sz w:val="22"/>
                <w:lang w:val="en-CA"/>
              </w:rPr>
            </w:pPr>
          </w:p>
        </w:tc>
        <w:tc>
          <w:tcPr>
            <w:tcW w:w="4681" w:type="dxa"/>
          </w:tcPr>
          <w:p w14:paraId="076CEB7B" w14:textId="44C1C837" w:rsidR="00B363F2" w:rsidRPr="00501215" w:rsidRDefault="00B363F2" w:rsidP="00B363F2">
            <w:pPr>
              <w:ind w:left="720" w:right="142"/>
              <w:jc w:val="both"/>
              <w:rPr>
                <w:sz w:val="22"/>
              </w:rPr>
            </w:pPr>
            <w:r w:rsidRPr="00501215">
              <w:rPr>
                <w:b/>
                <w:bCs/>
                <w:sz w:val="22"/>
              </w:rPr>
              <w:t>135 (1)</w:t>
            </w:r>
            <w:r w:rsidRPr="00501215">
              <w:rPr>
                <w:bCs/>
                <w:sz w:val="22"/>
              </w:rPr>
              <w:t> Le syndic examine chaque preuve de réclamation ou de garantie produite, ainsi que leurs motifs, et il peut exiger de nouveaux témoignages à l’appui.</w:t>
            </w:r>
          </w:p>
          <w:p w14:paraId="789283EE" w14:textId="77777777" w:rsidR="00B363F2" w:rsidRPr="005E0F2A" w:rsidRDefault="00B363F2" w:rsidP="00B363F2">
            <w:pPr>
              <w:ind w:left="720" w:right="142"/>
              <w:jc w:val="both"/>
              <w:rPr>
                <w:sz w:val="22"/>
              </w:rPr>
            </w:pPr>
          </w:p>
        </w:tc>
      </w:tr>
      <w:tr w:rsidR="00B363F2" w14:paraId="1447410C" w14:textId="77777777" w:rsidTr="00867511">
        <w:tc>
          <w:tcPr>
            <w:tcW w:w="4681" w:type="dxa"/>
          </w:tcPr>
          <w:p w14:paraId="76EC4635" w14:textId="77777777" w:rsidR="00B363F2" w:rsidRPr="00501215" w:rsidRDefault="00B363F2" w:rsidP="00B363F2">
            <w:pPr>
              <w:ind w:left="144" w:right="720"/>
              <w:jc w:val="both"/>
              <w:rPr>
                <w:b/>
                <w:bCs/>
                <w:sz w:val="22"/>
                <w:lang w:val="en-CA"/>
              </w:rPr>
            </w:pPr>
            <w:r w:rsidRPr="00501215">
              <w:rPr>
                <w:b/>
                <w:bCs/>
                <w:sz w:val="22"/>
                <w:lang w:val="en-CA"/>
              </w:rPr>
              <w:t>Determination of provable claims</w:t>
            </w:r>
          </w:p>
          <w:p w14:paraId="0842F076" w14:textId="77777777" w:rsidR="00B363F2" w:rsidRPr="00501215" w:rsidRDefault="00B363F2" w:rsidP="00B363F2">
            <w:pPr>
              <w:ind w:left="720" w:right="142"/>
              <w:jc w:val="both"/>
              <w:rPr>
                <w:b/>
                <w:bCs/>
                <w:sz w:val="22"/>
              </w:rPr>
            </w:pPr>
          </w:p>
        </w:tc>
        <w:tc>
          <w:tcPr>
            <w:tcW w:w="4681" w:type="dxa"/>
          </w:tcPr>
          <w:p w14:paraId="770CCAB6" w14:textId="56DA1ACC" w:rsidR="00B363F2" w:rsidRPr="00501215" w:rsidRDefault="00B363F2" w:rsidP="00B363F2">
            <w:pPr>
              <w:ind w:left="720" w:right="142"/>
              <w:jc w:val="both"/>
              <w:rPr>
                <w:b/>
                <w:bCs/>
                <w:sz w:val="22"/>
              </w:rPr>
            </w:pPr>
            <w:r w:rsidRPr="00501215">
              <w:rPr>
                <w:b/>
                <w:bCs/>
                <w:sz w:val="22"/>
              </w:rPr>
              <w:t>Réclamations éventuelles et non liquidées</w:t>
            </w:r>
          </w:p>
          <w:p w14:paraId="40C99FB4" w14:textId="77777777" w:rsidR="00B363F2" w:rsidRPr="00B35460" w:rsidRDefault="00B363F2" w:rsidP="00B363F2">
            <w:pPr>
              <w:ind w:left="720" w:right="142"/>
              <w:jc w:val="both"/>
              <w:rPr>
                <w:b/>
                <w:bCs/>
                <w:sz w:val="22"/>
              </w:rPr>
            </w:pPr>
          </w:p>
        </w:tc>
      </w:tr>
      <w:tr w:rsidR="00B363F2" w:rsidRPr="00B363F2" w14:paraId="7B179B66" w14:textId="77777777" w:rsidTr="00867511">
        <w:tc>
          <w:tcPr>
            <w:tcW w:w="4681" w:type="dxa"/>
          </w:tcPr>
          <w:p w14:paraId="614E5976" w14:textId="77777777" w:rsidR="00B363F2" w:rsidRPr="00501215" w:rsidRDefault="00B363F2" w:rsidP="00B363F2">
            <w:pPr>
              <w:ind w:left="144" w:right="720"/>
              <w:jc w:val="both"/>
              <w:rPr>
                <w:sz w:val="22"/>
                <w:lang w:val="en-CA"/>
              </w:rPr>
            </w:pPr>
            <w:r w:rsidRPr="00501215">
              <w:rPr>
                <w:b/>
                <w:bCs/>
                <w:sz w:val="22"/>
                <w:lang w:val="en-CA"/>
              </w:rPr>
              <w:t>(1.1)</w:t>
            </w:r>
            <w:r w:rsidRPr="00501215">
              <w:rPr>
                <w:bCs/>
                <w:sz w:val="22"/>
                <w:lang w:val="en-CA"/>
              </w:rPr>
              <w:t xml:space="preserve"> </w:t>
            </w:r>
            <w:r w:rsidRPr="00B363F2">
              <w:rPr>
                <w:bCs/>
                <w:sz w:val="22"/>
                <w:lang w:val="en-CA"/>
              </w:rPr>
              <w:t>The trustee shall determine whether any contingent claim or unliquidated claim is a provable claim, and, if a provable claim, the trustee shall value it</w:t>
            </w:r>
            <w:r w:rsidRPr="00501215">
              <w:rPr>
                <w:bCs/>
                <w:sz w:val="22"/>
                <w:lang w:val="en-CA"/>
              </w:rPr>
              <w:t>, and the claim is thereafter, subject to this section, deemed a proved claim to the amount of its valuation.</w:t>
            </w:r>
          </w:p>
          <w:p w14:paraId="6D6E62A8" w14:textId="77777777" w:rsidR="00B363F2" w:rsidRPr="00B363F2" w:rsidRDefault="00B363F2" w:rsidP="00B363F2">
            <w:pPr>
              <w:ind w:left="720" w:right="142"/>
              <w:jc w:val="both"/>
              <w:rPr>
                <w:b/>
                <w:bCs/>
                <w:sz w:val="22"/>
                <w:lang w:val="en-CA"/>
              </w:rPr>
            </w:pPr>
          </w:p>
        </w:tc>
        <w:tc>
          <w:tcPr>
            <w:tcW w:w="4681" w:type="dxa"/>
          </w:tcPr>
          <w:p w14:paraId="0C973770" w14:textId="0B0F8502" w:rsidR="00B363F2" w:rsidRPr="00501215" w:rsidRDefault="00B363F2" w:rsidP="00B363F2">
            <w:pPr>
              <w:ind w:left="720" w:right="142"/>
              <w:jc w:val="both"/>
              <w:rPr>
                <w:sz w:val="22"/>
              </w:rPr>
            </w:pPr>
            <w:r w:rsidRPr="00501215">
              <w:rPr>
                <w:b/>
                <w:bCs/>
                <w:sz w:val="22"/>
              </w:rPr>
              <w:t>(1.1)</w:t>
            </w:r>
            <w:r w:rsidRPr="00501215">
              <w:rPr>
                <w:bCs/>
                <w:sz w:val="22"/>
              </w:rPr>
              <w:t> </w:t>
            </w:r>
            <w:r w:rsidRPr="00B363F2">
              <w:rPr>
                <w:bCs/>
                <w:sz w:val="22"/>
              </w:rPr>
              <w:t>Le syndic décide si une réclamation éventuelle ou non liquidée est une réclamation prouvable et, le cas échéant, il l’évalue</w:t>
            </w:r>
            <w:r w:rsidRPr="00501215">
              <w:rPr>
                <w:bCs/>
                <w:sz w:val="22"/>
              </w:rPr>
              <w:t>; sous réserve des autres dispositions du présent article, la réclamation est dès lors réputée prouvée pour le montant de l’évaluation.</w:t>
            </w:r>
          </w:p>
          <w:p w14:paraId="20368181" w14:textId="77777777" w:rsidR="00B363F2" w:rsidRPr="005E0F2A" w:rsidRDefault="00B363F2" w:rsidP="00B363F2">
            <w:pPr>
              <w:ind w:left="720" w:right="142"/>
              <w:jc w:val="both"/>
              <w:rPr>
                <w:sz w:val="22"/>
              </w:rPr>
            </w:pPr>
          </w:p>
        </w:tc>
      </w:tr>
      <w:tr w:rsidR="00B363F2" w14:paraId="3F093430" w14:textId="77777777" w:rsidTr="00867511">
        <w:tc>
          <w:tcPr>
            <w:tcW w:w="4681" w:type="dxa"/>
          </w:tcPr>
          <w:p w14:paraId="15CAE79A" w14:textId="77777777" w:rsidR="00B363F2" w:rsidRPr="005E0F2A" w:rsidRDefault="00B363F2" w:rsidP="00B363F2">
            <w:pPr>
              <w:ind w:left="144" w:right="720"/>
              <w:jc w:val="both"/>
              <w:rPr>
                <w:sz w:val="22"/>
                <w:lang w:val="en-CA"/>
              </w:rPr>
            </w:pPr>
            <w:r>
              <w:rPr>
                <w:sz w:val="22"/>
                <w:lang w:val="en-CA"/>
              </w:rPr>
              <w:t>…</w:t>
            </w:r>
          </w:p>
          <w:p w14:paraId="2B48134E" w14:textId="77777777" w:rsidR="00B363F2" w:rsidRDefault="00B363F2" w:rsidP="00B363F2">
            <w:pPr>
              <w:ind w:left="720" w:right="142"/>
              <w:jc w:val="both"/>
              <w:rPr>
                <w:sz w:val="22"/>
              </w:rPr>
            </w:pPr>
          </w:p>
        </w:tc>
        <w:tc>
          <w:tcPr>
            <w:tcW w:w="4681" w:type="dxa"/>
          </w:tcPr>
          <w:p w14:paraId="53B196E9" w14:textId="3ECBCB6E" w:rsidR="00B363F2" w:rsidRPr="005E0F2A" w:rsidRDefault="00B363F2" w:rsidP="00B363F2">
            <w:pPr>
              <w:ind w:left="720" w:right="142"/>
              <w:jc w:val="both"/>
              <w:rPr>
                <w:sz w:val="22"/>
              </w:rPr>
            </w:pPr>
            <w:r>
              <w:rPr>
                <w:sz w:val="22"/>
              </w:rPr>
              <w:t>…</w:t>
            </w:r>
          </w:p>
          <w:p w14:paraId="5EF746FA" w14:textId="77777777" w:rsidR="00B363F2" w:rsidRPr="005E0F2A" w:rsidRDefault="00B363F2" w:rsidP="00B363F2">
            <w:pPr>
              <w:ind w:left="720" w:right="142"/>
              <w:jc w:val="both"/>
              <w:rPr>
                <w:b/>
                <w:bCs/>
                <w:sz w:val="22"/>
                <w:lang w:val="en-CA"/>
              </w:rPr>
            </w:pPr>
          </w:p>
        </w:tc>
      </w:tr>
      <w:tr w:rsidR="00B363F2" w:rsidRPr="00B363F2" w14:paraId="1E861BC8" w14:textId="77777777" w:rsidTr="00867511">
        <w:tc>
          <w:tcPr>
            <w:tcW w:w="4681" w:type="dxa"/>
          </w:tcPr>
          <w:p w14:paraId="2423A95B" w14:textId="77777777" w:rsidR="00B363F2" w:rsidRPr="00501215" w:rsidRDefault="00B363F2" w:rsidP="00B363F2">
            <w:pPr>
              <w:ind w:left="144" w:right="720"/>
              <w:jc w:val="both"/>
              <w:rPr>
                <w:b/>
                <w:bCs/>
                <w:sz w:val="22"/>
                <w:lang w:val="en-CA"/>
              </w:rPr>
            </w:pPr>
            <w:r w:rsidRPr="00501215">
              <w:rPr>
                <w:b/>
                <w:bCs/>
                <w:sz w:val="22"/>
                <w:lang w:val="en-CA"/>
              </w:rPr>
              <w:t>Debts not released by order of discharge</w:t>
            </w:r>
          </w:p>
          <w:p w14:paraId="713AF504" w14:textId="77777777" w:rsidR="00B363F2" w:rsidRPr="00B363F2" w:rsidRDefault="00B363F2" w:rsidP="00B363F2">
            <w:pPr>
              <w:ind w:left="720" w:right="142"/>
              <w:jc w:val="both"/>
              <w:rPr>
                <w:b/>
                <w:sz w:val="22"/>
                <w:lang w:val="en-CA"/>
              </w:rPr>
            </w:pPr>
          </w:p>
        </w:tc>
        <w:tc>
          <w:tcPr>
            <w:tcW w:w="4681" w:type="dxa"/>
          </w:tcPr>
          <w:p w14:paraId="5F23F412" w14:textId="071950BC" w:rsidR="00B363F2" w:rsidRPr="00501215" w:rsidRDefault="00B363F2" w:rsidP="00B363F2">
            <w:pPr>
              <w:ind w:left="720" w:right="142"/>
              <w:jc w:val="both"/>
              <w:rPr>
                <w:b/>
                <w:sz w:val="22"/>
              </w:rPr>
            </w:pPr>
            <w:r w:rsidRPr="00501215">
              <w:rPr>
                <w:b/>
                <w:sz w:val="22"/>
              </w:rPr>
              <w:t>L’ordonnance de libération ne libère pas des dettes</w:t>
            </w:r>
          </w:p>
          <w:p w14:paraId="01574031" w14:textId="77777777" w:rsidR="00B363F2" w:rsidRPr="00225DDB" w:rsidRDefault="00B363F2" w:rsidP="00B363F2">
            <w:pPr>
              <w:ind w:left="720" w:right="142"/>
              <w:jc w:val="both"/>
              <w:rPr>
                <w:b/>
                <w:bCs/>
                <w:sz w:val="22"/>
              </w:rPr>
            </w:pPr>
          </w:p>
        </w:tc>
      </w:tr>
      <w:tr w:rsidR="00B363F2" w:rsidRPr="00B363F2" w14:paraId="654EFED8" w14:textId="77777777" w:rsidTr="00867511">
        <w:tc>
          <w:tcPr>
            <w:tcW w:w="4681" w:type="dxa"/>
          </w:tcPr>
          <w:p w14:paraId="0724DA8F" w14:textId="77777777" w:rsidR="00B363F2" w:rsidRPr="00501215" w:rsidRDefault="00B363F2" w:rsidP="00B363F2">
            <w:pPr>
              <w:ind w:left="144" w:right="720"/>
              <w:jc w:val="both"/>
              <w:rPr>
                <w:sz w:val="22"/>
                <w:lang w:val="en-CA"/>
              </w:rPr>
            </w:pPr>
            <w:r w:rsidRPr="00501215">
              <w:rPr>
                <w:b/>
                <w:bCs/>
                <w:sz w:val="22"/>
                <w:lang w:val="en-CA"/>
              </w:rPr>
              <w:t>178 (1)</w:t>
            </w:r>
            <w:r w:rsidRPr="00501215">
              <w:rPr>
                <w:bCs/>
                <w:sz w:val="22"/>
                <w:lang w:val="en-CA"/>
              </w:rPr>
              <w:t xml:space="preserve"> An order of discharge does not release the bankrupt from</w:t>
            </w:r>
          </w:p>
          <w:p w14:paraId="2A1AF1AF" w14:textId="77777777" w:rsidR="00B363F2" w:rsidRPr="00B363F2" w:rsidRDefault="00B363F2" w:rsidP="00B363F2">
            <w:pPr>
              <w:ind w:left="720" w:right="142"/>
              <w:jc w:val="both"/>
              <w:rPr>
                <w:b/>
                <w:sz w:val="22"/>
                <w:lang w:val="en-CA"/>
              </w:rPr>
            </w:pPr>
          </w:p>
        </w:tc>
        <w:tc>
          <w:tcPr>
            <w:tcW w:w="4681" w:type="dxa"/>
          </w:tcPr>
          <w:p w14:paraId="19E493E6" w14:textId="7DD6878C" w:rsidR="00B363F2" w:rsidRPr="00501215" w:rsidRDefault="00B363F2" w:rsidP="00B363F2">
            <w:pPr>
              <w:ind w:left="720" w:right="142"/>
              <w:jc w:val="both"/>
              <w:rPr>
                <w:sz w:val="22"/>
              </w:rPr>
            </w:pPr>
            <w:r w:rsidRPr="00501215">
              <w:rPr>
                <w:b/>
                <w:sz w:val="22"/>
              </w:rPr>
              <w:t>178 (1)</w:t>
            </w:r>
            <w:r w:rsidRPr="00501215">
              <w:rPr>
                <w:sz w:val="22"/>
              </w:rPr>
              <w:t xml:space="preserve"> Une ordonnance de libération ne libère pas le failli :</w:t>
            </w:r>
          </w:p>
          <w:p w14:paraId="710A9E47" w14:textId="77777777" w:rsidR="00B363F2" w:rsidRPr="005E0F2A" w:rsidRDefault="00B363F2" w:rsidP="00B363F2">
            <w:pPr>
              <w:ind w:left="720" w:right="142"/>
              <w:jc w:val="both"/>
              <w:rPr>
                <w:b/>
                <w:bCs/>
                <w:sz w:val="22"/>
              </w:rPr>
            </w:pPr>
          </w:p>
        </w:tc>
      </w:tr>
      <w:tr w:rsidR="00B363F2" w:rsidRPr="00B363F2" w14:paraId="7A8E7F79" w14:textId="77777777" w:rsidTr="00867511">
        <w:tc>
          <w:tcPr>
            <w:tcW w:w="4681" w:type="dxa"/>
          </w:tcPr>
          <w:p w14:paraId="2BE152E7" w14:textId="77777777" w:rsidR="00B363F2" w:rsidRPr="00501215" w:rsidRDefault="00B363F2" w:rsidP="00B363F2">
            <w:pPr>
              <w:ind w:left="144" w:right="720"/>
              <w:jc w:val="both"/>
              <w:rPr>
                <w:sz w:val="22"/>
                <w:lang w:val="en-CA"/>
              </w:rPr>
            </w:pPr>
            <w:r w:rsidRPr="00501215">
              <w:rPr>
                <w:b/>
                <w:bCs/>
                <w:sz w:val="22"/>
                <w:lang w:val="en-CA"/>
              </w:rPr>
              <w:t>(a)</w:t>
            </w:r>
            <w:r w:rsidRPr="00501215">
              <w:rPr>
                <w:bCs/>
                <w:sz w:val="22"/>
                <w:lang w:val="en-CA"/>
              </w:rPr>
              <w:t xml:space="preserve"> any fine, penalty, restitution order or other order similar in nature to a fine, penalty or restitution order, imposed by a court in respect of an offence, or any debt arising out of a recognizance or bail;</w:t>
            </w:r>
          </w:p>
          <w:p w14:paraId="03A87D0D" w14:textId="77777777" w:rsidR="00B363F2" w:rsidRPr="00B363F2" w:rsidRDefault="00B363F2" w:rsidP="00B363F2">
            <w:pPr>
              <w:ind w:left="720" w:right="142"/>
              <w:jc w:val="both"/>
              <w:rPr>
                <w:b/>
                <w:sz w:val="22"/>
                <w:lang w:val="en-CA"/>
              </w:rPr>
            </w:pPr>
          </w:p>
        </w:tc>
        <w:tc>
          <w:tcPr>
            <w:tcW w:w="4681" w:type="dxa"/>
          </w:tcPr>
          <w:p w14:paraId="22938102" w14:textId="66B688BC" w:rsidR="00B363F2" w:rsidRPr="00501215" w:rsidRDefault="00B363F2" w:rsidP="00B363F2">
            <w:pPr>
              <w:ind w:left="720" w:right="142"/>
              <w:jc w:val="both"/>
              <w:rPr>
                <w:sz w:val="22"/>
              </w:rPr>
            </w:pPr>
            <w:r w:rsidRPr="00501215">
              <w:rPr>
                <w:b/>
                <w:sz w:val="22"/>
              </w:rPr>
              <w:t>a)</w:t>
            </w:r>
            <w:r w:rsidRPr="00501215">
              <w:rPr>
                <w:sz w:val="22"/>
              </w:rPr>
              <w:t xml:space="preserve"> de toute amende, pénalité, ordonnance de restitution ou toute ordonnance similaire infligée ou rendue par un tribunal, ou de toute autre dette provenant d’un engagement ou d’un cautionnement en matière pénale;</w:t>
            </w:r>
          </w:p>
          <w:p w14:paraId="0FC8E9B8" w14:textId="77777777" w:rsidR="00B363F2" w:rsidRPr="005E0F2A" w:rsidRDefault="00B363F2" w:rsidP="00B363F2">
            <w:pPr>
              <w:ind w:left="720" w:right="142"/>
              <w:jc w:val="both"/>
              <w:rPr>
                <w:b/>
                <w:bCs/>
                <w:sz w:val="22"/>
              </w:rPr>
            </w:pPr>
          </w:p>
        </w:tc>
      </w:tr>
      <w:tr w:rsidR="00B363F2" w:rsidRPr="00B363F2" w14:paraId="74484AC4" w14:textId="77777777" w:rsidTr="00867511">
        <w:tc>
          <w:tcPr>
            <w:tcW w:w="4681" w:type="dxa"/>
          </w:tcPr>
          <w:p w14:paraId="7E362F2C" w14:textId="77777777" w:rsidR="00B363F2" w:rsidRPr="00501215" w:rsidRDefault="00B363F2" w:rsidP="00B363F2">
            <w:pPr>
              <w:ind w:left="144" w:right="720"/>
              <w:jc w:val="both"/>
              <w:rPr>
                <w:sz w:val="22"/>
                <w:lang w:val="en-CA"/>
              </w:rPr>
            </w:pPr>
            <w:r w:rsidRPr="00501215">
              <w:rPr>
                <w:b/>
                <w:bCs/>
                <w:sz w:val="22"/>
                <w:lang w:val="en-CA"/>
              </w:rPr>
              <w:t>(a.1)</w:t>
            </w:r>
            <w:r w:rsidRPr="00501215">
              <w:rPr>
                <w:bCs/>
                <w:sz w:val="22"/>
                <w:lang w:val="en-CA"/>
              </w:rPr>
              <w:t xml:space="preserve"> any award of damages by a court in civil proceedings in respect of</w:t>
            </w:r>
          </w:p>
          <w:p w14:paraId="223C2D99" w14:textId="77777777" w:rsidR="00B363F2" w:rsidRPr="00B363F2" w:rsidRDefault="00B363F2" w:rsidP="00B363F2">
            <w:pPr>
              <w:ind w:left="720" w:right="142"/>
              <w:jc w:val="both"/>
              <w:rPr>
                <w:b/>
                <w:sz w:val="22"/>
                <w:lang w:val="en-CA"/>
              </w:rPr>
            </w:pPr>
          </w:p>
        </w:tc>
        <w:tc>
          <w:tcPr>
            <w:tcW w:w="4681" w:type="dxa"/>
          </w:tcPr>
          <w:p w14:paraId="47BD50C6" w14:textId="71D20CA6" w:rsidR="00B363F2" w:rsidRPr="00501215" w:rsidRDefault="00B363F2" w:rsidP="00B363F2">
            <w:pPr>
              <w:ind w:left="720" w:right="142"/>
              <w:jc w:val="both"/>
              <w:rPr>
                <w:sz w:val="22"/>
              </w:rPr>
            </w:pPr>
            <w:r w:rsidRPr="00501215">
              <w:rPr>
                <w:b/>
                <w:sz w:val="22"/>
              </w:rPr>
              <w:t>a.1)</w:t>
            </w:r>
            <w:r w:rsidRPr="00501215">
              <w:rPr>
                <w:sz w:val="22"/>
              </w:rPr>
              <w:t xml:space="preserve"> de toute indemnité accordée en justice dans une affaire civile :</w:t>
            </w:r>
          </w:p>
          <w:p w14:paraId="44D093AC" w14:textId="77777777" w:rsidR="00B363F2" w:rsidRPr="005E0F2A" w:rsidRDefault="00B363F2" w:rsidP="00B363F2">
            <w:pPr>
              <w:ind w:left="720" w:right="142"/>
              <w:jc w:val="both"/>
              <w:rPr>
                <w:b/>
                <w:bCs/>
                <w:sz w:val="22"/>
              </w:rPr>
            </w:pPr>
          </w:p>
        </w:tc>
      </w:tr>
      <w:tr w:rsidR="00B363F2" w:rsidRPr="00B363F2" w14:paraId="79375B2E" w14:textId="77777777" w:rsidTr="00867511">
        <w:tc>
          <w:tcPr>
            <w:tcW w:w="4681" w:type="dxa"/>
          </w:tcPr>
          <w:p w14:paraId="7FBCA138" w14:textId="77777777" w:rsidR="00B363F2" w:rsidRPr="005E0F2A" w:rsidRDefault="00B363F2" w:rsidP="00B363F2">
            <w:pPr>
              <w:ind w:left="144" w:right="720"/>
              <w:jc w:val="both"/>
              <w:rPr>
                <w:sz w:val="22"/>
                <w:lang w:val="en-CA"/>
              </w:rPr>
            </w:pPr>
            <w:r w:rsidRPr="00225DDB">
              <w:rPr>
                <w:b/>
                <w:bCs/>
                <w:sz w:val="22"/>
                <w:lang w:val="en-CA"/>
              </w:rPr>
              <w:t>(i)</w:t>
            </w:r>
            <w:r w:rsidRPr="00225DDB">
              <w:rPr>
                <w:bCs/>
                <w:sz w:val="22"/>
                <w:lang w:val="en-CA"/>
              </w:rPr>
              <w:t xml:space="preserve"> bodily harm intentionally inflicted, or sexual assault, or</w:t>
            </w:r>
          </w:p>
          <w:p w14:paraId="260DB8B4" w14:textId="77777777" w:rsidR="00B363F2" w:rsidRPr="00B363F2" w:rsidRDefault="00B363F2" w:rsidP="00B363F2">
            <w:pPr>
              <w:ind w:left="720" w:right="142"/>
              <w:jc w:val="both"/>
              <w:rPr>
                <w:b/>
                <w:sz w:val="22"/>
                <w:lang w:val="en-CA"/>
              </w:rPr>
            </w:pPr>
          </w:p>
        </w:tc>
        <w:tc>
          <w:tcPr>
            <w:tcW w:w="4681" w:type="dxa"/>
          </w:tcPr>
          <w:p w14:paraId="14694933" w14:textId="79AE12A2" w:rsidR="00B363F2" w:rsidRPr="00501215" w:rsidRDefault="00B363F2" w:rsidP="00B363F2">
            <w:pPr>
              <w:ind w:left="720" w:right="142"/>
              <w:jc w:val="both"/>
              <w:rPr>
                <w:sz w:val="22"/>
              </w:rPr>
            </w:pPr>
            <w:r w:rsidRPr="00501215">
              <w:rPr>
                <w:b/>
                <w:sz w:val="22"/>
              </w:rPr>
              <w:t>(i)</w:t>
            </w:r>
            <w:r w:rsidRPr="00501215">
              <w:rPr>
                <w:sz w:val="22"/>
              </w:rPr>
              <w:t xml:space="preserve"> pour des lésions corporelles causées intentionnellement ou pour agression sexuelle,</w:t>
            </w:r>
          </w:p>
          <w:p w14:paraId="2629F714" w14:textId="77777777" w:rsidR="00B363F2" w:rsidRPr="005E0F2A" w:rsidRDefault="00B363F2" w:rsidP="00B363F2">
            <w:pPr>
              <w:ind w:left="720" w:right="142"/>
              <w:jc w:val="both"/>
              <w:rPr>
                <w:b/>
                <w:bCs/>
                <w:sz w:val="22"/>
              </w:rPr>
            </w:pPr>
          </w:p>
        </w:tc>
      </w:tr>
      <w:tr w:rsidR="00B363F2" w:rsidRPr="00B363F2" w14:paraId="56C54BE6" w14:textId="77777777" w:rsidTr="00867511">
        <w:tc>
          <w:tcPr>
            <w:tcW w:w="4681" w:type="dxa"/>
          </w:tcPr>
          <w:p w14:paraId="0281D377" w14:textId="77777777" w:rsidR="00B363F2" w:rsidRPr="005E0F2A" w:rsidRDefault="00B363F2" w:rsidP="00B363F2">
            <w:pPr>
              <w:ind w:left="144" w:right="720"/>
              <w:jc w:val="both"/>
              <w:rPr>
                <w:sz w:val="22"/>
                <w:lang w:val="en-CA"/>
              </w:rPr>
            </w:pPr>
            <w:r w:rsidRPr="00225DDB">
              <w:rPr>
                <w:b/>
                <w:bCs/>
                <w:sz w:val="22"/>
                <w:lang w:val="en-CA"/>
              </w:rPr>
              <w:lastRenderedPageBreak/>
              <w:t>(ii)</w:t>
            </w:r>
            <w:r w:rsidRPr="00225DDB">
              <w:rPr>
                <w:bCs/>
                <w:sz w:val="22"/>
                <w:lang w:val="en-CA"/>
              </w:rPr>
              <w:t xml:space="preserve"> wrongful death resulting therefrom;</w:t>
            </w:r>
          </w:p>
          <w:p w14:paraId="2A185825" w14:textId="77777777" w:rsidR="00B363F2" w:rsidRPr="00B363F2" w:rsidRDefault="00B363F2" w:rsidP="00B363F2">
            <w:pPr>
              <w:ind w:left="720" w:right="142"/>
              <w:jc w:val="both"/>
              <w:rPr>
                <w:b/>
                <w:sz w:val="22"/>
                <w:lang w:val="en-CA"/>
              </w:rPr>
            </w:pPr>
          </w:p>
        </w:tc>
        <w:tc>
          <w:tcPr>
            <w:tcW w:w="4681" w:type="dxa"/>
          </w:tcPr>
          <w:p w14:paraId="5BB1E7EC" w14:textId="7773A1EF" w:rsidR="00B363F2" w:rsidRPr="00501215" w:rsidRDefault="00B363F2" w:rsidP="00B363F2">
            <w:pPr>
              <w:ind w:left="720" w:right="142"/>
              <w:jc w:val="both"/>
              <w:rPr>
                <w:sz w:val="22"/>
              </w:rPr>
            </w:pPr>
            <w:r w:rsidRPr="00501215">
              <w:rPr>
                <w:b/>
                <w:sz w:val="22"/>
              </w:rPr>
              <w:t>(ii)</w:t>
            </w:r>
            <w:r w:rsidRPr="00501215">
              <w:rPr>
                <w:sz w:val="22"/>
              </w:rPr>
              <w:t xml:space="preserve"> pour décès découlant de celles-ci;</w:t>
            </w:r>
          </w:p>
          <w:p w14:paraId="531B3E72" w14:textId="77777777" w:rsidR="00B363F2" w:rsidRPr="005E0F2A" w:rsidRDefault="00B363F2" w:rsidP="00B363F2">
            <w:pPr>
              <w:ind w:left="720" w:right="142"/>
              <w:jc w:val="both"/>
              <w:rPr>
                <w:b/>
                <w:bCs/>
                <w:sz w:val="22"/>
              </w:rPr>
            </w:pPr>
          </w:p>
        </w:tc>
      </w:tr>
      <w:tr w:rsidR="00B363F2" w:rsidRPr="00B363F2" w14:paraId="506077AA" w14:textId="77777777" w:rsidTr="00867511">
        <w:tc>
          <w:tcPr>
            <w:tcW w:w="4681" w:type="dxa"/>
          </w:tcPr>
          <w:p w14:paraId="499A21EB" w14:textId="77777777" w:rsidR="00B363F2" w:rsidRPr="005E0F2A" w:rsidRDefault="00B363F2" w:rsidP="00B363F2">
            <w:pPr>
              <w:ind w:left="144" w:right="720"/>
              <w:jc w:val="both"/>
              <w:rPr>
                <w:sz w:val="22"/>
                <w:lang w:val="en-CA"/>
              </w:rPr>
            </w:pPr>
            <w:r w:rsidRPr="00225DDB">
              <w:rPr>
                <w:b/>
                <w:bCs/>
                <w:sz w:val="22"/>
                <w:lang w:val="en-CA"/>
              </w:rPr>
              <w:t>(b)</w:t>
            </w:r>
            <w:r w:rsidRPr="00225DDB">
              <w:rPr>
                <w:bCs/>
                <w:sz w:val="22"/>
                <w:lang w:val="en-CA"/>
              </w:rPr>
              <w:t xml:space="preserve"> any debt or liability for alimony or alimentary pension;</w:t>
            </w:r>
          </w:p>
          <w:p w14:paraId="55E5925A" w14:textId="77777777" w:rsidR="00B363F2" w:rsidRPr="00B363F2" w:rsidRDefault="00B363F2" w:rsidP="00B363F2">
            <w:pPr>
              <w:ind w:left="720" w:right="142"/>
              <w:jc w:val="both"/>
              <w:rPr>
                <w:b/>
                <w:sz w:val="22"/>
                <w:lang w:val="en-CA"/>
              </w:rPr>
            </w:pPr>
          </w:p>
        </w:tc>
        <w:tc>
          <w:tcPr>
            <w:tcW w:w="4681" w:type="dxa"/>
          </w:tcPr>
          <w:p w14:paraId="69FDA2F9" w14:textId="02FA42E9" w:rsidR="00B363F2" w:rsidRPr="00501215" w:rsidRDefault="00B363F2" w:rsidP="00B363F2">
            <w:pPr>
              <w:ind w:left="720" w:right="142"/>
              <w:jc w:val="both"/>
              <w:rPr>
                <w:sz w:val="22"/>
              </w:rPr>
            </w:pPr>
            <w:r w:rsidRPr="00501215">
              <w:rPr>
                <w:b/>
                <w:sz w:val="22"/>
              </w:rPr>
              <w:t>b)</w:t>
            </w:r>
            <w:r w:rsidRPr="00501215">
              <w:rPr>
                <w:sz w:val="22"/>
              </w:rPr>
              <w:t xml:space="preserve"> de toute dette ou obligation pour pension alimentaire;</w:t>
            </w:r>
          </w:p>
          <w:p w14:paraId="4262244A" w14:textId="77777777" w:rsidR="00B363F2" w:rsidRPr="005E0F2A" w:rsidRDefault="00B363F2" w:rsidP="00B363F2">
            <w:pPr>
              <w:ind w:left="720" w:right="142"/>
              <w:jc w:val="both"/>
              <w:rPr>
                <w:b/>
                <w:bCs/>
                <w:sz w:val="22"/>
              </w:rPr>
            </w:pPr>
          </w:p>
        </w:tc>
      </w:tr>
      <w:tr w:rsidR="00B363F2" w:rsidRPr="00B363F2" w14:paraId="3D4FBB43" w14:textId="77777777" w:rsidTr="00867511">
        <w:tc>
          <w:tcPr>
            <w:tcW w:w="4681" w:type="dxa"/>
          </w:tcPr>
          <w:p w14:paraId="39141C3A" w14:textId="77777777" w:rsidR="00B363F2" w:rsidRPr="005E0F2A" w:rsidRDefault="00B363F2" w:rsidP="00B363F2">
            <w:pPr>
              <w:ind w:left="144" w:right="720"/>
              <w:jc w:val="both"/>
              <w:rPr>
                <w:sz w:val="22"/>
                <w:lang w:val="en-CA"/>
              </w:rPr>
            </w:pPr>
            <w:r w:rsidRPr="00225DDB">
              <w:rPr>
                <w:b/>
                <w:bCs/>
                <w:sz w:val="22"/>
                <w:lang w:val="en-CA"/>
              </w:rPr>
              <w:t>(c)</w:t>
            </w:r>
            <w:r w:rsidRPr="00225DDB">
              <w:rPr>
                <w:bCs/>
                <w:sz w:val="22"/>
                <w:lang w:val="en-CA"/>
              </w:rPr>
              <w:t xml:space="preserve"> any debt or liability arising under a judicial decision establishing affiliation or respecting support or maintenance, or under an agreement for maintenance and support of a spouse, former spouse, former common-law partner or child living apart from the bankrupt;</w:t>
            </w:r>
          </w:p>
          <w:p w14:paraId="375B1DA3" w14:textId="77777777" w:rsidR="00B363F2" w:rsidRPr="00B363F2" w:rsidRDefault="00B363F2" w:rsidP="00B363F2">
            <w:pPr>
              <w:ind w:left="720" w:right="142"/>
              <w:jc w:val="both"/>
              <w:rPr>
                <w:b/>
                <w:sz w:val="22"/>
                <w:lang w:val="en-CA"/>
              </w:rPr>
            </w:pPr>
          </w:p>
        </w:tc>
        <w:tc>
          <w:tcPr>
            <w:tcW w:w="4681" w:type="dxa"/>
          </w:tcPr>
          <w:p w14:paraId="1FDB9F62" w14:textId="632C58E4" w:rsidR="00B363F2" w:rsidRPr="00501215" w:rsidRDefault="00B363F2" w:rsidP="00B363F2">
            <w:pPr>
              <w:ind w:left="720" w:right="142"/>
              <w:jc w:val="both"/>
              <w:rPr>
                <w:sz w:val="22"/>
              </w:rPr>
            </w:pPr>
            <w:r w:rsidRPr="00501215">
              <w:rPr>
                <w:b/>
                <w:sz w:val="22"/>
              </w:rPr>
              <w:t>c)</w:t>
            </w:r>
            <w:r w:rsidRPr="00501215">
              <w:rPr>
                <w:sz w:val="22"/>
              </w:rPr>
              <w:t xml:space="preserve"> de toute dette ou obligation aux termes de la décision d’un tribunal en matière de filiation ou d’aliments ou aux termes d’une entente alimentaire au profit d’un époux, d’un ex-époux ou ancien conjoint de fait ou d’un enfant vivant séparé du failli;</w:t>
            </w:r>
          </w:p>
          <w:p w14:paraId="477E3849" w14:textId="77777777" w:rsidR="00B363F2" w:rsidRPr="005E0F2A" w:rsidRDefault="00B363F2" w:rsidP="00B363F2">
            <w:pPr>
              <w:ind w:left="720" w:right="142"/>
              <w:jc w:val="both"/>
              <w:rPr>
                <w:b/>
                <w:bCs/>
                <w:sz w:val="22"/>
              </w:rPr>
            </w:pPr>
          </w:p>
        </w:tc>
      </w:tr>
      <w:tr w:rsidR="00B363F2" w:rsidRPr="00B363F2" w14:paraId="22EA9D5D" w14:textId="77777777" w:rsidTr="00867511">
        <w:tc>
          <w:tcPr>
            <w:tcW w:w="4681" w:type="dxa"/>
          </w:tcPr>
          <w:p w14:paraId="5C6A2E07" w14:textId="538B9E1B" w:rsidR="00B363F2" w:rsidRPr="00B363F2" w:rsidRDefault="00B363F2" w:rsidP="00CA3226">
            <w:pPr>
              <w:ind w:left="67" w:right="142"/>
              <w:jc w:val="both"/>
              <w:rPr>
                <w:b/>
                <w:sz w:val="22"/>
                <w:lang w:val="en-CA"/>
              </w:rPr>
            </w:pPr>
            <w:r w:rsidRPr="00225DDB">
              <w:rPr>
                <w:b/>
                <w:bCs/>
                <w:sz w:val="22"/>
                <w:lang w:val="en-CA"/>
              </w:rPr>
              <w:t>(d)</w:t>
            </w:r>
            <w:r w:rsidRPr="00225DDB">
              <w:rPr>
                <w:bCs/>
                <w:sz w:val="22"/>
                <w:lang w:val="en-CA"/>
              </w:rPr>
              <w:t xml:space="preserve"> any debt or liability arising out of fraud, embezzlement, misappropriation or defalcation while acting in a fiduciary capacity or, in the Province of Quebec, as a trustee or administrator of the property of others;</w:t>
            </w:r>
          </w:p>
        </w:tc>
        <w:tc>
          <w:tcPr>
            <w:tcW w:w="4681" w:type="dxa"/>
          </w:tcPr>
          <w:p w14:paraId="36CFDFB1" w14:textId="3D8CC4E4" w:rsidR="00B363F2" w:rsidRPr="00501215" w:rsidRDefault="00B363F2" w:rsidP="00B363F2">
            <w:pPr>
              <w:ind w:left="720" w:right="142"/>
              <w:jc w:val="both"/>
              <w:rPr>
                <w:sz w:val="22"/>
              </w:rPr>
            </w:pPr>
            <w:r w:rsidRPr="00501215">
              <w:rPr>
                <w:b/>
                <w:sz w:val="22"/>
              </w:rPr>
              <w:t>d)</w:t>
            </w:r>
            <w:r w:rsidRPr="00501215">
              <w:rPr>
                <w:sz w:val="22"/>
              </w:rPr>
              <w:t xml:space="preserve"> de toute dette ou obligation résultant de la fraude, du détournement, de la concussion ou de l’abus de confiance alors qu’il agissait, dans la province de Québec, à titre de fiduciaire ou d’administrateur du bien d’autrui ou, dans les autres provinces, à titre de fiduciaire;</w:t>
            </w:r>
          </w:p>
          <w:p w14:paraId="5FC567C9" w14:textId="77777777" w:rsidR="00B363F2" w:rsidRPr="005E0F2A" w:rsidRDefault="00B363F2" w:rsidP="00B363F2">
            <w:pPr>
              <w:ind w:left="720" w:right="142"/>
              <w:jc w:val="both"/>
              <w:rPr>
                <w:b/>
                <w:bCs/>
                <w:sz w:val="22"/>
              </w:rPr>
            </w:pPr>
          </w:p>
        </w:tc>
      </w:tr>
      <w:tr w:rsidR="00B363F2" w:rsidRPr="00B363F2" w14:paraId="22854C98" w14:textId="77777777" w:rsidTr="00867511">
        <w:tc>
          <w:tcPr>
            <w:tcW w:w="4681" w:type="dxa"/>
          </w:tcPr>
          <w:p w14:paraId="2E3D6520" w14:textId="77777777" w:rsidR="00B363F2" w:rsidRPr="005E0F2A" w:rsidRDefault="00B363F2" w:rsidP="00B363F2">
            <w:pPr>
              <w:ind w:left="144" w:right="720"/>
              <w:jc w:val="both"/>
              <w:rPr>
                <w:sz w:val="22"/>
                <w:lang w:val="en-CA"/>
              </w:rPr>
            </w:pPr>
            <w:r w:rsidRPr="00225DDB">
              <w:rPr>
                <w:b/>
                <w:bCs/>
                <w:sz w:val="22"/>
                <w:lang w:val="en-CA"/>
              </w:rPr>
              <w:t>(e)</w:t>
            </w:r>
            <w:r w:rsidRPr="00225DDB">
              <w:rPr>
                <w:bCs/>
                <w:sz w:val="22"/>
                <w:lang w:val="en-CA"/>
              </w:rPr>
              <w:t xml:space="preserve"> any debt or liability resulting from obtaining property or services by false pretences or fraudulent misrepresentation, other than a debt or liability that arises from an equity claim;</w:t>
            </w:r>
          </w:p>
          <w:p w14:paraId="44978DA9" w14:textId="77777777" w:rsidR="00B363F2" w:rsidRPr="00B363F2" w:rsidRDefault="00B363F2" w:rsidP="00B363F2">
            <w:pPr>
              <w:ind w:left="720" w:right="142"/>
              <w:jc w:val="both"/>
              <w:rPr>
                <w:b/>
                <w:sz w:val="22"/>
                <w:lang w:val="en-CA"/>
              </w:rPr>
            </w:pPr>
          </w:p>
        </w:tc>
        <w:tc>
          <w:tcPr>
            <w:tcW w:w="4681" w:type="dxa"/>
          </w:tcPr>
          <w:p w14:paraId="1DA3B7E1" w14:textId="70749C28" w:rsidR="00B363F2" w:rsidRPr="00501215" w:rsidRDefault="00B363F2" w:rsidP="00B363F2">
            <w:pPr>
              <w:ind w:left="720" w:right="142"/>
              <w:jc w:val="both"/>
              <w:rPr>
                <w:sz w:val="22"/>
              </w:rPr>
            </w:pPr>
            <w:r w:rsidRPr="00501215">
              <w:rPr>
                <w:b/>
                <w:sz w:val="22"/>
              </w:rPr>
              <w:t>e)</w:t>
            </w:r>
            <w:r w:rsidRPr="00501215">
              <w:rPr>
                <w:sz w:val="22"/>
              </w:rPr>
              <w:t xml:space="preserve"> de toute dette ou obligation résultant de l’obtention de biens ou de services par des faux-semblants ou la présentation erronée et frauduleuse des faits, autre qu’une dette ou obligation qui découle d’une réclamation relative à des capitaux propres;</w:t>
            </w:r>
          </w:p>
          <w:p w14:paraId="2CD1E3F8" w14:textId="77777777" w:rsidR="00B363F2" w:rsidRPr="005E0F2A" w:rsidRDefault="00B363F2" w:rsidP="00B363F2">
            <w:pPr>
              <w:ind w:left="720" w:right="142"/>
              <w:jc w:val="both"/>
              <w:rPr>
                <w:b/>
                <w:bCs/>
                <w:sz w:val="22"/>
              </w:rPr>
            </w:pPr>
          </w:p>
        </w:tc>
      </w:tr>
      <w:tr w:rsidR="00B363F2" w:rsidRPr="00B363F2" w14:paraId="0F89E6F4" w14:textId="77777777" w:rsidTr="00867511">
        <w:tc>
          <w:tcPr>
            <w:tcW w:w="4681" w:type="dxa"/>
          </w:tcPr>
          <w:p w14:paraId="045D4502" w14:textId="77777777" w:rsidR="00B363F2" w:rsidRPr="00501215" w:rsidRDefault="00B363F2" w:rsidP="00B363F2">
            <w:pPr>
              <w:ind w:left="144" w:right="720"/>
              <w:jc w:val="both"/>
              <w:rPr>
                <w:sz w:val="22"/>
                <w:lang w:val="en-CA"/>
              </w:rPr>
            </w:pPr>
            <w:r w:rsidRPr="00501215">
              <w:rPr>
                <w:b/>
                <w:bCs/>
                <w:sz w:val="22"/>
                <w:lang w:val="en-CA"/>
              </w:rPr>
              <w:t>(f)</w:t>
            </w:r>
            <w:r w:rsidRPr="00501215">
              <w:rPr>
                <w:bCs/>
                <w:sz w:val="22"/>
                <w:lang w:val="en-CA"/>
              </w:rPr>
              <w:t xml:space="preserve"> liability for the dividend that a creditor would have been entitled to receive on any provable claim not disclosed to the trustee, unless the creditor had notice or knowledge of the bankruptcy and failed to take reasonable action to prove his claim;</w:t>
            </w:r>
          </w:p>
          <w:p w14:paraId="1584C8C8" w14:textId="77777777" w:rsidR="00B363F2" w:rsidRPr="00B363F2" w:rsidRDefault="00B363F2" w:rsidP="00B363F2">
            <w:pPr>
              <w:ind w:left="720" w:right="142"/>
              <w:jc w:val="both"/>
              <w:rPr>
                <w:b/>
                <w:sz w:val="22"/>
                <w:lang w:val="en-CA"/>
              </w:rPr>
            </w:pPr>
          </w:p>
        </w:tc>
        <w:tc>
          <w:tcPr>
            <w:tcW w:w="4681" w:type="dxa"/>
          </w:tcPr>
          <w:p w14:paraId="6ED82587" w14:textId="0522723A" w:rsidR="00B363F2" w:rsidRPr="00501215" w:rsidRDefault="00B363F2" w:rsidP="00B363F2">
            <w:pPr>
              <w:ind w:left="720" w:right="142"/>
              <w:jc w:val="both"/>
              <w:rPr>
                <w:sz w:val="22"/>
              </w:rPr>
            </w:pPr>
            <w:r w:rsidRPr="00501215">
              <w:rPr>
                <w:b/>
                <w:sz w:val="22"/>
              </w:rPr>
              <w:t>f)</w:t>
            </w:r>
            <w:r w:rsidRPr="00501215">
              <w:rPr>
                <w:sz w:val="22"/>
              </w:rPr>
              <w:t xml:space="preserve"> de l’obligation visant le dividende qu’un créancier aurait eu droit de recevoir sur toute réclamation prouvable non révélée au syndic, à moins que ce créancier n’ait été averti ou n’ait eu connaissance de la faillite et n’ait omis de prendre les mesures raisonnables pour prouver sa réclamation;</w:t>
            </w:r>
          </w:p>
          <w:p w14:paraId="7524A2BA" w14:textId="77777777" w:rsidR="00B363F2" w:rsidRPr="005E0F2A" w:rsidRDefault="00B363F2" w:rsidP="00B363F2">
            <w:pPr>
              <w:ind w:left="720" w:right="142"/>
              <w:jc w:val="both"/>
              <w:rPr>
                <w:b/>
                <w:bCs/>
                <w:sz w:val="22"/>
              </w:rPr>
            </w:pPr>
          </w:p>
        </w:tc>
      </w:tr>
      <w:tr w:rsidR="00B363F2" w:rsidRPr="00B363F2" w14:paraId="0097AE9E" w14:textId="77777777" w:rsidTr="00867511">
        <w:tc>
          <w:tcPr>
            <w:tcW w:w="4681" w:type="dxa"/>
          </w:tcPr>
          <w:p w14:paraId="092D230A" w14:textId="77777777" w:rsidR="00B363F2" w:rsidRPr="005E0F2A" w:rsidRDefault="00B363F2" w:rsidP="00B363F2">
            <w:pPr>
              <w:ind w:left="144" w:right="720"/>
              <w:jc w:val="both"/>
              <w:rPr>
                <w:sz w:val="22"/>
                <w:lang w:val="en-CA"/>
              </w:rPr>
            </w:pPr>
            <w:r w:rsidRPr="00225DDB">
              <w:rPr>
                <w:b/>
                <w:bCs/>
                <w:sz w:val="22"/>
                <w:lang w:val="en-CA"/>
              </w:rPr>
              <w:t>(g)</w:t>
            </w:r>
            <w:r w:rsidRPr="00225DDB">
              <w:rPr>
                <w:bCs/>
                <w:sz w:val="22"/>
                <w:lang w:val="en-CA"/>
              </w:rPr>
              <w:t xml:space="preserve"> any debt or obligation in respect of a loan made under the Canada </w:t>
            </w:r>
            <w:r w:rsidRPr="00225DDB">
              <w:rPr>
                <w:bCs/>
                <w:sz w:val="22"/>
                <w:lang w:val="en-CA"/>
              </w:rPr>
              <w:lastRenderedPageBreak/>
              <w:t>Student Loans Act, the Canada Student Financial Assistance Act or any enactment of a province that provides for loans or guarantees of loans to students where the date of bankruptcy of the bankrupt occurred</w:t>
            </w:r>
          </w:p>
          <w:p w14:paraId="72DE3B36" w14:textId="77777777" w:rsidR="00B363F2" w:rsidRPr="00B363F2" w:rsidRDefault="00B363F2" w:rsidP="00B363F2">
            <w:pPr>
              <w:ind w:left="720" w:right="142"/>
              <w:jc w:val="both"/>
              <w:rPr>
                <w:b/>
                <w:sz w:val="22"/>
                <w:lang w:val="en-CA"/>
              </w:rPr>
            </w:pPr>
          </w:p>
        </w:tc>
        <w:tc>
          <w:tcPr>
            <w:tcW w:w="4681" w:type="dxa"/>
          </w:tcPr>
          <w:p w14:paraId="386DD94F" w14:textId="22174C7E" w:rsidR="00B363F2" w:rsidRPr="00501215" w:rsidRDefault="00B363F2" w:rsidP="00B363F2">
            <w:pPr>
              <w:ind w:left="720" w:right="142"/>
              <w:jc w:val="both"/>
              <w:rPr>
                <w:sz w:val="22"/>
              </w:rPr>
            </w:pPr>
            <w:r w:rsidRPr="00501215">
              <w:rPr>
                <w:b/>
                <w:sz w:val="22"/>
              </w:rPr>
              <w:lastRenderedPageBreak/>
              <w:t>g)</w:t>
            </w:r>
            <w:r w:rsidRPr="00501215">
              <w:rPr>
                <w:sz w:val="22"/>
              </w:rPr>
              <w:t xml:space="preserve"> de toute dette ou obligation découlant d’un prêt consenti ou </w:t>
            </w:r>
            <w:r w:rsidRPr="00501215">
              <w:rPr>
                <w:sz w:val="22"/>
              </w:rPr>
              <w:lastRenderedPageBreak/>
              <w:t>garanti au titre de la Loi fédérale sur les prêts aux étudiants, de la Loi fédérale sur l’aide financière aux étudiants ou de toute loi provinciale relative aux prêts aux étudiants lorsque la faillite est survenue avant la date à laquelle le failli a cessé d’être un étudiant, à temps plein ou à temps partiel, au regard de la loi applicable, ou dans les sept ans suivant cette date;</w:t>
            </w:r>
          </w:p>
          <w:p w14:paraId="69368E27" w14:textId="77777777" w:rsidR="00B363F2" w:rsidRPr="005E0F2A" w:rsidRDefault="00B363F2" w:rsidP="00B363F2">
            <w:pPr>
              <w:ind w:left="720" w:right="142"/>
              <w:jc w:val="both"/>
              <w:rPr>
                <w:b/>
                <w:bCs/>
                <w:sz w:val="22"/>
              </w:rPr>
            </w:pPr>
          </w:p>
        </w:tc>
      </w:tr>
      <w:tr w:rsidR="00B363F2" w:rsidRPr="00970795" w14:paraId="67613218" w14:textId="77777777" w:rsidTr="00867511">
        <w:tc>
          <w:tcPr>
            <w:tcW w:w="4681" w:type="dxa"/>
          </w:tcPr>
          <w:p w14:paraId="23A5EAC9" w14:textId="77777777" w:rsidR="00B363F2" w:rsidRPr="005E0F2A" w:rsidRDefault="00B363F2" w:rsidP="00B363F2">
            <w:pPr>
              <w:ind w:left="144" w:right="720"/>
              <w:jc w:val="both"/>
              <w:rPr>
                <w:sz w:val="22"/>
                <w:lang w:val="en-CA"/>
              </w:rPr>
            </w:pPr>
            <w:r w:rsidRPr="00225DDB">
              <w:rPr>
                <w:b/>
                <w:bCs/>
                <w:sz w:val="22"/>
                <w:lang w:val="en-CA"/>
              </w:rPr>
              <w:lastRenderedPageBreak/>
              <w:t>(i)</w:t>
            </w:r>
            <w:r w:rsidRPr="00225DDB">
              <w:rPr>
                <w:bCs/>
                <w:sz w:val="22"/>
                <w:lang w:val="en-CA"/>
              </w:rPr>
              <w:t xml:space="preserve"> before the date on which the bankrupt ceased to be a full- or part-time student, as the case may be, under the applicable Act or enactment, or</w:t>
            </w:r>
          </w:p>
          <w:p w14:paraId="59FA7BA8" w14:textId="77777777" w:rsidR="00B363F2" w:rsidRPr="00B363F2" w:rsidRDefault="00B363F2" w:rsidP="00B363F2">
            <w:pPr>
              <w:ind w:left="720" w:right="142"/>
              <w:jc w:val="both"/>
              <w:rPr>
                <w:b/>
                <w:bCs/>
                <w:sz w:val="22"/>
                <w:lang w:val="en-CA"/>
              </w:rPr>
            </w:pPr>
          </w:p>
        </w:tc>
        <w:tc>
          <w:tcPr>
            <w:tcW w:w="4681" w:type="dxa"/>
          </w:tcPr>
          <w:p w14:paraId="561299CC" w14:textId="529284B8" w:rsidR="00B363F2" w:rsidRPr="00B363F2" w:rsidRDefault="00B363F2" w:rsidP="00B363F2">
            <w:pPr>
              <w:ind w:left="720" w:right="142"/>
              <w:jc w:val="both"/>
              <w:rPr>
                <w:b/>
                <w:bCs/>
                <w:sz w:val="22"/>
                <w:lang w:val="en-CA"/>
              </w:rPr>
            </w:pPr>
          </w:p>
        </w:tc>
      </w:tr>
      <w:tr w:rsidR="00B363F2" w:rsidRPr="00970795" w14:paraId="2A870278" w14:textId="77777777" w:rsidTr="00867511">
        <w:tc>
          <w:tcPr>
            <w:tcW w:w="4681" w:type="dxa"/>
          </w:tcPr>
          <w:p w14:paraId="2F2CE4AE" w14:textId="77777777" w:rsidR="00B363F2" w:rsidRPr="005E0F2A" w:rsidRDefault="00B363F2" w:rsidP="00B363F2">
            <w:pPr>
              <w:ind w:left="144" w:right="720"/>
              <w:jc w:val="both"/>
              <w:rPr>
                <w:sz w:val="22"/>
                <w:lang w:val="en-CA"/>
              </w:rPr>
            </w:pPr>
            <w:r w:rsidRPr="00225DDB">
              <w:rPr>
                <w:b/>
                <w:bCs/>
                <w:sz w:val="22"/>
                <w:lang w:val="en-CA"/>
              </w:rPr>
              <w:t>(ii)</w:t>
            </w:r>
            <w:r w:rsidRPr="00225DDB">
              <w:rPr>
                <w:bCs/>
                <w:sz w:val="22"/>
                <w:lang w:val="en-CA"/>
              </w:rPr>
              <w:t xml:space="preserve"> within seven years after the date on which the bankrupt ceased to be a full- or part-time student;</w:t>
            </w:r>
          </w:p>
          <w:p w14:paraId="756191E9" w14:textId="77777777" w:rsidR="00B363F2" w:rsidRPr="00B363F2" w:rsidRDefault="00B363F2" w:rsidP="00B363F2">
            <w:pPr>
              <w:ind w:left="720" w:right="142"/>
              <w:jc w:val="both"/>
              <w:rPr>
                <w:sz w:val="22"/>
                <w:lang w:val="en-CA"/>
              </w:rPr>
            </w:pPr>
          </w:p>
        </w:tc>
        <w:tc>
          <w:tcPr>
            <w:tcW w:w="4681" w:type="dxa"/>
          </w:tcPr>
          <w:p w14:paraId="16CBB43D" w14:textId="7966BCB0" w:rsidR="00B363F2" w:rsidRPr="00B363F2" w:rsidRDefault="00B363F2" w:rsidP="00B363F2">
            <w:pPr>
              <w:ind w:left="720" w:right="142"/>
              <w:jc w:val="both"/>
              <w:rPr>
                <w:sz w:val="22"/>
                <w:lang w:val="en-CA"/>
              </w:rPr>
            </w:pPr>
          </w:p>
        </w:tc>
      </w:tr>
      <w:tr w:rsidR="00B363F2" w:rsidRPr="00B363F2" w14:paraId="61938A78" w14:textId="77777777" w:rsidTr="00867511">
        <w:tc>
          <w:tcPr>
            <w:tcW w:w="4681" w:type="dxa"/>
          </w:tcPr>
          <w:p w14:paraId="684DC1DF" w14:textId="77777777" w:rsidR="00B363F2" w:rsidRPr="005E0F2A" w:rsidRDefault="00B363F2" w:rsidP="00B363F2">
            <w:pPr>
              <w:ind w:left="144" w:right="720"/>
              <w:jc w:val="both"/>
              <w:rPr>
                <w:sz w:val="22"/>
                <w:lang w:val="en-CA"/>
              </w:rPr>
            </w:pPr>
            <w:r w:rsidRPr="00225DDB">
              <w:rPr>
                <w:b/>
                <w:bCs/>
                <w:sz w:val="22"/>
                <w:lang w:val="en-CA"/>
              </w:rPr>
              <w:t>(g.1)</w:t>
            </w:r>
            <w:r w:rsidRPr="00225DDB">
              <w:rPr>
                <w:bCs/>
                <w:sz w:val="22"/>
                <w:lang w:val="en-CA"/>
              </w:rPr>
              <w:t xml:space="preserve"> any debt or obligation in respect of a loan made under the Apprentice Loans Act where the date of bankruptcy of the bankrupt occurred</w:t>
            </w:r>
          </w:p>
          <w:p w14:paraId="7A35635A" w14:textId="77777777" w:rsidR="00B363F2" w:rsidRPr="00B363F2" w:rsidRDefault="00B363F2" w:rsidP="00B363F2">
            <w:pPr>
              <w:ind w:left="720" w:right="142"/>
              <w:jc w:val="both"/>
              <w:rPr>
                <w:b/>
                <w:bCs/>
                <w:sz w:val="22"/>
                <w:lang w:val="en-CA"/>
              </w:rPr>
            </w:pPr>
          </w:p>
        </w:tc>
        <w:tc>
          <w:tcPr>
            <w:tcW w:w="4681" w:type="dxa"/>
          </w:tcPr>
          <w:p w14:paraId="1876810D" w14:textId="3B27A017" w:rsidR="00B363F2" w:rsidRPr="00501215" w:rsidRDefault="00B363F2" w:rsidP="00B363F2">
            <w:pPr>
              <w:ind w:left="720" w:right="142"/>
              <w:jc w:val="both"/>
              <w:rPr>
                <w:sz w:val="22"/>
              </w:rPr>
            </w:pPr>
            <w:r w:rsidRPr="00501215">
              <w:rPr>
                <w:b/>
                <w:bCs/>
                <w:sz w:val="22"/>
              </w:rPr>
              <w:t>(g.1)</w:t>
            </w:r>
            <w:r w:rsidRPr="00501215">
              <w:rPr>
                <w:bCs/>
                <w:sz w:val="22"/>
              </w:rPr>
              <w:t xml:space="preserve"> de toute dette ou obligation découlant d’un prêt octroyé au titre de la Loi sur les prêts aux apprentis lorsque la faillite est survenue avant la date à laquelle le failli a cessé, au regard de cette loi, d’être un apprenti admissible, au sens de cette loi, ou dans les sept ans suivant cette date;</w:t>
            </w:r>
          </w:p>
          <w:p w14:paraId="15417FD4" w14:textId="77777777" w:rsidR="00B363F2" w:rsidRPr="005E0F2A" w:rsidRDefault="00B363F2" w:rsidP="00B363F2">
            <w:pPr>
              <w:ind w:left="720" w:right="142"/>
              <w:jc w:val="both"/>
              <w:rPr>
                <w:sz w:val="22"/>
              </w:rPr>
            </w:pPr>
          </w:p>
        </w:tc>
      </w:tr>
      <w:tr w:rsidR="00B363F2" w:rsidRPr="00970795" w14:paraId="41EDB5DA" w14:textId="77777777" w:rsidTr="00867511">
        <w:tc>
          <w:tcPr>
            <w:tcW w:w="4681" w:type="dxa"/>
          </w:tcPr>
          <w:p w14:paraId="19809B09" w14:textId="0A137FFA" w:rsidR="00B363F2" w:rsidRPr="00B363F2" w:rsidRDefault="00B363F2" w:rsidP="00CA3226">
            <w:pPr>
              <w:ind w:left="209" w:right="142"/>
              <w:jc w:val="both"/>
              <w:rPr>
                <w:sz w:val="22"/>
                <w:lang w:val="en-CA"/>
              </w:rPr>
            </w:pPr>
            <w:r w:rsidRPr="00225DDB">
              <w:rPr>
                <w:b/>
                <w:bCs/>
                <w:sz w:val="22"/>
                <w:lang w:val="en-CA"/>
              </w:rPr>
              <w:t>(i)</w:t>
            </w:r>
            <w:r w:rsidRPr="00225DDB">
              <w:rPr>
                <w:bCs/>
                <w:sz w:val="22"/>
                <w:lang w:val="en-CA"/>
              </w:rPr>
              <w:t xml:space="preserve"> before the date on which the bankrupt ceased, under that Act, to be an eligible apprentice within the meaning of that Act, or</w:t>
            </w:r>
          </w:p>
        </w:tc>
        <w:tc>
          <w:tcPr>
            <w:tcW w:w="4681" w:type="dxa"/>
          </w:tcPr>
          <w:p w14:paraId="743414BA" w14:textId="6D315B18" w:rsidR="00B363F2" w:rsidRPr="00B363F2" w:rsidRDefault="00B363F2" w:rsidP="00B363F2">
            <w:pPr>
              <w:ind w:left="720" w:right="142"/>
              <w:jc w:val="both"/>
              <w:rPr>
                <w:sz w:val="22"/>
                <w:lang w:val="en-CA"/>
              </w:rPr>
            </w:pPr>
          </w:p>
          <w:p w14:paraId="0D0C1C6F" w14:textId="77777777" w:rsidR="00B363F2" w:rsidRPr="00B363F2" w:rsidRDefault="00B363F2" w:rsidP="00B363F2">
            <w:pPr>
              <w:ind w:left="720" w:right="142"/>
              <w:jc w:val="both"/>
              <w:rPr>
                <w:sz w:val="22"/>
                <w:lang w:val="en-CA"/>
              </w:rPr>
            </w:pPr>
          </w:p>
          <w:p w14:paraId="24AB815A" w14:textId="77777777" w:rsidR="00B363F2" w:rsidRPr="00B363F2" w:rsidRDefault="00B363F2" w:rsidP="00B363F2">
            <w:pPr>
              <w:ind w:left="720" w:right="142"/>
              <w:jc w:val="both"/>
              <w:rPr>
                <w:sz w:val="22"/>
                <w:lang w:val="en-CA"/>
              </w:rPr>
            </w:pPr>
          </w:p>
          <w:p w14:paraId="628E27EB" w14:textId="77777777" w:rsidR="00B363F2" w:rsidRPr="00B363F2" w:rsidRDefault="00B363F2" w:rsidP="00B363F2">
            <w:pPr>
              <w:ind w:left="720" w:right="142"/>
              <w:jc w:val="both"/>
              <w:rPr>
                <w:sz w:val="22"/>
                <w:lang w:val="en-CA"/>
              </w:rPr>
            </w:pPr>
          </w:p>
          <w:p w14:paraId="029E547E" w14:textId="77777777" w:rsidR="00B363F2" w:rsidRPr="00B363F2" w:rsidRDefault="00B363F2" w:rsidP="00B363F2">
            <w:pPr>
              <w:ind w:left="720" w:right="142"/>
              <w:jc w:val="both"/>
              <w:rPr>
                <w:sz w:val="22"/>
                <w:lang w:val="en-CA"/>
              </w:rPr>
            </w:pPr>
          </w:p>
        </w:tc>
      </w:tr>
      <w:tr w:rsidR="00B363F2" w:rsidRPr="00970795" w14:paraId="090829D1" w14:textId="77777777" w:rsidTr="00867511">
        <w:tc>
          <w:tcPr>
            <w:tcW w:w="4681" w:type="dxa"/>
          </w:tcPr>
          <w:p w14:paraId="292145E1" w14:textId="77777777" w:rsidR="00B363F2" w:rsidRPr="005E0F2A" w:rsidRDefault="00B363F2" w:rsidP="00B363F2">
            <w:pPr>
              <w:ind w:left="144" w:right="720"/>
              <w:jc w:val="both"/>
              <w:rPr>
                <w:sz w:val="22"/>
                <w:lang w:val="en-CA"/>
              </w:rPr>
            </w:pPr>
            <w:r w:rsidRPr="00225DDB">
              <w:rPr>
                <w:b/>
                <w:bCs/>
                <w:sz w:val="22"/>
                <w:lang w:val="en-CA"/>
              </w:rPr>
              <w:t>(ii)</w:t>
            </w:r>
            <w:r w:rsidRPr="00225DDB">
              <w:rPr>
                <w:bCs/>
                <w:sz w:val="22"/>
                <w:lang w:val="en-CA"/>
              </w:rPr>
              <w:t xml:space="preserve"> within seven years after the date on which the bankrupt ceased to be an eligible apprentice; or</w:t>
            </w:r>
          </w:p>
          <w:p w14:paraId="25995BD9" w14:textId="77777777" w:rsidR="00B363F2" w:rsidRPr="00B363F2" w:rsidRDefault="00B363F2" w:rsidP="00B363F2">
            <w:pPr>
              <w:ind w:left="720" w:right="142"/>
              <w:jc w:val="both"/>
              <w:rPr>
                <w:sz w:val="22"/>
                <w:lang w:val="en-CA"/>
              </w:rPr>
            </w:pPr>
          </w:p>
        </w:tc>
        <w:tc>
          <w:tcPr>
            <w:tcW w:w="4681" w:type="dxa"/>
          </w:tcPr>
          <w:p w14:paraId="5766315A" w14:textId="75C870B9" w:rsidR="00B363F2" w:rsidRPr="00B363F2" w:rsidRDefault="00B363F2" w:rsidP="00B363F2">
            <w:pPr>
              <w:ind w:left="720" w:right="142"/>
              <w:jc w:val="both"/>
              <w:rPr>
                <w:sz w:val="22"/>
                <w:lang w:val="en-CA"/>
              </w:rPr>
            </w:pPr>
          </w:p>
        </w:tc>
      </w:tr>
      <w:tr w:rsidR="00B363F2" w:rsidRPr="00B363F2" w14:paraId="16B12EF2" w14:textId="77777777" w:rsidTr="00867511">
        <w:tc>
          <w:tcPr>
            <w:tcW w:w="4681" w:type="dxa"/>
          </w:tcPr>
          <w:p w14:paraId="7C829B15" w14:textId="77777777" w:rsidR="00B363F2" w:rsidRPr="005E0F2A" w:rsidRDefault="00B363F2" w:rsidP="00B363F2">
            <w:pPr>
              <w:ind w:left="144" w:right="720"/>
              <w:jc w:val="both"/>
              <w:rPr>
                <w:sz w:val="22"/>
                <w:lang w:val="en-CA"/>
              </w:rPr>
            </w:pPr>
            <w:r w:rsidRPr="005E0F2A">
              <w:rPr>
                <w:b/>
                <w:bCs/>
                <w:sz w:val="22"/>
                <w:lang w:val="en-CA"/>
              </w:rPr>
              <w:t>(h)</w:t>
            </w:r>
            <w:r w:rsidRPr="005E0F2A">
              <w:rPr>
                <w:sz w:val="22"/>
                <w:lang w:val="en-CA"/>
              </w:rPr>
              <w:t xml:space="preserve"> any debt for interest owed in relation to an amount referred to in any of paragraphs (a) to (g.1).</w:t>
            </w:r>
          </w:p>
          <w:p w14:paraId="58AEB6D8" w14:textId="77777777" w:rsidR="00B363F2" w:rsidRPr="00B363F2" w:rsidRDefault="00B363F2" w:rsidP="00B363F2">
            <w:pPr>
              <w:ind w:left="720" w:right="142"/>
              <w:jc w:val="both"/>
              <w:rPr>
                <w:b/>
                <w:bCs/>
                <w:sz w:val="22"/>
                <w:lang w:val="en-CA"/>
              </w:rPr>
            </w:pPr>
          </w:p>
        </w:tc>
        <w:tc>
          <w:tcPr>
            <w:tcW w:w="4681" w:type="dxa"/>
          </w:tcPr>
          <w:p w14:paraId="1938E935" w14:textId="07656A61" w:rsidR="00B363F2" w:rsidRPr="00501215" w:rsidRDefault="00B363F2" w:rsidP="00B363F2">
            <w:pPr>
              <w:ind w:left="720" w:right="142"/>
              <w:jc w:val="both"/>
              <w:rPr>
                <w:sz w:val="22"/>
              </w:rPr>
            </w:pPr>
            <w:r w:rsidRPr="00501215">
              <w:rPr>
                <w:b/>
                <w:bCs/>
                <w:sz w:val="22"/>
              </w:rPr>
              <w:t>h)</w:t>
            </w:r>
            <w:r w:rsidRPr="00501215">
              <w:rPr>
                <w:bCs/>
                <w:sz w:val="22"/>
              </w:rPr>
              <w:t xml:space="preserve"> de toute dette relative aux intérêts dus à l’égard d’une somme visée à l’un des alinéas a) à g.1).</w:t>
            </w:r>
          </w:p>
          <w:p w14:paraId="375750A9" w14:textId="77777777" w:rsidR="00B363F2" w:rsidRPr="005E0F2A" w:rsidRDefault="00B363F2" w:rsidP="00B363F2">
            <w:pPr>
              <w:ind w:left="720" w:right="142"/>
              <w:jc w:val="both"/>
              <w:rPr>
                <w:sz w:val="22"/>
              </w:rPr>
            </w:pPr>
          </w:p>
        </w:tc>
      </w:tr>
      <w:tr w:rsidR="00B363F2" w:rsidRPr="00B363F2" w14:paraId="34445368" w14:textId="77777777" w:rsidTr="00867511">
        <w:tc>
          <w:tcPr>
            <w:tcW w:w="4681" w:type="dxa"/>
          </w:tcPr>
          <w:p w14:paraId="3984665F" w14:textId="77777777" w:rsidR="00B363F2" w:rsidRPr="00501215" w:rsidRDefault="00B363F2" w:rsidP="00B363F2">
            <w:pPr>
              <w:ind w:left="144" w:right="720"/>
              <w:jc w:val="both"/>
              <w:rPr>
                <w:b/>
                <w:bCs/>
                <w:sz w:val="22"/>
                <w:lang w:val="en-CA"/>
              </w:rPr>
            </w:pPr>
            <w:r w:rsidRPr="00501215">
              <w:rPr>
                <w:b/>
                <w:bCs/>
                <w:sz w:val="22"/>
                <w:lang w:val="en-CA"/>
              </w:rPr>
              <w:lastRenderedPageBreak/>
              <w:t>Court may order non-application of subsection (1)</w:t>
            </w:r>
          </w:p>
          <w:p w14:paraId="1C7CF70A" w14:textId="77777777" w:rsidR="00B363F2" w:rsidRPr="00B363F2" w:rsidRDefault="00B363F2" w:rsidP="00B363F2">
            <w:pPr>
              <w:ind w:left="720" w:right="142"/>
              <w:jc w:val="both"/>
              <w:rPr>
                <w:b/>
                <w:bCs/>
                <w:sz w:val="22"/>
                <w:lang w:val="en-CA"/>
              </w:rPr>
            </w:pPr>
          </w:p>
        </w:tc>
        <w:tc>
          <w:tcPr>
            <w:tcW w:w="4681" w:type="dxa"/>
          </w:tcPr>
          <w:p w14:paraId="2662C3F2" w14:textId="41A971BB" w:rsidR="00B363F2" w:rsidRPr="00501215" w:rsidRDefault="00B363F2" w:rsidP="00B363F2">
            <w:pPr>
              <w:ind w:left="720" w:right="142"/>
              <w:jc w:val="both"/>
              <w:rPr>
                <w:b/>
                <w:bCs/>
                <w:sz w:val="22"/>
              </w:rPr>
            </w:pPr>
            <w:r w:rsidRPr="00501215">
              <w:rPr>
                <w:b/>
                <w:bCs/>
                <w:sz w:val="22"/>
              </w:rPr>
              <w:t xml:space="preserve">Ordonnance de non-application du paragraphe </w:t>
            </w:r>
          </w:p>
          <w:p w14:paraId="3603E013" w14:textId="77777777" w:rsidR="00B363F2" w:rsidRPr="005E0F2A" w:rsidRDefault="00B363F2" w:rsidP="00B363F2">
            <w:pPr>
              <w:ind w:left="720" w:right="142"/>
              <w:jc w:val="both"/>
              <w:rPr>
                <w:b/>
                <w:bCs/>
                <w:sz w:val="22"/>
              </w:rPr>
            </w:pPr>
          </w:p>
        </w:tc>
      </w:tr>
      <w:tr w:rsidR="00B363F2" w:rsidRPr="00B363F2" w14:paraId="6EFBC99A" w14:textId="77777777" w:rsidTr="00867511">
        <w:tc>
          <w:tcPr>
            <w:tcW w:w="4681" w:type="dxa"/>
          </w:tcPr>
          <w:p w14:paraId="27581A2A" w14:textId="77777777" w:rsidR="00B363F2" w:rsidRPr="005E0F2A" w:rsidRDefault="00B363F2" w:rsidP="00B363F2">
            <w:pPr>
              <w:ind w:left="144" w:right="720"/>
              <w:jc w:val="both"/>
              <w:rPr>
                <w:sz w:val="22"/>
                <w:lang w:val="en-CA"/>
              </w:rPr>
            </w:pPr>
            <w:r w:rsidRPr="00225DDB">
              <w:rPr>
                <w:b/>
                <w:bCs/>
                <w:sz w:val="22"/>
                <w:lang w:val="en-CA"/>
              </w:rPr>
              <w:t>(1.1)</w:t>
            </w:r>
            <w:r w:rsidRPr="00225DDB">
              <w:rPr>
                <w:bCs/>
                <w:sz w:val="22"/>
                <w:lang w:val="en-CA"/>
              </w:rPr>
              <w:t xml:space="preserve"> At any time after five years after the day on which a bankrupt who has a debt referred to in paragraph (1)(g) or (g.1) ceases to be a full- or part-time student or an eligible apprentice, as the case may be, under the applicable Act or enactment, the court may, on application, order that subsection (1) does not apply to the debt if the court is satisfied that</w:t>
            </w:r>
          </w:p>
          <w:p w14:paraId="78214D5A" w14:textId="77777777" w:rsidR="00B363F2" w:rsidRPr="00B363F2" w:rsidRDefault="00B363F2" w:rsidP="00B363F2">
            <w:pPr>
              <w:ind w:left="720" w:right="142"/>
              <w:jc w:val="both"/>
              <w:rPr>
                <w:b/>
                <w:bCs/>
                <w:sz w:val="22"/>
                <w:lang w:val="en-CA"/>
              </w:rPr>
            </w:pPr>
          </w:p>
        </w:tc>
        <w:tc>
          <w:tcPr>
            <w:tcW w:w="4681" w:type="dxa"/>
          </w:tcPr>
          <w:p w14:paraId="3C40956C" w14:textId="011E07E3" w:rsidR="00B363F2" w:rsidRPr="00501215" w:rsidRDefault="00B363F2" w:rsidP="00B363F2">
            <w:pPr>
              <w:ind w:left="720" w:right="142"/>
              <w:jc w:val="both"/>
              <w:rPr>
                <w:sz w:val="22"/>
              </w:rPr>
            </w:pPr>
            <w:r w:rsidRPr="00501215">
              <w:rPr>
                <w:b/>
                <w:bCs/>
                <w:sz w:val="22"/>
              </w:rPr>
              <w:t>(1.1)</w:t>
            </w:r>
            <w:r w:rsidRPr="00501215">
              <w:rPr>
                <w:bCs/>
                <w:sz w:val="22"/>
              </w:rPr>
              <w:t xml:space="preserve"> Lorsque le failli qui a une dette visée aux alinéas (1)g) ou g.1) n’est plus un étudiant à temps plein ou à temps partiel ou un apprenti admissible, selon le cas, depuis au moins cinq ans au regard de la loi applicable, le tribunal peut, sur demande, ordonner que la dette soit soustraite à l’application du paragraphe (1) s’il est convaincu que le failli a agi de bonne foi relativement à ses obligations découlant de cette dette et qu’il a et continuera à avoir des difficultés financières telles qu’il ne pourra pas acquitter celle-ci.</w:t>
            </w:r>
          </w:p>
          <w:p w14:paraId="14B12581" w14:textId="77777777" w:rsidR="00B363F2" w:rsidRPr="005E0F2A" w:rsidRDefault="00B363F2" w:rsidP="00B363F2">
            <w:pPr>
              <w:ind w:left="720" w:right="142"/>
              <w:jc w:val="both"/>
              <w:rPr>
                <w:sz w:val="22"/>
              </w:rPr>
            </w:pPr>
          </w:p>
        </w:tc>
      </w:tr>
      <w:tr w:rsidR="00B363F2" w:rsidRPr="00970795" w14:paraId="46C51D70" w14:textId="77777777" w:rsidTr="00867511">
        <w:tc>
          <w:tcPr>
            <w:tcW w:w="4681" w:type="dxa"/>
          </w:tcPr>
          <w:p w14:paraId="79F073F4" w14:textId="77777777" w:rsidR="00B363F2" w:rsidRPr="005E0F2A" w:rsidRDefault="00B363F2" w:rsidP="00B363F2">
            <w:pPr>
              <w:ind w:left="144" w:right="720"/>
              <w:jc w:val="both"/>
              <w:rPr>
                <w:sz w:val="22"/>
                <w:lang w:val="en-CA"/>
              </w:rPr>
            </w:pPr>
            <w:r w:rsidRPr="00225DDB">
              <w:rPr>
                <w:b/>
                <w:bCs/>
                <w:sz w:val="22"/>
                <w:lang w:val="en-CA"/>
              </w:rPr>
              <w:t>(a)</w:t>
            </w:r>
            <w:r w:rsidRPr="00225DDB">
              <w:rPr>
                <w:bCs/>
                <w:sz w:val="22"/>
                <w:lang w:val="en-CA"/>
              </w:rPr>
              <w:t xml:space="preserve"> the bankrupt has acted in good faith in connection with the bankrupt’s liabilities under the debt; and</w:t>
            </w:r>
          </w:p>
          <w:p w14:paraId="3D689383" w14:textId="77777777" w:rsidR="00B363F2" w:rsidRPr="00B363F2" w:rsidRDefault="00B363F2" w:rsidP="00B363F2">
            <w:pPr>
              <w:ind w:left="720" w:right="142"/>
              <w:jc w:val="both"/>
              <w:rPr>
                <w:sz w:val="22"/>
                <w:lang w:val="en-CA"/>
              </w:rPr>
            </w:pPr>
          </w:p>
        </w:tc>
        <w:tc>
          <w:tcPr>
            <w:tcW w:w="4681" w:type="dxa"/>
          </w:tcPr>
          <w:p w14:paraId="4C71FBB3" w14:textId="30A17740" w:rsidR="00B363F2" w:rsidRPr="00B363F2" w:rsidRDefault="00B363F2" w:rsidP="00B363F2">
            <w:pPr>
              <w:ind w:left="720" w:right="142"/>
              <w:jc w:val="both"/>
              <w:rPr>
                <w:sz w:val="22"/>
                <w:lang w:val="en-CA"/>
              </w:rPr>
            </w:pPr>
          </w:p>
        </w:tc>
      </w:tr>
      <w:tr w:rsidR="00B363F2" w:rsidRPr="00970795" w14:paraId="3928010E" w14:textId="77777777" w:rsidTr="00867511">
        <w:tc>
          <w:tcPr>
            <w:tcW w:w="4681" w:type="dxa"/>
          </w:tcPr>
          <w:p w14:paraId="189D4869" w14:textId="77777777" w:rsidR="00B363F2" w:rsidRPr="005E0F2A" w:rsidRDefault="00B363F2" w:rsidP="00B363F2">
            <w:pPr>
              <w:ind w:left="144" w:right="720"/>
              <w:jc w:val="both"/>
              <w:rPr>
                <w:sz w:val="22"/>
                <w:lang w:val="en-CA"/>
              </w:rPr>
            </w:pPr>
            <w:r w:rsidRPr="00225DDB">
              <w:rPr>
                <w:b/>
                <w:bCs/>
                <w:sz w:val="22"/>
                <w:lang w:val="en-CA"/>
              </w:rPr>
              <w:t>(b)</w:t>
            </w:r>
            <w:r w:rsidRPr="00225DDB">
              <w:rPr>
                <w:bCs/>
                <w:sz w:val="22"/>
                <w:lang w:val="en-CA"/>
              </w:rPr>
              <w:t xml:space="preserve"> the bankrupt has and will continue to experience financial difficulty to such an extent that the bankrupt will be unable to pay the debt.</w:t>
            </w:r>
          </w:p>
          <w:p w14:paraId="6201F9CB" w14:textId="77777777" w:rsidR="00B363F2" w:rsidRPr="00B363F2" w:rsidRDefault="00B363F2" w:rsidP="00B363F2">
            <w:pPr>
              <w:ind w:left="720" w:right="142"/>
              <w:jc w:val="both"/>
              <w:rPr>
                <w:sz w:val="22"/>
                <w:lang w:val="en-CA"/>
              </w:rPr>
            </w:pPr>
          </w:p>
        </w:tc>
        <w:tc>
          <w:tcPr>
            <w:tcW w:w="4681" w:type="dxa"/>
          </w:tcPr>
          <w:p w14:paraId="1307211D" w14:textId="6FEFEA72" w:rsidR="00B363F2" w:rsidRPr="00B363F2" w:rsidRDefault="00B363F2" w:rsidP="00B363F2">
            <w:pPr>
              <w:ind w:left="720" w:right="142"/>
              <w:jc w:val="both"/>
              <w:rPr>
                <w:sz w:val="22"/>
                <w:lang w:val="en-CA"/>
              </w:rPr>
            </w:pPr>
          </w:p>
        </w:tc>
      </w:tr>
      <w:tr w:rsidR="00B363F2" w14:paraId="32C5466E" w14:textId="77777777" w:rsidTr="00867511">
        <w:tc>
          <w:tcPr>
            <w:tcW w:w="4681" w:type="dxa"/>
          </w:tcPr>
          <w:p w14:paraId="64EFA5DB" w14:textId="77777777" w:rsidR="00B363F2" w:rsidRPr="00501215" w:rsidRDefault="00B363F2" w:rsidP="00B363F2">
            <w:pPr>
              <w:ind w:left="144" w:right="720"/>
              <w:jc w:val="both"/>
              <w:rPr>
                <w:b/>
                <w:sz w:val="22"/>
                <w:lang w:val="en-CA"/>
              </w:rPr>
            </w:pPr>
            <w:r w:rsidRPr="00501215">
              <w:rPr>
                <w:b/>
                <w:sz w:val="22"/>
                <w:lang w:val="en-CA"/>
              </w:rPr>
              <w:t>Claims released</w:t>
            </w:r>
          </w:p>
          <w:p w14:paraId="1854FD51" w14:textId="77777777" w:rsidR="00B363F2" w:rsidRPr="00501215" w:rsidRDefault="00B363F2" w:rsidP="00B363F2">
            <w:pPr>
              <w:ind w:left="720" w:right="142"/>
              <w:jc w:val="both"/>
              <w:rPr>
                <w:b/>
                <w:bCs/>
                <w:sz w:val="22"/>
              </w:rPr>
            </w:pPr>
          </w:p>
        </w:tc>
        <w:tc>
          <w:tcPr>
            <w:tcW w:w="4681" w:type="dxa"/>
          </w:tcPr>
          <w:p w14:paraId="4EBD389F" w14:textId="00D8CD9F" w:rsidR="00B363F2" w:rsidRPr="00501215" w:rsidRDefault="00B363F2" w:rsidP="00B363F2">
            <w:pPr>
              <w:ind w:left="720" w:right="142"/>
              <w:jc w:val="both"/>
              <w:rPr>
                <w:b/>
                <w:bCs/>
                <w:sz w:val="22"/>
              </w:rPr>
            </w:pPr>
            <w:r w:rsidRPr="00501215">
              <w:rPr>
                <w:b/>
                <w:bCs/>
                <w:sz w:val="22"/>
              </w:rPr>
              <w:t>Réclamations libérées</w:t>
            </w:r>
          </w:p>
          <w:p w14:paraId="4C3210FD" w14:textId="77777777" w:rsidR="00B363F2" w:rsidRPr="005E0F2A" w:rsidRDefault="00B363F2" w:rsidP="00B363F2">
            <w:pPr>
              <w:ind w:left="720" w:right="142"/>
              <w:jc w:val="both"/>
              <w:rPr>
                <w:sz w:val="22"/>
              </w:rPr>
            </w:pPr>
          </w:p>
        </w:tc>
      </w:tr>
      <w:tr w:rsidR="00B363F2" w:rsidRPr="00B363F2" w14:paraId="7696CBC2" w14:textId="77777777" w:rsidTr="00867511">
        <w:tc>
          <w:tcPr>
            <w:tcW w:w="4681" w:type="dxa"/>
          </w:tcPr>
          <w:p w14:paraId="4387AF89" w14:textId="58BAA7DC" w:rsidR="00B363F2" w:rsidRPr="00B363F2" w:rsidRDefault="00B363F2" w:rsidP="00CA3226">
            <w:pPr>
              <w:ind w:left="67" w:right="142"/>
              <w:jc w:val="both"/>
              <w:rPr>
                <w:b/>
                <w:bCs/>
                <w:sz w:val="22"/>
                <w:lang w:val="en-CA"/>
              </w:rPr>
            </w:pPr>
            <w:r>
              <w:rPr>
                <w:b/>
                <w:bCs/>
                <w:sz w:val="22"/>
                <w:lang w:val="en-CA"/>
              </w:rPr>
              <w:t>(2)</w:t>
            </w:r>
            <w:r w:rsidRPr="005E0F2A">
              <w:rPr>
                <w:sz w:val="22"/>
                <w:lang w:val="en-CA"/>
              </w:rPr>
              <w:t xml:space="preserve"> </w:t>
            </w:r>
            <w:r w:rsidRPr="00B363F2">
              <w:rPr>
                <w:sz w:val="22"/>
                <w:lang w:val="en-CA"/>
              </w:rPr>
              <w:t>Subject to subsection (1), an order of discharge releases the bankrupt from all claims provable in bankruptcy.</w:t>
            </w:r>
          </w:p>
        </w:tc>
        <w:tc>
          <w:tcPr>
            <w:tcW w:w="4681" w:type="dxa"/>
          </w:tcPr>
          <w:p w14:paraId="552BB783" w14:textId="0F86DAE1" w:rsidR="00B363F2" w:rsidRPr="005E0F2A" w:rsidRDefault="00B363F2" w:rsidP="00B363F2">
            <w:pPr>
              <w:ind w:left="720" w:right="142"/>
              <w:jc w:val="both"/>
              <w:rPr>
                <w:sz w:val="22"/>
              </w:rPr>
            </w:pPr>
            <w:r>
              <w:rPr>
                <w:b/>
                <w:bCs/>
                <w:sz w:val="22"/>
              </w:rPr>
              <w:t>(2)</w:t>
            </w:r>
            <w:r w:rsidRPr="005E0F2A">
              <w:rPr>
                <w:sz w:val="22"/>
              </w:rPr>
              <w:t xml:space="preserve"> </w:t>
            </w:r>
            <w:r w:rsidRPr="00B363F2">
              <w:rPr>
                <w:sz w:val="22"/>
              </w:rPr>
              <w:t>Une ordonnance de libération libère le failli de toutes autres réclamations prouvables en matière de faillite</w:t>
            </w:r>
            <w:r w:rsidRPr="00501215">
              <w:rPr>
                <w:sz w:val="22"/>
              </w:rPr>
              <w:t>.</w:t>
            </w:r>
          </w:p>
        </w:tc>
      </w:tr>
    </w:tbl>
    <w:p w14:paraId="1213D55A" w14:textId="77777777" w:rsidR="00120640" w:rsidRPr="00B363F2" w:rsidRDefault="00120640" w:rsidP="00120640">
      <w:pPr>
        <w:pStyle w:val="Paragraphe"/>
        <w:numPr>
          <w:ilvl w:val="0"/>
          <w:numId w:val="0"/>
        </w:numPr>
      </w:pPr>
    </w:p>
    <w:bookmarkEnd w:id="5"/>
    <w:p w14:paraId="3F14E6CD" w14:textId="77777777" w:rsidR="00740A17" w:rsidRPr="00B363F2" w:rsidRDefault="00740A17" w:rsidP="00CB3EE3"/>
    <w:sectPr w:rsidR="00740A17" w:rsidRPr="00B363F2" w:rsidSect="00120640">
      <w:headerReference w:type="default" r:id="rId11"/>
      <w:pgSz w:w="12242" w:h="15842" w:code="1"/>
      <w:pgMar w:top="1440" w:right="1008" w:bottom="1440" w:left="1872" w:header="1440" w:footer="79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2E3D" w14:textId="77777777" w:rsidR="00B5095F" w:rsidRDefault="00B5095F">
      <w:pPr>
        <w:spacing w:line="240" w:lineRule="auto"/>
      </w:pPr>
      <w:r>
        <w:separator/>
      </w:r>
    </w:p>
  </w:endnote>
  <w:endnote w:type="continuationSeparator" w:id="0">
    <w:p w14:paraId="647EC7E3" w14:textId="77777777" w:rsidR="00B5095F" w:rsidRDefault="00B50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0288" w14:textId="397F398C" w:rsidR="005F36D3" w:rsidRDefault="00D45B90" w:rsidP="0055589F">
    <w:pPr>
      <w:pStyle w:val="Pieddepage"/>
      <w:jc w:val="right"/>
    </w:pPr>
    <w:r w:rsidRPr="00D45B90">
      <w:t>English translation of the judgment of the Court by SOQUIJ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7163" w14:textId="77777777" w:rsidR="00B5095F" w:rsidRDefault="00B5095F">
      <w:r>
        <w:separator/>
      </w:r>
    </w:p>
  </w:footnote>
  <w:footnote w:type="continuationSeparator" w:id="0">
    <w:p w14:paraId="07E0450C" w14:textId="77777777" w:rsidR="00B5095F" w:rsidRDefault="00B5095F">
      <w:r>
        <w:continuationSeparator/>
      </w:r>
    </w:p>
  </w:footnote>
  <w:footnote w:id="1">
    <w:p w14:paraId="68B47A27" w14:textId="17FE6570" w:rsidR="00B35460" w:rsidRPr="00225DDB" w:rsidRDefault="00B35460" w:rsidP="00B35460">
      <w:pPr>
        <w:pStyle w:val="Notedebasdepage"/>
        <w:rPr>
          <w:lang w:val="en-CA"/>
        </w:rPr>
      </w:pPr>
      <w:r>
        <w:rPr>
          <w:rStyle w:val="Appelnotedebasdep"/>
        </w:rPr>
        <w:footnoteRef/>
      </w:r>
      <w:r w:rsidRPr="00225DDB">
        <w:rPr>
          <w:lang w:val="en-CA"/>
        </w:rPr>
        <w:t xml:space="preserve"> </w:t>
      </w:r>
      <w:r w:rsidRPr="00225DDB">
        <w:rPr>
          <w:lang w:val="en-CA"/>
        </w:rPr>
        <w:tab/>
      </w:r>
      <w:r w:rsidR="00225DDB" w:rsidRPr="00501215">
        <w:rPr>
          <w:i/>
          <w:iCs/>
          <w:lang w:val="en-CA"/>
        </w:rPr>
        <w:t>Bankruptcy and Insolvency Act</w:t>
      </w:r>
      <w:r w:rsidR="00225DDB" w:rsidRPr="00501215">
        <w:rPr>
          <w:iCs/>
          <w:lang w:val="en-CA"/>
        </w:rPr>
        <w:t>, R.S.C. (1985) c.</w:t>
      </w:r>
      <w:r w:rsidRPr="00225DDB">
        <w:rPr>
          <w:iCs/>
          <w:lang w:val="en-CA"/>
        </w:rPr>
        <w:t xml:space="preserve"> </w:t>
      </w:r>
      <w:r w:rsidR="00225DDB" w:rsidRPr="00501215">
        <w:rPr>
          <w:iCs/>
          <w:lang w:val="en-CA"/>
        </w:rPr>
        <w:t>B-3.</w:t>
      </w:r>
    </w:p>
  </w:footnote>
  <w:footnote w:id="2">
    <w:p w14:paraId="30594CC6" w14:textId="4110FFE4" w:rsidR="00B35460" w:rsidRPr="00DE10BF" w:rsidRDefault="00B35460" w:rsidP="00B35460">
      <w:pPr>
        <w:pStyle w:val="Notedebasdepage"/>
      </w:pPr>
      <w:r>
        <w:rPr>
          <w:rStyle w:val="Appelnotedebasdep"/>
        </w:rPr>
        <w:footnoteRef/>
      </w:r>
      <w:r w:rsidRPr="00DE10BF">
        <w:t xml:space="preserve"> </w:t>
      </w:r>
      <w:r w:rsidRPr="00DE10BF">
        <w:tab/>
      </w:r>
      <w:r w:rsidR="00225DDB" w:rsidRPr="00DE10BF">
        <w:rPr>
          <w:i/>
        </w:rPr>
        <w:t>Fuoco c.</w:t>
      </w:r>
      <w:r w:rsidR="00225DDB" w:rsidRPr="00DE10BF">
        <w:t xml:space="preserve"> </w:t>
      </w:r>
      <w:r w:rsidR="00225DDB" w:rsidRPr="00DE10BF">
        <w:rPr>
          <w:i/>
        </w:rPr>
        <w:t>Maccomeau</w:t>
      </w:r>
      <w:r w:rsidR="00225DDB" w:rsidRPr="00DE10BF">
        <w:t>, Terrebonne</w:t>
      </w:r>
      <w:r w:rsidR="00A338F7" w:rsidRPr="00DE10BF">
        <w:t xml:space="preserve"> Sup. Ct.</w:t>
      </w:r>
      <w:r w:rsidR="00225DDB" w:rsidRPr="00DE10BF">
        <w:t>, 700-11-013986-130</w:t>
      </w:r>
      <w:r w:rsidR="00A338F7" w:rsidRPr="00DE10BF">
        <w:t>, April 15, 2021</w:t>
      </w:r>
      <w:r w:rsidR="00225DDB" w:rsidRPr="00DE10BF">
        <w:t xml:space="preserve"> (</w:t>
      </w:r>
      <w:r w:rsidR="00A338F7" w:rsidRPr="00DE10BF">
        <w:t>Élise Poisson, J.S.C</w:t>
      </w:r>
      <w:r w:rsidR="00225DDB" w:rsidRPr="00DE10BF">
        <w:t>.).</w:t>
      </w:r>
    </w:p>
  </w:footnote>
  <w:footnote w:id="3">
    <w:p w14:paraId="395A820F" w14:textId="1510ABAC" w:rsidR="00B35460" w:rsidRPr="00DE10BF" w:rsidRDefault="00B35460" w:rsidP="00B35460">
      <w:pPr>
        <w:pStyle w:val="Notedebasdepage"/>
      </w:pPr>
      <w:r>
        <w:rPr>
          <w:rStyle w:val="Appelnotedebasdep"/>
        </w:rPr>
        <w:footnoteRef/>
      </w:r>
      <w:r w:rsidRPr="00DE10BF">
        <w:t xml:space="preserve"> </w:t>
      </w:r>
      <w:r w:rsidRPr="00DE10BF">
        <w:tab/>
      </w:r>
      <w:r w:rsidR="00225DDB" w:rsidRPr="00DE10BF">
        <w:rPr>
          <w:i/>
          <w:iCs/>
        </w:rPr>
        <w:t xml:space="preserve">Axa Assurance inc. </w:t>
      </w:r>
      <w:r w:rsidR="00225DDB" w:rsidRPr="00DE10BF">
        <w:rPr>
          <w:iCs/>
        </w:rPr>
        <w:t>c.</w:t>
      </w:r>
      <w:r w:rsidR="00225DDB" w:rsidRPr="00DE10BF">
        <w:rPr>
          <w:i/>
          <w:iCs/>
        </w:rPr>
        <w:t xml:space="preserve"> Immeuble Saratoga inc.</w:t>
      </w:r>
      <w:r w:rsidR="00225DDB" w:rsidRPr="00DE10BF">
        <w:rPr>
          <w:iCs/>
        </w:rPr>
        <w:t>, 2007 QCCA 1807.</w:t>
      </w:r>
    </w:p>
  </w:footnote>
  <w:footnote w:id="4">
    <w:p w14:paraId="744A03A5" w14:textId="59BBB94D" w:rsidR="00B35460" w:rsidRPr="00225DDB" w:rsidRDefault="00B35460" w:rsidP="00B35460">
      <w:pPr>
        <w:pStyle w:val="Notedebasdepage"/>
        <w:rPr>
          <w:lang w:val="en-CA"/>
        </w:rPr>
      </w:pPr>
      <w:r>
        <w:rPr>
          <w:rStyle w:val="Appelnotedebasdep"/>
        </w:rPr>
        <w:footnoteRef/>
      </w:r>
      <w:r w:rsidRPr="00DE10BF">
        <w:t xml:space="preserve"> </w:t>
      </w:r>
      <w:r w:rsidRPr="00DE10BF">
        <w:tab/>
      </w:r>
      <w:r w:rsidR="00225DDB" w:rsidRPr="00DE10BF">
        <w:rPr>
          <w:i/>
        </w:rPr>
        <w:t>Fuoco c.</w:t>
      </w:r>
      <w:r w:rsidR="00225DDB" w:rsidRPr="00DE10BF">
        <w:t xml:space="preserve"> </w:t>
      </w:r>
      <w:r w:rsidR="00225DDB" w:rsidRPr="00DE10BF">
        <w:rPr>
          <w:i/>
        </w:rPr>
        <w:t>Maccomeau</w:t>
      </w:r>
      <w:r w:rsidR="00225DDB" w:rsidRPr="00DE10BF">
        <w:t>, Terrebonne</w:t>
      </w:r>
      <w:r w:rsidR="00BF4932" w:rsidRPr="00DE10BF">
        <w:t xml:space="preserve"> Sup. Ct.</w:t>
      </w:r>
      <w:r w:rsidR="00225DDB" w:rsidRPr="00DE10BF">
        <w:t>, 700-11-013986-130</w:t>
      </w:r>
      <w:r w:rsidR="00BF4932" w:rsidRPr="00DE10BF">
        <w:t>, April 15, 2021</w:t>
      </w:r>
      <w:r w:rsidR="00225DDB" w:rsidRPr="00DE10BF">
        <w:t xml:space="preserve"> (</w:t>
      </w:r>
      <w:r w:rsidR="00BF4932" w:rsidRPr="00DE10BF">
        <w:t>Élise Poisson, J.S.C.</w:t>
      </w:r>
      <w:r w:rsidR="00225DDB" w:rsidRPr="00225DDB">
        <w:rPr>
          <w:lang w:val="en-CA"/>
        </w:rPr>
        <w:t>) at para.</w:t>
      </w:r>
      <w:r w:rsidRPr="00225DDB">
        <w:rPr>
          <w:lang w:val="en-CA"/>
        </w:rPr>
        <w:t> </w:t>
      </w:r>
      <w:r w:rsidR="00225DDB">
        <w:rPr>
          <w:lang w:val="en-CA"/>
        </w:rPr>
        <w:t>26.</w:t>
      </w:r>
    </w:p>
  </w:footnote>
  <w:footnote w:id="5">
    <w:p w14:paraId="0D4057B1" w14:textId="28164A46" w:rsidR="00B35460" w:rsidRPr="00225DDB" w:rsidRDefault="00B35460" w:rsidP="00B35460">
      <w:pPr>
        <w:pStyle w:val="Notedebasdepage"/>
        <w:rPr>
          <w:lang w:val="en-CA"/>
        </w:rPr>
      </w:pPr>
      <w:r>
        <w:rPr>
          <w:rStyle w:val="Appelnotedebasdep"/>
        </w:rPr>
        <w:footnoteRef/>
      </w:r>
      <w:r w:rsidRPr="00225DDB">
        <w:rPr>
          <w:lang w:val="en-CA"/>
        </w:rPr>
        <w:t xml:space="preserve"> </w:t>
      </w:r>
      <w:r w:rsidRPr="00225DDB">
        <w:rPr>
          <w:lang w:val="en-CA"/>
        </w:rPr>
        <w:tab/>
      </w:r>
      <w:r w:rsidR="00225DDB" w:rsidRPr="00501215">
        <w:rPr>
          <w:i/>
          <w:lang w:val="en-CA"/>
        </w:rPr>
        <w:t>Alberta (Attorney General) v. Moloney</w:t>
      </w:r>
      <w:r w:rsidR="00225DDB" w:rsidRPr="00501215">
        <w:rPr>
          <w:lang w:val="en-CA"/>
        </w:rPr>
        <w:t>, 2015 SCC 51 at para.</w:t>
      </w:r>
      <w:r w:rsidRPr="00225DDB">
        <w:rPr>
          <w:lang w:val="en-CA"/>
        </w:rPr>
        <w:t> </w:t>
      </w:r>
      <w:r w:rsidR="00225DDB" w:rsidRPr="00501215">
        <w:rPr>
          <w:lang w:val="en-CA"/>
        </w:rPr>
        <w:t xml:space="preserve">32; </w:t>
      </w:r>
      <w:r w:rsidR="00225DDB" w:rsidRPr="00501215">
        <w:rPr>
          <w:i/>
          <w:lang w:val="en-CA"/>
        </w:rPr>
        <w:t>Newfoundland and Labrador v. AbitibiBowater Inc</w:t>
      </w:r>
      <w:r w:rsidR="00225DDB" w:rsidRPr="00501215">
        <w:rPr>
          <w:lang w:val="en-CA"/>
        </w:rPr>
        <w:t xml:space="preserve">., 2012 SCC 67 at para. </w:t>
      </w:r>
      <w:r w:rsidRPr="00225DDB">
        <w:rPr>
          <w:lang w:val="en-CA"/>
        </w:rPr>
        <w:t> </w:t>
      </w:r>
      <w:r w:rsidR="00225DDB">
        <w:rPr>
          <w:lang w:val="en-CA"/>
        </w:rPr>
        <w:t>35.</w:t>
      </w:r>
    </w:p>
  </w:footnote>
  <w:footnote w:id="6">
    <w:p w14:paraId="70928AC9" w14:textId="71805892" w:rsidR="00B35460" w:rsidRPr="00225DDB" w:rsidRDefault="00B35460" w:rsidP="00B35460">
      <w:pPr>
        <w:pStyle w:val="Notedebasdepage"/>
        <w:rPr>
          <w:strike/>
          <w:lang w:val="en-CA"/>
        </w:rPr>
      </w:pPr>
      <w:r w:rsidRPr="002C58EE">
        <w:rPr>
          <w:rStyle w:val="Appelnotedebasdep"/>
        </w:rPr>
        <w:footnoteRef/>
      </w:r>
      <w:r w:rsidRPr="00225DDB">
        <w:rPr>
          <w:lang w:val="en-CA"/>
        </w:rPr>
        <w:t xml:space="preserve"> </w:t>
      </w:r>
      <w:r w:rsidRPr="00225DDB">
        <w:rPr>
          <w:lang w:val="en-CA"/>
        </w:rPr>
        <w:tab/>
      </w:r>
      <w:r w:rsidR="00225DDB" w:rsidRPr="00501215">
        <w:rPr>
          <w:i/>
          <w:lang w:val="en-CA"/>
        </w:rPr>
        <w:t>Alberta (Attorney General) v. Moloney</w:t>
      </w:r>
      <w:r w:rsidR="00225DDB" w:rsidRPr="00501215">
        <w:rPr>
          <w:lang w:val="en-CA"/>
        </w:rPr>
        <w:t>, 2015 SCC 51 at para.</w:t>
      </w:r>
      <w:r w:rsidRPr="00225DDB">
        <w:rPr>
          <w:lang w:val="en-CA"/>
        </w:rPr>
        <w:t> </w:t>
      </w:r>
      <w:r w:rsidR="00225DDB" w:rsidRPr="00501215">
        <w:rPr>
          <w:lang w:val="en-CA"/>
        </w:rPr>
        <w:t xml:space="preserve">32; </w:t>
      </w:r>
      <w:r w:rsidR="00225DDB" w:rsidRPr="00501215">
        <w:rPr>
          <w:i/>
          <w:lang w:val="en-CA"/>
        </w:rPr>
        <w:t>Husky Oil Operations Ltd. v. Minister of National Revenue</w:t>
      </w:r>
      <w:r w:rsidR="00225DDB" w:rsidRPr="00501215">
        <w:rPr>
          <w:lang w:val="en-CA"/>
        </w:rPr>
        <w:t>, [1995] 3 S.C.R.</w:t>
      </w:r>
      <w:r w:rsidRPr="00225DDB">
        <w:rPr>
          <w:lang w:val="en-CA"/>
        </w:rPr>
        <w:t xml:space="preserve"> </w:t>
      </w:r>
      <w:r w:rsidR="00225DDB" w:rsidRPr="00501215">
        <w:rPr>
          <w:lang w:val="en-CA"/>
        </w:rPr>
        <w:t>453 at para.</w:t>
      </w:r>
      <w:r w:rsidRPr="00225DDB">
        <w:rPr>
          <w:lang w:val="en-CA"/>
        </w:rPr>
        <w:t> </w:t>
      </w:r>
      <w:r w:rsidR="00225DDB" w:rsidRPr="00225DDB">
        <w:rPr>
          <w:lang w:val="en-CA"/>
        </w:rPr>
        <w:t>7.</w:t>
      </w:r>
      <w:r w:rsidRPr="00225DDB">
        <w:rPr>
          <w:lang w:val="en-CA"/>
        </w:rPr>
        <w:t xml:space="preserve"> </w:t>
      </w:r>
    </w:p>
  </w:footnote>
  <w:footnote w:id="7">
    <w:p w14:paraId="14792FD6" w14:textId="6D32F753" w:rsidR="00B35460" w:rsidRPr="00225DDB" w:rsidRDefault="00B35460" w:rsidP="00B35460">
      <w:pPr>
        <w:pStyle w:val="Notedebasdepage"/>
        <w:rPr>
          <w:lang w:val="en-CA"/>
        </w:rPr>
      </w:pPr>
      <w:r w:rsidRPr="002C58EE">
        <w:rPr>
          <w:rStyle w:val="Appelnotedebasdep"/>
        </w:rPr>
        <w:footnoteRef/>
      </w:r>
      <w:r w:rsidRPr="00225DDB">
        <w:rPr>
          <w:lang w:val="en-CA"/>
        </w:rPr>
        <w:t xml:space="preserve"> </w:t>
      </w:r>
      <w:r w:rsidRPr="00225DDB">
        <w:rPr>
          <w:lang w:val="en-CA"/>
        </w:rPr>
        <w:tab/>
      </w:r>
      <w:r w:rsidR="00225DDB" w:rsidRPr="00501215">
        <w:rPr>
          <w:i/>
          <w:iCs/>
          <w:lang w:val="en-CA"/>
        </w:rPr>
        <w:t>Newfoundland and Labrador v. AbitibiBowater Inc</w:t>
      </w:r>
      <w:r w:rsidR="00225DDB" w:rsidRPr="00501215">
        <w:rPr>
          <w:iCs/>
          <w:lang w:val="en-CA"/>
        </w:rPr>
        <w:t xml:space="preserve">., 2012 SCC 67 at para. </w:t>
      </w:r>
      <w:r w:rsidRPr="00225DDB">
        <w:rPr>
          <w:lang w:val="en-CA"/>
        </w:rPr>
        <w:t> </w:t>
      </w:r>
      <w:r w:rsidR="00225DDB" w:rsidRPr="00225DDB">
        <w:rPr>
          <w:lang w:val="en-CA"/>
        </w:rPr>
        <w:t>35.</w:t>
      </w:r>
    </w:p>
  </w:footnote>
  <w:footnote w:id="8">
    <w:p w14:paraId="19C848F2" w14:textId="4178B9B3" w:rsidR="00CE401F" w:rsidRPr="00225DDB" w:rsidRDefault="00CE401F" w:rsidP="00CE401F">
      <w:pPr>
        <w:pStyle w:val="Notedebasdepage"/>
        <w:rPr>
          <w:lang w:val="en-CA"/>
        </w:rPr>
      </w:pPr>
      <w:r>
        <w:rPr>
          <w:rStyle w:val="Appelnotedebasdep"/>
        </w:rPr>
        <w:footnoteRef/>
      </w:r>
      <w:r w:rsidRPr="00CE401F">
        <w:rPr>
          <w:i/>
          <w:iCs/>
          <w:lang w:val="en-CA"/>
        </w:rPr>
        <w:t xml:space="preserve"> </w:t>
      </w:r>
      <w:r w:rsidRPr="00CE401F">
        <w:rPr>
          <w:i/>
          <w:iCs/>
          <w:lang w:val="en-CA"/>
        </w:rPr>
        <w:tab/>
      </w:r>
      <w:r w:rsidR="00225DDB" w:rsidRPr="00501215">
        <w:rPr>
          <w:i/>
          <w:iCs/>
          <w:lang w:val="en-CA"/>
        </w:rPr>
        <w:t>Schreyer v. Schreyer</w:t>
      </w:r>
      <w:r w:rsidR="00225DDB" w:rsidRPr="00501215">
        <w:rPr>
          <w:iCs/>
          <w:lang w:val="en-CA"/>
        </w:rPr>
        <w:t>, 2011 SCC 35 at para.</w:t>
      </w:r>
      <w:r w:rsidRPr="00CE401F">
        <w:rPr>
          <w:lang w:val="en-CA"/>
        </w:rPr>
        <w:t> </w:t>
      </w:r>
      <w:r w:rsidR="00225DDB">
        <w:rPr>
          <w:lang w:val="en-CA"/>
        </w:rPr>
        <w:t>26.</w:t>
      </w:r>
    </w:p>
  </w:footnote>
  <w:footnote w:id="9">
    <w:p w14:paraId="7147C46C" w14:textId="32DA610C" w:rsidR="000C77F9" w:rsidRPr="002A2C36" w:rsidRDefault="000C77F9" w:rsidP="000C77F9">
      <w:pPr>
        <w:pStyle w:val="Notedebasdepage"/>
      </w:pPr>
      <w:r>
        <w:rPr>
          <w:rStyle w:val="Appelnotedebasdep"/>
        </w:rPr>
        <w:footnoteRef/>
      </w:r>
      <w:r w:rsidRPr="00225DDB">
        <w:rPr>
          <w:lang w:val="en-CA"/>
        </w:rPr>
        <w:t xml:space="preserve"> </w:t>
      </w:r>
      <w:r w:rsidRPr="00225DDB">
        <w:rPr>
          <w:lang w:val="en-CA"/>
        </w:rPr>
        <w:tab/>
      </w:r>
      <w:r w:rsidR="00225DDB" w:rsidRPr="00501215">
        <w:rPr>
          <w:i/>
          <w:iCs/>
          <w:lang w:val="en-CA"/>
        </w:rPr>
        <w:t>Alberta (Attorney General) v. Moloney</w:t>
      </w:r>
      <w:r w:rsidR="00225DDB" w:rsidRPr="00B557F8">
        <w:rPr>
          <w:lang w:val="en-CA"/>
        </w:rPr>
        <w:t>, [2015] 3 S.C.R.</w:t>
      </w:r>
      <w:r w:rsidRPr="00225DDB">
        <w:rPr>
          <w:lang w:val="en-CA"/>
        </w:rPr>
        <w:t xml:space="preserve"> </w:t>
      </w:r>
      <w:r w:rsidR="00225DDB" w:rsidRPr="00501215">
        <w:rPr>
          <w:lang w:val="en-CA"/>
        </w:rPr>
        <w:t>327 at para.</w:t>
      </w:r>
      <w:r w:rsidRPr="00225DDB">
        <w:rPr>
          <w:lang w:val="en-CA"/>
        </w:rPr>
        <w:t> </w:t>
      </w:r>
      <w:r w:rsidR="00225DDB">
        <w:t>79.</w:t>
      </w:r>
    </w:p>
  </w:footnote>
  <w:footnote w:id="10">
    <w:p w14:paraId="5D41755E" w14:textId="31F5EBEB" w:rsidR="000C77F9" w:rsidRPr="008D3048" w:rsidRDefault="000C77F9" w:rsidP="000C77F9">
      <w:pPr>
        <w:pStyle w:val="Notedebasdepage"/>
      </w:pPr>
      <w:r>
        <w:rPr>
          <w:rStyle w:val="Appelnotedebasdep"/>
        </w:rPr>
        <w:footnoteRef/>
      </w:r>
      <w:r>
        <w:t xml:space="preserve"> </w:t>
      </w:r>
      <w:r>
        <w:tab/>
      </w:r>
      <w:r w:rsidR="00225DDB" w:rsidRPr="00501215">
        <w:rPr>
          <w:i/>
        </w:rPr>
        <w:t>Ibid</w:t>
      </w:r>
      <w:r w:rsidR="00225DDB" w:rsidRPr="00501215">
        <w:t>.</w:t>
      </w:r>
    </w:p>
  </w:footnote>
  <w:footnote w:id="11">
    <w:p w14:paraId="686067B6" w14:textId="3802A18F" w:rsidR="00AC1AF7" w:rsidRDefault="00AC1AF7" w:rsidP="00AC1AF7">
      <w:pPr>
        <w:pStyle w:val="Notedebasdepage"/>
      </w:pPr>
      <w:r>
        <w:rPr>
          <w:rStyle w:val="Appelnotedebasdep"/>
        </w:rPr>
        <w:footnoteRef/>
      </w:r>
      <w:r>
        <w:t xml:space="preserve"> </w:t>
      </w:r>
      <w:r>
        <w:tab/>
      </w:r>
      <w:r w:rsidR="00225DDB" w:rsidRPr="00501215">
        <w:rPr>
          <w:i/>
        </w:rPr>
        <w:t>AXA Assurances inc. c. Immeubles Saratoga inc</w:t>
      </w:r>
      <w:r w:rsidR="00225DDB" w:rsidRPr="00501215">
        <w:t>., 2007 QCCA 1807 at para.</w:t>
      </w:r>
      <w:r w:rsidRPr="00E1409B">
        <w:t> </w:t>
      </w:r>
      <w:r w:rsidR="00225DDB">
        <w:t>27.</w:t>
      </w:r>
    </w:p>
  </w:footnote>
  <w:footnote w:id="12">
    <w:p w14:paraId="7ABA14CB" w14:textId="5032EE08" w:rsidR="00AC1AF7" w:rsidRPr="00225DDB" w:rsidRDefault="00AC1AF7" w:rsidP="00AC1AF7">
      <w:pPr>
        <w:pStyle w:val="Notedebasdepage"/>
        <w:rPr>
          <w:lang w:val="en-CA"/>
        </w:rPr>
      </w:pPr>
      <w:r>
        <w:rPr>
          <w:rStyle w:val="Appelnotedebasdep"/>
        </w:rPr>
        <w:footnoteRef/>
      </w:r>
      <w:r>
        <w:t xml:space="preserve"> </w:t>
      </w:r>
      <w:r>
        <w:tab/>
      </w:r>
      <w:r w:rsidR="00225DDB" w:rsidRPr="00501215">
        <w:rPr>
          <w:i/>
        </w:rPr>
        <w:t>AXA Assurances inc. c. Immeubles Saratoga inc</w:t>
      </w:r>
      <w:r w:rsidR="00225DDB" w:rsidRPr="00501215">
        <w:t>., 2007 QCCA 1807 at para.</w:t>
      </w:r>
      <w:r>
        <w:t> </w:t>
      </w:r>
      <w:r w:rsidR="00225DDB" w:rsidRPr="00225DDB">
        <w:rPr>
          <w:lang w:val="en-CA"/>
        </w:rPr>
        <w:t>18.</w:t>
      </w:r>
    </w:p>
  </w:footnote>
  <w:footnote w:id="13">
    <w:p w14:paraId="127B0EFC" w14:textId="5D3AC0A8" w:rsidR="00AC1AF7" w:rsidRPr="00225DDB" w:rsidRDefault="00AC1AF7" w:rsidP="00AC1AF7">
      <w:pPr>
        <w:pStyle w:val="Notedebasdepage"/>
        <w:rPr>
          <w:lang w:val="en-CA"/>
        </w:rPr>
      </w:pPr>
      <w:r>
        <w:rPr>
          <w:rStyle w:val="Appelnotedebasdep"/>
        </w:rPr>
        <w:footnoteRef/>
      </w:r>
      <w:r w:rsidRPr="00225DDB">
        <w:rPr>
          <w:lang w:val="en-CA"/>
        </w:rPr>
        <w:t xml:space="preserve"> </w:t>
      </w:r>
      <w:r w:rsidRPr="00225DDB">
        <w:rPr>
          <w:lang w:val="en-CA"/>
        </w:rPr>
        <w:tab/>
      </w:r>
      <w:r w:rsidR="00225DDB" w:rsidRPr="00501215">
        <w:rPr>
          <w:i/>
          <w:iCs/>
          <w:lang w:val="en-CA"/>
        </w:rPr>
        <w:t>Ibid</w:t>
      </w:r>
      <w:r w:rsidR="00225DDB" w:rsidRPr="00501215">
        <w:rPr>
          <w:iCs/>
          <w:lang w:val="en-CA"/>
        </w:rPr>
        <w:t>.</w:t>
      </w:r>
      <w:r w:rsidRPr="00225DDB">
        <w:rPr>
          <w:i/>
          <w:iCs/>
          <w:lang w:val="en-CA"/>
        </w:rPr>
        <w:t xml:space="preserve"> </w:t>
      </w:r>
    </w:p>
  </w:footnote>
  <w:footnote w:id="14">
    <w:p w14:paraId="615A4608" w14:textId="4F24E6DD" w:rsidR="00AC1AF7" w:rsidRPr="00225DDB" w:rsidRDefault="00AC1AF7" w:rsidP="00AC1AF7">
      <w:pPr>
        <w:pStyle w:val="Notedebasdepage"/>
        <w:rPr>
          <w:lang w:val="en-CA"/>
        </w:rPr>
      </w:pPr>
      <w:r>
        <w:rPr>
          <w:rStyle w:val="Appelnotedebasdep"/>
        </w:rPr>
        <w:footnoteRef/>
      </w:r>
      <w:r w:rsidRPr="00225DDB">
        <w:rPr>
          <w:lang w:val="en-CA"/>
        </w:rPr>
        <w:t xml:space="preserve"> </w:t>
      </w:r>
      <w:r w:rsidRPr="00225DDB">
        <w:rPr>
          <w:lang w:val="en-CA"/>
        </w:rPr>
        <w:tab/>
      </w:r>
      <w:r w:rsidR="00225DDB" w:rsidRPr="00501215">
        <w:rPr>
          <w:i/>
          <w:iCs/>
          <w:lang w:val="en-CA"/>
        </w:rPr>
        <w:t>Newfoundland and Labrador v. AbitibiBowater Inc</w:t>
      </w:r>
      <w:r w:rsidR="00225DDB" w:rsidRPr="00501215">
        <w:rPr>
          <w:iCs/>
          <w:lang w:val="en-CA"/>
        </w:rPr>
        <w:t>., 2012 SCC 67.</w:t>
      </w:r>
    </w:p>
  </w:footnote>
  <w:footnote w:id="15">
    <w:p w14:paraId="4FE78F8E" w14:textId="11C09C30" w:rsidR="00AC1AF7" w:rsidRPr="00566EA6" w:rsidRDefault="00AC1AF7" w:rsidP="00AC1AF7">
      <w:pPr>
        <w:pStyle w:val="Notedebasdepage"/>
      </w:pPr>
      <w:r>
        <w:rPr>
          <w:rStyle w:val="Appelnotedebasdep"/>
        </w:rPr>
        <w:footnoteRef/>
      </w:r>
      <w:r w:rsidRPr="00225DDB">
        <w:rPr>
          <w:lang w:val="en-CA"/>
        </w:rPr>
        <w:t xml:space="preserve"> </w:t>
      </w:r>
      <w:r w:rsidRPr="00225DDB">
        <w:rPr>
          <w:lang w:val="en-CA"/>
        </w:rPr>
        <w:tab/>
      </w:r>
      <w:r w:rsidR="00225DDB" w:rsidRPr="00501215">
        <w:rPr>
          <w:i/>
          <w:iCs/>
          <w:lang w:val="en-CA"/>
        </w:rPr>
        <w:t>Id.</w:t>
      </w:r>
      <w:r w:rsidR="00225DDB" w:rsidRPr="00501215">
        <w:rPr>
          <w:iCs/>
          <w:lang w:val="en-CA"/>
        </w:rPr>
        <w:t xml:space="preserve"> at para.</w:t>
      </w:r>
      <w:r w:rsidRPr="00225DDB">
        <w:rPr>
          <w:lang w:val="en-CA"/>
        </w:rPr>
        <w:t> </w:t>
      </w:r>
      <w:r w:rsidR="00225DDB" w:rsidRPr="00566EA6">
        <w:t>26.</w:t>
      </w:r>
    </w:p>
  </w:footnote>
  <w:footnote w:id="16">
    <w:p w14:paraId="568BCEC8" w14:textId="0DA3F0E0" w:rsidR="00AC1AF7" w:rsidRPr="007205D0" w:rsidRDefault="00AC1AF7" w:rsidP="00AC1AF7">
      <w:pPr>
        <w:pStyle w:val="Notedebasdepage"/>
        <w:rPr>
          <w:strike/>
        </w:rPr>
      </w:pPr>
      <w:r>
        <w:rPr>
          <w:rStyle w:val="Appelnotedebasdep"/>
        </w:rPr>
        <w:footnoteRef/>
      </w:r>
      <w:r>
        <w:t xml:space="preserve"> </w:t>
      </w:r>
      <w:r>
        <w:tab/>
      </w:r>
      <w:r w:rsidR="00225DDB" w:rsidRPr="00501215">
        <w:rPr>
          <w:i/>
          <w:iCs/>
        </w:rPr>
        <w:t>Ibid</w:t>
      </w:r>
      <w:r w:rsidR="00225DDB" w:rsidRPr="00501215">
        <w:rPr>
          <w:iCs/>
        </w:rPr>
        <w:t>.</w:t>
      </w:r>
    </w:p>
  </w:footnote>
  <w:footnote w:id="17">
    <w:p w14:paraId="2034365A" w14:textId="2C482253" w:rsidR="00AC1AF7" w:rsidRDefault="00AC1AF7" w:rsidP="00AC1AF7">
      <w:pPr>
        <w:pStyle w:val="Notedebasdepage"/>
      </w:pPr>
      <w:r>
        <w:rPr>
          <w:rStyle w:val="Appelnotedebasdep"/>
        </w:rPr>
        <w:footnoteRef/>
      </w:r>
      <w:r>
        <w:t xml:space="preserve"> </w:t>
      </w:r>
      <w:r>
        <w:tab/>
      </w:r>
      <w:r w:rsidR="00225DDB" w:rsidRPr="00501215">
        <w:rPr>
          <w:i/>
        </w:rPr>
        <w:t>AXA Assurances inc. c. Immeubles Saratoga inc</w:t>
      </w:r>
      <w:r w:rsidR="00225DDB" w:rsidRPr="00501215">
        <w:t>., 2007 QCCA 1807 at para.</w:t>
      </w:r>
      <w:r>
        <w:t> </w:t>
      </w:r>
      <w:r w:rsidR="00225DDB">
        <w:t>18.</w:t>
      </w:r>
    </w:p>
  </w:footnote>
  <w:footnote w:id="18">
    <w:p w14:paraId="7E308392" w14:textId="4C2D1B39" w:rsidR="00AC1AF7" w:rsidRPr="003D2A29" w:rsidRDefault="00AC1AF7" w:rsidP="00AC1AF7">
      <w:pPr>
        <w:pStyle w:val="Notedebasdepage"/>
      </w:pPr>
      <w:r>
        <w:rPr>
          <w:rStyle w:val="Appelnotedebasdep"/>
        </w:rPr>
        <w:footnoteRef/>
      </w:r>
      <w:r w:rsidRPr="003D2A29">
        <w:t xml:space="preserve"> </w:t>
      </w:r>
      <w:r w:rsidRPr="003D2A29">
        <w:tab/>
      </w:r>
      <w:r w:rsidR="00225DDB" w:rsidRPr="00501215">
        <w:rPr>
          <w:i/>
          <w:iCs/>
        </w:rPr>
        <w:t>Claude Resources Inc.</w:t>
      </w:r>
      <w:r w:rsidRPr="003D2A29">
        <w:rPr>
          <w:i/>
          <w:iCs/>
        </w:rPr>
        <w:t xml:space="preserve"> </w:t>
      </w:r>
      <w:r w:rsidR="00225DDB" w:rsidRPr="00225DDB">
        <w:rPr>
          <w:i/>
          <w:iCs/>
        </w:rPr>
        <w:t>(Bankrupt), Re</w:t>
      </w:r>
      <w:r w:rsidR="00225DDB" w:rsidRPr="00225DDB">
        <w:rPr>
          <w:iCs/>
        </w:rPr>
        <w:t>, [1993] CarswellSask 26 (QB).</w:t>
      </w:r>
    </w:p>
  </w:footnote>
  <w:footnote w:id="19">
    <w:p w14:paraId="56C4C148" w14:textId="28E6430E" w:rsidR="0072369C" w:rsidRDefault="0072369C" w:rsidP="0072369C">
      <w:pPr>
        <w:pStyle w:val="Notedebasdepage"/>
      </w:pPr>
      <w:r>
        <w:rPr>
          <w:rStyle w:val="Appelnotedebasdep"/>
        </w:rPr>
        <w:footnoteRef/>
      </w:r>
      <w:r>
        <w:t xml:space="preserve"> </w:t>
      </w:r>
      <w:r>
        <w:tab/>
      </w:r>
      <w:r w:rsidR="00225DDB" w:rsidRPr="00501215">
        <w:rPr>
          <w:i/>
        </w:rPr>
        <w:t>AXA Assurances inc. c. Immeubles Saratoga inc</w:t>
      </w:r>
      <w:r w:rsidR="00225DDB" w:rsidRPr="00501215">
        <w:t xml:space="preserve">., 2007 QCCA 1807. </w:t>
      </w:r>
      <w:r>
        <w:t xml:space="preserve"> </w:t>
      </w:r>
    </w:p>
  </w:footnote>
  <w:footnote w:id="20">
    <w:p w14:paraId="23EAB858" w14:textId="25348F6B" w:rsidR="0072369C" w:rsidRPr="00EF2747" w:rsidRDefault="0072369C" w:rsidP="0072369C">
      <w:pPr>
        <w:pStyle w:val="Notedebasdepage"/>
        <w:rPr>
          <w:lang w:val="en-CA"/>
        </w:rPr>
      </w:pPr>
      <w:r>
        <w:rPr>
          <w:rStyle w:val="Appelnotedebasdep"/>
        </w:rPr>
        <w:footnoteRef/>
      </w:r>
      <w:r w:rsidRPr="00566EA6">
        <w:t xml:space="preserve"> </w:t>
      </w:r>
      <w:r w:rsidRPr="00566EA6">
        <w:tab/>
      </w:r>
      <w:r w:rsidR="00225DDB" w:rsidRPr="00566EA6">
        <w:t xml:space="preserve">See also </w:t>
      </w:r>
      <w:r w:rsidR="00225DDB" w:rsidRPr="00566EA6">
        <w:rPr>
          <w:i/>
        </w:rPr>
        <w:t xml:space="preserve">Lotfi c. Québec (Procureur général), </w:t>
      </w:r>
      <w:r w:rsidR="00225DDB" w:rsidRPr="00566EA6">
        <w:t xml:space="preserve">[2003] RJQ 141 (Sup. </w:t>
      </w:r>
      <w:r w:rsidR="00225DDB" w:rsidRPr="00501215">
        <w:rPr>
          <w:lang w:val="en-CA"/>
        </w:rPr>
        <w:t>Ct</w:t>
      </w:r>
      <w:r w:rsidR="00A60155">
        <w:rPr>
          <w:lang w:val="en-CA"/>
        </w:rPr>
        <w:t>.</w:t>
      </w:r>
      <w:r w:rsidR="00225DDB" w:rsidRPr="00501215">
        <w:rPr>
          <w:lang w:val="en-CA"/>
        </w:rPr>
        <w:t>) at para.</w:t>
      </w:r>
      <w:r w:rsidRPr="00225DDB">
        <w:rPr>
          <w:iCs/>
          <w:lang w:val="en-CA"/>
        </w:rPr>
        <w:t> </w:t>
      </w:r>
      <w:r w:rsidR="00225DDB" w:rsidRPr="00225DDB">
        <w:rPr>
          <w:iCs/>
          <w:lang w:val="en-CA"/>
        </w:rPr>
        <w:t xml:space="preserve">111, aff'd in </w:t>
      </w:r>
      <w:r w:rsidR="00225DDB" w:rsidRPr="00225DDB">
        <w:rPr>
          <w:i/>
          <w:iCs/>
          <w:lang w:val="en-CA"/>
        </w:rPr>
        <w:t>Lofti c. Québec (Procureur général)</w:t>
      </w:r>
      <w:r w:rsidR="00225DDB" w:rsidRPr="00225DDB">
        <w:rPr>
          <w:iCs/>
          <w:lang w:val="en-CA"/>
        </w:rPr>
        <w:t xml:space="preserve">, 2005 QCCA 980 without addressing that aspect; </w:t>
      </w:r>
      <w:r w:rsidR="00225DDB" w:rsidRPr="00225DDB">
        <w:rPr>
          <w:i/>
          <w:iCs/>
          <w:lang w:val="en-CA"/>
        </w:rPr>
        <w:t>Wiebe</w:t>
      </w:r>
      <w:r w:rsidR="00D10B09">
        <w:rPr>
          <w:i/>
          <w:iCs/>
          <w:lang w:val="en-CA"/>
        </w:rPr>
        <w:t>,</w:t>
      </w:r>
      <w:r w:rsidR="00225DDB" w:rsidRPr="00225DDB">
        <w:rPr>
          <w:iCs/>
          <w:lang w:val="en-CA"/>
        </w:rPr>
        <w:t> </w:t>
      </w:r>
      <w:r w:rsidR="00D10B09" w:rsidRPr="00225DDB">
        <w:rPr>
          <w:i/>
          <w:iCs/>
          <w:lang w:val="en-CA"/>
        </w:rPr>
        <w:t>Re</w:t>
      </w:r>
      <w:r w:rsidR="00D10B09">
        <w:rPr>
          <w:lang w:val="en-CA"/>
        </w:rPr>
        <w:t>,</w:t>
      </w:r>
      <w:r w:rsidR="00D10B09" w:rsidRPr="00225DDB">
        <w:rPr>
          <w:i/>
          <w:iCs/>
          <w:lang w:val="en-CA"/>
        </w:rPr>
        <w:t xml:space="preserve"> </w:t>
      </w:r>
      <w:r w:rsidR="00225DDB" w:rsidRPr="00225DDB">
        <w:rPr>
          <w:iCs/>
          <w:lang w:val="en-CA"/>
        </w:rPr>
        <w:t>1995 CanLII 7367 (ON SC) at para.</w:t>
      </w:r>
      <w:r w:rsidRPr="00225DDB">
        <w:rPr>
          <w:iCs/>
          <w:lang w:val="en-CA"/>
        </w:rPr>
        <w:t> </w:t>
      </w:r>
      <w:r w:rsidR="00225DDB" w:rsidRPr="00225DDB">
        <w:rPr>
          <w:iCs/>
          <w:lang w:val="en-CA"/>
        </w:rPr>
        <w:t xml:space="preserve">7; </w:t>
      </w:r>
      <w:r w:rsidR="00225DDB" w:rsidRPr="00225DDB">
        <w:rPr>
          <w:i/>
          <w:iCs/>
          <w:lang w:val="en-CA"/>
        </w:rPr>
        <w:t>E.R.I. Engine Rebuilders Inc. v. MacEachern</w:t>
      </w:r>
      <w:r w:rsidR="00225DDB" w:rsidRPr="00225DDB">
        <w:rPr>
          <w:iCs/>
          <w:lang w:val="en-CA"/>
        </w:rPr>
        <w:t>, 2011 PECA 2 (P.E.I.</w:t>
      </w:r>
      <w:r w:rsidRPr="00EF2747">
        <w:rPr>
          <w:shd w:val="clear" w:color="auto" w:fill="FFFFFF"/>
          <w:lang w:val="en-CA"/>
        </w:rPr>
        <w:t xml:space="preserve"> </w:t>
      </w:r>
      <w:r w:rsidR="00225DDB" w:rsidRPr="00501215">
        <w:rPr>
          <w:shd w:val="clear" w:color="auto" w:fill="FFFFFF"/>
          <w:lang w:val="en-CA"/>
        </w:rPr>
        <w:t>C.A.).</w:t>
      </w:r>
      <w:r w:rsidRPr="00EF2747">
        <w:rPr>
          <w:lang w:val="en-CA"/>
        </w:rPr>
        <w:t xml:space="preserve"> </w:t>
      </w:r>
    </w:p>
  </w:footnote>
  <w:footnote w:id="21">
    <w:p w14:paraId="6DCC7BA9" w14:textId="0696CD3D" w:rsidR="0072369C" w:rsidRPr="00EF2747" w:rsidRDefault="0072369C" w:rsidP="0072369C">
      <w:pPr>
        <w:pStyle w:val="Notedebasdepage"/>
        <w:rPr>
          <w:lang w:val="en-CA"/>
        </w:rPr>
      </w:pPr>
      <w:r>
        <w:rPr>
          <w:rStyle w:val="Appelnotedebasdep"/>
        </w:rPr>
        <w:footnoteRef/>
      </w:r>
      <w:r w:rsidRPr="003D24F9">
        <w:rPr>
          <w:lang w:val="en-CA"/>
        </w:rPr>
        <w:t xml:space="preserve"> </w:t>
      </w:r>
      <w:r w:rsidRPr="003D24F9">
        <w:rPr>
          <w:lang w:val="en-CA"/>
        </w:rPr>
        <w:tab/>
      </w:r>
      <w:r w:rsidR="00225DDB" w:rsidRPr="00225DDB">
        <w:rPr>
          <w:i/>
          <w:iCs/>
          <w:lang w:val="en-CA"/>
        </w:rPr>
        <w:t>Confederation Treasury Services Ltd.</w:t>
      </w:r>
      <w:r w:rsidRPr="00EF2747">
        <w:rPr>
          <w:i/>
          <w:iCs/>
          <w:lang w:val="en-CA"/>
        </w:rPr>
        <w:t xml:space="preserve"> </w:t>
      </w:r>
      <w:r w:rsidR="00225DDB" w:rsidRPr="00225DDB">
        <w:rPr>
          <w:i/>
          <w:iCs/>
          <w:lang w:val="en-CA"/>
        </w:rPr>
        <w:t>(Bankrupt), Re (1997)</w:t>
      </w:r>
      <w:r w:rsidR="00225DDB" w:rsidRPr="00225DDB">
        <w:rPr>
          <w:iCs/>
          <w:lang w:val="en-CA"/>
        </w:rPr>
        <w:t xml:space="preserve">, 1997 CanLII 3544 (ON CA); </w:t>
      </w:r>
      <w:r w:rsidR="00225DDB" w:rsidRPr="00CA3226">
        <w:rPr>
          <w:lang w:val="en-CA"/>
        </w:rPr>
        <w:t xml:space="preserve">SemCanada </w:t>
      </w:r>
      <w:r w:rsidR="00225DDB" w:rsidRPr="00225DDB">
        <w:rPr>
          <w:i/>
          <w:iCs/>
          <w:lang w:val="en-CA"/>
        </w:rPr>
        <w:t>Crude Co., Re</w:t>
      </w:r>
      <w:r w:rsidR="00225DDB" w:rsidRPr="00225DDB">
        <w:rPr>
          <w:iCs/>
          <w:lang w:val="en-CA"/>
        </w:rPr>
        <w:t>, 2012 ABQB 495 (Alta.</w:t>
      </w:r>
      <w:r>
        <w:rPr>
          <w:lang w:val="en-CA"/>
        </w:rPr>
        <w:t xml:space="preserve"> </w:t>
      </w:r>
      <w:r w:rsidR="00225DDB">
        <w:rPr>
          <w:lang w:val="en-CA"/>
        </w:rPr>
        <w:t xml:space="preserve">Q.B.); appeal refused </w:t>
      </w:r>
      <w:r w:rsidR="00931A3D" w:rsidRPr="00CA3226">
        <w:rPr>
          <w:i/>
          <w:iCs/>
          <w:lang w:val="en-CA"/>
        </w:rPr>
        <w:t>RMP Energy Inc. v. SemCAMS ULC</w:t>
      </w:r>
      <w:r w:rsidR="00931A3D" w:rsidRPr="00931A3D">
        <w:rPr>
          <w:lang w:val="en-CA"/>
        </w:rPr>
        <w:t xml:space="preserve">, </w:t>
      </w:r>
      <w:r w:rsidR="00225DDB">
        <w:rPr>
          <w:lang w:val="en-CA"/>
        </w:rPr>
        <w:t>2012 ABCA 312</w:t>
      </w:r>
      <w:r w:rsidR="00225DDB" w:rsidRPr="00225DDB">
        <w:rPr>
          <w:lang w:val="en-CA"/>
        </w:rPr>
        <w:t xml:space="preserve">; additional reasons 2013 CarswellAlta 240; </w:t>
      </w:r>
      <w:r w:rsidR="00225DDB" w:rsidRPr="00225DDB">
        <w:rPr>
          <w:i/>
          <w:lang w:val="en-CA"/>
        </w:rPr>
        <w:t>Experienced Equipment Sales &amp; Rentals Inc.</w:t>
      </w:r>
      <w:r w:rsidRPr="00EF2747">
        <w:rPr>
          <w:i/>
          <w:iCs/>
          <w:lang w:val="en-CA"/>
        </w:rPr>
        <w:t xml:space="preserve"> </w:t>
      </w:r>
      <w:r w:rsidR="00225DDB" w:rsidRPr="00501215">
        <w:rPr>
          <w:i/>
          <w:iCs/>
          <w:lang w:val="en-CA"/>
        </w:rPr>
        <w:t>(Re)</w:t>
      </w:r>
      <w:r w:rsidR="00225DDB" w:rsidRPr="00501215">
        <w:rPr>
          <w:iCs/>
          <w:lang w:val="en-CA"/>
        </w:rPr>
        <w:t>, 2011 ABQB 641 at para.</w:t>
      </w:r>
      <w:r>
        <w:rPr>
          <w:lang w:val="en-CA"/>
        </w:rPr>
        <w:t> </w:t>
      </w:r>
      <w:r w:rsidR="00225DDB">
        <w:rPr>
          <w:lang w:val="en-CA"/>
        </w:rPr>
        <w:t>25.</w:t>
      </w:r>
    </w:p>
  </w:footnote>
  <w:footnote w:id="22">
    <w:p w14:paraId="1A0860E2" w14:textId="48529C31" w:rsidR="0072369C" w:rsidRPr="00C3377B" w:rsidRDefault="0072369C" w:rsidP="0072369C">
      <w:pPr>
        <w:pStyle w:val="Notedebasdepage"/>
        <w:rPr>
          <w:lang w:val="en-CA"/>
        </w:rPr>
      </w:pPr>
      <w:r>
        <w:rPr>
          <w:rStyle w:val="Appelnotedebasdep"/>
        </w:rPr>
        <w:footnoteRef/>
      </w:r>
      <w:r w:rsidRPr="008F4245">
        <w:rPr>
          <w:lang w:val="en-CA"/>
        </w:rPr>
        <w:t xml:space="preserve"> </w:t>
      </w:r>
      <w:r w:rsidRPr="008F4245">
        <w:rPr>
          <w:lang w:val="en-CA"/>
        </w:rPr>
        <w:tab/>
      </w:r>
      <w:r w:rsidR="00225DDB" w:rsidRPr="00225DDB">
        <w:rPr>
          <w:lang w:val="en-CA"/>
        </w:rPr>
        <w:t xml:space="preserve">See, </w:t>
      </w:r>
      <w:r w:rsidR="00225DDB" w:rsidRPr="00225DDB">
        <w:rPr>
          <w:i/>
          <w:lang w:val="en-CA"/>
        </w:rPr>
        <w:t>inter alia</w:t>
      </w:r>
      <w:r w:rsidR="00225DDB" w:rsidRPr="00225DDB">
        <w:rPr>
          <w:lang w:val="en-CA"/>
        </w:rPr>
        <w:t xml:space="preserve">, Scott Bomhof, “Case Comment: </w:t>
      </w:r>
      <w:r w:rsidR="00225DDB" w:rsidRPr="00225DDB">
        <w:rPr>
          <w:i/>
          <w:lang w:val="en-CA"/>
        </w:rPr>
        <w:t>Ontario New Home Warranty Program v. Jiordan Homes Ltd.”</w:t>
      </w:r>
      <w:r w:rsidR="00225DDB" w:rsidRPr="00225DDB">
        <w:rPr>
          <w:lang w:val="en-CA"/>
        </w:rPr>
        <w:t xml:space="preserve"> (1999), 10 C.B.R. </w:t>
      </w:r>
      <w:r w:rsidRPr="00C3377B">
        <w:rPr>
          <w:lang w:val="en-CA"/>
        </w:rPr>
        <w:t xml:space="preserve"> </w:t>
      </w:r>
      <w:r w:rsidR="00225DDB" w:rsidRPr="00225DDB">
        <w:rPr>
          <w:lang w:val="en-CA"/>
        </w:rPr>
        <w:t>(4</w:t>
      </w:r>
      <w:r w:rsidR="00AC7311">
        <w:rPr>
          <w:lang w:val="en-CA"/>
        </w:rPr>
        <w:t>th</w:t>
      </w:r>
      <w:r w:rsidR="00225DDB" w:rsidRPr="00225DDB">
        <w:rPr>
          <w:lang w:val="en-CA"/>
        </w:rPr>
        <w:t xml:space="preserve">) 5; Roderick J. Wood </w:t>
      </w:r>
      <w:r w:rsidR="00AC7311">
        <w:rPr>
          <w:lang w:val="en-CA"/>
        </w:rPr>
        <w:t>and</w:t>
      </w:r>
      <w:r w:rsidR="00AC7311" w:rsidRPr="00225DDB">
        <w:rPr>
          <w:lang w:val="en-CA"/>
        </w:rPr>
        <w:t xml:space="preserve"> </w:t>
      </w:r>
      <w:r w:rsidR="00225DDB" w:rsidRPr="00225DDB">
        <w:rPr>
          <w:lang w:val="en-CA"/>
        </w:rPr>
        <w:t>David J. Bryan, “Creeping statutory obsolescence in Bankruptcy Law”, I.I.C.</w:t>
      </w:r>
      <w:r w:rsidR="00DB30F7">
        <w:rPr>
          <w:lang w:val="en-CA"/>
        </w:rPr>
        <w:t xml:space="preserve"> Journal</w:t>
      </w:r>
      <w:r w:rsidR="00225DDB" w:rsidRPr="00225DDB">
        <w:rPr>
          <w:lang w:val="en-CA"/>
        </w:rPr>
        <w:t>, art.</w:t>
      </w:r>
      <w:r>
        <w:rPr>
          <w:lang w:val="en-CA"/>
        </w:rPr>
        <w:t xml:space="preserve"> </w:t>
      </w:r>
      <w:r w:rsidR="00225DDB">
        <w:rPr>
          <w:lang w:val="en-CA"/>
        </w:rPr>
        <w:t xml:space="preserve">Vol. 3-1: </w:t>
      </w:r>
      <w:r w:rsidR="00F45715">
        <w:rPr>
          <w:lang w:val="en-CA"/>
        </w:rPr>
        <w:t>“</w:t>
      </w:r>
      <w:r w:rsidR="00225DDB">
        <w:rPr>
          <w:lang w:val="en-CA"/>
        </w:rPr>
        <w:t>Unfortunately, by failing to directly deal with the matter of disclaimer and leaving the matter to implication, the bankruptcy legislation did not make clear this legislative objective and opened the road for the misinterpretation of the provision.</w:t>
      </w:r>
      <w:r>
        <w:rPr>
          <w:lang w:val="en-CA"/>
        </w:rPr>
        <w:t xml:space="preserve"> </w:t>
      </w:r>
      <w:r w:rsidR="00225DDB">
        <w:rPr>
          <w:lang w:val="en-CA"/>
        </w:rPr>
        <w:t>The provision was never intended to exclude contingent liabilities from the definition of a provable claim.</w:t>
      </w:r>
      <w:r>
        <w:rPr>
          <w:lang w:val="en-CA"/>
        </w:rPr>
        <w:t xml:space="preserve"> </w:t>
      </w:r>
      <w:r w:rsidR="00225DDB">
        <w:rPr>
          <w:lang w:val="en-CA"/>
        </w:rPr>
        <w:t>It was merely included to ensure that claims that arose following the bankruptcy as a result of a disclaimer of the contract by the trustee were to be included.</w:t>
      </w:r>
      <w:r w:rsidR="00F45715">
        <w:rPr>
          <w:lang w:val="en-CA"/>
        </w:rPr>
        <w:t>”</w:t>
      </w:r>
    </w:p>
  </w:footnote>
  <w:footnote w:id="23">
    <w:p w14:paraId="2C4CA145" w14:textId="61A79EDA" w:rsidR="0072369C" w:rsidRPr="00225DDB" w:rsidRDefault="0072369C" w:rsidP="0072369C">
      <w:pPr>
        <w:pStyle w:val="Notedebasdepage"/>
        <w:rPr>
          <w:lang w:val="en-CA"/>
        </w:rPr>
      </w:pPr>
      <w:r>
        <w:rPr>
          <w:rStyle w:val="Appelnotedebasdep"/>
        </w:rPr>
        <w:footnoteRef/>
      </w:r>
      <w:r w:rsidRPr="00225DDB">
        <w:rPr>
          <w:lang w:val="en-CA"/>
        </w:rPr>
        <w:t xml:space="preserve"> </w:t>
      </w:r>
      <w:r w:rsidRPr="00225DDB">
        <w:rPr>
          <w:lang w:val="en-CA"/>
        </w:rPr>
        <w:tab/>
      </w:r>
      <w:r w:rsidR="00225DDB" w:rsidRPr="00501215">
        <w:rPr>
          <w:i/>
          <w:iCs/>
          <w:lang w:val="en-CA"/>
        </w:rPr>
        <w:t>Newfoundland and Labrador v. AbitibiBowater Inc</w:t>
      </w:r>
      <w:r w:rsidR="00225DDB" w:rsidRPr="00501215">
        <w:rPr>
          <w:iCs/>
          <w:lang w:val="en-CA"/>
        </w:rPr>
        <w:t>., 2012 SCC 67.</w:t>
      </w:r>
    </w:p>
  </w:footnote>
  <w:footnote w:id="24">
    <w:p w14:paraId="44BB9B35" w14:textId="19F93928" w:rsidR="0072369C" w:rsidRPr="00C407A1" w:rsidRDefault="0072369C" w:rsidP="0072369C">
      <w:pPr>
        <w:pStyle w:val="Notedebasdepage"/>
        <w:rPr>
          <w:lang w:val="en-CA"/>
        </w:rPr>
      </w:pPr>
      <w:r>
        <w:rPr>
          <w:rStyle w:val="Appelnotedebasdep"/>
        </w:rPr>
        <w:footnoteRef/>
      </w:r>
      <w:r w:rsidRPr="00C407A1">
        <w:rPr>
          <w:lang w:val="en-CA"/>
        </w:rPr>
        <w:t xml:space="preserve"> </w:t>
      </w:r>
      <w:r w:rsidRPr="00C407A1">
        <w:rPr>
          <w:lang w:val="en-CA"/>
        </w:rPr>
        <w:tab/>
      </w:r>
      <w:r w:rsidR="00225DDB" w:rsidRPr="00501215">
        <w:rPr>
          <w:i/>
          <w:lang w:val="en-CA"/>
        </w:rPr>
        <w:t>Orphan Well Association v. Grant Thornton Ltd</w:t>
      </w:r>
      <w:r w:rsidR="00225DDB" w:rsidRPr="00501215">
        <w:rPr>
          <w:lang w:val="en-CA"/>
        </w:rPr>
        <w:t xml:space="preserve">., 2019 SCC 5. </w:t>
      </w:r>
    </w:p>
  </w:footnote>
  <w:footnote w:id="25">
    <w:p w14:paraId="3EC251BF" w14:textId="13DFEA75" w:rsidR="0072369C" w:rsidRPr="007820D2" w:rsidRDefault="0072369C" w:rsidP="0072369C">
      <w:pPr>
        <w:pStyle w:val="Notedebasdepage"/>
        <w:rPr>
          <w:lang w:val="en-CA"/>
        </w:rPr>
      </w:pPr>
      <w:r>
        <w:rPr>
          <w:rStyle w:val="Appelnotedebasdep"/>
        </w:rPr>
        <w:footnoteRef/>
      </w:r>
      <w:r w:rsidRPr="00225DDB">
        <w:rPr>
          <w:lang w:val="en-CA"/>
        </w:rPr>
        <w:t xml:space="preserve"> </w:t>
      </w:r>
      <w:r w:rsidRPr="00225DDB">
        <w:rPr>
          <w:lang w:val="en-CA"/>
        </w:rPr>
        <w:tab/>
      </w:r>
      <w:r w:rsidR="00225DDB" w:rsidRPr="00501215">
        <w:rPr>
          <w:i/>
          <w:iCs/>
          <w:lang w:val="en-CA"/>
        </w:rPr>
        <w:t>Newfoundland and Labrador v. AbitibiBowater Inc</w:t>
      </w:r>
      <w:r w:rsidR="00225DDB" w:rsidRPr="00501215">
        <w:rPr>
          <w:iCs/>
          <w:lang w:val="en-CA"/>
        </w:rPr>
        <w:t xml:space="preserve">., 2012 SCC 67 at para. </w:t>
      </w:r>
      <w:r w:rsidRPr="00225DDB">
        <w:rPr>
          <w:lang w:val="en-CA"/>
        </w:rPr>
        <w:t> </w:t>
      </w:r>
      <w:r w:rsidR="00225DDB">
        <w:rPr>
          <w:lang w:val="en-CA"/>
        </w:rPr>
        <w:t>26.</w:t>
      </w:r>
    </w:p>
  </w:footnote>
  <w:footnote w:id="26">
    <w:p w14:paraId="14496336" w14:textId="243ED04E" w:rsidR="00046DBE" w:rsidRPr="00A009D6" w:rsidRDefault="00046DBE" w:rsidP="00046DBE">
      <w:pPr>
        <w:pStyle w:val="Notedebasdepage"/>
        <w:rPr>
          <w:lang w:val="en-CA"/>
        </w:rPr>
      </w:pPr>
      <w:r>
        <w:rPr>
          <w:rStyle w:val="Appelnotedebasdep"/>
        </w:rPr>
        <w:footnoteRef/>
      </w:r>
      <w:r>
        <w:rPr>
          <w:lang w:val="en-CA"/>
        </w:rPr>
        <w:t xml:space="preserve"> </w:t>
      </w:r>
      <w:r>
        <w:rPr>
          <w:lang w:val="en-CA"/>
        </w:rPr>
        <w:tab/>
      </w:r>
      <w:r w:rsidR="00225DDB" w:rsidRPr="00501215">
        <w:rPr>
          <w:i/>
          <w:lang w:val="en-CA"/>
        </w:rPr>
        <w:t>Id.</w:t>
      </w:r>
      <w:r w:rsidR="00225DDB" w:rsidRPr="00501215">
        <w:rPr>
          <w:lang w:val="en-CA"/>
        </w:rPr>
        <w:t xml:space="preserve"> at para.</w:t>
      </w:r>
      <w:r w:rsidRPr="00A009D6">
        <w:rPr>
          <w:lang w:val="en-CA"/>
        </w:rPr>
        <w:t> </w:t>
      </w:r>
      <w:r w:rsidR="00225DDB">
        <w:rPr>
          <w:lang w:val="en-CA"/>
        </w:rPr>
        <w:t>36.</w:t>
      </w:r>
    </w:p>
  </w:footnote>
  <w:footnote w:id="27">
    <w:p w14:paraId="65428992" w14:textId="74CF5395" w:rsidR="0063013F" w:rsidRPr="00566EA6" w:rsidRDefault="0063013F" w:rsidP="0063013F">
      <w:pPr>
        <w:pStyle w:val="Notedebasdepage"/>
      </w:pPr>
      <w:r w:rsidRPr="00612C2E">
        <w:rPr>
          <w:rStyle w:val="Appelnotedebasdep"/>
        </w:rPr>
        <w:footnoteRef/>
      </w:r>
      <w:r>
        <w:rPr>
          <w:lang w:val="en-CA"/>
        </w:rPr>
        <w:t xml:space="preserve"> </w:t>
      </w:r>
      <w:r>
        <w:rPr>
          <w:lang w:val="en-CA"/>
        </w:rPr>
        <w:tab/>
      </w:r>
      <w:r w:rsidR="00225DDB" w:rsidRPr="00501215">
        <w:rPr>
          <w:i/>
          <w:lang w:val="en-CA"/>
        </w:rPr>
        <w:t>Orphan Well Association v. Grant Thornton Ltd</w:t>
      </w:r>
      <w:r w:rsidR="00225DDB" w:rsidRPr="00501215">
        <w:rPr>
          <w:lang w:val="en-CA"/>
        </w:rPr>
        <w:t>., 2019 SCC 5 at para.</w:t>
      </w:r>
      <w:r>
        <w:rPr>
          <w:lang w:val="en-CA"/>
        </w:rPr>
        <w:t> </w:t>
      </w:r>
      <w:r w:rsidR="00225DDB" w:rsidRPr="00566EA6">
        <w:t>135.</w:t>
      </w:r>
    </w:p>
  </w:footnote>
  <w:footnote w:id="28">
    <w:p w14:paraId="572F0044" w14:textId="18CA0546" w:rsidR="00A03430" w:rsidRPr="00566EA6" w:rsidRDefault="00A03430" w:rsidP="00A03430">
      <w:pPr>
        <w:pStyle w:val="Notedebasdepage"/>
      </w:pPr>
      <w:r w:rsidRPr="00612C2E">
        <w:rPr>
          <w:rStyle w:val="Appelnotedebasdep"/>
        </w:rPr>
        <w:footnoteRef/>
      </w:r>
      <w:r w:rsidRPr="00566EA6">
        <w:t xml:space="preserve"> </w:t>
      </w:r>
      <w:r w:rsidRPr="00566EA6">
        <w:tab/>
      </w:r>
      <w:r w:rsidR="00225DDB" w:rsidRPr="00566EA6">
        <w:rPr>
          <w:i/>
        </w:rPr>
        <w:t>Id.</w:t>
      </w:r>
      <w:r w:rsidR="00225DDB" w:rsidRPr="00566EA6">
        <w:t xml:space="preserve"> at para.</w:t>
      </w:r>
      <w:r w:rsidRPr="00566EA6">
        <w:t> </w:t>
      </w:r>
      <w:r w:rsidR="00225DDB" w:rsidRPr="00566EA6">
        <w:t>137.</w:t>
      </w:r>
    </w:p>
  </w:footnote>
  <w:footnote w:id="29">
    <w:p w14:paraId="79BD45E8" w14:textId="1939061B" w:rsidR="00A03430" w:rsidRPr="00225DDB" w:rsidRDefault="00A03430" w:rsidP="00A03430">
      <w:pPr>
        <w:pStyle w:val="Notedebasdepage"/>
      </w:pPr>
      <w:r w:rsidRPr="00472874">
        <w:rPr>
          <w:rStyle w:val="Appelnotedebasdep"/>
        </w:rPr>
        <w:footnoteRef/>
      </w:r>
      <w:r w:rsidRPr="00566EA6">
        <w:t xml:space="preserve"> </w:t>
      </w:r>
      <w:r w:rsidRPr="00566EA6">
        <w:tab/>
      </w:r>
      <w:r w:rsidR="00225DDB" w:rsidRPr="00566EA6">
        <w:rPr>
          <w:i/>
        </w:rPr>
        <w:t>Id.</w:t>
      </w:r>
      <w:r w:rsidR="00225DDB" w:rsidRPr="00566EA6">
        <w:t xml:space="preserve"> at para.</w:t>
      </w:r>
      <w:r w:rsidRPr="00566EA6">
        <w:t> </w:t>
      </w:r>
      <w:r w:rsidR="00225DDB" w:rsidRPr="00225DDB">
        <w:t>121.</w:t>
      </w:r>
    </w:p>
  </w:footnote>
  <w:footnote w:id="30">
    <w:p w14:paraId="39FC5A20" w14:textId="3BABEBB6" w:rsidR="00A03430" w:rsidRPr="00472874" w:rsidRDefault="00A03430" w:rsidP="00A03430">
      <w:pPr>
        <w:pStyle w:val="Notedebasdepage"/>
        <w:rPr>
          <w:strike/>
        </w:rPr>
      </w:pPr>
      <w:r w:rsidRPr="00472874">
        <w:rPr>
          <w:rStyle w:val="Appelnotedebasdep"/>
        </w:rPr>
        <w:footnoteRef/>
      </w:r>
      <w:r>
        <w:t xml:space="preserve"> </w:t>
      </w:r>
      <w:r>
        <w:tab/>
      </w:r>
      <w:r w:rsidR="00225DDB" w:rsidRPr="00501215">
        <w:rPr>
          <w:i/>
        </w:rPr>
        <w:t>Id.</w:t>
      </w:r>
      <w:r w:rsidR="00225DDB" w:rsidRPr="00501215">
        <w:t xml:space="preserve"> at para.</w:t>
      </w:r>
      <w:r w:rsidRPr="00472874">
        <w:t> </w:t>
      </w:r>
      <w:r w:rsidR="00225DDB">
        <w:t>146.</w:t>
      </w:r>
    </w:p>
  </w:footnote>
  <w:footnote w:id="31">
    <w:p w14:paraId="529328B7" w14:textId="3259930B" w:rsidR="00A03430" w:rsidRDefault="00A03430" w:rsidP="00A03430">
      <w:pPr>
        <w:pStyle w:val="Notedebasdepage"/>
      </w:pPr>
      <w:r w:rsidRPr="00472874">
        <w:rPr>
          <w:rStyle w:val="Appelnotedebasdep"/>
        </w:rPr>
        <w:footnoteRef/>
      </w:r>
      <w:r>
        <w:t xml:space="preserve"> </w:t>
      </w:r>
      <w:r>
        <w:tab/>
      </w:r>
      <w:r w:rsidR="00225DDB" w:rsidRPr="00501215">
        <w:rPr>
          <w:i/>
        </w:rPr>
        <w:t xml:space="preserve">Chambre de la sécurité financière </w:t>
      </w:r>
      <w:r w:rsidR="00225DDB" w:rsidRPr="00CA3226">
        <w:rPr>
          <w:i/>
          <w:iCs/>
        </w:rPr>
        <w:t xml:space="preserve">c. </w:t>
      </w:r>
      <w:r w:rsidR="00225DDB" w:rsidRPr="00501215">
        <w:rPr>
          <w:i/>
        </w:rPr>
        <w:t>Harton</w:t>
      </w:r>
      <w:r w:rsidR="00225DDB" w:rsidRPr="00501215">
        <w:t>, 2008 QCCA 269 at para.</w:t>
      </w:r>
      <w:r w:rsidRPr="00472874">
        <w:t> </w:t>
      </w:r>
      <w:r w:rsidR="00225DDB" w:rsidRPr="00501215">
        <w:t xml:space="preserve">50; </w:t>
      </w:r>
      <w:r w:rsidR="00225DDB" w:rsidRPr="00501215">
        <w:rPr>
          <w:i/>
        </w:rPr>
        <w:t>Chambre de la sécurité financière c.</w:t>
      </w:r>
      <w:r w:rsidR="00225DDB" w:rsidRPr="00501215">
        <w:t xml:space="preserve"> </w:t>
      </w:r>
      <w:r w:rsidR="00225DDB" w:rsidRPr="00501215">
        <w:rPr>
          <w:i/>
        </w:rPr>
        <w:t>Thibault</w:t>
      </w:r>
      <w:r w:rsidR="00225DDB" w:rsidRPr="00501215">
        <w:t>, 2016 QCCA 169.</w:t>
      </w:r>
    </w:p>
  </w:footnote>
  <w:footnote w:id="32">
    <w:p w14:paraId="5789A394" w14:textId="6C0CBE16" w:rsidR="00F5511E" w:rsidRPr="00225DDB" w:rsidRDefault="00F5511E" w:rsidP="00F5511E">
      <w:pPr>
        <w:pStyle w:val="Notedebasdepage"/>
        <w:rPr>
          <w:lang w:val="en-CA"/>
        </w:rPr>
      </w:pPr>
      <w:r>
        <w:rPr>
          <w:rStyle w:val="Appelnotedebasdep"/>
        </w:rPr>
        <w:footnoteRef/>
      </w:r>
      <w:r w:rsidRPr="00225DDB">
        <w:t xml:space="preserve"> </w:t>
      </w:r>
      <w:r w:rsidRPr="00225DDB">
        <w:tab/>
      </w:r>
      <w:r w:rsidR="00225DDB" w:rsidRPr="00501215">
        <w:rPr>
          <w:i/>
          <w:iCs/>
        </w:rPr>
        <w:t>Experienced Equipment Sales &amp; Rentals Inc.</w:t>
      </w:r>
      <w:r w:rsidRPr="00225DDB">
        <w:rPr>
          <w:i/>
          <w:iCs/>
        </w:rPr>
        <w:t xml:space="preserve"> </w:t>
      </w:r>
      <w:r w:rsidR="00225DDB" w:rsidRPr="00501215">
        <w:rPr>
          <w:i/>
          <w:iCs/>
          <w:lang w:val="en-CA"/>
        </w:rPr>
        <w:t>(Re)</w:t>
      </w:r>
      <w:r w:rsidR="00225DDB" w:rsidRPr="00501215">
        <w:rPr>
          <w:iCs/>
          <w:lang w:val="en-CA"/>
        </w:rPr>
        <w:t>, 2011 ABQB 641 at para.</w:t>
      </w:r>
      <w:r w:rsidRPr="00225DDB">
        <w:rPr>
          <w:lang w:val="en-CA"/>
        </w:rPr>
        <w:t> </w:t>
      </w:r>
      <w:r w:rsidR="00225DDB" w:rsidRPr="00225DDB">
        <w:rPr>
          <w:lang w:val="en-CA"/>
        </w:rPr>
        <w:t>25.</w:t>
      </w:r>
    </w:p>
  </w:footnote>
  <w:footnote w:id="33">
    <w:p w14:paraId="2F2C5B7A" w14:textId="116D9E2F" w:rsidR="00EA1BC8" w:rsidRPr="00225DDB" w:rsidRDefault="00EA1BC8" w:rsidP="00EA1BC8">
      <w:pPr>
        <w:pStyle w:val="Notedebasdepage"/>
        <w:rPr>
          <w:lang w:val="en-CA"/>
        </w:rPr>
      </w:pPr>
      <w:r>
        <w:rPr>
          <w:rStyle w:val="Appelnotedebasdep"/>
        </w:rPr>
        <w:footnoteRef/>
      </w:r>
      <w:r w:rsidRPr="00225DDB">
        <w:rPr>
          <w:lang w:val="en-CA"/>
        </w:rPr>
        <w:t xml:space="preserve"> </w:t>
      </w:r>
      <w:r w:rsidRPr="00225DDB">
        <w:rPr>
          <w:lang w:val="en-CA"/>
        </w:rPr>
        <w:tab/>
      </w:r>
      <w:r w:rsidR="00225DDB" w:rsidRPr="00225DDB">
        <w:rPr>
          <w:lang w:val="en-CA"/>
        </w:rPr>
        <w:t>In this regard, see section 178(1)(</w:t>
      </w:r>
      <w:r w:rsidR="00225DDB" w:rsidRPr="003C276D">
        <w:rPr>
          <w:i/>
          <w:iCs/>
          <w:lang w:val="en-CA"/>
        </w:rPr>
        <w:t>a</w:t>
      </w:r>
      <w:r w:rsidR="00225DDB" w:rsidRPr="00225DDB">
        <w:rPr>
          <w:lang w:val="en-CA"/>
        </w:rPr>
        <w:t xml:space="preserve">) </w:t>
      </w:r>
      <w:r w:rsidR="00225DDB" w:rsidRPr="003C276D">
        <w:rPr>
          <w:i/>
          <w:iCs/>
          <w:lang w:val="en-CA"/>
        </w:rPr>
        <w:t>BIA</w:t>
      </w:r>
      <w:r w:rsidR="00225DDB" w:rsidRPr="00225DDB">
        <w:rPr>
          <w:lang w:val="en-CA"/>
        </w:rPr>
        <w:t>.</w:t>
      </w:r>
    </w:p>
  </w:footnote>
  <w:footnote w:id="34">
    <w:p w14:paraId="6E1A4FC1" w14:textId="638B5B63" w:rsidR="00EA1BC8" w:rsidRPr="00225DDB" w:rsidRDefault="00EA1BC8" w:rsidP="00EA1BC8">
      <w:pPr>
        <w:pStyle w:val="Notedebasdepage"/>
        <w:rPr>
          <w:lang w:val="en-CA"/>
        </w:rPr>
      </w:pPr>
      <w:r w:rsidRPr="001043A2">
        <w:rPr>
          <w:rStyle w:val="Appelnotedebasdep"/>
        </w:rPr>
        <w:footnoteRef/>
      </w:r>
      <w:r w:rsidRPr="00225DDB">
        <w:rPr>
          <w:lang w:val="en-CA"/>
        </w:rPr>
        <w:t xml:space="preserve"> </w:t>
      </w:r>
      <w:r w:rsidRPr="00225DDB">
        <w:rPr>
          <w:lang w:val="en-CA"/>
        </w:rPr>
        <w:tab/>
      </w:r>
      <w:r w:rsidR="00225DDB" w:rsidRPr="00501215">
        <w:rPr>
          <w:i/>
          <w:iCs/>
          <w:lang w:val="en-CA"/>
        </w:rPr>
        <w:t>Newfoundland and Labrador v. AbitibiBowater Inc</w:t>
      </w:r>
      <w:r w:rsidR="00225DDB" w:rsidRPr="00501215">
        <w:rPr>
          <w:iCs/>
          <w:lang w:val="en-CA"/>
        </w:rPr>
        <w:t xml:space="preserve">., 2012 SCC 67 at para. </w:t>
      </w:r>
      <w:r w:rsidRPr="00225DDB">
        <w:rPr>
          <w:lang w:val="en-CA"/>
        </w:rPr>
        <w:t> </w:t>
      </w:r>
      <w:r w:rsidR="00225DDB" w:rsidRPr="00501215">
        <w:rPr>
          <w:lang w:val="en-CA"/>
        </w:rPr>
        <w:t xml:space="preserve">74; quoting </w:t>
      </w:r>
      <w:r w:rsidR="00225DDB" w:rsidRPr="00501215">
        <w:rPr>
          <w:i/>
          <w:lang w:val="en-CA"/>
        </w:rPr>
        <w:t>Lamford Forest Products Ltd.</w:t>
      </w:r>
      <w:r w:rsidRPr="001043A2">
        <w:rPr>
          <w:i/>
          <w:lang w:val="en-CA"/>
        </w:rPr>
        <w:t xml:space="preserve"> </w:t>
      </w:r>
      <w:r w:rsidR="00225DDB" w:rsidRPr="00501215">
        <w:rPr>
          <w:i/>
          <w:lang w:val="en-CA"/>
        </w:rPr>
        <w:t xml:space="preserve">(Re) </w:t>
      </w:r>
      <w:r w:rsidR="00225DDB" w:rsidRPr="00501215">
        <w:rPr>
          <w:lang w:val="en-CA"/>
        </w:rPr>
        <w:t>(1991), 86 D.L.R.</w:t>
      </w:r>
      <w:r w:rsidRPr="001043A2">
        <w:rPr>
          <w:lang w:val="en-CA"/>
        </w:rPr>
        <w:t xml:space="preserve"> </w:t>
      </w:r>
      <w:r w:rsidR="00225DDB" w:rsidRPr="00501215">
        <w:rPr>
          <w:lang w:val="en-CA"/>
        </w:rPr>
        <w:t xml:space="preserve">(4th) 534; </w:t>
      </w:r>
      <w:r w:rsidR="00225DDB" w:rsidRPr="00501215">
        <w:rPr>
          <w:i/>
          <w:lang w:val="en-CA"/>
        </w:rPr>
        <w:t>Shirley Re</w:t>
      </w:r>
      <w:r w:rsidR="00225DDB" w:rsidRPr="00501215">
        <w:rPr>
          <w:lang w:val="en-CA"/>
        </w:rPr>
        <w:t>, (1995), 129 D.L.R.</w:t>
      </w:r>
      <w:r w:rsidRPr="001043A2">
        <w:rPr>
          <w:lang w:val="en-CA"/>
        </w:rPr>
        <w:t xml:space="preserve"> </w:t>
      </w:r>
      <w:r w:rsidR="00225DDB" w:rsidRPr="00501215">
        <w:rPr>
          <w:lang w:val="en-CA"/>
        </w:rPr>
        <w:t>(4</w:t>
      </w:r>
      <w:r w:rsidR="00410999">
        <w:rPr>
          <w:lang w:val="en-CA"/>
        </w:rPr>
        <w:t>th</w:t>
      </w:r>
      <w:r w:rsidR="00225DDB" w:rsidRPr="00501215">
        <w:rPr>
          <w:lang w:val="en-CA"/>
        </w:rPr>
        <w:t>) 105 at 109;</w:t>
      </w:r>
      <w:r w:rsidR="00225DDB" w:rsidRPr="00501215">
        <w:rPr>
          <w:i/>
          <w:lang w:val="en-CA"/>
        </w:rPr>
        <w:t xml:space="preserve"> Husky Oil Operations Ltd. v. Ministre du Revenu national</w:t>
      </w:r>
      <w:r w:rsidR="00225DDB" w:rsidRPr="00501215">
        <w:rPr>
          <w:lang w:val="en-CA"/>
        </w:rPr>
        <w:t>, [1995] 3</w:t>
      </w:r>
      <w:r w:rsidRPr="001043A2">
        <w:rPr>
          <w:lang w:val="en-CA"/>
        </w:rPr>
        <w:t xml:space="preserve"> </w:t>
      </w:r>
      <w:r w:rsidR="00225DDB" w:rsidRPr="00501215">
        <w:rPr>
          <w:lang w:val="en-CA"/>
        </w:rPr>
        <w:t>S.C.R.</w:t>
      </w:r>
      <w:r w:rsidRPr="00225DDB">
        <w:rPr>
          <w:lang w:val="en-CA"/>
        </w:rPr>
        <w:t xml:space="preserve"> </w:t>
      </w:r>
      <w:r w:rsidR="00225DDB" w:rsidRPr="00501215">
        <w:rPr>
          <w:lang w:val="en-CA"/>
        </w:rPr>
        <w:t>453 at para.</w:t>
      </w:r>
      <w:r w:rsidRPr="00225DDB">
        <w:rPr>
          <w:lang w:val="en-CA"/>
        </w:rPr>
        <w:t> </w:t>
      </w:r>
      <w:r w:rsidR="00225DDB" w:rsidRPr="00225DDB">
        <w:rPr>
          <w:lang w:val="en-CA"/>
        </w:rPr>
        <w:t>146.</w:t>
      </w:r>
      <w:r w:rsidRPr="00225DDB">
        <w:rPr>
          <w:lang w:val="en-CA"/>
        </w:rPr>
        <w:t xml:space="preserve"> </w:t>
      </w:r>
    </w:p>
  </w:footnote>
  <w:footnote w:id="35">
    <w:p w14:paraId="428E9CAC" w14:textId="3D9876E1" w:rsidR="00EA1BC8" w:rsidRPr="00225DDB" w:rsidRDefault="00EA1BC8" w:rsidP="00EA1BC8">
      <w:pPr>
        <w:pStyle w:val="Notedebasdepage"/>
        <w:rPr>
          <w:lang w:val="en-CA"/>
        </w:rPr>
      </w:pPr>
      <w:r w:rsidRPr="00C65470">
        <w:rPr>
          <w:rStyle w:val="Appelnotedebasdep"/>
        </w:rPr>
        <w:footnoteRef/>
      </w:r>
      <w:r w:rsidRPr="00225DDB">
        <w:rPr>
          <w:lang w:val="en-CA"/>
        </w:rPr>
        <w:t xml:space="preserve"> </w:t>
      </w:r>
      <w:r w:rsidRPr="00225DDB">
        <w:rPr>
          <w:lang w:val="en-CA"/>
        </w:rPr>
        <w:tab/>
      </w:r>
      <w:r w:rsidR="00225DDB" w:rsidRPr="00225DDB">
        <w:rPr>
          <w:lang w:val="en-CA"/>
        </w:rPr>
        <w:t xml:space="preserve">This issue was in fact raised by some authors in the scholarly commentary after </w:t>
      </w:r>
      <w:r w:rsidR="00225DDB" w:rsidRPr="00225DDB">
        <w:rPr>
          <w:i/>
          <w:lang w:val="en-CA"/>
        </w:rPr>
        <w:t>AbitibiBowater</w:t>
      </w:r>
      <w:r w:rsidR="00225DDB" w:rsidRPr="00225DDB">
        <w:rPr>
          <w:lang w:val="en-CA"/>
        </w:rPr>
        <w:t xml:space="preserve"> was rendered.</w:t>
      </w:r>
      <w:r w:rsidRPr="00225DDB">
        <w:rPr>
          <w:lang w:val="en-CA"/>
        </w:rPr>
        <w:t xml:space="preserve"> </w:t>
      </w:r>
      <w:r w:rsidR="00615C8A">
        <w:rPr>
          <w:lang w:val="en-CA"/>
        </w:rPr>
        <w:t>A</w:t>
      </w:r>
      <w:r w:rsidR="00225DDB" w:rsidRPr="00225DDB">
        <w:rPr>
          <w:lang w:val="en-CA"/>
        </w:rPr>
        <w:t xml:space="preserve">uthor Anna J. Lund wrote that the third condition in </w:t>
      </w:r>
      <w:r w:rsidR="00225DDB" w:rsidRPr="00225DDB">
        <w:rPr>
          <w:i/>
          <w:lang w:val="en-CA"/>
        </w:rPr>
        <w:t>AbitibiBowater</w:t>
      </w:r>
      <w:r w:rsidR="00225DDB" w:rsidRPr="00225DDB">
        <w:rPr>
          <w:lang w:val="en-CA"/>
        </w:rPr>
        <w:t xml:space="preserve"> had generally created pernicious incentives for debtors </w:t>
      </w:r>
      <w:r w:rsidR="00615C8A">
        <w:rPr>
          <w:lang w:val="en-CA"/>
        </w:rPr>
        <w:t xml:space="preserve">as well as for </w:t>
      </w:r>
      <w:r w:rsidR="00225DDB" w:rsidRPr="00225DDB">
        <w:rPr>
          <w:lang w:val="en-CA"/>
        </w:rPr>
        <w:t>creditors, regulators and governments</w:t>
      </w:r>
      <w:r w:rsidR="0076217A">
        <w:rPr>
          <w:lang w:val="en-CA"/>
        </w:rPr>
        <w:t xml:space="preserve"> alike</w:t>
      </w:r>
      <w:r w:rsidR="00225DDB" w:rsidRPr="00225DDB">
        <w:rPr>
          <w:lang w:val="en-CA"/>
        </w:rPr>
        <w:t xml:space="preserve">; see Anna J. Lund, </w:t>
      </w:r>
      <w:r w:rsidR="003C276D">
        <w:rPr>
          <w:lang w:val="en-CA"/>
        </w:rPr>
        <w:t>“</w:t>
      </w:r>
      <w:r w:rsidR="00225DDB" w:rsidRPr="00225DDB">
        <w:rPr>
          <w:lang w:val="en-CA"/>
        </w:rPr>
        <w:t>Lousy dentists, bad drivers, and abandoned oil wells: a new approach to reconciling provincial regulatory regimes and federal insolvency law</w:t>
      </w:r>
      <w:r w:rsidR="003C276D">
        <w:rPr>
          <w:lang w:val="en-CA"/>
        </w:rPr>
        <w:t>”</w:t>
      </w:r>
      <w:r w:rsidR="00225DDB" w:rsidRPr="00225DDB">
        <w:rPr>
          <w:lang w:val="en-CA"/>
        </w:rPr>
        <w:t xml:space="preserve"> (2017), 80 </w:t>
      </w:r>
      <w:r w:rsidR="00225DDB" w:rsidRPr="00CA3226">
        <w:rPr>
          <w:iCs/>
          <w:lang w:val="en-CA"/>
        </w:rPr>
        <w:t>Sask. L.</w:t>
      </w:r>
      <w:r w:rsidRPr="00CA3226">
        <w:rPr>
          <w:iCs/>
          <w:lang w:val="en-CA"/>
        </w:rPr>
        <w:t xml:space="preserve"> </w:t>
      </w:r>
      <w:r w:rsidR="00225DDB" w:rsidRPr="00CA3226">
        <w:rPr>
          <w:iCs/>
          <w:lang w:val="en-CA"/>
        </w:rPr>
        <w:t>Rev</w:t>
      </w:r>
      <w:r w:rsidR="00225DDB" w:rsidRPr="00225DDB">
        <w:rPr>
          <w:lang w:val="en-CA"/>
        </w:rPr>
        <w:t xml:space="preserve"> 157</w:t>
      </w:r>
      <w:r w:rsidR="00BF1E17">
        <w:rPr>
          <w:lang w:val="en-CA"/>
        </w:rPr>
        <w:t>–</w:t>
      </w:r>
      <w:r w:rsidR="00225DDB" w:rsidRPr="00225DDB">
        <w:rPr>
          <w:lang w:val="en-CA"/>
        </w:rPr>
        <w:t>188 at para</w:t>
      </w:r>
      <w:r w:rsidR="00380FC1">
        <w:rPr>
          <w:lang w:val="en-CA"/>
        </w:rPr>
        <w:t>s. 2</w:t>
      </w:r>
      <w:r w:rsidR="00225DDB" w:rsidRPr="00225DDB">
        <w:rPr>
          <w:lang w:val="en-CA"/>
        </w:rPr>
        <w:t>1 and 25</w:t>
      </w:r>
      <w:r w:rsidR="002C07A4">
        <w:rPr>
          <w:lang w:val="en-CA"/>
        </w:rPr>
        <w:t>.</w:t>
      </w:r>
      <w:r w:rsidR="00225DDB" w:rsidRPr="00225DDB">
        <w:rPr>
          <w:lang w:val="en-CA"/>
        </w:rPr>
        <w:t xml:space="preserve"> This issue was also raised by the lower courts; to this end, see </w:t>
      </w:r>
      <w:r w:rsidR="00225DDB" w:rsidRPr="00225DDB">
        <w:rPr>
          <w:i/>
          <w:lang w:val="en-CA"/>
        </w:rPr>
        <w:t>Bibombe c. Thornicroft</w:t>
      </w:r>
      <w:r w:rsidR="00225DDB" w:rsidRPr="00225DDB">
        <w:rPr>
          <w:lang w:val="en-CA"/>
        </w:rPr>
        <w:t>, 2022 QCCS 499 at para</w:t>
      </w:r>
      <w:r w:rsidR="00EE7AF9">
        <w:rPr>
          <w:lang w:val="en-CA"/>
        </w:rPr>
        <w:t>s. 1</w:t>
      </w:r>
      <w:r w:rsidR="00225DDB" w:rsidRPr="00501215">
        <w:rPr>
          <w:lang w:val="en-CA"/>
        </w:rPr>
        <w:t>6 to 18.</w:t>
      </w:r>
    </w:p>
  </w:footnote>
  <w:footnote w:id="36">
    <w:p w14:paraId="35F99AEB" w14:textId="58C639FC" w:rsidR="00F5511E" w:rsidRPr="00225DDB" w:rsidRDefault="00F5511E" w:rsidP="00F5511E">
      <w:pPr>
        <w:pStyle w:val="Notedebasdepage"/>
        <w:rPr>
          <w:lang w:val="en-CA"/>
        </w:rPr>
      </w:pPr>
      <w:r>
        <w:rPr>
          <w:rStyle w:val="Appelnotedebasdep"/>
        </w:rPr>
        <w:footnoteRef/>
      </w:r>
      <w:r w:rsidRPr="00F5511E">
        <w:rPr>
          <w:lang w:val="en-CA"/>
        </w:rPr>
        <w:t xml:space="preserve"> </w:t>
      </w:r>
      <w:r w:rsidRPr="00F5511E">
        <w:rPr>
          <w:lang w:val="en-CA"/>
        </w:rPr>
        <w:tab/>
      </w:r>
      <w:r w:rsidR="00225DDB" w:rsidRPr="00501215">
        <w:rPr>
          <w:i/>
          <w:iCs/>
          <w:lang w:val="en-CA"/>
        </w:rPr>
        <w:t>Experienced Equipment Sales &amp; Rentals Inc.</w:t>
      </w:r>
      <w:r w:rsidRPr="00F5511E">
        <w:rPr>
          <w:i/>
          <w:iCs/>
          <w:lang w:val="en-CA"/>
        </w:rPr>
        <w:t xml:space="preserve"> </w:t>
      </w:r>
      <w:r w:rsidR="00225DDB" w:rsidRPr="00501215">
        <w:rPr>
          <w:i/>
          <w:iCs/>
          <w:lang w:val="en-CA"/>
        </w:rPr>
        <w:t>(Re)</w:t>
      </w:r>
      <w:r w:rsidR="00225DDB" w:rsidRPr="00501215">
        <w:rPr>
          <w:iCs/>
          <w:lang w:val="en-CA"/>
        </w:rPr>
        <w:t>, 2011 ABQB 641 at para.</w:t>
      </w:r>
      <w:r w:rsidRPr="00225DDB">
        <w:rPr>
          <w:lang w:val="en-CA"/>
        </w:rPr>
        <w:t> </w:t>
      </w:r>
      <w:r w:rsidR="00225DDB">
        <w:rPr>
          <w:lang w:val="en-CA"/>
        </w:rPr>
        <w:t>25.</w:t>
      </w:r>
    </w:p>
  </w:footnote>
  <w:footnote w:id="37">
    <w:p w14:paraId="4D5C2F7A" w14:textId="4154A556" w:rsidR="00482832" w:rsidRPr="00225DDB" w:rsidRDefault="00482832" w:rsidP="00482832">
      <w:pPr>
        <w:pStyle w:val="Notedebasdepage"/>
        <w:rPr>
          <w:lang w:val="en-CA"/>
        </w:rPr>
      </w:pPr>
      <w:r>
        <w:rPr>
          <w:rStyle w:val="Appelnotedebasdep"/>
        </w:rPr>
        <w:footnoteRef/>
      </w:r>
      <w:r w:rsidRPr="00225DDB">
        <w:rPr>
          <w:lang w:val="en-CA"/>
        </w:rPr>
        <w:t xml:space="preserve"> </w:t>
      </w:r>
      <w:r w:rsidRPr="00225DDB">
        <w:rPr>
          <w:lang w:val="en-CA"/>
        </w:rPr>
        <w:tab/>
      </w:r>
      <w:r w:rsidR="00225DDB" w:rsidRPr="00501215">
        <w:rPr>
          <w:i/>
          <w:iCs/>
          <w:lang w:val="en-CA"/>
        </w:rPr>
        <w:t>Bankruptcy and Insolvency Act</w:t>
      </w:r>
      <w:r w:rsidR="00225DDB" w:rsidRPr="00501215">
        <w:rPr>
          <w:iCs/>
          <w:lang w:val="en-CA"/>
        </w:rPr>
        <w:t>, R.S.C. (1985) c.</w:t>
      </w:r>
      <w:r w:rsidRPr="00225DDB">
        <w:rPr>
          <w:iCs/>
          <w:lang w:val="en-CA"/>
        </w:rPr>
        <w:t xml:space="preserve"> </w:t>
      </w:r>
      <w:r w:rsidR="00225DDB" w:rsidRPr="00501215">
        <w:rPr>
          <w:iCs/>
          <w:lang w:val="en-CA"/>
        </w:rPr>
        <w:t>B-3.</w:t>
      </w:r>
    </w:p>
  </w:footnote>
  <w:footnote w:id="38">
    <w:p w14:paraId="4F405E64" w14:textId="34E99D70" w:rsidR="00482832" w:rsidRDefault="00482832" w:rsidP="00482832">
      <w:pPr>
        <w:pStyle w:val="Notedebasdepage"/>
      </w:pPr>
      <w:r>
        <w:rPr>
          <w:rStyle w:val="Appelnotedebasdep"/>
        </w:rPr>
        <w:footnoteRef/>
      </w:r>
      <w:r w:rsidRPr="00225DDB">
        <w:rPr>
          <w:lang w:val="en-CA"/>
        </w:rPr>
        <w:t xml:space="preserve"> </w:t>
      </w:r>
      <w:r w:rsidRPr="00225DDB">
        <w:rPr>
          <w:lang w:val="en-CA"/>
        </w:rPr>
        <w:tab/>
      </w:r>
      <w:r w:rsidR="00225DDB" w:rsidRPr="00501215">
        <w:rPr>
          <w:i/>
          <w:lang w:val="en-CA"/>
        </w:rPr>
        <w:t>Alberta (Attorney General) v. Moloney</w:t>
      </w:r>
      <w:r w:rsidR="00225DDB" w:rsidRPr="00501215">
        <w:rPr>
          <w:lang w:val="en-CA"/>
        </w:rPr>
        <w:t>, 2015 SCC 51 at para.</w:t>
      </w:r>
      <w:r w:rsidRPr="00225DDB">
        <w:rPr>
          <w:lang w:val="en-CA"/>
        </w:rPr>
        <w:t> </w:t>
      </w:r>
      <w:r w:rsidR="00225DDB" w:rsidRPr="00501215">
        <w:rPr>
          <w:lang w:val="en-CA"/>
        </w:rPr>
        <w:t>32, [2015] 3 S.C.R.</w:t>
      </w:r>
      <w:r w:rsidRPr="00225DDB">
        <w:rPr>
          <w:lang w:val="en-CA"/>
        </w:rPr>
        <w:t xml:space="preserve"> </w:t>
      </w:r>
      <w:r w:rsidR="00225DDB" w:rsidRPr="00501215">
        <w:rPr>
          <w:lang w:val="en-CA"/>
        </w:rPr>
        <w:t>327 at para.</w:t>
      </w:r>
      <w:r w:rsidRPr="00225DDB">
        <w:rPr>
          <w:lang w:val="en-CA"/>
        </w:rPr>
        <w:t> </w:t>
      </w:r>
      <w:r w:rsidR="00225DDB" w:rsidRPr="00501215">
        <w:rPr>
          <w:lang w:val="en-CA"/>
        </w:rPr>
        <w:t xml:space="preserve">32; </w:t>
      </w:r>
      <w:r w:rsidR="00225DDB" w:rsidRPr="00501215">
        <w:rPr>
          <w:i/>
          <w:lang w:val="en-CA"/>
        </w:rPr>
        <w:t>Husky Oil Operations Ltd. v. Minister of National Revenue</w:t>
      </w:r>
      <w:r w:rsidR="00225DDB" w:rsidRPr="00501215">
        <w:rPr>
          <w:lang w:val="en-CA"/>
        </w:rPr>
        <w:t>, [1995] 3 S.C.R.</w:t>
      </w:r>
      <w:r w:rsidRPr="00225DDB">
        <w:rPr>
          <w:lang w:val="en-CA"/>
        </w:rPr>
        <w:t xml:space="preserve"> </w:t>
      </w:r>
      <w:r w:rsidR="00225DDB" w:rsidRPr="00501215">
        <w:rPr>
          <w:lang w:val="en-CA"/>
        </w:rPr>
        <w:t>453 at para.</w:t>
      </w:r>
      <w:r w:rsidRPr="00225DDB">
        <w:rPr>
          <w:lang w:val="en-CA"/>
        </w:rPr>
        <w:t> </w:t>
      </w:r>
      <w:r w:rsidR="00225DDB">
        <w:t>7.</w:t>
      </w:r>
    </w:p>
  </w:footnote>
  <w:footnote w:id="39">
    <w:p w14:paraId="09FFFCDE" w14:textId="7E55391B" w:rsidR="00482832" w:rsidRDefault="00482832" w:rsidP="00482832">
      <w:pPr>
        <w:pStyle w:val="Notedebasdepage"/>
      </w:pPr>
      <w:r>
        <w:rPr>
          <w:rStyle w:val="Appelnotedebasdep"/>
        </w:rPr>
        <w:footnoteRef/>
      </w:r>
      <w:r>
        <w:t xml:space="preserve"> </w:t>
      </w:r>
      <w:r>
        <w:tab/>
      </w:r>
      <w:r w:rsidR="00225DDB" w:rsidRPr="00501215">
        <w:rPr>
          <w:i/>
        </w:rPr>
        <w:t>AXA Assurances inc. c. Immeubles Saratoga inc</w:t>
      </w:r>
      <w:r w:rsidR="00225DDB" w:rsidRPr="00501215">
        <w:t>., 2007 QCCA 1807 at para.</w:t>
      </w:r>
      <w:r>
        <w:t> </w:t>
      </w:r>
      <w:r w:rsidR="00225DDB">
        <w:t>33.</w:t>
      </w:r>
    </w:p>
  </w:footnote>
  <w:footnote w:id="40">
    <w:p w14:paraId="11B8C7AF" w14:textId="714E01B7" w:rsidR="00B226A6" w:rsidRPr="00566EA6" w:rsidRDefault="00B363F2" w:rsidP="00B226A6">
      <w:pPr>
        <w:pStyle w:val="Notedebasdepage"/>
        <w:rPr>
          <w:lang w:val="en-CA"/>
        </w:rPr>
      </w:pPr>
      <w:r>
        <w:rPr>
          <w:rStyle w:val="Appelnotedebasdep"/>
        </w:rPr>
        <w:footnoteRef/>
      </w:r>
      <w:r>
        <w:t xml:space="preserve"> </w:t>
      </w:r>
      <w:r>
        <w:tab/>
      </w:r>
      <w:r w:rsidR="00225DDB" w:rsidRPr="00501215">
        <w:rPr>
          <w:i/>
        </w:rPr>
        <w:t>AXA Assurances inc. c. Immeubles Saratoga inc</w:t>
      </w:r>
      <w:r w:rsidR="00225DDB" w:rsidRPr="00501215">
        <w:t>., 2007 QCCA 1807 at para</w:t>
      </w:r>
      <w:r w:rsidR="00EE7AF9">
        <w:t>s. 1</w:t>
      </w:r>
      <w:r w:rsidR="00225DDB" w:rsidRPr="00566EA6">
        <w:rPr>
          <w:lang w:val="en-CA"/>
        </w:rPr>
        <w:t>8–19 and 27.</w:t>
      </w:r>
    </w:p>
  </w:footnote>
  <w:footnote w:id="41">
    <w:p w14:paraId="78D14084" w14:textId="12DAC737" w:rsidR="00B226A6" w:rsidRPr="00225DDB" w:rsidRDefault="00B363F2" w:rsidP="00B226A6">
      <w:pPr>
        <w:pStyle w:val="Notedebasdepage"/>
        <w:rPr>
          <w:lang w:val="en-CA"/>
        </w:rPr>
      </w:pPr>
      <w:r>
        <w:rPr>
          <w:rStyle w:val="Appelnotedebasdep"/>
        </w:rPr>
        <w:footnoteRef/>
      </w:r>
      <w:r w:rsidRPr="00225DDB">
        <w:rPr>
          <w:lang w:val="en-CA"/>
        </w:rPr>
        <w:t xml:space="preserve"> </w:t>
      </w:r>
      <w:r w:rsidRPr="00225DDB">
        <w:rPr>
          <w:lang w:val="en-CA"/>
        </w:rPr>
        <w:tab/>
      </w:r>
      <w:r w:rsidR="00225DDB" w:rsidRPr="00501215">
        <w:rPr>
          <w:i/>
          <w:iCs/>
          <w:lang w:val="en-CA"/>
        </w:rPr>
        <w:t>Newfoundland and Labrador v. AbitibiBowater Inc</w:t>
      </w:r>
      <w:r w:rsidR="00225DDB" w:rsidRPr="00501215">
        <w:rPr>
          <w:iCs/>
          <w:lang w:val="en-CA"/>
        </w:rPr>
        <w:t xml:space="preserve">., 2012 SCC 67 at para. </w:t>
      </w:r>
      <w:r w:rsidRPr="00225DDB">
        <w:rPr>
          <w:lang w:val="en-CA"/>
        </w:rPr>
        <w:t> </w:t>
      </w:r>
      <w:r w:rsidR="00225DDB" w:rsidRPr="00501215">
        <w:rPr>
          <w:lang w:val="en-CA"/>
        </w:rPr>
        <w:t>26, [2012] 3 S.C.R.</w:t>
      </w:r>
      <w:r w:rsidRPr="00225DDB">
        <w:rPr>
          <w:lang w:val="en-CA"/>
        </w:rPr>
        <w:t xml:space="preserve"> </w:t>
      </w:r>
      <w:r w:rsidR="00225DDB" w:rsidRPr="00501215">
        <w:rPr>
          <w:lang w:val="en-CA"/>
        </w:rPr>
        <w:t>443 at para.</w:t>
      </w:r>
      <w:r w:rsidRPr="00225DDB">
        <w:rPr>
          <w:lang w:val="en-CA"/>
        </w:rPr>
        <w:t> </w:t>
      </w:r>
      <w:r w:rsidR="00225DDB" w:rsidRPr="00225DDB">
        <w:rPr>
          <w:lang w:val="en-CA"/>
        </w:rPr>
        <w:t>26.</w:t>
      </w:r>
    </w:p>
  </w:footnote>
  <w:footnote w:id="42">
    <w:p w14:paraId="6A144873" w14:textId="1F9EE06E" w:rsidR="00FF718D" w:rsidRPr="00973FAA" w:rsidRDefault="00FF718D" w:rsidP="00FF718D">
      <w:pPr>
        <w:pStyle w:val="Notedebasdepage"/>
        <w:rPr>
          <w:lang w:val="en-CA"/>
        </w:rPr>
      </w:pPr>
      <w:r>
        <w:rPr>
          <w:rStyle w:val="Appelnotedebasdep"/>
        </w:rPr>
        <w:footnoteRef/>
      </w:r>
      <w:r w:rsidRPr="00225DDB">
        <w:rPr>
          <w:lang w:val="en-CA"/>
        </w:rPr>
        <w:t xml:space="preserve"> </w:t>
      </w:r>
      <w:r w:rsidRPr="00225DDB">
        <w:rPr>
          <w:lang w:val="en-CA"/>
        </w:rPr>
        <w:tab/>
      </w:r>
      <w:r w:rsidR="00225DDB" w:rsidRPr="00501215">
        <w:rPr>
          <w:i/>
          <w:iCs/>
          <w:lang w:val="en-CA"/>
        </w:rPr>
        <w:t>Newfoundland and Labrador v. AbitibiBowater Inc</w:t>
      </w:r>
      <w:r w:rsidR="00225DDB" w:rsidRPr="00501215">
        <w:rPr>
          <w:iCs/>
          <w:lang w:val="en-CA"/>
        </w:rPr>
        <w:t xml:space="preserve">., 2012 SCC 67 at para. </w:t>
      </w:r>
      <w:r w:rsidRPr="00225DDB">
        <w:rPr>
          <w:lang w:val="en-CA"/>
        </w:rPr>
        <w:t xml:space="preserve"> </w:t>
      </w:r>
      <w:r w:rsidR="00225DDB" w:rsidRPr="00501215">
        <w:rPr>
          <w:lang w:val="en-CA"/>
        </w:rPr>
        <w:t>34, [2012] 3 S.C.R.</w:t>
      </w:r>
      <w:r w:rsidRPr="00973FAA">
        <w:rPr>
          <w:lang w:val="en-CA"/>
        </w:rPr>
        <w:t xml:space="preserve"> </w:t>
      </w:r>
      <w:r w:rsidR="00225DDB" w:rsidRPr="00501215">
        <w:rPr>
          <w:lang w:val="en-CA"/>
        </w:rPr>
        <w:t>443 at para.</w:t>
      </w:r>
      <w:r w:rsidRPr="00973FAA">
        <w:rPr>
          <w:lang w:val="en-CA"/>
        </w:rPr>
        <w:t> </w:t>
      </w:r>
      <w:r w:rsidR="00225DDB">
        <w:rPr>
          <w:lang w:val="en-CA"/>
        </w:rPr>
        <w:t>34.</w:t>
      </w:r>
    </w:p>
  </w:footnote>
  <w:footnote w:id="43">
    <w:p w14:paraId="408C4B4F" w14:textId="525824EC" w:rsidR="00FF718D" w:rsidRPr="001C3DF8" w:rsidRDefault="00FF718D" w:rsidP="00FF718D">
      <w:pPr>
        <w:pStyle w:val="Notedebasdepage"/>
        <w:rPr>
          <w:lang w:val="en-CA"/>
        </w:rPr>
      </w:pPr>
      <w:r>
        <w:rPr>
          <w:rStyle w:val="Appelnotedebasdep"/>
        </w:rPr>
        <w:footnoteRef/>
      </w:r>
      <w:r w:rsidRPr="00973FAA">
        <w:rPr>
          <w:lang w:val="en-CA"/>
        </w:rPr>
        <w:t xml:space="preserve"> </w:t>
      </w:r>
      <w:r w:rsidRPr="00973FAA">
        <w:rPr>
          <w:lang w:val="en-CA"/>
        </w:rPr>
        <w:tab/>
      </w:r>
      <w:r w:rsidR="00225DDB" w:rsidRPr="00501215">
        <w:rPr>
          <w:i/>
          <w:iCs/>
          <w:lang w:val="en-CA"/>
        </w:rPr>
        <w:t>Id.</w:t>
      </w:r>
      <w:r w:rsidR="00225DDB" w:rsidRPr="00501215">
        <w:rPr>
          <w:iCs/>
          <w:lang w:val="en-CA"/>
        </w:rPr>
        <w:t xml:space="preserve"> at para.</w:t>
      </w:r>
      <w:r w:rsidRPr="001C3DF8">
        <w:rPr>
          <w:lang w:val="en-CA"/>
        </w:rPr>
        <w:t> 35</w:t>
      </w:r>
    </w:p>
  </w:footnote>
  <w:footnote w:id="44">
    <w:p w14:paraId="6976C2A3" w14:textId="1A8D5E4F" w:rsidR="00B226A6" w:rsidRPr="001C3DF8" w:rsidRDefault="00B363F2" w:rsidP="00B226A6">
      <w:pPr>
        <w:pStyle w:val="Notedebasdepage"/>
        <w:rPr>
          <w:lang w:val="en-CA"/>
        </w:rPr>
      </w:pPr>
      <w:r>
        <w:rPr>
          <w:rStyle w:val="Appelnotedebasdep"/>
        </w:rPr>
        <w:footnoteRef/>
      </w:r>
      <w:r>
        <w:rPr>
          <w:lang w:val="en-CA"/>
        </w:rPr>
        <w:t xml:space="preserve"> </w:t>
      </w:r>
      <w:r>
        <w:rPr>
          <w:lang w:val="en-CA"/>
        </w:rPr>
        <w:tab/>
      </w:r>
      <w:r w:rsidR="00225DDB" w:rsidRPr="00501215">
        <w:rPr>
          <w:i/>
          <w:iCs/>
          <w:lang w:val="en-CA"/>
        </w:rPr>
        <w:t>Id.</w:t>
      </w:r>
      <w:r w:rsidR="00225DDB" w:rsidRPr="00501215">
        <w:rPr>
          <w:iCs/>
          <w:lang w:val="en-CA"/>
        </w:rPr>
        <w:t xml:space="preserve"> at para.</w:t>
      </w:r>
      <w:r>
        <w:rPr>
          <w:i/>
          <w:iCs/>
          <w:lang w:val="en-CA"/>
        </w:rPr>
        <w:t> </w:t>
      </w:r>
      <w:r w:rsidR="00225DDB">
        <w:rPr>
          <w:lang w:val="en-CA"/>
        </w:rPr>
        <w:t>36.</w:t>
      </w:r>
    </w:p>
  </w:footnote>
  <w:footnote w:id="45">
    <w:p w14:paraId="3B590FC3" w14:textId="051A778E" w:rsidR="00FF718D" w:rsidRPr="00B426A2" w:rsidRDefault="00FF718D" w:rsidP="00FF718D">
      <w:pPr>
        <w:pStyle w:val="Notedebasdepage"/>
        <w:rPr>
          <w:lang w:val="en-CA"/>
        </w:rPr>
      </w:pPr>
      <w:r>
        <w:rPr>
          <w:rStyle w:val="Appelnotedebasdep"/>
        </w:rPr>
        <w:footnoteRef/>
      </w:r>
      <w:r>
        <w:rPr>
          <w:lang w:val="en-CA"/>
        </w:rPr>
        <w:t xml:space="preserve"> </w:t>
      </w:r>
      <w:r>
        <w:rPr>
          <w:lang w:val="en-CA"/>
        </w:rPr>
        <w:tab/>
      </w:r>
      <w:r w:rsidR="00225DDB" w:rsidRPr="00501215">
        <w:rPr>
          <w:i/>
          <w:iCs/>
          <w:lang w:val="en-CA"/>
        </w:rPr>
        <w:t>Orphan Well Association v. Grant Thornton Ltd.</w:t>
      </w:r>
      <w:r w:rsidR="00225DDB" w:rsidRPr="00501215">
        <w:rPr>
          <w:iCs/>
          <w:lang w:val="en-CA"/>
        </w:rPr>
        <w:t>, [2019] 1 S.C.R.</w:t>
      </w:r>
      <w:r>
        <w:rPr>
          <w:lang w:val="en-CA"/>
        </w:rPr>
        <w:t xml:space="preserve"> </w:t>
      </w:r>
      <w:r w:rsidR="00225DDB" w:rsidRPr="00501215">
        <w:rPr>
          <w:lang w:val="en-CA"/>
        </w:rPr>
        <w:t>150 at para.</w:t>
      </w:r>
      <w:r>
        <w:rPr>
          <w:lang w:val="en-CA"/>
        </w:rPr>
        <w:t> </w:t>
      </w:r>
      <w:r w:rsidR="00225DDB">
        <w:rPr>
          <w:lang w:val="en-CA"/>
        </w:rPr>
        <w:t>146.</w:t>
      </w:r>
    </w:p>
  </w:footnote>
  <w:footnote w:id="46">
    <w:p w14:paraId="152801A9" w14:textId="3C67B7BE" w:rsidR="00FF718D" w:rsidRPr="006F7198" w:rsidRDefault="00FF718D" w:rsidP="00FF718D">
      <w:pPr>
        <w:pStyle w:val="Notedebasdepage"/>
        <w:rPr>
          <w:lang w:val="en-CA"/>
        </w:rPr>
      </w:pPr>
      <w:r>
        <w:rPr>
          <w:rStyle w:val="Appelnotedebasdep"/>
        </w:rPr>
        <w:footnoteRef/>
      </w:r>
      <w:r w:rsidRPr="006F7198">
        <w:rPr>
          <w:lang w:val="en-CA"/>
        </w:rPr>
        <w:t xml:space="preserve"> </w:t>
      </w:r>
      <w:r w:rsidRPr="006F7198">
        <w:rPr>
          <w:lang w:val="en-CA"/>
        </w:rPr>
        <w:tab/>
      </w:r>
      <w:r w:rsidR="00225DDB" w:rsidRPr="00501215">
        <w:rPr>
          <w:i/>
          <w:iCs/>
          <w:lang w:val="en-CA"/>
        </w:rPr>
        <w:t>Id.</w:t>
      </w:r>
      <w:r w:rsidR="00225DDB" w:rsidRPr="00501215">
        <w:rPr>
          <w:iCs/>
          <w:lang w:val="en-CA"/>
        </w:rPr>
        <w:t xml:space="preserve"> at para.</w:t>
      </w:r>
      <w:r w:rsidRPr="006F7198">
        <w:rPr>
          <w:lang w:val="en-CA"/>
        </w:rPr>
        <w:t> </w:t>
      </w:r>
      <w:r w:rsidR="00225DDB">
        <w:rPr>
          <w:lang w:val="en-CA"/>
        </w:rPr>
        <w:t>137.</w:t>
      </w:r>
    </w:p>
  </w:footnote>
  <w:footnote w:id="47">
    <w:p w14:paraId="2478D653" w14:textId="0C6A611C" w:rsidR="00FF718D" w:rsidRPr="00225DDB" w:rsidRDefault="00FF718D" w:rsidP="00FF718D">
      <w:pPr>
        <w:pStyle w:val="Notedebasdepage"/>
        <w:rPr>
          <w:lang w:val="en-CA"/>
        </w:rPr>
      </w:pPr>
      <w:r>
        <w:rPr>
          <w:rStyle w:val="Appelnotedebasdep"/>
        </w:rPr>
        <w:footnoteRef/>
      </w:r>
      <w:r>
        <w:rPr>
          <w:lang w:val="en-CA"/>
        </w:rPr>
        <w:t xml:space="preserve"> </w:t>
      </w:r>
      <w:r>
        <w:rPr>
          <w:lang w:val="en-CA"/>
        </w:rPr>
        <w:tab/>
      </w:r>
      <w:r w:rsidR="00225DDB" w:rsidRPr="00501215">
        <w:rPr>
          <w:i/>
          <w:iCs/>
          <w:lang w:val="en-CA"/>
        </w:rPr>
        <w:t>Schreyer v. Schreyer</w:t>
      </w:r>
      <w:r w:rsidR="00225DDB" w:rsidRPr="00501215">
        <w:rPr>
          <w:iCs/>
          <w:lang w:val="en-CA"/>
        </w:rPr>
        <w:t>, 2011 SCC 35 at para.</w:t>
      </w:r>
      <w:r w:rsidRPr="00617D0B">
        <w:rPr>
          <w:lang w:val="en-CA"/>
        </w:rPr>
        <w:t> </w:t>
      </w:r>
      <w:r w:rsidR="00225DDB" w:rsidRPr="00501215">
        <w:rPr>
          <w:lang w:val="en-CA"/>
        </w:rPr>
        <w:t>27, [2011] 2 S.C.R.</w:t>
      </w:r>
      <w:r w:rsidRPr="00617D0B">
        <w:rPr>
          <w:lang w:val="en-CA"/>
        </w:rPr>
        <w:t xml:space="preserve"> </w:t>
      </w:r>
      <w:r w:rsidR="00225DDB" w:rsidRPr="00501215">
        <w:rPr>
          <w:lang w:val="en-CA"/>
        </w:rPr>
        <w:t>605 at para.</w:t>
      </w:r>
      <w:r w:rsidRPr="00617D0B">
        <w:rPr>
          <w:lang w:val="en-CA"/>
        </w:rPr>
        <w:t> </w:t>
      </w:r>
      <w:r w:rsidR="00225DDB" w:rsidRPr="00225DDB">
        <w:rPr>
          <w:lang w:val="en-CA"/>
        </w:rPr>
        <w:t>27.</w:t>
      </w:r>
    </w:p>
  </w:footnote>
  <w:footnote w:id="48">
    <w:p w14:paraId="7A180ED1" w14:textId="4D34A21B" w:rsidR="00BA52F1" w:rsidRPr="00225DDB" w:rsidRDefault="00BA52F1" w:rsidP="00BA52F1">
      <w:pPr>
        <w:pStyle w:val="Notedebasdepage"/>
        <w:rPr>
          <w:lang w:val="en-CA"/>
        </w:rPr>
      </w:pPr>
      <w:r>
        <w:rPr>
          <w:rStyle w:val="Appelnotedebasdep"/>
        </w:rPr>
        <w:footnoteRef/>
      </w:r>
      <w:r w:rsidRPr="00225DDB">
        <w:rPr>
          <w:lang w:val="en-CA"/>
        </w:rPr>
        <w:t xml:space="preserve"> </w:t>
      </w:r>
      <w:r w:rsidRPr="00225DDB">
        <w:rPr>
          <w:lang w:val="en-CA"/>
        </w:rPr>
        <w:tab/>
      </w:r>
      <w:r w:rsidR="00225DDB" w:rsidRPr="00501215">
        <w:rPr>
          <w:i/>
          <w:iCs/>
          <w:lang w:val="en-CA"/>
        </w:rPr>
        <w:t>R. c. Lapointe</w:t>
      </w:r>
      <w:r w:rsidR="00225DDB" w:rsidRPr="00501215">
        <w:rPr>
          <w:iCs/>
          <w:lang w:val="en-CA"/>
        </w:rPr>
        <w:t>, 2021 QCCA 360 at para.</w:t>
      </w:r>
      <w:r w:rsidRPr="00225DDB">
        <w:rPr>
          <w:lang w:val="en-CA"/>
        </w:rPr>
        <w:t> </w:t>
      </w:r>
      <w:r w:rsidR="00225DDB" w:rsidRPr="00225DDB">
        <w:rPr>
          <w:lang w:val="en-CA"/>
        </w:rPr>
        <w:t>30.</w:t>
      </w:r>
    </w:p>
  </w:footnote>
  <w:footnote w:id="49">
    <w:p w14:paraId="1C2833D2" w14:textId="207EF73A" w:rsidR="00BA52F1" w:rsidRPr="00225DDB" w:rsidRDefault="00BA52F1" w:rsidP="00BA52F1">
      <w:pPr>
        <w:pStyle w:val="Notedebasdepage"/>
        <w:rPr>
          <w:lang w:val="en-CA"/>
        </w:rPr>
      </w:pPr>
      <w:r w:rsidRPr="005B4068">
        <w:rPr>
          <w:rStyle w:val="Appelnotedebasdep"/>
        </w:rPr>
        <w:footnoteRef/>
      </w:r>
      <w:r w:rsidRPr="00225DDB">
        <w:rPr>
          <w:lang w:val="en-CA"/>
        </w:rPr>
        <w:t xml:space="preserve"> </w:t>
      </w:r>
      <w:r w:rsidRPr="00225DDB">
        <w:rPr>
          <w:lang w:val="en-CA"/>
        </w:rPr>
        <w:tab/>
      </w:r>
      <w:r w:rsidR="00225DDB" w:rsidRPr="00CA3226">
        <w:rPr>
          <w:rFonts w:cs="Arial"/>
          <w:i/>
          <w:color w:val="000000"/>
          <w:lang w:val="en-CA"/>
        </w:rPr>
        <w:t xml:space="preserve">Canada </w:t>
      </w:r>
      <w:r w:rsidR="00225DDB" w:rsidRPr="00501215">
        <w:rPr>
          <w:rFonts w:cs="Arial"/>
          <w:iCs/>
          <w:color w:val="000000"/>
          <w:lang w:val="en-CA"/>
        </w:rPr>
        <w:t>(</w:t>
      </w:r>
      <w:r w:rsidR="00225DDB" w:rsidRPr="00501215">
        <w:rPr>
          <w:rFonts w:cs="Arial"/>
          <w:i/>
          <w:iCs/>
          <w:color w:val="000000"/>
          <w:lang w:val="en-CA"/>
        </w:rPr>
        <w:t>Attorney General) v. Bedford</w:t>
      </w:r>
      <w:r w:rsidR="00225DDB" w:rsidRPr="00501215">
        <w:rPr>
          <w:rFonts w:cs="Arial"/>
          <w:iCs/>
          <w:color w:val="000000"/>
          <w:lang w:val="en-CA"/>
        </w:rPr>
        <w:t>, 2013 SCC 72, [2013] 3 S.C.R.</w:t>
      </w:r>
      <w:r w:rsidRPr="00225DDB">
        <w:rPr>
          <w:rFonts w:cs="Arial"/>
          <w:color w:val="000000"/>
          <w:lang w:val="en-CA"/>
        </w:rPr>
        <w:t xml:space="preserve"> </w:t>
      </w:r>
      <w:r w:rsidR="00225DDB" w:rsidRPr="00501215">
        <w:rPr>
          <w:rFonts w:cs="Arial"/>
          <w:color w:val="000000"/>
          <w:lang w:val="en-CA"/>
        </w:rPr>
        <w:t>1101 at para.</w:t>
      </w:r>
      <w:r w:rsidRPr="00225DDB">
        <w:rPr>
          <w:rFonts w:cs="Arial"/>
          <w:color w:val="000000"/>
          <w:lang w:val="en-CA"/>
        </w:rPr>
        <w:t> </w:t>
      </w:r>
      <w:r w:rsidR="00225DDB" w:rsidRPr="00225DDB">
        <w:rPr>
          <w:rFonts w:cs="Arial"/>
          <w:lang w:val="en-CA"/>
        </w:rPr>
        <w:t>42.</w:t>
      </w:r>
    </w:p>
  </w:footnote>
  <w:footnote w:id="50">
    <w:p w14:paraId="6C7C5F63" w14:textId="055343B1" w:rsidR="00BA52F1" w:rsidRPr="00566EA6" w:rsidRDefault="00BA52F1" w:rsidP="00BA52F1">
      <w:pPr>
        <w:pStyle w:val="Notedebasdepage"/>
      </w:pPr>
      <w:r w:rsidRPr="005B4068">
        <w:rPr>
          <w:rStyle w:val="Appelnotedebasdep"/>
        </w:rPr>
        <w:footnoteRef/>
      </w:r>
      <w:r w:rsidRPr="00225DDB">
        <w:rPr>
          <w:lang w:val="en-CA"/>
        </w:rPr>
        <w:t xml:space="preserve"> </w:t>
      </w:r>
      <w:r w:rsidRPr="00225DDB">
        <w:rPr>
          <w:lang w:val="en-CA"/>
        </w:rPr>
        <w:tab/>
      </w:r>
      <w:r w:rsidR="00225DDB" w:rsidRPr="00501215">
        <w:rPr>
          <w:rFonts w:cs="Arial"/>
          <w:i/>
          <w:iCs/>
          <w:color w:val="000000"/>
          <w:lang w:val="en-CA"/>
        </w:rPr>
        <w:t>Carter v. Canada (Attorney General)</w:t>
      </w:r>
      <w:r w:rsidR="00225DDB" w:rsidRPr="00501215">
        <w:rPr>
          <w:rFonts w:cs="Arial"/>
          <w:iCs/>
          <w:color w:val="000000"/>
          <w:lang w:val="en-CA"/>
        </w:rPr>
        <w:t>, 2015 SCC 5, [2015] 1 S.C.R.</w:t>
      </w:r>
      <w:r w:rsidRPr="00225DDB">
        <w:rPr>
          <w:rFonts w:cs="Arial"/>
          <w:color w:val="000000"/>
          <w:lang w:val="en-CA"/>
        </w:rPr>
        <w:t xml:space="preserve"> </w:t>
      </w:r>
      <w:r w:rsidR="00225DDB" w:rsidRPr="00501215">
        <w:rPr>
          <w:rFonts w:cs="Arial"/>
          <w:color w:val="000000"/>
          <w:lang w:val="en-CA"/>
        </w:rPr>
        <w:t>331 at para.</w:t>
      </w:r>
      <w:r w:rsidRPr="00225DDB">
        <w:rPr>
          <w:rFonts w:cs="Arial"/>
          <w:color w:val="000000"/>
          <w:lang w:val="en-CA"/>
        </w:rPr>
        <w:t> </w:t>
      </w:r>
      <w:r w:rsidR="00225DDB" w:rsidRPr="00566EA6">
        <w:rPr>
          <w:rFonts w:cs="Arial"/>
          <w:color w:val="000000"/>
        </w:rPr>
        <w:t>44.</w:t>
      </w:r>
    </w:p>
  </w:footnote>
  <w:footnote w:id="51">
    <w:p w14:paraId="1C5D6359" w14:textId="5B5D8750" w:rsidR="00BA52F1" w:rsidRPr="00566EA6" w:rsidRDefault="00BA52F1" w:rsidP="00BA52F1">
      <w:pPr>
        <w:pStyle w:val="Notedebasdepage"/>
      </w:pPr>
      <w:r w:rsidRPr="005B4068">
        <w:rPr>
          <w:rStyle w:val="Appelnotedebasdep"/>
        </w:rPr>
        <w:footnoteRef/>
      </w:r>
      <w:r w:rsidRPr="005B4068">
        <w:t xml:space="preserve"> </w:t>
      </w:r>
      <w:r w:rsidRPr="005B4068">
        <w:tab/>
      </w:r>
      <w:r w:rsidR="00225DDB" w:rsidRPr="00501215">
        <w:rPr>
          <w:rFonts w:cs="Arial"/>
          <w:i/>
          <w:iCs/>
          <w:color w:val="000000"/>
        </w:rPr>
        <w:t>R. v. Comeau</w:t>
      </w:r>
      <w:r w:rsidR="00225DDB" w:rsidRPr="00501215">
        <w:rPr>
          <w:rFonts w:cs="Arial"/>
          <w:iCs/>
          <w:color w:val="000000"/>
        </w:rPr>
        <w:t>, 2018 SCC 15, [2018] 1 S.C.R.</w:t>
      </w:r>
      <w:r w:rsidRPr="005B4068">
        <w:rPr>
          <w:rFonts w:cs="Arial"/>
          <w:color w:val="000000"/>
        </w:rPr>
        <w:t xml:space="preserve"> </w:t>
      </w:r>
      <w:r w:rsidR="00225DDB" w:rsidRPr="00501215">
        <w:rPr>
          <w:rFonts w:cs="Arial"/>
          <w:color w:val="000000"/>
        </w:rPr>
        <w:t>342 at para</w:t>
      </w:r>
      <w:r w:rsidR="00380FC1">
        <w:rPr>
          <w:rFonts w:cs="Arial"/>
          <w:color w:val="000000"/>
        </w:rPr>
        <w:t>s. 3</w:t>
      </w:r>
      <w:r w:rsidR="00225DDB" w:rsidRPr="00566EA6">
        <w:rPr>
          <w:rFonts w:cs="Arial"/>
          <w:color w:val="000000"/>
        </w:rPr>
        <w:t>4–35.</w:t>
      </w:r>
    </w:p>
  </w:footnote>
  <w:footnote w:id="52">
    <w:p w14:paraId="5454C30E" w14:textId="00C0D5E4" w:rsidR="00BA52F1" w:rsidRPr="00225DDB" w:rsidRDefault="00BA52F1" w:rsidP="00BA52F1">
      <w:pPr>
        <w:pStyle w:val="Notedebasdepage"/>
        <w:rPr>
          <w:lang w:val="en-CA"/>
        </w:rPr>
      </w:pPr>
      <w:r w:rsidRPr="005B4068">
        <w:rPr>
          <w:rStyle w:val="Appelnotedebasdep"/>
        </w:rPr>
        <w:footnoteRef/>
      </w:r>
      <w:r w:rsidRPr="00566EA6">
        <w:t xml:space="preserve"> </w:t>
      </w:r>
      <w:r w:rsidRPr="00566EA6">
        <w:tab/>
      </w:r>
      <w:r w:rsidR="00225DDB" w:rsidRPr="00566EA6">
        <w:rPr>
          <w:i/>
          <w:iCs/>
        </w:rPr>
        <w:t>R. c. Lapointe</w:t>
      </w:r>
      <w:r w:rsidR="00225DDB" w:rsidRPr="00566EA6">
        <w:rPr>
          <w:iCs/>
        </w:rPr>
        <w:t>, 2021 QCCA 360 at para.</w:t>
      </w:r>
      <w:r w:rsidRPr="00566EA6">
        <w:t> </w:t>
      </w:r>
      <w:r w:rsidR="00225DDB" w:rsidRPr="00225DDB">
        <w:rPr>
          <w:lang w:val="en-CA"/>
        </w:rPr>
        <w:t>36.</w:t>
      </w:r>
    </w:p>
  </w:footnote>
  <w:footnote w:id="53">
    <w:p w14:paraId="3605143C" w14:textId="7200D2F4" w:rsidR="00225DDB" w:rsidRPr="00225DDB" w:rsidRDefault="00225DDB" w:rsidP="00225DDB">
      <w:pPr>
        <w:pStyle w:val="Notedebasdepage"/>
        <w:rPr>
          <w:lang w:val="en-CA"/>
        </w:rPr>
      </w:pPr>
      <w:r w:rsidRPr="005B4068">
        <w:rPr>
          <w:rStyle w:val="Appelnotedebasdep"/>
        </w:rPr>
        <w:footnoteRef/>
      </w:r>
      <w:r w:rsidRPr="00225DDB">
        <w:rPr>
          <w:lang w:val="en-CA"/>
        </w:rPr>
        <w:t xml:space="preserve"> </w:t>
      </w:r>
      <w:r w:rsidRPr="00225DDB">
        <w:rPr>
          <w:lang w:val="en-CA"/>
        </w:rPr>
        <w:tab/>
      </w:r>
      <w:r w:rsidRPr="00501215">
        <w:rPr>
          <w:i/>
          <w:iCs/>
          <w:lang w:val="en-CA"/>
        </w:rPr>
        <w:t>Id.</w:t>
      </w:r>
      <w:r w:rsidRPr="00501215">
        <w:rPr>
          <w:iCs/>
          <w:lang w:val="en-CA"/>
        </w:rPr>
        <w:t xml:space="preserve"> at para.</w:t>
      </w:r>
      <w:r w:rsidRPr="00225DDB">
        <w:rPr>
          <w:lang w:val="en-CA"/>
        </w:rPr>
        <w:t xml:space="preserve"> </w:t>
      </w:r>
      <w:r w:rsidRPr="00501215">
        <w:rPr>
          <w:lang w:val="en-CA"/>
        </w:rPr>
        <w:t>69 and the case law cited therein.</w:t>
      </w:r>
    </w:p>
  </w:footnote>
  <w:footnote w:id="54">
    <w:p w14:paraId="218437F6" w14:textId="2409791C" w:rsidR="00225DDB" w:rsidRPr="00225DDB" w:rsidRDefault="00225DDB" w:rsidP="00225DDB">
      <w:pPr>
        <w:pStyle w:val="Notedebasdepage"/>
        <w:rPr>
          <w:lang w:val="en-CA"/>
        </w:rPr>
      </w:pPr>
      <w:r>
        <w:rPr>
          <w:rStyle w:val="Appelnotedebasdep"/>
        </w:rPr>
        <w:footnoteRef/>
      </w:r>
      <w:r w:rsidRPr="00225DDB">
        <w:rPr>
          <w:lang w:val="en-CA"/>
        </w:rPr>
        <w:t xml:space="preserve"> </w:t>
      </w:r>
      <w:r w:rsidRPr="00225DDB">
        <w:rPr>
          <w:lang w:val="en-CA"/>
        </w:rPr>
        <w:tab/>
      </w:r>
      <w:r w:rsidRPr="00501215">
        <w:rPr>
          <w:lang w:val="en-CA"/>
        </w:rPr>
        <w:t xml:space="preserve">Judgment </w:t>
      </w:r>
      <w:r w:rsidR="00755AE2" w:rsidRPr="0055589F">
        <w:rPr>
          <w:lang w:val="en-CA"/>
        </w:rPr>
        <w:t>under appeal</w:t>
      </w:r>
      <w:r w:rsidR="00755AE2">
        <w:rPr>
          <w:i/>
          <w:iCs/>
          <w:lang w:val="en-CA"/>
        </w:rPr>
        <w:t xml:space="preserve"> </w:t>
      </w:r>
      <w:r w:rsidRPr="00501215">
        <w:rPr>
          <w:lang w:val="en-CA"/>
        </w:rPr>
        <w:t>at para.</w:t>
      </w:r>
      <w:r w:rsidRPr="00225DDB">
        <w:rPr>
          <w:lang w:val="en-CA"/>
        </w:rPr>
        <w:t xml:space="preserve"> </w:t>
      </w:r>
      <w:r>
        <w:rPr>
          <w:lang w:val="en-CA"/>
        </w:rPr>
        <w:t>24.</w:t>
      </w:r>
      <w:r w:rsidRPr="00225DDB">
        <w:rPr>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A7DD" w14:textId="3EE49704" w:rsidR="00120640" w:rsidRDefault="00B35460" w:rsidP="005D6DCE">
    <w:pPr>
      <w:tabs>
        <w:tab w:val="center" w:pos="4709"/>
        <w:tab w:val="right" w:pos="9360"/>
      </w:tabs>
      <w:spacing w:line="360" w:lineRule="auto"/>
      <w:ind w:right="524"/>
    </w:pPr>
    <w:r>
      <w:t>500-09-029475-217</w:t>
    </w:r>
    <w:r w:rsidR="00B363F2">
      <w:t xml:space="preserve"> </w:t>
    </w:r>
    <w:r w:rsidR="00B363F2">
      <w:tab/>
    </w:r>
    <w:r w:rsidR="00B363F2">
      <w:tab/>
    </w:r>
    <w:r w:rsidRPr="00501215">
      <w:t>PAGE:</w:t>
    </w:r>
    <w:r w:rsidR="00B363F2">
      <w:t xml:space="preserve"> </w:t>
    </w:r>
    <w:r w:rsidR="00B363F2">
      <w:fldChar w:fldCharType="begin"/>
    </w:r>
    <w:r w:rsidR="00B363F2">
      <w:instrText xml:space="preserve"> PAGE </w:instrText>
    </w:r>
    <w:r w:rsidR="00B363F2">
      <w:fldChar w:fldCharType="separate"/>
    </w:r>
    <w:r w:rsidR="00B363F2">
      <w:rPr>
        <w:noProof/>
      </w:rPr>
      <w:t>2</w:t>
    </w:r>
    <w:r w:rsidR="00B363F2">
      <w:fldChar w:fldCharType="end"/>
    </w:r>
  </w:p>
  <w:p w14:paraId="7B386356" w14:textId="77777777" w:rsidR="00620998" w:rsidRDefault="00620998" w:rsidP="005D6DCE">
    <w:pPr>
      <w:tabs>
        <w:tab w:val="center" w:pos="4709"/>
        <w:tab w:val="right" w:pos="9360"/>
      </w:tabs>
      <w:spacing w:line="360" w:lineRule="auto"/>
      <w:ind w:right="52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B5D6" w14:textId="43A5C1FE" w:rsidR="00B226A6" w:rsidRDefault="00B35460" w:rsidP="00236AEA">
    <w:pPr>
      <w:tabs>
        <w:tab w:val="center" w:pos="4709"/>
        <w:tab w:val="right" w:pos="9360"/>
      </w:tabs>
      <w:spacing w:line="360" w:lineRule="auto"/>
      <w:ind w:right="524"/>
    </w:pPr>
    <w:r>
      <w:t>500-09-029475-217</w:t>
    </w:r>
    <w:r w:rsidR="00B363F2">
      <w:t xml:space="preserve"> </w:t>
    </w:r>
    <w:r w:rsidR="00B363F2">
      <w:tab/>
    </w:r>
    <w:r w:rsidR="00B363F2">
      <w:tab/>
    </w:r>
    <w:r w:rsidRPr="00501215">
      <w:t>PAGE:</w:t>
    </w:r>
    <w:r w:rsidR="00B363F2">
      <w:t xml:space="preserve"> </w:t>
    </w:r>
    <w:r w:rsidR="00B363F2">
      <w:fldChar w:fldCharType="begin"/>
    </w:r>
    <w:r w:rsidR="00B363F2">
      <w:instrText xml:space="preserve"> PAGE </w:instrText>
    </w:r>
    <w:r w:rsidR="00B363F2">
      <w:fldChar w:fldCharType="separate"/>
    </w:r>
    <w:r w:rsidR="00B363F2">
      <w:t>1</w:t>
    </w:r>
    <w:r w:rsidR="00B363F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95F5" w14:textId="0DFC678B" w:rsidR="007E33E4" w:rsidRDefault="00B35460" w:rsidP="00DB2119">
    <w:pPr>
      <w:tabs>
        <w:tab w:val="center" w:pos="4709"/>
        <w:tab w:val="right" w:pos="9360"/>
      </w:tabs>
      <w:spacing w:line="360" w:lineRule="auto"/>
      <w:ind w:right="524"/>
    </w:pPr>
    <w:r>
      <w:t>500-09-029475-217</w:t>
    </w:r>
    <w:r w:rsidR="00B363F2">
      <w:t xml:space="preserve"> </w:t>
    </w:r>
    <w:r w:rsidR="00B363F2">
      <w:tab/>
    </w:r>
    <w:r w:rsidR="00B363F2">
      <w:tab/>
    </w:r>
    <w:r w:rsidRPr="00501215">
      <w:t>PAGE:</w:t>
    </w:r>
    <w:r w:rsidR="00B363F2">
      <w:t xml:space="preserve"> </w:t>
    </w:r>
    <w:r w:rsidR="00B363F2">
      <w:fldChar w:fldCharType="begin"/>
    </w:r>
    <w:r w:rsidR="00B363F2">
      <w:instrText xml:space="preserve"> PAGE </w:instrText>
    </w:r>
    <w:r w:rsidR="00B363F2">
      <w:fldChar w:fldCharType="separate"/>
    </w:r>
    <w:r w:rsidR="008D18FC">
      <w:rPr>
        <w:noProof/>
      </w:rPr>
      <w:t>2</w:t>
    </w:r>
    <w:r w:rsidR="00B363F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9F5E76A2"/>
    <w:lvl w:ilvl="0">
      <w:start w:val="1"/>
      <w:numFmt w:val="decimal"/>
      <w:pStyle w:val="Paragraphe"/>
      <w:lvlText w:val="[%1]"/>
      <w:lvlJc w:val="left"/>
      <w:pPr>
        <w:tabs>
          <w:tab w:val="num" w:pos="720"/>
        </w:tabs>
        <w:ind w:left="0" w:firstLine="0"/>
      </w:pPr>
      <w:rPr>
        <w:rFonts w:hint="default"/>
        <w:color w:val="auto"/>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55323056"/>
    <w:multiLevelType w:val="hybridMultilevel"/>
    <w:tmpl w:val="2BE662CA"/>
    <w:lvl w:ilvl="0" w:tplc="93D26734">
      <w:start w:val="1"/>
      <w:numFmt w:val="bullet"/>
      <w:lvlText w:val=""/>
      <w:lvlJc w:val="left"/>
      <w:pPr>
        <w:ind w:left="720" w:hanging="360"/>
      </w:pPr>
      <w:rPr>
        <w:rFonts w:ascii="Symbol" w:hAnsi="Symbol" w:hint="default"/>
      </w:rPr>
    </w:lvl>
    <w:lvl w:ilvl="1" w:tplc="A47C964E" w:tentative="1">
      <w:start w:val="1"/>
      <w:numFmt w:val="bullet"/>
      <w:lvlText w:val="o"/>
      <w:lvlJc w:val="left"/>
      <w:pPr>
        <w:ind w:left="1440" w:hanging="360"/>
      </w:pPr>
      <w:rPr>
        <w:rFonts w:ascii="Courier New" w:hAnsi="Courier New" w:cs="Courier New" w:hint="default"/>
      </w:rPr>
    </w:lvl>
    <w:lvl w:ilvl="2" w:tplc="CA12C184" w:tentative="1">
      <w:start w:val="1"/>
      <w:numFmt w:val="bullet"/>
      <w:lvlText w:val=""/>
      <w:lvlJc w:val="left"/>
      <w:pPr>
        <w:ind w:left="2160" w:hanging="360"/>
      </w:pPr>
      <w:rPr>
        <w:rFonts w:ascii="Wingdings" w:hAnsi="Wingdings" w:hint="default"/>
      </w:rPr>
    </w:lvl>
    <w:lvl w:ilvl="3" w:tplc="5B8A399E" w:tentative="1">
      <w:start w:val="1"/>
      <w:numFmt w:val="bullet"/>
      <w:lvlText w:val=""/>
      <w:lvlJc w:val="left"/>
      <w:pPr>
        <w:ind w:left="2880" w:hanging="360"/>
      </w:pPr>
      <w:rPr>
        <w:rFonts w:ascii="Symbol" w:hAnsi="Symbol" w:hint="default"/>
      </w:rPr>
    </w:lvl>
    <w:lvl w:ilvl="4" w:tplc="D50A6426" w:tentative="1">
      <w:start w:val="1"/>
      <w:numFmt w:val="bullet"/>
      <w:lvlText w:val="o"/>
      <w:lvlJc w:val="left"/>
      <w:pPr>
        <w:ind w:left="3600" w:hanging="360"/>
      </w:pPr>
      <w:rPr>
        <w:rFonts w:ascii="Courier New" w:hAnsi="Courier New" w:cs="Courier New" w:hint="default"/>
      </w:rPr>
    </w:lvl>
    <w:lvl w:ilvl="5" w:tplc="894810CC" w:tentative="1">
      <w:start w:val="1"/>
      <w:numFmt w:val="bullet"/>
      <w:lvlText w:val=""/>
      <w:lvlJc w:val="left"/>
      <w:pPr>
        <w:ind w:left="4320" w:hanging="360"/>
      </w:pPr>
      <w:rPr>
        <w:rFonts w:ascii="Wingdings" w:hAnsi="Wingdings" w:hint="default"/>
      </w:rPr>
    </w:lvl>
    <w:lvl w:ilvl="6" w:tplc="ADC27FE4" w:tentative="1">
      <w:start w:val="1"/>
      <w:numFmt w:val="bullet"/>
      <w:lvlText w:val=""/>
      <w:lvlJc w:val="left"/>
      <w:pPr>
        <w:ind w:left="5040" w:hanging="360"/>
      </w:pPr>
      <w:rPr>
        <w:rFonts w:ascii="Symbol" w:hAnsi="Symbol" w:hint="default"/>
      </w:rPr>
    </w:lvl>
    <w:lvl w:ilvl="7" w:tplc="AFBE8812" w:tentative="1">
      <w:start w:val="1"/>
      <w:numFmt w:val="bullet"/>
      <w:lvlText w:val="o"/>
      <w:lvlJc w:val="left"/>
      <w:pPr>
        <w:ind w:left="5760" w:hanging="360"/>
      </w:pPr>
      <w:rPr>
        <w:rFonts w:ascii="Courier New" w:hAnsi="Courier New" w:cs="Courier New" w:hint="default"/>
      </w:rPr>
    </w:lvl>
    <w:lvl w:ilvl="8" w:tplc="8CAE592E" w:tentative="1">
      <w:start w:val="1"/>
      <w:numFmt w:val="bullet"/>
      <w:lvlText w:val=""/>
      <w:lvlJc w:val="left"/>
      <w:pPr>
        <w:ind w:left="6480" w:hanging="360"/>
      </w:pPr>
      <w:rPr>
        <w:rFonts w:ascii="Wingdings" w:hAnsi="Wingdings" w:hint="default"/>
      </w:rPr>
    </w:lvl>
  </w:abstractNum>
  <w:abstractNum w:abstractNumId="13"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127161361">
    <w:abstractNumId w:val="13"/>
  </w:num>
  <w:num w:numId="2" w16cid:durableId="484006159">
    <w:abstractNumId w:val="13"/>
  </w:num>
  <w:num w:numId="3" w16cid:durableId="2047214637">
    <w:abstractNumId w:val="13"/>
  </w:num>
  <w:num w:numId="4" w16cid:durableId="1993829350">
    <w:abstractNumId w:val="8"/>
  </w:num>
  <w:num w:numId="5" w16cid:durableId="1051349343">
    <w:abstractNumId w:val="3"/>
  </w:num>
  <w:num w:numId="6" w16cid:durableId="251940353">
    <w:abstractNumId w:val="2"/>
  </w:num>
  <w:num w:numId="7" w16cid:durableId="207492394">
    <w:abstractNumId w:val="1"/>
  </w:num>
  <w:num w:numId="8" w16cid:durableId="1472747621">
    <w:abstractNumId w:val="0"/>
  </w:num>
  <w:num w:numId="9" w16cid:durableId="1020815484">
    <w:abstractNumId w:val="9"/>
  </w:num>
  <w:num w:numId="10" w16cid:durableId="79496129">
    <w:abstractNumId w:val="7"/>
  </w:num>
  <w:num w:numId="11" w16cid:durableId="1614290856">
    <w:abstractNumId w:val="6"/>
  </w:num>
  <w:num w:numId="12" w16cid:durableId="2008631738">
    <w:abstractNumId w:val="5"/>
  </w:num>
  <w:num w:numId="13" w16cid:durableId="13768919">
    <w:abstractNumId w:val="4"/>
  </w:num>
  <w:num w:numId="14" w16cid:durableId="1175728726">
    <w:abstractNumId w:val="13"/>
  </w:num>
  <w:num w:numId="15" w16cid:durableId="1791119372">
    <w:abstractNumId w:val="13"/>
  </w:num>
  <w:num w:numId="16" w16cid:durableId="541748882">
    <w:abstractNumId w:val="13"/>
  </w:num>
  <w:num w:numId="17" w16cid:durableId="576481615">
    <w:abstractNumId w:val="11"/>
  </w:num>
  <w:num w:numId="18" w16cid:durableId="485822514">
    <w:abstractNumId w:val="10"/>
  </w:num>
  <w:num w:numId="19" w16cid:durableId="8619385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NBChoix" w:val="3"/>
    <w:docVar w:name="MotifJuge1" w:val="MOTIFS DE LA JUGE"/>
    <w:docVar w:name="MotifJuge2" w:val="MOTIFS DU JUGE"/>
    <w:docVar w:name="MotifJuge3" w:val="MOTIFS DU JUGE"/>
    <w:docVar w:name="NomFamJuge1" w:val="DUTIL"/>
    <w:docVar w:name="NomFamJuge2" w:val="MAINVILLE"/>
    <w:docVar w:name="NomFamJuge3" w:val="HAMILTON"/>
    <w:docVar w:name="NomFamJuge4" w:val="MAILHOT"/>
    <w:docVar w:name="NomFamJuge5" w:val="BAUDOUIN"/>
    <w:docVar w:name="QteJuge1" w:val=", J.C.A."/>
    <w:docVar w:name="QteJuge2" w:val=", J.C.A."/>
    <w:docVar w:name="QteJuge3" w:val=", J.C.A."/>
    <w:docVar w:name="stPremiereFois" w:val="Non"/>
  </w:docVars>
  <w:rsids>
    <w:rsidRoot w:val="00CB3EE3"/>
    <w:rsid w:val="00006109"/>
    <w:rsid w:val="00006990"/>
    <w:rsid w:val="00007642"/>
    <w:rsid w:val="0001318C"/>
    <w:rsid w:val="000131E1"/>
    <w:rsid w:val="00014C8D"/>
    <w:rsid w:val="00020F8F"/>
    <w:rsid w:val="000217EE"/>
    <w:rsid w:val="0003292C"/>
    <w:rsid w:val="00033221"/>
    <w:rsid w:val="0003341D"/>
    <w:rsid w:val="00035EE5"/>
    <w:rsid w:val="00040CF5"/>
    <w:rsid w:val="00041C96"/>
    <w:rsid w:val="00043588"/>
    <w:rsid w:val="0004394C"/>
    <w:rsid w:val="00043FD3"/>
    <w:rsid w:val="00046DBE"/>
    <w:rsid w:val="00050B48"/>
    <w:rsid w:val="00052608"/>
    <w:rsid w:val="00053691"/>
    <w:rsid w:val="00053F58"/>
    <w:rsid w:val="000569AE"/>
    <w:rsid w:val="000615AC"/>
    <w:rsid w:val="00067C1D"/>
    <w:rsid w:val="0007147D"/>
    <w:rsid w:val="00071D5E"/>
    <w:rsid w:val="000759D5"/>
    <w:rsid w:val="0007792B"/>
    <w:rsid w:val="000853FF"/>
    <w:rsid w:val="00086803"/>
    <w:rsid w:val="00095BD7"/>
    <w:rsid w:val="000A3665"/>
    <w:rsid w:val="000A7516"/>
    <w:rsid w:val="000B06FA"/>
    <w:rsid w:val="000B0E3E"/>
    <w:rsid w:val="000B42AF"/>
    <w:rsid w:val="000C514F"/>
    <w:rsid w:val="000C77F9"/>
    <w:rsid w:val="000D0451"/>
    <w:rsid w:val="000D285C"/>
    <w:rsid w:val="000D64D2"/>
    <w:rsid w:val="000D686D"/>
    <w:rsid w:val="000E2510"/>
    <w:rsid w:val="000E2AF5"/>
    <w:rsid w:val="000E4E81"/>
    <w:rsid w:val="000E68E0"/>
    <w:rsid w:val="000E7203"/>
    <w:rsid w:val="000F6B8C"/>
    <w:rsid w:val="001043A2"/>
    <w:rsid w:val="0010699C"/>
    <w:rsid w:val="00110B53"/>
    <w:rsid w:val="00112321"/>
    <w:rsid w:val="00117914"/>
    <w:rsid w:val="00120640"/>
    <w:rsid w:val="00125B95"/>
    <w:rsid w:val="0013028C"/>
    <w:rsid w:val="00131896"/>
    <w:rsid w:val="00133423"/>
    <w:rsid w:val="00147A1E"/>
    <w:rsid w:val="001518BA"/>
    <w:rsid w:val="0015308D"/>
    <w:rsid w:val="00154F16"/>
    <w:rsid w:val="0015610F"/>
    <w:rsid w:val="00160B31"/>
    <w:rsid w:val="00162F68"/>
    <w:rsid w:val="00163E87"/>
    <w:rsid w:val="00164A69"/>
    <w:rsid w:val="001671C9"/>
    <w:rsid w:val="00181F56"/>
    <w:rsid w:val="00184E1D"/>
    <w:rsid w:val="001853EC"/>
    <w:rsid w:val="00190FA7"/>
    <w:rsid w:val="001972D4"/>
    <w:rsid w:val="001972F2"/>
    <w:rsid w:val="001A0027"/>
    <w:rsid w:val="001A01DC"/>
    <w:rsid w:val="001A53DC"/>
    <w:rsid w:val="001A7436"/>
    <w:rsid w:val="001A7B5D"/>
    <w:rsid w:val="001B2367"/>
    <w:rsid w:val="001B51D9"/>
    <w:rsid w:val="001B5C22"/>
    <w:rsid w:val="001C10C0"/>
    <w:rsid w:val="001C16C9"/>
    <w:rsid w:val="001C3DF8"/>
    <w:rsid w:val="001C6626"/>
    <w:rsid w:val="001C6C59"/>
    <w:rsid w:val="001D214B"/>
    <w:rsid w:val="001D692B"/>
    <w:rsid w:val="001E005D"/>
    <w:rsid w:val="001F342F"/>
    <w:rsid w:val="001F57E5"/>
    <w:rsid w:val="00202C74"/>
    <w:rsid w:val="00202E05"/>
    <w:rsid w:val="002033D1"/>
    <w:rsid w:val="002053DB"/>
    <w:rsid w:val="00205DC4"/>
    <w:rsid w:val="0021548E"/>
    <w:rsid w:val="00217555"/>
    <w:rsid w:val="00221A2A"/>
    <w:rsid w:val="00223246"/>
    <w:rsid w:val="00224164"/>
    <w:rsid w:val="002241C3"/>
    <w:rsid w:val="00225DDB"/>
    <w:rsid w:val="002273F5"/>
    <w:rsid w:val="0022773B"/>
    <w:rsid w:val="00233DA6"/>
    <w:rsid w:val="0023607F"/>
    <w:rsid w:val="00236AEA"/>
    <w:rsid w:val="002376DA"/>
    <w:rsid w:val="00241F7E"/>
    <w:rsid w:val="00241FF8"/>
    <w:rsid w:val="002426E5"/>
    <w:rsid w:val="0025013A"/>
    <w:rsid w:val="00251720"/>
    <w:rsid w:val="00260759"/>
    <w:rsid w:val="00261BA0"/>
    <w:rsid w:val="0026469D"/>
    <w:rsid w:val="002667EF"/>
    <w:rsid w:val="002734CB"/>
    <w:rsid w:val="00274D07"/>
    <w:rsid w:val="00296FB4"/>
    <w:rsid w:val="002A227D"/>
    <w:rsid w:val="002A2C36"/>
    <w:rsid w:val="002A6DDC"/>
    <w:rsid w:val="002B1553"/>
    <w:rsid w:val="002B3B8F"/>
    <w:rsid w:val="002B4A07"/>
    <w:rsid w:val="002C07A4"/>
    <w:rsid w:val="002C4107"/>
    <w:rsid w:val="002C4ED6"/>
    <w:rsid w:val="002C58EE"/>
    <w:rsid w:val="002D1A66"/>
    <w:rsid w:val="002D2D96"/>
    <w:rsid w:val="002E1F0E"/>
    <w:rsid w:val="002E229C"/>
    <w:rsid w:val="002E462D"/>
    <w:rsid w:val="002E51F1"/>
    <w:rsid w:val="002E5B12"/>
    <w:rsid w:val="002F1350"/>
    <w:rsid w:val="002F3456"/>
    <w:rsid w:val="002F6136"/>
    <w:rsid w:val="00300202"/>
    <w:rsid w:val="003018F6"/>
    <w:rsid w:val="00313228"/>
    <w:rsid w:val="00315706"/>
    <w:rsid w:val="0031676D"/>
    <w:rsid w:val="003219CC"/>
    <w:rsid w:val="00322DE0"/>
    <w:rsid w:val="0032363D"/>
    <w:rsid w:val="0033190E"/>
    <w:rsid w:val="0034156E"/>
    <w:rsid w:val="00342246"/>
    <w:rsid w:val="00346776"/>
    <w:rsid w:val="003477F8"/>
    <w:rsid w:val="0035485C"/>
    <w:rsid w:val="00354B88"/>
    <w:rsid w:val="0035757D"/>
    <w:rsid w:val="00361325"/>
    <w:rsid w:val="003655DC"/>
    <w:rsid w:val="00366187"/>
    <w:rsid w:val="00371663"/>
    <w:rsid w:val="00374888"/>
    <w:rsid w:val="00374E40"/>
    <w:rsid w:val="00380FC1"/>
    <w:rsid w:val="003815BB"/>
    <w:rsid w:val="003925BE"/>
    <w:rsid w:val="00394533"/>
    <w:rsid w:val="00395796"/>
    <w:rsid w:val="003A20F8"/>
    <w:rsid w:val="003A37FF"/>
    <w:rsid w:val="003A4EB9"/>
    <w:rsid w:val="003B148B"/>
    <w:rsid w:val="003B3EFB"/>
    <w:rsid w:val="003B558E"/>
    <w:rsid w:val="003B670E"/>
    <w:rsid w:val="003B7A1F"/>
    <w:rsid w:val="003C276D"/>
    <w:rsid w:val="003D24F9"/>
    <w:rsid w:val="003D2A29"/>
    <w:rsid w:val="003D487D"/>
    <w:rsid w:val="003D5E71"/>
    <w:rsid w:val="003D7B80"/>
    <w:rsid w:val="003E3239"/>
    <w:rsid w:val="003E35A0"/>
    <w:rsid w:val="003E3E3C"/>
    <w:rsid w:val="003E53A4"/>
    <w:rsid w:val="003E65AB"/>
    <w:rsid w:val="003E7353"/>
    <w:rsid w:val="003F287B"/>
    <w:rsid w:val="003F33DB"/>
    <w:rsid w:val="003F5690"/>
    <w:rsid w:val="003F64C3"/>
    <w:rsid w:val="00402C57"/>
    <w:rsid w:val="0040387D"/>
    <w:rsid w:val="00404516"/>
    <w:rsid w:val="00410999"/>
    <w:rsid w:val="0041122B"/>
    <w:rsid w:val="00411DFC"/>
    <w:rsid w:val="004204F2"/>
    <w:rsid w:val="00423DF1"/>
    <w:rsid w:val="00430C58"/>
    <w:rsid w:val="004323E0"/>
    <w:rsid w:val="00432829"/>
    <w:rsid w:val="004331C4"/>
    <w:rsid w:val="00434884"/>
    <w:rsid w:val="0043564D"/>
    <w:rsid w:val="00441C25"/>
    <w:rsid w:val="00446452"/>
    <w:rsid w:val="00452561"/>
    <w:rsid w:val="00453E32"/>
    <w:rsid w:val="00454134"/>
    <w:rsid w:val="004552DF"/>
    <w:rsid w:val="00455EB9"/>
    <w:rsid w:val="00456427"/>
    <w:rsid w:val="0046017B"/>
    <w:rsid w:val="00472874"/>
    <w:rsid w:val="00472DC8"/>
    <w:rsid w:val="004802EC"/>
    <w:rsid w:val="00482832"/>
    <w:rsid w:val="00483447"/>
    <w:rsid w:val="0048648B"/>
    <w:rsid w:val="00487489"/>
    <w:rsid w:val="0049129A"/>
    <w:rsid w:val="00493479"/>
    <w:rsid w:val="004A0970"/>
    <w:rsid w:val="004A0BED"/>
    <w:rsid w:val="004A1CE8"/>
    <w:rsid w:val="004A29F1"/>
    <w:rsid w:val="004A6641"/>
    <w:rsid w:val="004A7AC5"/>
    <w:rsid w:val="004B1E94"/>
    <w:rsid w:val="004B33FF"/>
    <w:rsid w:val="004C0973"/>
    <w:rsid w:val="004C2419"/>
    <w:rsid w:val="004C3197"/>
    <w:rsid w:val="004C4208"/>
    <w:rsid w:val="004C5E81"/>
    <w:rsid w:val="004D0863"/>
    <w:rsid w:val="004D2F69"/>
    <w:rsid w:val="004E4FBA"/>
    <w:rsid w:val="004F1A82"/>
    <w:rsid w:val="005006EF"/>
    <w:rsid w:val="00501215"/>
    <w:rsid w:val="0050159A"/>
    <w:rsid w:val="00506548"/>
    <w:rsid w:val="005111BF"/>
    <w:rsid w:val="005118AA"/>
    <w:rsid w:val="005131F1"/>
    <w:rsid w:val="0051440C"/>
    <w:rsid w:val="0051484F"/>
    <w:rsid w:val="00516B3E"/>
    <w:rsid w:val="00520231"/>
    <w:rsid w:val="00523788"/>
    <w:rsid w:val="00525574"/>
    <w:rsid w:val="00525BE9"/>
    <w:rsid w:val="00525DAF"/>
    <w:rsid w:val="005262C9"/>
    <w:rsid w:val="00531D70"/>
    <w:rsid w:val="0053720C"/>
    <w:rsid w:val="00542D0D"/>
    <w:rsid w:val="00547605"/>
    <w:rsid w:val="00553349"/>
    <w:rsid w:val="0055589F"/>
    <w:rsid w:val="00566BF6"/>
    <w:rsid w:val="00566EA6"/>
    <w:rsid w:val="005709E0"/>
    <w:rsid w:val="00573636"/>
    <w:rsid w:val="005743C8"/>
    <w:rsid w:val="0057571E"/>
    <w:rsid w:val="00582945"/>
    <w:rsid w:val="00583434"/>
    <w:rsid w:val="0058349F"/>
    <w:rsid w:val="00584AE5"/>
    <w:rsid w:val="00585D5B"/>
    <w:rsid w:val="00586521"/>
    <w:rsid w:val="00590BD1"/>
    <w:rsid w:val="005A214A"/>
    <w:rsid w:val="005A250B"/>
    <w:rsid w:val="005A3806"/>
    <w:rsid w:val="005A49B1"/>
    <w:rsid w:val="005A54AE"/>
    <w:rsid w:val="005A78BF"/>
    <w:rsid w:val="005B1D89"/>
    <w:rsid w:val="005B4068"/>
    <w:rsid w:val="005B54B6"/>
    <w:rsid w:val="005B6B4C"/>
    <w:rsid w:val="005B7C40"/>
    <w:rsid w:val="005C0928"/>
    <w:rsid w:val="005C2817"/>
    <w:rsid w:val="005C4205"/>
    <w:rsid w:val="005C6256"/>
    <w:rsid w:val="005C62E8"/>
    <w:rsid w:val="005C7516"/>
    <w:rsid w:val="005D04AA"/>
    <w:rsid w:val="005D1522"/>
    <w:rsid w:val="005D32DD"/>
    <w:rsid w:val="005D6DCE"/>
    <w:rsid w:val="005E0F2A"/>
    <w:rsid w:val="005E140E"/>
    <w:rsid w:val="005E5B59"/>
    <w:rsid w:val="005F36D3"/>
    <w:rsid w:val="005F5F5F"/>
    <w:rsid w:val="005F79BB"/>
    <w:rsid w:val="006005D7"/>
    <w:rsid w:val="00600F28"/>
    <w:rsid w:val="006036E3"/>
    <w:rsid w:val="00606826"/>
    <w:rsid w:val="00607233"/>
    <w:rsid w:val="00612C2E"/>
    <w:rsid w:val="00613EE9"/>
    <w:rsid w:val="00613F63"/>
    <w:rsid w:val="00615C8A"/>
    <w:rsid w:val="006173FE"/>
    <w:rsid w:val="00617D0B"/>
    <w:rsid w:val="00620998"/>
    <w:rsid w:val="00624770"/>
    <w:rsid w:val="00624F1E"/>
    <w:rsid w:val="0063013F"/>
    <w:rsid w:val="00636E98"/>
    <w:rsid w:val="00640514"/>
    <w:rsid w:val="0064250B"/>
    <w:rsid w:val="0064383F"/>
    <w:rsid w:val="0064634D"/>
    <w:rsid w:val="006602FA"/>
    <w:rsid w:val="006632DC"/>
    <w:rsid w:val="006706C2"/>
    <w:rsid w:val="00672AEB"/>
    <w:rsid w:val="006826AA"/>
    <w:rsid w:val="0068356A"/>
    <w:rsid w:val="0068386E"/>
    <w:rsid w:val="006838F9"/>
    <w:rsid w:val="00693518"/>
    <w:rsid w:val="00695D97"/>
    <w:rsid w:val="00696921"/>
    <w:rsid w:val="006A0DB0"/>
    <w:rsid w:val="006A0F1B"/>
    <w:rsid w:val="006A2E02"/>
    <w:rsid w:val="006A633B"/>
    <w:rsid w:val="006A6629"/>
    <w:rsid w:val="006B2650"/>
    <w:rsid w:val="006C1D0C"/>
    <w:rsid w:val="006C3630"/>
    <w:rsid w:val="006C4C82"/>
    <w:rsid w:val="006D500D"/>
    <w:rsid w:val="006D534F"/>
    <w:rsid w:val="006D6716"/>
    <w:rsid w:val="006E5005"/>
    <w:rsid w:val="006F0F64"/>
    <w:rsid w:val="006F1E77"/>
    <w:rsid w:val="006F44AB"/>
    <w:rsid w:val="006F4A36"/>
    <w:rsid w:val="006F7198"/>
    <w:rsid w:val="007007B6"/>
    <w:rsid w:val="007205D0"/>
    <w:rsid w:val="0072369C"/>
    <w:rsid w:val="0073019C"/>
    <w:rsid w:val="00735FCA"/>
    <w:rsid w:val="00740A17"/>
    <w:rsid w:val="00743D24"/>
    <w:rsid w:val="007444D2"/>
    <w:rsid w:val="00744E7A"/>
    <w:rsid w:val="007462D6"/>
    <w:rsid w:val="0074738B"/>
    <w:rsid w:val="00753860"/>
    <w:rsid w:val="00755AE2"/>
    <w:rsid w:val="00757E63"/>
    <w:rsid w:val="0076062E"/>
    <w:rsid w:val="0076217A"/>
    <w:rsid w:val="00762E0F"/>
    <w:rsid w:val="00767FF7"/>
    <w:rsid w:val="007706F6"/>
    <w:rsid w:val="00772EB8"/>
    <w:rsid w:val="00776421"/>
    <w:rsid w:val="00776D97"/>
    <w:rsid w:val="007820D2"/>
    <w:rsid w:val="00791FA3"/>
    <w:rsid w:val="00793F64"/>
    <w:rsid w:val="007953F3"/>
    <w:rsid w:val="00796EC2"/>
    <w:rsid w:val="007A01D7"/>
    <w:rsid w:val="007A6FE1"/>
    <w:rsid w:val="007A7803"/>
    <w:rsid w:val="007B025C"/>
    <w:rsid w:val="007B061E"/>
    <w:rsid w:val="007B09BD"/>
    <w:rsid w:val="007B1BDD"/>
    <w:rsid w:val="007B1F67"/>
    <w:rsid w:val="007B27AC"/>
    <w:rsid w:val="007B3CE3"/>
    <w:rsid w:val="007B48D5"/>
    <w:rsid w:val="007B4D81"/>
    <w:rsid w:val="007C567C"/>
    <w:rsid w:val="007D087C"/>
    <w:rsid w:val="007D1BEA"/>
    <w:rsid w:val="007D5EE0"/>
    <w:rsid w:val="007E0FC1"/>
    <w:rsid w:val="007E16B4"/>
    <w:rsid w:val="007E33E4"/>
    <w:rsid w:val="007E4CC9"/>
    <w:rsid w:val="007F6E97"/>
    <w:rsid w:val="00800AFD"/>
    <w:rsid w:val="00800D23"/>
    <w:rsid w:val="00803229"/>
    <w:rsid w:val="0080459D"/>
    <w:rsid w:val="0080656C"/>
    <w:rsid w:val="008122F3"/>
    <w:rsid w:val="008126EA"/>
    <w:rsid w:val="00816273"/>
    <w:rsid w:val="00820A0D"/>
    <w:rsid w:val="00820AAB"/>
    <w:rsid w:val="00821424"/>
    <w:rsid w:val="008255F9"/>
    <w:rsid w:val="0082717B"/>
    <w:rsid w:val="00827B04"/>
    <w:rsid w:val="0083032E"/>
    <w:rsid w:val="00835E8B"/>
    <w:rsid w:val="00841907"/>
    <w:rsid w:val="008527FE"/>
    <w:rsid w:val="0086036A"/>
    <w:rsid w:val="008653A3"/>
    <w:rsid w:val="008656E8"/>
    <w:rsid w:val="008657A2"/>
    <w:rsid w:val="00866645"/>
    <w:rsid w:val="00871E02"/>
    <w:rsid w:val="00882210"/>
    <w:rsid w:val="00882281"/>
    <w:rsid w:val="008825EE"/>
    <w:rsid w:val="00886DE7"/>
    <w:rsid w:val="00890F7B"/>
    <w:rsid w:val="00892116"/>
    <w:rsid w:val="00896B46"/>
    <w:rsid w:val="008A4289"/>
    <w:rsid w:val="008A6185"/>
    <w:rsid w:val="008A7237"/>
    <w:rsid w:val="008B0742"/>
    <w:rsid w:val="008B3FB2"/>
    <w:rsid w:val="008B48D0"/>
    <w:rsid w:val="008C1FE9"/>
    <w:rsid w:val="008C45F1"/>
    <w:rsid w:val="008C7DCE"/>
    <w:rsid w:val="008D18FC"/>
    <w:rsid w:val="008D1A4D"/>
    <w:rsid w:val="008D3048"/>
    <w:rsid w:val="008D398B"/>
    <w:rsid w:val="008D512B"/>
    <w:rsid w:val="008D6BBD"/>
    <w:rsid w:val="008D7E49"/>
    <w:rsid w:val="008E203E"/>
    <w:rsid w:val="008E3398"/>
    <w:rsid w:val="008F0F77"/>
    <w:rsid w:val="008F364A"/>
    <w:rsid w:val="008F3F53"/>
    <w:rsid w:val="008F4245"/>
    <w:rsid w:val="008F5707"/>
    <w:rsid w:val="00903073"/>
    <w:rsid w:val="00904524"/>
    <w:rsid w:val="0090566C"/>
    <w:rsid w:val="009120CF"/>
    <w:rsid w:val="00913E03"/>
    <w:rsid w:val="00914A83"/>
    <w:rsid w:val="00920C25"/>
    <w:rsid w:val="009229E9"/>
    <w:rsid w:val="00924612"/>
    <w:rsid w:val="00926953"/>
    <w:rsid w:val="0092763E"/>
    <w:rsid w:val="00931926"/>
    <w:rsid w:val="00931A3D"/>
    <w:rsid w:val="00932703"/>
    <w:rsid w:val="00936469"/>
    <w:rsid w:val="009400B7"/>
    <w:rsid w:val="0094184B"/>
    <w:rsid w:val="0095073A"/>
    <w:rsid w:val="00950B90"/>
    <w:rsid w:val="00954DC2"/>
    <w:rsid w:val="0095620F"/>
    <w:rsid w:val="00956CF7"/>
    <w:rsid w:val="00957B92"/>
    <w:rsid w:val="00961658"/>
    <w:rsid w:val="009636FC"/>
    <w:rsid w:val="009643B1"/>
    <w:rsid w:val="00967E0A"/>
    <w:rsid w:val="00970795"/>
    <w:rsid w:val="00970966"/>
    <w:rsid w:val="00973FAA"/>
    <w:rsid w:val="00974442"/>
    <w:rsid w:val="00975FF5"/>
    <w:rsid w:val="0098219C"/>
    <w:rsid w:val="009849F5"/>
    <w:rsid w:val="00985D66"/>
    <w:rsid w:val="0099187F"/>
    <w:rsid w:val="00992EF2"/>
    <w:rsid w:val="00993440"/>
    <w:rsid w:val="009A41DE"/>
    <w:rsid w:val="009B3714"/>
    <w:rsid w:val="009B5EBB"/>
    <w:rsid w:val="009C580C"/>
    <w:rsid w:val="009E0B71"/>
    <w:rsid w:val="009E22E8"/>
    <w:rsid w:val="009E6D6C"/>
    <w:rsid w:val="009F1F69"/>
    <w:rsid w:val="009F2100"/>
    <w:rsid w:val="009F5AC0"/>
    <w:rsid w:val="00A000A2"/>
    <w:rsid w:val="00A009D6"/>
    <w:rsid w:val="00A03430"/>
    <w:rsid w:val="00A04C46"/>
    <w:rsid w:val="00A061CD"/>
    <w:rsid w:val="00A06761"/>
    <w:rsid w:val="00A07EB0"/>
    <w:rsid w:val="00A14940"/>
    <w:rsid w:val="00A221B4"/>
    <w:rsid w:val="00A222A6"/>
    <w:rsid w:val="00A23BF4"/>
    <w:rsid w:val="00A2593B"/>
    <w:rsid w:val="00A30DF1"/>
    <w:rsid w:val="00A3262D"/>
    <w:rsid w:val="00A32FC4"/>
    <w:rsid w:val="00A338F7"/>
    <w:rsid w:val="00A34E05"/>
    <w:rsid w:val="00A41745"/>
    <w:rsid w:val="00A43D8B"/>
    <w:rsid w:val="00A454F1"/>
    <w:rsid w:val="00A4748D"/>
    <w:rsid w:val="00A543CC"/>
    <w:rsid w:val="00A60155"/>
    <w:rsid w:val="00A61643"/>
    <w:rsid w:val="00A639D9"/>
    <w:rsid w:val="00A86719"/>
    <w:rsid w:val="00A93CFF"/>
    <w:rsid w:val="00A94FE0"/>
    <w:rsid w:val="00AA430C"/>
    <w:rsid w:val="00AA59E1"/>
    <w:rsid w:val="00AA6B87"/>
    <w:rsid w:val="00AB0AFF"/>
    <w:rsid w:val="00AB7DD2"/>
    <w:rsid w:val="00AC1AF7"/>
    <w:rsid w:val="00AC1DDF"/>
    <w:rsid w:val="00AC7311"/>
    <w:rsid w:val="00AD02BF"/>
    <w:rsid w:val="00AE0C56"/>
    <w:rsid w:val="00AE36BE"/>
    <w:rsid w:val="00AE64C9"/>
    <w:rsid w:val="00AF0C7C"/>
    <w:rsid w:val="00AF3027"/>
    <w:rsid w:val="00B002D7"/>
    <w:rsid w:val="00B01D86"/>
    <w:rsid w:val="00B07E4E"/>
    <w:rsid w:val="00B10F56"/>
    <w:rsid w:val="00B11FD1"/>
    <w:rsid w:val="00B12768"/>
    <w:rsid w:val="00B137E9"/>
    <w:rsid w:val="00B15300"/>
    <w:rsid w:val="00B226A6"/>
    <w:rsid w:val="00B30EA2"/>
    <w:rsid w:val="00B35460"/>
    <w:rsid w:val="00B35B1C"/>
    <w:rsid w:val="00B35D4F"/>
    <w:rsid w:val="00B363F2"/>
    <w:rsid w:val="00B36ED3"/>
    <w:rsid w:val="00B426A2"/>
    <w:rsid w:val="00B42CD9"/>
    <w:rsid w:val="00B44569"/>
    <w:rsid w:val="00B5095F"/>
    <w:rsid w:val="00B50DA8"/>
    <w:rsid w:val="00B513C9"/>
    <w:rsid w:val="00B553FC"/>
    <w:rsid w:val="00B557F8"/>
    <w:rsid w:val="00B55812"/>
    <w:rsid w:val="00B566BA"/>
    <w:rsid w:val="00B56EF4"/>
    <w:rsid w:val="00B64B0F"/>
    <w:rsid w:val="00B671CB"/>
    <w:rsid w:val="00B70485"/>
    <w:rsid w:val="00B715B9"/>
    <w:rsid w:val="00B754BA"/>
    <w:rsid w:val="00B8297E"/>
    <w:rsid w:val="00B82A13"/>
    <w:rsid w:val="00B8511E"/>
    <w:rsid w:val="00B854C0"/>
    <w:rsid w:val="00B939E1"/>
    <w:rsid w:val="00B974E1"/>
    <w:rsid w:val="00BA2D2E"/>
    <w:rsid w:val="00BA52F1"/>
    <w:rsid w:val="00BA74FC"/>
    <w:rsid w:val="00BB5AD6"/>
    <w:rsid w:val="00BC014C"/>
    <w:rsid w:val="00BC06C4"/>
    <w:rsid w:val="00BC1364"/>
    <w:rsid w:val="00BD0F1B"/>
    <w:rsid w:val="00BF1E17"/>
    <w:rsid w:val="00BF4932"/>
    <w:rsid w:val="00C02AF8"/>
    <w:rsid w:val="00C062EE"/>
    <w:rsid w:val="00C07720"/>
    <w:rsid w:val="00C078AF"/>
    <w:rsid w:val="00C11288"/>
    <w:rsid w:val="00C11CB0"/>
    <w:rsid w:val="00C129EA"/>
    <w:rsid w:val="00C16740"/>
    <w:rsid w:val="00C17E01"/>
    <w:rsid w:val="00C249A6"/>
    <w:rsid w:val="00C30562"/>
    <w:rsid w:val="00C31AC4"/>
    <w:rsid w:val="00C31C83"/>
    <w:rsid w:val="00C3377B"/>
    <w:rsid w:val="00C407A1"/>
    <w:rsid w:val="00C409BE"/>
    <w:rsid w:val="00C423CA"/>
    <w:rsid w:val="00C443D4"/>
    <w:rsid w:val="00C45119"/>
    <w:rsid w:val="00C45521"/>
    <w:rsid w:val="00C47452"/>
    <w:rsid w:val="00C52C0A"/>
    <w:rsid w:val="00C53689"/>
    <w:rsid w:val="00C55899"/>
    <w:rsid w:val="00C652ED"/>
    <w:rsid w:val="00C65470"/>
    <w:rsid w:val="00C65509"/>
    <w:rsid w:val="00C72CB1"/>
    <w:rsid w:val="00C74FA8"/>
    <w:rsid w:val="00C7793C"/>
    <w:rsid w:val="00C9020B"/>
    <w:rsid w:val="00C92D6B"/>
    <w:rsid w:val="00C930F7"/>
    <w:rsid w:val="00C939A8"/>
    <w:rsid w:val="00C97145"/>
    <w:rsid w:val="00CA0F0E"/>
    <w:rsid w:val="00CA3226"/>
    <w:rsid w:val="00CB1DFE"/>
    <w:rsid w:val="00CB3EE3"/>
    <w:rsid w:val="00CB7A13"/>
    <w:rsid w:val="00CC1F54"/>
    <w:rsid w:val="00CC4982"/>
    <w:rsid w:val="00CC4F39"/>
    <w:rsid w:val="00CD11C1"/>
    <w:rsid w:val="00CD2459"/>
    <w:rsid w:val="00CE1F2C"/>
    <w:rsid w:val="00CE401F"/>
    <w:rsid w:val="00CE4559"/>
    <w:rsid w:val="00CE77BB"/>
    <w:rsid w:val="00CF443B"/>
    <w:rsid w:val="00D010FD"/>
    <w:rsid w:val="00D02812"/>
    <w:rsid w:val="00D04885"/>
    <w:rsid w:val="00D05F56"/>
    <w:rsid w:val="00D07582"/>
    <w:rsid w:val="00D10B09"/>
    <w:rsid w:val="00D20056"/>
    <w:rsid w:val="00D2110D"/>
    <w:rsid w:val="00D21F6B"/>
    <w:rsid w:val="00D22062"/>
    <w:rsid w:val="00D233DD"/>
    <w:rsid w:val="00D259B6"/>
    <w:rsid w:val="00D27B0E"/>
    <w:rsid w:val="00D326C1"/>
    <w:rsid w:val="00D416E1"/>
    <w:rsid w:val="00D43DC3"/>
    <w:rsid w:val="00D44364"/>
    <w:rsid w:val="00D45B90"/>
    <w:rsid w:val="00D45D25"/>
    <w:rsid w:val="00D543AC"/>
    <w:rsid w:val="00D55C57"/>
    <w:rsid w:val="00D55E15"/>
    <w:rsid w:val="00D5759D"/>
    <w:rsid w:val="00D578C3"/>
    <w:rsid w:val="00D67CE8"/>
    <w:rsid w:val="00D71B68"/>
    <w:rsid w:val="00D7391D"/>
    <w:rsid w:val="00D751C3"/>
    <w:rsid w:val="00D769E0"/>
    <w:rsid w:val="00D83B8B"/>
    <w:rsid w:val="00D96497"/>
    <w:rsid w:val="00DA2237"/>
    <w:rsid w:val="00DA284A"/>
    <w:rsid w:val="00DA7E60"/>
    <w:rsid w:val="00DB0DF0"/>
    <w:rsid w:val="00DB2119"/>
    <w:rsid w:val="00DB30F7"/>
    <w:rsid w:val="00DB37E8"/>
    <w:rsid w:val="00DC05BC"/>
    <w:rsid w:val="00DC3A1D"/>
    <w:rsid w:val="00DD3A24"/>
    <w:rsid w:val="00DE10BF"/>
    <w:rsid w:val="00DE319F"/>
    <w:rsid w:val="00DE6713"/>
    <w:rsid w:val="00DF3516"/>
    <w:rsid w:val="00E03C07"/>
    <w:rsid w:val="00E06622"/>
    <w:rsid w:val="00E1409B"/>
    <w:rsid w:val="00E17B6B"/>
    <w:rsid w:val="00E20E3C"/>
    <w:rsid w:val="00E20E6F"/>
    <w:rsid w:val="00E258AE"/>
    <w:rsid w:val="00E25AC8"/>
    <w:rsid w:val="00E30A39"/>
    <w:rsid w:val="00E36290"/>
    <w:rsid w:val="00E407DA"/>
    <w:rsid w:val="00E42B15"/>
    <w:rsid w:val="00E43A21"/>
    <w:rsid w:val="00E4572A"/>
    <w:rsid w:val="00E45ADA"/>
    <w:rsid w:val="00E47940"/>
    <w:rsid w:val="00E513A5"/>
    <w:rsid w:val="00E55BF4"/>
    <w:rsid w:val="00E609FF"/>
    <w:rsid w:val="00E71AEF"/>
    <w:rsid w:val="00E736C8"/>
    <w:rsid w:val="00E754B0"/>
    <w:rsid w:val="00E81E61"/>
    <w:rsid w:val="00E846D0"/>
    <w:rsid w:val="00E848B4"/>
    <w:rsid w:val="00E85A38"/>
    <w:rsid w:val="00E9088B"/>
    <w:rsid w:val="00E91417"/>
    <w:rsid w:val="00E94329"/>
    <w:rsid w:val="00EA1BC8"/>
    <w:rsid w:val="00EA7348"/>
    <w:rsid w:val="00EB1377"/>
    <w:rsid w:val="00EB418B"/>
    <w:rsid w:val="00EC1E33"/>
    <w:rsid w:val="00ED5A09"/>
    <w:rsid w:val="00EE1678"/>
    <w:rsid w:val="00EE5DCD"/>
    <w:rsid w:val="00EE7AF9"/>
    <w:rsid w:val="00EF2747"/>
    <w:rsid w:val="00EF6076"/>
    <w:rsid w:val="00F001DC"/>
    <w:rsid w:val="00F02C68"/>
    <w:rsid w:val="00F03A28"/>
    <w:rsid w:val="00F07022"/>
    <w:rsid w:val="00F07A99"/>
    <w:rsid w:val="00F1119E"/>
    <w:rsid w:val="00F13A2A"/>
    <w:rsid w:val="00F21E28"/>
    <w:rsid w:val="00F21F42"/>
    <w:rsid w:val="00F224CB"/>
    <w:rsid w:val="00F300DB"/>
    <w:rsid w:val="00F31FC8"/>
    <w:rsid w:val="00F33B9E"/>
    <w:rsid w:val="00F33E30"/>
    <w:rsid w:val="00F35A34"/>
    <w:rsid w:val="00F37B29"/>
    <w:rsid w:val="00F40882"/>
    <w:rsid w:val="00F43559"/>
    <w:rsid w:val="00F45715"/>
    <w:rsid w:val="00F50A73"/>
    <w:rsid w:val="00F51058"/>
    <w:rsid w:val="00F54EA9"/>
    <w:rsid w:val="00F54FA6"/>
    <w:rsid w:val="00F5511E"/>
    <w:rsid w:val="00F558E3"/>
    <w:rsid w:val="00F56349"/>
    <w:rsid w:val="00F5789B"/>
    <w:rsid w:val="00F60909"/>
    <w:rsid w:val="00F6413A"/>
    <w:rsid w:val="00F64975"/>
    <w:rsid w:val="00F66198"/>
    <w:rsid w:val="00F71583"/>
    <w:rsid w:val="00F72280"/>
    <w:rsid w:val="00F723F0"/>
    <w:rsid w:val="00F72E9F"/>
    <w:rsid w:val="00F7451F"/>
    <w:rsid w:val="00F749B6"/>
    <w:rsid w:val="00F75AAB"/>
    <w:rsid w:val="00F75C76"/>
    <w:rsid w:val="00F76453"/>
    <w:rsid w:val="00F8154E"/>
    <w:rsid w:val="00FA0F74"/>
    <w:rsid w:val="00FA7FE2"/>
    <w:rsid w:val="00FC543C"/>
    <w:rsid w:val="00FC549F"/>
    <w:rsid w:val="00FC720B"/>
    <w:rsid w:val="00FD0069"/>
    <w:rsid w:val="00FD1AF6"/>
    <w:rsid w:val="00FD2305"/>
    <w:rsid w:val="00FD4C2C"/>
    <w:rsid w:val="00FD7377"/>
    <w:rsid w:val="00FD7E4C"/>
    <w:rsid w:val="00FE3FE9"/>
    <w:rsid w:val="00FE5A49"/>
    <w:rsid w:val="00FE5B88"/>
    <w:rsid w:val="00FE6A10"/>
    <w:rsid w:val="00FF71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669FF"/>
  <w15:chartTrackingRefBased/>
  <w15:docId w15:val="{3E64837D-9122-4978-A11D-7D64AEC8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8"/>
      </w:numPr>
      <w:spacing w:before="120" w:after="120" w:line="500" w:lineRule="exact"/>
      <w:jc w:val="both"/>
    </w:pPr>
    <w:rPr>
      <w:kern w:val="28"/>
    </w:rPr>
  </w:style>
  <w:style w:type="paragraph" w:customStyle="1" w:styleId="Citationenretrait">
    <w:name w:val="Citation en retrait"/>
    <w:basedOn w:val="Normal"/>
    <w:link w:val="CitationenretraitCar"/>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 Char1 Char1 Char Char, Char1 Char1 Char1, Char1 Char2 Char, Char1 Char3,Char,Char Char,Char Char Char,FA Fu,Footnote Text Char Char Char,Footnote Text Char Char1,Footnote Text Char1 Char,Footnote Text Char2,Footnote text,fn,ft,ft2"/>
    <w:basedOn w:val="Normal"/>
    <w:link w:val="NotedebasdepageCar"/>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aliases w:val="Char Char6 Char Char Char Char Char Char Char Char Char Char Char Char,Char6 Char Char Char Char Char Char Char Char Char Char Char Char Char,Footnote,Ref,de nota al pie,fr"/>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ParagrapheCar">
    <w:name w:val="Paragraphe Car"/>
    <w:link w:val="Paragraphe"/>
    <w:qFormat/>
    <w:rsid w:val="00120640"/>
    <w:rPr>
      <w:rFonts w:ascii="Arial" w:hAnsi="Arial"/>
      <w:kern w:val="28"/>
      <w:sz w:val="24"/>
      <w:lang w:eastAsia="fr-FR"/>
    </w:rPr>
  </w:style>
  <w:style w:type="character" w:customStyle="1" w:styleId="NotedebasdepageCar">
    <w:name w:val="Note de bas de page Car"/>
    <w:aliases w:val=" Char1 Char1 Char Char Car, Char1 Char1 Char1 Car, Char1 Char2 Char Car, Char1 Char3 Car,Char Car,Char Char Car,Char Char Char Car,FA Fu Car,Footnote Text Char Char Char Car,Footnote Text Char Char1 Car,Footnote Text Char2 Car"/>
    <w:basedOn w:val="Policepardfaut"/>
    <w:link w:val="Notedebasdepage"/>
    <w:rsid w:val="00120640"/>
    <w:rPr>
      <w:rFonts w:ascii="Arial" w:hAnsi="Arial"/>
      <w:lang w:eastAsia="fr-FR"/>
    </w:rPr>
  </w:style>
  <w:style w:type="character" w:customStyle="1" w:styleId="CitationenretraitCar">
    <w:name w:val="Citation en retrait Car"/>
    <w:link w:val="Citationenretrait"/>
    <w:rsid w:val="00120640"/>
    <w:rPr>
      <w:rFonts w:ascii="Arial" w:hAnsi="Arial"/>
      <w:kern w:val="24"/>
      <w:sz w:val="22"/>
      <w:lang w:eastAsia="fr-FR"/>
    </w:rPr>
  </w:style>
  <w:style w:type="character" w:styleId="Marquedecommentaire">
    <w:name w:val="annotation reference"/>
    <w:basedOn w:val="Policepardfaut"/>
    <w:uiPriority w:val="99"/>
    <w:semiHidden/>
    <w:unhideWhenUsed/>
    <w:rsid w:val="007007B6"/>
    <w:rPr>
      <w:sz w:val="16"/>
      <w:szCs w:val="16"/>
    </w:rPr>
  </w:style>
  <w:style w:type="paragraph" w:styleId="Commentaire">
    <w:name w:val="annotation text"/>
    <w:basedOn w:val="Normal"/>
    <w:link w:val="CommentaireCar"/>
    <w:uiPriority w:val="99"/>
    <w:unhideWhenUsed/>
    <w:rsid w:val="007007B6"/>
    <w:pPr>
      <w:spacing w:line="240" w:lineRule="auto"/>
    </w:pPr>
    <w:rPr>
      <w:sz w:val="20"/>
    </w:rPr>
  </w:style>
  <w:style w:type="character" w:customStyle="1" w:styleId="CommentaireCar">
    <w:name w:val="Commentaire Car"/>
    <w:basedOn w:val="Policepardfaut"/>
    <w:link w:val="Commentaire"/>
    <w:uiPriority w:val="99"/>
    <w:rsid w:val="007007B6"/>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7007B6"/>
    <w:rPr>
      <w:b/>
      <w:bCs/>
    </w:rPr>
  </w:style>
  <w:style w:type="character" w:customStyle="1" w:styleId="ObjetducommentaireCar">
    <w:name w:val="Objet du commentaire Car"/>
    <w:basedOn w:val="CommentaireCar"/>
    <w:link w:val="Objetducommentaire"/>
    <w:uiPriority w:val="99"/>
    <w:semiHidden/>
    <w:rsid w:val="007007B6"/>
    <w:rPr>
      <w:rFonts w:ascii="Arial" w:hAnsi="Arial"/>
      <w:b/>
      <w:bCs/>
      <w:lang w:eastAsia="fr-FR"/>
    </w:rPr>
  </w:style>
  <w:style w:type="character" w:styleId="Hyperlien">
    <w:name w:val="Hyperlink"/>
    <w:basedOn w:val="Policepardfaut"/>
    <w:uiPriority w:val="99"/>
    <w:unhideWhenUsed/>
    <w:rsid w:val="00260759"/>
    <w:rPr>
      <w:color w:val="0000FF"/>
      <w:u w:val="single"/>
    </w:rPr>
  </w:style>
  <w:style w:type="paragraph" w:styleId="Rvision">
    <w:name w:val="Revision"/>
    <w:hidden/>
    <w:uiPriority w:val="99"/>
    <w:semiHidden/>
    <w:rsid w:val="003D5E71"/>
    <w:rPr>
      <w:rFonts w:ascii="Arial" w:hAnsi="Arial"/>
      <w:sz w:val="24"/>
      <w:lang w:eastAsia="fr-FR"/>
    </w:rPr>
  </w:style>
  <w:style w:type="character" w:styleId="Lienvisit">
    <w:name w:val="FollowedHyperlink"/>
    <w:basedOn w:val="Policepardfaut"/>
    <w:uiPriority w:val="99"/>
    <w:semiHidden/>
    <w:unhideWhenUsed/>
    <w:rsid w:val="004A0BED"/>
    <w:rPr>
      <w:color w:val="954F72" w:themeColor="followedHyperlink"/>
      <w:u w:val="single"/>
    </w:rPr>
  </w:style>
  <w:style w:type="character" w:styleId="Mentionnonrsolue">
    <w:name w:val="Unresolved Mention"/>
    <w:basedOn w:val="Policepardfaut"/>
    <w:uiPriority w:val="99"/>
    <w:semiHidden/>
    <w:unhideWhenUsed/>
    <w:rsid w:val="004A0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68C2D-096B-48E8-B2DE-C354DF6F4FDB}">
  <ds:schemaRefs>
    <ds:schemaRef ds:uri="http://schemas.openxmlformats.org/officeDocument/2006/bibliography"/>
  </ds:schemaRefs>
</ds:datastoreItem>
</file>

<file path=docMetadata/LabelInfo.xml><?xml version="1.0" encoding="utf-8"?>
<clbl:labelList xmlns:clbl="http://schemas.microsoft.com/office/2020/mipLabelMetadata">
  <clbl:label id="{3f6dec78-7ded-4395-975c-6edbb7d10b16}" enabled="0" method="" siteId="{3f6dec78-7ded-4395-975c-6edbb7d10b16}" removed="1"/>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8757</Words>
  <Characters>48166</Characters>
  <Application>Microsoft Office Word</Application>
  <DocSecurity>0</DocSecurity>
  <Lines>401</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trad-rev-2</dc:creator>
  <cp:lastModifiedBy>Traduction</cp:lastModifiedBy>
  <cp:revision>2</cp:revision>
  <dcterms:created xsi:type="dcterms:W3CDTF">2025-02-04T14:25:00Z</dcterms:created>
  <dcterms:modified xsi:type="dcterms:W3CDTF">2025-02-04T14:25:00Z</dcterms:modified>
</cp:coreProperties>
</file>