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8AC5" w14:textId="61A2824C" w:rsidR="00025C6B" w:rsidRPr="003A037A" w:rsidRDefault="00025C6B">
      <w:pPr>
        <w:rPr>
          <w:lang w:val="en-CA"/>
        </w:rPr>
      </w:pPr>
    </w:p>
    <w:p w14:paraId="29FA1E65" w14:textId="7E8FB36C" w:rsidR="00686382" w:rsidRPr="00265D5B" w:rsidRDefault="00C14F8E">
      <w:pPr>
        <w:rPr>
          <w:b/>
          <w:bCs/>
          <w:lang w:val="en-CA"/>
        </w:rPr>
      </w:pPr>
      <w:r w:rsidRPr="00265D5B">
        <w:rPr>
          <w:b/>
          <w:bCs/>
          <w:lang w:val="en-CA"/>
        </w:rPr>
        <w:t>Translated from the original French</w:t>
      </w:r>
    </w:p>
    <w:tbl>
      <w:tblPr>
        <w:tblW w:w="9510" w:type="dxa"/>
        <w:tblLayout w:type="fixed"/>
        <w:tblCellMar>
          <w:left w:w="70" w:type="dxa"/>
          <w:right w:w="70" w:type="dxa"/>
        </w:tblCellMar>
        <w:tblLook w:val="0000" w:firstRow="0" w:lastRow="0" w:firstColumn="0" w:lastColumn="0" w:noHBand="0" w:noVBand="0"/>
      </w:tblPr>
      <w:tblGrid>
        <w:gridCol w:w="1842"/>
        <w:gridCol w:w="2978"/>
        <w:gridCol w:w="425"/>
        <w:gridCol w:w="4253"/>
        <w:gridCol w:w="12"/>
      </w:tblGrid>
      <w:tr w:rsidR="00A84C2E" w:rsidRPr="0035712B" w14:paraId="792E1CFE" w14:textId="77777777" w:rsidTr="00265D5B">
        <w:trPr>
          <w:trHeight w:val="360"/>
        </w:trPr>
        <w:tc>
          <w:tcPr>
            <w:tcW w:w="5245" w:type="dxa"/>
            <w:gridSpan w:val="3"/>
          </w:tcPr>
          <w:p w14:paraId="77117F14" w14:textId="4E03A89F" w:rsidR="00A84C2E" w:rsidRPr="000922B8" w:rsidRDefault="00A84C2E" w:rsidP="00A84C2E">
            <w:pPr>
              <w:pStyle w:val="zSoquijdatRepertorie"/>
              <w:rPr>
                <w:lang w:val="en-CA"/>
              </w:rPr>
            </w:pPr>
            <w:r>
              <w:rPr>
                <w:rFonts w:cs="Arial"/>
              </w:rPr>
              <w:t>Autorité des marchés financiers c. Tremblay</w:t>
            </w:r>
          </w:p>
        </w:tc>
        <w:tc>
          <w:tcPr>
            <w:tcW w:w="4265" w:type="dxa"/>
            <w:gridSpan w:val="2"/>
          </w:tcPr>
          <w:p w14:paraId="75452876" w14:textId="6B7FE50D" w:rsidR="00A84C2E" w:rsidRPr="000922B8" w:rsidRDefault="00A84C2E" w:rsidP="00A84C2E">
            <w:pPr>
              <w:pStyle w:val="zSoquijdatRefNeutre"/>
              <w:jc w:val="right"/>
              <w:rPr>
                <w:lang w:val="en-CA"/>
              </w:rPr>
            </w:pPr>
            <w:r w:rsidRPr="003A4BA0">
              <w:rPr>
                <w:rFonts w:cs="Arial"/>
              </w:rPr>
              <w:t>2024 QCTMF 13</w:t>
            </w:r>
          </w:p>
        </w:tc>
      </w:tr>
      <w:tr w:rsidR="00A84C2E" w:rsidRPr="0035712B" w14:paraId="227F0201" w14:textId="77777777" w:rsidTr="00882796">
        <w:trPr>
          <w:trHeight w:val="900"/>
        </w:trPr>
        <w:tc>
          <w:tcPr>
            <w:tcW w:w="9510" w:type="dxa"/>
            <w:gridSpan w:val="5"/>
            <w:vAlign w:val="bottom"/>
          </w:tcPr>
          <w:p w14:paraId="791B2C4A" w14:textId="420C07BC" w:rsidR="00A84C2E" w:rsidRPr="003A037A" w:rsidRDefault="00A84C2E" w:rsidP="00A84C2E">
            <w:pPr>
              <w:pStyle w:val="zSoquijlblCour"/>
              <w:rPr>
                <w:lang w:val="en-CA"/>
              </w:rPr>
            </w:pPr>
            <w:r w:rsidRPr="003A037A">
              <w:rPr>
                <w:lang w:val="en-CA"/>
              </w:rPr>
              <w:t>FINANCIAL MARKETS</w:t>
            </w:r>
            <w:r w:rsidRPr="003A037A">
              <w:rPr>
                <w:lang w:val="en-CA"/>
              </w:rPr>
              <w:br/>
              <w:t>ADMINISTRATIVE TRIBUNAL</w:t>
            </w:r>
          </w:p>
        </w:tc>
      </w:tr>
      <w:tr w:rsidR="00A84C2E" w:rsidRPr="0035712B" w14:paraId="316857F3" w14:textId="77777777" w:rsidTr="00882796">
        <w:trPr>
          <w:trHeight w:val="540"/>
        </w:trPr>
        <w:tc>
          <w:tcPr>
            <w:tcW w:w="9510" w:type="dxa"/>
            <w:gridSpan w:val="5"/>
          </w:tcPr>
          <w:p w14:paraId="7D7CA239" w14:textId="77777777" w:rsidR="00A84C2E" w:rsidRPr="003A037A" w:rsidRDefault="00A84C2E" w:rsidP="00A84C2E">
            <w:pPr>
              <w:pStyle w:val="zSoquijdatDivision"/>
              <w:rPr>
                <w:lang w:val="en-CA"/>
              </w:rPr>
            </w:pPr>
          </w:p>
        </w:tc>
      </w:tr>
      <w:tr w:rsidR="00A84C2E" w:rsidRPr="0035712B" w14:paraId="0492FD7A" w14:textId="77777777" w:rsidTr="00882796">
        <w:tc>
          <w:tcPr>
            <w:tcW w:w="9510" w:type="dxa"/>
            <w:gridSpan w:val="5"/>
          </w:tcPr>
          <w:p w14:paraId="0B02C6D8" w14:textId="07B003EA" w:rsidR="00A84C2E" w:rsidRPr="003A037A" w:rsidRDefault="00A84C2E" w:rsidP="00A84C2E">
            <w:pPr>
              <w:pStyle w:val="zSoquijlblPays"/>
              <w:rPr>
                <w:lang w:val="en-CA"/>
              </w:rPr>
            </w:pPr>
            <w:r w:rsidRPr="003A037A">
              <w:rPr>
                <w:lang w:val="en-CA"/>
              </w:rPr>
              <w:t>CANADA</w:t>
            </w:r>
          </w:p>
        </w:tc>
      </w:tr>
      <w:tr w:rsidR="00A84C2E" w:rsidRPr="0035712B" w14:paraId="6CAF857D" w14:textId="77777777" w:rsidTr="00882796">
        <w:tc>
          <w:tcPr>
            <w:tcW w:w="9510" w:type="dxa"/>
            <w:gridSpan w:val="5"/>
          </w:tcPr>
          <w:p w14:paraId="1612DCDB" w14:textId="49FB213A" w:rsidR="00A84C2E" w:rsidRPr="003A037A" w:rsidRDefault="00A84C2E" w:rsidP="00A84C2E">
            <w:pPr>
              <w:pStyle w:val="zSoquijlblProvince"/>
              <w:rPr>
                <w:lang w:val="en-CA"/>
              </w:rPr>
            </w:pPr>
            <w:r w:rsidRPr="003A037A">
              <w:rPr>
                <w:lang w:val="en-CA"/>
              </w:rPr>
              <w:t>PROVINCE OF QUEBEC</w:t>
            </w:r>
          </w:p>
        </w:tc>
      </w:tr>
      <w:tr w:rsidR="00A84C2E" w:rsidRPr="0035712B" w14:paraId="4DD5DE2A" w14:textId="77777777" w:rsidTr="00882796">
        <w:tc>
          <w:tcPr>
            <w:tcW w:w="9510" w:type="dxa"/>
            <w:gridSpan w:val="5"/>
          </w:tcPr>
          <w:p w14:paraId="24A0F4A3" w14:textId="443082FA" w:rsidR="00A84C2E" w:rsidRPr="003A037A" w:rsidRDefault="00A84C2E" w:rsidP="00A84C2E">
            <w:pPr>
              <w:pStyle w:val="zSoquijdatGreffe"/>
              <w:ind w:left="0"/>
              <w:rPr>
                <w:lang w:val="en-CA"/>
              </w:rPr>
            </w:pPr>
            <w:r w:rsidRPr="003A037A">
              <w:rPr>
                <w:lang w:val="en-CA"/>
              </w:rPr>
              <w:t>MONTREAL</w:t>
            </w:r>
          </w:p>
        </w:tc>
      </w:tr>
      <w:tr w:rsidR="00A84C2E" w:rsidRPr="0035712B" w14:paraId="6F764BAB" w14:textId="77777777" w:rsidTr="00882796">
        <w:trPr>
          <w:trHeight w:val="540"/>
        </w:trPr>
        <w:tc>
          <w:tcPr>
            <w:tcW w:w="9510" w:type="dxa"/>
            <w:gridSpan w:val="5"/>
          </w:tcPr>
          <w:p w14:paraId="20B8E001" w14:textId="77777777" w:rsidR="00A84C2E" w:rsidRPr="003A037A" w:rsidRDefault="00A84C2E" w:rsidP="00A84C2E">
            <w:pPr>
              <w:pStyle w:val="zSoquijlblNomChambre"/>
              <w:rPr>
                <w:lang w:val="en-CA"/>
              </w:rPr>
            </w:pPr>
          </w:p>
        </w:tc>
      </w:tr>
      <w:tr w:rsidR="00A84C2E" w:rsidRPr="0035712B" w14:paraId="31D3E50F" w14:textId="74A7675E" w:rsidTr="00882796">
        <w:tc>
          <w:tcPr>
            <w:tcW w:w="1842" w:type="dxa"/>
          </w:tcPr>
          <w:p w14:paraId="2841E000" w14:textId="4B3AF421" w:rsidR="00A84C2E" w:rsidRPr="003A037A" w:rsidRDefault="00A84C2E" w:rsidP="00A84C2E">
            <w:pPr>
              <w:pStyle w:val="zSoquijlblNoDossier"/>
              <w:rPr>
                <w:lang w:val="en-CA"/>
              </w:rPr>
            </w:pPr>
            <w:r w:rsidRPr="003A037A">
              <w:rPr>
                <w:lang w:val="en-CA"/>
              </w:rPr>
              <w:t>FILE No.:</w:t>
            </w:r>
          </w:p>
        </w:tc>
        <w:tc>
          <w:tcPr>
            <w:tcW w:w="7668" w:type="dxa"/>
            <w:gridSpan w:val="4"/>
          </w:tcPr>
          <w:p w14:paraId="023B23AA" w14:textId="3744546C" w:rsidR="00A84C2E" w:rsidRPr="003A037A" w:rsidRDefault="00A84C2E" w:rsidP="00A84C2E">
            <w:pPr>
              <w:pStyle w:val="zSoquijdatNoDossier"/>
              <w:rPr>
                <w:lang w:val="en-CA"/>
              </w:rPr>
            </w:pPr>
            <w:r w:rsidRPr="003A037A">
              <w:rPr>
                <w:lang w:val="en-CA"/>
              </w:rPr>
              <w:t>2021-026</w:t>
            </w:r>
          </w:p>
        </w:tc>
      </w:tr>
      <w:tr w:rsidR="00A84C2E" w:rsidRPr="0035712B" w14:paraId="167DAFC9" w14:textId="77777777" w:rsidTr="00882796">
        <w:tc>
          <w:tcPr>
            <w:tcW w:w="9510" w:type="dxa"/>
            <w:gridSpan w:val="5"/>
          </w:tcPr>
          <w:p w14:paraId="2907420D" w14:textId="77777777" w:rsidR="00A84C2E" w:rsidRPr="003A037A" w:rsidRDefault="00A84C2E" w:rsidP="00A84C2E">
            <w:pPr>
              <w:rPr>
                <w:lang w:val="en-CA"/>
              </w:rPr>
            </w:pPr>
          </w:p>
        </w:tc>
      </w:tr>
      <w:tr w:rsidR="00A84C2E" w:rsidRPr="0035712B" w14:paraId="07D35EDA" w14:textId="6B2E0E0B" w:rsidTr="00882796">
        <w:tc>
          <w:tcPr>
            <w:tcW w:w="1842" w:type="dxa"/>
          </w:tcPr>
          <w:p w14:paraId="6ECD7B4C" w14:textId="460F09E9" w:rsidR="00A84C2E" w:rsidRPr="003A037A" w:rsidRDefault="00A84C2E" w:rsidP="00A84C2E">
            <w:pPr>
              <w:pStyle w:val="zSoquijlblNoDossier"/>
              <w:rPr>
                <w:lang w:val="en-CA"/>
              </w:rPr>
            </w:pPr>
            <w:r w:rsidRPr="003A037A">
              <w:rPr>
                <w:lang w:val="en-CA"/>
              </w:rPr>
              <w:t>DECISION No.:</w:t>
            </w:r>
          </w:p>
        </w:tc>
        <w:tc>
          <w:tcPr>
            <w:tcW w:w="7668" w:type="dxa"/>
            <w:gridSpan w:val="4"/>
          </w:tcPr>
          <w:p w14:paraId="5C00052C" w14:textId="66777B09" w:rsidR="00A84C2E" w:rsidRPr="003A037A" w:rsidRDefault="00A84C2E" w:rsidP="00A84C2E">
            <w:pPr>
              <w:pStyle w:val="zSoquijdatNoDossier"/>
              <w:rPr>
                <w:lang w:val="en-CA"/>
              </w:rPr>
            </w:pPr>
            <w:r w:rsidRPr="003A037A">
              <w:rPr>
                <w:lang w:val="en-CA"/>
              </w:rPr>
              <w:t>2021-026-012</w:t>
            </w:r>
          </w:p>
        </w:tc>
      </w:tr>
      <w:tr w:rsidR="00A84C2E" w:rsidRPr="0035712B" w14:paraId="08557EA7" w14:textId="77777777" w:rsidTr="00882796">
        <w:trPr>
          <w:cantSplit/>
          <w:trHeight w:val="235"/>
        </w:trPr>
        <w:tc>
          <w:tcPr>
            <w:tcW w:w="9510" w:type="dxa"/>
            <w:gridSpan w:val="5"/>
          </w:tcPr>
          <w:p w14:paraId="52EA79F5" w14:textId="77777777" w:rsidR="00A84C2E" w:rsidRPr="003A037A" w:rsidRDefault="00A84C2E" w:rsidP="00A84C2E">
            <w:pPr>
              <w:rPr>
                <w:lang w:val="en-CA"/>
              </w:rPr>
            </w:pPr>
          </w:p>
        </w:tc>
      </w:tr>
      <w:tr w:rsidR="00A84C2E" w:rsidRPr="0035712B" w14:paraId="04D3855B" w14:textId="77777777" w:rsidTr="00D2360D">
        <w:tc>
          <w:tcPr>
            <w:tcW w:w="1842" w:type="dxa"/>
          </w:tcPr>
          <w:p w14:paraId="4058B46B" w14:textId="1F705BA9" w:rsidR="00A84C2E" w:rsidRPr="003A037A" w:rsidRDefault="00A84C2E" w:rsidP="00A84C2E">
            <w:pPr>
              <w:pStyle w:val="zSoquijlblDateJugement"/>
              <w:rPr>
                <w:lang w:val="en-CA"/>
              </w:rPr>
            </w:pPr>
            <w:r w:rsidRPr="003A037A">
              <w:rPr>
                <w:lang w:val="en-CA"/>
              </w:rPr>
              <w:t>DATE:</w:t>
            </w:r>
          </w:p>
        </w:tc>
        <w:tc>
          <w:tcPr>
            <w:tcW w:w="7668" w:type="dxa"/>
            <w:gridSpan w:val="4"/>
          </w:tcPr>
          <w:p w14:paraId="3E8B65F7" w14:textId="26E97F6C" w:rsidR="00A84C2E" w:rsidRPr="003A037A" w:rsidRDefault="00A84C2E" w:rsidP="00A84C2E">
            <w:pPr>
              <w:pStyle w:val="zSoquijdatDateJugement"/>
              <w:rPr>
                <w:lang w:val="en-CA"/>
              </w:rPr>
            </w:pPr>
            <w:r w:rsidRPr="003A037A">
              <w:rPr>
                <w:lang w:val="en-CA"/>
              </w:rPr>
              <w:t>March 22, 2024</w:t>
            </w:r>
          </w:p>
        </w:tc>
      </w:tr>
      <w:tr w:rsidR="00A84C2E" w:rsidRPr="0035712B" w14:paraId="0D4A66F5" w14:textId="77777777" w:rsidTr="00882796">
        <w:tc>
          <w:tcPr>
            <w:tcW w:w="9510" w:type="dxa"/>
            <w:gridSpan w:val="5"/>
            <w:tcBorders>
              <w:bottom w:val="single" w:sz="4" w:space="0" w:color="auto"/>
            </w:tcBorders>
          </w:tcPr>
          <w:p w14:paraId="41AFB89E" w14:textId="77777777" w:rsidR="00A84C2E" w:rsidRPr="003A037A" w:rsidRDefault="00A84C2E" w:rsidP="00A84C2E">
            <w:pPr>
              <w:ind w:left="14" w:right="-67"/>
              <w:rPr>
                <w:lang w:val="en-CA"/>
              </w:rPr>
            </w:pPr>
          </w:p>
        </w:tc>
      </w:tr>
      <w:tr w:rsidR="00A84C2E" w:rsidRPr="0035712B" w14:paraId="4B60F782" w14:textId="77777777" w:rsidTr="00882796">
        <w:tc>
          <w:tcPr>
            <w:tcW w:w="9510" w:type="dxa"/>
            <w:gridSpan w:val="5"/>
            <w:tcBorders>
              <w:top w:val="single" w:sz="4" w:space="0" w:color="auto"/>
            </w:tcBorders>
          </w:tcPr>
          <w:p w14:paraId="7A5C8B82" w14:textId="77777777" w:rsidR="00A84C2E" w:rsidRPr="003A037A" w:rsidRDefault="00A84C2E" w:rsidP="00A84C2E">
            <w:pPr>
              <w:rPr>
                <w:lang w:val="en-CA"/>
              </w:rPr>
            </w:pPr>
          </w:p>
        </w:tc>
      </w:tr>
      <w:tr w:rsidR="00A84C2E" w:rsidRPr="0035712B" w14:paraId="0182351E" w14:textId="77777777" w:rsidTr="00C14F8E">
        <w:tblPrEx>
          <w:tblCellMar>
            <w:left w:w="0" w:type="dxa"/>
            <w:right w:w="0" w:type="dxa"/>
          </w:tblCellMar>
        </w:tblPrEx>
        <w:trPr>
          <w:gridAfter w:val="1"/>
          <w:wAfter w:w="12" w:type="dxa"/>
        </w:trPr>
        <w:tc>
          <w:tcPr>
            <w:tcW w:w="4820" w:type="dxa"/>
            <w:gridSpan w:val="2"/>
          </w:tcPr>
          <w:p w14:paraId="620404AD" w14:textId="742F3066" w:rsidR="00A84C2E" w:rsidRPr="003A037A" w:rsidRDefault="00A84C2E" w:rsidP="00A84C2E">
            <w:pPr>
              <w:pStyle w:val="zSoquijdatQteJuge"/>
              <w:rPr>
                <w:lang w:val="en-CA"/>
              </w:rPr>
            </w:pPr>
            <w:r w:rsidRPr="003A037A">
              <w:rPr>
                <w:lang w:val="en-CA"/>
              </w:rPr>
              <w:t xml:space="preserve">BEFORE THE ADMINISTRATIVE JUDGE: </w:t>
            </w:r>
          </w:p>
        </w:tc>
        <w:tc>
          <w:tcPr>
            <w:tcW w:w="4678" w:type="dxa"/>
            <w:gridSpan w:val="2"/>
          </w:tcPr>
          <w:p w14:paraId="22C1D7D8" w14:textId="079020A4" w:rsidR="00A84C2E" w:rsidRPr="003A037A" w:rsidRDefault="00A84C2E" w:rsidP="00A84C2E">
            <w:pPr>
              <w:pStyle w:val="zSoquijdatJuge"/>
              <w:rPr>
                <w:lang w:val="en-CA"/>
              </w:rPr>
            </w:pPr>
            <w:r w:rsidRPr="003A037A">
              <w:rPr>
                <w:lang w:val="en-CA"/>
              </w:rPr>
              <w:t>ANTONIETTA MELCHIORRE</w:t>
            </w:r>
          </w:p>
        </w:tc>
      </w:tr>
      <w:tr w:rsidR="00A84C2E" w:rsidRPr="0035712B" w14:paraId="56C196F7" w14:textId="77777777" w:rsidTr="00882796">
        <w:tc>
          <w:tcPr>
            <w:tcW w:w="9510" w:type="dxa"/>
            <w:gridSpan w:val="5"/>
            <w:tcBorders>
              <w:bottom w:val="single" w:sz="4" w:space="0" w:color="auto"/>
            </w:tcBorders>
          </w:tcPr>
          <w:p w14:paraId="7B3C637C" w14:textId="77777777" w:rsidR="00A84C2E" w:rsidRPr="003A037A" w:rsidRDefault="00A84C2E" w:rsidP="00A84C2E">
            <w:pPr>
              <w:ind w:left="14" w:right="-67"/>
              <w:rPr>
                <w:lang w:val="en-CA"/>
              </w:rPr>
            </w:pPr>
          </w:p>
        </w:tc>
      </w:tr>
      <w:tr w:rsidR="00A84C2E" w:rsidRPr="0035712B" w14:paraId="5726BD92" w14:textId="77777777" w:rsidTr="00882796">
        <w:tc>
          <w:tcPr>
            <w:tcW w:w="9510" w:type="dxa"/>
            <w:gridSpan w:val="5"/>
            <w:tcBorders>
              <w:top w:val="single" w:sz="4" w:space="0" w:color="auto"/>
            </w:tcBorders>
          </w:tcPr>
          <w:p w14:paraId="5BC95DF7" w14:textId="77777777" w:rsidR="00A84C2E" w:rsidRPr="003A037A" w:rsidRDefault="00A84C2E" w:rsidP="00A84C2E">
            <w:pPr>
              <w:pStyle w:val="zSoquijlblTitrePartie"/>
              <w:rPr>
                <w:lang w:val="en-CA"/>
              </w:rPr>
            </w:pPr>
          </w:p>
        </w:tc>
      </w:tr>
      <w:tr w:rsidR="00A84C2E" w:rsidRPr="0035712B" w14:paraId="2B861BF1" w14:textId="77777777" w:rsidTr="00882796">
        <w:tc>
          <w:tcPr>
            <w:tcW w:w="9510" w:type="dxa"/>
            <w:gridSpan w:val="5"/>
          </w:tcPr>
          <w:p w14:paraId="04437903" w14:textId="36B94399" w:rsidR="00A84C2E" w:rsidRPr="003A037A" w:rsidRDefault="00A84C2E" w:rsidP="00A84C2E">
            <w:pPr>
              <w:pStyle w:val="zSoquijdatNomPartieDem"/>
              <w:jc w:val="both"/>
              <w:rPr>
                <w:lang w:val="en-CA"/>
              </w:rPr>
            </w:pPr>
            <w:r w:rsidRPr="003A037A">
              <w:rPr>
                <w:lang w:val="en-CA"/>
              </w:rPr>
              <w:t>AUTORITÉ DES MARCHÉS FINANCIERS</w:t>
            </w:r>
          </w:p>
        </w:tc>
      </w:tr>
      <w:tr w:rsidR="00A84C2E" w:rsidRPr="0035712B" w14:paraId="1209502E" w14:textId="77777777" w:rsidTr="00882796">
        <w:tc>
          <w:tcPr>
            <w:tcW w:w="9510" w:type="dxa"/>
            <w:gridSpan w:val="5"/>
          </w:tcPr>
          <w:p w14:paraId="52EABAB3" w14:textId="7E99292D" w:rsidR="00A84C2E" w:rsidRPr="003A037A" w:rsidRDefault="00A84C2E" w:rsidP="00A84C2E">
            <w:pPr>
              <w:pStyle w:val="zSoquijdatQtePartieDem"/>
              <w:ind w:left="709"/>
              <w:rPr>
                <w:lang w:val="en-CA"/>
              </w:rPr>
            </w:pPr>
            <w:r w:rsidRPr="003A037A">
              <w:rPr>
                <w:lang w:val="en-CA"/>
              </w:rPr>
              <w:t>Applicant</w:t>
            </w:r>
          </w:p>
        </w:tc>
      </w:tr>
      <w:tr w:rsidR="00A84C2E" w:rsidRPr="0035712B" w14:paraId="11AC5BED" w14:textId="77777777" w:rsidTr="00882796">
        <w:trPr>
          <w:trHeight w:val="459"/>
        </w:trPr>
        <w:tc>
          <w:tcPr>
            <w:tcW w:w="9510" w:type="dxa"/>
            <w:gridSpan w:val="5"/>
          </w:tcPr>
          <w:p w14:paraId="0A559E73" w14:textId="6CE90DEB" w:rsidR="00A84C2E" w:rsidRPr="003A037A" w:rsidRDefault="00A84C2E" w:rsidP="00A84C2E">
            <w:pPr>
              <w:pStyle w:val="zSoquijlblLienParties"/>
              <w:rPr>
                <w:lang w:val="en-CA"/>
              </w:rPr>
            </w:pPr>
            <w:r w:rsidRPr="003A037A">
              <w:rPr>
                <w:lang w:val="en-CA"/>
              </w:rPr>
              <w:t>v.</w:t>
            </w:r>
          </w:p>
        </w:tc>
      </w:tr>
      <w:tr w:rsidR="00A84C2E" w:rsidRPr="0035712B" w14:paraId="280E4A2E" w14:textId="77777777" w:rsidTr="00882796">
        <w:tc>
          <w:tcPr>
            <w:tcW w:w="9510" w:type="dxa"/>
            <w:gridSpan w:val="5"/>
          </w:tcPr>
          <w:p w14:paraId="1C4F44C7" w14:textId="6895E6E0" w:rsidR="00A84C2E" w:rsidRPr="003A037A" w:rsidRDefault="00A84C2E" w:rsidP="00A84C2E">
            <w:pPr>
              <w:pStyle w:val="zSoquijdatNomPartieDef"/>
              <w:jc w:val="both"/>
              <w:rPr>
                <w:lang w:val="en-CA"/>
              </w:rPr>
            </w:pPr>
            <w:r w:rsidRPr="003A037A">
              <w:rPr>
                <w:lang w:val="en-CA"/>
              </w:rPr>
              <w:t>ROGER TREMBLAY</w:t>
            </w:r>
          </w:p>
        </w:tc>
      </w:tr>
      <w:tr w:rsidR="00A84C2E" w:rsidRPr="0035712B" w14:paraId="12DDEF9C" w14:textId="77777777" w:rsidTr="00882796">
        <w:tc>
          <w:tcPr>
            <w:tcW w:w="9510" w:type="dxa"/>
            <w:gridSpan w:val="5"/>
          </w:tcPr>
          <w:p w14:paraId="47408FEA" w14:textId="424219EB" w:rsidR="00A84C2E" w:rsidRPr="003A037A" w:rsidRDefault="00A84C2E" w:rsidP="00A84C2E">
            <w:pPr>
              <w:pStyle w:val="zSoquijdatQtePartieDef"/>
              <w:rPr>
                <w:lang w:val="en-CA"/>
              </w:rPr>
            </w:pPr>
            <w:r w:rsidRPr="003A037A">
              <w:rPr>
                <w:lang w:val="en-CA"/>
              </w:rPr>
              <w:t>Respondent</w:t>
            </w:r>
          </w:p>
        </w:tc>
      </w:tr>
      <w:tr w:rsidR="00A84C2E" w:rsidRPr="0035712B" w14:paraId="4BE7F957" w14:textId="77777777" w:rsidTr="00882796">
        <w:tc>
          <w:tcPr>
            <w:tcW w:w="9510" w:type="dxa"/>
            <w:gridSpan w:val="5"/>
          </w:tcPr>
          <w:p w14:paraId="673DE0DA" w14:textId="17D61282" w:rsidR="00A84C2E" w:rsidRPr="003A037A" w:rsidRDefault="00A84C2E" w:rsidP="00A84C2E">
            <w:pPr>
              <w:ind w:left="14" w:right="-95"/>
              <w:rPr>
                <w:lang w:val="en-CA"/>
              </w:rPr>
            </w:pPr>
            <w:r w:rsidRPr="003A037A">
              <w:rPr>
                <w:lang w:val="en-CA"/>
              </w:rPr>
              <w:t>and</w:t>
            </w:r>
          </w:p>
        </w:tc>
      </w:tr>
      <w:tr w:rsidR="00A84C2E" w:rsidRPr="0035712B" w14:paraId="6E401E4F" w14:textId="77777777" w:rsidTr="00882796">
        <w:tc>
          <w:tcPr>
            <w:tcW w:w="9510" w:type="dxa"/>
            <w:gridSpan w:val="5"/>
          </w:tcPr>
          <w:p w14:paraId="1D5558E6" w14:textId="0FD787A3" w:rsidR="00A84C2E" w:rsidRPr="003A037A" w:rsidRDefault="00A84C2E" w:rsidP="00A84C2E">
            <w:pPr>
              <w:ind w:left="14" w:right="-95"/>
              <w:jc w:val="both"/>
              <w:rPr>
                <w:lang w:val="en-CA"/>
              </w:rPr>
            </w:pPr>
            <w:r w:rsidRPr="003A037A">
              <w:rPr>
                <w:b/>
                <w:lang w:val="en-CA"/>
              </w:rPr>
              <w:t>I.G. INSURANCE SERVICES INC.</w:t>
            </w:r>
          </w:p>
        </w:tc>
      </w:tr>
      <w:tr w:rsidR="00A84C2E" w:rsidRPr="0035712B" w14:paraId="67B0E71E" w14:textId="77777777" w:rsidTr="00882796">
        <w:tc>
          <w:tcPr>
            <w:tcW w:w="9510" w:type="dxa"/>
            <w:gridSpan w:val="5"/>
          </w:tcPr>
          <w:p w14:paraId="2CD7A3BA" w14:textId="6D21A207" w:rsidR="00A84C2E" w:rsidRPr="003A037A" w:rsidRDefault="00A84C2E" w:rsidP="00A84C2E">
            <w:pPr>
              <w:ind w:left="14" w:right="-95"/>
              <w:rPr>
                <w:lang w:val="en-CA"/>
              </w:rPr>
            </w:pPr>
            <w:r w:rsidRPr="003A037A">
              <w:rPr>
                <w:lang w:val="en-CA"/>
              </w:rPr>
              <w:t>and</w:t>
            </w:r>
          </w:p>
        </w:tc>
      </w:tr>
      <w:tr w:rsidR="00A84C2E" w:rsidRPr="00AC46CE" w14:paraId="627A89DF" w14:textId="77777777" w:rsidTr="00882796">
        <w:tc>
          <w:tcPr>
            <w:tcW w:w="9510" w:type="dxa"/>
            <w:gridSpan w:val="5"/>
          </w:tcPr>
          <w:p w14:paraId="089F4DDB" w14:textId="34B3B696" w:rsidR="00A84C2E" w:rsidRPr="000922B8" w:rsidRDefault="00A84C2E" w:rsidP="00A84C2E">
            <w:pPr>
              <w:ind w:left="14" w:right="-95"/>
              <w:rPr>
                <w:lang w:val="en-CA"/>
              </w:rPr>
            </w:pPr>
            <w:r w:rsidRPr="000922B8">
              <w:rPr>
                <w:b/>
                <w:lang w:val="en-CA"/>
              </w:rPr>
              <w:t>INVESTORS GROUP FINANCIAL SERVICES INC.</w:t>
            </w:r>
          </w:p>
        </w:tc>
      </w:tr>
      <w:tr w:rsidR="00A84C2E" w:rsidRPr="0035712B" w14:paraId="5C3A81AA" w14:textId="77777777" w:rsidTr="00882796">
        <w:tc>
          <w:tcPr>
            <w:tcW w:w="9510" w:type="dxa"/>
            <w:gridSpan w:val="5"/>
          </w:tcPr>
          <w:p w14:paraId="12081C83" w14:textId="620BF8D0" w:rsidR="00A84C2E" w:rsidRPr="003A037A" w:rsidRDefault="00A84C2E" w:rsidP="00A84C2E">
            <w:pPr>
              <w:ind w:left="14" w:right="-95"/>
              <w:rPr>
                <w:b/>
                <w:lang w:val="en-CA"/>
              </w:rPr>
            </w:pPr>
            <w:r w:rsidRPr="003A037A">
              <w:rPr>
                <w:lang w:val="en-CA"/>
              </w:rPr>
              <w:t>and</w:t>
            </w:r>
          </w:p>
        </w:tc>
      </w:tr>
      <w:tr w:rsidR="00A84C2E" w:rsidRPr="0035712B" w14:paraId="03EFBF5A" w14:textId="77777777" w:rsidTr="00882796">
        <w:tc>
          <w:tcPr>
            <w:tcW w:w="9510" w:type="dxa"/>
            <w:gridSpan w:val="5"/>
          </w:tcPr>
          <w:p w14:paraId="4B8D39D0" w14:textId="70CA1D5B" w:rsidR="00A84C2E" w:rsidRPr="003A037A" w:rsidRDefault="00A84C2E" w:rsidP="00A84C2E">
            <w:pPr>
              <w:ind w:left="14" w:right="-95"/>
              <w:rPr>
                <w:b/>
                <w:lang w:val="en-CA"/>
              </w:rPr>
            </w:pPr>
            <w:r w:rsidRPr="003A037A">
              <w:rPr>
                <w:b/>
                <w:lang w:val="en-CA"/>
              </w:rPr>
              <w:t>VALMOND SANTERRE</w:t>
            </w:r>
          </w:p>
        </w:tc>
      </w:tr>
      <w:tr w:rsidR="00A84C2E" w:rsidRPr="0035712B" w14:paraId="6DAC3F87" w14:textId="77777777" w:rsidTr="00882796">
        <w:tc>
          <w:tcPr>
            <w:tcW w:w="9510" w:type="dxa"/>
            <w:gridSpan w:val="5"/>
          </w:tcPr>
          <w:p w14:paraId="1F8C8A8E" w14:textId="5CCBA4C9" w:rsidR="00A84C2E" w:rsidRPr="003A037A" w:rsidRDefault="00A84C2E" w:rsidP="00A84C2E">
            <w:pPr>
              <w:ind w:left="14" w:right="-95"/>
              <w:rPr>
                <w:b/>
                <w:lang w:val="en-CA"/>
              </w:rPr>
            </w:pPr>
            <w:r w:rsidRPr="003A037A">
              <w:rPr>
                <w:lang w:val="en-CA"/>
              </w:rPr>
              <w:t>and</w:t>
            </w:r>
          </w:p>
        </w:tc>
      </w:tr>
      <w:tr w:rsidR="00A84C2E" w:rsidRPr="0035712B" w14:paraId="28E2744B" w14:textId="77777777" w:rsidTr="00882796">
        <w:tc>
          <w:tcPr>
            <w:tcW w:w="9510" w:type="dxa"/>
            <w:gridSpan w:val="5"/>
          </w:tcPr>
          <w:p w14:paraId="040E0500" w14:textId="50ED59A3" w:rsidR="00A84C2E" w:rsidRPr="003A037A" w:rsidRDefault="00A84C2E" w:rsidP="00A84C2E">
            <w:pPr>
              <w:ind w:left="14" w:right="-95"/>
              <w:rPr>
                <w:b/>
                <w:lang w:val="en-CA"/>
              </w:rPr>
            </w:pPr>
            <w:r w:rsidRPr="003A037A">
              <w:rPr>
                <w:b/>
                <w:lang w:val="en-CA"/>
              </w:rPr>
              <w:t>PUBLIC CURATOR OF QUEBEC</w:t>
            </w:r>
          </w:p>
        </w:tc>
      </w:tr>
      <w:tr w:rsidR="00A84C2E" w:rsidRPr="0035712B" w14:paraId="59194A47" w14:textId="77777777" w:rsidTr="00882796">
        <w:tc>
          <w:tcPr>
            <w:tcW w:w="9510" w:type="dxa"/>
            <w:gridSpan w:val="5"/>
          </w:tcPr>
          <w:p w14:paraId="129429EE" w14:textId="6DED2D4F" w:rsidR="00A84C2E" w:rsidRPr="003A037A" w:rsidRDefault="00A84C2E" w:rsidP="00A84C2E">
            <w:pPr>
              <w:ind w:left="14" w:right="-95"/>
              <w:rPr>
                <w:b/>
                <w:lang w:val="en-CA"/>
              </w:rPr>
            </w:pPr>
            <w:r w:rsidRPr="003A037A">
              <w:rPr>
                <w:lang w:val="en-CA"/>
              </w:rPr>
              <w:t>and</w:t>
            </w:r>
          </w:p>
        </w:tc>
      </w:tr>
      <w:tr w:rsidR="00A84C2E" w:rsidRPr="0035712B" w14:paraId="4919D499" w14:textId="77777777" w:rsidTr="00882796">
        <w:tc>
          <w:tcPr>
            <w:tcW w:w="9510" w:type="dxa"/>
            <w:gridSpan w:val="5"/>
          </w:tcPr>
          <w:p w14:paraId="3A437630" w14:textId="2ED7185E" w:rsidR="00A84C2E" w:rsidRPr="00B557B4" w:rsidRDefault="00A84C2E" w:rsidP="00A84C2E">
            <w:pPr>
              <w:ind w:left="14" w:right="-95"/>
              <w:rPr>
                <w:b/>
              </w:rPr>
            </w:pPr>
            <w:r w:rsidRPr="00B557B4">
              <w:rPr>
                <w:b/>
              </w:rPr>
              <w:t>CHAMBRE DE LA SÉCURITÉ FINANCIÈRE</w:t>
            </w:r>
          </w:p>
        </w:tc>
      </w:tr>
      <w:tr w:rsidR="00A84C2E" w:rsidRPr="0035712B" w14:paraId="6774F6CB" w14:textId="77777777" w:rsidTr="00882796">
        <w:tc>
          <w:tcPr>
            <w:tcW w:w="9510" w:type="dxa"/>
            <w:gridSpan w:val="5"/>
          </w:tcPr>
          <w:p w14:paraId="7EFDBE28" w14:textId="1DF1F389" w:rsidR="00A84C2E" w:rsidRPr="003A037A" w:rsidRDefault="00A84C2E" w:rsidP="00A84C2E">
            <w:pPr>
              <w:ind w:left="14" w:right="-95"/>
              <w:rPr>
                <w:b/>
                <w:lang w:val="en-CA"/>
              </w:rPr>
            </w:pPr>
            <w:r w:rsidRPr="003A037A">
              <w:rPr>
                <w:lang w:val="en-CA"/>
              </w:rPr>
              <w:t>and</w:t>
            </w:r>
          </w:p>
        </w:tc>
      </w:tr>
      <w:tr w:rsidR="00A84C2E" w:rsidRPr="00AC46CE" w14:paraId="0A5200B2" w14:textId="77777777" w:rsidTr="00882796">
        <w:tc>
          <w:tcPr>
            <w:tcW w:w="9510" w:type="dxa"/>
            <w:gridSpan w:val="5"/>
          </w:tcPr>
          <w:p w14:paraId="0D2CCA1A" w14:textId="76EEE159" w:rsidR="00A84C2E" w:rsidRPr="000922B8" w:rsidRDefault="00A84C2E" w:rsidP="00A84C2E">
            <w:pPr>
              <w:ind w:left="14"/>
              <w:jc w:val="both"/>
              <w:rPr>
                <w:b/>
                <w:lang w:val="en-CA"/>
              </w:rPr>
            </w:pPr>
            <w:r w:rsidRPr="000922B8">
              <w:rPr>
                <w:b/>
                <w:lang w:val="en-CA"/>
              </w:rPr>
              <w:t xml:space="preserve">REGISTRAR OF THE REGISTRY OFFICE FOR THE REGISTRATION DIVISION OF </w:t>
            </w:r>
            <w:r>
              <w:rPr>
                <w:b/>
                <w:lang w:val="en-CA"/>
              </w:rPr>
              <w:t>QUÉBEC</w:t>
            </w:r>
          </w:p>
        </w:tc>
      </w:tr>
      <w:tr w:rsidR="00A84C2E" w:rsidRPr="0035712B" w14:paraId="73B4A5C0" w14:textId="77777777" w:rsidTr="00882796">
        <w:tc>
          <w:tcPr>
            <w:tcW w:w="9510" w:type="dxa"/>
            <w:gridSpan w:val="5"/>
          </w:tcPr>
          <w:p w14:paraId="06F15774" w14:textId="55A2988C" w:rsidR="00A84C2E" w:rsidRPr="003A037A" w:rsidRDefault="00A84C2E" w:rsidP="00A84C2E">
            <w:pPr>
              <w:ind w:left="14" w:right="-95"/>
              <w:rPr>
                <w:b/>
                <w:lang w:val="en-CA"/>
              </w:rPr>
            </w:pPr>
            <w:r w:rsidRPr="003A037A">
              <w:rPr>
                <w:lang w:val="en-CA"/>
              </w:rPr>
              <w:t>and</w:t>
            </w:r>
          </w:p>
        </w:tc>
      </w:tr>
      <w:tr w:rsidR="00A84C2E" w:rsidRPr="00AC46CE" w14:paraId="7B17E4DB" w14:textId="77777777" w:rsidTr="00882796">
        <w:tc>
          <w:tcPr>
            <w:tcW w:w="9510" w:type="dxa"/>
            <w:gridSpan w:val="5"/>
          </w:tcPr>
          <w:p w14:paraId="7447A1D2" w14:textId="7FDD6C33" w:rsidR="00A84C2E" w:rsidRPr="000922B8" w:rsidRDefault="00A84C2E" w:rsidP="00A84C2E">
            <w:pPr>
              <w:ind w:left="14" w:right="85"/>
              <w:jc w:val="both"/>
              <w:rPr>
                <w:b/>
                <w:lang w:val="en-CA"/>
              </w:rPr>
            </w:pPr>
            <w:r w:rsidRPr="000922B8">
              <w:rPr>
                <w:rFonts w:cs="Arial"/>
                <w:b/>
                <w:bCs/>
                <w:color w:val="000000"/>
                <w:lang w:val="en-CA"/>
              </w:rPr>
              <w:t>NATIONAL BANK OF CANADA</w:t>
            </w:r>
            <w:r w:rsidRPr="000922B8">
              <w:rPr>
                <w:rFonts w:cs="Arial"/>
                <w:bCs/>
                <w:lang w:val="en-CA"/>
              </w:rPr>
              <w:t>, a duly constituted legal person, having a place of business at 2750 Sainte-Foy Road, suite 100, Plaza Laval, Québec, Québec  G1V 1V6</w:t>
            </w:r>
          </w:p>
        </w:tc>
      </w:tr>
      <w:tr w:rsidR="00A84C2E" w:rsidRPr="0035712B" w14:paraId="29D75F06" w14:textId="77777777" w:rsidTr="00882796">
        <w:tc>
          <w:tcPr>
            <w:tcW w:w="9510" w:type="dxa"/>
            <w:gridSpan w:val="5"/>
          </w:tcPr>
          <w:p w14:paraId="5EB3913B" w14:textId="2E93B51E" w:rsidR="00A84C2E" w:rsidRPr="003A037A" w:rsidRDefault="00A84C2E" w:rsidP="00A84C2E">
            <w:pPr>
              <w:ind w:left="14" w:right="85"/>
              <w:jc w:val="both"/>
              <w:rPr>
                <w:b/>
                <w:lang w:val="en-CA"/>
              </w:rPr>
            </w:pPr>
            <w:r w:rsidRPr="003A037A">
              <w:rPr>
                <w:lang w:val="en-CA"/>
              </w:rPr>
              <w:lastRenderedPageBreak/>
              <w:t>and</w:t>
            </w:r>
          </w:p>
        </w:tc>
      </w:tr>
      <w:tr w:rsidR="00A84C2E" w:rsidRPr="00AC46CE" w14:paraId="338162BE" w14:textId="77777777" w:rsidTr="00882796">
        <w:tc>
          <w:tcPr>
            <w:tcW w:w="9510" w:type="dxa"/>
            <w:gridSpan w:val="5"/>
          </w:tcPr>
          <w:p w14:paraId="466533CF" w14:textId="4A8258EB" w:rsidR="00A84C2E" w:rsidRPr="000922B8" w:rsidRDefault="00A84C2E" w:rsidP="00A84C2E">
            <w:pPr>
              <w:ind w:left="14" w:right="85"/>
              <w:jc w:val="both"/>
              <w:rPr>
                <w:b/>
                <w:lang w:val="en-CA"/>
              </w:rPr>
            </w:pPr>
            <w:r w:rsidRPr="000922B8">
              <w:rPr>
                <w:rFonts w:cs="Arial"/>
                <w:b/>
                <w:bCs/>
                <w:color w:val="000000"/>
                <w:lang w:val="en-CA"/>
              </w:rPr>
              <w:t>NATIONAL BANK OF CANADA</w:t>
            </w:r>
            <w:r w:rsidRPr="000922B8">
              <w:rPr>
                <w:rFonts w:cs="Arial"/>
                <w:bCs/>
                <w:lang w:val="en-CA"/>
              </w:rPr>
              <w:t xml:space="preserve">, a duly constituted legal person, having a place of business at 2600 Laurier Blvd., Place de la </w:t>
            </w:r>
            <w:proofErr w:type="spellStart"/>
            <w:r w:rsidRPr="000922B8">
              <w:rPr>
                <w:rFonts w:cs="Arial"/>
                <w:bCs/>
                <w:lang w:val="en-CA"/>
              </w:rPr>
              <w:t>Cité</w:t>
            </w:r>
            <w:proofErr w:type="spellEnd"/>
            <w:r w:rsidRPr="000922B8">
              <w:rPr>
                <w:rFonts w:cs="Arial"/>
                <w:bCs/>
                <w:lang w:val="en-CA"/>
              </w:rPr>
              <w:t>, suite 156, Québec, Québec  G1V 4T3</w:t>
            </w:r>
          </w:p>
        </w:tc>
      </w:tr>
      <w:tr w:rsidR="00A84C2E" w:rsidRPr="0035712B" w14:paraId="2E1ED98A" w14:textId="77777777" w:rsidTr="00882796">
        <w:tc>
          <w:tcPr>
            <w:tcW w:w="9510" w:type="dxa"/>
            <w:gridSpan w:val="5"/>
          </w:tcPr>
          <w:p w14:paraId="05B5E500" w14:textId="2BE6E76E" w:rsidR="00A84C2E" w:rsidRPr="003A037A" w:rsidRDefault="00A84C2E" w:rsidP="00A84C2E">
            <w:pPr>
              <w:ind w:left="14" w:right="85"/>
              <w:jc w:val="both"/>
              <w:rPr>
                <w:rFonts w:cs="Arial"/>
                <w:b/>
                <w:bCs/>
                <w:color w:val="000000"/>
                <w:lang w:val="en-CA"/>
              </w:rPr>
            </w:pPr>
            <w:r w:rsidRPr="003A037A">
              <w:rPr>
                <w:lang w:val="en-CA"/>
              </w:rPr>
              <w:t>and</w:t>
            </w:r>
          </w:p>
        </w:tc>
      </w:tr>
      <w:tr w:rsidR="00A84C2E" w:rsidRPr="00AC46CE" w14:paraId="4FA19EA0" w14:textId="77777777" w:rsidTr="00882796">
        <w:tc>
          <w:tcPr>
            <w:tcW w:w="9510" w:type="dxa"/>
            <w:gridSpan w:val="5"/>
          </w:tcPr>
          <w:p w14:paraId="708C40DF" w14:textId="7F63652D" w:rsidR="00A84C2E" w:rsidRPr="000922B8" w:rsidRDefault="00A84C2E" w:rsidP="00A84C2E">
            <w:pPr>
              <w:ind w:left="14" w:right="85"/>
              <w:jc w:val="both"/>
              <w:rPr>
                <w:rFonts w:cs="Arial"/>
                <w:b/>
                <w:bCs/>
                <w:color w:val="000000"/>
                <w:lang w:val="en-CA"/>
              </w:rPr>
            </w:pPr>
            <w:r w:rsidRPr="000922B8">
              <w:rPr>
                <w:rFonts w:cs="Arial"/>
                <w:b/>
                <w:bCs/>
                <w:color w:val="000000"/>
                <w:lang w:val="en-CA"/>
              </w:rPr>
              <w:t>NATIONAL BANK OF CANADA</w:t>
            </w:r>
            <w:r w:rsidRPr="000922B8">
              <w:rPr>
                <w:rFonts w:cs="Arial"/>
                <w:bCs/>
                <w:color w:val="000000"/>
                <w:lang w:val="en-CA"/>
              </w:rPr>
              <w:t xml:space="preserve">, a duly constituted legal person, having a place of business at 500 Place </w:t>
            </w:r>
            <w:proofErr w:type="spellStart"/>
            <w:r w:rsidRPr="000922B8">
              <w:rPr>
                <w:rFonts w:cs="Arial"/>
                <w:bCs/>
                <w:color w:val="000000"/>
                <w:lang w:val="en-CA"/>
              </w:rPr>
              <w:t>d’Armes</w:t>
            </w:r>
            <w:proofErr w:type="spellEnd"/>
            <w:r w:rsidRPr="000922B8">
              <w:rPr>
                <w:rFonts w:cs="Arial"/>
                <w:bCs/>
                <w:color w:val="000000"/>
                <w:lang w:val="en-CA"/>
              </w:rPr>
              <w:t>, Main Floor, Montreal, Québec  H2Y 2W3</w:t>
            </w:r>
          </w:p>
        </w:tc>
      </w:tr>
      <w:tr w:rsidR="00A84C2E" w:rsidRPr="0035712B" w14:paraId="2A01F84C" w14:textId="77777777" w:rsidTr="00882796">
        <w:tc>
          <w:tcPr>
            <w:tcW w:w="9510" w:type="dxa"/>
            <w:gridSpan w:val="5"/>
          </w:tcPr>
          <w:p w14:paraId="064F4475" w14:textId="178D1E10" w:rsidR="00A84C2E" w:rsidRPr="003A037A" w:rsidRDefault="00A84C2E" w:rsidP="00A84C2E">
            <w:pPr>
              <w:ind w:left="14" w:right="85"/>
              <w:jc w:val="both"/>
              <w:rPr>
                <w:rFonts w:cs="Arial"/>
                <w:b/>
                <w:bCs/>
                <w:color w:val="000000"/>
                <w:lang w:val="en-CA"/>
              </w:rPr>
            </w:pPr>
            <w:r w:rsidRPr="003A037A">
              <w:rPr>
                <w:lang w:val="en-CA"/>
              </w:rPr>
              <w:t>and</w:t>
            </w:r>
          </w:p>
        </w:tc>
      </w:tr>
      <w:tr w:rsidR="00A84C2E" w:rsidRPr="00AC46CE" w14:paraId="035331D1" w14:textId="77777777" w:rsidTr="00882796">
        <w:tc>
          <w:tcPr>
            <w:tcW w:w="9510" w:type="dxa"/>
            <w:gridSpan w:val="5"/>
          </w:tcPr>
          <w:p w14:paraId="289F5381" w14:textId="212025C4" w:rsidR="00A84C2E" w:rsidRPr="000922B8" w:rsidRDefault="00A84C2E" w:rsidP="00A84C2E">
            <w:pPr>
              <w:ind w:left="14" w:right="85"/>
              <w:jc w:val="both"/>
              <w:rPr>
                <w:rFonts w:cs="Arial"/>
                <w:b/>
                <w:bCs/>
                <w:color w:val="000000"/>
                <w:lang w:val="en-CA"/>
              </w:rPr>
            </w:pPr>
            <w:r w:rsidRPr="000922B8">
              <w:rPr>
                <w:rFonts w:cs="Arial"/>
                <w:b/>
                <w:bCs/>
                <w:color w:val="000000"/>
                <w:lang w:val="en-CA"/>
              </w:rPr>
              <w:t>NATIONAL BANK OF CANADA</w:t>
            </w:r>
            <w:r w:rsidRPr="000922B8">
              <w:rPr>
                <w:rFonts w:cs="Arial"/>
                <w:bCs/>
                <w:color w:val="000000"/>
                <w:lang w:val="en-CA"/>
              </w:rPr>
              <w:t>, a duly constituted legal person, having a place of business at 2336 Sainte-Foy Road, suite 800, Québec, Québec  G1V 1S5</w:t>
            </w:r>
          </w:p>
        </w:tc>
      </w:tr>
      <w:tr w:rsidR="00A84C2E" w:rsidRPr="0035712B" w14:paraId="18149994" w14:textId="77777777" w:rsidTr="00882796">
        <w:tc>
          <w:tcPr>
            <w:tcW w:w="9510" w:type="dxa"/>
            <w:gridSpan w:val="5"/>
          </w:tcPr>
          <w:p w14:paraId="29AACA03" w14:textId="3F4A6861" w:rsidR="00A84C2E" w:rsidRPr="003A037A" w:rsidRDefault="00A84C2E" w:rsidP="00A84C2E">
            <w:pPr>
              <w:ind w:left="14" w:right="85"/>
              <w:rPr>
                <w:rFonts w:cs="Arial"/>
                <w:b/>
                <w:bCs/>
                <w:color w:val="000000"/>
                <w:lang w:val="en-CA"/>
              </w:rPr>
            </w:pPr>
            <w:r w:rsidRPr="003A037A">
              <w:rPr>
                <w:lang w:val="en-CA"/>
              </w:rPr>
              <w:t>and</w:t>
            </w:r>
          </w:p>
        </w:tc>
      </w:tr>
      <w:tr w:rsidR="00A84C2E" w:rsidRPr="0035712B" w14:paraId="6BD83132" w14:textId="77777777" w:rsidTr="00882796">
        <w:tc>
          <w:tcPr>
            <w:tcW w:w="9510" w:type="dxa"/>
            <w:gridSpan w:val="5"/>
          </w:tcPr>
          <w:p w14:paraId="69548DFE" w14:textId="1DFC7722" w:rsidR="00A84C2E" w:rsidRPr="00B557B4" w:rsidRDefault="00A84C2E" w:rsidP="00A84C2E">
            <w:pPr>
              <w:ind w:left="14" w:right="85"/>
              <w:rPr>
                <w:rFonts w:cs="Arial"/>
                <w:b/>
                <w:bCs/>
                <w:color w:val="000000"/>
              </w:rPr>
            </w:pPr>
            <w:r w:rsidRPr="00B557B4">
              <w:rPr>
                <w:rFonts w:cs="Arial"/>
                <w:b/>
                <w:bCs/>
              </w:rPr>
              <w:t>SOCIÉTÉ DE L'ASSURANCE AUTOMOBILE DU QUÉBEC</w:t>
            </w:r>
          </w:p>
        </w:tc>
      </w:tr>
      <w:tr w:rsidR="00A84C2E" w:rsidRPr="0035712B" w14:paraId="53CD4B3D" w14:textId="77777777" w:rsidTr="00882796">
        <w:tc>
          <w:tcPr>
            <w:tcW w:w="9510" w:type="dxa"/>
            <w:gridSpan w:val="5"/>
          </w:tcPr>
          <w:p w14:paraId="5FE448E4" w14:textId="3B953F33" w:rsidR="00A84C2E" w:rsidRPr="003A037A" w:rsidRDefault="00A84C2E" w:rsidP="00A84C2E">
            <w:pPr>
              <w:ind w:left="14" w:right="85"/>
              <w:rPr>
                <w:rFonts w:cs="Arial"/>
                <w:b/>
                <w:bCs/>
                <w:color w:val="000000"/>
                <w:lang w:val="en-CA"/>
              </w:rPr>
            </w:pPr>
            <w:r w:rsidRPr="003A037A">
              <w:rPr>
                <w:lang w:val="en-CA"/>
              </w:rPr>
              <w:t>and</w:t>
            </w:r>
          </w:p>
        </w:tc>
      </w:tr>
      <w:tr w:rsidR="00A84C2E" w:rsidRPr="00AC46CE" w14:paraId="06B4A188" w14:textId="77777777" w:rsidTr="00882796">
        <w:tc>
          <w:tcPr>
            <w:tcW w:w="9510" w:type="dxa"/>
            <w:gridSpan w:val="5"/>
          </w:tcPr>
          <w:p w14:paraId="05CC3908" w14:textId="505A9C56" w:rsidR="00A84C2E" w:rsidRPr="000922B8" w:rsidRDefault="00A84C2E" w:rsidP="00A84C2E">
            <w:pPr>
              <w:ind w:left="14" w:right="85"/>
              <w:rPr>
                <w:rFonts w:cs="Arial"/>
                <w:b/>
                <w:bCs/>
                <w:color w:val="000000"/>
                <w:lang w:val="en-CA"/>
              </w:rPr>
            </w:pPr>
            <w:r w:rsidRPr="000922B8">
              <w:rPr>
                <w:rFonts w:cs="Arial"/>
                <w:b/>
                <w:bCs/>
                <w:color w:val="000000"/>
                <w:lang w:val="en-CA"/>
              </w:rPr>
              <w:t>THE LATE H.D.B.</w:t>
            </w:r>
          </w:p>
        </w:tc>
      </w:tr>
      <w:tr w:rsidR="00A84C2E" w:rsidRPr="0035712B" w14:paraId="1B05D1DB" w14:textId="77777777" w:rsidTr="00882796">
        <w:tc>
          <w:tcPr>
            <w:tcW w:w="9510" w:type="dxa"/>
            <w:gridSpan w:val="5"/>
          </w:tcPr>
          <w:p w14:paraId="5AA585AB" w14:textId="7303BB10" w:rsidR="00A84C2E" w:rsidRPr="003A037A" w:rsidRDefault="00A84C2E" w:rsidP="00A84C2E">
            <w:pPr>
              <w:ind w:left="14" w:right="85"/>
              <w:rPr>
                <w:rFonts w:cs="Arial"/>
                <w:b/>
                <w:bCs/>
                <w:color w:val="000000"/>
                <w:lang w:val="en-CA"/>
              </w:rPr>
            </w:pPr>
            <w:r w:rsidRPr="003A037A">
              <w:rPr>
                <w:lang w:val="en-CA"/>
              </w:rPr>
              <w:t>and</w:t>
            </w:r>
          </w:p>
        </w:tc>
      </w:tr>
      <w:tr w:rsidR="00A84C2E" w:rsidRPr="0035712B" w14:paraId="311093F7" w14:textId="77777777" w:rsidTr="00882796">
        <w:tc>
          <w:tcPr>
            <w:tcW w:w="9510" w:type="dxa"/>
            <w:gridSpan w:val="5"/>
          </w:tcPr>
          <w:p w14:paraId="49508524" w14:textId="43C3D866" w:rsidR="00A84C2E" w:rsidRPr="000922B8" w:rsidRDefault="00A84C2E" w:rsidP="00A84C2E">
            <w:pPr>
              <w:ind w:left="14" w:right="85"/>
              <w:rPr>
                <w:rFonts w:cs="Arial"/>
                <w:b/>
                <w:bCs/>
                <w:color w:val="000000"/>
                <w:lang w:val="en-CA"/>
              </w:rPr>
            </w:pPr>
            <w:r w:rsidRPr="000922B8">
              <w:rPr>
                <w:rFonts w:cs="Arial"/>
                <w:b/>
                <w:bCs/>
                <w:color w:val="000000"/>
                <w:lang w:val="en-CA"/>
              </w:rPr>
              <w:t>SUCCESSION A.B. TRUST</w:t>
            </w:r>
          </w:p>
        </w:tc>
      </w:tr>
      <w:tr w:rsidR="00A84C2E" w:rsidRPr="0035712B" w14:paraId="6CAB22E3" w14:textId="77777777" w:rsidTr="00882796">
        <w:tc>
          <w:tcPr>
            <w:tcW w:w="9510" w:type="dxa"/>
            <w:gridSpan w:val="5"/>
          </w:tcPr>
          <w:p w14:paraId="6B2B06A7" w14:textId="49B2AFA3" w:rsidR="00A84C2E" w:rsidRPr="003A037A" w:rsidRDefault="00A84C2E" w:rsidP="00A84C2E">
            <w:pPr>
              <w:ind w:left="14" w:right="85"/>
              <w:rPr>
                <w:rFonts w:cs="Arial"/>
                <w:color w:val="000000"/>
                <w:lang w:val="en-CA"/>
              </w:rPr>
            </w:pPr>
            <w:r w:rsidRPr="003A037A">
              <w:rPr>
                <w:rFonts w:cs="Arial"/>
                <w:color w:val="000000"/>
                <w:lang w:val="en-CA"/>
              </w:rPr>
              <w:t>and</w:t>
            </w:r>
          </w:p>
        </w:tc>
      </w:tr>
      <w:tr w:rsidR="00A84C2E" w:rsidRPr="0035712B" w14:paraId="79AA4D26" w14:textId="77777777" w:rsidTr="00882796">
        <w:tc>
          <w:tcPr>
            <w:tcW w:w="9510" w:type="dxa"/>
            <w:gridSpan w:val="5"/>
          </w:tcPr>
          <w:p w14:paraId="7C663FCB" w14:textId="012F227D" w:rsidR="00A84C2E" w:rsidRPr="003A037A" w:rsidRDefault="00A84C2E" w:rsidP="00A84C2E">
            <w:pPr>
              <w:ind w:left="14" w:right="85"/>
              <w:rPr>
                <w:rFonts w:cs="Arial"/>
                <w:b/>
                <w:bCs/>
                <w:color w:val="000000"/>
                <w:lang w:val="en-CA"/>
              </w:rPr>
            </w:pPr>
            <w:r w:rsidRPr="003A037A">
              <w:rPr>
                <w:rFonts w:cs="Arial"/>
                <w:b/>
                <w:bCs/>
                <w:color w:val="000000"/>
                <w:lang w:val="en-CA"/>
              </w:rPr>
              <w:t>VIVIANE TREMBLAY</w:t>
            </w:r>
          </w:p>
        </w:tc>
      </w:tr>
      <w:tr w:rsidR="00A84C2E" w:rsidRPr="0035712B" w14:paraId="688BE33C" w14:textId="77777777" w:rsidTr="00882796">
        <w:tc>
          <w:tcPr>
            <w:tcW w:w="9510" w:type="dxa"/>
            <w:gridSpan w:val="5"/>
          </w:tcPr>
          <w:p w14:paraId="155E9522" w14:textId="575D76E1" w:rsidR="00A84C2E" w:rsidRPr="003A037A" w:rsidRDefault="00A84C2E" w:rsidP="00A84C2E">
            <w:pPr>
              <w:ind w:left="14" w:right="85"/>
              <w:rPr>
                <w:rFonts w:cs="Arial"/>
                <w:b/>
                <w:bCs/>
                <w:color w:val="000000"/>
                <w:lang w:val="en-CA"/>
              </w:rPr>
            </w:pPr>
            <w:r w:rsidRPr="003A037A">
              <w:rPr>
                <w:lang w:val="en-CA"/>
              </w:rPr>
              <w:t>and</w:t>
            </w:r>
          </w:p>
        </w:tc>
      </w:tr>
      <w:tr w:rsidR="00A84C2E" w:rsidRPr="0035712B" w14:paraId="6C811152" w14:textId="77777777" w:rsidTr="00882796">
        <w:tc>
          <w:tcPr>
            <w:tcW w:w="9510" w:type="dxa"/>
            <w:gridSpan w:val="5"/>
          </w:tcPr>
          <w:p w14:paraId="5999633D" w14:textId="39626E9F" w:rsidR="00A84C2E" w:rsidRPr="003A037A" w:rsidRDefault="00A84C2E" w:rsidP="00A84C2E">
            <w:pPr>
              <w:ind w:left="14" w:right="85"/>
              <w:rPr>
                <w:rFonts w:cs="Arial"/>
                <w:b/>
                <w:bCs/>
                <w:color w:val="000000"/>
                <w:lang w:val="en-CA"/>
              </w:rPr>
            </w:pPr>
            <w:r w:rsidRPr="003A037A">
              <w:rPr>
                <w:rFonts w:cs="Arial"/>
                <w:b/>
                <w:bCs/>
                <w:color w:val="000000"/>
                <w:lang w:val="en-CA"/>
              </w:rPr>
              <w:t>COLETTE TREMBLAY</w:t>
            </w:r>
          </w:p>
        </w:tc>
      </w:tr>
      <w:tr w:rsidR="00A84C2E" w:rsidRPr="0035712B" w14:paraId="5AEE448B" w14:textId="77777777" w:rsidTr="00882796">
        <w:tc>
          <w:tcPr>
            <w:tcW w:w="9510" w:type="dxa"/>
            <w:gridSpan w:val="5"/>
          </w:tcPr>
          <w:p w14:paraId="2E8261CA" w14:textId="0B0724EB" w:rsidR="00A84C2E" w:rsidRPr="003A037A" w:rsidRDefault="00A84C2E" w:rsidP="00A84C2E">
            <w:pPr>
              <w:ind w:left="14" w:right="85"/>
              <w:rPr>
                <w:rFonts w:cs="Arial"/>
                <w:b/>
                <w:bCs/>
                <w:color w:val="000000"/>
                <w:lang w:val="en-CA"/>
              </w:rPr>
            </w:pPr>
            <w:r w:rsidRPr="003A037A">
              <w:rPr>
                <w:lang w:val="en-CA"/>
              </w:rPr>
              <w:t>and</w:t>
            </w:r>
          </w:p>
        </w:tc>
      </w:tr>
      <w:tr w:rsidR="00A84C2E" w:rsidRPr="0035712B" w14:paraId="7A4D3A08" w14:textId="77777777" w:rsidTr="00882796">
        <w:tc>
          <w:tcPr>
            <w:tcW w:w="9510" w:type="dxa"/>
            <w:gridSpan w:val="5"/>
          </w:tcPr>
          <w:p w14:paraId="5094DF74" w14:textId="74EFF264" w:rsidR="00A84C2E" w:rsidRPr="00B557B4" w:rsidRDefault="00A84C2E" w:rsidP="00A84C2E">
            <w:pPr>
              <w:ind w:left="14" w:right="85"/>
              <w:jc w:val="both"/>
            </w:pPr>
            <w:r w:rsidRPr="00B557B4">
              <w:rPr>
                <w:b/>
                <w:bCs/>
              </w:rPr>
              <w:t>FONDATION DE L’UNIVERSITÉ LAVAL</w:t>
            </w:r>
            <w:r w:rsidRPr="00B557B4">
              <w:rPr>
                <w:bCs/>
              </w:rPr>
              <w:t xml:space="preserve">, a </w:t>
            </w:r>
            <w:proofErr w:type="spellStart"/>
            <w:r w:rsidRPr="00B557B4">
              <w:rPr>
                <w:bCs/>
              </w:rPr>
              <w:t>duly</w:t>
            </w:r>
            <w:proofErr w:type="spellEnd"/>
            <w:r w:rsidRPr="00B557B4">
              <w:rPr>
                <w:bCs/>
              </w:rPr>
              <w:t xml:space="preserve"> </w:t>
            </w:r>
            <w:proofErr w:type="spellStart"/>
            <w:r w:rsidRPr="00B557B4">
              <w:rPr>
                <w:bCs/>
              </w:rPr>
              <w:t>constituted</w:t>
            </w:r>
            <w:proofErr w:type="spellEnd"/>
            <w:r w:rsidRPr="00B557B4">
              <w:rPr>
                <w:bCs/>
              </w:rPr>
              <w:t xml:space="preserve"> </w:t>
            </w:r>
            <w:proofErr w:type="spellStart"/>
            <w:r w:rsidRPr="00B557B4">
              <w:rPr>
                <w:bCs/>
              </w:rPr>
              <w:t>legal</w:t>
            </w:r>
            <w:proofErr w:type="spellEnd"/>
            <w:r w:rsidRPr="00B557B4">
              <w:rPr>
                <w:bCs/>
              </w:rPr>
              <w:t xml:space="preserve"> </w:t>
            </w:r>
            <w:proofErr w:type="spellStart"/>
            <w:r w:rsidRPr="00B557B4">
              <w:rPr>
                <w:bCs/>
              </w:rPr>
              <w:t>person</w:t>
            </w:r>
            <w:proofErr w:type="spellEnd"/>
            <w:r w:rsidRPr="00B557B4">
              <w:rPr>
                <w:bCs/>
              </w:rPr>
              <w:t>, 2325 de l’</w:t>
            </w:r>
            <w:r>
              <w:rPr>
                <w:bCs/>
              </w:rPr>
              <w:t>u</w:t>
            </w:r>
            <w:r w:rsidRPr="00B557B4">
              <w:rPr>
                <w:bCs/>
              </w:rPr>
              <w:t>niversit</w:t>
            </w:r>
            <w:r>
              <w:rPr>
                <w:bCs/>
              </w:rPr>
              <w:t>é</w:t>
            </w:r>
            <w:r w:rsidRPr="00B557B4">
              <w:rPr>
                <w:bCs/>
              </w:rPr>
              <w:t xml:space="preserve"> Street, suite 3402, Québec, </w:t>
            </w:r>
            <w:proofErr w:type="spellStart"/>
            <w:r w:rsidRPr="00B557B4">
              <w:rPr>
                <w:bCs/>
              </w:rPr>
              <w:t>Quebec</w:t>
            </w:r>
            <w:proofErr w:type="spellEnd"/>
            <w:r w:rsidRPr="00B557B4">
              <w:rPr>
                <w:bCs/>
              </w:rPr>
              <w:t xml:space="preserve">  G1V 0A6</w:t>
            </w:r>
          </w:p>
        </w:tc>
      </w:tr>
      <w:tr w:rsidR="00A84C2E" w:rsidRPr="0035712B" w14:paraId="3AABA60F" w14:textId="77777777" w:rsidTr="00882796">
        <w:tc>
          <w:tcPr>
            <w:tcW w:w="9510" w:type="dxa"/>
            <w:gridSpan w:val="5"/>
          </w:tcPr>
          <w:p w14:paraId="5446C976" w14:textId="638350DD" w:rsidR="00A84C2E" w:rsidRPr="003A037A" w:rsidRDefault="00A84C2E" w:rsidP="00A84C2E">
            <w:pPr>
              <w:ind w:left="14" w:right="-95"/>
              <w:rPr>
                <w:lang w:val="en-CA"/>
              </w:rPr>
            </w:pPr>
            <w:r w:rsidRPr="003A037A">
              <w:rPr>
                <w:lang w:val="en-CA"/>
              </w:rPr>
              <w:t>and</w:t>
            </w:r>
          </w:p>
        </w:tc>
      </w:tr>
      <w:tr w:rsidR="00A84C2E" w:rsidRPr="0035712B" w14:paraId="6A1BB274" w14:textId="77777777" w:rsidTr="00882796">
        <w:tc>
          <w:tcPr>
            <w:tcW w:w="9510" w:type="dxa"/>
            <w:gridSpan w:val="5"/>
          </w:tcPr>
          <w:p w14:paraId="31BE3C4A" w14:textId="33940973" w:rsidR="00A84C2E" w:rsidRPr="00B557B4" w:rsidRDefault="00A84C2E" w:rsidP="00A84C2E">
            <w:pPr>
              <w:ind w:right="85"/>
              <w:jc w:val="both"/>
            </w:pPr>
            <w:r w:rsidRPr="00B557B4">
              <w:rPr>
                <w:b/>
                <w:bCs/>
              </w:rPr>
              <w:t>OEUVRE DU CARDINAL LÉGER (JULES AND PAUL-ÉMILE LÉGER FOUNDATION)</w:t>
            </w:r>
            <w:r w:rsidRPr="00B557B4">
              <w:rPr>
                <w:bCs/>
              </w:rPr>
              <w:t xml:space="preserve">, </w:t>
            </w:r>
            <w:proofErr w:type="spellStart"/>
            <w:r w:rsidRPr="00B557B4">
              <w:rPr>
                <w:bCs/>
              </w:rPr>
              <w:t>duly</w:t>
            </w:r>
            <w:proofErr w:type="spellEnd"/>
            <w:r w:rsidRPr="00B557B4">
              <w:rPr>
                <w:bCs/>
              </w:rPr>
              <w:t xml:space="preserve"> </w:t>
            </w:r>
            <w:proofErr w:type="spellStart"/>
            <w:r w:rsidRPr="00B557B4">
              <w:rPr>
                <w:bCs/>
              </w:rPr>
              <w:t>constituted</w:t>
            </w:r>
            <w:proofErr w:type="spellEnd"/>
            <w:r w:rsidRPr="00B557B4">
              <w:rPr>
                <w:bCs/>
              </w:rPr>
              <w:t xml:space="preserve"> </w:t>
            </w:r>
            <w:proofErr w:type="spellStart"/>
            <w:r w:rsidRPr="00B557B4">
              <w:rPr>
                <w:bCs/>
              </w:rPr>
              <w:t>legal</w:t>
            </w:r>
            <w:proofErr w:type="spellEnd"/>
            <w:r w:rsidRPr="00B557B4">
              <w:rPr>
                <w:bCs/>
              </w:rPr>
              <w:t xml:space="preserve"> </w:t>
            </w:r>
            <w:proofErr w:type="spellStart"/>
            <w:r w:rsidRPr="00B557B4">
              <w:rPr>
                <w:bCs/>
              </w:rPr>
              <w:t>person</w:t>
            </w:r>
            <w:proofErr w:type="spellEnd"/>
            <w:r w:rsidRPr="00B557B4">
              <w:rPr>
                <w:bCs/>
              </w:rPr>
              <w:t xml:space="preserve">, 130 de l’Épée Ave., </w:t>
            </w:r>
            <w:proofErr w:type="spellStart"/>
            <w:r w:rsidRPr="00B557B4">
              <w:rPr>
                <w:bCs/>
              </w:rPr>
              <w:t>Montreal</w:t>
            </w:r>
            <w:proofErr w:type="spellEnd"/>
            <w:r w:rsidRPr="00B557B4">
              <w:rPr>
                <w:bCs/>
              </w:rPr>
              <w:t xml:space="preserve">, </w:t>
            </w:r>
            <w:proofErr w:type="spellStart"/>
            <w:r w:rsidRPr="00B557B4">
              <w:rPr>
                <w:bCs/>
              </w:rPr>
              <w:t>Quebec</w:t>
            </w:r>
            <w:proofErr w:type="spellEnd"/>
            <w:r w:rsidRPr="00B557B4">
              <w:rPr>
                <w:bCs/>
              </w:rPr>
              <w:t xml:space="preserve">  H2V 3T2</w:t>
            </w:r>
          </w:p>
        </w:tc>
      </w:tr>
      <w:tr w:rsidR="00A84C2E" w:rsidRPr="0035712B" w14:paraId="4991F797" w14:textId="77777777" w:rsidTr="00882796">
        <w:tc>
          <w:tcPr>
            <w:tcW w:w="9510" w:type="dxa"/>
            <w:gridSpan w:val="5"/>
          </w:tcPr>
          <w:p w14:paraId="67E7FAEB" w14:textId="1395F017" w:rsidR="00A84C2E" w:rsidRPr="003A037A" w:rsidRDefault="00A84C2E" w:rsidP="00A84C2E">
            <w:pPr>
              <w:ind w:left="14" w:right="85"/>
              <w:rPr>
                <w:lang w:val="en-CA"/>
              </w:rPr>
            </w:pPr>
            <w:r w:rsidRPr="003A037A">
              <w:rPr>
                <w:lang w:val="en-CA"/>
              </w:rPr>
              <w:t>and</w:t>
            </w:r>
          </w:p>
        </w:tc>
      </w:tr>
      <w:tr w:rsidR="00A84C2E" w:rsidRPr="0035712B" w14:paraId="5CCC1B69" w14:textId="77777777" w:rsidTr="00882796">
        <w:tc>
          <w:tcPr>
            <w:tcW w:w="9510" w:type="dxa"/>
            <w:gridSpan w:val="5"/>
          </w:tcPr>
          <w:p w14:paraId="24794EAD" w14:textId="68A683E5" w:rsidR="00A84C2E" w:rsidRPr="000922B8" w:rsidRDefault="00A84C2E" w:rsidP="00A84C2E">
            <w:pPr>
              <w:ind w:left="14" w:right="85"/>
              <w:jc w:val="both"/>
              <w:rPr>
                <w:lang w:val="en-CA"/>
              </w:rPr>
            </w:pPr>
            <w:r w:rsidRPr="000922B8">
              <w:rPr>
                <w:b/>
                <w:bCs/>
                <w:lang w:val="en-CA"/>
              </w:rPr>
              <w:t>FONDATION ORATOIRE SAINT-JOSEPH DU MONT-ROYAL</w:t>
            </w:r>
            <w:r w:rsidRPr="000922B8">
              <w:rPr>
                <w:bCs/>
                <w:lang w:val="en-CA"/>
              </w:rPr>
              <w:t>, duly constituted legal person, 3800 Queen-Mary Rd., Montreal, Quebec  H3V 1H6</w:t>
            </w:r>
          </w:p>
        </w:tc>
      </w:tr>
      <w:tr w:rsidR="00A84C2E" w:rsidRPr="0035712B" w14:paraId="7481DFE1" w14:textId="77777777" w:rsidTr="00882796">
        <w:tc>
          <w:tcPr>
            <w:tcW w:w="9510" w:type="dxa"/>
            <w:gridSpan w:val="5"/>
          </w:tcPr>
          <w:p w14:paraId="25DEEEF4" w14:textId="7A93C57A" w:rsidR="00A84C2E" w:rsidRPr="003A037A" w:rsidRDefault="00A84C2E" w:rsidP="00A84C2E">
            <w:pPr>
              <w:ind w:left="14" w:right="85"/>
              <w:rPr>
                <w:lang w:val="en-CA"/>
              </w:rPr>
            </w:pPr>
            <w:r w:rsidRPr="003A037A">
              <w:rPr>
                <w:lang w:val="en-CA"/>
              </w:rPr>
              <w:t>and</w:t>
            </w:r>
          </w:p>
        </w:tc>
      </w:tr>
      <w:tr w:rsidR="00A84C2E" w:rsidRPr="0035712B" w14:paraId="4168E1F2" w14:textId="77777777" w:rsidTr="00882796">
        <w:tc>
          <w:tcPr>
            <w:tcW w:w="9510" w:type="dxa"/>
            <w:gridSpan w:val="5"/>
          </w:tcPr>
          <w:p w14:paraId="407E1E9A" w14:textId="533450FF" w:rsidR="00A84C2E" w:rsidRPr="00B557B4" w:rsidRDefault="00A84C2E" w:rsidP="00A84C2E">
            <w:pPr>
              <w:ind w:left="14" w:right="85"/>
              <w:jc w:val="both"/>
            </w:pPr>
            <w:r w:rsidRPr="00B557B4">
              <w:rPr>
                <w:b/>
                <w:bCs/>
              </w:rPr>
              <w:t>SANCTUAIRE SAINTE-ANNE-DE-BEAUPRÉ (BASILIQUE DE SAINTE-ANNE-DE-BEAUPRÉ)</w:t>
            </w:r>
            <w:r w:rsidRPr="00B557B4">
              <w:rPr>
                <w:bCs/>
              </w:rPr>
              <w:t xml:space="preserve">, </w:t>
            </w:r>
            <w:proofErr w:type="spellStart"/>
            <w:r w:rsidRPr="00B557B4">
              <w:rPr>
                <w:bCs/>
              </w:rPr>
              <w:t>duly</w:t>
            </w:r>
            <w:proofErr w:type="spellEnd"/>
            <w:r w:rsidRPr="00B557B4">
              <w:rPr>
                <w:bCs/>
              </w:rPr>
              <w:t xml:space="preserve"> </w:t>
            </w:r>
            <w:proofErr w:type="spellStart"/>
            <w:r w:rsidRPr="00B557B4">
              <w:rPr>
                <w:bCs/>
              </w:rPr>
              <w:t>constituted</w:t>
            </w:r>
            <w:proofErr w:type="spellEnd"/>
            <w:r w:rsidRPr="00B557B4">
              <w:rPr>
                <w:bCs/>
              </w:rPr>
              <w:t xml:space="preserve"> </w:t>
            </w:r>
            <w:proofErr w:type="spellStart"/>
            <w:r w:rsidRPr="00B557B4">
              <w:rPr>
                <w:bCs/>
              </w:rPr>
              <w:t>legal</w:t>
            </w:r>
            <w:proofErr w:type="spellEnd"/>
            <w:r w:rsidRPr="00B557B4">
              <w:rPr>
                <w:bCs/>
              </w:rPr>
              <w:t xml:space="preserve"> </w:t>
            </w:r>
            <w:proofErr w:type="spellStart"/>
            <w:r w:rsidRPr="00B557B4">
              <w:rPr>
                <w:bCs/>
              </w:rPr>
              <w:t>person</w:t>
            </w:r>
            <w:proofErr w:type="spellEnd"/>
            <w:r w:rsidRPr="00B557B4">
              <w:rPr>
                <w:bCs/>
              </w:rPr>
              <w:t xml:space="preserve">, 10018 Royale Ave., Sainte-Anne-de-Beaupré, </w:t>
            </w:r>
            <w:proofErr w:type="spellStart"/>
            <w:r w:rsidRPr="00B557B4">
              <w:rPr>
                <w:bCs/>
              </w:rPr>
              <w:t>Quebec</w:t>
            </w:r>
            <w:proofErr w:type="spellEnd"/>
            <w:r w:rsidRPr="00B557B4">
              <w:rPr>
                <w:bCs/>
              </w:rPr>
              <w:t xml:space="preserve">  G0A 3C0</w:t>
            </w:r>
          </w:p>
        </w:tc>
      </w:tr>
      <w:tr w:rsidR="00A84C2E" w:rsidRPr="0035712B" w14:paraId="6D742282" w14:textId="77777777" w:rsidTr="00882796">
        <w:tc>
          <w:tcPr>
            <w:tcW w:w="9510" w:type="dxa"/>
            <w:gridSpan w:val="5"/>
          </w:tcPr>
          <w:p w14:paraId="243DAF20" w14:textId="6937D75C" w:rsidR="00A84C2E" w:rsidRPr="003A037A" w:rsidRDefault="00A84C2E" w:rsidP="00A84C2E">
            <w:pPr>
              <w:ind w:left="14" w:right="85"/>
              <w:rPr>
                <w:lang w:val="en-CA"/>
              </w:rPr>
            </w:pPr>
            <w:r w:rsidRPr="003A037A">
              <w:rPr>
                <w:lang w:val="en-CA"/>
              </w:rPr>
              <w:t>and</w:t>
            </w:r>
          </w:p>
        </w:tc>
      </w:tr>
      <w:tr w:rsidR="00A84C2E" w:rsidRPr="0035712B" w14:paraId="2D41C87F" w14:textId="77777777" w:rsidTr="00882796">
        <w:tc>
          <w:tcPr>
            <w:tcW w:w="9510" w:type="dxa"/>
            <w:gridSpan w:val="5"/>
          </w:tcPr>
          <w:p w14:paraId="599B1357" w14:textId="544885F4" w:rsidR="00A84C2E" w:rsidRPr="00B557B4" w:rsidRDefault="00A84C2E" w:rsidP="00A84C2E">
            <w:pPr>
              <w:ind w:left="14" w:right="85"/>
              <w:jc w:val="both"/>
            </w:pPr>
            <w:r w:rsidRPr="00B557B4">
              <w:rPr>
                <w:b/>
                <w:bCs/>
              </w:rPr>
              <w:t>SANCTUAIRE NOTRE-DAME-DU-CAP (BASILIQUE DU CAP-DE-LA-MADELEINE)</w:t>
            </w:r>
            <w:r w:rsidRPr="00B557B4">
              <w:rPr>
                <w:bCs/>
              </w:rPr>
              <w:t xml:space="preserve">, </w:t>
            </w:r>
            <w:proofErr w:type="spellStart"/>
            <w:r w:rsidRPr="00B557B4">
              <w:rPr>
                <w:bCs/>
              </w:rPr>
              <w:t>duly</w:t>
            </w:r>
            <w:proofErr w:type="spellEnd"/>
            <w:r w:rsidRPr="00B557B4">
              <w:rPr>
                <w:bCs/>
              </w:rPr>
              <w:t xml:space="preserve"> </w:t>
            </w:r>
            <w:proofErr w:type="spellStart"/>
            <w:r w:rsidRPr="00B557B4">
              <w:rPr>
                <w:bCs/>
              </w:rPr>
              <w:t>constituted</w:t>
            </w:r>
            <w:proofErr w:type="spellEnd"/>
            <w:r w:rsidRPr="00B557B4">
              <w:rPr>
                <w:bCs/>
              </w:rPr>
              <w:t xml:space="preserve"> </w:t>
            </w:r>
            <w:proofErr w:type="spellStart"/>
            <w:r w:rsidRPr="00B557B4">
              <w:rPr>
                <w:bCs/>
              </w:rPr>
              <w:t>legal</w:t>
            </w:r>
            <w:proofErr w:type="spellEnd"/>
            <w:r w:rsidRPr="00B557B4">
              <w:rPr>
                <w:bCs/>
              </w:rPr>
              <w:t xml:space="preserve"> </w:t>
            </w:r>
            <w:proofErr w:type="spellStart"/>
            <w:r w:rsidRPr="00B557B4">
              <w:rPr>
                <w:bCs/>
              </w:rPr>
              <w:t>person</w:t>
            </w:r>
            <w:proofErr w:type="spellEnd"/>
            <w:r w:rsidRPr="00B557B4">
              <w:rPr>
                <w:bCs/>
              </w:rPr>
              <w:t xml:space="preserve">, 626 Notre-Dame Street East, Trois-Rivières, </w:t>
            </w:r>
            <w:proofErr w:type="spellStart"/>
            <w:r w:rsidRPr="00B557B4">
              <w:rPr>
                <w:bCs/>
              </w:rPr>
              <w:t>Quebec</w:t>
            </w:r>
            <w:proofErr w:type="spellEnd"/>
            <w:r w:rsidRPr="00B557B4">
              <w:rPr>
                <w:bCs/>
              </w:rPr>
              <w:t xml:space="preserve">  G8T 4G9</w:t>
            </w:r>
          </w:p>
        </w:tc>
      </w:tr>
      <w:tr w:rsidR="00A84C2E" w:rsidRPr="0035712B" w14:paraId="0EC74576" w14:textId="77777777" w:rsidTr="00882796">
        <w:tc>
          <w:tcPr>
            <w:tcW w:w="9510" w:type="dxa"/>
            <w:gridSpan w:val="5"/>
          </w:tcPr>
          <w:p w14:paraId="219FE956" w14:textId="29ADE950" w:rsidR="00A84C2E" w:rsidRPr="003A037A" w:rsidRDefault="00A84C2E" w:rsidP="00A84C2E">
            <w:pPr>
              <w:ind w:left="14" w:right="85"/>
              <w:rPr>
                <w:lang w:val="en-CA"/>
              </w:rPr>
            </w:pPr>
            <w:r w:rsidRPr="003A037A">
              <w:rPr>
                <w:lang w:val="en-CA"/>
              </w:rPr>
              <w:t>and</w:t>
            </w:r>
          </w:p>
        </w:tc>
      </w:tr>
      <w:tr w:rsidR="00A84C2E" w:rsidRPr="0035712B" w14:paraId="5CE3EEE4" w14:textId="77777777" w:rsidTr="00882796">
        <w:tc>
          <w:tcPr>
            <w:tcW w:w="9510" w:type="dxa"/>
            <w:gridSpan w:val="5"/>
          </w:tcPr>
          <w:p w14:paraId="63194E76" w14:textId="6E75DD75" w:rsidR="00A84C2E" w:rsidRPr="00B557B4" w:rsidRDefault="00A84C2E" w:rsidP="00A84C2E">
            <w:pPr>
              <w:ind w:left="14" w:right="85"/>
              <w:jc w:val="both"/>
            </w:pPr>
            <w:r w:rsidRPr="00B557B4">
              <w:rPr>
                <w:b/>
                <w:bCs/>
              </w:rPr>
              <w:t>FONDATION QUÉBÉCOISE DU CANCER</w:t>
            </w:r>
            <w:r w:rsidRPr="00B557B4">
              <w:rPr>
                <w:bCs/>
              </w:rPr>
              <w:t xml:space="preserve">, </w:t>
            </w:r>
            <w:proofErr w:type="spellStart"/>
            <w:r w:rsidRPr="00B557B4">
              <w:rPr>
                <w:bCs/>
              </w:rPr>
              <w:t>duly</w:t>
            </w:r>
            <w:proofErr w:type="spellEnd"/>
            <w:r w:rsidRPr="00B557B4">
              <w:rPr>
                <w:bCs/>
              </w:rPr>
              <w:t xml:space="preserve"> </w:t>
            </w:r>
            <w:proofErr w:type="spellStart"/>
            <w:r w:rsidRPr="00B557B4">
              <w:rPr>
                <w:bCs/>
              </w:rPr>
              <w:t>constituted</w:t>
            </w:r>
            <w:proofErr w:type="spellEnd"/>
            <w:r w:rsidRPr="00B557B4">
              <w:rPr>
                <w:bCs/>
              </w:rPr>
              <w:t xml:space="preserve"> </w:t>
            </w:r>
            <w:proofErr w:type="spellStart"/>
            <w:r w:rsidRPr="00B557B4">
              <w:rPr>
                <w:bCs/>
              </w:rPr>
              <w:t>legal</w:t>
            </w:r>
            <w:proofErr w:type="spellEnd"/>
            <w:r w:rsidRPr="00B557B4">
              <w:rPr>
                <w:bCs/>
              </w:rPr>
              <w:t xml:space="preserve"> </w:t>
            </w:r>
            <w:proofErr w:type="spellStart"/>
            <w:r w:rsidRPr="00B557B4">
              <w:rPr>
                <w:bCs/>
              </w:rPr>
              <w:t>person</w:t>
            </w:r>
            <w:proofErr w:type="spellEnd"/>
            <w:r w:rsidRPr="00B557B4">
              <w:rPr>
                <w:bCs/>
              </w:rPr>
              <w:t xml:space="preserve">, 2075 de Champlain Street, </w:t>
            </w:r>
            <w:proofErr w:type="spellStart"/>
            <w:r w:rsidRPr="00B557B4">
              <w:rPr>
                <w:bCs/>
              </w:rPr>
              <w:t>Montreal</w:t>
            </w:r>
            <w:proofErr w:type="spellEnd"/>
            <w:r w:rsidRPr="00B557B4">
              <w:rPr>
                <w:bCs/>
              </w:rPr>
              <w:t xml:space="preserve">, </w:t>
            </w:r>
            <w:proofErr w:type="spellStart"/>
            <w:r w:rsidRPr="00B557B4">
              <w:rPr>
                <w:bCs/>
              </w:rPr>
              <w:t>Quebec</w:t>
            </w:r>
            <w:proofErr w:type="spellEnd"/>
            <w:r w:rsidRPr="00B557B4">
              <w:rPr>
                <w:bCs/>
              </w:rPr>
              <w:t xml:space="preserve">  H2L 2T1</w:t>
            </w:r>
          </w:p>
        </w:tc>
      </w:tr>
      <w:tr w:rsidR="00A84C2E" w:rsidRPr="0035712B" w14:paraId="730D4812" w14:textId="77777777" w:rsidTr="00882796">
        <w:tc>
          <w:tcPr>
            <w:tcW w:w="9510" w:type="dxa"/>
            <w:gridSpan w:val="5"/>
          </w:tcPr>
          <w:p w14:paraId="2C0C6862" w14:textId="157F21A4" w:rsidR="00A84C2E" w:rsidRPr="003A037A" w:rsidRDefault="00A84C2E" w:rsidP="00A84C2E">
            <w:pPr>
              <w:ind w:left="14" w:right="85"/>
              <w:rPr>
                <w:lang w:val="en-CA"/>
              </w:rPr>
            </w:pPr>
            <w:r w:rsidRPr="003A037A">
              <w:rPr>
                <w:lang w:val="en-CA"/>
              </w:rPr>
              <w:t>and</w:t>
            </w:r>
          </w:p>
        </w:tc>
      </w:tr>
      <w:tr w:rsidR="00A84C2E" w:rsidRPr="00AC46CE" w14:paraId="471B8C17" w14:textId="77777777" w:rsidTr="00882796">
        <w:tc>
          <w:tcPr>
            <w:tcW w:w="9510" w:type="dxa"/>
            <w:gridSpan w:val="5"/>
          </w:tcPr>
          <w:p w14:paraId="26B9F5E8" w14:textId="7DAF0B5B" w:rsidR="00A84C2E" w:rsidRPr="000922B8" w:rsidRDefault="00A84C2E" w:rsidP="00A84C2E">
            <w:pPr>
              <w:ind w:left="14" w:right="85"/>
              <w:jc w:val="both"/>
              <w:rPr>
                <w:lang w:val="en-CA"/>
              </w:rPr>
            </w:pPr>
            <w:r w:rsidRPr="000922B8">
              <w:rPr>
                <w:b/>
                <w:bCs/>
                <w:lang w:val="en-CA"/>
              </w:rPr>
              <w:t>MONTREAL HEART INSTITUTE FOUNDATION</w:t>
            </w:r>
            <w:r w:rsidRPr="000922B8">
              <w:rPr>
                <w:bCs/>
                <w:lang w:val="en-CA"/>
              </w:rPr>
              <w:t>, duly constituted legal person, 5000 Bélanger Street, Montreal, Quebec  H1T 1C8</w:t>
            </w:r>
          </w:p>
        </w:tc>
      </w:tr>
      <w:tr w:rsidR="00A84C2E" w:rsidRPr="0035712B" w14:paraId="1DEE8F54" w14:textId="77777777" w:rsidTr="00882796">
        <w:tc>
          <w:tcPr>
            <w:tcW w:w="9510" w:type="dxa"/>
            <w:gridSpan w:val="5"/>
          </w:tcPr>
          <w:p w14:paraId="0165154B" w14:textId="5BE43829" w:rsidR="00A84C2E" w:rsidRPr="003A037A" w:rsidRDefault="00A84C2E" w:rsidP="00A84C2E">
            <w:pPr>
              <w:ind w:left="14" w:right="85"/>
              <w:rPr>
                <w:lang w:val="en-CA"/>
              </w:rPr>
            </w:pPr>
            <w:r w:rsidRPr="003A037A">
              <w:rPr>
                <w:lang w:val="en-CA"/>
              </w:rPr>
              <w:t>and</w:t>
            </w:r>
          </w:p>
        </w:tc>
      </w:tr>
      <w:tr w:rsidR="00A84C2E" w:rsidRPr="0035712B" w14:paraId="01AD552F" w14:textId="77777777" w:rsidTr="00882796">
        <w:tc>
          <w:tcPr>
            <w:tcW w:w="9510" w:type="dxa"/>
            <w:gridSpan w:val="5"/>
          </w:tcPr>
          <w:p w14:paraId="01C87140" w14:textId="0BD65629" w:rsidR="00A84C2E" w:rsidRPr="00B557B4" w:rsidRDefault="00A84C2E" w:rsidP="00A84C2E">
            <w:pPr>
              <w:ind w:left="14" w:right="85"/>
              <w:jc w:val="both"/>
              <w:rPr>
                <w:rFonts w:cs="Arial"/>
                <w:b/>
                <w:bCs/>
                <w:color w:val="000000"/>
              </w:rPr>
            </w:pPr>
            <w:r w:rsidRPr="00B557B4">
              <w:rPr>
                <w:b/>
                <w:bCs/>
              </w:rPr>
              <w:lastRenderedPageBreak/>
              <w:t>FONDATION ACTION-SANTÉ DE LA MATAPÉDIA (FONDATION HÔPITAL AMQUI)</w:t>
            </w:r>
            <w:r w:rsidRPr="00B557B4">
              <w:rPr>
                <w:bCs/>
                <w:color w:val="000000"/>
              </w:rPr>
              <w:t xml:space="preserve">, 135 Gaëtan-Archambault Ave., Amqui, </w:t>
            </w:r>
            <w:proofErr w:type="spellStart"/>
            <w:r w:rsidRPr="00B557B4">
              <w:rPr>
                <w:bCs/>
                <w:color w:val="000000"/>
              </w:rPr>
              <w:t>Quebec</w:t>
            </w:r>
            <w:proofErr w:type="spellEnd"/>
            <w:r w:rsidRPr="00B557B4">
              <w:rPr>
                <w:bCs/>
                <w:color w:val="000000"/>
              </w:rPr>
              <w:t xml:space="preserve">  G5J 2K5</w:t>
            </w:r>
          </w:p>
        </w:tc>
      </w:tr>
      <w:tr w:rsidR="00A84C2E" w:rsidRPr="0035712B" w14:paraId="5DC49287" w14:textId="77777777" w:rsidTr="00882796">
        <w:tc>
          <w:tcPr>
            <w:tcW w:w="9510" w:type="dxa"/>
            <w:gridSpan w:val="5"/>
          </w:tcPr>
          <w:p w14:paraId="4DFF7F54" w14:textId="31397A37" w:rsidR="00A84C2E" w:rsidRPr="003A037A" w:rsidRDefault="00A84C2E" w:rsidP="00A84C2E">
            <w:pPr>
              <w:ind w:left="14" w:right="85"/>
              <w:jc w:val="both"/>
              <w:rPr>
                <w:rFonts w:cs="Arial"/>
                <w:color w:val="000000"/>
                <w:lang w:val="en-CA"/>
              </w:rPr>
            </w:pPr>
            <w:r w:rsidRPr="003A037A">
              <w:rPr>
                <w:rFonts w:cs="Arial"/>
                <w:color w:val="000000"/>
                <w:lang w:val="en-CA"/>
              </w:rPr>
              <w:t>and</w:t>
            </w:r>
          </w:p>
        </w:tc>
      </w:tr>
      <w:tr w:rsidR="00A84C2E" w:rsidRPr="0035712B" w14:paraId="79E66ECA" w14:textId="77777777" w:rsidTr="00882796">
        <w:tc>
          <w:tcPr>
            <w:tcW w:w="9510" w:type="dxa"/>
            <w:gridSpan w:val="5"/>
          </w:tcPr>
          <w:p w14:paraId="69DDB7F0" w14:textId="4A04C776" w:rsidR="00A84C2E" w:rsidRPr="003A037A" w:rsidRDefault="00A84C2E" w:rsidP="00A84C2E">
            <w:pPr>
              <w:ind w:left="14" w:right="85"/>
              <w:jc w:val="both"/>
              <w:rPr>
                <w:rFonts w:cs="Arial"/>
                <w:b/>
                <w:bCs/>
                <w:color w:val="000000"/>
                <w:lang w:val="en-CA"/>
              </w:rPr>
            </w:pPr>
            <w:r w:rsidRPr="003A037A">
              <w:rPr>
                <w:b/>
                <w:bCs/>
                <w:lang w:val="en-CA"/>
              </w:rPr>
              <w:t>SAINTE-JUSTINE UHC FOUNDATION</w:t>
            </w:r>
            <w:r w:rsidRPr="003A037A">
              <w:rPr>
                <w:bCs/>
                <w:color w:val="000000"/>
                <w:lang w:val="en-CA"/>
              </w:rPr>
              <w:t xml:space="preserve">, 5757 </w:t>
            </w:r>
            <w:proofErr w:type="spellStart"/>
            <w:r w:rsidRPr="003A037A">
              <w:rPr>
                <w:bCs/>
                <w:color w:val="000000"/>
                <w:lang w:val="en-CA"/>
              </w:rPr>
              <w:t>Decelles</w:t>
            </w:r>
            <w:proofErr w:type="spellEnd"/>
            <w:r w:rsidRPr="003A037A">
              <w:rPr>
                <w:bCs/>
                <w:color w:val="000000"/>
                <w:lang w:val="en-CA"/>
              </w:rPr>
              <w:t xml:space="preserve"> Ave., suite 500, Montreal, Quebec  H3S 2C3</w:t>
            </w:r>
          </w:p>
        </w:tc>
      </w:tr>
      <w:tr w:rsidR="00A84C2E" w:rsidRPr="0035712B" w14:paraId="504A21AF" w14:textId="77777777" w:rsidTr="00882796">
        <w:tc>
          <w:tcPr>
            <w:tcW w:w="9510" w:type="dxa"/>
            <w:gridSpan w:val="5"/>
          </w:tcPr>
          <w:p w14:paraId="4D910A6F" w14:textId="2E2A9232" w:rsidR="00A84C2E" w:rsidRPr="003A037A" w:rsidRDefault="00A84C2E" w:rsidP="00A84C2E">
            <w:pPr>
              <w:ind w:left="14" w:right="85"/>
              <w:jc w:val="both"/>
              <w:rPr>
                <w:rFonts w:cs="Arial"/>
                <w:color w:val="000000"/>
                <w:lang w:val="en-CA"/>
              </w:rPr>
            </w:pPr>
            <w:r w:rsidRPr="003A037A">
              <w:rPr>
                <w:rFonts w:cs="Arial"/>
                <w:color w:val="000000"/>
                <w:lang w:val="en-CA"/>
              </w:rPr>
              <w:t>and</w:t>
            </w:r>
          </w:p>
        </w:tc>
      </w:tr>
      <w:tr w:rsidR="00A84C2E" w:rsidRPr="0035712B" w14:paraId="28153447" w14:textId="77777777" w:rsidTr="00882796">
        <w:tc>
          <w:tcPr>
            <w:tcW w:w="9510" w:type="dxa"/>
            <w:gridSpan w:val="5"/>
          </w:tcPr>
          <w:p w14:paraId="5FAA6C9A" w14:textId="6B5012C6" w:rsidR="00A84C2E" w:rsidRPr="00B557B4" w:rsidRDefault="00A84C2E" w:rsidP="00A84C2E">
            <w:pPr>
              <w:ind w:left="14" w:right="85"/>
              <w:jc w:val="both"/>
              <w:rPr>
                <w:rFonts w:cs="Arial"/>
                <w:b/>
                <w:bCs/>
                <w:color w:val="000000"/>
              </w:rPr>
            </w:pPr>
            <w:r w:rsidRPr="00B557B4">
              <w:rPr>
                <w:b/>
                <w:bCs/>
              </w:rPr>
              <w:t>FONDATION INSTITUT UNIVERSITAIRE DE CARDIOLOGIE ET DE PNEUMOLOGIE DE QUÉBEC (LAVAL HOSPITAL)</w:t>
            </w:r>
            <w:r w:rsidRPr="00B557B4">
              <w:rPr>
                <w:bCs/>
                <w:color w:val="000000"/>
              </w:rPr>
              <w:t xml:space="preserve">, </w:t>
            </w:r>
            <w:proofErr w:type="spellStart"/>
            <w:r w:rsidRPr="00B557B4">
              <w:rPr>
                <w:bCs/>
                <w:color w:val="000000"/>
              </w:rPr>
              <w:t>duly</w:t>
            </w:r>
            <w:proofErr w:type="spellEnd"/>
            <w:r w:rsidRPr="00B557B4">
              <w:rPr>
                <w:bCs/>
                <w:color w:val="000000"/>
              </w:rPr>
              <w:t xml:space="preserve"> </w:t>
            </w:r>
            <w:proofErr w:type="spellStart"/>
            <w:r w:rsidRPr="00B557B4">
              <w:rPr>
                <w:bCs/>
                <w:color w:val="000000"/>
              </w:rPr>
              <w:t>constituted</w:t>
            </w:r>
            <w:proofErr w:type="spellEnd"/>
            <w:r w:rsidRPr="00B557B4">
              <w:rPr>
                <w:bCs/>
                <w:color w:val="000000"/>
              </w:rPr>
              <w:t xml:space="preserve"> </w:t>
            </w:r>
            <w:proofErr w:type="spellStart"/>
            <w:r w:rsidRPr="00B557B4">
              <w:rPr>
                <w:bCs/>
                <w:color w:val="000000"/>
              </w:rPr>
              <w:t>legal</w:t>
            </w:r>
            <w:proofErr w:type="spellEnd"/>
            <w:r w:rsidRPr="00B557B4">
              <w:rPr>
                <w:bCs/>
                <w:color w:val="000000"/>
              </w:rPr>
              <w:t xml:space="preserve"> </w:t>
            </w:r>
            <w:proofErr w:type="spellStart"/>
            <w:r w:rsidRPr="00B557B4">
              <w:rPr>
                <w:bCs/>
                <w:color w:val="000000"/>
              </w:rPr>
              <w:t>person</w:t>
            </w:r>
            <w:proofErr w:type="spellEnd"/>
            <w:r w:rsidRPr="00B557B4">
              <w:rPr>
                <w:bCs/>
                <w:color w:val="000000"/>
              </w:rPr>
              <w:t xml:space="preserve">, 2725 Ste-Foy Rd., Québec, </w:t>
            </w:r>
            <w:proofErr w:type="spellStart"/>
            <w:r w:rsidRPr="00B557B4">
              <w:rPr>
                <w:bCs/>
                <w:color w:val="000000"/>
              </w:rPr>
              <w:t>Quebec</w:t>
            </w:r>
            <w:proofErr w:type="spellEnd"/>
            <w:r w:rsidRPr="00B557B4">
              <w:rPr>
                <w:bCs/>
                <w:color w:val="000000"/>
              </w:rPr>
              <w:t xml:space="preserve">  G1V 4G5</w:t>
            </w:r>
          </w:p>
        </w:tc>
      </w:tr>
      <w:tr w:rsidR="00A84C2E" w:rsidRPr="0035712B" w14:paraId="5045617B" w14:textId="77777777" w:rsidTr="00882796">
        <w:tc>
          <w:tcPr>
            <w:tcW w:w="9510" w:type="dxa"/>
            <w:gridSpan w:val="5"/>
          </w:tcPr>
          <w:p w14:paraId="6409350F" w14:textId="18433624" w:rsidR="00A84C2E" w:rsidRPr="003A037A" w:rsidRDefault="00A84C2E" w:rsidP="00A84C2E">
            <w:pPr>
              <w:pStyle w:val="zSoquijdatQtePartieDef"/>
              <w:rPr>
                <w:lang w:val="en-CA"/>
              </w:rPr>
            </w:pPr>
            <w:r w:rsidRPr="003A037A">
              <w:rPr>
                <w:lang w:val="en-CA"/>
              </w:rPr>
              <w:t>Impleaded parties</w:t>
            </w:r>
          </w:p>
        </w:tc>
      </w:tr>
      <w:tr w:rsidR="00A84C2E" w:rsidRPr="0035712B" w14:paraId="398EC87B" w14:textId="77777777" w:rsidTr="00882796">
        <w:tc>
          <w:tcPr>
            <w:tcW w:w="9510" w:type="dxa"/>
            <w:gridSpan w:val="5"/>
            <w:tcBorders>
              <w:bottom w:val="single" w:sz="4" w:space="0" w:color="auto"/>
            </w:tcBorders>
          </w:tcPr>
          <w:p w14:paraId="10B98E25" w14:textId="77777777" w:rsidR="00A84C2E" w:rsidRPr="003A037A" w:rsidRDefault="00A84C2E" w:rsidP="00A84C2E">
            <w:pPr>
              <w:ind w:left="14" w:right="-95"/>
              <w:rPr>
                <w:lang w:val="en-CA"/>
              </w:rPr>
            </w:pPr>
          </w:p>
        </w:tc>
      </w:tr>
      <w:tr w:rsidR="00A84C2E" w:rsidRPr="0035712B" w14:paraId="6AD78E88" w14:textId="77777777" w:rsidTr="00882796">
        <w:tc>
          <w:tcPr>
            <w:tcW w:w="9510" w:type="dxa"/>
            <w:gridSpan w:val="5"/>
            <w:tcBorders>
              <w:top w:val="single" w:sz="4" w:space="0" w:color="auto"/>
            </w:tcBorders>
          </w:tcPr>
          <w:p w14:paraId="35ADE283" w14:textId="77777777" w:rsidR="00A84C2E" w:rsidRPr="003A037A" w:rsidRDefault="00A84C2E" w:rsidP="00A84C2E">
            <w:pPr>
              <w:jc w:val="center"/>
              <w:rPr>
                <w:lang w:val="en-CA"/>
              </w:rPr>
            </w:pPr>
          </w:p>
        </w:tc>
      </w:tr>
      <w:tr w:rsidR="00A84C2E" w:rsidRPr="0035712B" w14:paraId="642F0873" w14:textId="77777777" w:rsidTr="00882796">
        <w:tc>
          <w:tcPr>
            <w:tcW w:w="9510" w:type="dxa"/>
            <w:gridSpan w:val="5"/>
          </w:tcPr>
          <w:p w14:paraId="6A83FA87" w14:textId="18499BD8" w:rsidR="00A84C2E" w:rsidRPr="003A037A" w:rsidRDefault="00A84C2E" w:rsidP="00A84C2E">
            <w:pPr>
              <w:pStyle w:val="zSoquijlblTypeDocument"/>
              <w:rPr>
                <w:lang w:val="en-CA"/>
              </w:rPr>
            </w:pPr>
            <w:r w:rsidRPr="003A037A">
              <w:rPr>
                <w:lang w:val="en-CA"/>
              </w:rPr>
              <w:t>DECISION</w:t>
            </w:r>
          </w:p>
        </w:tc>
      </w:tr>
      <w:tr w:rsidR="00A84C2E" w:rsidRPr="0035712B" w14:paraId="46F3FD56" w14:textId="77777777" w:rsidTr="00882796">
        <w:tc>
          <w:tcPr>
            <w:tcW w:w="9510" w:type="dxa"/>
            <w:gridSpan w:val="5"/>
          </w:tcPr>
          <w:p w14:paraId="7B6403D5" w14:textId="3A8C275C" w:rsidR="00A84C2E" w:rsidRPr="003A037A" w:rsidRDefault="00A84C2E" w:rsidP="00A84C2E">
            <w:pPr>
              <w:pStyle w:val="zSoquijlblNosArticles"/>
              <w:rPr>
                <w:b/>
                <w:smallCaps/>
                <w:lang w:val="en-CA"/>
              </w:rPr>
            </w:pPr>
            <w:r w:rsidRPr="003A037A">
              <w:rPr>
                <w:b/>
                <w:smallCaps/>
                <w:lang w:val="en-CA"/>
              </w:rPr>
              <w:t>(extension of freeze orders)</w:t>
            </w:r>
          </w:p>
        </w:tc>
      </w:tr>
      <w:tr w:rsidR="00A84C2E" w:rsidRPr="0035712B" w14:paraId="603F8062" w14:textId="77777777" w:rsidTr="00882796">
        <w:tc>
          <w:tcPr>
            <w:tcW w:w="9510" w:type="dxa"/>
            <w:gridSpan w:val="5"/>
            <w:tcBorders>
              <w:bottom w:val="single" w:sz="4" w:space="0" w:color="auto"/>
            </w:tcBorders>
          </w:tcPr>
          <w:p w14:paraId="194AA8EE" w14:textId="77777777" w:rsidR="00A84C2E" w:rsidRPr="003A037A" w:rsidRDefault="00A84C2E" w:rsidP="00A84C2E">
            <w:pPr>
              <w:pStyle w:val="zSoquijlblNosArticles"/>
              <w:rPr>
                <w:lang w:val="en-CA"/>
              </w:rPr>
            </w:pPr>
          </w:p>
        </w:tc>
      </w:tr>
      <w:tr w:rsidR="00A84C2E" w:rsidRPr="0035712B" w14:paraId="0305C9B8" w14:textId="77777777" w:rsidTr="00882796">
        <w:tc>
          <w:tcPr>
            <w:tcW w:w="9510" w:type="dxa"/>
            <w:gridSpan w:val="5"/>
            <w:tcBorders>
              <w:top w:val="single" w:sz="4" w:space="0" w:color="auto"/>
            </w:tcBorders>
          </w:tcPr>
          <w:p w14:paraId="7F2D2C34" w14:textId="77777777" w:rsidR="00A84C2E" w:rsidRPr="003A037A" w:rsidRDefault="00A84C2E" w:rsidP="00A84C2E">
            <w:pPr>
              <w:pStyle w:val="zSoquijlblNosArticles"/>
              <w:jc w:val="left"/>
              <w:rPr>
                <w:lang w:val="en-CA"/>
              </w:rPr>
            </w:pPr>
          </w:p>
        </w:tc>
      </w:tr>
    </w:tbl>
    <w:p w14:paraId="10185104" w14:textId="249941EE" w:rsidR="009505AB" w:rsidRPr="000922B8" w:rsidRDefault="007E1096" w:rsidP="009505AB">
      <w:pPr>
        <w:pStyle w:val="Titre1"/>
        <w:jc w:val="both"/>
        <w:rPr>
          <w:rFonts w:cs="Arial"/>
          <w:b w:val="0"/>
          <w:bCs/>
          <w:color w:val="000000"/>
          <w:szCs w:val="24"/>
          <w:lang w:val="en-CA"/>
        </w:rPr>
      </w:pPr>
      <w:bookmarkStart w:id="0" w:name="_Ref456356564"/>
      <w:r w:rsidRPr="000922B8">
        <w:rPr>
          <w:rFonts w:cs="Arial"/>
          <w:color w:val="000000"/>
          <w:szCs w:val="24"/>
          <w:lang w:val="en-CA"/>
        </w:rPr>
        <w:t>WARNING:</w:t>
      </w:r>
      <w:r w:rsidRPr="000922B8">
        <w:rPr>
          <w:rFonts w:cs="Arial"/>
          <w:b w:val="0"/>
          <w:bCs/>
          <w:color w:val="000000"/>
          <w:szCs w:val="24"/>
          <w:lang w:val="en-CA"/>
        </w:rPr>
        <w:t xml:space="preserve"> On January 27, 2022, the Financial Markets Adm</w:t>
      </w:r>
      <w:r w:rsidR="00E51D58" w:rsidRPr="000922B8">
        <w:rPr>
          <w:rFonts w:cs="Arial"/>
          <w:b w:val="0"/>
          <w:bCs/>
          <w:color w:val="000000"/>
          <w:szCs w:val="24"/>
          <w:lang w:val="en-CA"/>
        </w:rPr>
        <w:t>i</w:t>
      </w:r>
      <w:r w:rsidRPr="000922B8">
        <w:rPr>
          <w:rFonts w:cs="Arial"/>
          <w:b w:val="0"/>
          <w:bCs/>
          <w:color w:val="000000"/>
          <w:szCs w:val="24"/>
          <w:lang w:val="en-CA"/>
        </w:rPr>
        <w:t xml:space="preserve">nistrative Tribunal issued an order prohibiting the publication, disclosure, or release of the identity of the late H.D.B., the </w:t>
      </w:r>
      <w:r w:rsidR="00E51D58" w:rsidRPr="000922B8">
        <w:rPr>
          <w:rFonts w:cs="Arial"/>
          <w:b w:val="0"/>
          <w:bCs/>
          <w:color w:val="000000"/>
          <w:szCs w:val="24"/>
          <w:lang w:val="en-CA"/>
        </w:rPr>
        <w:t>S</w:t>
      </w:r>
      <w:r w:rsidRPr="000922B8">
        <w:rPr>
          <w:rFonts w:cs="Arial"/>
          <w:b w:val="0"/>
          <w:bCs/>
          <w:color w:val="000000"/>
          <w:szCs w:val="24"/>
          <w:lang w:val="en-CA"/>
        </w:rPr>
        <w:t>uccession A.B.</w:t>
      </w:r>
      <w:r w:rsidR="00E51D58" w:rsidRPr="000922B8">
        <w:rPr>
          <w:rFonts w:cs="Arial"/>
          <w:b w:val="0"/>
          <w:bCs/>
          <w:color w:val="000000"/>
          <w:szCs w:val="24"/>
          <w:lang w:val="en-CA"/>
        </w:rPr>
        <w:t xml:space="preserve"> Trust</w:t>
      </w:r>
      <w:r w:rsidRPr="000922B8">
        <w:rPr>
          <w:rFonts w:cs="Arial"/>
          <w:b w:val="0"/>
          <w:bCs/>
          <w:color w:val="000000"/>
          <w:szCs w:val="24"/>
          <w:lang w:val="en-CA"/>
        </w:rPr>
        <w:t>, and the late A.B., which applies to the file</w:t>
      </w:r>
      <w:r w:rsidR="00E51D58" w:rsidRPr="000922B8">
        <w:rPr>
          <w:rFonts w:cs="Arial"/>
          <w:b w:val="0"/>
          <w:bCs/>
          <w:color w:val="000000"/>
          <w:szCs w:val="24"/>
          <w:lang w:val="en-CA"/>
        </w:rPr>
        <w:t xml:space="preserve"> as a whole</w:t>
      </w:r>
      <w:r w:rsidRPr="000922B8">
        <w:rPr>
          <w:rFonts w:cs="Arial"/>
          <w:b w:val="0"/>
          <w:bCs/>
          <w:color w:val="000000"/>
          <w:szCs w:val="24"/>
          <w:lang w:val="en-CA"/>
        </w:rPr>
        <w:t>, for its entire duration.</w:t>
      </w:r>
      <w:r w:rsidRPr="003A037A">
        <w:rPr>
          <w:rStyle w:val="Appelnotedebasdep"/>
          <w:rFonts w:cs="Arial"/>
          <w:b w:val="0"/>
          <w:bCs/>
          <w:color w:val="000000"/>
          <w:szCs w:val="24"/>
          <w:lang w:val="en-CA"/>
        </w:rPr>
        <w:footnoteReference w:id="1"/>
      </w:r>
    </w:p>
    <w:p w14:paraId="09912D98" w14:textId="73579122" w:rsidR="00FC0E51" w:rsidRPr="003A037A" w:rsidRDefault="007E1096" w:rsidP="00AD0047">
      <w:pPr>
        <w:pStyle w:val="Paragraphe"/>
        <w:numPr>
          <w:ilvl w:val="0"/>
          <w:numId w:val="0"/>
        </w:numPr>
        <w:rPr>
          <w:b/>
          <w:bCs/>
          <w:lang w:val="en-CA"/>
        </w:rPr>
      </w:pPr>
      <w:r w:rsidRPr="003A037A">
        <w:rPr>
          <w:b/>
          <w:bCs/>
          <w:lang w:val="en-CA"/>
        </w:rPr>
        <w:t>OVERVIEW</w:t>
      </w:r>
    </w:p>
    <w:p w14:paraId="020D36FF" w14:textId="630F9C6F" w:rsidR="00A42FE3" w:rsidRPr="000922B8" w:rsidRDefault="007E1096" w:rsidP="00CB40DC">
      <w:pPr>
        <w:pStyle w:val="Paragraphe"/>
        <w:rPr>
          <w:lang w:val="en-CA"/>
        </w:rPr>
      </w:pPr>
      <w:r w:rsidRPr="000922B8">
        <w:rPr>
          <w:lang w:val="en-CA"/>
        </w:rPr>
        <w:t xml:space="preserve">The </w:t>
      </w:r>
      <w:proofErr w:type="spellStart"/>
      <w:r w:rsidRPr="000922B8">
        <w:rPr>
          <w:lang w:val="en-CA"/>
        </w:rPr>
        <w:t>Autorité</w:t>
      </w:r>
      <w:proofErr w:type="spellEnd"/>
      <w:r w:rsidRPr="000922B8">
        <w:rPr>
          <w:lang w:val="en-CA"/>
        </w:rPr>
        <w:t xml:space="preserve"> des </w:t>
      </w:r>
      <w:proofErr w:type="spellStart"/>
      <w:r w:rsidRPr="000922B8">
        <w:rPr>
          <w:lang w:val="en-CA"/>
        </w:rPr>
        <w:t>marchés</w:t>
      </w:r>
      <w:proofErr w:type="spellEnd"/>
      <w:r w:rsidRPr="000922B8">
        <w:rPr>
          <w:lang w:val="en-CA"/>
        </w:rPr>
        <w:t xml:space="preserve"> financiers (the “Authority”) is the entity responsible for, among other things, enforcing the </w:t>
      </w:r>
      <w:r w:rsidRPr="000922B8">
        <w:rPr>
          <w:i/>
          <w:lang w:val="en-CA"/>
        </w:rPr>
        <w:t>Securities Act</w:t>
      </w:r>
      <w:r w:rsidRPr="003A037A">
        <w:rPr>
          <w:rStyle w:val="Appelnotedebasdep"/>
          <w:rFonts w:cs="Arial"/>
          <w:color w:val="000000"/>
          <w:lang w:val="en-CA"/>
        </w:rPr>
        <w:footnoteReference w:id="2"/>
      </w:r>
      <w:r w:rsidRPr="000922B8">
        <w:rPr>
          <w:lang w:val="en-CA"/>
        </w:rPr>
        <w:t xml:space="preserve"> and the </w:t>
      </w:r>
      <w:r w:rsidRPr="000922B8">
        <w:rPr>
          <w:i/>
          <w:lang w:val="en-CA"/>
        </w:rPr>
        <w:t>Act respecting the distribution of financial products and services</w:t>
      </w:r>
      <w:r w:rsidRPr="000922B8">
        <w:rPr>
          <w:lang w:val="en-CA"/>
        </w:rPr>
        <w:t>.</w:t>
      </w:r>
      <w:r w:rsidRPr="003A037A">
        <w:rPr>
          <w:rStyle w:val="Appelnotedebasdep"/>
          <w:rFonts w:cs="Arial"/>
          <w:lang w:val="en-CA"/>
        </w:rPr>
        <w:footnoteReference w:id="3"/>
      </w:r>
      <w:r w:rsidR="007E64CB" w:rsidRPr="000922B8">
        <w:rPr>
          <w:lang w:val="en-CA"/>
        </w:rPr>
        <w:t xml:space="preserve"> </w:t>
      </w:r>
      <w:r w:rsidRPr="000922B8">
        <w:rPr>
          <w:lang w:val="en-CA"/>
        </w:rPr>
        <w:t xml:space="preserve">Its mission includes </w:t>
      </w:r>
      <w:r w:rsidR="00961181" w:rsidRPr="000922B8">
        <w:rPr>
          <w:lang w:val="en-CA"/>
        </w:rPr>
        <w:t>seeing to</w:t>
      </w:r>
      <w:r w:rsidRPr="000922B8">
        <w:rPr>
          <w:lang w:val="en-CA"/>
        </w:rPr>
        <w:t xml:space="preserve"> the protection of the public</w:t>
      </w:r>
      <w:r w:rsidRPr="008D2CF1">
        <w:rPr>
          <w:rStyle w:val="Appelnotedebasdep"/>
          <w:rFonts w:cs="Arial"/>
          <w:color w:val="000000"/>
          <w:lang w:val="en-CA"/>
        </w:rPr>
        <w:footnoteReference w:id="4"/>
      </w:r>
      <w:r w:rsidRPr="000922B8">
        <w:rPr>
          <w:lang w:val="en-CA"/>
        </w:rPr>
        <w:t xml:space="preserve"> and</w:t>
      </w:r>
      <w:r w:rsidR="0058720A" w:rsidRPr="000922B8">
        <w:rPr>
          <w:lang w:val="en-CA"/>
        </w:rPr>
        <w:t xml:space="preserve"> of</w:t>
      </w:r>
      <w:r w:rsidRPr="000922B8">
        <w:rPr>
          <w:lang w:val="en-CA"/>
        </w:rPr>
        <w:t xml:space="preserve"> investors.</w:t>
      </w:r>
      <w:r w:rsidRPr="003A037A">
        <w:rPr>
          <w:rStyle w:val="Appelnotedebasdep"/>
          <w:rFonts w:cs="Arial"/>
          <w:color w:val="000000"/>
          <w:lang w:val="en-CA"/>
        </w:rPr>
        <w:footnoteReference w:id="5"/>
      </w:r>
      <w:r w:rsidR="007E64CB" w:rsidRPr="000922B8">
        <w:rPr>
          <w:lang w:val="en-CA"/>
        </w:rPr>
        <w:t xml:space="preserve"> </w:t>
      </w:r>
    </w:p>
    <w:p w14:paraId="63E2F516" w14:textId="49EBDFB3" w:rsidR="00CB40DC" w:rsidRPr="000922B8" w:rsidRDefault="007E1096" w:rsidP="00CB40DC">
      <w:pPr>
        <w:pStyle w:val="Paragraphe"/>
        <w:rPr>
          <w:lang w:val="en-CA"/>
        </w:rPr>
      </w:pPr>
      <w:r w:rsidRPr="000922B8">
        <w:rPr>
          <w:lang w:val="en-CA"/>
        </w:rPr>
        <w:t>At the time of the facts at issue, the respondent Roger Tremblay was registered with the Authority as a representative in insurance of persons and as a financial planner.</w:t>
      </w:r>
      <w:r w:rsidR="007E64CB" w:rsidRPr="000922B8">
        <w:rPr>
          <w:lang w:val="en-CA"/>
        </w:rPr>
        <w:t xml:space="preserve"> </w:t>
      </w:r>
      <w:r w:rsidRPr="000922B8">
        <w:rPr>
          <w:lang w:val="en-CA"/>
        </w:rPr>
        <w:t xml:space="preserve">He was </w:t>
      </w:r>
      <w:r w:rsidR="00C717B3">
        <w:rPr>
          <w:lang w:val="en-CA"/>
        </w:rPr>
        <w:t>acting for</w:t>
      </w:r>
      <w:r w:rsidRPr="000922B8">
        <w:rPr>
          <w:lang w:val="en-CA"/>
        </w:rPr>
        <w:t xml:space="preserve"> the firm I.G. Insurance services</w:t>
      </w:r>
      <w:r w:rsidR="00E9541A" w:rsidRPr="000922B8">
        <w:rPr>
          <w:lang w:val="en-CA"/>
        </w:rPr>
        <w:t xml:space="preserve"> Inc.</w:t>
      </w:r>
      <w:r w:rsidRPr="000922B8">
        <w:rPr>
          <w:lang w:val="en-CA"/>
        </w:rPr>
        <w:t xml:space="preserve"> and also acted as a mutual fund dealer with Investors Group Financial Services Inc.</w:t>
      </w:r>
    </w:p>
    <w:p w14:paraId="14E1367F" w14:textId="5BD90D65" w:rsidR="00CB40DC" w:rsidRPr="000922B8" w:rsidRDefault="007E1096" w:rsidP="00B37EF9">
      <w:pPr>
        <w:pStyle w:val="Paragraphe"/>
        <w:rPr>
          <w:lang w:val="en-CA"/>
        </w:rPr>
      </w:pPr>
      <w:r w:rsidRPr="000922B8">
        <w:rPr>
          <w:bCs/>
          <w:lang w:val="en-CA"/>
        </w:rPr>
        <w:t xml:space="preserve">In December 2021, the Authority began an investigation into Roger Tremblay’s alleged breaches of the </w:t>
      </w:r>
      <w:r w:rsidRPr="000922B8">
        <w:rPr>
          <w:bCs/>
          <w:i/>
          <w:color w:val="000000"/>
          <w:lang w:val="en-CA"/>
        </w:rPr>
        <w:t>Securities Act</w:t>
      </w:r>
      <w:r w:rsidRPr="000922B8">
        <w:rPr>
          <w:bCs/>
          <w:color w:val="000000"/>
          <w:lang w:val="en-CA"/>
        </w:rPr>
        <w:t xml:space="preserve"> and the </w:t>
      </w:r>
      <w:r w:rsidRPr="000922B8">
        <w:rPr>
          <w:bCs/>
          <w:i/>
          <w:color w:val="000000"/>
          <w:lang w:val="en-CA"/>
        </w:rPr>
        <w:t>Act respecting the distribution of financial products and services</w:t>
      </w:r>
      <w:r w:rsidRPr="000922B8">
        <w:rPr>
          <w:bCs/>
          <w:color w:val="000000"/>
          <w:lang w:val="en-CA"/>
        </w:rPr>
        <w:t>.</w:t>
      </w:r>
      <w:r w:rsidR="006D13F6" w:rsidRPr="000922B8">
        <w:rPr>
          <w:color w:val="000000"/>
          <w:lang w:val="en-CA"/>
        </w:rPr>
        <w:t xml:space="preserve"> </w:t>
      </w:r>
      <w:r w:rsidRPr="000922B8">
        <w:rPr>
          <w:lang w:val="en-CA"/>
        </w:rPr>
        <w:t xml:space="preserve">According to the Authority’s investigation, Roger Tremblay put himself in a clear situation of conflict of interest by exercising different functions and acting in multiple capacities simultaneously for his client, the </w:t>
      </w:r>
      <w:r w:rsidR="00742AD8" w:rsidRPr="000922B8">
        <w:rPr>
          <w:lang w:val="en-CA"/>
        </w:rPr>
        <w:t>S</w:t>
      </w:r>
      <w:r w:rsidRPr="000922B8">
        <w:rPr>
          <w:lang w:val="en-CA"/>
        </w:rPr>
        <w:t>uccession A.B.</w:t>
      </w:r>
      <w:r w:rsidR="00742AD8" w:rsidRPr="000922B8">
        <w:rPr>
          <w:lang w:val="en-CA"/>
        </w:rPr>
        <w:t xml:space="preserve"> Trust,</w:t>
      </w:r>
      <w:r w:rsidRPr="000922B8">
        <w:rPr>
          <w:lang w:val="en-CA"/>
        </w:rPr>
        <w:t xml:space="preserve"> and </w:t>
      </w:r>
      <w:r w:rsidR="00D90558">
        <w:rPr>
          <w:lang w:val="en-CA"/>
        </w:rPr>
        <w:t xml:space="preserve">for </w:t>
      </w:r>
      <w:r w:rsidRPr="000922B8">
        <w:rPr>
          <w:lang w:val="en-CA"/>
        </w:rPr>
        <w:t xml:space="preserve">the late A.B.’s </w:t>
      </w:r>
      <w:r w:rsidRPr="000922B8">
        <w:rPr>
          <w:lang w:val="en-CA"/>
        </w:rPr>
        <w:lastRenderedPageBreak/>
        <w:t>spouse, the late H.D.B., who was also his client and who died in April 2023.</w:t>
      </w:r>
      <w:r w:rsidR="00B26562" w:rsidRPr="000922B8">
        <w:rPr>
          <w:lang w:val="en-CA"/>
        </w:rPr>
        <w:t xml:space="preserve"> </w:t>
      </w:r>
      <w:r w:rsidRPr="000922B8">
        <w:rPr>
          <w:lang w:val="en-CA"/>
        </w:rPr>
        <w:t xml:space="preserve">According to the Authority, while exercising his functions for the </w:t>
      </w:r>
      <w:r w:rsidR="00961181" w:rsidRPr="000922B8">
        <w:rPr>
          <w:lang w:val="en-CA"/>
        </w:rPr>
        <w:t>S</w:t>
      </w:r>
      <w:r w:rsidRPr="000922B8">
        <w:rPr>
          <w:lang w:val="en-CA"/>
        </w:rPr>
        <w:t>uccession A.B.</w:t>
      </w:r>
      <w:r w:rsidR="00961181" w:rsidRPr="000922B8">
        <w:rPr>
          <w:lang w:val="en-CA"/>
        </w:rPr>
        <w:t xml:space="preserve"> Trust</w:t>
      </w:r>
      <w:r w:rsidRPr="000922B8">
        <w:rPr>
          <w:lang w:val="en-CA"/>
        </w:rPr>
        <w:t>, he was</w:t>
      </w:r>
      <w:r w:rsidR="00961181" w:rsidRPr="000922B8">
        <w:rPr>
          <w:lang w:val="en-CA"/>
        </w:rPr>
        <w:t xml:space="preserve"> also</w:t>
      </w:r>
      <w:r w:rsidRPr="000922B8">
        <w:rPr>
          <w:lang w:val="en-CA"/>
        </w:rPr>
        <w:t xml:space="preserve"> acting as a financial planner, financial advisor, mandatary, and caregiver for H.D.B. Furthermore, Roger Tremblay was appointed as </w:t>
      </w:r>
      <w:r w:rsidR="00961181" w:rsidRPr="000922B8">
        <w:rPr>
          <w:lang w:val="en-CA"/>
        </w:rPr>
        <w:t xml:space="preserve">joint </w:t>
      </w:r>
      <w:r w:rsidRPr="000922B8">
        <w:rPr>
          <w:lang w:val="en-CA"/>
        </w:rPr>
        <w:t xml:space="preserve">liquidator and heir to the succession of H.D.B. In his respective roles, Roger Tremblay administered the patrimony of </w:t>
      </w:r>
      <w:r w:rsidR="00961181" w:rsidRPr="000922B8">
        <w:rPr>
          <w:lang w:val="en-CA"/>
        </w:rPr>
        <w:t>the S</w:t>
      </w:r>
      <w:r w:rsidRPr="000922B8">
        <w:rPr>
          <w:lang w:val="en-CA"/>
        </w:rPr>
        <w:t>uccession A.B.</w:t>
      </w:r>
      <w:r w:rsidR="00961181" w:rsidRPr="000922B8">
        <w:rPr>
          <w:lang w:val="en-CA"/>
        </w:rPr>
        <w:t xml:space="preserve"> Trust</w:t>
      </w:r>
      <w:r w:rsidRPr="000922B8">
        <w:rPr>
          <w:lang w:val="en-CA"/>
        </w:rPr>
        <w:t xml:space="preserve"> and the patrimony of the late H.D.B. and had direct access to their assets.</w:t>
      </w:r>
      <w:r w:rsidR="00B26562" w:rsidRPr="000922B8">
        <w:rPr>
          <w:lang w:val="en-CA"/>
        </w:rPr>
        <w:t xml:space="preserve"> </w:t>
      </w:r>
    </w:p>
    <w:p w14:paraId="1DAEBE43" w14:textId="12252CCD" w:rsidR="00CB40DC" w:rsidRPr="000922B8" w:rsidRDefault="007E1096" w:rsidP="00CB40DC">
      <w:pPr>
        <w:pStyle w:val="Paragraphe"/>
        <w:rPr>
          <w:lang w:val="en-CA"/>
        </w:rPr>
      </w:pPr>
      <w:r w:rsidRPr="000922B8">
        <w:rPr>
          <w:lang w:val="en-CA"/>
        </w:rPr>
        <w:t>According to the Authority’s investigation, Roger Tremblay allegedly incurred unexplained and unjustified expenses amounting to about $654,000, including the purchase of a recreational vehicle and a boat in his own name.</w:t>
      </w:r>
      <w:r w:rsidR="007E64CB" w:rsidRPr="000922B8">
        <w:rPr>
          <w:lang w:val="en-CA"/>
        </w:rPr>
        <w:t xml:space="preserve"> </w:t>
      </w:r>
    </w:p>
    <w:p w14:paraId="1D5C4F6E" w14:textId="3DD8D336" w:rsidR="00CB40DC" w:rsidRPr="000922B8" w:rsidRDefault="007E1096" w:rsidP="00CB40DC">
      <w:pPr>
        <w:pStyle w:val="Paragraphe"/>
        <w:rPr>
          <w:lang w:val="en-CA"/>
        </w:rPr>
      </w:pPr>
      <w:r w:rsidRPr="000922B8">
        <w:rPr>
          <w:lang w:val="en-CA"/>
        </w:rPr>
        <w:t xml:space="preserve">To put an end to this situation, the Authority filed an urgent request for an </w:t>
      </w:r>
      <w:r w:rsidRPr="00744336">
        <w:rPr>
          <w:i/>
          <w:iCs/>
          <w:lang w:val="en-CA"/>
        </w:rPr>
        <w:t xml:space="preserve">ex </w:t>
      </w:r>
      <w:proofErr w:type="spellStart"/>
      <w:r w:rsidRPr="00744336">
        <w:rPr>
          <w:i/>
          <w:iCs/>
          <w:lang w:val="en-CA"/>
        </w:rPr>
        <w:t>parte</w:t>
      </w:r>
      <w:proofErr w:type="spellEnd"/>
      <w:r w:rsidRPr="000922B8">
        <w:rPr>
          <w:lang w:val="en-CA"/>
        </w:rPr>
        <w:t xml:space="preserve"> hearing with the Tribunal</w:t>
      </w:r>
      <w:r w:rsidRPr="00447F86">
        <w:rPr>
          <w:rStyle w:val="Appelnotedebasdep"/>
          <w:lang w:val="en-CA"/>
        </w:rPr>
        <w:footnoteReference w:id="6"/>
      </w:r>
      <w:r w:rsidRPr="000922B8">
        <w:rPr>
          <w:lang w:val="en-CA"/>
        </w:rPr>
        <w:t xml:space="preserve"> to obtain various provisional measures, including freeze orders.</w:t>
      </w:r>
    </w:p>
    <w:p w14:paraId="795FEAAD" w14:textId="32638541" w:rsidR="00CB40DC" w:rsidRPr="000922B8" w:rsidRDefault="007E1096" w:rsidP="00CB40DC">
      <w:pPr>
        <w:pStyle w:val="Paragraphe"/>
        <w:rPr>
          <w:lang w:val="en-CA"/>
        </w:rPr>
      </w:pPr>
      <w:r w:rsidRPr="000922B8">
        <w:rPr>
          <w:lang w:val="en-CA"/>
        </w:rPr>
        <w:t xml:space="preserve">In December 2021, the Tribunal rendered a decision in which it: (1) issued a general freeze order over all the property and assets of Roger Tremblay, (2) ordered the National Bank of Canada </w:t>
      </w:r>
      <w:r w:rsidR="00814ECC" w:rsidRPr="000922B8">
        <w:rPr>
          <w:lang w:val="en-CA"/>
        </w:rPr>
        <w:t>not to allow</w:t>
      </w:r>
      <w:r w:rsidRPr="000922B8">
        <w:rPr>
          <w:lang w:val="en-CA"/>
        </w:rPr>
        <w:t xml:space="preserve"> withdrawals of funds, </w:t>
      </w:r>
      <w:r w:rsidR="00814ECC" w:rsidRPr="000922B8">
        <w:rPr>
          <w:lang w:val="en-CA"/>
        </w:rPr>
        <w:t>securities</w:t>
      </w:r>
      <w:r w:rsidRPr="000922B8">
        <w:rPr>
          <w:lang w:val="en-CA"/>
        </w:rPr>
        <w:t xml:space="preserve">, or other </w:t>
      </w:r>
      <w:r w:rsidR="00814ECC" w:rsidRPr="000922B8">
        <w:rPr>
          <w:lang w:val="en-CA"/>
        </w:rPr>
        <w:t>assets</w:t>
      </w:r>
      <w:r w:rsidRPr="000922B8">
        <w:rPr>
          <w:lang w:val="en-CA"/>
        </w:rPr>
        <w:t xml:space="preserve"> from the bank accounts held </w:t>
      </w:r>
      <w:r w:rsidR="00814ECC" w:rsidRPr="000922B8">
        <w:rPr>
          <w:lang w:val="en-CA"/>
        </w:rPr>
        <w:t xml:space="preserve">with the bank </w:t>
      </w:r>
      <w:r w:rsidRPr="000922B8">
        <w:rPr>
          <w:lang w:val="en-CA"/>
        </w:rPr>
        <w:t>by Roger Tremblay</w:t>
      </w:r>
      <w:r w:rsidR="00D90558">
        <w:rPr>
          <w:lang w:val="en-CA"/>
        </w:rPr>
        <w:t>,</w:t>
      </w:r>
      <w:r w:rsidRPr="000922B8">
        <w:rPr>
          <w:lang w:val="en-CA"/>
        </w:rPr>
        <w:t xml:space="preserve"> and (3) issued freeze orders against the </w:t>
      </w:r>
      <w:r w:rsidR="00814ECC" w:rsidRPr="000922B8">
        <w:rPr>
          <w:lang w:val="en-CA"/>
        </w:rPr>
        <w:t>S</w:t>
      </w:r>
      <w:r w:rsidRPr="000922B8">
        <w:rPr>
          <w:lang w:val="en-CA"/>
        </w:rPr>
        <w:t xml:space="preserve">uccession A.B. </w:t>
      </w:r>
      <w:r w:rsidR="00814ECC" w:rsidRPr="000922B8">
        <w:rPr>
          <w:lang w:val="en-CA"/>
        </w:rPr>
        <w:t xml:space="preserve">Trust </w:t>
      </w:r>
      <w:r w:rsidRPr="000922B8">
        <w:rPr>
          <w:lang w:val="en-CA"/>
        </w:rPr>
        <w:t xml:space="preserve">and the late H.D.B. </w:t>
      </w:r>
      <w:r w:rsidR="00D90558">
        <w:rPr>
          <w:lang w:val="en-CA"/>
        </w:rPr>
        <w:t>T</w:t>
      </w:r>
      <w:r w:rsidRPr="000922B8">
        <w:rPr>
          <w:lang w:val="en-CA"/>
        </w:rPr>
        <w:t xml:space="preserve">hese freeze orders </w:t>
      </w:r>
      <w:r w:rsidR="00D90558">
        <w:rPr>
          <w:lang w:val="en-CA"/>
        </w:rPr>
        <w:t xml:space="preserve">were </w:t>
      </w:r>
      <w:r w:rsidRPr="000922B8">
        <w:rPr>
          <w:lang w:val="en-CA"/>
        </w:rPr>
        <w:t xml:space="preserve">to </w:t>
      </w:r>
      <w:r w:rsidR="00D90558">
        <w:rPr>
          <w:lang w:val="en-CA"/>
        </w:rPr>
        <w:t>remain</w:t>
      </w:r>
      <w:r w:rsidR="00447F86">
        <w:rPr>
          <w:lang w:val="en-CA"/>
        </w:rPr>
        <w:t xml:space="preserve"> in</w:t>
      </w:r>
      <w:r w:rsidRPr="000922B8">
        <w:rPr>
          <w:lang w:val="en-CA"/>
        </w:rPr>
        <w:t xml:space="preserve"> effect for a period of three (3) months (</w:t>
      </w:r>
      <w:r w:rsidR="00814ECC" w:rsidRPr="000922B8">
        <w:rPr>
          <w:lang w:val="en-CA"/>
        </w:rPr>
        <w:t>“</w:t>
      </w:r>
      <w:r w:rsidRPr="00744336">
        <w:rPr>
          <w:i/>
          <w:iCs/>
          <w:lang w:val="en-CA"/>
        </w:rPr>
        <w:t xml:space="preserve">Ex </w:t>
      </w:r>
      <w:proofErr w:type="spellStart"/>
      <w:r w:rsidRPr="00744336">
        <w:rPr>
          <w:i/>
          <w:iCs/>
          <w:lang w:val="en-CA"/>
        </w:rPr>
        <w:t>parte</w:t>
      </w:r>
      <w:proofErr w:type="spellEnd"/>
      <w:r w:rsidRPr="000922B8">
        <w:rPr>
          <w:lang w:val="en-CA"/>
        </w:rPr>
        <w:t xml:space="preserve"> </w:t>
      </w:r>
      <w:r w:rsidR="006A5F9F">
        <w:rPr>
          <w:lang w:val="en-CA"/>
        </w:rPr>
        <w:t>D</w:t>
      </w:r>
      <w:r w:rsidRPr="000922B8">
        <w:rPr>
          <w:lang w:val="en-CA"/>
        </w:rPr>
        <w:t>ecision”).</w:t>
      </w:r>
    </w:p>
    <w:p w14:paraId="701B86C8" w14:textId="0C71CC0B" w:rsidR="00CB40DC" w:rsidRPr="000922B8" w:rsidRDefault="007E1096" w:rsidP="00CB40DC">
      <w:pPr>
        <w:pStyle w:val="Paragraphe"/>
        <w:rPr>
          <w:lang w:val="en-CA"/>
        </w:rPr>
      </w:pPr>
      <w:r w:rsidRPr="000922B8">
        <w:rPr>
          <w:lang w:val="en-CA"/>
        </w:rPr>
        <w:t xml:space="preserve">Furthermore, on </w:t>
      </w:r>
      <w:r w:rsidR="007D38AD" w:rsidRPr="000922B8">
        <w:rPr>
          <w:lang w:val="en-CA"/>
        </w:rPr>
        <w:t>December</w:t>
      </w:r>
      <w:r w:rsidRPr="000922B8">
        <w:rPr>
          <w:lang w:val="en-CA"/>
        </w:rPr>
        <w:t xml:space="preserve"> 19, 2023,</w:t>
      </w:r>
      <w:r w:rsidRPr="00447F86">
        <w:rPr>
          <w:rStyle w:val="Appelnotedebasdep"/>
          <w:lang w:val="en-CA"/>
        </w:rPr>
        <w:footnoteReference w:id="7"/>
      </w:r>
      <w:r w:rsidRPr="000922B8">
        <w:rPr>
          <w:lang w:val="en-CA"/>
        </w:rPr>
        <w:t xml:space="preserve"> the Tribunal </w:t>
      </w:r>
      <w:r w:rsidR="007D38AD" w:rsidRPr="000922B8">
        <w:rPr>
          <w:lang w:val="en-CA"/>
        </w:rPr>
        <w:t>issued</w:t>
      </w:r>
      <w:r w:rsidRPr="000922B8">
        <w:rPr>
          <w:lang w:val="en-CA"/>
        </w:rPr>
        <w:t xml:space="preserve"> new freeze orders concerning amounts held and/or administered by the Public </w:t>
      </w:r>
      <w:r w:rsidR="00B31BCF">
        <w:rPr>
          <w:lang w:val="en-CA"/>
        </w:rPr>
        <w:t>C</w:t>
      </w:r>
      <w:r w:rsidRPr="000922B8">
        <w:rPr>
          <w:lang w:val="en-CA"/>
        </w:rPr>
        <w:t>urator of Quebec, who was acting as curator to the person and property of H.D.B.</w:t>
      </w:r>
    </w:p>
    <w:p w14:paraId="21FB70D1" w14:textId="7CC4BD89" w:rsidR="00C56662" w:rsidRPr="000922B8" w:rsidRDefault="007E1096" w:rsidP="00A42FE3">
      <w:pPr>
        <w:pStyle w:val="Paragraphe"/>
        <w:rPr>
          <w:lang w:val="en-CA"/>
        </w:rPr>
      </w:pPr>
      <w:r w:rsidRPr="000922B8">
        <w:rPr>
          <w:color w:val="000000"/>
          <w:lang w:val="en-CA"/>
        </w:rPr>
        <w:t xml:space="preserve">The freeze orders issued by the Tribunal in the </w:t>
      </w:r>
      <w:r w:rsidRPr="00744336">
        <w:rPr>
          <w:i/>
          <w:iCs/>
          <w:color w:val="000000"/>
          <w:lang w:val="en-CA"/>
        </w:rPr>
        <w:t xml:space="preserve">Ex </w:t>
      </w:r>
      <w:proofErr w:type="spellStart"/>
      <w:r w:rsidRPr="00744336">
        <w:rPr>
          <w:i/>
          <w:iCs/>
          <w:color w:val="000000"/>
          <w:lang w:val="en-CA"/>
        </w:rPr>
        <w:t>parte</w:t>
      </w:r>
      <w:proofErr w:type="spellEnd"/>
      <w:r w:rsidRPr="000922B8">
        <w:rPr>
          <w:color w:val="000000"/>
          <w:lang w:val="en-CA"/>
        </w:rPr>
        <w:t xml:space="preserve"> </w:t>
      </w:r>
      <w:r w:rsidR="006A5F9F">
        <w:rPr>
          <w:color w:val="000000"/>
          <w:lang w:val="en-CA"/>
        </w:rPr>
        <w:t>D</w:t>
      </w:r>
      <w:r w:rsidRPr="000922B8">
        <w:rPr>
          <w:color w:val="000000"/>
          <w:lang w:val="en-CA"/>
        </w:rPr>
        <w:t>ecision have since been extended on three (3) occasions without being contested</w:t>
      </w:r>
      <w:r w:rsidRPr="00447F86">
        <w:rPr>
          <w:rStyle w:val="Appelnotedebasdep"/>
          <w:color w:val="000000"/>
          <w:lang w:val="en-CA"/>
        </w:rPr>
        <w:footnoteReference w:id="8"/>
      </w:r>
      <w:r w:rsidRPr="000922B8">
        <w:rPr>
          <w:color w:val="000000"/>
          <w:lang w:val="en-CA"/>
        </w:rPr>
        <w:t xml:space="preserve"> by Roger Tremblay.</w:t>
      </w:r>
      <w:r w:rsidR="007E64CB" w:rsidRPr="000922B8">
        <w:rPr>
          <w:color w:val="000000"/>
          <w:lang w:val="en-CA"/>
        </w:rPr>
        <w:t xml:space="preserve"> </w:t>
      </w:r>
      <w:r w:rsidRPr="000922B8">
        <w:rPr>
          <w:color w:val="000000"/>
          <w:lang w:val="en-CA"/>
        </w:rPr>
        <w:t xml:space="preserve">The Authority presented its fourth (4) </w:t>
      </w:r>
      <w:r w:rsidR="007D38AD" w:rsidRPr="000922B8">
        <w:rPr>
          <w:color w:val="000000"/>
          <w:lang w:val="en-CA"/>
        </w:rPr>
        <w:t>application</w:t>
      </w:r>
      <w:r w:rsidRPr="000922B8">
        <w:rPr>
          <w:color w:val="000000"/>
          <w:lang w:val="en-CA"/>
        </w:rPr>
        <w:t xml:space="preserve"> to extend the freeze orders in September 2023.</w:t>
      </w:r>
      <w:r w:rsidR="007E64CB" w:rsidRPr="000922B8">
        <w:rPr>
          <w:color w:val="000000"/>
          <w:lang w:val="en-CA"/>
        </w:rPr>
        <w:t xml:space="preserve"> </w:t>
      </w:r>
      <w:r w:rsidRPr="000922B8">
        <w:rPr>
          <w:color w:val="000000"/>
          <w:lang w:val="en-CA"/>
        </w:rPr>
        <w:t xml:space="preserve">That application was </w:t>
      </w:r>
      <w:r w:rsidR="007D38AD" w:rsidRPr="000922B8">
        <w:rPr>
          <w:color w:val="000000"/>
          <w:lang w:val="en-CA"/>
        </w:rPr>
        <w:t>vigorously</w:t>
      </w:r>
      <w:r w:rsidRPr="000922B8">
        <w:rPr>
          <w:color w:val="000000"/>
          <w:lang w:val="en-CA"/>
        </w:rPr>
        <w:t xml:space="preserve"> contested by Roger Tremblay.</w:t>
      </w:r>
      <w:r w:rsidR="007E64CB" w:rsidRPr="000922B8">
        <w:rPr>
          <w:color w:val="000000"/>
          <w:lang w:val="en-CA"/>
        </w:rPr>
        <w:t xml:space="preserve"> </w:t>
      </w:r>
      <w:bookmarkStart w:id="1" w:name="_Ref44422125"/>
      <w:bookmarkEnd w:id="1"/>
      <w:r w:rsidRPr="000922B8">
        <w:rPr>
          <w:lang w:val="en-CA"/>
        </w:rPr>
        <w:t>In a corrected decision dated September 20, 2023, the Tribunal extended the freeze orders for an additional period of four (4) months (</w:t>
      </w:r>
      <w:r w:rsidR="007D38AD" w:rsidRPr="000922B8">
        <w:rPr>
          <w:lang w:val="en-CA"/>
        </w:rPr>
        <w:t>“</w:t>
      </w:r>
      <w:r w:rsidRPr="000922B8">
        <w:rPr>
          <w:lang w:val="en-CA"/>
        </w:rPr>
        <w:t xml:space="preserve">September 2023 </w:t>
      </w:r>
      <w:r w:rsidR="007C43FE">
        <w:rPr>
          <w:lang w:val="en-CA"/>
        </w:rPr>
        <w:t>D</w:t>
      </w:r>
      <w:r w:rsidRPr="000922B8">
        <w:rPr>
          <w:lang w:val="en-CA"/>
        </w:rPr>
        <w:t>ecision to extend”).</w:t>
      </w:r>
      <w:r w:rsidRPr="00447F86">
        <w:rPr>
          <w:rStyle w:val="Appelnotedebasdep"/>
          <w:color w:val="000000"/>
          <w:lang w:val="en-CA"/>
        </w:rPr>
        <w:footnoteReference w:id="9"/>
      </w:r>
    </w:p>
    <w:p w14:paraId="4CA08A5B" w14:textId="4E71C2C4" w:rsidR="00CB40DC" w:rsidRPr="000922B8" w:rsidRDefault="007E1096" w:rsidP="00CB40DC">
      <w:pPr>
        <w:pStyle w:val="Paragraphe"/>
        <w:rPr>
          <w:lang w:val="en-CA"/>
        </w:rPr>
      </w:pPr>
      <w:r w:rsidRPr="000922B8">
        <w:rPr>
          <w:lang w:val="en-CA"/>
        </w:rPr>
        <w:t>Alleging in particular the need to continue its investigation, the Authority filed a new application with the Tribunal, dated December 8, 2023,</w:t>
      </w:r>
      <w:r w:rsidRPr="00447F86">
        <w:rPr>
          <w:rStyle w:val="Appelnotedebasdep"/>
          <w:lang w:val="en-CA"/>
        </w:rPr>
        <w:footnoteReference w:id="10"/>
      </w:r>
      <w:r w:rsidRPr="000922B8">
        <w:rPr>
          <w:lang w:val="en-CA"/>
        </w:rPr>
        <w:t xml:space="preserve"> to extend the freeze orders for an additional period of nine (9) months (</w:t>
      </w:r>
      <w:r w:rsidR="007D38AD" w:rsidRPr="000922B8">
        <w:rPr>
          <w:lang w:val="en-CA"/>
        </w:rPr>
        <w:t>“</w:t>
      </w:r>
      <w:r w:rsidRPr="000922B8">
        <w:rPr>
          <w:lang w:val="en-CA"/>
        </w:rPr>
        <w:t>Application to extend”).</w:t>
      </w:r>
      <w:r w:rsidR="007E64CB" w:rsidRPr="000922B8">
        <w:rPr>
          <w:lang w:val="en-CA"/>
        </w:rPr>
        <w:t xml:space="preserve"> </w:t>
      </w:r>
    </w:p>
    <w:p w14:paraId="43F5C2F2" w14:textId="6E772B50" w:rsidR="00471C58" w:rsidRPr="000922B8" w:rsidRDefault="007E1096" w:rsidP="00170AB2">
      <w:pPr>
        <w:pStyle w:val="Paragraphe"/>
        <w:rPr>
          <w:lang w:val="en-CA"/>
        </w:rPr>
      </w:pPr>
      <w:bookmarkStart w:id="2" w:name="_Hlk161641647"/>
      <w:r w:rsidRPr="000922B8">
        <w:rPr>
          <w:lang w:val="en-CA"/>
        </w:rPr>
        <w:lastRenderedPageBreak/>
        <w:t xml:space="preserve">Roger Tremblay contests the Application to extend, claiming that he feels like he is </w:t>
      </w:r>
      <w:r w:rsidR="00BD0A2E" w:rsidRPr="000922B8">
        <w:rPr>
          <w:lang w:val="en-CA"/>
        </w:rPr>
        <w:t>experiencing</w:t>
      </w:r>
      <w:r w:rsidRPr="000922B8">
        <w:rPr>
          <w:lang w:val="en-CA"/>
        </w:rPr>
        <w:t xml:space="preserve"> what he can only characterize as </w:t>
      </w:r>
      <w:r w:rsidR="00BD0A2E" w:rsidRPr="000922B8">
        <w:rPr>
          <w:lang w:val="en-CA"/>
        </w:rPr>
        <w:t>[</w:t>
      </w:r>
      <w:r w:rsidR="00BD0A2E" w:rsidRPr="000922B8">
        <w:rPr>
          <w:smallCaps/>
          <w:lang w:val="en-CA"/>
        </w:rPr>
        <w:t>translation</w:t>
      </w:r>
      <w:r w:rsidR="00BD0A2E" w:rsidRPr="000922B8">
        <w:rPr>
          <w:lang w:val="en-CA"/>
        </w:rPr>
        <w:t xml:space="preserve">] </w:t>
      </w:r>
      <w:r w:rsidRPr="000922B8">
        <w:rPr>
          <w:lang w:val="en-CA"/>
        </w:rPr>
        <w:t>“Groundhog Day”.</w:t>
      </w:r>
      <w:r w:rsidRPr="00447F86">
        <w:rPr>
          <w:rStyle w:val="Appelnotedebasdep"/>
          <w:lang w:val="en-CA"/>
        </w:rPr>
        <w:footnoteReference w:id="11"/>
      </w:r>
      <w:r w:rsidR="007E64CB" w:rsidRPr="000922B8">
        <w:rPr>
          <w:lang w:val="en-CA"/>
        </w:rPr>
        <w:t xml:space="preserve"> </w:t>
      </w:r>
      <w:r w:rsidRPr="000922B8">
        <w:rPr>
          <w:lang w:val="en-CA"/>
        </w:rPr>
        <w:t xml:space="preserve">He argues that the Authority </w:t>
      </w:r>
      <w:r w:rsidR="00C717B3">
        <w:rPr>
          <w:lang w:val="en-CA"/>
        </w:rPr>
        <w:t xml:space="preserve">is </w:t>
      </w:r>
      <w:r w:rsidRPr="000922B8">
        <w:rPr>
          <w:lang w:val="en-CA"/>
        </w:rPr>
        <w:t xml:space="preserve">once again </w:t>
      </w:r>
      <w:r w:rsidR="00C717B3">
        <w:rPr>
          <w:lang w:val="en-CA"/>
        </w:rPr>
        <w:t xml:space="preserve">presenting itself before </w:t>
      </w:r>
      <w:r w:rsidRPr="000922B8">
        <w:rPr>
          <w:lang w:val="en-CA"/>
        </w:rPr>
        <w:t>the Tribunal to ask for additional time, submitting the same grounds.</w:t>
      </w:r>
    </w:p>
    <w:p w14:paraId="7D890D99" w14:textId="2771A8F8" w:rsidR="00FE6937" w:rsidRPr="000922B8" w:rsidRDefault="00170AB2" w:rsidP="00170AB2">
      <w:pPr>
        <w:pStyle w:val="Paragraphe"/>
        <w:rPr>
          <w:lang w:val="en-CA"/>
        </w:rPr>
      </w:pPr>
      <w:r w:rsidRPr="000922B8">
        <w:rPr>
          <w:lang w:val="en-CA"/>
        </w:rPr>
        <w:t xml:space="preserve"> </w:t>
      </w:r>
      <w:bookmarkEnd w:id="2"/>
      <w:r w:rsidR="007E1096" w:rsidRPr="000922B8">
        <w:rPr>
          <w:lang w:val="en-CA"/>
        </w:rPr>
        <w:t xml:space="preserve">He argues that the time the Authority is taking to investigate is completely </w:t>
      </w:r>
      <w:r w:rsidR="00BD0A2E" w:rsidRPr="000922B8">
        <w:rPr>
          <w:lang w:val="en-CA"/>
        </w:rPr>
        <w:t>unreasonable</w:t>
      </w:r>
      <w:r w:rsidR="007E1096" w:rsidRPr="000922B8">
        <w:rPr>
          <w:lang w:val="en-CA"/>
        </w:rPr>
        <w:t>, even excessive.</w:t>
      </w:r>
      <w:r w:rsidR="00406A79" w:rsidRPr="000922B8">
        <w:rPr>
          <w:lang w:val="en-CA"/>
        </w:rPr>
        <w:t xml:space="preserve"> </w:t>
      </w:r>
      <w:r w:rsidR="007E1096" w:rsidRPr="000922B8">
        <w:rPr>
          <w:lang w:val="en-CA"/>
        </w:rPr>
        <w:t>Despite his cooperation, the Authority has yet to take any steps to speed up its investigation while he has considered himself to be in a</w:t>
      </w:r>
      <w:r w:rsidR="00BD0A2E" w:rsidRPr="000922B8">
        <w:rPr>
          <w:lang w:val="en-CA"/>
        </w:rPr>
        <w:t xml:space="preserve"> [</w:t>
      </w:r>
      <w:r w:rsidR="00BD0A2E" w:rsidRPr="000922B8">
        <w:rPr>
          <w:smallCaps/>
          <w:lang w:val="en-CA"/>
        </w:rPr>
        <w:t>translation</w:t>
      </w:r>
      <w:r w:rsidR="00BD0A2E" w:rsidRPr="000922B8">
        <w:rPr>
          <w:lang w:val="en-CA"/>
        </w:rPr>
        <w:t>]</w:t>
      </w:r>
      <w:r w:rsidR="007E1096" w:rsidRPr="000922B8">
        <w:rPr>
          <w:lang w:val="en-CA"/>
        </w:rPr>
        <w:t xml:space="preserve"> “prison without bars” ever since the </w:t>
      </w:r>
      <w:r w:rsidR="007E1096" w:rsidRPr="00744336">
        <w:rPr>
          <w:i/>
          <w:iCs/>
          <w:lang w:val="en-CA"/>
        </w:rPr>
        <w:t xml:space="preserve">Ex </w:t>
      </w:r>
      <w:proofErr w:type="spellStart"/>
      <w:r w:rsidR="007E1096" w:rsidRPr="00744336">
        <w:rPr>
          <w:i/>
          <w:iCs/>
          <w:lang w:val="en-CA"/>
        </w:rPr>
        <w:t>parte</w:t>
      </w:r>
      <w:proofErr w:type="spellEnd"/>
      <w:r w:rsidR="007E1096" w:rsidRPr="000922B8">
        <w:rPr>
          <w:lang w:val="en-CA"/>
        </w:rPr>
        <w:t xml:space="preserve"> </w:t>
      </w:r>
      <w:r w:rsidR="006A5F9F">
        <w:rPr>
          <w:lang w:val="en-CA"/>
        </w:rPr>
        <w:t>D</w:t>
      </w:r>
      <w:r w:rsidR="007E1096" w:rsidRPr="000922B8">
        <w:rPr>
          <w:lang w:val="en-CA"/>
        </w:rPr>
        <w:t>ecision.</w:t>
      </w:r>
      <w:r w:rsidR="00C355BD" w:rsidRPr="000922B8">
        <w:rPr>
          <w:lang w:val="en-CA"/>
        </w:rPr>
        <w:t xml:space="preserve"> </w:t>
      </w:r>
      <w:r w:rsidR="007E1096" w:rsidRPr="000922B8">
        <w:rPr>
          <w:lang w:val="en-CA"/>
        </w:rPr>
        <w:t>He argues that the Authority has been lax in the conduct of its investigation while he has been deprived of his right to enjoy and dispose of all his property freely and fully for 26 months.</w:t>
      </w:r>
      <w:r w:rsidR="00C355BD" w:rsidRPr="000922B8">
        <w:rPr>
          <w:lang w:val="en-CA"/>
        </w:rPr>
        <w:t xml:space="preserve"> </w:t>
      </w:r>
      <w:r w:rsidR="007E1096" w:rsidRPr="000922B8">
        <w:rPr>
          <w:lang w:val="en-CA"/>
        </w:rPr>
        <w:t>He added that he is dependent on the assistance of friends and family.</w:t>
      </w:r>
      <w:r w:rsidR="00C355BD" w:rsidRPr="000922B8">
        <w:rPr>
          <w:lang w:val="en-CA"/>
        </w:rPr>
        <w:t xml:space="preserve"> </w:t>
      </w:r>
    </w:p>
    <w:p w14:paraId="11FDE0D2" w14:textId="1BE23F7C" w:rsidR="007269E2" w:rsidRPr="000922B8" w:rsidRDefault="007E1096" w:rsidP="00170AB2">
      <w:pPr>
        <w:pStyle w:val="Paragraphe"/>
        <w:rPr>
          <w:lang w:val="en-CA"/>
        </w:rPr>
      </w:pPr>
      <w:r w:rsidRPr="000922B8">
        <w:rPr>
          <w:lang w:val="en-CA"/>
        </w:rPr>
        <w:t>Roger Tremblay criticizes the Authority for failing to exercise its rights in good faith and argues that the Application to extend brings the administration of justice into disrepute.</w:t>
      </w:r>
      <w:r w:rsidR="00D86C8C" w:rsidRPr="000922B8">
        <w:rPr>
          <w:lang w:val="en-CA"/>
        </w:rPr>
        <w:t xml:space="preserve"> </w:t>
      </w:r>
      <w:r w:rsidRPr="000922B8">
        <w:rPr>
          <w:lang w:val="en-CA"/>
        </w:rPr>
        <w:t xml:space="preserve">Finally, Roger Tremblay asks that the Tribunal not only dismiss the Application to extend, but </w:t>
      </w:r>
      <w:r w:rsidR="00520CF0">
        <w:rPr>
          <w:lang w:val="en-CA"/>
        </w:rPr>
        <w:t xml:space="preserve">that it also </w:t>
      </w:r>
      <w:r w:rsidR="00BD0A2E" w:rsidRPr="000922B8">
        <w:rPr>
          <w:lang w:val="en-CA"/>
        </w:rPr>
        <w:t>declare</w:t>
      </w:r>
      <w:r w:rsidRPr="000922B8">
        <w:rPr>
          <w:lang w:val="en-CA"/>
        </w:rPr>
        <w:t xml:space="preserve"> it to be</w:t>
      </w:r>
      <w:r w:rsidR="00BD0A2E" w:rsidRPr="000922B8">
        <w:rPr>
          <w:lang w:val="en-CA"/>
        </w:rPr>
        <w:t xml:space="preserve"> [</w:t>
      </w:r>
      <w:r w:rsidR="00BD0A2E" w:rsidRPr="000922B8">
        <w:rPr>
          <w:smallCaps/>
          <w:lang w:val="en-CA"/>
        </w:rPr>
        <w:t>translation</w:t>
      </w:r>
      <w:r w:rsidR="00BD0A2E" w:rsidRPr="000922B8">
        <w:rPr>
          <w:lang w:val="en-CA"/>
        </w:rPr>
        <w:t>]</w:t>
      </w:r>
      <w:r w:rsidRPr="000922B8">
        <w:rPr>
          <w:lang w:val="en-CA"/>
        </w:rPr>
        <w:t xml:space="preserve"> “abusive”.</w:t>
      </w:r>
      <w:r w:rsidRPr="00447F86">
        <w:rPr>
          <w:rStyle w:val="Appelnotedebasdep"/>
          <w:lang w:val="en-CA"/>
        </w:rPr>
        <w:footnoteReference w:id="12"/>
      </w:r>
      <w:r w:rsidR="007E64CB" w:rsidRPr="000922B8">
        <w:rPr>
          <w:lang w:val="en-CA"/>
        </w:rPr>
        <w:t xml:space="preserve"> </w:t>
      </w:r>
    </w:p>
    <w:p w14:paraId="6EFD1E64" w14:textId="1E341D1A" w:rsidR="008D7C1D" w:rsidRPr="000922B8" w:rsidRDefault="007E1096" w:rsidP="00C56662">
      <w:pPr>
        <w:pStyle w:val="Paragraphe"/>
        <w:rPr>
          <w:lang w:val="en-CA"/>
        </w:rPr>
      </w:pPr>
      <w:r w:rsidRPr="000922B8">
        <w:rPr>
          <w:lang w:val="en-CA"/>
        </w:rPr>
        <w:t xml:space="preserve">After reviewing the evidence presented at the hearing </w:t>
      </w:r>
      <w:r w:rsidR="00BD0A2E" w:rsidRPr="000922B8">
        <w:rPr>
          <w:lang w:val="en-CA"/>
        </w:rPr>
        <w:t>and</w:t>
      </w:r>
      <w:r w:rsidRPr="000922B8">
        <w:rPr>
          <w:lang w:val="en-CA"/>
        </w:rPr>
        <w:t xml:space="preserve"> the parties’ </w:t>
      </w:r>
      <w:r w:rsidR="00BD0A2E" w:rsidRPr="000922B8">
        <w:rPr>
          <w:lang w:val="en-CA"/>
        </w:rPr>
        <w:t>arguments</w:t>
      </w:r>
      <w:r w:rsidRPr="000922B8">
        <w:rPr>
          <w:lang w:val="en-CA"/>
        </w:rPr>
        <w:t>, the Tribunal decide</w:t>
      </w:r>
      <w:r w:rsidR="007F591F">
        <w:rPr>
          <w:lang w:val="en-CA"/>
        </w:rPr>
        <w:t>s</w:t>
      </w:r>
      <w:r w:rsidRPr="000922B8">
        <w:rPr>
          <w:lang w:val="en-CA"/>
        </w:rPr>
        <w:t xml:space="preserve"> to extend the freeze orders currently in effect, not for nine (9) months</w:t>
      </w:r>
      <w:r w:rsidR="00A052E0">
        <w:rPr>
          <w:lang w:val="en-CA"/>
        </w:rPr>
        <w:t>,</w:t>
      </w:r>
      <w:r w:rsidRPr="000922B8">
        <w:rPr>
          <w:lang w:val="en-CA"/>
        </w:rPr>
        <w:t xml:space="preserve"> but for three (3) months from the</w:t>
      </w:r>
      <w:r w:rsidR="00BD0A2E" w:rsidRPr="000922B8">
        <w:rPr>
          <w:lang w:val="en-CA"/>
        </w:rPr>
        <w:t>ir</w:t>
      </w:r>
      <w:r w:rsidRPr="000922B8">
        <w:rPr>
          <w:lang w:val="en-CA"/>
        </w:rPr>
        <w:t xml:space="preserve"> date</w:t>
      </w:r>
      <w:r w:rsidR="00BD0A2E" w:rsidRPr="000922B8">
        <w:rPr>
          <w:lang w:val="en-CA"/>
        </w:rPr>
        <w:t xml:space="preserve"> of expiry</w:t>
      </w:r>
      <w:r w:rsidRPr="000922B8">
        <w:rPr>
          <w:lang w:val="en-CA"/>
        </w:rPr>
        <w:t>, that is, until June 26, 2024.</w:t>
      </w:r>
      <w:r w:rsidR="00F95434" w:rsidRPr="000922B8">
        <w:rPr>
          <w:lang w:val="en-CA"/>
        </w:rPr>
        <w:t xml:space="preserve"> </w:t>
      </w:r>
      <w:r w:rsidRPr="000922B8">
        <w:rPr>
          <w:lang w:val="en-CA"/>
        </w:rPr>
        <w:t xml:space="preserve">This time will allow the Authority to bring its proceedings before the Tribunal, its counsel having indicated at the hearing on this application </w:t>
      </w:r>
      <w:r w:rsidR="00BD0A2E" w:rsidRPr="000922B8">
        <w:rPr>
          <w:lang w:val="en-CA"/>
        </w:rPr>
        <w:t>that she</w:t>
      </w:r>
      <w:r w:rsidRPr="000922B8">
        <w:rPr>
          <w:lang w:val="en-CA"/>
        </w:rPr>
        <w:t xml:space="preserve"> received the </w:t>
      </w:r>
      <w:r w:rsidR="00BD0A2E" w:rsidRPr="000922B8">
        <w:rPr>
          <w:lang w:val="en-CA"/>
        </w:rPr>
        <w:t>[</w:t>
      </w:r>
      <w:r w:rsidR="00BD0A2E" w:rsidRPr="000922B8">
        <w:rPr>
          <w:smallCaps/>
          <w:lang w:val="en-CA"/>
        </w:rPr>
        <w:t>translation</w:t>
      </w:r>
      <w:r w:rsidR="00BD0A2E" w:rsidRPr="000922B8">
        <w:rPr>
          <w:lang w:val="en-CA"/>
        </w:rPr>
        <w:t xml:space="preserve">] </w:t>
      </w:r>
      <w:r w:rsidRPr="000922B8">
        <w:rPr>
          <w:lang w:val="en-CA"/>
        </w:rPr>
        <w:t xml:space="preserve">“firm” mandate from the Authority’s </w:t>
      </w:r>
      <w:r w:rsidR="007F591F">
        <w:rPr>
          <w:lang w:val="en-CA"/>
        </w:rPr>
        <w:t>managers</w:t>
      </w:r>
      <w:r w:rsidRPr="000922B8">
        <w:rPr>
          <w:lang w:val="en-CA"/>
        </w:rPr>
        <w:t xml:space="preserve"> to bring these proceedings.</w:t>
      </w:r>
      <w:r w:rsidR="00F95434" w:rsidRPr="000922B8">
        <w:rPr>
          <w:lang w:val="en-CA"/>
        </w:rPr>
        <w:t xml:space="preserve"> </w:t>
      </w:r>
      <w:bookmarkEnd w:id="0"/>
      <w:r w:rsidRPr="000922B8">
        <w:rPr>
          <w:lang w:val="en-CA"/>
        </w:rPr>
        <w:t>Because of this decision, Roger Tremblay’s application to find the Application to extend to be abusive is moot and will therefore be dismissed.</w:t>
      </w:r>
    </w:p>
    <w:p w14:paraId="3407D291" w14:textId="732FF01F" w:rsidR="00755633" w:rsidRPr="000922B8" w:rsidRDefault="007E1096" w:rsidP="00755633">
      <w:pPr>
        <w:pStyle w:val="Paragraphe"/>
        <w:numPr>
          <w:ilvl w:val="0"/>
          <w:numId w:val="0"/>
        </w:numPr>
        <w:rPr>
          <w:rFonts w:cs="Arial"/>
          <w:b/>
          <w:szCs w:val="24"/>
          <w:lang w:val="en-CA"/>
        </w:rPr>
      </w:pPr>
      <w:r w:rsidRPr="000922B8">
        <w:rPr>
          <w:rFonts w:cs="Arial"/>
          <w:b/>
          <w:szCs w:val="24"/>
          <w:lang w:val="en-CA"/>
        </w:rPr>
        <w:t>ANALYSIS</w:t>
      </w:r>
    </w:p>
    <w:p w14:paraId="04C39F57" w14:textId="6FEAF53D" w:rsidR="008A2939" w:rsidRPr="000922B8" w:rsidRDefault="007E1096" w:rsidP="008A2939">
      <w:pPr>
        <w:pStyle w:val="Paragraphe"/>
        <w:numPr>
          <w:ilvl w:val="0"/>
          <w:numId w:val="0"/>
        </w:numPr>
        <w:rPr>
          <w:rFonts w:cs="Arial"/>
          <w:b/>
          <w:szCs w:val="24"/>
          <w:lang w:val="en-CA"/>
        </w:rPr>
      </w:pPr>
      <w:r w:rsidRPr="000922B8">
        <w:rPr>
          <w:rFonts w:cs="Arial"/>
          <w:b/>
          <w:szCs w:val="24"/>
          <w:lang w:val="en-CA"/>
        </w:rPr>
        <w:t>Issue: Should the Tribunal extend the freeze orders currently in effect and if so, for how long?</w:t>
      </w:r>
    </w:p>
    <w:p w14:paraId="13E6212F" w14:textId="5B8321D8" w:rsidR="00E03F66" w:rsidRPr="000922B8" w:rsidRDefault="007E1096" w:rsidP="00781799">
      <w:pPr>
        <w:pStyle w:val="Paragraphe"/>
        <w:numPr>
          <w:ilvl w:val="0"/>
          <w:numId w:val="4"/>
        </w:numPr>
        <w:rPr>
          <w:b/>
          <w:bCs/>
          <w:lang w:val="en-CA"/>
        </w:rPr>
      </w:pPr>
      <w:r w:rsidRPr="000922B8">
        <w:rPr>
          <w:b/>
          <w:bCs/>
          <w:lang w:val="en-CA"/>
        </w:rPr>
        <w:t>Summary of the parties’ arguments</w:t>
      </w:r>
    </w:p>
    <w:p w14:paraId="602177C6" w14:textId="326BB994" w:rsidR="00EE1205" w:rsidRPr="000922B8" w:rsidRDefault="007E1096" w:rsidP="00781799">
      <w:pPr>
        <w:pStyle w:val="Paragraphe"/>
        <w:numPr>
          <w:ilvl w:val="1"/>
          <w:numId w:val="4"/>
        </w:numPr>
        <w:rPr>
          <w:b/>
          <w:bCs/>
          <w:lang w:val="en-CA"/>
        </w:rPr>
      </w:pPr>
      <w:r w:rsidRPr="000922B8">
        <w:rPr>
          <w:b/>
          <w:bCs/>
          <w:lang w:val="en-CA"/>
        </w:rPr>
        <w:t xml:space="preserve">Summary of the Authority’s </w:t>
      </w:r>
      <w:r w:rsidR="00BD0A2E" w:rsidRPr="000922B8">
        <w:rPr>
          <w:b/>
          <w:bCs/>
          <w:lang w:val="en-CA"/>
        </w:rPr>
        <w:t>arguments</w:t>
      </w:r>
    </w:p>
    <w:p w14:paraId="7EFCE0C2" w14:textId="018A0270" w:rsidR="00EE1205" w:rsidRPr="000922B8" w:rsidRDefault="007E1096" w:rsidP="00EE1205">
      <w:pPr>
        <w:pStyle w:val="Paragraphe"/>
        <w:rPr>
          <w:lang w:val="en-CA"/>
        </w:rPr>
      </w:pPr>
      <w:r w:rsidRPr="000922B8">
        <w:rPr>
          <w:lang w:val="en-CA"/>
        </w:rPr>
        <w:t xml:space="preserve">In its Application to extend, the Authority argues that it </w:t>
      </w:r>
      <w:r w:rsidR="00BD0A2E" w:rsidRPr="000922B8">
        <w:rPr>
          <w:lang w:val="en-CA"/>
        </w:rPr>
        <w:t>has fulfilled</w:t>
      </w:r>
      <w:r w:rsidRPr="000922B8">
        <w:rPr>
          <w:lang w:val="en-CA"/>
        </w:rPr>
        <w:t xml:space="preserve"> the conditions set out in the </w:t>
      </w:r>
      <w:r w:rsidRPr="000922B8">
        <w:rPr>
          <w:i/>
          <w:iCs/>
          <w:lang w:val="en-CA"/>
        </w:rPr>
        <w:t>Securities Act</w:t>
      </w:r>
      <w:r w:rsidRPr="000922B8">
        <w:rPr>
          <w:lang w:val="en-CA"/>
        </w:rPr>
        <w:t xml:space="preserve"> and the </w:t>
      </w:r>
      <w:r w:rsidRPr="000922B8">
        <w:rPr>
          <w:i/>
          <w:iCs/>
          <w:lang w:val="en-CA"/>
        </w:rPr>
        <w:t>Act respecting the distribution of financial products and services</w:t>
      </w:r>
      <w:r w:rsidRPr="000922B8">
        <w:rPr>
          <w:lang w:val="en-CA"/>
        </w:rPr>
        <w:t xml:space="preserve"> to obtain an extension of the freeze orders, that is, that its investigation is still ongoing and that the reasons justifying the initial freeze orders </w:t>
      </w:r>
      <w:r w:rsidR="006D493F">
        <w:rPr>
          <w:lang w:val="en-CA"/>
        </w:rPr>
        <w:t>continue</w:t>
      </w:r>
      <w:r w:rsidRPr="000922B8">
        <w:rPr>
          <w:lang w:val="en-CA"/>
        </w:rPr>
        <w:t xml:space="preserve"> to exist.</w:t>
      </w:r>
    </w:p>
    <w:p w14:paraId="46478004" w14:textId="034903AD" w:rsidR="00EE1205" w:rsidRPr="000922B8" w:rsidRDefault="007E1096" w:rsidP="00EE1205">
      <w:pPr>
        <w:pStyle w:val="Paragraphe"/>
        <w:rPr>
          <w:lang w:val="en-CA"/>
        </w:rPr>
      </w:pPr>
      <w:r w:rsidRPr="000922B8">
        <w:rPr>
          <w:lang w:val="en-CA"/>
        </w:rPr>
        <w:t>More specifically, it alleges that the investigation</w:t>
      </w:r>
      <w:r w:rsidR="00670338" w:rsidRPr="000922B8">
        <w:rPr>
          <w:lang w:val="en-CA"/>
        </w:rPr>
        <w:t>,</w:t>
      </w:r>
      <w:r w:rsidRPr="000922B8">
        <w:rPr>
          <w:lang w:val="en-CA"/>
        </w:rPr>
        <w:t xml:space="preserve"> in </w:t>
      </w:r>
      <w:r w:rsidR="00670338" w:rsidRPr="000922B8">
        <w:rPr>
          <w:lang w:val="en-CA"/>
        </w:rPr>
        <w:t>its</w:t>
      </w:r>
      <w:r w:rsidRPr="000922B8">
        <w:rPr>
          <w:lang w:val="en-CA"/>
        </w:rPr>
        <w:t xml:space="preserve"> </w:t>
      </w:r>
      <w:r w:rsidR="00670338" w:rsidRPr="000922B8">
        <w:rPr>
          <w:lang w:val="en-CA"/>
        </w:rPr>
        <w:t>[</w:t>
      </w:r>
      <w:r w:rsidR="00670338" w:rsidRPr="000922B8">
        <w:rPr>
          <w:smallCaps/>
          <w:lang w:val="en-CA"/>
        </w:rPr>
        <w:t>translation</w:t>
      </w:r>
      <w:r w:rsidR="00670338" w:rsidRPr="000922B8">
        <w:rPr>
          <w:lang w:val="en-CA"/>
        </w:rPr>
        <w:t xml:space="preserve">] </w:t>
      </w:r>
      <w:r w:rsidRPr="000922B8">
        <w:rPr>
          <w:lang w:val="en-CA"/>
        </w:rPr>
        <w:t>“broad sense”</w:t>
      </w:r>
      <w:r w:rsidR="00670338" w:rsidRPr="000922B8">
        <w:rPr>
          <w:lang w:val="en-CA"/>
        </w:rPr>
        <w:t>,</w:t>
      </w:r>
      <w:r w:rsidRPr="000922B8">
        <w:rPr>
          <w:lang w:val="en-CA"/>
        </w:rPr>
        <w:t xml:space="preserve"> is still ongoing.</w:t>
      </w:r>
      <w:r w:rsidR="007E64CB" w:rsidRPr="000922B8">
        <w:rPr>
          <w:lang w:val="en-CA"/>
        </w:rPr>
        <w:t xml:space="preserve"> </w:t>
      </w:r>
      <w:r w:rsidRPr="000922B8">
        <w:rPr>
          <w:lang w:val="en-CA"/>
        </w:rPr>
        <w:t>The Authority reiterates the need to maintain the freeze orders considering the proceeding</w:t>
      </w:r>
      <w:r w:rsidR="00670338" w:rsidRPr="000922B8">
        <w:rPr>
          <w:lang w:val="en-CA"/>
        </w:rPr>
        <w:t>s</w:t>
      </w:r>
      <w:r w:rsidRPr="000922B8">
        <w:rPr>
          <w:lang w:val="en-CA"/>
        </w:rPr>
        <w:t xml:space="preserve"> to be filed</w:t>
      </w:r>
      <w:r w:rsidR="00670338" w:rsidRPr="000922B8">
        <w:rPr>
          <w:lang w:val="en-CA"/>
        </w:rPr>
        <w:t xml:space="preserve"> imminently before the Tribunal </w:t>
      </w:r>
      <w:r w:rsidRPr="000922B8">
        <w:rPr>
          <w:lang w:val="en-CA"/>
        </w:rPr>
        <w:t xml:space="preserve">against Roger </w:t>
      </w:r>
      <w:r w:rsidRPr="000922B8">
        <w:rPr>
          <w:lang w:val="en-CA"/>
        </w:rPr>
        <w:lastRenderedPageBreak/>
        <w:t xml:space="preserve">Tremblay, which proceedings would include orders compelling the return of amounts </w:t>
      </w:r>
      <w:r w:rsidR="00670338" w:rsidRPr="000922B8">
        <w:rPr>
          <w:lang w:val="en-CA"/>
        </w:rPr>
        <w:t>appropriated</w:t>
      </w:r>
      <w:r w:rsidRPr="000922B8">
        <w:rPr>
          <w:lang w:val="en-CA"/>
        </w:rPr>
        <w:t xml:space="preserve"> without entitle</w:t>
      </w:r>
      <w:r w:rsidR="00670338" w:rsidRPr="000922B8">
        <w:rPr>
          <w:lang w:val="en-CA"/>
        </w:rPr>
        <w:t>ment.</w:t>
      </w:r>
      <w:r w:rsidRPr="00447F86">
        <w:rPr>
          <w:rStyle w:val="Appelnotedebasdep"/>
          <w:lang w:val="en-CA"/>
        </w:rPr>
        <w:footnoteReference w:id="13"/>
      </w:r>
      <w:r w:rsidR="00670338" w:rsidRPr="000922B8">
        <w:rPr>
          <w:lang w:val="en-CA"/>
        </w:rPr>
        <w:t xml:space="preserve"> </w:t>
      </w:r>
    </w:p>
    <w:p w14:paraId="4006F7F0" w14:textId="13037755" w:rsidR="00EE1205" w:rsidRPr="000922B8" w:rsidRDefault="007E1096" w:rsidP="00EE1205">
      <w:pPr>
        <w:pStyle w:val="Paragraphe"/>
        <w:rPr>
          <w:lang w:val="en-CA"/>
        </w:rPr>
      </w:pPr>
      <w:r w:rsidRPr="000922B8">
        <w:rPr>
          <w:lang w:val="en-CA"/>
        </w:rPr>
        <w:t>While the Authority allege</w:t>
      </w:r>
      <w:r w:rsidR="00670338" w:rsidRPr="000922B8">
        <w:rPr>
          <w:lang w:val="en-CA"/>
        </w:rPr>
        <w:t>d</w:t>
      </w:r>
      <w:r w:rsidRPr="000922B8">
        <w:rPr>
          <w:lang w:val="en-CA"/>
        </w:rPr>
        <w:t xml:space="preserve"> that proceedings </w:t>
      </w:r>
      <w:r w:rsidR="00670338" w:rsidRPr="000922B8">
        <w:rPr>
          <w:lang w:val="en-CA"/>
        </w:rPr>
        <w:t>against</w:t>
      </w:r>
      <w:r w:rsidRPr="000922B8">
        <w:rPr>
          <w:lang w:val="en-CA"/>
        </w:rPr>
        <w:t xml:space="preserve"> the respondent were </w:t>
      </w:r>
      <w:r w:rsidR="00670338" w:rsidRPr="000922B8">
        <w:rPr>
          <w:lang w:val="en-CA"/>
        </w:rPr>
        <w:t>[</w:t>
      </w:r>
      <w:r w:rsidR="00670338" w:rsidRPr="000922B8">
        <w:rPr>
          <w:smallCaps/>
          <w:lang w:val="en-CA"/>
        </w:rPr>
        <w:t>translation</w:t>
      </w:r>
      <w:r w:rsidR="00670338" w:rsidRPr="000922B8">
        <w:rPr>
          <w:lang w:val="en-CA"/>
        </w:rPr>
        <w:t xml:space="preserve">] </w:t>
      </w:r>
      <w:r w:rsidRPr="000922B8">
        <w:rPr>
          <w:lang w:val="en-CA"/>
        </w:rPr>
        <w:t>“imminent”, no proceedings have</w:t>
      </w:r>
      <w:r w:rsidR="00670338" w:rsidRPr="000922B8">
        <w:rPr>
          <w:lang w:val="en-CA"/>
        </w:rPr>
        <w:t xml:space="preserve"> yet</w:t>
      </w:r>
      <w:r w:rsidRPr="000922B8">
        <w:rPr>
          <w:lang w:val="en-CA"/>
        </w:rPr>
        <w:t xml:space="preserve"> been brought.</w:t>
      </w:r>
      <w:r w:rsidR="007E64CB" w:rsidRPr="000922B8">
        <w:rPr>
          <w:lang w:val="en-CA"/>
        </w:rPr>
        <w:t xml:space="preserve"> </w:t>
      </w:r>
    </w:p>
    <w:p w14:paraId="66628DE6" w14:textId="3E192C46" w:rsidR="00EE1205" w:rsidRPr="000922B8" w:rsidRDefault="007E1096" w:rsidP="00EE1205">
      <w:pPr>
        <w:pStyle w:val="Paragraphe"/>
        <w:rPr>
          <w:lang w:val="en-CA"/>
        </w:rPr>
      </w:pPr>
      <w:r w:rsidRPr="000922B8">
        <w:rPr>
          <w:lang w:val="en-CA"/>
        </w:rPr>
        <w:t xml:space="preserve">Moreover, in its Application to extend, </w:t>
      </w:r>
      <w:r w:rsidR="00670338" w:rsidRPr="000922B8">
        <w:rPr>
          <w:lang w:val="en-CA"/>
        </w:rPr>
        <w:t xml:space="preserve">the Authority </w:t>
      </w:r>
      <w:r w:rsidRPr="000922B8">
        <w:rPr>
          <w:lang w:val="en-CA"/>
        </w:rPr>
        <w:t xml:space="preserve">also alleged that an extension of the freeze orders would allow it to continue its investigation to verify other evidence and determine to whom the </w:t>
      </w:r>
      <w:r w:rsidR="00670338" w:rsidRPr="000922B8">
        <w:rPr>
          <w:lang w:val="en-CA"/>
        </w:rPr>
        <w:t>amounts</w:t>
      </w:r>
      <w:r w:rsidRPr="000922B8">
        <w:rPr>
          <w:lang w:val="en-CA"/>
        </w:rPr>
        <w:t xml:space="preserve"> that are currently under freeze orders </w:t>
      </w:r>
      <w:r w:rsidR="00670338" w:rsidRPr="000922B8">
        <w:rPr>
          <w:lang w:val="en-CA"/>
        </w:rPr>
        <w:t>should</w:t>
      </w:r>
      <w:r w:rsidRPr="000922B8">
        <w:rPr>
          <w:lang w:val="en-CA"/>
        </w:rPr>
        <w:t xml:space="preserve"> be paid.</w:t>
      </w:r>
      <w:r w:rsidRPr="00447F86">
        <w:rPr>
          <w:rStyle w:val="Appelnotedebasdep"/>
          <w:lang w:val="en-CA"/>
        </w:rPr>
        <w:footnoteReference w:id="14"/>
      </w:r>
      <w:r w:rsidR="007E64CB" w:rsidRPr="000922B8">
        <w:rPr>
          <w:lang w:val="en-CA"/>
        </w:rPr>
        <w:t xml:space="preserve"> </w:t>
      </w:r>
    </w:p>
    <w:p w14:paraId="6DEA96FB" w14:textId="5F0819B1" w:rsidR="00EE1205" w:rsidRPr="000922B8" w:rsidRDefault="007E1096" w:rsidP="00EE1205">
      <w:pPr>
        <w:pStyle w:val="Paragraphe"/>
        <w:rPr>
          <w:lang w:val="en-CA"/>
        </w:rPr>
      </w:pPr>
      <w:r w:rsidRPr="000922B8">
        <w:rPr>
          <w:lang w:val="en-CA"/>
        </w:rPr>
        <w:t xml:space="preserve">Finally, to justify the delays, the Authority stated that it added many charities as impleaded parties </w:t>
      </w:r>
      <w:r w:rsidR="00670338" w:rsidRPr="000922B8">
        <w:rPr>
          <w:lang w:val="en-CA"/>
        </w:rPr>
        <w:t>because</w:t>
      </w:r>
      <w:r w:rsidRPr="000922B8">
        <w:rPr>
          <w:lang w:val="en-CA"/>
        </w:rPr>
        <w:t xml:space="preserve"> they appear to be designated beneficiaries of the </w:t>
      </w:r>
      <w:r w:rsidR="00670338" w:rsidRPr="000922B8">
        <w:rPr>
          <w:lang w:val="en-CA"/>
        </w:rPr>
        <w:t>S</w:t>
      </w:r>
      <w:r w:rsidRPr="000922B8">
        <w:rPr>
          <w:lang w:val="en-CA"/>
        </w:rPr>
        <w:t xml:space="preserve">uccession A.B. </w:t>
      </w:r>
      <w:r w:rsidR="00670338" w:rsidRPr="000922B8">
        <w:rPr>
          <w:lang w:val="en-CA"/>
        </w:rPr>
        <w:t xml:space="preserve">Trust </w:t>
      </w:r>
      <w:r w:rsidRPr="000922B8">
        <w:rPr>
          <w:lang w:val="en-CA"/>
        </w:rPr>
        <w:t xml:space="preserve">and will need time to </w:t>
      </w:r>
      <w:r w:rsidR="00670338" w:rsidRPr="000922B8">
        <w:rPr>
          <w:lang w:val="en-CA"/>
        </w:rPr>
        <w:t xml:space="preserve">take </w:t>
      </w:r>
      <w:r w:rsidR="004E57D5">
        <w:rPr>
          <w:lang w:val="en-CA"/>
        </w:rPr>
        <w:t xml:space="preserve">a </w:t>
      </w:r>
      <w:r w:rsidRPr="000922B8">
        <w:rPr>
          <w:lang w:val="en-CA"/>
        </w:rPr>
        <w:t>position in this case.</w:t>
      </w:r>
      <w:r w:rsidRPr="00447F86">
        <w:rPr>
          <w:rStyle w:val="Appelnotedebasdep"/>
          <w:lang w:val="en-CA"/>
        </w:rPr>
        <w:footnoteReference w:id="15"/>
      </w:r>
    </w:p>
    <w:p w14:paraId="5BAF00A3" w14:textId="34412F4D" w:rsidR="00EE1205" w:rsidRPr="000922B8" w:rsidRDefault="007E1096" w:rsidP="00EE1205">
      <w:pPr>
        <w:pStyle w:val="Paragraphe"/>
        <w:rPr>
          <w:lang w:val="en-CA"/>
        </w:rPr>
      </w:pPr>
      <w:r w:rsidRPr="000922B8">
        <w:rPr>
          <w:lang w:val="en-CA"/>
        </w:rPr>
        <w:t xml:space="preserve">At the hearing for the Application to extend, one of the Authority investigators assigned to this case testified before </w:t>
      </w:r>
      <w:r w:rsidR="00295CD7" w:rsidRPr="000922B8">
        <w:rPr>
          <w:lang w:val="en-CA"/>
        </w:rPr>
        <w:t>the</w:t>
      </w:r>
      <w:r w:rsidRPr="000922B8">
        <w:rPr>
          <w:lang w:val="en-CA"/>
        </w:rPr>
        <w:t xml:space="preserve"> Tribunal</w:t>
      </w:r>
      <w:r w:rsidR="00295CD7" w:rsidRPr="000922B8">
        <w:rPr>
          <w:lang w:val="en-CA"/>
        </w:rPr>
        <w:t>,</w:t>
      </w:r>
      <w:r w:rsidRPr="000922B8">
        <w:rPr>
          <w:lang w:val="en-CA"/>
        </w:rPr>
        <w:t xml:space="preserve"> </w:t>
      </w:r>
      <w:r w:rsidR="00295CD7" w:rsidRPr="000922B8">
        <w:rPr>
          <w:lang w:val="en-CA"/>
        </w:rPr>
        <w:t>submitting that</w:t>
      </w:r>
      <w:r w:rsidRPr="000922B8">
        <w:rPr>
          <w:lang w:val="en-CA"/>
        </w:rPr>
        <w:t xml:space="preserve"> an investigation report </w:t>
      </w:r>
      <w:r w:rsidR="00295CD7" w:rsidRPr="000922B8">
        <w:rPr>
          <w:lang w:val="en-CA"/>
        </w:rPr>
        <w:t xml:space="preserve">had been </w:t>
      </w:r>
      <w:r w:rsidRPr="000922B8">
        <w:rPr>
          <w:lang w:val="en-CA"/>
        </w:rPr>
        <w:t>filed with the Authority’s litigation services in February 2023.</w:t>
      </w:r>
      <w:r w:rsidRPr="00447F86">
        <w:rPr>
          <w:rStyle w:val="Appelnotedebasdep"/>
          <w:lang w:val="en-CA"/>
        </w:rPr>
        <w:footnoteReference w:id="16"/>
      </w:r>
      <w:r w:rsidR="007E64CB" w:rsidRPr="000922B8">
        <w:rPr>
          <w:lang w:val="en-CA"/>
        </w:rPr>
        <w:t xml:space="preserve"> </w:t>
      </w:r>
      <w:r w:rsidR="00F070FE" w:rsidRPr="000922B8">
        <w:rPr>
          <w:lang w:val="en-CA"/>
        </w:rPr>
        <w:t xml:space="preserve">In the summer </w:t>
      </w:r>
      <w:r w:rsidR="00295CD7" w:rsidRPr="000922B8">
        <w:rPr>
          <w:lang w:val="en-CA"/>
        </w:rPr>
        <w:t xml:space="preserve">of </w:t>
      </w:r>
      <w:r w:rsidR="00F070FE" w:rsidRPr="000922B8">
        <w:rPr>
          <w:lang w:val="en-CA"/>
        </w:rPr>
        <w:t xml:space="preserve">2023, new information led the Authority’s investigators to take additional investigative steps, which were recorded in a memorandum </w:t>
      </w:r>
      <w:r w:rsidR="004D0A72" w:rsidRPr="000922B8">
        <w:rPr>
          <w:lang w:val="en-CA"/>
        </w:rPr>
        <w:t>added to the</w:t>
      </w:r>
      <w:r w:rsidR="00F070FE" w:rsidRPr="000922B8">
        <w:rPr>
          <w:lang w:val="en-CA"/>
        </w:rPr>
        <w:t xml:space="preserve"> investigation in July 2023.</w:t>
      </w:r>
      <w:r w:rsidR="007E64CB" w:rsidRPr="000922B8">
        <w:rPr>
          <w:lang w:val="en-CA"/>
        </w:rPr>
        <w:t xml:space="preserve"> </w:t>
      </w:r>
    </w:p>
    <w:p w14:paraId="63B844F4" w14:textId="78CC9B9B" w:rsidR="00EE1205" w:rsidRPr="000922B8" w:rsidRDefault="00F070FE" w:rsidP="00EE1205">
      <w:pPr>
        <w:pStyle w:val="Paragraphe"/>
        <w:rPr>
          <w:lang w:val="en-CA"/>
        </w:rPr>
      </w:pPr>
      <w:r w:rsidRPr="000922B8">
        <w:rPr>
          <w:lang w:val="en-CA"/>
        </w:rPr>
        <w:t xml:space="preserve">She added that additional investigative steps had been taken very recently, in 2024, to validate some information, at the request of the Authority’s </w:t>
      </w:r>
      <w:r w:rsidR="007F591F">
        <w:rPr>
          <w:lang w:val="en-CA"/>
        </w:rPr>
        <w:t>managers</w:t>
      </w:r>
      <w:r w:rsidRPr="000922B8">
        <w:rPr>
          <w:lang w:val="en-CA"/>
        </w:rPr>
        <w:t>.</w:t>
      </w:r>
      <w:r w:rsidR="007E64CB" w:rsidRPr="000922B8">
        <w:rPr>
          <w:lang w:val="en-CA"/>
        </w:rPr>
        <w:t xml:space="preserve"> </w:t>
      </w:r>
      <w:r w:rsidRPr="000922B8">
        <w:rPr>
          <w:lang w:val="en-CA"/>
        </w:rPr>
        <w:t>According to the investigator, these steps are</w:t>
      </w:r>
      <w:r w:rsidR="00D11507" w:rsidRPr="000922B8">
        <w:rPr>
          <w:lang w:val="en-CA"/>
        </w:rPr>
        <w:t xml:space="preserve"> now</w:t>
      </w:r>
      <w:r w:rsidRPr="000922B8">
        <w:rPr>
          <w:lang w:val="en-CA"/>
        </w:rPr>
        <w:t xml:space="preserve"> essentially done, even though one of the </w:t>
      </w:r>
      <w:r w:rsidR="007F3D38">
        <w:rPr>
          <w:lang w:val="en-CA"/>
        </w:rPr>
        <w:t>persons</w:t>
      </w:r>
      <w:r w:rsidRPr="000922B8">
        <w:rPr>
          <w:lang w:val="en-CA"/>
        </w:rPr>
        <w:t xml:space="preserve"> contacted did not follow up on a request for information.</w:t>
      </w:r>
      <w:r w:rsidR="007E64CB" w:rsidRPr="000922B8">
        <w:rPr>
          <w:lang w:val="en-CA"/>
        </w:rPr>
        <w:t xml:space="preserve"> </w:t>
      </w:r>
      <w:r w:rsidRPr="000922B8">
        <w:rPr>
          <w:lang w:val="en-CA"/>
        </w:rPr>
        <w:t xml:space="preserve">She feels that the Investigation </w:t>
      </w:r>
      <w:r w:rsidR="00290514">
        <w:rPr>
          <w:lang w:val="en-CA"/>
        </w:rPr>
        <w:t>D</w:t>
      </w:r>
      <w:r w:rsidRPr="000922B8">
        <w:rPr>
          <w:lang w:val="en-CA"/>
        </w:rPr>
        <w:t>epartment now plays a support</w:t>
      </w:r>
      <w:r w:rsidR="00D11507" w:rsidRPr="000922B8">
        <w:rPr>
          <w:lang w:val="en-CA"/>
        </w:rPr>
        <w:t>ing</w:t>
      </w:r>
      <w:r w:rsidRPr="000922B8">
        <w:rPr>
          <w:lang w:val="en-CA"/>
        </w:rPr>
        <w:t xml:space="preserve"> role for the Authority’s litigation services in preparing an originating pleading to be filed before the Tribunal. </w:t>
      </w:r>
    </w:p>
    <w:p w14:paraId="2F3A3961" w14:textId="270C6405" w:rsidR="00EE1205" w:rsidRPr="000922B8" w:rsidRDefault="00F070FE" w:rsidP="00EE1205">
      <w:pPr>
        <w:pStyle w:val="Paragraphe"/>
        <w:rPr>
          <w:lang w:val="en-CA"/>
        </w:rPr>
      </w:pPr>
      <w:r w:rsidRPr="000922B8">
        <w:rPr>
          <w:lang w:val="en-CA"/>
        </w:rPr>
        <w:t>Indeed, counsel for the Authority confirmed that she had received the</w:t>
      </w:r>
      <w:r w:rsidR="00D11507" w:rsidRPr="000922B8">
        <w:rPr>
          <w:lang w:val="en-CA"/>
        </w:rPr>
        <w:t xml:space="preserve"> [</w:t>
      </w:r>
      <w:r w:rsidR="00D11507" w:rsidRPr="000922B8">
        <w:rPr>
          <w:smallCaps/>
          <w:lang w:val="en-CA"/>
        </w:rPr>
        <w:t>translation</w:t>
      </w:r>
      <w:r w:rsidR="00D11507" w:rsidRPr="000922B8">
        <w:rPr>
          <w:lang w:val="en-CA"/>
        </w:rPr>
        <w:t>]</w:t>
      </w:r>
      <w:r w:rsidRPr="000922B8">
        <w:rPr>
          <w:lang w:val="en-CA"/>
        </w:rPr>
        <w:t xml:space="preserve"> “firm” mandate from her </w:t>
      </w:r>
      <w:r w:rsidR="007F591F">
        <w:rPr>
          <w:lang w:val="en-CA"/>
        </w:rPr>
        <w:t>managers</w:t>
      </w:r>
      <w:r w:rsidRPr="000922B8">
        <w:rPr>
          <w:lang w:val="en-CA"/>
        </w:rPr>
        <w:t xml:space="preserve"> to bring proceedings </w:t>
      </w:r>
      <w:r w:rsidR="00D11507" w:rsidRPr="000922B8">
        <w:rPr>
          <w:lang w:val="en-CA"/>
        </w:rPr>
        <w:t>before the Tribunal against</w:t>
      </w:r>
      <w:r w:rsidRPr="000922B8">
        <w:rPr>
          <w:lang w:val="en-CA"/>
        </w:rPr>
        <w:t xml:space="preserve"> Roger Tremblay.</w:t>
      </w:r>
      <w:r w:rsidR="007E64CB" w:rsidRPr="000922B8">
        <w:rPr>
          <w:lang w:val="en-CA"/>
        </w:rPr>
        <w:t xml:space="preserve"> </w:t>
      </w:r>
      <w:r w:rsidRPr="000922B8">
        <w:rPr>
          <w:lang w:val="en-CA"/>
        </w:rPr>
        <w:t xml:space="preserve">However, an analysis of the abundant evidence </w:t>
      </w:r>
      <w:r w:rsidR="00290514">
        <w:rPr>
          <w:lang w:val="en-CA"/>
        </w:rPr>
        <w:t>containing</w:t>
      </w:r>
      <w:r w:rsidRPr="000922B8">
        <w:rPr>
          <w:lang w:val="en-CA"/>
        </w:rPr>
        <w:t xml:space="preserve"> several thousands of pages </w:t>
      </w:r>
      <w:r w:rsidR="00D11507" w:rsidRPr="000922B8">
        <w:rPr>
          <w:lang w:val="en-CA"/>
        </w:rPr>
        <w:t xml:space="preserve">in her view </w:t>
      </w:r>
      <w:r w:rsidR="004C48E3" w:rsidRPr="000922B8">
        <w:rPr>
          <w:lang w:val="en-CA"/>
        </w:rPr>
        <w:t xml:space="preserve">justifies </w:t>
      </w:r>
      <w:r w:rsidRPr="000922B8">
        <w:rPr>
          <w:lang w:val="en-CA"/>
        </w:rPr>
        <w:t xml:space="preserve">having a certain </w:t>
      </w:r>
      <w:r w:rsidR="001C37D4">
        <w:rPr>
          <w:lang w:val="en-CA"/>
        </w:rPr>
        <w:t xml:space="preserve">amount of </w:t>
      </w:r>
      <w:r w:rsidRPr="000922B8">
        <w:rPr>
          <w:lang w:val="en-CA"/>
        </w:rPr>
        <w:t>time to prepare this originating pleading.</w:t>
      </w:r>
    </w:p>
    <w:p w14:paraId="67B817ED" w14:textId="47948B16" w:rsidR="00EE1205" w:rsidRPr="000922B8" w:rsidRDefault="00F070FE" w:rsidP="00EE1205">
      <w:pPr>
        <w:pStyle w:val="Paragraphe"/>
        <w:rPr>
          <w:lang w:val="en-CA"/>
        </w:rPr>
      </w:pPr>
      <w:r w:rsidRPr="000922B8">
        <w:rPr>
          <w:lang w:val="en-CA"/>
        </w:rPr>
        <w:t>Contrary to what is alleged in</w:t>
      </w:r>
      <w:r w:rsidR="00D11507" w:rsidRPr="000922B8">
        <w:rPr>
          <w:lang w:val="en-CA"/>
        </w:rPr>
        <w:t xml:space="preserve"> </w:t>
      </w:r>
      <w:r w:rsidRPr="000922B8">
        <w:rPr>
          <w:lang w:val="en-CA"/>
        </w:rPr>
        <w:t xml:space="preserve">the Application to extend, she argued at </w:t>
      </w:r>
      <w:r w:rsidR="00D11507" w:rsidRPr="000922B8">
        <w:rPr>
          <w:lang w:val="en-CA"/>
        </w:rPr>
        <w:t>the</w:t>
      </w:r>
      <w:r w:rsidRPr="000922B8">
        <w:rPr>
          <w:lang w:val="en-CA"/>
        </w:rPr>
        <w:t xml:space="preserve"> hearing that the Authority</w:t>
      </w:r>
      <w:r w:rsidR="00D11507" w:rsidRPr="000922B8">
        <w:rPr>
          <w:lang w:val="en-CA"/>
        </w:rPr>
        <w:t>’s investigation</w:t>
      </w:r>
      <w:r w:rsidRPr="000922B8">
        <w:rPr>
          <w:lang w:val="en-CA"/>
        </w:rPr>
        <w:t xml:space="preserve"> in </w:t>
      </w:r>
      <w:r w:rsidR="00015DC5">
        <w:rPr>
          <w:lang w:val="en-CA"/>
        </w:rPr>
        <w:t>its</w:t>
      </w:r>
      <w:r w:rsidRPr="000922B8">
        <w:rPr>
          <w:lang w:val="en-CA"/>
        </w:rPr>
        <w:t xml:space="preserve"> </w:t>
      </w:r>
      <w:r w:rsidR="00D11507" w:rsidRPr="000922B8">
        <w:rPr>
          <w:lang w:val="en-CA"/>
        </w:rPr>
        <w:t>[</w:t>
      </w:r>
      <w:r w:rsidR="00D11507" w:rsidRPr="000922B8">
        <w:rPr>
          <w:smallCaps/>
          <w:lang w:val="en-CA"/>
        </w:rPr>
        <w:t>translation</w:t>
      </w:r>
      <w:r w:rsidR="00D11507" w:rsidRPr="000922B8">
        <w:rPr>
          <w:lang w:val="en-CA"/>
        </w:rPr>
        <w:t xml:space="preserve">] </w:t>
      </w:r>
      <w:r w:rsidRPr="000922B8">
        <w:rPr>
          <w:lang w:val="en-CA"/>
        </w:rPr>
        <w:t xml:space="preserve">“strict sense” and </w:t>
      </w:r>
      <w:r w:rsidR="00015DC5">
        <w:rPr>
          <w:lang w:val="en-CA"/>
        </w:rPr>
        <w:t xml:space="preserve">in </w:t>
      </w:r>
      <w:r w:rsidRPr="000922B8">
        <w:rPr>
          <w:lang w:val="en-CA"/>
        </w:rPr>
        <w:t xml:space="preserve">its </w:t>
      </w:r>
      <w:r w:rsidR="00D11507" w:rsidRPr="000922B8">
        <w:rPr>
          <w:lang w:val="en-CA"/>
        </w:rPr>
        <w:t>[</w:t>
      </w:r>
      <w:r w:rsidR="00D11507" w:rsidRPr="000922B8">
        <w:rPr>
          <w:smallCaps/>
          <w:lang w:val="en-CA"/>
        </w:rPr>
        <w:t>translation</w:t>
      </w:r>
      <w:r w:rsidR="00D11507" w:rsidRPr="000922B8">
        <w:rPr>
          <w:lang w:val="en-CA"/>
        </w:rPr>
        <w:t xml:space="preserve">] </w:t>
      </w:r>
      <w:r w:rsidRPr="000922B8">
        <w:rPr>
          <w:lang w:val="en-CA"/>
        </w:rPr>
        <w:t>“broad sense”</w:t>
      </w:r>
      <w:r w:rsidR="007E64CB" w:rsidRPr="000922B8">
        <w:rPr>
          <w:lang w:val="en-CA"/>
        </w:rPr>
        <w:t xml:space="preserve"> </w:t>
      </w:r>
      <w:r w:rsidR="00015DC5" w:rsidRPr="000922B8">
        <w:rPr>
          <w:lang w:val="en-CA"/>
        </w:rPr>
        <w:t>was ongoing</w:t>
      </w:r>
      <w:r w:rsidR="00015DC5">
        <w:rPr>
          <w:lang w:val="en-CA"/>
        </w:rPr>
        <w:t>.</w:t>
      </w:r>
      <w:r w:rsidR="00015DC5" w:rsidRPr="000922B8">
        <w:rPr>
          <w:lang w:val="en-CA"/>
        </w:rPr>
        <w:t xml:space="preserve"> </w:t>
      </w:r>
      <w:r w:rsidR="001D24B7" w:rsidRPr="000922B8">
        <w:rPr>
          <w:lang w:val="en-CA"/>
        </w:rPr>
        <w:t xml:space="preserve">She is of the view that the investigation is progressing and </w:t>
      </w:r>
      <w:r w:rsidR="00D11507" w:rsidRPr="000922B8">
        <w:rPr>
          <w:lang w:val="en-CA"/>
        </w:rPr>
        <w:t>explai</w:t>
      </w:r>
      <w:r w:rsidR="001D24B7" w:rsidRPr="000922B8">
        <w:rPr>
          <w:lang w:val="en-CA"/>
        </w:rPr>
        <w:t xml:space="preserve">ned that while the investigation report was filed with the Authority’s litigation </w:t>
      </w:r>
      <w:r w:rsidR="00D11507" w:rsidRPr="000922B8">
        <w:rPr>
          <w:lang w:val="en-CA"/>
        </w:rPr>
        <w:t>services</w:t>
      </w:r>
      <w:r w:rsidR="001D24B7" w:rsidRPr="000922B8">
        <w:rPr>
          <w:lang w:val="en-CA"/>
        </w:rPr>
        <w:t xml:space="preserve"> and has been analyzed, the Authority continue</w:t>
      </w:r>
      <w:r w:rsidR="00D11507" w:rsidRPr="000922B8">
        <w:rPr>
          <w:lang w:val="en-CA"/>
        </w:rPr>
        <w:t>s</w:t>
      </w:r>
      <w:r w:rsidR="001D24B7" w:rsidRPr="000922B8">
        <w:rPr>
          <w:lang w:val="en-CA"/>
        </w:rPr>
        <w:t xml:space="preserve"> to </w:t>
      </w:r>
      <w:r w:rsidR="00D11507" w:rsidRPr="000922B8">
        <w:rPr>
          <w:lang w:val="en-CA"/>
        </w:rPr>
        <w:t>request</w:t>
      </w:r>
      <w:r w:rsidR="001D24B7" w:rsidRPr="000922B8">
        <w:rPr>
          <w:lang w:val="en-CA"/>
        </w:rPr>
        <w:t xml:space="preserve"> </w:t>
      </w:r>
      <w:r w:rsidR="00D11507" w:rsidRPr="000922B8">
        <w:rPr>
          <w:lang w:val="en-CA"/>
        </w:rPr>
        <w:t>further</w:t>
      </w:r>
      <w:r w:rsidR="001D24B7" w:rsidRPr="000922B8">
        <w:rPr>
          <w:lang w:val="en-CA"/>
        </w:rPr>
        <w:t xml:space="preserve"> investigations from the investigators with a view to preparing the originating pleading.</w:t>
      </w:r>
      <w:r w:rsidR="007E64CB" w:rsidRPr="000922B8">
        <w:rPr>
          <w:lang w:val="en-CA"/>
        </w:rPr>
        <w:t xml:space="preserve"> </w:t>
      </w:r>
      <w:r w:rsidR="001D24B7" w:rsidRPr="000922B8">
        <w:rPr>
          <w:lang w:val="en-CA"/>
        </w:rPr>
        <w:t xml:space="preserve">She referred to </w:t>
      </w:r>
      <w:r w:rsidR="00D11507" w:rsidRPr="000922B8">
        <w:rPr>
          <w:lang w:val="en-CA"/>
        </w:rPr>
        <w:lastRenderedPageBreak/>
        <w:t>[</w:t>
      </w:r>
      <w:r w:rsidR="00D11507" w:rsidRPr="000922B8">
        <w:rPr>
          <w:smallCaps/>
          <w:lang w:val="en-CA"/>
        </w:rPr>
        <w:t>translation</w:t>
      </w:r>
      <w:r w:rsidR="00D11507" w:rsidRPr="000922B8">
        <w:rPr>
          <w:lang w:val="en-CA"/>
        </w:rPr>
        <w:t xml:space="preserve">] </w:t>
      </w:r>
      <w:r w:rsidR="001D24B7" w:rsidRPr="000922B8">
        <w:rPr>
          <w:lang w:val="en-CA"/>
        </w:rPr>
        <w:t>“constant dialogue” between the Authority’s litigation services and the investigators to understand the evidence.</w:t>
      </w:r>
      <w:r w:rsidR="007E64CB" w:rsidRPr="000922B8">
        <w:rPr>
          <w:lang w:val="en-CA"/>
        </w:rPr>
        <w:t xml:space="preserve"> </w:t>
      </w:r>
      <w:r w:rsidR="00D11507" w:rsidRPr="000922B8">
        <w:rPr>
          <w:lang w:val="en-CA"/>
        </w:rPr>
        <w:t xml:space="preserve"> </w:t>
      </w:r>
    </w:p>
    <w:p w14:paraId="1C7AC933" w14:textId="77A1A3D5" w:rsidR="00EE1205" w:rsidRPr="000922B8" w:rsidRDefault="001D24B7" w:rsidP="00EE1205">
      <w:pPr>
        <w:pStyle w:val="Paragraphe"/>
        <w:rPr>
          <w:lang w:val="en-CA"/>
        </w:rPr>
      </w:pPr>
      <w:r w:rsidRPr="000922B8">
        <w:rPr>
          <w:lang w:val="en-CA"/>
        </w:rPr>
        <w:t>The Authority therefore argues in favour of the Tribunal extending the freeze orders that are currently in effect in this file</w:t>
      </w:r>
      <w:r w:rsidR="00C83270" w:rsidRPr="00C83270">
        <w:rPr>
          <w:lang w:val="en-CA"/>
        </w:rPr>
        <w:t xml:space="preserve"> </w:t>
      </w:r>
      <w:r w:rsidR="00C83270" w:rsidRPr="000922B8">
        <w:rPr>
          <w:lang w:val="en-CA"/>
        </w:rPr>
        <w:t>for nine (9) months</w:t>
      </w:r>
      <w:r w:rsidRPr="000922B8">
        <w:rPr>
          <w:lang w:val="en-CA"/>
        </w:rPr>
        <w:t>.</w:t>
      </w:r>
      <w:r w:rsidR="007E64CB" w:rsidRPr="000922B8">
        <w:rPr>
          <w:lang w:val="en-CA"/>
        </w:rPr>
        <w:t xml:space="preserve"> </w:t>
      </w:r>
      <w:r w:rsidR="00D11507" w:rsidRPr="000922B8">
        <w:rPr>
          <w:lang w:val="en-CA"/>
        </w:rPr>
        <w:t>However</w:t>
      </w:r>
      <w:r w:rsidRPr="000922B8">
        <w:rPr>
          <w:lang w:val="en-CA"/>
        </w:rPr>
        <w:t xml:space="preserve">, at the hearing, </w:t>
      </w:r>
      <w:r w:rsidR="003601B5">
        <w:rPr>
          <w:lang w:val="en-CA"/>
        </w:rPr>
        <w:t>it</w:t>
      </w:r>
      <w:r w:rsidRPr="000922B8">
        <w:rPr>
          <w:lang w:val="en-CA"/>
        </w:rPr>
        <w:t xml:space="preserve"> </w:t>
      </w:r>
      <w:r w:rsidR="004C48E3">
        <w:rPr>
          <w:lang w:val="en-CA"/>
        </w:rPr>
        <w:t>stated</w:t>
      </w:r>
      <w:r w:rsidRPr="000922B8">
        <w:rPr>
          <w:lang w:val="en-CA"/>
        </w:rPr>
        <w:t xml:space="preserve"> that </w:t>
      </w:r>
      <w:r w:rsidR="003601B5">
        <w:rPr>
          <w:lang w:val="en-CA"/>
        </w:rPr>
        <w:t>it</w:t>
      </w:r>
      <w:r w:rsidRPr="000922B8">
        <w:rPr>
          <w:lang w:val="en-CA"/>
        </w:rPr>
        <w:t xml:space="preserve"> could </w:t>
      </w:r>
      <w:r w:rsidR="003601B5">
        <w:rPr>
          <w:lang w:val="en-CA"/>
        </w:rPr>
        <w:t>accept</w:t>
      </w:r>
      <w:r w:rsidRPr="000922B8">
        <w:rPr>
          <w:lang w:val="en-CA"/>
        </w:rPr>
        <w:t xml:space="preserve"> a six (6) month extension.</w:t>
      </w:r>
    </w:p>
    <w:p w14:paraId="2D8564CC" w14:textId="460A3027" w:rsidR="00EE1205" w:rsidRPr="000922B8" w:rsidRDefault="001D24B7" w:rsidP="00EE1205">
      <w:pPr>
        <w:pStyle w:val="Paragraphe"/>
        <w:rPr>
          <w:lang w:val="en-CA"/>
        </w:rPr>
      </w:pPr>
      <w:r w:rsidRPr="000922B8">
        <w:rPr>
          <w:lang w:val="en-CA"/>
        </w:rPr>
        <w:t xml:space="preserve">To support its </w:t>
      </w:r>
      <w:r w:rsidR="00D11507" w:rsidRPr="000922B8">
        <w:rPr>
          <w:lang w:val="en-CA"/>
        </w:rPr>
        <w:t>arguments</w:t>
      </w:r>
      <w:r w:rsidRPr="000922B8">
        <w:rPr>
          <w:lang w:val="en-CA"/>
        </w:rPr>
        <w:t>, the Authority refer</w:t>
      </w:r>
      <w:r w:rsidR="003601B5">
        <w:rPr>
          <w:lang w:val="en-CA"/>
        </w:rPr>
        <w:t>red</w:t>
      </w:r>
      <w:r w:rsidRPr="000922B8">
        <w:rPr>
          <w:lang w:val="en-CA"/>
        </w:rPr>
        <w:t xml:space="preserve"> to several of the Tribunal’s decisions extending freeze orders.</w:t>
      </w:r>
      <w:r w:rsidRPr="00447F86">
        <w:rPr>
          <w:rStyle w:val="Appelnotedebasdep"/>
          <w:rFonts w:cs="Arial"/>
          <w:color w:val="000000"/>
          <w:lang w:val="en-CA"/>
        </w:rPr>
        <w:footnoteReference w:id="17"/>
      </w:r>
    </w:p>
    <w:p w14:paraId="7178B395" w14:textId="28AE2EC3" w:rsidR="00EE1205" w:rsidRPr="00447F86" w:rsidRDefault="001D24B7" w:rsidP="00781799">
      <w:pPr>
        <w:pStyle w:val="Paragraphe"/>
        <w:numPr>
          <w:ilvl w:val="1"/>
          <w:numId w:val="4"/>
        </w:numPr>
        <w:rPr>
          <w:rFonts w:cs="Arial"/>
          <w:b/>
          <w:bCs/>
          <w:lang w:val="en-CA"/>
        </w:rPr>
      </w:pPr>
      <w:r w:rsidRPr="00447F86">
        <w:rPr>
          <w:rFonts w:cs="Arial"/>
          <w:b/>
          <w:bCs/>
          <w:lang w:val="en-CA"/>
        </w:rPr>
        <w:t>Summary of Roger Tremblay’s arguments</w:t>
      </w:r>
    </w:p>
    <w:p w14:paraId="3E8E544A" w14:textId="0A67DA67" w:rsidR="00EE1205" w:rsidRPr="000922B8" w:rsidRDefault="007809A8" w:rsidP="00EE1205">
      <w:pPr>
        <w:pStyle w:val="Paragraphe"/>
        <w:rPr>
          <w:lang w:val="en-CA"/>
        </w:rPr>
      </w:pPr>
      <w:r w:rsidRPr="000922B8">
        <w:rPr>
          <w:lang w:val="en-CA"/>
        </w:rPr>
        <w:t>Roger Tremblay argues that the freeze orders that are currently in effect should not be extended past their expiration date on March 27, 2024.</w:t>
      </w:r>
      <w:r w:rsidR="007E64CB" w:rsidRPr="000922B8">
        <w:rPr>
          <w:lang w:val="en-CA"/>
        </w:rPr>
        <w:t xml:space="preserve"> </w:t>
      </w:r>
      <w:r w:rsidR="00C83270">
        <w:rPr>
          <w:lang w:val="en-CA"/>
        </w:rPr>
        <w:t xml:space="preserve"> </w:t>
      </w:r>
    </w:p>
    <w:p w14:paraId="754469C8" w14:textId="4F8673DB" w:rsidR="00EE1205" w:rsidRPr="000922B8" w:rsidRDefault="00C71DB3" w:rsidP="00EE1205">
      <w:pPr>
        <w:pStyle w:val="Paragraphe"/>
        <w:rPr>
          <w:lang w:val="en-CA"/>
        </w:rPr>
      </w:pPr>
      <w:r w:rsidRPr="000922B8">
        <w:rPr>
          <w:lang w:val="en-CA"/>
        </w:rPr>
        <w:t xml:space="preserve">To support his position, he </w:t>
      </w:r>
      <w:r w:rsidR="000740DF">
        <w:rPr>
          <w:lang w:val="en-CA"/>
        </w:rPr>
        <w:t>invokes</w:t>
      </w:r>
      <w:r w:rsidRPr="000922B8">
        <w:rPr>
          <w:lang w:val="en-CA"/>
        </w:rPr>
        <w:t xml:space="preserve"> one decision</w:t>
      </w:r>
      <w:r w:rsidRPr="00447F86">
        <w:rPr>
          <w:rStyle w:val="Appelnotedebasdep"/>
          <w:rFonts w:cs="Arial"/>
          <w:color w:val="000000"/>
          <w:lang w:val="en-CA"/>
        </w:rPr>
        <w:footnoteReference w:id="18"/>
      </w:r>
      <w:r w:rsidRPr="000922B8">
        <w:rPr>
          <w:lang w:val="en-CA"/>
        </w:rPr>
        <w:t xml:space="preserve"> </w:t>
      </w:r>
      <w:r w:rsidR="002A739C" w:rsidRPr="000922B8">
        <w:rPr>
          <w:lang w:val="en-CA"/>
        </w:rPr>
        <w:t xml:space="preserve">in particular that was </w:t>
      </w:r>
      <w:r w:rsidRPr="000922B8">
        <w:rPr>
          <w:lang w:val="en-CA"/>
        </w:rPr>
        <w:t>rendered by the Tribunal</w:t>
      </w:r>
      <w:r w:rsidR="002A739C" w:rsidRPr="000922B8">
        <w:rPr>
          <w:lang w:val="en-CA"/>
        </w:rPr>
        <w:t>,</w:t>
      </w:r>
      <w:r w:rsidRPr="000922B8">
        <w:rPr>
          <w:lang w:val="en-CA"/>
        </w:rPr>
        <w:t xml:space="preserve"> </w:t>
      </w:r>
      <w:r w:rsidR="000740DF">
        <w:rPr>
          <w:lang w:val="en-CA"/>
        </w:rPr>
        <w:t>stating</w:t>
      </w:r>
      <w:r w:rsidRPr="000922B8">
        <w:rPr>
          <w:lang w:val="en-CA"/>
        </w:rPr>
        <w:t xml:space="preserve"> that a freeze order is an </w:t>
      </w:r>
      <w:r w:rsidR="002A739C" w:rsidRPr="000922B8">
        <w:rPr>
          <w:lang w:val="en-CA"/>
        </w:rPr>
        <w:t>[</w:t>
      </w:r>
      <w:r w:rsidR="002A739C" w:rsidRPr="000922B8">
        <w:rPr>
          <w:smallCaps/>
          <w:lang w:val="en-CA"/>
        </w:rPr>
        <w:t>translation</w:t>
      </w:r>
      <w:r w:rsidR="002A739C" w:rsidRPr="000922B8">
        <w:rPr>
          <w:lang w:val="en-CA"/>
        </w:rPr>
        <w:t xml:space="preserve">] </w:t>
      </w:r>
      <w:r w:rsidRPr="000922B8">
        <w:rPr>
          <w:lang w:val="en-CA"/>
        </w:rPr>
        <w:t xml:space="preserve">“exceptional conservatory measure” and that extending these orders </w:t>
      </w:r>
      <w:r w:rsidR="002A739C" w:rsidRPr="000922B8">
        <w:rPr>
          <w:lang w:val="en-CA"/>
        </w:rPr>
        <w:t>[</w:t>
      </w:r>
      <w:r w:rsidR="002A739C" w:rsidRPr="000922B8">
        <w:rPr>
          <w:smallCaps/>
          <w:lang w:val="en-CA"/>
        </w:rPr>
        <w:t>translation</w:t>
      </w:r>
      <w:r w:rsidR="002A739C" w:rsidRPr="000922B8">
        <w:rPr>
          <w:lang w:val="en-CA"/>
        </w:rPr>
        <w:t xml:space="preserve">] </w:t>
      </w:r>
      <w:r w:rsidRPr="000922B8">
        <w:rPr>
          <w:lang w:val="en-CA"/>
        </w:rPr>
        <w:t>“is possible only if the Authority proves that the investigation is still active and that an extension is required in the public interest”.</w:t>
      </w:r>
      <w:r w:rsidR="007E64CB" w:rsidRPr="000922B8">
        <w:rPr>
          <w:lang w:val="en-CA"/>
        </w:rPr>
        <w:t> </w:t>
      </w:r>
      <w:r w:rsidRPr="000922B8">
        <w:rPr>
          <w:lang w:val="en-CA"/>
        </w:rPr>
        <w:t xml:space="preserve">He recalls that </w:t>
      </w:r>
      <w:r w:rsidR="000740DF">
        <w:rPr>
          <w:lang w:val="en-CA"/>
        </w:rPr>
        <w:t xml:space="preserve">the </w:t>
      </w:r>
      <w:r w:rsidRPr="000922B8">
        <w:rPr>
          <w:lang w:val="en-CA"/>
        </w:rPr>
        <w:t>public interest includes the public’s trust, which would be in jeopardy if the Authority fail</w:t>
      </w:r>
      <w:r w:rsidR="002A739C" w:rsidRPr="000922B8">
        <w:rPr>
          <w:lang w:val="en-CA"/>
        </w:rPr>
        <w:t>ed</w:t>
      </w:r>
      <w:r w:rsidRPr="000922B8">
        <w:rPr>
          <w:lang w:val="en-CA"/>
        </w:rPr>
        <w:t xml:space="preserve"> to investigate </w:t>
      </w:r>
      <w:r w:rsidR="002A739C" w:rsidRPr="000922B8">
        <w:rPr>
          <w:lang w:val="en-CA"/>
        </w:rPr>
        <w:t>[</w:t>
      </w:r>
      <w:r w:rsidR="002A739C" w:rsidRPr="000922B8">
        <w:rPr>
          <w:smallCaps/>
          <w:lang w:val="en-CA"/>
        </w:rPr>
        <w:t>translation</w:t>
      </w:r>
      <w:r w:rsidR="002A739C" w:rsidRPr="000922B8">
        <w:rPr>
          <w:lang w:val="en-CA"/>
        </w:rPr>
        <w:t xml:space="preserve">] </w:t>
      </w:r>
      <w:r w:rsidRPr="000922B8">
        <w:rPr>
          <w:lang w:val="en-CA"/>
        </w:rPr>
        <w:t>“carefully, diligently, and quickly ...</w:t>
      </w:r>
      <w:r w:rsidR="002A739C" w:rsidRPr="000922B8">
        <w:rPr>
          <w:lang w:val="en-CA"/>
        </w:rPr>
        <w:t>”</w:t>
      </w:r>
      <w:r w:rsidRPr="000922B8">
        <w:rPr>
          <w:lang w:val="en-CA"/>
        </w:rPr>
        <w:t>.</w:t>
      </w:r>
      <w:r w:rsidRPr="00447F86">
        <w:rPr>
          <w:rStyle w:val="Appelnotedebasdep"/>
          <w:lang w:val="en-CA"/>
        </w:rPr>
        <w:footnoteReference w:id="19"/>
      </w:r>
    </w:p>
    <w:p w14:paraId="5C9B01C2" w14:textId="43475C52" w:rsidR="00EE1205" w:rsidRPr="000922B8" w:rsidRDefault="00C71DB3" w:rsidP="00EE1205">
      <w:pPr>
        <w:pStyle w:val="Paragraphe"/>
        <w:rPr>
          <w:lang w:val="en-CA"/>
        </w:rPr>
      </w:pPr>
      <w:r w:rsidRPr="000922B8">
        <w:rPr>
          <w:lang w:val="en-CA"/>
        </w:rPr>
        <w:t>He argue</w:t>
      </w:r>
      <w:r w:rsidR="000740DF">
        <w:rPr>
          <w:lang w:val="en-CA"/>
        </w:rPr>
        <w:t>s</w:t>
      </w:r>
      <w:r w:rsidRPr="000922B8">
        <w:rPr>
          <w:lang w:val="en-CA"/>
        </w:rPr>
        <w:t xml:space="preserve"> that in this case, as in the decision cited above,</w:t>
      </w:r>
      <w:r w:rsidRPr="00447F86">
        <w:rPr>
          <w:rStyle w:val="Appelnotedebasdep"/>
          <w:rFonts w:cs="Arial"/>
          <w:color w:val="000000"/>
          <w:lang w:val="en-CA"/>
        </w:rPr>
        <w:footnoteReference w:id="20"/>
      </w:r>
      <w:r w:rsidRPr="000922B8">
        <w:rPr>
          <w:rFonts w:cs="Arial"/>
          <w:lang w:val="en-CA"/>
        </w:rPr>
        <w:t xml:space="preserve"> </w:t>
      </w:r>
      <w:r w:rsidR="002A739C" w:rsidRPr="000922B8">
        <w:rPr>
          <w:lang w:val="en-CA"/>
        </w:rPr>
        <w:t>[</w:t>
      </w:r>
      <w:r w:rsidR="002A739C" w:rsidRPr="000922B8">
        <w:rPr>
          <w:smallCaps/>
          <w:lang w:val="en-CA"/>
        </w:rPr>
        <w:t>translation</w:t>
      </w:r>
      <w:r w:rsidR="002A739C" w:rsidRPr="000922B8">
        <w:rPr>
          <w:lang w:val="en-CA"/>
        </w:rPr>
        <w:t xml:space="preserve">] </w:t>
      </w:r>
      <w:r w:rsidRPr="000922B8">
        <w:rPr>
          <w:rFonts w:cs="Arial"/>
          <w:lang w:val="en-CA"/>
        </w:rPr>
        <w:t xml:space="preserve">“a litigant </w:t>
      </w:r>
      <w:r w:rsidR="002A739C" w:rsidRPr="000922B8">
        <w:rPr>
          <w:rFonts w:cs="Arial"/>
          <w:lang w:val="en-CA"/>
        </w:rPr>
        <w:t>has been</w:t>
      </w:r>
      <w:r w:rsidRPr="000922B8">
        <w:rPr>
          <w:rFonts w:cs="Arial"/>
          <w:lang w:val="en-CA"/>
        </w:rPr>
        <w:t xml:space="preserve"> deprived of access to his assets” for months on end while </w:t>
      </w:r>
      <w:r w:rsidR="002A739C" w:rsidRPr="000922B8">
        <w:rPr>
          <w:lang w:val="en-CA"/>
        </w:rPr>
        <w:t>[</w:t>
      </w:r>
      <w:r w:rsidR="002A739C" w:rsidRPr="000922B8">
        <w:rPr>
          <w:smallCaps/>
          <w:lang w:val="en-CA"/>
        </w:rPr>
        <w:t>translation</w:t>
      </w:r>
      <w:r w:rsidR="002A739C" w:rsidRPr="000922B8">
        <w:rPr>
          <w:lang w:val="en-CA"/>
        </w:rPr>
        <w:t xml:space="preserve">] </w:t>
      </w:r>
      <w:r w:rsidRPr="000922B8">
        <w:rPr>
          <w:rFonts w:cs="Arial"/>
          <w:lang w:val="en-CA"/>
        </w:rPr>
        <w:t>“the Authority’s investigation has been at</w:t>
      </w:r>
      <w:r w:rsidR="002A739C" w:rsidRPr="000922B8">
        <w:rPr>
          <w:rFonts w:cs="Arial"/>
          <w:lang w:val="en-CA"/>
        </w:rPr>
        <w:t xml:space="preserve"> a</w:t>
      </w:r>
      <w:r w:rsidRPr="000922B8">
        <w:rPr>
          <w:rFonts w:cs="Arial"/>
          <w:lang w:val="en-CA"/>
        </w:rPr>
        <w:t xml:space="preserve"> standstill for far too long”.</w:t>
      </w:r>
    </w:p>
    <w:p w14:paraId="419F6317" w14:textId="1560FC9D" w:rsidR="00EE1205" w:rsidRPr="000922B8" w:rsidRDefault="00C71DB3" w:rsidP="00EE1205">
      <w:pPr>
        <w:pStyle w:val="Paragraphe"/>
        <w:rPr>
          <w:lang w:val="en-CA"/>
        </w:rPr>
      </w:pPr>
      <w:r w:rsidRPr="000922B8">
        <w:rPr>
          <w:lang w:val="en-CA"/>
        </w:rPr>
        <w:t xml:space="preserve">He added that the Application to extend is a disguised application by the Authority to lead the Tribunal to review the </w:t>
      </w:r>
      <w:r w:rsidR="007C43FE" w:rsidRPr="000922B8">
        <w:rPr>
          <w:lang w:val="en-CA"/>
        </w:rPr>
        <w:t xml:space="preserve">September 2023 </w:t>
      </w:r>
      <w:r w:rsidR="007C43FE">
        <w:rPr>
          <w:lang w:val="en-CA"/>
        </w:rPr>
        <w:t>D</w:t>
      </w:r>
      <w:r w:rsidR="007C43FE" w:rsidRPr="000922B8">
        <w:rPr>
          <w:lang w:val="en-CA"/>
        </w:rPr>
        <w:t>ecision to extend</w:t>
      </w:r>
      <w:r w:rsidRPr="000922B8">
        <w:rPr>
          <w:lang w:val="en-CA"/>
        </w:rPr>
        <w:t>.</w:t>
      </w:r>
      <w:r w:rsidR="007E64CB" w:rsidRPr="000922B8">
        <w:rPr>
          <w:lang w:val="en-CA"/>
        </w:rPr>
        <w:t xml:space="preserve"> </w:t>
      </w:r>
    </w:p>
    <w:p w14:paraId="1AA94D9D" w14:textId="74DBC033" w:rsidR="00EE1205" w:rsidRPr="000922B8" w:rsidRDefault="007E64CB" w:rsidP="00EE1205">
      <w:pPr>
        <w:pStyle w:val="Paragraphe"/>
        <w:rPr>
          <w:lang w:val="en-CA"/>
        </w:rPr>
      </w:pPr>
      <w:r w:rsidRPr="000922B8">
        <w:rPr>
          <w:lang w:val="en-CA"/>
        </w:rPr>
        <w:t xml:space="preserve"> </w:t>
      </w:r>
      <w:r w:rsidR="00344F83">
        <w:rPr>
          <w:lang w:val="en-CA"/>
        </w:rPr>
        <w:t>Invoking</w:t>
      </w:r>
      <w:r w:rsidR="00C71DB3" w:rsidRPr="000922B8">
        <w:rPr>
          <w:lang w:val="en-CA"/>
        </w:rPr>
        <w:t xml:space="preserve"> the conditions necessary </w:t>
      </w:r>
      <w:r w:rsidR="00344F83">
        <w:rPr>
          <w:lang w:val="en-CA"/>
        </w:rPr>
        <w:t xml:space="preserve">for the Tribunal </w:t>
      </w:r>
      <w:r w:rsidR="00C71DB3" w:rsidRPr="000922B8">
        <w:rPr>
          <w:lang w:val="en-CA"/>
        </w:rPr>
        <w:t xml:space="preserve">to review a decision set out </w:t>
      </w:r>
      <w:r w:rsidR="00344F83">
        <w:rPr>
          <w:lang w:val="en-CA"/>
        </w:rPr>
        <w:t>in</w:t>
      </w:r>
      <w:r w:rsidR="00C71DB3" w:rsidRPr="000922B8">
        <w:rPr>
          <w:lang w:val="en-CA"/>
        </w:rPr>
        <w:t xml:space="preserve"> section 115.15.7 of the </w:t>
      </w:r>
      <w:r w:rsidR="00C71DB3" w:rsidRPr="000922B8">
        <w:rPr>
          <w:i/>
          <w:iCs/>
          <w:lang w:val="en-CA"/>
        </w:rPr>
        <w:t>Act respecting the regulation of the financial sector</w:t>
      </w:r>
      <w:r w:rsidR="00C71DB3" w:rsidRPr="000922B8">
        <w:rPr>
          <w:lang w:val="en-CA"/>
        </w:rPr>
        <w:t>, he indicate</w:t>
      </w:r>
      <w:r w:rsidR="002A739C" w:rsidRPr="000922B8">
        <w:rPr>
          <w:lang w:val="en-CA"/>
        </w:rPr>
        <w:t>d</w:t>
      </w:r>
      <w:r w:rsidR="00C71DB3" w:rsidRPr="000922B8">
        <w:rPr>
          <w:lang w:val="en-CA"/>
        </w:rPr>
        <w:t xml:space="preserve"> that there is no new fact that would allow the Tribunal to review the </w:t>
      </w:r>
      <w:r w:rsidR="007C43FE" w:rsidRPr="000922B8">
        <w:rPr>
          <w:lang w:val="en-CA"/>
        </w:rPr>
        <w:t xml:space="preserve">September 2023 </w:t>
      </w:r>
      <w:r w:rsidR="007C43FE">
        <w:rPr>
          <w:lang w:val="en-CA"/>
        </w:rPr>
        <w:t>D</w:t>
      </w:r>
      <w:r w:rsidR="007C43FE" w:rsidRPr="000922B8">
        <w:rPr>
          <w:lang w:val="en-CA"/>
        </w:rPr>
        <w:t>ecision to extend</w:t>
      </w:r>
      <w:r w:rsidR="00C71DB3" w:rsidRPr="000922B8">
        <w:rPr>
          <w:lang w:val="en-CA"/>
        </w:rPr>
        <w:t>.</w:t>
      </w:r>
      <w:r w:rsidRPr="000922B8">
        <w:rPr>
          <w:lang w:val="en-CA"/>
        </w:rPr>
        <w:t xml:space="preserve"> </w:t>
      </w:r>
      <w:r w:rsidR="00C71DB3" w:rsidRPr="000922B8">
        <w:rPr>
          <w:lang w:val="en-CA"/>
        </w:rPr>
        <w:t>He submit</w:t>
      </w:r>
      <w:r w:rsidR="002A739C" w:rsidRPr="000922B8">
        <w:rPr>
          <w:lang w:val="en-CA"/>
        </w:rPr>
        <w:t>ted</w:t>
      </w:r>
      <w:r w:rsidR="00C71DB3" w:rsidRPr="000922B8">
        <w:rPr>
          <w:lang w:val="en-CA"/>
        </w:rPr>
        <w:t xml:space="preserve"> that he fails to see the relevance for a respondent to contest an application </w:t>
      </w:r>
      <w:r w:rsidR="002A739C" w:rsidRPr="000922B8">
        <w:rPr>
          <w:lang w:val="en-CA"/>
        </w:rPr>
        <w:t xml:space="preserve">presented by the Authority </w:t>
      </w:r>
      <w:r w:rsidR="00C71DB3" w:rsidRPr="000922B8">
        <w:rPr>
          <w:lang w:val="en-CA"/>
        </w:rPr>
        <w:t xml:space="preserve">to extend freeze orders if other applications can then be subsequently presented once the Tribunal has rendered </w:t>
      </w:r>
      <w:r w:rsidR="007C43FE">
        <w:rPr>
          <w:lang w:val="en-CA"/>
        </w:rPr>
        <w:t>a</w:t>
      </w:r>
      <w:r w:rsidR="007F591F">
        <w:rPr>
          <w:lang w:val="en-CA"/>
        </w:rPr>
        <w:t xml:space="preserve"> decision</w:t>
      </w:r>
      <w:r w:rsidR="00C71DB3" w:rsidRPr="000922B8">
        <w:rPr>
          <w:lang w:val="en-CA"/>
        </w:rPr>
        <w:t xml:space="preserve">. </w:t>
      </w:r>
      <w:r w:rsidR="00C71DB3" w:rsidRPr="000922B8">
        <w:rPr>
          <w:rFonts w:cs="Arial"/>
          <w:lang w:val="en-CA"/>
        </w:rPr>
        <w:t>He recall</w:t>
      </w:r>
      <w:r w:rsidR="00F17108" w:rsidRPr="000922B8">
        <w:rPr>
          <w:rFonts w:cs="Arial"/>
          <w:lang w:val="en-CA"/>
        </w:rPr>
        <w:t>ed</w:t>
      </w:r>
      <w:r w:rsidR="00C71DB3" w:rsidRPr="000922B8">
        <w:rPr>
          <w:rFonts w:cs="Arial"/>
          <w:lang w:val="en-CA"/>
        </w:rPr>
        <w:t xml:space="preserve"> that, based on the decision cited above in </w:t>
      </w:r>
      <w:r w:rsidR="00C71DB3" w:rsidRPr="000922B8">
        <w:rPr>
          <w:rFonts w:cs="Arial"/>
          <w:i/>
          <w:lang w:val="en-CA"/>
        </w:rPr>
        <w:t xml:space="preserve">Dominion Investments </w:t>
      </w:r>
      <w:r w:rsidR="00C71DB3" w:rsidRPr="000922B8">
        <w:rPr>
          <w:rFonts w:cs="Arial"/>
          <w:i/>
          <w:lang w:val="en-CA"/>
        </w:rPr>
        <w:lastRenderedPageBreak/>
        <w:t>(Nassau) Ltd.</w:t>
      </w:r>
      <w:r w:rsidR="00C71DB3" w:rsidRPr="000922B8">
        <w:rPr>
          <w:rFonts w:cs="Arial"/>
          <w:lang w:val="en-CA"/>
        </w:rPr>
        <w:t>,</w:t>
      </w:r>
      <w:r w:rsidR="00C71DB3" w:rsidRPr="00447F86">
        <w:rPr>
          <w:rStyle w:val="Appelnotedebasdep"/>
          <w:rFonts w:cs="Arial"/>
          <w:color w:val="000000"/>
          <w:lang w:val="en-CA"/>
        </w:rPr>
        <w:footnoteReference w:id="21"/>
      </w:r>
      <w:r w:rsidR="00C71DB3" w:rsidRPr="000922B8">
        <w:rPr>
          <w:rFonts w:cs="Arial"/>
          <w:lang w:val="en-CA"/>
        </w:rPr>
        <w:t xml:space="preserve"> </w:t>
      </w:r>
      <w:r w:rsidR="00F17108" w:rsidRPr="000922B8">
        <w:rPr>
          <w:lang w:val="en-CA"/>
        </w:rPr>
        <w:t>[</w:t>
      </w:r>
      <w:r w:rsidR="00F17108" w:rsidRPr="000922B8">
        <w:rPr>
          <w:smallCaps/>
          <w:lang w:val="en-CA"/>
        </w:rPr>
        <w:t>translation</w:t>
      </w:r>
      <w:r w:rsidR="00F17108" w:rsidRPr="000922B8">
        <w:rPr>
          <w:lang w:val="en-CA"/>
        </w:rPr>
        <w:t xml:space="preserve">] </w:t>
      </w:r>
      <w:r w:rsidR="00C71DB3" w:rsidRPr="000922B8">
        <w:rPr>
          <w:rFonts w:cs="Arial"/>
          <w:lang w:val="en-CA"/>
        </w:rPr>
        <w:t>“when an order affects the rights of an individual, it must be interpretat</w:t>
      </w:r>
      <w:r w:rsidR="00F17108" w:rsidRPr="000922B8">
        <w:rPr>
          <w:rFonts w:cs="Arial"/>
          <w:lang w:val="en-CA"/>
        </w:rPr>
        <w:t>ed narrowly</w:t>
      </w:r>
      <w:r w:rsidR="00C71DB3" w:rsidRPr="000922B8">
        <w:rPr>
          <w:rFonts w:cs="Arial"/>
          <w:lang w:val="en-CA"/>
        </w:rPr>
        <w:t xml:space="preserve"> </w:t>
      </w:r>
      <w:r w:rsidR="00F17108" w:rsidRPr="000922B8">
        <w:rPr>
          <w:rFonts w:cs="Arial"/>
          <w:lang w:val="en-CA"/>
        </w:rPr>
        <w:t>and</w:t>
      </w:r>
      <w:r w:rsidR="00C71DB3" w:rsidRPr="000922B8">
        <w:rPr>
          <w:rFonts w:cs="Arial"/>
          <w:lang w:val="en-CA"/>
        </w:rPr>
        <w:t xml:space="preserve"> cannot be extended indefinitely </w:t>
      </w:r>
      <w:r w:rsidR="00F17108" w:rsidRPr="000922B8">
        <w:rPr>
          <w:rFonts w:cs="Arial"/>
          <w:lang w:val="en-CA"/>
        </w:rPr>
        <w:t>citing</w:t>
      </w:r>
      <w:r w:rsidR="00C71DB3" w:rsidRPr="000922B8">
        <w:rPr>
          <w:rFonts w:cs="Arial"/>
          <w:lang w:val="en-CA"/>
        </w:rPr>
        <w:t xml:space="preserve"> unreasonable administrative delays”</w:t>
      </w:r>
      <w:r w:rsidR="00F17108" w:rsidRPr="000922B8">
        <w:rPr>
          <w:rFonts w:cs="Arial"/>
          <w:lang w:val="en-CA"/>
        </w:rPr>
        <w:t>.</w:t>
      </w:r>
      <w:r w:rsidRPr="000922B8">
        <w:rPr>
          <w:lang w:val="en-CA"/>
        </w:rPr>
        <w:t xml:space="preserve"> </w:t>
      </w:r>
    </w:p>
    <w:p w14:paraId="6C1334DB" w14:textId="3924F3CD" w:rsidR="00EE1205" w:rsidRPr="000922B8" w:rsidRDefault="00C71DB3" w:rsidP="00EE1205">
      <w:pPr>
        <w:pStyle w:val="Paragraphe"/>
        <w:rPr>
          <w:lang w:val="en-CA"/>
        </w:rPr>
      </w:pPr>
      <w:r w:rsidRPr="000922B8">
        <w:rPr>
          <w:lang w:val="en-CA"/>
        </w:rPr>
        <w:t>Roger Tremblay</w:t>
      </w:r>
      <w:r w:rsidR="00512A4B" w:rsidRPr="000922B8">
        <w:rPr>
          <w:lang w:val="en-CA"/>
        </w:rPr>
        <w:t xml:space="preserve"> maintain</w:t>
      </w:r>
      <w:r w:rsidR="007B53DB">
        <w:rPr>
          <w:lang w:val="en-CA"/>
        </w:rPr>
        <w:t>s</w:t>
      </w:r>
      <w:r w:rsidR="00512A4B" w:rsidRPr="000922B8">
        <w:rPr>
          <w:lang w:val="en-CA"/>
        </w:rPr>
        <w:t xml:space="preserve"> that</w:t>
      </w:r>
      <w:r w:rsidRPr="000922B8">
        <w:rPr>
          <w:lang w:val="en-CA"/>
        </w:rPr>
        <w:t>, because the Authority has failed to take any steps to speed up the investigation’s progress, this Application to extend, brought by the Authority, is a collateral attack</w:t>
      </w:r>
      <w:r w:rsidRPr="00447F86">
        <w:rPr>
          <w:rStyle w:val="Appelnotedebasdep"/>
          <w:rFonts w:cs="Arial"/>
          <w:color w:val="000000"/>
          <w:lang w:val="en-CA"/>
        </w:rPr>
        <w:footnoteReference w:id="22"/>
      </w:r>
      <w:r w:rsidRPr="000922B8">
        <w:rPr>
          <w:lang w:val="en-CA"/>
        </w:rPr>
        <w:t xml:space="preserve"> and </w:t>
      </w:r>
      <w:r w:rsidR="007B53DB">
        <w:rPr>
          <w:lang w:val="en-CA"/>
        </w:rPr>
        <w:t xml:space="preserve">a </w:t>
      </w:r>
      <w:r w:rsidRPr="000922B8">
        <w:rPr>
          <w:lang w:val="en-CA"/>
        </w:rPr>
        <w:t xml:space="preserve">disguised contestation of the </w:t>
      </w:r>
      <w:r w:rsidR="007C43FE" w:rsidRPr="000922B8">
        <w:rPr>
          <w:lang w:val="en-CA"/>
        </w:rPr>
        <w:t xml:space="preserve">September 2023 </w:t>
      </w:r>
      <w:r w:rsidR="007C43FE">
        <w:rPr>
          <w:lang w:val="en-CA"/>
        </w:rPr>
        <w:t>D</w:t>
      </w:r>
      <w:r w:rsidR="007C43FE" w:rsidRPr="000922B8">
        <w:rPr>
          <w:lang w:val="en-CA"/>
        </w:rPr>
        <w:t>ecision to extend</w:t>
      </w:r>
      <w:r w:rsidRPr="000922B8">
        <w:rPr>
          <w:lang w:val="en-CA"/>
        </w:rPr>
        <w:t>.</w:t>
      </w:r>
      <w:r w:rsidR="007E64CB" w:rsidRPr="000922B8">
        <w:rPr>
          <w:lang w:val="en-CA"/>
        </w:rPr>
        <w:t xml:space="preserve"> </w:t>
      </w:r>
      <w:r w:rsidRPr="000922B8">
        <w:rPr>
          <w:lang w:val="en-CA"/>
        </w:rPr>
        <w:t>To this effect, counsel for Roger Tremblay argue</w:t>
      </w:r>
      <w:r w:rsidR="00512A4B" w:rsidRPr="000922B8">
        <w:rPr>
          <w:lang w:val="en-CA"/>
        </w:rPr>
        <w:t>d</w:t>
      </w:r>
      <w:r w:rsidRPr="000922B8">
        <w:rPr>
          <w:lang w:val="en-CA"/>
        </w:rPr>
        <w:t xml:space="preserve"> the finality of judgments and </w:t>
      </w:r>
      <w:r w:rsidR="00951BA6" w:rsidRPr="000922B8">
        <w:rPr>
          <w:lang w:val="en-CA"/>
        </w:rPr>
        <w:t>state</w:t>
      </w:r>
      <w:r w:rsidR="00512A4B" w:rsidRPr="000922B8">
        <w:rPr>
          <w:lang w:val="en-CA"/>
        </w:rPr>
        <w:t>d</w:t>
      </w:r>
      <w:r w:rsidRPr="000922B8">
        <w:rPr>
          <w:lang w:val="en-CA"/>
        </w:rPr>
        <w:t xml:space="preserve"> that this is a case where abuse of process should apply because “</w:t>
      </w:r>
      <w:r w:rsidR="007B53DB">
        <w:rPr>
          <w:lang w:val="en-CA"/>
        </w:rPr>
        <w:t>the litigation … is … in essence an attempt to relitigate a claim”</w:t>
      </w:r>
      <w:r w:rsidRPr="00447F86">
        <w:rPr>
          <w:rStyle w:val="Appelnotedebasdep"/>
          <w:rFonts w:cs="Arial"/>
          <w:color w:val="000000"/>
          <w:lang w:val="en-CA"/>
        </w:rPr>
        <w:footnoteReference w:id="23"/>
      </w:r>
      <w:r w:rsidRPr="000922B8">
        <w:rPr>
          <w:lang w:val="en-CA"/>
        </w:rPr>
        <w:t xml:space="preserve"> that the Tribunal has already decided, that is, the time required for the Authority to complete its investigation.</w:t>
      </w:r>
      <w:r w:rsidR="007E64CB" w:rsidRPr="000922B8">
        <w:rPr>
          <w:lang w:val="en-CA"/>
        </w:rPr>
        <w:t xml:space="preserve"> </w:t>
      </w:r>
      <w:r w:rsidRPr="000922B8">
        <w:rPr>
          <w:lang w:val="en-CA"/>
        </w:rPr>
        <w:t xml:space="preserve">In the circumstances, this application is, </w:t>
      </w:r>
      <w:r w:rsidR="0032437D">
        <w:rPr>
          <w:lang w:val="en-CA"/>
        </w:rPr>
        <w:t>in his view</w:t>
      </w:r>
      <w:r w:rsidRPr="000922B8">
        <w:rPr>
          <w:lang w:val="en-CA"/>
        </w:rPr>
        <w:t>, frivolous and intended to delay. He asks the Tribunal to declare that it is abusive.</w:t>
      </w:r>
      <w:r w:rsidRPr="00447F86">
        <w:rPr>
          <w:rStyle w:val="Appelnotedebasdep"/>
          <w:rFonts w:cs="Arial"/>
          <w:color w:val="000000"/>
          <w:lang w:val="en-CA"/>
        </w:rPr>
        <w:footnoteReference w:id="24"/>
      </w:r>
      <w:r w:rsidR="007E64CB" w:rsidRPr="000922B8">
        <w:rPr>
          <w:lang w:val="en-CA"/>
        </w:rPr>
        <w:t xml:space="preserve"> </w:t>
      </w:r>
      <w:r w:rsidR="00CC6EE7" w:rsidRPr="000922B8">
        <w:rPr>
          <w:lang w:val="en-CA"/>
        </w:rPr>
        <w:t xml:space="preserve">He added that the rule </w:t>
      </w:r>
      <w:r w:rsidR="00512A4B" w:rsidRPr="000922B8">
        <w:rPr>
          <w:lang w:val="en-CA"/>
        </w:rPr>
        <w:t xml:space="preserve">stating </w:t>
      </w:r>
      <w:r w:rsidR="00CC6EE7" w:rsidRPr="000922B8">
        <w:rPr>
          <w:lang w:val="en-CA"/>
        </w:rPr>
        <w:t>that “parties</w:t>
      </w:r>
      <w:r w:rsidR="00512A4B" w:rsidRPr="000922B8">
        <w:rPr>
          <w:lang w:val="en-CA"/>
        </w:rPr>
        <w:t xml:space="preserve"> shall</w:t>
      </w:r>
      <w:r w:rsidR="00CC6EE7" w:rsidRPr="000922B8">
        <w:rPr>
          <w:lang w:val="en-CA"/>
        </w:rPr>
        <w:t xml:space="preserve"> conduct</w:t>
      </w:r>
      <w:r w:rsidR="00512A4B" w:rsidRPr="000922B8">
        <w:rPr>
          <w:lang w:val="en-CA"/>
        </w:rPr>
        <w:t xml:space="preserve"> themselves in good faith”</w:t>
      </w:r>
      <w:r w:rsidR="00CC6EE7" w:rsidRPr="00447F86">
        <w:rPr>
          <w:rStyle w:val="Appelnotedebasdep"/>
          <w:rFonts w:cs="Arial"/>
          <w:color w:val="000000"/>
          <w:lang w:val="en-CA"/>
        </w:rPr>
        <w:footnoteReference w:id="25"/>
      </w:r>
      <w:r w:rsidR="00CC6EE7" w:rsidRPr="000922B8">
        <w:rPr>
          <w:rFonts w:cs="Arial"/>
          <w:lang w:val="en-CA"/>
        </w:rPr>
        <w:t xml:space="preserve"> applies “</w:t>
      </w:r>
      <w:r w:rsidR="00512A4B" w:rsidRPr="000922B8">
        <w:rPr>
          <w:rFonts w:cs="Arial"/>
          <w:lang w:val="en-CA"/>
        </w:rPr>
        <w:t>to the State and its bodies, and to all other legal persons established in the public interest</w:t>
      </w:r>
      <w:r w:rsidR="00CC6EE7" w:rsidRPr="000922B8">
        <w:rPr>
          <w:rFonts w:cs="Arial"/>
          <w:lang w:val="en-CA"/>
        </w:rPr>
        <w:t>”,</w:t>
      </w:r>
      <w:r w:rsidR="00CC6EE7" w:rsidRPr="00447F86">
        <w:rPr>
          <w:rStyle w:val="Appelnotedebasdep"/>
          <w:rFonts w:cs="Arial"/>
          <w:color w:val="000000"/>
          <w:lang w:val="en-CA"/>
        </w:rPr>
        <w:footnoteReference w:id="26"/>
      </w:r>
      <w:r w:rsidR="00CC6EE7" w:rsidRPr="000922B8">
        <w:rPr>
          <w:rFonts w:cs="Arial"/>
          <w:lang w:val="en-CA"/>
        </w:rPr>
        <w:t xml:space="preserve"> and that the Authority should be prevented from using procedure to </w:t>
      </w:r>
      <w:r w:rsidR="0032437D">
        <w:rPr>
          <w:rFonts w:cs="Arial"/>
          <w:lang w:val="en-CA"/>
        </w:rPr>
        <w:t>bring</w:t>
      </w:r>
      <w:r w:rsidR="00CC6EE7" w:rsidRPr="000922B8">
        <w:rPr>
          <w:rFonts w:cs="Arial"/>
          <w:lang w:val="en-CA"/>
        </w:rPr>
        <w:t xml:space="preserve"> the administration of justice</w:t>
      </w:r>
      <w:r w:rsidR="0032437D">
        <w:rPr>
          <w:rFonts w:cs="Arial"/>
          <w:lang w:val="en-CA"/>
        </w:rPr>
        <w:t xml:space="preserve"> into disrepute</w:t>
      </w:r>
      <w:r w:rsidR="00CC6EE7" w:rsidRPr="000922B8">
        <w:rPr>
          <w:rFonts w:cs="Arial"/>
          <w:lang w:val="en-CA"/>
        </w:rPr>
        <w:t>.</w:t>
      </w:r>
    </w:p>
    <w:p w14:paraId="37DFB7EF" w14:textId="147551D9" w:rsidR="00EE1205" w:rsidRPr="000922B8" w:rsidRDefault="00CC6EE7" w:rsidP="00EE1205">
      <w:pPr>
        <w:pStyle w:val="Paragraphe"/>
        <w:rPr>
          <w:lang w:val="en-CA"/>
        </w:rPr>
      </w:pPr>
      <w:r w:rsidRPr="000922B8">
        <w:rPr>
          <w:lang w:val="en-CA"/>
        </w:rPr>
        <w:t>He submits to the Tribunal that the Authority is arguing essentially the same grounds as those</w:t>
      </w:r>
      <w:r w:rsidR="00512A4B" w:rsidRPr="000922B8">
        <w:rPr>
          <w:lang w:val="en-CA"/>
        </w:rPr>
        <w:t xml:space="preserve"> it</w:t>
      </w:r>
      <w:r w:rsidRPr="000922B8">
        <w:rPr>
          <w:lang w:val="en-CA"/>
        </w:rPr>
        <w:t xml:space="preserve"> submitted for </w:t>
      </w:r>
      <w:r w:rsidR="00512A4B" w:rsidRPr="000922B8">
        <w:rPr>
          <w:lang w:val="en-CA"/>
        </w:rPr>
        <w:t>the</w:t>
      </w:r>
      <w:r w:rsidRPr="000922B8">
        <w:rPr>
          <w:lang w:val="en-CA"/>
        </w:rPr>
        <w:t xml:space="preserve"> last three applications to extend the freeze orders and more particularly, its intention to bring proceedings before the Tribunal against Roger Tremblay.</w:t>
      </w:r>
      <w:r w:rsidR="007E64CB" w:rsidRPr="000922B8">
        <w:rPr>
          <w:lang w:val="en-CA"/>
        </w:rPr>
        <w:t xml:space="preserve"> </w:t>
      </w:r>
    </w:p>
    <w:p w14:paraId="1CA027C4" w14:textId="3255C60B" w:rsidR="00EE1205" w:rsidRPr="000922B8" w:rsidRDefault="00CC6EE7" w:rsidP="00EE1205">
      <w:pPr>
        <w:pStyle w:val="Paragraphe"/>
        <w:rPr>
          <w:lang w:val="en-CA"/>
        </w:rPr>
      </w:pPr>
      <w:r w:rsidRPr="000922B8">
        <w:rPr>
          <w:lang w:val="en-CA"/>
        </w:rPr>
        <w:t>Finally, with respect to the addition of many impleaded parties and the Authority’s argument that these additions cause</w:t>
      </w:r>
      <w:r w:rsidR="00512A4B" w:rsidRPr="000922B8">
        <w:rPr>
          <w:lang w:val="en-CA"/>
        </w:rPr>
        <w:t>d</w:t>
      </w:r>
      <w:r w:rsidRPr="000922B8">
        <w:rPr>
          <w:lang w:val="en-CA"/>
        </w:rPr>
        <w:t xml:space="preserve"> delays to its investigation, counsel for Roger Tremblay had his client testify that he took steps to confirm that</w:t>
      </w:r>
      <w:r w:rsidR="001D64CD">
        <w:rPr>
          <w:lang w:val="en-CA"/>
        </w:rPr>
        <w:t xml:space="preserve"> one of</w:t>
      </w:r>
      <w:r w:rsidRPr="000922B8">
        <w:rPr>
          <w:lang w:val="en-CA"/>
        </w:rPr>
        <w:t xml:space="preserve"> A.B.’s sister</w:t>
      </w:r>
      <w:r w:rsidR="001D64CD">
        <w:rPr>
          <w:lang w:val="en-CA"/>
        </w:rPr>
        <w:t>s</w:t>
      </w:r>
      <w:r w:rsidRPr="000922B8">
        <w:rPr>
          <w:lang w:val="en-CA"/>
        </w:rPr>
        <w:t xml:space="preserve">, </w:t>
      </w:r>
      <w:r w:rsidR="00177F40" w:rsidRPr="000922B8">
        <w:rPr>
          <w:lang w:val="en-CA"/>
        </w:rPr>
        <w:t>pursuant to</w:t>
      </w:r>
      <w:r w:rsidRPr="000922B8">
        <w:rPr>
          <w:lang w:val="en-CA"/>
        </w:rPr>
        <w:t xml:space="preserve"> A.B.’s will, has rights over the frozen </w:t>
      </w:r>
      <w:r w:rsidR="00512A4B" w:rsidRPr="000922B8">
        <w:rPr>
          <w:lang w:val="en-CA"/>
        </w:rPr>
        <w:t>amounts</w:t>
      </w:r>
      <w:r w:rsidRPr="000922B8">
        <w:rPr>
          <w:lang w:val="en-CA"/>
        </w:rPr>
        <w:t>, contrary to the impleaded parties, and that the laxity of the A</w:t>
      </w:r>
      <w:r w:rsidR="00512A4B" w:rsidRPr="000922B8">
        <w:rPr>
          <w:lang w:val="en-CA"/>
        </w:rPr>
        <w:t>u</w:t>
      </w:r>
      <w:r w:rsidRPr="000922B8">
        <w:rPr>
          <w:lang w:val="en-CA"/>
        </w:rPr>
        <w:t>thority’s investigation infringes the exercise of her rights.</w:t>
      </w:r>
      <w:r w:rsidR="007E64CB" w:rsidRPr="000922B8">
        <w:rPr>
          <w:lang w:val="en-CA"/>
        </w:rPr>
        <w:t xml:space="preserve"> </w:t>
      </w:r>
      <w:r w:rsidRPr="000922B8">
        <w:rPr>
          <w:lang w:val="en-CA"/>
        </w:rPr>
        <w:t xml:space="preserve">In the </w:t>
      </w:r>
      <w:r w:rsidR="00512A4B" w:rsidRPr="000922B8">
        <w:rPr>
          <w:lang w:val="en-CA"/>
        </w:rPr>
        <w:t>circumstances</w:t>
      </w:r>
      <w:r w:rsidRPr="000922B8">
        <w:rPr>
          <w:lang w:val="en-CA"/>
        </w:rPr>
        <w:t xml:space="preserve">, counsel for Roger Tremblay added that the impleaded parties </w:t>
      </w:r>
      <w:r w:rsidR="00177F40" w:rsidRPr="000922B8">
        <w:rPr>
          <w:lang w:val="en-CA"/>
        </w:rPr>
        <w:t>lack</w:t>
      </w:r>
      <w:r w:rsidRPr="000922B8">
        <w:rPr>
          <w:lang w:val="en-CA"/>
        </w:rPr>
        <w:t xml:space="preserve"> interest </w:t>
      </w:r>
      <w:r w:rsidR="00177F40" w:rsidRPr="000922B8">
        <w:rPr>
          <w:lang w:val="en-CA"/>
        </w:rPr>
        <w:t>to</w:t>
      </w:r>
      <w:r w:rsidRPr="000922B8">
        <w:rPr>
          <w:lang w:val="en-CA"/>
        </w:rPr>
        <w:t xml:space="preserve"> interven</w:t>
      </w:r>
      <w:r w:rsidR="00177F40" w:rsidRPr="000922B8">
        <w:rPr>
          <w:lang w:val="en-CA"/>
        </w:rPr>
        <w:t>e</w:t>
      </w:r>
      <w:r w:rsidRPr="000922B8">
        <w:rPr>
          <w:lang w:val="en-CA"/>
        </w:rPr>
        <w:t xml:space="preserve"> in this case.</w:t>
      </w:r>
      <w:r w:rsidR="007E64CB" w:rsidRPr="000922B8">
        <w:rPr>
          <w:lang w:val="en-CA"/>
        </w:rPr>
        <w:t xml:space="preserve"> </w:t>
      </w:r>
      <w:r w:rsidRPr="000922B8">
        <w:rPr>
          <w:lang w:val="en-CA"/>
        </w:rPr>
        <w:t>To understand this argument, it is necessary to state that upon the death of H.D.B., who had been A.B.’s spouse, the latter’s will provided that the residue of his succession should be transferred into a trust to benefit his brothers and sisters without representation.</w:t>
      </w:r>
      <w:r w:rsidR="007E64CB" w:rsidRPr="000922B8">
        <w:rPr>
          <w:lang w:val="en-CA"/>
        </w:rPr>
        <w:t xml:space="preserve"> </w:t>
      </w:r>
      <w:r w:rsidRPr="000922B8">
        <w:rPr>
          <w:lang w:val="en-CA"/>
        </w:rPr>
        <w:t xml:space="preserve">It </w:t>
      </w:r>
      <w:r w:rsidR="00177F40" w:rsidRPr="000922B8">
        <w:rPr>
          <w:lang w:val="en-CA"/>
        </w:rPr>
        <w:t>was</w:t>
      </w:r>
      <w:r w:rsidRPr="000922B8">
        <w:rPr>
          <w:lang w:val="en-CA"/>
        </w:rPr>
        <w:t xml:space="preserve"> only in the event that all his brothers and sisters predeceased him that the residue would be transferred to the impleaded parties, in the specified proportions. </w:t>
      </w:r>
    </w:p>
    <w:p w14:paraId="472238CF" w14:textId="55C3A0FB" w:rsidR="00EE1205" w:rsidRPr="000922B8" w:rsidRDefault="00CC6EE7" w:rsidP="00EE1205">
      <w:pPr>
        <w:pStyle w:val="Paragraphe"/>
        <w:rPr>
          <w:lang w:val="en-CA"/>
        </w:rPr>
      </w:pPr>
      <w:r w:rsidRPr="000922B8">
        <w:rPr>
          <w:lang w:val="en-CA"/>
        </w:rPr>
        <w:t xml:space="preserve">Furthermore, he added that according to A.B.’s will, no one currently has the interest to act other than the trustees, who </w:t>
      </w:r>
      <w:r w:rsidR="00177F40" w:rsidRPr="000922B8">
        <w:rPr>
          <w:lang w:val="en-CA"/>
        </w:rPr>
        <w:t>appear</w:t>
      </w:r>
      <w:r w:rsidRPr="000922B8">
        <w:rPr>
          <w:lang w:val="en-CA"/>
        </w:rPr>
        <w:t xml:space="preserve"> to have three years to prepare a report for the beneficiaries.</w:t>
      </w:r>
    </w:p>
    <w:p w14:paraId="29CA455D" w14:textId="0A1911D6" w:rsidR="00EE1205" w:rsidRPr="000922B8" w:rsidRDefault="00CC6EE7" w:rsidP="006442B1">
      <w:pPr>
        <w:pStyle w:val="Paragraphe"/>
        <w:rPr>
          <w:rFonts w:cs="Arial"/>
          <w:bCs/>
          <w:i/>
          <w:iCs/>
          <w:szCs w:val="24"/>
          <w:lang w:val="en-CA"/>
        </w:rPr>
      </w:pPr>
      <w:r w:rsidRPr="000922B8">
        <w:rPr>
          <w:lang w:val="en-CA"/>
        </w:rPr>
        <w:lastRenderedPageBreak/>
        <w:t xml:space="preserve">He closed by reminding the Tribunal that the freeze orders have been in effect for 26 months now and </w:t>
      </w:r>
      <w:r w:rsidR="007E0D76">
        <w:rPr>
          <w:lang w:val="en-CA"/>
        </w:rPr>
        <w:t xml:space="preserve">that </w:t>
      </w:r>
      <w:r w:rsidRPr="000922B8">
        <w:rPr>
          <w:lang w:val="en-CA"/>
        </w:rPr>
        <w:t>he deems this delay to be abusive and contrary to the proper administration of justice.</w:t>
      </w:r>
    </w:p>
    <w:p w14:paraId="7C93B6C1" w14:textId="7381CE54" w:rsidR="00892F54" w:rsidRPr="000922B8" w:rsidRDefault="00CC6EE7" w:rsidP="00781799">
      <w:pPr>
        <w:pStyle w:val="Paragraphe"/>
        <w:numPr>
          <w:ilvl w:val="0"/>
          <w:numId w:val="4"/>
        </w:numPr>
        <w:rPr>
          <w:b/>
          <w:bCs/>
          <w:lang w:val="en-CA"/>
        </w:rPr>
      </w:pPr>
      <w:r w:rsidRPr="000922B8">
        <w:rPr>
          <w:b/>
          <w:bCs/>
          <w:lang w:val="en-CA"/>
        </w:rPr>
        <w:t>The power to extend freeze orders</w:t>
      </w:r>
      <w:r w:rsidR="00844F93" w:rsidRPr="000922B8">
        <w:rPr>
          <w:b/>
          <w:bCs/>
          <w:lang w:val="en-CA"/>
        </w:rPr>
        <w:t xml:space="preserve"> </w:t>
      </w:r>
      <w:r w:rsidR="00844F93" w:rsidRPr="000922B8">
        <w:rPr>
          <w:b/>
          <w:bCs/>
          <w:lang w:val="en-CA"/>
        </w:rPr>
        <w:tab/>
      </w:r>
    </w:p>
    <w:p w14:paraId="05813075" w14:textId="006DB478" w:rsidR="00C65B84" w:rsidRPr="000922B8" w:rsidRDefault="008D3E56" w:rsidP="00C65B84">
      <w:pPr>
        <w:pStyle w:val="Paragraphe"/>
        <w:rPr>
          <w:rFonts w:cs="Arial"/>
          <w:i/>
          <w:iCs/>
          <w:lang w:val="en-CA"/>
        </w:rPr>
      </w:pPr>
      <w:r w:rsidRPr="000922B8">
        <w:rPr>
          <w:rFonts w:cs="Arial"/>
          <w:lang w:val="en-CA"/>
        </w:rPr>
        <w:t xml:space="preserve">The Tribunal recalls that the Authority may conduct an investigation if it has reasonable grounds to believe that there has been a </w:t>
      </w:r>
      <w:r w:rsidR="00447F86">
        <w:rPr>
          <w:rFonts w:cs="Arial"/>
          <w:lang w:val="en-CA"/>
        </w:rPr>
        <w:t>breach</w:t>
      </w:r>
      <w:r w:rsidRPr="000922B8">
        <w:rPr>
          <w:rFonts w:cs="Arial"/>
          <w:lang w:val="en-CA"/>
        </w:rPr>
        <w:t xml:space="preserve"> of the statutes </w:t>
      </w:r>
      <w:r w:rsidR="00735C61" w:rsidRPr="000922B8">
        <w:rPr>
          <w:rFonts w:cs="Arial"/>
          <w:lang w:val="en-CA"/>
        </w:rPr>
        <w:t>under its</w:t>
      </w:r>
      <w:r w:rsidRPr="000922B8">
        <w:rPr>
          <w:rFonts w:cs="Arial"/>
          <w:lang w:val="en-CA"/>
        </w:rPr>
        <w:t xml:space="preserve"> administ</w:t>
      </w:r>
      <w:r w:rsidR="00735C61" w:rsidRPr="000922B8">
        <w:rPr>
          <w:rFonts w:cs="Arial"/>
          <w:lang w:val="en-CA"/>
        </w:rPr>
        <w:t>ration</w:t>
      </w:r>
      <w:r w:rsidRPr="000922B8">
        <w:rPr>
          <w:rFonts w:cs="Arial"/>
          <w:lang w:val="en-CA"/>
        </w:rPr>
        <w:t>.</w:t>
      </w:r>
      <w:r w:rsidRPr="00447F86">
        <w:rPr>
          <w:rStyle w:val="Appelnotedebasdep"/>
          <w:rFonts w:cs="Arial"/>
          <w:lang w:val="en-CA"/>
        </w:rPr>
        <w:footnoteReference w:id="27"/>
      </w:r>
    </w:p>
    <w:p w14:paraId="72C36564" w14:textId="0B101DA2" w:rsidR="00C65B84" w:rsidRPr="000922B8" w:rsidRDefault="008D3E56" w:rsidP="00C65B84">
      <w:pPr>
        <w:pStyle w:val="Paragraphe"/>
        <w:rPr>
          <w:rFonts w:cs="Arial"/>
          <w:i/>
          <w:iCs/>
          <w:szCs w:val="24"/>
          <w:lang w:val="en-CA"/>
        </w:rPr>
      </w:pPr>
      <w:r w:rsidRPr="000922B8">
        <w:rPr>
          <w:rFonts w:cs="Arial"/>
          <w:szCs w:val="24"/>
          <w:lang w:val="en-CA"/>
        </w:rPr>
        <w:t xml:space="preserve">The investigator is vested with the powers of commissioners appointed under the </w:t>
      </w:r>
      <w:r w:rsidRPr="000922B8">
        <w:rPr>
          <w:rFonts w:cs="Arial"/>
          <w:i/>
          <w:iCs/>
          <w:szCs w:val="24"/>
          <w:lang w:val="en-CA"/>
        </w:rPr>
        <w:t>Act respecting public inquiry commissions</w:t>
      </w:r>
      <w:r w:rsidRPr="000922B8">
        <w:rPr>
          <w:rFonts w:cs="Arial"/>
          <w:szCs w:val="24"/>
          <w:lang w:val="en-CA"/>
        </w:rPr>
        <w:t>.</w:t>
      </w:r>
      <w:r w:rsidRPr="00447F86">
        <w:rPr>
          <w:rStyle w:val="Appelnotedebasdep"/>
          <w:rFonts w:cs="Arial"/>
          <w:lang w:val="en-CA"/>
        </w:rPr>
        <w:footnoteReference w:id="28"/>
      </w:r>
      <w:r w:rsidR="007E64CB" w:rsidRPr="000922B8">
        <w:rPr>
          <w:rFonts w:cs="Arial"/>
          <w:szCs w:val="24"/>
          <w:lang w:val="en-CA"/>
        </w:rPr>
        <w:t xml:space="preserve"> </w:t>
      </w:r>
      <w:r w:rsidRPr="000922B8">
        <w:rPr>
          <w:rFonts w:cs="Arial"/>
          <w:szCs w:val="24"/>
          <w:lang w:val="en-CA"/>
        </w:rPr>
        <w:t xml:space="preserve">This </w:t>
      </w:r>
      <w:r w:rsidR="0097124B">
        <w:rPr>
          <w:rFonts w:cs="Arial"/>
          <w:i/>
          <w:iCs/>
          <w:szCs w:val="24"/>
          <w:lang w:val="en-CA"/>
        </w:rPr>
        <w:t xml:space="preserve">Act </w:t>
      </w:r>
      <w:r w:rsidRPr="000922B8">
        <w:rPr>
          <w:rFonts w:cs="Arial"/>
          <w:szCs w:val="24"/>
          <w:lang w:val="en-CA"/>
        </w:rPr>
        <w:t>provides that “commissioners may, by all such lawful means as they may think best fitted to discover the truth, inquire into the matters referred to them for investigation”.</w:t>
      </w:r>
      <w:r w:rsidR="007E64CB" w:rsidRPr="00447F86">
        <w:rPr>
          <w:rStyle w:val="Appelnotedebasdep"/>
          <w:rFonts w:cs="Arial"/>
          <w:color w:val="212529"/>
          <w:szCs w:val="24"/>
          <w:shd w:val="clear" w:color="auto" w:fill="FFFFFF"/>
          <w:lang w:val="en-CA"/>
        </w:rPr>
        <w:footnoteReference w:id="29"/>
      </w:r>
      <w:r w:rsidR="007E64CB" w:rsidRPr="000922B8">
        <w:rPr>
          <w:rFonts w:cs="Arial"/>
          <w:color w:val="212529"/>
          <w:szCs w:val="24"/>
          <w:shd w:val="clear" w:color="auto" w:fill="FFFFFF"/>
          <w:lang w:val="en-CA"/>
        </w:rPr>
        <w:t xml:space="preserve"> </w:t>
      </w:r>
    </w:p>
    <w:p w14:paraId="4D159BD9" w14:textId="08E8582A" w:rsidR="00C65B84" w:rsidRPr="000922B8" w:rsidRDefault="008D3E56" w:rsidP="00C65B84">
      <w:pPr>
        <w:pStyle w:val="Paragraphe"/>
        <w:rPr>
          <w:rFonts w:cs="Arial"/>
          <w:i/>
          <w:iCs/>
          <w:szCs w:val="24"/>
          <w:lang w:val="en-CA"/>
        </w:rPr>
      </w:pPr>
      <w:r w:rsidRPr="000922B8">
        <w:rPr>
          <w:rFonts w:cs="Arial"/>
          <w:color w:val="212529"/>
          <w:szCs w:val="24"/>
          <w:shd w:val="clear" w:color="auto" w:fill="FFFFFF"/>
          <w:lang w:val="en-CA"/>
        </w:rPr>
        <w:t xml:space="preserve">These means include the power of investigators to summon individuals to testify, to </w:t>
      </w:r>
      <w:r w:rsidR="00735C61" w:rsidRPr="000922B8">
        <w:rPr>
          <w:rFonts w:cs="Arial"/>
          <w:color w:val="212529"/>
          <w:szCs w:val="24"/>
          <w:shd w:val="clear" w:color="auto" w:fill="FFFFFF"/>
          <w:lang w:val="en-CA"/>
        </w:rPr>
        <w:t>compel</w:t>
      </w:r>
      <w:r w:rsidRPr="000922B8">
        <w:rPr>
          <w:rFonts w:cs="Arial"/>
          <w:color w:val="212529"/>
          <w:szCs w:val="24"/>
          <w:shd w:val="clear" w:color="auto" w:fill="FFFFFF"/>
          <w:lang w:val="en-CA"/>
        </w:rPr>
        <w:t xml:space="preserve"> them to file before them such books, papers, deeds, and writings as appear necessary for arriving at the truth</w:t>
      </w:r>
      <w:r w:rsidR="00735C61" w:rsidRPr="000922B8">
        <w:rPr>
          <w:rFonts w:cs="Arial"/>
          <w:color w:val="212529"/>
          <w:szCs w:val="24"/>
          <w:shd w:val="clear" w:color="auto" w:fill="FFFFFF"/>
          <w:lang w:val="en-CA"/>
        </w:rPr>
        <w:t>.</w:t>
      </w:r>
      <w:r w:rsidRPr="008D2CF1">
        <w:rPr>
          <w:rStyle w:val="Appelnotedebasdep"/>
          <w:rFonts w:cs="Arial"/>
          <w:color w:val="212529"/>
          <w:szCs w:val="24"/>
          <w:shd w:val="clear" w:color="auto" w:fill="FFFFFF"/>
          <w:lang w:val="en-CA"/>
        </w:rPr>
        <w:footnoteReference w:id="30"/>
      </w:r>
      <w:r w:rsidR="007E64CB" w:rsidRPr="000922B8">
        <w:rPr>
          <w:rFonts w:cs="Arial"/>
          <w:color w:val="212529"/>
          <w:szCs w:val="24"/>
          <w:shd w:val="clear" w:color="auto" w:fill="FFFFFF"/>
          <w:lang w:val="en-CA"/>
        </w:rPr>
        <w:t xml:space="preserve"> </w:t>
      </w:r>
    </w:p>
    <w:p w14:paraId="5108AAAC" w14:textId="34779E73" w:rsidR="00C65B84" w:rsidRPr="000922B8" w:rsidRDefault="008D3E56" w:rsidP="00C65B84">
      <w:pPr>
        <w:pStyle w:val="Paragraphe"/>
        <w:rPr>
          <w:rFonts w:cs="Arial"/>
          <w:i/>
          <w:iCs/>
          <w:szCs w:val="24"/>
          <w:lang w:val="en-CA"/>
        </w:rPr>
      </w:pPr>
      <w:r w:rsidRPr="000922B8">
        <w:rPr>
          <w:rFonts w:cs="Arial"/>
          <w:color w:val="212529"/>
          <w:szCs w:val="24"/>
          <w:shd w:val="clear" w:color="auto" w:fill="FFFFFF"/>
          <w:lang w:val="en-CA"/>
        </w:rPr>
        <w:t>The goal of this step is to gather and analyze evidence in anticipation of preparing an investigation report.</w:t>
      </w:r>
      <w:r w:rsidR="007E64CB" w:rsidRPr="000922B8">
        <w:rPr>
          <w:rFonts w:cs="Arial"/>
          <w:color w:val="212529"/>
          <w:szCs w:val="24"/>
          <w:shd w:val="clear" w:color="auto" w:fill="FFFFFF"/>
          <w:lang w:val="en-CA"/>
        </w:rPr>
        <w:t xml:space="preserve"> </w:t>
      </w:r>
      <w:r w:rsidRPr="000922B8">
        <w:rPr>
          <w:rFonts w:cs="Arial"/>
          <w:szCs w:val="24"/>
          <w:shd w:val="clear" w:color="auto" w:fill="FFFFFF"/>
          <w:lang w:val="en-CA"/>
        </w:rPr>
        <w:t xml:space="preserve">The Tribunal has referred to this stage </w:t>
      </w:r>
      <w:r w:rsidR="0097124B" w:rsidRPr="000922B8">
        <w:rPr>
          <w:rFonts w:cs="Arial"/>
          <w:szCs w:val="24"/>
          <w:shd w:val="clear" w:color="auto" w:fill="FFFFFF"/>
          <w:lang w:val="en-CA"/>
        </w:rPr>
        <w:t xml:space="preserve">in several decisions </w:t>
      </w:r>
      <w:r w:rsidRPr="000922B8">
        <w:rPr>
          <w:rFonts w:cs="Arial"/>
          <w:szCs w:val="24"/>
          <w:shd w:val="clear" w:color="auto" w:fill="FFFFFF"/>
          <w:lang w:val="en-CA"/>
        </w:rPr>
        <w:t xml:space="preserve">as the investigation in </w:t>
      </w:r>
      <w:r w:rsidR="0097124B">
        <w:rPr>
          <w:rFonts w:cs="Arial"/>
          <w:szCs w:val="24"/>
          <w:shd w:val="clear" w:color="auto" w:fill="FFFFFF"/>
          <w:lang w:val="en-CA"/>
        </w:rPr>
        <w:t>its</w:t>
      </w:r>
      <w:r w:rsidRPr="000922B8">
        <w:rPr>
          <w:rFonts w:cs="Arial"/>
          <w:szCs w:val="24"/>
          <w:shd w:val="clear" w:color="auto" w:fill="FFFFFF"/>
          <w:lang w:val="en-CA"/>
        </w:rPr>
        <w:t xml:space="preserve"> </w:t>
      </w:r>
      <w:r w:rsidR="00735C61" w:rsidRPr="000922B8">
        <w:rPr>
          <w:rFonts w:cs="Arial"/>
          <w:szCs w:val="24"/>
          <w:shd w:val="clear" w:color="auto" w:fill="FFFFFF"/>
          <w:lang w:val="en-CA"/>
        </w:rPr>
        <w:t>[</w:t>
      </w:r>
      <w:r w:rsidR="00735C61" w:rsidRPr="000922B8">
        <w:rPr>
          <w:rFonts w:cs="Arial"/>
          <w:smallCaps/>
          <w:szCs w:val="24"/>
          <w:shd w:val="clear" w:color="auto" w:fill="FFFFFF"/>
          <w:lang w:val="en-CA"/>
        </w:rPr>
        <w:t>translation</w:t>
      </w:r>
      <w:r w:rsidR="00735C61" w:rsidRPr="000922B8">
        <w:rPr>
          <w:rFonts w:cs="Arial"/>
          <w:szCs w:val="24"/>
          <w:shd w:val="clear" w:color="auto" w:fill="FFFFFF"/>
          <w:lang w:val="en-CA"/>
        </w:rPr>
        <w:t xml:space="preserve">] </w:t>
      </w:r>
      <w:r w:rsidRPr="000922B8">
        <w:rPr>
          <w:rFonts w:cs="Arial"/>
          <w:szCs w:val="24"/>
          <w:shd w:val="clear" w:color="auto" w:fill="FFFFFF"/>
          <w:lang w:val="en-CA"/>
        </w:rPr>
        <w:t>“strict sense”.</w:t>
      </w:r>
    </w:p>
    <w:p w14:paraId="43B06FF5" w14:textId="5FF74B72" w:rsidR="00593C7E" w:rsidRPr="000922B8" w:rsidRDefault="008D3E56" w:rsidP="00C65B84">
      <w:pPr>
        <w:pStyle w:val="Paragraphe"/>
        <w:rPr>
          <w:rFonts w:cs="Arial"/>
          <w:i/>
          <w:iCs/>
          <w:szCs w:val="24"/>
          <w:lang w:val="en-CA"/>
        </w:rPr>
      </w:pPr>
      <w:r w:rsidRPr="000922B8">
        <w:rPr>
          <w:rFonts w:cs="Arial"/>
          <w:color w:val="212529"/>
          <w:szCs w:val="24"/>
          <w:shd w:val="clear" w:color="auto" w:fill="FFFFFF"/>
          <w:lang w:val="en-CA"/>
        </w:rPr>
        <w:t xml:space="preserve">It is usually at the investigation stage, in its </w:t>
      </w:r>
      <w:r w:rsidR="00735C61" w:rsidRPr="000922B8">
        <w:rPr>
          <w:rFonts w:cs="Arial"/>
          <w:szCs w:val="24"/>
          <w:shd w:val="clear" w:color="auto" w:fill="FFFFFF"/>
          <w:lang w:val="en-CA"/>
        </w:rPr>
        <w:t>[</w:t>
      </w:r>
      <w:r w:rsidR="00735C61" w:rsidRPr="000922B8">
        <w:rPr>
          <w:rFonts w:cs="Arial"/>
          <w:smallCaps/>
          <w:szCs w:val="24"/>
          <w:shd w:val="clear" w:color="auto" w:fill="FFFFFF"/>
          <w:lang w:val="en-CA"/>
        </w:rPr>
        <w:t>translation</w:t>
      </w:r>
      <w:r w:rsidR="00735C61" w:rsidRPr="000922B8">
        <w:rPr>
          <w:rFonts w:cs="Arial"/>
          <w:szCs w:val="24"/>
          <w:shd w:val="clear" w:color="auto" w:fill="FFFFFF"/>
          <w:lang w:val="en-CA"/>
        </w:rPr>
        <w:t xml:space="preserve">] </w:t>
      </w:r>
      <w:r w:rsidRPr="000922B8">
        <w:rPr>
          <w:rFonts w:cs="Arial"/>
          <w:color w:val="212529"/>
          <w:szCs w:val="24"/>
          <w:shd w:val="clear" w:color="auto" w:fill="FFFFFF"/>
          <w:lang w:val="en-CA"/>
        </w:rPr>
        <w:t>“strict sense”, that the Authority will seek conservatory measures, that is, freeze orders, from the Tribunal.</w:t>
      </w:r>
    </w:p>
    <w:p w14:paraId="77DF512F" w14:textId="100E9F96" w:rsidR="00593C7E" w:rsidRPr="000922B8" w:rsidRDefault="008D3E56" w:rsidP="00593C7E">
      <w:pPr>
        <w:pStyle w:val="Paragraphe"/>
        <w:rPr>
          <w:rFonts w:cs="Arial"/>
          <w:bCs/>
          <w:i/>
          <w:iCs/>
          <w:szCs w:val="24"/>
          <w:lang w:val="en-CA"/>
        </w:rPr>
      </w:pPr>
      <w:r w:rsidRPr="000922B8">
        <w:rPr>
          <w:rFonts w:cs="Arial"/>
          <w:lang w:val="en-CA"/>
        </w:rPr>
        <w:t xml:space="preserve">Indeed, the </w:t>
      </w:r>
      <w:r w:rsidRPr="000922B8">
        <w:rPr>
          <w:rFonts w:cs="Arial"/>
          <w:i/>
          <w:lang w:val="en-CA"/>
        </w:rPr>
        <w:t>Securities Act</w:t>
      </w:r>
      <w:r w:rsidRPr="008D2CF1">
        <w:rPr>
          <w:rStyle w:val="Appelnotedebasdep"/>
          <w:rFonts w:cs="Arial"/>
          <w:lang w:val="en-CA"/>
        </w:rPr>
        <w:footnoteReference w:id="31"/>
      </w:r>
      <w:r w:rsidRPr="000922B8">
        <w:rPr>
          <w:rFonts w:cs="Arial"/>
          <w:lang w:val="en-CA"/>
        </w:rPr>
        <w:t xml:space="preserve"> and the </w:t>
      </w:r>
      <w:r w:rsidRPr="000922B8">
        <w:rPr>
          <w:rFonts w:cs="Arial"/>
          <w:i/>
          <w:lang w:val="en-CA"/>
        </w:rPr>
        <w:t>Act respecting the distribution of financial products and services</w:t>
      </w:r>
      <w:r w:rsidRPr="008D2CF1">
        <w:rPr>
          <w:rStyle w:val="Appelnotedebasdep"/>
          <w:rFonts w:cs="Arial"/>
          <w:lang w:val="en-CA"/>
        </w:rPr>
        <w:footnoteReference w:id="32"/>
      </w:r>
      <w:r w:rsidRPr="000922B8">
        <w:rPr>
          <w:rFonts w:cs="Arial"/>
          <w:lang w:val="en-CA"/>
        </w:rPr>
        <w:t xml:space="preserve"> provide that the Authority may, in particular, “for the purpose</w:t>
      </w:r>
      <w:r w:rsidR="00B439BC">
        <w:rPr>
          <w:rFonts w:cs="Arial"/>
          <w:lang w:val="en-CA"/>
        </w:rPr>
        <w:t>s</w:t>
      </w:r>
      <w:r w:rsidRPr="000922B8">
        <w:rPr>
          <w:rFonts w:cs="Arial"/>
          <w:lang w:val="en-CA"/>
        </w:rPr>
        <w:t xml:space="preserve"> of or in the course of an investigation”, request that the </w:t>
      </w:r>
      <w:r w:rsidR="00735C61" w:rsidRPr="000922B8">
        <w:rPr>
          <w:rFonts w:cs="Arial"/>
          <w:lang w:val="en-CA"/>
        </w:rPr>
        <w:t>Tribunal</w:t>
      </w:r>
      <w:r w:rsidRPr="000922B8">
        <w:rPr>
          <w:rFonts w:cs="Arial"/>
          <w:lang w:val="en-CA"/>
        </w:rPr>
        <w:t xml:space="preserve"> order the person who is or about to be under investigation not to dispose of the funds, securities or other assets in his or her possession or not to withdraw funds, securities, or other assets from any other person having them on deposit, under control or in safekeeping.</w:t>
      </w:r>
      <w:r w:rsidR="007E64CB" w:rsidRPr="000922B8">
        <w:rPr>
          <w:rFonts w:cs="Arial"/>
          <w:lang w:val="en-CA"/>
        </w:rPr>
        <w:t xml:space="preserve"> </w:t>
      </w:r>
    </w:p>
    <w:p w14:paraId="54887654" w14:textId="6216E19A" w:rsidR="00C65B84" w:rsidRPr="000922B8" w:rsidRDefault="008D3E56" w:rsidP="00C65B84">
      <w:pPr>
        <w:pStyle w:val="Paragraphe"/>
        <w:rPr>
          <w:rFonts w:cs="Arial"/>
          <w:i/>
          <w:iCs/>
          <w:szCs w:val="24"/>
          <w:lang w:val="en-CA"/>
        </w:rPr>
      </w:pPr>
      <w:r w:rsidRPr="000922B8">
        <w:rPr>
          <w:lang w:val="en-CA"/>
        </w:rPr>
        <w:t xml:space="preserve">However, the Tribunal has </w:t>
      </w:r>
      <w:r w:rsidR="007F591F">
        <w:rPr>
          <w:lang w:val="en-CA"/>
        </w:rPr>
        <w:t>repeatedly</w:t>
      </w:r>
      <w:r w:rsidRPr="000922B8">
        <w:rPr>
          <w:lang w:val="en-CA"/>
        </w:rPr>
        <w:t xml:space="preserve"> confirmed that freeze orders remain in effect not only during the Authority’s investigation in the </w:t>
      </w:r>
      <w:r w:rsidR="00735C61" w:rsidRPr="000922B8">
        <w:rPr>
          <w:rFonts w:cs="Arial"/>
          <w:szCs w:val="24"/>
          <w:shd w:val="clear" w:color="auto" w:fill="FFFFFF"/>
          <w:lang w:val="en-CA"/>
        </w:rPr>
        <w:t>[</w:t>
      </w:r>
      <w:r w:rsidR="00735C61" w:rsidRPr="000922B8">
        <w:rPr>
          <w:rFonts w:cs="Arial"/>
          <w:smallCaps/>
          <w:szCs w:val="24"/>
          <w:shd w:val="clear" w:color="auto" w:fill="FFFFFF"/>
          <w:lang w:val="en-CA"/>
        </w:rPr>
        <w:t>translation</w:t>
      </w:r>
      <w:r w:rsidR="00735C61" w:rsidRPr="000922B8">
        <w:rPr>
          <w:rFonts w:cs="Arial"/>
          <w:szCs w:val="24"/>
          <w:shd w:val="clear" w:color="auto" w:fill="FFFFFF"/>
          <w:lang w:val="en-CA"/>
        </w:rPr>
        <w:t xml:space="preserve">] </w:t>
      </w:r>
      <w:r w:rsidRPr="000922B8">
        <w:rPr>
          <w:lang w:val="en-CA"/>
        </w:rPr>
        <w:t xml:space="preserve">“strict sense”, but also during </w:t>
      </w:r>
      <w:r w:rsidR="00735C61" w:rsidRPr="000922B8">
        <w:rPr>
          <w:lang w:val="en-CA"/>
        </w:rPr>
        <w:t>the</w:t>
      </w:r>
      <w:r w:rsidRPr="000922B8">
        <w:rPr>
          <w:lang w:val="en-CA"/>
        </w:rPr>
        <w:t xml:space="preserve"> Authority’s investigation in the </w:t>
      </w:r>
      <w:r w:rsidR="00735C61" w:rsidRPr="000922B8">
        <w:rPr>
          <w:rFonts w:cs="Arial"/>
          <w:szCs w:val="24"/>
          <w:shd w:val="clear" w:color="auto" w:fill="FFFFFF"/>
          <w:lang w:val="en-CA"/>
        </w:rPr>
        <w:t>[</w:t>
      </w:r>
      <w:r w:rsidR="00735C61" w:rsidRPr="000922B8">
        <w:rPr>
          <w:rFonts w:cs="Arial"/>
          <w:smallCaps/>
          <w:szCs w:val="24"/>
          <w:shd w:val="clear" w:color="auto" w:fill="FFFFFF"/>
          <w:lang w:val="en-CA"/>
        </w:rPr>
        <w:t>translation</w:t>
      </w:r>
      <w:r w:rsidR="00735C61" w:rsidRPr="000922B8">
        <w:rPr>
          <w:rFonts w:cs="Arial"/>
          <w:szCs w:val="24"/>
          <w:shd w:val="clear" w:color="auto" w:fill="FFFFFF"/>
          <w:lang w:val="en-CA"/>
        </w:rPr>
        <w:t xml:space="preserve">] </w:t>
      </w:r>
      <w:r w:rsidRPr="000922B8">
        <w:rPr>
          <w:lang w:val="en-CA"/>
        </w:rPr>
        <w:t>“broad sense”.</w:t>
      </w:r>
      <w:r w:rsidR="007E64CB" w:rsidRPr="000922B8">
        <w:rPr>
          <w:lang w:val="en-CA"/>
        </w:rPr>
        <w:t xml:space="preserve"> </w:t>
      </w:r>
    </w:p>
    <w:p w14:paraId="1230594C" w14:textId="6526A141" w:rsidR="00C65B84" w:rsidRPr="000922B8" w:rsidRDefault="008D3E56" w:rsidP="00C65B84">
      <w:pPr>
        <w:pStyle w:val="Paragraphe"/>
        <w:rPr>
          <w:rFonts w:cs="Arial"/>
          <w:i/>
          <w:iCs/>
          <w:lang w:val="en-CA"/>
        </w:rPr>
      </w:pPr>
      <w:r w:rsidRPr="000922B8">
        <w:rPr>
          <w:lang w:val="en-CA"/>
        </w:rPr>
        <w:t xml:space="preserve">In </w:t>
      </w:r>
      <w:proofErr w:type="spellStart"/>
      <w:r w:rsidRPr="000922B8">
        <w:rPr>
          <w:i/>
          <w:lang w:val="en-CA"/>
        </w:rPr>
        <w:t>Autorité</w:t>
      </w:r>
      <w:proofErr w:type="spellEnd"/>
      <w:r w:rsidRPr="000922B8">
        <w:rPr>
          <w:i/>
          <w:lang w:val="en-CA"/>
        </w:rPr>
        <w:t xml:space="preserve"> des </w:t>
      </w:r>
      <w:proofErr w:type="spellStart"/>
      <w:r w:rsidRPr="000922B8">
        <w:rPr>
          <w:i/>
          <w:lang w:val="en-CA"/>
        </w:rPr>
        <w:t>marchés</w:t>
      </w:r>
      <w:proofErr w:type="spellEnd"/>
      <w:r w:rsidRPr="000922B8">
        <w:rPr>
          <w:i/>
          <w:lang w:val="en-CA"/>
        </w:rPr>
        <w:t xml:space="preserve"> financiers</w:t>
      </w:r>
      <w:r w:rsidRPr="000922B8">
        <w:rPr>
          <w:lang w:val="en-CA"/>
        </w:rPr>
        <w:t xml:space="preserve"> </w:t>
      </w:r>
      <w:r w:rsidRPr="000922B8">
        <w:rPr>
          <w:i/>
          <w:iCs/>
          <w:lang w:val="en-CA"/>
        </w:rPr>
        <w:t>c.</w:t>
      </w:r>
      <w:r w:rsidRPr="000922B8">
        <w:rPr>
          <w:lang w:val="en-CA"/>
        </w:rPr>
        <w:t xml:space="preserve"> </w:t>
      </w:r>
      <w:proofErr w:type="spellStart"/>
      <w:r w:rsidRPr="000922B8">
        <w:rPr>
          <w:i/>
          <w:lang w:val="en-CA"/>
        </w:rPr>
        <w:t>Plexcorps</w:t>
      </w:r>
      <w:proofErr w:type="spellEnd"/>
      <w:r w:rsidRPr="000922B8">
        <w:rPr>
          <w:lang w:val="en-CA"/>
        </w:rPr>
        <w:t>,</w:t>
      </w:r>
      <w:r w:rsidRPr="008D2CF1">
        <w:rPr>
          <w:rStyle w:val="Appelnotedebasdep"/>
          <w:lang w:val="en-CA"/>
        </w:rPr>
        <w:footnoteReference w:id="33"/>
      </w:r>
      <w:r w:rsidRPr="000922B8">
        <w:rPr>
          <w:lang w:val="en-CA"/>
        </w:rPr>
        <w:t xml:space="preserve"> the Tribunal specified t</w:t>
      </w:r>
      <w:r w:rsidR="00735C61" w:rsidRPr="000922B8">
        <w:rPr>
          <w:lang w:val="en-CA"/>
        </w:rPr>
        <w:t>h</w:t>
      </w:r>
      <w:r w:rsidRPr="000922B8">
        <w:rPr>
          <w:lang w:val="en-CA"/>
        </w:rPr>
        <w:t xml:space="preserve">at the investigation in its </w:t>
      </w:r>
      <w:r w:rsidR="00735C61" w:rsidRPr="000922B8">
        <w:rPr>
          <w:rFonts w:cs="Arial"/>
          <w:szCs w:val="24"/>
          <w:shd w:val="clear" w:color="auto" w:fill="FFFFFF"/>
          <w:lang w:val="en-CA"/>
        </w:rPr>
        <w:t>[</w:t>
      </w:r>
      <w:r w:rsidR="00735C61" w:rsidRPr="000922B8">
        <w:rPr>
          <w:rFonts w:cs="Arial"/>
          <w:smallCaps/>
          <w:szCs w:val="24"/>
          <w:shd w:val="clear" w:color="auto" w:fill="FFFFFF"/>
          <w:lang w:val="en-CA"/>
        </w:rPr>
        <w:t>translation</w:t>
      </w:r>
      <w:r w:rsidR="00735C61" w:rsidRPr="000922B8">
        <w:rPr>
          <w:rFonts w:cs="Arial"/>
          <w:szCs w:val="24"/>
          <w:shd w:val="clear" w:color="auto" w:fill="FFFFFF"/>
          <w:lang w:val="en-CA"/>
        </w:rPr>
        <w:t xml:space="preserve">] </w:t>
      </w:r>
      <w:r w:rsidRPr="000922B8">
        <w:rPr>
          <w:lang w:val="en-CA"/>
        </w:rPr>
        <w:t xml:space="preserve">“broad sense” </w:t>
      </w:r>
      <w:r w:rsidR="00615711" w:rsidRPr="000922B8">
        <w:rPr>
          <w:rFonts w:cs="Arial"/>
          <w:szCs w:val="24"/>
          <w:shd w:val="clear" w:color="auto" w:fill="FFFFFF"/>
          <w:lang w:val="en-CA"/>
        </w:rPr>
        <w:t>[</w:t>
      </w:r>
      <w:r w:rsidR="00615711" w:rsidRPr="000922B8">
        <w:rPr>
          <w:rFonts w:cs="Arial"/>
          <w:smallCaps/>
          <w:szCs w:val="24"/>
          <w:shd w:val="clear" w:color="auto" w:fill="FFFFFF"/>
          <w:lang w:val="en-CA"/>
        </w:rPr>
        <w:t>translation</w:t>
      </w:r>
      <w:r w:rsidR="00615711" w:rsidRPr="000922B8">
        <w:rPr>
          <w:rFonts w:cs="Arial"/>
          <w:szCs w:val="24"/>
          <w:shd w:val="clear" w:color="auto" w:fill="FFFFFF"/>
          <w:lang w:val="en-CA"/>
        </w:rPr>
        <w:t>]</w:t>
      </w:r>
      <w:r w:rsidR="00615711">
        <w:rPr>
          <w:rFonts w:cs="Arial"/>
          <w:szCs w:val="24"/>
          <w:shd w:val="clear" w:color="auto" w:fill="FFFFFF"/>
          <w:lang w:val="en-CA"/>
        </w:rPr>
        <w:t xml:space="preserve"> “</w:t>
      </w:r>
      <w:r w:rsidRPr="000922B8">
        <w:rPr>
          <w:lang w:val="en-CA"/>
        </w:rPr>
        <w:t xml:space="preserve">extends to measures provided under the law to repress contraventions and impose the appropriate sanctions </w:t>
      </w:r>
      <w:r w:rsidR="00735C61" w:rsidRPr="000922B8">
        <w:rPr>
          <w:lang w:val="en-CA"/>
        </w:rPr>
        <w:lastRenderedPageBreak/>
        <w:t>and</w:t>
      </w:r>
      <w:r w:rsidRPr="000922B8">
        <w:rPr>
          <w:lang w:val="en-CA"/>
        </w:rPr>
        <w:t xml:space="preserve"> to proceedings </w:t>
      </w:r>
      <w:r w:rsidR="00735C61" w:rsidRPr="000922B8">
        <w:rPr>
          <w:lang w:val="en-CA"/>
        </w:rPr>
        <w:t>available</w:t>
      </w:r>
      <w:r w:rsidRPr="000922B8">
        <w:rPr>
          <w:lang w:val="en-CA"/>
        </w:rPr>
        <w:t xml:space="preserve"> to recover </w:t>
      </w:r>
      <w:r w:rsidR="0049316F" w:rsidRPr="000922B8">
        <w:rPr>
          <w:lang w:val="en-CA"/>
        </w:rPr>
        <w:t xml:space="preserve">amounts of money </w:t>
      </w:r>
      <w:r w:rsidRPr="000922B8">
        <w:rPr>
          <w:lang w:val="en-CA"/>
        </w:rPr>
        <w:t xml:space="preserve">acquired </w:t>
      </w:r>
      <w:r w:rsidR="0049316F" w:rsidRPr="000922B8">
        <w:rPr>
          <w:lang w:val="en-CA"/>
        </w:rPr>
        <w:t xml:space="preserve">illegally </w:t>
      </w:r>
      <w:r w:rsidRPr="000922B8">
        <w:rPr>
          <w:lang w:val="en-CA"/>
        </w:rPr>
        <w:t xml:space="preserve">and </w:t>
      </w:r>
      <w:r w:rsidR="00735C61" w:rsidRPr="000922B8">
        <w:rPr>
          <w:lang w:val="en-CA"/>
        </w:rPr>
        <w:t>re</w:t>
      </w:r>
      <w:r w:rsidRPr="000922B8">
        <w:rPr>
          <w:lang w:val="en-CA"/>
        </w:rPr>
        <w:t xml:space="preserve">distribute them to wronged investors following breaches of the </w:t>
      </w:r>
      <w:r w:rsidRPr="000922B8">
        <w:rPr>
          <w:i/>
          <w:lang w:val="en-CA"/>
        </w:rPr>
        <w:t>Securities Act</w:t>
      </w:r>
      <w:r w:rsidRPr="000922B8">
        <w:rPr>
          <w:lang w:val="en-CA"/>
        </w:rPr>
        <w:t>.</w:t>
      </w:r>
    </w:p>
    <w:p w14:paraId="63DE77D9" w14:textId="44401F93" w:rsidR="00C65B84" w:rsidRPr="000922B8" w:rsidRDefault="00656BBF" w:rsidP="00C65B84">
      <w:pPr>
        <w:pStyle w:val="Paragraphe"/>
        <w:rPr>
          <w:rFonts w:cs="Arial"/>
          <w:i/>
          <w:iCs/>
          <w:szCs w:val="24"/>
          <w:lang w:val="en-CA"/>
        </w:rPr>
      </w:pPr>
      <w:r w:rsidRPr="000922B8">
        <w:rPr>
          <w:lang w:val="en-CA"/>
        </w:rPr>
        <w:t xml:space="preserve">The investigation in its </w:t>
      </w:r>
      <w:r w:rsidR="00735C61" w:rsidRPr="000922B8">
        <w:rPr>
          <w:rFonts w:cs="Arial"/>
          <w:szCs w:val="24"/>
          <w:shd w:val="clear" w:color="auto" w:fill="FFFFFF"/>
          <w:lang w:val="en-CA"/>
        </w:rPr>
        <w:t>[</w:t>
      </w:r>
      <w:r w:rsidR="00735C61" w:rsidRPr="000922B8">
        <w:rPr>
          <w:rFonts w:cs="Arial"/>
          <w:smallCaps/>
          <w:szCs w:val="24"/>
          <w:shd w:val="clear" w:color="auto" w:fill="FFFFFF"/>
          <w:lang w:val="en-CA"/>
        </w:rPr>
        <w:t>translation</w:t>
      </w:r>
      <w:r w:rsidR="00735C61" w:rsidRPr="000922B8">
        <w:rPr>
          <w:rFonts w:cs="Arial"/>
          <w:szCs w:val="24"/>
          <w:shd w:val="clear" w:color="auto" w:fill="FFFFFF"/>
          <w:lang w:val="en-CA"/>
        </w:rPr>
        <w:t xml:space="preserve">] </w:t>
      </w:r>
      <w:r w:rsidRPr="000922B8">
        <w:rPr>
          <w:lang w:val="en-CA"/>
        </w:rPr>
        <w:t xml:space="preserve">“broad sense” was interpreted by the Tribunal in several decisions as essentially including the steps or measures </w:t>
      </w:r>
      <w:r w:rsidR="00843698" w:rsidRPr="000922B8">
        <w:rPr>
          <w:lang w:val="en-CA"/>
        </w:rPr>
        <w:t>taken</w:t>
      </w:r>
      <w:r w:rsidRPr="000922B8">
        <w:rPr>
          <w:lang w:val="en-CA"/>
        </w:rPr>
        <w:t xml:space="preserve"> by the Authority following its investigation in </w:t>
      </w:r>
      <w:r w:rsidR="00292F0A">
        <w:rPr>
          <w:lang w:val="en-CA"/>
        </w:rPr>
        <w:t>its</w:t>
      </w:r>
      <w:r w:rsidRPr="000922B8">
        <w:rPr>
          <w:lang w:val="en-CA"/>
        </w:rPr>
        <w:t xml:space="preserve"> </w:t>
      </w:r>
      <w:r w:rsidR="000E15C3" w:rsidRPr="000922B8">
        <w:rPr>
          <w:rFonts w:cs="Arial"/>
          <w:szCs w:val="24"/>
          <w:shd w:val="clear" w:color="auto" w:fill="FFFFFF"/>
          <w:lang w:val="en-CA"/>
        </w:rPr>
        <w:t>[</w:t>
      </w:r>
      <w:r w:rsidR="000E15C3" w:rsidRPr="000922B8">
        <w:rPr>
          <w:rFonts w:cs="Arial"/>
          <w:smallCaps/>
          <w:szCs w:val="24"/>
          <w:shd w:val="clear" w:color="auto" w:fill="FFFFFF"/>
          <w:lang w:val="en-CA"/>
        </w:rPr>
        <w:t>translation</w:t>
      </w:r>
      <w:r w:rsidR="000E15C3" w:rsidRPr="000922B8">
        <w:rPr>
          <w:rFonts w:cs="Arial"/>
          <w:szCs w:val="24"/>
          <w:shd w:val="clear" w:color="auto" w:fill="FFFFFF"/>
          <w:lang w:val="en-CA"/>
        </w:rPr>
        <w:t xml:space="preserve">] </w:t>
      </w:r>
      <w:r w:rsidRPr="000922B8">
        <w:rPr>
          <w:lang w:val="en-CA"/>
        </w:rPr>
        <w:t xml:space="preserve">“strict sense” during the following periods of time: (a) </w:t>
      </w:r>
      <w:r w:rsidR="00843698" w:rsidRPr="000922B8">
        <w:rPr>
          <w:lang w:val="en-CA"/>
        </w:rPr>
        <w:t>proceedings</w:t>
      </w:r>
      <w:r w:rsidRPr="000922B8">
        <w:rPr>
          <w:lang w:val="en-CA"/>
        </w:rPr>
        <w:t xml:space="preserve"> are brought before </w:t>
      </w:r>
      <w:r w:rsidR="00292F0A">
        <w:rPr>
          <w:lang w:val="en-CA"/>
        </w:rPr>
        <w:t>a</w:t>
      </w:r>
      <w:r w:rsidRPr="000922B8">
        <w:rPr>
          <w:lang w:val="en-CA"/>
        </w:rPr>
        <w:t xml:space="preserve"> </w:t>
      </w:r>
      <w:r w:rsidR="00292F0A">
        <w:rPr>
          <w:lang w:val="en-CA"/>
        </w:rPr>
        <w:t>t</w:t>
      </w:r>
      <w:r w:rsidRPr="000922B8">
        <w:rPr>
          <w:lang w:val="en-CA"/>
        </w:rPr>
        <w:t xml:space="preserve">ribunal by the Authority concerning the application and compliance with laws </w:t>
      </w:r>
      <w:r w:rsidR="000E15C3" w:rsidRPr="000922B8">
        <w:rPr>
          <w:lang w:val="en-CA"/>
        </w:rPr>
        <w:t>under its</w:t>
      </w:r>
      <w:r w:rsidRPr="000922B8">
        <w:rPr>
          <w:lang w:val="en-CA"/>
        </w:rPr>
        <w:t xml:space="preserve"> administ</w:t>
      </w:r>
      <w:r w:rsidR="000E15C3" w:rsidRPr="000922B8">
        <w:rPr>
          <w:lang w:val="en-CA"/>
        </w:rPr>
        <w:t>ration</w:t>
      </w:r>
      <w:r w:rsidRPr="000922B8">
        <w:rPr>
          <w:lang w:val="en-CA"/>
        </w:rPr>
        <w:t>;</w:t>
      </w:r>
      <w:r w:rsidRPr="008D2CF1">
        <w:rPr>
          <w:rStyle w:val="Appelnotedebasdep"/>
          <w:lang w:val="en-CA"/>
        </w:rPr>
        <w:footnoteReference w:id="34"/>
      </w:r>
      <w:r w:rsidRPr="000922B8">
        <w:rPr>
          <w:lang w:val="en-CA"/>
        </w:rPr>
        <w:t xml:space="preserve"> (b) a tribunal </w:t>
      </w:r>
      <w:r w:rsidR="00196692">
        <w:rPr>
          <w:lang w:val="en-CA"/>
        </w:rPr>
        <w:t>renders a final decision</w:t>
      </w:r>
      <w:r w:rsidRPr="000922B8">
        <w:rPr>
          <w:lang w:val="en-CA"/>
        </w:rPr>
        <w:t xml:space="preserve"> on the merits of the Authority’s allegations and on the existence of breaches of </w:t>
      </w:r>
      <w:r w:rsidR="000E15C3" w:rsidRPr="000922B8">
        <w:rPr>
          <w:lang w:val="en-CA"/>
        </w:rPr>
        <w:t>the</w:t>
      </w:r>
      <w:r w:rsidRPr="000922B8">
        <w:rPr>
          <w:lang w:val="en-CA"/>
        </w:rPr>
        <w:t xml:space="preserve"> law and determines the appropriate measures or sanctions, including a determination as to the ownership of </w:t>
      </w:r>
      <w:r w:rsidR="000E15C3" w:rsidRPr="000922B8">
        <w:rPr>
          <w:lang w:val="en-CA"/>
        </w:rPr>
        <w:t>assets</w:t>
      </w:r>
      <w:r w:rsidRPr="000922B8">
        <w:rPr>
          <w:lang w:val="en-CA"/>
        </w:rPr>
        <w:t xml:space="preserve"> </w:t>
      </w:r>
      <w:r w:rsidR="00196692">
        <w:rPr>
          <w:lang w:val="en-CA"/>
        </w:rPr>
        <w:t>subject to</w:t>
      </w:r>
      <w:r w:rsidRPr="000922B8">
        <w:rPr>
          <w:lang w:val="en-CA"/>
        </w:rPr>
        <w:t xml:space="preserve"> freeze orders; and, if applicable (c) in those cases where a </w:t>
      </w:r>
      <w:r w:rsidR="00B628BE" w:rsidRPr="000922B8">
        <w:rPr>
          <w:lang w:val="en-CA"/>
        </w:rPr>
        <w:t>proceeding</w:t>
      </w:r>
      <w:r w:rsidRPr="000922B8">
        <w:rPr>
          <w:lang w:val="en-CA"/>
        </w:rPr>
        <w:t xml:space="preserve"> was brought before the Tribunal, the respondent complies with the </w:t>
      </w:r>
      <w:r w:rsidR="00196692">
        <w:rPr>
          <w:lang w:val="en-CA"/>
        </w:rPr>
        <w:t xml:space="preserve">remedial </w:t>
      </w:r>
      <w:r w:rsidRPr="000922B8">
        <w:rPr>
          <w:lang w:val="en-CA"/>
        </w:rPr>
        <w:t>measures ordered by the Tribunal, including remitting all amounts obtained as a result of a breach of the law to the Authority and, whe</w:t>
      </w:r>
      <w:r w:rsidR="00196692">
        <w:rPr>
          <w:lang w:val="en-CA"/>
        </w:rPr>
        <w:t>re</w:t>
      </w:r>
      <w:r w:rsidRPr="000922B8">
        <w:rPr>
          <w:lang w:val="en-CA"/>
        </w:rPr>
        <w:t xml:space="preserve"> applicable, the redistribution by the Authority of these </w:t>
      </w:r>
      <w:r w:rsidR="00B628BE" w:rsidRPr="000922B8">
        <w:rPr>
          <w:lang w:val="en-CA"/>
        </w:rPr>
        <w:t>amounts</w:t>
      </w:r>
      <w:r w:rsidRPr="000922B8">
        <w:rPr>
          <w:lang w:val="en-CA"/>
        </w:rPr>
        <w:t xml:space="preserve"> to those who suffered losses.</w:t>
      </w:r>
      <w:r w:rsidRPr="008D2CF1">
        <w:rPr>
          <w:rStyle w:val="Appelnotedebasdep"/>
          <w:lang w:val="en-CA"/>
        </w:rPr>
        <w:footnoteReference w:id="35"/>
      </w:r>
      <w:r w:rsidR="007E64CB" w:rsidRPr="000922B8">
        <w:rPr>
          <w:lang w:val="en-CA"/>
        </w:rPr>
        <w:t xml:space="preserve">  </w:t>
      </w:r>
    </w:p>
    <w:p w14:paraId="68A8A55C" w14:textId="34A7497F" w:rsidR="00C65B84" w:rsidRPr="000922B8" w:rsidRDefault="00E10DE9" w:rsidP="00C65B84">
      <w:pPr>
        <w:pStyle w:val="Paragraphe"/>
        <w:rPr>
          <w:lang w:val="en-CA"/>
        </w:rPr>
      </w:pPr>
      <w:r w:rsidRPr="000922B8">
        <w:rPr>
          <w:lang w:val="en-CA"/>
        </w:rPr>
        <w:t xml:space="preserve">As specified by the Tribunal in </w:t>
      </w:r>
      <w:proofErr w:type="spellStart"/>
      <w:r w:rsidRPr="000922B8">
        <w:rPr>
          <w:i/>
          <w:lang w:val="en-CA"/>
        </w:rPr>
        <w:t>Autorité</w:t>
      </w:r>
      <w:proofErr w:type="spellEnd"/>
      <w:r w:rsidRPr="000922B8">
        <w:rPr>
          <w:i/>
          <w:lang w:val="en-CA"/>
        </w:rPr>
        <w:t xml:space="preserve"> des </w:t>
      </w:r>
      <w:proofErr w:type="spellStart"/>
      <w:r w:rsidRPr="000922B8">
        <w:rPr>
          <w:i/>
          <w:lang w:val="en-CA"/>
        </w:rPr>
        <w:t>marchés</w:t>
      </w:r>
      <w:proofErr w:type="spellEnd"/>
      <w:r w:rsidRPr="000922B8">
        <w:rPr>
          <w:i/>
          <w:lang w:val="en-CA"/>
        </w:rPr>
        <w:t xml:space="preserve"> financiers</w:t>
      </w:r>
      <w:r w:rsidRPr="000922B8">
        <w:rPr>
          <w:lang w:val="en-CA"/>
        </w:rPr>
        <w:t xml:space="preserve"> </w:t>
      </w:r>
      <w:r w:rsidRPr="000922B8">
        <w:rPr>
          <w:i/>
          <w:iCs/>
          <w:lang w:val="en-CA"/>
        </w:rPr>
        <w:t>c.</w:t>
      </w:r>
      <w:r w:rsidRPr="000922B8">
        <w:rPr>
          <w:lang w:val="en-CA"/>
        </w:rPr>
        <w:t xml:space="preserve"> </w:t>
      </w:r>
      <w:r w:rsidRPr="000922B8">
        <w:rPr>
          <w:i/>
          <w:lang w:val="en-CA"/>
        </w:rPr>
        <w:t>Blouin</w:t>
      </w:r>
      <w:r w:rsidRPr="000922B8">
        <w:rPr>
          <w:lang w:val="en-CA"/>
        </w:rPr>
        <w:t>,</w:t>
      </w:r>
      <w:r w:rsidRPr="008D2CF1">
        <w:rPr>
          <w:rStyle w:val="Appelnotedebasdep"/>
          <w:lang w:val="en-CA"/>
        </w:rPr>
        <w:footnoteReference w:id="36"/>
      </w:r>
      <w:r w:rsidRPr="000922B8">
        <w:rPr>
          <w:iCs/>
          <w:lang w:val="en-CA"/>
        </w:rPr>
        <w:t xml:space="preserve"> it would be contrary to the spirit of the law, and therefore contrary to </w:t>
      </w:r>
      <w:r w:rsidR="00A97C95">
        <w:rPr>
          <w:iCs/>
          <w:lang w:val="en-CA"/>
        </w:rPr>
        <w:t xml:space="preserve">the </w:t>
      </w:r>
      <w:r w:rsidRPr="000922B8">
        <w:rPr>
          <w:iCs/>
          <w:lang w:val="en-CA"/>
        </w:rPr>
        <w:t xml:space="preserve">public interest, to lift the freeze orders before the Authority </w:t>
      </w:r>
      <w:r w:rsidR="00B628BE" w:rsidRPr="000922B8">
        <w:rPr>
          <w:iCs/>
          <w:lang w:val="en-CA"/>
        </w:rPr>
        <w:t xml:space="preserve">has </w:t>
      </w:r>
      <w:r w:rsidRPr="000922B8">
        <w:rPr>
          <w:iCs/>
          <w:lang w:val="en-CA"/>
        </w:rPr>
        <w:t>institute</w:t>
      </w:r>
      <w:r w:rsidR="00B628BE" w:rsidRPr="000922B8">
        <w:rPr>
          <w:iCs/>
          <w:lang w:val="en-CA"/>
        </w:rPr>
        <w:t>d</w:t>
      </w:r>
      <w:r w:rsidRPr="000922B8">
        <w:rPr>
          <w:iCs/>
          <w:lang w:val="en-CA"/>
        </w:rPr>
        <w:t xml:space="preserve"> the relevant proceedings to sanction the breaches for which the Tribunal issued freeze orders.</w:t>
      </w:r>
    </w:p>
    <w:p w14:paraId="22CB0EB2" w14:textId="150B507F" w:rsidR="00371113" w:rsidRPr="000922B8" w:rsidRDefault="00E10DE9" w:rsidP="00371113">
      <w:pPr>
        <w:pStyle w:val="Paragraphe"/>
        <w:rPr>
          <w:lang w:val="en-CA"/>
        </w:rPr>
      </w:pPr>
      <w:r w:rsidRPr="000922B8">
        <w:rPr>
          <w:lang w:val="en-CA"/>
        </w:rPr>
        <w:t>For the Tribunal to extend a freeze order, it must determine whether:</w:t>
      </w:r>
    </w:p>
    <w:p w14:paraId="62FF8D5E" w14:textId="796ED593" w:rsidR="00371113" w:rsidRPr="000922B8" w:rsidRDefault="00E10DE9" w:rsidP="00371113">
      <w:pPr>
        <w:pStyle w:val="Paragraphe"/>
        <w:numPr>
          <w:ilvl w:val="0"/>
          <w:numId w:val="0"/>
        </w:numPr>
        <w:tabs>
          <w:tab w:val="left" w:pos="708"/>
        </w:tabs>
        <w:ind w:left="734"/>
        <w:rPr>
          <w:rFonts w:cs="Arial"/>
          <w:color w:val="000000"/>
          <w:lang w:val="en-CA"/>
        </w:rPr>
      </w:pPr>
      <w:r w:rsidRPr="000922B8">
        <w:rPr>
          <w:rFonts w:cs="Arial"/>
          <w:color w:val="000000"/>
          <w:lang w:val="en-CA"/>
        </w:rPr>
        <w:t>(1) the investigation led by the Authority into the respondent is still ongoing;</w:t>
      </w:r>
      <w:r w:rsidRPr="008D2CF1">
        <w:rPr>
          <w:rStyle w:val="Appelnotedebasdep"/>
          <w:rFonts w:cs="Arial"/>
          <w:color w:val="000000"/>
          <w:lang w:val="en-CA"/>
        </w:rPr>
        <w:footnoteReference w:id="37"/>
      </w:r>
    </w:p>
    <w:p w14:paraId="13E38D89" w14:textId="18D8A758" w:rsidR="001E7CFD" w:rsidRPr="000922B8" w:rsidRDefault="00E10DE9" w:rsidP="00941123">
      <w:pPr>
        <w:pStyle w:val="Paragraphe"/>
        <w:numPr>
          <w:ilvl w:val="0"/>
          <w:numId w:val="0"/>
        </w:numPr>
        <w:tabs>
          <w:tab w:val="left" w:pos="708"/>
        </w:tabs>
        <w:ind w:left="734"/>
        <w:rPr>
          <w:rFonts w:cs="Arial"/>
          <w:color w:val="000000"/>
          <w:lang w:val="en-CA"/>
        </w:rPr>
      </w:pPr>
      <w:r w:rsidRPr="000922B8">
        <w:rPr>
          <w:rFonts w:cs="Arial"/>
          <w:color w:val="000000"/>
          <w:lang w:val="en-CA"/>
        </w:rPr>
        <w:t xml:space="preserve">(2) the grounds in support of the initial freeze orders </w:t>
      </w:r>
      <w:r w:rsidR="00A97C95">
        <w:rPr>
          <w:rFonts w:cs="Arial"/>
          <w:color w:val="000000"/>
          <w:lang w:val="en-CA"/>
        </w:rPr>
        <w:t>continue</w:t>
      </w:r>
      <w:r w:rsidRPr="000922B8">
        <w:rPr>
          <w:rFonts w:cs="Arial"/>
          <w:color w:val="000000"/>
          <w:lang w:val="en-CA"/>
        </w:rPr>
        <w:t xml:space="preserve"> to exist.</w:t>
      </w:r>
      <w:r w:rsidRPr="008D2CF1">
        <w:rPr>
          <w:rStyle w:val="Appelnotedebasdep"/>
          <w:rFonts w:cs="Arial"/>
          <w:color w:val="000000"/>
          <w:lang w:val="en-CA"/>
        </w:rPr>
        <w:footnoteReference w:id="38"/>
      </w:r>
    </w:p>
    <w:p w14:paraId="3978A3D7" w14:textId="09B54163" w:rsidR="00C65B84" w:rsidRPr="000922B8" w:rsidRDefault="00E10DE9" w:rsidP="00781799">
      <w:pPr>
        <w:pStyle w:val="Paragraphe"/>
        <w:numPr>
          <w:ilvl w:val="1"/>
          <w:numId w:val="4"/>
        </w:numPr>
        <w:rPr>
          <w:rFonts w:cs="Arial"/>
          <w:b/>
          <w:bCs/>
          <w:lang w:val="en-CA"/>
        </w:rPr>
      </w:pPr>
      <w:r w:rsidRPr="000922B8">
        <w:rPr>
          <w:rFonts w:cs="Arial"/>
          <w:b/>
          <w:bCs/>
          <w:lang w:val="en-CA"/>
        </w:rPr>
        <w:t xml:space="preserve">The factors for assessing whether the investigation is </w:t>
      </w:r>
      <w:r w:rsidR="00B628BE" w:rsidRPr="006D493F">
        <w:rPr>
          <w:rFonts w:cs="Arial"/>
          <w:b/>
          <w:bCs/>
          <w:szCs w:val="24"/>
          <w:shd w:val="clear" w:color="auto" w:fill="FFFFFF"/>
          <w:lang w:val="en-CA"/>
        </w:rPr>
        <w:t>[</w:t>
      </w:r>
      <w:r w:rsidR="00B628BE" w:rsidRPr="006D493F">
        <w:rPr>
          <w:rFonts w:cs="Arial"/>
          <w:b/>
          <w:bCs/>
          <w:smallCaps/>
          <w:szCs w:val="24"/>
          <w:shd w:val="clear" w:color="auto" w:fill="FFFFFF"/>
          <w:lang w:val="en-CA"/>
        </w:rPr>
        <w:t>translation</w:t>
      </w:r>
      <w:r w:rsidR="00B628BE" w:rsidRPr="006D493F">
        <w:rPr>
          <w:rFonts w:cs="Arial"/>
          <w:b/>
          <w:bCs/>
          <w:szCs w:val="24"/>
          <w:shd w:val="clear" w:color="auto" w:fill="FFFFFF"/>
          <w:lang w:val="en-CA"/>
        </w:rPr>
        <w:t>]</w:t>
      </w:r>
      <w:r w:rsidR="00B628BE" w:rsidRPr="000922B8">
        <w:rPr>
          <w:rFonts w:cs="Arial"/>
          <w:szCs w:val="24"/>
          <w:shd w:val="clear" w:color="auto" w:fill="FFFFFF"/>
          <w:lang w:val="en-CA"/>
        </w:rPr>
        <w:t xml:space="preserve"> </w:t>
      </w:r>
      <w:r w:rsidRPr="000922B8">
        <w:rPr>
          <w:rFonts w:cs="Arial"/>
          <w:b/>
          <w:bCs/>
          <w:lang w:val="en-CA"/>
        </w:rPr>
        <w:t>“ongoing”</w:t>
      </w:r>
      <w:r w:rsidR="007E64CB" w:rsidRPr="000922B8">
        <w:rPr>
          <w:rFonts w:cs="Arial"/>
          <w:b/>
          <w:bCs/>
          <w:lang w:val="en-CA"/>
        </w:rPr>
        <w:t xml:space="preserve"> </w:t>
      </w:r>
    </w:p>
    <w:p w14:paraId="5B69F3E6" w14:textId="151ADBBB" w:rsidR="00D034FB" w:rsidRPr="000922B8" w:rsidRDefault="00E10DE9" w:rsidP="00D54369">
      <w:pPr>
        <w:pStyle w:val="Paragraphe"/>
        <w:rPr>
          <w:i/>
          <w:iCs/>
          <w:lang w:val="en-CA"/>
        </w:rPr>
      </w:pPr>
      <w:r w:rsidRPr="000922B8">
        <w:rPr>
          <w:lang w:val="en-CA"/>
        </w:rPr>
        <w:t xml:space="preserve">The concept of </w:t>
      </w:r>
      <w:r w:rsidR="00B628BE" w:rsidRPr="000922B8">
        <w:rPr>
          <w:rFonts w:cs="Arial"/>
          <w:szCs w:val="24"/>
          <w:shd w:val="clear" w:color="auto" w:fill="FFFFFF"/>
          <w:lang w:val="en-CA"/>
        </w:rPr>
        <w:t>[</w:t>
      </w:r>
      <w:r w:rsidR="00B628BE" w:rsidRPr="000922B8">
        <w:rPr>
          <w:rFonts w:cs="Arial"/>
          <w:smallCaps/>
          <w:szCs w:val="24"/>
          <w:shd w:val="clear" w:color="auto" w:fill="FFFFFF"/>
          <w:lang w:val="en-CA"/>
        </w:rPr>
        <w:t>translation</w:t>
      </w:r>
      <w:r w:rsidR="00B628BE" w:rsidRPr="000922B8">
        <w:rPr>
          <w:rFonts w:cs="Arial"/>
          <w:szCs w:val="24"/>
          <w:shd w:val="clear" w:color="auto" w:fill="FFFFFF"/>
          <w:lang w:val="en-CA"/>
        </w:rPr>
        <w:t xml:space="preserve">] </w:t>
      </w:r>
      <w:r w:rsidRPr="000922B8">
        <w:rPr>
          <w:lang w:val="en-CA"/>
        </w:rPr>
        <w:t>“investigation” is at the heart of the Tribunal’s power to issue freeze orders and its power to extend them.</w:t>
      </w:r>
      <w:r w:rsidR="007E64CB" w:rsidRPr="000922B8">
        <w:rPr>
          <w:lang w:val="en-CA"/>
        </w:rPr>
        <w:t xml:space="preserve"> </w:t>
      </w:r>
    </w:p>
    <w:p w14:paraId="236AF2E2" w14:textId="6C2C6F77" w:rsidR="00D54369" w:rsidRPr="000922B8" w:rsidRDefault="00E10DE9" w:rsidP="001B5CD4">
      <w:pPr>
        <w:pStyle w:val="Paragraphe"/>
        <w:rPr>
          <w:lang w:val="en-CA" w:eastAsia="fr-CA"/>
        </w:rPr>
      </w:pPr>
      <w:r w:rsidRPr="000922B8">
        <w:rPr>
          <w:lang w:val="en-CA" w:eastAsia="fr-CA"/>
        </w:rPr>
        <w:t>Because a freeze order is issued “for the purposes of or in the course of an investigation”, it is essential that the Authority begin an investigation or continue it, once begun.</w:t>
      </w:r>
      <w:r w:rsidR="007E64CB" w:rsidRPr="000922B8">
        <w:rPr>
          <w:lang w:val="en-CA" w:eastAsia="fr-CA"/>
        </w:rPr>
        <w:t xml:space="preserve"> </w:t>
      </w:r>
    </w:p>
    <w:p w14:paraId="64324DF6" w14:textId="13387F48" w:rsidR="00C65B84" w:rsidRPr="000922B8" w:rsidRDefault="00E10DE9" w:rsidP="00C65B84">
      <w:pPr>
        <w:pStyle w:val="Paragraphe"/>
        <w:rPr>
          <w:lang w:val="en-CA"/>
        </w:rPr>
      </w:pPr>
      <w:r w:rsidRPr="000922B8">
        <w:rPr>
          <w:lang w:val="en-CA"/>
        </w:rPr>
        <w:lastRenderedPageBreak/>
        <w:t>An investigation</w:t>
      </w:r>
      <w:r w:rsidR="005D0674" w:rsidRPr="000922B8">
        <w:rPr>
          <w:lang w:val="en-CA"/>
        </w:rPr>
        <w:t xml:space="preserve"> </w:t>
      </w:r>
      <w:r w:rsidR="0069528A">
        <w:rPr>
          <w:lang w:val="en-CA"/>
        </w:rPr>
        <w:t>is</w:t>
      </w:r>
      <w:r w:rsidR="005D0674" w:rsidRPr="000922B8">
        <w:rPr>
          <w:lang w:val="en-CA"/>
        </w:rPr>
        <w:t xml:space="preserve"> </w:t>
      </w:r>
      <w:r w:rsidR="0069528A">
        <w:rPr>
          <w:lang w:val="en-CA"/>
        </w:rPr>
        <w:t>[</w:t>
      </w:r>
      <w:r w:rsidR="0069528A">
        <w:rPr>
          <w:smallCaps/>
          <w:lang w:val="en-CA"/>
        </w:rPr>
        <w:t>translation</w:t>
      </w:r>
      <w:r w:rsidR="0069528A">
        <w:rPr>
          <w:lang w:val="en-CA"/>
        </w:rPr>
        <w:t>] “</w:t>
      </w:r>
      <w:r w:rsidR="005D0674" w:rsidRPr="000922B8">
        <w:rPr>
          <w:lang w:val="en-CA"/>
        </w:rPr>
        <w:t>ongoing</w:t>
      </w:r>
      <w:r w:rsidR="0069528A">
        <w:rPr>
          <w:lang w:val="en-CA"/>
        </w:rPr>
        <w:t>”</w:t>
      </w:r>
      <w:r w:rsidR="005D0674" w:rsidRPr="000922B8">
        <w:rPr>
          <w:lang w:val="en-CA"/>
        </w:rPr>
        <w:t xml:space="preserve"> when it</w:t>
      </w:r>
      <w:r w:rsidRPr="000922B8">
        <w:rPr>
          <w:lang w:val="en-CA"/>
        </w:rPr>
        <w:t xml:space="preserve"> is progressing</w:t>
      </w:r>
      <w:r w:rsidRPr="008D2CF1">
        <w:rPr>
          <w:rStyle w:val="Appelnotedebasdep"/>
          <w:lang w:val="en-CA"/>
        </w:rPr>
        <w:footnoteReference w:id="39"/>
      </w:r>
      <w:r w:rsidRPr="000922B8">
        <w:rPr>
          <w:lang w:val="en-CA"/>
        </w:rPr>
        <w:t xml:space="preserve"> and led </w:t>
      </w:r>
      <w:r w:rsidR="0079606A" w:rsidRPr="000922B8">
        <w:rPr>
          <w:rFonts w:cs="Arial"/>
          <w:szCs w:val="24"/>
          <w:shd w:val="clear" w:color="auto" w:fill="FFFFFF"/>
          <w:lang w:val="en-CA"/>
        </w:rPr>
        <w:t>[</w:t>
      </w:r>
      <w:r w:rsidR="0079606A" w:rsidRPr="000922B8">
        <w:rPr>
          <w:rFonts w:cs="Arial"/>
          <w:smallCaps/>
          <w:szCs w:val="24"/>
          <w:shd w:val="clear" w:color="auto" w:fill="FFFFFF"/>
          <w:lang w:val="en-CA"/>
        </w:rPr>
        <w:t>translation</w:t>
      </w:r>
      <w:r w:rsidR="0079606A" w:rsidRPr="000922B8">
        <w:rPr>
          <w:rFonts w:cs="Arial"/>
          <w:szCs w:val="24"/>
          <w:shd w:val="clear" w:color="auto" w:fill="FFFFFF"/>
          <w:lang w:val="en-CA"/>
        </w:rPr>
        <w:t xml:space="preserve">] </w:t>
      </w:r>
      <w:r w:rsidRPr="000922B8">
        <w:rPr>
          <w:lang w:val="en-CA"/>
        </w:rPr>
        <w:t>“carefully, diligently, and quickly ...</w:t>
      </w:r>
      <w:r w:rsidR="005D0674" w:rsidRPr="000922B8">
        <w:rPr>
          <w:lang w:val="en-CA"/>
        </w:rPr>
        <w:t>”</w:t>
      </w:r>
      <w:r w:rsidR="0079606A" w:rsidRPr="000922B8">
        <w:rPr>
          <w:rStyle w:val="Appelnotedebasdep"/>
          <w:vertAlign w:val="baseline"/>
          <w:lang w:val="en-CA"/>
        </w:rPr>
        <w:t>.</w:t>
      </w:r>
      <w:r w:rsidR="007E64CB" w:rsidRPr="008D2CF1">
        <w:rPr>
          <w:rStyle w:val="Appelnotedebasdep"/>
          <w:lang w:val="en-CA"/>
        </w:rPr>
        <w:footnoteReference w:id="40"/>
      </w:r>
      <w:r w:rsidR="006442B1" w:rsidRPr="000922B8">
        <w:rPr>
          <w:lang w:val="en-CA"/>
        </w:rPr>
        <w:t xml:space="preserve"> </w:t>
      </w:r>
      <w:r w:rsidRPr="000922B8">
        <w:rPr>
          <w:lang w:val="en-CA"/>
        </w:rPr>
        <w:t xml:space="preserve">An ongoing investigation is </w:t>
      </w:r>
      <w:r w:rsidR="0079606A" w:rsidRPr="000922B8">
        <w:rPr>
          <w:lang w:val="en-CA"/>
        </w:rPr>
        <w:t>one whose</w:t>
      </w:r>
      <w:r w:rsidRPr="000922B8">
        <w:rPr>
          <w:lang w:val="en-CA"/>
        </w:rPr>
        <w:t xml:space="preserve"> purpose </w:t>
      </w:r>
      <w:r w:rsidR="0079606A" w:rsidRPr="000922B8">
        <w:rPr>
          <w:lang w:val="en-CA"/>
        </w:rPr>
        <w:t>is to</w:t>
      </w:r>
      <w:r w:rsidRPr="000922B8">
        <w:rPr>
          <w:lang w:val="en-CA"/>
        </w:rPr>
        <w:t xml:space="preserve"> produc</w:t>
      </w:r>
      <w:r w:rsidR="0079606A" w:rsidRPr="000922B8">
        <w:rPr>
          <w:lang w:val="en-CA"/>
        </w:rPr>
        <w:t>e</w:t>
      </w:r>
      <w:r w:rsidRPr="000922B8">
        <w:rPr>
          <w:lang w:val="en-CA"/>
        </w:rPr>
        <w:t xml:space="preserve"> the results set out in the law, that is, to determine whether or not there have been breaches of the law and to take the necessary measures to repress them, if need be.</w:t>
      </w:r>
      <w:r w:rsidRPr="008D2CF1">
        <w:rPr>
          <w:rStyle w:val="Appelnotedebasdep"/>
          <w:lang w:val="en-CA"/>
        </w:rPr>
        <w:footnoteReference w:id="41"/>
      </w:r>
    </w:p>
    <w:p w14:paraId="78E5D4EB" w14:textId="2AFC570A" w:rsidR="00C65B84" w:rsidRPr="000922B8" w:rsidRDefault="00E10DE9" w:rsidP="00941123">
      <w:pPr>
        <w:pStyle w:val="Paragraphe"/>
        <w:rPr>
          <w:lang w:val="en-CA" w:eastAsia="fr-CA"/>
        </w:rPr>
      </w:pPr>
      <w:r w:rsidRPr="000922B8">
        <w:rPr>
          <w:lang w:val="en-CA"/>
        </w:rPr>
        <w:t xml:space="preserve">To determine whether the Authority’s investigation is </w:t>
      </w:r>
      <w:r w:rsidR="0079606A" w:rsidRPr="000922B8">
        <w:rPr>
          <w:rFonts w:cs="Arial"/>
          <w:szCs w:val="24"/>
          <w:shd w:val="clear" w:color="auto" w:fill="FFFFFF"/>
          <w:lang w:val="en-CA"/>
        </w:rPr>
        <w:t>[</w:t>
      </w:r>
      <w:r w:rsidR="0079606A" w:rsidRPr="000922B8">
        <w:rPr>
          <w:rFonts w:cs="Arial"/>
          <w:smallCaps/>
          <w:szCs w:val="24"/>
          <w:shd w:val="clear" w:color="auto" w:fill="FFFFFF"/>
          <w:lang w:val="en-CA"/>
        </w:rPr>
        <w:t>translation</w:t>
      </w:r>
      <w:r w:rsidR="0079606A" w:rsidRPr="000922B8">
        <w:rPr>
          <w:rFonts w:cs="Arial"/>
          <w:szCs w:val="24"/>
          <w:shd w:val="clear" w:color="auto" w:fill="FFFFFF"/>
          <w:lang w:val="en-CA"/>
        </w:rPr>
        <w:t xml:space="preserve">] </w:t>
      </w:r>
      <w:r w:rsidRPr="000922B8">
        <w:rPr>
          <w:lang w:val="en-CA"/>
        </w:rPr>
        <w:t>“progressing”, the Tribunal will assess the reasonableness of the time that has passed since the start of the investigation and the time required by the Authority to continue it.</w:t>
      </w:r>
      <w:r w:rsidR="00941123" w:rsidRPr="000922B8">
        <w:rPr>
          <w:lang w:val="en-CA"/>
        </w:rPr>
        <w:t xml:space="preserve"> </w:t>
      </w:r>
      <w:r w:rsidRPr="000922B8">
        <w:rPr>
          <w:lang w:val="en-CA" w:eastAsia="fr-CA"/>
        </w:rPr>
        <w:t>This assessment of the reasonableness of the delays is made necessary by the fact that the</w:t>
      </w:r>
      <w:r w:rsidR="0079606A" w:rsidRPr="000922B8">
        <w:rPr>
          <w:lang w:val="en-CA" w:eastAsia="fr-CA"/>
        </w:rPr>
        <w:t xml:space="preserve"> </w:t>
      </w:r>
      <w:r w:rsidRPr="000922B8">
        <w:rPr>
          <w:lang w:val="en-CA" w:eastAsia="fr-CA"/>
        </w:rPr>
        <w:t>law provides that, unless the Tribunal decides otherwise, freeze orders remain binding for 12 months</w:t>
      </w:r>
      <w:r w:rsidRPr="008D2CF1">
        <w:rPr>
          <w:rStyle w:val="Appelnotedebasdep"/>
          <w:lang w:val="en-CA" w:eastAsia="fr-CA"/>
        </w:rPr>
        <w:footnoteReference w:id="42"/>
      </w:r>
      <w:r w:rsidRPr="000922B8">
        <w:rPr>
          <w:lang w:val="en-CA" w:eastAsia="fr-CA"/>
        </w:rPr>
        <w:t xml:space="preserve"> and cannot be extended for a period beyond this.  </w:t>
      </w:r>
    </w:p>
    <w:p w14:paraId="2426338F" w14:textId="070BBDBB" w:rsidR="00C65B84" w:rsidRPr="000922B8" w:rsidRDefault="0079606A" w:rsidP="00C65B84">
      <w:pPr>
        <w:pStyle w:val="Paragraphe"/>
        <w:rPr>
          <w:lang w:val="en-CA"/>
        </w:rPr>
      </w:pPr>
      <w:r w:rsidRPr="000922B8">
        <w:rPr>
          <w:lang w:val="en-CA"/>
        </w:rPr>
        <w:t>There have been several judgments by the Supreme Court of Canada a</w:t>
      </w:r>
      <w:r w:rsidR="00E10DE9" w:rsidRPr="000922B8">
        <w:rPr>
          <w:lang w:val="en-CA"/>
        </w:rPr>
        <w:t xml:space="preserve">ssessing the reasonableness of </w:t>
      </w:r>
      <w:r w:rsidRPr="000922B8">
        <w:rPr>
          <w:lang w:val="en-CA"/>
        </w:rPr>
        <w:t>a</w:t>
      </w:r>
      <w:r w:rsidR="00E10DE9" w:rsidRPr="000922B8">
        <w:rPr>
          <w:lang w:val="en-CA"/>
        </w:rPr>
        <w:t xml:space="preserve"> delay in an administrative context, including </w:t>
      </w:r>
      <w:proofErr w:type="spellStart"/>
      <w:r w:rsidR="00E10DE9" w:rsidRPr="000922B8">
        <w:rPr>
          <w:i/>
          <w:lang w:val="en-CA"/>
        </w:rPr>
        <w:t>Blencoe</w:t>
      </w:r>
      <w:proofErr w:type="spellEnd"/>
      <w:r w:rsidR="00E10DE9" w:rsidRPr="000922B8">
        <w:rPr>
          <w:lang w:val="en-CA"/>
        </w:rPr>
        <w:t>,</w:t>
      </w:r>
      <w:r w:rsidR="00E10DE9" w:rsidRPr="008D2CF1">
        <w:rPr>
          <w:rStyle w:val="Appelnotedebasdep"/>
          <w:lang w:val="en-CA"/>
        </w:rPr>
        <w:footnoteReference w:id="43"/>
      </w:r>
      <w:r w:rsidR="00E10DE9" w:rsidRPr="000922B8">
        <w:rPr>
          <w:lang w:val="en-CA"/>
        </w:rPr>
        <w:t xml:space="preserve"> and more recently, </w:t>
      </w:r>
      <w:proofErr w:type="spellStart"/>
      <w:r w:rsidR="00E10DE9" w:rsidRPr="000922B8">
        <w:rPr>
          <w:i/>
          <w:lang w:val="en-CA"/>
        </w:rPr>
        <w:t>Abrametz</w:t>
      </w:r>
      <w:proofErr w:type="spellEnd"/>
      <w:r w:rsidR="00E10DE9" w:rsidRPr="000922B8">
        <w:rPr>
          <w:lang w:val="en-CA"/>
        </w:rPr>
        <w:t>.</w:t>
      </w:r>
      <w:r w:rsidR="00E10DE9" w:rsidRPr="008D2CF1">
        <w:rPr>
          <w:rStyle w:val="Appelnotedebasdep"/>
          <w:lang w:val="en-CA"/>
        </w:rPr>
        <w:footnoteReference w:id="44"/>
      </w:r>
      <w:r w:rsidR="007E64CB" w:rsidRPr="000922B8">
        <w:rPr>
          <w:lang w:val="en-CA"/>
        </w:rPr>
        <w:t xml:space="preserve"> </w:t>
      </w:r>
      <w:r w:rsidR="00F72D51" w:rsidRPr="000922B8">
        <w:rPr>
          <w:lang w:val="en-CA"/>
        </w:rPr>
        <w:t>On this subject, the Supreme Court of Canada recalled that “</w:t>
      </w:r>
      <w:r w:rsidRPr="000922B8">
        <w:rPr>
          <w:lang w:val="en-CA"/>
        </w:rPr>
        <w:t>[</w:t>
      </w:r>
      <w:proofErr w:type="spellStart"/>
      <w:r w:rsidRPr="000922B8">
        <w:rPr>
          <w:lang w:val="en-CA"/>
        </w:rPr>
        <w:t>i</w:t>
      </w:r>
      <w:proofErr w:type="spellEnd"/>
      <w:r w:rsidRPr="000922B8">
        <w:rPr>
          <w:lang w:val="en-CA"/>
        </w:rPr>
        <w:t>]</w:t>
      </w:r>
      <w:proofErr w:type="spellStart"/>
      <w:r w:rsidR="00F72D51" w:rsidRPr="000922B8">
        <w:rPr>
          <w:lang w:val="en-CA"/>
        </w:rPr>
        <w:t>nordinate</w:t>
      </w:r>
      <w:proofErr w:type="spellEnd"/>
      <w:r w:rsidR="00F72D51" w:rsidRPr="000922B8">
        <w:rPr>
          <w:lang w:val="en-CA"/>
        </w:rPr>
        <w:t xml:space="preserve"> delay in administrative proceedings, as in other legal proceedings, is contrary to the interests of society”.</w:t>
      </w:r>
      <w:r w:rsidR="007E64CB" w:rsidRPr="008D2CF1">
        <w:rPr>
          <w:rStyle w:val="Appelnotedebasdep"/>
          <w:lang w:val="en-CA"/>
        </w:rPr>
        <w:footnoteReference w:id="45"/>
      </w:r>
    </w:p>
    <w:p w14:paraId="6894B5E9" w14:textId="76CBCC7B" w:rsidR="00C65B84" w:rsidRPr="000922B8" w:rsidRDefault="00F72D51" w:rsidP="00C65B84">
      <w:pPr>
        <w:pStyle w:val="Paragraphe"/>
        <w:rPr>
          <w:lang w:val="en-CA"/>
        </w:rPr>
      </w:pPr>
      <w:r w:rsidRPr="000922B8">
        <w:rPr>
          <w:lang w:val="en-CA"/>
        </w:rPr>
        <w:t>Indeed, delay is a source of great concern to modern and democratic societies.</w:t>
      </w:r>
      <w:r w:rsidR="007E64CB" w:rsidRPr="000922B8">
        <w:rPr>
          <w:lang w:val="en-CA"/>
        </w:rPr>
        <w:t xml:space="preserve"> </w:t>
      </w:r>
      <w:r w:rsidRPr="000922B8">
        <w:rPr>
          <w:lang w:val="en-CA"/>
        </w:rPr>
        <w:t>Because unreasonable delays may bring the administration of justice into disrepute,</w:t>
      </w:r>
      <w:r w:rsidRPr="008D2CF1">
        <w:rPr>
          <w:rStyle w:val="Appelnotedebasdep"/>
          <w:lang w:val="en-CA"/>
        </w:rPr>
        <w:footnoteReference w:id="46"/>
      </w:r>
      <w:r w:rsidRPr="000922B8">
        <w:rPr>
          <w:lang w:val="en-CA"/>
        </w:rPr>
        <w:t xml:space="preserve"> the Tribunal must contribute to ensuring that the</w:t>
      </w:r>
      <w:r w:rsidR="00157510" w:rsidRPr="000922B8">
        <w:rPr>
          <w:lang w:val="en-CA"/>
        </w:rPr>
        <w:t xml:space="preserve"> administrative</w:t>
      </w:r>
      <w:r w:rsidRPr="000922B8">
        <w:rPr>
          <w:lang w:val="en-CA"/>
        </w:rPr>
        <w:t xml:space="preserve"> process unfolds in a timely manner.</w:t>
      </w:r>
      <w:r w:rsidR="007E64CB" w:rsidRPr="000922B8">
        <w:rPr>
          <w:lang w:val="en-CA"/>
        </w:rPr>
        <w:t xml:space="preserve"> </w:t>
      </w:r>
      <w:r w:rsidRPr="000922B8">
        <w:rPr>
          <w:lang w:val="en-CA"/>
        </w:rPr>
        <w:t>Tribunals cannot be complacent with respect to delay.</w:t>
      </w:r>
      <w:r w:rsidRPr="008D2CF1">
        <w:rPr>
          <w:rStyle w:val="Appelnotedebasdep"/>
          <w:lang w:val="en-CA"/>
        </w:rPr>
        <w:footnoteReference w:id="47"/>
      </w:r>
      <w:r w:rsidR="007E64CB" w:rsidRPr="000922B8">
        <w:rPr>
          <w:lang w:val="en-CA"/>
        </w:rPr>
        <w:t xml:space="preserve"> </w:t>
      </w:r>
    </w:p>
    <w:p w14:paraId="06BAB7C7" w14:textId="08B306C7" w:rsidR="00C65B84" w:rsidRPr="000922B8" w:rsidRDefault="00F72D51" w:rsidP="00C65B84">
      <w:pPr>
        <w:pStyle w:val="Paragraphe"/>
        <w:rPr>
          <w:lang w:val="en-CA"/>
        </w:rPr>
      </w:pPr>
      <w:r w:rsidRPr="000922B8">
        <w:rPr>
          <w:lang w:val="en-CA"/>
        </w:rPr>
        <w:t xml:space="preserve">When an application to extend freeze orders is presented, when the Authority is continuing its investigation in the </w:t>
      </w:r>
      <w:r w:rsidR="00157510" w:rsidRPr="000922B8">
        <w:rPr>
          <w:lang w:val="en-CA"/>
        </w:rPr>
        <w:t>[</w:t>
      </w:r>
      <w:r w:rsidR="00157510" w:rsidRPr="000922B8">
        <w:rPr>
          <w:smallCaps/>
          <w:lang w:val="en-CA"/>
        </w:rPr>
        <w:t>translation</w:t>
      </w:r>
      <w:r w:rsidR="00157510" w:rsidRPr="000922B8">
        <w:rPr>
          <w:lang w:val="en-CA"/>
        </w:rPr>
        <w:t xml:space="preserve">] </w:t>
      </w:r>
      <w:r w:rsidRPr="000922B8">
        <w:rPr>
          <w:lang w:val="en-CA"/>
        </w:rPr>
        <w:t xml:space="preserve">“strict sense”, the investigator in charge of the file should be heard to enlighten the Tribunal about the investigative steps taken and </w:t>
      </w:r>
      <w:r w:rsidR="00157510" w:rsidRPr="000922B8">
        <w:rPr>
          <w:lang w:val="en-CA"/>
        </w:rPr>
        <w:t xml:space="preserve">to </w:t>
      </w:r>
      <w:r w:rsidRPr="000922B8">
        <w:rPr>
          <w:lang w:val="en-CA"/>
        </w:rPr>
        <w:t xml:space="preserve">provide sufficient information, while respecting the </w:t>
      </w:r>
      <w:r w:rsidRPr="000922B8">
        <w:rPr>
          <w:i/>
          <w:iCs/>
          <w:lang w:val="en-CA"/>
        </w:rPr>
        <w:t>in camera</w:t>
      </w:r>
      <w:r w:rsidRPr="000922B8">
        <w:rPr>
          <w:lang w:val="en-CA"/>
        </w:rPr>
        <w:t xml:space="preserve"> </w:t>
      </w:r>
      <w:r w:rsidR="00157510" w:rsidRPr="000922B8">
        <w:rPr>
          <w:lang w:val="en-CA"/>
        </w:rPr>
        <w:t xml:space="preserve">nature </w:t>
      </w:r>
      <w:r w:rsidRPr="000922B8">
        <w:rPr>
          <w:lang w:val="en-CA"/>
        </w:rPr>
        <w:t xml:space="preserve">of the investigation, to allow the Tribunal to assess the delay </w:t>
      </w:r>
      <w:r w:rsidR="00694114">
        <w:rPr>
          <w:lang w:val="en-CA"/>
        </w:rPr>
        <w:t>incurred</w:t>
      </w:r>
      <w:r w:rsidRPr="000922B8">
        <w:rPr>
          <w:lang w:val="en-CA"/>
        </w:rPr>
        <w:t xml:space="preserve"> </w:t>
      </w:r>
      <w:r w:rsidR="00157510" w:rsidRPr="000922B8">
        <w:rPr>
          <w:lang w:val="en-CA"/>
        </w:rPr>
        <w:t>and</w:t>
      </w:r>
      <w:r w:rsidRPr="000922B8">
        <w:rPr>
          <w:lang w:val="en-CA"/>
        </w:rPr>
        <w:t xml:space="preserve"> the delay required to continue the investigation.</w:t>
      </w:r>
      <w:r w:rsidRPr="008D2CF1">
        <w:rPr>
          <w:rStyle w:val="Appelnotedebasdep"/>
          <w:lang w:val="en-CA"/>
        </w:rPr>
        <w:footnoteReference w:id="48"/>
      </w:r>
      <w:r w:rsidR="007E64CB" w:rsidRPr="000922B8">
        <w:rPr>
          <w:lang w:val="en-CA"/>
        </w:rPr>
        <w:t xml:space="preserve"> </w:t>
      </w:r>
    </w:p>
    <w:p w14:paraId="4429123A" w14:textId="2C6A9BCD" w:rsidR="00C65B84" w:rsidRPr="000922B8" w:rsidRDefault="00F72D51" w:rsidP="00C65B84">
      <w:pPr>
        <w:pStyle w:val="Paragraphe"/>
        <w:rPr>
          <w:lang w:val="en-CA"/>
        </w:rPr>
      </w:pPr>
      <w:bookmarkStart w:id="4" w:name="_Hlk161584436"/>
      <w:r w:rsidRPr="000922B8">
        <w:rPr>
          <w:lang w:val="en-CA"/>
        </w:rPr>
        <w:lastRenderedPageBreak/>
        <w:t xml:space="preserve">The Tribunal adopts the words of the Honourable Myriam Lachance who, in </w:t>
      </w:r>
      <w:proofErr w:type="spellStart"/>
      <w:r w:rsidRPr="000922B8">
        <w:rPr>
          <w:i/>
          <w:lang w:val="en-CA"/>
        </w:rPr>
        <w:t>Autorité</w:t>
      </w:r>
      <w:proofErr w:type="spellEnd"/>
      <w:r w:rsidRPr="000922B8">
        <w:rPr>
          <w:i/>
          <w:lang w:val="en-CA"/>
        </w:rPr>
        <w:t xml:space="preserve"> des</w:t>
      </w:r>
      <w:r w:rsidRPr="000922B8">
        <w:rPr>
          <w:lang w:val="en-CA"/>
        </w:rPr>
        <w:t xml:space="preserve"> </w:t>
      </w:r>
      <w:proofErr w:type="spellStart"/>
      <w:r w:rsidRPr="000922B8">
        <w:rPr>
          <w:i/>
          <w:lang w:val="en-CA"/>
        </w:rPr>
        <w:t>marchés</w:t>
      </w:r>
      <w:proofErr w:type="spellEnd"/>
      <w:r w:rsidRPr="000922B8">
        <w:rPr>
          <w:i/>
          <w:lang w:val="en-CA"/>
        </w:rPr>
        <w:t xml:space="preserve"> financiers</w:t>
      </w:r>
      <w:r w:rsidRPr="000922B8">
        <w:rPr>
          <w:lang w:val="en-CA"/>
        </w:rPr>
        <w:t xml:space="preserve"> </w:t>
      </w:r>
      <w:r w:rsidRPr="007A60C9">
        <w:rPr>
          <w:i/>
          <w:iCs/>
          <w:lang w:val="en-CA"/>
        </w:rPr>
        <w:t>c</w:t>
      </w:r>
      <w:r w:rsidRPr="000922B8">
        <w:rPr>
          <w:i/>
          <w:lang w:val="en-CA"/>
        </w:rPr>
        <w:t>. D.</w:t>
      </w:r>
      <w:r w:rsidR="00D665D6" w:rsidRPr="000922B8">
        <w:rPr>
          <w:i/>
          <w:iCs/>
          <w:lang w:val="en-CA"/>
        </w:rPr>
        <w:t xml:space="preserve"> </w:t>
      </w:r>
      <w:bookmarkEnd w:id="4"/>
      <w:r w:rsidRPr="000922B8">
        <w:rPr>
          <w:i/>
          <w:lang w:val="en-CA"/>
        </w:rPr>
        <w:t>L</w:t>
      </w:r>
      <w:r w:rsidRPr="000922B8">
        <w:rPr>
          <w:lang w:val="en-CA"/>
        </w:rPr>
        <w:t>.,</w:t>
      </w:r>
      <w:r w:rsidRPr="008D2CF1">
        <w:rPr>
          <w:rStyle w:val="Appelnotedebasdep"/>
          <w:lang w:val="en-CA"/>
        </w:rPr>
        <w:footnoteReference w:id="49"/>
      </w:r>
      <w:r w:rsidRPr="000922B8">
        <w:rPr>
          <w:lang w:val="en-CA"/>
        </w:rPr>
        <w:t xml:space="preserve"> remarked on the role of the Superior Court hearing an application to extend the detention period of </w:t>
      </w:r>
      <w:r w:rsidR="00157510" w:rsidRPr="000922B8">
        <w:rPr>
          <w:lang w:val="en-CA"/>
        </w:rPr>
        <w:t>assets</w:t>
      </w:r>
      <w:r w:rsidRPr="000922B8">
        <w:rPr>
          <w:lang w:val="en-CA"/>
        </w:rPr>
        <w:t xml:space="preserve"> seized in connection with an Authority investigation </w:t>
      </w:r>
      <w:r w:rsidR="00157510" w:rsidRPr="000922B8">
        <w:rPr>
          <w:lang w:val="en-CA"/>
        </w:rPr>
        <w:t>under</w:t>
      </w:r>
      <w:r w:rsidRPr="000922B8">
        <w:rPr>
          <w:lang w:val="en-CA"/>
        </w:rPr>
        <w:t xml:space="preserve"> article 133 of the </w:t>
      </w:r>
      <w:r w:rsidRPr="000922B8">
        <w:rPr>
          <w:i/>
          <w:lang w:val="en-CA"/>
        </w:rPr>
        <w:t>Code of Penal Procedure</w:t>
      </w:r>
      <w:r w:rsidRPr="000922B8">
        <w:rPr>
          <w:lang w:val="en-CA"/>
        </w:rPr>
        <w:t>:</w:t>
      </w:r>
      <w:r w:rsidRPr="008D2CF1">
        <w:rPr>
          <w:rStyle w:val="Appelnotedebasdep"/>
          <w:lang w:val="en-CA"/>
        </w:rPr>
        <w:footnoteReference w:id="50"/>
      </w:r>
      <w:r w:rsidRPr="000922B8">
        <w:rPr>
          <w:lang w:val="en-CA"/>
        </w:rPr>
        <w:t xml:space="preserve"> </w:t>
      </w:r>
    </w:p>
    <w:p w14:paraId="2A2EB213" w14:textId="71D442D6" w:rsidR="00CF0836" w:rsidRPr="000922B8" w:rsidRDefault="00CF0836" w:rsidP="00C65B84">
      <w:pPr>
        <w:pStyle w:val="Citationendoubleretrait"/>
        <w:rPr>
          <w:lang w:val="en-CA"/>
        </w:rPr>
      </w:pPr>
      <w:r w:rsidRPr="000922B8">
        <w:rPr>
          <w:lang w:val="en-CA"/>
        </w:rPr>
        <w:t>[</w:t>
      </w:r>
      <w:r w:rsidRPr="000922B8">
        <w:rPr>
          <w:smallCaps/>
          <w:lang w:val="en-CA"/>
        </w:rPr>
        <w:t>translation</w:t>
      </w:r>
      <w:r w:rsidRPr="000922B8">
        <w:rPr>
          <w:lang w:val="en-CA"/>
        </w:rPr>
        <w:t>]</w:t>
      </w:r>
    </w:p>
    <w:p w14:paraId="76AD191A" w14:textId="6EC59A79" w:rsidR="00C65B84" w:rsidRPr="000922B8" w:rsidRDefault="00F72D51" w:rsidP="00C65B84">
      <w:pPr>
        <w:pStyle w:val="Citationendoubleretrait"/>
        <w:rPr>
          <w:lang w:val="en-CA"/>
        </w:rPr>
      </w:pPr>
      <w:r w:rsidRPr="000922B8">
        <w:rPr>
          <w:lang w:val="en-CA"/>
        </w:rPr>
        <w:t>[35] Admittedly the litigant who has been</w:t>
      </w:r>
      <w:r w:rsidR="00CF0836" w:rsidRPr="000922B8">
        <w:rPr>
          <w:lang w:val="en-CA"/>
        </w:rPr>
        <w:t xml:space="preserve"> </w:t>
      </w:r>
      <w:r w:rsidRPr="000922B8">
        <w:rPr>
          <w:lang w:val="en-CA"/>
        </w:rPr>
        <w:t xml:space="preserve">subject to a seizure has few </w:t>
      </w:r>
      <w:r w:rsidR="00CF0836" w:rsidRPr="000922B8">
        <w:rPr>
          <w:lang w:val="en-CA"/>
        </w:rPr>
        <w:t>tools</w:t>
      </w:r>
      <w:r w:rsidRPr="000922B8">
        <w:rPr>
          <w:lang w:val="en-CA"/>
        </w:rPr>
        <w:t xml:space="preserve"> to react to </w:t>
      </w:r>
      <w:r w:rsidR="007A60C9">
        <w:rPr>
          <w:lang w:val="en-CA"/>
        </w:rPr>
        <w:t>the</w:t>
      </w:r>
      <w:r w:rsidRPr="000922B8">
        <w:rPr>
          <w:lang w:val="en-CA"/>
        </w:rPr>
        <w:t xml:space="preserve"> State that may seek to extend the </w:t>
      </w:r>
      <w:r w:rsidR="007B36F0" w:rsidRPr="000922B8">
        <w:rPr>
          <w:lang w:val="en-CA"/>
        </w:rPr>
        <w:t>detention</w:t>
      </w:r>
      <w:r w:rsidRPr="000922B8">
        <w:rPr>
          <w:lang w:val="en-CA"/>
        </w:rPr>
        <w:t xml:space="preserve"> of </w:t>
      </w:r>
      <w:r w:rsidR="007B36F0" w:rsidRPr="000922B8">
        <w:rPr>
          <w:lang w:val="en-CA"/>
        </w:rPr>
        <w:t>things seized</w:t>
      </w:r>
      <w:r w:rsidRPr="000922B8">
        <w:rPr>
          <w:lang w:val="en-CA"/>
        </w:rPr>
        <w:t xml:space="preserve"> before </w:t>
      </w:r>
      <w:r w:rsidR="007A60C9">
        <w:rPr>
          <w:lang w:val="en-CA"/>
        </w:rPr>
        <w:t>deciding</w:t>
      </w:r>
      <w:r w:rsidRPr="000922B8">
        <w:rPr>
          <w:lang w:val="en-CA"/>
        </w:rPr>
        <w:t xml:space="preserve"> whether to file charges.</w:t>
      </w:r>
      <w:r w:rsidR="007E64CB" w:rsidRPr="000922B8">
        <w:rPr>
          <w:lang w:val="en-CA"/>
        </w:rPr>
        <w:t xml:space="preserve"> </w:t>
      </w:r>
      <w:r w:rsidRPr="000922B8">
        <w:rPr>
          <w:lang w:val="en-CA"/>
        </w:rPr>
        <w:t xml:space="preserve">This delay may sometimes extend </w:t>
      </w:r>
      <w:r w:rsidR="007A60C9">
        <w:rPr>
          <w:lang w:val="en-CA"/>
        </w:rPr>
        <w:t>over</w:t>
      </w:r>
      <w:r w:rsidRPr="000922B8">
        <w:rPr>
          <w:lang w:val="en-CA"/>
        </w:rPr>
        <w:t xml:space="preserve"> several months, even years.</w:t>
      </w:r>
    </w:p>
    <w:p w14:paraId="69A8F912" w14:textId="0F5DCAA9" w:rsidR="00C65B84" w:rsidRPr="000922B8" w:rsidRDefault="00F72D51" w:rsidP="00C65B84">
      <w:pPr>
        <w:pStyle w:val="Citationendoubleretrait"/>
        <w:rPr>
          <w:u w:val="single"/>
          <w:lang w:val="en-CA"/>
        </w:rPr>
      </w:pPr>
      <w:r w:rsidRPr="000922B8">
        <w:rPr>
          <w:lang w:val="en-CA"/>
        </w:rPr>
        <w:t xml:space="preserve">[36] </w:t>
      </w:r>
      <w:r w:rsidRPr="000922B8">
        <w:rPr>
          <w:u w:val="single"/>
          <w:lang w:val="en-CA"/>
        </w:rPr>
        <w:t xml:space="preserve">It is therefore up to the tribunals to carefully analyze the applications to extend the detention of </w:t>
      </w:r>
      <w:r w:rsidR="007B36F0" w:rsidRPr="000922B8">
        <w:rPr>
          <w:u w:val="single"/>
          <w:lang w:val="en-CA"/>
        </w:rPr>
        <w:t>things</w:t>
      </w:r>
      <w:r w:rsidRPr="000922B8">
        <w:rPr>
          <w:u w:val="single"/>
          <w:lang w:val="en-CA"/>
        </w:rPr>
        <w:t xml:space="preserve"> seized to ensure that this tool, found in the CCP, which purports to extend the detention of </w:t>
      </w:r>
      <w:r w:rsidR="007B36F0" w:rsidRPr="000922B8">
        <w:rPr>
          <w:u w:val="single"/>
          <w:lang w:val="en-CA"/>
        </w:rPr>
        <w:t xml:space="preserve">things </w:t>
      </w:r>
      <w:r w:rsidRPr="000922B8">
        <w:rPr>
          <w:u w:val="single"/>
          <w:lang w:val="en-CA"/>
        </w:rPr>
        <w:t>seized, despite the laying of charges, not be seen as an open bar allowing the seizing authorities to extend their investigations without having to account for their actions or lack thereof</w:t>
      </w:r>
      <w:r w:rsidRPr="000922B8">
        <w:rPr>
          <w:lang w:val="en-CA"/>
        </w:rPr>
        <w:t>.</w:t>
      </w:r>
    </w:p>
    <w:p w14:paraId="126826D8" w14:textId="03D12D14" w:rsidR="00C65B84" w:rsidRPr="000922B8" w:rsidRDefault="00F72D51" w:rsidP="00C65B84">
      <w:pPr>
        <w:pStyle w:val="Citationendoubleretrait"/>
        <w:rPr>
          <w:lang w:val="en-CA"/>
        </w:rPr>
      </w:pPr>
      <w:r w:rsidRPr="000922B8">
        <w:rPr>
          <w:lang w:val="en-CA"/>
        </w:rPr>
        <w:t>[Emphasis added.]</w:t>
      </w:r>
      <w:r w:rsidR="007E64CB" w:rsidRPr="000922B8">
        <w:rPr>
          <w:lang w:val="en-CA"/>
        </w:rPr>
        <w:t xml:space="preserve"> </w:t>
      </w:r>
    </w:p>
    <w:p w14:paraId="40A6F73F" w14:textId="16CED463" w:rsidR="00C65B84" w:rsidRPr="000922B8" w:rsidRDefault="00402E9E" w:rsidP="00C65B84">
      <w:pPr>
        <w:pStyle w:val="Paragraphe"/>
        <w:rPr>
          <w:lang w:val="en-CA"/>
        </w:rPr>
      </w:pPr>
      <w:r w:rsidRPr="000922B8">
        <w:rPr>
          <w:lang w:val="en-CA"/>
        </w:rPr>
        <w:t xml:space="preserve">To assess the reasonableness of the </w:t>
      </w:r>
      <w:r w:rsidR="007B36F0" w:rsidRPr="000922B8">
        <w:rPr>
          <w:lang w:val="en-CA"/>
        </w:rPr>
        <w:t>delay</w:t>
      </w:r>
      <w:r w:rsidRPr="000922B8">
        <w:rPr>
          <w:lang w:val="en-CA"/>
        </w:rPr>
        <w:t xml:space="preserve"> sought for the extension </w:t>
      </w:r>
      <w:r w:rsidR="00311D95" w:rsidRPr="000922B8">
        <w:rPr>
          <w:lang w:val="en-CA"/>
        </w:rPr>
        <w:t>of</w:t>
      </w:r>
      <w:r w:rsidRPr="000922B8">
        <w:rPr>
          <w:lang w:val="en-CA"/>
        </w:rPr>
        <w:t xml:space="preserve"> the freeze orders, which delay cannot exceed 12 months, the Tribunal will draw inspiration from the factors established by the Supreme Court of Canada in </w:t>
      </w:r>
      <w:proofErr w:type="spellStart"/>
      <w:r w:rsidRPr="000922B8">
        <w:rPr>
          <w:i/>
          <w:lang w:val="en-CA"/>
        </w:rPr>
        <w:t>Blencoe</w:t>
      </w:r>
      <w:proofErr w:type="spellEnd"/>
      <w:r w:rsidRPr="000922B8">
        <w:rPr>
          <w:lang w:val="en-CA"/>
        </w:rPr>
        <w:t xml:space="preserve"> and </w:t>
      </w:r>
      <w:proofErr w:type="spellStart"/>
      <w:r w:rsidRPr="000922B8">
        <w:rPr>
          <w:i/>
          <w:lang w:val="en-CA"/>
        </w:rPr>
        <w:t>Abrametz</w:t>
      </w:r>
      <w:proofErr w:type="spellEnd"/>
      <w:r w:rsidRPr="000922B8">
        <w:rPr>
          <w:lang w:val="en-CA"/>
        </w:rPr>
        <w:t>, even though they were established in a different context.</w:t>
      </w:r>
      <w:r w:rsidR="006D13F6" w:rsidRPr="000922B8">
        <w:rPr>
          <w:lang w:val="en-CA"/>
        </w:rPr>
        <w:t xml:space="preserve"> </w:t>
      </w:r>
    </w:p>
    <w:p w14:paraId="6068105D" w14:textId="68CCBAB7" w:rsidR="00C65B84" w:rsidRPr="000922B8" w:rsidRDefault="002A38F7" w:rsidP="00A27830">
      <w:pPr>
        <w:pStyle w:val="Paragraphe"/>
        <w:rPr>
          <w:lang w:val="en-CA"/>
        </w:rPr>
      </w:pPr>
      <w:r w:rsidRPr="000922B8">
        <w:rPr>
          <w:lang w:val="en-CA"/>
        </w:rPr>
        <w:t xml:space="preserve">Without interfering in the Authority’s investigation and protecting its </w:t>
      </w:r>
      <w:r w:rsidRPr="000922B8">
        <w:rPr>
          <w:i/>
          <w:iCs/>
          <w:lang w:val="en-CA"/>
        </w:rPr>
        <w:t>in camera</w:t>
      </w:r>
      <w:r w:rsidR="00450843" w:rsidRPr="000922B8">
        <w:rPr>
          <w:lang w:val="en-CA"/>
        </w:rPr>
        <w:t xml:space="preserve"> nature</w:t>
      </w:r>
      <w:r w:rsidRPr="000922B8">
        <w:rPr>
          <w:lang w:val="en-CA"/>
        </w:rPr>
        <w:t>, the Tribunal will take into consideration the following contextual factors: (</w:t>
      </w:r>
      <w:proofErr w:type="spellStart"/>
      <w:r w:rsidRPr="000922B8">
        <w:rPr>
          <w:lang w:val="en-CA"/>
        </w:rPr>
        <w:t>i</w:t>
      </w:r>
      <w:proofErr w:type="spellEnd"/>
      <w:r w:rsidRPr="000922B8">
        <w:rPr>
          <w:lang w:val="en-CA"/>
        </w:rPr>
        <w:t xml:space="preserve">) the nature and purpose of the Authority’s investigation and its consequences, (ii) the length and causes for the delays </w:t>
      </w:r>
      <w:r w:rsidR="00F47F7C">
        <w:rPr>
          <w:lang w:val="en-CA"/>
        </w:rPr>
        <w:t>incurred</w:t>
      </w:r>
      <w:r w:rsidRPr="000922B8">
        <w:rPr>
          <w:lang w:val="en-CA"/>
        </w:rPr>
        <w:t xml:space="preserve"> and the additional delays sought by the Authority</w:t>
      </w:r>
      <w:r w:rsidR="00F47F7C">
        <w:rPr>
          <w:lang w:val="en-CA"/>
        </w:rPr>
        <w:t>,</w:t>
      </w:r>
      <w:r w:rsidRPr="000922B8">
        <w:rPr>
          <w:lang w:val="en-CA"/>
        </w:rPr>
        <w:t xml:space="preserve"> and (iii) the complexity of the facts </w:t>
      </w:r>
      <w:r w:rsidR="00450843" w:rsidRPr="000922B8">
        <w:rPr>
          <w:lang w:val="en-CA"/>
        </w:rPr>
        <w:t>of</w:t>
      </w:r>
      <w:r w:rsidRPr="000922B8">
        <w:rPr>
          <w:lang w:val="en-CA"/>
        </w:rPr>
        <w:t xml:space="preserve"> the case and the issues in dispute.</w:t>
      </w:r>
      <w:r w:rsidRPr="008D2CF1">
        <w:rPr>
          <w:rStyle w:val="Appelnotedebasdep"/>
          <w:lang w:val="en-CA"/>
        </w:rPr>
        <w:footnoteReference w:id="51"/>
      </w:r>
      <w:r w:rsidR="007E64CB" w:rsidRPr="000922B8">
        <w:rPr>
          <w:lang w:val="en-CA"/>
        </w:rPr>
        <w:t xml:space="preserve"> </w:t>
      </w:r>
    </w:p>
    <w:p w14:paraId="47EF2CD5" w14:textId="662652A3" w:rsidR="001149F3" w:rsidRPr="000922B8" w:rsidRDefault="00B24CF0" w:rsidP="001149F3">
      <w:pPr>
        <w:pStyle w:val="Paragraphe"/>
        <w:rPr>
          <w:lang w:val="en-CA"/>
        </w:rPr>
      </w:pPr>
      <w:r w:rsidRPr="000922B8">
        <w:rPr>
          <w:lang w:val="en-CA"/>
        </w:rPr>
        <w:t xml:space="preserve">In fact, in several decisions, the Tribunal considered many of these factors to determine the length of the extension </w:t>
      </w:r>
      <w:r w:rsidR="00F47F7C">
        <w:rPr>
          <w:lang w:val="en-CA"/>
        </w:rPr>
        <w:t>of</w:t>
      </w:r>
      <w:r w:rsidRPr="000922B8">
        <w:rPr>
          <w:lang w:val="en-CA"/>
        </w:rPr>
        <w:t xml:space="preserve"> freeze orders.</w:t>
      </w:r>
      <w:r w:rsidRPr="008D2CF1">
        <w:rPr>
          <w:rStyle w:val="Appelnotedebasdep"/>
          <w:lang w:val="en-CA"/>
        </w:rPr>
        <w:footnoteReference w:id="52"/>
      </w:r>
      <w:r w:rsidR="007E64CB" w:rsidRPr="000922B8">
        <w:rPr>
          <w:lang w:val="en-CA"/>
        </w:rPr>
        <w:t xml:space="preserve"> </w:t>
      </w:r>
    </w:p>
    <w:p w14:paraId="66901A63" w14:textId="0728135B" w:rsidR="00C65B84" w:rsidRPr="000922B8" w:rsidRDefault="007324C7" w:rsidP="00C65B84">
      <w:pPr>
        <w:pStyle w:val="Paragraphe"/>
        <w:rPr>
          <w:lang w:val="en-CA"/>
        </w:rPr>
      </w:pPr>
      <w:r w:rsidRPr="000922B8">
        <w:rPr>
          <w:lang w:val="en-CA"/>
        </w:rPr>
        <w:t>The Tribunal adds, paraphrasing the Supreme Court of Canada that, “[t]</w:t>
      </w:r>
      <w:proofErr w:type="spellStart"/>
      <w:r w:rsidRPr="000922B8">
        <w:rPr>
          <w:lang w:val="en-CA"/>
        </w:rPr>
        <w:t>hese</w:t>
      </w:r>
      <w:proofErr w:type="spellEnd"/>
      <w:r w:rsidRPr="000922B8">
        <w:rPr>
          <w:lang w:val="en-CA"/>
        </w:rPr>
        <w:t xml:space="preserve"> factors are not exhaustive, such that additional contextual factors can be considered in a particular case</w:t>
      </w:r>
      <w:r w:rsidR="00450843" w:rsidRPr="000922B8">
        <w:rPr>
          <w:lang w:val="en-CA"/>
        </w:rPr>
        <w:t>”</w:t>
      </w:r>
      <w:r w:rsidRPr="000922B8">
        <w:rPr>
          <w:lang w:val="en-CA"/>
        </w:rPr>
        <w:t>.</w:t>
      </w:r>
      <w:r w:rsidR="007E64CB" w:rsidRPr="008D2CF1">
        <w:rPr>
          <w:rStyle w:val="Appelnotedebasdep"/>
          <w:lang w:val="en-CA"/>
        </w:rPr>
        <w:footnoteReference w:id="53"/>
      </w:r>
    </w:p>
    <w:p w14:paraId="41512507" w14:textId="16E913A8" w:rsidR="00C65B84" w:rsidRPr="000922B8" w:rsidRDefault="00F9136E" w:rsidP="00C65B84">
      <w:pPr>
        <w:pStyle w:val="Paragraphe"/>
        <w:rPr>
          <w:lang w:val="en-CA"/>
        </w:rPr>
      </w:pPr>
      <w:r w:rsidRPr="000922B8">
        <w:rPr>
          <w:lang w:val="en-CA"/>
        </w:rPr>
        <w:lastRenderedPageBreak/>
        <w:t xml:space="preserve">While assessing the </w:t>
      </w:r>
      <w:r w:rsidR="00C224C6" w:rsidRPr="000922B8">
        <w:rPr>
          <w:lang w:val="en-CA"/>
        </w:rPr>
        <w:t>delay</w:t>
      </w:r>
      <w:r w:rsidRPr="000922B8">
        <w:rPr>
          <w:lang w:val="en-CA"/>
        </w:rPr>
        <w:t xml:space="preserve"> is a subjective exercise that falls under the Tribunal’s discretion,</w:t>
      </w:r>
      <w:r w:rsidRPr="008D2CF1">
        <w:rPr>
          <w:rStyle w:val="Appelnotedebasdep"/>
          <w:lang w:val="en-CA"/>
        </w:rPr>
        <w:footnoteReference w:id="54"/>
      </w:r>
      <w:r w:rsidRPr="000922B8">
        <w:rPr>
          <w:lang w:val="en-CA"/>
        </w:rPr>
        <w:t xml:space="preserve"> these factors allow it to carry out a pragmatic analysis of the application brought by the Authority, while ensuring that the parties’ rights are respected.</w:t>
      </w:r>
      <w:r w:rsidR="007E64CB" w:rsidRPr="000922B8">
        <w:rPr>
          <w:lang w:val="en-CA"/>
        </w:rPr>
        <w:t xml:space="preserve"> </w:t>
      </w:r>
    </w:p>
    <w:p w14:paraId="11C74D58" w14:textId="576AD248" w:rsidR="00C65B84" w:rsidRPr="000922B8" w:rsidRDefault="00F9136E" w:rsidP="00781799">
      <w:pPr>
        <w:pStyle w:val="Paragraphe"/>
        <w:numPr>
          <w:ilvl w:val="0"/>
          <w:numId w:val="5"/>
        </w:numPr>
        <w:rPr>
          <w:lang w:val="en-CA"/>
        </w:rPr>
      </w:pPr>
      <w:r w:rsidRPr="000922B8">
        <w:rPr>
          <w:lang w:val="en-CA"/>
        </w:rPr>
        <w:t>The nature and purpose of the Authority’s investigation and its consequences</w:t>
      </w:r>
      <w:r w:rsidR="00477C8B" w:rsidRPr="000922B8">
        <w:rPr>
          <w:lang w:val="en-CA"/>
        </w:rPr>
        <w:t xml:space="preserve"> </w:t>
      </w:r>
    </w:p>
    <w:p w14:paraId="21EFC39F" w14:textId="78042309" w:rsidR="007D00BC" w:rsidRPr="000922B8" w:rsidRDefault="00BC169A" w:rsidP="007D00BC">
      <w:pPr>
        <w:pStyle w:val="Paragraphe"/>
        <w:rPr>
          <w:lang w:val="en-CA"/>
        </w:rPr>
      </w:pPr>
      <w:r w:rsidRPr="000922B8">
        <w:rPr>
          <w:lang w:val="en-CA"/>
        </w:rPr>
        <w:t>It is important to consider the effects of the investigation on all the parties</w:t>
      </w:r>
      <w:r w:rsidR="00C224C6" w:rsidRPr="000922B8">
        <w:rPr>
          <w:lang w:val="en-CA"/>
        </w:rPr>
        <w:t xml:space="preserve"> who are</w:t>
      </w:r>
      <w:r w:rsidRPr="000922B8">
        <w:rPr>
          <w:lang w:val="en-CA"/>
        </w:rPr>
        <w:t xml:space="preserve"> involved or affected and ensure that the delay is not harmful to the person under investigation, the </w:t>
      </w:r>
      <w:r w:rsidR="00C224C6" w:rsidRPr="000922B8">
        <w:rPr>
          <w:lang w:val="en-CA"/>
        </w:rPr>
        <w:t>potentially</w:t>
      </w:r>
      <w:r w:rsidRPr="000922B8">
        <w:rPr>
          <w:lang w:val="en-CA"/>
        </w:rPr>
        <w:t xml:space="preserve"> wronged investors, nor, </w:t>
      </w:r>
      <w:r w:rsidR="00C224C6" w:rsidRPr="000922B8">
        <w:rPr>
          <w:lang w:val="en-CA"/>
        </w:rPr>
        <w:t>ultimately</w:t>
      </w:r>
      <w:r w:rsidRPr="000922B8">
        <w:rPr>
          <w:lang w:val="en-CA"/>
        </w:rPr>
        <w:t>, the public at large.</w:t>
      </w:r>
      <w:r w:rsidR="007E64CB" w:rsidRPr="000922B8">
        <w:rPr>
          <w:lang w:val="en-CA"/>
        </w:rPr>
        <w:t xml:space="preserve"> </w:t>
      </w:r>
      <w:r w:rsidR="003C414F" w:rsidRPr="000922B8">
        <w:rPr>
          <w:lang w:val="en-CA"/>
        </w:rPr>
        <w:t>Indeed, the public is entitled to expect that t</w:t>
      </w:r>
      <w:r w:rsidR="00C224C6" w:rsidRPr="000922B8">
        <w:rPr>
          <w:lang w:val="en-CA"/>
        </w:rPr>
        <w:t>h</w:t>
      </w:r>
      <w:r w:rsidR="003C414F" w:rsidRPr="000922B8">
        <w:rPr>
          <w:lang w:val="en-CA"/>
        </w:rPr>
        <w:t xml:space="preserve">e bodies whose mission it is to protect the public will proceed as </w:t>
      </w:r>
      <w:r w:rsidR="00C224C6" w:rsidRPr="000922B8">
        <w:rPr>
          <w:lang w:val="en-CA"/>
        </w:rPr>
        <w:t>quickly</w:t>
      </w:r>
      <w:r w:rsidR="003C414F" w:rsidRPr="000922B8">
        <w:rPr>
          <w:lang w:val="en-CA"/>
        </w:rPr>
        <w:t xml:space="preserve"> as possible based on the circumstances of </w:t>
      </w:r>
      <w:r w:rsidR="00C224C6" w:rsidRPr="000922B8">
        <w:rPr>
          <w:lang w:val="en-CA"/>
        </w:rPr>
        <w:t>the</w:t>
      </w:r>
      <w:r w:rsidR="003C414F" w:rsidRPr="000922B8">
        <w:rPr>
          <w:lang w:val="en-CA"/>
        </w:rPr>
        <w:t xml:space="preserve"> case.</w:t>
      </w:r>
    </w:p>
    <w:p w14:paraId="5B7CC5B1" w14:textId="3D4D0B95" w:rsidR="00C65B84" w:rsidRPr="000922B8" w:rsidRDefault="001245B2" w:rsidP="00C65B84">
      <w:pPr>
        <w:pStyle w:val="Paragraphe"/>
        <w:rPr>
          <w:lang w:val="en-CA"/>
        </w:rPr>
      </w:pPr>
      <w:r w:rsidRPr="000922B8">
        <w:rPr>
          <w:lang w:val="en-CA"/>
        </w:rPr>
        <w:t xml:space="preserve">When assessing the reasonableness of the delay, the Tribunal must assign great </w:t>
      </w:r>
      <w:r w:rsidR="00C224C6" w:rsidRPr="000922B8">
        <w:rPr>
          <w:lang w:val="en-CA"/>
        </w:rPr>
        <w:t>significance</w:t>
      </w:r>
      <w:r w:rsidRPr="000922B8">
        <w:rPr>
          <w:lang w:val="en-CA"/>
        </w:rPr>
        <w:t xml:space="preserve"> to the effects of the freeze orders it issued.</w:t>
      </w:r>
    </w:p>
    <w:p w14:paraId="5CB8FC01" w14:textId="455A1522" w:rsidR="00C65B84" w:rsidRPr="000922B8" w:rsidRDefault="001245B2" w:rsidP="00C65B84">
      <w:pPr>
        <w:pStyle w:val="Paragraphe"/>
        <w:rPr>
          <w:rFonts w:cs="Arial"/>
          <w:i/>
          <w:iCs/>
          <w:lang w:val="en-CA"/>
        </w:rPr>
      </w:pPr>
      <w:r w:rsidRPr="000922B8">
        <w:rPr>
          <w:iCs/>
          <w:lang w:val="en-CA"/>
        </w:rPr>
        <w:t xml:space="preserve">A freeze order is a </w:t>
      </w:r>
      <w:r w:rsidR="00C224C6" w:rsidRPr="000922B8">
        <w:rPr>
          <w:iCs/>
          <w:lang w:val="en-CA"/>
        </w:rPr>
        <w:t>[</w:t>
      </w:r>
      <w:r w:rsidR="00C224C6" w:rsidRPr="000922B8">
        <w:rPr>
          <w:iCs/>
          <w:smallCaps/>
          <w:lang w:val="en-CA"/>
        </w:rPr>
        <w:t>translation</w:t>
      </w:r>
      <w:r w:rsidR="00C224C6" w:rsidRPr="000922B8">
        <w:rPr>
          <w:iCs/>
          <w:lang w:val="en-CA"/>
        </w:rPr>
        <w:t xml:space="preserve">] </w:t>
      </w:r>
      <w:r w:rsidRPr="000922B8">
        <w:rPr>
          <w:iCs/>
          <w:lang w:val="en-CA"/>
        </w:rPr>
        <w:t>“conservatory” measure that protects the status</w:t>
      </w:r>
      <w:r w:rsidR="00C224C6" w:rsidRPr="000922B8">
        <w:rPr>
          <w:iCs/>
          <w:lang w:val="en-CA"/>
        </w:rPr>
        <w:t> </w:t>
      </w:r>
      <w:r w:rsidRPr="000922B8">
        <w:rPr>
          <w:iCs/>
          <w:lang w:val="en-CA"/>
        </w:rPr>
        <w:t>quo while the Authority investigates the situation.</w:t>
      </w:r>
      <w:r w:rsidRPr="008D2CF1">
        <w:rPr>
          <w:rStyle w:val="Appelnotedebasdep"/>
          <w:lang w:val="en-CA"/>
        </w:rPr>
        <w:footnoteReference w:id="55"/>
      </w:r>
      <w:r w:rsidR="007E64CB" w:rsidRPr="000922B8">
        <w:rPr>
          <w:lang w:val="en-CA"/>
        </w:rPr>
        <w:t xml:space="preserve"> </w:t>
      </w:r>
      <w:r w:rsidR="00671531" w:rsidRPr="000922B8">
        <w:rPr>
          <w:lang w:val="en-CA"/>
        </w:rPr>
        <w:t>Th</w:t>
      </w:r>
      <w:r w:rsidR="00C224C6" w:rsidRPr="000922B8">
        <w:rPr>
          <w:lang w:val="en-CA"/>
        </w:rPr>
        <w:t>e</w:t>
      </w:r>
      <w:r w:rsidR="00671531" w:rsidRPr="000922B8">
        <w:rPr>
          <w:lang w:val="en-CA"/>
        </w:rPr>
        <w:t xml:space="preserve"> property and assets that were potentially acquired or gather</w:t>
      </w:r>
      <w:r w:rsidR="00C224C6" w:rsidRPr="000922B8">
        <w:rPr>
          <w:lang w:val="en-CA"/>
        </w:rPr>
        <w:t>ed</w:t>
      </w:r>
      <w:r w:rsidR="00671531" w:rsidRPr="000922B8">
        <w:rPr>
          <w:lang w:val="en-CA"/>
        </w:rPr>
        <w:t xml:space="preserve"> from investors in a </w:t>
      </w:r>
      <w:r w:rsidR="00C224C6" w:rsidRPr="000922B8">
        <w:rPr>
          <w:lang w:val="en-CA"/>
        </w:rPr>
        <w:t>manner</w:t>
      </w:r>
      <w:r w:rsidR="00671531" w:rsidRPr="000922B8">
        <w:rPr>
          <w:lang w:val="en-CA"/>
        </w:rPr>
        <w:t xml:space="preserve"> that breache</w:t>
      </w:r>
      <w:r w:rsidR="00C224C6" w:rsidRPr="000922B8">
        <w:rPr>
          <w:lang w:val="en-CA"/>
        </w:rPr>
        <w:t>d</w:t>
      </w:r>
      <w:r w:rsidR="00671531" w:rsidRPr="000922B8">
        <w:rPr>
          <w:lang w:val="en-CA"/>
        </w:rPr>
        <w:t xml:space="preserve"> the law</w:t>
      </w:r>
      <w:r w:rsidR="00671531" w:rsidRPr="008D2CF1">
        <w:rPr>
          <w:rStyle w:val="Appelnotedebasdep"/>
          <w:lang w:val="en-CA"/>
        </w:rPr>
        <w:footnoteReference w:id="56"/>
      </w:r>
      <w:r w:rsidR="00671531" w:rsidRPr="000922B8">
        <w:rPr>
          <w:lang w:val="en-CA"/>
        </w:rPr>
        <w:t xml:space="preserve"> are essentially protected and conserved for the purpose or in the course of an investigation by the Authority, until its completion.</w:t>
      </w:r>
      <w:r w:rsidR="007E64CB" w:rsidRPr="000922B8">
        <w:rPr>
          <w:lang w:val="en-CA"/>
        </w:rPr>
        <w:t xml:space="preserve"> </w:t>
      </w:r>
    </w:p>
    <w:p w14:paraId="3FA89100" w14:textId="432B4525" w:rsidR="00C65B84" w:rsidRPr="000922B8" w:rsidRDefault="007E64CB" w:rsidP="00C65B84">
      <w:pPr>
        <w:pStyle w:val="Paragraphe"/>
        <w:rPr>
          <w:rFonts w:cs="Arial"/>
          <w:i/>
          <w:iCs/>
          <w:lang w:val="en-CA"/>
        </w:rPr>
      </w:pPr>
      <w:r w:rsidRPr="000922B8">
        <w:rPr>
          <w:lang w:val="en-CA"/>
        </w:rPr>
        <w:t xml:space="preserve"> </w:t>
      </w:r>
      <w:r w:rsidR="00671531" w:rsidRPr="000922B8">
        <w:rPr>
          <w:lang w:val="en-CA"/>
        </w:rPr>
        <w:t xml:space="preserve">With respect to general freeze </w:t>
      </w:r>
      <w:r w:rsidR="00263AA0" w:rsidRPr="000922B8">
        <w:rPr>
          <w:lang w:val="en-CA"/>
        </w:rPr>
        <w:t>orders</w:t>
      </w:r>
      <w:r w:rsidR="00671531" w:rsidRPr="000922B8">
        <w:rPr>
          <w:lang w:val="en-CA"/>
        </w:rPr>
        <w:t>, as i</w:t>
      </w:r>
      <w:r w:rsidR="00263AA0" w:rsidRPr="000922B8">
        <w:rPr>
          <w:lang w:val="en-CA"/>
        </w:rPr>
        <w:t>n</w:t>
      </w:r>
      <w:r w:rsidR="00671531" w:rsidRPr="000922B8">
        <w:rPr>
          <w:lang w:val="en-CA"/>
        </w:rPr>
        <w:t xml:space="preserve"> the case here, the person </w:t>
      </w:r>
      <w:r w:rsidR="00263AA0" w:rsidRPr="000922B8">
        <w:rPr>
          <w:lang w:val="en-CA"/>
        </w:rPr>
        <w:t xml:space="preserve">against whom the order was issued </w:t>
      </w:r>
      <w:r w:rsidR="00671531" w:rsidRPr="000922B8">
        <w:rPr>
          <w:lang w:val="en-CA"/>
        </w:rPr>
        <w:t xml:space="preserve">is deprived of the free disposal of the </w:t>
      </w:r>
      <w:r w:rsidR="00263AA0" w:rsidRPr="000922B8">
        <w:rPr>
          <w:lang w:val="en-CA"/>
        </w:rPr>
        <w:t>assets</w:t>
      </w:r>
      <w:r w:rsidR="00671531" w:rsidRPr="000922B8">
        <w:rPr>
          <w:lang w:val="en-CA"/>
        </w:rPr>
        <w:t xml:space="preserve"> </w:t>
      </w:r>
      <w:r w:rsidR="00CA44A7">
        <w:rPr>
          <w:lang w:val="en-CA"/>
        </w:rPr>
        <w:t>covered</w:t>
      </w:r>
      <w:r w:rsidR="00263AA0" w:rsidRPr="000922B8">
        <w:rPr>
          <w:lang w:val="en-CA"/>
        </w:rPr>
        <w:t xml:space="preserve"> by</w:t>
      </w:r>
      <w:r w:rsidR="00671531" w:rsidRPr="000922B8">
        <w:rPr>
          <w:lang w:val="en-CA"/>
        </w:rPr>
        <w:t xml:space="preserve"> the freeze order.</w:t>
      </w:r>
      <w:r w:rsidRPr="000922B8">
        <w:rPr>
          <w:lang w:val="en-CA"/>
        </w:rPr>
        <w:t xml:space="preserve"> </w:t>
      </w:r>
      <w:r w:rsidR="00671531" w:rsidRPr="000922B8">
        <w:rPr>
          <w:lang w:val="en-CA"/>
        </w:rPr>
        <w:t>Without the Tribunal’s authorization,</w:t>
      </w:r>
      <w:r w:rsidR="00671531" w:rsidRPr="008D2CF1">
        <w:rPr>
          <w:rStyle w:val="Appelnotedebasdep"/>
          <w:lang w:val="en-CA"/>
        </w:rPr>
        <w:footnoteReference w:id="57"/>
      </w:r>
      <w:r w:rsidR="00671531" w:rsidRPr="000922B8">
        <w:rPr>
          <w:lang w:val="en-CA"/>
        </w:rPr>
        <w:t xml:space="preserve"> the person will be prevented from </w:t>
      </w:r>
      <w:r w:rsidR="00CA44A7">
        <w:rPr>
          <w:lang w:val="en-CA"/>
        </w:rPr>
        <w:t>performing</w:t>
      </w:r>
      <w:r w:rsidR="00671531" w:rsidRPr="000922B8">
        <w:rPr>
          <w:lang w:val="en-CA"/>
        </w:rPr>
        <w:t xml:space="preserve"> any juridical act to dispose</w:t>
      </w:r>
      <w:r w:rsidR="00263AA0" w:rsidRPr="000922B8">
        <w:rPr>
          <w:lang w:val="en-CA"/>
        </w:rPr>
        <w:t xml:space="preserve"> of</w:t>
      </w:r>
      <w:r w:rsidR="00671531" w:rsidRPr="000922B8">
        <w:rPr>
          <w:lang w:val="en-CA"/>
        </w:rPr>
        <w:t xml:space="preserve"> or transfer the property that has been frozen.</w:t>
      </w:r>
      <w:r w:rsidRPr="000922B8">
        <w:rPr>
          <w:lang w:val="en-CA"/>
        </w:rPr>
        <w:t xml:space="preserve"> </w:t>
      </w:r>
      <w:r w:rsidR="00671531" w:rsidRPr="000922B8">
        <w:rPr>
          <w:lang w:val="en-CA"/>
        </w:rPr>
        <w:t>The person is also prevented from using the amounts of money</w:t>
      </w:r>
      <w:r w:rsidR="00CA44A7">
        <w:rPr>
          <w:lang w:val="en-CA"/>
        </w:rPr>
        <w:t xml:space="preserve"> that have been </w:t>
      </w:r>
      <w:r w:rsidR="00CA44A7" w:rsidRPr="000922B8">
        <w:rPr>
          <w:lang w:val="en-CA"/>
        </w:rPr>
        <w:t>frozen</w:t>
      </w:r>
      <w:r w:rsidR="00671531" w:rsidRPr="000922B8">
        <w:rPr>
          <w:lang w:val="en-CA"/>
        </w:rPr>
        <w:t>.</w:t>
      </w:r>
    </w:p>
    <w:p w14:paraId="40CF7049" w14:textId="7AB0A5B2" w:rsidR="00C65B84" w:rsidRPr="000922B8" w:rsidRDefault="00263AA0" w:rsidP="00C65B84">
      <w:pPr>
        <w:pStyle w:val="Paragraphe"/>
        <w:rPr>
          <w:rFonts w:cs="Arial"/>
          <w:i/>
          <w:iCs/>
          <w:lang w:val="en-CA"/>
        </w:rPr>
      </w:pPr>
      <w:r w:rsidRPr="000922B8">
        <w:rPr>
          <w:lang w:val="en-CA"/>
        </w:rPr>
        <w:t>Because</w:t>
      </w:r>
      <w:r w:rsidR="00671531" w:rsidRPr="000922B8">
        <w:rPr>
          <w:lang w:val="en-CA"/>
        </w:rPr>
        <w:t xml:space="preserve"> the person no longer has access to their funds, they will be unable to pay bills or</w:t>
      </w:r>
      <w:r w:rsidRPr="000922B8">
        <w:rPr>
          <w:lang w:val="en-CA"/>
        </w:rPr>
        <w:t xml:space="preserve"> the</w:t>
      </w:r>
      <w:r w:rsidR="00671531" w:rsidRPr="000922B8">
        <w:rPr>
          <w:lang w:val="en-CA"/>
        </w:rPr>
        <w:t xml:space="preserve"> legitimate running costs </w:t>
      </w:r>
      <w:r w:rsidRPr="000922B8">
        <w:rPr>
          <w:lang w:val="en-CA"/>
        </w:rPr>
        <w:t>of</w:t>
      </w:r>
      <w:r w:rsidR="00671531" w:rsidRPr="000922B8">
        <w:rPr>
          <w:lang w:val="en-CA"/>
        </w:rPr>
        <w:t xml:space="preserve"> the frozen property.</w:t>
      </w:r>
      <w:r w:rsidR="007E64CB" w:rsidRPr="000922B8">
        <w:rPr>
          <w:lang w:val="en-CA"/>
        </w:rPr>
        <w:t xml:space="preserve"> </w:t>
      </w:r>
      <w:r w:rsidR="00671531" w:rsidRPr="000922B8">
        <w:rPr>
          <w:lang w:val="en-CA"/>
        </w:rPr>
        <w:t xml:space="preserve">If the Tribunal does not grant a partial lift, the person </w:t>
      </w:r>
      <w:r w:rsidR="00D01E95">
        <w:rPr>
          <w:lang w:val="en-CA"/>
        </w:rPr>
        <w:t>subject to the</w:t>
      </w:r>
      <w:r w:rsidR="00671531" w:rsidRPr="000922B8">
        <w:rPr>
          <w:lang w:val="en-CA"/>
        </w:rPr>
        <w:t xml:space="preserve"> freeze order will be unable to use any funds whatsoever to carry out any transactions to support themselves.</w:t>
      </w:r>
      <w:r w:rsidR="007E64CB" w:rsidRPr="000922B8">
        <w:rPr>
          <w:lang w:val="en-CA"/>
        </w:rPr>
        <w:t xml:space="preserve"> </w:t>
      </w:r>
      <w:r w:rsidR="00671531" w:rsidRPr="000922B8">
        <w:rPr>
          <w:lang w:val="en-CA"/>
        </w:rPr>
        <w:t xml:space="preserve">Moreover, it is important to add that the freeze orders issued by the Tribunal apply to funds, securities, and other assets received </w:t>
      </w:r>
      <w:r w:rsidRPr="000922B8">
        <w:rPr>
          <w:lang w:val="en-CA"/>
        </w:rPr>
        <w:t>after</w:t>
      </w:r>
      <w:r w:rsidR="00671531" w:rsidRPr="000922B8">
        <w:rPr>
          <w:lang w:val="en-CA"/>
        </w:rPr>
        <w:t xml:space="preserve"> the</w:t>
      </w:r>
      <w:r w:rsidRPr="000922B8">
        <w:rPr>
          <w:lang w:val="en-CA"/>
        </w:rPr>
        <w:t xml:space="preserve"> effective </w:t>
      </w:r>
      <w:r w:rsidR="00671531" w:rsidRPr="000922B8">
        <w:rPr>
          <w:lang w:val="en-CA"/>
        </w:rPr>
        <w:t>date</w:t>
      </w:r>
      <w:r w:rsidRPr="000922B8">
        <w:rPr>
          <w:lang w:val="en-CA"/>
        </w:rPr>
        <w:t xml:space="preserve"> of </w:t>
      </w:r>
      <w:r w:rsidR="00671531" w:rsidRPr="000922B8">
        <w:rPr>
          <w:lang w:val="en-CA"/>
        </w:rPr>
        <w:t>the orders.</w:t>
      </w:r>
      <w:r w:rsidR="00671531" w:rsidRPr="008D2CF1">
        <w:rPr>
          <w:rStyle w:val="Appelnotedebasdep"/>
          <w:lang w:val="en-CA"/>
        </w:rPr>
        <w:footnoteReference w:id="58"/>
      </w:r>
    </w:p>
    <w:p w14:paraId="71137EB4" w14:textId="3DD73561" w:rsidR="00C65B84" w:rsidRPr="000922B8" w:rsidRDefault="007E64CB" w:rsidP="00C65B84">
      <w:pPr>
        <w:pStyle w:val="Paragraphe"/>
        <w:rPr>
          <w:rFonts w:cs="Arial"/>
          <w:i/>
          <w:iCs/>
          <w:lang w:val="en-CA"/>
        </w:rPr>
      </w:pPr>
      <w:r w:rsidRPr="000922B8">
        <w:rPr>
          <w:lang w:val="en-CA"/>
        </w:rPr>
        <w:t xml:space="preserve"> </w:t>
      </w:r>
      <w:r w:rsidR="00671531" w:rsidRPr="000922B8">
        <w:rPr>
          <w:lang w:val="en-CA"/>
        </w:rPr>
        <w:t>Because of their binding effect, they are considered to be exceptional measures to be interpreted narrowly</w:t>
      </w:r>
      <w:r w:rsidR="00671531" w:rsidRPr="008D2CF1">
        <w:rPr>
          <w:rStyle w:val="Appelnotedebasdep"/>
          <w:lang w:val="en-CA"/>
        </w:rPr>
        <w:footnoteReference w:id="59"/>
      </w:r>
      <w:r w:rsidR="00671531" w:rsidRPr="000922B8">
        <w:rPr>
          <w:lang w:val="en-CA"/>
        </w:rPr>
        <w:t xml:space="preserve"> and requiring </w:t>
      </w:r>
      <w:r w:rsidR="00536656" w:rsidRPr="000922B8">
        <w:rPr>
          <w:lang w:val="en-CA"/>
        </w:rPr>
        <w:t>[</w:t>
      </w:r>
      <w:r w:rsidR="00536656" w:rsidRPr="000922B8">
        <w:rPr>
          <w:smallCaps/>
          <w:lang w:val="en-CA"/>
        </w:rPr>
        <w:t>translation</w:t>
      </w:r>
      <w:r w:rsidR="00536656" w:rsidRPr="000922B8">
        <w:rPr>
          <w:lang w:val="en-CA"/>
        </w:rPr>
        <w:t xml:space="preserve">] </w:t>
      </w:r>
      <w:r w:rsidR="00671531" w:rsidRPr="000922B8">
        <w:rPr>
          <w:lang w:val="en-CA"/>
        </w:rPr>
        <w:t>“serious supervisory and control measures”</w:t>
      </w:r>
      <w:r w:rsidR="00671531" w:rsidRPr="008D2CF1">
        <w:rPr>
          <w:rStyle w:val="Appelnotedebasdep"/>
          <w:lang w:val="en-CA"/>
        </w:rPr>
        <w:footnoteReference w:id="60"/>
      </w:r>
      <w:r w:rsidR="00671531" w:rsidRPr="000922B8">
        <w:rPr>
          <w:lang w:val="en-CA"/>
        </w:rPr>
        <w:t xml:space="preserve"> by the Tribunal.</w:t>
      </w:r>
      <w:r w:rsidRPr="000922B8">
        <w:rPr>
          <w:lang w:val="en-CA"/>
        </w:rPr>
        <w:t xml:space="preserve"> </w:t>
      </w:r>
      <w:r w:rsidR="00671531" w:rsidRPr="000922B8">
        <w:rPr>
          <w:lang w:val="en-CA"/>
        </w:rPr>
        <w:t xml:space="preserve">In this context, the Tribunal recalls that these orders </w:t>
      </w:r>
      <w:r w:rsidR="00D21981" w:rsidRPr="000922B8">
        <w:rPr>
          <w:lang w:val="en-CA"/>
        </w:rPr>
        <w:lastRenderedPageBreak/>
        <w:t>[</w:t>
      </w:r>
      <w:r w:rsidR="00D21981" w:rsidRPr="000922B8">
        <w:rPr>
          <w:smallCaps/>
          <w:lang w:val="en-CA"/>
        </w:rPr>
        <w:t>translation</w:t>
      </w:r>
      <w:r w:rsidR="00D21981" w:rsidRPr="000922B8">
        <w:rPr>
          <w:lang w:val="en-CA"/>
        </w:rPr>
        <w:t xml:space="preserve">] </w:t>
      </w:r>
      <w:r w:rsidR="00671531" w:rsidRPr="000922B8">
        <w:rPr>
          <w:lang w:val="en-CA"/>
        </w:rPr>
        <w:t>“can be extended only for the time they are absolutely necessary in the public interest”.</w:t>
      </w:r>
      <w:r w:rsidRPr="008D2CF1">
        <w:rPr>
          <w:rStyle w:val="Appelnotedebasdep"/>
          <w:lang w:val="en-CA"/>
        </w:rPr>
        <w:footnoteReference w:id="61"/>
      </w:r>
    </w:p>
    <w:p w14:paraId="13F0A599" w14:textId="1132E749" w:rsidR="00C65B84" w:rsidRPr="000922B8" w:rsidRDefault="00671531" w:rsidP="00781799">
      <w:pPr>
        <w:pStyle w:val="Paragraphe"/>
        <w:numPr>
          <w:ilvl w:val="0"/>
          <w:numId w:val="6"/>
        </w:numPr>
        <w:rPr>
          <w:rFonts w:cs="Arial"/>
          <w:i/>
          <w:iCs/>
          <w:lang w:val="en-CA"/>
        </w:rPr>
      </w:pPr>
      <w:r w:rsidRPr="000922B8">
        <w:rPr>
          <w:lang w:val="en-CA"/>
        </w:rPr>
        <w:t xml:space="preserve">The length and causes for the delays </w:t>
      </w:r>
      <w:r w:rsidR="000B52D8">
        <w:rPr>
          <w:lang w:val="en-CA"/>
        </w:rPr>
        <w:t>incurred</w:t>
      </w:r>
      <w:r w:rsidRPr="000922B8">
        <w:rPr>
          <w:lang w:val="en-CA"/>
        </w:rPr>
        <w:t xml:space="preserve"> and the additional </w:t>
      </w:r>
      <w:r w:rsidR="000B52D8">
        <w:rPr>
          <w:lang w:val="en-CA"/>
        </w:rPr>
        <w:t>time</w:t>
      </w:r>
      <w:r w:rsidRPr="000922B8">
        <w:rPr>
          <w:lang w:val="en-CA"/>
        </w:rPr>
        <w:t xml:space="preserve"> sought by the Authority </w:t>
      </w:r>
    </w:p>
    <w:p w14:paraId="2C44AB29" w14:textId="1CC2FEAB" w:rsidR="00C65B84" w:rsidRPr="000922B8" w:rsidRDefault="00671531" w:rsidP="00C65B84">
      <w:pPr>
        <w:pStyle w:val="Paragraphe"/>
        <w:rPr>
          <w:lang w:val="en-CA"/>
        </w:rPr>
      </w:pPr>
      <w:r w:rsidRPr="000922B8">
        <w:rPr>
          <w:lang w:val="en-CA"/>
        </w:rPr>
        <w:t>A lengthy delay is not in itself unreasonable or excessive.</w:t>
      </w:r>
      <w:r w:rsidRPr="008D2CF1">
        <w:rPr>
          <w:rStyle w:val="Appelnotedebasdep"/>
          <w:lang w:val="en-CA"/>
        </w:rPr>
        <w:footnoteReference w:id="62"/>
      </w:r>
      <w:r w:rsidR="007E64CB" w:rsidRPr="000922B8">
        <w:rPr>
          <w:lang w:val="en-CA"/>
        </w:rPr>
        <w:t xml:space="preserve"> </w:t>
      </w:r>
      <w:r w:rsidRPr="000922B8">
        <w:rPr>
          <w:lang w:val="en-CA"/>
        </w:rPr>
        <w:t>The mere pass</w:t>
      </w:r>
      <w:r w:rsidR="00D21981" w:rsidRPr="000922B8">
        <w:rPr>
          <w:lang w:val="en-CA"/>
        </w:rPr>
        <w:t>age</w:t>
      </w:r>
      <w:r w:rsidRPr="000922B8">
        <w:rPr>
          <w:lang w:val="en-CA"/>
        </w:rPr>
        <w:t xml:space="preserve"> of time does not negate the existence of </w:t>
      </w:r>
      <w:r w:rsidR="00D21981" w:rsidRPr="000922B8">
        <w:rPr>
          <w:lang w:val="en-CA"/>
        </w:rPr>
        <w:t xml:space="preserve">the </w:t>
      </w:r>
      <w:r w:rsidRPr="000922B8">
        <w:rPr>
          <w:lang w:val="en-CA"/>
        </w:rPr>
        <w:t xml:space="preserve">apparent breaches </w:t>
      </w:r>
      <w:r w:rsidR="00D21981" w:rsidRPr="000922B8">
        <w:rPr>
          <w:lang w:val="en-CA"/>
        </w:rPr>
        <w:t>noted</w:t>
      </w:r>
      <w:r w:rsidRPr="000922B8">
        <w:rPr>
          <w:lang w:val="en-CA"/>
        </w:rPr>
        <w:t xml:space="preserve"> by the Tribunal in the </w:t>
      </w:r>
      <w:r w:rsidRPr="00744336">
        <w:rPr>
          <w:i/>
          <w:iCs/>
          <w:lang w:val="en-CA"/>
        </w:rPr>
        <w:t xml:space="preserve">Ex </w:t>
      </w:r>
      <w:proofErr w:type="spellStart"/>
      <w:r w:rsidRPr="00744336">
        <w:rPr>
          <w:i/>
          <w:iCs/>
          <w:lang w:val="en-CA"/>
        </w:rPr>
        <w:t>parte</w:t>
      </w:r>
      <w:proofErr w:type="spellEnd"/>
      <w:r w:rsidRPr="000922B8">
        <w:rPr>
          <w:lang w:val="en-CA"/>
        </w:rPr>
        <w:t xml:space="preserve"> </w:t>
      </w:r>
      <w:r w:rsidR="006A5F9F">
        <w:rPr>
          <w:lang w:val="en-CA"/>
        </w:rPr>
        <w:t>D</w:t>
      </w:r>
      <w:r w:rsidRPr="000922B8">
        <w:rPr>
          <w:lang w:val="en-CA"/>
        </w:rPr>
        <w:t>ecision.</w:t>
      </w:r>
      <w:r w:rsidRPr="008D2CF1">
        <w:rPr>
          <w:rStyle w:val="Appelnotedebasdep"/>
          <w:lang w:val="en-CA"/>
        </w:rPr>
        <w:footnoteReference w:id="63"/>
      </w:r>
      <w:r w:rsidR="007E64CB" w:rsidRPr="000922B8">
        <w:rPr>
          <w:lang w:val="en-CA"/>
        </w:rPr>
        <w:t xml:space="preserve"> </w:t>
      </w:r>
    </w:p>
    <w:p w14:paraId="2A87C831" w14:textId="10C05BB9" w:rsidR="00CB2F26" w:rsidRPr="000922B8" w:rsidRDefault="00671531" w:rsidP="00C65B84">
      <w:pPr>
        <w:pStyle w:val="Paragraphe"/>
        <w:rPr>
          <w:lang w:val="en-CA"/>
        </w:rPr>
      </w:pPr>
      <w:r w:rsidRPr="000922B8">
        <w:rPr>
          <w:lang w:val="en-CA"/>
        </w:rPr>
        <w:t xml:space="preserve">In its analysis of the length of the delays, the Tribunal, without interfering in the Authority’s investigation, finds </w:t>
      </w:r>
      <w:r w:rsidR="00D21981" w:rsidRPr="000922B8">
        <w:rPr>
          <w:lang w:val="en-CA"/>
        </w:rPr>
        <w:t xml:space="preserve">that </w:t>
      </w:r>
      <w:r w:rsidRPr="000922B8">
        <w:rPr>
          <w:lang w:val="en-CA"/>
        </w:rPr>
        <w:t>it</w:t>
      </w:r>
      <w:r w:rsidR="00D21981" w:rsidRPr="000922B8">
        <w:rPr>
          <w:lang w:val="en-CA"/>
        </w:rPr>
        <w:t xml:space="preserve"> would be</w:t>
      </w:r>
      <w:r w:rsidRPr="000922B8">
        <w:rPr>
          <w:lang w:val="en-CA"/>
        </w:rPr>
        <w:t xml:space="preserve"> advisable for the Authority to justify the</w:t>
      </w:r>
      <w:r w:rsidR="00D21981" w:rsidRPr="000922B8">
        <w:rPr>
          <w:lang w:val="en-CA"/>
        </w:rPr>
        <w:t xml:space="preserve"> </w:t>
      </w:r>
      <w:r w:rsidRPr="000922B8">
        <w:rPr>
          <w:lang w:val="en-CA"/>
        </w:rPr>
        <w:t>time devoted to certain steps of the investigation.</w:t>
      </w:r>
      <w:r w:rsidR="00112B4B" w:rsidRPr="000922B8">
        <w:rPr>
          <w:lang w:val="en-CA"/>
        </w:rPr>
        <w:t xml:space="preserve"> </w:t>
      </w:r>
      <w:r w:rsidRPr="000922B8">
        <w:rPr>
          <w:lang w:val="en-CA"/>
        </w:rPr>
        <w:t xml:space="preserve">The </w:t>
      </w:r>
      <w:r w:rsidR="00D21981" w:rsidRPr="000922B8">
        <w:rPr>
          <w:lang w:val="en-CA"/>
        </w:rPr>
        <w:t>Tribunal</w:t>
      </w:r>
      <w:r w:rsidRPr="000922B8">
        <w:rPr>
          <w:lang w:val="en-CA"/>
        </w:rPr>
        <w:t xml:space="preserve"> must ensure that the steps taken in the investigation aim to obtain tangible results allowing </w:t>
      </w:r>
      <w:r w:rsidR="00D21981" w:rsidRPr="000922B8">
        <w:rPr>
          <w:lang w:val="en-CA"/>
        </w:rPr>
        <w:t>the investigation</w:t>
      </w:r>
      <w:r w:rsidRPr="000922B8">
        <w:rPr>
          <w:lang w:val="en-CA"/>
        </w:rPr>
        <w:t xml:space="preserve"> to </w:t>
      </w:r>
      <w:r w:rsidR="00D21981" w:rsidRPr="000922B8">
        <w:rPr>
          <w:lang w:val="en-CA"/>
        </w:rPr>
        <w:t>come to a close</w:t>
      </w:r>
      <w:r w:rsidRPr="000922B8">
        <w:rPr>
          <w:lang w:val="en-CA"/>
        </w:rPr>
        <w:t xml:space="preserve"> as soon as possible.</w:t>
      </w:r>
      <w:r w:rsidR="00112B4B" w:rsidRPr="000922B8">
        <w:rPr>
          <w:lang w:val="en-CA"/>
        </w:rPr>
        <w:t xml:space="preserve"> </w:t>
      </w:r>
    </w:p>
    <w:p w14:paraId="497CFD47" w14:textId="2A4115A0" w:rsidR="00362265" w:rsidRPr="000922B8" w:rsidRDefault="0064347F" w:rsidP="00C65B84">
      <w:pPr>
        <w:pStyle w:val="Paragraphe"/>
        <w:rPr>
          <w:lang w:val="en-CA"/>
        </w:rPr>
      </w:pPr>
      <w:r w:rsidRPr="000922B8">
        <w:rPr>
          <w:lang w:val="en-CA"/>
        </w:rPr>
        <w:t>Where the Tribunal has already extended the freeze orders, it expects the Authority to explain, in a new application to extend the freeze orders, what use it made of the extra time granted by the Tribunal.</w:t>
      </w:r>
      <w:r w:rsidR="00D15EC8" w:rsidRPr="000922B8">
        <w:rPr>
          <w:lang w:val="en-CA"/>
        </w:rPr>
        <w:t xml:space="preserve"> </w:t>
      </w:r>
      <w:r w:rsidRPr="000922B8">
        <w:rPr>
          <w:lang w:val="en-CA"/>
        </w:rPr>
        <w:t>A laconic application to extend the freeze orders is to be avoided.</w:t>
      </w:r>
      <w:r w:rsidR="00D15EC8" w:rsidRPr="000922B8">
        <w:rPr>
          <w:lang w:val="en-CA"/>
        </w:rPr>
        <w:t xml:space="preserve"> </w:t>
      </w:r>
      <w:r w:rsidRPr="000922B8">
        <w:rPr>
          <w:lang w:val="en-CA"/>
        </w:rPr>
        <w:t>Moreover, when determining the delay by which to extend the additional freeze orders sought, it is imperative to take into consideration the reasons of the Tribunal’s last decision to extend and, more specifically, its considerations, remarks, and concerns, if any.</w:t>
      </w:r>
      <w:r w:rsidR="00D15EC8" w:rsidRPr="000922B8">
        <w:rPr>
          <w:lang w:val="en-CA"/>
        </w:rPr>
        <w:t xml:space="preserve"> </w:t>
      </w:r>
    </w:p>
    <w:p w14:paraId="61670335" w14:textId="687A75BD" w:rsidR="00C65B84" w:rsidRPr="000922B8" w:rsidRDefault="0064347F" w:rsidP="00C65B84">
      <w:pPr>
        <w:pStyle w:val="Paragraphe"/>
        <w:rPr>
          <w:lang w:val="en-CA"/>
        </w:rPr>
      </w:pPr>
      <w:r w:rsidRPr="000922B8">
        <w:rPr>
          <w:lang w:val="en-CA"/>
        </w:rPr>
        <w:t xml:space="preserve">When analyzing </w:t>
      </w:r>
      <w:r w:rsidR="00D21981" w:rsidRPr="000922B8">
        <w:rPr>
          <w:lang w:val="en-CA"/>
        </w:rPr>
        <w:t>the</w:t>
      </w:r>
      <w:r w:rsidRPr="000922B8">
        <w:rPr>
          <w:lang w:val="en-CA"/>
        </w:rPr>
        <w:t xml:space="preserve"> </w:t>
      </w:r>
      <w:r w:rsidR="00D21981" w:rsidRPr="000922B8">
        <w:rPr>
          <w:lang w:val="en-CA"/>
        </w:rPr>
        <w:t>delay</w:t>
      </w:r>
      <w:r w:rsidRPr="000922B8">
        <w:rPr>
          <w:lang w:val="en-CA"/>
        </w:rPr>
        <w:t>, the Tribunal will also seek to determine whether the person under freeze orders contributed t</w:t>
      </w:r>
      <w:r w:rsidR="00290514">
        <w:rPr>
          <w:lang w:val="en-CA"/>
        </w:rPr>
        <w:t>o t</w:t>
      </w:r>
      <w:r w:rsidRPr="000922B8">
        <w:rPr>
          <w:lang w:val="en-CA"/>
        </w:rPr>
        <w:t xml:space="preserve">he length of </w:t>
      </w:r>
      <w:r w:rsidR="00D21981" w:rsidRPr="000922B8">
        <w:rPr>
          <w:lang w:val="en-CA"/>
        </w:rPr>
        <w:t>the</w:t>
      </w:r>
      <w:r w:rsidRPr="000922B8">
        <w:rPr>
          <w:lang w:val="en-CA"/>
        </w:rPr>
        <w:t xml:space="preserve"> delays o</w:t>
      </w:r>
      <w:r w:rsidR="00B528BE">
        <w:rPr>
          <w:lang w:val="en-CA"/>
        </w:rPr>
        <w:t>r</w:t>
      </w:r>
      <w:r w:rsidRPr="000922B8">
        <w:rPr>
          <w:lang w:val="en-CA"/>
        </w:rPr>
        <w:t xml:space="preserve"> if that person sought to reduce them.</w:t>
      </w:r>
      <w:r w:rsidR="00DA565E" w:rsidRPr="000922B8">
        <w:rPr>
          <w:lang w:val="en-CA"/>
        </w:rPr>
        <w:t xml:space="preserve"> </w:t>
      </w:r>
      <w:r w:rsidRPr="000922B8">
        <w:rPr>
          <w:lang w:val="en-CA"/>
        </w:rPr>
        <w:t>The Authority should take into account the person’s cooperation and willingness to proceed as quickly as possible.</w:t>
      </w:r>
      <w:r w:rsidR="00DA565E" w:rsidRPr="000922B8">
        <w:rPr>
          <w:lang w:val="en-CA"/>
        </w:rPr>
        <w:t xml:space="preserve"> </w:t>
      </w:r>
    </w:p>
    <w:p w14:paraId="47F2F4C0" w14:textId="3EC70276" w:rsidR="00C65B84" w:rsidRPr="000922B8" w:rsidRDefault="0064347F" w:rsidP="00781799">
      <w:pPr>
        <w:pStyle w:val="Paragraphe"/>
        <w:numPr>
          <w:ilvl w:val="0"/>
          <w:numId w:val="7"/>
        </w:numPr>
        <w:rPr>
          <w:lang w:val="en-CA"/>
        </w:rPr>
      </w:pPr>
      <w:r w:rsidRPr="000922B8">
        <w:rPr>
          <w:lang w:val="en-CA"/>
        </w:rPr>
        <w:t>The complexity of the facts of the case and the issues in dispute</w:t>
      </w:r>
    </w:p>
    <w:p w14:paraId="4EA44430" w14:textId="3998FF5C" w:rsidR="00C65B84" w:rsidRPr="000922B8" w:rsidRDefault="0064347F" w:rsidP="00C65B84">
      <w:pPr>
        <w:pStyle w:val="Paragraphe"/>
        <w:rPr>
          <w:lang w:val="en-CA"/>
        </w:rPr>
      </w:pPr>
      <w:r w:rsidRPr="000922B8">
        <w:rPr>
          <w:lang w:val="en-CA"/>
        </w:rPr>
        <w:t xml:space="preserve">To assess the complexity of the file, the Tribunal will consider the facts alleged in the </w:t>
      </w:r>
      <w:r w:rsidR="00A83FAE" w:rsidRPr="000922B8">
        <w:rPr>
          <w:lang w:val="en-CA"/>
        </w:rPr>
        <w:t>Authority’s</w:t>
      </w:r>
      <w:r w:rsidRPr="000922B8">
        <w:rPr>
          <w:lang w:val="en-CA"/>
        </w:rPr>
        <w:t xml:space="preserve"> originating pleading pursuant to which the Tribunal rendered the </w:t>
      </w:r>
      <w:r w:rsidRPr="00744336">
        <w:rPr>
          <w:i/>
          <w:iCs/>
          <w:lang w:val="en-CA"/>
        </w:rPr>
        <w:t xml:space="preserve">Ex </w:t>
      </w:r>
      <w:proofErr w:type="spellStart"/>
      <w:r w:rsidRPr="00744336">
        <w:rPr>
          <w:i/>
          <w:iCs/>
          <w:lang w:val="en-CA"/>
        </w:rPr>
        <w:t>parte</w:t>
      </w:r>
      <w:proofErr w:type="spellEnd"/>
      <w:r w:rsidRPr="000922B8">
        <w:rPr>
          <w:lang w:val="en-CA"/>
        </w:rPr>
        <w:t xml:space="preserve"> </w:t>
      </w:r>
      <w:r w:rsidR="006A5F9F">
        <w:rPr>
          <w:lang w:val="en-CA"/>
        </w:rPr>
        <w:t>D</w:t>
      </w:r>
      <w:r w:rsidRPr="000922B8">
        <w:rPr>
          <w:lang w:val="en-CA"/>
        </w:rPr>
        <w:t>ecision and the nature and scope of the breaches raised by the Authority.</w:t>
      </w:r>
      <w:r w:rsidR="007E64CB" w:rsidRPr="000922B8">
        <w:rPr>
          <w:lang w:val="en-CA"/>
        </w:rPr>
        <w:t xml:space="preserve"> </w:t>
      </w:r>
      <w:r w:rsidRPr="000922B8">
        <w:rPr>
          <w:lang w:val="en-CA"/>
        </w:rPr>
        <w:t xml:space="preserve">The Tribunal will also </w:t>
      </w:r>
      <w:r w:rsidR="002725DB" w:rsidRPr="000922B8">
        <w:rPr>
          <w:lang w:val="en-CA"/>
        </w:rPr>
        <w:t>consider</w:t>
      </w:r>
      <w:r w:rsidRPr="000922B8">
        <w:rPr>
          <w:lang w:val="en-CA"/>
        </w:rPr>
        <w:t xml:space="preserve"> any other event that has taken place since the originating pleading w</w:t>
      </w:r>
      <w:r w:rsidR="002725DB" w:rsidRPr="000922B8">
        <w:rPr>
          <w:lang w:val="en-CA"/>
        </w:rPr>
        <w:t>as</w:t>
      </w:r>
      <w:r w:rsidRPr="000922B8">
        <w:rPr>
          <w:lang w:val="en-CA"/>
        </w:rPr>
        <w:t xml:space="preserve"> brought, which might have made the case more complicated.</w:t>
      </w:r>
    </w:p>
    <w:p w14:paraId="0ED8C87F" w14:textId="0977610D" w:rsidR="00C65B84" w:rsidRPr="000922B8" w:rsidRDefault="0064347F" w:rsidP="00C65B84">
      <w:pPr>
        <w:pStyle w:val="Paragraphe"/>
        <w:rPr>
          <w:lang w:val="en-CA"/>
        </w:rPr>
      </w:pPr>
      <w:r w:rsidRPr="000922B8">
        <w:rPr>
          <w:lang w:val="en-CA"/>
        </w:rPr>
        <w:t>The Tribunal would like to add that the complexity of a case is not measure</w:t>
      </w:r>
      <w:r w:rsidR="002725DB" w:rsidRPr="000922B8">
        <w:rPr>
          <w:lang w:val="en-CA"/>
        </w:rPr>
        <w:t>d</w:t>
      </w:r>
      <w:r w:rsidRPr="000922B8">
        <w:rPr>
          <w:lang w:val="en-CA"/>
        </w:rPr>
        <w:t xml:space="preserve"> in terms of how many pages</w:t>
      </w:r>
      <w:r w:rsidR="002725DB" w:rsidRPr="000922B8">
        <w:rPr>
          <w:lang w:val="en-CA"/>
        </w:rPr>
        <w:t xml:space="preserve"> </w:t>
      </w:r>
      <w:r w:rsidRPr="000922B8">
        <w:rPr>
          <w:lang w:val="en-CA"/>
        </w:rPr>
        <w:t xml:space="preserve">the investigation report contains or how many pages of documents have been collected at the information gathering stage, </w:t>
      </w:r>
      <w:r w:rsidR="002725DB" w:rsidRPr="000922B8">
        <w:rPr>
          <w:lang w:val="en-CA"/>
        </w:rPr>
        <w:t>n</w:t>
      </w:r>
      <w:r w:rsidRPr="000922B8">
        <w:rPr>
          <w:lang w:val="en-CA"/>
        </w:rPr>
        <w:t>or</w:t>
      </w:r>
      <w:r w:rsidR="002725DB" w:rsidRPr="000922B8">
        <w:rPr>
          <w:lang w:val="en-CA"/>
        </w:rPr>
        <w:t xml:space="preserve"> is it measured</w:t>
      </w:r>
      <w:r w:rsidRPr="000922B8">
        <w:rPr>
          <w:lang w:val="en-CA"/>
        </w:rPr>
        <w:t xml:space="preserve"> in terms of </w:t>
      </w:r>
      <w:r w:rsidR="002725DB" w:rsidRPr="000922B8">
        <w:rPr>
          <w:lang w:val="en-CA"/>
        </w:rPr>
        <w:t>the</w:t>
      </w:r>
      <w:r w:rsidRPr="000922B8">
        <w:rPr>
          <w:lang w:val="en-CA"/>
        </w:rPr>
        <w:t xml:space="preserve"> number of individuals spoken to or involved, </w:t>
      </w:r>
      <w:r w:rsidR="0070619A">
        <w:rPr>
          <w:lang w:val="en-CA"/>
        </w:rPr>
        <w:t>al</w:t>
      </w:r>
      <w:r w:rsidRPr="000922B8">
        <w:rPr>
          <w:lang w:val="en-CA"/>
        </w:rPr>
        <w:t xml:space="preserve">though these elements may exert some influence, depending on the </w:t>
      </w:r>
      <w:r w:rsidR="002725DB" w:rsidRPr="000922B8">
        <w:rPr>
          <w:lang w:val="en-CA"/>
        </w:rPr>
        <w:t>circumstances</w:t>
      </w:r>
      <w:r w:rsidRPr="000922B8">
        <w:rPr>
          <w:lang w:val="en-CA"/>
        </w:rPr>
        <w:t>.</w:t>
      </w:r>
      <w:r w:rsidR="006D13F6" w:rsidRPr="000922B8">
        <w:rPr>
          <w:lang w:val="en-CA"/>
        </w:rPr>
        <w:t xml:space="preserve"> </w:t>
      </w:r>
    </w:p>
    <w:p w14:paraId="6C023722" w14:textId="09D16F2D" w:rsidR="00C314D9" w:rsidRPr="000922B8" w:rsidRDefault="0064347F" w:rsidP="008E4C92">
      <w:pPr>
        <w:pStyle w:val="Paragraphe"/>
        <w:rPr>
          <w:lang w:val="en-CA"/>
        </w:rPr>
      </w:pPr>
      <w:r w:rsidRPr="000922B8">
        <w:rPr>
          <w:lang w:val="en-CA"/>
        </w:rPr>
        <w:lastRenderedPageBreak/>
        <w:t xml:space="preserve">On this subject, the Tribunal refers, once again, to the decision in </w:t>
      </w:r>
      <w:proofErr w:type="spellStart"/>
      <w:r w:rsidRPr="000922B8">
        <w:rPr>
          <w:i/>
          <w:lang w:val="en-CA"/>
        </w:rPr>
        <w:t>Autorité</w:t>
      </w:r>
      <w:proofErr w:type="spellEnd"/>
      <w:r w:rsidRPr="000922B8">
        <w:rPr>
          <w:i/>
          <w:lang w:val="en-CA"/>
        </w:rPr>
        <w:t xml:space="preserve"> des</w:t>
      </w:r>
      <w:r w:rsidRPr="000922B8">
        <w:rPr>
          <w:lang w:val="en-CA"/>
        </w:rPr>
        <w:t xml:space="preserve"> </w:t>
      </w:r>
      <w:proofErr w:type="spellStart"/>
      <w:r w:rsidRPr="000922B8">
        <w:rPr>
          <w:i/>
          <w:lang w:val="en-CA"/>
        </w:rPr>
        <w:t>marchés</w:t>
      </w:r>
      <w:proofErr w:type="spellEnd"/>
      <w:r w:rsidRPr="000922B8">
        <w:rPr>
          <w:i/>
          <w:lang w:val="en-CA"/>
        </w:rPr>
        <w:t xml:space="preserve"> financiers</w:t>
      </w:r>
      <w:r w:rsidRPr="000922B8">
        <w:rPr>
          <w:lang w:val="en-CA"/>
        </w:rPr>
        <w:t xml:space="preserve"> </w:t>
      </w:r>
      <w:r w:rsidRPr="000922B8">
        <w:rPr>
          <w:i/>
          <w:iCs/>
          <w:lang w:val="en-CA"/>
        </w:rPr>
        <w:t>c.</w:t>
      </w:r>
      <w:r w:rsidRPr="000922B8">
        <w:rPr>
          <w:i/>
          <w:lang w:val="en-CA"/>
        </w:rPr>
        <w:t xml:space="preserve"> D.L.</w:t>
      </w:r>
      <w:r w:rsidRPr="000922B8">
        <w:rPr>
          <w:lang w:val="en-CA"/>
        </w:rPr>
        <w:t>,</w:t>
      </w:r>
      <w:r w:rsidRPr="008D2CF1">
        <w:rPr>
          <w:rStyle w:val="Appelnotedebasdep"/>
          <w:lang w:val="en-CA"/>
        </w:rPr>
        <w:footnoteReference w:id="64"/>
      </w:r>
      <w:r w:rsidRPr="000922B8">
        <w:rPr>
          <w:lang w:val="en-CA"/>
        </w:rPr>
        <w:t xml:space="preserve"> in which the Superior Court broached the subject of complexity as follows: </w:t>
      </w:r>
      <w:r w:rsidR="002725DB" w:rsidRPr="000922B8">
        <w:rPr>
          <w:lang w:val="en-CA"/>
        </w:rPr>
        <w:t>[</w:t>
      </w:r>
      <w:r w:rsidR="002725DB" w:rsidRPr="000922B8">
        <w:rPr>
          <w:smallCaps/>
          <w:lang w:val="en-CA"/>
        </w:rPr>
        <w:t>translation</w:t>
      </w:r>
      <w:r w:rsidR="002725DB" w:rsidRPr="000922B8">
        <w:rPr>
          <w:lang w:val="en-CA"/>
        </w:rPr>
        <w:t xml:space="preserve">] </w:t>
      </w:r>
      <w:r w:rsidRPr="000922B8">
        <w:rPr>
          <w:lang w:val="en-CA"/>
        </w:rPr>
        <w:t>“</w:t>
      </w:r>
      <w:r w:rsidR="000A4F30">
        <w:rPr>
          <w:lang w:val="en-CA"/>
        </w:rPr>
        <w:t>[</w:t>
      </w:r>
      <w:proofErr w:type="spellStart"/>
      <w:r w:rsidR="000A4F30">
        <w:rPr>
          <w:lang w:val="en-CA"/>
        </w:rPr>
        <w:t>i</w:t>
      </w:r>
      <w:proofErr w:type="spellEnd"/>
      <w:r w:rsidR="000A4F30">
        <w:rPr>
          <w:lang w:val="en-CA"/>
        </w:rPr>
        <w:t>]</w:t>
      </w:r>
      <w:r w:rsidRPr="000922B8">
        <w:rPr>
          <w:lang w:val="en-CA"/>
        </w:rPr>
        <w:t xml:space="preserve">n a complex or large-scale case, the troops must be </w:t>
      </w:r>
      <w:r w:rsidR="00210528">
        <w:rPr>
          <w:lang w:val="en-CA"/>
        </w:rPr>
        <w:t>rallied</w:t>
      </w:r>
      <w:r w:rsidRPr="000922B8">
        <w:rPr>
          <w:lang w:val="en-CA"/>
        </w:rPr>
        <w:t xml:space="preserve"> to ensure that the investigation unfolds quickly”.</w:t>
      </w:r>
    </w:p>
    <w:p w14:paraId="72F7C837" w14:textId="080F4049" w:rsidR="008F7670" w:rsidRPr="000922B8" w:rsidRDefault="0064347F" w:rsidP="00781799">
      <w:pPr>
        <w:pStyle w:val="Paragraphe"/>
        <w:numPr>
          <w:ilvl w:val="0"/>
          <w:numId w:val="4"/>
        </w:numPr>
        <w:rPr>
          <w:b/>
          <w:bCs/>
          <w:lang w:val="en-CA"/>
        </w:rPr>
      </w:pPr>
      <w:r w:rsidRPr="000922B8">
        <w:rPr>
          <w:b/>
          <w:bCs/>
          <w:lang w:val="en-CA"/>
        </w:rPr>
        <w:t>Application of factors used to assess the investigative delays to extend the freeze orders</w:t>
      </w:r>
    </w:p>
    <w:p w14:paraId="274358E2" w14:textId="5CCFBBEA" w:rsidR="00CF2691" w:rsidRPr="000922B8" w:rsidRDefault="0064347F" w:rsidP="00CF2691">
      <w:pPr>
        <w:pStyle w:val="Paragraphe"/>
        <w:rPr>
          <w:rFonts w:cs="Arial"/>
          <w:color w:val="000000"/>
          <w:lang w:val="en-CA"/>
        </w:rPr>
      </w:pPr>
      <w:r w:rsidRPr="000922B8">
        <w:rPr>
          <w:rFonts w:cs="Arial"/>
          <w:color w:val="000000"/>
          <w:lang w:val="en-CA"/>
        </w:rPr>
        <w:t xml:space="preserve">At the outset, the Tribunal states that the grounds in support of the initial freeze orders </w:t>
      </w:r>
      <w:r w:rsidR="006D493F">
        <w:rPr>
          <w:rFonts w:cs="Arial"/>
          <w:color w:val="000000"/>
          <w:lang w:val="en-CA"/>
        </w:rPr>
        <w:t>continue</w:t>
      </w:r>
      <w:r w:rsidRPr="000922B8">
        <w:rPr>
          <w:rFonts w:cs="Arial"/>
          <w:color w:val="000000"/>
          <w:lang w:val="en-CA"/>
        </w:rPr>
        <w:t xml:space="preserve"> to exist.</w:t>
      </w:r>
      <w:r w:rsidRPr="008D2CF1">
        <w:rPr>
          <w:rStyle w:val="Appelnotedebasdep"/>
          <w:rFonts w:cs="Arial"/>
          <w:color w:val="000000"/>
          <w:lang w:val="en-CA"/>
        </w:rPr>
        <w:footnoteReference w:id="65"/>
      </w:r>
      <w:r w:rsidR="000E3189" w:rsidRPr="000922B8">
        <w:rPr>
          <w:rFonts w:cs="Arial"/>
          <w:color w:val="000000"/>
          <w:lang w:val="en-CA"/>
        </w:rPr>
        <w:t xml:space="preserve"> </w:t>
      </w:r>
      <w:r w:rsidRPr="000922B8">
        <w:rPr>
          <w:rFonts w:cs="Arial"/>
          <w:color w:val="000000"/>
          <w:lang w:val="en-CA"/>
        </w:rPr>
        <w:t xml:space="preserve">It </w:t>
      </w:r>
      <w:r w:rsidR="00653F4D">
        <w:rPr>
          <w:rFonts w:cs="Arial"/>
          <w:color w:val="000000"/>
          <w:lang w:val="en-CA"/>
        </w:rPr>
        <w:t>is</w:t>
      </w:r>
      <w:r w:rsidRPr="000922B8">
        <w:rPr>
          <w:rFonts w:cs="Arial"/>
          <w:color w:val="000000"/>
          <w:lang w:val="en-CA"/>
        </w:rPr>
        <w:t xml:space="preserve"> therefore </w:t>
      </w:r>
      <w:r w:rsidR="00653F4D">
        <w:rPr>
          <w:rFonts w:cs="Arial"/>
          <w:color w:val="000000"/>
          <w:lang w:val="en-CA"/>
        </w:rPr>
        <w:t>sufficient</w:t>
      </w:r>
      <w:r w:rsidRPr="000922B8">
        <w:rPr>
          <w:rFonts w:cs="Arial"/>
          <w:color w:val="000000"/>
          <w:lang w:val="en-CA"/>
        </w:rPr>
        <w:t xml:space="preserve"> to determine whether the Authority’s investigation is ongoing.</w:t>
      </w:r>
      <w:r w:rsidRPr="008D2CF1">
        <w:rPr>
          <w:rStyle w:val="Appelnotedebasdep"/>
          <w:rFonts w:cs="Arial"/>
          <w:color w:val="000000"/>
          <w:lang w:val="en-CA"/>
        </w:rPr>
        <w:footnoteReference w:id="66"/>
      </w:r>
    </w:p>
    <w:p w14:paraId="7936F7B1" w14:textId="4AD70BA5" w:rsidR="00283DC6" w:rsidRPr="000922B8" w:rsidRDefault="0064347F" w:rsidP="0076411A">
      <w:pPr>
        <w:pStyle w:val="Paragraphe"/>
        <w:rPr>
          <w:lang w:val="en-CA"/>
        </w:rPr>
      </w:pPr>
      <w:r w:rsidRPr="000922B8">
        <w:rPr>
          <w:lang w:val="en-CA"/>
        </w:rPr>
        <w:t xml:space="preserve">The Tribunal understands that, based on the investigator’s testimony, additional investigative steps have been taken to validate some information at the request of the Authority’s </w:t>
      </w:r>
      <w:r w:rsidR="007F591F">
        <w:rPr>
          <w:lang w:val="en-CA"/>
        </w:rPr>
        <w:t>managers</w:t>
      </w:r>
      <w:r w:rsidRPr="000922B8">
        <w:rPr>
          <w:lang w:val="en-CA"/>
        </w:rPr>
        <w:t>.</w:t>
      </w:r>
      <w:r w:rsidR="00553048" w:rsidRPr="000922B8">
        <w:rPr>
          <w:lang w:val="en-CA"/>
        </w:rPr>
        <w:t xml:space="preserve"> </w:t>
      </w:r>
      <w:r w:rsidRPr="000922B8">
        <w:rPr>
          <w:lang w:val="en-CA"/>
        </w:rPr>
        <w:t>This information has now been validated.</w:t>
      </w:r>
      <w:r w:rsidR="00553048" w:rsidRPr="000922B8">
        <w:rPr>
          <w:lang w:val="en-CA"/>
        </w:rPr>
        <w:t xml:space="preserve"> </w:t>
      </w:r>
      <w:r w:rsidRPr="000922B8">
        <w:rPr>
          <w:lang w:val="en-CA"/>
        </w:rPr>
        <w:t>Furthermore, the investigator confirmed that she now plays a support</w:t>
      </w:r>
      <w:r w:rsidR="002725DB" w:rsidRPr="000922B8">
        <w:rPr>
          <w:lang w:val="en-CA"/>
        </w:rPr>
        <w:t>ing</w:t>
      </w:r>
      <w:r w:rsidRPr="000922B8">
        <w:rPr>
          <w:lang w:val="en-CA"/>
        </w:rPr>
        <w:t xml:space="preserve"> role for the Authority’s litigation services in preparing an originating pleading to be filed </w:t>
      </w:r>
      <w:r w:rsidR="002725DB" w:rsidRPr="000922B8">
        <w:rPr>
          <w:lang w:val="en-CA"/>
        </w:rPr>
        <w:t>with</w:t>
      </w:r>
      <w:r w:rsidRPr="000922B8">
        <w:rPr>
          <w:lang w:val="en-CA"/>
        </w:rPr>
        <w:t xml:space="preserve"> the Tribunal.</w:t>
      </w:r>
      <w:r w:rsidR="00553048" w:rsidRPr="000922B8">
        <w:rPr>
          <w:lang w:val="en-CA"/>
        </w:rPr>
        <w:t xml:space="preserve"> </w:t>
      </w:r>
      <w:r w:rsidRPr="000922B8">
        <w:rPr>
          <w:lang w:val="en-CA"/>
        </w:rPr>
        <w:t xml:space="preserve">The Tribunal understands that these additional investigative steps led the Authority to decide to bring proceedings </w:t>
      </w:r>
      <w:r w:rsidR="002725DB" w:rsidRPr="000922B8">
        <w:rPr>
          <w:lang w:val="en-CA"/>
        </w:rPr>
        <w:t xml:space="preserve">before the Tribunal </w:t>
      </w:r>
      <w:r w:rsidRPr="000922B8">
        <w:rPr>
          <w:lang w:val="en-CA"/>
        </w:rPr>
        <w:t>against Roger Tremblay.</w:t>
      </w:r>
    </w:p>
    <w:p w14:paraId="5A2E2950" w14:textId="73C57E5D" w:rsidR="0003737F" w:rsidRPr="000922B8" w:rsidRDefault="0064347F" w:rsidP="00553048">
      <w:pPr>
        <w:pStyle w:val="Paragraphe"/>
        <w:rPr>
          <w:lang w:val="en-CA"/>
        </w:rPr>
      </w:pPr>
      <w:r w:rsidRPr="000922B8">
        <w:rPr>
          <w:lang w:val="en-CA"/>
        </w:rPr>
        <w:t xml:space="preserve">Indeed, during arguments, counsel for the Authority confirmed that the litigation services have received the </w:t>
      </w:r>
      <w:r w:rsidR="002725DB" w:rsidRPr="000922B8">
        <w:rPr>
          <w:lang w:val="en-CA"/>
        </w:rPr>
        <w:t>[</w:t>
      </w:r>
      <w:r w:rsidR="002725DB" w:rsidRPr="000922B8">
        <w:rPr>
          <w:smallCaps/>
          <w:lang w:val="en-CA"/>
        </w:rPr>
        <w:t>translation</w:t>
      </w:r>
      <w:r w:rsidR="002725DB" w:rsidRPr="000922B8">
        <w:rPr>
          <w:lang w:val="en-CA"/>
        </w:rPr>
        <w:t xml:space="preserve">] </w:t>
      </w:r>
      <w:r w:rsidRPr="000922B8">
        <w:rPr>
          <w:lang w:val="en-CA"/>
        </w:rPr>
        <w:t xml:space="preserve">“firm” mandate to bring proceedings </w:t>
      </w:r>
      <w:r w:rsidR="002725DB" w:rsidRPr="000922B8">
        <w:rPr>
          <w:lang w:val="en-CA"/>
        </w:rPr>
        <w:t xml:space="preserve">before the Tribunal </w:t>
      </w:r>
      <w:r w:rsidRPr="000922B8">
        <w:rPr>
          <w:lang w:val="en-CA"/>
        </w:rPr>
        <w:t>against Roger Tremblay.</w:t>
      </w:r>
      <w:r w:rsidR="007E64CB" w:rsidRPr="000922B8">
        <w:rPr>
          <w:lang w:val="en-CA"/>
        </w:rPr>
        <w:t xml:space="preserve"> </w:t>
      </w:r>
      <w:r w:rsidRPr="000922B8">
        <w:rPr>
          <w:lang w:val="en-CA"/>
        </w:rPr>
        <w:t xml:space="preserve">The Tribunal takes note of </w:t>
      </w:r>
      <w:r w:rsidR="002725DB" w:rsidRPr="000922B8">
        <w:rPr>
          <w:lang w:val="en-CA"/>
        </w:rPr>
        <w:t>the</w:t>
      </w:r>
      <w:r w:rsidRPr="000922B8">
        <w:rPr>
          <w:lang w:val="en-CA"/>
        </w:rPr>
        <w:t xml:space="preserve"> Authority’s </w:t>
      </w:r>
      <w:r w:rsidR="002725DB" w:rsidRPr="000922B8">
        <w:rPr>
          <w:lang w:val="en-CA"/>
        </w:rPr>
        <w:t>[</w:t>
      </w:r>
      <w:r w:rsidR="002725DB" w:rsidRPr="000922B8">
        <w:rPr>
          <w:smallCaps/>
          <w:lang w:val="en-CA"/>
        </w:rPr>
        <w:t>translation</w:t>
      </w:r>
      <w:r w:rsidR="002725DB" w:rsidRPr="000922B8">
        <w:rPr>
          <w:lang w:val="en-CA"/>
        </w:rPr>
        <w:t xml:space="preserve">] </w:t>
      </w:r>
      <w:r w:rsidRPr="000922B8">
        <w:rPr>
          <w:lang w:val="en-CA"/>
        </w:rPr>
        <w:t xml:space="preserve">“firm” mandate to bring </w:t>
      </w:r>
      <w:r w:rsidR="002725DB" w:rsidRPr="000922B8">
        <w:rPr>
          <w:lang w:val="en-CA"/>
        </w:rPr>
        <w:t>proceedings</w:t>
      </w:r>
      <w:r w:rsidRPr="000922B8">
        <w:rPr>
          <w:lang w:val="en-CA"/>
        </w:rPr>
        <w:t>.</w:t>
      </w:r>
      <w:r w:rsidR="007E64CB" w:rsidRPr="000922B8">
        <w:rPr>
          <w:lang w:val="en-CA"/>
        </w:rPr>
        <w:t xml:space="preserve"> </w:t>
      </w:r>
      <w:r w:rsidR="00E025AB" w:rsidRPr="000922B8">
        <w:rPr>
          <w:lang w:val="en-CA"/>
        </w:rPr>
        <w:t xml:space="preserve">In fact, the extension it requires is to allow it to </w:t>
      </w:r>
      <w:r w:rsidR="002725DB" w:rsidRPr="000922B8">
        <w:rPr>
          <w:lang w:val="en-CA"/>
        </w:rPr>
        <w:t>review</w:t>
      </w:r>
      <w:r w:rsidR="00E025AB" w:rsidRPr="000922B8">
        <w:rPr>
          <w:lang w:val="en-CA"/>
        </w:rPr>
        <w:t xml:space="preserve"> the investigation report and its supporting documentation</w:t>
      </w:r>
      <w:r w:rsidR="002725DB" w:rsidRPr="000922B8">
        <w:rPr>
          <w:lang w:val="en-CA"/>
        </w:rPr>
        <w:t xml:space="preserve"> and</w:t>
      </w:r>
      <w:r w:rsidR="00E025AB" w:rsidRPr="000922B8">
        <w:rPr>
          <w:lang w:val="en-CA"/>
        </w:rPr>
        <w:t xml:space="preserve"> to draft these proceedings, although it is possible that </w:t>
      </w:r>
      <w:r w:rsidR="002725DB" w:rsidRPr="000922B8">
        <w:rPr>
          <w:lang w:val="en-CA"/>
        </w:rPr>
        <w:t>further</w:t>
      </w:r>
      <w:r w:rsidR="00E025AB" w:rsidRPr="000922B8">
        <w:rPr>
          <w:lang w:val="en-CA"/>
        </w:rPr>
        <w:t xml:space="preserve"> investigation</w:t>
      </w:r>
      <w:r w:rsidR="002725DB" w:rsidRPr="000922B8">
        <w:rPr>
          <w:lang w:val="en-CA"/>
        </w:rPr>
        <w:t xml:space="preserve"> may</w:t>
      </w:r>
      <w:r w:rsidR="00E025AB" w:rsidRPr="000922B8">
        <w:rPr>
          <w:lang w:val="en-CA"/>
        </w:rPr>
        <w:t xml:space="preserve"> be requested by the litigation services to prepare the originating pleading.</w:t>
      </w:r>
    </w:p>
    <w:p w14:paraId="388C3DCA" w14:textId="1295BC3B" w:rsidR="00C57508" w:rsidRPr="000922B8" w:rsidRDefault="00E025AB" w:rsidP="00C57508">
      <w:pPr>
        <w:pStyle w:val="Paragraphe"/>
        <w:rPr>
          <w:lang w:val="en-CA"/>
        </w:rPr>
      </w:pPr>
      <w:r w:rsidRPr="000922B8">
        <w:rPr>
          <w:lang w:val="en-CA"/>
        </w:rPr>
        <w:t xml:space="preserve">Even if an investigation report was given to the Authority’s litigation services a year ago, the Tribunal understands that the Authority </w:t>
      </w:r>
      <w:r w:rsidR="006136D3">
        <w:rPr>
          <w:lang w:val="en-CA"/>
        </w:rPr>
        <w:t>was</w:t>
      </w:r>
      <w:r w:rsidRPr="000922B8">
        <w:rPr>
          <w:lang w:val="en-CA"/>
        </w:rPr>
        <w:t xml:space="preserve"> unable to determine the nature of the proceeding</w:t>
      </w:r>
      <w:r w:rsidR="002725DB" w:rsidRPr="000922B8">
        <w:rPr>
          <w:lang w:val="en-CA"/>
        </w:rPr>
        <w:t>s</w:t>
      </w:r>
      <w:r w:rsidRPr="000922B8">
        <w:rPr>
          <w:lang w:val="en-CA"/>
        </w:rPr>
        <w:t xml:space="preserve"> to be brought </w:t>
      </w:r>
      <w:r w:rsidR="002725DB" w:rsidRPr="000922B8">
        <w:rPr>
          <w:lang w:val="en-CA"/>
        </w:rPr>
        <w:t>against</w:t>
      </w:r>
      <w:r w:rsidRPr="000922B8">
        <w:rPr>
          <w:lang w:val="en-CA"/>
        </w:rPr>
        <w:t xml:space="preserve"> Roger Tremblay before taking further investigative steps.</w:t>
      </w:r>
      <w:r w:rsidR="007E64CB" w:rsidRPr="000922B8">
        <w:rPr>
          <w:lang w:val="en-CA"/>
        </w:rPr>
        <w:t xml:space="preserve"> </w:t>
      </w:r>
      <w:r w:rsidRPr="000922B8">
        <w:rPr>
          <w:lang w:val="en-CA"/>
        </w:rPr>
        <w:t xml:space="preserve">These </w:t>
      </w:r>
      <w:r w:rsidR="002725DB" w:rsidRPr="000922B8">
        <w:rPr>
          <w:lang w:val="en-CA"/>
        </w:rPr>
        <w:t>further</w:t>
      </w:r>
      <w:r w:rsidRPr="000922B8">
        <w:rPr>
          <w:lang w:val="en-CA"/>
        </w:rPr>
        <w:t xml:space="preserve"> investigations caused certain delays and likely had an impact on the nature of </w:t>
      </w:r>
      <w:r w:rsidR="002725DB" w:rsidRPr="000922B8">
        <w:rPr>
          <w:lang w:val="en-CA"/>
        </w:rPr>
        <w:t>the</w:t>
      </w:r>
      <w:r w:rsidRPr="000922B8">
        <w:rPr>
          <w:lang w:val="en-CA"/>
        </w:rPr>
        <w:t xml:space="preserve"> proceedings to be brought, as well as the allegations therein. </w:t>
      </w:r>
      <w:r w:rsidR="007E64CB" w:rsidRPr="000922B8">
        <w:rPr>
          <w:lang w:val="en-CA"/>
        </w:rPr>
        <w:t xml:space="preserve"> </w:t>
      </w:r>
    </w:p>
    <w:p w14:paraId="6F36C732" w14:textId="0FB56DF6" w:rsidR="00D32760" w:rsidRPr="000922B8" w:rsidRDefault="00E025AB" w:rsidP="00D32760">
      <w:pPr>
        <w:pStyle w:val="Paragraphe"/>
        <w:rPr>
          <w:lang w:val="en-CA"/>
        </w:rPr>
      </w:pPr>
      <w:r w:rsidRPr="000922B8">
        <w:rPr>
          <w:lang w:val="en-CA"/>
        </w:rPr>
        <w:t>Furthermore, the Tribunal is of the view that this case is a matter of some complexity.</w:t>
      </w:r>
      <w:r w:rsidR="007E64CB" w:rsidRPr="000922B8">
        <w:rPr>
          <w:lang w:val="en-CA"/>
        </w:rPr>
        <w:t xml:space="preserve"> </w:t>
      </w:r>
      <w:r w:rsidRPr="000922B8">
        <w:rPr>
          <w:lang w:val="en-CA"/>
        </w:rPr>
        <w:t xml:space="preserve">The involvement of the Public </w:t>
      </w:r>
      <w:r w:rsidR="00B31BCF">
        <w:rPr>
          <w:lang w:val="en-CA"/>
        </w:rPr>
        <w:t>C</w:t>
      </w:r>
      <w:r w:rsidRPr="000922B8">
        <w:rPr>
          <w:lang w:val="en-CA"/>
        </w:rPr>
        <w:t>urator of Quebec from the</w:t>
      </w:r>
      <w:r w:rsidR="00F05B43" w:rsidRPr="000922B8">
        <w:rPr>
          <w:lang w:val="en-CA"/>
        </w:rPr>
        <w:t xml:space="preserve"> very</w:t>
      </w:r>
      <w:r w:rsidRPr="000922B8">
        <w:rPr>
          <w:lang w:val="en-CA"/>
        </w:rPr>
        <w:t xml:space="preserve"> </w:t>
      </w:r>
      <w:r w:rsidR="002725DB" w:rsidRPr="000922B8">
        <w:rPr>
          <w:lang w:val="en-CA"/>
        </w:rPr>
        <w:t>beginning</w:t>
      </w:r>
      <w:r w:rsidRPr="000922B8">
        <w:rPr>
          <w:lang w:val="en-CA"/>
        </w:rPr>
        <w:t xml:space="preserve"> of the Authority’s investigation</w:t>
      </w:r>
      <w:r w:rsidR="00F05B43" w:rsidRPr="000922B8">
        <w:rPr>
          <w:lang w:val="en-CA"/>
        </w:rPr>
        <w:t xml:space="preserve"> and</w:t>
      </w:r>
      <w:r w:rsidRPr="000922B8">
        <w:rPr>
          <w:lang w:val="en-CA"/>
        </w:rPr>
        <w:t xml:space="preserve"> the proceedings brought before </w:t>
      </w:r>
      <w:r w:rsidR="00F05B43" w:rsidRPr="000922B8">
        <w:rPr>
          <w:lang w:val="en-CA"/>
        </w:rPr>
        <w:t>the</w:t>
      </w:r>
      <w:r w:rsidRPr="000922B8">
        <w:rPr>
          <w:lang w:val="en-CA"/>
        </w:rPr>
        <w:t xml:space="preserve"> Superior Court by the Public </w:t>
      </w:r>
      <w:r w:rsidR="006136D3">
        <w:rPr>
          <w:lang w:val="en-CA"/>
        </w:rPr>
        <w:t>C</w:t>
      </w:r>
      <w:r w:rsidRPr="000922B8">
        <w:rPr>
          <w:lang w:val="en-CA"/>
        </w:rPr>
        <w:t>urator to institute protective supervision over H.D.B. and her property necessarily had an impact on the investigation’s progress.</w:t>
      </w:r>
      <w:r w:rsidR="007E64CB" w:rsidRPr="000922B8">
        <w:rPr>
          <w:lang w:val="en-CA"/>
        </w:rPr>
        <w:t xml:space="preserve"> </w:t>
      </w:r>
      <w:r w:rsidRPr="000922B8">
        <w:rPr>
          <w:lang w:val="en-CA"/>
        </w:rPr>
        <w:t>The death of H.B.D. also had an impact on the investigation’s progress.</w:t>
      </w:r>
      <w:r w:rsidR="007E64CB" w:rsidRPr="000922B8">
        <w:rPr>
          <w:lang w:val="en-CA"/>
        </w:rPr>
        <w:t xml:space="preserve"> </w:t>
      </w:r>
      <w:r w:rsidRPr="000922B8">
        <w:rPr>
          <w:lang w:val="en-CA"/>
        </w:rPr>
        <w:t xml:space="preserve">Finally, the liquidation of two </w:t>
      </w:r>
      <w:r w:rsidR="00F05B43" w:rsidRPr="000922B8">
        <w:rPr>
          <w:lang w:val="en-CA"/>
        </w:rPr>
        <w:t>testamentary</w:t>
      </w:r>
      <w:r w:rsidRPr="000922B8">
        <w:rPr>
          <w:lang w:val="en-CA"/>
        </w:rPr>
        <w:t xml:space="preserve"> patrimonies (those of A.B. and H.D.B.) continue</w:t>
      </w:r>
      <w:r w:rsidR="00F05B43" w:rsidRPr="000922B8">
        <w:rPr>
          <w:lang w:val="en-CA"/>
        </w:rPr>
        <w:t>s</w:t>
      </w:r>
      <w:r w:rsidRPr="000922B8">
        <w:rPr>
          <w:lang w:val="en-CA"/>
        </w:rPr>
        <w:t xml:space="preserve"> to affect the progress of the Authority’s investigation.</w:t>
      </w:r>
    </w:p>
    <w:p w14:paraId="242DA763" w14:textId="1265591E" w:rsidR="00553048" w:rsidRPr="000922B8" w:rsidRDefault="003718A6" w:rsidP="00553048">
      <w:pPr>
        <w:pStyle w:val="Paragraphe"/>
        <w:rPr>
          <w:lang w:val="en-CA"/>
        </w:rPr>
      </w:pPr>
      <w:r w:rsidRPr="000922B8">
        <w:rPr>
          <w:lang w:val="en-CA"/>
        </w:rPr>
        <w:lastRenderedPageBreak/>
        <w:t xml:space="preserve"> </w:t>
      </w:r>
      <w:r w:rsidR="00E025AB" w:rsidRPr="000922B8">
        <w:rPr>
          <w:lang w:val="en-CA"/>
        </w:rPr>
        <w:t xml:space="preserve">Contrary to Roger Tremblay’s assertions, the </w:t>
      </w:r>
      <w:r w:rsidR="00F05B43" w:rsidRPr="000922B8">
        <w:rPr>
          <w:lang w:val="en-CA"/>
        </w:rPr>
        <w:t>Authority’s</w:t>
      </w:r>
      <w:r w:rsidR="00E025AB" w:rsidRPr="000922B8">
        <w:rPr>
          <w:lang w:val="en-CA"/>
        </w:rPr>
        <w:t xml:space="preserve"> investigation is still </w:t>
      </w:r>
      <w:r w:rsidR="002A4B8E" w:rsidRPr="000922B8">
        <w:rPr>
          <w:lang w:val="en-CA"/>
        </w:rPr>
        <w:t>[</w:t>
      </w:r>
      <w:r w:rsidR="002A4B8E" w:rsidRPr="000922B8">
        <w:rPr>
          <w:smallCaps/>
          <w:lang w:val="en-CA"/>
        </w:rPr>
        <w:t>translation</w:t>
      </w:r>
      <w:r w:rsidR="002A4B8E" w:rsidRPr="000922B8">
        <w:rPr>
          <w:lang w:val="en-CA"/>
        </w:rPr>
        <w:t xml:space="preserve">] </w:t>
      </w:r>
      <w:r w:rsidR="00E025AB" w:rsidRPr="000922B8">
        <w:rPr>
          <w:lang w:val="en-CA"/>
        </w:rPr>
        <w:t>“ongoing”.</w:t>
      </w:r>
      <w:r w:rsidRPr="000922B8">
        <w:rPr>
          <w:lang w:val="en-CA"/>
        </w:rPr>
        <w:t xml:space="preserve"> </w:t>
      </w:r>
      <w:r w:rsidR="00E025AB" w:rsidRPr="000922B8">
        <w:rPr>
          <w:lang w:val="en-CA"/>
        </w:rPr>
        <w:t xml:space="preserve">This investigation has progressed since the </w:t>
      </w:r>
      <w:r w:rsidR="007C43FE" w:rsidRPr="000922B8">
        <w:rPr>
          <w:lang w:val="en-CA"/>
        </w:rPr>
        <w:t xml:space="preserve">September 2023 </w:t>
      </w:r>
      <w:r w:rsidR="007C43FE">
        <w:rPr>
          <w:lang w:val="en-CA"/>
        </w:rPr>
        <w:t>D</w:t>
      </w:r>
      <w:r w:rsidR="007C43FE" w:rsidRPr="000922B8">
        <w:rPr>
          <w:lang w:val="en-CA"/>
        </w:rPr>
        <w:t>ecision to extend</w:t>
      </w:r>
      <w:r w:rsidR="00E025AB" w:rsidRPr="000922B8">
        <w:rPr>
          <w:lang w:val="en-CA"/>
        </w:rPr>
        <w:t>.</w:t>
      </w:r>
      <w:r w:rsidRPr="000922B8">
        <w:rPr>
          <w:lang w:val="en-CA"/>
        </w:rPr>
        <w:t xml:space="preserve"> </w:t>
      </w:r>
      <w:r w:rsidR="00E025AB" w:rsidRPr="000922B8">
        <w:rPr>
          <w:lang w:val="en-CA"/>
        </w:rPr>
        <w:t xml:space="preserve">Indeed, the Authority’s investigator explained </w:t>
      </w:r>
      <w:r w:rsidR="006A5F9F">
        <w:rPr>
          <w:lang w:val="en-CA"/>
        </w:rPr>
        <w:t xml:space="preserve">that </w:t>
      </w:r>
      <w:r w:rsidR="00E025AB" w:rsidRPr="000922B8">
        <w:rPr>
          <w:lang w:val="en-CA"/>
        </w:rPr>
        <w:t>the additional investigative steps taken since that decision and the Authority’s decision to bring proceedings before the Tribunal is proof of this investigation’s progress.</w:t>
      </w:r>
      <w:r w:rsidRPr="000922B8">
        <w:rPr>
          <w:lang w:val="en-CA"/>
        </w:rPr>
        <w:t xml:space="preserve"> </w:t>
      </w:r>
      <w:r w:rsidR="00E025AB" w:rsidRPr="000922B8">
        <w:rPr>
          <w:lang w:val="en-CA"/>
        </w:rPr>
        <w:t xml:space="preserve">Accordingly, the Authority’s Application to extend is not an application for review of the </w:t>
      </w:r>
      <w:r w:rsidR="007C43FE" w:rsidRPr="000922B8">
        <w:rPr>
          <w:lang w:val="en-CA"/>
        </w:rPr>
        <w:t xml:space="preserve">September 2023 </w:t>
      </w:r>
      <w:r w:rsidR="007C43FE">
        <w:rPr>
          <w:lang w:val="en-CA"/>
        </w:rPr>
        <w:t>D</w:t>
      </w:r>
      <w:r w:rsidR="007C43FE" w:rsidRPr="000922B8">
        <w:rPr>
          <w:lang w:val="en-CA"/>
        </w:rPr>
        <w:t>ecision to extend</w:t>
      </w:r>
      <w:r w:rsidR="00E025AB" w:rsidRPr="000922B8">
        <w:rPr>
          <w:lang w:val="en-CA"/>
        </w:rPr>
        <w:t>.</w:t>
      </w:r>
    </w:p>
    <w:p w14:paraId="5A742CEE" w14:textId="4743F0A1" w:rsidR="0076411A" w:rsidRPr="000922B8" w:rsidRDefault="00E025AB" w:rsidP="0076411A">
      <w:pPr>
        <w:pStyle w:val="Paragraphe"/>
        <w:rPr>
          <w:lang w:val="en-CA"/>
        </w:rPr>
      </w:pPr>
      <w:r w:rsidRPr="000922B8">
        <w:rPr>
          <w:lang w:val="en-CA"/>
        </w:rPr>
        <w:t xml:space="preserve">Furthermore, it is inaccurate to say that the </w:t>
      </w:r>
      <w:r w:rsidR="006A5F9F">
        <w:rPr>
          <w:lang w:val="en-CA"/>
        </w:rPr>
        <w:t>period</w:t>
      </w:r>
      <w:r w:rsidRPr="000922B8">
        <w:rPr>
          <w:lang w:val="en-CA"/>
        </w:rPr>
        <w:t xml:space="preserve"> of four (4) months granted by the Tribunal in the September 2023 Decision to extend had been intended to complete the Authority’s investigation.</w:t>
      </w:r>
      <w:r w:rsidR="007E64CB" w:rsidRPr="000922B8">
        <w:rPr>
          <w:lang w:val="en-CA"/>
        </w:rPr>
        <w:t xml:space="preserve"> </w:t>
      </w:r>
      <w:r w:rsidRPr="000922B8">
        <w:rPr>
          <w:lang w:val="en-CA"/>
        </w:rPr>
        <w:t xml:space="preserve">The Tribunal in no way specified that it was a final extension of the freeze orders and, in any event, could not bind itself in advance to the conclusions of a </w:t>
      </w:r>
      <w:r w:rsidR="002A4B8E" w:rsidRPr="000922B8">
        <w:rPr>
          <w:lang w:val="en-CA"/>
        </w:rPr>
        <w:t>future</w:t>
      </w:r>
      <w:r w:rsidRPr="000922B8">
        <w:rPr>
          <w:lang w:val="en-CA"/>
        </w:rPr>
        <w:t xml:space="preserve"> decision.</w:t>
      </w:r>
      <w:r w:rsidR="007E64CB" w:rsidRPr="000922B8">
        <w:rPr>
          <w:lang w:val="en-CA"/>
        </w:rPr>
        <w:t xml:space="preserve"> </w:t>
      </w:r>
      <w:r w:rsidRPr="000922B8">
        <w:rPr>
          <w:lang w:val="en-CA"/>
        </w:rPr>
        <w:t xml:space="preserve">On the contrary, the Tribunal specified in that decision that </w:t>
      </w:r>
      <w:r w:rsidR="002A4B8E" w:rsidRPr="000922B8">
        <w:rPr>
          <w:lang w:val="en-CA"/>
        </w:rPr>
        <w:t>[</w:t>
      </w:r>
      <w:r w:rsidR="002A4B8E" w:rsidRPr="000922B8">
        <w:rPr>
          <w:smallCaps/>
          <w:lang w:val="en-CA"/>
        </w:rPr>
        <w:t>translation</w:t>
      </w:r>
      <w:r w:rsidR="002A4B8E" w:rsidRPr="000922B8">
        <w:rPr>
          <w:lang w:val="en-CA"/>
        </w:rPr>
        <w:t xml:space="preserve">] </w:t>
      </w:r>
      <w:r w:rsidRPr="000922B8">
        <w:rPr>
          <w:lang w:val="en-CA"/>
        </w:rPr>
        <w:t>“... the Tribunal is of the view that it [was] reasonable to ensure a thorough follow</w:t>
      </w:r>
      <w:r w:rsidR="004C48E3">
        <w:rPr>
          <w:lang w:val="en-CA"/>
        </w:rPr>
        <w:t>-</w:t>
      </w:r>
      <w:r w:rsidRPr="000922B8">
        <w:rPr>
          <w:lang w:val="en-CA"/>
        </w:rPr>
        <w:t>up o</w:t>
      </w:r>
      <w:r w:rsidR="004C48E3">
        <w:rPr>
          <w:lang w:val="en-CA"/>
        </w:rPr>
        <w:t>n</w:t>
      </w:r>
      <w:r w:rsidRPr="000922B8">
        <w:rPr>
          <w:lang w:val="en-CA"/>
        </w:rPr>
        <w:t xml:space="preserve"> the time required to continue the investigation in its strict sense”.</w:t>
      </w:r>
      <w:r w:rsidR="007E64CB" w:rsidRPr="008D2CF1">
        <w:rPr>
          <w:rStyle w:val="Appelnotedebasdep"/>
          <w:lang w:val="en-CA"/>
        </w:rPr>
        <w:footnoteReference w:id="67"/>
      </w:r>
    </w:p>
    <w:p w14:paraId="35EC95CE" w14:textId="14D50A90" w:rsidR="0076411A" w:rsidRPr="000922B8" w:rsidRDefault="00E025AB" w:rsidP="0076411A">
      <w:pPr>
        <w:pStyle w:val="Paragraphe"/>
        <w:rPr>
          <w:rFonts w:cs="Arial"/>
          <w:lang w:val="en-CA"/>
        </w:rPr>
      </w:pPr>
      <w:r w:rsidRPr="000922B8">
        <w:rPr>
          <w:rFonts w:cs="Arial"/>
          <w:lang w:val="en-CA"/>
        </w:rPr>
        <w:t xml:space="preserve">For </w:t>
      </w:r>
      <w:r w:rsidR="002A4B8E" w:rsidRPr="000922B8">
        <w:rPr>
          <w:rFonts w:cs="Arial"/>
          <w:lang w:val="en-CA"/>
        </w:rPr>
        <w:t>now</w:t>
      </w:r>
      <w:r w:rsidRPr="000922B8">
        <w:rPr>
          <w:rFonts w:cs="Arial"/>
          <w:lang w:val="en-CA"/>
        </w:rPr>
        <w:t xml:space="preserve">, the Tribunal can only note that the </w:t>
      </w:r>
      <w:r w:rsidR="002A4B8E" w:rsidRPr="000922B8">
        <w:rPr>
          <w:rFonts w:cs="Arial"/>
          <w:lang w:val="en-CA"/>
        </w:rPr>
        <w:t>Authority’s</w:t>
      </w:r>
      <w:r w:rsidRPr="000922B8">
        <w:rPr>
          <w:rFonts w:cs="Arial"/>
          <w:lang w:val="en-CA"/>
        </w:rPr>
        <w:t xml:space="preserve"> investigation is ongoing.</w:t>
      </w:r>
      <w:r w:rsidR="007E64CB" w:rsidRPr="000922B8">
        <w:rPr>
          <w:rFonts w:cs="Arial"/>
          <w:lang w:val="en-CA"/>
        </w:rPr>
        <w:t xml:space="preserve"> </w:t>
      </w:r>
      <w:r w:rsidRPr="000922B8">
        <w:rPr>
          <w:rFonts w:cs="Arial"/>
          <w:lang w:val="en-CA"/>
        </w:rPr>
        <w:t xml:space="preserve">An extension of the freeze orders is necessary to allow the </w:t>
      </w:r>
      <w:r w:rsidR="002A4B8E" w:rsidRPr="000922B8">
        <w:rPr>
          <w:rFonts w:cs="Arial"/>
          <w:lang w:val="en-CA"/>
        </w:rPr>
        <w:t>Authority</w:t>
      </w:r>
      <w:r w:rsidRPr="000922B8">
        <w:rPr>
          <w:rFonts w:cs="Arial"/>
          <w:lang w:val="en-CA"/>
        </w:rPr>
        <w:t xml:space="preserve"> to bring its proceedings.</w:t>
      </w:r>
      <w:r w:rsidR="007E64CB" w:rsidRPr="000922B8">
        <w:rPr>
          <w:rFonts w:cs="Arial"/>
          <w:lang w:val="en-CA"/>
        </w:rPr>
        <w:t xml:space="preserve"> </w:t>
      </w:r>
    </w:p>
    <w:p w14:paraId="17F78F90" w14:textId="184627D1" w:rsidR="0076411A" w:rsidRPr="000922B8" w:rsidRDefault="002A4B8E" w:rsidP="0076411A">
      <w:pPr>
        <w:pStyle w:val="Paragraphe"/>
        <w:rPr>
          <w:rFonts w:cs="Arial"/>
          <w:lang w:val="en-CA"/>
        </w:rPr>
      </w:pPr>
      <w:r w:rsidRPr="000922B8">
        <w:rPr>
          <w:lang w:val="en-CA"/>
        </w:rPr>
        <w:t>However</w:t>
      </w:r>
      <w:r w:rsidR="007E64CB" w:rsidRPr="000922B8">
        <w:rPr>
          <w:lang w:val="en-CA"/>
        </w:rPr>
        <w:t>, the Tribunal recalls that the freeze orders were issue</w:t>
      </w:r>
      <w:r w:rsidR="00DC0046">
        <w:rPr>
          <w:lang w:val="en-CA"/>
        </w:rPr>
        <w:t>d</w:t>
      </w:r>
      <w:r w:rsidR="007E64CB" w:rsidRPr="000922B8">
        <w:rPr>
          <w:lang w:val="en-CA"/>
        </w:rPr>
        <w:t xml:space="preserve"> 27 months ago</w:t>
      </w:r>
      <w:r w:rsidR="004A3345">
        <w:rPr>
          <w:lang w:val="en-CA"/>
        </w:rPr>
        <w:t>,</w:t>
      </w:r>
      <w:r w:rsidR="007E64CB" w:rsidRPr="000922B8">
        <w:rPr>
          <w:lang w:val="en-CA"/>
        </w:rPr>
        <w:t xml:space="preserve"> </w:t>
      </w:r>
      <w:r w:rsidRPr="000922B8">
        <w:rPr>
          <w:lang w:val="en-CA"/>
        </w:rPr>
        <w:t>and</w:t>
      </w:r>
      <w:r w:rsidR="007E64CB" w:rsidRPr="000922B8">
        <w:rPr>
          <w:lang w:val="en-CA"/>
        </w:rPr>
        <w:t xml:space="preserve"> it would be unreasonable to grant the Authority nine (9) months to allow it to bring the proceedings in question when a firm position to this effect has been taken and </w:t>
      </w:r>
      <w:r w:rsidRPr="000922B8">
        <w:rPr>
          <w:lang w:val="en-CA"/>
        </w:rPr>
        <w:t>the Authority</w:t>
      </w:r>
      <w:r w:rsidR="007E64CB" w:rsidRPr="000922B8">
        <w:rPr>
          <w:lang w:val="en-CA"/>
        </w:rPr>
        <w:t xml:space="preserve"> has been in possession of the investigation report for one year now.</w:t>
      </w:r>
    </w:p>
    <w:p w14:paraId="181A9D55" w14:textId="6E6973B9" w:rsidR="00D32760" w:rsidRPr="000922B8" w:rsidRDefault="007E64CB" w:rsidP="0076411A">
      <w:pPr>
        <w:pStyle w:val="Paragraphe"/>
        <w:rPr>
          <w:lang w:val="en-CA"/>
        </w:rPr>
      </w:pPr>
      <w:r w:rsidRPr="000922B8">
        <w:rPr>
          <w:lang w:val="en-CA"/>
        </w:rPr>
        <w:t xml:space="preserve">The Tribunal reiterates the limiting effects of the freeze orders on Roger Tremblay, which effects require that the Authority assign the </w:t>
      </w:r>
      <w:r w:rsidR="004A3345">
        <w:rPr>
          <w:lang w:val="en-CA"/>
        </w:rPr>
        <w:t>personnel</w:t>
      </w:r>
      <w:r w:rsidRPr="000922B8">
        <w:rPr>
          <w:lang w:val="en-CA"/>
        </w:rPr>
        <w:t xml:space="preserve"> necessary to complete the investigation, which has become imperative to </w:t>
      </w:r>
      <w:r w:rsidR="0049113F" w:rsidRPr="000922B8">
        <w:rPr>
          <w:lang w:val="en-CA"/>
        </w:rPr>
        <w:t>[</w:t>
      </w:r>
      <w:r w:rsidR="0049113F" w:rsidRPr="000922B8">
        <w:rPr>
          <w:smallCaps/>
          <w:lang w:val="en-CA"/>
        </w:rPr>
        <w:t>translation</w:t>
      </w:r>
      <w:r w:rsidR="0049113F" w:rsidRPr="000922B8">
        <w:rPr>
          <w:lang w:val="en-CA"/>
        </w:rPr>
        <w:t xml:space="preserve">] </w:t>
      </w:r>
      <w:r w:rsidRPr="000922B8">
        <w:rPr>
          <w:lang w:val="en-CA"/>
        </w:rPr>
        <w:t>“bolster public confidence”.</w:t>
      </w:r>
      <w:r w:rsidRPr="008D2CF1">
        <w:rPr>
          <w:rStyle w:val="Appelnotedebasdep"/>
          <w:lang w:val="en-CA"/>
        </w:rPr>
        <w:footnoteReference w:id="68"/>
      </w:r>
    </w:p>
    <w:p w14:paraId="6527622A" w14:textId="339FEAF7" w:rsidR="00D32760" w:rsidRPr="000922B8" w:rsidRDefault="007E64CB" w:rsidP="00CF2691">
      <w:pPr>
        <w:pStyle w:val="Paragraphe"/>
        <w:rPr>
          <w:lang w:val="en-CA"/>
        </w:rPr>
      </w:pPr>
      <w:r w:rsidRPr="000922B8">
        <w:rPr>
          <w:lang w:val="en-CA"/>
        </w:rPr>
        <w:t xml:space="preserve">The Tribunal takes into consideration Roger Tremblay’s cooperation in this file as he, according to the submissions of his counsel, refused to contest the </w:t>
      </w:r>
      <w:r w:rsidRPr="00744336">
        <w:rPr>
          <w:i/>
          <w:iCs/>
          <w:lang w:val="en-CA"/>
        </w:rPr>
        <w:t xml:space="preserve">Ex </w:t>
      </w:r>
      <w:proofErr w:type="spellStart"/>
      <w:r w:rsidRPr="00744336">
        <w:rPr>
          <w:i/>
          <w:iCs/>
          <w:lang w:val="en-CA"/>
        </w:rPr>
        <w:t>parte</w:t>
      </w:r>
      <w:proofErr w:type="spellEnd"/>
      <w:r w:rsidRPr="000922B8">
        <w:rPr>
          <w:lang w:val="en-CA"/>
        </w:rPr>
        <w:t xml:space="preserve"> </w:t>
      </w:r>
      <w:r w:rsidR="006A5F9F">
        <w:rPr>
          <w:lang w:val="en-CA"/>
        </w:rPr>
        <w:t>D</w:t>
      </w:r>
      <w:r w:rsidRPr="000922B8">
        <w:rPr>
          <w:lang w:val="en-CA"/>
        </w:rPr>
        <w:t xml:space="preserve">ecision or the </w:t>
      </w:r>
      <w:r w:rsidR="004A3345">
        <w:rPr>
          <w:lang w:val="en-CA"/>
        </w:rPr>
        <w:t xml:space="preserve">first </w:t>
      </w:r>
      <w:r w:rsidRPr="000922B8">
        <w:rPr>
          <w:lang w:val="en-CA"/>
        </w:rPr>
        <w:t>three applications to extend the freeze orders</w:t>
      </w:r>
      <w:r w:rsidR="004A3345">
        <w:rPr>
          <w:lang w:val="en-CA"/>
        </w:rPr>
        <w:t>,</w:t>
      </w:r>
      <w:r w:rsidRPr="000922B8">
        <w:rPr>
          <w:lang w:val="en-CA"/>
        </w:rPr>
        <w:t xml:space="preserve"> precisely to allow the Authority to complete its investigation as quickly as possible.</w:t>
      </w:r>
      <w:r w:rsidR="006F1CD1" w:rsidRPr="000922B8">
        <w:rPr>
          <w:lang w:val="en-CA"/>
        </w:rPr>
        <w:t xml:space="preserve"> </w:t>
      </w:r>
    </w:p>
    <w:p w14:paraId="191EF1C8" w14:textId="6D7F626F" w:rsidR="001F1B63" w:rsidRPr="000922B8" w:rsidRDefault="007E64CB" w:rsidP="00CF2691">
      <w:pPr>
        <w:pStyle w:val="Paragraphe"/>
        <w:rPr>
          <w:rFonts w:cs="Arial"/>
          <w:lang w:val="en-CA"/>
        </w:rPr>
      </w:pPr>
      <w:r w:rsidRPr="000922B8">
        <w:rPr>
          <w:rFonts w:cs="Arial"/>
          <w:lang w:val="en-CA"/>
        </w:rPr>
        <w:t xml:space="preserve">The Tribunal is of </w:t>
      </w:r>
      <w:r w:rsidR="0049113F" w:rsidRPr="000922B8">
        <w:rPr>
          <w:rFonts w:cs="Arial"/>
          <w:lang w:val="en-CA"/>
        </w:rPr>
        <w:t>the</w:t>
      </w:r>
      <w:r w:rsidRPr="000922B8">
        <w:rPr>
          <w:rFonts w:cs="Arial"/>
          <w:lang w:val="en-CA"/>
        </w:rPr>
        <w:t xml:space="preserve"> view that, in the circumstances of this case, without </w:t>
      </w:r>
      <w:r w:rsidR="0049113F" w:rsidRPr="000922B8">
        <w:rPr>
          <w:rFonts w:cs="Arial"/>
          <w:lang w:val="en-CA"/>
        </w:rPr>
        <w:t>calling into question</w:t>
      </w:r>
      <w:r w:rsidRPr="000922B8">
        <w:rPr>
          <w:rFonts w:cs="Arial"/>
          <w:lang w:val="en-CA"/>
        </w:rPr>
        <w:t xml:space="preserve"> the scope of the work required, it would be reasonable and in the public interest to extend the freeze orders for three (3) months from their expiry, that is</w:t>
      </w:r>
      <w:r w:rsidR="00DC0046">
        <w:rPr>
          <w:rFonts w:cs="Arial"/>
          <w:lang w:val="en-CA"/>
        </w:rPr>
        <w:t>,</w:t>
      </w:r>
      <w:r w:rsidRPr="000922B8">
        <w:rPr>
          <w:rFonts w:cs="Arial"/>
          <w:lang w:val="en-CA"/>
        </w:rPr>
        <w:t xml:space="preserve"> until June 26, 2024, to allow the Authority to bring its proceedings </w:t>
      </w:r>
      <w:r w:rsidR="0049113F" w:rsidRPr="000922B8">
        <w:rPr>
          <w:rFonts w:cs="Arial"/>
          <w:lang w:val="en-CA"/>
        </w:rPr>
        <w:t>before</w:t>
      </w:r>
      <w:r w:rsidRPr="000922B8">
        <w:rPr>
          <w:rFonts w:cs="Arial"/>
          <w:lang w:val="en-CA"/>
        </w:rPr>
        <w:t xml:space="preserve"> the Tribunal.</w:t>
      </w:r>
      <w:r w:rsidR="00CF2691" w:rsidRPr="000922B8">
        <w:rPr>
          <w:rFonts w:cs="Arial"/>
          <w:lang w:val="en-CA"/>
        </w:rPr>
        <w:t xml:space="preserve"> </w:t>
      </w:r>
    </w:p>
    <w:p w14:paraId="45B92202" w14:textId="1BDFA33C" w:rsidR="00FB2706" w:rsidRPr="000922B8" w:rsidRDefault="007E64CB" w:rsidP="00755633">
      <w:pPr>
        <w:pStyle w:val="Paragraphe"/>
        <w:rPr>
          <w:rFonts w:cs="Arial"/>
          <w:lang w:val="en-CA"/>
        </w:rPr>
      </w:pPr>
      <w:r w:rsidRPr="000922B8">
        <w:rPr>
          <w:rFonts w:cs="Arial"/>
          <w:lang w:val="en-CA"/>
        </w:rPr>
        <w:t xml:space="preserve">Once the </w:t>
      </w:r>
      <w:r w:rsidR="0049113F" w:rsidRPr="000922B8">
        <w:rPr>
          <w:rFonts w:cs="Arial"/>
          <w:lang w:val="en-CA"/>
        </w:rPr>
        <w:t>proceedings</w:t>
      </w:r>
      <w:r w:rsidRPr="000922B8">
        <w:rPr>
          <w:rFonts w:cs="Arial"/>
          <w:lang w:val="en-CA"/>
        </w:rPr>
        <w:t xml:space="preserve"> are brought, the Tribunal will assess the progress of the Authority’s investigation in its </w:t>
      </w:r>
      <w:r w:rsidR="0049113F" w:rsidRPr="000922B8">
        <w:rPr>
          <w:lang w:val="en-CA"/>
        </w:rPr>
        <w:t>[</w:t>
      </w:r>
      <w:r w:rsidR="0049113F" w:rsidRPr="000922B8">
        <w:rPr>
          <w:smallCaps/>
          <w:lang w:val="en-CA"/>
        </w:rPr>
        <w:t>translation</w:t>
      </w:r>
      <w:r w:rsidR="0049113F" w:rsidRPr="000922B8">
        <w:rPr>
          <w:lang w:val="en-CA"/>
        </w:rPr>
        <w:t xml:space="preserve">] </w:t>
      </w:r>
      <w:r w:rsidRPr="000922B8">
        <w:rPr>
          <w:rFonts w:cs="Arial"/>
          <w:lang w:val="en-CA"/>
        </w:rPr>
        <w:t>“broad sense”, and will consider the additional extensions required during this time to proceed to the hearing on the merits of this case as quickly as possible.</w:t>
      </w:r>
    </w:p>
    <w:p w14:paraId="326E013C" w14:textId="0FEAB185" w:rsidR="00CF2691" w:rsidRPr="000922B8" w:rsidRDefault="007E64CB" w:rsidP="003A1FAC">
      <w:pPr>
        <w:pStyle w:val="Paragraphe"/>
        <w:rPr>
          <w:lang w:val="en-CA"/>
        </w:rPr>
      </w:pPr>
      <w:r w:rsidRPr="000922B8">
        <w:rPr>
          <w:lang w:val="en-CA"/>
        </w:rPr>
        <w:lastRenderedPageBreak/>
        <w:t xml:space="preserve">The Tribunal insists on adding that even if the Authority’s investigators continue to </w:t>
      </w:r>
      <w:r w:rsidR="004A3345">
        <w:rPr>
          <w:lang w:val="en-CA"/>
        </w:rPr>
        <w:t>gather</w:t>
      </w:r>
      <w:r w:rsidRPr="000922B8">
        <w:rPr>
          <w:lang w:val="en-CA"/>
        </w:rPr>
        <w:t xml:space="preserve"> relevant information, the Tribunal expects </w:t>
      </w:r>
      <w:r w:rsidR="0049113F" w:rsidRPr="000922B8">
        <w:rPr>
          <w:lang w:val="en-CA"/>
        </w:rPr>
        <w:t>proceedings</w:t>
      </w:r>
      <w:r w:rsidRPr="000922B8">
        <w:rPr>
          <w:lang w:val="en-CA"/>
        </w:rPr>
        <w:t xml:space="preserve"> to be brought notwithstanding any additional investigative steps. </w:t>
      </w:r>
    </w:p>
    <w:p w14:paraId="6D6D48BF" w14:textId="0841C538" w:rsidR="00815B8D" w:rsidRPr="000922B8" w:rsidRDefault="007E64CB" w:rsidP="00A4685A">
      <w:pPr>
        <w:pStyle w:val="Paragraphe"/>
        <w:numPr>
          <w:ilvl w:val="0"/>
          <w:numId w:val="0"/>
        </w:numPr>
        <w:rPr>
          <w:rFonts w:cs="Arial"/>
          <w:iCs/>
          <w:szCs w:val="24"/>
          <w:lang w:val="en-CA"/>
        </w:rPr>
      </w:pPr>
      <w:r w:rsidRPr="000922B8">
        <w:rPr>
          <w:rFonts w:cs="Arial"/>
          <w:b/>
          <w:szCs w:val="24"/>
          <w:lang w:val="en-CA"/>
        </w:rPr>
        <w:t>FOR THESE REASONS</w:t>
      </w:r>
      <w:r w:rsidR="004A3345">
        <w:rPr>
          <w:rFonts w:cs="Arial"/>
          <w:b/>
          <w:szCs w:val="24"/>
          <w:lang w:val="en-CA"/>
        </w:rPr>
        <w:t>,</w:t>
      </w:r>
      <w:r w:rsidRPr="000922B8">
        <w:rPr>
          <w:rFonts w:cs="Arial"/>
          <w:bCs/>
          <w:szCs w:val="24"/>
          <w:lang w:val="en-CA"/>
        </w:rPr>
        <w:t xml:space="preserve"> the Financial Markets Administrative Tribunal, pursuant to section 93 of the </w:t>
      </w:r>
      <w:r w:rsidRPr="000922B8">
        <w:rPr>
          <w:rFonts w:cs="Arial"/>
          <w:bCs/>
          <w:i/>
          <w:iCs/>
          <w:szCs w:val="24"/>
          <w:lang w:val="en-CA"/>
        </w:rPr>
        <w:t>Act respecting the regulation of the financial sector</w:t>
      </w:r>
      <w:r w:rsidR="001C11C0">
        <w:rPr>
          <w:rFonts w:cs="Arial"/>
          <w:bCs/>
          <w:szCs w:val="24"/>
          <w:lang w:val="en-CA"/>
        </w:rPr>
        <w:t>,</w:t>
      </w:r>
      <w:r w:rsidRPr="000922B8">
        <w:rPr>
          <w:rFonts w:cs="Arial"/>
          <w:bCs/>
          <w:szCs w:val="24"/>
          <w:lang w:val="en-CA"/>
        </w:rPr>
        <w:t xml:space="preserve"> sections 249 and 250 of the </w:t>
      </w:r>
      <w:r w:rsidRPr="000922B8">
        <w:rPr>
          <w:rFonts w:cs="Arial"/>
          <w:bCs/>
          <w:i/>
          <w:iCs/>
          <w:szCs w:val="24"/>
          <w:lang w:val="en-CA"/>
        </w:rPr>
        <w:t>Securities Act</w:t>
      </w:r>
      <w:r w:rsidRPr="000922B8">
        <w:rPr>
          <w:rFonts w:cs="Arial"/>
          <w:bCs/>
          <w:szCs w:val="24"/>
          <w:lang w:val="en-CA"/>
        </w:rPr>
        <w:t xml:space="preserve">, </w:t>
      </w:r>
      <w:r w:rsidR="001C11C0">
        <w:rPr>
          <w:rFonts w:cs="Arial"/>
          <w:bCs/>
          <w:szCs w:val="24"/>
          <w:lang w:val="en-CA"/>
        </w:rPr>
        <w:t>and</w:t>
      </w:r>
      <w:r w:rsidRPr="000922B8">
        <w:rPr>
          <w:rFonts w:cs="Arial"/>
          <w:bCs/>
          <w:szCs w:val="24"/>
          <w:lang w:val="en-CA"/>
        </w:rPr>
        <w:t xml:space="preserve"> section 115.3 of the </w:t>
      </w:r>
      <w:r w:rsidRPr="000922B8">
        <w:rPr>
          <w:rFonts w:cs="Arial"/>
          <w:bCs/>
          <w:i/>
          <w:iCs/>
          <w:szCs w:val="24"/>
          <w:lang w:val="en-CA"/>
        </w:rPr>
        <w:t>Act respecting the distribution of financial products and services</w:t>
      </w:r>
      <w:r w:rsidRPr="000922B8">
        <w:rPr>
          <w:rFonts w:cs="Arial"/>
          <w:bCs/>
          <w:szCs w:val="24"/>
          <w:lang w:val="en-CA"/>
        </w:rPr>
        <w:t>:</w:t>
      </w:r>
    </w:p>
    <w:p w14:paraId="4B2DDEF9" w14:textId="3546E5DD" w:rsidR="00090A7E" w:rsidRPr="000922B8" w:rsidRDefault="007E64CB" w:rsidP="00921B5C">
      <w:pPr>
        <w:pStyle w:val="Corpsdetexte"/>
        <w:spacing w:before="1"/>
        <w:ind w:right="194"/>
        <w:jc w:val="both"/>
        <w:rPr>
          <w:rFonts w:cs="Arial"/>
          <w:szCs w:val="24"/>
          <w:lang w:val="en-CA"/>
        </w:rPr>
      </w:pPr>
      <w:r w:rsidRPr="000922B8">
        <w:rPr>
          <w:rFonts w:cs="Arial"/>
          <w:b/>
          <w:szCs w:val="24"/>
          <w:lang w:val="en-CA"/>
        </w:rPr>
        <w:t>GRANTS</w:t>
      </w:r>
      <w:r w:rsidRPr="000922B8">
        <w:rPr>
          <w:rFonts w:cs="Arial"/>
          <w:bCs/>
          <w:szCs w:val="24"/>
          <w:lang w:val="en-CA"/>
        </w:rPr>
        <w:t xml:space="preserve"> the </w:t>
      </w:r>
      <w:proofErr w:type="spellStart"/>
      <w:r w:rsidRPr="000922B8">
        <w:rPr>
          <w:rFonts w:cs="Arial"/>
          <w:bCs/>
          <w:szCs w:val="24"/>
          <w:lang w:val="en-CA"/>
        </w:rPr>
        <w:t>Autorité</w:t>
      </w:r>
      <w:proofErr w:type="spellEnd"/>
      <w:r w:rsidRPr="000922B8">
        <w:rPr>
          <w:rFonts w:cs="Arial"/>
          <w:bCs/>
          <w:szCs w:val="24"/>
          <w:lang w:val="en-CA"/>
        </w:rPr>
        <w:t xml:space="preserve"> des </w:t>
      </w:r>
      <w:proofErr w:type="spellStart"/>
      <w:r w:rsidRPr="000922B8">
        <w:rPr>
          <w:rFonts w:cs="Arial"/>
          <w:bCs/>
          <w:szCs w:val="24"/>
          <w:lang w:val="en-CA"/>
        </w:rPr>
        <w:t>marchés</w:t>
      </w:r>
      <w:proofErr w:type="spellEnd"/>
      <w:r w:rsidRPr="000922B8">
        <w:rPr>
          <w:rFonts w:cs="Arial"/>
          <w:bCs/>
          <w:szCs w:val="24"/>
          <w:lang w:val="en-CA"/>
        </w:rPr>
        <w:t xml:space="preserve"> </w:t>
      </w:r>
      <w:proofErr w:type="spellStart"/>
      <w:r w:rsidRPr="000922B8">
        <w:rPr>
          <w:rFonts w:cs="Arial"/>
          <w:bCs/>
          <w:szCs w:val="24"/>
          <w:lang w:val="en-CA"/>
        </w:rPr>
        <w:t>financiers’s</w:t>
      </w:r>
      <w:proofErr w:type="spellEnd"/>
      <w:r w:rsidRPr="000922B8">
        <w:rPr>
          <w:rFonts w:cs="Arial"/>
          <w:bCs/>
          <w:szCs w:val="24"/>
          <w:lang w:val="en-CA"/>
        </w:rPr>
        <w:t xml:space="preserve"> application to extend the freeze orders, in the public interest;</w:t>
      </w:r>
    </w:p>
    <w:p w14:paraId="1E7D853D" w14:textId="51476537" w:rsidR="00090A7E" w:rsidRPr="000922B8" w:rsidRDefault="007E64CB" w:rsidP="00921B5C">
      <w:pPr>
        <w:pStyle w:val="Corpsdetexte"/>
        <w:spacing w:before="1"/>
        <w:ind w:right="194"/>
        <w:jc w:val="both"/>
        <w:rPr>
          <w:rFonts w:cs="Arial"/>
          <w:b/>
          <w:bCs/>
          <w:szCs w:val="24"/>
          <w:lang w:val="en-CA"/>
        </w:rPr>
      </w:pPr>
      <w:r w:rsidRPr="000922B8">
        <w:rPr>
          <w:rFonts w:cs="Arial"/>
          <w:b/>
          <w:bCs/>
          <w:szCs w:val="24"/>
          <w:lang w:val="en-CA"/>
        </w:rPr>
        <w:t xml:space="preserve">DISMISSES </w:t>
      </w:r>
      <w:r w:rsidRPr="000922B8">
        <w:rPr>
          <w:rFonts w:cs="Arial"/>
          <w:szCs w:val="24"/>
          <w:lang w:val="en-CA"/>
        </w:rPr>
        <w:t xml:space="preserve">the respondent Roger Tremblay’s application to find the Application to extend the freeze orders presented by the </w:t>
      </w:r>
      <w:proofErr w:type="spellStart"/>
      <w:r w:rsidRPr="000922B8">
        <w:rPr>
          <w:rFonts w:cs="Arial"/>
          <w:szCs w:val="24"/>
          <w:lang w:val="en-CA"/>
        </w:rPr>
        <w:t>Autorité</w:t>
      </w:r>
      <w:proofErr w:type="spellEnd"/>
      <w:r w:rsidRPr="000922B8">
        <w:rPr>
          <w:rFonts w:cs="Arial"/>
          <w:szCs w:val="24"/>
          <w:lang w:val="en-CA"/>
        </w:rPr>
        <w:t xml:space="preserve"> des </w:t>
      </w:r>
      <w:proofErr w:type="spellStart"/>
      <w:r w:rsidRPr="000922B8">
        <w:rPr>
          <w:rFonts w:cs="Arial"/>
          <w:szCs w:val="24"/>
          <w:lang w:val="en-CA"/>
        </w:rPr>
        <w:t>marchés</w:t>
      </w:r>
      <w:proofErr w:type="spellEnd"/>
      <w:r w:rsidRPr="000922B8">
        <w:rPr>
          <w:rFonts w:cs="Arial"/>
          <w:szCs w:val="24"/>
          <w:lang w:val="en-CA"/>
        </w:rPr>
        <w:t xml:space="preserve"> financiers to be abusive;</w:t>
      </w:r>
    </w:p>
    <w:p w14:paraId="1D9CE036" w14:textId="57E4CA7E" w:rsidR="00E10DEF" w:rsidRPr="000922B8" w:rsidRDefault="007E64CB" w:rsidP="00921B5C">
      <w:pPr>
        <w:pStyle w:val="Corpsdetexte"/>
        <w:spacing w:before="1"/>
        <w:ind w:right="194"/>
        <w:jc w:val="both"/>
        <w:rPr>
          <w:rFonts w:cs="Arial"/>
          <w:szCs w:val="24"/>
          <w:lang w:val="en-CA"/>
        </w:rPr>
      </w:pPr>
      <w:r w:rsidRPr="000922B8">
        <w:rPr>
          <w:rFonts w:cs="Arial"/>
          <w:b/>
          <w:color w:val="000000"/>
          <w:szCs w:val="24"/>
          <w:lang w:val="en-CA"/>
        </w:rPr>
        <w:t>EXTENDS</w:t>
      </w:r>
      <w:r w:rsidRPr="000922B8">
        <w:rPr>
          <w:rFonts w:cs="Arial"/>
          <w:color w:val="000000"/>
          <w:szCs w:val="24"/>
          <w:lang w:val="en-CA"/>
        </w:rPr>
        <w:t xml:space="preserve"> the freeze orders it issued on December 30, 2021,</w:t>
      </w:r>
      <w:r w:rsidRPr="008D2CF1">
        <w:rPr>
          <w:rStyle w:val="Appelnotedebasdep"/>
          <w:rFonts w:cs="Arial"/>
          <w:szCs w:val="24"/>
          <w:lang w:val="en-CA"/>
        </w:rPr>
        <w:footnoteReference w:id="69"/>
      </w:r>
      <w:r w:rsidRPr="000922B8">
        <w:rPr>
          <w:rFonts w:cs="Arial"/>
          <w:color w:val="000000"/>
          <w:szCs w:val="24"/>
          <w:lang w:val="en-CA"/>
        </w:rPr>
        <w:t xml:space="preserve"> and December 19, 2023,</w:t>
      </w:r>
      <w:r w:rsidRPr="008D2CF1">
        <w:rPr>
          <w:rStyle w:val="Appelnotedebasdep"/>
          <w:rFonts w:cs="Arial"/>
          <w:szCs w:val="24"/>
          <w:lang w:val="en-CA"/>
        </w:rPr>
        <w:footnoteReference w:id="70"/>
      </w:r>
      <w:r w:rsidRPr="000922B8">
        <w:rPr>
          <w:rFonts w:cs="Arial"/>
          <w:color w:val="000000"/>
          <w:szCs w:val="24"/>
          <w:lang w:val="en-CA"/>
        </w:rPr>
        <w:t xml:space="preserve"> as renewed since, for a period of three (3) months starting on </w:t>
      </w:r>
      <w:r w:rsidRPr="000922B8">
        <w:rPr>
          <w:rFonts w:cs="Arial"/>
          <w:b/>
          <w:color w:val="000000"/>
          <w:szCs w:val="24"/>
          <w:lang w:val="en-CA"/>
        </w:rPr>
        <w:t>March 27, 2024</w:t>
      </w:r>
      <w:r w:rsidRPr="000922B8">
        <w:rPr>
          <w:rFonts w:cs="Arial"/>
          <w:color w:val="000000"/>
          <w:szCs w:val="24"/>
          <w:lang w:val="en-CA"/>
        </w:rPr>
        <w:t xml:space="preserve">, and ending on </w:t>
      </w:r>
      <w:r w:rsidRPr="000922B8">
        <w:rPr>
          <w:rFonts w:cs="Arial"/>
          <w:b/>
          <w:color w:val="000000"/>
          <w:szCs w:val="24"/>
          <w:lang w:val="en-CA"/>
        </w:rPr>
        <w:t>June 26, 2024</w:t>
      </w:r>
      <w:r w:rsidRPr="000922B8">
        <w:rPr>
          <w:rFonts w:cs="Arial"/>
          <w:color w:val="000000"/>
          <w:szCs w:val="24"/>
          <w:lang w:val="en-CA"/>
        </w:rPr>
        <w:t xml:space="preserve">, in the following manner, subject to </w:t>
      </w:r>
      <w:r w:rsidR="0049113F" w:rsidRPr="000922B8">
        <w:rPr>
          <w:rFonts w:cs="Arial"/>
          <w:color w:val="000000"/>
          <w:szCs w:val="24"/>
          <w:lang w:val="en-CA"/>
        </w:rPr>
        <w:t>being</w:t>
      </w:r>
      <w:r w:rsidRPr="000922B8">
        <w:rPr>
          <w:rFonts w:cs="Arial"/>
          <w:color w:val="000000"/>
          <w:szCs w:val="24"/>
          <w:lang w:val="en-CA"/>
        </w:rPr>
        <w:t xml:space="preserve"> amended or revoked prior to the end of this term: </w:t>
      </w:r>
    </w:p>
    <w:p w14:paraId="72DEA678" w14:textId="023B4304" w:rsidR="003F2103" w:rsidRPr="000922B8" w:rsidRDefault="007E64CB" w:rsidP="003A5E03">
      <w:pPr>
        <w:pStyle w:val="Jusitif"/>
        <w:spacing w:before="120" w:after="120"/>
        <w:ind w:left="720"/>
        <w:rPr>
          <w:lang w:val="en-CA"/>
        </w:rPr>
      </w:pPr>
      <w:r w:rsidRPr="000922B8">
        <w:rPr>
          <w:b/>
          <w:lang w:val="en-CA"/>
        </w:rPr>
        <w:t>ORDERS</w:t>
      </w:r>
      <w:r w:rsidRPr="000922B8">
        <w:rPr>
          <w:bCs/>
          <w:lang w:val="en-CA"/>
        </w:rPr>
        <w:t xml:space="preserve"> the respondent Roger Tremblay not to dispose of, directly or indirectly, any funds, securities or other assets in </w:t>
      </w:r>
      <w:r w:rsidR="0049113F" w:rsidRPr="000922B8">
        <w:rPr>
          <w:bCs/>
          <w:lang w:val="en-CA"/>
        </w:rPr>
        <w:t>his</w:t>
      </w:r>
      <w:r w:rsidRPr="000922B8">
        <w:rPr>
          <w:bCs/>
          <w:lang w:val="en-CA"/>
        </w:rPr>
        <w:t xml:space="preserve"> possession or entrusted to </w:t>
      </w:r>
      <w:r w:rsidR="0049113F" w:rsidRPr="000922B8">
        <w:rPr>
          <w:bCs/>
          <w:lang w:val="en-CA"/>
        </w:rPr>
        <w:t>him</w:t>
      </w:r>
      <w:r w:rsidRPr="000922B8">
        <w:rPr>
          <w:bCs/>
          <w:lang w:val="en-CA"/>
        </w:rPr>
        <w:t xml:space="preserve">, and not to withdraw or appropriate any funds, securities or other assets from </w:t>
      </w:r>
      <w:r w:rsidR="003F6DA7">
        <w:rPr>
          <w:bCs/>
          <w:lang w:val="en-CA"/>
        </w:rPr>
        <w:t xml:space="preserve">any </w:t>
      </w:r>
      <w:r w:rsidRPr="000922B8">
        <w:rPr>
          <w:bCs/>
          <w:lang w:val="en-CA"/>
        </w:rPr>
        <w:t>other person hav</w:t>
      </w:r>
      <w:r w:rsidR="003F6DA7">
        <w:rPr>
          <w:bCs/>
          <w:lang w:val="en-CA"/>
        </w:rPr>
        <w:t>ing them</w:t>
      </w:r>
      <w:r w:rsidRPr="000922B8">
        <w:rPr>
          <w:bCs/>
          <w:lang w:val="en-CA"/>
        </w:rPr>
        <w:t xml:space="preserve"> on deposit, </w:t>
      </w:r>
      <w:r w:rsidR="003F6DA7">
        <w:rPr>
          <w:bCs/>
          <w:lang w:val="en-CA"/>
        </w:rPr>
        <w:t xml:space="preserve">under </w:t>
      </w:r>
      <w:r w:rsidRPr="000922B8">
        <w:rPr>
          <w:bCs/>
          <w:lang w:val="en-CA"/>
        </w:rPr>
        <w:t>control or in safekeeping, including the contents of safety deposit boxes, in any place whatsoever and, without limiting the generality of the foregoing, the following assets:</w:t>
      </w:r>
    </w:p>
    <w:p w14:paraId="62A550C3" w14:textId="78351F20" w:rsidR="003F2103" w:rsidRPr="000922B8" w:rsidRDefault="007E64CB" w:rsidP="00781799">
      <w:pPr>
        <w:pStyle w:val="Jusitif"/>
        <w:numPr>
          <w:ilvl w:val="0"/>
          <w:numId w:val="2"/>
        </w:numPr>
        <w:spacing w:before="120" w:after="120"/>
        <w:ind w:left="1440" w:hanging="720"/>
        <w:rPr>
          <w:lang w:val="en-CA"/>
        </w:rPr>
      </w:pPr>
      <w:r w:rsidRPr="000922B8">
        <w:rPr>
          <w:lang w:val="en-CA"/>
        </w:rPr>
        <w:t xml:space="preserve">The immovable located at </w:t>
      </w:r>
      <w:r w:rsidR="000A7A05">
        <w:rPr>
          <w:lang w:val="en-CA"/>
        </w:rPr>
        <w:t>[...]</w:t>
      </w:r>
      <w:r w:rsidRPr="000922B8">
        <w:rPr>
          <w:lang w:val="en-CA"/>
        </w:rPr>
        <w:t xml:space="preserve">, Québec, Quebec  </w:t>
      </w:r>
      <w:r w:rsidR="000A7A05">
        <w:rPr>
          <w:lang w:val="en-CA"/>
        </w:rPr>
        <w:t>[...]</w:t>
      </w:r>
      <w:r w:rsidRPr="000922B8">
        <w:rPr>
          <w:lang w:val="en-CA"/>
        </w:rPr>
        <w:t xml:space="preserve">, bearing lot number </w:t>
      </w:r>
      <w:r w:rsidR="000A7A05">
        <w:rPr>
          <w:lang w:val="en-CA"/>
        </w:rPr>
        <w:t>[...]</w:t>
      </w:r>
      <w:r w:rsidRPr="000922B8">
        <w:rPr>
          <w:lang w:val="en-CA"/>
        </w:rPr>
        <w:t xml:space="preserve"> of the Cadastre </w:t>
      </w:r>
      <w:r w:rsidR="003F6DA7">
        <w:rPr>
          <w:lang w:val="en-CA"/>
        </w:rPr>
        <w:t>of</w:t>
      </w:r>
      <w:r w:rsidRPr="000922B8">
        <w:rPr>
          <w:lang w:val="en-CA"/>
        </w:rPr>
        <w:t xml:space="preserve"> Qu</w:t>
      </w:r>
      <w:r w:rsidR="003F6DA7">
        <w:rPr>
          <w:lang w:val="en-CA"/>
        </w:rPr>
        <w:t>e</w:t>
      </w:r>
      <w:r w:rsidRPr="000922B8">
        <w:rPr>
          <w:lang w:val="en-CA"/>
        </w:rPr>
        <w:t xml:space="preserve">bec, Registry division of Québec;  </w:t>
      </w:r>
    </w:p>
    <w:p w14:paraId="7B183CC0" w14:textId="5057C196" w:rsidR="003F2103" w:rsidRPr="000922B8" w:rsidRDefault="007E64CB" w:rsidP="00781799">
      <w:pPr>
        <w:pStyle w:val="Jusitif"/>
        <w:numPr>
          <w:ilvl w:val="0"/>
          <w:numId w:val="2"/>
        </w:numPr>
        <w:spacing w:before="120" w:after="120"/>
        <w:ind w:left="1440" w:hanging="720"/>
        <w:rPr>
          <w:lang w:val="en-CA"/>
        </w:rPr>
      </w:pPr>
      <w:r w:rsidRPr="000922B8">
        <w:rPr>
          <w:lang w:val="en-CA"/>
        </w:rPr>
        <w:t xml:space="preserve">A 2018 Load trailer, model 14F10, registration number </w:t>
      </w:r>
      <w:r w:rsidR="000A7A05">
        <w:rPr>
          <w:lang w:val="en-CA"/>
        </w:rPr>
        <w:t>[...]</w:t>
      </w:r>
      <w:r w:rsidRPr="000922B8">
        <w:rPr>
          <w:lang w:val="en-CA"/>
        </w:rPr>
        <w:t>, bearing identification number 5A4JVSJ11J2074304;</w:t>
      </w:r>
    </w:p>
    <w:p w14:paraId="6BDF91E0" w14:textId="12D33B2A" w:rsidR="003F2103" w:rsidRPr="000922B8" w:rsidRDefault="007E64CB" w:rsidP="00781799">
      <w:pPr>
        <w:pStyle w:val="Jusitif"/>
        <w:numPr>
          <w:ilvl w:val="0"/>
          <w:numId w:val="2"/>
        </w:numPr>
        <w:spacing w:before="120" w:after="120"/>
        <w:ind w:left="1440" w:hanging="720"/>
        <w:rPr>
          <w:lang w:val="en-CA"/>
        </w:rPr>
      </w:pPr>
      <w:r w:rsidRPr="000922B8">
        <w:rPr>
          <w:lang w:val="en-CA"/>
        </w:rPr>
        <w:t xml:space="preserve">A 2006 Harley Davidson motorcycle, model FLSTF, registration number </w:t>
      </w:r>
      <w:r w:rsidR="000A7A05">
        <w:rPr>
          <w:lang w:val="en-CA"/>
        </w:rPr>
        <w:t>[...]</w:t>
      </w:r>
      <w:r w:rsidRPr="000922B8">
        <w:rPr>
          <w:lang w:val="en-CA"/>
        </w:rPr>
        <w:t xml:space="preserve">, bearing </w:t>
      </w:r>
      <w:r w:rsidR="00DC0046" w:rsidRPr="000922B8">
        <w:rPr>
          <w:lang w:val="en-CA"/>
        </w:rPr>
        <w:t>identification</w:t>
      </w:r>
      <w:r w:rsidRPr="000922B8">
        <w:rPr>
          <w:lang w:val="en-CA"/>
        </w:rPr>
        <w:t xml:space="preserve"> number 1HD1PNF136Y954022;</w:t>
      </w:r>
    </w:p>
    <w:p w14:paraId="7AEC2F97" w14:textId="05FFCADF" w:rsidR="003F2103" w:rsidRPr="000922B8" w:rsidRDefault="007E64CB" w:rsidP="00781799">
      <w:pPr>
        <w:pStyle w:val="Jusitif"/>
        <w:numPr>
          <w:ilvl w:val="0"/>
          <w:numId w:val="2"/>
        </w:numPr>
        <w:spacing w:before="120" w:after="120"/>
        <w:ind w:left="1440" w:hanging="720"/>
        <w:rPr>
          <w:lang w:val="en-CA"/>
        </w:rPr>
      </w:pPr>
      <w:r w:rsidRPr="000922B8">
        <w:rPr>
          <w:lang w:val="en-CA"/>
        </w:rPr>
        <w:t xml:space="preserve">A 2013 M&amp;M trailer, model S51/9, registration number </w:t>
      </w:r>
      <w:r w:rsidR="000A7A05">
        <w:rPr>
          <w:lang w:val="en-CA"/>
        </w:rPr>
        <w:t>[...]</w:t>
      </w:r>
      <w:r w:rsidRPr="000922B8">
        <w:rPr>
          <w:lang w:val="en-CA"/>
        </w:rPr>
        <w:t>, bearing identification number 2NEU13A18DS007033;</w:t>
      </w:r>
    </w:p>
    <w:p w14:paraId="51EA9F60" w14:textId="195A156B" w:rsidR="003F2103" w:rsidRPr="000922B8" w:rsidRDefault="007E64CB" w:rsidP="00781799">
      <w:pPr>
        <w:pStyle w:val="Jusitif"/>
        <w:numPr>
          <w:ilvl w:val="0"/>
          <w:numId w:val="2"/>
        </w:numPr>
        <w:spacing w:before="120" w:after="120"/>
        <w:ind w:left="1440" w:hanging="720"/>
        <w:rPr>
          <w:lang w:val="en-CA"/>
        </w:rPr>
      </w:pPr>
      <w:r w:rsidRPr="000922B8">
        <w:rPr>
          <w:lang w:val="en-CA"/>
        </w:rPr>
        <w:t xml:space="preserve">A 1997 PACE recreational vehicle, model 36S, registration number </w:t>
      </w:r>
      <w:r w:rsidR="000A7A05">
        <w:rPr>
          <w:lang w:val="en-CA"/>
        </w:rPr>
        <w:t>[...]</w:t>
      </w:r>
      <w:r w:rsidRPr="000922B8">
        <w:rPr>
          <w:lang w:val="en-CA"/>
        </w:rPr>
        <w:t>, bearing identification number 3FCMF53G1VJA01072;</w:t>
      </w:r>
    </w:p>
    <w:p w14:paraId="30F118E4" w14:textId="4E93BB26" w:rsidR="003F2103" w:rsidRPr="000922B8" w:rsidRDefault="007201D5" w:rsidP="00781799">
      <w:pPr>
        <w:pStyle w:val="Jusitif"/>
        <w:numPr>
          <w:ilvl w:val="0"/>
          <w:numId w:val="2"/>
        </w:numPr>
        <w:spacing w:before="120" w:after="120"/>
        <w:ind w:left="1440" w:hanging="720"/>
        <w:rPr>
          <w:lang w:val="en-CA"/>
        </w:rPr>
      </w:pPr>
      <w:r w:rsidRPr="000922B8">
        <w:rPr>
          <w:lang w:val="en-CA"/>
        </w:rPr>
        <w:t xml:space="preserve">A 2003 homemade trailer, registration number </w:t>
      </w:r>
      <w:r w:rsidR="000A7A05">
        <w:rPr>
          <w:lang w:val="en-CA"/>
        </w:rPr>
        <w:t>[...]</w:t>
      </w:r>
      <w:r w:rsidRPr="000922B8">
        <w:rPr>
          <w:lang w:val="en-CA"/>
        </w:rPr>
        <w:t>, bearing identification number RV92329;</w:t>
      </w:r>
    </w:p>
    <w:p w14:paraId="2C54B5B3" w14:textId="1E497D81" w:rsidR="003F2103" w:rsidRPr="000922B8" w:rsidRDefault="007201D5" w:rsidP="003A5E03">
      <w:pPr>
        <w:pStyle w:val="Jusitif"/>
        <w:spacing w:before="120" w:after="120"/>
        <w:ind w:left="720"/>
        <w:rPr>
          <w:lang w:val="en-CA"/>
        </w:rPr>
      </w:pPr>
      <w:r w:rsidRPr="000922B8">
        <w:rPr>
          <w:b/>
          <w:lang w:val="en-CA"/>
        </w:rPr>
        <w:lastRenderedPageBreak/>
        <w:t>ORDERS</w:t>
      </w:r>
      <w:r w:rsidRPr="000922B8">
        <w:rPr>
          <w:bCs/>
          <w:lang w:val="en-CA"/>
        </w:rPr>
        <w:t xml:space="preserve"> </w:t>
      </w:r>
      <w:r w:rsidR="0049113F" w:rsidRPr="000922B8">
        <w:rPr>
          <w:bCs/>
          <w:lang w:val="en-CA"/>
        </w:rPr>
        <w:t xml:space="preserve">the </w:t>
      </w:r>
      <w:r w:rsidRPr="000922B8">
        <w:rPr>
          <w:bCs/>
          <w:lang w:val="en-CA"/>
        </w:rPr>
        <w:t xml:space="preserve">Investors Group Financial Services Inc. branch located at 92 2nd Street West, suite 211, Rimouski, Quebec  G5L 8B3, not to dispose of any funds, securities or other assets that it has on deposit, under control or in safekeeping in any account </w:t>
      </w:r>
      <w:r w:rsidR="0049113F" w:rsidRPr="000922B8">
        <w:rPr>
          <w:bCs/>
          <w:lang w:val="en-CA"/>
        </w:rPr>
        <w:t>belonging to</w:t>
      </w:r>
      <w:r w:rsidRPr="000922B8">
        <w:rPr>
          <w:bCs/>
          <w:lang w:val="en-CA"/>
        </w:rPr>
        <w:t xml:space="preserve"> Roger Tremblay.</w:t>
      </w:r>
    </w:p>
    <w:p w14:paraId="3EA7764E" w14:textId="27901672" w:rsidR="003F2103" w:rsidRPr="000922B8" w:rsidRDefault="007201D5" w:rsidP="003A5E03">
      <w:pPr>
        <w:pStyle w:val="Jusitif"/>
        <w:spacing w:before="120" w:after="120"/>
        <w:ind w:left="720"/>
        <w:rPr>
          <w:lang w:val="en-CA"/>
        </w:rPr>
      </w:pPr>
      <w:r w:rsidRPr="000922B8">
        <w:rPr>
          <w:b/>
          <w:bCs/>
          <w:lang w:val="en-CA"/>
        </w:rPr>
        <w:t xml:space="preserve">ORDERS </w:t>
      </w:r>
      <w:r w:rsidRPr="000922B8">
        <w:rPr>
          <w:lang w:val="en-CA"/>
        </w:rPr>
        <w:t xml:space="preserve">the Investors Group Financial Services Inc. branch located at 92 2nd Street West, suite 211, Rimouski, Quebec  G5L 8B3, not to dispose of any funds, securities or other assets that it has on deposit, under control or in safekeeping in any account </w:t>
      </w:r>
      <w:r w:rsidR="0049113F" w:rsidRPr="000922B8">
        <w:rPr>
          <w:lang w:val="en-CA"/>
        </w:rPr>
        <w:t>belonging to</w:t>
      </w:r>
      <w:r w:rsidRPr="000922B8">
        <w:rPr>
          <w:lang w:val="en-CA"/>
        </w:rPr>
        <w:t xml:space="preserve"> </w:t>
      </w:r>
      <w:r w:rsidR="0049113F" w:rsidRPr="000922B8">
        <w:rPr>
          <w:lang w:val="en-CA"/>
        </w:rPr>
        <w:t>S</w:t>
      </w:r>
      <w:r w:rsidRPr="000922B8">
        <w:rPr>
          <w:lang w:val="en-CA"/>
        </w:rPr>
        <w:t>uccession A.B.</w:t>
      </w:r>
      <w:r w:rsidR="0049113F" w:rsidRPr="000922B8">
        <w:rPr>
          <w:lang w:val="en-CA"/>
        </w:rPr>
        <w:t xml:space="preserve"> Trust</w:t>
      </w:r>
      <w:r w:rsidRPr="000922B8">
        <w:rPr>
          <w:lang w:val="en-CA"/>
        </w:rPr>
        <w:t xml:space="preserve">, including account number </w:t>
      </w:r>
      <w:r w:rsidR="00A24A3B" w:rsidRPr="000922B8">
        <w:rPr>
          <w:lang w:val="en-CA"/>
        </w:rPr>
        <w:t xml:space="preserve">[…] </w:t>
      </w:r>
      <w:r w:rsidRPr="000922B8">
        <w:rPr>
          <w:lang w:val="en-CA"/>
        </w:rPr>
        <w:t>;</w:t>
      </w:r>
    </w:p>
    <w:p w14:paraId="73DCE5FC" w14:textId="0AEE0060" w:rsidR="003F2103" w:rsidRPr="000922B8" w:rsidRDefault="007201D5" w:rsidP="003A5E03">
      <w:pPr>
        <w:pStyle w:val="Jusitif"/>
        <w:spacing w:before="120" w:after="120"/>
        <w:ind w:left="720"/>
        <w:rPr>
          <w:lang w:val="en-CA"/>
        </w:rPr>
      </w:pPr>
      <w:r w:rsidRPr="000922B8">
        <w:rPr>
          <w:b/>
          <w:lang w:val="en-CA"/>
        </w:rPr>
        <w:t>ORDERS</w:t>
      </w:r>
      <w:r w:rsidRPr="000922B8">
        <w:rPr>
          <w:bCs/>
          <w:lang w:val="en-CA"/>
        </w:rPr>
        <w:t xml:space="preserve"> the National Bank of Canada branch located at 2750 Ste-Foy Rd., suite 100, Plaza Laval, Québec, Quebec  G1V 1V6, not to dispose of any funds, securities or other assets that it has on deposit in any account </w:t>
      </w:r>
      <w:r w:rsidR="002D4397" w:rsidRPr="000922B8">
        <w:rPr>
          <w:bCs/>
          <w:lang w:val="en-CA"/>
        </w:rPr>
        <w:t>belonging to</w:t>
      </w:r>
      <w:r w:rsidRPr="000922B8">
        <w:rPr>
          <w:bCs/>
          <w:lang w:val="en-CA"/>
        </w:rPr>
        <w:t xml:space="preserve"> Roger Tremblay;</w:t>
      </w:r>
    </w:p>
    <w:p w14:paraId="6BB196A7" w14:textId="6DD94F08" w:rsidR="003F2103" w:rsidRPr="000922B8" w:rsidRDefault="007201D5" w:rsidP="003A5E03">
      <w:pPr>
        <w:pStyle w:val="Jusitif"/>
        <w:spacing w:before="120" w:after="120"/>
        <w:ind w:left="720"/>
        <w:rPr>
          <w:lang w:val="en-CA"/>
        </w:rPr>
      </w:pPr>
      <w:r w:rsidRPr="000922B8">
        <w:rPr>
          <w:b/>
          <w:bCs/>
          <w:lang w:val="en-CA"/>
        </w:rPr>
        <w:t xml:space="preserve">ORDERS </w:t>
      </w:r>
      <w:r w:rsidR="002D4397" w:rsidRPr="000922B8">
        <w:rPr>
          <w:lang w:val="en-CA"/>
        </w:rPr>
        <w:t xml:space="preserve">the </w:t>
      </w:r>
      <w:r w:rsidRPr="000922B8">
        <w:rPr>
          <w:lang w:val="en-CA"/>
        </w:rPr>
        <w:t xml:space="preserve">National Bank of Canada branch located at 2600 Laurier Blvd., Place de la </w:t>
      </w:r>
      <w:proofErr w:type="spellStart"/>
      <w:r w:rsidRPr="000922B8">
        <w:rPr>
          <w:lang w:val="en-CA"/>
        </w:rPr>
        <w:t>Cité</w:t>
      </w:r>
      <w:proofErr w:type="spellEnd"/>
      <w:r w:rsidRPr="000922B8">
        <w:rPr>
          <w:lang w:val="en-CA"/>
        </w:rPr>
        <w:t xml:space="preserve">, suite 156, Québec, Quebec  G1V 4T3, not to dispose of any funds, securities or other assets that it has on deposit, under control or in safekeeping in any account belonging to </w:t>
      </w:r>
      <w:r w:rsidR="002D4397" w:rsidRPr="000922B8">
        <w:rPr>
          <w:lang w:val="en-CA"/>
        </w:rPr>
        <w:t>S</w:t>
      </w:r>
      <w:r w:rsidRPr="000922B8">
        <w:rPr>
          <w:lang w:val="en-CA"/>
        </w:rPr>
        <w:t>uccession A.B.</w:t>
      </w:r>
      <w:r w:rsidR="002D4397" w:rsidRPr="000922B8">
        <w:rPr>
          <w:lang w:val="en-CA"/>
        </w:rPr>
        <w:t xml:space="preserve"> Trust</w:t>
      </w:r>
      <w:r w:rsidRPr="000922B8">
        <w:rPr>
          <w:lang w:val="en-CA"/>
        </w:rPr>
        <w:t xml:space="preserve">, including account number </w:t>
      </w:r>
      <w:r w:rsidR="00A24A3B" w:rsidRPr="000922B8">
        <w:rPr>
          <w:lang w:val="en-CA"/>
        </w:rPr>
        <w:t xml:space="preserve">[…] </w:t>
      </w:r>
      <w:r w:rsidRPr="000922B8">
        <w:rPr>
          <w:lang w:val="en-CA"/>
        </w:rPr>
        <w:t>;</w:t>
      </w:r>
    </w:p>
    <w:p w14:paraId="2F82829B" w14:textId="22A0D643" w:rsidR="003F2103" w:rsidRPr="000922B8" w:rsidRDefault="007201D5" w:rsidP="003A5E03">
      <w:pPr>
        <w:pStyle w:val="Jusitif"/>
        <w:spacing w:before="120" w:after="120"/>
        <w:ind w:left="720"/>
        <w:rPr>
          <w:lang w:val="en-CA"/>
        </w:rPr>
      </w:pPr>
      <w:r w:rsidRPr="000922B8">
        <w:rPr>
          <w:b/>
          <w:bCs/>
          <w:lang w:val="en-CA"/>
        </w:rPr>
        <w:t xml:space="preserve">ORDERS </w:t>
      </w:r>
      <w:r w:rsidRPr="000922B8">
        <w:rPr>
          <w:lang w:val="en-CA"/>
        </w:rPr>
        <w:t xml:space="preserve">the National Bank of Canada branch located at 2336 Ste-Foy Rd., suite 800, Québec, Quebec  G1V 4H2, not to dispose of any funds, securities or other assets that it has on deposit, under control or in safekeeping in any account belonging to Roger Tremblay, including account number </w:t>
      </w:r>
      <w:r w:rsidR="00A24A3B" w:rsidRPr="000922B8">
        <w:rPr>
          <w:lang w:val="en-CA"/>
        </w:rPr>
        <w:t>[</w:t>
      </w:r>
      <w:r w:rsidR="0010522E" w:rsidRPr="000922B8">
        <w:rPr>
          <w:lang w:val="en-CA"/>
        </w:rPr>
        <w:t>…</w:t>
      </w:r>
      <w:r w:rsidR="00A24A3B" w:rsidRPr="000922B8">
        <w:rPr>
          <w:lang w:val="en-CA"/>
        </w:rPr>
        <w:t>]</w:t>
      </w:r>
      <w:r w:rsidR="0010522E" w:rsidRPr="000922B8">
        <w:rPr>
          <w:lang w:val="en-CA"/>
        </w:rPr>
        <w:t xml:space="preserve"> </w:t>
      </w:r>
      <w:r w:rsidRPr="000922B8">
        <w:rPr>
          <w:lang w:val="en-CA"/>
        </w:rPr>
        <w:t>;</w:t>
      </w:r>
    </w:p>
    <w:p w14:paraId="778F39DD" w14:textId="3960A3EC" w:rsidR="003F2103" w:rsidRPr="000922B8" w:rsidRDefault="007201D5" w:rsidP="003A5E03">
      <w:pPr>
        <w:pStyle w:val="Jusitif"/>
        <w:spacing w:before="120" w:after="120"/>
        <w:ind w:left="720"/>
        <w:rPr>
          <w:lang w:val="en-CA"/>
        </w:rPr>
      </w:pPr>
      <w:r w:rsidRPr="000922B8">
        <w:rPr>
          <w:b/>
          <w:bCs/>
          <w:lang w:val="en-CA"/>
        </w:rPr>
        <w:t xml:space="preserve">ORDERS </w:t>
      </w:r>
      <w:r w:rsidRPr="000922B8">
        <w:rPr>
          <w:lang w:val="en-CA"/>
        </w:rPr>
        <w:t xml:space="preserve">the National Bank of Canada branch located at 500 Place </w:t>
      </w:r>
      <w:proofErr w:type="spellStart"/>
      <w:r w:rsidRPr="000922B8">
        <w:rPr>
          <w:lang w:val="en-CA"/>
        </w:rPr>
        <w:t>d’Armes</w:t>
      </w:r>
      <w:proofErr w:type="spellEnd"/>
      <w:r w:rsidRPr="000922B8">
        <w:rPr>
          <w:lang w:val="en-CA"/>
        </w:rPr>
        <w:t xml:space="preserve">, Main Floor, Montreal, Quebec  H2Y 2W3, not to dispose of any funds, securities or other assets that it has on deposit, under control or in safekeeping in any account belonging to Roger Tremblay, including account number </w:t>
      </w:r>
      <w:r w:rsidR="00A24A3B" w:rsidRPr="000922B8">
        <w:rPr>
          <w:lang w:val="en-CA"/>
        </w:rPr>
        <w:t>[</w:t>
      </w:r>
      <w:r w:rsidR="0010522E" w:rsidRPr="000922B8">
        <w:rPr>
          <w:lang w:val="en-CA"/>
        </w:rPr>
        <w:t>…</w:t>
      </w:r>
      <w:r w:rsidR="00A24A3B" w:rsidRPr="000922B8">
        <w:rPr>
          <w:lang w:val="en-CA"/>
        </w:rPr>
        <w:t>]</w:t>
      </w:r>
      <w:r w:rsidR="0010522E" w:rsidRPr="000922B8">
        <w:rPr>
          <w:lang w:val="en-CA"/>
        </w:rPr>
        <w:t xml:space="preserve"> </w:t>
      </w:r>
      <w:r w:rsidRPr="000922B8">
        <w:rPr>
          <w:lang w:val="en-CA"/>
        </w:rPr>
        <w:t>;</w:t>
      </w:r>
    </w:p>
    <w:p w14:paraId="72E681E2" w14:textId="23E43064" w:rsidR="003F2103" w:rsidRPr="000922B8" w:rsidRDefault="007201D5" w:rsidP="003A5E03">
      <w:pPr>
        <w:pStyle w:val="Jusitif"/>
        <w:spacing w:before="120" w:after="120"/>
        <w:ind w:left="720"/>
        <w:rPr>
          <w:lang w:val="en-CA"/>
        </w:rPr>
      </w:pPr>
      <w:r w:rsidRPr="000922B8">
        <w:rPr>
          <w:b/>
          <w:bCs/>
          <w:lang w:val="en-CA"/>
        </w:rPr>
        <w:t>ORDERS</w:t>
      </w:r>
      <w:r w:rsidRPr="000922B8">
        <w:rPr>
          <w:bCs/>
          <w:lang w:val="en-CA"/>
        </w:rPr>
        <w:t xml:space="preserve"> the National Bank of Canada branch located at 2336 Ste-Foy Rd., suite 800, Québec, Quebec  G1V 1S5, not to dispose of any funds, securities or other assets that it has on deposit, under control or in safekeeping, in any account belonging to Roger Tremblay, including: </w:t>
      </w:r>
    </w:p>
    <w:p w14:paraId="10119F5C" w14:textId="44202C51" w:rsidR="003F2103" w:rsidRPr="000922B8" w:rsidRDefault="007201D5" w:rsidP="00781799">
      <w:pPr>
        <w:pStyle w:val="Jusitif"/>
        <w:numPr>
          <w:ilvl w:val="0"/>
          <w:numId w:val="3"/>
        </w:numPr>
        <w:spacing w:before="120" w:after="0"/>
        <w:ind w:left="1440" w:hanging="720"/>
        <w:rPr>
          <w:lang w:val="en-CA"/>
        </w:rPr>
      </w:pPr>
      <w:r w:rsidRPr="000922B8">
        <w:rPr>
          <w:lang w:val="en-CA"/>
        </w:rPr>
        <w:t xml:space="preserve">Mastercard credit card account number </w:t>
      </w:r>
      <w:r w:rsidR="00A24A3B" w:rsidRPr="000922B8">
        <w:rPr>
          <w:lang w:val="en-CA"/>
        </w:rPr>
        <w:t>[</w:t>
      </w:r>
      <w:r w:rsidR="0010522E" w:rsidRPr="000922B8">
        <w:rPr>
          <w:lang w:val="en-CA"/>
        </w:rPr>
        <w:t>…</w:t>
      </w:r>
      <w:r w:rsidR="00A24A3B" w:rsidRPr="000922B8">
        <w:rPr>
          <w:lang w:val="en-CA"/>
        </w:rPr>
        <w:t>]</w:t>
      </w:r>
      <w:r w:rsidR="0010522E" w:rsidRPr="000922B8">
        <w:rPr>
          <w:lang w:val="en-CA"/>
        </w:rPr>
        <w:t xml:space="preserve"> </w:t>
      </w:r>
      <w:r w:rsidRPr="000922B8">
        <w:rPr>
          <w:lang w:val="en-CA"/>
        </w:rPr>
        <w:t>;</w:t>
      </w:r>
    </w:p>
    <w:p w14:paraId="0F1B4166" w14:textId="0099032F" w:rsidR="003F2103" w:rsidRPr="008D2CF1" w:rsidRDefault="00DC0046" w:rsidP="00781799">
      <w:pPr>
        <w:pStyle w:val="Jusitif"/>
        <w:numPr>
          <w:ilvl w:val="0"/>
          <w:numId w:val="3"/>
        </w:numPr>
        <w:spacing w:before="120" w:after="0"/>
        <w:ind w:left="1440" w:hanging="720"/>
        <w:rPr>
          <w:lang w:val="en-CA"/>
        </w:rPr>
      </w:pPr>
      <w:r>
        <w:rPr>
          <w:lang w:val="en-CA"/>
        </w:rPr>
        <w:t>A</w:t>
      </w:r>
      <w:r w:rsidR="007201D5" w:rsidRPr="008D2CF1">
        <w:rPr>
          <w:lang w:val="en-CA"/>
        </w:rPr>
        <w:t xml:space="preserve">ccount number </w:t>
      </w:r>
      <w:r w:rsidR="00A24A3B" w:rsidRPr="008D2CF1">
        <w:rPr>
          <w:lang w:val="en-CA"/>
        </w:rPr>
        <w:t>[</w:t>
      </w:r>
      <w:r w:rsidR="0010522E" w:rsidRPr="008D2CF1">
        <w:rPr>
          <w:lang w:val="en-CA"/>
        </w:rPr>
        <w:t>…</w:t>
      </w:r>
      <w:r w:rsidR="00A24A3B" w:rsidRPr="008D2CF1">
        <w:rPr>
          <w:lang w:val="en-CA"/>
        </w:rPr>
        <w:t>]</w:t>
      </w:r>
      <w:r w:rsidR="0010522E" w:rsidRPr="008D2CF1">
        <w:rPr>
          <w:lang w:val="en-CA"/>
        </w:rPr>
        <w:t xml:space="preserve"> </w:t>
      </w:r>
      <w:r w:rsidR="007201D5" w:rsidRPr="008D2CF1">
        <w:rPr>
          <w:lang w:val="en-CA"/>
        </w:rPr>
        <w:t>;</w:t>
      </w:r>
    </w:p>
    <w:p w14:paraId="23A8A9A4" w14:textId="7AD62DC0" w:rsidR="003F2103" w:rsidRPr="008D2CF1" w:rsidRDefault="00DC0046" w:rsidP="00781799">
      <w:pPr>
        <w:pStyle w:val="Jusitif"/>
        <w:numPr>
          <w:ilvl w:val="0"/>
          <w:numId w:val="3"/>
        </w:numPr>
        <w:spacing w:before="120" w:after="0"/>
        <w:ind w:left="1440" w:hanging="720"/>
        <w:rPr>
          <w:lang w:val="en-CA"/>
        </w:rPr>
      </w:pPr>
      <w:r>
        <w:rPr>
          <w:lang w:val="en-CA"/>
        </w:rPr>
        <w:t>M</w:t>
      </w:r>
      <w:r w:rsidR="007201D5" w:rsidRPr="008D2CF1">
        <w:rPr>
          <w:lang w:val="en-CA"/>
        </w:rPr>
        <w:t xml:space="preserve">utual fund account number </w:t>
      </w:r>
      <w:r w:rsidR="00A24A3B" w:rsidRPr="008D2CF1">
        <w:rPr>
          <w:lang w:val="en-CA"/>
        </w:rPr>
        <w:t>[</w:t>
      </w:r>
      <w:r w:rsidR="0010522E" w:rsidRPr="008D2CF1">
        <w:rPr>
          <w:lang w:val="en-CA"/>
        </w:rPr>
        <w:t>…</w:t>
      </w:r>
      <w:r w:rsidR="00A24A3B" w:rsidRPr="008D2CF1">
        <w:rPr>
          <w:lang w:val="en-CA"/>
        </w:rPr>
        <w:t>]</w:t>
      </w:r>
      <w:r w:rsidR="0010522E" w:rsidRPr="008D2CF1">
        <w:rPr>
          <w:lang w:val="en-CA"/>
        </w:rPr>
        <w:t xml:space="preserve"> </w:t>
      </w:r>
      <w:r w:rsidR="007201D5" w:rsidRPr="008D2CF1">
        <w:rPr>
          <w:lang w:val="en-CA"/>
        </w:rPr>
        <w:t>;</w:t>
      </w:r>
    </w:p>
    <w:p w14:paraId="1880CC47" w14:textId="06C483C5" w:rsidR="003F2103" w:rsidRPr="008D2CF1" w:rsidRDefault="007201D5" w:rsidP="00781799">
      <w:pPr>
        <w:pStyle w:val="Jusitif"/>
        <w:numPr>
          <w:ilvl w:val="0"/>
          <w:numId w:val="3"/>
        </w:numPr>
        <w:spacing w:before="120" w:after="120"/>
        <w:ind w:left="1440" w:hanging="720"/>
        <w:rPr>
          <w:lang w:val="en-CA"/>
        </w:rPr>
      </w:pPr>
      <w:r w:rsidRPr="008D2CF1">
        <w:rPr>
          <w:lang w:val="en-CA"/>
        </w:rPr>
        <w:t xml:space="preserve">RRSP account number </w:t>
      </w:r>
      <w:r w:rsidR="00A24A3B" w:rsidRPr="008D2CF1">
        <w:rPr>
          <w:lang w:val="en-CA"/>
        </w:rPr>
        <w:t>[</w:t>
      </w:r>
      <w:r w:rsidR="0010522E" w:rsidRPr="008D2CF1">
        <w:rPr>
          <w:lang w:val="en-CA"/>
        </w:rPr>
        <w:t>…</w:t>
      </w:r>
      <w:r w:rsidR="00A24A3B" w:rsidRPr="008D2CF1">
        <w:rPr>
          <w:lang w:val="en-CA"/>
        </w:rPr>
        <w:t>]</w:t>
      </w:r>
      <w:r w:rsidR="0010522E" w:rsidRPr="008D2CF1">
        <w:rPr>
          <w:lang w:val="en-CA"/>
        </w:rPr>
        <w:t xml:space="preserve"> </w:t>
      </w:r>
      <w:r w:rsidRPr="008D2CF1">
        <w:rPr>
          <w:lang w:val="en-CA"/>
        </w:rPr>
        <w:t>;</w:t>
      </w:r>
    </w:p>
    <w:p w14:paraId="7D8F610D" w14:textId="5884E361" w:rsidR="008377B5" w:rsidRPr="000922B8" w:rsidRDefault="007201D5" w:rsidP="00815B8D">
      <w:pPr>
        <w:pStyle w:val="Corpsdetexte"/>
        <w:spacing w:before="1"/>
        <w:ind w:left="734" w:right="194"/>
        <w:jc w:val="both"/>
        <w:rPr>
          <w:rFonts w:cs="Arial"/>
          <w:szCs w:val="24"/>
          <w:lang w:val="en-CA"/>
        </w:rPr>
      </w:pPr>
      <w:r w:rsidRPr="000922B8">
        <w:rPr>
          <w:rFonts w:cs="Arial"/>
          <w:b/>
          <w:bCs/>
          <w:szCs w:val="24"/>
          <w:lang w:val="en-CA"/>
        </w:rPr>
        <w:t xml:space="preserve">ORDERS </w:t>
      </w:r>
      <w:r w:rsidRPr="000922B8">
        <w:rPr>
          <w:rFonts w:cs="Arial"/>
          <w:szCs w:val="24"/>
          <w:lang w:val="en-CA"/>
        </w:rPr>
        <w:t xml:space="preserve">the Public Curator of Quebec not to dispose of the funds, securities, or other assets on deposit with </w:t>
      </w:r>
      <w:r w:rsidR="00CD6EA0">
        <w:rPr>
          <w:rFonts w:cs="Arial"/>
          <w:szCs w:val="24"/>
          <w:lang w:val="en-CA"/>
        </w:rPr>
        <w:t xml:space="preserve">the </w:t>
      </w:r>
      <w:r w:rsidR="00CD6EA0" w:rsidRPr="000922B8">
        <w:rPr>
          <w:rFonts w:cs="Arial"/>
          <w:szCs w:val="24"/>
          <w:lang w:val="en-CA"/>
        </w:rPr>
        <w:t>Public Curator of Quebec</w:t>
      </w:r>
      <w:r w:rsidRPr="000922B8">
        <w:rPr>
          <w:rFonts w:cs="Arial"/>
          <w:szCs w:val="24"/>
          <w:lang w:val="en-CA"/>
        </w:rPr>
        <w:t xml:space="preserve"> and under </w:t>
      </w:r>
      <w:r w:rsidR="00CD6EA0">
        <w:rPr>
          <w:rFonts w:cs="Arial"/>
          <w:szCs w:val="24"/>
          <w:lang w:val="en-CA"/>
        </w:rPr>
        <w:t xml:space="preserve">the </w:t>
      </w:r>
      <w:r w:rsidRPr="000922B8">
        <w:rPr>
          <w:rFonts w:cs="Arial"/>
          <w:szCs w:val="24"/>
          <w:lang w:val="en-CA"/>
        </w:rPr>
        <w:t xml:space="preserve"> control </w:t>
      </w:r>
      <w:r w:rsidR="00CD6EA0">
        <w:rPr>
          <w:rFonts w:cs="Arial"/>
          <w:szCs w:val="24"/>
          <w:lang w:val="en-CA"/>
        </w:rPr>
        <w:t xml:space="preserve">of the </w:t>
      </w:r>
      <w:r w:rsidR="00CD6EA0" w:rsidRPr="000922B8">
        <w:rPr>
          <w:rFonts w:cs="Arial"/>
          <w:szCs w:val="24"/>
          <w:lang w:val="en-CA"/>
        </w:rPr>
        <w:t xml:space="preserve">Public Curator of Quebec </w:t>
      </w:r>
      <w:r w:rsidRPr="000922B8">
        <w:rPr>
          <w:rFonts w:cs="Arial"/>
          <w:szCs w:val="24"/>
          <w:lang w:val="en-CA"/>
        </w:rPr>
        <w:t>on behalf of the late H.D.B.;</w:t>
      </w:r>
    </w:p>
    <w:p w14:paraId="71310F79" w14:textId="09BC179E" w:rsidR="00FE172F" w:rsidRPr="000922B8" w:rsidRDefault="007201D5" w:rsidP="00815B8D">
      <w:pPr>
        <w:pStyle w:val="Corpsdetexte"/>
        <w:spacing w:before="1"/>
        <w:ind w:left="734" w:right="194"/>
        <w:jc w:val="both"/>
        <w:rPr>
          <w:rFonts w:cs="Arial"/>
          <w:szCs w:val="24"/>
          <w:lang w:val="en-CA"/>
        </w:rPr>
      </w:pPr>
      <w:r w:rsidRPr="000922B8">
        <w:rPr>
          <w:rFonts w:cs="Arial"/>
          <w:b/>
          <w:bCs/>
          <w:szCs w:val="24"/>
          <w:lang w:val="en-CA"/>
        </w:rPr>
        <w:t xml:space="preserve">ORDERS </w:t>
      </w:r>
      <w:r w:rsidRPr="000922B8">
        <w:rPr>
          <w:rFonts w:cs="Arial"/>
          <w:szCs w:val="24"/>
          <w:lang w:val="en-CA"/>
        </w:rPr>
        <w:t xml:space="preserve">the National Bank of Canada branch located at 2600 Laurier Blvd., Place de la </w:t>
      </w:r>
      <w:proofErr w:type="spellStart"/>
      <w:r w:rsidRPr="000922B8">
        <w:rPr>
          <w:rFonts w:cs="Arial"/>
          <w:szCs w:val="24"/>
          <w:lang w:val="en-CA"/>
        </w:rPr>
        <w:t>Cité</w:t>
      </w:r>
      <w:proofErr w:type="spellEnd"/>
      <w:r w:rsidRPr="000922B8">
        <w:rPr>
          <w:rFonts w:cs="Arial"/>
          <w:szCs w:val="24"/>
          <w:lang w:val="en-CA"/>
        </w:rPr>
        <w:t xml:space="preserve">, suite 156, Québec, Quebec  G1V 4T3, not to dispose of any funds, securities or other assets that it has on deposit, under control or in </w:t>
      </w:r>
      <w:r w:rsidRPr="000922B8">
        <w:rPr>
          <w:rFonts w:cs="Arial"/>
          <w:szCs w:val="24"/>
          <w:lang w:val="en-CA"/>
        </w:rPr>
        <w:lastRenderedPageBreak/>
        <w:t xml:space="preserve">safekeeping in any account belonging to the late H.D.B., including account number </w:t>
      </w:r>
      <w:r w:rsidR="00A24A3B" w:rsidRPr="000922B8">
        <w:rPr>
          <w:rFonts w:cs="Arial"/>
          <w:szCs w:val="24"/>
          <w:lang w:val="en-CA"/>
        </w:rPr>
        <w:t>[</w:t>
      </w:r>
      <w:r w:rsidR="008A2445" w:rsidRPr="000922B8">
        <w:rPr>
          <w:rFonts w:cs="Arial"/>
          <w:szCs w:val="24"/>
          <w:lang w:val="en-CA"/>
        </w:rPr>
        <w:t>…</w:t>
      </w:r>
      <w:r w:rsidR="00A24A3B" w:rsidRPr="000922B8">
        <w:rPr>
          <w:rFonts w:cs="Arial"/>
          <w:szCs w:val="24"/>
          <w:lang w:val="en-CA"/>
        </w:rPr>
        <w:t>]</w:t>
      </w:r>
      <w:r w:rsidR="008A2445" w:rsidRPr="000922B8">
        <w:rPr>
          <w:rFonts w:cs="Arial"/>
          <w:szCs w:val="24"/>
          <w:lang w:val="en-CA"/>
        </w:rPr>
        <w:t xml:space="preserve"> </w:t>
      </w:r>
      <w:r w:rsidRPr="000922B8">
        <w:rPr>
          <w:rFonts w:cs="Arial"/>
          <w:szCs w:val="24"/>
          <w:lang w:val="en-CA"/>
        </w:rPr>
        <w:t>;</w:t>
      </w:r>
    </w:p>
    <w:p w14:paraId="5BB5C6D9" w14:textId="3588C1A5" w:rsidR="00FE172F" w:rsidRPr="000922B8" w:rsidRDefault="007201D5" w:rsidP="00815B8D">
      <w:pPr>
        <w:pStyle w:val="Corpsdetexte"/>
        <w:spacing w:before="1"/>
        <w:ind w:left="734" w:right="194"/>
        <w:jc w:val="both"/>
        <w:rPr>
          <w:rFonts w:cs="Arial"/>
          <w:szCs w:val="24"/>
          <w:lang w:val="en-CA"/>
        </w:rPr>
      </w:pPr>
      <w:r w:rsidRPr="000922B8">
        <w:rPr>
          <w:rFonts w:cs="Arial"/>
          <w:b/>
          <w:bCs/>
          <w:szCs w:val="24"/>
          <w:lang w:val="en-CA"/>
        </w:rPr>
        <w:t xml:space="preserve">ORDERS </w:t>
      </w:r>
      <w:r w:rsidRPr="000922B8">
        <w:rPr>
          <w:rFonts w:cs="Arial"/>
          <w:szCs w:val="24"/>
          <w:lang w:val="en-CA"/>
        </w:rPr>
        <w:t xml:space="preserve">the National Bank of Canada branch located at 2750 Ste-Foy Rd., suite 100, Québec, Quebec  G1V 1V6, not to dispose of any funds, securities or other assets that it has on deposit, under control or in safekeeping in any account belonging to the late H.D.B., including account number </w:t>
      </w:r>
      <w:r w:rsidR="00A24A3B" w:rsidRPr="000922B8">
        <w:rPr>
          <w:rFonts w:cs="Arial"/>
          <w:szCs w:val="24"/>
          <w:lang w:val="en-CA"/>
        </w:rPr>
        <w:t>[</w:t>
      </w:r>
      <w:r w:rsidR="008A2445" w:rsidRPr="000922B8">
        <w:rPr>
          <w:rFonts w:cs="Arial"/>
          <w:szCs w:val="24"/>
          <w:lang w:val="en-CA"/>
        </w:rPr>
        <w:t>…</w:t>
      </w:r>
      <w:r w:rsidR="00A24A3B" w:rsidRPr="000922B8">
        <w:rPr>
          <w:rFonts w:cs="Arial"/>
          <w:szCs w:val="24"/>
          <w:lang w:val="en-CA"/>
        </w:rPr>
        <w:t>]</w:t>
      </w:r>
      <w:r w:rsidR="008A2445" w:rsidRPr="000922B8">
        <w:rPr>
          <w:rFonts w:cs="Arial"/>
          <w:szCs w:val="24"/>
          <w:lang w:val="en-CA"/>
        </w:rPr>
        <w:t xml:space="preserve"> </w:t>
      </w:r>
      <w:r w:rsidRPr="000922B8">
        <w:rPr>
          <w:rFonts w:cs="Arial"/>
          <w:szCs w:val="24"/>
          <w:lang w:val="en-CA"/>
        </w:rPr>
        <w:t>;</w:t>
      </w:r>
    </w:p>
    <w:p w14:paraId="1541D621" w14:textId="2045CE67" w:rsidR="00FE172F" w:rsidRPr="000922B8" w:rsidRDefault="007201D5" w:rsidP="00815B8D">
      <w:pPr>
        <w:pStyle w:val="Corpsdetexte"/>
        <w:spacing w:before="1"/>
        <w:ind w:left="734" w:right="194"/>
        <w:jc w:val="both"/>
        <w:rPr>
          <w:rFonts w:cs="Arial"/>
          <w:szCs w:val="24"/>
          <w:lang w:val="en-CA"/>
        </w:rPr>
      </w:pPr>
      <w:r w:rsidRPr="000922B8">
        <w:rPr>
          <w:rFonts w:cs="Arial"/>
          <w:b/>
          <w:szCs w:val="24"/>
          <w:lang w:val="en-CA"/>
        </w:rPr>
        <w:t>ORDERS</w:t>
      </w:r>
      <w:r w:rsidRPr="000922B8">
        <w:rPr>
          <w:rFonts w:cs="Arial"/>
          <w:bCs/>
          <w:szCs w:val="24"/>
          <w:lang w:val="en-CA"/>
        </w:rPr>
        <w:t xml:space="preserve"> the National Bank of Canada branch located at 2750 Ste-Foy Rd., suite 100, Québec, Quebec  G1V 1V6, not to dispose of any funds, securities or other assets that it has on deposit, in any account belonging to the late H.D.B., including the life income fund investment number </w:t>
      </w:r>
      <w:r w:rsidR="00A24A3B" w:rsidRPr="000922B8">
        <w:rPr>
          <w:rFonts w:cs="Arial"/>
          <w:bCs/>
          <w:szCs w:val="24"/>
          <w:lang w:val="en-CA"/>
        </w:rPr>
        <w:t>[</w:t>
      </w:r>
      <w:r w:rsidR="008A2445" w:rsidRPr="000922B8">
        <w:rPr>
          <w:rFonts w:cs="Arial"/>
          <w:bCs/>
          <w:szCs w:val="24"/>
          <w:lang w:val="en-CA"/>
        </w:rPr>
        <w:t>…</w:t>
      </w:r>
      <w:r w:rsidR="00A24A3B" w:rsidRPr="000922B8">
        <w:rPr>
          <w:rFonts w:cs="Arial"/>
          <w:bCs/>
          <w:szCs w:val="24"/>
          <w:lang w:val="en-CA"/>
        </w:rPr>
        <w:t>]</w:t>
      </w:r>
      <w:r w:rsidR="008A2445" w:rsidRPr="000922B8">
        <w:rPr>
          <w:rFonts w:cs="Arial"/>
          <w:bCs/>
          <w:szCs w:val="24"/>
          <w:lang w:val="en-CA"/>
        </w:rPr>
        <w:t xml:space="preserve"> </w:t>
      </w:r>
      <w:r w:rsidRPr="000922B8">
        <w:rPr>
          <w:rFonts w:cs="Arial"/>
          <w:bCs/>
          <w:szCs w:val="24"/>
          <w:lang w:val="en-CA"/>
        </w:rPr>
        <w:t>;</w:t>
      </w:r>
    </w:p>
    <w:p w14:paraId="729F0A14" w14:textId="3CB82250" w:rsidR="009653B5" w:rsidRPr="000922B8" w:rsidRDefault="007201D5" w:rsidP="00B638D8">
      <w:pPr>
        <w:spacing w:before="120" w:after="120"/>
        <w:jc w:val="both"/>
        <w:rPr>
          <w:rFonts w:cs="Arial"/>
          <w:szCs w:val="24"/>
          <w:lang w:val="en-CA"/>
        </w:rPr>
      </w:pPr>
      <w:r w:rsidRPr="000922B8">
        <w:rPr>
          <w:rFonts w:cs="Arial"/>
          <w:b/>
          <w:szCs w:val="24"/>
          <w:lang w:val="en-CA"/>
        </w:rPr>
        <w:t xml:space="preserve">ORDERS </w:t>
      </w:r>
      <w:r w:rsidRPr="000922B8">
        <w:rPr>
          <w:rFonts w:cs="Arial"/>
          <w:bCs/>
          <w:szCs w:val="24"/>
          <w:lang w:val="en-CA"/>
        </w:rPr>
        <w:t xml:space="preserve">the </w:t>
      </w:r>
      <w:proofErr w:type="spellStart"/>
      <w:r w:rsidRPr="000922B8">
        <w:rPr>
          <w:rFonts w:cs="Arial"/>
          <w:bCs/>
          <w:szCs w:val="24"/>
          <w:lang w:val="en-CA"/>
        </w:rPr>
        <w:t>Autorité</w:t>
      </w:r>
      <w:proofErr w:type="spellEnd"/>
      <w:r w:rsidRPr="000922B8">
        <w:rPr>
          <w:rFonts w:cs="Arial"/>
          <w:bCs/>
          <w:szCs w:val="24"/>
          <w:lang w:val="en-CA"/>
        </w:rPr>
        <w:t xml:space="preserve"> des </w:t>
      </w:r>
      <w:proofErr w:type="spellStart"/>
      <w:r w:rsidRPr="000922B8">
        <w:rPr>
          <w:rFonts w:cs="Arial"/>
          <w:bCs/>
          <w:szCs w:val="24"/>
          <w:lang w:val="en-CA"/>
        </w:rPr>
        <w:t>marchés</w:t>
      </w:r>
      <w:proofErr w:type="spellEnd"/>
      <w:r w:rsidRPr="000922B8">
        <w:rPr>
          <w:rFonts w:cs="Arial"/>
          <w:bCs/>
          <w:szCs w:val="24"/>
          <w:lang w:val="en-CA"/>
        </w:rPr>
        <w:t xml:space="preserve"> financiers to notify this decision to the parties and, as the case may be, their counsel.</w:t>
      </w:r>
    </w:p>
    <w:p w14:paraId="27DD0C83" w14:textId="03BE31C6" w:rsidR="003F2103" w:rsidRPr="000922B8" w:rsidRDefault="007201D5" w:rsidP="003F2103">
      <w:pPr>
        <w:spacing w:before="120" w:after="120"/>
        <w:jc w:val="both"/>
        <w:rPr>
          <w:rFonts w:cs="Arial"/>
          <w:bCs/>
          <w:szCs w:val="22"/>
          <w:lang w:val="en-CA"/>
        </w:rPr>
      </w:pPr>
      <w:r w:rsidRPr="000922B8">
        <w:rPr>
          <w:lang w:val="en-CA"/>
        </w:rPr>
        <w:t>This decision must not be interpreted as preventing the enforcement of the decisions completely or partially lift</w:t>
      </w:r>
      <w:r w:rsidR="002D4397" w:rsidRPr="000922B8">
        <w:rPr>
          <w:lang w:val="en-CA"/>
        </w:rPr>
        <w:t>ing</w:t>
      </w:r>
      <w:r w:rsidRPr="000922B8">
        <w:rPr>
          <w:lang w:val="en-CA"/>
        </w:rPr>
        <w:t xml:space="preserve"> the freeze orders rendered </w:t>
      </w:r>
      <w:r w:rsidR="00830268">
        <w:rPr>
          <w:lang w:val="en-CA"/>
        </w:rPr>
        <w:t xml:space="preserve">on </w:t>
      </w:r>
      <w:r w:rsidRPr="000922B8">
        <w:rPr>
          <w:lang w:val="en-CA"/>
        </w:rPr>
        <w:t>January 21, 2022,</w:t>
      </w:r>
      <w:r w:rsidRPr="008D2CF1">
        <w:rPr>
          <w:rStyle w:val="Appelnotedebasdep"/>
          <w:lang w:val="en-CA"/>
        </w:rPr>
        <w:footnoteReference w:id="71"/>
      </w:r>
      <w:r w:rsidRPr="000922B8">
        <w:rPr>
          <w:lang w:val="en-CA"/>
        </w:rPr>
        <w:t xml:space="preserve"> February</w:t>
      </w:r>
      <w:r w:rsidR="002D4397" w:rsidRPr="000922B8">
        <w:rPr>
          <w:lang w:val="en-CA"/>
        </w:rPr>
        <w:t> </w:t>
      </w:r>
      <w:r w:rsidRPr="000922B8">
        <w:rPr>
          <w:lang w:val="en-CA"/>
        </w:rPr>
        <w:t>10,</w:t>
      </w:r>
      <w:r w:rsidR="002D4397" w:rsidRPr="000922B8">
        <w:rPr>
          <w:lang w:val="en-CA"/>
        </w:rPr>
        <w:t> </w:t>
      </w:r>
      <w:r w:rsidRPr="000922B8">
        <w:rPr>
          <w:lang w:val="en-CA"/>
        </w:rPr>
        <w:t>2022,</w:t>
      </w:r>
      <w:r w:rsidRPr="008D2CF1">
        <w:rPr>
          <w:rStyle w:val="Appelnotedebasdep"/>
          <w:lang w:val="en-CA"/>
        </w:rPr>
        <w:footnoteReference w:id="72"/>
      </w:r>
      <w:r w:rsidRPr="000922B8">
        <w:rPr>
          <w:lang w:val="en-CA"/>
        </w:rPr>
        <w:t xml:space="preserve"> March 9, 2022,</w:t>
      </w:r>
      <w:r w:rsidRPr="008D2CF1">
        <w:rPr>
          <w:rStyle w:val="Appelnotedebasdep"/>
          <w:lang w:val="en-CA"/>
        </w:rPr>
        <w:footnoteReference w:id="73"/>
      </w:r>
      <w:r w:rsidRPr="000922B8">
        <w:rPr>
          <w:lang w:val="en-CA"/>
        </w:rPr>
        <w:t xml:space="preserve"> April 11, 2022,</w:t>
      </w:r>
      <w:r w:rsidRPr="008D2CF1">
        <w:rPr>
          <w:rStyle w:val="Appelnotedebasdep"/>
          <w:lang w:val="en-CA"/>
        </w:rPr>
        <w:footnoteReference w:id="74"/>
      </w:r>
      <w:r w:rsidRPr="000922B8">
        <w:rPr>
          <w:lang w:val="en-CA"/>
        </w:rPr>
        <w:t xml:space="preserve"> and July 20, 2022.</w:t>
      </w:r>
      <w:r w:rsidRPr="008D2CF1">
        <w:rPr>
          <w:rStyle w:val="Appelnotedebasdep"/>
          <w:lang w:val="en-CA"/>
        </w:rPr>
        <w:footnoteReference w:id="75"/>
      </w:r>
      <w:r w:rsidR="007E64CB" w:rsidRPr="000922B8">
        <w:rPr>
          <w:lang w:val="en-CA"/>
        </w:rPr>
        <w:t xml:space="preserve"> </w:t>
      </w:r>
    </w:p>
    <w:p w14:paraId="11C3F6B6" w14:textId="77777777" w:rsidR="006845DD" w:rsidRPr="000922B8" w:rsidRDefault="006845DD" w:rsidP="00585FBC">
      <w:pPr>
        <w:pStyle w:val="Paragraphe"/>
        <w:numPr>
          <w:ilvl w:val="0"/>
          <w:numId w:val="0"/>
        </w:numPr>
        <w:rPr>
          <w:lang w:val="en-CA"/>
        </w:rPr>
      </w:pPr>
    </w:p>
    <w:tbl>
      <w:tblPr>
        <w:tblW w:w="9426" w:type="dxa"/>
        <w:tblInd w:w="-70" w:type="dxa"/>
        <w:tblLayout w:type="fixed"/>
        <w:tblCellMar>
          <w:left w:w="70" w:type="dxa"/>
          <w:right w:w="70" w:type="dxa"/>
        </w:tblCellMar>
        <w:tblLook w:val="0000" w:firstRow="0" w:lastRow="0" w:firstColumn="0" w:lastColumn="0" w:noHBand="0" w:noVBand="0"/>
      </w:tblPr>
      <w:tblGrid>
        <w:gridCol w:w="2068"/>
        <w:gridCol w:w="2761"/>
        <w:gridCol w:w="4597"/>
      </w:tblGrid>
      <w:tr w:rsidR="0018178B" w:rsidRPr="00AC46CE" w14:paraId="0C0D370C" w14:textId="77777777" w:rsidTr="007C5267">
        <w:tc>
          <w:tcPr>
            <w:tcW w:w="9426" w:type="dxa"/>
            <w:gridSpan w:val="3"/>
          </w:tcPr>
          <w:p w14:paraId="09B551BB" w14:textId="77777777" w:rsidR="0002722E" w:rsidRPr="000922B8" w:rsidRDefault="0002722E" w:rsidP="00C76AC3">
            <w:pPr>
              <w:rPr>
                <w:lang w:val="en-CA"/>
              </w:rPr>
            </w:pPr>
          </w:p>
        </w:tc>
      </w:tr>
      <w:tr w:rsidR="0018178B" w:rsidRPr="00AC46CE" w14:paraId="492990BD" w14:textId="77777777" w:rsidTr="007C5267">
        <w:tblPrEx>
          <w:tblCellMar>
            <w:left w:w="0" w:type="dxa"/>
            <w:right w:w="0" w:type="dxa"/>
          </w:tblCellMar>
        </w:tblPrEx>
        <w:trPr>
          <w:cantSplit/>
        </w:trPr>
        <w:tc>
          <w:tcPr>
            <w:tcW w:w="4829" w:type="dxa"/>
            <w:gridSpan w:val="2"/>
          </w:tcPr>
          <w:p w14:paraId="72057F1A" w14:textId="77777777" w:rsidR="0002722E" w:rsidRPr="000922B8" w:rsidRDefault="0002722E" w:rsidP="00B4030F">
            <w:pPr>
              <w:rPr>
                <w:lang w:val="en-CA"/>
              </w:rPr>
            </w:pPr>
          </w:p>
        </w:tc>
        <w:tc>
          <w:tcPr>
            <w:tcW w:w="4597" w:type="dxa"/>
            <w:tcBorders>
              <w:bottom w:val="single" w:sz="6" w:space="0" w:color="auto"/>
            </w:tcBorders>
          </w:tcPr>
          <w:p w14:paraId="57EA0E0B" w14:textId="77777777" w:rsidR="0002722E" w:rsidRPr="000922B8" w:rsidRDefault="0002722E" w:rsidP="00286FB4">
            <w:pPr>
              <w:pStyle w:val="zSoquijdatSignature3Juge"/>
              <w:rPr>
                <w:b/>
                <w:lang w:val="en-CA"/>
              </w:rPr>
            </w:pPr>
          </w:p>
        </w:tc>
      </w:tr>
      <w:tr w:rsidR="0018178B" w:rsidRPr="0035712B" w14:paraId="09978752" w14:textId="77777777" w:rsidTr="007C5267">
        <w:tblPrEx>
          <w:tblCellMar>
            <w:left w:w="0" w:type="dxa"/>
            <w:right w:w="0" w:type="dxa"/>
          </w:tblCellMar>
        </w:tblPrEx>
        <w:trPr>
          <w:cantSplit/>
        </w:trPr>
        <w:tc>
          <w:tcPr>
            <w:tcW w:w="4829" w:type="dxa"/>
            <w:gridSpan w:val="2"/>
          </w:tcPr>
          <w:p w14:paraId="5AA28D35" w14:textId="77777777" w:rsidR="0002722E" w:rsidRPr="000922B8" w:rsidRDefault="0002722E" w:rsidP="00B4030F">
            <w:pPr>
              <w:rPr>
                <w:lang w:val="en-CA"/>
              </w:rPr>
            </w:pPr>
          </w:p>
        </w:tc>
        <w:tc>
          <w:tcPr>
            <w:tcW w:w="4597" w:type="dxa"/>
          </w:tcPr>
          <w:p w14:paraId="6594BC12" w14:textId="5D6005AB" w:rsidR="00EA05DA" w:rsidRPr="008D2CF1" w:rsidRDefault="007201D5" w:rsidP="00EA05DA">
            <w:pPr>
              <w:pStyle w:val="zSoquijdatSignature3Juge"/>
              <w:jc w:val="center"/>
              <w:rPr>
                <w:b/>
                <w:lang w:val="en-CA"/>
              </w:rPr>
            </w:pPr>
            <w:proofErr w:type="spellStart"/>
            <w:r w:rsidRPr="008D2CF1">
              <w:rPr>
                <w:b/>
                <w:lang w:val="en-CA"/>
              </w:rPr>
              <w:t>Mtre</w:t>
            </w:r>
            <w:proofErr w:type="spellEnd"/>
            <w:r w:rsidRPr="008D2CF1">
              <w:rPr>
                <w:b/>
                <w:lang w:val="en-CA"/>
              </w:rPr>
              <w:t xml:space="preserve"> Antonietta </w:t>
            </w:r>
            <w:proofErr w:type="spellStart"/>
            <w:r w:rsidRPr="008D2CF1">
              <w:rPr>
                <w:b/>
                <w:lang w:val="en-CA"/>
              </w:rPr>
              <w:t>Melchiorre</w:t>
            </w:r>
            <w:proofErr w:type="spellEnd"/>
          </w:p>
          <w:p w14:paraId="68290AFD" w14:textId="1EDA3E29" w:rsidR="0002722E" w:rsidRPr="008D2CF1" w:rsidRDefault="007201D5" w:rsidP="00EA05DA">
            <w:pPr>
              <w:pStyle w:val="zSoquijdatSignature3Juge"/>
              <w:jc w:val="center"/>
              <w:rPr>
                <w:lang w:val="en-CA"/>
              </w:rPr>
            </w:pPr>
            <w:r w:rsidRPr="008D2CF1">
              <w:rPr>
                <w:b/>
                <w:lang w:val="en-CA"/>
              </w:rPr>
              <w:t>Administrative Judge</w:t>
            </w:r>
          </w:p>
        </w:tc>
      </w:tr>
      <w:tr w:rsidR="0018178B" w:rsidRPr="0035712B" w14:paraId="706C9330" w14:textId="77777777" w:rsidTr="007C5267">
        <w:tblPrEx>
          <w:tblCellMar>
            <w:left w:w="0" w:type="dxa"/>
            <w:right w:w="0" w:type="dxa"/>
          </w:tblCellMar>
        </w:tblPrEx>
        <w:trPr>
          <w:cantSplit/>
        </w:trPr>
        <w:tc>
          <w:tcPr>
            <w:tcW w:w="4829" w:type="dxa"/>
            <w:gridSpan w:val="2"/>
          </w:tcPr>
          <w:p w14:paraId="152F0E7D" w14:textId="77777777" w:rsidR="007956B1" w:rsidRPr="008D2CF1" w:rsidRDefault="007956B1" w:rsidP="00B4030F">
            <w:pPr>
              <w:rPr>
                <w:lang w:val="en-CA"/>
              </w:rPr>
            </w:pPr>
          </w:p>
        </w:tc>
        <w:tc>
          <w:tcPr>
            <w:tcW w:w="4597" w:type="dxa"/>
          </w:tcPr>
          <w:p w14:paraId="494B7FA4" w14:textId="77777777" w:rsidR="007956B1" w:rsidRPr="008D2CF1" w:rsidRDefault="007956B1" w:rsidP="00405FD9">
            <w:pPr>
              <w:pStyle w:val="zSoquijdatSignature3Juge"/>
              <w:rPr>
                <w:b/>
                <w:lang w:val="en-CA"/>
              </w:rPr>
            </w:pPr>
          </w:p>
        </w:tc>
      </w:tr>
      <w:tr w:rsidR="0018178B" w:rsidRPr="0035712B" w14:paraId="79BA37CD" w14:textId="77777777" w:rsidTr="007C5267">
        <w:tblPrEx>
          <w:tblCellMar>
            <w:left w:w="0" w:type="dxa"/>
            <w:right w:w="0" w:type="dxa"/>
          </w:tblCellMar>
        </w:tblPrEx>
        <w:trPr>
          <w:cantSplit/>
        </w:trPr>
        <w:tc>
          <w:tcPr>
            <w:tcW w:w="4829" w:type="dxa"/>
            <w:gridSpan w:val="2"/>
          </w:tcPr>
          <w:p w14:paraId="27BB12C6" w14:textId="77777777" w:rsidR="007956B1" w:rsidRPr="008D2CF1" w:rsidRDefault="007956B1" w:rsidP="00B4030F">
            <w:pPr>
              <w:rPr>
                <w:lang w:val="en-CA"/>
              </w:rPr>
            </w:pPr>
          </w:p>
          <w:p w14:paraId="01AEB679" w14:textId="77777777" w:rsidR="00543BE8" w:rsidRPr="008D2CF1" w:rsidRDefault="00543BE8" w:rsidP="00B4030F">
            <w:pPr>
              <w:rPr>
                <w:lang w:val="en-CA"/>
              </w:rPr>
            </w:pPr>
          </w:p>
          <w:p w14:paraId="105785C3" w14:textId="717E676F" w:rsidR="00543BE8" w:rsidRPr="008D2CF1" w:rsidRDefault="00543BE8" w:rsidP="00B4030F">
            <w:pPr>
              <w:rPr>
                <w:lang w:val="en-CA"/>
              </w:rPr>
            </w:pPr>
          </w:p>
        </w:tc>
        <w:tc>
          <w:tcPr>
            <w:tcW w:w="4597" w:type="dxa"/>
          </w:tcPr>
          <w:p w14:paraId="08B33DEB" w14:textId="77777777" w:rsidR="007956B1" w:rsidRPr="008D2CF1" w:rsidRDefault="007956B1" w:rsidP="00405FD9">
            <w:pPr>
              <w:pStyle w:val="zSoquijdatSignature3Juge"/>
              <w:rPr>
                <w:b/>
                <w:lang w:val="en-CA"/>
              </w:rPr>
            </w:pPr>
          </w:p>
          <w:p w14:paraId="5F5B1D10" w14:textId="77777777" w:rsidR="007956B1" w:rsidRPr="008D2CF1" w:rsidRDefault="007956B1" w:rsidP="00405FD9">
            <w:pPr>
              <w:pStyle w:val="zSoquijdatSignature3Juge"/>
              <w:rPr>
                <w:b/>
                <w:lang w:val="en-CA"/>
              </w:rPr>
            </w:pPr>
          </w:p>
          <w:p w14:paraId="4576CD99" w14:textId="77777777" w:rsidR="007956B1" w:rsidRPr="008D2CF1" w:rsidRDefault="007956B1" w:rsidP="00405FD9">
            <w:pPr>
              <w:pStyle w:val="zSoquijdatSignature3Juge"/>
              <w:rPr>
                <w:b/>
                <w:lang w:val="en-CA"/>
              </w:rPr>
            </w:pPr>
          </w:p>
        </w:tc>
      </w:tr>
      <w:tr w:rsidR="0018178B" w:rsidRPr="0035712B" w14:paraId="0D934C53" w14:textId="77777777" w:rsidTr="007C5267">
        <w:tc>
          <w:tcPr>
            <w:tcW w:w="9426" w:type="dxa"/>
            <w:gridSpan w:val="3"/>
          </w:tcPr>
          <w:p w14:paraId="77FBAFC7" w14:textId="1D28BB70" w:rsidR="00070D64" w:rsidRPr="00B557B4" w:rsidRDefault="007201D5" w:rsidP="003F69B6">
            <w:pPr>
              <w:pStyle w:val="zSoquijdatNomProcureurDem"/>
            </w:pPr>
            <w:proofErr w:type="spellStart"/>
            <w:r w:rsidRPr="00B557B4">
              <w:t>M</w:t>
            </w:r>
            <w:r w:rsidR="003651AD">
              <w:t>tre</w:t>
            </w:r>
            <w:proofErr w:type="spellEnd"/>
            <w:r w:rsidRPr="00B557B4">
              <w:t xml:space="preserve"> Suzie Cloutier, </w:t>
            </w:r>
            <w:proofErr w:type="spellStart"/>
            <w:r w:rsidRPr="00B557B4">
              <w:t>M</w:t>
            </w:r>
            <w:r w:rsidR="003651AD">
              <w:t>tre</w:t>
            </w:r>
            <w:proofErr w:type="spellEnd"/>
            <w:r w:rsidRPr="00B557B4">
              <w:t xml:space="preserve"> Cindy Ouellet and </w:t>
            </w:r>
            <w:proofErr w:type="spellStart"/>
            <w:r w:rsidRPr="00B557B4">
              <w:t>M</w:t>
            </w:r>
            <w:r w:rsidR="003651AD">
              <w:t>tre</w:t>
            </w:r>
            <w:proofErr w:type="spellEnd"/>
            <w:r w:rsidRPr="00B557B4">
              <w:t xml:space="preserve"> Mathieu Hamel</w:t>
            </w:r>
          </w:p>
        </w:tc>
      </w:tr>
      <w:tr w:rsidR="0018178B" w:rsidRPr="0035712B" w14:paraId="48D6E532" w14:textId="77777777" w:rsidTr="007C5267">
        <w:tc>
          <w:tcPr>
            <w:tcW w:w="9426" w:type="dxa"/>
            <w:gridSpan w:val="3"/>
          </w:tcPr>
          <w:p w14:paraId="66E3B656" w14:textId="52060BA2" w:rsidR="00070D64" w:rsidRPr="00B557B4" w:rsidRDefault="007201D5" w:rsidP="002D7B9E">
            <w:pPr>
              <w:pStyle w:val="zSoquijdatCabinetProcureurDem"/>
            </w:pPr>
            <w:r w:rsidRPr="00B557B4">
              <w:t>(</w:t>
            </w:r>
            <w:proofErr w:type="spellStart"/>
            <w:r w:rsidRPr="00B557B4">
              <w:t>Litigation</w:t>
            </w:r>
            <w:proofErr w:type="spellEnd"/>
            <w:r w:rsidRPr="00B557B4">
              <w:t xml:space="preserve"> Services, Autorité des marchés financiers)</w:t>
            </w:r>
          </w:p>
        </w:tc>
      </w:tr>
      <w:tr w:rsidR="0018178B" w:rsidRPr="0035712B" w14:paraId="2B11E89A" w14:textId="77777777" w:rsidTr="007C5267">
        <w:tc>
          <w:tcPr>
            <w:tcW w:w="9426" w:type="dxa"/>
            <w:gridSpan w:val="3"/>
          </w:tcPr>
          <w:p w14:paraId="772394D7" w14:textId="0B2DA764" w:rsidR="00070D64" w:rsidRPr="00B557B4" w:rsidRDefault="007201D5" w:rsidP="006D1F41">
            <w:pPr>
              <w:pStyle w:val="zSoquijlblProcureurDem"/>
            </w:pPr>
            <w:r w:rsidRPr="00B557B4">
              <w:t>For the Autorité des marchés financiers</w:t>
            </w:r>
          </w:p>
        </w:tc>
      </w:tr>
      <w:tr w:rsidR="0018178B" w:rsidRPr="0035712B" w14:paraId="6DD430A7" w14:textId="77777777" w:rsidTr="007C5267">
        <w:tc>
          <w:tcPr>
            <w:tcW w:w="9426" w:type="dxa"/>
            <w:gridSpan w:val="3"/>
          </w:tcPr>
          <w:p w14:paraId="69153662" w14:textId="77777777" w:rsidR="00AA1747" w:rsidRPr="00B557B4" w:rsidRDefault="00AA1747" w:rsidP="00286FB4"/>
        </w:tc>
      </w:tr>
      <w:tr w:rsidR="0018178B" w:rsidRPr="0035712B" w14:paraId="188C90C5" w14:textId="77777777" w:rsidTr="007C5267">
        <w:tc>
          <w:tcPr>
            <w:tcW w:w="9426" w:type="dxa"/>
            <w:gridSpan w:val="3"/>
          </w:tcPr>
          <w:p w14:paraId="3906CB6F" w14:textId="081D77D1" w:rsidR="00A91D1B" w:rsidRPr="00B557B4" w:rsidRDefault="007201D5" w:rsidP="00A91D1B">
            <w:proofErr w:type="spellStart"/>
            <w:r w:rsidRPr="00B557B4">
              <w:t>M</w:t>
            </w:r>
            <w:r w:rsidR="003651AD">
              <w:t>tre</w:t>
            </w:r>
            <w:proofErr w:type="spellEnd"/>
            <w:r w:rsidRPr="00B557B4">
              <w:t xml:space="preserve"> Jacques Lapointe</w:t>
            </w:r>
          </w:p>
          <w:p w14:paraId="54B73578" w14:textId="16C68D4F" w:rsidR="00A91D1B" w:rsidRPr="00B557B4" w:rsidRDefault="007201D5" w:rsidP="00A91D1B">
            <w:r w:rsidRPr="00B557B4">
              <w:t>(Jacques Lapointe, Avocat)</w:t>
            </w:r>
          </w:p>
          <w:p w14:paraId="7E979719" w14:textId="46823876" w:rsidR="00A91D1B" w:rsidRPr="003A037A" w:rsidRDefault="007201D5" w:rsidP="00286FB4">
            <w:r w:rsidRPr="003A037A">
              <w:t>For Roger Tremblay</w:t>
            </w:r>
          </w:p>
        </w:tc>
      </w:tr>
      <w:tr w:rsidR="0018178B" w:rsidRPr="0035712B" w14:paraId="5C64C658" w14:textId="77777777" w:rsidTr="007C5267">
        <w:tc>
          <w:tcPr>
            <w:tcW w:w="9426" w:type="dxa"/>
            <w:gridSpan w:val="3"/>
          </w:tcPr>
          <w:p w14:paraId="08771B73" w14:textId="77777777" w:rsidR="00A91D1B" w:rsidRPr="003A037A" w:rsidRDefault="00A91D1B" w:rsidP="00286FB4"/>
        </w:tc>
      </w:tr>
      <w:tr w:rsidR="0018178B" w:rsidRPr="00AC46CE" w14:paraId="50A9D239" w14:textId="77777777" w:rsidTr="007C5267">
        <w:tc>
          <w:tcPr>
            <w:tcW w:w="9426" w:type="dxa"/>
            <w:gridSpan w:val="3"/>
          </w:tcPr>
          <w:p w14:paraId="2290D892" w14:textId="5DF93F7D" w:rsidR="001E2ED8" w:rsidRPr="003A037A" w:rsidRDefault="007201D5" w:rsidP="001E2ED8">
            <w:pPr>
              <w:rPr>
                <w:lang w:val="en-CA"/>
              </w:rPr>
            </w:pPr>
            <w:proofErr w:type="spellStart"/>
            <w:r w:rsidRPr="003A037A">
              <w:rPr>
                <w:lang w:val="en-CA"/>
              </w:rPr>
              <w:t>Mtre</w:t>
            </w:r>
            <w:proofErr w:type="spellEnd"/>
            <w:r w:rsidRPr="003A037A">
              <w:rPr>
                <w:lang w:val="en-CA"/>
              </w:rPr>
              <w:t xml:space="preserve"> Audrey </w:t>
            </w:r>
            <w:proofErr w:type="spellStart"/>
            <w:r w:rsidRPr="003A037A">
              <w:rPr>
                <w:lang w:val="en-CA"/>
              </w:rPr>
              <w:t>Nardini</w:t>
            </w:r>
            <w:proofErr w:type="spellEnd"/>
            <w:r w:rsidR="007E64CB" w:rsidRPr="003A037A">
              <w:rPr>
                <w:lang w:val="en-CA"/>
              </w:rPr>
              <w:t xml:space="preserve"> </w:t>
            </w:r>
          </w:p>
          <w:p w14:paraId="5701B149" w14:textId="74784EAF" w:rsidR="001E2ED8" w:rsidRPr="003A037A" w:rsidRDefault="007201D5" w:rsidP="001E2ED8">
            <w:pPr>
              <w:rPr>
                <w:lang w:val="en-CA"/>
              </w:rPr>
            </w:pPr>
            <w:r w:rsidRPr="003A037A">
              <w:rPr>
                <w:lang w:val="en-CA"/>
              </w:rPr>
              <w:t>(Dentons Canada LLP)</w:t>
            </w:r>
            <w:r w:rsidR="007E64CB" w:rsidRPr="003A037A">
              <w:rPr>
                <w:lang w:val="en-CA"/>
              </w:rPr>
              <w:t xml:space="preserve"> </w:t>
            </w:r>
          </w:p>
          <w:p w14:paraId="4DDD5497" w14:textId="051AF5D9" w:rsidR="001E2ED8" w:rsidRPr="000922B8" w:rsidRDefault="007201D5" w:rsidP="001E2ED8">
            <w:pPr>
              <w:rPr>
                <w:lang w:val="en-CA"/>
              </w:rPr>
            </w:pPr>
            <w:r w:rsidRPr="000922B8">
              <w:rPr>
                <w:lang w:val="en-CA"/>
              </w:rPr>
              <w:t>For Investors Group Financial Services Inc. and I.G. Insurance services Inc.</w:t>
            </w:r>
            <w:r w:rsidR="007E64CB" w:rsidRPr="000922B8">
              <w:rPr>
                <w:lang w:val="en-CA"/>
              </w:rPr>
              <w:t xml:space="preserve"> </w:t>
            </w:r>
          </w:p>
          <w:p w14:paraId="1A594B13" w14:textId="77777777" w:rsidR="00942D5D" w:rsidRPr="000922B8" w:rsidRDefault="00942D5D" w:rsidP="001E2ED8">
            <w:pPr>
              <w:rPr>
                <w:lang w:val="en-CA"/>
              </w:rPr>
            </w:pPr>
          </w:p>
          <w:p w14:paraId="40F26453" w14:textId="6562B78D" w:rsidR="00942D5D" w:rsidRPr="000922B8" w:rsidRDefault="007201D5" w:rsidP="001E2ED8">
            <w:pPr>
              <w:rPr>
                <w:lang w:val="en-CA"/>
              </w:rPr>
            </w:pPr>
            <w:proofErr w:type="spellStart"/>
            <w:r w:rsidRPr="000922B8">
              <w:rPr>
                <w:lang w:val="en-CA"/>
              </w:rPr>
              <w:lastRenderedPageBreak/>
              <w:t>Mtre</w:t>
            </w:r>
            <w:proofErr w:type="spellEnd"/>
            <w:r w:rsidRPr="000922B8">
              <w:rPr>
                <w:lang w:val="en-CA"/>
              </w:rPr>
              <w:t xml:space="preserve"> Laurie-Ann </w:t>
            </w:r>
            <w:proofErr w:type="spellStart"/>
            <w:r w:rsidRPr="000922B8">
              <w:rPr>
                <w:lang w:val="en-CA"/>
              </w:rPr>
              <w:t>Ipperciel</w:t>
            </w:r>
            <w:proofErr w:type="spellEnd"/>
            <w:r w:rsidR="007E64CB" w:rsidRPr="000922B8">
              <w:rPr>
                <w:lang w:val="en-CA"/>
              </w:rPr>
              <w:t xml:space="preserve"> </w:t>
            </w:r>
          </w:p>
          <w:p w14:paraId="5AEA0E0E" w14:textId="072C0B24" w:rsidR="00942D5D" w:rsidRPr="000922B8" w:rsidRDefault="007201D5" w:rsidP="001E2ED8">
            <w:pPr>
              <w:rPr>
                <w:lang w:val="en-CA"/>
              </w:rPr>
            </w:pPr>
            <w:r w:rsidRPr="000922B8">
              <w:rPr>
                <w:lang w:val="en-CA"/>
              </w:rPr>
              <w:t>(Public Curator of Quebec)</w:t>
            </w:r>
            <w:r w:rsidR="007E64CB" w:rsidRPr="000922B8">
              <w:rPr>
                <w:lang w:val="en-CA"/>
              </w:rPr>
              <w:t xml:space="preserve"> </w:t>
            </w:r>
          </w:p>
          <w:p w14:paraId="005B7BD2" w14:textId="2C206F48" w:rsidR="0076231F" w:rsidRPr="000922B8" w:rsidRDefault="007201D5" w:rsidP="001E2ED8">
            <w:pPr>
              <w:rPr>
                <w:lang w:val="en-CA"/>
              </w:rPr>
            </w:pPr>
            <w:r w:rsidRPr="000922B8">
              <w:rPr>
                <w:lang w:val="en-CA"/>
              </w:rPr>
              <w:t>For the Public Curator of Quebec</w:t>
            </w:r>
          </w:p>
        </w:tc>
      </w:tr>
      <w:tr w:rsidR="0018178B" w:rsidRPr="00AC46CE" w14:paraId="2A9A227D" w14:textId="77777777" w:rsidTr="007C5267">
        <w:tc>
          <w:tcPr>
            <w:tcW w:w="9426" w:type="dxa"/>
            <w:gridSpan w:val="3"/>
          </w:tcPr>
          <w:p w14:paraId="4943016A" w14:textId="77777777" w:rsidR="00EA05DA" w:rsidRPr="000922B8" w:rsidRDefault="00EA05DA" w:rsidP="00520E28">
            <w:pPr>
              <w:rPr>
                <w:lang w:val="en-CA"/>
              </w:rPr>
            </w:pPr>
          </w:p>
        </w:tc>
      </w:tr>
      <w:tr w:rsidR="0018178B" w:rsidRPr="0035712B" w14:paraId="0B3280F3" w14:textId="77777777" w:rsidTr="007C5267">
        <w:tc>
          <w:tcPr>
            <w:tcW w:w="2068" w:type="dxa"/>
          </w:tcPr>
          <w:p w14:paraId="2BAE437C" w14:textId="5B827C09" w:rsidR="00070D64" w:rsidRPr="008D2CF1" w:rsidRDefault="007201D5" w:rsidP="00286FB4">
            <w:pPr>
              <w:pStyle w:val="zSoquijlblDateAudience"/>
              <w:rPr>
                <w:lang w:val="en-CA"/>
              </w:rPr>
            </w:pPr>
            <w:r w:rsidRPr="008D2CF1">
              <w:rPr>
                <w:lang w:val="en-CA"/>
              </w:rPr>
              <w:t>Date of hearing:</w:t>
            </w:r>
          </w:p>
        </w:tc>
        <w:tc>
          <w:tcPr>
            <w:tcW w:w="7358" w:type="dxa"/>
            <w:gridSpan w:val="2"/>
          </w:tcPr>
          <w:p w14:paraId="575FA464" w14:textId="3E046442" w:rsidR="00070D64" w:rsidRPr="008D2CF1" w:rsidRDefault="007201D5" w:rsidP="000D5088">
            <w:pPr>
              <w:pStyle w:val="zSoquijdatDateAudience"/>
              <w:rPr>
                <w:lang w:val="en-CA"/>
              </w:rPr>
            </w:pPr>
            <w:r w:rsidRPr="008D2CF1">
              <w:rPr>
                <w:lang w:val="en-CA"/>
              </w:rPr>
              <w:t>February 27, 2024</w:t>
            </w:r>
          </w:p>
        </w:tc>
      </w:tr>
    </w:tbl>
    <w:p w14:paraId="2B899DFB" w14:textId="77777777" w:rsidR="00070D64" w:rsidRPr="008D2CF1" w:rsidRDefault="00070D64" w:rsidP="006845DD">
      <w:pPr>
        <w:rPr>
          <w:lang w:val="en-CA"/>
        </w:rPr>
      </w:pPr>
    </w:p>
    <w:sectPr w:rsidR="00070D64" w:rsidRPr="008D2CF1">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2242" w:h="15842" w:code="1"/>
      <w:pgMar w:top="1440" w:right="1008" w:bottom="1440" w:left="1872" w:header="1440" w:footer="7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EE539" w14:textId="77777777" w:rsidR="00561905" w:rsidRDefault="00561905">
      <w:r>
        <w:separator/>
      </w:r>
    </w:p>
  </w:endnote>
  <w:endnote w:type="continuationSeparator" w:id="0">
    <w:p w14:paraId="1C8F64AF" w14:textId="77777777" w:rsidR="00561905" w:rsidRDefault="00561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022B" w14:textId="676FBB43" w:rsidR="00F30FCB" w:rsidRDefault="007E64CB">
    <w:pPr>
      <w:framePr w:wrap="around" w:vAnchor="text" w:hAnchor="margin" w:xAlign="right" w:y="1"/>
    </w:pPr>
    <w:r>
      <w:fldChar w:fldCharType="begin"/>
    </w:r>
    <w:r>
      <w:instrText xml:space="preserve">PAGE  </w:instrText>
    </w:r>
    <w:r>
      <w:fldChar w:fldCharType="separate"/>
    </w:r>
    <w:r w:rsidR="00D305C8">
      <w:rPr>
        <w:noProof/>
      </w:rPr>
      <w:t>7</w:t>
    </w:r>
    <w:r>
      <w:fldChar w:fldCharType="end"/>
    </w:r>
  </w:p>
  <w:p w14:paraId="535B1292" w14:textId="77777777" w:rsidR="00F30FCB" w:rsidRDefault="00F30FCB">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F64DC" w14:textId="77777777" w:rsidR="00C10AF3" w:rsidRDefault="00C10AF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BAB07" w14:textId="77777777" w:rsidR="00C10AF3" w:rsidRDefault="00C10AF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AD019" w14:textId="77777777" w:rsidR="00561905" w:rsidRDefault="00561905">
      <w:r>
        <w:separator/>
      </w:r>
    </w:p>
  </w:footnote>
  <w:footnote w:type="continuationSeparator" w:id="0">
    <w:p w14:paraId="7F7E9C64" w14:textId="77777777" w:rsidR="00561905" w:rsidRDefault="00561905">
      <w:r>
        <w:continuationSeparator/>
      </w:r>
    </w:p>
  </w:footnote>
  <w:footnote w:id="1">
    <w:p w14:paraId="1A206C23" w14:textId="6F6AF338" w:rsidR="007E1096" w:rsidRPr="007201D5" w:rsidRDefault="007E1096" w:rsidP="007E1096">
      <w:pPr>
        <w:pStyle w:val="Notedebasdepage"/>
        <w:rPr>
          <w:lang w:val="en-CA"/>
        </w:rPr>
      </w:pPr>
      <w:r>
        <w:rPr>
          <w:rStyle w:val="Appelnotedebasdep"/>
        </w:rPr>
        <w:footnoteRef/>
      </w:r>
      <w:r w:rsidRPr="007201D5">
        <w:rPr>
          <w:lang w:val="en-CA"/>
        </w:rPr>
        <w:t xml:space="preserve"> </w:t>
      </w:r>
      <w:r w:rsidRPr="007201D5">
        <w:rPr>
          <w:lang w:val="en-CA"/>
        </w:rPr>
        <w:tab/>
      </w:r>
      <w:r w:rsidR="007201D5" w:rsidRPr="00C14F8E">
        <w:rPr>
          <w:rFonts w:cs="Arial"/>
          <w:lang w:val="en-CA"/>
        </w:rPr>
        <w:t xml:space="preserve">The order was issued pursuant to section 115.8 of the </w:t>
      </w:r>
      <w:r w:rsidR="007201D5" w:rsidRPr="00742AD8">
        <w:rPr>
          <w:rFonts w:cs="Arial"/>
          <w:i/>
          <w:iCs/>
          <w:lang w:val="en-CA"/>
        </w:rPr>
        <w:t>Act respecting the regulation of the financial sector</w:t>
      </w:r>
      <w:r w:rsidR="007201D5" w:rsidRPr="00C14F8E">
        <w:rPr>
          <w:rFonts w:cs="Arial"/>
          <w:lang w:val="en-CA"/>
        </w:rPr>
        <w:t>, CQLR, c. E-6.1, (</w:t>
      </w:r>
      <w:r w:rsidR="00742AD8">
        <w:rPr>
          <w:rFonts w:cs="Arial"/>
          <w:lang w:val="en-CA"/>
        </w:rPr>
        <w:t>“</w:t>
      </w:r>
      <w:r w:rsidR="007201D5" w:rsidRPr="00742AD8">
        <w:rPr>
          <w:rFonts w:cs="Arial"/>
          <w:i/>
          <w:iCs/>
          <w:lang w:val="en-CA"/>
        </w:rPr>
        <w:t xml:space="preserve">Act respecting the regulation </w:t>
      </w:r>
      <w:r w:rsidR="00742AD8" w:rsidRPr="00742AD8">
        <w:rPr>
          <w:rFonts w:cs="Arial"/>
          <w:i/>
          <w:iCs/>
          <w:lang w:val="en-CA"/>
        </w:rPr>
        <w:t>of</w:t>
      </w:r>
      <w:r w:rsidR="007201D5" w:rsidRPr="00742AD8">
        <w:rPr>
          <w:rFonts w:cs="Arial"/>
          <w:i/>
          <w:iCs/>
          <w:lang w:val="en-CA"/>
        </w:rPr>
        <w:t xml:space="preserve"> the financial sector</w:t>
      </w:r>
      <w:r w:rsidR="007201D5" w:rsidRPr="00C14F8E">
        <w:rPr>
          <w:rFonts w:cs="Arial"/>
          <w:lang w:val="en-CA"/>
        </w:rPr>
        <w:t>”).</w:t>
      </w:r>
    </w:p>
  </w:footnote>
  <w:footnote w:id="2">
    <w:p w14:paraId="30EF3E2C" w14:textId="444DDF6D" w:rsidR="007E1096" w:rsidRPr="007201D5" w:rsidRDefault="007E1096" w:rsidP="007E1096">
      <w:pPr>
        <w:pStyle w:val="Notedebasdepage"/>
        <w:rPr>
          <w:lang w:val="en-CA"/>
        </w:rPr>
      </w:pPr>
      <w:r>
        <w:rPr>
          <w:rStyle w:val="Appelnotedebasdep"/>
        </w:rPr>
        <w:footnoteRef/>
      </w:r>
      <w:r w:rsidRPr="007201D5">
        <w:rPr>
          <w:lang w:val="en-CA"/>
        </w:rPr>
        <w:t xml:space="preserve"> </w:t>
      </w:r>
      <w:r w:rsidRPr="007201D5">
        <w:rPr>
          <w:lang w:val="en-CA"/>
        </w:rPr>
        <w:tab/>
      </w:r>
      <w:r w:rsidR="007201D5" w:rsidRPr="00C14F8E">
        <w:rPr>
          <w:rFonts w:cs="Arial"/>
          <w:i/>
          <w:iCs/>
          <w:lang w:val="en-CA"/>
        </w:rPr>
        <w:t>Securities Act</w:t>
      </w:r>
      <w:r w:rsidR="007201D5" w:rsidRPr="00742AD8">
        <w:rPr>
          <w:rFonts w:cs="Arial"/>
          <w:lang w:val="en-CA"/>
        </w:rPr>
        <w:t>, CQLR, c. V-1.1 (</w:t>
      </w:r>
      <w:r w:rsidR="00742AD8">
        <w:rPr>
          <w:rFonts w:cs="Arial"/>
          <w:lang w:val="en-CA"/>
        </w:rPr>
        <w:t>“</w:t>
      </w:r>
      <w:r w:rsidR="007201D5" w:rsidRPr="00742AD8">
        <w:rPr>
          <w:rFonts w:cs="Arial"/>
          <w:i/>
          <w:iCs/>
          <w:lang w:val="en-CA"/>
        </w:rPr>
        <w:t>Securities Act</w:t>
      </w:r>
      <w:r w:rsidR="007201D5" w:rsidRPr="00742AD8">
        <w:rPr>
          <w:rFonts w:cs="Arial"/>
          <w:lang w:val="en-CA"/>
        </w:rPr>
        <w:t>”).</w:t>
      </w:r>
    </w:p>
  </w:footnote>
  <w:footnote w:id="3">
    <w:p w14:paraId="12A0F40F" w14:textId="66FEBEDB" w:rsidR="007E1096" w:rsidRPr="007201D5" w:rsidRDefault="007E1096" w:rsidP="007E1096">
      <w:pPr>
        <w:pStyle w:val="Notedebasdepage"/>
        <w:rPr>
          <w:lang w:val="en-CA"/>
        </w:rPr>
      </w:pPr>
      <w:r>
        <w:rPr>
          <w:rStyle w:val="Appelnotedebasdep"/>
        </w:rPr>
        <w:footnoteRef/>
      </w:r>
      <w:r w:rsidRPr="007201D5">
        <w:rPr>
          <w:lang w:val="en-CA"/>
        </w:rPr>
        <w:t xml:space="preserve"> </w:t>
      </w:r>
      <w:r w:rsidRPr="007201D5">
        <w:rPr>
          <w:lang w:val="en-CA"/>
        </w:rPr>
        <w:tab/>
      </w:r>
      <w:r w:rsidR="007201D5" w:rsidRPr="00C14F8E">
        <w:rPr>
          <w:rFonts w:cs="Arial"/>
          <w:i/>
          <w:iCs/>
          <w:lang w:val="en-CA"/>
        </w:rPr>
        <w:t>Act respecting the distribution of financial products and services</w:t>
      </w:r>
      <w:r w:rsidR="007201D5" w:rsidRPr="00742AD8">
        <w:rPr>
          <w:rFonts w:cs="Arial"/>
          <w:lang w:val="en-CA"/>
        </w:rPr>
        <w:t>, CQLR, c. D-9.2 (the “</w:t>
      </w:r>
      <w:r w:rsidR="007201D5" w:rsidRPr="00742AD8">
        <w:rPr>
          <w:rFonts w:cs="Arial"/>
          <w:i/>
          <w:iCs/>
          <w:lang w:val="en-CA"/>
        </w:rPr>
        <w:t>Act respecting the distribution of financial products and services</w:t>
      </w:r>
      <w:r w:rsidR="007201D5" w:rsidRPr="00742AD8">
        <w:rPr>
          <w:rFonts w:cs="Arial"/>
          <w:lang w:val="en-CA"/>
        </w:rPr>
        <w:t>”).</w:t>
      </w:r>
    </w:p>
  </w:footnote>
  <w:footnote w:id="4">
    <w:p w14:paraId="1FBB3AE4" w14:textId="6713A797" w:rsidR="007E1096" w:rsidRPr="007201D5" w:rsidRDefault="007E1096" w:rsidP="007E1096">
      <w:pPr>
        <w:pStyle w:val="Notedebasdepage"/>
        <w:rPr>
          <w:rFonts w:cs="Arial"/>
          <w:lang w:val="en-CA"/>
        </w:rPr>
      </w:pPr>
      <w:r w:rsidRPr="00FF0F68">
        <w:rPr>
          <w:rStyle w:val="Appelnotedebasdep"/>
          <w:rFonts w:cs="Arial"/>
        </w:rPr>
        <w:footnoteRef/>
      </w:r>
      <w:r w:rsidRPr="007201D5">
        <w:rPr>
          <w:rFonts w:cs="Arial"/>
          <w:lang w:val="en-CA"/>
        </w:rPr>
        <w:t xml:space="preserve"> </w:t>
      </w:r>
      <w:r w:rsidRPr="007201D5">
        <w:rPr>
          <w:rFonts w:cs="Arial"/>
          <w:lang w:val="en-CA"/>
        </w:rPr>
        <w:tab/>
      </w:r>
      <w:r w:rsidR="007201D5" w:rsidRPr="00C14F8E">
        <w:rPr>
          <w:rFonts w:cs="Arial"/>
          <w:i/>
          <w:iCs/>
          <w:lang w:val="en-CA"/>
        </w:rPr>
        <w:t xml:space="preserve">Act respecting the distribution of financial products and services, </w:t>
      </w:r>
      <w:r w:rsidR="007201D5" w:rsidRPr="00935827">
        <w:rPr>
          <w:rFonts w:cs="Arial"/>
          <w:lang w:val="en-CA"/>
        </w:rPr>
        <w:t>s</w:t>
      </w:r>
      <w:r w:rsidR="007201D5" w:rsidRPr="00C14F8E">
        <w:rPr>
          <w:rFonts w:cs="Arial"/>
          <w:i/>
          <w:iCs/>
          <w:lang w:val="en-CA"/>
        </w:rPr>
        <w:t>.</w:t>
      </w:r>
      <w:r w:rsidRPr="007201D5">
        <w:rPr>
          <w:rFonts w:cs="Arial"/>
          <w:lang w:val="en-CA"/>
        </w:rPr>
        <w:t xml:space="preserve"> </w:t>
      </w:r>
      <w:r w:rsidR="007201D5" w:rsidRPr="00C14F8E">
        <w:rPr>
          <w:rFonts w:cs="Arial"/>
          <w:lang w:val="en-CA"/>
        </w:rPr>
        <w:t xml:space="preserve">184, </w:t>
      </w:r>
      <w:r w:rsidR="007201D5" w:rsidRPr="00067183">
        <w:rPr>
          <w:rFonts w:cs="Arial"/>
          <w:i/>
          <w:iCs/>
          <w:lang w:val="en-CA"/>
        </w:rPr>
        <w:t>Act respecting the regulation of the financial sector</w:t>
      </w:r>
      <w:r w:rsidR="007201D5" w:rsidRPr="00C14F8E">
        <w:rPr>
          <w:rFonts w:cs="Arial"/>
          <w:lang w:val="en-CA"/>
        </w:rPr>
        <w:t>, s.</w:t>
      </w:r>
      <w:r w:rsidRPr="007201D5">
        <w:rPr>
          <w:rFonts w:cs="Arial"/>
          <w:color w:val="000000"/>
          <w:lang w:val="en-CA"/>
        </w:rPr>
        <w:t xml:space="preserve"> </w:t>
      </w:r>
      <w:r w:rsidR="007201D5">
        <w:rPr>
          <w:rFonts w:cs="Arial"/>
          <w:color w:val="000000"/>
          <w:lang w:val="en-CA"/>
        </w:rPr>
        <w:t>8(5).</w:t>
      </w:r>
    </w:p>
  </w:footnote>
  <w:footnote w:id="5">
    <w:p w14:paraId="6E5FE0AA" w14:textId="74AACB10" w:rsidR="007E1096" w:rsidRPr="007201D5" w:rsidRDefault="007E1096" w:rsidP="007E1096">
      <w:pPr>
        <w:pStyle w:val="Notedebasdepage"/>
        <w:rPr>
          <w:lang w:val="en-CA"/>
        </w:rPr>
      </w:pPr>
      <w:r w:rsidRPr="00FF0F68">
        <w:rPr>
          <w:rStyle w:val="Appelnotedebasdep"/>
          <w:rFonts w:cs="Arial"/>
        </w:rPr>
        <w:footnoteRef/>
      </w:r>
      <w:r w:rsidRPr="007201D5">
        <w:rPr>
          <w:rFonts w:cs="Arial"/>
          <w:lang w:val="en-CA"/>
        </w:rPr>
        <w:t xml:space="preserve"> </w:t>
      </w:r>
      <w:r w:rsidRPr="007201D5">
        <w:rPr>
          <w:rFonts w:cs="Arial"/>
          <w:lang w:val="en-CA"/>
        </w:rPr>
        <w:tab/>
      </w:r>
      <w:r w:rsidR="007201D5" w:rsidRPr="00C14F8E">
        <w:rPr>
          <w:rFonts w:cs="Arial"/>
          <w:i/>
          <w:iCs/>
          <w:lang w:val="en-CA"/>
        </w:rPr>
        <w:t xml:space="preserve">Securities Act, </w:t>
      </w:r>
      <w:r w:rsidR="007201D5" w:rsidRPr="00935827">
        <w:rPr>
          <w:rFonts w:cs="Arial"/>
          <w:lang w:val="en-CA"/>
        </w:rPr>
        <w:t>s</w:t>
      </w:r>
      <w:r w:rsidR="007201D5" w:rsidRPr="00C14F8E">
        <w:rPr>
          <w:rFonts w:cs="Arial"/>
          <w:i/>
          <w:iCs/>
          <w:lang w:val="en-CA"/>
        </w:rPr>
        <w:t>.</w:t>
      </w:r>
      <w:r w:rsidRPr="007201D5">
        <w:rPr>
          <w:rFonts w:cs="Arial"/>
          <w:lang w:val="en-CA"/>
        </w:rPr>
        <w:t xml:space="preserve"> </w:t>
      </w:r>
      <w:r w:rsidR="007201D5" w:rsidRPr="007201D5">
        <w:rPr>
          <w:rFonts w:cs="Arial"/>
          <w:lang w:val="en-CA"/>
        </w:rPr>
        <w:t>276.</w:t>
      </w:r>
    </w:p>
  </w:footnote>
  <w:footnote w:id="6">
    <w:p w14:paraId="655C788D" w14:textId="7BBBBB8F" w:rsidR="007E1096" w:rsidRPr="007201D5" w:rsidRDefault="007E1096" w:rsidP="007E1096">
      <w:pPr>
        <w:pStyle w:val="Notedebasdepage"/>
        <w:rPr>
          <w:lang w:val="en-CA"/>
        </w:rPr>
      </w:pPr>
      <w:r>
        <w:rPr>
          <w:rStyle w:val="Appelnotedebasdep"/>
        </w:rPr>
        <w:footnoteRef/>
      </w:r>
      <w:r w:rsidRPr="007201D5">
        <w:rPr>
          <w:lang w:val="en-CA"/>
        </w:rPr>
        <w:t xml:space="preserve"> </w:t>
      </w:r>
      <w:r w:rsidRPr="007201D5">
        <w:rPr>
          <w:lang w:val="en-CA"/>
        </w:rPr>
        <w:tab/>
      </w:r>
      <w:r w:rsidR="007201D5" w:rsidRPr="007201D5">
        <w:rPr>
          <w:lang w:val="en-CA"/>
        </w:rPr>
        <w:t>Hearing held in the absence of the respondents and impleaded parties in accordance with section 115.1</w:t>
      </w:r>
      <w:r w:rsidR="00744336">
        <w:rPr>
          <w:lang w:val="en-CA"/>
        </w:rPr>
        <w:t xml:space="preserve">, para. </w:t>
      </w:r>
      <w:r w:rsidR="007201D5" w:rsidRPr="007201D5">
        <w:rPr>
          <w:lang w:val="en-CA"/>
        </w:rPr>
        <w:t>2</w:t>
      </w:r>
      <w:r w:rsidR="00744336">
        <w:rPr>
          <w:lang w:val="en-CA"/>
        </w:rPr>
        <w:t>,</w:t>
      </w:r>
      <w:r w:rsidR="007201D5" w:rsidRPr="007201D5">
        <w:rPr>
          <w:lang w:val="en-CA"/>
        </w:rPr>
        <w:t xml:space="preserve"> of the </w:t>
      </w:r>
      <w:r w:rsidR="007201D5" w:rsidRPr="00814ECC">
        <w:rPr>
          <w:i/>
          <w:iCs/>
          <w:lang w:val="en-CA"/>
        </w:rPr>
        <w:t xml:space="preserve">Act respecting the regulation </w:t>
      </w:r>
      <w:r w:rsidR="00814ECC" w:rsidRPr="00814ECC">
        <w:rPr>
          <w:i/>
          <w:iCs/>
          <w:lang w:val="en-CA"/>
        </w:rPr>
        <w:t>of</w:t>
      </w:r>
      <w:r w:rsidR="007201D5" w:rsidRPr="00814ECC">
        <w:rPr>
          <w:i/>
          <w:iCs/>
          <w:lang w:val="en-CA"/>
        </w:rPr>
        <w:t xml:space="preserve"> the financial sector</w:t>
      </w:r>
      <w:r w:rsidR="007201D5" w:rsidRPr="007201D5">
        <w:rPr>
          <w:lang w:val="en-CA"/>
        </w:rPr>
        <w:t>.</w:t>
      </w:r>
    </w:p>
  </w:footnote>
  <w:footnote w:id="7">
    <w:p w14:paraId="70498C30" w14:textId="73913904" w:rsidR="007E1096" w:rsidRDefault="007E1096" w:rsidP="007E1096">
      <w:pPr>
        <w:pStyle w:val="Notedebasdepage"/>
      </w:pPr>
      <w:r>
        <w:rPr>
          <w:rStyle w:val="Appelnotedebasdep"/>
        </w:rPr>
        <w:footnoteRef/>
      </w:r>
      <w:r>
        <w:t xml:space="preserve"> </w:t>
      </w:r>
      <w:r>
        <w:tab/>
      </w:r>
      <w:r w:rsidR="007201D5" w:rsidRPr="00C14F8E">
        <w:rPr>
          <w:i/>
          <w:iCs/>
        </w:rPr>
        <w:t>Autorité des marchés financiers c.</w:t>
      </w:r>
      <w:r w:rsidR="007201D5" w:rsidRPr="00C14F8E">
        <w:rPr>
          <w:iCs/>
        </w:rPr>
        <w:t xml:space="preserve"> </w:t>
      </w:r>
      <w:r w:rsidR="007201D5" w:rsidRPr="00C14F8E">
        <w:rPr>
          <w:i/>
          <w:iCs/>
        </w:rPr>
        <w:t>Tremblay</w:t>
      </w:r>
      <w:r w:rsidR="007201D5" w:rsidRPr="00C14F8E">
        <w:rPr>
          <w:iCs/>
        </w:rPr>
        <w:t>, 2023 QCTMF 88.</w:t>
      </w:r>
    </w:p>
  </w:footnote>
  <w:footnote w:id="8">
    <w:p w14:paraId="0DD4ADC6" w14:textId="6B90B1D5" w:rsidR="007E1096" w:rsidRDefault="007E1096" w:rsidP="007E1096">
      <w:pPr>
        <w:pStyle w:val="Notedebasdepage"/>
      </w:pPr>
      <w:r>
        <w:rPr>
          <w:rStyle w:val="Appelnotedebasdep"/>
        </w:rPr>
        <w:footnoteRef/>
      </w:r>
      <w:r>
        <w:t xml:space="preserve"> </w:t>
      </w:r>
      <w:r>
        <w:tab/>
      </w:r>
      <w:r w:rsidR="007201D5" w:rsidRPr="007201D5">
        <w:rPr>
          <w:i/>
        </w:rPr>
        <w:t>Autorité des marchés financiers c. Tremblay</w:t>
      </w:r>
      <w:r w:rsidR="007201D5" w:rsidRPr="007201D5">
        <w:t xml:space="preserve">, 2022 QCTMF 5; </w:t>
      </w:r>
      <w:r w:rsidR="007201D5" w:rsidRPr="007201D5">
        <w:rPr>
          <w:i/>
        </w:rPr>
        <w:t>Autorité des marchés financiers c. Tremblay</w:t>
      </w:r>
      <w:r w:rsidR="007201D5" w:rsidRPr="007201D5">
        <w:t xml:space="preserve">, 2022 QCTMF 80; </w:t>
      </w:r>
      <w:r w:rsidR="007201D5" w:rsidRPr="007201D5">
        <w:rPr>
          <w:i/>
        </w:rPr>
        <w:t>Autorité des marchés financiers</w:t>
      </w:r>
      <w:r w:rsidR="007201D5" w:rsidRPr="007201D5">
        <w:t xml:space="preserve"> </w:t>
      </w:r>
      <w:r w:rsidR="007201D5" w:rsidRPr="007201D5">
        <w:rPr>
          <w:i/>
        </w:rPr>
        <w:t>c.</w:t>
      </w:r>
      <w:r w:rsidR="007201D5" w:rsidRPr="007201D5">
        <w:t xml:space="preserve"> </w:t>
      </w:r>
      <w:r w:rsidR="007201D5" w:rsidRPr="007201D5">
        <w:rPr>
          <w:i/>
        </w:rPr>
        <w:t>Tremblay</w:t>
      </w:r>
      <w:r w:rsidR="007201D5" w:rsidRPr="007201D5">
        <w:t>, 2023 QCTMF 22.</w:t>
      </w:r>
    </w:p>
  </w:footnote>
  <w:footnote w:id="9">
    <w:p w14:paraId="702C6E79" w14:textId="694F980D" w:rsidR="007E1096" w:rsidRPr="007201D5" w:rsidRDefault="007E1096" w:rsidP="007E1096">
      <w:pPr>
        <w:pStyle w:val="Notedebasdepage"/>
        <w:rPr>
          <w:lang w:val="en-CA"/>
        </w:rPr>
      </w:pPr>
      <w:r>
        <w:rPr>
          <w:rStyle w:val="Appelnotedebasdep"/>
        </w:rPr>
        <w:footnoteRef/>
      </w:r>
      <w:r>
        <w:t xml:space="preserve"> </w:t>
      </w:r>
      <w:r>
        <w:tab/>
      </w:r>
      <w:r w:rsidR="007201D5" w:rsidRPr="00C14F8E">
        <w:rPr>
          <w:i/>
          <w:iCs/>
        </w:rPr>
        <w:t>Autorité des marchés financiers</w:t>
      </w:r>
      <w:r w:rsidR="007201D5" w:rsidRPr="00C14F8E">
        <w:rPr>
          <w:iCs/>
        </w:rPr>
        <w:t xml:space="preserve"> </w:t>
      </w:r>
      <w:r w:rsidR="007201D5" w:rsidRPr="00C14F8E">
        <w:rPr>
          <w:i/>
          <w:iCs/>
        </w:rPr>
        <w:t>c.</w:t>
      </w:r>
      <w:r w:rsidR="007201D5" w:rsidRPr="00C14F8E">
        <w:rPr>
          <w:iCs/>
        </w:rPr>
        <w:t xml:space="preserve"> </w:t>
      </w:r>
      <w:r w:rsidR="007201D5" w:rsidRPr="00C14F8E">
        <w:rPr>
          <w:i/>
          <w:iCs/>
        </w:rPr>
        <w:t>Tremblay</w:t>
      </w:r>
      <w:r w:rsidR="007201D5" w:rsidRPr="00C14F8E">
        <w:rPr>
          <w:iCs/>
        </w:rPr>
        <w:t>, 2023 QCTMF 60.</w:t>
      </w:r>
      <w:r>
        <w:t xml:space="preserve"> </w:t>
      </w:r>
      <w:r w:rsidR="007201D5" w:rsidRPr="00C14F8E">
        <w:rPr>
          <w:lang w:val="en-CA"/>
        </w:rPr>
        <w:t xml:space="preserve">The Tribunal also extended the freeze orders on an interim basis until March 27, 2024, to allow it to render this decision: </w:t>
      </w:r>
      <w:proofErr w:type="spellStart"/>
      <w:r w:rsidR="007201D5" w:rsidRPr="007201D5">
        <w:rPr>
          <w:i/>
          <w:lang w:val="en-CA"/>
        </w:rPr>
        <w:t>Autorité</w:t>
      </w:r>
      <w:proofErr w:type="spellEnd"/>
      <w:r w:rsidR="007201D5" w:rsidRPr="007201D5">
        <w:rPr>
          <w:i/>
          <w:lang w:val="en-CA"/>
        </w:rPr>
        <w:t xml:space="preserve"> des </w:t>
      </w:r>
      <w:proofErr w:type="spellStart"/>
      <w:r w:rsidR="007201D5" w:rsidRPr="007201D5">
        <w:rPr>
          <w:i/>
          <w:lang w:val="en-CA"/>
        </w:rPr>
        <w:t>marchés</w:t>
      </w:r>
      <w:proofErr w:type="spellEnd"/>
      <w:r w:rsidR="007201D5" w:rsidRPr="007201D5">
        <w:rPr>
          <w:i/>
          <w:lang w:val="en-CA"/>
        </w:rPr>
        <w:t xml:space="preserve"> financiers c. Tremblay</w:t>
      </w:r>
      <w:r w:rsidR="007201D5" w:rsidRPr="007201D5">
        <w:rPr>
          <w:lang w:val="en-CA"/>
        </w:rPr>
        <w:t>, 2024 QCTMF 2.</w:t>
      </w:r>
      <w:r w:rsidRPr="007201D5">
        <w:rPr>
          <w:lang w:val="en-CA"/>
        </w:rPr>
        <w:t xml:space="preserve"> </w:t>
      </w:r>
    </w:p>
  </w:footnote>
  <w:footnote w:id="10">
    <w:p w14:paraId="6BAA3201" w14:textId="2E900E3F" w:rsidR="007E1096" w:rsidRPr="007201D5" w:rsidRDefault="007E1096" w:rsidP="007E1096">
      <w:pPr>
        <w:pStyle w:val="Notedebasdepage"/>
        <w:rPr>
          <w:lang w:val="en-CA"/>
        </w:rPr>
      </w:pPr>
      <w:r>
        <w:rPr>
          <w:rStyle w:val="Appelnotedebasdep"/>
        </w:rPr>
        <w:footnoteRef/>
      </w:r>
      <w:r w:rsidRPr="007201D5">
        <w:rPr>
          <w:lang w:val="en-CA"/>
        </w:rPr>
        <w:t xml:space="preserve"> </w:t>
      </w:r>
      <w:r w:rsidRPr="007201D5">
        <w:rPr>
          <w:lang w:val="en-CA"/>
        </w:rPr>
        <w:tab/>
      </w:r>
      <w:r w:rsidR="007D38AD">
        <w:rPr>
          <w:lang w:val="en-CA"/>
        </w:rPr>
        <w:t xml:space="preserve">The </w:t>
      </w:r>
      <w:r w:rsidR="007201D5" w:rsidRPr="00C14F8E">
        <w:rPr>
          <w:lang w:val="en-CA"/>
        </w:rPr>
        <w:t>Application was amended on December 20, 2023.</w:t>
      </w:r>
    </w:p>
  </w:footnote>
  <w:footnote w:id="11">
    <w:p w14:paraId="6CF4EC77" w14:textId="5C3CFE58" w:rsidR="007E1096" w:rsidRPr="007201D5" w:rsidRDefault="007E1096" w:rsidP="007E1096">
      <w:pPr>
        <w:pStyle w:val="Notedebasdepage"/>
        <w:rPr>
          <w:lang w:val="en-CA"/>
        </w:rPr>
      </w:pPr>
      <w:r>
        <w:rPr>
          <w:rStyle w:val="Appelnotedebasdep"/>
        </w:rPr>
        <w:footnoteRef/>
      </w:r>
      <w:r w:rsidRPr="007201D5">
        <w:rPr>
          <w:lang w:val="en-CA"/>
        </w:rPr>
        <w:t xml:space="preserve"> </w:t>
      </w:r>
      <w:r w:rsidRPr="007201D5">
        <w:rPr>
          <w:lang w:val="en-CA"/>
        </w:rPr>
        <w:tab/>
      </w:r>
      <w:r w:rsidR="007201D5" w:rsidRPr="007201D5">
        <w:rPr>
          <w:lang w:val="en-CA"/>
        </w:rPr>
        <w:t xml:space="preserve">This expression denotes a situation in which events that </w:t>
      </w:r>
      <w:r w:rsidR="00670338">
        <w:rPr>
          <w:lang w:val="en-CA"/>
        </w:rPr>
        <w:t>occurred</w:t>
      </w:r>
      <w:r w:rsidR="007201D5" w:rsidRPr="007201D5">
        <w:rPr>
          <w:lang w:val="en-CA"/>
        </w:rPr>
        <w:t xml:space="preserve"> earlier reoccur in the same manner.</w:t>
      </w:r>
    </w:p>
  </w:footnote>
  <w:footnote w:id="12">
    <w:p w14:paraId="51523DE1" w14:textId="6B1A02DD" w:rsidR="007E1096" w:rsidRPr="007201D5" w:rsidRDefault="007E1096" w:rsidP="007E1096">
      <w:pPr>
        <w:pStyle w:val="Notedebasdepage"/>
        <w:rPr>
          <w:lang w:val="en-CA"/>
        </w:rPr>
      </w:pPr>
      <w:r>
        <w:rPr>
          <w:rStyle w:val="Appelnotedebasdep"/>
        </w:rPr>
        <w:footnoteRef/>
      </w:r>
      <w:r w:rsidRPr="007201D5">
        <w:rPr>
          <w:lang w:val="en-CA"/>
        </w:rPr>
        <w:t xml:space="preserve"> </w:t>
      </w:r>
      <w:r w:rsidRPr="007201D5">
        <w:rPr>
          <w:lang w:val="en-CA"/>
        </w:rPr>
        <w:tab/>
      </w:r>
      <w:r w:rsidR="007201D5" w:rsidRPr="00C14F8E">
        <w:rPr>
          <w:i/>
          <w:iCs/>
          <w:lang w:val="en-CA"/>
        </w:rPr>
        <w:t>Code of Civil Procedure</w:t>
      </w:r>
      <w:r w:rsidR="007201D5" w:rsidRPr="00C14F8E">
        <w:rPr>
          <w:iCs/>
          <w:lang w:val="en-CA"/>
        </w:rPr>
        <w:t>, CQLR, c. C-25.01, (</w:t>
      </w:r>
      <w:r w:rsidR="00670338">
        <w:rPr>
          <w:iCs/>
          <w:lang w:val="en-CA"/>
        </w:rPr>
        <w:t>“</w:t>
      </w:r>
      <w:r w:rsidR="007201D5" w:rsidRPr="00670338">
        <w:rPr>
          <w:i/>
          <w:lang w:val="en-CA"/>
        </w:rPr>
        <w:t>Code of Civil Procedure</w:t>
      </w:r>
      <w:r w:rsidR="007201D5" w:rsidRPr="00C14F8E">
        <w:rPr>
          <w:iCs/>
          <w:lang w:val="en-CA"/>
        </w:rPr>
        <w:t>”) art.</w:t>
      </w:r>
      <w:r w:rsidRPr="007201D5">
        <w:rPr>
          <w:rFonts w:cs="Arial"/>
          <w:lang w:val="en-CA"/>
        </w:rPr>
        <w:t xml:space="preserve"> </w:t>
      </w:r>
      <w:r w:rsidR="007201D5" w:rsidRPr="00C14F8E">
        <w:rPr>
          <w:rFonts w:cs="Arial"/>
          <w:lang w:val="en-CA"/>
        </w:rPr>
        <w:t xml:space="preserve">51: </w:t>
      </w:r>
      <w:r w:rsidR="00A052E0">
        <w:rPr>
          <w:rFonts w:cs="Arial"/>
          <w:lang w:val="en-CA"/>
        </w:rPr>
        <w:t>“</w:t>
      </w:r>
      <w:r w:rsidR="007201D5" w:rsidRPr="00C14F8E">
        <w:rPr>
          <w:rFonts w:cs="Arial"/>
          <w:lang w:val="en-CA"/>
        </w:rPr>
        <w:t>The courts may, at any time, on an application and even on their own initiative, declare that a judicial application or a pleading is abusive.</w:t>
      </w:r>
      <w:r w:rsidR="00A052E0">
        <w:rPr>
          <w:rFonts w:cs="Arial"/>
          <w:lang w:val="en-CA"/>
        </w:rPr>
        <w:t>”</w:t>
      </w:r>
    </w:p>
  </w:footnote>
  <w:footnote w:id="13">
    <w:p w14:paraId="18E303B9" w14:textId="4E5881C4" w:rsidR="007E1096" w:rsidRPr="007201D5" w:rsidRDefault="007E1096" w:rsidP="007E1096">
      <w:pPr>
        <w:pStyle w:val="Notedebasdepage"/>
        <w:rPr>
          <w:lang w:val="en-CA"/>
        </w:rPr>
      </w:pPr>
      <w:r>
        <w:rPr>
          <w:rStyle w:val="Appelnotedebasdep"/>
        </w:rPr>
        <w:footnoteRef/>
      </w:r>
      <w:r w:rsidRPr="007201D5">
        <w:rPr>
          <w:lang w:val="en-CA"/>
        </w:rPr>
        <w:t xml:space="preserve"> </w:t>
      </w:r>
      <w:r w:rsidRPr="007201D5">
        <w:rPr>
          <w:lang w:val="en-CA"/>
        </w:rPr>
        <w:tab/>
      </w:r>
      <w:r w:rsidR="007201D5" w:rsidRPr="00C14F8E">
        <w:rPr>
          <w:lang w:val="en-CA"/>
        </w:rPr>
        <w:t>Application to extend at para.</w:t>
      </w:r>
      <w:r w:rsidRPr="007201D5">
        <w:rPr>
          <w:lang w:val="en-CA"/>
        </w:rPr>
        <w:t xml:space="preserve"> </w:t>
      </w:r>
      <w:r w:rsidR="007201D5" w:rsidRPr="007201D5">
        <w:rPr>
          <w:lang w:val="en-CA"/>
        </w:rPr>
        <w:t>13.</w:t>
      </w:r>
    </w:p>
  </w:footnote>
  <w:footnote w:id="14">
    <w:p w14:paraId="7829DB94" w14:textId="0E055A6A" w:rsidR="007E1096" w:rsidRPr="007201D5" w:rsidRDefault="007E1096" w:rsidP="007E1096">
      <w:pPr>
        <w:pStyle w:val="Notedebasdepage"/>
        <w:rPr>
          <w:lang w:val="en-CA"/>
        </w:rPr>
      </w:pPr>
      <w:r>
        <w:rPr>
          <w:rStyle w:val="Appelnotedebasdep"/>
        </w:rPr>
        <w:footnoteRef/>
      </w:r>
      <w:r w:rsidRPr="007201D5">
        <w:rPr>
          <w:lang w:val="en-CA"/>
        </w:rPr>
        <w:t xml:space="preserve"> </w:t>
      </w:r>
      <w:r w:rsidRPr="007201D5">
        <w:rPr>
          <w:lang w:val="en-CA"/>
        </w:rPr>
        <w:tab/>
      </w:r>
      <w:r w:rsidR="007201D5" w:rsidRPr="00C14F8E">
        <w:rPr>
          <w:i/>
          <w:iCs/>
          <w:lang w:val="en-CA"/>
        </w:rPr>
        <w:t xml:space="preserve">Ibid. </w:t>
      </w:r>
      <w:r w:rsidR="007201D5" w:rsidRPr="00D11507">
        <w:rPr>
          <w:lang w:val="en-CA"/>
        </w:rPr>
        <w:t>at paras.</w:t>
      </w:r>
      <w:r w:rsidRPr="007201D5">
        <w:rPr>
          <w:lang w:val="en-CA"/>
        </w:rPr>
        <w:t xml:space="preserve"> </w:t>
      </w:r>
      <w:r w:rsidR="007201D5" w:rsidRPr="00C14F8E">
        <w:rPr>
          <w:lang w:val="en-CA"/>
        </w:rPr>
        <w:t>15 and 16.</w:t>
      </w:r>
    </w:p>
  </w:footnote>
  <w:footnote w:id="15">
    <w:p w14:paraId="443B396B" w14:textId="3E683765" w:rsidR="007E1096" w:rsidRPr="007201D5" w:rsidRDefault="007E1096" w:rsidP="007E1096">
      <w:pPr>
        <w:pStyle w:val="Notedebasdepage"/>
        <w:rPr>
          <w:lang w:val="en-CA"/>
        </w:rPr>
      </w:pPr>
      <w:r>
        <w:rPr>
          <w:rStyle w:val="Appelnotedebasdep"/>
        </w:rPr>
        <w:footnoteRef/>
      </w:r>
      <w:r w:rsidRPr="007201D5">
        <w:rPr>
          <w:lang w:val="en-CA"/>
        </w:rPr>
        <w:t xml:space="preserve"> </w:t>
      </w:r>
      <w:r w:rsidRPr="007201D5">
        <w:rPr>
          <w:lang w:val="en-CA"/>
        </w:rPr>
        <w:tab/>
      </w:r>
      <w:r w:rsidR="007201D5" w:rsidRPr="00C14F8E">
        <w:rPr>
          <w:i/>
          <w:iCs/>
          <w:lang w:val="en-CA"/>
        </w:rPr>
        <w:t xml:space="preserve">Ibid. </w:t>
      </w:r>
      <w:r w:rsidR="007201D5" w:rsidRPr="00D11507">
        <w:rPr>
          <w:lang w:val="en-CA"/>
        </w:rPr>
        <w:t>at paras.</w:t>
      </w:r>
      <w:r w:rsidRPr="00D11507">
        <w:rPr>
          <w:lang w:val="en-CA"/>
        </w:rPr>
        <w:t xml:space="preserve"> </w:t>
      </w:r>
      <w:r w:rsidR="007201D5" w:rsidRPr="00C14F8E">
        <w:rPr>
          <w:lang w:val="en-CA"/>
        </w:rPr>
        <w:t>14 and 16.</w:t>
      </w:r>
    </w:p>
  </w:footnote>
  <w:footnote w:id="16">
    <w:p w14:paraId="13281179" w14:textId="3EEE4EB1" w:rsidR="007E1096" w:rsidRPr="007201D5" w:rsidRDefault="007E1096" w:rsidP="007E1096">
      <w:pPr>
        <w:pStyle w:val="Notedebasdepage"/>
        <w:rPr>
          <w:lang w:val="en-CA"/>
        </w:rPr>
      </w:pPr>
      <w:r>
        <w:rPr>
          <w:rStyle w:val="Appelnotedebasdep"/>
        </w:rPr>
        <w:footnoteRef/>
      </w:r>
      <w:r w:rsidRPr="007201D5">
        <w:rPr>
          <w:lang w:val="en-CA"/>
        </w:rPr>
        <w:t xml:space="preserve"> </w:t>
      </w:r>
      <w:r w:rsidRPr="007201D5">
        <w:rPr>
          <w:lang w:val="en-CA"/>
        </w:rPr>
        <w:tab/>
      </w:r>
      <w:r w:rsidR="007201D5" w:rsidRPr="007201D5">
        <w:rPr>
          <w:lang w:val="en-CA"/>
        </w:rPr>
        <w:t xml:space="preserve">It should be noted that in the Tribunal’s decision dated April 14, 2023: </w:t>
      </w:r>
      <w:proofErr w:type="spellStart"/>
      <w:r w:rsidR="007201D5" w:rsidRPr="007201D5">
        <w:rPr>
          <w:i/>
          <w:lang w:val="en-CA"/>
        </w:rPr>
        <w:t>Autorité</w:t>
      </w:r>
      <w:proofErr w:type="spellEnd"/>
      <w:r w:rsidR="007201D5" w:rsidRPr="007201D5">
        <w:rPr>
          <w:i/>
          <w:lang w:val="en-CA"/>
        </w:rPr>
        <w:t xml:space="preserve"> des </w:t>
      </w:r>
      <w:proofErr w:type="spellStart"/>
      <w:r w:rsidR="007201D5" w:rsidRPr="007201D5">
        <w:rPr>
          <w:i/>
          <w:lang w:val="en-CA"/>
        </w:rPr>
        <w:t>marchés</w:t>
      </w:r>
      <w:proofErr w:type="spellEnd"/>
      <w:r w:rsidR="007201D5" w:rsidRPr="007201D5">
        <w:rPr>
          <w:i/>
          <w:lang w:val="en-CA"/>
        </w:rPr>
        <w:t xml:space="preserve"> financiers</w:t>
      </w:r>
      <w:r w:rsidR="007201D5" w:rsidRPr="007201D5">
        <w:rPr>
          <w:lang w:val="en-CA"/>
        </w:rPr>
        <w:t xml:space="preserve"> c. </w:t>
      </w:r>
      <w:r w:rsidR="007201D5" w:rsidRPr="007201D5">
        <w:rPr>
          <w:i/>
          <w:lang w:val="en-CA"/>
        </w:rPr>
        <w:t>Tremblay</w:t>
      </w:r>
      <w:r w:rsidR="007201D5" w:rsidRPr="007201D5">
        <w:rPr>
          <w:lang w:val="en-CA"/>
        </w:rPr>
        <w:t xml:space="preserve">, 2023 QCTMF 22 and in the </w:t>
      </w:r>
      <w:r w:rsidR="007C43FE" w:rsidRPr="000922B8">
        <w:rPr>
          <w:lang w:val="en-CA"/>
        </w:rPr>
        <w:t xml:space="preserve">September 2023 </w:t>
      </w:r>
      <w:r w:rsidR="007C43FE">
        <w:rPr>
          <w:lang w:val="en-CA"/>
        </w:rPr>
        <w:t>D</w:t>
      </w:r>
      <w:r w:rsidR="007C43FE" w:rsidRPr="000922B8">
        <w:rPr>
          <w:lang w:val="en-CA"/>
        </w:rPr>
        <w:t>ecision to extend</w:t>
      </w:r>
      <w:r w:rsidR="007201D5" w:rsidRPr="007201D5">
        <w:rPr>
          <w:lang w:val="en-CA"/>
        </w:rPr>
        <w:t xml:space="preserve">: </w:t>
      </w:r>
      <w:proofErr w:type="spellStart"/>
      <w:r w:rsidR="007201D5" w:rsidRPr="007201D5">
        <w:rPr>
          <w:i/>
          <w:lang w:val="en-CA"/>
        </w:rPr>
        <w:t>Autorité</w:t>
      </w:r>
      <w:proofErr w:type="spellEnd"/>
      <w:r w:rsidR="007201D5" w:rsidRPr="007201D5">
        <w:rPr>
          <w:i/>
          <w:lang w:val="en-CA"/>
        </w:rPr>
        <w:t xml:space="preserve"> des </w:t>
      </w:r>
      <w:proofErr w:type="spellStart"/>
      <w:r w:rsidR="007201D5" w:rsidRPr="007201D5">
        <w:rPr>
          <w:i/>
          <w:lang w:val="en-CA"/>
        </w:rPr>
        <w:t>marchés</w:t>
      </w:r>
      <w:proofErr w:type="spellEnd"/>
      <w:r w:rsidR="007201D5" w:rsidRPr="007201D5">
        <w:rPr>
          <w:i/>
          <w:lang w:val="en-CA"/>
        </w:rPr>
        <w:t xml:space="preserve"> financiers</w:t>
      </w:r>
      <w:r w:rsidR="007201D5" w:rsidRPr="007201D5">
        <w:rPr>
          <w:lang w:val="en-CA"/>
        </w:rPr>
        <w:t xml:space="preserve"> c. </w:t>
      </w:r>
      <w:r w:rsidR="007201D5" w:rsidRPr="007201D5">
        <w:rPr>
          <w:i/>
          <w:lang w:val="en-CA"/>
        </w:rPr>
        <w:t>Tremblay</w:t>
      </w:r>
      <w:r w:rsidR="007201D5" w:rsidRPr="007201D5">
        <w:rPr>
          <w:lang w:val="en-CA"/>
        </w:rPr>
        <w:t>, 2023 QCTMF 60, the Tribunal had understood from the testimony of the investigator that the investigation report had been sent to the Authority’s litigation services in March 2023, not February 2023.</w:t>
      </w:r>
    </w:p>
  </w:footnote>
  <w:footnote w:id="17">
    <w:p w14:paraId="3FAE5FF6" w14:textId="151AFABC" w:rsidR="001D24B7" w:rsidRPr="00F423D7" w:rsidRDefault="001D24B7" w:rsidP="001D24B7">
      <w:pPr>
        <w:pStyle w:val="Notedebasdepage"/>
        <w:rPr>
          <w:rFonts w:cs="Arial"/>
        </w:rPr>
      </w:pPr>
      <w:r>
        <w:rPr>
          <w:rStyle w:val="Appelnotedebasdep"/>
        </w:rPr>
        <w:footnoteRef/>
      </w:r>
      <w:r>
        <w:t xml:space="preserve"> </w:t>
      </w:r>
      <w:r>
        <w:tab/>
      </w:r>
      <w:r w:rsidR="007201D5" w:rsidRPr="007201D5">
        <w:rPr>
          <w:rFonts w:cs="Arial"/>
          <w:i/>
          <w:iCs/>
        </w:rPr>
        <w:t>Autorité des marchés financiers</w:t>
      </w:r>
      <w:r w:rsidR="007201D5" w:rsidRPr="007201D5">
        <w:rPr>
          <w:rFonts w:cs="Arial"/>
          <w:iCs/>
        </w:rPr>
        <w:t xml:space="preserve"> </w:t>
      </w:r>
      <w:r w:rsidR="007201D5" w:rsidRPr="007201D5">
        <w:rPr>
          <w:rFonts w:cs="Arial"/>
          <w:i/>
          <w:iCs/>
        </w:rPr>
        <w:t>c.</w:t>
      </w:r>
      <w:r w:rsidR="007201D5" w:rsidRPr="007201D5">
        <w:rPr>
          <w:rFonts w:cs="Arial"/>
          <w:iCs/>
        </w:rPr>
        <w:t xml:space="preserve"> </w:t>
      </w:r>
      <w:r w:rsidR="007201D5" w:rsidRPr="007201D5">
        <w:rPr>
          <w:rFonts w:cs="Arial"/>
          <w:i/>
          <w:iCs/>
        </w:rPr>
        <w:t xml:space="preserve">Technologies </w:t>
      </w:r>
      <w:proofErr w:type="spellStart"/>
      <w:r w:rsidR="007201D5" w:rsidRPr="007201D5">
        <w:rPr>
          <w:rFonts w:cs="Arial"/>
          <w:i/>
          <w:iCs/>
        </w:rPr>
        <w:t>Timechain</w:t>
      </w:r>
      <w:proofErr w:type="spellEnd"/>
      <w:r w:rsidR="007201D5" w:rsidRPr="007201D5">
        <w:rPr>
          <w:rFonts w:cs="Arial"/>
          <w:i/>
          <w:iCs/>
        </w:rPr>
        <w:t xml:space="preserve"> inc</w:t>
      </w:r>
      <w:r w:rsidR="007201D5" w:rsidRPr="007201D5">
        <w:rPr>
          <w:rFonts w:cs="Arial"/>
          <w:iCs/>
        </w:rPr>
        <w:t xml:space="preserve">., 2022 QCTMF 60, Autorité des marchés financiers </w:t>
      </w:r>
      <w:r w:rsidR="007201D5" w:rsidRPr="007201D5">
        <w:rPr>
          <w:rFonts w:cs="Arial"/>
          <w:i/>
          <w:iCs/>
        </w:rPr>
        <w:t>c.</w:t>
      </w:r>
      <w:r w:rsidR="007201D5" w:rsidRPr="007201D5">
        <w:rPr>
          <w:rFonts w:cs="Arial"/>
          <w:iCs/>
        </w:rPr>
        <w:t xml:space="preserve"> Gestion </w:t>
      </w:r>
      <w:proofErr w:type="spellStart"/>
      <w:r w:rsidR="007201D5" w:rsidRPr="007201D5">
        <w:rPr>
          <w:rFonts w:cs="Arial"/>
          <w:iCs/>
        </w:rPr>
        <w:t>Guychar</w:t>
      </w:r>
      <w:proofErr w:type="spellEnd"/>
      <w:r w:rsidR="007201D5" w:rsidRPr="007201D5">
        <w:rPr>
          <w:rFonts w:cs="Arial"/>
          <w:iCs/>
        </w:rPr>
        <w:t xml:space="preserve"> (Canada) inc., 2010 QCBDRVM 13, </w:t>
      </w:r>
      <w:r w:rsidR="007201D5" w:rsidRPr="007201D5">
        <w:rPr>
          <w:rFonts w:cs="Arial"/>
          <w:i/>
          <w:iCs/>
        </w:rPr>
        <w:t>Autorité des marchés financiers</w:t>
      </w:r>
      <w:r w:rsidR="007201D5" w:rsidRPr="007201D5">
        <w:rPr>
          <w:rFonts w:cs="Arial"/>
          <w:iCs/>
        </w:rPr>
        <w:t xml:space="preserve"> </w:t>
      </w:r>
      <w:r w:rsidR="007201D5" w:rsidRPr="007201D5">
        <w:rPr>
          <w:rFonts w:cs="Arial"/>
          <w:i/>
          <w:iCs/>
        </w:rPr>
        <w:t>c.</w:t>
      </w:r>
      <w:r w:rsidR="007201D5" w:rsidRPr="007201D5">
        <w:rPr>
          <w:rFonts w:cs="Arial"/>
          <w:iCs/>
        </w:rPr>
        <w:t xml:space="preserve"> </w:t>
      </w:r>
      <w:proofErr w:type="spellStart"/>
      <w:r w:rsidR="007201D5" w:rsidRPr="007201D5">
        <w:rPr>
          <w:rFonts w:cs="Arial"/>
          <w:i/>
          <w:iCs/>
        </w:rPr>
        <w:t>Plexcorps</w:t>
      </w:r>
      <w:proofErr w:type="spellEnd"/>
      <w:r w:rsidR="007201D5" w:rsidRPr="007201D5">
        <w:rPr>
          <w:rFonts w:cs="Arial"/>
          <w:iCs/>
        </w:rPr>
        <w:t xml:space="preserve">, 2021 QCTMF 39, </w:t>
      </w:r>
      <w:r w:rsidR="007201D5" w:rsidRPr="007201D5">
        <w:rPr>
          <w:rFonts w:cs="Arial"/>
          <w:i/>
          <w:iCs/>
        </w:rPr>
        <w:t>Autorité des marchés financiers</w:t>
      </w:r>
      <w:r w:rsidR="007201D5" w:rsidRPr="007201D5">
        <w:rPr>
          <w:rFonts w:cs="Arial"/>
          <w:iCs/>
        </w:rPr>
        <w:t xml:space="preserve"> </w:t>
      </w:r>
      <w:r w:rsidR="007201D5" w:rsidRPr="007201D5">
        <w:rPr>
          <w:rFonts w:cs="Arial"/>
          <w:i/>
          <w:iCs/>
        </w:rPr>
        <w:t>c.</w:t>
      </w:r>
      <w:r w:rsidR="007201D5" w:rsidRPr="007201D5">
        <w:rPr>
          <w:rFonts w:cs="Arial"/>
          <w:iCs/>
        </w:rPr>
        <w:t xml:space="preserve"> </w:t>
      </w:r>
      <w:r w:rsidR="007201D5" w:rsidRPr="007201D5">
        <w:rPr>
          <w:rFonts w:cs="Arial"/>
          <w:i/>
          <w:iCs/>
        </w:rPr>
        <w:t xml:space="preserve">Gestion </w:t>
      </w:r>
      <w:proofErr w:type="spellStart"/>
      <w:r w:rsidR="007201D5" w:rsidRPr="007201D5">
        <w:rPr>
          <w:rFonts w:cs="Arial"/>
          <w:i/>
          <w:iCs/>
        </w:rPr>
        <w:t>Itradecoins</w:t>
      </w:r>
      <w:proofErr w:type="spellEnd"/>
      <w:r w:rsidR="007201D5" w:rsidRPr="007201D5">
        <w:rPr>
          <w:rFonts w:cs="Arial"/>
          <w:i/>
          <w:iCs/>
        </w:rPr>
        <w:t xml:space="preserve"> inc</w:t>
      </w:r>
      <w:r w:rsidR="007201D5" w:rsidRPr="007201D5">
        <w:rPr>
          <w:rFonts w:cs="Arial"/>
          <w:iCs/>
        </w:rPr>
        <w:t>., 2022 QCTMF 8,</w:t>
      </w:r>
      <w:r w:rsidR="007201D5" w:rsidRPr="007201D5">
        <w:rPr>
          <w:rFonts w:cs="Arial"/>
          <w:i/>
          <w:iCs/>
        </w:rPr>
        <w:t xml:space="preserve"> Autorité des marchés financiers</w:t>
      </w:r>
      <w:r w:rsidR="007201D5" w:rsidRPr="007201D5">
        <w:rPr>
          <w:rFonts w:cs="Arial"/>
          <w:iCs/>
        </w:rPr>
        <w:t xml:space="preserve"> </w:t>
      </w:r>
      <w:r w:rsidR="007201D5" w:rsidRPr="007201D5">
        <w:rPr>
          <w:rFonts w:cs="Arial"/>
          <w:i/>
          <w:iCs/>
        </w:rPr>
        <w:t>c.</w:t>
      </w:r>
      <w:r w:rsidR="007201D5" w:rsidRPr="007201D5">
        <w:rPr>
          <w:rFonts w:cs="Arial"/>
          <w:iCs/>
        </w:rPr>
        <w:t xml:space="preserve"> </w:t>
      </w:r>
      <w:r w:rsidR="007201D5" w:rsidRPr="007201D5">
        <w:rPr>
          <w:rFonts w:cs="Arial"/>
          <w:i/>
          <w:iCs/>
        </w:rPr>
        <w:t>Blouin</w:t>
      </w:r>
      <w:r w:rsidR="007201D5" w:rsidRPr="007201D5">
        <w:rPr>
          <w:rFonts w:cs="Arial"/>
          <w:iCs/>
        </w:rPr>
        <w:t xml:space="preserve">, 2019 QCTMF 39, </w:t>
      </w:r>
      <w:r w:rsidR="007201D5" w:rsidRPr="007201D5">
        <w:rPr>
          <w:rFonts w:cs="Arial"/>
          <w:i/>
          <w:iCs/>
        </w:rPr>
        <w:t>Autorité des marchés financiers c.</w:t>
      </w:r>
      <w:r w:rsidR="007201D5" w:rsidRPr="007201D5">
        <w:rPr>
          <w:rFonts w:cs="Arial"/>
          <w:iCs/>
        </w:rPr>
        <w:t xml:space="preserve"> </w:t>
      </w:r>
      <w:r w:rsidR="007201D5" w:rsidRPr="007201D5">
        <w:rPr>
          <w:rFonts w:cs="Arial"/>
          <w:i/>
          <w:iCs/>
        </w:rPr>
        <w:t>Pierre</w:t>
      </w:r>
      <w:r w:rsidR="007201D5" w:rsidRPr="007201D5">
        <w:rPr>
          <w:rFonts w:cs="Arial"/>
          <w:iCs/>
        </w:rPr>
        <w:t xml:space="preserve">, 2018 QCTMF 50, </w:t>
      </w:r>
      <w:r w:rsidR="007201D5" w:rsidRPr="007201D5">
        <w:rPr>
          <w:rFonts w:cs="Arial"/>
          <w:i/>
          <w:iCs/>
        </w:rPr>
        <w:t>Autorité des marchés financiers</w:t>
      </w:r>
      <w:r w:rsidR="007201D5" w:rsidRPr="007201D5">
        <w:rPr>
          <w:rFonts w:cs="Arial"/>
          <w:iCs/>
        </w:rPr>
        <w:t xml:space="preserve"> </w:t>
      </w:r>
      <w:r w:rsidR="007201D5" w:rsidRPr="007201D5">
        <w:rPr>
          <w:rFonts w:cs="Arial"/>
          <w:i/>
          <w:iCs/>
        </w:rPr>
        <w:t>c.</w:t>
      </w:r>
      <w:r w:rsidR="007201D5" w:rsidRPr="007201D5">
        <w:rPr>
          <w:rFonts w:cs="Arial"/>
          <w:iCs/>
        </w:rPr>
        <w:t xml:space="preserve"> </w:t>
      </w:r>
      <w:proofErr w:type="spellStart"/>
      <w:r w:rsidR="007201D5" w:rsidRPr="007201D5">
        <w:rPr>
          <w:rFonts w:cs="Arial"/>
          <w:i/>
          <w:iCs/>
        </w:rPr>
        <w:t>McKeown</w:t>
      </w:r>
      <w:proofErr w:type="spellEnd"/>
      <w:r w:rsidR="007201D5" w:rsidRPr="007201D5">
        <w:rPr>
          <w:rFonts w:cs="Arial"/>
          <w:i/>
          <w:iCs/>
        </w:rPr>
        <w:t>,</w:t>
      </w:r>
      <w:r w:rsidR="007201D5" w:rsidRPr="007201D5">
        <w:rPr>
          <w:rFonts w:cs="Arial"/>
          <w:iCs/>
        </w:rPr>
        <w:t xml:space="preserve"> 2016 QCBDR 80.</w:t>
      </w:r>
    </w:p>
  </w:footnote>
  <w:footnote w:id="18">
    <w:p w14:paraId="66C058C6" w14:textId="7A3B5073" w:rsidR="00C71DB3" w:rsidRPr="005B034E" w:rsidRDefault="00C71DB3" w:rsidP="00C71DB3">
      <w:pPr>
        <w:pStyle w:val="Notedebasdepage"/>
      </w:pPr>
      <w:r>
        <w:rPr>
          <w:rStyle w:val="Appelnotedebasdep"/>
        </w:rPr>
        <w:footnoteRef/>
      </w:r>
      <w:r>
        <w:t xml:space="preserve"> </w:t>
      </w:r>
      <w:r>
        <w:tab/>
      </w:r>
      <w:r w:rsidR="007201D5" w:rsidRPr="00C14F8E">
        <w:rPr>
          <w:rFonts w:cs="Arial"/>
          <w:i/>
          <w:iCs/>
        </w:rPr>
        <w:t>Autorité des marchés financiers c. Dominion Investments (Nassau) Ltd.</w:t>
      </w:r>
      <w:r w:rsidR="007201D5" w:rsidRPr="00C14F8E">
        <w:rPr>
          <w:rFonts w:cs="Arial"/>
          <w:iCs/>
        </w:rPr>
        <w:t>, 2007 QCBDRVM 45.</w:t>
      </w:r>
    </w:p>
  </w:footnote>
  <w:footnote w:id="19">
    <w:p w14:paraId="4DD21B47" w14:textId="1226DDCA" w:rsidR="00C71DB3" w:rsidRDefault="00C71DB3" w:rsidP="00C71DB3">
      <w:pPr>
        <w:pStyle w:val="Notedebasdepage"/>
      </w:pPr>
      <w:r>
        <w:rPr>
          <w:rStyle w:val="Appelnotedebasdep"/>
        </w:rPr>
        <w:footnoteRef/>
      </w:r>
      <w:r>
        <w:t xml:space="preserve"> </w:t>
      </w:r>
      <w:r>
        <w:tab/>
      </w:r>
      <w:r w:rsidR="007201D5" w:rsidRPr="00C14F8E">
        <w:t xml:space="preserve">Autorité des marchés financiers </w:t>
      </w:r>
      <w:r w:rsidR="007201D5" w:rsidRPr="00C14F8E">
        <w:rPr>
          <w:i/>
        </w:rPr>
        <w:t>c.</w:t>
      </w:r>
      <w:r w:rsidR="007201D5" w:rsidRPr="00C14F8E">
        <w:t xml:space="preserve"> </w:t>
      </w:r>
      <w:r w:rsidR="007201D5" w:rsidRPr="00C14F8E">
        <w:rPr>
          <w:i/>
        </w:rPr>
        <w:t xml:space="preserve">Gestion </w:t>
      </w:r>
      <w:proofErr w:type="spellStart"/>
      <w:r w:rsidR="007201D5" w:rsidRPr="00C14F8E">
        <w:rPr>
          <w:i/>
        </w:rPr>
        <w:t>Itradecoins</w:t>
      </w:r>
      <w:proofErr w:type="spellEnd"/>
      <w:r w:rsidR="007201D5" w:rsidRPr="00C14F8E">
        <w:rPr>
          <w:i/>
        </w:rPr>
        <w:t xml:space="preserve"> inc</w:t>
      </w:r>
      <w:r w:rsidR="007201D5" w:rsidRPr="00C14F8E">
        <w:t>., 2022 QCTMF 8 at para.</w:t>
      </w:r>
      <w:r>
        <w:rPr>
          <w:rFonts w:cs="Arial"/>
        </w:rPr>
        <w:t xml:space="preserve"> </w:t>
      </w:r>
      <w:r w:rsidR="007201D5" w:rsidRPr="00C14F8E">
        <w:rPr>
          <w:rFonts w:cs="Arial"/>
        </w:rPr>
        <w:t xml:space="preserve">28, </w:t>
      </w:r>
      <w:proofErr w:type="spellStart"/>
      <w:r w:rsidR="007201D5" w:rsidRPr="00C14F8E">
        <w:rPr>
          <w:rFonts w:cs="Arial"/>
        </w:rPr>
        <w:t>citing</w:t>
      </w:r>
      <w:proofErr w:type="spellEnd"/>
      <w:r w:rsidR="007201D5" w:rsidRPr="00C14F8E">
        <w:rPr>
          <w:rFonts w:cs="Arial"/>
        </w:rPr>
        <w:t xml:space="preserve"> </w:t>
      </w:r>
      <w:r w:rsidR="007201D5" w:rsidRPr="00C14F8E">
        <w:rPr>
          <w:rFonts w:cs="Arial"/>
          <w:i/>
        </w:rPr>
        <w:t>Autorité des marchés financiers</w:t>
      </w:r>
      <w:r w:rsidR="007201D5" w:rsidRPr="00C14F8E">
        <w:rPr>
          <w:rFonts w:cs="Arial"/>
        </w:rPr>
        <w:t> </w:t>
      </w:r>
      <w:r w:rsidR="007201D5" w:rsidRPr="00C14F8E">
        <w:rPr>
          <w:rFonts w:cs="Arial"/>
          <w:i/>
        </w:rPr>
        <w:t>c.</w:t>
      </w:r>
      <w:r w:rsidR="007201D5" w:rsidRPr="00C14F8E">
        <w:rPr>
          <w:rFonts w:cs="Arial"/>
        </w:rPr>
        <w:t> </w:t>
      </w:r>
      <w:r w:rsidR="007201D5" w:rsidRPr="00C14F8E">
        <w:rPr>
          <w:rFonts w:cs="Arial"/>
          <w:i/>
        </w:rPr>
        <w:t>Dominion Investments (Nassau) Ltd</w:t>
      </w:r>
      <w:r w:rsidR="007201D5" w:rsidRPr="00C14F8E">
        <w:rPr>
          <w:rFonts w:cs="Arial"/>
        </w:rPr>
        <w:t>., 2007 QCBDRVM 45, Autorité</w:t>
      </w:r>
      <w:r w:rsidR="007201D5" w:rsidRPr="00C14F8E">
        <w:rPr>
          <w:rFonts w:cs="Arial"/>
          <w:i/>
        </w:rPr>
        <w:t xml:space="preserve"> des marchés financiers</w:t>
      </w:r>
      <w:r w:rsidR="007201D5" w:rsidRPr="00C14F8E">
        <w:rPr>
          <w:rFonts w:cs="Arial"/>
        </w:rPr>
        <w:t> </w:t>
      </w:r>
      <w:r w:rsidR="007201D5" w:rsidRPr="00C14F8E">
        <w:rPr>
          <w:rFonts w:cs="Arial"/>
          <w:i/>
        </w:rPr>
        <w:t>c.</w:t>
      </w:r>
      <w:r w:rsidR="007201D5" w:rsidRPr="00C14F8E">
        <w:rPr>
          <w:rFonts w:cs="Arial"/>
        </w:rPr>
        <w:t> </w:t>
      </w:r>
      <w:r w:rsidR="007201D5" w:rsidRPr="00C14F8E">
        <w:rPr>
          <w:rFonts w:cs="Arial"/>
          <w:i/>
        </w:rPr>
        <w:t>Gagné</w:t>
      </w:r>
      <w:r w:rsidR="007201D5" w:rsidRPr="00C14F8E">
        <w:rPr>
          <w:rFonts w:cs="Arial"/>
        </w:rPr>
        <w:t xml:space="preserve">, 2008 QCBDRVM 8 and </w:t>
      </w:r>
      <w:r w:rsidR="007201D5" w:rsidRPr="00C14F8E">
        <w:rPr>
          <w:rFonts w:cs="Arial"/>
          <w:i/>
        </w:rPr>
        <w:t>Autorité des marchés financiers</w:t>
      </w:r>
      <w:r w:rsidR="007201D5" w:rsidRPr="00C14F8E">
        <w:rPr>
          <w:rFonts w:cs="Arial"/>
        </w:rPr>
        <w:t> </w:t>
      </w:r>
      <w:r w:rsidR="007201D5" w:rsidRPr="00C14F8E">
        <w:rPr>
          <w:rFonts w:cs="Arial"/>
          <w:i/>
        </w:rPr>
        <w:t>c.</w:t>
      </w:r>
      <w:r w:rsidR="007201D5" w:rsidRPr="00C14F8E">
        <w:rPr>
          <w:rFonts w:cs="Arial"/>
        </w:rPr>
        <w:t> </w:t>
      </w:r>
      <w:r w:rsidR="007201D5" w:rsidRPr="00C14F8E">
        <w:rPr>
          <w:rFonts w:cs="Arial"/>
          <w:i/>
        </w:rPr>
        <w:t>Huppé</w:t>
      </w:r>
      <w:r w:rsidR="007201D5" w:rsidRPr="00C14F8E">
        <w:rPr>
          <w:rFonts w:cs="Arial"/>
        </w:rPr>
        <w:t>, 2012 QCBDR 112.</w:t>
      </w:r>
    </w:p>
  </w:footnote>
  <w:footnote w:id="20">
    <w:p w14:paraId="437849D8" w14:textId="462DBC4F" w:rsidR="00C71DB3" w:rsidRPr="005B034E" w:rsidRDefault="00C71DB3" w:rsidP="00C71DB3">
      <w:pPr>
        <w:pStyle w:val="Notedebasdepage"/>
      </w:pPr>
      <w:r>
        <w:rPr>
          <w:rStyle w:val="Appelnotedebasdep"/>
        </w:rPr>
        <w:footnoteRef/>
      </w:r>
      <w:r>
        <w:t xml:space="preserve"> </w:t>
      </w:r>
      <w:r>
        <w:tab/>
      </w:r>
      <w:r w:rsidR="007201D5" w:rsidRPr="00C14F8E">
        <w:rPr>
          <w:rFonts w:cs="Arial"/>
          <w:i/>
          <w:iCs/>
        </w:rPr>
        <w:t>Autorité des marchés financiers c. Dominion Investments (Nassau) Ltd.</w:t>
      </w:r>
      <w:r w:rsidR="007201D5" w:rsidRPr="00C14F8E">
        <w:rPr>
          <w:rFonts w:cs="Arial"/>
          <w:iCs/>
        </w:rPr>
        <w:t>, 2007 QCBDRVM 45.</w:t>
      </w:r>
    </w:p>
  </w:footnote>
  <w:footnote w:id="21">
    <w:p w14:paraId="2E73CC00" w14:textId="058589CB" w:rsidR="00C71DB3" w:rsidRPr="007201D5" w:rsidRDefault="00C71DB3" w:rsidP="00C71DB3">
      <w:pPr>
        <w:pStyle w:val="Notedebasdepage"/>
        <w:rPr>
          <w:rFonts w:cs="Arial"/>
          <w:lang w:val="en-CA"/>
        </w:rPr>
      </w:pPr>
      <w:r w:rsidRPr="00F86553">
        <w:rPr>
          <w:rStyle w:val="Appelnotedebasdep"/>
          <w:rFonts w:cs="Arial"/>
        </w:rPr>
        <w:footnoteRef/>
      </w:r>
      <w:r w:rsidRPr="007201D5">
        <w:rPr>
          <w:rFonts w:cs="Arial"/>
          <w:lang w:val="en-CA"/>
        </w:rPr>
        <w:t xml:space="preserve"> </w:t>
      </w:r>
      <w:r w:rsidRPr="007201D5">
        <w:rPr>
          <w:rFonts w:cs="Arial"/>
          <w:lang w:val="en-CA"/>
        </w:rPr>
        <w:tab/>
      </w:r>
      <w:r w:rsidR="007201D5" w:rsidRPr="00C14F8E">
        <w:rPr>
          <w:rFonts w:cs="Arial"/>
          <w:i/>
          <w:iCs/>
          <w:lang w:val="en-CA"/>
        </w:rPr>
        <w:t>Ibid.</w:t>
      </w:r>
    </w:p>
  </w:footnote>
  <w:footnote w:id="22">
    <w:p w14:paraId="46C33C6F" w14:textId="6C6D026E" w:rsidR="00C71DB3" w:rsidRPr="007201D5" w:rsidRDefault="00C71DB3" w:rsidP="00C71DB3">
      <w:pPr>
        <w:pStyle w:val="Notedebasdepage"/>
        <w:rPr>
          <w:rFonts w:cs="Arial"/>
          <w:lang w:val="en-CA"/>
        </w:rPr>
      </w:pPr>
      <w:r w:rsidRPr="00251B7B">
        <w:rPr>
          <w:rStyle w:val="Appelnotedebasdep"/>
          <w:rFonts w:cs="Arial"/>
        </w:rPr>
        <w:footnoteRef/>
      </w:r>
      <w:r w:rsidRPr="007201D5">
        <w:rPr>
          <w:rFonts w:cs="Arial"/>
          <w:lang w:val="en-CA"/>
        </w:rPr>
        <w:t xml:space="preserve"> </w:t>
      </w:r>
      <w:r w:rsidRPr="007201D5">
        <w:rPr>
          <w:rFonts w:cs="Arial"/>
          <w:lang w:val="en-CA"/>
        </w:rPr>
        <w:tab/>
      </w:r>
      <w:r w:rsidR="007201D5" w:rsidRPr="00C14F8E">
        <w:rPr>
          <w:rFonts w:cs="Arial"/>
          <w:i/>
          <w:iCs/>
          <w:lang w:val="en-CA"/>
        </w:rPr>
        <w:t>Toronto (City) v. C.U.P.E.</w:t>
      </w:r>
      <w:r w:rsidR="007201D5" w:rsidRPr="00C14F8E">
        <w:rPr>
          <w:rFonts w:cs="Arial"/>
          <w:iCs/>
          <w:lang w:val="en-CA"/>
        </w:rPr>
        <w:t xml:space="preserve">, 2003 SCC 63. </w:t>
      </w:r>
    </w:p>
  </w:footnote>
  <w:footnote w:id="23">
    <w:p w14:paraId="00FE84EC" w14:textId="72827F78" w:rsidR="00C71DB3" w:rsidRPr="007201D5" w:rsidRDefault="00C71DB3" w:rsidP="00C71DB3">
      <w:pPr>
        <w:pStyle w:val="Notedebasdepage"/>
        <w:rPr>
          <w:lang w:val="en-CA"/>
        </w:rPr>
      </w:pPr>
      <w:r>
        <w:rPr>
          <w:rStyle w:val="Appelnotedebasdep"/>
        </w:rPr>
        <w:footnoteRef/>
      </w:r>
      <w:r w:rsidRPr="007201D5">
        <w:rPr>
          <w:lang w:val="en-CA"/>
        </w:rPr>
        <w:t xml:space="preserve"> </w:t>
      </w:r>
      <w:r w:rsidRPr="007201D5">
        <w:rPr>
          <w:lang w:val="en-CA"/>
        </w:rPr>
        <w:tab/>
      </w:r>
      <w:r w:rsidR="007201D5" w:rsidRPr="00C14F8E">
        <w:rPr>
          <w:rFonts w:cs="Arial"/>
          <w:i/>
          <w:iCs/>
          <w:lang w:val="en-CA"/>
        </w:rPr>
        <w:t>Toronto (City) v. C.U.P.E.</w:t>
      </w:r>
      <w:r w:rsidR="007201D5" w:rsidRPr="00C14F8E">
        <w:rPr>
          <w:rFonts w:cs="Arial"/>
          <w:iCs/>
          <w:lang w:val="en-CA"/>
        </w:rPr>
        <w:t xml:space="preserve">, 2003 SCC 63 at 103. </w:t>
      </w:r>
    </w:p>
  </w:footnote>
  <w:footnote w:id="24">
    <w:p w14:paraId="02573164" w14:textId="415E13F7" w:rsidR="00C71DB3" w:rsidRPr="007201D5" w:rsidRDefault="00C71DB3" w:rsidP="00C71DB3">
      <w:pPr>
        <w:pStyle w:val="Notedebasdepage"/>
        <w:rPr>
          <w:lang w:val="en-CA"/>
        </w:rPr>
      </w:pPr>
      <w:r w:rsidRPr="00251B7B">
        <w:rPr>
          <w:rStyle w:val="Appelnotedebasdep"/>
          <w:rFonts w:cs="Arial"/>
        </w:rPr>
        <w:footnoteRef/>
      </w:r>
      <w:r w:rsidRPr="007201D5">
        <w:rPr>
          <w:rFonts w:cs="Arial"/>
          <w:lang w:val="en-CA"/>
        </w:rPr>
        <w:t xml:space="preserve"> </w:t>
      </w:r>
      <w:r w:rsidRPr="007201D5">
        <w:rPr>
          <w:rFonts w:cs="Arial"/>
          <w:lang w:val="en-CA"/>
        </w:rPr>
        <w:tab/>
      </w:r>
      <w:r w:rsidR="00177F40">
        <w:rPr>
          <w:rFonts w:cs="Arial"/>
          <w:lang w:val="en-CA"/>
        </w:rPr>
        <w:t>I</w:t>
      </w:r>
      <w:r w:rsidR="00177F40" w:rsidRPr="00C14F8E">
        <w:rPr>
          <w:rFonts w:cs="Arial"/>
          <w:lang w:val="en-CA"/>
        </w:rPr>
        <w:t xml:space="preserve">n support, </w:t>
      </w:r>
      <w:r w:rsidR="00177F40">
        <w:rPr>
          <w:rFonts w:cs="Arial"/>
          <w:lang w:val="en-CA"/>
        </w:rPr>
        <w:t>c</w:t>
      </w:r>
      <w:r w:rsidR="007201D5" w:rsidRPr="00C14F8E">
        <w:rPr>
          <w:rFonts w:cs="Arial"/>
          <w:lang w:val="en-CA"/>
        </w:rPr>
        <w:t>ounsel for Roger Tremblay argue</w:t>
      </w:r>
      <w:r w:rsidR="00177F40">
        <w:rPr>
          <w:rFonts w:cs="Arial"/>
          <w:lang w:val="en-CA"/>
        </w:rPr>
        <w:t>d</w:t>
      </w:r>
      <w:r w:rsidR="007201D5" w:rsidRPr="00C14F8E">
        <w:rPr>
          <w:rFonts w:cs="Arial"/>
          <w:lang w:val="en-CA"/>
        </w:rPr>
        <w:t xml:space="preserve"> article 51 of the Quebec </w:t>
      </w:r>
      <w:r w:rsidR="007201D5" w:rsidRPr="00177F40">
        <w:rPr>
          <w:rFonts w:cs="Arial"/>
          <w:i/>
          <w:iCs/>
          <w:lang w:val="en-CA"/>
        </w:rPr>
        <w:t>Code of Civil Procedure</w:t>
      </w:r>
      <w:r w:rsidR="00177F40">
        <w:rPr>
          <w:rFonts w:cs="Arial"/>
          <w:lang w:val="en-CA"/>
        </w:rPr>
        <w:t>, which states</w:t>
      </w:r>
      <w:r w:rsidR="007201D5" w:rsidRPr="00C14F8E">
        <w:rPr>
          <w:rFonts w:cs="Arial"/>
          <w:lang w:val="en-CA"/>
        </w:rPr>
        <w:t xml:space="preserve"> that “The courts may, at any time, on an application and even on their own initiative, declare that a judicial application or a pleading is abusive”.</w:t>
      </w:r>
    </w:p>
  </w:footnote>
  <w:footnote w:id="25">
    <w:p w14:paraId="6A2A5B89" w14:textId="351D2F6E" w:rsidR="00CC6EE7" w:rsidRPr="007201D5" w:rsidRDefault="00CC6EE7" w:rsidP="00CC6EE7">
      <w:pPr>
        <w:pStyle w:val="Notedebasdepage"/>
        <w:rPr>
          <w:lang w:val="en-CA"/>
        </w:rPr>
      </w:pPr>
      <w:r>
        <w:rPr>
          <w:rStyle w:val="Appelnotedebasdep"/>
        </w:rPr>
        <w:footnoteRef/>
      </w:r>
      <w:r w:rsidRPr="007201D5">
        <w:rPr>
          <w:lang w:val="en-CA"/>
        </w:rPr>
        <w:t xml:space="preserve"> </w:t>
      </w:r>
      <w:r w:rsidRPr="007201D5">
        <w:rPr>
          <w:lang w:val="en-CA"/>
        </w:rPr>
        <w:tab/>
      </w:r>
      <w:r w:rsidR="007201D5" w:rsidRPr="00C14F8E">
        <w:rPr>
          <w:rFonts w:cs="Arial"/>
          <w:i/>
          <w:iCs/>
          <w:lang w:val="en-CA"/>
        </w:rPr>
        <w:t>Civil Code of Québec</w:t>
      </w:r>
      <w:r w:rsidR="007201D5" w:rsidRPr="00C14F8E">
        <w:rPr>
          <w:rFonts w:cs="Arial"/>
          <w:iCs/>
          <w:lang w:val="en-CA"/>
        </w:rPr>
        <w:t>, c. CCQ-1991, (</w:t>
      </w:r>
      <w:r w:rsidR="00177F40">
        <w:rPr>
          <w:rFonts w:cs="Arial"/>
          <w:iCs/>
          <w:lang w:val="en-CA"/>
        </w:rPr>
        <w:t>“</w:t>
      </w:r>
      <w:r w:rsidR="007201D5" w:rsidRPr="00C14F8E">
        <w:rPr>
          <w:rFonts w:cs="Arial"/>
          <w:i/>
          <w:iCs/>
          <w:lang w:val="en-CA"/>
        </w:rPr>
        <w:t>Civil Code of Québec</w:t>
      </w:r>
      <w:r w:rsidR="007201D5" w:rsidRPr="00C14F8E">
        <w:rPr>
          <w:rFonts w:cs="Arial"/>
          <w:iCs/>
          <w:lang w:val="en-CA"/>
        </w:rPr>
        <w:t>”) art.</w:t>
      </w:r>
      <w:r w:rsidRPr="007201D5">
        <w:rPr>
          <w:rFonts w:cs="Arial"/>
          <w:lang w:val="en-CA"/>
        </w:rPr>
        <w:t xml:space="preserve"> </w:t>
      </w:r>
      <w:r w:rsidR="007201D5" w:rsidRPr="007201D5">
        <w:rPr>
          <w:rFonts w:cs="Arial"/>
          <w:lang w:val="en-CA"/>
        </w:rPr>
        <w:t>1375.</w:t>
      </w:r>
    </w:p>
  </w:footnote>
  <w:footnote w:id="26">
    <w:p w14:paraId="0ECBC900" w14:textId="33665612" w:rsidR="00CC6EE7" w:rsidRPr="007201D5" w:rsidRDefault="00CC6EE7" w:rsidP="00CC6EE7">
      <w:pPr>
        <w:pStyle w:val="Notedebasdepage"/>
        <w:rPr>
          <w:lang w:val="en-CA"/>
        </w:rPr>
      </w:pPr>
      <w:r>
        <w:rPr>
          <w:rStyle w:val="Appelnotedebasdep"/>
        </w:rPr>
        <w:footnoteRef/>
      </w:r>
      <w:r w:rsidRPr="007201D5">
        <w:rPr>
          <w:lang w:val="en-CA"/>
        </w:rPr>
        <w:t xml:space="preserve"> </w:t>
      </w:r>
      <w:r w:rsidRPr="007201D5">
        <w:rPr>
          <w:lang w:val="en-CA"/>
        </w:rPr>
        <w:tab/>
      </w:r>
      <w:r w:rsidR="007201D5" w:rsidRPr="00C14F8E">
        <w:rPr>
          <w:rFonts w:cs="Arial"/>
          <w:i/>
          <w:iCs/>
          <w:lang w:val="en-CA"/>
        </w:rPr>
        <w:t>Civil Code of Québec</w:t>
      </w:r>
      <w:r w:rsidR="007201D5" w:rsidRPr="00C14F8E">
        <w:rPr>
          <w:rFonts w:cs="Arial"/>
          <w:iCs/>
          <w:lang w:val="en-CA"/>
        </w:rPr>
        <w:t>, art.</w:t>
      </w:r>
      <w:r w:rsidRPr="007201D5">
        <w:rPr>
          <w:rFonts w:cs="Arial"/>
          <w:lang w:val="en-CA"/>
        </w:rPr>
        <w:t xml:space="preserve"> </w:t>
      </w:r>
      <w:r w:rsidR="007201D5" w:rsidRPr="007201D5">
        <w:rPr>
          <w:rFonts w:cs="Arial"/>
          <w:lang w:val="en-CA"/>
        </w:rPr>
        <w:t>1376.</w:t>
      </w:r>
    </w:p>
  </w:footnote>
  <w:footnote w:id="27">
    <w:p w14:paraId="502B71A6" w14:textId="74348520" w:rsidR="008D3E56" w:rsidRPr="007201D5" w:rsidRDefault="008D3E56" w:rsidP="008D3E56">
      <w:pPr>
        <w:pStyle w:val="Notedebasdepage"/>
        <w:rPr>
          <w:lang w:val="en-CA"/>
        </w:rPr>
      </w:pPr>
      <w:r>
        <w:rPr>
          <w:rStyle w:val="Appelnotedebasdep"/>
        </w:rPr>
        <w:footnoteRef/>
      </w:r>
      <w:r w:rsidRPr="007201D5">
        <w:rPr>
          <w:lang w:val="en-CA"/>
        </w:rPr>
        <w:t xml:space="preserve"> </w:t>
      </w:r>
      <w:r w:rsidRPr="007201D5">
        <w:rPr>
          <w:lang w:val="en-CA"/>
        </w:rPr>
        <w:tab/>
      </w:r>
      <w:r w:rsidR="007201D5" w:rsidRPr="00C14F8E">
        <w:rPr>
          <w:i/>
          <w:iCs/>
          <w:lang w:val="en-CA"/>
        </w:rPr>
        <w:t>Act respecting the regulation of the financial sector</w:t>
      </w:r>
      <w:r w:rsidR="007201D5" w:rsidRPr="00C14F8E">
        <w:rPr>
          <w:iCs/>
          <w:lang w:val="en-CA"/>
        </w:rPr>
        <w:t xml:space="preserve">, s. 12, </w:t>
      </w:r>
      <w:r w:rsidR="007201D5" w:rsidRPr="00C14F8E">
        <w:rPr>
          <w:i/>
          <w:iCs/>
          <w:lang w:val="en-CA"/>
        </w:rPr>
        <w:t>Securities Act</w:t>
      </w:r>
      <w:r w:rsidR="007201D5" w:rsidRPr="00C14F8E">
        <w:rPr>
          <w:iCs/>
          <w:lang w:val="en-CA"/>
        </w:rPr>
        <w:t>, s.</w:t>
      </w:r>
      <w:r w:rsidRPr="007201D5">
        <w:rPr>
          <w:lang w:val="en-CA"/>
        </w:rPr>
        <w:t xml:space="preserve"> </w:t>
      </w:r>
      <w:r w:rsidR="007201D5">
        <w:rPr>
          <w:lang w:val="en-CA"/>
        </w:rPr>
        <w:t>239.</w:t>
      </w:r>
    </w:p>
  </w:footnote>
  <w:footnote w:id="28">
    <w:p w14:paraId="0941A93C" w14:textId="3AB5E6F4" w:rsidR="008D3E56" w:rsidRPr="007201D5" w:rsidRDefault="008D3E56" w:rsidP="008D3E56">
      <w:pPr>
        <w:pStyle w:val="Notedebasdepage"/>
        <w:rPr>
          <w:lang w:val="en-CA"/>
        </w:rPr>
      </w:pPr>
      <w:r>
        <w:rPr>
          <w:rStyle w:val="Appelnotedebasdep"/>
        </w:rPr>
        <w:footnoteRef/>
      </w:r>
      <w:r w:rsidRPr="007201D5">
        <w:rPr>
          <w:lang w:val="en-CA"/>
        </w:rPr>
        <w:t xml:space="preserve"> </w:t>
      </w:r>
      <w:r w:rsidRPr="007201D5">
        <w:rPr>
          <w:lang w:val="en-CA"/>
        </w:rPr>
        <w:tab/>
      </w:r>
      <w:r w:rsidR="007201D5" w:rsidRPr="00C14F8E">
        <w:rPr>
          <w:i/>
          <w:iCs/>
          <w:lang w:val="en-CA"/>
        </w:rPr>
        <w:t>Act respecting the regulation of the financial sector</w:t>
      </w:r>
      <w:r w:rsidR="007201D5" w:rsidRPr="00C14F8E">
        <w:rPr>
          <w:iCs/>
          <w:lang w:val="en-CA"/>
        </w:rPr>
        <w:t>, s.</w:t>
      </w:r>
      <w:r w:rsidRPr="007201D5">
        <w:rPr>
          <w:lang w:val="en-CA"/>
        </w:rPr>
        <w:t xml:space="preserve"> </w:t>
      </w:r>
      <w:r w:rsidR="007201D5" w:rsidRPr="00C14F8E">
        <w:rPr>
          <w:lang w:val="en-CA"/>
        </w:rPr>
        <w:t>14, Securities Act, s.</w:t>
      </w:r>
      <w:r w:rsidRPr="007201D5">
        <w:rPr>
          <w:lang w:val="en-CA"/>
        </w:rPr>
        <w:t xml:space="preserve"> </w:t>
      </w:r>
      <w:r w:rsidR="007201D5">
        <w:rPr>
          <w:lang w:val="en-CA"/>
        </w:rPr>
        <w:t>240.</w:t>
      </w:r>
    </w:p>
  </w:footnote>
  <w:footnote w:id="29">
    <w:p w14:paraId="1B24920F" w14:textId="2B3F8C65" w:rsidR="00C65B84" w:rsidRPr="007201D5" w:rsidRDefault="007E64CB" w:rsidP="00C65B84">
      <w:pPr>
        <w:pStyle w:val="Notedebasdepage"/>
        <w:rPr>
          <w:lang w:val="en-CA"/>
        </w:rPr>
      </w:pPr>
      <w:r>
        <w:rPr>
          <w:rStyle w:val="Appelnotedebasdep"/>
        </w:rPr>
        <w:footnoteRef/>
      </w:r>
      <w:r w:rsidRPr="007201D5">
        <w:rPr>
          <w:lang w:val="en-CA"/>
        </w:rPr>
        <w:t xml:space="preserve"> </w:t>
      </w:r>
      <w:r w:rsidRPr="007201D5">
        <w:rPr>
          <w:lang w:val="en-CA"/>
        </w:rPr>
        <w:tab/>
      </w:r>
      <w:r w:rsidR="007201D5" w:rsidRPr="00C14F8E">
        <w:rPr>
          <w:i/>
          <w:iCs/>
          <w:lang w:val="en-CA"/>
        </w:rPr>
        <w:t>Act respecting public inquiry commissions</w:t>
      </w:r>
      <w:r w:rsidR="007201D5" w:rsidRPr="00C14F8E">
        <w:rPr>
          <w:iCs/>
          <w:lang w:val="en-CA"/>
        </w:rPr>
        <w:t>, CQLR, c. C-37, s.</w:t>
      </w:r>
      <w:r w:rsidRPr="007201D5">
        <w:rPr>
          <w:lang w:val="en-CA"/>
        </w:rPr>
        <w:t xml:space="preserve"> </w:t>
      </w:r>
      <w:r w:rsidR="007201D5">
        <w:rPr>
          <w:lang w:val="en-CA"/>
        </w:rPr>
        <w:t>6.</w:t>
      </w:r>
    </w:p>
  </w:footnote>
  <w:footnote w:id="30">
    <w:p w14:paraId="3FE30011" w14:textId="76D3EF74" w:rsidR="008D3E56" w:rsidRPr="00E16690" w:rsidRDefault="008D3E56" w:rsidP="008D3E56">
      <w:pPr>
        <w:pStyle w:val="Notedebasdepage"/>
        <w:rPr>
          <w:lang w:val="en-CA"/>
        </w:rPr>
      </w:pPr>
      <w:r>
        <w:rPr>
          <w:rStyle w:val="Appelnotedebasdep"/>
        </w:rPr>
        <w:footnoteRef/>
      </w:r>
      <w:r w:rsidRPr="00E16690">
        <w:rPr>
          <w:lang w:val="en-CA"/>
        </w:rPr>
        <w:t xml:space="preserve"> </w:t>
      </w:r>
      <w:r w:rsidRPr="00E16690">
        <w:rPr>
          <w:lang w:val="en-CA"/>
        </w:rPr>
        <w:tab/>
      </w:r>
      <w:r w:rsidR="00E16690" w:rsidRPr="00C14F8E">
        <w:rPr>
          <w:i/>
          <w:iCs/>
          <w:lang w:val="en-CA"/>
        </w:rPr>
        <w:t>Act respecting public inquiry commissions</w:t>
      </w:r>
      <w:r w:rsidR="00E16690" w:rsidRPr="00C14F8E">
        <w:rPr>
          <w:iCs/>
          <w:lang w:val="en-CA"/>
        </w:rPr>
        <w:t>, s.</w:t>
      </w:r>
      <w:r w:rsidRPr="00E16690">
        <w:rPr>
          <w:lang w:val="en-CA"/>
        </w:rPr>
        <w:t xml:space="preserve"> </w:t>
      </w:r>
      <w:r w:rsidR="00E16690" w:rsidRPr="00C14F8E">
        <w:rPr>
          <w:lang w:val="en-CA"/>
        </w:rPr>
        <w:t xml:space="preserve">9, </w:t>
      </w:r>
      <w:r w:rsidR="00E16690" w:rsidRPr="00C14F8E">
        <w:rPr>
          <w:i/>
          <w:lang w:val="en-CA"/>
        </w:rPr>
        <w:t>Act respecting the regulation of the financial sector</w:t>
      </w:r>
      <w:r w:rsidR="00E16690" w:rsidRPr="00C14F8E">
        <w:rPr>
          <w:lang w:val="en-CA"/>
        </w:rPr>
        <w:t>, s.</w:t>
      </w:r>
      <w:r w:rsidR="00735C61">
        <w:rPr>
          <w:lang w:val="en-CA"/>
        </w:rPr>
        <w:t> </w:t>
      </w:r>
      <w:r w:rsidR="00E16690" w:rsidRPr="00C14F8E">
        <w:rPr>
          <w:lang w:val="en-CA"/>
        </w:rPr>
        <w:t>14</w:t>
      </w:r>
      <w:r w:rsidR="0097124B">
        <w:rPr>
          <w:lang w:val="en-CA"/>
        </w:rPr>
        <w:t>,</w:t>
      </w:r>
      <w:r w:rsidR="00E16690" w:rsidRPr="00C14F8E">
        <w:rPr>
          <w:lang w:val="en-CA"/>
        </w:rPr>
        <w:t xml:space="preserve"> and </w:t>
      </w:r>
      <w:r w:rsidR="00E16690" w:rsidRPr="00C14F8E">
        <w:rPr>
          <w:i/>
          <w:lang w:val="en-CA"/>
        </w:rPr>
        <w:t>Securities Act</w:t>
      </w:r>
      <w:r w:rsidR="00E16690" w:rsidRPr="00C14F8E">
        <w:rPr>
          <w:lang w:val="en-CA"/>
        </w:rPr>
        <w:t>, ss.</w:t>
      </w:r>
      <w:r w:rsidRPr="00E16690">
        <w:rPr>
          <w:lang w:val="en-CA"/>
        </w:rPr>
        <w:t xml:space="preserve"> </w:t>
      </w:r>
      <w:r w:rsidR="00E16690">
        <w:rPr>
          <w:lang w:val="en-CA"/>
        </w:rPr>
        <w:t>240 to 242.</w:t>
      </w:r>
    </w:p>
  </w:footnote>
  <w:footnote w:id="31">
    <w:p w14:paraId="7166FCC2" w14:textId="79A36DC3" w:rsidR="008D3E56" w:rsidRPr="00E16690" w:rsidRDefault="008D3E56" w:rsidP="008D3E56">
      <w:pPr>
        <w:pStyle w:val="Notedebasdepage"/>
        <w:rPr>
          <w:lang w:val="en-CA"/>
        </w:rPr>
      </w:pPr>
      <w:r>
        <w:rPr>
          <w:rStyle w:val="Appelnotedebasdep"/>
        </w:rPr>
        <w:footnoteRef/>
      </w:r>
      <w:r w:rsidRPr="00E16690">
        <w:rPr>
          <w:lang w:val="en-CA"/>
        </w:rPr>
        <w:t xml:space="preserve"> </w:t>
      </w:r>
      <w:r w:rsidRPr="00E16690">
        <w:rPr>
          <w:lang w:val="en-CA"/>
        </w:rPr>
        <w:tab/>
      </w:r>
      <w:r w:rsidR="007201D5" w:rsidRPr="00C14F8E">
        <w:rPr>
          <w:rFonts w:cs="Arial"/>
          <w:i/>
          <w:iCs/>
          <w:lang w:val="en-CA"/>
        </w:rPr>
        <w:t xml:space="preserve">Securities Act, </w:t>
      </w:r>
      <w:r w:rsidR="007201D5" w:rsidRPr="0097124B">
        <w:rPr>
          <w:rFonts w:cs="Arial"/>
          <w:lang w:val="en-CA"/>
        </w:rPr>
        <w:t>s</w:t>
      </w:r>
      <w:r w:rsidR="007201D5" w:rsidRPr="00C14F8E">
        <w:rPr>
          <w:rFonts w:cs="Arial"/>
          <w:i/>
          <w:iCs/>
          <w:lang w:val="en-CA"/>
        </w:rPr>
        <w:t>.</w:t>
      </w:r>
      <w:r w:rsidRPr="00E16690">
        <w:rPr>
          <w:rFonts w:cs="Arial"/>
          <w:color w:val="000000"/>
          <w:lang w:val="en-CA"/>
        </w:rPr>
        <w:t xml:space="preserve"> </w:t>
      </w:r>
      <w:r w:rsidR="00E16690" w:rsidRPr="00E16690">
        <w:rPr>
          <w:rFonts w:cs="Arial"/>
          <w:color w:val="000000"/>
          <w:lang w:val="en-CA"/>
        </w:rPr>
        <w:t>249.</w:t>
      </w:r>
    </w:p>
  </w:footnote>
  <w:footnote w:id="32">
    <w:p w14:paraId="0EFC355A" w14:textId="5B7A5E7F" w:rsidR="008D3E56" w:rsidRPr="007201D5" w:rsidRDefault="008D3E56" w:rsidP="008D3E56">
      <w:pPr>
        <w:pStyle w:val="Notedebasdepage"/>
        <w:rPr>
          <w:lang w:val="en-CA"/>
        </w:rPr>
      </w:pPr>
      <w:r>
        <w:rPr>
          <w:rStyle w:val="Appelnotedebasdep"/>
        </w:rPr>
        <w:footnoteRef/>
      </w:r>
      <w:r w:rsidRPr="007201D5">
        <w:rPr>
          <w:lang w:val="en-CA"/>
        </w:rPr>
        <w:t xml:space="preserve"> </w:t>
      </w:r>
      <w:r w:rsidRPr="007201D5">
        <w:rPr>
          <w:lang w:val="en-CA"/>
        </w:rPr>
        <w:tab/>
      </w:r>
      <w:r w:rsidR="00E16690" w:rsidRPr="00C14F8E">
        <w:rPr>
          <w:rFonts w:cs="Arial"/>
          <w:i/>
          <w:iCs/>
          <w:lang w:val="en-CA"/>
        </w:rPr>
        <w:t>Act respecting the distribution of financial products and services</w:t>
      </w:r>
      <w:r w:rsidR="00E16690" w:rsidRPr="00C14F8E">
        <w:rPr>
          <w:rFonts w:cs="Arial"/>
          <w:iCs/>
          <w:color w:val="000000"/>
          <w:lang w:val="en-CA"/>
        </w:rPr>
        <w:t>, s.</w:t>
      </w:r>
      <w:r w:rsidRPr="007201D5">
        <w:rPr>
          <w:rFonts w:cs="Arial"/>
          <w:color w:val="000000"/>
          <w:lang w:val="en-CA"/>
        </w:rPr>
        <w:t xml:space="preserve"> </w:t>
      </w:r>
      <w:r w:rsidR="00E16690">
        <w:rPr>
          <w:rFonts w:cs="Arial"/>
          <w:color w:val="000000"/>
          <w:lang w:val="en-CA"/>
        </w:rPr>
        <w:t>115.3.</w:t>
      </w:r>
    </w:p>
  </w:footnote>
  <w:footnote w:id="33">
    <w:p w14:paraId="75FBE664" w14:textId="5AA22ED5" w:rsidR="008D3E56" w:rsidRDefault="008D3E56" w:rsidP="008D3E56">
      <w:pPr>
        <w:pStyle w:val="Notedebasdepage"/>
      </w:pPr>
      <w:r>
        <w:rPr>
          <w:rStyle w:val="Appelnotedebasdep"/>
        </w:rPr>
        <w:footnoteRef/>
      </w:r>
      <w:r>
        <w:t xml:space="preserve"> </w:t>
      </w:r>
      <w:r>
        <w:tab/>
      </w:r>
      <w:r w:rsidR="00E16690" w:rsidRPr="00C14F8E">
        <w:t>2021 QCTMF 39 at para.</w:t>
      </w:r>
      <w:r>
        <w:t xml:space="preserve"> </w:t>
      </w:r>
      <w:r w:rsidR="00E16690">
        <w:t>33.</w:t>
      </w:r>
    </w:p>
  </w:footnote>
  <w:footnote w:id="34">
    <w:p w14:paraId="0DD83163" w14:textId="06E64390" w:rsidR="00656BBF" w:rsidRDefault="00656BBF" w:rsidP="00656BBF">
      <w:pPr>
        <w:pStyle w:val="Notedebasdepage"/>
      </w:pPr>
      <w:r>
        <w:rPr>
          <w:rStyle w:val="Appelnotedebasdep"/>
        </w:rPr>
        <w:footnoteRef/>
      </w:r>
      <w:r w:rsidRPr="003033B0">
        <w:rPr>
          <w:i/>
          <w:iCs/>
        </w:rPr>
        <w:t xml:space="preserve">  </w:t>
      </w:r>
      <w:r w:rsidR="00E16690" w:rsidRPr="00E16690">
        <w:rPr>
          <w:i/>
          <w:iCs/>
        </w:rPr>
        <w:t>Autorité des marchés financiers</w:t>
      </w:r>
      <w:r w:rsidR="00E16690" w:rsidRPr="00E16690">
        <w:rPr>
          <w:iCs/>
        </w:rPr>
        <w:t xml:space="preserve"> </w:t>
      </w:r>
      <w:r w:rsidR="00E16690" w:rsidRPr="00E16690">
        <w:rPr>
          <w:i/>
          <w:iCs/>
        </w:rPr>
        <w:t>c.</w:t>
      </w:r>
      <w:r w:rsidR="00E16690" w:rsidRPr="00E16690">
        <w:rPr>
          <w:iCs/>
        </w:rPr>
        <w:t xml:space="preserve"> </w:t>
      </w:r>
      <w:r w:rsidR="00E16690" w:rsidRPr="00E16690">
        <w:rPr>
          <w:i/>
          <w:iCs/>
        </w:rPr>
        <w:t>Gagné</w:t>
      </w:r>
      <w:r w:rsidR="00E16690" w:rsidRPr="00E16690">
        <w:rPr>
          <w:iCs/>
        </w:rPr>
        <w:t xml:space="preserve"> 2008 QCBDRVM 24, </w:t>
      </w:r>
      <w:r w:rsidR="00E16690" w:rsidRPr="00E16690">
        <w:rPr>
          <w:i/>
          <w:iCs/>
        </w:rPr>
        <w:t>Autorité des marchés financiers</w:t>
      </w:r>
      <w:r w:rsidR="00E16690" w:rsidRPr="00E16690">
        <w:rPr>
          <w:iCs/>
        </w:rPr>
        <w:t xml:space="preserve"> </w:t>
      </w:r>
      <w:r w:rsidR="00E16690" w:rsidRPr="00E16690">
        <w:rPr>
          <w:i/>
          <w:iCs/>
        </w:rPr>
        <w:t>c.</w:t>
      </w:r>
      <w:r w:rsidR="00E16690" w:rsidRPr="00E16690">
        <w:rPr>
          <w:iCs/>
        </w:rPr>
        <w:t xml:space="preserve"> </w:t>
      </w:r>
      <w:r w:rsidR="00E16690" w:rsidRPr="00E16690">
        <w:rPr>
          <w:i/>
          <w:iCs/>
        </w:rPr>
        <w:t xml:space="preserve">Gestion </w:t>
      </w:r>
      <w:proofErr w:type="spellStart"/>
      <w:r w:rsidR="00E16690" w:rsidRPr="00E16690">
        <w:rPr>
          <w:i/>
          <w:iCs/>
        </w:rPr>
        <w:t>Guychar</w:t>
      </w:r>
      <w:proofErr w:type="spellEnd"/>
      <w:r w:rsidR="00E16690" w:rsidRPr="00E16690">
        <w:rPr>
          <w:i/>
          <w:iCs/>
        </w:rPr>
        <w:t xml:space="preserve"> (Canada) </w:t>
      </w:r>
      <w:proofErr w:type="spellStart"/>
      <w:r w:rsidR="00E16690" w:rsidRPr="00E16690">
        <w:rPr>
          <w:i/>
          <w:iCs/>
        </w:rPr>
        <w:t>inc</w:t>
      </w:r>
      <w:proofErr w:type="spellEnd"/>
      <w:r w:rsidR="00E16690" w:rsidRPr="00E16690">
        <w:rPr>
          <w:iCs/>
        </w:rPr>
        <w:t xml:space="preserve"> 2010 QCBDRVM 13; </w:t>
      </w:r>
      <w:r w:rsidR="00E16690" w:rsidRPr="00E16690">
        <w:rPr>
          <w:i/>
          <w:iCs/>
        </w:rPr>
        <w:t>Autorité des marchés financiers</w:t>
      </w:r>
      <w:r w:rsidR="00E16690" w:rsidRPr="00E16690">
        <w:rPr>
          <w:iCs/>
        </w:rPr>
        <w:t xml:space="preserve"> </w:t>
      </w:r>
      <w:r w:rsidR="00E16690" w:rsidRPr="00E16690">
        <w:rPr>
          <w:i/>
          <w:iCs/>
        </w:rPr>
        <w:t>c.</w:t>
      </w:r>
      <w:r w:rsidR="00E16690" w:rsidRPr="00E16690">
        <w:rPr>
          <w:iCs/>
        </w:rPr>
        <w:t xml:space="preserve"> </w:t>
      </w:r>
      <w:r w:rsidR="00E16690" w:rsidRPr="00E16690">
        <w:rPr>
          <w:i/>
          <w:iCs/>
        </w:rPr>
        <w:t xml:space="preserve">Services Bench &amp; Jerry </w:t>
      </w:r>
      <w:proofErr w:type="spellStart"/>
      <w:r w:rsidR="00E16690" w:rsidRPr="00E16690">
        <w:rPr>
          <w:i/>
          <w:iCs/>
        </w:rPr>
        <w:t>i</w:t>
      </w:r>
      <w:r w:rsidR="00E16690" w:rsidRPr="00E16690">
        <w:rPr>
          <w:iCs/>
        </w:rPr>
        <w:t>nc</w:t>
      </w:r>
      <w:proofErr w:type="spellEnd"/>
      <w:r w:rsidR="00E16690" w:rsidRPr="00E16690">
        <w:rPr>
          <w:iCs/>
        </w:rPr>
        <w:t xml:space="preserve"> 2018 QCTMF 98.</w:t>
      </w:r>
    </w:p>
  </w:footnote>
  <w:footnote w:id="35">
    <w:p w14:paraId="5D150817" w14:textId="594D9B46" w:rsidR="00656BBF" w:rsidRPr="00E16690" w:rsidRDefault="00656BBF" w:rsidP="00656BBF">
      <w:pPr>
        <w:pStyle w:val="Notedebasdepage"/>
        <w:rPr>
          <w:lang w:val="en-CA"/>
        </w:rPr>
      </w:pPr>
      <w:r>
        <w:rPr>
          <w:rStyle w:val="Appelnotedebasdep"/>
        </w:rPr>
        <w:footnoteRef/>
      </w:r>
      <w:r w:rsidRPr="00E16690">
        <w:rPr>
          <w:lang w:val="en-CA"/>
        </w:rPr>
        <w:t xml:space="preserve"> </w:t>
      </w:r>
      <w:r w:rsidRPr="00E16690">
        <w:rPr>
          <w:lang w:val="en-CA"/>
        </w:rPr>
        <w:tab/>
      </w:r>
      <w:r w:rsidR="00E16690" w:rsidRPr="00C14F8E">
        <w:rPr>
          <w:i/>
          <w:iCs/>
          <w:lang w:val="en-CA"/>
        </w:rPr>
        <w:t>Securities Act</w:t>
      </w:r>
      <w:r w:rsidR="00E16690" w:rsidRPr="00C14F8E">
        <w:rPr>
          <w:iCs/>
          <w:lang w:val="en-CA"/>
        </w:rPr>
        <w:t>, ss.</w:t>
      </w:r>
      <w:r w:rsidRPr="00E16690">
        <w:rPr>
          <w:lang w:val="en-CA"/>
        </w:rPr>
        <w:t xml:space="preserve"> </w:t>
      </w:r>
      <w:r w:rsidR="00E16690" w:rsidRPr="00C14F8E">
        <w:rPr>
          <w:lang w:val="en-CA"/>
        </w:rPr>
        <w:t xml:space="preserve">262.1 and 262.2, </w:t>
      </w:r>
      <w:r w:rsidR="00E16690" w:rsidRPr="00C14F8E">
        <w:rPr>
          <w:i/>
          <w:lang w:val="en-CA"/>
        </w:rPr>
        <w:t>Act respecting the distribution of financial products and services</w:t>
      </w:r>
      <w:r w:rsidR="00E16690" w:rsidRPr="00C14F8E">
        <w:rPr>
          <w:lang w:val="en-CA"/>
        </w:rPr>
        <w:t xml:space="preserve">, 115.9 and 115.9.1 and </w:t>
      </w:r>
      <w:proofErr w:type="spellStart"/>
      <w:r w:rsidR="00E16690" w:rsidRPr="00C14F8E">
        <w:rPr>
          <w:i/>
          <w:lang w:val="en-CA"/>
        </w:rPr>
        <w:t>Autorité</w:t>
      </w:r>
      <w:proofErr w:type="spellEnd"/>
      <w:r w:rsidR="00E16690" w:rsidRPr="00C14F8E">
        <w:rPr>
          <w:i/>
          <w:lang w:val="en-CA"/>
        </w:rPr>
        <w:t xml:space="preserve"> des </w:t>
      </w:r>
      <w:proofErr w:type="spellStart"/>
      <w:r w:rsidR="00E16690" w:rsidRPr="00C14F8E">
        <w:rPr>
          <w:i/>
          <w:lang w:val="en-CA"/>
        </w:rPr>
        <w:t>marchés</w:t>
      </w:r>
      <w:proofErr w:type="spellEnd"/>
      <w:r w:rsidR="00E16690" w:rsidRPr="00C14F8E">
        <w:rPr>
          <w:i/>
          <w:lang w:val="en-CA"/>
        </w:rPr>
        <w:t xml:space="preserve"> financiers</w:t>
      </w:r>
      <w:r w:rsidR="00E16690" w:rsidRPr="00C14F8E">
        <w:rPr>
          <w:lang w:val="en-CA"/>
        </w:rPr>
        <w:t xml:space="preserve"> </w:t>
      </w:r>
      <w:r w:rsidR="00E16690" w:rsidRPr="00B628BE">
        <w:rPr>
          <w:i/>
          <w:iCs/>
          <w:lang w:val="en-CA"/>
        </w:rPr>
        <w:t>c.</w:t>
      </w:r>
      <w:r w:rsidR="00E16690" w:rsidRPr="00C14F8E">
        <w:rPr>
          <w:lang w:val="en-CA"/>
        </w:rPr>
        <w:t xml:space="preserve"> </w:t>
      </w:r>
      <w:r w:rsidR="00E16690" w:rsidRPr="00C14F8E">
        <w:rPr>
          <w:i/>
          <w:lang w:val="en-CA"/>
        </w:rPr>
        <w:t>Blouin</w:t>
      </w:r>
      <w:r w:rsidR="00E16690" w:rsidRPr="00C14F8E">
        <w:rPr>
          <w:lang w:val="en-CA"/>
        </w:rPr>
        <w:t>,</w:t>
      </w:r>
      <w:r w:rsidR="00E16690" w:rsidRPr="00C14F8E">
        <w:rPr>
          <w:i/>
          <w:lang w:val="en-CA"/>
        </w:rPr>
        <w:t xml:space="preserve"> </w:t>
      </w:r>
      <w:r w:rsidR="00E16690" w:rsidRPr="00C14F8E">
        <w:rPr>
          <w:lang w:val="en-CA"/>
        </w:rPr>
        <w:t>2019 QCTMF 39.</w:t>
      </w:r>
    </w:p>
  </w:footnote>
  <w:footnote w:id="36">
    <w:p w14:paraId="7347DEEB" w14:textId="1C6DF96F" w:rsidR="00E10DE9" w:rsidRPr="00E16690" w:rsidRDefault="00E10DE9" w:rsidP="00E10DE9">
      <w:pPr>
        <w:pStyle w:val="Notedebasdepage"/>
        <w:rPr>
          <w:lang w:val="en-CA"/>
        </w:rPr>
      </w:pPr>
      <w:r>
        <w:rPr>
          <w:rStyle w:val="Appelnotedebasdep"/>
        </w:rPr>
        <w:footnoteRef/>
      </w:r>
      <w:r>
        <w:t xml:space="preserve"> </w:t>
      </w:r>
      <w:r>
        <w:tab/>
      </w:r>
      <w:r w:rsidR="00E16690" w:rsidRPr="00C14F8E">
        <w:rPr>
          <w:i/>
          <w:iCs/>
        </w:rPr>
        <w:t>Autorité des marchés financiers</w:t>
      </w:r>
      <w:r w:rsidR="00E16690" w:rsidRPr="00C14F8E">
        <w:rPr>
          <w:iCs/>
        </w:rPr>
        <w:t xml:space="preserve"> </w:t>
      </w:r>
      <w:r w:rsidR="00E16690" w:rsidRPr="00C14F8E">
        <w:rPr>
          <w:i/>
          <w:iCs/>
        </w:rPr>
        <w:t>c.</w:t>
      </w:r>
      <w:r w:rsidR="00E16690" w:rsidRPr="00C14F8E">
        <w:rPr>
          <w:iCs/>
        </w:rPr>
        <w:t xml:space="preserve"> </w:t>
      </w:r>
      <w:r w:rsidR="00E16690" w:rsidRPr="00C14F8E">
        <w:rPr>
          <w:i/>
          <w:iCs/>
        </w:rPr>
        <w:t xml:space="preserve">Blouin, </w:t>
      </w:r>
      <w:r w:rsidR="00E16690" w:rsidRPr="00C14F8E">
        <w:rPr>
          <w:iCs/>
        </w:rPr>
        <w:t>2019 QCTMF 39 at para.</w:t>
      </w:r>
      <w:r>
        <w:t xml:space="preserve"> </w:t>
      </w:r>
      <w:r w:rsidR="00E16690" w:rsidRPr="00E16690">
        <w:rPr>
          <w:lang w:val="en-CA"/>
        </w:rPr>
        <w:t>15.</w:t>
      </w:r>
    </w:p>
  </w:footnote>
  <w:footnote w:id="37">
    <w:p w14:paraId="4C8E2813" w14:textId="3B961E57" w:rsidR="00E10DE9" w:rsidRPr="00E16690" w:rsidRDefault="00E10DE9" w:rsidP="00E10DE9">
      <w:pPr>
        <w:pStyle w:val="Notedebasdepage"/>
        <w:rPr>
          <w:lang w:val="en-CA"/>
        </w:rPr>
      </w:pPr>
      <w:r>
        <w:rPr>
          <w:rStyle w:val="Appelnotedebasdep"/>
        </w:rPr>
        <w:footnoteRef/>
      </w:r>
      <w:r w:rsidRPr="00E16690">
        <w:rPr>
          <w:lang w:val="en-CA"/>
        </w:rPr>
        <w:t xml:space="preserve"> </w:t>
      </w:r>
      <w:r w:rsidRPr="00E16690">
        <w:rPr>
          <w:lang w:val="en-CA"/>
        </w:rPr>
        <w:tab/>
      </w:r>
      <w:r w:rsidR="007201D5" w:rsidRPr="00C14F8E">
        <w:rPr>
          <w:i/>
          <w:iCs/>
          <w:lang w:val="en-CA"/>
        </w:rPr>
        <w:t>Securities Act</w:t>
      </w:r>
      <w:r w:rsidR="007201D5" w:rsidRPr="00B628BE">
        <w:rPr>
          <w:lang w:val="en-CA"/>
        </w:rPr>
        <w:t>, s.</w:t>
      </w:r>
      <w:r w:rsidRPr="00E16690">
        <w:rPr>
          <w:lang w:val="en-CA"/>
        </w:rPr>
        <w:t xml:space="preserve"> </w:t>
      </w:r>
      <w:r w:rsidR="00E16690" w:rsidRPr="00C14F8E">
        <w:rPr>
          <w:lang w:val="en-CA"/>
        </w:rPr>
        <w:t>249</w:t>
      </w:r>
      <w:r w:rsidR="00D500DB">
        <w:rPr>
          <w:lang w:val="en-CA"/>
        </w:rPr>
        <w:t>,</w:t>
      </w:r>
      <w:r w:rsidR="00E16690" w:rsidRPr="00C14F8E">
        <w:rPr>
          <w:lang w:val="en-CA"/>
        </w:rPr>
        <w:t xml:space="preserve"> and </w:t>
      </w:r>
      <w:r w:rsidR="00E16690" w:rsidRPr="00C14F8E">
        <w:rPr>
          <w:i/>
          <w:lang w:val="en-CA"/>
        </w:rPr>
        <w:t>Act respecting the distribution of financial products and services</w:t>
      </w:r>
      <w:r w:rsidR="00E16690" w:rsidRPr="00C14F8E">
        <w:rPr>
          <w:lang w:val="en-CA"/>
        </w:rPr>
        <w:t>, s. 115.3.</w:t>
      </w:r>
    </w:p>
  </w:footnote>
  <w:footnote w:id="38">
    <w:p w14:paraId="7CE67080" w14:textId="5F535CC9" w:rsidR="00E10DE9" w:rsidRPr="00E16690" w:rsidRDefault="00E10DE9" w:rsidP="00E10DE9">
      <w:pPr>
        <w:pStyle w:val="Notedebasdepage"/>
        <w:rPr>
          <w:lang w:val="en-CA"/>
        </w:rPr>
      </w:pPr>
      <w:r>
        <w:rPr>
          <w:rStyle w:val="Appelnotedebasdep"/>
        </w:rPr>
        <w:footnoteRef/>
      </w:r>
      <w:r w:rsidRPr="00E16690">
        <w:rPr>
          <w:lang w:val="en-CA"/>
        </w:rPr>
        <w:t xml:space="preserve"> </w:t>
      </w:r>
      <w:r w:rsidRPr="00E16690">
        <w:rPr>
          <w:lang w:val="en-CA"/>
        </w:rPr>
        <w:tab/>
      </w:r>
      <w:r w:rsidR="00E16690" w:rsidRPr="00B628BE">
        <w:rPr>
          <w:i/>
          <w:iCs/>
          <w:lang w:val="en-CA"/>
        </w:rPr>
        <w:t>Ibid</w:t>
      </w:r>
      <w:r w:rsidR="00E16690" w:rsidRPr="00C14F8E">
        <w:rPr>
          <w:lang w:val="en-CA"/>
        </w:rPr>
        <w:t>. at s.</w:t>
      </w:r>
      <w:r w:rsidRPr="00E16690">
        <w:rPr>
          <w:lang w:val="en-CA"/>
        </w:rPr>
        <w:t xml:space="preserve"> </w:t>
      </w:r>
      <w:r w:rsidR="00E16690" w:rsidRPr="00C14F8E">
        <w:rPr>
          <w:lang w:val="en-CA"/>
        </w:rPr>
        <w:t>250</w:t>
      </w:r>
      <w:r w:rsidR="00D500DB">
        <w:rPr>
          <w:lang w:val="en-CA"/>
        </w:rPr>
        <w:t>,</w:t>
      </w:r>
      <w:r w:rsidR="00E16690" w:rsidRPr="00C14F8E">
        <w:rPr>
          <w:lang w:val="en-CA"/>
        </w:rPr>
        <w:t xml:space="preserve"> para</w:t>
      </w:r>
      <w:r w:rsidR="00D500DB">
        <w:rPr>
          <w:lang w:val="en-CA"/>
        </w:rPr>
        <w:t>.</w:t>
      </w:r>
      <w:r w:rsidR="00E16690" w:rsidRPr="00C14F8E">
        <w:rPr>
          <w:lang w:val="en-CA"/>
        </w:rPr>
        <w:t xml:space="preserve"> 2</w:t>
      </w:r>
      <w:r w:rsidR="00D500DB">
        <w:rPr>
          <w:lang w:val="en-CA"/>
        </w:rPr>
        <w:t>,</w:t>
      </w:r>
      <w:r w:rsidR="00E16690" w:rsidRPr="00C14F8E">
        <w:rPr>
          <w:lang w:val="en-CA"/>
        </w:rPr>
        <w:t xml:space="preserve"> and s.</w:t>
      </w:r>
      <w:r w:rsidRPr="00E16690">
        <w:rPr>
          <w:lang w:val="en-CA"/>
        </w:rPr>
        <w:t xml:space="preserve"> </w:t>
      </w:r>
      <w:r w:rsidR="00E16690">
        <w:rPr>
          <w:lang w:val="en-CA"/>
        </w:rPr>
        <w:t>115.3.</w:t>
      </w:r>
    </w:p>
  </w:footnote>
  <w:footnote w:id="39">
    <w:p w14:paraId="3197B53B" w14:textId="5F091956" w:rsidR="00E10DE9" w:rsidRDefault="00E10DE9" w:rsidP="00E10DE9">
      <w:pPr>
        <w:pStyle w:val="Notedebasdepage"/>
      </w:pPr>
      <w:r>
        <w:rPr>
          <w:rStyle w:val="Appelnotedebasdep"/>
        </w:rPr>
        <w:footnoteRef/>
      </w:r>
      <w:r>
        <w:t xml:space="preserve"> </w:t>
      </w:r>
      <w:r>
        <w:tab/>
      </w:r>
      <w:r w:rsidR="00E16690" w:rsidRPr="00E16690">
        <w:rPr>
          <w:i/>
          <w:iCs/>
        </w:rPr>
        <w:t>Autorité des marchés financiers</w:t>
      </w:r>
      <w:r w:rsidR="00E16690" w:rsidRPr="00E16690">
        <w:rPr>
          <w:iCs/>
        </w:rPr>
        <w:t xml:space="preserve"> </w:t>
      </w:r>
      <w:r w:rsidR="00E16690" w:rsidRPr="00E16690">
        <w:rPr>
          <w:i/>
          <w:iCs/>
        </w:rPr>
        <w:t>c.</w:t>
      </w:r>
      <w:r w:rsidR="00E16690" w:rsidRPr="00E16690">
        <w:rPr>
          <w:iCs/>
        </w:rPr>
        <w:t xml:space="preserve"> </w:t>
      </w:r>
      <w:r w:rsidR="00E16690" w:rsidRPr="00E16690">
        <w:rPr>
          <w:i/>
          <w:iCs/>
        </w:rPr>
        <w:t>Gagné</w:t>
      </w:r>
      <w:r w:rsidR="00E16690" w:rsidRPr="00E16690">
        <w:rPr>
          <w:iCs/>
        </w:rPr>
        <w:t xml:space="preserve">, 2008 QCBDRVM 8; </w:t>
      </w:r>
      <w:r w:rsidR="00E16690" w:rsidRPr="00E16690">
        <w:rPr>
          <w:i/>
          <w:iCs/>
        </w:rPr>
        <w:t>Autorité des marchés financiers</w:t>
      </w:r>
      <w:r w:rsidR="00E16690" w:rsidRPr="00E16690">
        <w:rPr>
          <w:iCs/>
        </w:rPr>
        <w:t xml:space="preserve"> </w:t>
      </w:r>
      <w:r w:rsidR="00E16690" w:rsidRPr="00E16690">
        <w:rPr>
          <w:i/>
          <w:iCs/>
        </w:rPr>
        <w:t>c.</w:t>
      </w:r>
      <w:r w:rsidR="00E16690" w:rsidRPr="00E16690">
        <w:rPr>
          <w:iCs/>
        </w:rPr>
        <w:t xml:space="preserve"> </w:t>
      </w:r>
      <w:proofErr w:type="spellStart"/>
      <w:r w:rsidR="00E16690" w:rsidRPr="00E16690">
        <w:rPr>
          <w:i/>
          <w:iCs/>
        </w:rPr>
        <w:t>McKeown</w:t>
      </w:r>
      <w:proofErr w:type="spellEnd"/>
      <w:r w:rsidR="00E16690" w:rsidRPr="00E16690">
        <w:rPr>
          <w:i/>
          <w:iCs/>
        </w:rPr>
        <w:t>,</w:t>
      </w:r>
      <w:r w:rsidR="00E16690" w:rsidRPr="00E16690">
        <w:rPr>
          <w:iCs/>
        </w:rPr>
        <w:t xml:space="preserve"> 2011 QCBDR 79; </w:t>
      </w:r>
      <w:r w:rsidR="00E16690" w:rsidRPr="00E16690">
        <w:rPr>
          <w:i/>
          <w:iCs/>
        </w:rPr>
        <w:t>Autorité des marchés financiers</w:t>
      </w:r>
      <w:r w:rsidR="00E16690" w:rsidRPr="00E16690">
        <w:rPr>
          <w:iCs/>
        </w:rPr>
        <w:t xml:space="preserve"> </w:t>
      </w:r>
      <w:r w:rsidR="00E16690" w:rsidRPr="00E16690">
        <w:rPr>
          <w:i/>
          <w:iCs/>
        </w:rPr>
        <w:t>c.</w:t>
      </w:r>
      <w:r w:rsidR="00E16690" w:rsidRPr="00E16690">
        <w:rPr>
          <w:iCs/>
        </w:rPr>
        <w:t xml:space="preserve"> </w:t>
      </w:r>
      <w:r w:rsidR="00E16690" w:rsidRPr="00E16690">
        <w:rPr>
          <w:i/>
          <w:iCs/>
        </w:rPr>
        <w:t>Lemieux</w:t>
      </w:r>
      <w:r w:rsidR="00E16690" w:rsidRPr="00E16690">
        <w:rPr>
          <w:iCs/>
        </w:rPr>
        <w:t xml:space="preserve"> </w:t>
      </w:r>
      <w:r w:rsidR="00E16690" w:rsidRPr="00E16690">
        <w:rPr>
          <w:i/>
          <w:iCs/>
        </w:rPr>
        <w:t>(Financière Hélios Capital)</w:t>
      </w:r>
      <w:r w:rsidR="00E16690" w:rsidRPr="00E16690">
        <w:rPr>
          <w:iCs/>
        </w:rPr>
        <w:t xml:space="preserve"> 2011 QCBDR 135.</w:t>
      </w:r>
    </w:p>
  </w:footnote>
  <w:footnote w:id="40">
    <w:p w14:paraId="7EA39AD7" w14:textId="49ECC06B" w:rsidR="00593C7E" w:rsidRDefault="007E64CB" w:rsidP="008C64EF">
      <w:pPr>
        <w:pStyle w:val="Notedebasdepage"/>
      </w:pPr>
      <w:r>
        <w:rPr>
          <w:rStyle w:val="Appelnotedebasdep"/>
        </w:rPr>
        <w:footnoteRef/>
      </w:r>
      <w:r>
        <w:t xml:space="preserve"> </w:t>
      </w:r>
      <w:r>
        <w:tab/>
      </w:r>
      <w:r w:rsidR="00E16690" w:rsidRPr="00C14F8E">
        <w:rPr>
          <w:i/>
          <w:iCs/>
        </w:rPr>
        <w:t>Autorité des marchés financiers c.</w:t>
      </w:r>
      <w:r w:rsidR="00E16690" w:rsidRPr="00C14F8E">
        <w:rPr>
          <w:iCs/>
        </w:rPr>
        <w:t xml:space="preserve"> </w:t>
      </w:r>
      <w:r w:rsidR="00E16690" w:rsidRPr="00C14F8E">
        <w:rPr>
          <w:i/>
          <w:iCs/>
        </w:rPr>
        <w:t xml:space="preserve">Gestion </w:t>
      </w:r>
      <w:proofErr w:type="spellStart"/>
      <w:r w:rsidR="00E16690" w:rsidRPr="00C14F8E">
        <w:rPr>
          <w:i/>
          <w:iCs/>
        </w:rPr>
        <w:t>iTradecoins</w:t>
      </w:r>
      <w:proofErr w:type="spellEnd"/>
      <w:r w:rsidR="00E16690" w:rsidRPr="00C14F8E">
        <w:rPr>
          <w:i/>
          <w:iCs/>
        </w:rPr>
        <w:t xml:space="preserve"> inc.</w:t>
      </w:r>
      <w:r w:rsidR="00E16690" w:rsidRPr="00C14F8E">
        <w:rPr>
          <w:iCs/>
        </w:rPr>
        <w:t>, 2022 QCTMF 8 at para.</w:t>
      </w:r>
      <w:r w:rsidR="00BC01EF">
        <w:t xml:space="preserve"> </w:t>
      </w:r>
      <w:r w:rsidR="007201D5" w:rsidRPr="00C14F8E">
        <w:t xml:space="preserve">28, </w:t>
      </w:r>
      <w:proofErr w:type="spellStart"/>
      <w:r w:rsidR="007201D5" w:rsidRPr="00C14F8E">
        <w:t>citing</w:t>
      </w:r>
      <w:proofErr w:type="spellEnd"/>
      <w:r w:rsidR="007201D5" w:rsidRPr="00C14F8E">
        <w:t xml:space="preserve"> </w:t>
      </w:r>
      <w:r w:rsidR="007201D5" w:rsidRPr="00C14F8E">
        <w:rPr>
          <w:i/>
        </w:rPr>
        <w:t>Autorité des marchés financiers</w:t>
      </w:r>
      <w:r w:rsidR="007201D5" w:rsidRPr="00C14F8E">
        <w:t> </w:t>
      </w:r>
      <w:r w:rsidR="007201D5" w:rsidRPr="00C14F8E">
        <w:rPr>
          <w:i/>
        </w:rPr>
        <w:t>c.</w:t>
      </w:r>
      <w:r w:rsidR="007201D5" w:rsidRPr="00C14F8E">
        <w:t> </w:t>
      </w:r>
      <w:r w:rsidR="007201D5" w:rsidRPr="00C14F8E">
        <w:rPr>
          <w:i/>
        </w:rPr>
        <w:t>Dominion Investments (Nassau) Ltd</w:t>
      </w:r>
      <w:r w:rsidR="007201D5" w:rsidRPr="00C14F8E">
        <w:t>., 2007 QCBDRVM 45, Autorité</w:t>
      </w:r>
      <w:r w:rsidR="007201D5" w:rsidRPr="00C14F8E">
        <w:rPr>
          <w:i/>
        </w:rPr>
        <w:t xml:space="preserve"> des marchés financiers</w:t>
      </w:r>
      <w:r w:rsidR="007201D5" w:rsidRPr="00C14F8E">
        <w:t> </w:t>
      </w:r>
      <w:r w:rsidR="007201D5" w:rsidRPr="00C14F8E">
        <w:rPr>
          <w:i/>
        </w:rPr>
        <w:t>c.</w:t>
      </w:r>
      <w:r w:rsidR="007201D5" w:rsidRPr="00C14F8E">
        <w:t> </w:t>
      </w:r>
      <w:r w:rsidR="007201D5" w:rsidRPr="00C14F8E">
        <w:rPr>
          <w:i/>
        </w:rPr>
        <w:t>Gagné</w:t>
      </w:r>
      <w:r w:rsidR="007201D5" w:rsidRPr="00C14F8E">
        <w:t xml:space="preserve">, 2008 QCBDRVM 8 and </w:t>
      </w:r>
      <w:r w:rsidR="007201D5" w:rsidRPr="00C14F8E">
        <w:rPr>
          <w:i/>
        </w:rPr>
        <w:t>Autorité des marchés financiers</w:t>
      </w:r>
      <w:r w:rsidR="007201D5" w:rsidRPr="00C14F8E">
        <w:t> </w:t>
      </w:r>
      <w:r w:rsidR="007201D5" w:rsidRPr="00C14F8E">
        <w:rPr>
          <w:i/>
        </w:rPr>
        <w:t>c.</w:t>
      </w:r>
      <w:r w:rsidR="007201D5" w:rsidRPr="00C14F8E">
        <w:t> </w:t>
      </w:r>
      <w:r w:rsidR="007201D5" w:rsidRPr="00C14F8E">
        <w:rPr>
          <w:i/>
        </w:rPr>
        <w:t>Huppé</w:t>
      </w:r>
      <w:r w:rsidR="007201D5" w:rsidRPr="00C14F8E">
        <w:t>, 2012 QCBDR 112.</w:t>
      </w:r>
    </w:p>
  </w:footnote>
  <w:footnote w:id="41">
    <w:p w14:paraId="56808627" w14:textId="7C7F353C" w:rsidR="00E10DE9" w:rsidRPr="007201D5" w:rsidRDefault="00E10DE9" w:rsidP="00E10DE9">
      <w:pPr>
        <w:pStyle w:val="Notedebasdepage"/>
        <w:rPr>
          <w:lang w:val="en-CA"/>
        </w:rPr>
      </w:pPr>
      <w:r>
        <w:rPr>
          <w:rStyle w:val="Appelnotedebasdep"/>
        </w:rPr>
        <w:footnoteRef/>
      </w:r>
      <w:r>
        <w:t xml:space="preserve"> </w:t>
      </w:r>
      <w:r>
        <w:tab/>
      </w:r>
      <w:r w:rsidR="00E16690" w:rsidRPr="00C14F8E">
        <w:rPr>
          <w:i/>
          <w:iCs/>
        </w:rPr>
        <w:t>Autorité des marchés financiers</w:t>
      </w:r>
      <w:r w:rsidR="00E16690" w:rsidRPr="00C14F8E">
        <w:rPr>
          <w:iCs/>
        </w:rPr>
        <w:t xml:space="preserve"> </w:t>
      </w:r>
      <w:r w:rsidR="00E16690" w:rsidRPr="00C14F8E">
        <w:rPr>
          <w:i/>
          <w:iCs/>
        </w:rPr>
        <w:t>c.</w:t>
      </w:r>
      <w:r w:rsidR="00E16690" w:rsidRPr="00C14F8E">
        <w:rPr>
          <w:iCs/>
        </w:rPr>
        <w:t xml:space="preserve"> </w:t>
      </w:r>
      <w:r w:rsidR="00E16690" w:rsidRPr="00C14F8E">
        <w:rPr>
          <w:i/>
          <w:iCs/>
        </w:rPr>
        <w:t>9095-0049 Québec inc.</w:t>
      </w:r>
      <w:r w:rsidRPr="005A0799">
        <w:rPr>
          <w:i/>
          <w:iCs/>
        </w:rPr>
        <w:t xml:space="preserve"> </w:t>
      </w:r>
      <w:r w:rsidR="00E16690" w:rsidRPr="00E16690">
        <w:rPr>
          <w:i/>
          <w:iCs/>
          <w:lang w:val="en-CA"/>
        </w:rPr>
        <w:t>(ICC Capital</w:t>
      </w:r>
      <w:r w:rsidR="00E16690" w:rsidRPr="00E16690">
        <w:rPr>
          <w:iCs/>
          <w:lang w:val="en-CA"/>
        </w:rPr>
        <w:t xml:space="preserve"> </w:t>
      </w:r>
      <w:r w:rsidR="00E16690" w:rsidRPr="00E16690">
        <w:rPr>
          <w:i/>
          <w:iCs/>
          <w:lang w:val="en-CA"/>
        </w:rPr>
        <w:t>Management)</w:t>
      </w:r>
      <w:r w:rsidR="00E16690" w:rsidRPr="00E16690">
        <w:rPr>
          <w:iCs/>
          <w:lang w:val="en-CA"/>
        </w:rPr>
        <w:t>, 2010 QCBDR 59.</w:t>
      </w:r>
      <w:r w:rsidRPr="00E16690">
        <w:rPr>
          <w:lang w:val="en-CA"/>
        </w:rPr>
        <w:t xml:space="preserve"> </w:t>
      </w:r>
      <w:r w:rsidR="007201D5" w:rsidRPr="00C14F8E">
        <w:rPr>
          <w:i/>
          <w:iCs/>
          <w:lang w:val="en-CA"/>
        </w:rPr>
        <w:t>Act respecting the regulation of the financial sector</w:t>
      </w:r>
      <w:r w:rsidR="007201D5" w:rsidRPr="00C14F8E">
        <w:rPr>
          <w:iCs/>
          <w:lang w:val="en-CA"/>
        </w:rPr>
        <w:t xml:space="preserve">, s. 12, </w:t>
      </w:r>
      <w:r w:rsidR="007201D5" w:rsidRPr="00C14F8E">
        <w:rPr>
          <w:i/>
          <w:iCs/>
          <w:lang w:val="en-CA"/>
        </w:rPr>
        <w:t>Securities Act</w:t>
      </w:r>
      <w:r w:rsidR="007201D5" w:rsidRPr="00C14F8E">
        <w:rPr>
          <w:iCs/>
          <w:lang w:val="en-CA"/>
        </w:rPr>
        <w:t>, s.</w:t>
      </w:r>
      <w:r w:rsidRPr="007201D5">
        <w:rPr>
          <w:lang w:val="en-CA"/>
        </w:rPr>
        <w:t xml:space="preserve"> </w:t>
      </w:r>
      <w:r w:rsidR="007201D5">
        <w:rPr>
          <w:lang w:val="en-CA"/>
        </w:rPr>
        <w:t>239.</w:t>
      </w:r>
    </w:p>
  </w:footnote>
  <w:footnote w:id="42">
    <w:p w14:paraId="414D4CF3" w14:textId="4586BD74" w:rsidR="00E10DE9" w:rsidRPr="00E16690" w:rsidRDefault="00E10DE9" w:rsidP="00E10DE9">
      <w:pPr>
        <w:pStyle w:val="Notedebasdepage"/>
        <w:rPr>
          <w:lang w:val="en-CA"/>
        </w:rPr>
      </w:pPr>
      <w:r>
        <w:rPr>
          <w:rStyle w:val="Appelnotedebasdep"/>
        </w:rPr>
        <w:footnoteRef/>
      </w:r>
      <w:r w:rsidRPr="00E16690">
        <w:rPr>
          <w:lang w:val="en-CA"/>
        </w:rPr>
        <w:t xml:space="preserve"> </w:t>
      </w:r>
      <w:r w:rsidRPr="00E16690">
        <w:rPr>
          <w:lang w:val="en-CA"/>
        </w:rPr>
        <w:tab/>
      </w:r>
      <w:r w:rsidR="007201D5" w:rsidRPr="00C14F8E">
        <w:rPr>
          <w:i/>
          <w:iCs/>
          <w:lang w:val="en-CA"/>
        </w:rPr>
        <w:t>Securities Act</w:t>
      </w:r>
      <w:r w:rsidR="007201D5" w:rsidRPr="00157510">
        <w:rPr>
          <w:lang w:val="en-CA"/>
        </w:rPr>
        <w:t>, s.</w:t>
      </w:r>
      <w:r w:rsidRPr="00E16690">
        <w:rPr>
          <w:lang w:val="en-CA"/>
        </w:rPr>
        <w:t xml:space="preserve"> </w:t>
      </w:r>
      <w:r w:rsidR="00E16690" w:rsidRPr="00C14F8E">
        <w:rPr>
          <w:lang w:val="en-CA"/>
        </w:rPr>
        <w:t>250</w:t>
      </w:r>
      <w:r w:rsidR="007A60C9">
        <w:rPr>
          <w:lang w:val="en-CA"/>
        </w:rPr>
        <w:t>,</w:t>
      </w:r>
      <w:r w:rsidR="00E16690" w:rsidRPr="00C14F8E">
        <w:rPr>
          <w:lang w:val="en-CA"/>
        </w:rPr>
        <w:t xml:space="preserve"> and </w:t>
      </w:r>
      <w:r w:rsidR="00E16690" w:rsidRPr="00C14F8E">
        <w:rPr>
          <w:i/>
          <w:lang w:val="en-CA"/>
        </w:rPr>
        <w:t>Act respecting the distribution of financial products and services</w:t>
      </w:r>
      <w:r w:rsidR="00E16690" w:rsidRPr="00C14F8E">
        <w:rPr>
          <w:lang w:val="en-CA"/>
        </w:rPr>
        <w:t>, s.</w:t>
      </w:r>
      <w:r w:rsidRPr="00E16690">
        <w:rPr>
          <w:lang w:val="en-CA"/>
        </w:rPr>
        <w:t xml:space="preserve"> </w:t>
      </w:r>
      <w:r w:rsidR="00E16690" w:rsidRPr="00E16690">
        <w:rPr>
          <w:lang w:val="en-CA"/>
        </w:rPr>
        <w:t>115.3.</w:t>
      </w:r>
    </w:p>
  </w:footnote>
  <w:footnote w:id="43">
    <w:p w14:paraId="7EF9946B" w14:textId="69052643" w:rsidR="00E10DE9" w:rsidRPr="004210F1" w:rsidRDefault="00E10DE9" w:rsidP="00E10DE9">
      <w:pPr>
        <w:pStyle w:val="Notedebasdepage"/>
        <w:rPr>
          <w:lang w:val="en-CA"/>
        </w:rPr>
      </w:pPr>
      <w:r>
        <w:rPr>
          <w:rStyle w:val="Appelnotedebasdep"/>
        </w:rPr>
        <w:footnoteRef/>
      </w:r>
      <w:r w:rsidRPr="004210F1">
        <w:rPr>
          <w:lang w:val="en-CA"/>
        </w:rPr>
        <w:t xml:space="preserve"> </w:t>
      </w:r>
      <w:r w:rsidRPr="004210F1">
        <w:rPr>
          <w:lang w:val="en-CA"/>
        </w:rPr>
        <w:tab/>
      </w:r>
      <w:proofErr w:type="spellStart"/>
      <w:r w:rsidR="00E16690" w:rsidRPr="00C14F8E">
        <w:rPr>
          <w:i/>
          <w:iCs/>
          <w:lang w:val="en-CA"/>
        </w:rPr>
        <w:t>Blencoe</w:t>
      </w:r>
      <w:proofErr w:type="spellEnd"/>
      <w:r w:rsidR="00E16690" w:rsidRPr="00C14F8E">
        <w:rPr>
          <w:i/>
          <w:iCs/>
          <w:lang w:val="en-CA"/>
        </w:rPr>
        <w:t xml:space="preserve"> v. British Columbia (Human Rights Commission)</w:t>
      </w:r>
      <w:r w:rsidR="00E16690" w:rsidRPr="00C14F8E">
        <w:rPr>
          <w:iCs/>
          <w:lang w:val="en-CA"/>
        </w:rPr>
        <w:t>, 2000 SCC 44.</w:t>
      </w:r>
      <w:r>
        <w:rPr>
          <w:lang w:val="en-CA"/>
        </w:rPr>
        <w:t xml:space="preserve"> </w:t>
      </w:r>
    </w:p>
  </w:footnote>
  <w:footnote w:id="44">
    <w:p w14:paraId="10A20F75" w14:textId="1B4FB4E0" w:rsidR="00E10DE9" w:rsidRPr="0072322E" w:rsidRDefault="00E10DE9" w:rsidP="00E10DE9">
      <w:pPr>
        <w:pStyle w:val="Notedebasdepage"/>
        <w:rPr>
          <w:lang w:val="en-CA"/>
        </w:rPr>
      </w:pPr>
      <w:r>
        <w:rPr>
          <w:rStyle w:val="Appelnotedebasdep"/>
        </w:rPr>
        <w:footnoteRef/>
      </w:r>
      <w:r>
        <w:rPr>
          <w:lang w:val="en-CA"/>
        </w:rPr>
        <w:t xml:space="preserve"> </w:t>
      </w:r>
      <w:bookmarkStart w:id="3" w:name="_Hlk161849150"/>
      <w:r>
        <w:rPr>
          <w:lang w:val="en-CA"/>
        </w:rPr>
        <w:tab/>
      </w:r>
      <w:bookmarkEnd w:id="3"/>
      <w:r w:rsidR="00E16690" w:rsidRPr="00C14F8E">
        <w:rPr>
          <w:i/>
          <w:iCs/>
          <w:lang w:val="en-CA"/>
        </w:rPr>
        <w:t>Law Society of Saskatchewan</w:t>
      </w:r>
      <w:r w:rsidR="00E16690" w:rsidRPr="00C14F8E">
        <w:rPr>
          <w:iCs/>
          <w:lang w:val="en-CA"/>
        </w:rPr>
        <w:t xml:space="preserve"> </w:t>
      </w:r>
      <w:r w:rsidR="00E16690" w:rsidRPr="00C14F8E">
        <w:rPr>
          <w:i/>
          <w:iCs/>
          <w:lang w:val="en-CA"/>
        </w:rPr>
        <w:t>v.</w:t>
      </w:r>
      <w:r w:rsidR="00E16690" w:rsidRPr="00C14F8E">
        <w:rPr>
          <w:iCs/>
          <w:lang w:val="en-CA"/>
        </w:rPr>
        <w:t xml:space="preserve"> </w:t>
      </w:r>
      <w:proofErr w:type="spellStart"/>
      <w:r w:rsidR="00E16690" w:rsidRPr="00C14F8E">
        <w:rPr>
          <w:i/>
          <w:iCs/>
          <w:lang w:val="en-CA"/>
        </w:rPr>
        <w:t>Abrametz</w:t>
      </w:r>
      <w:proofErr w:type="spellEnd"/>
      <w:r w:rsidR="00E16690" w:rsidRPr="00C14F8E">
        <w:rPr>
          <w:iCs/>
          <w:lang w:val="en-CA"/>
        </w:rPr>
        <w:t>, 2022 SCC 29.</w:t>
      </w:r>
    </w:p>
  </w:footnote>
  <w:footnote w:id="45">
    <w:p w14:paraId="7E143B3A" w14:textId="32B00C0E" w:rsidR="00B463FF" w:rsidRPr="00B463FF" w:rsidRDefault="007E64CB">
      <w:pPr>
        <w:pStyle w:val="Notedebasdepage"/>
        <w:rPr>
          <w:lang w:val="en-US"/>
        </w:rPr>
      </w:pPr>
      <w:r>
        <w:rPr>
          <w:rStyle w:val="Appelnotedebasdep"/>
        </w:rPr>
        <w:footnoteRef/>
      </w:r>
      <w:r>
        <w:rPr>
          <w:lang w:val="en-US"/>
        </w:rPr>
        <w:t xml:space="preserve"> </w:t>
      </w:r>
      <w:r>
        <w:rPr>
          <w:lang w:val="en-US"/>
        </w:rPr>
        <w:tab/>
      </w:r>
      <w:r w:rsidR="00E16690" w:rsidRPr="00C14F8E">
        <w:rPr>
          <w:i/>
          <w:iCs/>
          <w:lang w:val="en-CA"/>
        </w:rPr>
        <w:t>Law Society of Saskatchewan</w:t>
      </w:r>
      <w:r w:rsidR="00E16690" w:rsidRPr="00C14F8E">
        <w:rPr>
          <w:iCs/>
          <w:lang w:val="en-CA"/>
        </w:rPr>
        <w:t xml:space="preserve"> </w:t>
      </w:r>
      <w:r w:rsidR="00E16690" w:rsidRPr="00C14F8E">
        <w:rPr>
          <w:i/>
          <w:iCs/>
          <w:lang w:val="en-CA"/>
        </w:rPr>
        <w:t>v.</w:t>
      </w:r>
      <w:r w:rsidR="00E16690" w:rsidRPr="00C14F8E">
        <w:rPr>
          <w:iCs/>
          <w:lang w:val="en-CA"/>
        </w:rPr>
        <w:t xml:space="preserve"> </w:t>
      </w:r>
      <w:proofErr w:type="spellStart"/>
      <w:r w:rsidR="00E16690" w:rsidRPr="00C14F8E">
        <w:rPr>
          <w:i/>
          <w:iCs/>
          <w:lang w:val="en-CA"/>
        </w:rPr>
        <w:t>Abrametz</w:t>
      </w:r>
      <w:proofErr w:type="spellEnd"/>
      <w:r w:rsidR="00E16690" w:rsidRPr="00C14F8E">
        <w:rPr>
          <w:iCs/>
          <w:lang w:val="en-CA"/>
        </w:rPr>
        <w:t>, 2022 SCC 29 at para.</w:t>
      </w:r>
      <w:r>
        <w:rPr>
          <w:lang w:val="en-CA"/>
        </w:rPr>
        <w:t xml:space="preserve"> </w:t>
      </w:r>
      <w:r w:rsidR="00E16690">
        <w:rPr>
          <w:lang w:val="en-CA"/>
        </w:rPr>
        <w:t>46.</w:t>
      </w:r>
    </w:p>
  </w:footnote>
  <w:footnote w:id="46">
    <w:p w14:paraId="6C13CC73" w14:textId="5C66DC65" w:rsidR="00F72D51" w:rsidRPr="00C50D22" w:rsidRDefault="00F72D51" w:rsidP="00F72D51">
      <w:pPr>
        <w:pStyle w:val="Notedebasdepage"/>
        <w:rPr>
          <w:lang w:val="en-US"/>
        </w:rPr>
      </w:pPr>
      <w:r>
        <w:rPr>
          <w:rStyle w:val="Appelnotedebasdep"/>
        </w:rPr>
        <w:footnoteRef/>
      </w:r>
      <w:r w:rsidRPr="00C50D22">
        <w:rPr>
          <w:lang w:val="en-US"/>
        </w:rPr>
        <w:t xml:space="preserve"> </w:t>
      </w:r>
      <w:r w:rsidRPr="00C50D22">
        <w:rPr>
          <w:lang w:val="en-US"/>
        </w:rPr>
        <w:tab/>
      </w:r>
      <w:r w:rsidR="00E16690" w:rsidRPr="00C14F8E">
        <w:rPr>
          <w:i/>
          <w:iCs/>
          <w:lang w:val="en-CA"/>
        </w:rPr>
        <w:t>Law Society of Saskatchewan</w:t>
      </w:r>
      <w:r w:rsidR="00E16690" w:rsidRPr="00C14F8E">
        <w:rPr>
          <w:iCs/>
          <w:lang w:val="en-CA"/>
        </w:rPr>
        <w:t xml:space="preserve"> </w:t>
      </w:r>
      <w:r w:rsidR="00E16690" w:rsidRPr="00C14F8E">
        <w:rPr>
          <w:i/>
          <w:iCs/>
          <w:lang w:val="en-CA"/>
        </w:rPr>
        <w:t>v.</w:t>
      </w:r>
      <w:r w:rsidR="00E16690" w:rsidRPr="00C14F8E">
        <w:rPr>
          <w:iCs/>
          <w:lang w:val="en-CA"/>
        </w:rPr>
        <w:t xml:space="preserve"> </w:t>
      </w:r>
      <w:proofErr w:type="spellStart"/>
      <w:r w:rsidR="00E16690" w:rsidRPr="00C14F8E">
        <w:rPr>
          <w:i/>
          <w:iCs/>
          <w:lang w:val="en-CA"/>
        </w:rPr>
        <w:t>Abrametz</w:t>
      </w:r>
      <w:proofErr w:type="spellEnd"/>
      <w:r w:rsidR="00E16690" w:rsidRPr="00C14F8E">
        <w:rPr>
          <w:iCs/>
          <w:lang w:val="en-CA"/>
        </w:rPr>
        <w:t>, 2022 SCC 29 at para.</w:t>
      </w:r>
      <w:r w:rsidRPr="00C50D22">
        <w:rPr>
          <w:lang w:val="en-US"/>
        </w:rPr>
        <w:t xml:space="preserve"> </w:t>
      </w:r>
      <w:r w:rsidR="00E16690">
        <w:rPr>
          <w:lang w:val="en-US"/>
        </w:rPr>
        <w:t>131.</w:t>
      </w:r>
    </w:p>
  </w:footnote>
  <w:footnote w:id="47">
    <w:p w14:paraId="2B9C8F68" w14:textId="3F1021FD" w:rsidR="00F72D51" w:rsidRPr="00E16690" w:rsidRDefault="00F72D51" w:rsidP="00F72D51">
      <w:pPr>
        <w:pStyle w:val="Notedebasdepage"/>
      </w:pPr>
      <w:r>
        <w:rPr>
          <w:rStyle w:val="Appelnotedebasdep"/>
        </w:rPr>
        <w:footnoteRef/>
      </w:r>
      <w:r w:rsidRPr="00C50D22">
        <w:rPr>
          <w:lang w:val="en-US"/>
        </w:rPr>
        <w:t xml:space="preserve"> </w:t>
      </w:r>
      <w:r w:rsidRPr="00C50D22">
        <w:rPr>
          <w:lang w:val="en-US"/>
        </w:rPr>
        <w:tab/>
      </w:r>
      <w:r w:rsidR="00E16690" w:rsidRPr="00C14F8E">
        <w:rPr>
          <w:i/>
          <w:iCs/>
          <w:lang w:val="en-CA"/>
        </w:rPr>
        <w:t>Law Society of Saskatchewan</w:t>
      </w:r>
      <w:r w:rsidR="00E16690" w:rsidRPr="00C14F8E">
        <w:rPr>
          <w:iCs/>
          <w:lang w:val="en-CA"/>
        </w:rPr>
        <w:t xml:space="preserve"> </w:t>
      </w:r>
      <w:r w:rsidR="00E16690" w:rsidRPr="00C14F8E">
        <w:rPr>
          <w:i/>
          <w:iCs/>
          <w:lang w:val="en-CA"/>
        </w:rPr>
        <w:t>v.</w:t>
      </w:r>
      <w:r w:rsidR="00E16690" w:rsidRPr="00C14F8E">
        <w:rPr>
          <w:iCs/>
          <w:lang w:val="en-CA"/>
        </w:rPr>
        <w:t xml:space="preserve"> </w:t>
      </w:r>
      <w:proofErr w:type="spellStart"/>
      <w:r w:rsidR="00E16690" w:rsidRPr="00C14F8E">
        <w:rPr>
          <w:i/>
          <w:iCs/>
          <w:lang w:val="en-CA"/>
        </w:rPr>
        <w:t>Abrametz</w:t>
      </w:r>
      <w:proofErr w:type="spellEnd"/>
      <w:r w:rsidR="00E16690" w:rsidRPr="00C14F8E">
        <w:rPr>
          <w:iCs/>
          <w:lang w:val="en-CA"/>
        </w:rPr>
        <w:t>, 2022 SCC 29 at para.</w:t>
      </w:r>
      <w:r w:rsidRPr="00C50D22">
        <w:rPr>
          <w:lang w:val="en-US"/>
        </w:rPr>
        <w:t xml:space="preserve"> </w:t>
      </w:r>
      <w:r w:rsidR="00E16690" w:rsidRPr="00E16690">
        <w:t>45.</w:t>
      </w:r>
    </w:p>
  </w:footnote>
  <w:footnote w:id="48">
    <w:p w14:paraId="229E371E" w14:textId="5CBB9CAA" w:rsidR="00F72D51" w:rsidRDefault="00F72D51" w:rsidP="00F72D51">
      <w:pPr>
        <w:pStyle w:val="Notedebasdepage"/>
      </w:pPr>
      <w:r>
        <w:rPr>
          <w:rStyle w:val="Appelnotedebasdep"/>
        </w:rPr>
        <w:footnoteRef/>
      </w:r>
      <w:r>
        <w:t xml:space="preserve"> </w:t>
      </w:r>
      <w:r>
        <w:tab/>
      </w:r>
      <w:r w:rsidR="00E16690" w:rsidRPr="00C14F8E">
        <w:rPr>
          <w:i/>
          <w:iCs/>
        </w:rPr>
        <w:t>Autorité des marchés financiers</w:t>
      </w:r>
      <w:r w:rsidR="00E16690" w:rsidRPr="00C14F8E">
        <w:rPr>
          <w:iCs/>
        </w:rPr>
        <w:t xml:space="preserve"> </w:t>
      </w:r>
      <w:r w:rsidR="00E16690" w:rsidRPr="00C14F8E">
        <w:rPr>
          <w:i/>
          <w:iCs/>
        </w:rPr>
        <w:t>c.</w:t>
      </w:r>
      <w:r w:rsidR="00E16690" w:rsidRPr="00C14F8E">
        <w:rPr>
          <w:iCs/>
        </w:rPr>
        <w:t xml:space="preserve"> </w:t>
      </w:r>
      <w:r w:rsidR="00E16690" w:rsidRPr="00C14F8E">
        <w:rPr>
          <w:i/>
          <w:iCs/>
        </w:rPr>
        <w:t>Tremblay</w:t>
      </w:r>
      <w:r w:rsidR="00E16690" w:rsidRPr="00C14F8E">
        <w:rPr>
          <w:iCs/>
        </w:rPr>
        <w:t>, 2023 QCTMF 60 at para.</w:t>
      </w:r>
      <w:r>
        <w:t xml:space="preserve"> </w:t>
      </w:r>
      <w:r w:rsidR="00E16690">
        <w:t>31.</w:t>
      </w:r>
    </w:p>
  </w:footnote>
  <w:footnote w:id="49">
    <w:p w14:paraId="68B02814" w14:textId="5DD88262" w:rsidR="00F72D51" w:rsidRPr="00E16690" w:rsidRDefault="00F72D51" w:rsidP="00F72D51">
      <w:pPr>
        <w:pStyle w:val="Notedebasdepage"/>
      </w:pPr>
      <w:r>
        <w:rPr>
          <w:rStyle w:val="Appelnotedebasdep"/>
        </w:rPr>
        <w:footnoteRef/>
      </w:r>
      <w:r w:rsidRPr="00E16690">
        <w:t xml:space="preserve"> </w:t>
      </w:r>
      <w:r w:rsidRPr="00E16690">
        <w:tab/>
      </w:r>
      <w:r w:rsidR="00E16690" w:rsidRPr="00C14F8E">
        <w:t>2022 QCCS 1761.</w:t>
      </w:r>
    </w:p>
  </w:footnote>
  <w:footnote w:id="50">
    <w:p w14:paraId="2EB0D602" w14:textId="10E5AEBF" w:rsidR="00F72D51" w:rsidRPr="004210F1" w:rsidRDefault="00F72D51" w:rsidP="00F72D51">
      <w:pPr>
        <w:pStyle w:val="Notedebasdepage"/>
        <w:rPr>
          <w:lang w:val="en-CA"/>
        </w:rPr>
      </w:pPr>
      <w:r>
        <w:rPr>
          <w:rStyle w:val="Appelnotedebasdep"/>
        </w:rPr>
        <w:footnoteRef/>
      </w:r>
      <w:r w:rsidRPr="004210F1">
        <w:rPr>
          <w:lang w:val="en-CA"/>
        </w:rPr>
        <w:t xml:space="preserve"> </w:t>
      </w:r>
      <w:r w:rsidRPr="004210F1">
        <w:rPr>
          <w:lang w:val="en-CA"/>
        </w:rPr>
        <w:tab/>
      </w:r>
      <w:r w:rsidR="00E16690" w:rsidRPr="00C14F8E">
        <w:rPr>
          <w:lang w:val="en-CA"/>
        </w:rPr>
        <w:t>CQLR, c. C-25.1.</w:t>
      </w:r>
    </w:p>
  </w:footnote>
  <w:footnote w:id="51">
    <w:p w14:paraId="30B5FE16" w14:textId="43F18EE7" w:rsidR="002A38F7" w:rsidRPr="00C14F8E" w:rsidRDefault="002A38F7" w:rsidP="002A38F7">
      <w:pPr>
        <w:pStyle w:val="Notedebasdepage"/>
        <w:rPr>
          <w:lang w:val="en-CA"/>
        </w:rPr>
      </w:pPr>
      <w:r>
        <w:rPr>
          <w:rStyle w:val="Appelnotedebasdep"/>
        </w:rPr>
        <w:footnoteRef/>
      </w:r>
      <w:r w:rsidRPr="0072322E">
        <w:rPr>
          <w:lang w:val="en-CA"/>
        </w:rPr>
        <w:t xml:space="preserve"> </w:t>
      </w:r>
      <w:r w:rsidRPr="0072322E">
        <w:rPr>
          <w:lang w:val="en-CA"/>
        </w:rPr>
        <w:tab/>
      </w:r>
      <w:r w:rsidR="00E16690" w:rsidRPr="00C14F8E">
        <w:rPr>
          <w:i/>
          <w:iCs/>
          <w:lang w:val="en-CA"/>
        </w:rPr>
        <w:t>Law Society of Saskatchewan</w:t>
      </w:r>
      <w:r w:rsidR="00E16690" w:rsidRPr="00C14F8E">
        <w:rPr>
          <w:iCs/>
          <w:lang w:val="en-CA"/>
        </w:rPr>
        <w:t xml:space="preserve"> </w:t>
      </w:r>
      <w:r w:rsidR="00E16690" w:rsidRPr="00C14F8E">
        <w:rPr>
          <w:i/>
          <w:iCs/>
          <w:lang w:val="en-CA"/>
        </w:rPr>
        <w:t>v.</w:t>
      </w:r>
      <w:r w:rsidR="00E16690" w:rsidRPr="00C14F8E">
        <w:rPr>
          <w:iCs/>
          <w:lang w:val="en-CA"/>
        </w:rPr>
        <w:t xml:space="preserve"> </w:t>
      </w:r>
      <w:proofErr w:type="spellStart"/>
      <w:r w:rsidR="00E16690" w:rsidRPr="00C14F8E">
        <w:rPr>
          <w:i/>
          <w:iCs/>
          <w:lang w:val="en-CA"/>
        </w:rPr>
        <w:t>Abrametz</w:t>
      </w:r>
      <w:proofErr w:type="spellEnd"/>
      <w:r w:rsidR="00E16690" w:rsidRPr="00C14F8E">
        <w:rPr>
          <w:iCs/>
          <w:lang w:val="en-CA"/>
        </w:rPr>
        <w:t>, 2022 SCC 29 at para.</w:t>
      </w:r>
      <w:r>
        <w:rPr>
          <w:lang w:val="en-CA"/>
        </w:rPr>
        <w:t xml:space="preserve"> </w:t>
      </w:r>
      <w:r w:rsidR="00E16690" w:rsidRPr="00C14F8E">
        <w:rPr>
          <w:lang w:val="en-CA"/>
        </w:rPr>
        <w:t>51.</w:t>
      </w:r>
    </w:p>
  </w:footnote>
  <w:footnote w:id="52">
    <w:p w14:paraId="3435786D" w14:textId="6B680474" w:rsidR="00B24CF0" w:rsidRPr="00C10AF3" w:rsidRDefault="00B24CF0" w:rsidP="00B24CF0">
      <w:pPr>
        <w:pStyle w:val="Notedebasdepage"/>
        <w:rPr>
          <w:lang w:val="en-CA"/>
        </w:rPr>
      </w:pPr>
      <w:r>
        <w:rPr>
          <w:rStyle w:val="Appelnotedebasdep"/>
        </w:rPr>
        <w:footnoteRef/>
      </w:r>
      <w:r w:rsidRPr="00C10AF3">
        <w:rPr>
          <w:lang w:val="en-CA"/>
        </w:rPr>
        <w:t xml:space="preserve"> </w:t>
      </w:r>
      <w:r w:rsidRPr="00C10AF3">
        <w:rPr>
          <w:lang w:val="en-CA"/>
        </w:rPr>
        <w:tab/>
      </w:r>
      <w:r w:rsidR="00C10AF3" w:rsidRPr="00C14F8E">
        <w:rPr>
          <w:lang w:val="en-CA"/>
        </w:rPr>
        <w:t xml:space="preserve">The Tribunal refers in particular to </w:t>
      </w:r>
      <w:proofErr w:type="spellStart"/>
      <w:r w:rsidR="00C10AF3" w:rsidRPr="00C10AF3">
        <w:rPr>
          <w:i/>
          <w:lang w:val="en-CA"/>
        </w:rPr>
        <w:t>Autorité</w:t>
      </w:r>
      <w:proofErr w:type="spellEnd"/>
      <w:r w:rsidR="00C10AF3" w:rsidRPr="00C10AF3">
        <w:rPr>
          <w:i/>
          <w:lang w:val="en-CA"/>
        </w:rPr>
        <w:t xml:space="preserve"> des </w:t>
      </w:r>
      <w:proofErr w:type="spellStart"/>
      <w:r w:rsidR="00C10AF3" w:rsidRPr="00C10AF3">
        <w:rPr>
          <w:i/>
          <w:lang w:val="en-CA"/>
        </w:rPr>
        <w:t>marchés</w:t>
      </w:r>
      <w:proofErr w:type="spellEnd"/>
      <w:r w:rsidR="00C10AF3" w:rsidRPr="00C10AF3">
        <w:rPr>
          <w:i/>
          <w:lang w:val="en-CA"/>
        </w:rPr>
        <w:t xml:space="preserve"> financiers</w:t>
      </w:r>
      <w:r w:rsidR="00C10AF3" w:rsidRPr="00C10AF3">
        <w:rPr>
          <w:lang w:val="en-CA"/>
        </w:rPr>
        <w:t xml:space="preserve"> </w:t>
      </w:r>
      <w:r w:rsidR="00C10AF3" w:rsidRPr="00C224C6">
        <w:rPr>
          <w:i/>
          <w:iCs/>
          <w:lang w:val="en-CA"/>
        </w:rPr>
        <w:t>c.</w:t>
      </w:r>
      <w:r w:rsidR="00C10AF3" w:rsidRPr="00C10AF3">
        <w:rPr>
          <w:lang w:val="en-CA"/>
        </w:rPr>
        <w:t xml:space="preserve"> </w:t>
      </w:r>
      <w:r w:rsidR="00C10AF3" w:rsidRPr="00C10AF3">
        <w:rPr>
          <w:i/>
          <w:lang w:val="en-CA"/>
        </w:rPr>
        <w:t xml:space="preserve">Gestion </w:t>
      </w:r>
      <w:proofErr w:type="spellStart"/>
      <w:r w:rsidR="00C10AF3" w:rsidRPr="00C10AF3">
        <w:rPr>
          <w:i/>
          <w:lang w:val="en-CA"/>
        </w:rPr>
        <w:t>Itradecoins</w:t>
      </w:r>
      <w:proofErr w:type="spellEnd"/>
      <w:r w:rsidR="00C10AF3" w:rsidRPr="00C10AF3">
        <w:rPr>
          <w:i/>
          <w:lang w:val="en-CA"/>
        </w:rPr>
        <w:t xml:space="preserve">, </w:t>
      </w:r>
      <w:r w:rsidR="00C10AF3" w:rsidRPr="00C10AF3">
        <w:rPr>
          <w:lang w:val="en-CA"/>
        </w:rPr>
        <w:t>2022 QCTMF 8</w:t>
      </w:r>
      <w:r w:rsidR="00F47F7C">
        <w:rPr>
          <w:lang w:val="en-CA"/>
        </w:rPr>
        <w:t>,</w:t>
      </w:r>
      <w:r w:rsidR="00C10AF3" w:rsidRPr="00C10AF3">
        <w:rPr>
          <w:lang w:val="en-CA"/>
        </w:rPr>
        <w:t xml:space="preserve"> in which it considered the nature of </w:t>
      </w:r>
      <w:r w:rsidR="00C224C6" w:rsidRPr="00C10AF3">
        <w:rPr>
          <w:lang w:val="en-CA"/>
        </w:rPr>
        <w:t>the</w:t>
      </w:r>
      <w:r w:rsidR="00C10AF3" w:rsidRPr="00C10AF3">
        <w:rPr>
          <w:lang w:val="en-CA"/>
        </w:rPr>
        <w:t xml:space="preserve"> investigation </w:t>
      </w:r>
      <w:r w:rsidR="00C224C6" w:rsidRPr="00C10AF3">
        <w:rPr>
          <w:lang w:val="en-CA"/>
        </w:rPr>
        <w:t>and</w:t>
      </w:r>
      <w:r w:rsidR="00C10AF3" w:rsidRPr="00C10AF3">
        <w:rPr>
          <w:lang w:val="en-CA"/>
        </w:rPr>
        <w:t xml:space="preserve"> the time </w:t>
      </w:r>
      <w:r w:rsidR="00C224C6">
        <w:rPr>
          <w:lang w:val="en-CA"/>
        </w:rPr>
        <w:t xml:space="preserve">that had </w:t>
      </w:r>
      <w:r w:rsidR="00C10AF3" w:rsidRPr="00C10AF3">
        <w:rPr>
          <w:lang w:val="en-CA"/>
        </w:rPr>
        <w:t xml:space="preserve">already passed to determine </w:t>
      </w:r>
      <w:r w:rsidR="00C224C6">
        <w:rPr>
          <w:lang w:val="en-CA"/>
        </w:rPr>
        <w:t>by how much time</w:t>
      </w:r>
      <w:r w:rsidR="00C10AF3" w:rsidRPr="00C10AF3">
        <w:rPr>
          <w:lang w:val="en-CA"/>
        </w:rPr>
        <w:t xml:space="preserve"> to extend the freeze orders.</w:t>
      </w:r>
      <w:r w:rsidRPr="00C10AF3">
        <w:rPr>
          <w:lang w:val="en-CA"/>
        </w:rPr>
        <w:t xml:space="preserve"> </w:t>
      </w:r>
      <w:r w:rsidR="00C10AF3" w:rsidRPr="00C10AF3">
        <w:rPr>
          <w:lang w:val="en-CA"/>
        </w:rPr>
        <w:t xml:space="preserve">In </w:t>
      </w:r>
      <w:proofErr w:type="spellStart"/>
      <w:r w:rsidR="00C10AF3" w:rsidRPr="00C10AF3">
        <w:rPr>
          <w:i/>
          <w:lang w:val="en-CA"/>
        </w:rPr>
        <w:t>Autorité</w:t>
      </w:r>
      <w:proofErr w:type="spellEnd"/>
      <w:r w:rsidR="00C10AF3" w:rsidRPr="00C10AF3">
        <w:rPr>
          <w:i/>
          <w:lang w:val="en-CA"/>
        </w:rPr>
        <w:t xml:space="preserve"> des </w:t>
      </w:r>
      <w:proofErr w:type="spellStart"/>
      <w:r w:rsidR="00C10AF3" w:rsidRPr="00C10AF3">
        <w:rPr>
          <w:i/>
          <w:lang w:val="en-CA"/>
        </w:rPr>
        <w:t>marchés</w:t>
      </w:r>
      <w:proofErr w:type="spellEnd"/>
      <w:r w:rsidR="00C10AF3" w:rsidRPr="00C10AF3">
        <w:rPr>
          <w:i/>
          <w:lang w:val="en-CA"/>
        </w:rPr>
        <w:t xml:space="preserve"> financiers</w:t>
      </w:r>
      <w:r w:rsidR="00C10AF3" w:rsidRPr="00C10AF3">
        <w:rPr>
          <w:lang w:val="en-CA"/>
        </w:rPr>
        <w:t xml:space="preserve"> </w:t>
      </w:r>
      <w:r w:rsidR="00C10AF3" w:rsidRPr="00C224C6">
        <w:rPr>
          <w:i/>
          <w:iCs/>
          <w:lang w:val="en-CA"/>
        </w:rPr>
        <w:t>c.</w:t>
      </w:r>
      <w:r w:rsidR="00C10AF3" w:rsidRPr="00C10AF3">
        <w:rPr>
          <w:lang w:val="en-CA"/>
        </w:rPr>
        <w:t xml:space="preserve"> </w:t>
      </w:r>
      <w:r w:rsidR="00C10AF3" w:rsidRPr="00C10AF3">
        <w:rPr>
          <w:i/>
          <w:lang w:val="en-CA"/>
        </w:rPr>
        <w:t>Services Bench &amp; Jerry inc.,</w:t>
      </w:r>
      <w:r w:rsidR="00C10AF3" w:rsidRPr="00C10AF3">
        <w:rPr>
          <w:lang w:val="en-CA"/>
        </w:rPr>
        <w:t xml:space="preserve"> 2018 QCTMF 98, the Tribunal considered the case’s lack of complexity.</w:t>
      </w:r>
      <w:r w:rsidRPr="00C10AF3">
        <w:rPr>
          <w:lang w:val="en-CA"/>
        </w:rPr>
        <w:t xml:space="preserve"> </w:t>
      </w:r>
    </w:p>
  </w:footnote>
  <w:footnote w:id="53">
    <w:p w14:paraId="58A2B1D1" w14:textId="72C9048E" w:rsidR="00C65B84" w:rsidRPr="00C14F8E" w:rsidRDefault="007E64CB" w:rsidP="00C65B84">
      <w:pPr>
        <w:pStyle w:val="Notedebasdepage"/>
        <w:rPr>
          <w:lang w:val="en-CA"/>
        </w:rPr>
      </w:pPr>
      <w:r>
        <w:rPr>
          <w:rStyle w:val="Appelnotedebasdep"/>
        </w:rPr>
        <w:footnoteRef/>
      </w:r>
      <w:r w:rsidRPr="0072322E">
        <w:rPr>
          <w:lang w:val="en-CA"/>
        </w:rPr>
        <w:t xml:space="preserve"> </w:t>
      </w:r>
      <w:r w:rsidRPr="0072322E">
        <w:rPr>
          <w:lang w:val="en-CA"/>
        </w:rPr>
        <w:tab/>
      </w:r>
      <w:r w:rsidR="00C10AF3" w:rsidRPr="00C14F8E">
        <w:rPr>
          <w:i/>
          <w:iCs/>
          <w:lang w:val="en-CA"/>
        </w:rPr>
        <w:t>Law Society of Saskatchewan</w:t>
      </w:r>
      <w:r w:rsidR="00C10AF3" w:rsidRPr="00C14F8E">
        <w:rPr>
          <w:iCs/>
          <w:lang w:val="en-CA"/>
        </w:rPr>
        <w:t xml:space="preserve"> </w:t>
      </w:r>
      <w:r w:rsidR="00C10AF3" w:rsidRPr="00C14F8E">
        <w:rPr>
          <w:i/>
          <w:iCs/>
          <w:lang w:val="en-CA"/>
        </w:rPr>
        <w:t>v.</w:t>
      </w:r>
      <w:r w:rsidR="00C10AF3" w:rsidRPr="00C14F8E">
        <w:rPr>
          <w:iCs/>
          <w:lang w:val="en-CA"/>
        </w:rPr>
        <w:t xml:space="preserve"> </w:t>
      </w:r>
      <w:proofErr w:type="spellStart"/>
      <w:r w:rsidR="00C10AF3" w:rsidRPr="00C14F8E">
        <w:rPr>
          <w:i/>
          <w:iCs/>
          <w:lang w:val="en-CA"/>
        </w:rPr>
        <w:t>Abrametz</w:t>
      </w:r>
      <w:proofErr w:type="spellEnd"/>
      <w:r w:rsidR="00C10AF3" w:rsidRPr="00C14F8E">
        <w:rPr>
          <w:iCs/>
          <w:lang w:val="en-CA"/>
        </w:rPr>
        <w:t>, 2022 SCC 29 at para. 51.</w:t>
      </w:r>
    </w:p>
  </w:footnote>
  <w:footnote w:id="54">
    <w:p w14:paraId="1ABE122C" w14:textId="086436DF" w:rsidR="00F9136E" w:rsidRPr="00C10AF3" w:rsidRDefault="00F9136E" w:rsidP="00F9136E">
      <w:pPr>
        <w:pStyle w:val="Notedebasdepage"/>
        <w:rPr>
          <w:lang w:val="en-CA"/>
        </w:rPr>
      </w:pPr>
      <w:r>
        <w:rPr>
          <w:rStyle w:val="Appelnotedebasdep"/>
        </w:rPr>
        <w:footnoteRef/>
      </w:r>
      <w:r w:rsidRPr="00C10AF3">
        <w:rPr>
          <w:lang w:val="en-CA"/>
        </w:rPr>
        <w:t xml:space="preserve"> </w:t>
      </w:r>
      <w:r w:rsidRPr="00C10AF3">
        <w:rPr>
          <w:lang w:val="en-CA"/>
        </w:rPr>
        <w:tab/>
      </w:r>
      <w:r w:rsidR="00C10AF3" w:rsidRPr="00C14F8E">
        <w:rPr>
          <w:lang w:val="en-CA"/>
        </w:rPr>
        <w:t xml:space="preserve">According to the </w:t>
      </w:r>
      <w:r w:rsidR="00C10AF3" w:rsidRPr="00C14F8E">
        <w:rPr>
          <w:i/>
          <w:lang w:val="en-CA"/>
        </w:rPr>
        <w:t>Act respecting the regulation of the financial sector</w:t>
      </w:r>
      <w:r w:rsidR="00C10AF3" w:rsidRPr="00C14F8E">
        <w:rPr>
          <w:lang w:val="en-CA"/>
        </w:rPr>
        <w:t>, s.</w:t>
      </w:r>
      <w:r w:rsidRPr="00C10AF3">
        <w:rPr>
          <w:lang w:val="en-CA"/>
        </w:rPr>
        <w:t xml:space="preserve"> </w:t>
      </w:r>
      <w:r w:rsidR="00C10AF3" w:rsidRPr="00C14F8E">
        <w:rPr>
          <w:lang w:val="en-CA"/>
        </w:rPr>
        <w:t>93</w:t>
      </w:r>
      <w:r w:rsidR="00D21981">
        <w:rPr>
          <w:lang w:val="en-CA"/>
        </w:rPr>
        <w:t>, it</w:t>
      </w:r>
      <w:r w:rsidR="00C10AF3" w:rsidRPr="00C14F8E">
        <w:rPr>
          <w:lang w:val="en-CA"/>
        </w:rPr>
        <w:t xml:space="preserve"> exercises its discretion in the public interest.</w:t>
      </w:r>
    </w:p>
  </w:footnote>
  <w:footnote w:id="55">
    <w:p w14:paraId="3A06A0D0" w14:textId="25A07A37" w:rsidR="001245B2" w:rsidRDefault="001245B2" w:rsidP="001245B2">
      <w:pPr>
        <w:pStyle w:val="Notedebasdepage"/>
      </w:pPr>
      <w:r>
        <w:rPr>
          <w:rStyle w:val="Appelnotedebasdep"/>
        </w:rPr>
        <w:footnoteRef/>
      </w:r>
      <w:r>
        <w:t xml:space="preserve"> </w:t>
      </w:r>
      <w:r>
        <w:tab/>
      </w:r>
      <w:r w:rsidR="00C10AF3" w:rsidRPr="00C14F8E">
        <w:rPr>
          <w:i/>
          <w:iCs/>
        </w:rPr>
        <w:t>Autorité des marchés financiers</w:t>
      </w:r>
      <w:r w:rsidR="00C10AF3" w:rsidRPr="00C14F8E">
        <w:rPr>
          <w:iCs/>
        </w:rPr>
        <w:t xml:space="preserve"> </w:t>
      </w:r>
      <w:r w:rsidR="00C10AF3" w:rsidRPr="00C14F8E">
        <w:rPr>
          <w:i/>
          <w:iCs/>
        </w:rPr>
        <w:t>c.</w:t>
      </w:r>
      <w:r w:rsidR="00C10AF3" w:rsidRPr="00C14F8E">
        <w:rPr>
          <w:iCs/>
        </w:rPr>
        <w:t xml:space="preserve"> </w:t>
      </w:r>
      <w:r w:rsidR="00C10AF3" w:rsidRPr="00C14F8E">
        <w:rPr>
          <w:i/>
          <w:iCs/>
        </w:rPr>
        <w:t xml:space="preserve">Gestion </w:t>
      </w:r>
      <w:proofErr w:type="spellStart"/>
      <w:r w:rsidR="00C10AF3" w:rsidRPr="00C14F8E">
        <w:rPr>
          <w:i/>
          <w:iCs/>
        </w:rPr>
        <w:t>Itradecoins</w:t>
      </w:r>
      <w:proofErr w:type="spellEnd"/>
      <w:r w:rsidR="00C10AF3" w:rsidRPr="00C14F8E">
        <w:rPr>
          <w:i/>
          <w:iCs/>
        </w:rPr>
        <w:t xml:space="preserve"> inc</w:t>
      </w:r>
      <w:r w:rsidR="00C10AF3" w:rsidRPr="00C14F8E">
        <w:rPr>
          <w:iCs/>
        </w:rPr>
        <w:t>., 2022 QCTMF 8.</w:t>
      </w:r>
    </w:p>
  </w:footnote>
  <w:footnote w:id="56">
    <w:p w14:paraId="1ED9954E" w14:textId="7DD4AC10" w:rsidR="00671531" w:rsidRPr="00C10AF3" w:rsidRDefault="00671531" w:rsidP="00671531">
      <w:pPr>
        <w:pStyle w:val="Notedebasdepage"/>
        <w:rPr>
          <w:lang w:val="en-CA"/>
        </w:rPr>
      </w:pPr>
      <w:r>
        <w:rPr>
          <w:rStyle w:val="Appelnotedebasdep"/>
        </w:rPr>
        <w:footnoteRef/>
      </w:r>
      <w:r>
        <w:t xml:space="preserve"> </w:t>
      </w:r>
      <w:r>
        <w:tab/>
      </w:r>
      <w:r w:rsidR="00C10AF3" w:rsidRPr="00C14F8E">
        <w:rPr>
          <w:i/>
          <w:iCs/>
        </w:rPr>
        <w:t>Nadeau c.</w:t>
      </w:r>
      <w:r w:rsidR="00C10AF3" w:rsidRPr="00C14F8E">
        <w:rPr>
          <w:iCs/>
        </w:rPr>
        <w:t xml:space="preserve"> </w:t>
      </w:r>
      <w:r w:rsidR="00C10AF3" w:rsidRPr="00C14F8E">
        <w:rPr>
          <w:i/>
          <w:iCs/>
        </w:rPr>
        <w:t>Autorité des marchés financiers</w:t>
      </w:r>
      <w:r w:rsidR="00C10AF3" w:rsidRPr="00C14F8E">
        <w:rPr>
          <w:iCs/>
        </w:rPr>
        <w:t>, 2014 QCBDR 97 at para.</w:t>
      </w:r>
      <w:r>
        <w:t xml:space="preserve"> </w:t>
      </w:r>
      <w:r w:rsidR="00C10AF3" w:rsidRPr="00C10AF3">
        <w:rPr>
          <w:lang w:val="en-CA"/>
        </w:rPr>
        <w:t>29.</w:t>
      </w:r>
    </w:p>
  </w:footnote>
  <w:footnote w:id="57">
    <w:p w14:paraId="1CD4C65A" w14:textId="7D7519D4" w:rsidR="00671531" w:rsidRPr="00C10AF3" w:rsidRDefault="00671531" w:rsidP="00671531">
      <w:pPr>
        <w:pStyle w:val="Notedebasdepage"/>
        <w:rPr>
          <w:lang w:val="en-CA"/>
        </w:rPr>
      </w:pPr>
      <w:r>
        <w:rPr>
          <w:rStyle w:val="Appelnotedebasdep"/>
        </w:rPr>
        <w:footnoteRef/>
      </w:r>
      <w:r w:rsidRPr="00C10AF3">
        <w:rPr>
          <w:lang w:val="en-CA"/>
        </w:rPr>
        <w:t xml:space="preserve"> </w:t>
      </w:r>
      <w:r w:rsidRPr="00C10AF3">
        <w:rPr>
          <w:lang w:val="en-CA"/>
        </w:rPr>
        <w:tab/>
      </w:r>
      <w:r w:rsidR="00C10AF3">
        <w:rPr>
          <w:lang w:val="en-CA"/>
        </w:rPr>
        <w:t>T</w:t>
      </w:r>
      <w:r w:rsidR="00D21981">
        <w:rPr>
          <w:lang w:val="en-CA"/>
        </w:rPr>
        <w:t>he</w:t>
      </w:r>
      <w:r w:rsidR="00C10AF3">
        <w:rPr>
          <w:lang w:val="en-CA"/>
        </w:rPr>
        <w:t xml:space="preserve"> Tribunal’s power to clarify, amend, or revoke freeze orders is set out in the </w:t>
      </w:r>
      <w:r w:rsidR="00C10AF3" w:rsidRPr="00D21981">
        <w:rPr>
          <w:i/>
          <w:iCs/>
          <w:lang w:val="en-CA"/>
        </w:rPr>
        <w:t>Securities Act</w:t>
      </w:r>
      <w:r w:rsidR="00C10AF3">
        <w:rPr>
          <w:lang w:val="en-CA"/>
        </w:rPr>
        <w:t>, s.</w:t>
      </w:r>
      <w:r w:rsidRPr="00C10AF3">
        <w:rPr>
          <w:lang w:val="en-CA"/>
        </w:rPr>
        <w:t xml:space="preserve"> </w:t>
      </w:r>
      <w:r w:rsidR="00C10AF3" w:rsidRPr="00C14F8E">
        <w:rPr>
          <w:lang w:val="en-CA"/>
        </w:rPr>
        <w:t xml:space="preserve">255 and in the </w:t>
      </w:r>
      <w:r w:rsidR="00C10AF3" w:rsidRPr="00C14F8E">
        <w:rPr>
          <w:i/>
          <w:lang w:val="en-CA"/>
        </w:rPr>
        <w:t>Act respecting the distribution of financial products and services</w:t>
      </w:r>
      <w:r w:rsidR="00C10AF3" w:rsidRPr="00C14F8E">
        <w:rPr>
          <w:lang w:val="en-CA"/>
        </w:rPr>
        <w:t>, s.</w:t>
      </w:r>
      <w:r w:rsidRPr="00C10AF3">
        <w:rPr>
          <w:lang w:val="en-CA"/>
        </w:rPr>
        <w:t xml:space="preserve"> </w:t>
      </w:r>
      <w:r w:rsidR="00C10AF3">
        <w:rPr>
          <w:lang w:val="en-CA"/>
        </w:rPr>
        <w:t>115.7.</w:t>
      </w:r>
    </w:p>
  </w:footnote>
  <w:footnote w:id="58">
    <w:p w14:paraId="05030277" w14:textId="106CD61A" w:rsidR="00671531" w:rsidRPr="00D21981" w:rsidRDefault="00671531" w:rsidP="00671531">
      <w:pPr>
        <w:pStyle w:val="Notedebasdepage"/>
        <w:rPr>
          <w:lang w:val="en-CA"/>
        </w:rPr>
      </w:pPr>
      <w:r>
        <w:rPr>
          <w:rStyle w:val="Appelnotedebasdep"/>
        </w:rPr>
        <w:footnoteRef/>
      </w:r>
      <w:r w:rsidRPr="00C10AF3">
        <w:rPr>
          <w:lang w:val="en-CA"/>
        </w:rPr>
        <w:t xml:space="preserve"> </w:t>
      </w:r>
      <w:r w:rsidRPr="00C10AF3">
        <w:rPr>
          <w:lang w:val="en-CA"/>
        </w:rPr>
        <w:tab/>
      </w:r>
      <w:r w:rsidR="007201D5" w:rsidRPr="00C14F8E">
        <w:rPr>
          <w:i/>
          <w:iCs/>
          <w:lang w:val="en-CA"/>
        </w:rPr>
        <w:t>Securities Act</w:t>
      </w:r>
      <w:r w:rsidR="007201D5" w:rsidRPr="00D21981">
        <w:rPr>
          <w:lang w:val="en-CA"/>
        </w:rPr>
        <w:t>, s.</w:t>
      </w:r>
      <w:r w:rsidRPr="00C10AF3">
        <w:rPr>
          <w:lang w:val="en-CA"/>
        </w:rPr>
        <w:t xml:space="preserve"> </w:t>
      </w:r>
      <w:r w:rsidR="00C10AF3" w:rsidRPr="00C14F8E">
        <w:rPr>
          <w:lang w:val="en-CA"/>
        </w:rPr>
        <w:t xml:space="preserve">254 and </w:t>
      </w:r>
      <w:r w:rsidR="00C10AF3" w:rsidRPr="00C14F8E">
        <w:rPr>
          <w:i/>
          <w:lang w:val="en-CA"/>
        </w:rPr>
        <w:t>Act respecting the distribution of financial products and services</w:t>
      </w:r>
      <w:r w:rsidR="00C10AF3" w:rsidRPr="00C14F8E">
        <w:rPr>
          <w:lang w:val="en-CA"/>
        </w:rPr>
        <w:t>, s.</w:t>
      </w:r>
      <w:r w:rsidRPr="00C10AF3">
        <w:rPr>
          <w:lang w:val="en-CA"/>
        </w:rPr>
        <w:t xml:space="preserve"> </w:t>
      </w:r>
      <w:r w:rsidR="00C10AF3" w:rsidRPr="00D21981">
        <w:rPr>
          <w:lang w:val="en-CA"/>
        </w:rPr>
        <w:t>115.6.</w:t>
      </w:r>
      <w:r w:rsidRPr="00D21981">
        <w:rPr>
          <w:lang w:val="en-CA"/>
        </w:rPr>
        <w:t xml:space="preserve"> </w:t>
      </w:r>
    </w:p>
  </w:footnote>
  <w:footnote w:id="59">
    <w:p w14:paraId="3BAF9FA6" w14:textId="783356C6" w:rsidR="00671531" w:rsidRDefault="00671531" w:rsidP="00671531">
      <w:pPr>
        <w:pStyle w:val="Notedebasdepage"/>
      </w:pPr>
      <w:r>
        <w:rPr>
          <w:rStyle w:val="Appelnotedebasdep"/>
        </w:rPr>
        <w:footnoteRef/>
      </w:r>
      <w:r>
        <w:t xml:space="preserve"> </w:t>
      </w:r>
      <w:r>
        <w:tab/>
      </w:r>
      <w:r w:rsidR="00C10AF3" w:rsidRPr="00C14F8E">
        <w:rPr>
          <w:i/>
          <w:iCs/>
        </w:rPr>
        <w:t>Autorité des marchés financiers</w:t>
      </w:r>
      <w:r w:rsidR="00C10AF3" w:rsidRPr="00C14F8E">
        <w:rPr>
          <w:iCs/>
        </w:rPr>
        <w:t xml:space="preserve"> </w:t>
      </w:r>
      <w:r w:rsidR="00C10AF3" w:rsidRPr="00C14F8E">
        <w:rPr>
          <w:i/>
          <w:iCs/>
        </w:rPr>
        <w:t>c.</w:t>
      </w:r>
      <w:r w:rsidR="00C10AF3" w:rsidRPr="00C14F8E">
        <w:rPr>
          <w:iCs/>
        </w:rPr>
        <w:t xml:space="preserve"> </w:t>
      </w:r>
      <w:r w:rsidR="00C10AF3" w:rsidRPr="00C14F8E">
        <w:rPr>
          <w:i/>
          <w:iCs/>
        </w:rPr>
        <w:t>Dominion Investments</w:t>
      </w:r>
      <w:r w:rsidR="00C10AF3" w:rsidRPr="00C14F8E">
        <w:rPr>
          <w:iCs/>
        </w:rPr>
        <w:t>, 2007 QCBDRVM 45 at 8;</w:t>
      </w:r>
      <w:r>
        <w:t xml:space="preserve"> </w:t>
      </w:r>
    </w:p>
  </w:footnote>
  <w:footnote w:id="60">
    <w:p w14:paraId="08DE8EDD" w14:textId="0A34B081" w:rsidR="00671531" w:rsidRDefault="00671531" w:rsidP="00671531">
      <w:pPr>
        <w:pStyle w:val="Notedebasdepage"/>
      </w:pPr>
      <w:r>
        <w:rPr>
          <w:rStyle w:val="Appelnotedebasdep"/>
        </w:rPr>
        <w:footnoteRef/>
      </w:r>
      <w:r>
        <w:t xml:space="preserve"> </w:t>
      </w:r>
      <w:r>
        <w:tab/>
      </w:r>
      <w:r w:rsidR="00C10AF3" w:rsidRPr="00C14F8E">
        <w:rPr>
          <w:i/>
          <w:iCs/>
        </w:rPr>
        <w:t>Autorité des marchés financiers</w:t>
      </w:r>
      <w:r w:rsidR="00C10AF3" w:rsidRPr="00C14F8E">
        <w:rPr>
          <w:iCs/>
        </w:rPr>
        <w:t xml:space="preserve"> </w:t>
      </w:r>
      <w:r w:rsidR="00C10AF3" w:rsidRPr="00C14F8E">
        <w:rPr>
          <w:i/>
          <w:iCs/>
        </w:rPr>
        <w:t>c.</w:t>
      </w:r>
      <w:r w:rsidR="00C10AF3" w:rsidRPr="00C14F8E">
        <w:rPr>
          <w:iCs/>
        </w:rPr>
        <w:t xml:space="preserve"> </w:t>
      </w:r>
      <w:r w:rsidR="00C10AF3" w:rsidRPr="00C14F8E">
        <w:rPr>
          <w:i/>
          <w:iCs/>
        </w:rPr>
        <w:t xml:space="preserve">Gestion </w:t>
      </w:r>
      <w:proofErr w:type="spellStart"/>
      <w:r w:rsidR="00C10AF3" w:rsidRPr="00C14F8E">
        <w:rPr>
          <w:i/>
          <w:iCs/>
        </w:rPr>
        <w:t>Itradecoins</w:t>
      </w:r>
      <w:proofErr w:type="spellEnd"/>
      <w:r w:rsidR="00C10AF3" w:rsidRPr="00C14F8E">
        <w:rPr>
          <w:i/>
          <w:iCs/>
        </w:rPr>
        <w:t xml:space="preserve"> inc</w:t>
      </w:r>
      <w:r w:rsidR="00C10AF3" w:rsidRPr="00C14F8E">
        <w:rPr>
          <w:iCs/>
        </w:rPr>
        <w:t>., 2022 QCTMF 8 at para.</w:t>
      </w:r>
      <w:r>
        <w:t xml:space="preserve"> </w:t>
      </w:r>
      <w:r w:rsidR="00C10AF3" w:rsidRPr="00C14F8E">
        <w:t xml:space="preserve">26, </w:t>
      </w:r>
      <w:proofErr w:type="spellStart"/>
      <w:r w:rsidR="00C10AF3" w:rsidRPr="00C14F8E">
        <w:t>citing</w:t>
      </w:r>
      <w:proofErr w:type="spellEnd"/>
      <w:r w:rsidR="00C10AF3" w:rsidRPr="00C14F8E">
        <w:t xml:space="preserve"> </w:t>
      </w:r>
      <w:r w:rsidR="00C10AF3" w:rsidRPr="00C14F8E">
        <w:rPr>
          <w:i/>
        </w:rPr>
        <w:t>Autorité des marchés</w:t>
      </w:r>
      <w:r w:rsidR="00C10AF3" w:rsidRPr="00C14F8E">
        <w:t xml:space="preserve"> </w:t>
      </w:r>
      <w:r w:rsidR="00C10AF3" w:rsidRPr="00C14F8E">
        <w:rPr>
          <w:i/>
        </w:rPr>
        <w:t>financiers</w:t>
      </w:r>
      <w:r w:rsidR="00C10AF3" w:rsidRPr="00C14F8E">
        <w:t xml:space="preserve"> </w:t>
      </w:r>
      <w:r w:rsidR="00C10AF3" w:rsidRPr="00C14F8E">
        <w:rPr>
          <w:i/>
        </w:rPr>
        <w:t>c.</w:t>
      </w:r>
      <w:r w:rsidR="00C10AF3" w:rsidRPr="00C14F8E">
        <w:t xml:space="preserve"> </w:t>
      </w:r>
      <w:r w:rsidR="00C10AF3" w:rsidRPr="00C14F8E">
        <w:rPr>
          <w:i/>
        </w:rPr>
        <w:t>Gervais</w:t>
      </w:r>
      <w:r w:rsidR="00C10AF3" w:rsidRPr="00C14F8E">
        <w:t>, 2017 QCTMF 73 and</w:t>
      </w:r>
      <w:r w:rsidR="00C10AF3" w:rsidRPr="00C14F8E">
        <w:rPr>
          <w:i/>
        </w:rPr>
        <w:t xml:space="preserve"> Autorité des marchés financiers</w:t>
      </w:r>
      <w:r w:rsidR="00C10AF3" w:rsidRPr="00C14F8E">
        <w:t xml:space="preserve"> </w:t>
      </w:r>
      <w:r w:rsidR="00C10AF3" w:rsidRPr="00C14F8E">
        <w:rPr>
          <w:i/>
        </w:rPr>
        <w:t>c.</w:t>
      </w:r>
      <w:r w:rsidR="00C10AF3" w:rsidRPr="00C14F8E">
        <w:t xml:space="preserve"> </w:t>
      </w:r>
      <w:r w:rsidR="00C10AF3" w:rsidRPr="00C14F8E">
        <w:rPr>
          <w:i/>
        </w:rPr>
        <w:t>Dominion Investments</w:t>
      </w:r>
      <w:r w:rsidR="00C10AF3" w:rsidRPr="00C14F8E">
        <w:t>, 2007 QCBDRVM 45.</w:t>
      </w:r>
    </w:p>
  </w:footnote>
  <w:footnote w:id="61">
    <w:p w14:paraId="5D9EFBFC" w14:textId="1D61358B" w:rsidR="00C65B84" w:rsidRPr="00C14F8E" w:rsidRDefault="007E64CB" w:rsidP="00C65B84">
      <w:pPr>
        <w:pStyle w:val="Notedebasdepage"/>
        <w:rPr>
          <w:lang w:val="en-CA"/>
        </w:rPr>
      </w:pPr>
      <w:r>
        <w:rPr>
          <w:rStyle w:val="Appelnotedebasdep"/>
        </w:rPr>
        <w:footnoteRef/>
      </w:r>
      <w:r>
        <w:t xml:space="preserve"> </w:t>
      </w:r>
      <w:r>
        <w:tab/>
      </w:r>
      <w:r w:rsidR="00C10AF3" w:rsidRPr="00C14F8E">
        <w:rPr>
          <w:i/>
          <w:iCs/>
        </w:rPr>
        <w:t>Autorité des marchés financiers</w:t>
      </w:r>
      <w:r w:rsidR="00C10AF3" w:rsidRPr="00C14F8E">
        <w:rPr>
          <w:iCs/>
        </w:rPr>
        <w:t xml:space="preserve"> </w:t>
      </w:r>
      <w:r w:rsidR="00C10AF3" w:rsidRPr="00C14F8E">
        <w:rPr>
          <w:i/>
          <w:iCs/>
        </w:rPr>
        <w:t>c.</w:t>
      </w:r>
      <w:r w:rsidR="00C10AF3" w:rsidRPr="00C14F8E">
        <w:rPr>
          <w:iCs/>
        </w:rPr>
        <w:t xml:space="preserve"> </w:t>
      </w:r>
      <w:proofErr w:type="spellStart"/>
      <w:r w:rsidR="00C10AF3" w:rsidRPr="00C14F8E">
        <w:rPr>
          <w:i/>
          <w:iCs/>
        </w:rPr>
        <w:t>Kamaneh</w:t>
      </w:r>
      <w:proofErr w:type="spellEnd"/>
      <w:r w:rsidR="00C10AF3" w:rsidRPr="00C14F8E">
        <w:rPr>
          <w:iCs/>
        </w:rPr>
        <w:t xml:space="preserve">, 2023 QCTMF 28 at para. </w:t>
      </w:r>
      <w:r w:rsidR="00C10AF3" w:rsidRPr="00C14F8E">
        <w:rPr>
          <w:iCs/>
          <w:lang w:val="en-CA"/>
        </w:rPr>
        <w:t>24.</w:t>
      </w:r>
      <w:r w:rsidRPr="00C14F8E">
        <w:rPr>
          <w:lang w:val="en-CA"/>
        </w:rPr>
        <w:t xml:space="preserve"> </w:t>
      </w:r>
    </w:p>
  </w:footnote>
  <w:footnote w:id="62">
    <w:p w14:paraId="64A95319" w14:textId="532B0F9E" w:rsidR="00671531" w:rsidRPr="00C14F8E" w:rsidRDefault="00671531" w:rsidP="00671531">
      <w:pPr>
        <w:pStyle w:val="Notedebasdepage"/>
        <w:rPr>
          <w:lang w:val="en-CA"/>
        </w:rPr>
      </w:pPr>
      <w:r>
        <w:rPr>
          <w:rStyle w:val="Appelnotedebasdep"/>
        </w:rPr>
        <w:footnoteRef/>
      </w:r>
      <w:r w:rsidRPr="00D700BE">
        <w:rPr>
          <w:lang w:val="en-CA"/>
        </w:rPr>
        <w:t xml:space="preserve"> </w:t>
      </w:r>
      <w:r w:rsidRPr="00D700BE">
        <w:rPr>
          <w:lang w:val="en-CA"/>
        </w:rPr>
        <w:tab/>
      </w:r>
      <w:r w:rsidR="00E16690" w:rsidRPr="00C14F8E">
        <w:rPr>
          <w:i/>
          <w:iCs/>
          <w:lang w:val="en-CA"/>
        </w:rPr>
        <w:t>Law Society of Saskatchewan</w:t>
      </w:r>
      <w:r w:rsidR="00E16690" w:rsidRPr="00C14F8E">
        <w:rPr>
          <w:iCs/>
          <w:lang w:val="en-CA"/>
        </w:rPr>
        <w:t xml:space="preserve"> </w:t>
      </w:r>
      <w:r w:rsidR="00E16690" w:rsidRPr="00C14F8E">
        <w:rPr>
          <w:i/>
          <w:iCs/>
          <w:lang w:val="en-CA"/>
        </w:rPr>
        <w:t>v.</w:t>
      </w:r>
      <w:r w:rsidR="00E16690" w:rsidRPr="00C14F8E">
        <w:rPr>
          <w:iCs/>
          <w:lang w:val="en-CA"/>
        </w:rPr>
        <w:t xml:space="preserve"> </w:t>
      </w:r>
      <w:proofErr w:type="spellStart"/>
      <w:r w:rsidR="00E16690" w:rsidRPr="00C14F8E">
        <w:rPr>
          <w:i/>
          <w:iCs/>
          <w:lang w:val="en-CA"/>
        </w:rPr>
        <w:t>Abrametz</w:t>
      </w:r>
      <w:proofErr w:type="spellEnd"/>
      <w:r w:rsidR="00E16690" w:rsidRPr="00C14F8E">
        <w:rPr>
          <w:iCs/>
          <w:lang w:val="en-CA"/>
        </w:rPr>
        <w:t>, 2022 SCC 29 at para.</w:t>
      </w:r>
      <w:r w:rsidRPr="00D700BE">
        <w:rPr>
          <w:lang w:val="en-CA"/>
        </w:rPr>
        <w:t xml:space="preserve"> </w:t>
      </w:r>
      <w:r w:rsidR="00C10AF3" w:rsidRPr="00C14F8E">
        <w:rPr>
          <w:lang w:val="en-CA"/>
        </w:rPr>
        <w:t>59.</w:t>
      </w:r>
    </w:p>
  </w:footnote>
  <w:footnote w:id="63">
    <w:p w14:paraId="6BF9745B" w14:textId="18E2D83B" w:rsidR="00671531" w:rsidRPr="00C14F8E" w:rsidRDefault="00671531" w:rsidP="00671531">
      <w:pPr>
        <w:pStyle w:val="Notedebasdepage"/>
        <w:rPr>
          <w:lang w:val="en-CA"/>
        </w:rPr>
      </w:pPr>
      <w:r>
        <w:rPr>
          <w:rStyle w:val="Appelnotedebasdep"/>
        </w:rPr>
        <w:footnoteRef/>
      </w:r>
      <w:r w:rsidRPr="00C14F8E">
        <w:rPr>
          <w:lang w:val="en-CA"/>
        </w:rPr>
        <w:t xml:space="preserve"> </w:t>
      </w:r>
      <w:r w:rsidRPr="00C14F8E">
        <w:rPr>
          <w:lang w:val="en-CA"/>
        </w:rPr>
        <w:tab/>
      </w:r>
      <w:proofErr w:type="spellStart"/>
      <w:r w:rsidR="00C10AF3" w:rsidRPr="00C14F8E">
        <w:rPr>
          <w:i/>
          <w:iCs/>
          <w:lang w:val="en-CA"/>
        </w:rPr>
        <w:t>Autorité</w:t>
      </w:r>
      <w:proofErr w:type="spellEnd"/>
      <w:r w:rsidR="00C10AF3" w:rsidRPr="00C14F8E">
        <w:rPr>
          <w:i/>
          <w:iCs/>
          <w:lang w:val="en-CA"/>
        </w:rPr>
        <w:t xml:space="preserve"> des </w:t>
      </w:r>
      <w:proofErr w:type="spellStart"/>
      <w:r w:rsidR="00C10AF3" w:rsidRPr="00C14F8E">
        <w:rPr>
          <w:i/>
          <w:iCs/>
          <w:lang w:val="en-CA"/>
        </w:rPr>
        <w:t>marchés</w:t>
      </w:r>
      <w:proofErr w:type="spellEnd"/>
      <w:r w:rsidR="00C10AF3" w:rsidRPr="00C14F8E">
        <w:rPr>
          <w:i/>
          <w:iCs/>
          <w:lang w:val="en-CA"/>
        </w:rPr>
        <w:t xml:space="preserve"> financiers c. </w:t>
      </w:r>
      <w:proofErr w:type="spellStart"/>
      <w:r w:rsidR="00C10AF3" w:rsidRPr="00C14F8E">
        <w:rPr>
          <w:i/>
          <w:iCs/>
          <w:lang w:val="en-CA"/>
        </w:rPr>
        <w:t>Plexcorps</w:t>
      </w:r>
      <w:proofErr w:type="spellEnd"/>
      <w:r w:rsidR="00C10AF3" w:rsidRPr="00C14F8E">
        <w:rPr>
          <w:iCs/>
          <w:lang w:val="en-CA"/>
        </w:rPr>
        <w:t>, 2021 QCTMF 39 at para.</w:t>
      </w:r>
      <w:r w:rsidRPr="00C14F8E">
        <w:rPr>
          <w:lang w:val="en-CA"/>
        </w:rPr>
        <w:t xml:space="preserve"> </w:t>
      </w:r>
      <w:r w:rsidR="00C10AF3" w:rsidRPr="00C14F8E">
        <w:rPr>
          <w:lang w:val="en-CA"/>
        </w:rPr>
        <w:t>32.</w:t>
      </w:r>
    </w:p>
  </w:footnote>
  <w:footnote w:id="64">
    <w:p w14:paraId="7D965555" w14:textId="0FF97164" w:rsidR="0064347F" w:rsidRPr="00C14F8E" w:rsidRDefault="0064347F" w:rsidP="0064347F">
      <w:pPr>
        <w:pStyle w:val="Notedebasdepage"/>
        <w:rPr>
          <w:lang w:val="en-CA"/>
        </w:rPr>
      </w:pPr>
      <w:r w:rsidRPr="006D13F6">
        <w:rPr>
          <w:rStyle w:val="Appelnotedebasdep"/>
        </w:rPr>
        <w:footnoteRef/>
      </w:r>
      <w:r w:rsidRPr="00C14F8E">
        <w:rPr>
          <w:lang w:val="en-CA"/>
        </w:rPr>
        <w:t xml:space="preserve"> </w:t>
      </w:r>
      <w:r w:rsidRPr="00C14F8E">
        <w:rPr>
          <w:lang w:val="en-CA"/>
        </w:rPr>
        <w:tab/>
      </w:r>
      <w:r w:rsidR="00E16690" w:rsidRPr="00C14F8E">
        <w:rPr>
          <w:lang w:val="en-CA"/>
        </w:rPr>
        <w:t>2022 QCCS 1761.</w:t>
      </w:r>
    </w:p>
  </w:footnote>
  <w:footnote w:id="65">
    <w:p w14:paraId="0825CA59" w14:textId="4636D956" w:rsidR="0064347F" w:rsidRPr="00E16690" w:rsidRDefault="0064347F" w:rsidP="0064347F">
      <w:pPr>
        <w:pStyle w:val="Notedebasdepage"/>
        <w:rPr>
          <w:lang w:val="en-CA"/>
        </w:rPr>
      </w:pPr>
      <w:r w:rsidRPr="006D13F6">
        <w:rPr>
          <w:rStyle w:val="Appelnotedebasdep"/>
        </w:rPr>
        <w:footnoteRef/>
      </w:r>
      <w:r w:rsidRPr="00E16690">
        <w:rPr>
          <w:lang w:val="en-CA"/>
        </w:rPr>
        <w:t xml:space="preserve"> </w:t>
      </w:r>
      <w:r w:rsidRPr="00E16690">
        <w:rPr>
          <w:lang w:val="en-CA"/>
        </w:rPr>
        <w:tab/>
      </w:r>
      <w:r w:rsidR="007201D5" w:rsidRPr="00C14F8E">
        <w:rPr>
          <w:i/>
          <w:iCs/>
          <w:lang w:val="en-CA"/>
        </w:rPr>
        <w:t>Securities Act</w:t>
      </w:r>
      <w:r w:rsidR="007201D5" w:rsidRPr="00F05B43">
        <w:rPr>
          <w:lang w:val="en-CA"/>
        </w:rPr>
        <w:t>, s.</w:t>
      </w:r>
      <w:r w:rsidRPr="00E16690">
        <w:rPr>
          <w:lang w:val="en-CA"/>
        </w:rPr>
        <w:t xml:space="preserve"> </w:t>
      </w:r>
      <w:r w:rsidR="00E16690" w:rsidRPr="00C14F8E">
        <w:rPr>
          <w:lang w:val="en-CA"/>
        </w:rPr>
        <w:t>250</w:t>
      </w:r>
      <w:r w:rsidR="00184820">
        <w:rPr>
          <w:lang w:val="en-CA"/>
        </w:rPr>
        <w:t>,</w:t>
      </w:r>
      <w:r w:rsidR="00E16690" w:rsidRPr="00C14F8E">
        <w:rPr>
          <w:lang w:val="en-CA"/>
        </w:rPr>
        <w:t xml:space="preserve"> and </w:t>
      </w:r>
      <w:r w:rsidR="00E16690" w:rsidRPr="00C14F8E">
        <w:rPr>
          <w:i/>
          <w:lang w:val="en-CA"/>
        </w:rPr>
        <w:t>Act respecting the distribution of financial products and services</w:t>
      </w:r>
      <w:r w:rsidR="00E16690" w:rsidRPr="00C14F8E">
        <w:rPr>
          <w:lang w:val="en-CA"/>
        </w:rPr>
        <w:t>, s.</w:t>
      </w:r>
      <w:r w:rsidRPr="00E16690">
        <w:rPr>
          <w:lang w:val="en-CA"/>
        </w:rPr>
        <w:t xml:space="preserve"> </w:t>
      </w:r>
      <w:r w:rsidR="00E16690" w:rsidRPr="00E16690">
        <w:rPr>
          <w:lang w:val="en-CA"/>
        </w:rPr>
        <w:t>115.3.</w:t>
      </w:r>
      <w:r w:rsidRPr="00E16690">
        <w:rPr>
          <w:lang w:val="en-CA"/>
        </w:rPr>
        <w:t xml:space="preserve"> </w:t>
      </w:r>
    </w:p>
  </w:footnote>
  <w:footnote w:id="66">
    <w:p w14:paraId="01B2B935" w14:textId="413C8C16" w:rsidR="0064347F" w:rsidRPr="00C14F8E" w:rsidRDefault="0064347F" w:rsidP="0064347F">
      <w:pPr>
        <w:pStyle w:val="Notedebasdepage"/>
      </w:pPr>
      <w:r w:rsidRPr="006D13F6">
        <w:rPr>
          <w:rStyle w:val="Appelnotedebasdep"/>
        </w:rPr>
        <w:footnoteRef/>
      </w:r>
      <w:r w:rsidRPr="00E16690">
        <w:rPr>
          <w:lang w:val="en-CA"/>
        </w:rPr>
        <w:t xml:space="preserve"> </w:t>
      </w:r>
      <w:r w:rsidRPr="00E16690">
        <w:rPr>
          <w:lang w:val="en-CA"/>
        </w:rPr>
        <w:tab/>
      </w:r>
      <w:r w:rsidR="007201D5" w:rsidRPr="00C14F8E">
        <w:rPr>
          <w:i/>
          <w:iCs/>
          <w:lang w:val="en-CA"/>
        </w:rPr>
        <w:t>Securities Act,</w:t>
      </w:r>
      <w:r w:rsidR="007201D5" w:rsidRPr="00F05B43">
        <w:rPr>
          <w:lang w:val="en-CA"/>
        </w:rPr>
        <w:t xml:space="preserve"> s.</w:t>
      </w:r>
      <w:r w:rsidRPr="00F05B43">
        <w:rPr>
          <w:lang w:val="en-CA"/>
        </w:rPr>
        <w:t xml:space="preserve"> </w:t>
      </w:r>
      <w:r w:rsidR="00C10AF3" w:rsidRPr="00C14F8E">
        <w:rPr>
          <w:lang w:val="en-CA"/>
        </w:rPr>
        <w:t>249</w:t>
      </w:r>
      <w:r w:rsidR="00184820">
        <w:rPr>
          <w:lang w:val="en-CA"/>
        </w:rPr>
        <w:t>,</w:t>
      </w:r>
      <w:r w:rsidR="00C10AF3" w:rsidRPr="00C14F8E">
        <w:rPr>
          <w:lang w:val="en-CA"/>
        </w:rPr>
        <w:t xml:space="preserve"> and </w:t>
      </w:r>
      <w:r w:rsidR="00C10AF3" w:rsidRPr="00C14F8E">
        <w:rPr>
          <w:i/>
          <w:lang w:val="en-CA"/>
        </w:rPr>
        <w:t>Act respecting the distribution of financial products and services</w:t>
      </w:r>
      <w:r w:rsidR="00C10AF3" w:rsidRPr="00C14F8E">
        <w:rPr>
          <w:lang w:val="en-CA"/>
        </w:rPr>
        <w:t xml:space="preserve">, s. </w:t>
      </w:r>
      <w:r w:rsidRPr="00E16690">
        <w:rPr>
          <w:lang w:val="en-CA"/>
        </w:rPr>
        <w:t xml:space="preserve"> </w:t>
      </w:r>
      <w:r w:rsidR="00E16690" w:rsidRPr="00C14F8E">
        <w:t>115.3.</w:t>
      </w:r>
      <w:r w:rsidRPr="00C14F8E">
        <w:t xml:space="preserve"> </w:t>
      </w:r>
    </w:p>
    <w:p w14:paraId="4077D815" w14:textId="77777777" w:rsidR="0064347F" w:rsidRPr="00C14F8E" w:rsidRDefault="0064347F" w:rsidP="0064347F">
      <w:pPr>
        <w:pStyle w:val="Notedebasdepage"/>
      </w:pPr>
    </w:p>
  </w:footnote>
  <w:footnote w:id="67">
    <w:p w14:paraId="50462952" w14:textId="3ED52808" w:rsidR="0076411A" w:rsidRDefault="007E64CB" w:rsidP="0072322E">
      <w:pPr>
        <w:pStyle w:val="Notedebasdepage"/>
      </w:pPr>
      <w:r>
        <w:rPr>
          <w:rStyle w:val="Appelnotedebasdep"/>
        </w:rPr>
        <w:footnoteRef/>
      </w:r>
      <w:r w:rsidR="0072322E">
        <w:t xml:space="preserve"> </w:t>
      </w:r>
      <w:r w:rsidR="0072322E">
        <w:tab/>
      </w:r>
      <w:r w:rsidR="00E16690" w:rsidRPr="00C14F8E">
        <w:rPr>
          <w:i/>
          <w:iCs/>
        </w:rPr>
        <w:t>Autorité des marchés financiers</w:t>
      </w:r>
      <w:r w:rsidR="00E16690" w:rsidRPr="00C14F8E">
        <w:rPr>
          <w:iCs/>
        </w:rPr>
        <w:t xml:space="preserve"> </w:t>
      </w:r>
      <w:r w:rsidR="00E16690" w:rsidRPr="00C14F8E">
        <w:rPr>
          <w:i/>
          <w:iCs/>
        </w:rPr>
        <w:t>c.</w:t>
      </w:r>
      <w:r w:rsidR="00E16690" w:rsidRPr="00C14F8E">
        <w:rPr>
          <w:iCs/>
        </w:rPr>
        <w:t xml:space="preserve"> </w:t>
      </w:r>
      <w:r w:rsidR="00E16690" w:rsidRPr="00C14F8E">
        <w:rPr>
          <w:i/>
          <w:iCs/>
        </w:rPr>
        <w:t>Tremblay</w:t>
      </w:r>
      <w:r w:rsidR="00E16690" w:rsidRPr="00C14F8E">
        <w:rPr>
          <w:iCs/>
        </w:rPr>
        <w:t>, 2023 QCTMF 60 at para.</w:t>
      </w:r>
      <w:r w:rsidR="00D93237">
        <w:t xml:space="preserve"> </w:t>
      </w:r>
      <w:r w:rsidR="00C10AF3">
        <w:t>34.</w:t>
      </w:r>
    </w:p>
  </w:footnote>
  <w:footnote w:id="68">
    <w:p w14:paraId="408C1FB7" w14:textId="0D8EFBFD" w:rsidR="007E64CB" w:rsidRPr="00C10AF3" w:rsidRDefault="007E64CB" w:rsidP="007E64CB">
      <w:pPr>
        <w:pStyle w:val="Notedebasdepage"/>
        <w:rPr>
          <w:lang w:val="en-CA"/>
        </w:rPr>
      </w:pPr>
      <w:r>
        <w:rPr>
          <w:rStyle w:val="Appelnotedebasdep"/>
        </w:rPr>
        <w:footnoteRef/>
      </w:r>
      <w:r>
        <w:t xml:space="preserve"> </w:t>
      </w:r>
      <w:r>
        <w:tab/>
      </w:r>
      <w:r w:rsidR="007201D5" w:rsidRPr="00C14F8E">
        <w:rPr>
          <w:iCs/>
        </w:rPr>
        <w:t xml:space="preserve">Autorité des marchés financiers </w:t>
      </w:r>
      <w:r w:rsidR="007201D5" w:rsidRPr="00C14F8E">
        <w:rPr>
          <w:i/>
          <w:iCs/>
        </w:rPr>
        <w:t>c.</w:t>
      </w:r>
      <w:r w:rsidR="007201D5" w:rsidRPr="00C14F8E">
        <w:rPr>
          <w:iCs/>
        </w:rPr>
        <w:t xml:space="preserve"> </w:t>
      </w:r>
      <w:r w:rsidR="007201D5" w:rsidRPr="00C14F8E">
        <w:rPr>
          <w:i/>
          <w:iCs/>
        </w:rPr>
        <w:t xml:space="preserve">Gestion </w:t>
      </w:r>
      <w:proofErr w:type="spellStart"/>
      <w:r w:rsidR="007201D5" w:rsidRPr="00C14F8E">
        <w:rPr>
          <w:i/>
          <w:iCs/>
        </w:rPr>
        <w:t>Itradecoins</w:t>
      </w:r>
      <w:proofErr w:type="spellEnd"/>
      <w:r w:rsidR="007201D5" w:rsidRPr="00C14F8E">
        <w:rPr>
          <w:i/>
          <w:iCs/>
        </w:rPr>
        <w:t xml:space="preserve"> inc</w:t>
      </w:r>
      <w:r w:rsidR="007201D5" w:rsidRPr="00C14F8E">
        <w:rPr>
          <w:iCs/>
        </w:rPr>
        <w:t>., 2022 QCTMF 8 at para.</w:t>
      </w:r>
      <w:r>
        <w:t xml:space="preserve"> </w:t>
      </w:r>
      <w:r w:rsidR="00C10AF3" w:rsidRPr="00C10AF3">
        <w:rPr>
          <w:lang w:val="en-CA"/>
        </w:rPr>
        <w:t>28.</w:t>
      </w:r>
    </w:p>
  </w:footnote>
  <w:footnote w:id="69">
    <w:p w14:paraId="6365E4C0" w14:textId="333BE7CE" w:rsidR="007E64CB" w:rsidRPr="00C10AF3" w:rsidRDefault="007E64CB" w:rsidP="007E64CB">
      <w:pPr>
        <w:pStyle w:val="Notedebasdepage"/>
        <w:rPr>
          <w:lang w:val="en-CA"/>
        </w:rPr>
      </w:pPr>
      <w:r>
        <w:rPr>
          <w:rStyle w:val="Appelnotedebasdep"/>
        </w:rPr>
        <w:footnoteRef/>
      </w:r>
      <w:r w:rsidRPr="00C10AF3">
        <w:rPr>
          <w:lang w:val="en-CA"/>
        </w:rPr>
        <w:t xml:space="preserve"> </w:t>
      </w:r>
      <w:r w:rsidRPr="00C10AF3">
        <w:rPr>
          <w:lang w:val="en-CA"/>
        </w:rPr>
        <w:tab/>
      </w:r>
      <w:proofErr w:type="spellStart"/>
      <w:r w:rsidR="00C10AF3" w:rsidRPr="00C10AF3">
        <w:rPr>
          <w:i/>
          <w:lang w:val="en-CA"/>
        </w:rPr>
        <w:t>Autorité</w:t>
      </w:r>
      <w:proofErr w:type="spellEnd"/>
      <w:r w:rsidR="00C10AF3" w:rsidRPr="00C10AF3">
        <w:rPr>
          <w:i/>
          <w:lang w:val="en-CA"/>
        </w:rPr>
        <w:t xml:space="preserve"> des </w:t>
      </w:r>
      <w:proofErr w:type="spellStart"/>
      <w:r w:rsidR="00C10AF3" w:rsidRPr="00C10AF3">
        <w:rPr>
          <w:i/>
          <w:lang w:val="en-CA"/>
        </w:rPr>
        <w:t>marchés</w:t>
      </w:r>
      <w:proofErr w:type="spellEnd"/>
      <w:r w:rsidR="00C10AF3" w:rsidRPr="00C10AF3">
        <w:rPr>
          <w:i/>
          <w:lang w:val="en-CA"/>
        </w:rPr>
        <w:t xml:space="preserve"> financiers</w:t>
      </w:r>
      <w:r w:rsidR="00C10AF3" w:rsidRPr="00C10AF3">
        <w:rPr>
          <w:lang w:val="en-CA"/>
        </w:rPr>
        <w:t xml:space="preserve"> </w:t>
      </w:r>
      <w:r w:rsidR="00C10AF3" w:rsidRPr="00C10AF3">
        <w:rPr>
          <w:i/>
          <w:lang w:val="en-CA"/>
        </w:rPr>
        <w:t>c.</w:t>
      </w:r>
      <w:r w:rsidR="00C10AF3" w:rsidRPr="00C10AF3">
        <w:rPr>
          <w:lang w:val="en-CA"/>
        </w:rPr>
        <w:t xml:space="preserve"> </w:t>
      </w:r>
      <w:r w:rsidR="00C10AF3" w:rsidRPr="00C10AF3">
        <w:rPr>
          <w:i/>
          <w:lang w:val="en-CA"/>
        </w:rPr>
        <w:t>Tremblay</w:t>
      </w:r>
      <w:r w:rsidR="00C10AF3" w:rsidRPr="00C10AF3">
        <w:rPr>
          <w:lang w:val="en-CA"/>
        </w:rPr>
        <w:t>, 2021 QCTMF 74, in which the detailed reasons were rendered on January 14, 2022.</w:t>
      </w:r>
    </w:p>
  </w:footnote>
  <w:footnote w:id="70">
    <w:p w14:paraId="43A535F1" w14:textId="4759AF5D" w:rsidR="007E64CB" w:rsidRDefault="007E64CB" w:rsidP="007E64CB">
      <w:pPr>
        <w:pStyle w:val="Notedebasdepage"/>
      </w:pPr>
      <w:r>
        <w:rPr>
          <w:rStyle w:val="Appelnotedebasdep"/>
        </w:rPr>
        <w:footnoteRef/>
      </w:r>
      <w:r>
        <w:t xml:space="preserve"> </w:t>
      </w:r>
      <w:r>
        <w:tab/>
      </w:r>
      <w:r w:rsidR="007201D5" w:rsidRPr="00C14F8E">
        <w:rPr>
          <w:i/>
          <w:iCs/>
        </w:rPr>
        <w:t>Autorité des marchés financiers c.</w:t>
      </w:r>
      <w:r w:rsidR="007201D5" w:rsidRPr="00C14F8E">
        <w:rPr>
          <w:iCs/>
        </w:rPr>
        <w:t xml:space="preserve"> </w:t>
      </w:r>
      <w:r w:rsidR="007201D5" w:rsidRPr="00C14F8E">
        <w:rPr>
          <w:i/>
          <w:iCs/>
        </w:rPr>
        <w:t>Tremblay</w:t>
      </w:r>
      <w:r w:rsidR="007201D5" w:rsidRPr="00C14F8E">
        <w:rPr>
          <w:iCs/>
        </w:rPr>
        <w:t>, 2023 QCTMF 88.</w:t>
      </w:r>
    </w:p>
  </w:footnote>
  <w:footnote w:id="71">
    <w:p w14:paraId="7563F21F" w14:textId="3E8333C5" w:rsidR="007201D5" w:rsidRDefault="007201D5" w:rsidP="007201D5">
      <w:pPr>
        <w:pStyle w:val="Notedebasdepage"/>
      </w:pPr>
      <w:r>
        <w:rPr>
          <w:rStyle w:val="Appelnotedebasdep"/>
        </w:rPr>
        <w:footnoteRef/>
      </w:r>
      <w:r>
        <w:t xml:space="preserve"> </w:t>
      </w:r>
      <w:r>
        <w:tab/>
      </w:r>
      <w:r w:rsidR="00C10AF3" w:rsidRPr="00C14F8E">
        <w:rPr>
          <w:i/>
        </w:rPr>
        <w:t>Autorité des marchés financiers c. Tremblay</w:t>
      </w:r>
      <w:r w:rsidR="00C10AF3" w:rsidRPr="00C14F8E">
        <w:t>, 2022 QCTMF 2.</w:t>
      </w:r>
    </w:p>
  </w:footnote>
  <w:footnote w:id="72">
    <w:p w14:paraId="2F51EC39" w14:textId="576536C9" w:rsidR="007201D5" w:rsidRDefault="007201D5" w:rsidP="007201D5">
      <w:pPr>
        <w:pStyle w:val="Notedebasdepage"/>
      </w:pPr>
      <w:r>
        <w:rPr>
          <w:rStyle w:val="Appelnotedebasdep"/>
        </w:rPr>
        <w:footnoteRef/>
      </w:r>
      <w:r>
        <w:t xml:space="preserve"> </w:t>
      </w:r>
      <w:r>
        <w:tab/>
      </w:r>
      <w:r w:rsidR="00C10AF3" w:rsidRPr="00C14F8E">
        <w:rPr>
          <w:i/>
        </w:rPr>
        <w:t>Autorité des marchés financiers c. Tremblay</w:t>
      </w:r>
      <w:r w:rsidR="00C10AF3" w:rsidRPr="00C14F8E">
        <w:t>, 2022 QCTMF 5.</w:t>
      </w:r>
    </w:p>
  </w:footnote>
  <w:footnote w:id="73">
    <w:p w14:paraId="309ECBD7" w14:textId="27BF89E3" w:rsidR="007201D5" w:rsidRDefault="007201D5" w:rsidP="007201D5">
      <w:pPr>
        <w:pStyle w:val="Notedebasdepage"/>
      </w:pPr>
      <w:r>
        <w:rPr>
          <w:rStyle w:val="Appelnotedebasdep"/>
        </w:rPr>
        <w:footnoteRef/>
      </w:r>
      <w:r>
        <w:t xml:space="preserve"> </w:t>
      </w:r>
      <w:r>
        <w:tab/>
      </w:r>
      <w:r w:rsidR="00C10AF3" w:rsidRPr="00C14F8E">
        <w:rPr>
          <w:i/>
        </w:rPr>
        <w:t>Autorité des marchés financiers c. Tremblay</w:t>
      </w:r>
      <w:r w:rsidR="00C10AF3" w:rsidRPr="00C14F8E">
        <w:t>, 2022 QCTMF 11.</w:t>
      </w:r>
    </w:p>
  </w:footnote>
  <w:footnote w:id="74">
    <w:p w14:paraId="2383099E" w14:textId="20B6F84E" w:rsidR="007201D5" w:rsidRDefault="007201D5" w:rsidP="007201D5">
      <w:pPr>
        <w:pStyle w:val="Notedebasdepage"/>
      </w:pPr>
      <w:r>
        <w:rPr>
          <w:rStyle w:val="Appelnotedebasdep"/>
        </w:rPr>
        <w:footnoteRef/>
      </w:r>
      <w:r>
        <w:t xml:space="preserve"> </w:t>
      </w:r>
      <w:r>
        <w:tab/>
      </w:r>
      <w:r w:rsidR="00C10AF3" w:rsidRPr="00C14F8E">
        <w:rPr>
          <w:i/>
        </w:rPr>
        <w:t>Autorité des marchés financiers</w:t>
      </w:r>
      <w:r w:rsidR="00C10AF3" w:rsidRPr="00C14F8E">
        <w:t xml:space="preserve"> </w:t>
      </w:r>
      <w:r w:rsidR="00C10AF3" w:rsidRPr="00C14F8E">
        <w:rPr>
          <w:i/>
        </w:rPr>
        <w:t>c.</w:t>
      </w:r>
      <w:r w:rsidR="00C10AF3" w:rsidRPr="00C14F8E">
        <w:t xml:space="preserve"> </w:t>
      </w:r>
      <w:r w:rsidR="00C10AF3" w:rsidRPr="00C14F8E">
        <w:rPr>
          <w:i/>
        </w:rPr>
        <w:t>Tremblay</w:t>
      </w:r>
      <w:r w:rsidR="00C10AF3" w:rsidRPr="00C14F8E">
        <w:t>, 2022 QCTMF 17.</w:t>
      </w:r>
    </w:p>
  </w:footnote>
  <w:footnote w:id="75">
    <w:p w14:paraId="50258A29" w14:textId="09BD2ABD" w:rsidR="007201D5" w:rsidRDefault="007201D5" w:rsidP="007201D5">
      <w:pPr>
        <w:pStyle w:val="Notedebasdepage"/>
      </w:pPr>
      <w:r>
        <w:rPr>
          <w:rStyle w:val="Appelnotedebasdep"/>
        </w:rPr>
        <w:footnoteRef/>
      </w:r>
      <w:r>
        <w:t xml:space="preserve"> </w:t>
      </w:r>
      <w:r>
        <w:tab/>
      </w:r>
      <w:r w:rsidR="00C10AF3" w:rsidRPr="00C14F8E">
        <w:rPr>
          <w:i/>
        </w:rPr>
        <w:t>Autorité des marchés financiers c. Tremblay</w:t>
      </w:r>
      <w:r w:rsidR="00C10AF3" w:rsidRPr="00C14F8E">
        <w:t>, 2022 QCTMF 44</w:t>
      </w:r>
      <w:r w:rsidR="00C10AF3" w:rsidRPr="00C14F8E">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344E" w14:textId="77777777" w:rsidR="00C10AF3" w:rsidRDefault="00C10AF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524CF" w14:textId="4FF27150" w:rsidR="00F30FCB" w:rsidRDefault="00890E99">
    <w:pPr>
      <w:tabs>
        <w:tab w:val="center" w:pos="4709"/>
        <w:tab w:val="right" w:pos="9360"/>
      </w:tabs>
      <w:ind w:right="524"/>
    </w:pPr>
    <w:r>
      <w:t>2021-026-012</w:t>
    </w:r>
    <w:r w:rsidR="007E64CB">
      <w:tab/>
    </w:r>
    <w:r w:rsidR="007E64CB">
      <w:tab/>
    </w:r>
    <w:r w:rsidR="00C10AF3" w:rsidRPr="00C14F8E">
      <w:t>PAGE:</w:t>
    </w:r>
    <w:r w:rsidR="007E64CB">
      <w:t xml:space="preserve"> </w:t>
    </w:r>
    <w:r w:rsidR="007E64CB">
      <w:fldChar w:fldCharType="begin"/>
    </w:r>
    <w:r w:rsidR="007E64CB">
      <w:instrText xml:space="preserve"> PAGE </w:instrText>
    </w:r>
    <w:r w:rsidR="007E64CB">
      <w:fldChar w:fldCharType="separate"/>
    </w:r>
    <w:r w:rsidR="00D305C8">
      <w:rPr>
        <w:noProof/>
      </w:rPr>
      <w:t>6</w:t>
    </w:r>
    <w:r w:rsidR="007E64CB">
      <w:fldChar w:fldCharType="end"/>
    </w:r>
  </w:p>
  <w:p w14:paraId="6521F67C" w14:textId="77777777" w:rsidR="00F30FCB" w:rsidRDefault="00F30FCB">
    <w:pPr>
      <w:tabs>
        <w:tab w:val="center" w:pos="4709"/>
        <w:tab w:val="right" w:pos="9090"/>
      </w:tabs>
      <w:ind w:right="524"/>
    </w:pPr>
  </w:p>
  <w:p w14:paraId="62F9D25B" w14:textId="77777777" w:rsidR="00F30FCB" w:rsidRDefault="00F30FCB">
    <w:pPr>
      <w:tabs>
        <w:tab w:val="center" w:pos="4709"/>
        <w:tab w:val="right" w:pos="9090"/>
      </w:tabs>
      <w:ind w:right="52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3C2E" w14:textId="77777777" w:rsidR="00C10AF3" w:rsidRDefault="00C10AF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31895"/>
    <w:multiLevelType w:val="hybridMultilevel"/>
    <w:tmpl w:val="6534036A"/>
    <w:lvl w:ilvl="0" w:tplc="D6146FC0">
      <w:start w:val="9"/>
      <w:numFmt w:val="lowerLetter"/>
      <w:lvlText w:val="%1."/>
      <w:lvlJc w:val="left"/>
      <w:pPr>
        <w:ind w:left="720" w:hanging="360"/>
      </w:pPr>
      <w:rPr>
        <w:rFonts w:hint="default"/>
      </w:rPr>
    </w:lvl>
    <w:lvl w:ilvl="1" w:tplc="79924BDE" w:tentative="1">
      <w:start w:val="1"/>
      <w:numFmt w:val="lowerLetter"/>
      <w:lvlText w:val="%2."/>
      <w:lvlJc w:val="left"/>
      <w:pPr>
        <w:ind w:left="1440" w:hanging="360"/>
      </w:pPr>
    </w:lvl>
    <w:lvl w:ilvl="2" w:tplc="EE70DD06" w:tentative="1">
      <w:start w:val="1"/>
      <w:numFmt w:val="lowerRoman"/>
      <w:lvlText w:val="%3."/>
      <w:lvlJc w:val="right"/>
      <w:pPr>
        <w:ind w:left="2160" w:hanging="180"/>
      </w:pPr>
    </w:lvl>
    <w:lvl w:ilvl="3" w:tplc="BDEED766" w:tentative="1">
      <w:start w:val="1"/>
      <w:numFmt w:val="decimal"/>
      <w:lvlText w:val="%4."/>
      <w:lvlJc w:val="left"/>
      <w:pPr>
        <w:ind w:left="2880" w:hanging="360"/>
      </w:pPr>
    </w:lvl>
    <w:lvl w:ilvl="4" w:tplc="0CB620AE" w:tentative="1">
      <w:start w:val="1"/>
      <w:numFmt w:val="lowerLetter"/>
      <w:lvlText w:val="%5."/>
      <w:lvlJc w:val="left"/>
      <w:pPr>
        <w:ind w:left="3600" w:hanging="360"/>
      </w:pPr>
    </w:lvl>
    <w:lvl w:ilvl="5" w:tplc="0352DD8E" w:tentative="1">
      <w:start w:val="1"/>
      <w:numFmt w:val="lowerRoman"/>
      <w:lvlText w:val="%6."/>
      <w:lvlJc w:val="right"/>
      <w:pPr>
        <w:ind w:left="4320" w:hanging="180"/>
      </w:pPr>
    </w:lvl>
    <w:lvl w:ilvl="6" w:tplc="2B2A6B26" w:tentative="1">
      <w:start w:val="1"/>
      <w:numFmt w:val="decimal"/>
      <w:lvlText w:val="%7."/>
      <w:lvlJc w:val="left"/>
      <w:pPr>
        <w:ind w:left="5040" w:hanging="360"/>
      </w:pPr>
    </w:lvl>
    <w:lvl w:ilvl="7" w:tplc="062C47C2" w:tentative="1">
      <w:start w:val="1"/>
      <w:numFmt w:val="lowerLetter"/>
      <w:lvlText w:val="%8."/>
      <w:lvlJc w:val="left"/>
      <w:pPr>
        <w:ind w:left="5760" w:hanging="360"/>
      </w:pPr>
    </w:lvl>
    <w:lvl w:ilvl="8" w:tplc="6DC0E8C0" w:tentative="1">
      <w:start w:val="1"/>
      <w:numFmt w:val="lowerRoman"/>
      <w:lvlText w:val="%9."/>
      <w:lvlJc w:val="right"/>
      <w:pPr>
        <w:ind w:left="6480" w:hanging="180"/>
      </w:pPr>
    </w:lvl>
  </w:abstractNum>
  <w:abstractNum w:abstractNumId="1" w15:restartNumberingAfterBreak="0">
    <w:nsid w:val="43F14409"/>
    <w:multiLevelType w:val="hybridMultilevel"/>
    <w:tmpl w:val="EBBC303A"/>
    <w:lvl w:ilvl="0" w:tplc="A2A2AC34">
      <w:start w:val="3"/>
      <w:numFmt w:val="lowerRoman"/>
      <w:lvlText w:val="%1."/>
      <w:lvlJc w:val="left"/>
      <w:pPr>
        <w:ind w:left="1080" w:hanging="720"/>
      </w:pPr>
      <w:rPr>
        <w:rFonts w:hint="default"/>
      </w:rPr>
    </w:lvl>
    <w:lvl w:ilvl="1" w:tplc="BC1AC7FE" w:tentative="1">
      <w:start w:val="1"/>
      <w:numFmt w:val="lowerLetter"/>
      <w:lvlText w:val="%2."/>
      <w:lvlJc w:val="left"/>
      <w:pPr>
        <w:ind w:left="1440" w:hanging="360"/>
      </w:pPr>
    </w:lvl>
    <w:lvl w:ilvl="2" w:tplc="E5FED14A" w:tentative="1">
      <w:start w:val="1"/>
      <w:numFmt w:val="lowerRoman"/>
      <w:lvlText w:val="%3."/>
      <w:lvlJc w:val="right"/>
      <w:pPr>
        <w:ind w:left="2160" w:hanging="180"/>
      </w:pPr>
    </w:lvl>
    <w:lvl w:ilvl="3" w:tplc="A062754E" w:tentative="1">
      <w:start w:val="1"/>
      <w:numFmt w:val="decimal"/>
      <w:lvlText w:val="%4."/>
      <w:lvlJc w:val="left"/>
      <w:pPr>
        <w:ind w:left="2880" w:hanging="360"/>
      </w:pPr>
    </w:lvl>
    <w:lvl w:ilvl="4" w:tplc="B2BEB53C" w:tentative="1">
      <w:start w:val="1"/>
      <w:numFmt w:val="lowerLetter"/>
      <w:lvlText w:val="%5."/>
      <w:lvlJc w:val="left"/>
      <w:pPr>
        <w:ind w:left="3600" w:hanging="360"/>
      </w:pPr>
    </w:lvl>
    <w:lvl w:ilvl="5" w:tplc="3BA0BED4" w:tentative="1">
      <w:start w:val="1"/>
      <w:numFmt w:val="lowerRoman"/>
      <w:lvlText w:val="%6."/>
      <w:lvlJc w:val="right"/>
      <w:pPr>
        <w:ind w:left="4320" w:hanging="180"/>
      </w:pPr>
    </w:lvl>
    <w:lvl w:ilvl="6" w:tplc="719AA816" w:tentative="1">
      <w:start w:val="1"/>
      <w:numFmt w:val="decimal"/>
      <w:lvlText w:val="%7."/>
      <w:lvlJc w:val="left"/>
      <w:pPr>
        <w:ind w:left="5040" w:hanging="360"/>
      </w:pPr>
    </w:lvl>
    <w:lvl w:ilvl="7" w:tplc="BCAA504E" w:tentative="1">
      <w:start w:val="1"/>
      <w:numFmt w:val="lowerLetter"/>
      <w:lvlText w:val="%8."/>
      <w:lvlJc w:val="left"/>
      <w:pPr>
        <w:ind w:left="5760" w:hanging="360"/>
      </w:pPr>
    </w:lvl>
    <w:lvl w:ilvl="8" w:tplc="374CE112" w:tentative="1">
      <w:start w:val="1"/>
      <w:numFmt w:val="lowerRoman"/>
      <w:lvlText w:val="%9."/>
      <w:lvlJc w:val="right"/>
      <w:pPr>
        <w:ind w:left="6480" w:hanging="180"/>
      </w:pPr>
    </w:lvl>
  </w:abstractNum>
  <w:abstractNum w:abstractNumId="2" w15:restartNumberingAfterBreak="0">
    <w:nsid w:val="481179BC"/>
    <w:multiLevelType w:val="hybridMultilevel"/>
    <w:tmpl w:val="E88846EA"/>
    <w:lvl w:ilvl="0" w:tplc="1CD43F32">
      <w:start w:val="1"/>
      <w:numFmt w:val="decimal"/>
      <w:lvlText w:val="%1."/>
      <w:lvlJc w:val="left"/>
      <w:pPr>
        <w:ind w:left="720" w:hanging="360"/>
      </w:pPr>
    </w:lvl>
    <w:lvl w:ilvl="1" w:tplc="F66ADCA0">
      <w:start w:val="1"/>
      <w:numFmt w:val="lowerLetter"/>
      <w:lvlText w:val="%2."/>
      <w:lvlJc w:val="left"/>
      <w:pPr>
        <w:ind w:left="1440" w:hanging="360"/>
      </w:pPr>
    </w:lvl>
    <w:lvl w:ilvl="2" w:tplc="62E0B608">
      <w:start w:val="2"/>
      <w:numFmt w:val="lowerRoman"/>
      <w:lvlText w:val="%3."/>
      <w:lvlJc w:val="left"/>
      <w:pPr>
        <w:ind w:left="2700" w:hanging="720"/>
      </w:pPr>
      <w:rPr>
        <w:rFonts w:cs="Times New Roman" w:hint="default"/>
        <w:i w:val="0"/>
      </w:rPr>
    </w:lvl>
    <w:lvl w:ilvl="3" w:tplc="FCCA556C" w:tentative="1">
      <w:start w:val="1"/>
      <w:numFmt w:val="decimal"/>
      <w:lvlText w:val="%4."/>
      <w:lvlJc w:val="left"/>
      <w:pPr>
        <w:ind w:left="2880" w:hanging="360"/>
      </w:pPr>
    </w:lvl>
    <w:lvl w:ilvl="4" w:tplc="89C83268" w:tentative="1">
      <w:start w:val="1"/>
      <w:numFmt w:val="lowerLetter"/>
      <w:lvlText w:val="%5."/>
      <w:lvlJc w:val="left"/>
      <w:pPr>
        <w:ind w:left="3600" w:hanging="360"/>
      </w:pPr>
    </w:lvl>
    <w:lvl w:ilvl="5" w:tplc="17544C5E" w:tentative="1">
      <w:start w:val="1"/>
      <w:numFmt w:val="lowerRoman"/>
      <w:lvlText w:val="%6."/>
      <w:lvlJc w:val="right"/>
      <w:pPr>
        <w:ind w:left="4320" w:hanging="180"/>
      </w:pPr>
    </w:lvl>
    <w:lvl w:ilvl="6" w:tplc="FF46ADD2" w:tentative="1">
      <w:start w:val="1"/>
      <w:numFmt w:val="decimal"/>
      <w:lvlText w:val="%7."/>
      <w:lvlJc w:val="left"/>
      <w:pPr>
        <w:ind w:left="5040" w:hanging="360"/>
      </w:pPr>
    </w:lvl>
    <w:lvl w:ilvl="7" w:tplc="F2182F1A" w:tentative="1">
      <w:start w:val="1"/>
      <w:numFmt w:val="lowerLetter"/>
      <w:lvlText w:val="%8."/>
      <w:lvlJc w:val="left"/>
      <w:pPr>
        <w:ind w:left="5760" w:hanging="360"/>
      </w:pPr>
    </w:lvl>
    <w:lvl w:ilvl="8" w:tplc="462C9360" w:tentative="1">
      <w:start w:val="1"/>
      <w:numFmt w:val="lowerRoman"/>
      <w:lvlText w:val="%9."/>
      <w:lvlJc w:val="right"/>
      <w:pPr>
        <w:ind w:left="6480" w:hanging="180"/>
      </w:pPr>
    </w:lvl>
  </w:abstractNum>
  <w:abstractNum w:abstractNumId="3" w15:restartNumberingAfterBreak="0">
    <w:nsid w:val="4D2B2359"/>
    <w:multiLevelType w:val="hybridMultilevel"/>
    <w:tmpl w:val="7ECCBDE8"/>
    <w:lvl w:ilvl="0" w:tplc="39ACC9DC">
      <w:start w:val="35"/>
      <w:numFmt w:val="lowerLetter"/>
      <w:lvlText w:val="%1."/>
      <w:lvlJc w:val="left"/>
      <w:pPr>
        <w:ind w:left="720" w:hanging="360"/>
      </w:pPr>
      <w:rPr>
        <w:rFonts w:hint="default"/>
        <w:i w:val="0"/>
        <w:iCs w:val="0"/>
      </w:rPr>
    </w:lvl>
    <w:lvl w:ilvl="1" w:tplc="865C12D6" w:tentative="1">
      <w:start w:val="1"/>
      <w:numFmt w:val="lowerLetter"/>
      <w:lvlText w:val="%2."/>
      <w:lvlJc w:val="left"/>
      <w:pPr>
        <w:ind w:left="1440" w:hanging="360"/>
      </w:pPr>
    </w:lvl>
    <w:lvl w:ilvl="2" w:tplc="1FD8E324" w:tentative="1">
      <w:start w:val="1"/>
      <w:numFmt w:val="lowerRoman"/>
      <w:lvlText w:val="%3."/>
      <w:lvlJc w:val="right"/>
      <w:pPr>
        <w:ind w:left="2160" w:hanging="180"/>
      </w:pPr>
    </w:lvl>
    <w:lvl w:ilvl="3" w:tplc="9002391A" w:tentative="1">
      <w:start w:val="1"/>
      <w:numFmt w:val="decimal"/>
      <w:lvlText w:val="%4."/>
      <w:lvlJc w:val="left"/>
      <w:pPr>
        <w:ind w:left="2880" w:hanging="360"/>
      </w:pPr>
    </w:lvl>
    <w:lvl w:ilvl="4" w:tplc="0E6CB246" w:tentative="1">
      <w:start w:val="1"/>
      <w:numFmt w:val="lowerLetter"/>
      <w:lvlText w:val="%5."/>
      <w:lvlJc w:val="left"/>
      <w:pPr>
        <w:ind w:left="3600" w:hanging="360"/>
      </w:pPr>
    </w:lvl>
    <w:lvl w:ilvl="5" w:tplc="D9BC7A1E" w:tentative="1">
      <w:start w:val="1"/>
      <w:numFmt w:val="lowerRoman"/>
      <w:lvlText w:val="%6."/>
      <w:lvlJc w:val="right"/>
      <w:pPr>
        <w:ind w:left="4320" w:hanging="180"/>
      </w:pPr>
    </w:lvl>
    <w:lvl w:ilvl="6" w:tplc="5C6AB9AA" w:tentative="1">
      <w:start w:val="1"/>
      <w:numFmt w:val="decimal"/>
      <w:lvlText w:val="%7."/>
      <w:lvlJc w:val="left"/>
      <w:pPr>
        <w:ind w:left="5040" w:hanging="360"/>
      </w:pPr>
    </w:lvl>
    <w:lvl w:ilvl="7" w:tplc="6090E1B6" w:tentative="1">
      <w:start w:val="1"/>
      <w:numFmt w:val="lowerLetter"/>
      <w:lvlText w:val="%8."/>
      <w:lvlJc w:val="left"/>
      <w:pPr>
        <w:ind w:left="5760" w:hanging="360"/>
      </w:pPr>
    </w:lvl>
    <w:lvl w:ilvl="8" w:tplc="95F8BF10" w:tentative="1">
      <w:start w:val="1"/>
      <w:numFmt w:val="lowerRoman"/>
      <w:lvlText w:val="%9."/>
      <w:lvlJc w:val="right"/>
      <w:pPr>
        <w:ind w:left="6480" w:hanging="180"/>
      </w:pPr>
    </w:lvl>
  </w:abstractNum>
  <w:abstractNum w:abstractNumId="4" w15:restartNumberingAfterBreak="0">
    <w:nsid w:val="59F900C6"/>
    <w:multiLevelType w:val="hybridMultilevel"/>
    <w:tmpl w:val="B2200010"/>
    <w:lvl w:ilvl="0" w:tplc="07A0CDE6">
      <w:start w:val="1"/>
      <w:numFmt w:val="bullet"/>
      <w:lvlText w:val=""/>
      <w:lvlJc w:val="left"/>
      <w:pPr>
        <w:ind w:left="2160" w:hanging="360"/>
      </w:pPr>
      <w:rPr>
        <w:rFonts w:ascii="Symbol" w:hAnsi="Symbol" w:hint="default"/>
      </w:rPr>
    </w:lvl>
    <w:lvl w:ilvl="1" w:tplc="97B2F2C8">
      <w:start w:val="1"/>
      <w:numFmt w:val="bullet"/>
      <w:lvlText w:val="o"/>
      <w:lvlJc w:val="left"/>
      <w:pPr>
        <w:ind w:left="2880" w:hanging="360"/>
      </w:pPr>
      <w:rPr>
        <w:rFonts w:ascii="Courier New" w:hAnsi="Courier New" w:cs="Courier New" w:hint="default"/>
      </w:rPr>
    </w:lvl>
    <w:lvl w:ilvl="2" w:tplc="81C616F6">
      <w:start w:val="1"/>
      <w:numFmt w:val="bullet"/>
      <w:lvlText w:val=""/>
      <w:lvlJc w:val="left"/>
      <w:pPr>
        <w:ind w:left="3600" w:hanging="360"/>
      </w:pPr>
      <w:rPr>
        <w:rFonts w:ascii="Wingdings" w:hAnsi="Wingdings" w:hint="default"/>
      </w:rPr>
    </w:lvl>
    <w:lvl w:ilvl="3" w:tplc="58EA8652">
      <w:start w:val="1"/>
      <w:numFmt w:val="bullet"/>
      <w:lvlText w:val=""/>
      <w:lvlJc w:val="left"/>
      <w:pPr>
        <w:ind w:left="4320" w:hanging="360"/>
      </w:pPr>
      <w:rPr>
        <w:rFonts w:ascii="Symbol" w:hAnsi="Symbol" w:hint="default"/>
      </w:rPr>
    </w:lvl>
    <w:lvl w:ilvl="4" w:tplc="99F4CDA0">
      <w:start w:val="1"/>
      <w:numFmt w:val="bullet"/>
      <w:lvlText w:val="o"/>
      <w:lvlJc w:val="left"/>
      <w:pPr>
        <w:ind w:left="5040" w:hanging="360"/>
      </w:pPr>
      <w:rPr>
        <w:rFonts w:ascii="Courier New" w:hAnsi="Courier New" w:cs="Courier New" w:hint="default"/>
      </w:rPr>
    </w:lvl>
    <w:lvl w:ilvl="5" w:tplc="19229DE2">
      <w:start w:val="1"/>
      <w:numFmt w:val="bullet"/>
      <w:lvlText w:val=""/>
      <w:lvlJc w:val="left"/>
      <w:pPr>
        <w:ind w:left="5760" w:hanging="360"/>
      </w:pPr>
      <w:rPr>
        <w:rFonts w:ascii="Wingdings" w:hAnsi="Wingdings" w:hint="default"/>
      </w:rPr>
    </w:lvl>
    <w:lvl w:ilvl="6" w:tplc="7E5C0F0A">
      <w:start w:val="1"/>
      <w:numFmt w:val="bullet"/>
      <w:lvlText w:val=""/>
      <w:lvlJc w:val="left"/>
      <w:pPr>
        <w:ind w:left="6480" w:hanging="360"/>
      </w:pPr>
      <w:rPr>
        <w:rFonts w:ascii="Symbol" w:hAnsi="Symbol" w:hint="default"/>
      </w:rPr>
    </w:lvl>
    <w:lvl w:ilvl="7" w:tplc="4412B9F0">
      <w:start w:val="1"/>
      <w:numFmt w:val="bullet"/>
      <w:lvlText w:val="o"/>
      <w:lvlJc w:val="left"/>
      <w:pPr>
        <w:ind w:left="7200" w:hanging="360"/>
      </w:pPr>
      <w:rPr>
        <w:rFonts w:ascii="Courier New" w:hAnsi="Courier New" w:cs="Courier New" w:hint="default"/>
      </w:rPr>
    </w:lvl>
    <w:lvl w:ilvl="8" w:tplc="C7A242BE">
      <w:start w:val="1"/>
      <w:numFmt w:val="bullet"/>
      <w:lvlText w:val=""/>
      <w:lvlJc w:val="left"/>
      <w:pPr>
        <w:ind w:left="7920" w:hanging="360"/>
      </w:pPr>
      <w:rPr>
        <w:rFonts w:ascii="Wingdings" w:hAnsi="Wingdings" w:hint="default"/>
      </w:rPr>
    </w:lvl>
  </w:abstractNum>
  <w:abstractNum w:abstractNumId="5" w15:restartNumberingAfterBreak="0">
    <w:nsid w:val="609C0DCC"/>
    <w:multiLevelType w:val="multilevel"/>
    <w:tmpl w:val="078E11EA"/>
    <w:lvl w:ilvl="0">
      <w:start w:val="1"/>
      <w:numFmt w:val="decimal"/>
      <w:pStyle w:val="Paragraphe"/>
      <w:lvlText w:val="[%1]"/>
      <w:lvlJc w:val="left"/>
      <w:pPr>
        <w:tabs>
          <w:tab w:val="num" w:pos="360"/>
        </w:tabs>
        <w:ind w:left="0" w:firstLine="0"/>
      </w:pPr>
      <w:rPr>
        <w:rFonts w:ascii="Arial" w:hAnsi="Arial" w:hint="default"/>
        <w:b w:val="0"/>
        <w:i w:val="0"/>
        <w:sz w:val="24"/>
      </w:rPr>
    </w:lvl>
    <w:lvl w:ilvl="1">
      <w:start w:val="1"/>
      <w:numFmt w:val="decimal"/>
      <w:pStyle w:val="Sous-paragraphe"/>
      <w:lvlText w:val="%1.%2."/>
      <w:lvlJc w:val="left"/>
      <w:pPr>
        <w:tabs>
          <w:tab w:val="num" w:pos="367"/>
        </w:tabs>
        <w:ind w:left="367" w:hanging="432"/>
      </w:pPr>
    </w:lvl>
    <w:lvl w:ilvl="2">
      <w:start w:val="1"/>
      <w:numFmt w:val="decimal"/>
      <w:lvlText w:val="%1.%2.%3."/>
      <w:lvlJc w:val="left"/>
      <w:pPr>
        <w:tabs>
          <w:tab w:val="num" w:pos="1015"/>
        </w:tabs>
        <w:ind w:left="799" w:hanging="504"/>
      </w:pPr>
    </w:lvl>
    <w:lvl w:ilvl="3">
      <w:start w:val="1"/>
      <w:numFmt w:val="decimal"/>
      <w:lvlText w:val="%1.%2.%3.%4."/>
      <w:lvlJc w:val="left"/>
      <w:pPr>
        <w:tabs>
          <w:tab w:val="num" w:pos="1303"/>
        </w:tabs>
        <w:ind w:left="1303" w:hanging="648"/>
      </w:pPr>
    </w:lvl>
    <w:lvl w:ilvl="4">
      <w:start w:val="1"/>
      <w:numFmt w:val="decimal"/>
      <w:lvlText w:val="%1.%2.%3.%4.%5."/>
      <w:lvlJc w:val="left"/>
      <w:pPr>
        <w:tabs>
          <w:tab w:val="num" w:pos="2095"/>
        </w:tabs>
        <w:ind w:left="1807" w:hanging="792"/>
      </w:pPr>
    </w:lvl>
    <w:lvl w:ilvl="5">
      <w:start w:val="1"/>
      <w:numFmt w:val="decimal"/>
      <w:lvlText w:val="%1.%2.%3.%4.%5.%6."/>
      <w:lvlJc w:val="left"/>
      <w:pPr>
        <w:tabs>
          <w:tab w:val="num" w:pos="2815"/>
        </w:tabs>
        <w:ind w:left="2311" w:hanging="936"/>
      </w:pPr>
    </w:lvl>
    <w:lvl w:ilvl="6">
      <w:start w:val="1"/>
      <w:numFmt w:val="decimal"/>
      <w:lvlText w:val="%1.%2.%3.%4.%5.%6.%7."/>
      <w:lvlJc w:val="left"/>
      <w:pPr>
        <w:tabs>
          <w:tab w:val="num" w:pos="3175"/>
        </w:tabs>
        <w:ind w:left="2815" w:hanging="1080"/>
      </w:pPr>
    </w:lvl>
    <w:lvl w:ilvl="7">
      <w:start w:val="1"/>
      <w:numFmt w:val="decimal"/>
      <w:lvlText w:val="%1.%2.%3.%4.%5.%6.%7.%8."/>
      <w:lvlJc w:val="left"/>
      <w:pPr>
        <w:tabs>
          <w:tab w:val="num" w:pos="3895"/>
        </w:tabs>
        <w:ind w:left="3319" w:hanging="1224"/>
      </w:pPr>
    </w:lvl>
    <w:lvl w:ilvl="8">
      <w:start w:val="1"/>
      <w:numFmt w:val="decimal"/>
      <w:lvlText w:val="%1.%2.%3.%4.%5.%6.%7.%8.%9."/>
      <w:lvlJc w:val="left"/>
      <w:pPr>
        <w:tabs>
          <w:tab w:val="num" w:pos="4615"/>
        </w:tabs>
        <w:ind w:left="3895" w:hanging="1440"/>
      </w:pPr>
    </w:lvl>
  </w:abstractNum>
  <w:abstractNum w:abstractNumId="6" w15:restartNumberingAfterBreak="0">
    <w:nsid w:val="7DCE227D"/>
    <w:multiLevelType w:val="hybridMultilevel"/>
    <w:tmpl w:val="9FD08840"/>
    <w:lvl w:ilvl="0" w:tplc="20ACC39C">
      <w:start w:val="1"/>
      <w:numFmt w:val="bullet"/>
      <w:lvlText w:val=""/>
      <w:lvlJc w:val="left"/>
      <w:pPr>
        <w:ind w:left="1500" w:hanging="360"/>
      </w:pPr>
      <w:rPr>
        <w:rFonts w:ascii="Symbol" w:hAnsi="Symbol" w:hint="default"/>
      </w:rPr>
    </w:lvl>
    <w:lvl w:ilvl="1" w:tplc="B150DFD0">
      <w:start w:val="1"/>
      <w:numFmt w:val="bullet"/>
      <w:lvlText w:val="o"/>
      <w:lvlJc w:val="left"/>
      <w:pPr>
        <w:ind w:left="2220" w:hanging="360"/>
      </w:pPr>
      <w:rPr>
        <w:rFonts w:ascii="Courier New" w:hAnsi="Courier New" w:cs="Courier New" w:hint="default"/>
      </w:rPr>
    </w:lvl>
    <w:lvl w:ilvl="2" w:tplc="CCBCD776">
      <w:start w:val="1"/>
      <w:numFmt w:val="bullet"/>
      <w:lvlText w:val=""/>
      <w:lvlJc w:val="left"/>
      <w:pPr>
        <w:ind w:left="2940" w:hanging="360"/>
      </w:pPr>
      <w:rPr>
        <w:rFonts w:ascii="Wingdings" w:hAnsi="Wingdings" w:hint="default"/>
      </w:rPr>
    </w:lvl>
    <w:lvl w:ilvl="3" w:tplc="7318C9B6">
      <w:start w:val="1"/>
      <w:numFmt w:val="bullet"/>
      <w:lvlText w:val=""/>
      <w:lvlJc w:val="left"/>
      <w:pPr>
        <w:ind w:left="3660" w:hanging="360"/>
      </w:pPr>
      <w:rPr>
        <w:rFonts w:ascii="Symbol" w:hAnsi="Symbol" w:hint="default"/>
      </w:rPr>
    </w:lvl>
    <w:lvl w:ilvl="4" w:tplc="BEE63356">
      <w:start w:val="1"/>
      <w:numFmt w:val="bullet"/>
      <w:lvlText w:val="o"/>
      <w:lvlJc w:val="left"/>
      <w:pPr>
        <w:ind w:left="4380" w:hanging="360"/>
      </w:pPr>
      <w:rPr>
        <w:rFonts w:ascii="Courier New" w:hAnsi="Courier New" w:cs="Courier New" w:hint="default"/>
      </w:rPr>
    </w:lvl>
    <w:lvl w:ilvl="5" w:tplc="F73AEC58">
      <w:start w:val="1"/>
      <w:numFmt w:val="bullet"/>
      <w:lvlText w:val=""/>
      <w:lvlJc w:val="left"/>
      <w:pPr>
        <w:ind w:left="5100" w:hanging="360"/>
      </w:pPr>
      <w:rPr>
        <w:rFonts w:ascii="Wingdings" w:hAnsi="Wingdings" w:hint="default"/>
      </w:rPr>
    </w:lvl>
    <w:lvl w:ilvl="6" w:tplc="70BA251E">
      <w:start w:val="1"/>
      <w:numFmt w:val="bullet"/>
      <w:lvlText w:val=""/>
      <w:lvlJc w:val="left"/>
      <w:pPr>
        <w:ind w:left="5820" w:hanging="360"/>
      </w:pPr>
      <w:rPr>
        <w:rFonts w:ascii="Symbol" w:hAnsi="Symbol" w:hint="default"/>
      </w:rPr>
    </w:lvl>
    <w:lvl w:ilvl="7" w:tplc="577E00B8">
      <w:start w:val="1"/>
      <w:numFmt w:val="bullet"/>
      <w:lvlText w:val="o"/>
      <w:lvlJc w:val="left"/>
      <w:pPr>
        <w:ind w:left="6540" w:hanging="360"/>
      </w:pPr>
      <w:rPr>
        <w:rFonts w:ascii="Courier New" w:hAnsi="Courier New" w:cs="Courier New" w:hint="default"/>
      </w:rPr>
    </w:lvl>
    <w:lvl w:ilvl="8" w:tplc="E072F984">
      <w:start w:val="1"/>
      <w:numFmt w:val="bullet"/>
      <w:lvlText w:val=""/>
      <w:lvlJc w:val="left"/>
      <w:pPr>
        <w:ind w:left="7260" w:hanging="360"/>
      </w:pPr>
      <w:rPr>
        <w:rFonts w:ascii="Wingdings" w:hAnsi="Wingdings" w:hint="default"/>
      </w:rPr>
    </w:lvl>
  </w:abstractNum>
  <w:num w:numId="1" w16cid:durableId="850264805">
    <w:abstractNumId w:val="5"/>
  </w:num>
  <w:num w:numId="2" w16cid:durableId="1597443665">
    <w:abstractNumId w:val="4"/>
  </w:num>
  <w:num w:numId="3" w16cid:durableId="977033411">
    <w:abstractNumId w:val="6"/>
  </w:num>
  <w:num w:numId="4" w16cid:durableId="1188064081">
    <w:abstractNumId w:val="2"/>
  </w:num>
  <w:num w:numId="5" w16cid:durableId="1040976747">
    <w:abstractNumId w:val="0"/>
  </w:num>
  <w:num w:numId="6" w16cid:durableId="1045835570">
    <w:abstractNumId w:val="3"/>
  </w:num>
  <w:num w:numId="7" w16cid:durableId="11534381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4"/>
  <w:hyphenationZone w:val="425"/>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E45"/>
    <w:rsid w:val="0000189E"/>
    <w:rsid w:val="00002EF2"/>
    <w:rsid w:val="00003F17"/>
    <w:rsid w:val="00004D89"/>
    <w:rsid w:val="00004DF0"/>
    <w:rsid w:val="0000526B"/>
    <w:rsid w:val="0000595F"/>
    <w:rsid w:val="000103D2"/>
    <w:rsid w:val="00010B85"/>
    <w:rsid w:val="000113A6"/>
    <w:rsid w:val="0001189B"/>
    <w:rsid w:val="00011E25"/>
    <w:rsid w:val="00012C89"/>
    <w:rsid w:val="0001330E"/>
    <w:rsid w:val="0001382B"/>
    <w:rsid w:val="00014177"/>
    <w:rsid w:val="00014FD1"/>
    <w:rsid w:val="00015DC5"/>
    <w:rsid w:val="00016933"/>
    <w:rsid w:val="00017195"/>
    <w:rsid w:val="000174C2"/>
    <w:rsid w:val="00017E63"/>
    <w:rsid w:val="00017F0C"/>
    <w:rsid w:val="00020EDF"/>
    <w:rsid w:val="00021D46"/>
    <w:rsid w:val="00022F79"/>
    <w:rsid w:val="000235A0"/>
    <w:rsid w:val="00023B8A"/>
    <w:rsid w:val="00024D2B"/>
    <w:rsid w:val="00024EB0"/>
    <w:rsid w:val="00025C6B"/>
    <w:rsid w:val="00026AA1"/>
    <w:rsid w:val="0002722E"/>
    <w:rsid w:val="000303BD"/>
    <w:rsid w:val="00030A87"/>
    <w:rsid w:val="00030AB2"/>
    <w:rsid w:val="000318C6"/>
    <w:rsid w:val="00031BB2"/>
    <w:rsid w:val="00032CE4"/>
    <w:rsid w:val="00032CEA"/>
    <w:rsid w:val="00032FE9"/>
    <w:rsid w:val="00035889"/>
    <w:rsid w:val="00035F2C"/>
    <w:rsid w:val="0003737F"/>
    <w:rsid w:val="00037D25"/>
    <w:rsid w:val="0004108F"/>
    <w:rsid w:val="000413C3"/>
    <w:rsid w:val="00041804"/>
    <w:rsid w:val="00044EF0"/>
    <w:rsid w:val="00045BF7"/>
    <w:rsid w:val="00046542"/>
    <w:rsid w:val="00047A8D"/>
    <w:rsid w:val="00047F84"/>
    <w:rsid w:val="00050215"/>
    <w:rsid w:val="00050CC2"/>
    <w:rsid w:val="000510FE"/>
    <w:rsid w:val="00052243"/>
    <w:rsid w:val="00052F73"/>
    <w:rsid w:val="00053F10"/>
    <w:rsid w:val="0005483F"/>
    <w:rsid w:val="0005518A"/>
    <w:rsid w:val="00056328"/>
    <w:rsid w:val="000568ED"/>
    <w:rsid w:val="00056DEC"/>
    <w:rsid w:val="00056F5E"/>
    <w:rsid w:val="0005730C"/>
    <w:rsid w:val="00060531"/>
    <w:rsid w:val="00060793"/>
    <w:rsid w:val="00062CDA"/>
    <w:rsid w:val="000645AD"/>
    <w:rsid w:val="000650AC"/>
    <w:rsid w:val="000654A6"/>
    <w:rsid w:val="00067183"/>
    <w:rsid w:val="00067366"/>
    <w:rsid w:val="00070D64"/>
    <w:rsid w:val="00071F65"/>
    <w:rsid w:val="000727CA"/>
    <w:rsid w:val="00072911"/>
    <w:rsid w:val="00072C37"/>
    <w:rsid w:val="00072F62"/>
    <w:rsid w:val="0007366E"/>
    <w:rsid w:val="000740DF"/>
    <w:rsid w:val="00074E94"/>
    <w:rsid w:val="00074F9E"/>
    <w:rsid w:val="0007555F"/>
    <w:rsid w:val="00075B3F"/>
    <w:rsid w:val="0007623D"/>
    <w:rsid w:val="00080A10"/>
    <w:rsid w:val="00080C2B"/>
    <w:rsid w:val="00080E44"/>
    <w:rsid w:val="00082D0B"/>
    <w:rsid w:val="00083B99"/>
    <w:rsid w:val="00085137"/>
    <w:rsid w:val="00090A7E"/>
    <w:rsid w:val="00091611"/>
    <w:rsid w:val="000922B8"/>
    <w:rsid w:val="00092FF7"/>
    <w:rsid w:val="00095ADE"/>
    <w:rsid w:val="0009671F"/>
    <w:rsid w:val="00096A8F"/>
    <w:rsid w:val="000973EA"/>
    <w:rsid w:val="000976EC"/>
    <w:rsid w:val="000A0577"/>
    <w:rsid w:val="000A089B"/>
    <w:rsid w:val="000A0936"/>
    <w:rsid w:val="000A2090"/>
    <w:rsid w:val="000A2308"/>
    <w:rsid w:val="000A25D2"/>
    <w:rsid w:val="000A363F"/>
    <w:rsid w:val="000A38D8"/>
    <w:rsid w:val="000A3E95"/>
    <w:rsid w:val="000A43BD"/>
    <w:rsid w:val="000A4F30"/>
    <w:rsid w:val="000A58F8"/>
    <w:rsid w:val="000A695D"/>
    <w:rsid w:val="000A6F8C"/>
    <w:rsid w:val="000A77E6"/>
    <w:rsid w:val="000A7A05"/>
    <w:rsid w:val="000B05F4"/>
    <w:rsid w:val="000B1920"/>
    <w:rsid w:val="000B3A57"/>
    <w:rsid w:val="000B3E50"/>
    <w:rsid w:val="000B49C3"/>
    <w:rsid w:val="000B52D8"/>
    <w:rsid w:val="000B5306"/>
    <w:rsid w:val="000B54B6"/>
    <w:rsid w:val="000B61E0"/>
    <w:rsid w:val="000B6B76"/>
    <w:rsid w:val="000B7216"/>
    <w:rsid w:val="000B77AA"/>
    <w:rsid w:val="000C0204"/>
    <w:rsid w:val="000C1611"/>
    <w:rsid w:val="000C49EF"/>
    <w:rsid w:val="000C4F3F"/>
    <w:rsid w:val="000C5E7B"/>
    <w:rsid w:val="000C74CF"/>
    <w:rsid w:val="000C7D91"/>
    <w:rsid w:val="000D1189"/>
    <w:rsid w:val="000D1349"/>
    <w:rsid w:val="000D15E2"/>
    <w:rsid w:val="000D20F7"/>
    <w:rsid w:val="000D3D07"/>
    <w:rsid w:val="000D3EB0"/>
    <w:rsid w:val="000D5088"/>
    <w:rsid w:val="000D5CE6"/>
    <w:rsid w:val="000D6CCE"/>
    <w:rsid w:val="000D7519"/>
    <w:rsid w:val="000E021E"/>
    <w:rsid w:val="000E03EC"/>
    <w:rsid w:val="000E071B"/>
    <w:rsid w:val="000E15C3"/>
    <w:rsid w:val="000E2021"/>
    <w:rsid w:val="000E2DEB"/>
    <w:rsid w:val="000E3189"/>
    <w:rsid w:val="000E4F0C"/>
    <w:rsid w:val="000E4FFC"/>
    <w:rsid w:val="000E598D"/>
    <w:rsid w:val="000E66A7"/>
    <w:rsid w:val="000E6926"/>
    <w:rsid w:val="000E75D3"/>
    <w:rsid w:val="000E7FDF"/>
    <w:rsid w:val="000F09C0"/>
    <w:rsid w:val="000F11E0"/>
    <w:rsid w:val="000F1310"/>
    <w:rsid w:val="000F347D"/>
    <w:rsid w:val="000F366F"/>
    <w:rsid w:val="000F39A4"/>
    <w:rsid w:val="000F3B2B"/>
    <w:rsid w:val="000F409B"/>
    <w:rsid w:val="000F4153"/>
    <w:rsid w:val="000F4933"/>
    <w:rsid w:val="000F4B95"/>
    <w:rsid w:val="000F5D6E"/>
    <w:rsid w:val="000F605F"/>
    <w:rsid w:val="000F647A"/>
    <w:rsid w:val="000F7B59"/>
    <w:rsid w:val="00100145"/>
    <w:rsid w:val="00100F91"/>
    <w:rsid w:val="0010116F"/>
    <w:rsid w:val="001014EF"/>
    <w:rsid w:val="0010177B"/>
    <w:rsid w:val="0010326D"/>
    <w:rsid w:val="0010364F"/>
    <w:rsid w:val="001037E9"/>
    <w:rsid w:val="0010388E"/>
    <w:rsid w:val="0010522E"/>
    <w:rsid w:val="001052D2"/>
    <w:rsid w:val="00107434"/>
    <w:rsid w:val="00107EB6"/>
    <w:rsid w:val="00107EF5"/>
    <w:rsid w:val="00110215"/>
    <w:rsid w:val="001108E4"/>
    <w:rsid w:val="00110F9F"/>
    <w:rsid w:val="001111DE"/>
    <w:rsid w:val="00111556"/>
    <w:rsid w:val="001117E5"/>
    <w:rsid w:val="00111A06"/>
    <w:rsid w:val="001129C2"/>
    <w:rsid w:val="00112B4B"/>
    <w:rsid w:val="00112EC2"/>
    <w:rsid w:val="00112F06"/>
    <w:rsid w:val="00113137"/>
    <w:rsid w:val="00113AE6"/>
    <w:rsid w:val="001147C1"/>
    <w:rsid w:val="001149F3"/>
    <w:rsid w:val="0011555E"/>
    <w:rsid w:val="001159D4"/>
    <w:rsid w:val="0011625D"/>
    <w:rsid w:val="00120495"/>
    <w:rsid w:val="00120A07"/>
    <w:rsid w:val="00120E27"/>
    <w:rsid w:val="001214AD"/>
    <w:rsid w:val="001232F4"/>
    <w:rsid w:val="00123E39"/>
    <w:rsid w:val="001245B2"/>
    <w:rsid w:val="001255F0"/>
    <w:rsid w:val="00125C54"/>
    <w:rsid w:val="00125ED8"/>
    <w:rsid w:val="00127756"/>
    <w:rsid w:val="00127EA2"/>
    <w:rsid w:val="0013019F"/>
    <w:rsid w:val="00130548"/>
    <w:rsid w:val="001318DC"/>
    <w:rsid w:val="001341CC"/>
    <w:rsid w:val="00134D33"/>
    <w:rsid w:val="00135231"/>
    <w:rsid w:val="001353EE"/>
    <w:rsid w:val="0013545D"/>
    <w:rsid w:val="00135E73"/>
    <w:rsid w:val="00135F34"/>
    <w:rsid w:val="00136BEF"/>
    <w:rsid w:val="00136D5C"/>
    <w:rsid w:val="001409D4"/>
    <w:rsid w:val="00141952"/>
    <w:rsid w:val="00142673"/>
    <w:rsid w:val="00142C15"/>
    <w:rsid w:val="00142CC4"/>
    <w:rsid w:val="00143956"/>
    <w:rsid w:val="001461BE"/>
    <w:rsid w:val="001462C7"/>
    <w:rsid w:val="00147060"/>
    <w:rsid w:val="001471FB"/>
    <w:rsid w:val="00150629"/>
    <w:rsid w:val="00150806"/>
    <w:rsid w:val="0015120E"/>
    <w:rsid w:val="00151C50"/>
    <w:rsid w:val="0015265E"/>
    <w:rsid w:val="001526F9"/>
    <w:rsid w:val="00155D6D"/>
    <w:rsid w:val="00156478"/>
    <w:rsid w:val="0015734E"/>
    <w:rsid w:val="00157510"/>
    <w:rsid w:val="00157D18"/>
    <w:rsid w:val="00160120"/>
    <w:rsid w:val="0016105D"/>
    <w:rsid w:val="0016145B"/>
    <w:rsid w:val="00161911"/>
    <w:rsid w:val="001622C4"/>
    <w:rsid w:val="00162389"/>
    <w:rsid w:val="001634E6"/>
    <w:rsid w:val="00163C1C"/>
    <w:rsid w:val="00163C45"/>
    <w:rsid w:val="00163F28"/>
    <w:rsid w:val="00164981"/>
    <w:rsid w:val="001656F7"/>
    <w:rsid w:val="00166079"/>
    <w:rsid w:val="00166194"/>
    <w:rsid w:val="00166473"/>
    <w:rsid w:val="0016659C"/>
    <w:rsid w:val="00166B7F"/>
    <w:rsid w:val="00167AAA"/>
    <w:rsid w:val="00170AB2"/>
    <w:rsid w:val="00171A08"/>
    <w:rsid w:val="00173876"/>
    <w:rsid w:val="0017732E"/>
    <w:rsid w:val="00177F40"/>
    <w:rsid w:val="00177F9F"/>
    <w:rsid w:val="0018178B"/>
    <w:rsid w:val="001817E0"/>
    <w:rsid w:val="00181976"/>
    <w:rsid w:val="0018284D"/>
    <w:rsid w:val="00182B1D"/>
    <w:rsid w:val="0018378F"/>
    <w:rsid w:val="00183CC3"/>
    <w:rsid w:val="00183E2A"/>
    <w:rsid w:val="001843EA"/>
    <w:rsid w:val="00184820"/>
    <w:rsid w:val="0018551C"/>
    <w:rsid w:val="00185C0E"/>
    <w:rsid w:val="001875F8"/>
    <w:rsid w:val="00190AE8"/>
    <w:rsid w:val="00191333"/>
    <w:rsid w:val="001915C7"/>
    <w:rsid w:val="001915E0"/>
    <w:rsid w:val="001926A3"/>
    <w:rsid w:val="00192C01"/>
    <w:rsid w:val="00193560"/>
    <w:rsid w:val="00194C6F"/>
    <w:rsid w:val="00194D24"/>
    <w:rsid w:val="00194FD8"/>
    <w:rsid w:val="001958D5"/>
    <w:rsid w:val="001964EB"/>
    <w:rsid w:val="00196692"/>
    <w:rsid w:val="00196D5E"/>
    <w:rsid w:val="00197183"/>
    <w:rsid w:val="001A047A"/>
    <w:rsid w:val="001A0E4F"/>
    <w:rsid w:val="001A0ECC"/>
    <w:rsid w:val="001A1D27"/>
    <w:rsid w:val="001A1F55"/>
    <w:rsid w:val="001A29ED"/>
    <w:rsid w:val="001A3A62"/>
    <w:rsid w:val="001A3EED"/>
    <w:rsid w:val="001A4B15"/>
    <w:rsid w:val="001A51C9"/>
    <w:rsid w:val="001A571C"/>
    <w:rsid w:val="001A5D08"/>
    <w:rsid w:val="001A5ED1"/>
    <w:rsid w:val="001A641A"/>
    <w:rsid w:val="001A64DB"/>
    <w:rsid w:val="001A67F8"/>
    <w:rsid w:val="001A6AE6"/>
    <w:rsid w:val="001A7444"/>
    <w:rsid w:val="001A7943"/>
    <w:rsid w:val="001A7D36"/>
    <w:rsid w:val="001A7FAC"/>
    <w:rsid w:val="001B07E6"/>
    <w:rsid w:val="001B1FB6"/>
    <w:rsid w:val="001B247C"/>
    <w:rsid w:val="001B3DF7"/>
    <w:rsid w:val="001B40BE"/>
    <w:rsid w:val="001B47F9"/>
    <w:rsid w:val="001B487D"/>
    <w:rsid w:val="001B4DA8"/>
    <w:rsid w:val="001B5814"/>
    <w:rsid w:val="001B5CD4"/>
    <w:rsid w:val="001B761A"/>
    <w:rsid w:val="001B76CB"/>
    <w:rsid w:val="001C11C0"/>
    <w:rsid w:val="001C32C0"/>
    <w:rsid w:val="001C3648"/>
    <w:rsid w:val="001C3744"/>
    <w:rsid w:val="001C37D4"/>
    <w:rsid w:val="001C3B63"/>
    <w:rsid w:val="001C4CC9"/>
    <w:rsid w:val="001C5A1F"/>
    <w:rsid w:val="001C6654"/>
    <w:rsid w:val="001C6C14"/>
    <w:rsid w:val="001C722F"/>
    <w:rsid w:val="001C72D5"/>
    <w:rsid w:val="001C7337"/>
    <w:rsid w:val="001C76E6"/>
    <w:rsid w:val="001D0533"/>
    <w:rsid w:val="001D06E7"/>
    <w:rsid w:val="001D0A5A"/>
    <w:rsid w:val="001D11B3"/>
    <w:rsid w:val="001D1466"/>
    <w:rsid w:val="001D17B7"/>
    <w:rsid w:val="001D18F7"/>
    <w:rsid w:val="001D19F2"/>
    <w:rsid w:val="001D1AE0"/>
    <w:rsid w:val="001D24B7"/>
    <w:rsid w:val="001D27BB"/>
    <w:rsid w:val="001D3442"/>
    <w:rsid w:val="001D374E"/>
    <w:rsid w:val="001D3E22"/>
    <w:rsid w:val="001D472A"/>
    <w:rsid w:val="001D47A3"/>
    <w:rsid w:val="001D4F2D"/>
    <w:rsid w:val="001D64CD"/>
    <w:rsid w:val="001D7C9D"/>
    <w:rsid w:val="001E1EE1"/>
    <w:rsid w:val="001E2ED8"/>
    <w:rsid w:val="001E5476"/>
    <w:rsid w:val="001E5B1B"/>
    <w:rsid w:val="001E5B56"/>
    <w:rsid w:val="001E642C"/>
    <w:rsid w:val="001E6D7D"/>
    <w:rsid w:val="001E770D"/>
    <w:rsid w:val="001E7CFD"/>
    <w:rsid w:val="001F043E"/>
    <w:rsid w:val="001F0A98"/>
    <w:rsid w:val="001F0C70"/>
    <w:rsid w:val="001F0EF5"/>
    <w:rsid w:val="001F1AA8"/>
    <w:rsid w:val="001F1B63"/>
    <w:rsid w:val="001F1BAA"/>
    <w:rsid w:val="001F1F89"/>
    <w:rsid w:val="001F2080"/>
    <w:rsid w:val="001F25D4"/>
    <w:rsid w:val="001F2942"/>
    <w:rsid w:val="001F2FBB"/>
    <w:rsid w:val="001F3CD8"/>
    <w:rsid w:val="001F4F69"/>
    <w:rsid w:val="001F6273"/>
    <w:rsid w:val="001F6366"/>
    <w:rsid w:val="001F6FB7"/>
    <w:rsid w:val="001F727B"/>
    <w:rsid w:val="001F7308"/>
    <w:rsid w:val="00200352"/>
    <w:rsid w:val="002008EE"/>
    <w:rsid w:val="00200983"/>
    <w:rsid w:val="00201800"/>
    <w:rsid w:val="00203BAC"/>
    <w:rsid w:val="002049FC"/>
    <w:rsid w:val="00205269"/>
    <w:rsid w:val="002052E0"/>
    <w:rsid w:val="002072AD"/>
    <w:rsid w:val="00207541"/>
    <w:rsid w:val="00207C21"/>
    <w:rsid w:val="00210528"/>
    <w:rsid w:val="00210D04"/>
    <w:rsid w:val="002129BA"/>
    <w:rsid w:val="0021351A"/>
    <w:rsid w:val="00213DDF"/>
    <w:rsid w:val="002145D7"/>
    <w:rsid w:val="00215118"/>
    <w:rsid w:val="0021576D"/>
    <w:rsid w:val="00215A7C"/>
    <w:rsid w:val="002163AC"/>
    <w:rsid w:val="002167B5"/>
    <w:rsid w:val="00216C86"/>
    <w:rsid w:val="00217D11"/>
    <w:rsid w:val="0022006E"/>
    <w:rsid w:val="00220541"/>
    <w:rsid w:val="00220C39"/>
    <w:rsid w:val="00220C9C"/>
    <w:rsid w:val="00220D65"/>
    <w:rsid w:val="002211F3"/>
    <w:rsid w:val="002222C4"/>
    <w:rsid w:val="00222949"/>
    <w:rsid w:val="00222B62"/>
    <w:rsid w:val="0022432E"/>
    <w:rsid w:val="002243DA"/>
    <w:rsid w:val="00224776"/>
    <w:rsid w:val="00225167"/>
    <w:rsid w:val="0022526A"/>
    <w:rsid w:val="00225E32"/>
    <w:rsid w:val="00226476"/>
    <w:rsid w:val="0022658B"/>
    <w:rsid w:val="00226693"/>
    <w:rsid w:val="002268E6"/>
    <w:rsid w:val="0022799D"/>
    <w:rsid w:val="00227EAC"/>
    <w:rsid w:val="002302CA"/>
    <w:rsid w:val="0023094C"/>
    <w:rsid w:val="00231550"/>
    <w:rsid w:val="00231897"/>
    <w:rsid w:val="00231B66"/>
    <w:rsid w:val="00232A4A"/>
    <w:rsid w:val="002330EA"/>
    <w:rsid w:val="00233178"/>
    <w:rsid w:val="00233A99"/>
    <w:rsid w:val="00233E45"/>
    <w:rsid w:val="00233EAF"/>
    <w:rsid w:val="0023462E"/>
    <w:rsid w:val="00234815"/>
    <w:rsid w:val="00234CDC"/>
    <w:rsid w:val="00235C1F"/>
    <w:rsid w:val="0023640C"/>
    <w:rsid w:val="00236796"/>
    <w:rsid w:val="00237B02"/>
    <w:rsid w:val="00242805"/>
    <w:rsid w:val="0024301A"/>
    <w:rsid w:val="00243B84"/>
    <w:rsid w:val="00245F6A"/>
    <w:rsid w:val="002460D2"/>
    <w:rsid w:val="002475D0"/>
    <w:rsid w:val="00250572"/>
    <w:rsid w:val="0025062F"/>
    <w:rsid w:val="00250AED"/>
    <w:rsid w:val="002517A3"/>
    <w:rsid w:val="00251B7B"/>
    <w:rsid w:val="00252E42"/>
    <w:rsid w:val="00253261"/>
    <w:rsid w:val="00253754"/>
    <w:rsid w:val="00253B12"/>
    <w:rsid w:val="0025445F"/>
    <w:rsid w:val="00254616"/>
    <w:rsid w:val="00255087"/>
    <w:rsid w:val="002554A2"/>
    <w:rsid w:val="002568F1"/>
    <w:rsid w:val="00256ECA"/>
    <w:rsid w:val="002607D8"/>
    <w:rsid w:val="002627B6"/>
    <w:rsid w:val="00262815"/>
    <w:rsid w:val="0026353F"/>
    <w:rsid w:val="00263AA0"/>
    <w:rsid w:val="00264472"/>
    <w:rsid w:val="00265239"/>
    <w:rsid w:val="00265D5B"/>
    <w:rsid w:val="0026709B"/>
    <w:rsid w:val="00267C7C"/>
    <w:rsid w:val="00270159"/>
    <w:rsid w:val="00270F4A"/>
    <w:rsid w:val="00272362"/>
    <w:rsid w:val="002725DB"/>
    <w:rsid w:val="002730FF"/>
    <w:rsid w:val="00273BCC"/>
    <w:rsid w:val="0027494F"/>
    <w:rsid w:val="002759ED"/>
    <w:rsid w:val="00276000"/>
    <w:rsid w:val="0027628C"/>
    <w:rsid w:val="00276991"/>
    <w:rsid w:val="00277751"/>
    <w:rsid w:val="002800B1"/>
    <w:rsid w:val="002819C9"/>
    <w:rsid w:val="00281C29"/>
    <w:rsid w:val="00281DC7"/>
    <w:rsid w:val="00281F3D"/>
    <w:rsid w:val="002821CD"/>
    <w:rsid w:val="00283DC6"/>
    <w:rsid w:val="002844E5"/>
    <w:rsid w:val="00284A97"/>
    <w:rsid w:val="002855BB"/>
    <w:rsid w:val="00285D51"/>
    <w:rsid w:val="00286E34"/>
    <w:rsid w:val="00286FB4"/>
    <w:rsid w:val="00287B64"/>
    <w:rsid w:val="00290514"/>
    <w:rsid w:val="002921C4"/>
    <w:rsid w:val="002926F7"/>
    <w:rsid w:val="002927F1"/>
    <w:rsid w:val="00292F0A"/>
    <w:rsid w:val="00293A0C"/>
    <w:rsid w:val="002947B9"/>
    <w:rsid w:val="00295CD7"/>
    <w:rsid w:val="00296A91"/>
    <w:rsid w:val="002973B4"/>
    <w:rsid w:val="00297514"/>
    <w:rsid w:val="002976F3"/>
    <w:rsid w:val="002978C0"/>
    <w:rsid w:val="00297B0A"/>
    <w:rsid w:val="00297ECB"/>
    <w:rsid w:val="002A0A93"/>
    <w:rsid w:val="002A0B5F"/>
    <w:rsid w:val="002A10EC"/>
    <w:rsid w:val="002A136E"/>
    <w:rsid w:val="002A15E8"/>
    <w:rsid w:val="002A1FB9"/>
    <w:rsid w:val="002A3098"/>
    <w:rsid w:val="002A37BC"/>
    <w:rsid w:val="002A38F7"/>
    <w:rsid w:val="002A39E8"/>
    <w:rsid w:val="002A3D73"/>
    <w:rsid w:val="002A4B8E"/>
    <w:rsid w:val="002A584A"/>
    <w:rsid w:val="002A59F7"/>
    <w:rsid w:val="002A5C2E"/>
    <w:rsid w:val="002A5DE9"/>
    <w:rsid w:val="002A739C"/>
    <w:rsid w:val="002B0410"/>
    <w:rsid w:val="002B054A"/>
    <w:rsid w:val="002B0791"/>
    <w:rsid w:val="002B07CD"/>
    <w:rsid w:val="002B1FB2"/>
    <w:rsid w:val="002B2779"/>
    <w:rsid w:val="002B2BB1"/>
    <w:rsid w:val="002B334F"/>
    <w:rsid w:val="002B3623"/>
    <w:rsid w:val="002B5D83"/>
    <w:rsid w:val="002B5EC2"/>
    <w:rsid w:val="002B60B5"/>
    <w:rsid w:val="002B7181"/>
    <w:rsid w:val="002B7CC4"/>
    <w:rsid w:val="002C08D4"/>
    <w:rsid w:val="002C186D"/>
    <w:rsid w:val="002C6D3E"/>
    <w:rsid w:val="002C7961"/>
    <w:rsid w:val="002C7B21"/>
    <w:rsid w:val="002D0F74"/>
    <w:rsid w:val="002D137B"/>
    <w:rsid w:val="002D1676"/>
    <w:rsid w:val="002D167C"/>
    <w:rsid w:val="002D2263"/>
    <w:rsid w:val="002D2904"/>
    <w:rsid w:val="002D4397"/>
    <w:rsid w:val="002D4938"/>
    <w:rsid w:val="002D4E69"/>
    <w:rsid w:val="002D53E5"/>
    <w:rsid w:val="002D5A6D"/>
    <w:rsid w:val="002D5B41"/>
    <w:rsid w:val="002D64DA"/>
    <w:rsid w:val="002D6616"/>
    <w:rsid w:val="002D779F"/>
    <w:rsid w:val="002D7B9E"/>
    <w:rsid w:val="002E016E"/>
    <w:rsid w:val="002E0C05"/>
    <w:rsid w:val="002E1F24"/>
    <w:rsid w:val="002E1F50"/>
    <w:rsid w:val="002E23E5"/>
    <w:rsid w:val="002E2AB1"/>
    <w:rsid w:val="002E3205"/>
    <w:rsid w:val="002E34D9"/>
    <w:rsid w:val="002E42C6"/>
    <w:rsid w:val="002E4927"/>
    <w:rsid w:val="002E57AC"/>
    <w:rsid w:val="002E616D"/>
    <w:rsid w:val="002E62D6"/>
    <w:rsid w:val="002E648E"/>
    <w:rsid w:val="002E722F"/>
    <w:rsid w:val="002E7F15"/>
    <w:rsid w:val="002F0063"/>
    <w:rsid w:val="002F0FD1"/>
    <w:rsid w:val="002F1569"/>
    <w:rsid w:val="002F27FA"/>
    <w:rsid w:val="002F4AC3"/>
    <w:rsid w:val="002F4F33"/>
    <w:rsid w:val="002F58DB"/>
    <w:rsid w:val="002F68A3"/>
    <w:rsid w:val="002F7A57"/>
    <w:rsid w:val="00301157"/>
    <w:rsid w:val="0030153C"/>
    <w:rsid w:val="003016A5"/>
    <w:rsid w:val="003016D9"/>
    <w:rsid w:val="00301DDE"/>
    <w:rsid w:val="00301F8B"/>
    <w:rsid w:val="00302854"/>
    <w:rsid w:val="00302B7D"/>
    <w:rsid w:val="00302C2C"/>
    <w:rsid w:val="003033B0"/>
    <w:rsid w:val="003035B7"/>
    <w:rsid w:val="0030435C"/>
    <w:rsid w:val="00307293"/>
    <w:rsid w:val="003100B7"/>
    <w:rsid w:val="00310987"/>
    <w:rsid w:val="00311D95"/>
    <w:rsid w:val="00312089"/>
    <w:rsid w:val="00313708"/>
    <w:rsid w:val="00313BAD"/>
    <w:rsid w:val="00314C9E"/>
    <w:rsid w:val="00316021"/>
    <w:rsid w:val="003169C7"/>
    <w:rsid w:val="00317184"/>
    <w:rsid w:val="003206DF"/>
    <w:rsid w:val="0032134E"/>
    <w:rsid w:val="0032211A"/>
    <w:rsid w:val="00322DD9"/>
    <w:rsid w:val="00322E16"/>
    <w:rsid w:val="0032437D"/>
    <w:rsid w:val="00324AF0"/>
    <w:rsid w:val="00324E99"/>
    <w:rsid w:val="00325BA4"/>
    <w:rsid w:val="00326725"/>
    <w:rsid w:val="00326D40"/>
    <w:rsid w:val="00330214"/>
    <w:rsid w:val="003306D2"/>
    <w:rsid w:val="00331EC6"/>
    <w:rsid w:val="003320F0"/>
    <w:rsid w:val="00332A18"/>
    <w:rsid w:val="00333039"/>
    <w:rsid w:val="00333A7E"/>
    <w:rsid w:val="00336386"/>
    <w:rsid w:val="00337499"/>
    <w:rsid w:val="003406AD"/>
    <w:rsid w:val="003407DF"/>
    <w:rsid w:val="00340DA5"/>
    <w:rsid w:val="00341060"/>
    <w:rsid w:val="003422D1"/>
    <w:rsid w:val="003426E3"/>
    <w:rsid w:val="003434EA"/>
    <w:rsid w:val="0034377B"/>
    <w:rsid w:val="00344910"/>
    <w:rsid w:val="00344F83"/>
    <w:rsid w:val="00345016"/>
    <w:rsid w:val="00345CB3"/>
    <w:rsid w:val="00346276"/>
    <w:rsid w:val="00347711"/>
    <w:rsid w:val="00347FD1"/>
    <w:rsid w:val="00351852"/>
    <w:rsid w:val="003521AD"/>
    <w:rsid w:val="00354B6D"/>
    <w:rsid w:val="00354CD9"/>
    <w:rsid w:val="00355633"/>
    <w:rsid w:val="00355CD2"/>
    <w:rsid w:val="0035712B"/>
    <w:rsid w:val="003601B5"/>
    <w:rsid w:val="00360867"/>
    <w:rsid w:val="003613BC"/>
    <w:rsid w:val="0036197A"/>
    <w:rsid w:val="00361D18"/>
    <w:rsid w:val="00362265"/>
    <w:rsid w:val="003626B3"/>
    <w:rsid w:val="00364BF3"/>
    <w:rsid w:val="00364C59"/>
    <w:rsid w:val="00365116"/>
    <w:rsid w:val="00365119"/>
    <w:rsid w:val="003651AD"/>
    <w:rsid w:val="00365431"/>
    <w:rsid w:val="00365D80"/>
    <w:rsid w:val="00365F15"/>
    <w:rsid w:val="003661A7"/>
    <w:rsid w:val="0036680B"/>
    <w:rsid w:val="00366CF2"/>
    <w:rsid w:val="00366E87"/>
    <w:rsid w:val="003673AE"/>
    <w:rsid w:val="0037053D"/>
    <w:rsid w:val="00371113"/>
    <w:rsid w:val="003718A6"/>
    <w:rsid w:val="00374872"/>
    <w:rsid w:val="00375DDC"/>
    <w:rsid w:val="00375F20"/>
    <w:rsid w:val="00376C50"/>
    <w:rsid w:val="00382B95"/>
    <w:rsid w:val="00382E8F"/>
    <w:rsid w:val="003847D4"/>
    <w:rsid w:val="00384CC5"/>
    <w:rsid w:val="00386226"/>
    <w:rsid w:val="00386240"/>
    <w:rsid w:val="003864E7"/>
    <w:rsid w:val="00387977"/>
    <w:rsid w:val="00387E42"/>
    <w:rsid w:val="003906A2"/>
    <w:rsid w:val="00391A15"/>
    <w:rsid w:val="00391B17"/>
    <w:rsid w:val="00391FFC"/>
    <w:rsid w:val="0039245B"/>
    <w:rsid w:val="0039344B"/>
    <w:rsid w:val="00393E42"/>
    <w:rsid w:val="00393F48"/>
    <w:rsid w:val="00394D1B"/>
    <w:rsid w:val="00395E30"/>
    <w:rsid w:val="0039632C"/>
    <w:rsid w:val="0039663F"/>
    <w:rsid w:val="00396877"/>
    <w:rsid w:val="00397624"/>
    <w:rsid w:val="00397960"/>
    <w:rsid w:val="00397AB1"/>
    <w:rsid w:val="003A037A"/>
    <w:rsid w:val="003A05FA"/>
    <w:rsid w:val="003A0942"/>
    <w:rsid w:val="003A1182"/>
    <w:rsid w:val="003A1464"/>
    <w:rsid w:val="003A1471"/>
    <w:rsid w:val="003A1C41"/>
    <w:rsid w:val="003A1FAC"/>
    <w:rsid w:val="003A363F"/>
    <w:rsid w:val="003A3A6E"/>
    <w:rsid w:val="003A41C3"/>
    <w:rsid w:val="003A5E03"/>
    <w:rsid w:val="003A5E45"/>
    <w:rsid w:val="003A5F9E"/>
    <w:rsid w:val="003A617B"/>
    <w:rsid w:val="003A6CDE"/>
    <w:rsid w:val="003A73D4"/>
    <w:rsid w:val="003A7432"/>
    <w:rsid w:val="003A7522"/>
    <w:rsid w:val="003B02D5"/>
    <w:rsid w:val="003B1ED1"/>
    <w:rsid w:val="003B21DA"/>
    <w:rsid w:val="003B2957"/>
    <w:rsid w:val="003B2C15"/>
    <w:rsid w:val="003B2C1D"/>
    <w:rsid w:val="003B327E"/>
    <w:rsid w:val="003B32D0"/>
    <w:rsid w:val="003B369C"/>
    <w:rsid w:val="003B3B08"/>
    <w:rsid w:val="003B44CB"/>
    <w:rsid w:val="003B505A"/>
    <w:rsid w:val="003B54F1"/>
    <w:rsid w:val="003B551B"/>
    <w:rsid w:val="003B5703"/>
    <w:rsid w:val="003B591B"/>
    <w:rsid w:val="003B5CF5"/>
    <w:rsid w:val="003B5FD0"/>
    <w:rsid w:val="003B6471"/>
    <w:rsid w:val="003B7489"/>
    <w:rsid w:val="003C13D2"/>
    <w:rsid w:val="003C1905"/>
    <w:rsid w:val="003C1A80"/>
    <w:rsid w:val="003C3E9C"/>
    <w:rsid w:val="003C4084"/>
    <w:rsid w:val="003C414F"/>
    <w:rsid w:val="003C49D8"/>
    <w:rsid w:val="003C49EE"/>
    <w:rsid w:val="003C4C09"/>
    <w:rsid w:val="003C4C87"/>
    <w:rsid w:val="003C564F"/>
    <w:rsid w:val="003C5822"/>
    <w:rsid w:val="003C6296"/>
    <w:rsid w:val="003C79F9"/>
    <w:rsid w:val="003D1C6B"/>
    <w:rsid w:val="003D23AC"/>
    <w:rsid w:val="003D284A"/>
    <w:rsid w:val="003D2BC5"/>
    <w:rsid w:val="003D300D"/>
    <w:rsid w:val="003D3C56"/>
    <w:rsid w:val="003D41E7"/>
    <w:rsid w:val="003D47CC"/>
    <w:rsid w:val="003D58F2"/>
    <w:rsid w:val="003D63EA"/>
    <w:rsid w:val="003D7132"/>
    <w:rsid w:val="003D714A"/>
    <w:rsid w:val="003D7C76"/>
    <w:rsid w:val="003E151F"/>
    <w:rsid w:val="003E1AE0"/>
    <w:rsid w:val="003E1CE3"/>
    <w:rsid w:val="003E4BB6"/>
    <w:rsid w:val="003E5774"/>
    <w:rsid w:val="003E6205"/>
    <w:rsid w:val="003E692C"/>
    <w:rsid w:val="003E6EC3"/>
    <w:rsid w:val="003E797C"/>
    <w:rsid w:val="003F05F5"/>
    <w:rsid w:val="003F187B"/>
    <w:rsid w:val="003F203C"/>
    <w:rsid w:val="003F2103"/>
    <w:rsid w:val="003F2B79"/>
    <w:rsid w:val="003F4A6B"/>
    <w:rsid w:val="003F549A"/>
    <w:rsid w:val="003F54DA"/>
    <w:rsid w:val="003F5A7D"/>
    <w:rsid w:val="003F69B6"/>
    <w:rsid w:val="003F6DA7"/>
    <w:rsid w:val="003F71C1"/>
    <w:rsid w:val="003F7FA1"/>
    <w:rsid w:val="003F7FAB"/>
    <w:rsid w:val="00400557"/>
    <w:rsid w:val="00400853"/>
    <w:rsid w:val="0040098D"/>
    <w:rsid w:val="004009BB"/>
    <w:rsid w:val="00401A0E"/>
    <w:rsid w:val="00401CE4"/>
    <w:rsid w:val="00402CA0"/>
    <w:rsid w:val="00402E9E"/>
    <w:rsid w:val="004031A8"/>
    <w:rsid w:val="004034ED"/>
    <w:rsid w:val="004037CC"/>
    <w:rsid w:val="00403C4B"/>
    <w:rsid w:val="00404113"/>
    <w:rsid w:val="004049A3"/>
    <w:rsid w:val="004055C8"/>
    <w:rsid w:val="00405FD9"/>
    <w:rsid w:val="00406A79"/>
    <w:rsid w:val="00407FDD"/>
    <w:rsid w:val="00410433"/>
    <w:rsid w:val="00410FEC"/>
    <w:rsid w:val="004116E3"/>
    <w:rsid w:val="00411870"/>
    <w:rsid w:val="0041206A"/>
    <w:rsid w:val="00413695"/>
    <w:rsid w:val="00415040"/>
    <w:rsid w:val="004156E9"/>
    <w:rsid w:val="00415DCB"/>
    <w:rsid w:val="00416CEB"/>
    <w:rsid w:val="00416D83"/>
    <w:rsid w:val="004174E8"/>
    <w:rsid w:val="0041773C"/>
    <w:rsid w:val="00417836"/>
    <w:rsid w:val="0042092C"/>
    <w:rsid w:val="004209E1"/>
    <w:rsid w:val="004210F1"/>
    <w:rsid w:val="00421794"/>
    <w:rsid w:val="00422585"/>
    <w:rsid w:val="0042258F"/>
    <w:rsid w:val="00422B33"/>
    <w:rsid w:val="004231D9"/>
    <w:rsid w:val="004232E2"/>
    <w:rsid w:val="00423FFA"/>
    <w:rsid w:val="00424506"/>
    <w:rsid w:val="004249BB"/>
    <w:rsid w:val="00424CAE"/>
    <w:rsid w:val="00426570"/>
    <w:rsid w:val="004268F4"/>
    <w:rsid w:val="00427233"/>
    <w:rsid w:val="0043006A"/>
    <w:rsid w:val="0043047C"/>
    <w:rsid w:val="00430BF3"/>
    <w:rsid w:val="00430FD5"/>
    <w:rsid w:val="00431211"/>
    <w:rsid w:val="0043156E"/>
    <w:rsid w:val="00431C02"/>
    <w:rsid w:val="0043213D"/>
    <w:rsid w:val="00432436"/>
    <w:rsid w:val="00432C8D"/>
    <w:rsid w:val="004331F7"/>
    <w:rsid w:val="0043503A"/>
    <w:rsid w:val="00435592"/>
    <w:rsid w:val="004363D5"/>
    <w:rsid w:val="00436A6B"/>
    <w:rsid w:val="004409DF"/>
    <w:rsid w:val="0044154A"/>
    <w:rsid w:val="00442C64"/>
    <w:rsid w:val="00442E69"/>
    <w:rsid w:val="004438DB"/>
    <w:rsid w:val="004448ED"/>
    <w:rsid w:val="00444DBC"/>
    <w:rsid w:val="0044573A"/>
    <w:rsid w:val="00445CFE"/>
    <w:rsid w:val="00445E56"/>
    <w:rsid w:val="0044609C"/>
    <w:rsid w:val="00447057"/>
    <w:rsid w:val="004471F6"/>
    <w:rsid w:val="00447DF6"/>
    <w:rsid w:val="00447F86"/>
    <w:rsid w:val="00450843"/>
    <w:rsid w:val="00450E0C"/>
    <w:rsid w:val="00451083"/>
    <w:rsid w:val="00453A7B"/>
    <w:rsid w:val="00454869"/>
    <w:rsid w:val="00454B9E"/>
    <w:rsid w:val="00455E57"/>
    <w:rsid w:val="004569B6"/>
    <w:rsid w:val="0045746D"/>
    <w:rsid w:val="00457950"/>
    <w:rsid w:val="00457B1E"/>
    <w:rsid w:val="00457EA8"/>
    <w:rsid w:val="00460B92"/>
    <w:rsid w:val="0046153E"/>
    <w:rsid w:val="00462021"/>
    <w:rsid w:val="00462E99"/>
    <w:rsid w:val="00464B9D"/>
    <w:rsid w:val="00465116"/>
    <w:rsid w:val="00470B21"/>
    <w:rsid w:val="00471BCA"/>
    <w:rsid w:val="00471C58"/>
    <w:rsid w:val="0047206D"/>
    <w:rsid w:val="004721AF"/>
    <w:rsid w:val="00472961"/>
    <w:rsid w:val="00472A4A"/>
    <w:rsid w:val="00472C14"/>
    <w:rsid w:val="00472E5B"/>
    <w:rsid w:val="0047364D"/>
    <w:rsid w:val="00473CE4"/>
    <w:rsid w:val="0047532E"/>
    <w:rsid w:val="00475EFC"/>
    <w:rsid w:val="00476601"/>
    <w:rsid w:val="00476EEE"/>
    <w:rsid w:val="00477C8B"/>
    <w:rsid w:val="00477F82"/>
    <w:rsid w:val="00480FB9"/>
    <w:rsid w:val="0048189B"/>
    <w:rsid w:val="0048427D"/>
    <w:rsid w:val="00484296"/>
    <w:rsid w:val="0048471E"/>
    <w:rsid w:val="00484B2C"/>
    <w:rsid w:val="00486D73"/>
    <w:rsid w:val="004874AA"/>
    <w:rsid w:val="004879BC"/>
    <w:rsid w:val="00487CB5"/>
    <w:rsid w:val="0049113F"/>
    <w:rsid w:val="00491192"/>
    <w:rsid w:val="00491CC4"/>
    <w:rsid w:val="00491E25"/>
    <w:rsid w:val="0049316F"/>
    <w:rsid w:val="00493376"/>
    <w:rsid w:val="004956BA"/>
    <w:rsid w:val="00495A40"/>
    <w:rsid w:val="00495ECB"/>
    <w:rsid w:val="00495FCB"/>
    <w:rsid w:val="0049619E"/>
    <w:rsid w:val="00497153"/>
    <w:rsid w:val="00497B33"/>
    <w:rsid w:val="004A0713"/>
    <w:rsid w:val="004A094B"/>
    <w:rsid w:val="004A1426"/>
    <w:rsid w:val="004A17F6"/>
    <w:rsid w:val="004A1B32"/>
    <w:rsid w:val="004A1BB9"/>
    <w:rsid w:val="004A3345"/>
    <w:rsid w:val="004A38CD"/>
    <w:rsid w:val="004A3DF4"/>
    <w:rsid w:val="004A70FB"/>
    <w:rsid w:val="004A719E"/>
    <w:rsid w:val="004B0A2F"/>
    <w:rsid w:val="004B12AB"/>
    <w:rsid w:val="004B17E3"/>
    <w:rsid w:val="004B1B1B"/>
    <w:rsid w:val="004B2219"/>
    <w:rsid w:val="004B2EAC"/>
    <w:rsid w:val="004B31AF"/>
    <w:rsid w:val="004B3833"/>
    <w:rsid w:val="004B3909"/>
    <w:rsid w:val="004B3C42"/>
    <w:rsid w:val="004B4A33"/>
    <w:rsid w:val="004B4F1C"/>
    <w:rsid w:val="004B5473"/>
    <w:rsid w:val="004B6097"/>
    <w:rsid w:val="004B78CC"/>
    <w:rsid w:val="004B79E7"/>
    <w:rsid w:val="004B7B30"/>
    <w:rsid w:val="004C0331"/>
    <w:rsid w:val="004C2512"/>
    <w:rsid w:val="004C2CC2"/>
    <w:rsid w:val="004C3147"/>
    <w:rsid w:val="004C31CA"/>
    <w:rsid w:val="004C3737"/>
    <w:rsid w:val="004C3AC5"/>
    <w:rsid w:val="004C3F36"/>
    <w:rsid w:val="004C48E3"/>
    <w:rsid w:val="004C5DA1"/>
    <w:rsid w:val="004C6692"/>
    <w:rsid w:val="004C6F83"/>
    <w:rsid w:val="004D038F"/>
    <w:rsid w:val="004D0464"/>
    <w:rsid w:val="004D0A72"/>
    <w:rsid w:val="004D1246"/>
    <w:rsid w:val="004D211B"/>
    <w:rsid w:val="004D29D3"/>
    <w:rsid w:val="004D5287"/>
    <w:rsid w:val="004D591E"/>
    <w:rsid w:val="004D6CAC"/>
    <w:rsid w:val="004E239A"/>
    <w:rsid w:val="004E25D5"/>
    <w:rsid w:val="004E25E4"/>
    <w:rsid w:val="004E47AA"/>
    <w:rsid w:val="004E57D5"/>
    <w:rsid w:val="004E5FBF"/>
    <w:rsid w:val="004E6F91"/>
    <w:rsid w:val="004E7B8A"/>
    <w:rsid w:val="004F0132"/>
    <w:rsid w:val="004F0223"/>
    <w:rsid w:val="004F12E9"/>
    <w:rsid w:val="004F1BCF"/>
    <w:rsid w:val="004F1D22"/>
    <w:rsid w:val="004F2473"/>
    <w:rsid w:val="004F26D5"/>
    <w:rsid w:val="004F3B8F"/>
    <w:rsid w:val="004F446B"/>
    <w:rsid w:val="004F5504"/>
    <w:rsid w:val="004F5983"/>
    <w:rsid w:val="004F5B9B"/>
    <w:rsid w:val="004F600C"/>
    <w:rsid w:val="004F6480"/>
    <w:rsid w:val="004F742F"/>
    <w:rsid w:val="004F7F1A"/>
    <w:rsid w:val="005003BE"/>
    <w:rsid w:val="0050190D"/>
    <w:rsid w:val="00502AA7"/>
    <w:rsid w:val="00503209"/>
    <w:rsid w:val="00503A49"/>
    <w:rsid w:val="0050512E"/>
    <w:rsid w:val="005051D2"/>
    <w:rsid w:val="005056A0"/>
    <w:rsid w:val="005056B7"/>
    <w:rsid w:val="00505CE3"/>
    <w:rsid w:val="00505E04"/>
    <w:rsid w:val="00510150"/>
    <w:rsid w:val="005108E5"/>
    <w:rsid w:val="00511990"/>
    <w:rsid w:val="00512A4B"/>
    <w:rsid w:val="005136E7"/>
    <w:rsid w:val="00513FAB"/>
    <w:rsid w:val="00515062"/>
    <w:rsid w:val="005157C3"/>
    <w:rsid w:val="00515D8E"/>
    <w:rsid w:val="00516817"/>
    <w:rsid w:val="00516D16"/>
    <w:rsid w:val="00516F06"/>
    <w:rsid w:val="0051718E"/>
    <w:rsid w:val="00517EE7"/>
    <w:rsid w:val="00520AEB"/>
    <w:rsid w:val="00520CF0"/>
    <w:rsid w:val="00520E28"/>
    <w:rsid w:val="00521661"/>
    <w:rsid w:val="0052167C"/>
    <w:rsid w:val="00522A83"/>
    <w:rsid w:val="005236F2"/>
    <w:rsid w:val="00523E40"/>
    <w:rsid w:val="00524AFB"/>
    <w:rsid w:val="00524E23"/>
    <w:rsid w:val="00524FDC"/>
    <w:rsid w:val="00525482"/>
    <w:rsid w:val="00526C32"/>
    <w:rsid w:val="00527143"/>
    <w:rsid w:val="005276DD"/>
    <w:rsid w:val="005279B5"/>
    <w:rsid w:val="00527F3E"/>
    <w:rsid w:val="0053001F"/>
    <w:rsid w:val="00530368"/>
    <w:rsid w:val="00530598"/>
    <w:rsid w:val="005306D4"/>
    <w:rsid w:val="00530ADD"/>
    <w:rsid w:val="00530CD1"/>
    <w:rsid w:val="0053164D"/>
    <w:rsid w:val="00531B66"/>
    <w:rsid w:val="00532897"/>
    <w:rsid w:val="00533592"/>
    <w:rsid w:val="00533784"/>
    <w:rsid w:val="0053384E"/>
    <w:rsid w:val="00535931"/>
    <w:rsid w:val="00536656"/>
    <w:rsid w:val="005367E8"/>
    <w:rsid w:val="00537C2B"/>
    <w:rsid w:val="0054013D"/>
    <w:rsid w:val="0054070F"/>
    <w:rsid w:val="00541829"/>
    <w:rsid w:val="00541CE7"/>
    <w:rsid w:val="00542599"/>
    <w:rsid w:val="00542750"/>
    <w:rsid w:val="00543111"/>
    <w:rsid w:val="00543BE8"/>
    <w:rsid w:val="00543EBE"/>
    <w:rsid w:val="00543EFD"/>
    <w:rsid w:val="005445EB"/>
    <w:rsid w:val="00544627"/>
    <w:rsid w:val="00544893"/>
    <w:rsid w:val="00547A88"/>
    <w:rsid w:val="00553048"/>
    <w:rsid w:val="005531C5"/>
    <w:rsid w:val="00553A00"/>
    <w:rsid w:val="00553C71"/>
    <w:rsid w:val="0055475D"/>
    <w:rsid w:val="00554BFB"/>
    <w:rsid w:val="00555314"/>
    <w:rsid w:val="0055531B"/>
    <w:rsid w:val="00555432"/>
    <w:rsid w:val="00555573"/>
    <w:rsid w:val="005601EB"/>
    <w:rsid w:val="00560B02"/>
    <w:rsid w:val="00561785"/>
    <w:rsid w:val="00561905"/>
    <w:rsid w:val="00562846"/>
    <w:rsid w:val="00562D47"/>
    <w:rsid w:val="00564470"/>
    <w:rsid w:val="00564707"/>
    <w:rsid w:val="00564D73"/>
    <w:rsid w:val="00565368"/>
    <w:rsid w:val="0056594B"/>
    <w:rsid w:val="00565974"/>
    <w:rsid w:val="00566FE6"/>
    <w:rsid w:val="00570458"/>
    <w:rsid w:val="00572966"/>
    <w:rsid w:val="0057317B"/>
    <w:rsid w:val="0057449A"/>
    <w:rsid w:val="00574814"/>
    <w:rsid w:val="00574ED8"/>
    <w:rsid w:val="00574F7D"/>
    <w:rsid w:val="005771F3"/>
    <w:rsid w:val="005772A0"/>
    <w:rsid w:val="00580E3C"/>
    <w:rsid w:val="00583B7E"/>
    <w:rsid w:val="00583FE0"/>
    <w:rsid w:val="005842CD"/>
    <w:rsid w:val="00585B6C"/>
    <w:rsid w:val="00585BA7"/>
    <w:rsid w:val="00585FBC"/>
    <w:rsid w:val="00586E43"/>
    <w:rsid w:val="0058720A"/>
    <w:rsid w:val="005876F1"/>
    <w:rsid w:val="00587784"/>
    <w:rsid w:val="00587B57"/>
    <w:rsid w:val="00587B74"/>
    <w:rsid w:val="00587D15"/>
    <w:rsid w:val="005911A1"/>
    <w:rsid w:val="00591F1B"/>
    <w:rsid w:val="00592ECA"/>
    <w:rsid w:val="00592FB8"/>
    <w:rsid w:val="0059352B"/>
    <w:rsid w:val="00593C7E"/>
    <w:rsid w:val="00594085"/>
    <w:rsid w:val="00594855"/>
    <w:rsid w:val="00594ABE"/>
    <w:rsid w:val="00597232"/>
    <w:rsid w:val="005A0127"/>
    <w:rsid w:val="005A0364"/>
    <w:rsid w:val="005A0799"/>
    <w:rsid w:val="005A0F7A"/>
    <w:rsid w:val="005A29EE"/>
    <w:rsid w:val="005A2BCD"/>
    <w:rsid w:val="005A6077"/>
    <w:rsid w:val="005A643E"/>
    <w:rsid w:val="005A68A0"/>
    <w:rsid w:val="005A6B26"/>
    <w:rsid w:val="005A7077"/>
    <w:rsid w:val="005A7B18"/>
    <w:rsid w:val="005B02F6"/>
    <w:rsid w:val="005B034E"/>
    <w:rsid w:val="005B0EDB"/>
    <w:rsid w:val="005B1689"/>
    <w:rsid w:val="005B1DD6"/>
    <w:rsid w:val="005B2AA9"/>
    <w:rsid w:val="005B2B6C"/>
    <w:rsid w:val="005B3624"/>
    <w:rsid w:val="005B3A11"/>
    <w:rsid w:val="005B3E4C"/>
    <w:rsid w:val="005B4BAC"/>
    <w:rsid w:val="005B51D9"/>
    <w:rsid w:val="005B55DD"/>
    <w:rsid w:val="005B5D89"/>
    <w:rsid w:val="005B6DED"/>
    <w:rsid w:val="005C00E5"/>
    <w:rsid w:val="005C031E"/>
    <w:rsid w:val="005C0812"/>
    <w:rsid w:val="005C25B8"/>
    <w:rsid w:val="005C550D"/>
    <w:rsid w:val="005C5DA3"/>
    <w:rsid w:val="005C5E0D"/>
    <w:rsid w:val="005C6776"/>
    <w:rsid w:val="005C6AB9"/>
    <w:rsid w:val="005C738A"/>
    <w:rsid w:val="005C7E77"/>
    <w:rsid w:val="005D0674"/>
    <w:rsid w:val="005D1709"/>
    <w:rsid w:val="005D179D"/>
    <w:rsid w:val="005D17DD"/>
    <w:rsid w:val="005D1A12"/>
    <w:rsid w:val="005D1ACB"/>
    <w:rsid w:val="005D2616"/>
    <w:rsid w:val="005D2CAF"/>
    <w:rsid w:val="005D3CEB"/>
    <w:rsid w:val="005D41AE"/>
    <w:rsid w:val="005D46F1"/>
    <w:rsid w:val="005D4F43"/>
    <w:rsid w:val="005D4F5E"/>
    <w:rsid w:val="005D528B"/>
    <w:rsid w:val="005D5583"/>
    <w:rsid w:val="005D64BA"/>
    <w:rsid w:val="005D6D75"/>
    <w:rsid w:val="005D6E1F"/>
    <w:rsid w:val="005E119A"/>
    <w:rsid w:val="005E2ACC"/>
    <w:rsid w:val="005E31C5"/>
    <w:rsid w:val="005E44B9"/>
    <w:rsid w:val="005E6013"/>
    <w:rsid w:val="005E7385"/>
    <w:rsid w:val="005E77C0"/>
    <w:rsid w:val="005F24FE"/>
    <w:rsid w:val="005F3307"/>
    <w:rsid w:val="005F36A8"/>
    <w:rsid w:val="005F429A"/>
    <w:rsid w:val="005F45DD"/>
    <w:rsid w:val="005F46DD"/>
    <w:rsid w:val="005F4826"/>
    <w:rsid w:val="005F4AD7"/>
    <w:rsid w:val="005F4C73"/>
    <w:rsid w:val="005F5599"/>
    <w:rsid w:val="005F6378"/>
    <w:rsid w:val="005F66FB"/>
    <w:rsid w:val="005F6A8E"/>
    <w:rsid w:val="005F7241"/>
    <w:rsid w:val="005F79ED"/>
    <w:rsid w:val="005F7E49"/>
    <w:rsid w:val="005F7F4F"/>
    <w:rsid w:val="00600E1E"/>
    <w:rsid w:val="00601F17"/>
    <w:rsid w:val="00602C91"/>
    <w:rsid w:val="006038F0"/>
    <w:rsid w:val="00603B82"/>
    <w:rsid w:val="00603C07"/>
    <w:rsid w:val="00604AD0"/>
    <w:rsid w:val="006070BD"/>
    <w:rsid w:val="00607204"/>
    <w:rsid w:val="00607D56"/>
    <w:rsid w:val="00607DE9"/>
    <w:rsid w:val="00610260"/>
    <w:rsid w:val="00610BC5"/>
    <w:rsid w:val="00610E57"/>
    <w:rsid w:val="00610F0A"/>
    <w:rsid w:val="00611372"/>
    <w:rsid w:val="00612548"/>
    <w:rsid w:val="00612D20"/>
    <w:rsid w:val="00612D76"/>
    <w:rsid w:val="006135F8"/>
    <w:rsid w:val="006136D3"/>
    <w:rsid w:val="00615711"/>
    <w:rsid w:val="00616161"/>
    <w:rsid w:val="006164DE"/>
    <w:rsid w:val="00616956"/>
    <w:rsid w:val="006200FF"/>
    <w:rsid w:val="0062050D"/>
    <w:rsid w:val="00622055"/>
    <w:rsid w:val="006238F0"/>
    <w:rsid w:val="00624110"/>
    <w:rsid w:val="006253AA"/>
    <w:rsid w:val="00625911"/>
    <w:rsid w:val="00625C0F"/>
    <w:rsid w:val="00626515"/>
    <w:rsid w:val="0062675E"/>
    <w:rsid w:val="00626B48"/>
    <w:rsid w:val="00626CAB"/>
    <w:rsid w:val="00626E06"/>
    <w:rsid w:val="00627785"/>
    <w:rsid w:val="0062782B"/>
    <w:rsid w:val="00627F4B"/>
    <w:rsid w:val="0063006D"/>
    <w:rsid w:val="006305B1"/>
    <w:rsid w:val="006307EF"/>
    <w:rsid w:val="006314BC"/>
    <w:rsid w:val="00633632"/>
    <w:rsid w:val="006373F8"/>
    <w:rsid w:val="006401BA"/>
    <w:rsid w:val="0064032A"/>
    <w:rsid w:val="006406A2"/>
    <w:rsid w:val="00641254"/>
    <w:rsid w:val="00642BDE"/>
    <w:rsid w:val="00643177"/>
    <w:rsid w:val="0064347F"/>
    <w:rsid w:val="00643776"/>
    <w:rsid w:val="00643D05"/>
    <w:rsid w:val="006442B1"/>
    <w:rsid w:val="00644409"/>
    <w:rsid w:val="00644B6C"/>
    <w:rsid w:val="00644F7E"/>
    <w:rsid w:val="006459C1"/>
    <w:rsid w:val="00645D8B"/>
    <w:rsid w:val="006460A5"/>
    <w:rsid w:val="00652C02"/>
    <w:rsid w:val="00653F4D"/>
    <w:rsid w:val="00654785"/>
    <w:rsid w:val="00654ABD"/>
    <w:rsid w:val="00654F73"/>
    <w:rsid w:val="00655697"/>
    <w:rsid w:val="0065586E"/>
    <w:rsid w:val="0065613C"/>
    <w:rsid w:val="00656BBF"/>
    <w:rsid w:val="0066017E"/>
    <w:rsid w:val="00660414"/>
    <w:rsid w:val="00662CF4"/>
    <w:rsid w:val="00663046"/>
    <w:rsid w:val="006634B6"/>
    <w:rsid w:val="00663D10"/>
    <w:rsid w:val="0066400F"/>
    <w:rsid w:val="006640E8"/>
    <w:rsid w:val="006648E0"/>
    <w:rsid w:val="00664A32"/>
    <w:rsid w:val="00664B59"/>
    <w:rsid w:val="00665363"/>
    <w:rsid w:val="006659C6"/>
    <w:rsid w:val="00665ACD"/>
    <w:rsid w:val="0066697F"/>
    <w:rsid w:val="00667952"/>
    <w:rsid w:val="00670338"/>
    <w:rsid w:val="0067047B"/>
    <w:rsid w:val="00671531"/>
    <w:rsid w:val="00671C0A"/>
    <w:rsid w:val="0067223A"/>
    <w:rsid w:val="00672AA6"/>
    <w:rsid w:val="00673730"/>
    <w:rsid w:val="00675947"/>
    <w:rsid w:val="00676385"/>
    <w:rsid w:val="00676DCF"/>
    <w:rsid w:val="00676E74"/>
    <w:rsid w:val="00680F72"/>
    <w:rsid w:val="006810FC"/>
    <w:rsid w:val="00682285"/>
    <w:rsid w:val="00682371"/>
    <w:rsid w:val="00682DC2"/>
    <w:rsid w:val="00683B10"/>
    <w:rsid w:val="006845DD"/>
    <w:rsid w:val="00684AD9"/>
    <w:rsid w:val="006862D5"/>
    <w:rsid w:val="00686382"/>
    <w:rsid w:val="00687EE8"/>
    <w:rsid w:val="006903B5"/>
    <w:rsid w:val="0069142C"/>
    <w:rsid w:val="00691519"/>
    <w:rsid w:val="00693A19"/>
    <w:rsid w:val="00693EA1"/>
    <w:rsid w:val="00694114"/>
    <w:rsid w:val="0069528A"/>
    <w:rsid w:val="00695602"/>
    <w:rsid w:val="00695CBD"/>
    <w:rsid w:val="00696DC1"/>
    <w:rsid w:val="006979E8"/>
    <w:rsid w:val="006A0247"/>
    <w:rsid w:val="006A0345"/>
    <w:rsid w:val="006A0D7C"/>
    <w:rsid w:val="006A0E74"/>
    <w:rsid w:val="006A5619"/>
    <w:rsid w:val="006A5EE2"/>
    <w:rsid w:val="006A5F9F"/>
    <w:rsid w:val="006A6069"/>
    <w:rsid w:val="006A7B43"/>
    <w:rsid w:val="006A7D8C"/>
    <w:rsid w:val="006B04CA"/>
    <w:rsid w:val="006B166E"/>
    <w:rsid w:val="006B2C44"/>
    <w:rsid w:val="006B3C21"/>
    <w:rsid w:val="006B3F39"/>
    <w:rsid w:val="006B455F"/>
    <w:rsid w:val="006B49B5"/>
    <w:rsid w:val="006B4A97"/>
    <w:rsid w:val="006B5972"/>
    <w:rsid w:val="006B651E"/>
    <w:rsid w:val="006C0D88"/>
    <w:rsid w:val="006C0E45"/>
    <w:rsid w:val="006C3DA1"/>
    <w:rsid w:val="006C4B5F"/>
    <w:rsid w:val="006C5B3B"/>
    <w:rsid w:val="006C600C"/>
    <w:rsid w:val="006C6585"/>
    <w:rsid w:val="006C783D"/>
    <w:rsid w:val="006D08BA"/>
    <w:rsid w:val="006D13F6"/>
    <w:rsid w:val="006D1F41"/>
    <w:rsid w:val="006D223A"/>
    <w:rsid w:val="006D240D"/>
    <w:rsid w:val="006D2846"/>
    <w:rsid w:val="006D3A6C"/>
    <w:rsid w:val="006D493F"/>
    <w:rsid w:val="006D4E6B"/>
    <w:rsid w:val="006D4F74"/>
    <w:rsid w:val="006D5568"/>
    <w:rsid w:val="006D598B"/>
    <w:rsid w:val="006D716B"/>
    <w:rsid w:val="006D7433"/>
    <w:rsid w:val="006D75BB"/>
    <w:rsid w:val="006E04C3"/>
    <w:rsid w:val="006E1357"/>
    <w:rsid w:val="006E15D0"/>
    <w:rsid w:val="006E2879"/>
    <w:rsid w:val="006E3638"/>
    <w:rsid w:val="006E3FD8"/>
    <w:rsid w:val="006E5C1E"/>
    <w:rsid w:val="006E619C"/>
    <w:rsid w:val="006E68C0"/>
    <w:rsid w:val="006E6AD5"/>
    <w:rsid w:val="006E7011"/>
    <w:rsid w:val="006F0E5D"/>
    <w:rsid w:val="006F131B"/>
    <w:rsid w:val="006F1918"/>
    <w:rsid w:val="006F1CD1"/>
    <w:rsid w:val="006F2093"/>
    <w:rsid w:val="006F2675"/>
    <w:rsid w:val="006F35AB"/>
    <w:rsid w:val="006F3853"/>
    <w:rsid w:val="006F3AD0"/>
    <w:rsid w:val="006F42B4"/>
    <w:rsid w:val="006F4B98"/>
    <w:rsid w:val="006F4CDD"/>
    <w:rsid w:val="006F5B60"/>
    <w:rsid w:val="006F6F7E"/>
    <w:rsid w:val="006F729C"/>
    <w:rsid w:val="007002C8"/>
    <w:rsid w:val="00700DE3"/>
    <w:rsid w:val="007019D9"/>
    <w:rsid w:val="0070211B"/>
    <w:rsid w:val="007042D4"/>
    <w:rsid w:val="0070458D"/>
    <w:rsid w:val="00704955"/>
    <w:rsid w:val="007049AD"/>
    <w:rsid w:val="00704B46"/>
    <w:rsid w:val="007054AD"/>
    <w:rsid w:val="00705590"/>
    <w:rsid w:val="0070619A"/>
    <w:rsid w:val="007104F8"/>
    <w:rsid w:val="00710F71"/>
    <w:rsid w:val="00711692"/>
    <w:rsid w:val="00711D7F"/>
    <w:rsid w:val="00712299"/>
    <w:rsid w:val="0071265B"/>
    <w:rsid w:val="007127EF"/>
    <w:rsid w:val="00713AF1"/>
    <w:rsid w:val="00714A43"/>
    <w:rsid w:val="0071513A"/>
    <w:rsid w:val="00715591"/>
    <w:rsid w:val="00715915"/>
    <w:rsid w:val="00715F7C"/>
    <w:rsid w:val="007169B2"/>
    <w:rsid w:val="00716D3D"/>
    <w:rsid w:val="0071749C"/>
    <w:rsid w:val="00717D05"/>
    <w:rsid w:val="00717FD2"/>
    <w:rsid w:val="007201D5"/>
    <w:rsid w:val="0072098A"/>
    <w:rsid w:val="007213C4"/>
    <w:rsid w:val="007216CF"/>
    <w:rsid w:val="0072322E"/>
    <w:rsid w:val="00723BA5"/>
    <w:rsid w:val="00724A67"/>
    <w:rsid w:val="007268EF"/>
    <w:rsid w:val="007269E2"/>
    <w:rsid w:val="00726FE0"/>
    <w:rsid w:val="0072732F"/>
    <w:rsid w:val="007279AB"/>
    <w:rsid w:val="00730ACB"/>
    <w:rsid w:val="00730E55"/>
    <w:rsid w:val="00731059"/>
    <w:rsid w:val="0073236D"/>
    <w:rsid w:val="007324C7"/>
    <w:rsid w:val="00732698"/>
    <w:rsid w:val="00733299"/>
    <w:rsid w:val="007334F2"/>
    <w:rsid w:val="007338E5"/>
    <w:rsid w:val="00734467"/>
    <w:rsid w:val="00734711"/>
    <w:rsid w:val="00735C61"/>
    <w:rsid w:val="0073608B"/>
    <w:rsid w:val="00736C8E"/>
    <w:rsid w:val="0073728C"/>
    <w:rsid w:val="007373AE"/>
    <w:rsid w:val="007377DC"/>
    <w:rsid w:val="00737F71"/>
    <w:rsid w:val="007409A4"/>
    <w:rsid w:val="00740F1F"/>
    <w:rsid w:val="0074114B"/>
    <w:rsid w:val="00741CE5"/>
    <w:rsid w:val="00742AD8"/>
    <w:rsid w:val="0074332E"/>
    <w:rsid w:val="00744100"/>
    <w:rsid w:val="00744336"/>
    <w:rsid w:val="00744869"/>
    <w:rsid w:val="00744A3F"/>
    <w:rsid w:val="00745DBB"/>
    <w:rsid w:val="007461D3"/>
    <w:rsid w:val="00746833"/>
    <w:rsid w:val="00747420"/>
    <w:rsid w:val="00747EA4"/>
    <w:rsid w:val="007504D8"/>
    <w:rsid w:val="00750794"/>
    <w:rsid w:val="00750A59"/>
    <w:rsid w:val="00751335"/>
    <w:rsid w:val="00751934"/>
    <w:rsid w:val="0075198D"/>
    <w:rsid w:val="007519B5"/>
    <w:rsid w:val="00751B09"/>
    <w:rsid w:val="00752CB7"/>
    <w:rsid w:val="00753DD4"/>
    <w:rsid w:val="00755633"/>
    <w:rsid w:val="00756E82"/>
    <w:rsid w:val="00757039"/>
    <w:rsid w:val="00757247"/>
    <w:rsid w:val="00757529"/>
    <w:rsid w:val="00757D95"/>
    <w:rsid w:val="00761561"/>
    <w:rsid w:val="00761717"/>
    <w:rsid w:val="0076231F"/>
    <w:rsid w:val="00762DB5"/>
    <w:rsid w:val="00763EE6"/>
    <w:rsid w:val="0076411A"/>
    <w:rsid w:val="00765138"/>
    <w:rsid w:val="00767000"/>
    <w:rsid w:val="0077153B"/>
    <w:rsid w:val="00772FE1"/>
    <w:rsid w:val="00773493"/>
    <w:rsid w:val="0077381D"/>
    <w:rsid w:val="00773855"/>
    <w:rsid w:val="00773E58"/>
    <w:rsid w:val="007744AE"/>
    <w:rsid w:val="00774E3F"/>
    <w:rsid w:val="00775662"/>
    <w:rsid w:val="00775A58"/>
    <w:rsid w:val="007763B7"/>
    <w:rsid w:val="00776487"/>
    <w:rsid w:val="00776C23"/>
    <w:rsid w:val="00776E36"/>
    <w:rsid w:val="007801CE"/>
    <w:rsid w:val="007802B3"/>
    <w:rsid w:val="007809A8"/>
    <w:rsid w:val="00780F86"/>
    <w:rsid w:val="00781799"/>
    <w:rsid w:val="00782DFC"/>
    <w:rsid w:val="0078365A"/>
    <w:rsid w:val="0078365B"/>
    <w:rsid w:val="00784567"/>
    <w:rsid w:val="00784E63"/>
    <w:rsid w:val="00785BA7"/>
    <w:rsid w:val="00785D08"/>
    <w:rsid w:val="007866E6"/>
    <w:rsid w:val="007867CF"/>
    <w:rsid w:val="007868BD"/>
    <w:rsid w:val="007871EE"/>
    <w:rsid w:val="00787E3C"/>
    <w:rsid w:val="007901B4"/>
    <w:rsid w:val="0079122E"/>
    <w:rsid w:val="00791CA9"/>
    <w:rsid w:val="007926B4"/>
    <w:rsid w:val="00792E3A"/>
    <w:rsid w:val="0079307F"/>
    <w:rsid w:val="00793122"/>
    <w:rsid w:val="00794507"/>
    <w:rsid w:val="00794B51"/>
    <w:rsid w:val="007956B1"/>
    <w:rsid w:val="0079606A"/>
    <w:rsid w:val="0079630E"/>
    <w:rsid w:val="007967D0"/>
    <w:rsid w:val="0079770E"/>
    <w:rsid w:val="007A014D"/>
    <w:rsid w:val="007A03B6"/>
    <w:rsid w:val="007A2363"/>
    <w:rsid w:val="007A2401"/>
    <w:rsid w:val="007A313B"/>
    <w:rsid w:val="007A3927"/>
    <w:rsid w:val="007A4DD6"/>
    <w:rsid w:val="007A57CC"/>
    <w:rsid w:val="007A60C9"/>
    <w:rsid w:val="007B0000"/>
    <w:rsid w:val="007B03DF"/>
    <w:rsid w:val="007B154B"/>
    <w:rsid w:val="007B15EF"/>
    <w:rsid w:val="007B2EE0"/>
    <w:rsid w:val="007B36F0"/>
    <w:rsid w:val="007B36F5"/>
    <w:rsid w:val="007B43E5"/>
    <w:rsid w:val="007B4E6F"/>
    <w:rsid w:val="007B53B6"/>
    <w:rsid w:val="007B53DB"/>
    <w:rsid w:val="007B56D7"/>
    <w:rsid w:val="007B5964"/>
    <w:rsid w:val="007B681B"/>
    <w:rsid w:val="007B6C3B"/>
    <w:rsid w:val="007B70FC"/>
    <w:rsid w:val="007B7135"/>
    <w:rsid w:val="007C09A9"/>
    <w:rsid w:val="007C1B5D"/>
    <w:rsid w:val="007C2550"/>
    <w:rsid w:val="007C27FE"/>
    <w:rsid w:val="007C2FF4"/>
    <w:rsid w:val="007C3C76"/>
    <w:rsid w:val="007C43FE"/>
    <w:rsid w:val="007C4610"/>
    <w:rsid w:val="007C5267"/>
    <w:rsid w:val="007C6CDB"/>
    <w:rsid w:val="007C6E0F"/>
    <w:rsid w:val="007C7804"/>
    <w:rsid w:val="007C7E95"/>
    <w:rsid w:val="007C7EEF"/>
    <w:rsid w:val="007D0014"/>
    <w:rsid w:val="007D00BC"/>
    <w:rsid w:val="007D0250"/>
    <w:rsid w:val="007D0596"/>
    <w:rsid w:val="007D05A7"/>
    <w:rsid w:val="007D0759"/>
    <w:rsid w:val="007D0EE9"/>
    <w:rsid w:val="007D230B"/>
    <w:rsid w:val="007D26B4"/>
    <w:rsid w:val="007D38AD"/>
    <w:rsid w:val="007D3CA3"/>
    <w:rsid w:val="007D3D25"/>
    <w:rsid w:val="007D43C7"/>
    <w:rsid w:val="007D4C29"/>
    <w:rsid w:val="007D725D"/>
    <w:rsid w:val="007D7790"/>
    <w:rsid w:val="007E0D76"/>
    <w:rsid w:val="007E1096"/>
    <w:rsid w:val="007E1124"/>
    <w:rsid w:val="007E13CA"/>
    <w:rsid w:val="007E1DAF"/>
    <w:rsid w:val="007E2761"/>
    <w:rsid w:val="007E2BB1"/>
    <w:rsid w:val="007E2EB9"/>
    <w:rsid w:val="007E2EBD"/>
    <w:rsid w:val="007E3538"/>
    <w:rsid w:val="007E47B2"/>
    <w:rsid w:val="007E5503"/>
    <w:rsid w:val="007E5ADF"/>
    <w:rsid w:val="007E5C48"/>
    <w:rsid w:val="007E5FF2"/>
    <w:rsid w:val="007E6188"/>
    <w:rsid w:val="007E64CB"/>
    <w:rsid w:val="007E685F"/>
    <w:rsid w:val="007E7117"/>
    <w:rsid w:val="007E7849"/>
    <w:rsid w:val="007F1044"/>
    <w:rsid w:val="007F14AA"/>
    <w:rsid w:val="007F1EAE"/>
    <w:rsid w:val="007F229E"/>
    <w:rsid w:val="007F35B6"/>
    <w:rsid w:val="007F3D38"/>
    <w:rsid w:val="007F3FE7"/>
    <w:rsid w:val="007F40F4"/>
    <w:rsid w:val="007F4549"/>
    <w:rsid w:val="007F49B9"/>
    <w:rsid w:val="007F545E"/>
    <w:rsid w:val="007F576B"/>
    <w:rsid w:val="007F591F"/>
    <w:rsid w:val="007F5C60"/>
    <w:rsid w:val="007F6542"/>
    <w:rsid w:val="007F6F70"/>
    <w:rsid w:val="007F7AA7"/>
    <w:rsid w:val="008020F6"/>
    <w:rsid w:val="00802428"/>
    <w:rsid w:val="008027D1"/>
    <w:rsid w:val="00803054"/>
    <w:rsid w:val="0080319D"/>
    <w:rsid w:val="00804B22"/>
    <w:rsid w:val="0080626D"/>
    <w:rsid w:val="00811C01"/>
    <w:rsid w:val="008126AA"/>
    <w:rsid w:val="00812E09"/>
    <w:rsid w:val="00813D56"/>
    <w:rsid w:val="00814C4F"/>
    <w:rsid w:val="00814ECC"/>
    <w:rsid w:val="00815B8D"/>
    <w:rsid w:val="008163CB"/>
    <w:rsid w:val="00816705"/>
    <w:rsid w:val="00816AB4"/>
    <w:rsid w:val="008170C3"/>
    <w:rsid w:val="00817538"/>
    <w:rsid w:val="008176FC"/>
    <w:rsid w:val="0082165A"/>
    <w:rsid w:val="00823A08"/>
    <w:rsid w:val="00824EE3"/>
    <w:rsid w:val="0082520E"/>
    <w:rsid w:val="008254C4"/>
    <w:rsid w:val="008257C2"/>
    <w:rsid w:val="00825D7D"/>
    <w:rsid w:val="00826B42"/>
    <w:rsid w:val="00826B9D"/>
    <w:rsid w:val="00827C4D"/>
    <w:rsid w:val="00830268"/>
    <w:rsid w:val="00830545"/>
    <w:rsid w:val="00834A91"/>
    <w:rsid w:val="00835A80"/>
    <w:rsid w:val="00835F53"/>
    <w:rsid w:val="00835F68"/>
    <w:rsid w:val="00836F0E"/>
    <w:rsid w:val="008377B5"/>
    <w:rsid w:val="00837DCE"/>
    <w:rsid w:val="0084095F"/>
    <w:rsid w:val="00840B70"/>
    <w:rsid w:val="008414B4"/>
    <w:rsid w:val="008414CE"/>
    <w:rsid w:val="00843698"/>
    <w:rsid w:val="00843919"/>
    <w:rsid w:val="00844159"/>
    <w:rsid w:val="00844793"/>
    <w:rsid w:val="00844F93"/>
    <w:rsid w:val="00847961"/>
    <w:rsid w:val="008503BE"/>
    <w:rsid w:val="008510B0"/>
    <w:rsid w:val="008527E2"/>
    <w:rsid w:val="0085284F"/>
    <w:rsid w:val="00852A33"/>
    <w:rsid w:val="00852B11"/>
    <w:rsid w:val="00854CBD"/>
    <w:rsid w:val="008561A1"/>
    <w:rsid w:val="008562B0"/>
    <w:rsid w:val="008566AF"/>
    <w:rsid w:val="00856D76"/>
    <w:rsid w:val="00857FD6"/>
    <w:rsid w:val="00860955"/>
    <w:rsid w:val="00860B8C"/>
    <w:rsid w:val="00860BFD"/>
    <w:rsid w:val="0086147B"/>
    <w:rsid w:val="00861A81"/>
    <w:rsid w:val="0086203A"/>
    <w:rsid w:val="00862155"/>
    <w:rsid w:val="00862664"/>
    <w:rsid w:val="00862871"/>
    <w:rsid w:val="00863671"/>
    <w:rsid w:val="00864D8F"/>
    <w:rsid w:val="00864DB5"/>
    <w:rsid w:val="0086547D"/>
    <w:rsid w:val="00865CCC"/>
    <w:rsid w:val="00865FB7"/>
    <w:rsid w:val="00866683"/>
    <w:rsid w:val="00867609"/>
    <w:rsid w:val="008677DB"/>
    <w:rsid w:val="00867CA0"/>
    <w:rsid w:val="00870BE7"/>
    <w:rsid w:val="00870D0A"/>
    <w:rsid w:val="008712F7"/>
    <w:rsid w:val="0087260B"/>
    <w:rsid w:val="00872B44"/>
    <w:rsid w:val="0087424D"/>
    <w:rsid w:val="008749E7"/>
    <w:rsid w:val="00875161"/>
    <w:rsid w:val="00875BD1"/>
    <w:rsid w:val="00876D8D"/>
    <w:rsid w:val="00877255"/>
    <w:rsid w:val="00877631"/>
    <w:rsid w:val="00882796"/>
    <w:rsid w:val="00885988"/>
    <w:rsid w:val="008859D8"/>
    <w:rsid w:val="008864D3"/>
    <w:rsid w:val="00887175"/>
    <w:rsid w:val="00887963"/>
    <w:rsid w:val="00887E0D"/>
    <w:rsid w:val="00890E99"/>
    <w:rsid w:val="0089161C"/>
    <w:rsid w:val="00892F54"/>
    <w:rsid w:val="00893585"/>
    <w:rsid w:val="00894A27"/>
    <w:rsid w:val="0089511E"/>
    <w:rsid w:val="00895405"/>
    <w:rsid w:val="00896033"/>
    <w:rsid w:val="008961DD"/>
    <w:rsid w:val="008973F1"/>
    <w:rsid w:val="0089743B"/>
    <w:rsid w:val="008976DC"/>
    <w:rsid w:val="00897CD2"/>
    <w:rsid w:val="00897D51"/>
    <w:rsid w:val="00897E8B"/>
    <w:rsid w:val="008A06E0"/>
    <w:rsid w:val="008A144A"/>
    <w:rsid w:val="008A144E"/>
    <w:rsid w:val="008A2445"/>
    <w:rsid w:val="008A2939"/>
    <w:rsid w:val="008A29F7"/>
    <w:rsid w:val="008A31F7"/>
    <w:rsid w:val="008A357B"/>
    <w:rsid w:val="008A40CA"/>
    <w:rsid w:val="008A492E"/>
    <w:rsid w:val="008A6967"/>
    <w:rsid w:val="008B0126"/>
    <w:rsid w:val="008B0357"/>
    <w:rsid w:val="008B078E"/>
    <w:rsid w:val="008B0BC5"/>
    <w:rsid w:val="008B1107"/>
    <w:rsid w:val="008B194C"/>
    <w:rsid w:val="008B252F"/>
    <w:rsid w:val="008B3CFA"/>
    <w:rsid w:val="008B54A0"/>
    <w:rsid w:val="008B7462"/>
    <w:rsid w:val="008B7F5B"/>
    <w:rsid w:val="008C0CA9"/>
    <w:rsid w:val="008C0E82"/>
    <w:rsid w:val="008C1AA3"/>
    <w:rsid w:val="008C1C63"/>
    <w:rsid w:val="008C1E89"/>
    <w:rsid w:val="008C227C"/>
    <w:rsid w:val="008C25D7"/>
    <w:rsid w:val="008C344C"/>
    <w:rsid w:val="008C3820"/>
    <w:rsid w:val="008C3FF4"/>
    <w:rsid w:val="008C45C7"/>
    <w:rsid w:val="008C5B24"/>
    <w:rsid w:val="008C63EF"/>
    <w:rsid w:val="008C64EF"/>
    <w:rsid w:val="008C6C35"/>
    <w:rsid w:val="008C6D88"/>
    <w:rsid w:val="008C6DBE"/>
    <w:rsid w:val="008C7837"/>
    <w:rsid w:val="008D04CF"/>
    <w:rsid w:val="008D2AEB"/>
    <w:rsid w:val="008D2CF1"/>
    <w:rsid w:val="008D32AB"/>
    <w:rsid w:val="008D3E56"/>
    <w:rsid w:val="008D5492"/>
    <w:rsid w:val="008D5AFB"/>
    <w:rsid w:val="008D6D08"/>
    <w:rsid w:val="008D7821"/>
    <w:rsid w:val="008D7C1D"/>
    <w:rsid w:val="008E066E"/>
    <w:rsid w:val="008E16AE"/>
    <w:rsid w:val="008E1B0A"/>
    <w:rsid w:val="008E1EAF"/>
    <w:rsid w:val="008E29E6"/>
    <w:rsid w:val="008E2E05"/>
    <w:rsid w:val="008E389D"/>
    <w:rsid w:val="008E4C92"/>
    <w:rsid w:val="008E5942"/>
    <w:rsid w:val="008E681C"/>
    <w:rsid w:val="008E783A"/>
    <w:rsid w:val="008E7F38"/>
    <w:rsid w:val="008F00A0"/>
    <w:rsid w:val="008F0356"/>
    <w:rsid w:val="008F057E"/>
    <w:rsid w:val="008F3424"/>
    <w:rsid w:val="008F4026"/>
    <w:rsid w:val="008F4BE4"/>
    <w:rsid w:val="008F4F3C"/>
    <w:rsid w:val="008F528C"/>
    <w:rsid w:val="008F52FC"/>
    <w:rsid w:val="008F53C6"/>
    <w:rsid w:val="008F5F53"/>
    <w:rsid w:val="008F60D8"/>
    <w:rsid w:val="008F73A3"/>
    <w:rsid w:val="008F7670"/>
    <w:rsid w:val="008F7C8B"/>
    <w:rsid w:val="00900034"/>
    <w:rsid w:val="00900063"/>
    <w:rsid w:val="00900331"/>
    <w:rsid w:val="00900CE5"/>
    <w:rsid w:val="00900D37"/>
    <w:rsid w:val="00901EE2"/>
    <w:rsid w:val="0090249E"/>
    <w:rsid w:val="009025AA"/>
    <w:rsid w:val="00904163"/>
    <w:rsid w:val="00904B31"/>
    <w:rsid w:val="00905389"/>
    <w:rsid w:val="00905B40"/>
    <w:rsid w:val="00907194"/>
    <w:rsid w:val="00907769"/>
    <w:rsid w:val="00910BB4"/>
    <w:rsid w:val="00911DF8"/>
    <w:rsid w:val="0091229B"/>
    <w:rsid w:val="00913175"/>
    <w:rsid w:val="00914F2A"/>
    <w:rsid w:val="00915811"/>
    <w:rsid w:val="009159D4"/>
    <w:rsid w:val="00916072"/>
    <w:rsid w:val="0091615A"/>
    <w:rsid w:val="0091632E"/>
    <w:rsid w:val="00916B10"/>
    <w:rsid w:val="00920741"/>
    <w:rsid w:val="009210C0"/>
    <w:rsid w:val="009214C5"/>
    <w:rsid w:val="00921B5C"/>
    <w:rsid w:val="009223E0"/>
    <w:rsid w:val="009227E1"/>
    <w:rsid w:val="009239A4"/>
    <w:rsid w:val="00925BAC"/>
    <w:rsid w:val="00925CC7"/>
    <w:rsid w:val="009261A3"/>
    <w:rsid w:val="009269C9"/>
    <w:rsid w:val="00926AC8"/>
    <w:rsid w:val="00926D65"/>
    <w:rsid w:val="00926D84"/>
    <w:rsid w:val="009302B5"/>
    <w:rsid w:val="00930949"/>
    <w:rsid w:val="00930A10"/>
    <w:rsid w:val="00930A62"/>
    <w:rsid w:val="009312D6"/>
    <w:rsid w:val="009317CD"/>
    <w:rsid w:val="00932DB5"/>
    <w:rsid w:val="00933C9E"/>
    <w:rsid w:val="00934D22"/>
    <w:rsid w:val="00935827"/>
    <w:rsid w:val="00935E04"/>
    <w:rsid w:val="00935EE7"/>
    <w:rsid w:val="00936447"/>
    <w:rsid w:val="00936546"/>
    <w:rsid w:val="009368E0"/>
    <w:rsid w:val="00941123"/>
    <w:rsid w:val="0094229E"/>
    <w:rsid w:val="00942D5D"/>
    <w:rsid w:val="009436AF"/>
    <w:rsid w:val="00943ABE"/>
    <w:rsid w:val="00943B93"/>
    <w:rsid w:val="0094454C"/>
    <w:rsid w:val="00944821"/>
    <w:rsid w:val="00944862"/>
    <w:rsid w:val="009450D3"/>
    <w:rsid w:val="00945ECD"/>
    <w:rsid w:val="009471D3"/>
    <w:rsid w:val="00947200"/>
    <w:rsid w:val="00947559"/>
    <w:rsid w:val="00947654"/>
    <w:rsid w:val="00947C55"/>
    <w:rsid w:val="00947FE1"/>
    <w:rsid w:val="0095033A"/>
    <w:rsid w:val="009505AB"/>
    <w:rsid w:val="00951BA6"/>
    <w:rsid w:val="0095258A"/>
    <w:rsid w:val="00954494"/>
    <w:rsid w:val="009605FE"/>
    <w:rsid w:val="00961181"/>
    <w:rsid w:val="00961841"/>
    <w:rsid w:val="00962531"/>
    <w:rsid w:val="0096322E"/>
    <w:rsid w:val="00964112"/>
    <w:rsid w:val="00964F3C"/>
    <w:rsid w:val="009653B5"/>
    <w:rsid w:val="00966D3F"/>
    <w:rsid w:val="00967F7F"/>
    <w:rsid w:val="00970A0D"/>
    <w:rsid w:val="00970F7A"/>
    <w:rsid w:val="0097124B"/>
    <w:rsid w:val="009720E8"/>
    <w:rsid w:val="00973C93"/>
    <w:rsid w:val="0097635E"/>
    <w:rsid w:val="00977776"/>
    <w:rsid w:val="00980A28"/>
    <w:rsid w:val="00981506"/>
    <w:rsid w:val="009817E0"/>
    <w:rsid w:val="009820F7"/>
    <w:rsid w:val="00983C06"/>
    <w:rsid w:val="00983CCC"/>
    <w:rsid w:val="009842BD"/>
    <w:rsid w:val="009842F5"/>
    <w:rsid w:val="00985056"/>
    <w:rsid w:val="00986847"/>
    <w:rsid w:val="009868D0"/>
    <w:rsid w:val="00986FEE"/>
    <w:rsid w:val="00987437"/>
    <w:rsid w:val="00987D35"/>
    <w:rsid w:val="00987F74"/>
    <w:rsid w:val="00990ECC"/>
    <w:rsid w:val="0099149D"/>
    <w:rsid w:val="00993585"/>
    <w:rsid w:val="0099368C"/>
    <w:rsid w:val="009938AF"/>
    <w:rsid w:val="00994E5F"/>
    <w:rsid w:val="00994EF9"/>
    <w:rsid w:val="00994F05"/>
    <w:rsid w:val="009957A4"/>
    <w:rsid w:val="00995B81"/>
    <w:rsid w:val="0099700D"/>
    <w:rsid w:val="00997F65"/>
    <w:rsid w:val="009A0999"/>
    <w:rsid w:val="009A1ABF"/>
    <w:rsid w:val="009A302E"/>
    <w:rsid w:val="009A35A2"/>
    <w:rsid w:val="009A3F6B"/>
    <w:rsid w:val="009A44AA"/>
    <w:rsid w:val="009A45DA"/>
    <w:rsid w:val="009A4670"/>
    <w:rsid w:val="009A4909"/>
    <w:rsid w:val="009A517C"/>
    <w:rsid w:val="009A6945"/>
    <w:rsid w:val="009A6EE2"/>
    <w:rsid w:val="009A7648"/>
    <w:rsid w:val="009A7C3C"/>
    <w:rsid w:val="009A7D7A"/>
    <w:rsid w:val="009B0544"/>
    <w:rsid w:val="009B05FB"/>
    <w:rsid w:val="009B07AA"/>
    <w:rsid w:val="009B1FD9"/>
    <w:rsid w:val="009B2CE9"/>
    <w:rsid w:val="009B3A11"/>
    <w:rsid w:val="009B3E7C"/>
    <w:rsid w:val="009B5934"/>
    <w:rsid w:val="009B68CC"/>
    <w:rsid w:val="009B72AF"/>
    <w:rsid w:val="009B78AA"/>
    <w:rsid w:val="009C0006"/>
    <w:rsid w:val="009C035D"/>
    <w:rsid w:val="009C0643"/>
    <w:rsid w:val="009C1A52"/>
    <w:rsid w:val="009C2A7F"/>
    <w:rsid w:val="009C2BB7"/>
    <w:rsid w:val="009C501D"/>
    <w:rsid w:val="009C543B"/>
    <w:rsid w:val="009C656E"/>
    <w:rsid w:val="009C67CC"/>
    <w:rsid w:val="009C6AAF"/>
    <w:rsid w:val="009C6DBE"/>
    <w:rsid w:val="009C7F0C"/>
    <w:rsid w:val="009D0491"/>
    <w:rsid w:val="009D1166"/>
    <w:rsid w:val="009D12D2"/>
    <w:rsid w:val="009D1661"/>
    <w:rsid w:val="009D293B"/>
    <w:rsid w:val="009D2CC7"/>
    <w:rsid w:val="009D2F4A"/>
    <w:rsid w:val="009D34D6"/>
    <w:rsid w:val="009D4226"/>
    <w:rsid w:val="009D443D"/>
    <w:rsid w:val="009D5CEE"/>
    <w:rsid w:val="009D5E79"/>
    <w:rsid w:val="009D63D9"/>
    <w:rsid w:val="009D6458"/>
    <w:rsid w:val="009D663E"/>
    <w:rsid w:val="009D688E"/>
    <w:rsid w:val="009D6FDD"/>
    <w:rsid w:val="009E1141"/>
    <w:rsid w:val="009E210E"/>
    <w:rsid w:val="009E28F8"/>
    <w:rsid w:val="009E3740"/>
    <w:rsid w:val="009E390E"/>
    <w:rsid w:val="009E4A0B"/>
    <w:rsid w:val="009E4D3E"/>
    <w:rsid w:val="009E5A48"/>
    <w:rsid w:val="009E6579"/>
    <w:rsid w:val="009E6C48"/>
    <w:rsid w:val="009E743E"/>
    <w:rsid w:val="009F0439"/>
    <w:rsid w:val="009F0728"/>
    <w:rsid w:val="009F2E28"/>
    <w:rsid w:val="009F3F92"/>
    <w:rsid w:val="009F58FF"/>
    <w:rsid w:val="009F60C4"/>
    <w:rsid w:val="009F61C7"/>
    <w:rsid w:val="009F67EA"/>
    <w:rsid w:val="009F69FE"/>
    <w:rsid w:val="009F6AE4"/>
    <w:rsid w:val="00A00716"/>
    <w:rsid w:val="00A0084F"/>
    <w:rsid w:val="00A0091E"/>
    <w:rsid w:val="00A00CE6"/>
    <w:rsid w:val="00A052E0"/>
    <w:rsid w:val="00A059EE"/>
    <w:rsid w:val="00A05D20"/>
    <w:rsid w:val="00A12502"/>
    <w:rsid w:val="00A125B8"/>
    <w:rsid w:val="00A1281D"/>
    <w:rsid w:val="00A12CA5"/>
    <w:rsid w:val="00A12DEA"/>
    <w:rsid w:val="00A1394E"/>
    <w:rsid w:val="00A14E59"/>
    <w:rsid w:val="00A20149"/>
    <w:rsid w:val="00A20574"/>
    <w:rsid w:val="00A2181A"/>
    <w:rsid w:val="00A2234D"/>
    <w:rsid w:val="00A231FF"/>
    <w:rsid w:val="00A23270"/>
    <w:rsid w:val="00A239CC"/>
    <w:rsid w:val="00A23B5A"/>
    <w:rsid w:val="00A2490B"/>
    <w:rsid w:val="00A24A3B"/>
    <w:rsid w:val="00A24DDC"/>
    <w:rsid w:val="00A253A9"/>
    <w:rsid w:val="00A255CC"/>
    <w:rsid w:val="00A255D3"/>
    <w:rsid w:val="00A2621E"/>
    <w:rsid w:val="00A26E15"/>
    <w:rsid w:val="00A2745E"/>
    <w:rsid w:val="00A277C3"/>
    <w:rsid w:val="00A27830"/>
    <w:rsid w:val="00A31695"/>
    <w:rsid w:val="00A33814"/>
    <w:rsid w:val="00A338FD"/>
    <w:rsid w:val="00A33A47"/>
    <w:rsid w:val="00A3445A"/>
    <w:rsid w:val="00A34B86"/>
    <w:rsid w:val="00A34C83"/>
    <w:rsid w:val="00A34C99"/>
    <w:rsid w:val="00A34D8C"/>
    <w:rsid w:val="00A34E09"/>
    <w:rsid w:val="00A35282"/>
    <w:rsid w:val="00A35B44"/>
    <w:rsid w:val="00A35FAB"/>
    <w:rsid w:val="00A3744D"/>
    <w:rsid w:val="00A37614"/>
    <w:rsid w:val="00A37D8A"/>
    <w:rsid w:val="00A406DC"/>
    <w:rsid w:val="00A41F98"/>
    <w:rsid w:val="00A4291A"/>
    <w:rsid w:val="00A42FE3"/>
    <w:rsid w:val="00A43676"/>
    <w:rsid w:val="00A43AEB"/>
    <w:rsid w:val="00A43B04"/>
    <w:rsid w:val="00A4465A"/>
    <w:rsid w:val="00A4685A"/>
    <w:rsid w:val="00A46AE3"/>
    <w:rsid w:val="00A4703D"/>
    <w:rsid w:val="00A47A29"/>
    <w:rsid w:val="00A47D99"/>
    <w:rsid w:val="00A52287"/>
    <w:rsid w:val="00A52DC1"/>
    <w:rsid w:val="00A541C7"/>
    <w:rsid w:val="00A54433"/>
    <w:rsid w:val="00A54CEF"/>
    <w:rsid w:val="00A56455"/>
    <w:rsid w:val="00A564E4"/>
    <w:rsid w:val="00A56E9C"/>
    <w:rsid w:val="00A5733E"/>
    <w:rsid w:val="00A57693"/>
    <w:rsid w:val="00A576E3"/>
    <w:rsid w:val="00A57D6A"/>
    <w:rsid w:val="00A605F4"/>
    <w:rsid w:val="00A60970"/>
    <w:rsid w:val="00A6140F"/>
    <w:rsid w:val="00A614FC"/>
    <w:rsid w:val="00A6163D"/>
    <w:rsid w:val="00A6252E"/>
    <w:rsid w:val="00A637C0"/>
    <w:rsid w:val="00A63BA0"/>
    <w:rsid w:val="00A6474C"/>
    <w:rsid w:val="00A64E33"/>
    <w:rsid w:val="00A65DC6"/>
    <w:rsid w:val="00A6795B"/>
    <w:rsid w:val="00A67E45"/>
    <w:rsid w:val="00A70954"/>
    <w:rsid w:val="00A70CB9"/>
    <w:rsid w:val="00A70D14"/>
    <w:rsid w:val="00A71068"/>
    <w:rsid w:val="00A7109E"/>
    <w:rsid w:val="00A713A1"/>
    <w:rsid w:val="00A71828"/>
    <w:rsid w:val="00A72272"/>
    <w:rsid w:val="00A72EFC"/>
    <w:rsid w:val="00A744B2"/>
    <w:rsid w:val="00A7473E"/>
    <w:rsid w:val="00A74E9C"/>
    <w:rsid w:val="00A75114"/>
    <w:rsid w:val="00A76857"/>
    <w:rsid w:val="00A77F46"/>
    <w:rsid w:val="00A800B8"/>
    <w:rsid w:val="00A829D4"/>
    <w:rsid w:val="00A82A91"/>
    <w:rsid w:val="00A83FAE"/>
    <w:rsid w:val="00A84C2E"/>
    <w:rsid w:val="00A85731"/>
    <w:rsid w:val="00A85903"/>
    <w:rsid w:val="00A86262"/>
    <w:rsid w:val="00A86554"/>
    <w:rsid w:val="00A87353"/>
    <w:rsid w:val="00A91174"/>
    <w:rsid w:val="00A9159C"/>
    <w:rsid w:val="00A91D1B"/>
    <w:rsid w:val="00A92085"/>
    <w:rsid w:val="00A923DA"/>
    <w:rsid w:val="00A92B2D"/>
    <w:rsid w:val="00A939E8"/>
    <w:rsid w:val="00A94260"/>
    <w:rsid w:val="00A94BA8"/>
    <w:rsid w:val="00A95B47"/>
    <w:rsid w:val="00A9668E"/>
    <w:rsid w:val="00A97C95"/>
    <w:rsid w:val="00AA0333"/>
    <w:rsid w:val="00AA0ACC"/>
    <w:rsid w:val="00AA0E40"/>
    <w:rsid w:val="00AA1228"/>
    <w:rsid w:val="00AA1747"/>
    <w:rsid w:val="00AA1F4F"/>
    <w:rsid w:val="00AA22E3"/>
    <w:rsid w:val="00AA25AC"/>
    <w:rsid w:val="00AA27DD"/>
    <w:rsid w:val="00AA30E9"/>
    <w:rsid w:val="00AA4780"/>
    <w:rsid w:val="00AA4CA6"/>
    <w:rsid w:val="00AA5316"/>
    <w:rsid w:val="00AA6EE8"/>
    <w:rsid w:val="00AB0F4B"/>
    <w:rsid w:val="00AB0FBD"/>
    <w:rsid w:val="00AB3066"/>
    <w:rsid w:val="00AB30F8"/>
    <w:rsid w:val="00AB3C34"/>
    <w:rsid w:val="00AB4771"/>
    <w:rsid w:val="00AB4808"/>
    <w:rsid w:val="00AB495C"/>
    <w:rsid w:val="00AB4D61"/>
    <w:rsid w:val="00AB64D5"/>
    <w:rsid w:val="00AB6834"/>
    <w:rsid w:val="00AB735E"/>
    <w:rsid w:val="00AB738F"/>
    <w:rsid w:val="00AB7D56"/>
    <w:rsid w:val="00AC0543"/>
    <w:rsid w:val="00AC16D5"/>
    <w:rsid w:val="00AC17D8"/>
    <w:rsid w:val="00AC192A"/>
    <w:rsid w:val="00AC22DB"/>
    <w:rsid w:val="00AC2A36"/>
    <w:rsid w:val="00AC4067"/>
    <w:rsid w:val="00AC46CE"/>
    <w:rsid w:val="00AC4B57"/>
    <w:rsid w:val="00AC4DF9"/>
    <w:rsid w:val="00AC51C1"/>
    <w:rsid w:val="00AC6AC9"/>
    <w:rsid w:val="00AC6D8C"/>
    <w:rsid w:val="00AC701E"/>
    <w:rsid w:val="00AC7DEE"/>
    <w:rsid w:val="00AD0047"/>
    <w:rsid w:val="00AD04F9"/>
    <w:rsid w:val="00AD080D"/>
    <w:rsid w:val="00AD0A75"/>
    <w:rsid w:val="00AD14C0"/>
    <w:rsid w:val="00AD1C9D"/>
    <w:rsid w:val="00AD345B"/>
    <w:rsid w:val="00AD3C71"/>
    <w:rsid w:val="00AD579F"/>
    <w:rsid w:val="00AD5F04"/>
    <w:rsid w:val="00AD5FCB"/>
    <w:rsid w:val="00AD5FD2"/>
    <w:rsid w:val="00AD6A98"/>
    <w:rsid w:val="00AD7078"/>
    <w:rsid w:val="00AD79BF"/>
    <w:rsid w:val="00AD7BEB"/>
    <w:rsid w:val="00AE0D23"/>
    <w:rsid w:val="00AE1755"/>
    <w:rsid w:val="00AE1C55"/>
    <w:rsid w:val="00AE23D6"/>
    <w:rsid w:val="00AE381F"/>
    <w:rsid w:val="00AE3A49"/>
    <w:rsid w:val="00AE493C"/>
    <w:rsid w:val="00AE6671"/>
    <w:rsid w:val="00AF108A"/>
    <w:rsid w:val="00AF159B"/>
    <w:rsid w:val="00AF2297"/>
    <w:rsid w:val="00AF2FD4"/>
    <w:rsid w:val="00AF2FFA"/>
    <w:rsid w:val="00AF3520"/>
    <w:rsid w:val="00AF4D43"/>
    <w:rsid w:val="00AF4DD6"/>
    <w:rsid w:val="00AF504A"/>
    <w:rsid w:val="00AF5610"/>
    <w:rsid w:val="00AF76F1"/>
    <w:rsid w:val="00B0218D"/>
    <w:rsid w:val="00B028AA"/>
    <w:rsid w:val="00B0379A"/>
    <w:rsid w:val="00B03E34"/>
    <w:rsid w:val="00B04DDE"/>
    <w:rsid w:val="00B05C12"/>
    <w:rsid w:val="00B06175"/>
    <w:rsid w:val="00B06DEC"/>
    <w:rsid w:val="00B075AF"/>
    <w:rsid w:val="00B10D4B"/>
    <w:rsid w:val="00B11CF7"/>
    <w:rsid w:val="00B11EA0"/>
    <w:rsid w:val="00B12091"/>
    <w:rsid w:val="00B12ADA"/>
    <w:rsid w:val="00B134AA"/>
    <w:rsid w:val="00B14642"/>
    <w:rsid w:val="00B15A71"/>
    <w:rsid w:val="00B1674D"/>
    <w:rsid w:val="00B17863"/>
    <w:rsid w:val="00B203AC"/>
    <w:rsid w:val="00B2060B"/>
    <w:rsid w:val="00B21613"/>
    <w:rsid w:val="00B219C5"/>
    <w:rsid w:val="00B228D6"/>
    <w:rsid w:val="00B22AAC"/>
    <w:rsid w:val="00B22C4B"/>
    <w:rsid w:val="00B23D61"/>
    <w:rsid w:val="00B24064"/>
    <w:rsid w:val="00B24CF0"/>
    <w:rsid w:val="00B256B5"/>
    <w:rsid w:val="00B25F83"/>
    <w:rsid w:val="00B26386"/>
    <w:rsid w:val="00B26562"/>
    <w:rsid w:val="00B2750A"/>
    <w:rsid w:val="00B31A75"/>
    <w:rsid w:val="00B31BCF"/>
    <w:rsid w:val="00B338FC"/>
    <w:rsid w:val="00B339FB"/>
    <w:rsid w:val="00B340C4"/>
    <w:rsid w:val="00B34C9E"/>
    <w:rsid w:val="00B355AB"/>
    <w:rsid w:val="00B357AB"/>
    <w:rsid w:val="00B35A19"/>
    <w:rsid w:val="00B35E13"/>
    <w:rsid w:val="00B36775"/>
    <w:rsid w:val="00B36CC1"/>
    <w:rsid w:val="00B37B17"/>
    <w:rsid w:val="00B37EF9"/>
    <w:rsid w:val="00B40150"/>
    <w:rsid w:val="00B4030F"/>
    <w:rsid w:val="00B41F5C"/>
    <w:rsid w:val="00B42383"/>
    <w:rsid w:val="00B42600"/>
    <w:rsid w:val="00B43004"/>
    <w:rsid w:val="00B431EA"/>
    <w:rsid w:val="00B43578"/>
    <w:rsid w:val="00B439BC"/>
    <w:rsid w:val="00B45613"/>
    <w:rsid w:val="00B463FF"/>
    <w:rsid w:val="00B464F6"/>
    <w:rsid w:val="00B467F8"/>
    <w:rsid w:val="00B47480"/>
    <w:rsid w:val="00B47CF3"/>
    <w:rsid w:val="00B5196C"/>
    <w:rsid w:val="00B52068"/>
    <w:rsid w:val="00B528BE"/>
    <w:rsid w:val="00B539F0"/>
    <w:rsid w:val="00B545B7"/>
    <w:rsid w:val="00B5504C"/>
    <w:rsid w:val="00B557B4"/>
    <w:rsid w:val="00B55BA4"/>
    <w:rsid w:val="00B56387"/>
    <w:rsid w:val="00B568D7"/>
    <w:rsid w:val="00B56F36"/>
    <w:rsid w:val="00B57A9E"/>
    <w:rsid w:val="00B6009A"/>
    <w:rsid w:val="00B60607"/>
    <w:rsid w:val="00B628BE"/>
    <w:rsid w:val="00B638D8"/>
    <w:rsid w:val="00B64732"/>
    <w:rsid w:val="00B64E0E"/>
    <w:rsid w:val="00B66AD0"/>
    <w:rsid w:val="00B6703F"/>
    <w:rsid w:val="00B7242E"/>
    <w:rsid w:val="00B72FEF"/>
    <w:rsid w:val="00B7339F"/>
    <w:rsid w:val="00B743B0"/>
    <w:rsid w:val="00B747B1"/>
    <w:rsid w:val="00B768C0"/>
    <w:rsid w:val="00B769A1"/>
    <w:rsid w:val="00B76D8F"/>
    <w:rsid w:val="00B770D1"/>
    <w:rsid w:val="00B77495"/>
    <w:rsid w:val="00B778CF"/>
    <w:rsid w:val="00B80A50"/>
    <w:rsid w:val="00B812AE"/>
    <w:rsid w:val="00B814AE"/>
    <w:rsid w:val="00B819B9"/>
    <w:rsid w:val="00B824ED"/>
    <w:rsid w:val="00B827FE"/>
    <w:rsid w:val="00B83005"/>
    <w:rsid w:val="00B8309A"/>
    <w:rsid w:val="00B838CB"/>
    <w:rsid w:val="00B839CD"/>
    <w:rsid w:val="00B83D3E"/>
    <w:rsid w:val="00B8493C"/>
    <w:rsid w:val="00B8494E"/>
    <w:rsid w:val="00B84BE4"/>
    <w:rsid w:val="00B84EA5"/>
    <w:rsid w:val="00B85E01"/>
    <w:rsid w:val="00B8690E"/>
    <w:rsid w:val="00B87F39"/>
    <w:rsid w:val="00B87FF2"/>
    <w:rsid w:val="00B9118B"/>
    <w:rsid w:val="00B91341"/>
    <w:rsid w:val="00B9155F"/>
    <w:rsid w:val="00B91658"/>
    <w:rsid w:val="00B916E6"/>
    <w:rsid w:val="00B91AB0"/>
    <w:rsid w:val="00B937FE"/>
    <w:rsid w:val="00B944ED"/>
    <w:rsid w:val="00B94CCE"/>
    <w:rsid w:val="00B94E18"/>
    <w:rsid w:val="00B94F37"/>
    <w:rsid w:val="00B95223"/>
    <w:rsid w:val="00B95823"/>
    <w:rsid w:val="00B95905"/>
    <w:rsid w:val="00B95B5C"/>
    <w:rsid w:val="00B95E8C"/>
    <w:rsid w:val="00B95FD4"/>
    <w:rsid w:val="00B969F8"/>
    <w:rsid w:val="00B97048"/>
    <w:rsid w:val="00B97DE6"/>
    <w:rsid w:val="00BA0128"/>
    <w:rsid w:val="00BA19BC"/>
    <w:rsid w:val="00BA3C47"/>
    <w:rsid w:val="00BA4CCE"/>
    <w:rsid w:val="00BA5D4B"/>
    <w:rsid w:val="00BA62F2"/>
    <w:rsid w:val="00BA7D94"/>
    <w:rsid w:val="00BB03B7"/>
    <w:rsid w:val="00BB122B"/>
    <w:rsid w:val="00BB1CC1"/>
    <w:rsid w:val="00BB1FCE"/>
    <w:rsid w:val="00BB2CC4"/>
    <w:rsid w:val="00BB312B"/>
    <w:rsid w:val="00BB44E3"/>
    <w:rsid w:val="00BB5642"/>
    <w:rsid w:val="00BB5BE5"/>
    <w:rsid w:val="00BB66BF"/>
    <w:rsid w:val="00BB6B2B"/>
    <w:rsid w:val="00BC01EF"/>
    <w:rsid w:val="00BC169A"/>
    <w:rsid w:val="00BC17F1"/>
    <w:rsid w:val="00BC2A20"/>
    <w:rsid w:val="00BC2B83"/>
    <w:rsid w:val="00BC2D33"/>
    <w:rsid w:val="00BC3165"/>
    <w:rsid w:val="00BC347F"/>
    <w:rsid w:val="00BC367E"/>
    <w:rsid w:val="00BC42F0"/>
    <w:rsid w:val="00BC4644"/>
    <w:rsid w:val="00BC5166"/>
    <w:rsid w:val="00BC518B"/>
    <w:rsid w:val="00BC5EA1"/>
    <w:rsid w:val="00BC6243"/>
    <w:rsid w:val="00BC664F"/>
    <w:rsid w:val="00BC6975"/>
    <w:rsid w:val="00BD0A2E"/>
    <w:rsid w:val="00BD0AB6"/>
    <w:rsid w:val="00BD0BB2"/>
    <w:rsid w:val="00BD155B"/>
    <w:rsid w:val="00BD1D26"/>
    <w:rsid w:val="00BD26D9"/>
    <w:rsid w:val="00BD3C9D"/>
    <w:rsid w:val="00BD3EAD"/>
    <w:rsid w:val="00BD4F4E"/>
    <w:rsid w:val="00BD6053"/>
    <w:rsid w:val="00BD6204"/>
    <w:rsid w:val="00BD6576"/>
    <w:rsid w:val="00BD6658"/>
    <w:rsid w:val="00BD6B8A"/>
    <w:rsid w:val="00BD708F"/>
    <w:rsid w:val="00BD73F9"/>
    <w:rsid w:val="00BD7DEB"/>
    <w:rsid w:val="00BE01E0"/>
    <w:rsid w:val="00BE0A7D"/>
    <w:rsid w:val="00BE0BD7"/>
    <w:rsid w:val="00BE19F2"/>
    <w:rsid w:val="00BE25D9"/>
    <w:rsid w:val="00BE2687"/>
    <w:rsid w:val="00BE28EE"/>
    <w:rsid w:val="00BE51CA"/>
    <w:rsid w:val="00BE542B"/>
    <w:rsid w:val="00BE568F"/>
    <w:rsid w:val="00BE5E62"/>
    <w:rsid w:val="00BE5E97"/>
    <w:rsid w:val="00BE65DB"/>
    <w:rsid w:val="00BE669B"/>
    <w:rsid w:val="00BE6843"/>
    <w:rsid w:val="00BE698D"/>
    <w:rsid w:val="00BE7978"/>
    <w:rsid w:val="00BE7A46"/>
    <w:rsid w:val="00BF09A0"/>
    <w:rsid w:val="00BF1D4C"/>
    <w:rsid w:val="00BF27AA"/>
    <w:rsid w:val="00BF4C64"/>
    <w:rsid w:val="00BF4D87"/>
    <w:rsid w:val="00BF7A13"/>
    <w:rsid w:val="00C00499"/>
    <w:rsid w:val="00C0222E"/>
    <w:rsid w:val="00C02DDD"/>
    <w:rsid w:val="00C03695"/>
    <w:rsid w:val="00C03B7D"/>
    <w:rsid w:val="00C0471E"/>
    <w:rsid w:val="00C05149"/>
    <w:rsid w:val="00C05267"/>
    <w:rsid w:val="00C05605"/>
    <w:rsid w:val="00C06382"/>
    <w:rsid w:val="00C069BE"/>
    <w:rsid w:val="00C07416"/>
    <w:rsid w:val="00C10179"/>
    <w:rsid w:val="00C10AF3"/>
    <w:rsid w:val="00C10E69"/>
    <w:rsid w:val="00C117B1"/>
    <w:rsid w:val="00C122F5"/>
    <w:rsid w:val="00C12BE1"/>
    <w:rsid w:val="00C1322B"/>
    <w:rsid w:val="00C14F8E"/>
    <w:rsid w:val="00C17428"/>
    <w:rsid w:val="00C174AD"/>
    <w:rsid w:val="00C220B1"/>
    <w:rsid w:val="00C224C6"/>
    <w:rsid w:val="00C2259C"/>
    <w:rsid w:val="00C22830"/>
    <w:rsid w:val="00C23363"/>
    <w:rsid w:val="00C2354E"/>
    <w:rsid w:val="00C23B23"/>
    <w:rsid w:val="00C23D8A"/>
    <w:rsid w:val="00C2444C"/>
    <w:rsid w:val="00C264C5"/>
    <w:rsid w:val="00C2681E"/>
    <w:rsid w:val="00C27CFF"/>
    <w:rsid w:val="00C27E03"/>
    <w:rsid w:val="00C306B0"/>
    <w:rsid w:val="00C31478"/>
    <w:rsid w:val="00C314D9"/>
    <w:rsid w:val="00C31DB7"/>
    <w:rsid w:val="00C32A6C"/>
    <w:rsid w:val="00C338D7"/>
    <w:rsid w:val="00C33BC7"/>
    <w:rsid w:val="00C34DD3"/>
    <w:rsid w:val="00C355BD"/>
    <w:rsid w:val="00C366A7"/>
    <w:rsid w:val="00C36809"/>
    <w:rsid w:val="00C40214"/>
    <w:rsid w:val="00C405EE"/>
    <w:rsid w:val="00C42F22"/>
    <w:rsid w:val="00C45A0C"/>
    <w:rsid w:val="00C45E11"/>
    <w:rsid w:val="00C46D83"/>
    <w:rsid w:val="00C4750A"/>
    <w:rsid w:val="00C503C7"/>
    <w:rsid w:val="00C506F1"/>
    <w:rsid w:val="00C50AC2"/>
    <w:rsid w:val="00C50D22"/>
    <w:rsid w:val="00C50DA7"/>
    <w:rsid w:val="00C51E08"/>
    <w:rsid w:val="00C525A3"/>
    <w:rsid w:val="00C528B0"/>
    <w:rsid w:val="00C52C87"/>
    <w:rsid w:val="00C54566"/>
    <w:rsid w:val="00C55DF5"/>
    <w:rsid w:val="00C55EBA"/>
    <w:rsid w:val="00C56662"/>
    <w:rsid w:val="00C56C6F"/>
    <w:rsid w:val="00C572DF"/>
    <w:rsid w:val="00C57508"/>
    <w:rsid w:val="00C60ED4"/>
    <w:rsid w:val="00C61176"/>
    <w:rsid w:val="00C62A30"/>
    <w:rsid w:val="00C635E6"/>
    <w:rsid w:val="00C63974"/>
    <w:rsid w:val="00C63BB4"/>
    <w:rsid w:val="00C64321"/>
    <w:rsid w:val="00C65260"/>
    <w:rsid w:val="00C65B84"/>
    <w:rsid w:val="00C65FCA"/>
    <w:rsid w:val="00C67AE3"/>
    <w:rsid w:val="00C67B2C"/>
    <w:rsid w:val="00C709D6"/>
    <w:rsid w:val="00C70B34"/>
    <w:rsid w:val="00C711E7"/>
    <w:rsid w:val="00C717B3"/>
    <w:rsid w:val="00C71DB3"/>
    <w:rsid w:val="00C7245F"/>
    <w:rsid w:val="00C725BF"/>
    <w:rsid w:val="00C7292A"/>
    <w:rsid w:val="00C72B68"/>
    <w:rsid w:val="00C72F42"/>
    <w:rsid w:val="00C7342E"/>
    <w:rsid w:val="00C73921"/>
    <w:rsid w:val="00C73D06"/>
    <w:rsid w:val="00C74899"/>
    <w:rsid w:val="00C74936"/>
    <w:rsid w:val="00C74EDF"/>
    <w:rsid w:val="00C751A8"/>
    <w:rsid w:val="00C75241"/>
    <w:rsid w:val="00C75328"/>
    <w:rsid w:val="00C76AC3"/>
    <w:rsid w:val="00C80484"/>
    <w:rsid w:val="00C81391"/>
    <w:rsid w:val="00C81D92"/>
    <w:rsid w:val="00C81FD1"/>
    <w:rsid w:val="00C82547"/>
    <w:rsid w:val="00C826DE"/>
    <w:rsid w:val="00C82822"/>
    <w:rsid w:val="00C82B27"/>
    <w:rsid w:val="00C82E94"/>
    <w:rsid w:val="00C82EDA"/>
    <w:rsid w:val="00C82F7B"/>
    <w:rsid w:val="00C83270"/>
    <w:rsid w:val="00C847D9"/>
    <w:rsid w:val="00C847EF"/>
    <w:rsid w:val="00C84A73"/>
    <w:rsid w:val="00C84AD8"/>
    <w:rsid w:val="00C8551E"/>
    <w:rsid w:val="00C855EC"/>
    <w:rsid w:val="00C85941"/>
    <w:rsid w:val="00C9150B"/>
    <w:rsid w:val="00C91F61"/>
    <w:rsid w:val="00C92130"/>
    <w:rsid w:val="00C929D5"/>
    <w:rsid w:val="00C93B2E"/>
    <w:rsid w:val="00C94BCC"/>
    <w:rsid w:val="00C952AE"/>
    <w:rsid w:val="00C95612"/>
    <w:rsid w:val="00C9629B"/>
    <w:rsid w:val="00C96A27"/>
    <w:rsid w:val="00C96B96"/>
    <w:rsid w:val="00C97E80"/>
    <w:rsid w:val="00CA0292"/>
    <w:rsid w:val="00CA05C7"/>
    <w:rsid w:val="00CA1231"/>
    <w:rsid w:val="00CA17CA"/>
    <w:rsid w:val="00CA2CBC"/>
    <w:rsid w:val="00CA3B2B"/>
    <w:rsid w:val="00CA3EF7"/>
    <w:rsid w:val="00CA44A7"/>
    <w:rsid w:val="00CA47EE"/>
    <w:rsid w:val="00CA4C6B"/>
    <w:rsid w:val="00CA4D99"/>
    <w:rsid w:val="00CA5E1D"/>
    <w:rsid w:val="00CA5ECA"/>
    <w:rsid w:val="00CA64EE"/>
    <w:rsid w:val="00CA70E3"/>
    <w:rsid w:val="00CB0456"/>
    <w:rsid w:val="00CB1973"/>
    <w:rsid w:val="00CB2F26"/>
    <w:rsid w:val="00CB3621"/>
    <w:rsid w:val="00CB3E18"/>
    <w:rsid w:val="00CB40DC"/>
    <w:rsid w:val="00CB4428"/>
    <w:rsid w:val="00CB5135"/>
    <w:rsid w:val="00CB77BD"/>
    <w:rsid w:val="00CB7CB5"/>
    <w:rsid w:val="00CB7D58"/>
    <w:rsid w:val="00CB7F1F"/>
    <w:rsid w:val="00CC0A9D"/>
    <w:rsid w:val="00CC1026"/>
    <w:rsid w:val="00CC2325"/>
    <w:rsid w:val="00CC26F4"/>
    <w:rsid w:val="00CC2C19"/>
    <w:rsid w:val="00CC322C"/>
    <w:rsid w:val="00CC388F"/>
    <w:rsid w:val="00CC38C8"/>
    <w:rsid w:val="00CC4812"/>
    <w:rsid w:val="00CC4A2F"/>
    <w:rsid w:val="00CC57E9"/>
    <w:rsid w:val="00CC609B"/>
    <w:rsid w:val="00CC631B"/>
    <w:rsid w:val="00CC6C38"/>
    <w:rsid w:val="00CC6EE7"/>
    <w:rsid w:val="00CC7457"/>
    <w:rsid w:val="00CC7A8A"/>
    <w:rsid w:val="00CD001D"/>
    <w:rsid w:val="00CD2406"/>
    <w:rsid w:val="00CD24DA"/>
    <w:rsid w:val="00CD2EA5"/>
    <w:rsid w:val="00CD3214"/>
    <w:rsid w:val="00CD3F4B"/>
    <w:rsid w:val="00CD6EA0"/>
    <w:rsid w:val="00CE193F"/>
    <w:rsid w:val="00CE1ED2"/>
    <w:rsid w:val="00CE204F"/>
    <w:rsid w:val="00CE2143"/>
    <w:rsid w:val="00CE27BD"/>
    <w:rsid w:val="00CE3C71"/>
    <w:rsid w:val="00CE435E"/>
    <w:rsid w:val="00CE46A9"/>
    <w:rsid w:val="00CE5083"/>
    <w:rsid w:val="00CE6047"/>
    <w:rsid w:val="00CE6841"/>
    <w:rsid w:val="00CE76B7"/>
    <w:rsid w:val="00CF0836"/>
    <w:rsid w:val="00CF2691"/>
    <w:rsid w:val="00CF2AB7"/>
    <w:rsid w:val="00CF376D"/>
    <w:rsid w:val="00CF3BC1"/>
    <w:rsid w:val="00CF53D7"/>
    <w:rsid w:val="00CF6E69"/>
    <w:rsid w:val="00CF75EF"/>
    <w:rsid w:val="00D01383"/>
    <w:rsid w:val="00D0158B"/>
    <w:rsid w:val="00D015AA"/>
    <w:rsid w:val="00D01E95"/>
    <w:rsid w:val="00D0266B"/>
    <w:rsid w:val="00D034FB"/>
    <w:rsid w:val="00D03C9B"/>
    <w:rsid w:val="00D03CF9"/>
    <w:rsid w:val="00D04A8F"/>
    <w:rsid w:val="00D06268"/>
    <w:rsid w:val="00D07DA3"/>
    <w:rsid w:val="00D101AE"/>
    <w:rsid w:val="00D10C33"/>
    <w:rsid w:val="00D10DC0"/>
    <w:rsid w:val="00D11507"/>
    <w:rsid w:val="00D11A55"/>
    <w:rsid w:val="00D12497"/>
    <w:rsid w:val="00D13B7D"/>
    <w:rsid w:val="00D14005"/>
    <w:rsid w:val="00D14161"/>
    <w:rsid w:val="00D15509"/>
    <w:rsid w:val="00D15968"/>
    <w:rsid w:val="00D15EC8"/>
    <w:rsid w:val="00D16074"/>
    <w:rsid w:val="00D16DCD"/>
    <w:rsid w:val="00D17735"/>
    <w:rsid w:val="00D17B65"/>
    <w:rsid w:val="00D201EF"/>
    <w:rsid w:val="00D20569"/>
    <w:rsid w:val="00D20A2A"/>
    <w:rsid w:val="00D21981"/>
    <w:rsid w:val="00D220ED"/>
    <w:rsid w:val="00D2222C"/>
    <w:rsid w:val="00D2293E"/>
    <w:rsid w:val="00D236B0"/>
    <w:rsid w:val="00D249F2"/>
    <w:rsid w:val="00D24A42"/>
    <w:rsid w:val="00D2512A"/>
    <w:rsid w:val="00D2597E"/>
    <w:rsid w:val="00D25AEB"/>
    <w:rsid w:val="00D25C0C"/>
    <w:rsid w:val="00D26D8E"/>
    <w:rsid w:val="00D2766C"/>
    <w:rsid w:val="00D27AA5"/>
    <w:rsid w:val="00D27B7F"/>
    <w:rsid w:val="00D27B8D"/>
    <w:rsid w:val="00D27C08"/>
    <w:rsid w:val="00D305C8"/>
    <w:rsid w:val="00D30EEC"/>
    <w:rsid w:val="00D31E26"/>
    <w:rsid w:val="00D32760"/>
    <w:rsid w:val="00D32F28"/>
    <w:rsid w:val="00D33E9F"/>
    <w:rsid w:val="00D3445D"/>
    <w:rsid w:val="00D3614E"/>
    <w:rsid w:val="00D36266"/>
    <w:rsid w:val="00D3726F"/>
    <w:rsid w:val="00D37867"/>
    <w:rsid w:val="00D378CF"/>
    <w:rsid w:val="00D37B0E"/>
    <w:rsid w:val="00D407A7"/>
    <w:rsid w:val="00D4083E"/>
    <w:rsid w:val="00D408AF"/>
    <w:rsid w:val="00D4095C"/>
    <w:rsid w:val="00D40CF6"/>
    <w:rsid w:val="00D41986"/>
    <w:rsid w:val="00D42780"/>
    <w:rsid w:val="00D44C1A"/>
    <w:rsid w:val="00D45CF3"/>
    <w:rsid w:val="00D47C1A"/>
    <w:rsid w:val="00D500DB"/>
    <w:rsid w:val="00D50695"/>
    <w:rsid w:val="00D51556"/>
    <w:rsid w:val="00D51DA8"/>
    <w:rsid w:val="00D520AC"/>
    <w:rsid w:val="00D522B6"/>
    <w:rsid w:val="00D5322C"/>
    <w:rsid w:val="00D54369"/>
    <w:rsid w:val="00D54381"/>
    <w:rsid w:val="00D54F66"/>
    <w:rsid w:val="00D55C45"/>
    <w:rsid w:val="00D56612"/>
    <w:rsid w:val="00D6046B"/>
    <w:rsid w:val="00D61F9F"/>
    <w:rsid w:val="00D6360F"/>
    <w:rsid w:val="00D63EC5"/>
    <w:rsid w:val="00D64AEA"/>
    <w:rsid w:val="00D64BAD"/>
    <w:rsid w:val="00D64E1A"/>
    <w:rsid w:val="00D665D6"/>
    <w:rsid w:val="00D67F98"/>
    <w:rsid w:val="00D700BE"/>
    <w:rsid w:val="00D7051C"/>
    <w:rsid w:val="00D70A1B"/>
    <w:rsid w:val="00D7140B"/>
    <w:rsid w:val="00D72396"/>
    <w:rsid w:val="00D729CD"/>
    <w:rsid w:val="00D739DC"/>
    <w:rsid w:val="00D73F91"/>
    <w:rsid w:val="00D73FFA"/>
    <w:rsid w:val="00D74030"/>
    <w:rsid w:val="00D74DA5"/>
    <w:rsid w:val="00D74F58"/>
    <w:rsid w:val="00D7508A"/>
    <w:rsid w:val="00D75381"/>
    <w:rsid w:val="00D75D5A"/>
    <w:rsid w:val="00D76DAA"/>
    <w:rsid w:val="00D76E1F"/>
    <w:rsid w:val="00D77323"/>
    <w:rsid w:val="00D77A1B"/>
    <w:rsid w:val="00D77D01"/>
    <w:rsid w:val="00D8027D"/>
    <w:rsid w:val="00D80EF8"/>
    <w:rsid w:val="00D81395"/>
    <w:rsid w:val="00D821E2"/>
    <w:rsid w:val="00D827F0"/>
    <w:rsid w:val="00D83870"/>
    <w:rsid w:val="00D83991"/>
    <w:rsid w:val="00D83AB5"/>
    <w:rsid w:val="00D83B97"/>
    <w:rsid w:val="00D8418A"/>
    <w:rsid w:val="00D84B04"/>
    <w:rsid w:val="00D84D5C"/>
    <w:rsid w:val="00D84E57"/>
    <w:rsid w:val="00D8552A"/>
    <w:rsid w:val="00D86115"/>
    <w:rsid w:val="00D869D5"/>
    <w:rsid w:val="00D86C8C"/>
    <w:rsid w:val="00D86D63"/>
    <w:rsid w:val="00D86D65"/>
    <w:rsid w:val="00D87803"/>
    <w:rsid w:val="00D90125"/>
    <w:rsid w:val="00D902F2"/>
    <w:rsid w:val="00D90558"/>
    <w:rsid w:val="00D90EB3"/>
    <w:rsid w:val="00D915EF"/>
    <w:rsid w:val="00D91C00"/>
    <w:rsid w:val="00D92DFE"/>
    <w:rsid w:val="00D92F4C"/>
    <w:rsid w:val="00D93237"/>
    <w:rsid w:val="00D93253"/>
    <w:rsid w:val="00D9369B"/>
    <w:rsid w:val="00D93F0E"/>
    <w:rsid w:val="00D940F0"/>
    <w:rsid w:val="00D95B92"/>
    <w:rsid w:val="00D96F95"/>
    <w:rsid w:val="00D97555"/>
    <w:rsid w:val="00D97E31"/>
    <w:rsid w:val="00DA08E1"/>
    <w:rsid w:val="00DA0CF7"/>
    <w:rsid w:val="00DA16AE"/>
    <w:rsid w:val="00DA1DAC"/>
    <w:rsid w:val="00DA2901"/>
    <w:rsid w:val="00DA34C2"/>
    <w:rsid w:val="00DA3A00"/>
    <w:rsid w:val="00DA43F5"/>
    <w:rsid w:val="00DA565E"/>
    <w:rsid w:val="00DA5C88"/>
    <w:rsid w:val="00DA66F2"/>
    <w:rsid w:val="00DA7076"/>
    <w:rsid w:val="00DB069C"/>
    <w:rsid w:val="00DB1045"/>
    <w:rsid w:val="00DB24EE"/>
    <w:rsid w:val="00DB29E9"/>
    <w:rsid w:val="00DB30FA"/>
    <w:rsid w:val="00DB42F9"/>
    <w:rsid w:val="00DB4994"/>
    <w:rsid w:val="00DB51EE"/>
    <w:rsid w:val="00DB5D25"/>
    <w:rsid w:val="00DB62BA"/>
    <w:rsid w:val="00DC0046"/>
    <w:rsid w:val="00DC1E75"/>
    <w:rsid w:val="00DC1EAB"/>
    <w:rsid w:val="00DC2075"/>
    <w:rsid w:val="00DC23FE"/>
    <w:rsid w:val="00DC2FC4"/>
    <w:rsid w:val="00DC3BD3"/>
    <w:rsid w:val="00DC4406"/>
    <w:rsid w:val="00DC5AF0"/>
    <w:rsid w:val="00DC6CC9"/>
    <w:rsid w:val="00DC776D"/>
    <w:rsid w:val="00DC7794"/>
    <w:rsid w:val="00DD11C0"/>
    <w:rsid w:val="00DD220A"/>
    <w:rsid w:val="00DD26F6"/>
    <w:rsid w:val="00DD2DF6"/>
    <w:rsid w:val="00DD3233"/>
    <w:rsid w:val="00DD4EB5"/>
    <w:rsid w:val="00DD4F43"/>
    <w:rsid w:val="00DD5582"/>
    <w:rsid w:val="00DD5B17"/>
    <w:rsid w:val="00DD5D2F"/>
    <w:rsid w:val="00DD6D0C"/>
    <w:rsid w:val="00DD7A16"/>
    <w:rsid w:val="00DE0437"/>
    <w:rsid w:val="00DE21F8"/>
    <w:rsid w:val="00DE3FAA"/>
    <w:rsid w:val="00DE54BA"/>
    <w:rsid w:val="00DE7522"/>
    <w:rsid w:val="00DE7CB7"/>
    <w:rsid w:val="00DE7E28"/>
    <w:rsid w:val="00DF0020"/>
    <w:rsid w:val="00DF011D"/>
    <w:rsid w:val="00DF0216"/>
    <w:rsid w:val="00DF1756"/>
    <w:rsid w:val="00DF182C"/>
    <w:rsid w:val="00DF21E2"/>
    <w:rsid w:val="00DF3B39"/>
    <w:rsid w:val="00DF4555"/>
    <w:rsid w:val="00DF456C"/>
    <w:rsid w:val="00DF4D0B"/>
    <w:rsid w:val="00DF5429"/>
    <w:rsid w:val="00DF7518"/>
    <w:rsid w:val="00E00DC0"/>
    <w:rsid w:val="00E00E2B"/>
    <w:rsid w:val="00E01210"/>
    <w:rsid w:val="00E01714"/>
    <w:rsid w:val="00E01923"/>
    <w:rsid w:val="00E01945"/>
    <w:rsid w:val="00E01E11"/>
    <w:rsid w:val="00E025AB"/>
    <w:rsid w:val="00E02897"/>
    <w:rsid w:val="00E02A67"/>
    <w:rsid w:val="00E02C88"/>
    <w:rsid w:val="00E03F66"/>
    <w:rsid w:val="00E041CC"/>
    <w:rsid w:val="00E0456D"/>
    <w:rsid w:val="00E057FE"/>
    <w:rsid w:val="00E05806"/>
    <w:rsid w:val="00E0588B"/>
    <w:rsid w:val="00E061E6"/>
    <w:rsid w:val="00E06678"/>
    <w:rsid w:val="00E06741"/>
    <w:rsid w:val="00E06C22"/>
    <w:rsid w:val="00E073D7"/>
    <w:rsid w:val="00E10DE9"/>
    <w:rsid w:val="00E10DEF"/>
    <w:rsid w:val="00E10F94"/>
    <w:rsid w:val="00E13DD7"/>
    <w:rsid w:val="00E14B2C"/>
    <w:rsid w:val="00E15F14"/>
    <w:rsid w:val="00E16388"/>
    <w:rsid w:val="00E164CC"/>
    <w:rsid w:val="00E16690"/>
    <w:rsid w:val="00E16885"/>
    <w:rsid w:val="00E17CDC"/>
    <w:rsid w:val="00E2100F"/>
    <w:rsid w:val="00E21D21"/>
    <w:rsid w:val="00E22B4B"/>
    <w:rsid w:val="00E23504"/>
    <w:rsid w:val="00E23E10"/>
    <w:rsid w:val="00E266D3"/>
    <w:rsid w:val="00E269D0"/>
    <w:rsid w:val="00E2709B"/>
    <w:rsid w:val="00E274E3"/>
    <w:rsid w:val="00E27665"/>
    <w:rsid w:val="00E27864"/>
    <w:rsid w:val="00E30763"/>
    <w:rsid w:val="00E3122E"/>
    <w:rsid w:val="00E32036"/>
    <w:rsid w:val="00E323CC"/>
    <w:rsid w:val="00E325B7"/>
    <w:rsid w:val="00E32FAF"/>
    <w:rsid w:val="00E3300D"/>
    <w:rsid w:val="00E3314E"/>
    <w:rsid w:val="00E359FE"/>
    <w:rsid w:val="00E36232"/>
    <w:rsid w:val="00E3744F"/>
    <w:rsid w:val="00E379D0"/>
    <w:rsid w:val="00E41EB2"/>
    <w:rsid w:val="00E423C6"/>
    <w:rsid w:val="00E42665"/>
    <w:rsid w:val="00E43062"/>
    <w:rsid w:val="00E431D1"/>
    <w:rsid w:val="00E4532B"/>
    <w:rsid w:val="00E4593A"/>
    <w:rsid w:val="00E46265"/>
    <w:rsid w:val="00E46724"/>
    <w:rsid w:val="00E5074A"/>
    <w:rsid w:val="00E5132D"/>
    <w:rsid w:val="00E51D58"/>
    <w:rsid w:val="00E52860"/>
    <w:rsid w:val="00E531B7"/>
    <w:rsid w:val="00E53F14"/>
    <w:rsid w:val="00E53FF1"/>
    <w:rsid w:val="00E54E09"/>
    <w:rsid w:val="00E551F8"/>
    <w:rsid w:val="00E55D61"/>
    <w:rsid w:val="00E5797B"/>
    <w:rsid w:val="00E579DD"/>
    <w:rsid w:val="00E6110A"/>
    <w:rsid w:val="00E614DE"/>
    <w:rsid w:val="00E61963"/>
    <w:rsid w:val="00E61FF1"/>
    <w:rsid w:val="00E62018"/>
    <w:rsid w:val="00E63621"/>
    <w:rsid w:val="00E636B5"/>
    <w:rsid w:val="00E643A5"/>
    <w:rsid w:val="00E66086"/>
    <w:rsid w:val="00E66469"/>
    <w:rsid w:val="00E66525"/>
    <w:rsid w:val="00E671D7"/>
    <w:rsid w:val="00E672E6"/>
    <w:rsid w:val="00E7101A"/>
    <w:rsid w:val="00E72200"/>
    <w:rsid w:val="00E73794"/>
    <w:rsid w:val="00E739C5"/>
    <w:rsid w:val="00E73B54"/>
    <w:rsid w:val="00E74E16"/>
    <w:rsid w:val="00E75DB5"/>
    <w:rsid w:val="00E761D5"/>
    <w:rsid w:val="00E777BC"/>
    <w:rsid w:val="00E8002B"/>
    <w:rsid w:val="00E80F53"/>
    <w:rsid w:val="00E816B1"/>
    <w:rsid w:val="00E81D46"/>
    <w:rsid w:val="00E81F4D"/>
    <w:rsid w:val="00E8241E"/>
    <w:rsid w:val="00E82778"/>
    <w:rsid w:val="00E82A06"/>
    <w:rsid w:val="00E83681"/>
    <w:rsid w:val="00E83856"/>
    <w:rsid w:val="00E8608A"/>
    <w:rsid w:val="00E862C2"/>
    <w:rsid w:val="00E8670A"/>
    <w:rsid w:val="00E86C7F"/>
    <w:rsid w:val="00E87217"/>
    <w:rsid w:val="00E8780D"/>
    <w:rsid w:val="00E87B48"/>
    <w:rsid w:val="00E87D02"/>
    <w:rsid w:val="00E90BA2"/>
    <w:rsid w:val="00E910B5"/>
    <w:rsid w:val="00E91EA9"/>
    <w:rsid w:val="00E93278"/>
    <w:rsid w:val="00E93665"/>
    <w:rsid w:val="00E944E9"/>
    <w:rsid w:val="00E9541A"/>
    <w:rsid w:val="00E963C2"/>
    <w:rsid w:val="00E9779F"/>
    <w:rsid w:val="00EA04B9"/>
    <w:rsid w:val="00EA05DA"/>
    <w:rsid w:val="00EA11B0"/>
    <w:rsid w:val="00EA2624"/>
    <w:rsid w:val="00EA30E1"/>
    <w:rsid w:val="00EA34E4"/>
    <w:rsid w:val="00EA363D"/>
    <w:rsid w:val="00EA5071"/>
    <w:rsid w:val="00EA512F"/>
    <w:rsid w:val="00EA6FFC"/>
    <w:rsid w:val="00EA797C"/>
    <w:rsid w:val="00EA7E28"/>
    <w:rsid w:val="00EB00B3"/>
    <w:rsid w:val="00EB10C7"/>
    <w:rsid w:val="00EB171A"/>
    <w:rsid w:val="00EB1995"/>
    <w:rsid w:val="00EB24AD"/>
    <w:rsid w:val="00EB269E"/>
    <w:rsid w:val="00EB39E3"/>
    <w:rsid w:val="00EB3A46"/>
    <w:rsid w:val="00EB4557"/>
    <w:rsid w:val="00EB4B57"/>
    <w:rsid w:val="00EB54D4"/>
    <w:rsid w:val="00EB5FA2"/>
    <w:rsid w:val="00EB7F8E"/>
    <w:rsid w:val="00EC08A4"/>
    <w:rsid w:val="00EC0D58"/>
    <w:rsid w:val="00EC188F"/>
    <w:rsid w:val="00EC1B33"/>
    <w:rsid w:val="00EC1CB2"/>
    <w:rsid w:val="00EC458E"/>
    <w:rsid w:val="00EC46E6"/>
    <w:rsid w:val="00ED0433"/>
    <w:rsid w:val="00ED0C9C"/>
    <w:rsid w:val="00ED1175"/>
    <w:rsid w:val="00ED1963"/>
    <w:rsid w:val="00ED375A"/>
    <w:rsid w:val="00ED4065"/>
    <w:rsid w:val="00ED4595"/>
    <w:rsid w:val="00ED680A"/>
    <w:rsid w:val="00ED6C2E"/>
    <w:rsid w:val="00ED7C8F"/>
    <w:rsid w:val="00EE01D9"/>
    <w:rsid w:val="00EE0593"/>
    <w:rsid w:val="00EE0955"/>
    <w:rsid w:val="00EE0C8B"/>
    <w:rsid w:val="00EE1205"/>
    <w:rsid w:val="00EE2302"/>
    <w:rsid w:val="00EE2B3D"/>
    <w:rsid w:val="00EE2F9F"/>
    <w:rsid w:val="00EE3D3E"/>
    <w:rsid w:val="00EE3F49"/>
    <w:rsid w:val="00EE4296"/>
    <w:rsid w:val="00EE4AC8"/>
    <w:rsid w:val="00EE53B8"/>
    <w:rsid w:val="00EE55C8"/>
    <w:rsid w:val="00EE5F42"/>
    <w:rsid w:val="00EE6274"/>
    <w:rsid w:val="00EE63AD"/>
    <w:rsid w:val="00EE69D1"/>
    <w:rsid w:val="00EE7F05"/>
    <w:rsid w:val="00EF072D"/>
    <w:rsid w:val="00EF1688"/>
    <w:rsid w:val="00EF1B1C"/>
    <w:rsid w:val="00EF20FF"/>
    <w:rsid w:val="00EF218C"/>
    <w:rsid w:val="00EF26D0"/>
    <w:rsid w:val="00EF28B8"/>
    <w:rsid w:val="00EF30C3"/>
    <w:rsid w:val="00EF332C"/>
    <w:rsid w:val="00EF405C"/>
    <w:rsid w:val="00EF6669"/>
    <w:rsid w:val="00EF6B9A"/>
    <w:rsid w:val="00EF713B"/>
    <w:rsid w:val="00EF77DB"/>
    <w:rsid w:val="00EF7CE9"/>
    <w:rsid w:val="00EF7EB2"/>
    <w:rsid w:val="00F00C5E"/>
    <w:rsid w:val="00F0120F"/>
    <w:rsid w:val="00F01216"/>
    <w:rsid w:val="00F0155F"/>
    <w:rsid w:val="00F03721"/>
    <w:rsid w:val="00F037B8"/>
    <w:rsid w:val="00F04E0A"/>
    <w:rsid w:val="00F05971"/>
    <w:rsid w:val="00F05B43"/>
    <w:rsid w:val="00F05E4D"/>
    <w:rsid w:val="00F06605"/>
    <w:rsid w:val="00F070FE"/>
    <w:rsid w:val="00F07466"/>
    <w:rsid w:val="00F0766A"/>
    <w:rsid w:val="00F077C4"/>
    <w:rsid w:val="00F07848"/>
    <w:rsid w:val="00F10891"/>
    <w:rsid w:val="00F11159"/>
    <w:rsid w:val="00F114F3"/>
    <w:rsid w:val="00F123BF"/>
    <w:rsid w:val="00F144E6"/>
    <w:rsid w:val="00F15512"/>
    <w:rsid w:val="00F15C31"/>
    <w:rsid w:val="00F16C21"/>
    <w:rsid w:val="00F17108"/>
    <w:rsid w:val="00F17F50"/>
    <w:rsid w:val="00F20570"/>
    <w:rsid w:val="00F20D03"/>
    <w:rsid w:val="00F21294"/>
    <w:rsid w:val="00F225FD"/>
    <w:rsid w:val="00F2281F"/>
    <w:rsid w:val="00F2341E"/>
    <w:rsid w:val="00F254E9"/>
    <w:rsid w:val="00F25861"/>
    <w:rsid w:val="00F2621E"/>
    <w:rsid w:val="00F27162"/>
    <w:rsid w:val="00F30AF6"/>
    <w:rsid w:val="00F30C3E"/>
    <w:rsid w:val="00F30FCB"/>
    <w:rsid w:val="00F31258"/>
    <w:rsid w:val="00F31B69"/>
    <w:rsid w:val="00F32626"/>
    <w:rsid w:val="00F334E1"/>
    <w:rsid w:val="00F346C6"/>
    <w:rsid w:val="00F3534C"/>
    <w:rsid w:val="00F35657"/>
    <w:rsid w:val="00F3602A"/>
    <w:rsid w:val="00F36690"/>
    <w:rsid w:val="00F367C9"/>
    <w:rsid w:val="00F37BB8"/>
    <w:rsid w:val="00F4225E"/>
    <w:rsid w:val="00F423D7"/>
    <w:rsid w:val="00F4303C"/>
    <w:rsid w:val="00F43AA5"/>
    <w:rsid w:val="00F43AC8"/>
    <w:rsid w:val="00F46BA5"/>
    <w:rsid w:val="00F470DB"/>
    <w:rsid w:val="00F47F7C"/>
    <w:rsid w:val="00F500A6"/>
    <w:rsid w:val="00F50876"/>
    <w:rsid w:val="00F50B6E"/>
    <w:rsid w:val="00F50BB3"/>
    <w:rsid w:val="00F50EB4"/>
    <w:rsid w:val="00F51A22"/>
    <w:rsid w:val="00F5246B"/>
    <w:rsid w:val="00F525A5"/>
    <w:rsid w:val="00F52D3A"/>
    <w:rsid w:val="00F535D6"/>
    <w:rsid w:val="00F53BC6"/>
    <w:rsid w:val="00F56D22"/>
    <w:rsid w:val="00F60425"/>
    <w:rsid w:val="00F616F8"/>
    <w:rsid w:val="00F6329E"/>
    <w:rsid w:val="00F63600"/>
    <w:rsid w:val="00F642CE"/>
    <w:rsid w:val="00F64CD8"/>
    <w:rsid w:val="00F64DFB"/>
    <w:rsid w:val="00F657D4"/>
    <w:rsid w:val="00F65A40"/>
    <w:rsid w:val="00F65AE9"/>
    <w:rsid w:val="00F66270"/>
    <w:rsid w:val="00F665CD"/>
    <w:rsid w:val="00F66A5E"/>
    <w:rsid w:val="00F670EF"/>
    <w:rsid w:val="00F72324"/>
    <w:rsid w:val="00F72A79"/>
    <w:rsid w:val="00F72D51"/>
    <w:rsid w:val="00F72FF3"/>
    <w:rsid w:val="00F73CD4"/>
    <w:rsid w:val="00F73F86"/>
    <w:rsid w:val="00F76027"/>
    <w:rsid w:val="00F76194"/>
    <w:rsid w:val="00F779E2"/>
    <w:rsid w:val="00F80205"/>
    <w:rsid w:val="00F80697"/>
    <w:rsid w:val="00F81BE5"/>
    <w:rsid w:val="00F829C4"/>
    <w:rsid w:val="00F83CEC"/>
    <w:rsid w:val="00F848B4"/>
    <w:rsid w:val="00F8504E"/>
    <w:rsid w:val="00F85C4F"/>
    <w:rsid w:val="00F86553"/>
    <w:rsid w:val="00F874AF"/>
    <w:rsid w:val="00F87E14"/>
    <w:rsid w:val="00F87F5A"/>
    <w:rsid w:val="00F90504"/>
    <w:rsid w:val="00F90893"/>
    <w:rsid w:val="00F911F1"/>
    <w:rsid w:val="00F9136E"/>
    <w:rsid w:val="00F914DC"/>
    <w:rsid w:val="00F92EFC"/>
    <w:rsid w:val="00F9470C"/>
    <w:rsid w:val="00F9528F"/>
    <w:rsid w:val="00F95434"/>
    <w:rsid w:val="00F960A1"/>
    <w:rsid w:val="00F97468"/>
    <w:rsid w:val="00FA0B85"/>
    <w:rsid w:val="00FA1406"/>
    <w:rsid w:val="00FA1A74"/>
    <w:rsid w:val="00FA25BC"/>
    <w:rsid w:val="00FA3C17"/>
    <w:rsid w:val="00FA3CF5"/>
    <w:rsid w:val="00FA4DFD"/>
    <w:rsid w:val="00FA5468"/>
    <w:rsid w:val="00FA5B00"/>
    <w:rsid w:val="00FA6E40"/>
    <w:rsid w:val="00FA6F59"/>
    <w:rsid w:val="00FA70C8"/>
    <w:rsid w:val="00FA7535"/>
    <w:rsid w:val="00FA7AD9"/>
    <w:rsid w:val="00FB109E"/>
    <w:rsid w:val="00FB18FB"/>
    <w:rsid w:val="00FB21F8"/>
    <w:rsid w:val="00FB2706"/>
    <w:rsid w:val="00FB2BFD"/>
    <w:rsid w:val="00FB3FF7"/>
    <w:rsid w:val="00FB41E4"/>
    <w:rsid w:val="00FB4436"/>
    <w:rsid w:val="00FB4907"/>
    <w:rsid w:val="00FB4DC4"/>
    <w:rsid w:val="00FB5965"/>
    <w:rsid w:val="00FB5D3D"/>
    <w:rsid w:val="00FB61C9"/>
    <w:rsid w:val="00FB6EF1"/>
    <w:rsid w:val="00FB7EFC"/>
    <w:rsid w:val="00FC0183"/>
    <w:rsid w:val="00FC080E"/>
    <w:rsid w:val="00FC0E51"/>
    <w:rsid w:val="00FC1709"/>
    <w:rsid w:val="00FC179C"/>
    <w:rsid w:val="00FC191E"/>
    <w:rsid w:val="00FC1DCB"/>
    <w:rsid w:val="00FC2544"/>
    <w:rsid w:val="00FC2660"/>
    <w:rsid w:val="00FC26FB"/>
    <w:rsid w:val="00FC3B30"/>
    <w:rsid w:val="00FC5923"/>
    <w:rsid w:val="00FC5D66"/>
    <w:rsid w:val="00FC5FA7"/>
    <w:rsid w:val="00FC6524"/>
    <w:rsid w:val="00FC7B32"/>
    <w:rsid w:val="00FC7C41"/>
    <w:rsid w:val="00FD06D6"/>
    <w:rsid w:val="00FD0DF1"/>
    <w:rsid w:val="00FD15B6"/>
    <w:rsid w:val="00FD1C80"/>
    <w:rsid w:val="00FD2526"/>
    <w:rsid w:val="00FD2E9D"/>
    <w:rsid w:val="00FD38C3"/>
    <w:rsid w:val="00FD4C71"/>
    <w:rsid w:val="00FD4E45"/>
    <w:rsid w:val="00FD59F7"/>
    <w:rsid w:val="00FD5EE9"/>
    <w:rsid w:val="00FD75D9"/>
    <w:rsid w:val="00FE01F4"/>
    <w:rsid w:val="00FE1263"/>
    <w:rsid w:val="00FE172F"/>
    <w:rsid w:val="00FE1CB1"/>
    <w:rsid w:val="00FE1E4A"/>
    <w:rsid w:val="00FE294E"/>
    <w:rsid w:val="00FE382C"/>
    <w:rsid w:val="00FE4699"/>
    <w:rsid w:val="00FE511E"/>
    <w:rsid w:val="00FE5275"/>
    <w:rsid w:val="00FE5EB7"/>
    <w:rsid w:val="00FE5F08"/>
    <w:rsid w:val="00FE6937"/>
    <w:rsid w:val="00FE6B9E"/>
    <w:rsid w:val="00FE7BA5"/>
    <w:rsid w:val="00FE7F08"/>
    <w:rsid w:val="00FF02A4"/>
    <w:rsid w:val="00FF0A4B"/>
    <w:rsid w:val="00FF0A8F"/>
    <w:rsid w:val="00FF0EE8"/>
    <w:rsid w:val="00FF0F68"/>
    <w:rsid w:val="00FF1AD0"/>
    <w:rsid w:val="00FF1E07"/>
    <w:rsid w:val="00FF2377"/>
    <w:rsid w:val="00FF3457"/>
    <w:rsid w:val="00FF4981"/>
    <w:rsid w:val="00FF5A7E"/>
    <w:rsid w:val="00FF5D86"/>
    <w:rsid w:val="00FF6ABC"/>
    <w:rsid w:val="00FF6E5E"/>
    <w:rsid w:val="00FF75CB"/>
    <w:rsid w:val="00FF7781"/>
    <w:rsid w:val="00FF7E13"/>
    <w:rsid w:val="00FF7F5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0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fr-FR"/>
    </w:rPr>
  </w:style>
  <w:style w:type="paragraph" w:styleId="Titre1">
    <w:name w:val="heading 1"/>
    <w:basedOn w:val="Normal"/>
    <w:next w:val="Paragraphe"/>
    <w:qFormat/>
    <w:rsid w:val="00825D7D"/>
    <w:pPr>
      <w:keepNext/>
      <w:spacing w:before="120" w:after="120"/>
      <w:outlineLvl w:val="0"/>
    </w:pPr>
    <w:rPr>
      <w:b/>
      <w:kern w:val="28"/>
    </w:rPr>
  </w:style>
  <w:style w:type="paragraph" w:styleId="Titre2">
    <w:name w:val="heading 2"/>
    <w:basedOn w:val="Paragraphe"/>
    <w:next w:val="Paragraphe"/>
    <w:qFormat/>
    <w:rsid w:val="00825D7D"/>
    <w:pPr>
      <w:numPr>
        <w:numId w:val="0"/>
      </w:numPr>
      <w:outlineLvl w:val="1"/>
    </w:pPr>
    <w:rPr>
      <w:b/>
    </w:rPr>
  </w:style>
  <w:style w:type="paragraph" w:styleId="Titre3">
    <w:name w:val="heading 3"/>
    <w:basedOn w:val="Normal"/>
    <w:next w:val="Paragraphe"/>
    <w:link w:val="Titre3Car"/>
    <w:qFormat/>
    <w:rsid w:val="00D9369B"/>
    <w:pPr>
      <w:keepNext/>
      <w:spacing w:before="120" w:after="120"/>
      <w:outlineLvl w:val="2"/>
    </w:pPr>
    <w:rPr>
      <w:i/>
    </w:rPr>
  </w:style>
  <w:style w:type="paragraph" w:styleId="Titre4">
    <w:name w:val="heading 4"/>
    <w:basedOn w:val="Normal"/>
    <w:next w:val="Paragraphe"/>
    <w:qFormat/>
    <w:rsid w:val="0096322E"/>
    <w:pPr>
      <w:keepNext/>
      <w:spacing w:before="240" w:after="60"/>
      <w:outlineLvl w:val="3"/>
    </w:p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sz w:val="20"/>
    </w:rPr>
  </w:style>
  <w:style w:type="paragraph" w:styleId="Titre8">
    <w:name w:val="heading 8"/>
    <w:basedOn w:val="Normal"/>
    <w:next w:val="Normal"/>
    <w:qFormat/>
    <w:pPr>
      <w:spacing w:before="240" w:after="60"/>
      <w:outlineLvl w:val="7"/>
    </w:pPr>
    <w:rPr>
      <w:i/>
      <w:sz w:val="20"/>
    </w:rPr>
  </w:style>
  <w:style w:type="paragraph" w:styleId="Titre9">
    <w:name w:val="heading 9"/>
    <w:basedOn w:val="Normal"/>
    <w:next w:val="Normal"/>
    <w:qFormat/>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link w:val="ParagrapheCar"/>
    <w:qFormat/>
    <w:rsid w:val="0096322E"/>
    <w:pPr>
      <w:numPr>
        <w:numId w:val="1"/>
      </w:numPr>
      <w:spacing w:before="120" w:after="120"/>
      <w:jc w:val="both"/>
    </w:pPr>
    <w:rPr>
      <w:kern w:val="28"/>
    </w:rPr>
  </w:style>
  <w:style w:type="paragraph" w:customStyle="1" w:styleId="Citationenretrait">
    <w:name w:val="Citation en retrait"/>
    <w:basedOn w:val="Normal"/>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pPr>
      <w:spacing w:after="120"/>
    </w:pPr>
  </w:style>
  <w:style w:type="paragraph" w:styleId="Notedebasdepage">
    <w:name w:val="footnote text"/>
    <w:basedOn w:val="Normal"/>
    <w:link w:val="NotedebasdepageCar"/>
    <w:uiPriority w:val="99"/>
    <w:pPr>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rsid w:val="00B4030F"/>
    <w:pPr>
      <w:jc w:val="center"/>
    </w:pPr>
    <w:rPr>
      <w:b/>
      <w:sz w:val="32"/>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pPr>
      <w:ind w:left="70"/>
    </w:pPr>
  </w:style>
  <w:style w:type="paragraph" w:customStyle="1" w:styleId="zSoquijdatGreffe">
    <w:name w:val="zSoquij_datGreffe"/>
    <w:basedOn w:val="Normal"/>
    <w:pPr>
      <w:ind w:left="29"/>
    </w:pPr>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pPr>
      <w:ind w:left="70"/>
    </w:pPr>
    <w:rPr>
      <w:b/>
    </w:rPr>
  </w:style>
  <w:style w:type="paragraph" w:customStyle="1" w:styleId="zSoquijdatQteJuge">
    <w:name w:val="zSoquij_datQteJuge"/>
    <w:basedOn w:val="Normal"/>
    <w:pPr>
      <w:ind w:left="29"/>
    </w:pPr>
    <w:rPr>
      <w:b/>
    </w:rPr>
  </w:style>
  <w:style w:type="paragraph" w:customStyle="1" w:styleId="zSoquijdatJuge">
    <w:name w:val="zSoquij_datJuge"/>
    <w:basedOn w:val="Normal"/>
    <w:pPr>
      <w:ind w:left="52"/>
    </w:pPr>
    <w:rPr>
      <w:b/>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rsid w:val="00B203AC"/>
    <w:pPr>
      <w:jc w:val="center"/>
    </w:pPr>
    <w:rPr>
      <w:b/>
      <w:smallCaps/>
    </w:r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tabs>
        <w:tab w:val="left" w:pos="720"/>
      </w:tabs>
      <w:jc w:val="center"/>
    </w:pPr>
  </w:style>
  <w:style w:type="character" w:customStyle="1" w:styleId="zSoquijlblEntNoDossier">
    <w:name w:val="zSoquij_lblEntNoDossier"/>
    <w:basedOn w:val="Policepardfaut"/>
    <w:rPr>
      <w:lang w:val="fr-CA"/>
    </w:rPr>
  </w:style>
  <w:style w:type="paragraph" w:customStyle="1" w:styleId="zSoquijlblTitrePartie">
    <w:name w:val="zSoquij_lblTitrePartie"/>
    <w:basedOn w:val="Normal"/>
  </w:style>
  <w:style w:type="paragraph" w:customStyle="1" w:styleId="zSoquijdatSignature3Juge">
    <w:name w:val="zSoquij_datSignature3Juge"/>
    <w:basedOn w:val="Normal"/>
  </w:style>
  <w:style w:type="paragraph" w:customStyle="1" w:styleId="ParagNonNum">
    <w:name w:val="ParagNonNum"/>
    <w:basedOn w:val="Paragraphe"/>
    <w:next w:val="Paragraphe"/>
    <w:pPr>
      <w:numPr>
        <w:numId w:val="0"/>
      </w:numPr>
      <w:ind w:firstLine="734"/>
    </w:pPr>
  </w:style>
  <w:style w:type="paragraph" w:customStyle="1" w:styleId="zSoquijdatIdJuge">
    <w:name w:val="zSoquij_datIdJuge"/>
    <w:basedOn w:val="Normal"/>
    <w:pPr>
      <w:jc w:val="center"/>
    </w:pPr>
    <w:rPr>
      <w:sz w:val="20"/>
    </w:rPr>
  </w:style>
  <w:style w:type="paragraph" w:customStyle="1" w:styleId="Sous-paragraphe">
    <w:name w:val="Sous-paragraphe"/>
    <w:basedOn w:val="Normal"/>
    <w:pPr>
      <w:widowControl w:val="0"/>
      <w:numPr>
        <w:ilvl w:val="1"/>
        <w:numId w:val="1"/>
      </w:numPr>
      <w:spacing w:after="120"/>
      <w:jc w:val="both"/>
    </w:pPr>
    <w:rPr>
      <w:kern w:val="28"/>
    </w:rPr>
  </w:style>
  <w:style w:type="paragraph" w:customStyle="1" w:styleId="zSoquijdatNomProcureurDem">
    <w:name w:val="zSoquij_datNomProcureurDem"/>
    <w:basedOn w:val="zSoquijlblProcureurDem"/>
  </w:style>
  <w:style w:type="paragraph" w:customStyle="1" w:styleId="zSoquijdatNomProcureurDef">
    <w:name w:val="zSoquij_datNomProcureurDef"/>
    <w:basedOn w:val="zSoquijlblProcureurDef"/>
  </w:style>
  <w:style w:type="paragraph" w:customStyle="1" w:styleId="zSoquijdatCabinetProcureurDem">
    <w:name w:val="zSoquij_datCabinetProcureurDem"/>
    <w:basedOn w:val="Normal"/>
  </w:style>
  <w:style w:type="paragraph" w:customStyle="1" w:styleId="zSoquijdatCabinetProcureurDef">
    <w:name w:val="zSoquij_datCabinetProcureurDef"/>
    <w:basedOn w:val="zSoquijlblProcureurDef"/>
  </w:style>
  <w:style w:type="paragraph" w:customStyle="1" w:styleId="zSoquijdatSignatureJuge1">
    <w:name w:val="zSoquij_datSignatureJuge1"/>
    <w:basedOn w:val="Normal"/>
  </w:style>
  <w:style w:type="paragraph" w:customStyle="1" w:styleId="zSoquijdatSignatureJuge2">
    <w:name w:val="zSoquij_datSignatureJuge2"/>
    <w:basedOn w:val="Normal"/>
  </w:style>
  <w:style w:type="paragraph" w:customStyle="1" w:styleId="zSoquijdatSignatureJuge3">
    <w:name w:val="zSoquij_datSignatureJuge3"/>
    <w:basedOn w:val="Normal"/>
  </w:style>
  <w:style w:type="paragraph" w:customStyle="1" w:styleId="zSoquijdatRepertorie">
    <w:name w:val="zSoquij_datRepertorie"/>
    <w:basedOn w:val="zSoquijlblCour"/>
    <w:pPr>
      <w:jc w:val="left"/>
    </w:pPr>
    <w:rPr>
      <w:noProof/>
      <w:sz w:val="22"/>
    </w:rPr>
  </w:style>
  <w:style w:type="paragraph" w:customStyle="1" w:styleId="zSoquijdatRefNeutre">
    <w:name w:val="zSoquij_datRefNeutre"/>
    <w:basedOn w:val="zSoquijlblCour"/>
    <w:pPr>
      <w:jc w:val="left"/>
    </w:pPr>
    <w:rPr>
      <w:noProof/>
      <w:sz w:val="22"/>
    </w:rPr>
  </w:style>
  <w:style w:type="paragraph" w:customStyle="1" w:styleId="zSoquijdatSignature2Juge">
    <w:name w:val="zSoquij_datSignature2Juge"/>
    <w:basedOn w:val="zSoquijdatSignatureJuge3"/>
  </w:style>
  <w:style w:type="paragraph" w:customStyle="1" w:styleId="ParagAlaMarge">
    <w:name w:val="ParagAlaMarge"/>
    <w:basedOn w:val="ParagNonNum"/>
    <w:next w:val="Paragraphe"/>
    <w:pPr>
      <w:ind w:firstLine="0"/>
    </w:pPr>
  </w:style>
  <w:style w:type="paragraph" w:customStyle="1" w:styleId="zSoquijlblAssesseurs">
    <w:name w:val="zSoquij_lblAssesseurs"/>
    <w:basedOn w:val="Normal"/>
    <w:pPr>
      <w:ind w:left="14" w:right="-67"/>
    </w:pPr>
  </w:style>
  <w:style w:type="paragraph" w:customStyle="1" w:styleId="zSoquijdatAssesseurs">
    <w:name w:val="zSoquij_datAssesseurs"/>
    <w:basedOn w:val="Normal"/>
    <w:pPr>
      <w:ind w:left="14" w:right="-67"/>
    </w:pPr>
  </w:style>
  <w:style w:type="paragraph" w:customStyle="1" w:styleId="zSoquijlblLocalite">
    <w:name w:val="zSoquij_lblLocalite"/>
    <w:basedOn w:val="zSoquijlblGreffe"/>
  </w:style>
  <w:style w:type="paragraph" w:customStyle="1" w:styleId="zSoquijdatLocalite">
    <w:name w:val="zSoquij_datLocalite"/>
    <w:basedOn w:val="zSoquijdatGreffe"/>
  </w:style>
  <w:style w:type="paragraph" w:customStyle="1" w:styleId="zSoquijlblNoDecision">
    <w:name w:val="zSoquij_lblNoDecision"/>
    <w:basedOn w:val="zSoquijlblNoDossier"/>
    <w:rsid w:val="00EB39E3"/>
  </w:style>
  <w:style w:type="paragraph" w:customStyle="1" w:styleId="zSoquijdatNoDecision">
    <w:name w:val="zSoquij_datNoDecision"/>
    <w:basedOn w:val="zSoquijdatNoDossier"/>
    <w:rsid w:val="00EB39E3"/>
  </w:style>
  <w:style w:type="paragraph" w:styleId="En-tte">
    <w:name w:val="header"/>
    <w:basedOn w:val="Normal"/>
    <w:rsid w:val="00B4030F"/>
    <w:pPr>
      <w:tabs>
        <w:tab w:val="center" w:pos="4320"/>
        <w:tab w:val="right" w:pos="8640"/>
      </w:tabs>
    </w:pPr>
  </w:style>
  <w:style w:type="paragraph" w:styleId="Pieddepage">
    <w:name w:val="footer"/>
    <w:basedOn w:val="Normal"/>
    <w:rsid w:val="00B4030F"/>
    <w:pPr>
      <w:tabs>
        <w:tab w:val="center" w:pos="4320"/>
        <w:tab w:val="right" w:pos="8640"/>
      </w:tabs>
    </w:pPr>
  </w:style>
  <w:style w:type="paragraph" w:customStyle="1" w:styleId="Citationendoubleretrait">
    <w:name w:val="Citation en double retrait"/>
    <w:basedOn w:val="Citationenretrait"/>
    <w:qFormat/>
    <w:rsid w:val="000976EC"/>
    <w:pPr>
      <w:ind w:left="992" w:right="992"/>
    </w:pPr>
  </w:style>
  <w:style w:type="paragraph" w:customStyle="1" w:styleId="zSoquijlblNosArticles">
    <w:name w:val="zSoquij_lblNosArticles"/>
    <w:basedOn w:val="zSoquijlblTypeDocument"/>
    <w:rsid w:val="00B203AC"/>
    <w:rPr>
      <w:b w:val="0"/>
      <w:smallCaps w:val="0"/>
    </w:rPr>
  </w:style>
  <w:style w:type="character" w:styleId="Appelnotedebasdep">
    <w:name w:val="footnote reference"/>
    <w:basedOn w:val="Policepardfaut"/>
    <w:uiPriority w:val="99"/>
    <w:rsid w:val="00BA3C47"/>
    <w:rPr>
      <w:vertAlign w:val="superscript"/>
    </w:rPr>
  </w:style>
  <w:style w:type="paragraph" w:customStyle="1" w:styleId="paragraphe0">
    <w:name w:val="paragraphe"/>
    <w:basedOn w:val="Normal"/>
    <w:rsid w:val="00415DCB"/>
    <w:pPr>
      <w:spacing w:before="100" w:beforeAutospacing="1" w:after="100" w:afterAutospacing="1"/>
    </w:pPr>
    <w:rPr>
      <w:rFonts w:ascii="Times New Roman" w:hAnsi="Times New Roman"/>
      <w:szCs w:val="24"/>
      <w:lang w:eastAsia="fr-CA"/>
    </w:rPr>
  </w:style>
  <w:style w:type="character" w:customStyle="1" w:styleId="ParagrapheCar">
    <w:name w:val="Paragraphe Car"/>
    <w:link w:val="Paragraphe"/>
    <w:locked/>
    <w:rsid w:val="00415DCB"/>
    <w:rPr>
      <w:rFonts w:ascii="Arial" w:hAnsi="Arial"/>
      <w:kern w:val="28"/>
      <w:sz w:val="24"/>
      <w:lang w:eastAsia="fr-FR"/>
    </w:rPr>
  </w:style>
  <w:style w:type="character" w:customStyle="1" w:styleId="NotedebasdepageCar">
    <w:name w:val="Note de bas de page Car"/>
    <w:link w:val="Notedebasdepage"/>
    <w:uiPriority w:val="99"/>
    <w:rsid w:val="00415DCB"/>
    <w:rPr>
      <w:rFonts w:ascii="Arial" w:hAnsi="Arial"/>
      <w:lang w:eastAsia="fr-FR"/>
    </w:rPr>
  </w:style>
  <w:style w:type="character" w:styleId="Marquedecommentaire">
    <w:name w:val="annotation reference"/>
    <w:basedOn w:val="Policepardfaut"/>
    <w:uiPriority w:val="99"/>
    <w:semiHidden/>
    <w:unhideWhenUsed/>
    <w:rsid w:val="00E944E9"/>
    <w:rPr>
      <w:sz w:val="16"/>
      <w:szCs w:val="16"/>
    </w:rPr>
  </w:style>
  <w:style w:type="paragraph" w:styleId="Commentaire">
    <w:name w:val="annotation text"/>
    <w:basedOn w:val="Normal"/>
    <w:link w:val="CommentaireCar"/>
    <w:unhideWhenUsed/>
    <w:rsid w:val="00E944E9"/>
    <w:rPr>
      <w:sz w:val="20"/>
    </w:rPr>
  </w:style>
  <w:style w:type="character" w:customStyle="1" w:styleId="CommentaireCar">
    <w:name w:val="Commentaire Car"/>
    <w:basedOn w:val="Policepardfaut"/>
    <w:link w:val="Commentaire"/>
    <w:rsid w:val="00E944E9"/>
    <w:rPr>
      <w:rFonts w:ascii="Arial" w:hAnsi="Arial"/>
      <w:lang w:eastAsia="fr-FR"/>
    </w:rPr>
  </w:style>
  <w:style w:type="paragraph" w:styleId="Objetducommentaire">
    <w:name w:val="annotation subject"/>
    <w:basedOn w:val="Commentaire"/>
    <w:next w:val="Commentaire"/>
    <w:link w:val="ObjetducommentaireCar"/>
    <w:semiHidden/>
    <w:unhideWhenUsed/>
    <w:rsid w:val="00E944E9"/>
    <w:rPr>
      <w:b/>
      <w:bCs/>
    </w:rPr>
  </w:style>
  <w:style w:type="character" w:customStyle="1" w:styleId="ObjetducommentaireCar">
    <w:name w:val="Objet du commentaire Car"/>
    <w:basedOn w:val="CommentaireCar"/>
    <w:link w:val="Objetducommentaire"/>
    <w:semiHidden/>
    <w:rsid w:val="00E944E9"/>
    <w:rPr>
      <w:rFonts w:ascii="Arial" w:hAnsi="Arial"/>
      <w:b/>
      <w:bCs/>
      <w:lang w:eastAsia="fr-FR"/>
    </w:rPr>
  </w:style>
  <w:style w:type="paragraph" w:styleId="Textedebulles">
    <w:name w:val="Balloon Text"/>
    <w:basedOn w:val="Normal"/>
    <w:link w:val="TextedebullesCar"/>
    <w:semiHidden/>
    <w:unhideWhenUsed/>
    <w:rsid w:val="00E944E9"/>
    <w:rPr>
      <w:rFonts w:ascii="Segoe UI" w:hAnsi="Segoe UI" w:cs="Segoe UI"/>
      <w:sz w:val="18"/>
      <w:szCs w:val="18"/>
    </w:rPr>
  </w:style>
  <w:style w:type="character" w:customStyle="1" w:styleId="TextedebullesCar">
    <w:name w:val="Texte de bulles Car"/>
    <w:basedOn w:val="Policepardfaut"/>
    <w:link w:val="Textedebulles"/>
    <w:semiHidden/>
    <w:rsid w:val="00E944E9"/>
    <w:rPr>
      <w:rFonts w:ascii="Segoe UI" w:hAnsi="Segoe UI" w:cs="Segoe UI"/>
      <w:sz w:val="18"/>
      <w:szCs w:val="18"/>
      <w:lang w:eastAsia="fr-FR"/>
    </w:rPr>
  </w:style>
  <w:style w:type="paragraph" w:styleId="Paragraphedeliste">
    <w:name w:val="List Paragraph"/>
    <w:basedOn w:val="Normal"/>
    <w:uiPriority w:val="34"/>
    <w:qFormat/>
    <w:rsid w:val="00E944E9"/>
    <w:pPr>
      <w:ind w:left="720"/>
      <w:contextualSpacing/>
    </w:pPr>
  </w:style>
  <w:style w:type="character" w:styleId="Hyperlien">
    <w:name w:val="Hyperlink"/>
    <w:basedOn w:val="Policepardfaut"/>
    <w:uiPriority w:val="99"/>
    <w:unhideWhenUsed/>
    <w:rsid w:val="00901EE2"/>
    <w:rPr>
      <w:color w:val="0000FF"/>
      <w:u w:val="single"/>
    </w:rPr>
  </w:style>
  <w:style w:type="character" w:customStyle="1" w:styleId="solexhl">
    <w:name w:val="solexhl"/>
    <w:basedOn w:val="Policepardfaut"/>
    <w:rsid w:val="00901EE2"/>
  </w:style>
  <w:style w:type="character" w:customStyle="1" w:styleId="subsection">
    <w:name w:val="subsection"/>
    <w:basedOn w:val="Policepardfaut"/>
    <w:rsid w:val="00C264C5"/>
  </w:style>
  <w:style w:type="character" w:customStyle="1" w:styleId="label-z">
    <w:name w:val="label-z"/>
    <w:basedOn w:val="Policepardfaut"/>
    <w:rsid w:val="00C264C5"/>
  </w:style>
  <w:style w:type="character" w:customStyle="1" w:styleId="widthfixforlabel">
    <w:name w:val="widthfixforlabel"/>
    <w:basedOn w:val="Policepardfaut"/>
    <w:rsid w:val="00C264C5"/>
  </w:style>
  <w:style w:type="character" w:customStyle="1" w:styleId="paragraph">
    <w:name w:val="paragraph"/>
    <w:basedOn w:val="Policepardfaut"/>
    <w:rsid w:val="00C264C5"/>
  </w:style>
  <w:style w:type="character" w:customStyle="1" w:styleId="Titre3Car">
    <w:name w:val="Titre 3 Car"/>
    <w:basedOn w:val="Policepardfaut"/>
    <w:link w:val="Titre3"/>
    <w:uiPriority w:val="9"/>
    <w:rsid w:val="00442C64"/>
    <w:rPr>
      <w:rFonts w:ascii="Arial" w:hAnsi="Arial"/>
      <w:i/>
      <w:sz w:val="24"/>
      <w:lang w:eastAsia="fr-FR"/>
    </w:rPr>
  </w:style>
  <w:style w:type="character" w:customStyle="1" w:styleId="definition">
    <w:name w:val="definition"/>
    <w:basedOn w:val="Policepardfaut"/>
    <w:rsid w:val="0047206D"/>
  </w:style>
  <w:style w:type="character" w:customStyle="1" w:styleId="texte-courant">
    <w:name w:val="texte-courant"/>
    <w:basedOn w:val="Policepardfaut"/>
    <w:rsid w:val="0047206D"/>
  </w:style>
  <w:style w:type="paragraph" w:styleId="NormalWeb">
    <w:name w:val="Normal (Web)"/>
    <w:basedOn w:val="Normal"/>
    <w:uiPriority w:val="99"/>
    <w:semiHidden/>
    <w:unhideWhenUsed/>
    <w:rsid w:val="00696DC1"/>
    <w:pPr>
      <w:spacing w:before="100" w:beforeAutospacing="1" w:after="100" w:afterAutospacing="1"/>
    </w:pPr>
    <w:rPr>
      <w:rFonts w:ascii="Times New Roman" w:hAnsi="Times New Roman"/>
      <w:szCs w:val="24"/>
      <w:lang w:eastAsia="fr-CA"/>
    </w:rPr>
  </w:style>
  <w:style w:type="character" w:styleId="Lienvisit">
    <w:name w:val="FollowedHyperlink"/>
    <w:basedOn w:val="Policepardfaut"/>
    <w:semiHidden/>
    <w:unhideWhenUsed/>
    <w:rsid w:val="009F61C7"/>
    <w:rPr>
      <w:color w:val="800080" w:themeColor="followedHyperlink"/>
      <w:u w:val="single"/>
    </w:rPr>
  </w:style>
  <w:style w:type="character" w:customStyle="1" w:styleId="irofootnotereference">
    <w:name w:val="irofootnotereference"/>
    <w:basedOn w:val="Policepardfaut"/>
    <w:rsid w:val="00B539F0"/>
  </w:style>
  <w:style w:type="paragraph" w:customStyle="1" w:styleId="citationendoubleretrait0">
    <w:name w:val="citationendoubleretrait"/>
    <w:basedOn w:val="Normal"/>
    <w:rsid w:val="00B539F0"/>
    <w:pPr>
      <w:spacing w:before="100" w:beforeAutospacing="1" w:after="100" w:afterAutospacing="1"/>
    </w:pPr>
    <w:rPr>
      <w:rFonts w:ascii="Times New Roman" w:hAnsi="Times New Roman"/>
      <w:szCs w:val="24"/>
      <w:lang w:eastAsia="fr-CA"/>
    </w:rPr>
  </w:style>
  <w:style w:type="character" w:customStyle="1" w:styleId="reflex">
    <w:name w:val="reflex"/>
    <w:basedOn w:val="Policepardfaut"/>
    <w:rsid w:val="0022799D"/>
  </w:style>
  <w:style w:type="character" w:customStyle="1" w:styleId="reflex3-block">
    <w:name w:val="reflex3-block"/>
    <w:basedOn w:val="Policepardfaut"/>
    <w:rsid w:val="0022799D"/>
  </w:style>
  <w:style w:type="paragraph" w:customStyle="1" w:styleId="zsoquijlblprocureurdef0">
    <w:name w:val="zsoquijlblprocureurdef"/>
    <w:basedOn w:val="Normal"/>
    <w:rsid w:val="00C2354E"/>
    <w:pPr>
      <w:spacing w:before="100" w:beforeAutospacing="1" w:after="100" w:afterAutospacing="1"/>
    </w:pPr>
    <w:rPr>
      <w:rFonts w:ascii="Times New Roman" w:hAnsi="Times New Roman"/>
      <w:szCs w:val="24"/>
      <w:lang w:eastAsia="fr-CA"/>
    </w:rPr>
  </w:style>
  <w:style w:type="paragraph" w:customStyle="1" w:styleId="zsoquijlblprocureurdef00">
    <w:name w:val="zsoquijlblprocureurdef0"/>
    <w:basedOn w:val="Normal"/>
    <w:rsid w:val="00FF0A4B"/>
    <w:pPr>
      <w:spacing w:before="100" w:beforeAutospacing="1" w:after="100" w:afterAutospacing="1"/>
    </w:pPr>
    <w:rPr>
      <w:rFonts w:ascii="Times New Roman" w:hAnsi="Times New Roman"/>
      <w:szCs w:val="24"/>
      <w:lang w:eastAsia="fr-CA"/>
    </w:rPr>
  </w:style>
  <w:style w:type="paragraph" w:customStyle="1" w:styleId="Jusitif">
    <w:name w:val="Jusitifé"/>
    <w:basedOn w:val="Normal"/>
    <w:qFormat/>
    <w:rsid w:val="005157C3"/>
    <w:pPr>
      <w:spacing w:before="240" w:after="240"/>
      <w:jc w:val="both"/>
    </w:pPr>
  </w:style>
  <w:style w:type="paragraph" w:styleId="Rvision">
    <w:name w:val="Revision"/>
    <w:hidden/>
    <w:uiPriority w:val="99"/>
    <w:semiHidden/>
    <w:rsid w:val="00CF6E69"/>
    <w:rPr>
      <w:rFonts w:ascii="Arial" w:hAnsi="Arial"/>
      <w:sz w:val="24"/>
      <w:lang w:eastAsia="fr-FR"/>
    </w:rPr>
  </w:style>
  <w:style w:type="character" w:customStyle="1" w:styleId="ui-provider">
    <w:name w:val="ui-provider"/>
    <w:basedOn w:val="Policepardfaut"/>
    <w:rsid w:val="004A0713"/>
  </w:style>
  <w:style w:type="table" w:styleId="Grilledutableau">
    <w:name w:val="Table Grid"/>
    <w:basedOn w:val="TableauNormal"/>
    <w:rsid w:val="00B57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7776"/>
    <w:pPr>
      <w:autoSpaceDE w:val="0"/>
      <w:autoSpaceDN w:val="0"/>
      <w:adjustRightInd w:val="0"/>
    </w:pPr>
    <w:rPr>
      <w:rFonts w:ascii="Arial" w:hAnsi="Arial" w:cs="Arial"/>
      <w:color w:val="000000"/>
      <w:sz w:val="24"/>
      <w:szCs w:val="24"/>
      <w:lang w:val="en-US"/>
    </w:rPr>
  </w:style>
  <w:style w:type="character" w:styleId="Mentionnonrsolue">
    <w:name w:val="Unresolved Mention"/>
    <w:basedOn w:val="Policepardfaut"/>
    <w:uiPriority w:val="99"/>
    <w:semiHidden/>
    <w:unhideWhenUsed/>
    <w:rsid w:val="00622055"/>
    <w:rPr>
      <w:color w:val="605E5C"/>
      <w:shd w:val="clear" w:color="auto" w:fill="E1DFDD"/>
    </w:rPr>
  </w:style>
  <w:style w:type="paragraph" w:customStyle="1" w:styleId="paranondepar-altn">
    <w:name w:val="paranondepar-altn"/>
    <w:basedOn w:val="Normal"/>
    <w:rsid w:val="00926D65"/>
    <w:pPr>
      <w:spacing w:before="100" w:beforeAutospacing="1" w:after="100" w:afterAutospacing="1"/>
    </w:pPr>
    <w:rPr>
      <w:rFonts w:ascii="Times New Roman" w:hAnsi="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C9607-3847-4CEC-8EF7-45AC92CFA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6541</Words>
  <Characters>35977</Characters>
  <Application>Microsoft Office Word</Application>
  <DocSecurity>0</DocSecurity>
  <Lines>299</Lines>
  <Paragraphs>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2025-02-24T20:01:00Z</dcterms:created>
  <dcterms:modified xsi:type="dcterms:W3CDTF">2025-02-24T20:05:00Z</dcterms:modified>
</cp:coreProperties>
</file>