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9BD9" w14:textId="77777777" w:rsidR="002E1B81" w:rsidRPr="00FC3257" w:rsidRDefault="002E1B81" w:rsidP="002E1B81">
      <w:pPr>
        <w:pStyle w:val="zSoquijdatRepertorie"/>
        <w:rPr>
          <w:sz w:val="24"/>
          <w:szCs w:val="24"/>
          <w:lang w:val="en-CA"/>
        </w:rPr>
      </w:pPr>
      <w:r w:rsidRPr="00FC3257">
        <w:rPr>
          <w:sz w:val="24"/>
          <w:szCs w:val="24"/>
          <w:lang w:val="en-CA"/>
        </w:rPr>
        <w:t>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BE336A" w:rsidRPr="002872C7" w14:paraId="5DE7372B" w14:textId="77777777" w:rsidTr="008D18FC">
        <w:trPr>
          <w:trHeight w:val="248"/>
        </w:trPr>
        <w:tc>
          <w:tcPr>
            <w:tcW w:w="7372" w:type="dxa"/>
            <w:gridSpan w:val="5"/>
          </w:tcPr>
          <w:p w14:paraId="5DE73729" w14:textId="6E4560A6" w:rsidR="00BE336A" w:rsidRPr="00FC3257" w:rsidRDefault="00BE336A" w:rsidP="00BE336A">
            <w:pPr>
              <w:pStyle w:val="zSoquijdatRepertorie"/>
              <w:rPr>
                <w:sz w:val="24"/>
                <w:szCs w:val="24"/>
                <w:lang w:val="en-CA"/>
              </w:rPr>
            </w:pPr>
            <w:proofErr w:type="spellStart"/>
            <w:r>
              <w:rPr>
                <w:rFonts w:cs="Arial"/>
              </w:rPr>
              <w:t>Koneak</w:t>
            </w:r>
            <w:proofErr w:type="spellEnd"/>
            <w:r>
              <w:rPr>
                <w:rFonts w:cs="Arial"/>
              </w:rPr>
              <w:t xml:space="preserve"> c. R.</w:t>
            </w:r>
          </w:p>
        </w:tc>
        <w:tc>
          <w:tcPr>
            <w:tcW w:w="1988" w:type="dxa"/>
          </w:tcPr>
          <w:p w14:paraId="5DE7372A" w14:textId="7699BEB5" w:rsidR="00BE336A" w:rsidRPr="002872C7" w:rsidRDefault="00BE336A" w:rsidP="002C422E">
            <w:pPr>
              <w:pStyle w:val="zSoquijdatRefNeutre"/>
              <w:jc w:val="right"/>
              <w:rPr>
                <w:lang w:val="en-CA"/>
              </w:rPr>
            </w:pPr>
            <w:r>
              <w:rPr>
                <w:rFonts w:cs="Arial"/>
              </w:rPr>
              <w:t>2024 QCCA 1665</w:t>
            </w:r>
          </w:p>
        </w:tc>
      </w:tr>
      <w:tr w:rsidR="00AD231A" w:rsidRPr="002872C7" w14:paraId="5DE7372D" w14:textId="77777777" w:rsidTr="008D18FC">
        <w:trPr>
          <w:trHeight w:val="247"/>
        </w:trPr>
        <w:tc>
          <w:tcPr>
            <w:tcW w:w="9360" w:type="dxa"/>
            <w:gridSpan w:val="6"/>
          </w:tcPr>
          <w:p w14:paraId="5DE7372C" w14:textId="77777777" w:rsidR="008F364A" w:rsidRPr="002872C7" w:rsidRDefault="00750A8F">
            <w:pPr>
              <w:pStyle w:val="zSoquijlblCour"/>
              <w:rPr>
                <w:lang w:val="en-CA"/>
              </w:rPr>
            </w:pPr>
            <w:r w:rsidRPr="002872C7">
              <w:rPr>
                <w:bCs/>
                <w:lang w:val="en-CA"/>
              </w:rPr>
              <w:t>COURT OF APPEAL</w:t>
            </w:r>
          </w:p>
        </w:tc>
      </w:tr>
      <w:tr w:rsidR="00AD231A" w:rsidRPr="002872C7" w14:paraId="5DE7372F" w14:textId="77777777" w:rsidTr="008D18FC">
        <w:trPr>
          <w:trHeight w:val="540"/>
        </w:trPr>
        <w:tc>
          <w:tcPr>
            <w:tcW w:w="9360" w:type="dxa"/>
            <w:gridSpan w:val="6"/>
          </w:tcPr>
          <w:p w14:paraId="5DE7372E" w14:textId="77777777" w:rsidR="008F364A" w:rsidRPr="002872C7" w:rsidRDefault="008F364A">
            <w:pPr>
              <w:pStyle w:val="zSoquijdatDivision"/>
              <w:rPr>
                <w:lang w:val="en-CA"/>
              </w:rPr>
            </w:pPr>
          </w:p>
        </w:tc>
      </w:tr>
      <w:tr w:rsidR="00AD231A" w:rsidRPr="002872C7" w14:paraId="5DE73731" w14:textId="77777777" w:rsidTr="008D18FC">
        <w:tc>
          <w:tcPr>
            <w:tcW w:w="9360" w:type="dxa"/>
            <w:gridSpan w:val="6"/>
          </w:tcPr>
          <w:p w14:paraId="5DE73730" w14:textId="77777777" w:rsidR="008F364A" w:rsidRPr="002872C7" w:rsidRDefault="00750A8F">
            <w:pPr>
              <w:pStyle w:val="zSoquijlblPays"/>
              <w:rPr>
                <w:lang w:val="en-CA"/>
              </w:rPr>
            </w:pPr>
            <w:r w:rsidRPr="002872C7">
              <w:rPr>
                <w:lang w:val="en-CA"/>
              </w:rPr>
              <w:t>CANADA</w:t>
            </w:r>
          </w:p>
        </w:tc>
      </w:tr>
      <w:tr w:rsidR="00AD231A" w:rsidRPr="002872C7" w14:paraId="5DE73733" w14:textId="77777777" w:rsidTr="008D18FC">
        <w:tc>
          <w:tcPr>
            <w:tcW w:w="9360" w:type="dxa"/>
            <w:gridSpan w:val="6"/>
          </w:tcPr>
          <w:p w14:paraId="5DE73732" w14:textId="77777777" w:rsidR="008F364A" w:rsidRPr="002872C7" w:rsidRDefault="00750A8F">
            <w:pPr>
              <w:pStyle w:val="zSoquijlblProvince"/>
              <w:rPr>
                <w:lang w:val="en-CA"/>
              </w:rPr>
            </w:pPr>
            <w:r w:rsidRPr="002872C7">
              <w:rPr>
                <w:lang w:val="en-CA"/>
              </w:rPr>
              <w:t>PROVINCE OF QUEBEC</w:t>
            </w:r>
          </w:p>
        </w:tc>
      </w:tr>
      <w:tr w:rsidR="00AD231A" w:rsidRPr="002872C7" w14:paraId="5DE73737" w14:textId="77777777" w:rsidTr="00CA142B">
        <w:tc>
          <w:tcPr>
            <w:tcW w:w="1701" w:type="dxa"/>
            <w:gridSpan w:val="3"/>
          </w:tcPr>
          <w:p w14:paraId="5DE73734" w14:textId="77777777" w:rsidR="008F364A" w:rsidRPr="002872C7" w:rsidRDefault="00750A8F">
            <w:pPr>
              <w:pStyle w:val="zSoquijlblGreffe"/>
              <w:rPr>
                <w:lang w:val="en-CA"/>
              </w:rPr>
            </w:pPr>
            <w:r w:rsidRPr="002872C7">
              <w:rPr>
                <w:lang w:val="en-CA"/>
              </w:rPr>
              <w:t>REGISTRY OF</w:t>
            </w:r>
          </w:p>
          <w:p w14:paraId="5DE73735" w14:textId="77777777" w:rsidR="008F364A" w:rsidRPr="002872C7" w:rsidRDefault="008F364A">
            <w:pPr>
              <w:pStyle w:val="zSoquijlblGreffe"/>
              <w:rPr>
                <w:lang w:val="en-CA"/>
              </w:rPr>
            </w:pPr>
          </w:p>
        </w:tc>
        <w:tc>
          <w:tcPr>
            <w:tcW w:w="7659" w:type="dxa"/>
            <w:gridSpan w:val="3"/>
          </w:tcPr>
          <w:p w14:paraId="5DE73736" w14:textId="77777777" w:rsidR="008F364A" w:rsidRPr="002872C7" w:rsidRDefault="00750A8F">
            <w:pPr>
              <w:pStyle w:val="zSoquijdatGreffe"/>
              <w:rPr>
                <w:lang w:val="en-CA"/>
              </w:rPr>
            </w:pPr>
            <w:bookmarkStart w:id="0" w:name="NomGreffe"/>
            <w:r w:rsidRPr="002872C7">
              <w:rPr>
                <w:lang w:val="en-CA"/>
              </w:rPr>
              <w:t>QUEBEC</w:t>
            </w:r>
            <w:bookmarkEnd w:id="0"/>
          </w:p>
        </w:tc>
      </w:tr>
      <w:tr w:rsidR="00AD231A" w:rsidRPr="002872C7" w14:paraId="5DE7373A" w14:textId="77777777" w:rsidTr="008D18FC">
        <w:tc>
          <w:tcPr>
            <w:tcW w:w="1030" w:type="dxa"/>
          </w:tcPr>
          <w:p w14:paraId="5DE73738" w14:textId="0FFC5FFF" w:rsidR="008F364A" w:rsidRPr="002872C7" w:rsidRDefault="00750A8F">
            <w:pPr>
              <w:pStyle w:val="zSoquijlblNoDossier"/>
              <w:rPr>
                <w:lang w:val="en-CA"/>
              </w:rPr>
            </w:pPr>
            <w:r w:rsidRPr="002872C7">
              <w:rPr>
                <w:lang w:val="en-CA"/>
              </w:rPr>
              <w:t>N</w:t>
            </w:r>
            <w:r w:rsidR="00CA142B" w:rsidRPr="002872C7">
              <w:rPr>
                <w:lang w:val="en-CA"/>
              </w:rPr>
              <w:t>o</w:t>
            </w:r>
            <w:r w:rsidRPr="002872C7">
              <w:rPr>
                <w:lang w:val="en-CA"/>
              </w:rPr>
              <w:t>.:</w:t>
            </w:r>
          </w:p>
        </w:tc>
        <w:tc>
          <w:tcPr>
            <w:tcW w:w="8330" w:type="dxa"/>
            <w:gridSpan w:val="5"/>
          </w:tcPr>
          <w:p w14:paraId="5DE73739" w14:textId="77777777" w:rsidR="008F364A" w:rsidRPr="002872C7" w:rsidRDefault="00750A8F">
            <w:pPr>
              <w:pStyle w:val="zSoquijdatNoDossier"/>
              <w:rPr>
                <w:lang w:val="en-CA"/>
              </w:rPr>
            </w:pPr>
            <w:bookmarkStart w:id="1" w:name="NoDossier"/>
            <w:r w:rsidRPr="002872C7">
              <w:rPr>
                <w:lang w:val="en-CA"/>
              </w:rPr>
              <w:t>200-10-003818-213</w:t>
            </w:r>
            <w:bookmarkEnd w:id="1"/>
          </w:p>
        </w:tc>
      </w:tr>
      <w:tr w:rsidR="00AD231A" w:rsidRPr="002872C7" w14:paraId="5DE7373C" w14:textId="77777777" w:rsidTr="008D18FC">
        <w:tc>
          <w:tcPr>
            <w:tcW w:w="9360" w:type="dxa"/>
            <w:gridSpan w:val="6"/>
          </w:tcPr>
          <w:p w14:paraId="5DE7373B" w14:textId="77777777" w:rsidR="00411C01" w:rsidRPr="002872C7" w:rsidRDefault="00750A8F" w:rsidP="00411C01">
            <w:pPr>
              <w:pStyle w:val="zSoquijdatNoDossierAnt"/>
              <w:rPr>
                <w:lang w:val="en-CA"/>
              </w:rPr>
            </w:pPr>
            <w:r w:rsidRPr="002872C7">
              <w:rPr>
                <w:lang w:val="en-CA"/>
              </w:rPr>
              <w:t>(635-01-017029-183) (635-01-017082-182)</w:t>
            </w:r>
          </w:p>
        </w:tc>
      </w:tr>
      <w:tr w:rsidR="00AD231A" w:rsidRPr="002872C7" w14:paraId="5DE7373E" w14:textId="77777777" w:rsidTr="008D18FC">
        <w:tc>
          <w:tcPr>
            <w:tcW w:w="9360" w:type="dxa"/>
            <w:gridSpan w:val="6"/>
          </w:tcPr>
          <w:p w14:paraId="5DE7373D" w14:textId="77777777" w:rsidR="008F364A" w:rsidRPr="002872C7" w:rsidRDefault="008F364A">
            <w:pPr>
              <w:rPr>
                <w:lang w:val="en-CA"/>
              </w:rPr>
            </w:pPr>
          </w:p>
        </w:tc>
      </w:tr>
      <w:tr w:rsidR="00AD231A" w:rsidRPr="002872C7" w14:paraId="5DE73741" w14:textId="77777777" w:rsidTr="008D18FC">
        <w:tc>
          <w:tcPr>
            <w:tcW w:w="1030" w:type="dxa"/>
          </w:tcPr>
          <w:p w14:paraId="5DE7373F" w14:textId="77777777" w:rsidR="008F364A" w:rsidRPr="002872C7" w:rsidRDefault="00750A8F">
            <w:pPr>
              <w:pStyle w:val="zSoquijlblDateJugement"/>
              <w:rPr>
                <w:lang w:val="en-CA"/>
              </w:rPr>
            </w:pPr>
            <w:r w:rsidRPr="002872C7">
              <w:rPr>
                <w:lang w:val="en-CA"/>
              </w:rPr>
              <w:t>DATE:</w:t>
            </w:r>
          </w:p>
        </w:tc>
        <w:tc>
          <w:tcPr>
            <w:tcW w:w="8330" w:type="dxa"/>
            <w:gridSpan w:val="5"/>
          </w:tcPr>
          <w:p w14:paraId="5DE73740" w14:textId="77777777" w:rsidR="008F364A" w:rsidRPr="002872C7" w:rsidRDefault="00750A8F">
            <w:pPr>
              <w:pStyle w:val="zSoquijdatDateJugement"/>
              <w:rPr>
                <w:lang w:val="en-CA"/>
              </w:rPr>
            </w:pPr>
            <w:r w:rsidRPr="002872C7">
              <w:rPr>
                <w:lang w:val="en-CA"/>
              </w:rPr>
              <w:t>December 11, 2024</w:t>
            </w:r>
          </w:p>
        </w:tc>
      </w:tr>
      <w:tr w:rsidR="00AD231A" w:rsidRPr="002872C7" w14:paraId="5DE73743" w14:textId="77777777" w:rsidTr="008D18FC">
        <w:tc>
          <w:tcPr>
            <w:tcW w:w="9360" w:type="dxa"/>
            <w:gridSpan w:val="6"/>
            <w:tcBorders>
              <w:bottom w:val="single" w:sz="8" w:space="0" w:color="auto"/>
            </w:tcBorders>
          </w:tcPr>
          <w:p w14:paraId="5DE73742" w14:textId="77777777" w:rsidR="008F364A" w:rsidRPr="002872C7" w:rsidRDefault="008F364A">
            <w:pPr>
              <w:rPr>
                <w:lang w:val="en-CA"/>
              </w:rPr>
            </w:pPr>
          </w:p>
        </w:tc>
      </w:tr>
      <w:tr w:rsidR="00AD231A" w:rsidRPr="002872C7" w14:paraId="5DE73745" w14:textId="77777777" w:rsidTr="008D18FC">
        <w:tc>
          <w:tcPr>
            <w:tcW w:w="9360" w:type="dxa"/>
            <w:gridSpan w:val="6"/>
            <w:tcBorders>
              <w:top w:val="single" w:sz="8" w:space="0" w:color="auto"/>
            </w:tcBorders>
          </w:tcPr>
          <w:p w14:paraId="5DE73744" w14:textId="77777777" w:rsidR="008F364A" w:rsidRPr="002872C7" w:rsidRDefault="008F364A">
            <w:pPr>
              <w:rPr>
                <w:lang w:val="en-CA"/>
              </w:rPr>
            </w:pPr>
          </w:p>
        </w:tc>
      </w:tr>
      <w:tr w:rsidR="00AD231A" w:rsidRPr="002872C7" w14:paraId="5DE7374B" w14:textId="77777777" w:rsidTr="008D18FC">
        <w:tc>
          <w:tcPr>
            <w:tcW w:w="1620" w:type="dxa"/>
            <w:gridSpan w:val="2"/>
          </w:tcPr>
          <w:p w14:paraId="5DE73746" w14:textId="77777777" w:rsidR="008F364A" w:rsidRPr="002872C7" w:rsidRDefault="00750A8F" w:rsidP="00423DF1">
            <w:pPr>
              <w:pStyle w:val="zSoquijlblJuge"/>
              <w:ind w:right="-142"/>
              <w:rPr>
                <w:lang w:val="en-CA"/>
              </w:rPr>
            </w:pPr>
            <w:bookmarkStart w:id="2" w:name="FORMATION"/>
            <w:r w:rsidRPr="002872C7">
              <w:rPr>
                <w:bCs/>
                <w:lang w:val="en-CA"/>
              </w:rPr>
              <w:t>CORAM:</w:t>
            </w:r>
            <w:bookmarkEnd w:id="2"/>
          </w:p>
        </w:tc>
        <w:tc>
          <w:tcPr>
            <w:tcW w:w="2350" w:type="dxa"/>
            <w:gridSpan w:val="2"/>
          </w:tcPr>
          <w:p w14:paraId="5DE73747" w14:textId="77777777" w:rsidR="008F364A" w:rsidRPr="002872C7" w:rsidRDefault="00750A8F">
            <w:pPr>
              <w:pStyle w:val="zSoquijdatQteJuge"/>
              <w:rPr>
                <w:lang w:val="en-CA"/>
              </w:rPr>
            </w:pPr>
            <w:bookmarkStart w:id="3" w:name="Honorables"/>
            <w:r w:rsidRPr="002872C7">
              <w:rPr>
                <w:bCs/>
                <w:lang w:val="en-CA"/>
              </w:rPr>
              <w:t>THE HONOURABLE</w:t>
            </w:r>
            <w:bookmarkEnd w:id="3"/>
          </w:p>
        </w:tc>
        <w:tc>
          <w:tcPr>
            <w:tcW w:w="5390" w:type="dxa"/>
            <w:gridSpan w:val="2"/>
          </w:tcPr>
          <w:p w14:paraId="5DE73748" w14:textId="77777777" w:rsidR="008F364A" w:rsidRPr="00727080" w:rsidRDefault="00750A8F">
            <w:pPr>
              <w:pStyle w:val="zSoquijdatJuge"/>
            </w:pPr>
            <w:bookmarkStart w:id="4" w:name="NomJuge1"/>
            <w:r w:rsidRPr="00727080">
              <w:rPr>
                <w:bCs/>
              </w:rPr>
              <w:t>JULIE DUTIL, J.A.</w:t>
            </w:r>
            <w:bookmarkEnd w:id="4"/>
          </w:p>
          <w:p w14:paraId="5DE73749" w14:textId="77777777" w:rsidR="008F364A" w:rsidRPr="00727080" w:rsidRDefault="00750A8F">
            <w:pPr>
              <w:pStyle w:val="zSoquijdatJuge"/>
            </w:pPr>
            <w:bookmarkStart w:id="5" w:name="NomJuge2"/>
            <w:r w:rsidRPr="00727080">
              <w:rPr>
                <w:bCs/>
              </w:rPr>
              <w:t>SIMON RUEL, J.A.</w:t>
            </w:r>
            <w:bookmarkEnd w:id="5"/>
          </w:p>
          <w:p w14:paraId="5DE7374A" w14:textId="77777777" w:rsidR="005A78BF" w:rsidRPr="002872C7" w:rsidRDefault="00750A8F" w:rsidP="00411C01">
            <w:pPr>
              <w:pStyle w:val="zSoquijdatJuge"/>
              <w:rPr>
                <w:lang w:val="en-CA"/>
              </w:rPr>
            </w:pPr>
            <w:bookmarkStart w:id="6" w:name="_Hlt520513784"/>
            <w:bookmarkStart w:id="7" w:name="NomJuge3"/>
            <w:bookmarkEnd w:id="6"/>
            <w:r w:rsidRPr="002872C7">
              <w:rPr>
                <w:bCs/>
                <w:lang w:val="en-CA"/>
              </w:rPr>
              <w:t>SOPHIE LAVALLÉE, J.A.</w:t>
            </w:r>
            <w:bookmarkEnd w:id="7"/>
          </w:p>
        </w:tc>
      </w:tr>
      <w:tr w:rsidR="00AD231A" w:rsidRPr="002872C7" w14:paraId="5DE7374D" w14:textId="77777777" w:rsidTr="008D18FC">
        <w:tc>
          <w:tcPr>
            <w:tcW w:w="9360" w:type="dxa"/>
            <w:gridSpan w:val="6"/>
            <w:tcBorders>
              <w:bottom w:val="single" w:sz="8" w:space="0" w:color="auto"/>
            </w:tcBorders>
          </w:tcPr>
          <w:p w14:paraId="5DE7374C" w14:textId="77777777" w:rsidR="008F364A" w:rsidRPr="002872C7" w:rsidRDefault="008F364A">
            <w:pPr>
              <w:rPr>
                <w:lang w:val="en-CA"/>
              </w:rPr>
            </w:pPr>
          </w:p>
        </w:tc>
      </w:tr>
      <w:tr w:rsidR="00AD231A" w:rsidRPr="002872C7" w14:paraId="5DE7374F" w14:textId="77777777" w:rsidTr="008D18FC">
        <w:tc>
          <w:tcPr>
            <w:tcW w:w="9360" w:type="dxa"/>
            <w:gridSpan w:val="6"/>
          </w:tcPr>
          <w:p w14:paraId="5DE7374E" w14:textId="77777777" w:rsidR="008F364A" w:rsidRPr="002872C7" w:rsidRDefault="008F364A">
            <w:pPr>
              <w:pStyle w:val="zSoquijlblTitrePartie"/>
              <w:rPr>
                <w:lang w:val="en-CA"/>
              </w:rPr>
            </w:pPr>
          </w:p>
        </w:tc>
      </w:tr>
      <w:tr w:rsidR="00AD231A" w:rsidRPr="002872C7" w14:paraId="5DE73751" w14:textId="77777777" w:rsidTr="008D18FC">
        <w:tc>
          <w:tcPr>
            <w:tcW w:w="9360" w:type="dxa"/>
            <w:gridSpan w:val="6"/>
          </w:tcPr>
          <w:p w14:paraId="5DE73750" w14:textId="77777777" w:rsidR="008F364A" w:rsidRPr="002872C7" w:rsidRDefault="00750A8F">
            <w:pPr>
              <w:pStyle w:val="zSoquijdatNomPartieDem"/>
              <w:rPr>
                <w:lang w:val="en-CA"/>
              </w:rPr>
            </w:pPr>
            <w:r w:rsidRPr="002872C7">
              <w:rPr>
                <w:lang w:val="en-CA"/>
              </w:rPr>
              <w:t>RANDY KONEAK</w:t>
            </w:r>
          </w:p>
        </w:tc>
      </w:tr>
      <w:tr w:rsidR="00AD231A" w:rsidRPr="002872C7" w14:paraId="5DE73753" w14:textId="77777777" w:rsidTr="008D18FC">
        <w:tc>
          <w:tcPr>
            <w:tcW w:w="9360" w:type="dxa"/>
            <w:gridSpan w:val="6"/>
          </w:tcPr>
          <w:p w14:paraId="5DE73752" w14:textId="77777777" w:rsidR="008F364A" w:rsidRPr="002872C7" w:rsidRDefault="00750A8F">
            <w:pPr>
              <w:pStyle w:val="zSoquijdatQtePartieDem"/>
              <w:rPr>
                <w:lang w:val="en-CA"/>
              </w:rPr>
            </w:pPr>
            <w:r w:rsidRPr="002872C7">
              <w:rPr>
                <w:lang w:val="en-CA"/>
              </w:rPr>
              <w:t>APPELLANT – Accused</w:t>
            </w:r>
          </w:p>
        </w:tc>
      </w:tr>
      <w:tr w:rsidR="00AD231A" w:rsidRPr="002872C7" w14:paraId="5DE73755" w14:textId="77777777" w:rsidTr="008D18FC">
        <w:tc>
          <w:tcPr>
            <w:tcW w:w="9360" w:type="dxa"/>
            <w:gridSpan w:val="6"/>
          </w:tcPr>
          <w:p w14:paraId="5DE73754" w14:textId="77777777" w:rsidR="008F364A" w:rsidRPr="002872C7" w:rsidRDefault="00750A8F">
            <w:pPr>
              <w:pStyle w:val="zSoquijlblLienParties"/>
              <w:rPr>
                <w:lang w:val="en-CA"/>
              </w:rPr>
            </w:pPr>
            <w:r w:rsidRPr="002872C7">
              <w:rPr>
                <w:lang w:val="en-CA"/>
              </w:rPr>
              <w:t>v.</w:t>
            </w:r>
          </w:p>
        </w:tc>
      </w:tr>
      <w:tr w:rsidR="00AD231A" w:rsidRPr="002872C7" w14:paraId="5DE73757" w14:textId="77777777" w:rsidTr="008D18FC">
        <w:tc>
          <w:tcPr>
            <w:tcW w:w="9360" w:type="dxa"/>
            <w:gridSpan w:val="6"/>
          </w:tcPr>
          <w:p w14:paraId="5DE73756" w14:textId="77777777" w:rsidR="008F364A" w:rsidRPr="002872C7" w:rsidRDefault="008F364A">
            <w:pPr>
              <w:rPr>
                <w:lang w:val="en-CA"/>
              </w:rPr>
            </w:pPr>
          </w:p>
        </w:tc>
      </w:tr>
      <w:tr w:rsidR="00AD231A" w:rsidRPr="002872C7" w14:paraId="5DE73759" w14:textId="77777777" w:rsidTr="008D18FC">
        <w:tc>
          <w:tcPr>
            <w:tcW w:w="9360" w:type="dxa"/>
            <w:gridSpan w:val="6"/>
          </w:tcPr>
          <w:p w14:paraId="5DE73758" w14:textId="77777777" w:rsidR="008F364A" w:rsidRPr="002872C7" w:rsidRDefault="00750A8F">
            <w:pPr>
              <w:pStyle w:val="zSoquijdatNomPartieDef"/>
              <w:rPr>
                <w:lang w:val="en-CA"/>
              </w:rPr>
            </w:pPr>
            <w:r w:rsidRPr="002872C7">
              <w:rPr>
                <w:lang w:val="en-CA"/>
              </w:rPr>
              <w:t>HIS MAJESTY THE KING</w:t>
            </w:r>
          </w:p>
        </w:tc>
      </w:tr>
      <w:tr w:rsidR="00AD231A" w:rsidRPr="002872C7" w14:paraId="5DE7375B" w14:textId="77777777" w:rsidTr="008D18FC">
        <w:tc>
          <w:tcPr>
            <w:tcW w:w="9360" w:type="dxa"/>
            <w:gridSpan w:val="6"/>
          </w:tcPr>
          <w:p w14:paraId="5DE7375A" w14:textId="77777777" w:rsidR="008F364A" w:rsidRPr="002872C7" w:rsidRDefault="00750A8F">
            <w:pPr>
              <w:pStyle w:val="zSoquijdatQtePartieDef"/>
              <w:rPr>
                <w:lang w:val="en-CA"/>
              </w:rPr>
            </w:pPr>
            <w:r w:rsidRPr="002872C7">
              <w:rPr>
                <w:lang w:val="en-CA"/>
              </w:rPr>
              <w:t>RESPONDENT – Prosecutor</w:t>
            </w:r>
          </w:p>
        </w:tc>
      </w:tr>
      <w:tr w:rsidR="00AD231A" w:rsidRPr="002872C7" w14:paraId="5DE7375D" w14:textId="77777777" w:rsidTr="008D18FC">
        <w:tc>
          <w:tcPr>
            <w:tcW w:w="9360" w:type="dxa"/>
            <w:gridSpan w:val="6"/>
          </w:tcPr>
          <w:p w14:paraId="5DE7375C" w14:textId="77777777" w:rsidR="008F364A" w:rsidRPr="002872C7" w:rsidRDefault="008F364A">
            <w:pPr>
              <w:rPr>
                <w:lang w:val="en-CA"/>
              </w:rPr>
            </w:pPr>
          </w:p>
        </w:tc>
      </w:tr>
      <w:tr w:rsidR="00AD231A" w:rsidRPr="002872C7" w14:paraId="5DE7375F" w14:textId="77777777" w:rsidTr="008D18FC">
        <w:tc>
          <w:tcPr>
            <w:tcW w:w="9360" w:type="dxa"/>
            <w:gridSpan w:val="6"/>
            <w:tcBorders>
              <w:top w:val="single" w:sz="8" w:space="0" w:color="auto"/>
            </w:tcBorders>
          </w:tcPr>
          <w:p w14:paraId="5DE7375E" w14:textId="77777777" w:rsidR="008F364A" w:rsidRPr="002872C7" w:rsidRDefault="008F364A">
            <w:pPr>
              <w:rPr>
                <w:lang w:val="en-CA"/>
              </w:rPr>
            </w:pPr>
            <w:bookmarkStart w:id="8" w:name="Arret"/>
          </w:p>
        </w:tc>
      </w:tr>
      <w:tr w:rsidR="00AD231A" w:rsidRPr="002872C7" w14:paraId="5DE73761" w14:textId="77777777" w:rsidTr="008D18FC">
        <w:tc>
          <w:tcPr>
            <w:tcW w:w="9360" w:type="dxa"/>
            <w:gridSpan w:val="6"/>
          </w:tcPr>
          <w:p w14:paraId="5DE73760" w14:textId="77777777" w:rsidR="008F364A" w:rsidRPr="002872C7" w:rsidRDefault="00750A8F">
            <w:pPr>
              <w:pStyle w:val="zSoquijlblTypeDocument"/>
              <w:rPr>
                <w:lang w:val="en-CA"/>
              </w:rPr>
            </w:pPr>
            <w:bookmarkStart w:id="9" w:name="TitreDocument"/>
            <w:r w:rsidRPr="002872C7">
              <w:rPr>
                <w:lang w:val="en-CA"/>
              </w:rPr>
              <w:t>JUDGMENT</w:t>
            </w:r>
            <w:bookmarkEnd w:id="9"/>
          </w:p>
        </w:tc>
      </w:tr>
      <w:tr w:rsidR="00AD231A" w:rsidRPr="002872C7" w14:paraId="5DE73763" w14:textId="77777777" w:rsidTr="008D18FC">
        <w:tc>
          <w:tcPr>
            <w:tcW w:w="9360" w:type="dxa"/>
            <w:gridSpan w:val="6"/>
            <w:tcBorders>
              <w:bottom w:val="single" w:sz="8" w:space="0" w:color="auto"/>
            </w:tcBorders>
          </w:tcPr>
          <w:p w14:paraId="5DE73762" w14:textId="77777777" w:rsidR="008F364A" w:rsidRPr="002872C7" w:rsidRDefault="008F364A">
            <w:pPr>
              <w:rPr>
                <w:lang w:val="en-CA"/>
              </w:rPr>
            </w:pPr>
          </w:p>
        </w:tc>
      </w:tr>
      <w:tr w:rsidR="00AD231A" w:rsidRPr="002872C7" w14:paraId="5DE73765" w14:textId="77777777" w:rsidTr="008D18FC">
        <w:tc>
          <w:tcPr>
            <w:tcW w:w="9360" w:type="dxa"/>
            <w:gridSpan w:val="6"/>
            <w:tcBorders>
              <w:top w:val="single" w:sz="8" w:space="0" w:color="auto"/>
            </w:tcBorders>
          </w:tcPr>
          <w:p w14:paraId="5DE73764" w14:textId="77777777" w:rsidR="008F364A" w:rsidRPr="002872C7" w:rsidRDefault="008F364A">
            <w:pPr>
              <w:rPr>
                <w:lang w:val="en-CA"/>
              </w:rPr>
            </w:pPr>
          </w:p>
        </w:tc>
      </w:tr>
    </w:tbl>
    <w:p w14:paraId="5DE73766" w14:textId="77777777" w:rsidR="009B78FB" w:rsidRPr="002872C7" w:rsidRDefault="00750A8F" w:rsidP="000E3157">
      <w:pPr>
        <w:pStyle w:val="Paragraphe"/>
        <w:spacing w:before="360" w:line="280" w:lineRule="exact"/>
        <w:rPr>
          <w:lang w:val="en-CA"/>
        </w:rPr>
      </w:pPr>
      <w:r w:rsidRPr="002872C7">
        <w:rPr>
          <w:lang w:val="en-CA"/>
        </w:rPr>
        <w:t xml:space="preserve">The appellant appeals from jury verdicts convicting him of the </w:t>
      </w:r>
      <w:proofErr w:type="gramStart"/>
      <w:r w:rsidRPr="002872C7">
        <w:rPr>
          <w:lang w:val="en-CA"/>
        </w:rPr>
        <w:t>first degree</w:t>
      </w:r>
      <w:proofErr w:type="gramEnd"/>
      <w:r w:rsidRPr="002872C7">
        <w:rPr>
          <w:lang w:val="en-CA"/>
        </w:rPr>
        <w:t xml:space="preserve"> murder of Chloé Labrie and of improperly or indecently interfering with or offering an indignity to her body, which verdicts were rendered on December 4, 2020, in Kuujjuaq, District of Abitibi, after a trial in the Superior Court.</w:t>
      </w:r>
      <w:r w:rsidRPr="002872C7">
        <w:rPr>
          <w:rStyle w:val="Appelnotedebasdep"/>
          <w:rFonts w:cs="Arial"/>
          <w:szCs w:val="24"/>
          <w:lang w:val="en-CA"/>
        </w:rPr>
        <w:footnoteReference w:id="1"/>
      </w:r>
    </w:p>
    <w:p w14:paraId="5DE73767" w14:textId="77777777" w:rsidR="00841E8F" w:rsidRPr="002872C7" w:rsidRDefault="00750A8F" w:rsidP="009B78FB">
      <w:pPr>
        <w:spacing w:before="120" w:after="120" w:line="360" w:lineRule="auto"/>
        <w:rPr>
          <w:rFonts w:cs="Arial"/>
          <w:lang w:val="en-CA"/>
        </w:rPr>
      </w:pPr>
      <w:r w:rsidRPr="002872C7">
        <w:rPr>
          <w:rFonts w:cs="Arial"/>
          <w:lang w:val="en-CA"/>
        </w:rPr>
        <w:br w:type="page"/>
      </w:r>
    </w:p>
    <w:p w14:paraId="5DE73768" w14:textId="77777777" w:rsidR="00C21DAC" w:rsidRPr="002872C7" w:rsidRDefault="00750A8F" w:rsidP="00746321">
      <w:pPr>
        <w:pStyle w:val="Paragraphe"/>
        <w:numPr>
          <w:ilvl w:val="0"/>
          <w:numId w:val="0"/>
        </w:numPr>
        <w:spacing w:line="280" w:lineRule="exact"/>
        <w:rPr>
          <w:lang w:val="en-CA"/>
        </w:rPr>
      </w:pPr>
      <w:r w:rsidRPr="002872C7">
        <w:rPr>
          <w:lang w:val="en-CA"/>
        </w:rPr>
        <w:lastRenderedPageBreak/>
        <w:t xml:space="preserve">For the reasons of Ruel, J.A., with which Dutil and Lavallée, JJ.A. agree, </w:t>
      </w:r>
      <w:r w:rsidRPr="002872C7">
        <w:rPr>
          <w:b/>
          <w:bCs/>
          <w:lang w:val="en-CA"/>
        </w:rPr>
        <w:t>THE COURT</w:t>
      </w:r>
      <w:r w:rsidRPr="002872C7">
        <w:rPr>
          <w:lang w:val="en-CA"/>
        </w:rPr>
        <w:t>:</w:t>
      </w:r>
    </w:p>
    <w:p w14:paraId="5DE73769" w14:textId="77777777" w:rsidR="00676637" w:rsidRPr="002872C7" w:rsidRDefault="00750A8F" w:rsidP="00676637">
      <w:pPr>
        <w:pStyle w:val="Paragraphe"/>
        <w:spacing w:line="280" w:lineRule="exact"/>
        <w:rPr>
          <w:lang w:val="en-CA"/>
        </w:rPr>
      </w:pPr>
      <w:r w:rsidRPr="002872C7">
        <w:rPr>
          <w:b/>
          <w:bCs/>
          <w:lang w:val="en-CA"/>
        </w:rPr>
        <w:t>GRANTS</w:t>
      </w:r>
      <w:r w:rsidRPr="002872C7">
        <w:rPr>
          <w:lang w:val="en-CA"/>
        </w:rPr>
        <w:t xml:space="preserve"> the application for leave to appeal on questions of mixed fact and </w:t>
      </w:r>
      <w:proofErr w:type="gramStart"/>
      <w:r w:rsidRPr="002872C7">
        <w:rPr>
          <w:lang w:val="en-CA"/>
        </w:rPr>
        <w:t>law;</w:t>
      </w:r>
      <w:proofErr w:type="gramEnd"/>
    </w:p>
    <w:p w14:paraId="5DE7376A" w14:textId="77777777" w:rsidR="009B78FB" w:rsidRPr="002872C7" w:rsidRDefault="00750A8F" w:rsidP="00746321">
      <w:pPr>
        <w:pStyle w:val="Paragraphe"/>
        <w:spacing w:line="280" w:lineRule="exact"/>
        <w:rPr>
          <w:lang w:val="en-CA"/>
        </w:rPr>
      </w:pPr>
      <w:r w:rsidRPr="002872C7">
        <w:rPr>
          <w:b/>
          <w:bCs/>
          <w:lang w:val="en-CA"/>
        </w:rPr>
        <w:t>ALLOWS</w:t>
      </w:r>
      <w:r w:rsidRPr="002872C7">
        <w:rPr>
          <w:lang w:val="en-CA"/>
        </w:rPr>
        <w:t xml:space="preserve"> the </w:t>
      </w:r>
      <w:proofErr w:type="gramStart"/>
      <w:r w:rsidRPr="002872C7">
        <w:rPr>
          <w:lang w:val="en-CA"/>
        </w:rPr>
        <w:t>appeal;</w:t>
      </w:r>
      <w:proofErr w:type="gramEnd"/>
    </w:p>
    <w:p w14:paraId="5DE7376B" w14:textId="77777777" w:rsidR="009B78FB" w:rsidRPr="002872C7" w:rsidRDefault="00750A8F" w:rsidP="00746321">
      <w:pPr>
        <w:pStyle w:val="Paragraphe"/>
        <w:spacing w:line="280" w:lineRule="exact"/>
        <w:rPr>
          <w:lang w:val="en-CA"/>
        </w:rPr>
      </w:pPr>
      <w:r w:rsidRPr="002872C7">
        <w:rPr>
          <w:b/>
          <w:bCs/>
          <w:lang w:val="en-CA"/>
        </w:rPr>
        <w:t>SETS ASIDE</w:t>
      </w:r>
      <w:r w:rsidRPr="002872C7">
        <w:rPr>
          <w:lang w:val="en-CA"/>
        </w:rPr>
        <w:t xml:space="preserve"> the guilty </w:t>
      </w:r>
      <w:proofErr w:type="gramStart"/>
      <w:r w:rsidRPr="002872C7">
        <w:rPr>
          <w:lang w:val="en-CA"/>
        </w:rPr>
        <w:t>verdicts;</w:t>
      </w:r>
      <w:proofErr w:type="gramEnd"/>
    </w:p>
    <w:p w14:paraId="5DE7376C" w14:textId="77777777" w:rsidR="00C21DAC" w:rsidRPr="002872C7" w:rsidRDefault="00750A8F" w:rsidP="00746321">
      <w:pPr>
        <w:pStyle w:val="Paragraphe"/>
        <w:spacing w:line="280" w:lineRule="exact"/>
        <w:rPr>
          <w:lang w:val="en-CA"/>
        </w:rPr>
      </w:pPr>
      <w:r w:rsidRPr="002872C7">
        <w:rPr>
          <w:b/>
          <w:bCs/>
          <w:lang w:val="en-CA"/>
        </w:rPr>
        <w:t>ORDERS</w:t>
      </w:r>
      <w:r w:rsidRPr="002872C7">
        <w:rPr>
          <w:lang w:val="en-CA"/>
        </w:rPr>
        <w:t xml:space="preserve"> that a new trial be held.</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AD231A" w:rsidRPr="00727080" w14:paraId="5DE73770" w14:textId="77777777" w:rsidTr="003E3239">
        <w:trPr>
          <w:trHeight w:val="576"/>
        </w:trPr>
        <w:tc>
          <w:tcPr>
            <w:tcW w:w="9362" w:type="dxa"/>
            <w:gridSpan w:val="3"/>
            <w:tcBorders>
              <w:top w:val="nil"/>
              <w:bottom w:val="nil"/>
            </w:tcBorders>
          </w:tcPr>
          <w:p w14:paraId="5DE7376D" w14:textId="77777777" w:rsidR="008F364A" w:rsidRPr="002872C7" w:rsidRDefault="008F364A">
            <w:pPr>
              <w:keepNext/>
              <w:rPr>
                <w:lang w:val="en-CA"/>
              </w:rPr>
            </w:pPr>
          </w:p>
          <w:p w14:paraId="5DE7376E" w14:textId="77777777" w:rsidR="00601369" w:rsidRPr="002872C7" w:rsidRDefault="00601369">
            <w:pPr>
              <w:keepNext/>
              <w:rPr>
                <w:lang w:val="en-CA"/>
              </w:rPr>
            </w:pPr>
          </w:p>
          <w:p w14:paraId="5DE7376F" w14:textId="77777777" w:rsidR="00601369" w:rsidRPr="002872C7" w:rsidRDefault="00601369">
            <w:pPr>
              <w:keepNext/>
              <w:rPr>
                <w:lang w:val="en-CA"/>
              </w:rPr>
            </w:pPr>
          </w:p>
        </w:tc>
      </w:tr>
      <w:tr w:rsidR="00AD231A" w:rsidRPr="00727080" w14:paraId="5DE73773" w14:textId="77777777" w:rsidTr="00117914">
        <w:trPr>
          <w:trHeight w:val="283"/>
        </w:trPr>
        <w:tc>
          <w:tcPr>
            <w:tcW w:w="4682" w:type="dxa"/>
            <w:gridSpan w:val="2"/>
            <w:tcBorders>
              <w:top w:val="nil"/>
              <w:bottom w:val="nil"/>
            </w:tcBorders>
          </w:tcPr>
          <w:p w14:paraId="5DE73771" w14:textId="77777777" w:rsidR="008F364A" w:rsidRPr="002872C7" w:rsidRDefault="008F364A">
            <w:pPr>
              <w:keepNext/>
              <w:rPr>
                <w:lang w:val="en-CA"/>
              </w:rPr>
            </w:pPr>
          </w:p>
        </w:tc>
        <w:tc>
          <w:tcPr>
            <w:tcW w:w="4680" w:type="dxa"/>
            <w:tcBorders>
              <w:top w:val="nil"/>
              <w:bottom w:val="single" w:sz="8" w:space="0" w:color="auto"/>
            </w:tcBorders>
          </w:tcPr>
          <w:p w14:paraId="5DE73772" w14:textId="77777777" w:rsidR="008F364A" w:rsidRPr="002872C7" w:rsidRDefault="008F364A">
            <w:pPr>
              <w:keepNext/>
              <w:rPr>
                <w:lang w:val="en-CA"/>
              </w:rPr>
            </w:pPr>
          </w:p>
        </w:tc>
      </w:tr>
      <w:tr w:rsidR="00AD231A" w:rsidRPr="002872C7" w14:paraId="5DE73776" w14:textId="77777777" w:rsidTr="00117914">
        <w:trPr>
          <w:trHeight w:val="283"/>
        </w:trPr>
        <w:tc>
          <w:tcPr>
            <w:tcW w:w="4682" w:type="dxa"/>
            <w:gridSpan w:val="2"/>
            <w:tcBorders>
              <w:top w:val="nil"/>
            </w:tcBorders>
          </w:tcPr>
          <w:p w14:paraId="5DE73774" w14:textId="77777777" w:rsidR="008F364A" w:rsidRPr="002872C7" w:rsidRDefault="008F364A">
            <w:pPr>
              <w:keepNext/>
              <w:rPr>
                <w:lang w:val="en-CA"/>
              </w:rPr>
            </w:pPr>
          </w:p>
        </w:tc>
        <w:tc>
          <w:tcPr>
            <w:tcW w:w="4680" w:type="dxa"/>
            <w:tcBorders>
              <w:top w:val="single" w:sz="8" w:space="0" w:color="auto"/>
            </w:tcBorders>
          </w:tcPr>
          <w:p w14:paraId="5DE73775" w14:textId="134CF131" w:rsidR="008F364A" w:rsidRPr="002872C7" w:rsidRDefault="006E5860">
            <w:pPr>
              <w:rPr>
                <w:lang w:val="en-CA"/>
              </w:rPr>
            </w:pPr>
            <w:r w:rsidRPr="006E5860">
              <w:rPr>
                <w:lang w:val="en-CA"/>
              </w:rPr>
              <w:t>JULIE DUTIL, J.A.</w:t>
            </w:r>
          </w:p>
        </w:tc>
      </w:tr>
      <w:tr w:rsidR="00AD231A" w:rsidRPr="002872C7" w14:paraId="5DE73779" w14:textId="77777777" w:rsidTr="00117914">
        <w:trPr>
          <w:trHeight w:val="283"/>
        </w:trPr>
        <w:tc>
          <w:tcPr>
            <w:tcW w:w="4682" w:type="dxa"/>
            <w:gridSpan w:val="2"/>
            <w:tcBorders>
              <w:top w:val="nil"/>
            </w:tcBorders>
          </w:tcPr>
          <w:p w14:paraId="5DE73777" w14:textId="77777777" w:rsidR="008F364A" w:rsidRPr="002872C7" w:rsidRDefault="008F364A">
            <w:pPr>
              <w:keepNext/>
              <w:rPr>
                <w:lang w:val="en-CA"/>
              </w:rPr>
            </w:pPr>
            <w:bookmarkStart w:id="10" w:name="Signature2"/>
          </w:p>
        </w:tc>
        <w:tc>
          <w:tcPr>
            <w:tcW w:w="4680" w:type="dxa"/>
            <w:tcBorders>
              <w:top w:val="nil"/>
            </w:tcBorders>
          </w:tcPr>
          <w:p w14:paraId="5DE73778" w14:textId="77777777" w:rsidR="008F364A" w:rsidRPr="002872C7" w:rsidRDefault="008F364A">
            <w:pPr>
              <w:keepNext/>
              <w:rPr>
                <w:lang w:val="en-CA"/>
              </w:rPr>
            </w:pPr>
          </w:p>
        </w:tc>
      </w:tr>
      <w:tr w:rsidR="00AD231A" w:rsidRPr="002872C7" w14:paraId="5DE7377C" w14:textId="77777777" w:rsidTr="00117914">
        <w:trPr>
          <w:trHeight w:val="283"/>
        </w:trPr>
        <w:tc>
          <w:tcPr>
            <w:tcW w:w="4682" w:type="dxa"/>
            <w:gridSpan w:val="2"/>
            <w:tcBorders>
              <w:top w:val="nil"/>
              <w:bottom w:val="nil"/>
            </w:tcBorders>
          </w:tcPr>
          <w:p w14:paraId="5DE7377A" w14:textId="77777777" w:rsidR="008F364A" w:rsidRPr="002872C7" w:rsidRDefault="008F364A">
            <w:pPr>
              <w:keepNext/>
              <w:rPr>
                <w:lang w:val="en-CA"/>
              </w:rPr>
            </w:pPr>
          </w:p>
        </w:tc>
        <w:tc>
          <w:tcPr>
            <w:tcW w:w="4680" w:type="dxa"/>
            <w:tcBorders>
              <w:top w:val="nil"/>
              <w:bottom w:val="single" w:sz="8" w:space="0" w:color="auto"/>
            </w:tcBorders>
          </w:tcPr>
          <w:p w14:paraId="5DE7377B" w14:textId="77777777" w:rsidR="008F364A" w:rsidRPr="002872C7" w:rsidRDefault="008F364A">
            <w:pPr>
              <w:keepNext/>
              <w:rPr>
                <w:lang w:val="en-CA"/>
              </w:rPr>
            </w:pPr>
          </w:p>
        </w:tc>
      </w:tr>
      <w:tr w:rsidR="00AD231A" w:rsidRPr="002872C7" w14:paraId="5DE7377F" w14:textId="77777777" w:rsidTr="00117914">
        <w:trPr>
          <w:trHeight w:val="283"/>
        </w:trPr>
        <w:tc>
          <w:tcPr>
            <w:tcW w:w="4682" w:type="dxa"/>
            <w:gridSpan w:val="2"/>
            <w:tcBorders>
              <w:top w:val="nil"/>
            </w:tcBorders>
          </w:tcPr>
          <w:p w14:paraId="5DE7377D" w14:textId="77777777" w:rsidR="008F364A" w:rsidRPr="002872C7" w:rsidRDefault="008F364A">
            <w:pPr>
              <w:keepNext/>
              <w:rPr>
                <w:lang w:val="en-CA"/>
              </w:rPr>
            </w:pPr>
          </w:p>
        </w:tc>
        <w:tc>
          <w:tcPr>
            <w:tcW w:w="4680" w:type="dxa"/>
            <w:tcBorders>
              <w:top w:val="single" w:sz="8" w:space="0" w:color="auto"/>
            </w:tcBorders>
          </w:tcPr>
          <w:p w14:paraId="5DE7377E" w14:textId="239C2B30" w:rsidR="008F364A" w:rsidRPr="002872C7" w:rsidRDefault="006E5860">
            <w:pPr>
              <w:keepNext/>
              <w:rPr>
                <w:lang w:val="en-CA"/>
              </w:rPr>
            </w:pPr>
            <w:r w:rsidRPr="006E5860">
              <w:rPr>
                <w:lang w:val="en-CA"/>
              </w:rPr>
              <w:t>SIMON RUEL, J.A.</w:t>
            </w:r>
          </w:p>
        </w:tc>
      </w:tr>
      <w:tr w:rsidR="00AD231A" w:rsidRPr="002872C7" w14:paraId="5DE73782" w14:textId="77777777" w:rsidTr="00117914">
        <w:trPr>
          <w:trHeight w:val="283"/>
        </w:trPr>
        <w:tc>
          <w:tcPr>
            <w:tcW w:w="4682" w:type="dxa"/>
            <w:gridSpan w:val="2"/>
            <w:tcBorders>
              <w:top w:val="nil"/>
            </w:tcBorders>
          </w:tcPr>
          <w:p w14:paraId="5DE73780" w14:textId="77777777" w:rsidR="008F364A" w:rsidRPr="002872C7" w:rsidRDefault="008F364A">
            <w:pPr>
              <w:keepNext/>
              <w:rPr>
                <w:lang w:val="en-CA"/>
              </w:rPr>
            </w:pPr>
            <w:bookmarkStart w:id="11" w:name="Signature3"/>
            <w:bookmarkEnd w:id="10"/>
          </w:p>
        </w:tc>
        <w:tc>
          <w:tcPr>
            <w:tcW w:w="4680" w:type="dxa"/>
            <w:tcBorders>
              <w:top w:val="nil"/>
            </w:tcBorders>
          </w:tcPr>
          <w:p w14:paraId="5DE73781" w14:textId="77777777" w:rsidR="008F364A" w:rsidRPr="002872C7" w:rsidRDefault="008F364A">
            <w:pPr>
              <w:keepNext/>
              <w:rPr>
                <w:lang w:val="en-CA"/>
              </w:rPr>
            </w:pPr>
          </w:p>
        </w:tc>
      </w:tr>
      <w:tr w:rsidR="00AD231A" w:rsidRPr="002872C7" w14:paraId="5DE73785" w14:textId="77777777" w:rsidTr="00117914">
        <w:trPr>
          <w:trHeight w:val="283"/>
        </w:trPr>
        <w:tc>
          <w:tcPr>
            <w:tcW w:w="4682" w:type="dxa"/>
            <w:gridSpan w:val="2"/>
            <w:tcBorders>
              <w:top w:val="nil"/>
              <w:bottom w:val="nil"/>
            </w:tcBorders>
          </w:tcPr>
          <w:p w14:paraId="5DE73783" w14:textId="77777777" w:rsidR="008F364A" w:rsidRPr="002872C7" w:rsidRDefault="008F364A">
            <w:pPr>
              <w:keepNext/>
              <w:rPr>
                <w:lang w:val="en-CA"/>
              </w:rPr>
            </w:pPr>
          </w:p>
        </w:tc>
        <w:tc>
          <w:tcPr>
            <w:tcW w:w="4680" w:type="dxa"/>
            <w:tcBorders>
              <w:top w:val="nil"/>
              <w:bottom w:val="single" w:sz="8" w:space="0" w:color="auto"/>
            </w:tcBorders>
          </w:tcPr>
          <w:p w14:paraId="5DE73784" w14:textId="77777777" w:rsidR="008F364A" w:rsidRPr="002872C7" w:rsidRDefault="008F364A">
            <w:pPr>
              <w:keepNext/>
              <w:rPr>
                <w:lang w:val="en-CA"/>
              </w:rPr>
            </w:pPr>
          </w:p>
        </w:tc>
      </w:tr>
      <w:tr w:rsidR="00AD231A" w:rsidRPr="002872C7" w14:paraId="5DE73788" w14:textId="77777777" w:rsidTr="00117914">
        <w:trPr>
          <w:trHeight w:val="283"/>
        </w:trPr>
        <w:tc>
          <w:tcPr>
            <w:tcW w:w="4682" w:type="dxa"/>
            <w:gridSpan w:val="2"/>
            <w:tcBorders>
              <w:top w:val="nil"/>
            </w:tcBorders>
          </w:tcPr>
          <w:p w14:paraId="5DE73786" w14:textId="77777777" w:rsidR="008F364A" w:rsidRPr="002872C7" w:rsidRDefault="008F364A">
            <w:pPr>
              <w:keepNext/>
              <w:rPr>
                <w:lang w:val="en-CA"/>
              </w:rPr>
            </w:pPr>
          </w:p>
        </w:tc>
        <w:tc>
          <w:tcPr>
            <w:tcW w:w="4680" w:type="dxa"/>
            <w:tcBorders>
              <w:top w:val="single" w:sz="8" w:space="0" w:color="auto"/>
            </w:tcBorders>
          </w:tcPr>
          <w:p w14:paraId="5DE73787" w14:textId="1B502B32" w:rsidR="008F364A" w:rsidRPr="002872C7" w:rsidRDefault="006E5860">
            <w:pPr>
              <w:keepNext/>
              <w:rPr>
                <w:lang w:val="en-CA"/>
              </w:rPr>
            </w:pPr>
            <w:r w:rsidRPr="006E5860">
              <w:rPr>
                <w:lang w:val="en-CA"/>
              </w:rPr>
              <w:t>SOPHIE LAVALLÉE, J.A.</w:t>
            </w:r>
          </w:p>
        </w:tc>
      </w:tr>
      <w:bookmarkEnd w:id="11"/>
      <w:tr w:rsidR="00AD231A" w:rsidRPr="002872C7" w14:paraId="5DE7378A" w14:textId="77777777" w:rsidTr="00423DF1">
        <w:tc>
          <w:tcPr>
            <w:tcW w:w="9362" w:type="dxa"/>
            <w:gridSpan w:val="3"/>
          </w:tcPr>
          <w:p w14:paraId="5DE73789" w14:textId="77777777" w:rsidR="005A78BF" w:rsidRPr="002872C7" w:rsidRDefault="005A78BF" w:rsidP="005A78BF">
            <w:pPr>
              <w:rPr>
                <w:lang w:val="en-CA"/>
              </w:rPr>
            </w:pPr>
          </w:p>
        </w:tc>
      </w:tr>
      <w:tr w:rsidR="00AD231A" w:rsidRPr="002872C7" w14:paraId="5DE7378C" w14:textId="77777777" w:rsidTr="00423DF1">
        <w:tc>
          <w:tcPr>
            <w:tcW w:w="9362" w:type="dxa"/>
            <w:gridSpan w:val="3"/>
          </w:tcPr>
          <w:p w14:paraId="5DE7378B" w14:textId="77777777" w:rsidR="005A78BF" w:rsidRPr="002872C7" w:rsidRDefault="00750A8F" w:rsidP="005A78BF">
            <w:pPr>
              <w:pStyle w:val="zSoquijdatNomProcureurDem"/>
              <w:rPr>
                <w:lang w:val="en-CA"/>
              </w:rPr>
            </w:pPr>
            <w:r w:rsidRPr="002872C7">
              <w:rPr>
                <w:lang w:val="en-CA"/>
              </w:rPr>
              <w:t>Mtre Maude Pagé-Arpin</w:t>
            </w:r>
          </w:p>
        </w:tc>
      </w:tr>
      <w:tr w:rsidR="00AD231A" w:rsidRPr="002872C7" w14:paraId="5DE7378E" w14:textId="77777777" w:rsidTr="00423DF1">
        <w:tc>
          <w:tcPr>
            <w:tcW w:w="9362" w:type="dxa"/>
            <w:gridSpan w:val="3"/>
          </w:tcPr>
          <w:p w14:paraId="5DE7378D" w14:textId="77777777" w:rsidR="005A78BF" w:rsidRPr="002872C7" w:rsidRDefault="00750A8F" w:rsidP="005A78BF">
            <w:pPr>
              <w:pStyle w:val="zSoquijdatCabinetProcureurDem"/>
              <w:rPr>
                <w:smallCaps/>
                <w:lang w:val="en-CA"/>
              </w:rPr>
            </w:pPr>
            <w:r w:rsidRPr="002872C7">
              <w:rPr>
                <w:smallCaps/>
                <w:lang w:val="en-CA"/>
              </w:rPr>
              <w:t>Latour, Dorval</w:t>
            </w:r>
          </w:p>
        </w:tc>
      </w:tr>
      <w:tr w:rsidR="00AD231A" w:rsidRPr="002872C7" w14:paraId="5DE73790" w14:textId="77777777" w:rsidTr="00423DF1">
        <w:tc>
          <w:tcPr>
            <w:tcW w:w="9362" w:type="dxa"/>
            <w:gridSpan w:val="3"/>
          </w:tcPr>
          <w:p w14:paraId="5DE7378F" w14:textId="77777777" w:rsidR="005A78BF" w:rsidRPr="002872C7" w:rsidRDefault="00750A8F" w:rsidP="005A78BF">
            <w:pPr>
              <w:pStyle w:val="zSoquijlblProcureurDem"/>
              <w:rPr>
                <w:lang w:val="en-CA"/>
              </w:rPr>
            </w:pPr>
            <w:r w:rsidRPr="002872C7">
              <w:rPr>
                <w:lang w:val="en-CA"/>
              </w:rPr>
              <w:t>For the appellant</w:t>
            </w:r>
          </w:p>
        </w:tc>
      </w:tr>
      <w:tr w:rsidR="00AD231A" w:rsidRPr="002872C7" w14:paraId="5DE73792" w14:textId="77777777" w:rsidTr="00423DF1">
        <w:tc>
          <w:tcPr>
            <w:tcW w:w="9362" w:type="dxa"/>
            <w:gridSpan w:val="3"/>
          </w:tcPr>
          <w:p w14:paraId="5DE73791" w14:textId="77777777" w:rsidR="005A78BF" w:rsidRPr="002872C7" w:rsidRDefault="005A78BF" w:rsidP="005A78BF">
            <w:pPr>
              <w:rPr>
                <w:lang w:val="en-CA"/>
              </w:rPr>
            </w:pPr>
          </w:p>
        </w:tc>
      </w:tr>
      <w:tr w:rsidR="00AD231A" w:rsidRPr="002872C7" w14:paraId="5DE73794" w14:textId="77777777" w:rsidTr="00423DF1">
        <w:tc>
          <w:tcPr>
            <w:tcW w:w="9362" w:type="dxa"/>
            <w:gridSpan w:val="3"/>
          </w:tcPr>
          <w:p w14:paraId="5DE73793" w14:textId="77777777" w:rsidR="005A78BF" w:rsidRPr="002872C7" w:rsidRDefault="00750A8F" w:rsidP="005A78BF">
            <w:pPr>
              <w:pStyle w:val="zSoquijdatNomProcureurDef"/>
              <w:rPr>
                <w:lang w:val="en-CA"/>
              </w:rPr>
            </w:pPr>
            <w:r w:rsidRPr="002872C7">
              <w:rPr>
                <w:lang w:val="en-CA"/>
              </w:rPr>
              <w:t>Mtre Maya Gold-Gosselin</w:t>
            </w:r>
          </w:p>
        </w:tc>
      </w:tr>
      <w:tr w:rsidR="00AD231A" w:rsidRPr="00727080" w14:paraId="5DE73796" w14:textId="77777777" w:rsidTr="00423DF1">
        <w:tc>
          <w:tcPr>
            <w:tcW w:w="9362" w:type="dxa"/>
            <w:gridSpan w:val="3"/>
          </w:tcPr>
          <w:p w14:paraId="5DE73795" w14:textId="77777777" w:rsidR="005A78BF" w:rsidRPr="002872C7" w:rsidRDefault="00750A8F" w:rsidP="005A78BF">
            <w:pPr>
              <w:pStyle w:val="zSoquijdatCabinetProcureurDef"/>
              <w:rPr>
                <w:smallCaps/>
                <w:lang w:val="en-CA"/>
              </w:rPr>
            </w:pPr>
            <w:r w:rsidRPr="002872C7">
              <w:rPr>
                <w:smallCaps/>
                <w:lang w:val="en-CA"/>
              </w:rPr>
              <w:t>Director of Criminal and Penal Prosecutions</w:t>
            </w:r>
          </w:p>
        </w:tc>
      </w:tr>
      <w:tr w:rsidR="00AD231A" w:rsidRPr="002872C7" w14:paraId="5DE73798" w14:textId="77777777" w:rsidTr="00423DF1">
        <w:tc>
          <w:tcPr>
            <w:tcW w:w="9362" w:type="dxa"/>
            <w:gridSpan w:val="3"/>
          </w:tcPr>
          <w:p w14:paraId="5DE73797" w14:textId="77777777" w:rsidR="005A78BF" w:rsidRPr="002872C7" w:rsidRDefault="00750A8F" w:rsidP="005A78BF">
            <w:pPr>
              <w:pStyle w:val="zSoquijlblProcureurDef"/>
              <w:rPr>
                <w:lang w:val="en-CA"/>
              </w:rPr>
            </w:pPr>
            <w:r w:rsidRPr="002872C7">
              <w:rPr>
                <w:lang w:val="en-CA"/>
              </w:rPr>
              <w:t>For the respondent</w:t>
            </w:r>
          </w:p>
        </w:tc>
      </w:tr>
      <w:tr w:rsidR="00AD231A" w:rsidRPr="002872C7" w14:paraId="5DE7379A" w14:textId="77777777" w:rsidTr="00423DF1">
        <w:tc>
          <w:tcPr>
            <w:tcW w:w="9362" w:type="dxa"/>
            <w:gridSpan w:val="3"/>
          </w:tcPr>
          <w:p w14:paraId="5DE73799" w14:textId="77777777" w:rsidR="005A78BF" w:rsidRPr="002872C7" w:rsidRDefault="005A78BF" w:rsidP="005A78BF">
            <w:pPr>
              <w:rPr>
                <w:lang w:val="en-CA"/>
              </w:rPr>
            </w:pPr>
          </w:p>
        </w:tc>
      </w:tr>
      <w:tr w:rsidR="00AD231A" w:rsidRPr="002872C7" w14:paraId="5DE7379D" w14:textId="77777777" w:rsidTr="00423DF1">
        <w:tc>
          <w:tcPr>
            <w:tcW w:w="1997" w:type="dxa"/>
          </w:tcPr>
          <w:p w14:paraId="5DE7379B" w14:textId="77777777" w:rsidR="005A78BF" w:rsidRPr="002872C7" w:rsidRDefault="00750A8F" w:rsidP="005A78BF">
            <w:pPr>
              <w:pStyle w:val="zSoquijlblDateAudience"/>
              <w:rPr>
                <w:lang w:val="en-CA"/>
              </w:rPr>
            </w:pPr>
            <w:r w:rsidRPr="002872C7">
              <w:rPr>
                <w:lang w:val="en-CA"/>
              </w:rPr>
              <w:t>Date of hearing:</w:t>
            </w:r>
          </w:p>
        </w:tc>
        <w:tc>
          <w:tcPr>
            <w:tcW w:w="7365" w:type="dxa"/>
            <w:gridSpan w:val="2"/>
          </w:tcPr>
          <w:p w14:paraId="5DE7379C" w14:textId="77777777" w:rsidR="005A78BF" w:rsidRPr="002872C7" w:rsidRDefault="00750A8F" w:rsidP="005A78BF">
            <w:pPr>
              <w:pStyle w:val="zSoquijdatDateAudience"/>
              <w:rPr>
                <w:lang w:val="en-CA"/>
              </w:rPr>
            </w:pPr>
            <w:r w:rsidRPr="002872C7">
              <w:rPr>
                <w:lang w:val="en-CA"/>
              </w:rPr>
              <w:t>October 21, 2024</w:t>
            </w:r>
          </w:p>
        </w:tc>
      </w:tr>
    </w:tbl>
    <w:p w14:paraId="5DE7379E" w14:textId="77777777" w:rsidR="00C21DAC" w:rsidRPr="002872C7" w:rsidRDefault="00C21DAC" w:rsidP="00C21DAC">
      <w:pPr>
        <w:rPr>
          <w:lang w:val="en-CA"/>
        </w:rPr>
      </w:pPr>
      <w:bookmarkStart w:id="12" w:name="Opinion"/>
      <w:bookmarkEnd w:id="8"/>
    </w:p>
    <w:p w14:paraId="5DE7379F" w14:textId="77777777" w:rsidR="00C21DAC" w:rsidRPr="002872C7" w:rsidRDefault="00C21DAC" w:rsidP="00C21DAC">
      <w:pPr>
        <w:rPr>
          <w:lang w:val="en-CA"/>
        </w:rPr>
      </w:pPr>
    </w:p>
    <w:p w14:paraId="5DE737A0" w14:textId="77777777" w:rsidR="00C21DAC" w:rsidRPr="002872C7" w:rsidRDefault="00C21DAC" w:rsidP="00C21DAC">
      <w:pPr>
        <w:rPr>
          <w:lang w:val="en-CA"/>
        </w:rPr>
        <w:sectPr w:rsidR="00C21DAC" w:rsidRPr="002872C7" w:rsidSect="000D243C">
          <w:headerReference w:type="default" r:id="rId8"/>
          <w:footerReference w:type="default" r:id="rId9"/>
          <w:footnotePr>
            <w:numRestart w:val="eachSect"/>
          </w:footnotePr>
          <w:pgSz w:w="12242" w:h="15842" w:code="1"/>
          <w:pgMar w:top="1440" w:right="1008" w:bottom="1440" w:left="1872" w:header="1440" w:footer="792" w:gutter="0"/>
          <w:cols w:space="720"/>
          <w:formProt w:val="0"/>
          <w:titlePg/>
          <w:docGrid w:linePitch="326"/>
        </w:sectPr>
      </w:pPr>
    </w:p>
    <w:tbl>
      <w:tblPr>
        <w:tblW w:w="0" w:type="auto"/>
        <w:tblLayout w:type="fixed"/>
        <w:tblCellMar>
          <w:left w:w="0" w:type="dxa"/>
          <w:right w:w="0" w:type="dxa"/>
        </w:tblCellMar>
        <w:tblLook w:val="0000" w:firstRow="0" w:lastRow="0" w:firstColumn="0" w:lastColumn="0" w:noHBand="0" w:noVBand="0"/>
      </w:tblPr>
      <w:tblGrid>
        <w:gridCol w:w="9360"/>
      </w:tblGrid>
      <w:tr w:rsidR="00AD231A" w:rsidRPr="002872C7" w14:paraId="5DE737A3" w14:textId="77777777" w:rsidTr="00F54E79">
        <w:tc>
          <w:tcPr>
            <w:tcW w:w="9360" w:type="dxa"/>
            <w:tcBorders>
              <w:bottom w:val="single" w:sz="8" w:space="0" w:color="auto"/>
            </w:tcBorders>
          </w:tcPr>
          <w:p w14:paraId="5DE737A1" w14:textId="77777777" w:rsidR="00C21DAC" w:rsidRPr="002872C7" w:rsidRDefault="00C21DAC" w:rsidP="00F54E79">
            <w:pPr>
              <w:rPr>
                <w:lang w:val="en-CA"/>
              </w:rPr>
            </w:pPr>
          </w:p>
          <w:p w14:paraId="5DE737A2" w14:textId="77777777" w:rsidR="00C21DAC" w:rsidRPr="002872C7" w:rsidRDefault="00C21DAC" w:rsidP="00F54E79">
            <w:pPr>
              <w:rPr>
                <w:lang w:val="en-CA"/>
              </w:rPr>
            </w:pPr>
          </w:p>
        </w:tc>
      </w:tr>
      <w:tr w:rsidR="00AD231A" w:rsidRPr="002872C7" w14:paraId="5DE737A5" w14:textId="77777777" w:rsidTr="00F54E79">
        <w:tc>
          <w:tcPr>
            <w:tcW w:w="9360" w:type="dxa"/>
            <w:tcBorders>
              <w:top w:val="single" w:sz="8" w:space="0" w:color="auto"/>
            </w:tcBorders>
          </w:tcPr>
          <w:p w14:paraId="5DE737A4" w14:textId="77777777" w:rsidR="00C21DAC" w:rsidRPr="002872C7" w:rsidRDefault="00C21DAC" w:rsidP="00F54E79">
            <w:pPr>
              <w:rPr>
                <w:lang w:val="en-CA"/>
              </w:rPr>
            </w:pPr>
          </w:p>
        </w:tc>
      </w:tr>
      <w:tr w:rsidR="00AD231A" w:rsidRPr="00727080" w14:paraId="5DE737A7" w14:textId="77777777" w:rsidTr="00F54E79">
        <w:tc>
          <w:tcPr>
            <w:tcW w:w="9360" w:type="dxa"/>
          </w:tcPr>
          <w:p w14:paraId="5DE737A6" w14:textId="1AD40013" w:rsidR="00C21DAC" w:rsidRPr="002872C7" w:rsidRDefault="009F0682" w:rsidP="00F54E79">
            <w:pPr>
              <w:pStyle w:val="zSoquijlblOpinionJuge"/>
              <w:rPr>
                <w:lang w:val="en-CA"/>
              </w:rPr>
            </w:pPr>
            <w:bookmarkStart w:id="13" w:name="MotifJuge2"/>
            <w:r>
              <w:rPr>
                <w:lang w:val="en-CA"/>
              </w:rPr>
              <w:t>REASONS OF RUEL, J.A.</w:t>
            </w:r>
            <w:bookmarkEnd w:id="13"/>
          </w:p>
        </w:tc>
      </w:tr>
      <w:tr w:rsidR="00AD231A" w:rsidRPr="00727080" w14:paraId="5DE737A9" w14:textId="77777777" w:rsidTr="00F54E79">
        <w:tc>
          <w:tcPr>
            <w:tcW w:w="9360" w:type="dxa"/>
            <w:tcBorders>
              <w:bottom w:val="single" w:sz="8" w:space="0" w:color="auto"/>
            </w:tcBorders>
          </w:tcPr>
          <w:p w14:paraId="5DE737A8" w14:textId="77777777" w:rsidR="00C21DAC" w:rsidRPr="002872C7" w:rsidRDefault="00C21DAC" w:rsidP="00F54E79">
            <w:pPr>
              <w:rPr>
                <w:lang w:val="en-CA"/>
              </w:rPr>
            </w:pPr>
          </w:p>
        </w:tc>
      </w:tr>
      <w:tr w:rsidR="00AD231A" w:rsidRPr="00727080" w14:paraId="5DE737AB" w14:textId="77777777" w:rsidTr="00F54E79">
        <w:tc>
          <w:tcPr>
            <w:tcW w:w="9360" w:type="dxa"/>
            <w:tcBorders>
              <w:top w:val="single" w:sz="8" w:space="0" w:color="auto"/>
            </w:tcBorders>
          </w:tcPr>
          <w:p w14:paraId="5DE737AA" w14:textId="77777777" w:rsidR="00601369" w:rsidRPr="002872C7" w:rsidRDefault="00601369" w:rsidP="00F54E79">
            <w:pPr>
              <w:rPr>
                <w:lang w:val="en-CA"/>
              </w:rPr>
            </w:pPr>
          </w:p>
        </w:tc>
      </w:tr>
    </w:tbl>
    <w:p w14:paraId="5DE737AC" w14:textId="77777777"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On June 11, 2018, the victim, Chloé Labrie, died of a traumatic brain injury caused by two firearm projectiles. She was found dead on the sofa in her home, her lower body undressed. A contraceptive ring was found near her, on the floor. The victim had suffered traumatic injuries to her vagina and anus.</w:t>
      </w:r>
    </w:p>
    <w:p w14:paraId="5DE737AD" w14:textId="77777777"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One of the projectiles that hit the victim was fired from outside the home, through the front door window, and the other from inside. The murder weapon was found near House #827 in Kuujjuaq.</w:t>
      </w:r>
    </w:p>
    <w:p w14:paraId="5DE737AE" w14:textId="77777777"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The appellant is a young Inuk man who is currently 26 years old. He was 20 at the time of the events.</w:t>
      </w:r>
    </w:p>
    <w:p w14:paraId="5DE737AF" w14:textId="1B35C698"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On the evening of the crime, the appellant and his wife, Elsie Kauki, attended a party at Michael Snowball</w:t>
      </w:r>
      <w:r w:rsidR="009E0591">
        <w:rPr>
          <w:rFonts w:cs="Arial"/>
          <w:szCs w:val="24"/>
          <w:lang w:val="en-CA"/>
        </w:rPr>
        <w:t>’</w:t>
      </w:r>
      <w:r w:rsidRPr="002872C7">
        <w:rPr>
          <w:rFonts w:cs="Arial"/>
          <w:szCs w:val="24"/>
          <w:lang w:val="en-CA"/>
        </w:rPr>
        <w:t xml:space="preserve">s home. During the evening, the appellant consumed half a bottle of vodka, some cannabis and possibly </w:t>
      </w:r>
      <w:r w:rsidRPr="00225574">
        <w:rPr>
          <w:rFonts w:cs="Arial"/>
          <w:szCs w:val="24"/>
          <w:lang w:val="en-CA"/>
        </w:rPr>
        <w:t>speed</w:t>
      </w:r>
      <w:r w:rsidRPr="002872C7">
        <w:rPr>
          <w:rFonts w:cs="Arial"/>
          <w:szCs w:val="24"/>
          <w:lang w:val="en-CA"/>
        </w:rPr>
        <w:t xml:space="preserve"> or cocaine. </w:t>
      </w:r>
      <w:r w:rsidR="005B6A02">
        <w:rPr>
          <w:rFonts w:cs="Arial"/>
          <w:szCs w:val="24"/>
          <w:lang w:val="en-CA"/>
        </w:rPr>
        <w:t>Ms. </w:t>
      </w:r>
      <w:r w:rsidRPr="002872C7">
        <w:rPr>
          <w:rFonts w:cs="Arial"/>
          <w:szCs w:val="24"/>
          <w:lang w:val="en-CA"/>
        </w:rPr>
        <w:t>Kauki testified, however, that she and the appellant were not intoxicated.</w:t>
      </w:r>
    </w:p>
    <w:p w14:paraId="5DE737B0" w14:textId="194E3B05"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 xml:space="preserve">At around 9 p.m., the appellant left </w:t>
      </w:r>
      <w:r w:rsidR="005B6A02">
        <w:rPr>
          <w:rFonts w:cs="Arial"/>
          <w:szCs w:val="24"/>
          <w:lang w:val="en-CA"/>
        </w:rPr>
        <w:t>Mr. </w:t>
      </w:r>
      <w:r w:rsidRPr="002872C7">
        <w:rPr>
          <w:rFonts w:cs="Arial"/>
          <w:szCs w:val="24"/>
          <w:lang w:val="en-CA"/>
        </w:rPr>
        <w:t>Snowball</w:t>
      </w:r>
      <w:r w:rsidR="009E0591">
        <w:rPr>
          <w:rFonts w:cs="Arial"/>
          <w:szCs w:val="24"/>
          <w:lang w:val="en-CA"/>
        </w:rPr>
        <w:t>’</w:t>
      </w:r>
      <w:r w:rsidRPr="002872C7">
        <w:rPr>
          <w:rFonts w:cs="Arial"/>
          <w:szCs w:val="24"/>
          <w:lang w:val="en-CA"/>
        </w:rPr>
        <w:t xml:space="preserve">s residence to go to his home to take a shower. At that time, he borrowed </w:t>
      </w:r>
      <w:r w:rsidR="005B6A02">
        <w:rPr>
          <w:rFonts w:cs="Arial"/>
          <w:szCs w:val="24"/>
          <w:lang w:val="en-CA"/>
        </w:rPr>
        <w:t>Ms. </w:t>
      </w:r>
      <w:r w:rsidRPr="002872C7">
        <w:rPr>
          <w:rFonts w:cs="Arial"/>
          <w:szCs w:val="24"/>
          <w:lang w:val="en-CA"/>
        </w:rPr>
        <w:t>Kauki</w:t>
      </w:r>
      <w:r w:rsidR="009E0591">
        <w:rPr>
          <w:rFonts w:cs="Arial"/>
          <w:szCs w:val="24"/>
          <w:lang w:val="en-CA"/>
        </w:rPr>
        <w:t>’</w:t>
      </w:r>
      <w:r w:rsidRPr="002872C7">
        <w:rPr>
          <w:rFonts w:cs="Arial"/>
          <w:szCs w:val="24"/>
          <w:lang w:val="en-CA"/>
        </w:rPr>
        <w:t xml:space="preserve">s car. He did not return until around midnight. A video recording was filed into evidence, in which a car that appears to be </w:t>
      </w:r>
      <w:r w:rsidR="005B6A02">
        <w:rPr>
          <w:rFonts w:cs="Arial"/>
          <w:szCs w:val="24"/>
          <w:lang w:val="en-CA"/>
        </w:rPr>
        <w:t>Ms. </w:t>
      </w:r>
      <w:r w:rsidRPr="002872C7">
        <w:rPr>
          <w:rFonts w:cs="Arial"/>
          <w:szCs w:val="24"/>
          <w:lang w:val="en-CA"/>
        </w:rPr>
        <w:t>Kauki</w:t>
      </w:r>
      <w:r w:rsidR="009E0591">
        <w:rPr>
          <w:rFonts w:cs="Arial"/>
          <w:szCs w:val="24"/>
          <w:lang w:val="en-CA"/>
        </w:rPr>
        <w:t>’</w:t>
      </w:r>
      <w:r w:rsidRPr="002872C7">
        <w:rPr>
          <w:rFonts w:cs="Arial"/>
          <w:szCs w:val="24"/>
          <w:lang w:val="en-CA"/>
        </w:rPr>
        <w:t xml:space="preserve">s is seen at 10:50 p.m. stopping close to where the murder weapon was found the next day. </w:t>
      </w:r>
    </w:p>
    <w:p w14:paraId="5DE737B1" w14:textId="0CD902BD"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 xml:space="preserve">The appellant and </w:t>
      </w:r>
      <w:r w:rsidR="005B6A02">
        <w:rPr>
          <w:rFonts w:cs="Arial"/>
          <w:szCs w:val="24"/>
          <w:lang w:val="en-CA"/>
        </w:rPr>
        <w:t>Ms. </w:t>
      </w:r>
      <w:r w:rsidRPr="002872C7">
        <w:rPr>
          <w:rFonts w:cs="Arial"/>
          <w:szCs w:val="24"/>
          <w:lang w:val="en-CA"/>
        </w:rPr>
        <w:t xml:space="preserve">Kauki returned home after the party at </w:t>
      </w:r>
      <w:r w:rsidR="005B6A02">
        <w:rPr>
          <w:rFonts w:cs="Arial"/>
          <w:szCs w:val="24"/>
          <w:lang w:val="en-CA"/>
        </w:rPr>
        <w:t>Mr. </w:t>
      </w:r>
      <w:r w:rsidRPr="002872C7">
        <w:rPr>
          <w:rFonts w:cs="Arial"/>
          <w:szCs w:val="24"/>
          <w:lang w:val="en-CA"/>
        </w:rPr>
        <w:t>Snowball</w:t>
      </w:r>
      <w:r w:rsidR="009E0591">
        <w:rPr>
          <w:rFonts w:cs="Arial"/>
          <w:szCs w:val="24"/>
          <w:lang w:val="en-CA"/>
        </w:rPr>
        <w:t>’</w:t>
      </w:r>
      <w:r w:rsidRPr="002872C7">
        <w:rPr>
          <w:rFonts w:cs="Arial"/>
          <w:szCs w:val="24"/>
          <w:lang w:val="en-CA"/>
        </w:rPr>
        <w:t xml:space="preserve">s house. </w:t>
      </w:r>
      <w:r w:rsidR="005B6A02">
        <w:rPr>
          <w:rFonts w:cs="Arial"/>
          <w:szCs w:val="24"/>
          <w:lang w:val="en-CA"/>
        </w:rPr>
        <w:t>Ms. </w:t>
      </w:r>
      <w:r w:rsidRPr="002872C7">
        <w:rPr>
          <w:rFonts w:cs="Arial"/>
          <w:szCs w:val="24"/>
          <w:lang w:val="en-CA"/>
        </w:rPr>
        <w:t>Kauki testified that, once the appellant was in bed, he confessed to her that he had killed someone.</w:t>
      </w:r>
    </w:p>
    <w:p w14:paraId="5DE737B2" w14:textId="77777777"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The appellant was arrested mid-afternoon on June 13, two days after the events. He was informed of his right to counsel, which he exercised. At around 6:30 p.m., officers Leblanc and Bonsant of the Sûreté du Québec, who had been dispatched to Kuujjuaq to investigate the murder, questioned the appellant. The appellant did not cooperate with the officers, and he repeatedly asserted his right to remain silent and asked to return to his cell. He was finally escorted back to his cell at around 8:10 p.m. and rested during the evening.</w:t>
      </w:r>
    </w:p>
    <w:p w14:paraId="5DE737B3" w14:textId="721D59BB"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 xml:space="preserve">Later, at around 10:55 p.m., Officer Filteau of the Kativik Regional Police Force, who knew the appellant and speaks Inuktitut, met with the appellant in his cell. He was </w:t>
      </w:r>
      <w:r w:rsidRPr="002872C7">
        <w:rPr>
          <w:rFonts w:cs="Arial"/>
          <w:szCs w:val="24"/>
          <w:lang w:val="en-CA"/>
        </w:rPr>
        <w:lastRenderedPageBreak/>
        <w:t xml:space="preserve">able to </w:t>
      </w:r>
      <w:r w:rsidR="00727080">
        <w:rPr>
          <w:rFonts w:cs="Arial"/>
          <w:szCs w:val="24"/>
          <w:lang w:val="en-CA"/>
        </w:rPr>
        <w:t>put the appellant at ease</w:t>
      </w:r>
      <w:r w:rsidRPr="002872C7">
        <w:rPr>
          <w:rFonts w:cs="Arial"/>
          <w:szCs w:val="24"/>
          <w:lang w:val="en-CA"/>
        </w:rPr>
        <w:t xml:space="preserve">. The latter made several incriminating statements to Officer Filteau. Officers Leblanc and Bonsant listened to the conversation from outside the cell, and Officer </w:t>
      </w:r>
      <w:proofErr w:type="spellStart"/>
      <w:r w:rsidRPr="002872C7">
        <w:rPr>
          <w:rFonts w:cs="Arial"/>
          <w:szCs w:val="24"/>
          <w:lang w:val="en-CA"/>
        </w:rPr>
        <w:t>Bonsant</w:t>
      </w:r>
      <w:proofErr w:type="spellEnd"/>
      <w:r w:rsidRPr="002872C7">
        <w:rPr>
          <w:rFonts w:cs="Arial"/>
          <w:szCs w:val="24"/>
          <w:lang w:val="en-CA"/>
        </w:rPr>
        <w:t xml:space="preserve"> </w:t>
      </w:r>
      <w:r w:rsidR="00727080">
        <w:rPr>
          <w:rFonts w:cs="Arial"/>
          <w:szCs w:val="24"/>
          <w:lang w:val="en-CA"/>
        </w:rPr>
        <w:t xml:space="preserve">jotted down </w:t>
      </w:r>
      <w:r w:rsidRPr="002872C7">
        <w:rPr>
          <w:rFonts w:cs="Arial"/>
          <w:szCs w:val="24"/>
          <w:lang w:val="en-CA"/>
        </w:rPr>
        <w:t>the appellant</w:t>
      </w:r>
      <w:r w:rsidR="009E0591">
        <w:rPr>
          <w:rFonts w:cs="Arial"/>
          <w:szCs w:val="24"/>
          <w:lang w:val="en-CA"/>
        </w:rPr>
        <w:t>’</w:t>
      </w:r>
      <w:r w:rsidRPr="002872C7">
        <w:rPr>
          <w:rFonts w:cs="Arial"/>
          <w:szCs w:val="24"/>
          <w:lang w:val="en-CA"/>
        </w:rPr>
        <w:t xml:space="preserve">s answers. A video recording of the meeting between the appellant and Officer Filteau exists but does not include an audio component. At the trial, officers Filteau, Leblanc and Bonsant recounted, with few variations, the incriminating statements made by the appellant in his cell. </w:t>
      </w:r>
    </w:p>
    <w:p w14:paraId="5DE737B4" w14:textId="77777777"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 xml:space="preserve">In essence, during his discussion with Officer Filteau, the appellant admitted that he had murdered Chloé Labrie. He was in a state of rage on the evening in question and wanted to kill someone. He stole a weapon from a shed and killed the victim at random. His victim could have been anyone. According to the appellant, she did not suffer. After killing the victim, he inserted his hand into her vagina and removed a contraceptive ring. He then threw the weapon away in the location where it was </w:t>
      </w:r>
      <w:proofErr w:type="gramStart"/>
      <w:r w:rsidRPr="002872C7">
        <w:rPr>
          <w:rFonts w:cs="Arial"/>
          <w:szCs w:val="24"/>
          <w:lang w:val="en-CA"/>
        </w:rPr>
        <w:t>actually found</w:t>
      </w:r>
      <w:proofErr w:type="gramEnd"/>
      <w:r w:rsidRPr="002872C7">
        <w:rPr>
          <w:rFonts w:cs="Arial"/>
          <w:szCs w:val="24"/>
          <w:lang w:val="en-CA"/>
        </w:rPr>
        <w:t xml:space="preserve">. The appellant told Officer Filteau that he was not drunk. </w:t>
      </w:r>
    </w:p>
    <w:p w14:paraId="5DE737B5" w14:textId="7156A986" w:rsidR="00C21DAC" w:rsidRPr="002872C7" w:rsidRDefault="00750A8F" w:rsidP="00676637">
      <w:pPr>
        <w:pStyle w:val="aParagraphe"/>
        <w:numPr>
          <w:ilvl w:val="0"/>
          <w:numId w:val="18"/>
        </w:numPr>
        <w:spacing w:line="280" w:lineRule="exact"/>
        <w:rPr>
          <w:rFonts w:cs="Arial"/>
          <w:szCs w:val="24"/>
          <w:lang w:val="en-CA"/>
        </w:rPr>
      </w:pPr>
      <w:r w:rsidRPr="002872C7">
        <w:rPr>
          <w:rFonts w:cs="Arial"/>
          <w:szCs w:val="24"/>
          <w:lang w:val="en-CA"/>
        </w:rPr>
        <w:t>The judge presiding over the trial ruled that the appellant</w:t>
      </w:r>
      <w:r w:rsidR="009E0591">
        <w:rPr>
          <w:rFonts w:cs="Arial"/>
          <w:szCs w:val="24"/>
          <w:lang w:val="en-CA"/>
        </w:rPr>
        <w:t>’</w:t>
      </w:r>
      <w:r w:rsidRPr="002872C7">
        <w:rPr>
          <w:rFonts w:cs="Arial"/>
          <w:szCs w:val="24"/>
          <w:lang w:val="en-CA"/>
        </w:rPr>
        <w:t>s statements to the police were admissible.</w:t>
      </w:r>
      <w:r w:rsidRPr="002872C7">
        <w:rPr>
          <w:rStyle w:val="Appelnotedebasdep"/>
          <w:rFonts w:cs="Arial"/>
          <w:szCs w:val="24"/>
          <w:lang w:val="en-CA"/>
        </w:rPr>
        <w:footnoteReference w:id="2"/>
      </w:r>
      <w:r w:rsidRPr="002872C7">
        <w:rPr>
          <w:rFonts w:cs="Arial"/>
          <w:szCs w:val="24"/>
          <w:lang w:val="en-CA"/>
        </w:rPr>
        <w:t xml:space="preserve"> DNA evidence was filed. DNA samples found on the appellant</w:t>
      </w:r>
      <w:r w:rsidR="009E0591">
        <w:rPr>
          <w:rFonts w:cs="Arial"/>
          <w:szCs w:val="24"/>
          <w:lang w:val="en-CA"/>
        </w:rPr>
        <w:t>’</w:t>
      </w:r>
      <w:r w:rsidRPr="002872C7">
        <w:rPr>
          <w:rFonts w:cs="Arial"/>
          <w:szCs w:val="24"/>
          <w:lang w:val="en-CA"/>
        </w:rPr>
        <w:t xml:space="preserve">s underwear and finger </w:t>
      </w:r>
      <w:proofErr w:type="gramStart"/>
      <w:r w:rsidRPr="002872C7">
        <w:rPr>
          <w:rFonts w:cs="Arial"/>
          <w:szCs w:val="24"/>
          <w:lang w:val="en-CA"/>
        </w:rPr>
        <w:t>were considered to be</w:t>
      </w:r>
      <w:proofErr w:type="gramEnd"/>
      <w:r w:rsidRPr="002872C7">
        <w:rPr>
          <w:rFonts w:cs="Arial"/>
          <w:szCs w:val="24"/>
          <w:lang w:val="en-CA"/>
        </w:rPr>
        <w:t xml:space="preserve"> compatible with the victim</w:t>
      </w:r>
      <w:r w:rsidR="009E0591">
        <w:rPr>
          <w:rFonts w:cs="Arial"/>
          <w:szCs w:val="24"/>
          <w:lang w:val="en-CA"/>
        </w:rPr>
        <w:t>’</w:t>
      </w:r>
      <w:r w:rsidRPr="002872C7">
        <w:rPr>
          <w:rFonts w:cs="Arial"/>
          <w:szCs w:val="24"/>
          <w:lang w:val="en-CA"/>
        </w:rPr>
        <w:t>s, with a very high probability.</w:t>
      </w:r>
    </w:p>
    <w:p w14:paraId="5DE737B6" w14:textId="787E8572"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 xml:space="preserve">The appellant testified at his trial. He stated that he had no recollection of the events that took place on the evening of the crime, starting at 10 p.m., nor of having made any incriminating statements to </w:t>
      </w:r>
      <w:r w:rsidR="005B6A02">
        <w:rPr>
          <w:rFonts w:cs="Arial"/>
          <w:szCs w:val="24"/>
          <w:lang w:val="en-CA"/>
        </w:rPr>
        <w:t>Ms. </w:t>
      </w:r>
      <w:r w:rsidRPr="002872C7">
        <w:rPr>
          <w:rFonts w:cs="Arial"/>
          <w:szCs w:val="24"/>
          <w:lang w:val="en-CA"/>
        </w:rPr>
        <w:t>Kauki or to Officer Filteau in his cell.</w:t>
      </w:r>
    </w:p>
    <w:p w14:paraId="5DE737B7" w14:textId="77777777" w:rsidR="00676637" w:rsidRPr="002872C7" w:rsidRDefault="00750A8F" w:rsidP="00676637">
      <w:pPr>
        <w:pStyle w:val="aParagraphe"/>
        <w:tabs>
          <w:tab w:val="clear" w:pos="720"/>
        </w:tabs>
        <w:spacing w:line="280" w:lineRule="exact"/>
        <w:jc w:val="center"/>
        <w:rPr>
          <w:rFonts w:cs="Arial"/>
          <w:szCs w:val="24"/>
          <w:lang w:val="en-CA"/>
        </w:rPr>
      </w:pPr>
      <w:r w:rsidRPr="002872C7">
        <w:rPr>
          <w:rFonts w:cs="Arial"/>
          <w:szCs w:val="24"/>
          <w:lang w:val="en-CA"/>
        </w:rPr>
        <w:t>***</w:t>
      </w:r>
    </w:p>
    <w:p w14:paraId="5DE737B8" w14:textId="153C51AB" w:rsidR="00607C35"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The appellant raises several grounds of appeal. I will focus on just one, which settles the outcome of the case – i.e., the sufficiency of the judge</w:t>
      </w:r>
      <w:r w:rsidR="009E0591">
        <w:rPr>
          <w:rFonts w:cs="Arial"/>
          <w:szCs w:val="24"/>
          <w:lang w:val="en-CA"/>
        </w:rPr>
        <w:t>’</w:t>
      </w:r>
      <w:r w:rsidRPr="002872C7">
        <w:rPr>
          <w:rFonts w:cs="Arial"/>
          <w:szCs w:val="24"/>
          <w:lang w:val="en-CA"/>
        </w:rPr>
        <w:t xml:space="preserve">s charge to the jury on the issue of planning and deliberation, which are essential elements of the offence of </w:t>
      </w:r>
      <w:proofErr w:type="gramStart"/>
      <w:r w:rsidRPr="002872C7">
        <w:rPr>
          <w:rFonts w:cs="Arial"/>
          <w:szCs w:val="24"/>
          <w:lang w:val="en-CA"/>
        </w:rPr>
        <w:t>first degree</w:t>
      </w:r>
      <w:proofErr w:type="gramEnd"/>
      <w:r w:rsidRPr="002872C7">
        <w:rPr>
          <w:rFonts w:cs="Arial"/>
          <w:szCs w:val="24"/>
          <w:lang w:val="en-CA"/>
        </w:rPr>
        <w:t xml:space="preserve"> murder under </w:t>
      </w:r>
      <w:r w:rsidR="005B6A02">
        <w:rPr>
          <w:rFonts w:cs="Arial"/>
          <w:szCs w:val="24"/>
          <w:lang w:val="en-CA"/>
        </w:rPr>
        <w:t>s. </w:t>
      </w:r>
      <w:r w:rsidRPr="002872C7">
        <w:rPr>
          <w:rFonts w:cs="Arial"/>
          <w:szCs w:val="24"/>
          <w:lang w:val="en-CA"/>
        </w:rPr>
        <w:t xml:space="preserve">231(2) of the </w:t>
      </w:r>
      <w:r w:rsidRPr="002872C7">
        <w:rPr>
          <w:rFonts w:cs="Arial"/>
          <w:i/>
          <w:iCs/>
          <w:szCs w:val="24"/>
          <w:lang w:val="en-CA"/>
        </w:rPr>
        <w:t>Criminal Code</w:t>
      </w:r>
      <w:r w:rsidRPr="002872C7">
        <w:rPr>
          <w:rFonts w:cs="Arial"/>
          <w:szCs w:val="24"/>
          <w:lang w:val="en-CA"/>
        </w:rPr>
        <w:t>.</w:t>
      </w:r>
      <w:r w:rsidRPr="002872C7">
        <w:rPr>
          <w:rStyle w:val="Appelnotedebasdep"/>
          <w:rFonts w:cs="Arial"/>
          <w:szCs w:val="24"/>
          <w:lang w:val="en-CA"/>
        </w:rPr>
        <w:footnoteReference w:id="3"/>
      </w:r>
      <w:r w:rsidRPr="002872C7">
        <w:rPr>
          <w:rFonts w:cs="Arial"/>
          <w:szCs w:val="24"/>
          <w:lang w:val="en-CA"/>
        </w:rPr>
        <w:t xml:space="preserve"> </w:t>
      </w:r>
    </w:p>
    <w:p w14:paraId="5DE737B9" w14:textId="24BCD87A"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It should be noted that the requirements of planning and deliberation do not have the exact same meaning and must coexist in order for a jury to make a finding of first degree murder.</w:t>
      </w:r>
      <w:r w:rsidRPr="002872C7">
        <w:rPr>
          <w:rStyle w:val="Appelnotedebasdep"/>
          <w:rFonts w:cs="Arial"/>
          <w:color w:val="000000" w:themeColor="text1"/>
          <w:szCs w:val="24"/>
          <w:lang w:val="en-CA"/>
        </w:rPr>
        <w:footnoteReference w:id="4"/>
      </w:r>
      <w:r w:rsidRPr="002872C7">
        <w:rPr>
          <w:rFonts w:cs="Arial"/>
          <w:szCs w:val="24"/>
          <w:lang w:val="en-CA"/>
        </w:rPr>
        <w:t xml:space="preserve"> </w:t>
      </w:r>
      <w:r w:rsidR="007D7DE5" w:rsidRPr="002872C7">
        <w:rPr>
          <w:rFonts w:cs="Arial"/>
          <w:color w:val="000000" w:themeColor="text1"/>
          <w:szCs w:val="24"/>
          <w:shd w:val="clear" w:color="auto" w:fill="FFFFFF"/>
          <w:lang w:val="en-CA"/>
        </w:rPr>
        <w:t xml:space="preserve">The notion of </w:t>
      </w:r>
      <w:r w:rsidR="009E0591">
        <w:rPr>
          <w:rFonts w:cs="Arial"/>
          <w:color w:val="000000" w:themeColor="text1"/>
          <w:szCs w:val="24"/>
          <w:shd w:val="clear" w:color="auto" w:fill="FFFFFF"/>
          <w:lang w:val="en-CA"/>
        </w:rPr>
        <w:t>“</w:t>
      </w:r>
      <w:r w:rsidR="007D7DE5" w:rsidRPr="002872C7">
        <w:rPr>
          <w:rFonts w:cs="Arial"/>
          <w:color w:val="000000" w:themeColor="text1"/>
          <w:szCs w:val="24"/>
          <w:shd w:val="clear" w:color="auto" w:fill="FFFFFF"/>
          <w:lang w:val="en-CA"/>
        </w:rPr>
        <w:t>planning</w:t>
      </w:r>
      <w:r w:rsidR="009E0591">
        <w:rPr>
          <w:rFonts w:cs="Arial"/>
          <w:color w:val="000000" w:themeColor="text1"/>
          <w:szCs w:val="24"/>
          <w:shd w:val="clear" w:color="auto" w:fill="FFFFFF"/>
          <w:lang w:val="en-CA"/>
        </w:rPr>
        <w:t>”</w:t>
      </w:r>
      <w:r w:rsidR="007D7DE5" w:rsidRPr="002872C7">
        <w:rPr>
          <w:rFonts w:cs="Arial"/>
          <w:color w:val="000000" w:themeColor="text1"/>
          <w:szCs w:val="24"/>
          <w:shd w:val="clear" w:color="auto" w:fill="FFFFFF"/>
          <w:lang w:val="en-CA"/>
        </w:rPr>
        <w:t xml:space="preserve"> refers to a calculated scheme or design that has been carefully thought out and whose nature and consequences have been considered and weighed before the scheme or design is carried out.</w:t>
      </w:r>
      <w:r w:rsidRPr="002872C7">
        <w:rPr>
          <w:rStyle w:val="Appelnotedebasdep"/>
          <w:rFonts w:cs="Arial"/>
          <w:color w:val="000000" w:themeColor="text1"/>
          <w:szCs w:val="24"/>
          <w:shd w:val="clear" w:color="auto" w:fill="FFFFFF"/>
          <w:lang w:val="en-CA"/>
        </w:rPr>
        <w:footnoteReference w:id="5"/>
      </w:r>
      <w:r w:rsidR="007D7DE5" w:rsidRPr="002872C7">
        <w:rPr>
          <w:rFonts w:cs="Arial"/>
          <w:color w:val="000000" w:themeColor="text1"/>
          <w:szCs w:val="24"/>
          <w:shd w:val="clear" w:color="auto" w:fill="FFFFFF"/>
          <w:lang w:val="en-CA"/>
        </w:rPr>
        <w:t xml:space="preserve"> The term </w:t>
      </w:r>
      <w:r w:rsidR="009E0591">
        <w:rPr>
          <w:rFonts w:cs="Arial"/>
          <w:color w:val="000000" w:themeColor="text1"/>
          <w:szCs w:val="24"/>
          <w:shd w:val="clear" w:color="auto" w:fill="FFFFFF"/>
          <w:lang w:val="en-CA"/>
        </w:rPr>
        <w:t>“</w:t>
      </w:r>
      <w:r w:rsidR="007D7DE5" w:rsidRPr="002872C7">
        <w:rPr>
          <w:rFonts w:cs="Arial"/>
          <w:color w:val="000000" w:themeColor="text1"/>
          <w:szCs w:val="24"/>
          <w:shd w:val="clear" w:color="auto" w:fill="FFFFFF"/>
          <w:lang w:val="en-CA"/>
        </w:rPr>
        <w:t>deliberate</w:t>
      </w:r>
      <w:r w:rsidR="009E0591">
        <w:rPr>
          <w:rFonts w:cs="Arial"/>
          <w:color w:val="000000" w:themeColor="text1"/>
          <w:szCs w:val="24"/>
          <w:shd w:val="clear" w:color="auto" w:fill="FFFFFF"/>
          <w:lang w:val="en-CA"/>
        </w:rPr>
        <w:t>”</w:t>
      </w:r>
      <w:r w:rsidR="007D7DE5" w:rsidRPr="002872C7">
        <w:rPr>
          <w:rFonts w:cs="Arial"/>
          <w:color w:val="000000" w:themeColor="text1"/>
          <w:szCs w:val="24"/>
          <w:shd w:val="clear" w:color="auto" w:fill="FFFFFF"/>
          <w:lang w:val="en-CA"/>
        </w:rPr>
        <w:t xml:space="preserve"> </w:t>
      </w:r>
      <w:r w:rsidR="007D7DE5" w:rsidRPr="002872C7">
        <w:rPr>
          <w:rFonts w:cs="Arial"/>
          <w:color w:val="000000" w:themeColor="text1"/>
          <w:szCs w:val="24"/>
          <w:shd w:val="clear" w:color="auto" w:fill="FFFFFF"/>
          <w:lang w:val="en-CA"/>
        </w:rPr>
        <w:lastRenderedPageBreak/>
        <w:t xml:space="preserve">presupposes that the murderer took the time to reflect on the </w:t>
      </w:r>
      <w:r w:rsidR="00727080">
        <w:rPr>
          <w:rFonts w:cs="Arial"/>
          <w:color w:val="000000" w:themeColor="text1"/>
          <w:szCs w:val="24"/>
          <w:shd w:val="clear" w:color="auto" w:fill="FFFFFF"/>
          <w:lang w:val="en-CA"/>
        </w:rPr>
        <w:t>ambit</w:t>
      </w:r>
      <w:r w:rsidR="007D7DE5" w:rsidRPr="002872C7">
        <w:rPr>
          <w:rFonts w:cs="Arial"/>
          <w:color w:val="000000" w:themeColor="text1"/>
          <w:szCs w:val="24"/>
          <w:shd w:val="clear" w:color="auto" w:fill="FFFFFF"/>
          <w:lang w:val="en-CA"/>
        </w:rPr>
        <w:t xml:space="preserve"> of his intended action, that he acted in a manner that was not impulsive.</w:t>
      </w:r>
      <w:r w:rsidRPr="002872C7">
        <w:rPr>
          <w:rStyle w:val="Appelnotedebasdep"/>
          <w:rFonts w:cs="Arial"/>
          <w:color w:val="000000" w:themeColor="text1"/>
          <w:szCs w:val="24"/>
          <w:shd w:val="clear" w:color="auto" w:fill="FFFFFF"/>
          <w:lang w:val="en-CA"/>
        </w:rPr>
        <w:footnoteReference w:id="6"/>
      </w:r>
      <w:r w:rsidR="007D7DE5" w:rsidRPr="002872C7">
        <w:rPr>
          <w:rFonts w:cs="Arial"/>
          <w:color w:val="000000" w:themeColor="text1"/>
          <w:szCs w:val="24"/>
          <w:shd w:val="clear" w:color="auto" w:fill="FFFFFF"/>
          <w:lang w:val="en-CA"/>
        </w:rPr>
        <w:t xml:space="preserve"> </w:t>
      </w:r>
    </w:p>
    <w:p w14:paraId="5DE737BA" w14:textId="75EB820F"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The judge</w:t>
      </w:r>
      <w:r w:rsidR="009E0591">
        <w:rPr>
          <w:rFonts w:cs="Arial"/>
          <w:szCs w:val="24"/>
          <w:lang w:val="en-CA"/>
        </w:rPr>
        <w:t>’</w:t>
      </w:r>
      <w:r w:rsidRPr="002872C7">
        <w:rPr>
          <w:rFonts w:cs="Arial"/>
          <w:szCs w:val="24"/>
          <w:lang w:val="en-CA"/>
        </w:rPr>
        <w:t xml:space="preserve">s instructions to the jury on the concepts of planning and deliberation are accurate in law. The appellant is not challenging this. </w:t>
      </w:r>
    </w:p>
    <w:p w14:paraId="5DE737BB" w14:textId="4C468C95" w:rsidR="00C21DAC" w:rsidRPr="002872C7" w:rsidRDefault="00750A8F" w:rsidP="00746321">
      <w:pPr>
        <w:pStyle w:val="aParagraphe"/>
        <w:numPr>
          <w:ilvl w:val="0"/>
          <w:numId w:val="18"/>
        </w:numPr>
        <w:spacing w:line="280" w:lineRule="exact"/>
        <w:rPr>
          <w:rFonts w:cs="Arial"/>
          <w:szCs w:val="24"/>
          <w:lang w:val="en-CA"/>
        </w:rPr>
      </w:pPr>
      <w:r w:rsidRPr="002872C7">
        <w:rPr>
          <w:rFonts w:cs="Arial"/>
          <w:szCs w:val="24"/>
          <w:lang w:val="en-CA"/>
        </w:rPr>
        <w:t>In addition to being legally accurate, however, the judge</w:t>
      </w:r>
      <w:r w:rsidR="009E0591">
        <w:rPr>
          <w:rFonts w:cs="Arial"/>
          <w:szCs w:val="24"/>
          <w:lang w:val="en-CA"/>
        </w:rPr>
        <w:t>’</w:t>
      </w:r>
      <w:r w:rsidRPr="002872C7">
        <w:rPr>
          <w:rFonts w:cs="Arial"/>
          <w:szCs w:val="24"/>
          <w:lang w:val="en-CA"/>
        </w:rPr>
        <w:t>s instructions to the jury must be sufficient.</w:t>
      </w:r>
      <w:r w:rsidRPr="002872C7">
        <w:rPr>
          <w:rStyle w:val="Appelnotedebasdep"/>
          <w:rFonts w:cs="Arial"/>
          <w:szCs w:val="24"/>
          <w:lang w:val="en-CA"/>
        </w:rPr>
        <w:footnoteReference w:id="7"/>
      </w:r>
      <w:r w:rsidRPr="002872C7">
        <w:rPr>
          <w:rFonts w:cs="Arial"/>
          <w:szCs w:val="24"/>
          <w:lang w:val="en-CA"/>
        </w:rPr>
        <w:t xml:space="preserve"> Indeed, a judge presiding a jury trial has </w:t>
      </w:r>
      <w:r w:rsidR="009E0591">
        <w:rPr>
          <w:rFonts w:cs="Arial"/>
          <w:szCs w:val="24"/>
          <w:lang w:val="en-CA"/>
        </w:rPr>
        <w:t>“</w:t>
      </w:r>
      <w:r w:rsidRPr="002872C7">
        <w:rPr>
          <w:rFonts w:cs="Arial"/>
          <w:szCs w:val="24"/>
          <w:lang w:val="en-CA"/>
        </w:rPr>
        <w:t>a general duty to inform the jury of the relevant evidence, and to assist the jury in linking that evidence to the issues that it must consider in reaching a verdict</w:t>
      </w:r>
      <w:r w:rsidR="009E0591">
        <w:rPr>
          <w:rFonts w:cs="Arial"/>
          <w:szCs w:val="24"/>
          <w:lang w:val="en-CA"/>
        </w:rPr>
        <w:t>”</w:t>
      </w:r>
      <w:r w:rsidRPr="002872C7">
        <w:rPr>
          <w:rFonts w:cs="Arial"/>
          <w:szCs w:val="24"/>
          <w:lang w:val="en-CA"/>
        </w:rPr>
        <w:t>.</w:t>
      </w:r>
      <w:r w:rsidRPr="002872C7">
        <w:rPr>
          <w:rStyle w:val="Appelnotedebasdep"/>
          <w:rFonts w:cs="Arial"/>
          <w:szCs w:val="24"/>
          <w:lang w:val="en-CA" w:eastAsia="fr-CA"/>
        </w:rPr>
        <w:footnoteReference w:id="8"/>
      </w:r>
      <w:r w:rsidRPr="002872C7">
        <w:rPr>
          <w:rFonts w:cs="Arial"/>
          <w:szCs w:val="24"/>
          <w:lang w:val="en-CA"/>
        </w:rPr>
        <w:t xml:space="preserve"> The charge to the jury does not always require an abundance of factual details; the level of detail will depend on the context.</w:t>
      </w:r>
      <w:r w:rsidRPr="002872C7">
        <w:rPr>
          <w:rStyle w:val="Appelnotedebasdep"/>
          <w:color w:val="000000"/>
          <w:szCs w:val="24"/>
          <w:lang w:val="en-CA"/>
        </w:rPr>
        <w:footnoteReference w:id="9"/>
      </w:r>
    </w:p>
    <w:p w14:paraId="5DE737BC" w14:textId="11F1E53B" w:rsidR="00C21DAC" w:rsidRPr="002872C7" w:rsidRDefault="00750A8F" w:rsidP="00746321">
      <w:pPr>
        <w:pStyle w:val="aParagraphe"/>
        <w:numPr>
          <w:ilvl w:val="0"/>
          <w:numId w:val="18"/>
        </w:numPr>
        <w:spacing w:line="280" w:lineRule="exact"/>
        <w:rPr>
          <w:rFonts w:cs="Arial"/>
          <w:szCs w:val="24"/>
          <w:lang w:val="en-CA"/>
        </w:rPr>
      </w:pPr>
      <w:r w:rsidRPr="002872C7">
        <w:rPr>
          <w:rFonts w:cs="Arial"/>
          <w:color w:val="000000"/>
          <w:szCs w:val="24"/>
          <w:lang w:val="en-CA"/>
        </w:rPr>
        <w:t>In the matter at hand, despite the judge</w:t>
      </w:r>
      <w:r w:rsidR="009E0591">
        <w:rPr>
          <w:rFonts w:cs="Arial"/>
          <w:color w:val="000000"/>
          <w:szCs w:val="24"/>
          <w:lang w:val="en-CA"/>
        </w:rPr>
        <w:t>’</w:t>
      </w:r>
      <w:r w:rsidRPr="002872C7">
        <w:rPr>
          <w:rFonts w:cs="Arial"/>
          <w:color w:val="000000"/>
          <w:szCs w:val="24"/>
          <w:lang w:val="en-CA"/>
        </w:rPr>
        <w:t xml:space="preserve">s meticulous work in the difficult context of a jury trial in a northern environment, I am of the view that, as regards the question of planning and deliberation, his instructions to the jury were insufficient. </w:t>
      </w:r>
    </w:p>
    <w:p w14:paraId="5DE737BD" w14:textId="2F2FCF83" w:rsidR="00C21DAC" w:rsidRPr="002872C7" w:rsidRDefault="00750A8F" w:rsidP="00746321">
      <w:pPr>
        <w:pStyle w:val="Paragraphe"/>
        <w:tabs>
          <w:tab w:val="clear" w:pos="720"/>
        </w:tabs>
        <w:spacing w:line="280" w:lineRule="exact"/>
        <w:rPr>
          <w:szCs w:val="24"/>
          <w:lang w:val="en-CA"/>
        </w:rPr>
      </w:pPr>
      <w:r w:rsidRPr="002872C7">
        <w:rPr>
          <w:szCs w:val="24"/>
          <w:lang w:val="en-CA"/>
        </w:rPr>
        <w:t xml:space="preserve">Indeed, in this </w:t>
      </w:r>
      <w:proofErr w:type="gramStart"/>
      <w:r w:rsidRPr="002872C7">
        <w:rPr>
          <w:szCs w:val="24"/>
          <w:lang w:val="en-CA"/>
        </w:rPr>
        <w:t>particular case</w:t>
      </w:r>
      <w:proofErr w:type="gramEnd"/>
      <w:r w:rsidRPr="002872C7">
        <w:rPr>
          <w:szCs w:val="24"/>
          <w:lang w:val="en-CA"/>
        </w:rPr>
        <w:t>, the judge</w:t>
      </w:r>
      <w:r w:rsidR="009E0591">
        <w:rPr>
          <w:szCs w:val="24"/>
          <w:lang w:val="en-CA"/>
        </w:rPr>
        <w:t>’</w:t>
      </w:r>
      <w:r w:rsidRPr="002872C7">
        <w:rPr>
          <w:szCs w:val="24"/>
          <w:lang w:val="en-CA"/>
        </w:rPr>
        <w:t>s failure to isolate the critical facts</w:t>
      </w:r>
      <w:r w:rsidRPr="002872C7">
        <w:rPr>
          <w:rStyle w:val="Appelnotedebasdep"/>
          <w:szCs w:val="24"/>
          <w:lang w:val="en-CA"/>
        </w:rPr>
        <w:footnoteReference w:id="10"/>
      </w:r>
      <w:r w:rsidRPr="002872C7">
        <w:rPr>
          <w:szCs w:val="24"/>
          <w:lang w:val="en-CA"/>
        </w:rPr>
        <w:t xml:space="preserve"> and relate them to the relevant legal criterion – that is, whether the murder was </w:t>
      </w:r>
      <w:r w:rsidR="009E0591">
        <w:rPr>
          <w:szCs w:val="24"/>
          <w:lang w:val="en-CA"/>
        </w:rPr>
        <w:t>“</w:t>
      </w:r>
      <w:r w:rsidRPr="002872C7">
        <w:rPr>
          <w:szCs w:val="24"/>
          <w:lang w:val="en-CA"/>
        </w:rPr>
        <w:t>planned and deliberate</w:t>
      </w:r>
      <w:r w:rsidR="009E0591">
        <w:rPr>
          <w:szCs w:val="24"/>
          <w:lang w:val="en-CA"/>
        </w:rPr>
        <w:t>”</w:t>
      </w:r>
      <w:r w:rsidRPr="002872C7">
        <w:rPr>
          <w:rStyle w:val="Appelnotedebasdep"/>
          <w:szCs w:val="24"/>
          <w:lang w:val="en-CA"/>
        </w:rPr>
        <w:footnoteReference w:id="11"/>
      </w:r>
      <w:r w:rsidRPr="002872C7">
        <w:rPr>
          <w:szCs w:val="24"/>
          <w:lang w:val="en-CA"/>
        </w:rPr>
        <w:t xml:space="preserve"> – constitutes a legal error.</w:t>
      </w:r>
      <w:r w:rsidRPr="002872C7">
        <w:rPr>
          <w:rStyle w:val="Appelnotedebasdep"/>
          <w:rFonts w:cs="Arial"/>
          <w:szCs w:val="24"/>
          <w:lang w:val="en-CA"/>
        </w:rPr>
        <w:footnoteReference w:id="12"/>
      </w:r>
    </w:p>
    <w:p w14:paraId="5DE737BE" w14:textId="77777777" w:rsidR="00C21DAC" w:rsidRPr="002872C7" w:rsidRDefault="00750A8F" w:rsidP="00746321">
      <w:pPr>
        <w:pStyle w:val="Paragraphe"/>
        <w:tabs>
          <w:tab w:val="clear" w:pos="720"/>
        </w:tabs>
        <w:spacing w:line="280" w:lineRule="exact"/>
        <w:rPr>
          <w:szCs w:val="24"/>
          <w:lang w:val="en-CA"/>
        </w:rPr>
      </w:pPr>
      <w:r w:rsidRPr="002872C7">
        <w:rPr>
          <w:color w:val="000000"/>
          <w:szCs w:val="24"/>
          <w:lang w:val="en-CA"/>
        </w:rPr>
        <w:t>In my opinion, because of this error, the jury was not properly equipped to decide whether the crime was planned and deliberate, which had the potential to elevate the murder from second degree to first degree, with very significant consequences for the appellant.</w:t>
      </w:r>
      <w:r w:rsidRPr="002872C7">
        <w:rPr>
          <w:rStyle w:val="Appelnotedebasdep"/>
          <w:rFonts w:cs="Arial"/>
          <w:szCs w:val="24"/>
          <w:lang w:val="en-CA"/>
        </w:rPr>
        <w:footnoteReference w:id="13"/>
      </w:r>
    </w:p>
    <w:p w14:paraId="5DE737BF" w14:textId="77777777" w:rsidR="002E7EAB" w:rsidRPr="002872C7" w:rsidRDefault="00750A8F" w:rsidP="00676637">
      <w:pPr>
        <w:pStyle w:val="aParagraphe"/>
        <w:numPr>
          <w:ilvl w:val="0"/>
          <w:numId w:val="18"/>
        </w:numPr>
        <w:spacing w:line="280" w:lineRule="exact"/>
        <w:rPr>
          <w:rFonts w:cs="Arial"/>
          <w:szCs w:val="24"/>
          <w:lang w:val="en-CA"/>
        </w:rPr>
      </w:pPr>
      <w:r w:rsidRPr="002872C7">
        <w:rPr>
          <w:rFonts w:cs="Arial"/>
          <w:szCs w:val="24"/>
          <w:lang w:val="en-CA"/>
        </w:rPr>
        <w:t>If the jury found that murder had been committed,</w:t>
      </w:r>
      <w:r w:rsidRPr="002872C7">
        <w:rPr>
          <w:rStyle w:val="Appelnotedebasdep"/>
          <w:rFonts w:cs="Arial"/>
          <w:szCs w:val="24"/>
          <w:lang w:val="en-CA"/>
        </w:rPr>
        <w:footnoteReference w:id="14"/>
      </w:r>
      <w:r w:rsidRPr="002872C7">
        <w:rPr>
          <w:rFonts w:cs="Arial"/>
          <w:szCs w:val="24"/>
          <w:lang w:val="en-CA"/>
        </w:rPr>
        <w:t xml:space="preserve"> then the central issue of the case, according to the prosecution, was whether, based on proof beyond a reasonable doubt, it was planned and deliberate, </w:t>
      </w:r>
      <w:proofErr w:type="gramStart"/>
      <w:r w:rsidRPr="002872C7">
        <w:rPr>
          <w:rFonts w:cs="Arial"/>
          <w:szCs w:val="24"/>
          <w:lang w:val="en-CA"/>
        </w:rPr>
        <w:t>so as to</w:t>
      </w:r>
      <w:proofErr w:type="gramEnd"/>
      <w:r w:rsidRPr="002872C7">
        <w:rPr>
          <w:rFonts w:cs="Arial"/>
          <w:szCs w:val="24"/>
          <w:lang w:val="en-CA"/>
        </w:rPr>
        <w:t xml:space="preserve"> lead to a finding that it was first degree murder.</w:t>
      </w:r>
    </w:p>
    <w:p w14:paraId="5DE737C0" w14:textId="1B496406" w:rsidR="00C21DAC" w:rsidRPr="002872C7" w:rsidRDefault="00750A8F" w:rsidP="00746321">
      <w:pPr>
        <w:pStyle w:val="aParagraphe"/>
        <w:numPr>
          <w:ilvl w:val="0"/>
          <w:numId w:val="18"/>
        </w:numPr>
        <w:spacing w:line="280" w:lineRule="exact"/>
        <w:rPr>
          <w:rFonts w:cs="Arial"/>
          <w:szCs w:val="24"/>
          <w:lang w:val="en-CA"/>
        </w:rPr>
      </w:pPr>
      <w:proofErr w:type="gramStart"/>
      <w:r w:rsidRPr="002872C7">
        <w:rPr>
          <w:rFonts w:cs="Arial"/>
          <w:szCs w:val="24"/>
          <w:lang w:val="en-CA"/>
        </w:rPr>
        <w:t>With regard to</w:t>
      </w:r>
      <w:proofErr w:type="gramEnd"/>
      <w:r w:rsidRPr="002872C7">
        <w:rPr>
          <w:rFonts w:cs="Arial"/>
          <w:szCs w:val="24"/>
          <w:lang w:val="en-CA"/>
        </w:rPr>
        <w:t xml:space="preserve"> the link between the evidence and the planning and deliberation </w:t>
      </w:r>
      <w:r w:rsidR="00BC5CD9">
        <w:rPr>
          <w:rFonts w:cs="Arial"/>
          <w:szCs w:val="24"/>
          <w:lang w:val="en-CA"/>
        </w:rPr>
        <w:t xml:space="preserve">required </w:t>
      </w:r>
      <w:r w:rsidRPr="002872C7">
        <w:rPr>
          <w:rFonts w:cs="Arial"/>
          <w:szCs w:val="24"/>
          <w:lang w:val="en-CA"/>
        </w:rPr>
        <w:t xml:space="preserve">for first degree murder, the instructions were limited to telling the jury (1) that it should consider all of the evidence and (2) that a certain degree of intoxication could be </w:t>
      </w:r>
      <w:r w:rsidRPr="002872C7">
        <w:rPr>
          <w:rFonts w:cs="Arial"/>
          <w:szCs w:val="24"/>
          <w:lang w:val="en-CA"/>
        </w:rPr>
        <w:lastRenderedPageBreak/>
        <w:t>sufficient to negate the planned and deliberate nature of the murder. In my opinion, these instructions were insufficient.</w:t>
      </w:r>
    </w:p>
    <w:p w14:paraId="5DE737C2" w14:textId="1EB1A17A" w:rsidR="00E6162A" w:rsidRPr="002872C7" w:rsidRDefault="00750A8F" w:rsidP="00746321">
      <w:pPr>
        <w:pStyle w:val="Paragraphe"/>
        <w:spacing w:line="280" w:lineRule="exact"/>
        <w:rPr>
          <w:szCs w:val="24"/>
          <w:lang w:val="en-CA"/>
        </w:rPr>
      </w:pPr>
      <w:r w:rsidRPr="002872C7">
        <w:rPr>
          <w:szCs w:val="24"/>
          <w:lang w:val="en-CA"/>
        </w:rPr>
        <w:t>The following elements could support the prosecution</w:t>
      </w:r>
      <w:r w:rsidR="009E0591">
        <w:rPr>
          <w:szCs w:val="24"/>
          <w:lang w:val="en-CA"/>
        </w:rPr>
        <w:t>’</w:t>
      </w:r>
      <w:r w:rsidRPr="002872C7">
        <w:rPr>
          <w:szCs w:val="24"/>
          <w:lang w:val="en-CA"/>
        </w:rPr>
        <w:t>s argument on the issue of planning and deliberation: evidence of at least a minimal plan, including the theft of the weapon from a shed; the particular circumstances of the murder, including the fact that the killer targeted his victim by firing a precise shot at her head from outside the house through the window near the door, that the door to the house was subsequently broken down and that a second shot was fired at the victim</w:t>
      </w:r>
      <w:r w:rsidR="009E0591">
        <w:rPr>
          <w:szCs w:val="24"/>
          <w:lang w:val="en-CA"/>
        </w:rPr>
        <w:t>’</w:t>
      </w:r>
      <w:r w:rsidRPr="002872C7">
        <w:rPr>
          <w:szCs w:val="24"/>
          <w:lang w:val="en-CA"/>
        </w:rPr>
        <w:t xml:space="preserve">s head; </w:t>
      </w:r>
      <w:r w:rsidR="00C61683">
        <w:rPr>
          <w:szCs w:val="24"/>
          <w:lang w:val="en-CA"/>
        </w:rPr>
        <w:t xml:space="preserve">and </w:t>
      </w:r>
      <w:r w:rsidRPr="002872C7">
        <w:rPr>
          <w:szCs w:val="24"/>
          <w:lang w:val="en-CA"/>
        </w:rPr>
        <w:t>the appellant</w:t>
      </w:r>
      <w:r w:rsidR="009E0591">
        <w:rPr>
          <w:szCs w:val="24"/>
          <w:lang w:val="en-CA"/>
        </w:rPr>
        <w:t>’</w:t>
      </w:r>
      <w:r w:rsidRPr="002872C7">
        <w:rPr>
          <w:szCs w:val="24"/>
          <w:lang w:val="en-CA"/>
        </w:rPr>
        <w:t>s extrajudicial admissions that he prepared for the offence by stealing a weapon and actively looking for a target.</w:t>
      </w:r>
    </w:p>
    <w:p w14:paraId="5DE737C3" w14:textId="25C5F286" w:rsidR="00607C35" w:rsidRPr="002872C7" w:rsidRDefault="00750A8F" w:rsidP="00746321">
      <w:pPr>
        <w:pStyle w:val="Paragraphe"/>
        <w:spacing w:line="280" w:lineRule="exact"/>
        <w:rPr>
          <w:szCs w:val="24"/>
          <w:lang w:val="en-CA"/>
        </w:rPr>
      </w:pPr>
      <w:r w:rsidRPr="002872C7">
        <w:rPr>
          <w:szCs w:val="24"/>
          <w:lang w:val="en-CA"/>
        </w:rPr>
        <w:t>As for evidence that could raise a reasonable doubt on the issue of planning and deliberation, the judge rightly mentioned the question of intoxication. That is, even if the jury rejected the defence of intoxication to negate the specific intent required for murder, the evidence of intoxication and its degree could have affected the additional requirements for first degree murder.</w:t>
      </w:r>
      <w:r w:rsidRPr="002872C7">
        <w:rPr>
          <w:rStyle w:val="Appelnotedebasdep"/>
          <w:szCs w:val="24"/>
          <w:lang w:val="en-CA"/>
        </w:rPr>
        <w:footnoteReference w:id="15"/>
      </w:r>
    </w:p>
    <w:p w14:paraId="5DE737C4" w14:textId="7BC98819" w:rsidR="00C21DAC" w:rsidRPr="002872C7" w:rsidRDefault="00030A07" w:rsidP="00746321">
      <w:pPr>
        <w:pStyle w:val="Paragraphe"/>
        <w:spacing w:line="280" w:lineRule="exact"/>
        <w:rPr>
          <w:szCs w:val="24"/>
          <w:lang w:val="en-CA"/>
        </w:rPr>
      </w:pPr>
      <w:r>
        <w:rPr>
          <w:szCs w:val="24"/>
          <w:lang w:val="en-CA"/>
        </w:rPr>
        <w:t>T</w:t>
      </w:r>
      <w:r w:rsidR="00750A8F" w:rsidRPr="002872C7">
        <w:rPr>
          <w:szCs w:val="24"/>
          <w:lang w:val="en-CA"/>
        </w:rPr>
        <w:t xml:space="preserve">he following elements, </w:t>
      </w:r>
      <w:r>
        <w:rPr>
          <w:szCs w:val="24"/>
          <w:lang w:val="en-CA"/>
        </w:rPr>
        <w:t xml:space="preserve">however, </w:t>
      </w:r>
      <w:r w:rsidR="00750A8F" w:rsidRPr="002872C7">
        <w:rPr>
          <w:szCs w:val="24"/>
          <w:lang w:val="en-CA"/>
        </w:rPr>
        <w:t xml:space="preserve">which the judge did not mention, were also relevant to the question of whether the murder was planned and deliberate: </w:t>
      </w:r>
      <w:r w:rsidR="00FF4998">
        <w:rPr>
          <w:szCs w:val="24"/>
          <w:lang w:val="en-CA"/>
        </w:rPr>
        <w:t xml:space="preserve">the fact that </w:t>
      </w:r>
      <w:r w:rsidR="00750A8F" w:rsidRPr="002872C7">
        <w:rPr>
          <w:szCs w:val="24"/>
          <w:lang w:val="en-CA"/>
        </w:rPr>
        <w:t xml:space="preserve">the appellant had no prior knowledge of the victim; </w:t>
      </w:r>
      <w:r w:rsidR="00FF4998">
        <w:rPr>
          <w:szCs w:val="24"/>
          <w:lang w:val="en-CA"/>
        </w:rPr>
        <w:t xml:space="preserve">the fact that </w:t>
      </w:r>
      <w:r w:rsidR="00750A8F" w:rsidRPr="002872C7">
        <w:rPr>
          <w:szCs w:val="24"/>
          <w:lang w:val="en-CA"/>
        </w:rPr>
        <w:t>he had no apparent motive for committing the crime; the short duration of the appellant</w:t>
      </w:r>
      <w:r w:rsidR="009E0591">
        <w:rPr>
          <w:szCs w:val="24"/>
          <w:lang w:val="en-CA"/>
        </w:rPr>
        <w:t>’</w:t>
      </w:r>
      <w:r w:rsidR="00750A8F" w:rsidRPr="002872C7">
        <w:rPr>
          <w:szCs w:val="24"/>
          <w:lang w:val="en-CA"/>
        </w:rPr>
        <w:t xml:space="preserve">s absence from </w:t>
      </w:r>
      <w:r w:rsidR="005B6A02">
        <w:rPr>
          <w:szCs w:val="24"/>
          <w:lang w:val="en-CA"/>
        </w:rPr>
        <w:t>Mr. </w:t>
      </w:r>
      <w:r w:rsidR="00750A8F" w:rsidRPr="002872C7">
        <w:rPr>
          <w:szCs w:val="24"/>
          <w:lang w:val="en-CA"/>
        </w:rPr>
        <w:t>Snowball</w:t>
      </w:r>
      <w:r w:rsidR="009E0591">
        <w:rPr>
          <w:szCs w:val="24"/>
          <w:lang w:val="en-CA"/>
        </w:rPr>
        <w:t>’</w:t>
      </w:r>
      <w:r w:rsidR="00750A8F" w:rsidRPr="002872C7">
        <w:rPr>
          <w:szCs w:val="24"/>
          <w:lang w:val="en-CA"/>
        </w:rPr>
        <w:t xml:space="preserve">s home during the time the crime was committed, which </w:t>
      </w:r>
      <w:r w:rsidR="00FF4998">
        <w:rPr>
          <w:szCs w:val="24"/>
          <w:lang w:val="en-CA"/>
        </w:rPr>
        <w:t xml:space="preserve">might </w:t>
      </w:r>
      <w:r w:rsidR="00750A8F" w:rsidRPr="002872C7">
        <w:rPr>
          <w:szCs w:val="24"/>
          <w:lang w:val="en-CA"/>
        </w:rPr>
        <w:t xml:space="preserve">raise doubts about the implementation of a genuine scheme or design; </w:t>
      </w:r>
      <w:r w:rsidR="00FF4998">
        <w:rPr>
          <w:szCs w:val="24"/>
          <w:lang w:val="en-CA"/>
        </w:rPr>
        <w:t xml:space="preserve">and </w:t>
      </w:r>
      <w:r w:rsidR="00750A8F" w:rsidRPr="002872C7">
        <w:rPr>
          <w:szCs w:val="24"/>
          <w:lang w:val="en-CA"/>
        </w:rPr>
        <w:t>the appellant</w:t>
      </w:r>
      <w:r w:rsidR="009E0591">
        <w:rPr>
          <w:szCs w:val="24"/>
          <w:lang w:val="en-CA"/>
        </w:rPr>
        <w:t>’</w:t>
      </w:r>
      <w:r w:rsidR="00750A8F" w:rsidRPr="002872C7">
        <w:rPr>
          <w:szCs w:val="24"/>
          <w:lang w:val="en-CA"/>
        </w:rPr>
        <w:t>s statements to the police, which could have led one to believe that his actions were the result of a destructive impulse, rather than a thought out and considered process of planning and deliberation.</w:t>
      </w:r>
    </w:p>
    <w:p w14:paraId="5DE737C5" w14:textId="3EF3EC67" w:rsidR="00C21DAC" w:rsidRPr="002872C7" w:rsidRDefault="00750A8F" w:rsidP="00746321">
      <w:pPr>
        <w:pStyle w:val="Paragraphe"/>
        <w:spacing w:line="280" w:lineRule="exact"/>
        <w:rPr>
          <w:szCs w:val="24"/>
          <w:lang w:val="en-CA"/>
        </w:rPr>
      </w:pPr>
      <w:r w:rsidRPr="002872C7">
        <w:rPr>
          <w:szCs w:val="24"/>
          <w:lang w:val="en-CA"/>
        </w:rPr>
        <w:t>In my opinion, the judge also erred in his instructions by failing to caution the jury that the appellant</w:t>
      </w:r>
      <w:r w:rsidR="009E0591">
        <w:rPr>
          <w:szCs w:val="24"/>
          <w:lang w:val="en-CA"/>
        </w:rPr>
        <w:t>’</w:t>
      </w:r>
      <w:r w:rsidRPr="002872C7">
        <w:rPr>
          <w:szCs w:val="24"/>
          <w:lang w:val="en-CA"/>
        </w:rPr>
        <w:t xml:space="preserve">s statement to </w:t>
      </w:r>
      <w:r w:rsidR="005B6A02">
        <w:rPr>
          <w:szCs w:val="24"/>
          <w:lang w:val="en-CA"/>
        </w:rPr>
        <w:t>Ms. </w:t>
      </w:r>
      <w:r w:rsidRPr="002872C7">
        <w:rPr>
          <w:szCs w:val="24"/>
          <w:lang w:val="en-CA"/>
        </w:rPr>
        <w:t xml:space="preserve">Kauki was not relevant to the issue of whether the murder was planned and deliberate. The appellant told </w:t>
      </w:r>
      <w:r w:rsidR="005B6A02">
        <w:rPr>
          <w:szCs w:val="24"/>
          <w:lang w:val="en-CA"/>
        </w:rPr>
        <w:t>Ms. </w:t>
      </w:r>
      <w:r w:rsidRPr="002872C7">
        <w:rPr>
          <w:szCs w:val="24"/>
          <w:lang w:val="en-CA"/>
        </w:rPr>
        <w:t>Kauki that he had killed someone, without offering any further details. This statement by the appellant, if not properly framed, was potentially highly prejudicial to him. Indeed, its content is irrelevant to the issue of planning and deliberation. The trial judge</w:t>
      </w:r>
      <w:r w:rsidR="009E0591">
        <w:rPr>
          <w:szCs w:val="24"/>
          <w:lang w:val="en-CA"/>
        </w:rPr>
        <w:t>’</w:t>
      </w:r>
      <w:r w:rsidRPr="002872C7">
        <w:rPr>
          <w:szCs w:val="24"/>
          <w:lang w:val="en-CA"/>
        </w:rPr>
        <w:t>s instructions were not specific enough in explaining to the jury the narrower basis for which they could use this piece of evidence.</w:t>
      </w:r>
      <w:r w:rsidRPr="002872C7">
        <w:rPr>
          <w:rStyle w:val="Appelnotedebasdep"/>
          <w:rFonts w:cs="Arial"/>
          <w:szCs w:val="24"/>
          <w:lang w:val="en-CA"/>
        </w:rPr>
        <w:footnoteReference w:id="16"/>
      </w:r>
    </w:p>
    <w:p w14:paraId="5DE737C6" w14:textId="1D542311" w:rsidR="009B78FB" w:rsidRPr="002872C7" w:rsidRDefault="00750A8F" w:rsidP="00746321">
      <w:pPr>
        <w:pStyle w:val="Paragraphe"/>
        <w:spacing w:line="280" w:lineRule="exact"/>
        <w:rPr>
          <w:szCs w:val="24"/>
          <w:lang w:val="en-CA"/>
        </w:rPr>
      </w:pPr>
      <w:r w:rsidRPr="002872C7">
        <w:rPr>
          <w:szCs w:val="24"/>
          <w:lang w:val="en-CA"/>
        </w:rPr>
        <w:t xml:space="preserve">In short, given the crucial importance in this case of the question of planning and deliberation as regards the murder, the trial judge should have summarized the relevant evidence regarding these issues in a structured and clear manner, and should have established links with the applicable legal criteria for a finding of </w:t>
      </w:r>
      <w:proofErr w:type="gramStart"/>
      <w:r w:rsidRPr="002872C7">
        <w:rPr>
          <w:szCs w:val="24"/>
          <w:lang w:val="en-CA"/>
        </w:rPr>
        <w:t>first degree</w:t>
      </w:r>
      <w:proofErr w:type="gramEnd"/>
      <w:r w:rsidRPr="002872C7">
        <w:rPr>
          <w:szCs w:val="24"/>
          <w:lang w:val="en-CA"/>
        </w:rPr>
        <w:t xml:space="preserve"> murder. The </w:t>
      </w:r>
      <w:r w:rsidRPr="002872C7">
        <w:rPr>
          <w:szCs w:val="24"/>
          <w:lang w:val="en-CA"/>
        </w:rPr>
        <w:lastRenderedPageBreak/>
        <w:t xml:space="preserve">jury was not properly equipped to decide </w:t>
      </w:r>
      <w:r w:rsidR="00765CB6">
        <w:rPr>
          <w:szCs w:val="24"/>
          <w:lang w:val="en-CA"/>
        </w:rPr>
        <w:t xml:space="preserve">on </w:t>
      </w:r>
      <w:r w:rsidRPr="002872C7">
        <w:rPr>
          <w:szCs w:val="24"/>
          <w:lang w:val="en-CA"/>
        </w:rPr>
        <w:t>the issues of planning and deliberation according to the law and the evidence.</w:t>
      </w:r>
      <w:r w:rsidRPr="002872C7">
        <w:rPr>
          <w:rStyle w:val="Appelnotedebasdep"/>
          <w:rFonts w:cs="Arial"/>
          <w:szCs w:val="24"/>
          <w:lang w:val="en-CA"/>
        </w:rPr>
        <w:footnoteReference w:id="17"/>
      </w:r>
    </w:p>
    <w:p w14:paraId="5DE737C7" w14:textId="14711FFF" w:rsidR="00C21DAC" w:rsidRPr="002872C7" w:rsidRDefault="00750A8F" w:rsidP="00746321">
      <w:pPr>
        <w:pStyle w:val="Paragraphe"/>
        <w:spacing w:line="280" w:lineRule="exact"/>
        <w:rPr>
          <w:szCs w:val="24"/>
          <w:lang w:val="en-CA"/>
        </w:rPr>
      </w:pPr>
      <w:r w:rsidRPr="002872C7">
        <w:rPr>
          <w:szCs w:val="24"/>
          <w:lang w:val="en-CA"/>
        </w:rPr>
        <w:t>The judge should also have given a limiting instruction regarding the use the jury could make of the evidence of the appellant</w:t>
      </w:r>
      <w:r w:rsidR="009E0591">
        <w:rPr>
          <w:szCs w:val="24"/>
          <w:lang w:val="en-CA"/>
        </w:rPr>
        <w:t>’</w:t>
      </w:r>
      <w:r w:rsidRPr="002872C7">
        <w:rPr>
          <w:szCs w:val="24"/>
          <w:lang w:val="en-CA"/>
        </w:rPr>
        <w:t>s after-the-fact conduct</w:t>
      </w:r>
      <w:r w:rsidR="00945800">
        <w:rPr>
          <w:szCs w:val="24"/>
          <w:lang w:val="en-CA"/>
        </w:rPr>
        <w:t xml:space="preserve"> –</w:t>
      </w:r>
      <w:r w:rsidRPr="002872C7">
        <w:rPr>
          <w:szCs w:val="24"/>
          <w:lang w:val="en-CA"/>
        </w:rPr>
        <w:t xml:space="preserve"> i.e., his statements to </w:t>
      </w:r>
      <w:r w:rsidR="005B6A02">
        <w:rPr>
          <w:szCs w:val="24"/>
          <w:lang w:val="en-CA"/>
        </w:rPr>
        <w:t>Ms. </w:t>
      </w:r>
      <w:r w:rsidRPr="002872C7">
        <w:rPr>
          <w:szCs w:val="24"/>
          <w:lang w:val="en-CA"/>
        </w:rPr>
        <w:t>Kauki as well as the interference with the victim</w:t>
      </w:r>
      <w:r w:rsidR="009E0591">
        <w:rPr>
          <w:szCs w:val="24"/>
          <w:lang w:val="en-CA"/>
        </w:rPr>
        <w:t>’</w:t>
      </w:r>
      <w:r w:rsidRPr="002872C7">
        <w:rPr>
          <w:szCs w:val="24"/>
          <w:lang w:val="en-CA"/>
        </w:rPr>
        <w:t>s body.</w:t>
      </w:r>
      <w:r w:rsidRPr="002872C7">
        <w:rPr>
          <w:rStyle w:val="Appelnotedebasdep"/>
          <w:rFonts w:cs="Arial"/>
          <w:szCs w:val="24"/>
          <w:lang w:val="en-CA"/>
        </w:rPr>
        <w:footnoteReference w:id="18"/>
      </w:r>
    </w:p>
    <w:p w14:paraId="5DE737C8" w14:textId="2AFF6488" w:rsidR="00C21DAC" w:rsidRPr="002872C7" w:rsidRDefault="00750A8F" w:rsidP="00746321">
      <w:pPr>
        <w:pStyle w:val="Paragraphe"/>
        <w:spacing w:line="280" w:lineRule="exact"/>
        <w:rPr>
          <w:szCs w:val="24"/>
          <w:lang w:val="en-CA"/>
        </w:rPr>
      </w:pPr>
      <w:r w:rsidRPr="002872C7">
        <w:rPr>
          <w:szCs w:val="24"/>
          <w:lang w:val="en-CA"/>
        </w:rPr>
        <w:t>These are overriding errors. It cannot be said that the prosecution</w:t>
      </w:r>
      <w:r w:rsidR="009E0591">
        <w:rPr>
          <w:szCs w:val="24"/>
          <w:lang w:val="en-CA"/>
        </w:rPr>
        <w:t>’</w:t>
      </w:r>
      <w:r w:rsidRPr="002872C7">
        <w:rPr>
          <w:szCs w:val="24"/>
          <w:lang w:val="en-CA"/>
        </w:rPr>
        <w:t>s evidence on the issue of planning was overwhelming, nor that the judge</w:t>
      </w:r>
      <w:r w:rsidR="009E0591">
        <w:rPr>
          <w:szCs w:val="24"/>
          <w:lang w:val="en-CA"/>
        </w:rPr>
        <w:t>’</w:t>
      </w:r>
      <w:r w:rsidRPr="002872C7">
        <w:rPr>
          <w:szCs w:val="24"/>
          <w:lang w:val="en-CA"/>
        </w:rPr>
        <w:t xml:space="preserve">s errors in the wording of his charge to the jury were harmless. Consequently, </w:t>
      </w:r>
      <w:r w:rsidR="00762FB4">
        <w:rPr>
          <w:szCs w:val="24"/>
          <w:lang w:val="en-CA"/>
        </w:rPr>
        <w:t xml:space="preserve">in my opinion, </w:t>
      </w:r>
      <w:r w:rsidRPr="002872C7">
        <w:rPr>
          <w:szCs w:val="24"/>
          <w:lang w:val="en-CA"/>
        </w:rPr>
        <w:t>the curative proviso cannot be applied.</w:t>
      </w:r>
      <w:r w:rsidRPr="002872C7">
        <w:rPr>
          <w:rStyle w:val="Appelnotedebasdep"/>
          <w:rFonts w:cs="Arial"/>
          <w:szCs w:val="24"/>
          <w:lang w:val="en-CA"/>
        </w:rPr>
        <w:footnoteReference w:id="19"/>
      </w:r>
    </w:p>
    <w:p w14:paraId="5DE737C9" w14:textId="77777777" w:rsidR="00C21DAC" w:rsidRPr="002872C7" w:rsidRDefault="00750A8F" w:rsidP="00746321">
      <w:pPr>
        <w:pStyle w:val="Paragraphe"/>
        <w:spacing w:line="280" w:lineRule="exact"/>
        <w:rPr>
          <w:szCs w:val="24"/>
          <w:lang w:val="en-CA"/>
        </w:rPr>
      </w:pPr>
      <w:r w:rsidRPr="002872C7">
        <w:rPr>
          <w:szCs w:val="24"/>
          <w:lang w:val="en-CA"/>
        </w:rPr>
        <w:t xml:space="preserve">For these reasons, I am of the view that the appeal should be </w:t>
      </w:r>
      <w:proofErr w:type="gramStart"/>
      <w:r w:rsidRPr="002872C7">
        <w:rPr>
          <w:szCs w:val="24"/>
          <w:lang w:val="en-CA"/>
        </w:rPr>
        <w:t>allowed</w:t>
      </w:r>
      <w:proofErr w:type="gramEnd"/>
      <w:r w:rsidRPr="002872C7">
        <w:rPr>
          <w:szCs w:val="24"/>
          <w:lang w:val="en-CA"/>
        </w:rPr>
        <w:t xml:space="preserve"> and a new trial ordered.</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AD231A" w:rsidRPr="00727080" w14:paraId="5DE737CB" w14:textId="77777777" w:rsidTr="00F54E79">
        <w:trPr>
          <w:cantSplit/>
          <w:trHeight w:val="513"/>
        </w:trPr>
        <w:tc>
          <w:tcPr>
            <w:tcW w:w="9360" w:type="dxa"/>
            <w:gridSpan w:val="2"/>
          </w:tcPr>
          <w:p w14:paraId="5DE737CA" w14:textId="77777777" w:rsidR="00C21DAC" w:rsidRPr="002872C7" w:rsidRDefault="00C21DAC" w:rsidP="00F54E79">
            <w:pPr>
              <w:rPr>
                <w:lang w:val="en-CA"/>
              </w:rPr>
            </w:pPr>
          </w:p>
        </w:tc>
      </w:tr>
      <w:tr w:rsidR="00AD231A" w:rsidRPr="00727080" w14:paraId="5DE737CE" w14:textId="77777777" w:rsidTr="00F54E79">
        <w:trPr>
          <w:cantSplit/>
          <w:trHeight w:val="277"/>
        </w:trPr>
        <w:tc>
          <w:tcPr>
            <w:tcW w:w="4735" w:type="dxa"/>
            <w:vMerge w:val="restart"/>
          </w:tcPr>
          <w:p w14:paraId="5DE737CC" w14:textId="77777777" w:rsidR="00C21DAC" w:rsidRPr="002872C7" w:rsidRDefault="00C21DAC" w:rsidP="00F54E79">
            <w:pPr>
              <w:rPr>
                <w:lang w:val="en-CA"/>
              </w:rPr>
            </w:pPr>
          </w:p>
        </w:tc>
        <w:tc>
          <w:tcPr>
            <w:tcW w:w="4625" w:type="dxa"/>
            <w:tcBorders>
              <w:bottom w:val="single" w:sz="8" w:space="0" w:color="auto"/>
            </w:tcBorders>
          </w:tcPr>
          <w:p w14:paraId="5DE737CD" w14:textId="77777777" w:rsidR="00C21DAC" w:rsidRPr="002872C7" w:rsidRDefault="00C21DAC" w:rsidP="00F54E79">
            <w:pPr>
              <w:rPr>
                <w:lang w:val="en-CA"/>
              </w:rPr>
            </w:pPr>
          </w:p>
        </w:tc>
      </w:tr>
      <w:tr w:rsidR="00AD231A" w:rsidRPr="002872C7" w14:paraId="5DE737D1" w14:textId="77777777" w:rsidTr="00F54E79">
        <w:trPr>
          <w:cantSplit/>
          <w:trHeight w:val="276"/>
        </w:trPr>
        <w:tc>
          <w:tcPr>
            <w:tcW w:w="4735" w:type="dxa"/>
            <w:vMerge/>
          </w:tcPr>
          <w:p w14:paraId="5DE737CF" w14:textId="77777777" w:rsidR="00C21DAC" w:rsidRPr="002872C7" w:rsidRDefault="00C21DAC" w:rsidP="00F54E79">
            <w:pPr>
              <w:rPr>
                <w:lang w:val="en-CA"/>
              </w:rPr>
            </w:pPr>
          </w:p>
        </w:tc>
        <w:tc>
          <w:tcPr>
            <w:tcW w:w="4625" w:type="dxa"/>
          </w:tcPr>
          <w:p w14:paraId="5DE737D0" w14:textId="544E93E4" w:rsidR="00C21DAC" w:rsidRPr="002872C7" w:rsidRDefault="009D5712" w:rsidP="00F54E79">
            <w:pPr>
              <w:rPr>
                <w:lang w:val="en-CA"/>
              </w:rPr>
            </w:pPr>
            <w:r w:rsidRPr="009D5712">
              <w:rPr>
                <w:lang w:val="en-CA"/>
              </w:rPr>
              <w:t>SIMON RUEL, J.A.</w:t>
            </w:r>
          </w:p>
        </w:tc>
      </w:tr>
      <w:bookmarkEnd w:id="12"/>
    </w:tbl>
    <w:p w14:paraId="5DE737D2" w14:textId="77777777" w:rsidR="00740A17" w:rsidRPr="002872C7" w:rsidRDefault="00740A17" w:rsidP="00411C01">
      <w:pPr>
        <w:rPr>
          <w:lang w:val="en-CA"/>
        </w:rPr>
      </w:pPr>
    </w:p>
    <w:sectPr w:rsidR="00740A17" w:rsidRPr="002872C7" w:rsidSect="00C21DAC">
      <w:headerReference w:type="default" r:id="rId10"/>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04BD" w14:textId="77777777" w:rsidR="004234CC" w:rsidRDefault="004234CC">
      <w:pPr>
        <w:spacing w:line="240" w:lineRule="auto"/>
      </w:pPr>
      <w:r>
        <w:separator/>
      </w:r>
    </w:p>
  </w:endnote>
  <w:endnote w:type="continuationSeparator" w:id="0">
    <w:p w14:paraId="5979F3A0" w14:textId="77777777" w:rsidR="004234CC" w:rsidRDefault="00423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B534" w14:textId="556CEC83" w:rsidR="00FC3257" w:rsidRDefault="00FC3257" w:rsidP="00FC3257">
    <w:pPr>
      <w:pStyle w:val="Pieddepage"/>
      <w:jc w:val="right"/>
    </w:pPr>
    <w:r w:rsidRPr="00FC3257">
      <w:t xml:space="preserve">English translation of the </w:t>
    </w:r>
    <w:proofErr w:type="spellStart"/>
    <w:r w:rsidRPr="00FC3257">
      <w:t>judgment</w:t>
    </w:r>
    <w:proofErr w:type="spellEnd"/>
    <w:r w:rsidRPr="00FC3257">
      <w:t xml:space="preserve">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DD0D" w14:textId="77777777" w:rsidR="004234CC" w:rsidRDefault="004234CC">
      <w:r>
        <w:separator/>
      </w:r>
    </w:p>
  </w:footnote>
  <w:footnote w:type="continuationSeparator" w:id="0">
    <w:p w14:paraId="1243E5D3" w14:textId="77777777" w:rsidR="004234CC" w:rsidRDefault="004234CC">
      <w:r>
        <w:continuationSeparator/>
      </w:r>
    </w:p>
  </w:footnote>
  <w:footnote w:id="1">
    <w:p w14:paraId="5DE737DE" w14:textId="4E7B9D5F" w:rsidR="009B78FB" w:rsidRPr="002872C7" w:rsidRDefault="00750A8F" w:rsidP="009B78FB">
      <w:pPr>
        <w:pStyle w:val="Notedebasdepage"/>
        <w:ind w:left="0" w:firstLine="0"/>
        <w:rPr>
          <w:rFonts w:cs="Arial"/>
          <w:color w:val="000000" w:themeColor="text1"/>
          <w:lang w:val="en-CA"/>
        </w:rPr>
      </w:pPr>
      <w:r w:rsidRPr="002872C7">
        <w:rPr>
          <w:rStyle w:val="Appelnotedebasdep"/>
          <w:rFonts w:cs="Arial"/>
          <w:color w:val="000000" w:themeColor="text1"/>
          <w:lang w:val="en-CA"/>
        </w:rPr>
        <w:footnoteRef/>
      </w:r>
      <w:r w:rsidRPr="002872C7">
        <w:rPr>
          <w:rFonts w:cs="Arial"/>
          <w:color w:val="000000" w:themeColor="text1"/>
          <w:lang w:val="en-CA"/>
        </w:rPr>
        <w:t xml:space="preserve"> </w:t>
      </w:r>
      <w:r w:rsidRPr="002872C7">
        <w:rPr>
          <w:rFonts w:cs="Arial"/>
          <w:i/>
          <w:iCs/>
          <w:color w:val="000000" w:themeColor="text1"/>
          <w:lang w:val="en-CA"/>
        </w:rPr>
        <w:t>R. c. Koneak</w:t>
      </w:r>
      <w:r w:rsidRPr="002872C7">
        <w:rPr>
          <w:rFonts w:cs="Arial"/>
          <w:color w:val="000000" w:themeColor="text1"/>
          <w:lang w:val="en-CA"/>
        </w:rPr>
        <w:t>, Que. Sup. Ct., No</w:t>
      </w:r>
      <w:r w:rsidR="005B6A02">
        <w:rPr>
          <w:rFonts w:cs="Arial"/>
          <w:color w:val="000000" w:themeColor="text1"/>
          <w:lang w:val="en-CA"/>
        </w:rPr>
        <w:t>s. </w:t>
      </w:r>
      <w:r w:rsidRPr="002872C7">
        <w:rPr>
          <w:rFonts w:cs="Arial"/>
          <w:color w:val="000000" w:themeColor="text1"/>
          <w:lang w:val="en-CA"/>
        </w:rPr>
        <w:t>635-01-017029-183 and 635-01-017082-182, December 4, 2020, the Honourable Guy de Blois.</w:t>
      </w:r>
    </w:p>
  </w:footnote>
  <w:footnote w:id="2">
    <w:p w14:paraId="5DE737DF" w14:textId="77777777" w:rsidR="00676637" w:rsidRPr="00727080" w:rsidRDefault="00750A8F">
      <w:pPr>
        <w:pStyle w:val="Notedebasdepage"/>
      </w:pPr>
      <w:r w:rsidRPr="002872C7">
        <w:rPr>
          <w:rStyle w:val="Appelnotedebasdep"/>
          <w:lang w:val="en-CA"/>
        </w:rPr>
        <w:footnoteRef/>
      </w:r>
      <w:r w:rsidRPr="00727080">
        <w:t xml:space="preserve"> </w:t>
      </w:r>
      <w:r w:rsidRPr="00727080">
        <w:rPr>
          <w:i/>
          <w:iCs/>
        </w:rPr>
        <w:t>R. v. Koneak</w:t>
      </w:r>
      <w:r w:rsidRPr="00727080">
        <w:t>, 2021 QCCS 218.</w:t>
      </w:r>
    </w:p>
  </w:footnote>
  <w:footnote w:id="3">
    <w:p w14:paraId="5DE737E0" w14:textId="7D469BB6" w:rsidR="00EE16DC" w:rsidRPr="00727080" w:rsidRDefault="00750A8F" w:rsidP="008F7898">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rPr>
        <w:t>Criminal Code</w:t>
      </w:r>
      <w:r w:rsidRPr="00727080">
        <w:rPr>
          <w:rFonts w:cs="Arial"/>
          <w:color w:val="000000" w:themeColor="text1"/>
        </w:rPr>
        <w:t xml:space="preserve">, R.S.C. 1985, c. C-46, </w:t>
      </w:r>
      <w:r w:rsidR="005B6A02" w:rsidRPr="00727080">
        <w:rPr>
          <w:rFonts w:cs="Arial"/>
          <w:color w:val="000000" w:themeColor="text1"/>
        </w:rPr>
        <w:t>s. </w:t>
      </w:r>
      <w:r w:rsidRPr="00727080">
        <w:rPr>
          <w:rFonts w:cs="Arial"/>
          <w:color w:val="000000" w:themeColor="text1"/>
        </w:rPr>
        <w:t>231(2).</w:t>
      </w:r>
    </w:p>
  </w:footnote>
  <w:footnote w:id="4">
    <w:p w14:paraId="5DE737E1" w14:textId="618697CA" w:rsidR="008F7898" w:rsidRPr="00727080" w:rsidRDefault="00750A8F" w:rsidP="00881028">
      <w:pPr>
        <w:pStyle w:val="Titre2"/>
        <w:spacing w:before="0" w:after="0" w:line="240" w:lineRule="auto"/>
        <w:rPr>
          <w:rFonts w:cs="Arial"/>
          <w:color w:val="000000" w:themeColor="text1"/>
          <w:lang w:eastAsia="fr-CA"/>
        </w:rPr>
      </w:pPr>
      <w:r w:rsidRPr="002872C7">
        <w:rPr>
          <w:rStyle w:val="Appelnotedebasdep"/>
          <w:rFonts w:cs="Arial"/>
          <w:b w:val="0"/>
          <w:bCs/>
          <w:i w:val="0"/>
          <w:iCs/>
          <w:color w:val="000000" w:themeColor="text1"/>
          <w:sz w:val="20"/>
          <w:lang w:val="en-CA"/>
        </w:rPr>
        <w:footnoteRef/>
      </w:r>
      <w:r w:rsidRPr="00727080">
        <w:rPr>
          <w:rFonts w:cs="Arial"/>
          <w:b w:val="0"/>
          <w:bCs/>
          <w:i w:val="0"/>
          <w:iCs/>
          <w:color w:val="000000" w:themeColor="text1"/>
          <w:sz w:val="20"/>
        </w:rPr>
        <w:t xml:space="preserve"> </w:t>
      </w:r>
      <w:r w:rsidRPr="00727080">
        <w:rPr>
          <w:rFonts w:cs="Arial"/>
          <w:b w:val="0"/>
          <w:bCs/>
          <w:iCs/>
          <w:color w:val="000000" w:themeColor="text1"/>
          <w:sz w:val="20"/>
        </w:rPr>
        <w:t>Duchaussoy c. R.</w:t>
      </w:r>
      <w:r w:rsidRPr="00727080">
        <w:rPr>
          <w:rFonts w:cs="Arial"/>
          <w:b w:val="0"/>
          <w:bCs/>
          <w:i w:val="0"/>
          <w:iCs/>
          <w:color w:val="000000" w:themeColor="text1"/>
          <w:sz w:val="20"/>
        </w:rPr>
        <w:t>, 2020 QCCA 380, par</w:t>
      </w:r>
      <w:r w:rsidR="005B6A02" w:rsidRPr="00727080">
        <w:rPr>
          <w:rFonts w:cs="Arial"/>
          <w:b w:val="0"/>
          <w:bCs/>
          <w:i w:val="0"/>
          <w:iCs/>
          <w:color w:val="000000" w:themeColor="text1"/>
          <w:sz w:val="20"/>
        </w:rPr>
        <w:t>a. </w:t>
      </w:r>
      <w:r w:rsidRPr="00727080">
        <w:rPr>
          <w:rFonts w:cs="Arial"/>
          <w:b w:val="0"/>
          <w:bCs/>
          <w:i w:val="0"/>
          <w:iCs/>
          <w:color w:val="000000" w:themeColor="text1"/>
          <w:sz w:val="20"/>
        </w:rPr>
        <w:t>33. </w:t>
      </w:r>
    </w:p>
  </w:footnote>
  <w:footnote w:id="5">
    <w:p w14:paraId="5DE737E2" w14:textId="09764777" w:rsidR="00607C35" w:rsidRPr="002872C7" w:rsidRDefault="00750A8F" w:rsidP="00607C35">
      <w:pPr>
        <w:pStyle w:val="Notedebasdepage"/>
        <w:ind w:left="0" w:firstLine="0"/>
        <w:rPr>
          <w:rFonts w:cs="Arial"/>
          <w:color w:val="000000" w:themeColor="text1"/>
          <w:lang w:val="en-CA"/>
        </w:rPr>
      </w:pPr>
      <w:r w:rsidRPr="002872C7">
        <w:rPr>
          <w:rStyle w:val="Appelnotedebasdep"/>
          <w:lang w:val="en-CA"/>
        </w:rPr>
        <w:footnoteRef/>
      </w:r>
      <w:r w:rsidRPr="00727080">
        <w:rPr>
          <w:rFonts w:cs="Arial"/>
        </w:rPr>
        <w:t xml:space="preserve"> </w:t>
      </w:r>
      <w:r w:rsidRPr="00727080">
        <w:rPr>
          <w:rFonts w:cs="Arial"/>
          <w:i/>
          <w:iCs/>
        </w:rPr>
        <w:t>Duchaussoy c. R.</w:t>
      </w:r>
      <w:r w:rsidRPr="00727080">
        <w:rPr>
          <w:rFonts w:cs="Arial"/>
        </w:rPr>
        <w:t>, 2020 QCCA 380, par</w:t>
      </w:r>
      <w:r w:rsidR="005B6A02" w:rsidRPr="00727080">
        <w:rPr>
          <w:rFonts w:cs="Arial"/>
        </w:rPr>
        <w:t>a. </w:t>
      </w:r>
      <w:r w:rsidRPr="002872C7">
        <w:rPr>
          <w:rFonts w:cs="Arial"/>
          <w:lang w:val="en-CA"/>
        </w:rPr>
        <w:t xml:space="preserve">33, citing </w:t>
      </w:r>
      <w:r w:rsidRPr="002872C7">
        <w:rPr>
          <w:rFonts w:cs="Arial"/>
          <w:i/>
          <w:iCs/>
          <w:color w:val="000000" w:themeColor="text1"/>
          <w:shd w:val="clear" w:color="auto" w:fill="FFFFFF"/>
          <w:lang w:val="en-CA"/>
        </w:rPr>
        <w:t>R. c. Gentry</w:t>
      </w:r>
      <w:r w:rsidRPr="002872C7">
        <w:rPr>
          <w:rFonts w:cs="Arial"/>
          <w:iCs/>
          <w:color w:val="000000" w:themeColor="text1"/>
          <w:shd w:val="clear" w:color="auto" w:fill="FFFFFF"/>
          <w:lang w:val="en-CA"/>
        </w:rPr>
        <w:t>, 1999 CanLII 13176 (QC CA), p.</w:t>
      </w:r>
      <w:r w:rsidR="002872C7">
        <w:rPr>
          <w:rFonts w:cs="Arial"/>
          <w:iCs/>
          <w:color w:val="000000" w:themeColor="text1"/>
          <w:shd w:val="clear" w:color="auto" w:fill="FFFFFF"/>
          <w:lang w:val="en-CA"/>
        </w:rPr>
        <w:t xml:space="preserve"> </w:t>
      </w:r>
      <w:r w:rsidRPr="002872C7">
        <w:rPr>
          <w:rFonts w:cs="Arial"/>
          <w:iCs/>
          <w:color w:val="000000" w:themeColor="text1"/>
          <w:shd w:val="clear" w:color="auto" w:fill="FFFFFF"/>
          <w:lang w:val="en-CA"/>
        </w:rPr>
        <w:t>2</w:t>
      </w:r>
      <w:r w:rsidRPr="002872C7">
        <w:rPr>
          <w:rFonts w:cs="Arial"/>
          <w:lang w:val="en-CA"/>
        </w:rPr>
        <w:t xml:space="preserve">; </w:t>
      </w:r>
      <w:r w:rsidRPr="002872C7">
        <w:rPr>
          <w:rFonts w:cs="Arial"/>
          <w:i/>
          <w:iCs/>
          <w:color w:val="000000" w:themeColor="text1"/>
          <w:shd w:val="clear" w:color="auto" w:fill="FFFFFF"/>
          <w:lang w:val="en-CA"/>
        </w:rPr>
        <w:t>R.</w:t>
      </w:r>
      <w:r w:rsidR="001A59AC">
        <w:rPr>
          <w:rFonts w:cs="Arial"/>
          <w:i/>
          <w:iCs/>
          <w:color w:val="000000" w:themeColor="text1"/>
          <w:shd w:val="clear" w:color="auto" w:fill="FFFFFF"/>
          <w:lang w:val="en-CA"/>
        </w:rPr>
        <w:t> </w:t>
      </w:r>
      <w:r w:rsidRPr="002872C7">
        <w:rPr>
          <w:rFonts w:cs="Arial"/>
          <w:i/>
          <w:iCs/>
          <w:color w:val="000000" w:themeColor="text1"/>
          <w:shd w:val="clear" w:color="auto" w:fill="FFFFFF"/>
          <w:lang w:val="en-CA"/>
        </w:rPr>
        <w:t>v.</w:t>
      </w:r>
      <w:r w:rsidR="001A59AC">
        <w:rPr>
          <w:rFonts w:cs="Arial"/>
          <w:i/>
          <w:iCs/>
          <w:color w:val="000000" w:themeColor="text1"/>
          <w:shd w:val="clear" w:color="auto" w:fill="FFFFFF"/>
          <w:lang w:val="en-CA"/>
        </w:rPr>
        <w:t> </w:t>
      </w:r>
      <w:r w:rsidRPr="002872C7">
        <w:rPr>
          <w:rFonts w:cs="Arial"/>
          <w:i/>
          <w:iCs/>
          <w:color w:val="000000" w:themeColor="text1"/>
          <w:shd w:val="clear" w:color="auto" w:fill="FFFFFF"/>
          <w:lang w:val="en-CA"/>
        </w:rPr>
        <w:t>Campbell</w:t>
      </w:r>
      <w:r w:rsidRPr="002872C7">
        <w:rPr>
          <w:rFonts w:cs="Arial"/>
          <w:iCs/>
          <w:color w:val="000000" w:themeColor="text1"/>
          <w:shd w:val="clear" w:color="auto" w:fill="FFFFFF"/>
          <w:lang w:val="en-CA"/>
        </w:rPr>
        <w:t>, 2020 ONCA 221</w:t>
      </w:r>
      <w:r w:rsidRPr="002872C7">
        <w:rPr>
          <w:rFonts w:cs="Arial"/>
          <w:lang w:val="en-CA"/>
        </w:rPr>
        <w:t>, par</w:t>
      </w:r>
      <w:r w:rsidR="005B6A02">
        <w:rPr>
          <w:rFonts w:cs="Arial"/>
          <w:lang w:val="en-CA"/>
        </w:rPr>
        <w:t>a. </w:t>
      </w:r>
      <w:r w:rsidRPr="002872C7">
        <w:rPr>
          <w:rFonts w:cs="Arial"/>
          <w:lang w:val="en-CA"/>
        </w:rPr>
        <w:t xml:space="preserve">33, citing </w:t>
      </w:r>
      <w:r w:rsidRPr="002872C7">
        <w:rPr>
          <w:rFonts w:cs="Arial"/>
          <w:i/>
          <w:iCs/>
          <w:lang w:val="en-CA"/>
        </w:rPr>
        <w:t>R. v. Nygaard</w:t>
      </w:r>
      <w:r w:rsidRPr="002872C7">
        <w:rPr>
          <w:rFonts w:cs="Arial"/>
          <w:lang w:val="en-CA"/>
        </w:rPr>
        <w:t>, [1989] 2 S.C.R. 1074, p.</w:t>
      </w:r>
      <w:r w:rsidR="001A59AC">
        <w:rPr>
          <w:rFonts w:cs="Arial"/>
          <w:lang w:val="en-CA"/>
        </w:rPr>
        <w:t> </w:t>
      </w:r>
      <w:r w:rsidRPr="002872C7">
        <w:rPr>
          <w:rFonts w:cs="Arial"/>
          <w:lang w:val="en-CA"/>
        </w:rPr>
        <w:t>1084.</w:t>
      </w:r>
    </w:p>
  </w:footnote>
  <w:footnote w:id="6">
    <w:p w14:paraId="5DE737E3" w14:textId="0FF79A2B" w:rsidR="007D7DE5" w:rsidRPr="002872C7" w:rsidRDefault="00750A8F" w:rsidP="00607C35">
      <w:pPr>
        <w:pStyle w:val="Notedebasdepage"/>
        <w:ind w:left="0" w:firstLine="0"/>
        <w:rPr>
          <w:color w:val="000000" w:themeColor="text1"/>
          <w:lang w:val="en-CA"/>
        </w:rPr>
      </w:pPr>
      <w:r w:rsidRPr="002872C7">
        <w:rPr>
          <w:rStyle w:val="Appelnotedebasdep"/>
          <w:rFonts w:cs="Arial"/>
          <w:color w:val="000000" w:themeColor="text1"/>
          <w:lang w:val="en-CA"/>
        </w:rPr>
        <w:footnoteRef/>
      </w:r>
      <w:r w:rsidRPr="002872C7">
        <w:rPr>
          <w:color w:val="000000" w:themeColor="text1"/>
          <w:lang w:val="en-CA"/>
        </w:rPr>
        <w:t xml:space="preserve"> </w:t>
      </w:r>
      <w:r w:rsidRPr="002872C7">
        <w:rPr>
          <w:i/>
          <w:iCs/>
          <w:color w:val="000000" w:themeColor="text1"/>
          <w:lang w:val="en-CA"/>
        </w:rPr>
        <w:t>Duchaussoy c. R.</w:t>
      </w:r>
      <w:r w:rsidRPr="002872C7">
        <w:rPr>
          <w:color w:val="000000" w:themeColor="text1"/>
          <w:lang w:val="en-CA"/>
        </w:rPr>
        <w:t>, 2020 QCCA 380, par</w:t>
      </w:r>
      <w:r w:rsidR="005B6A02">
        <w:rPr>
          <w:color w:val="000000" w:themeColor="text1"/>
          <w:lang w:val="en-CA"/>
        </w:rPr>
        <w:t>a. </w:t>
      </w:r>
      <w:r w:rsidRPr="002872C7">
        <w:rPr>
          <w:color w:val="000000" w:themeColor="text1"/>
          <w:lang w:val="en-CA"/>
        </w:rPr>
        <w:t xml:space="preserve">33, citing </w:t>
      </w:r>
      <w:r w:rsidR="00F077B2" w:rsidRPr="002872C7">
        <w:rPr>
          <w:rFonts w:cs="Arial"/>
          <w:i/>
          <w:iCs/>
          <w:color w:val="000000" w:themeColor="text1"/>
          <w:shd w:val="clear" w:color="auto" w:fill="FFFFFF"/>
          <w:lang w:val="en-CA"/>
        </w:rPr>
        <w:t>R. c. Gentry</w:t>
      </w:r>
      <w:r w:rsidR="00F077B2" w:rsidRPr="002872C7">
        <w:rPr>
          <w:rFonts w:cs="Arial"/>
          <w:iCs/>
          <w:color w:val="000000" w:themeColor="text1"/>
          <w:shd w:val="clear" w:color="auto" w:fill="FFFFFF"/>
          <w:lang w:val="en-CA"/>
        </w:rPr>
        <w:t>, 1999 CanLII 13176 (QC CA), p.</w:t>
      </w:r>
      <w:r w:rsidR="002872C7">
        <w:rPr>
          <w:rFonts w:cs="Arial"/>
          <w:iCs/>
          <w:color w:val="000000" w:themeColor="text1"/>
          <w:shd w:val="clear" w:color="auto" w:fill="FFFFFF"/>
          <w:lang w:val="en-CA"/>
        </w:rPr>
        <w:t xml:space="preserve"> </w:t>
      </w:r>
      <w:r w:rsidR="00F077B2" w:rsidRPr="002872C7">
        <w:rPr>
          <w:rFonts w:cs="Arial"/>
          <w:iCs/>
          <w:color w:val="000000" w:themeColor="text1"/>
          <w:shd w:val="clear" w:color="auto" w:fill="FFFFFF"/>
          <w:lang w:val="en-CA"/>
        </w:rPr>
        <w:t>2</w:t>
      </w:r>
      <w:r w:rsidRPr="002872C7">
        <w:rPr>
          <w:color w:val="000000" w:themeColor="text1"/>
          <w:lang w:val="en-CA"/>
        </w:rPr>
        <w:t>;</w:t>
      </w:r>
      <w:r w:rsidRPr="002872C7">
        <w:rPr>
          <w:i/>
          <w:iCs/>
          <w:color w:val="000000" w:themeColor="text1"/>
          <w:lang w:val="en-CA"/>
        </w:rPr>
        <w:t xml:space="preserve"> </w:t>
      </w:r>
      <w:r w:rsidR="00F077B2" w:rsidRPr="002872C7">
        <w:rPr>
          <w:rFonts w:cs="Arial"/>
          <w:i/>
          <w:iCs/>
          <w:color w:val="000000" w:themeColor="text1"/>
          <w:shd w:val="clear" w:color="auto" w:fill="FFFFFF"/>
          <w:lang w:val="en-CA"/>
        </w:rPr>
        <w:t>R.</w:t>
      </w:r>
      <w:r w:rsidR="001A59AC">
        <w:rPr>
          <w:rFonts w:cs="Arial"/>
          <w:i/>
          <w:iCs/>
          <w:color w:val="000000" w:themeColor="text1"/>
          <w:shd w:val="clear" w:color="auto" w:fill="FFFFFF"/>
          <w:lang w:val="en-CA"/>
        </w:rPr>
        <w:t> </w:t>
      </w:r>
      <w:r w:rsidR="00F077B2" w:rsidRPr="002872C7">
        <w:rPr>
          <w:rFonts w:cs="Arial"/>
          <w:i/>
          <w:iCs/>
          <w:color w:val="000000" w:themeColor="text1"/>
          <w:shd w:val="clear" w:color="auto" w:fill="FFFFFF"/>
          <w:lang w:val="en-CA"/>
        </w:rPr>
        <w:t>v.</w:t>
      </w:r>
      <w:r w:rsidR="001A59AC">
        <w:rPr>
          <w:rFonts w:cs="Arial"/>
          <w:i/>
          <w:iCs/>
          <w:color w:val="000000" w:themeColor="text1"/>
          <w:shd w:val="clear" w:color="auto" w:fill="FFFFFF"/>
          <w:lang w:val="en-CA"/>
        </w:rPr>
        <w:t> </w:t>
      </w:r>
      <w:r w:rsidR="00F077B2" w:rsidRPr="002872C7">
        <w:rPr>
          <w:rFonts w:cs="Arial"/>
          <w:i/>
          <w:iCs/>
          <w:color w:val="000000" w:themeColor="text1"/>
          <w:shd w:val="clear" w:color="auto" w:fill="FFFFFF"/>
          <w:lang w:val="en-CA"/>
        </w:rPr>
        <w:t>Campbell</w:t>
      </w:r>
      <w:r w:rsidR="00F077B2" w:rsidRPr="002872C7">
        <w:rPr>
          <w:rFonts w:cs="Arial"/>
          <w:color w:val="000000" w:themeColor="text1"/>
          <w:shd w:val="clear" w:color="auto" w:fill="FFFFFF"/>
          <w:lang w:val="en-CA"/>
        </w:rPr>
        <w:t>, 2020 ONCA 221</w:t>
      </w:r>
      <w:r w:rsidRPr="002872C7">
        <w:rPr>
          <w:color w:val="000000" w:themeColor="text1"/>
          <w:lang w:val="en-CA"/>
        </w:rPr>
        <w:t>, par</w:t>
      </w:r>
      <w:r w:rsidR="005B6A02">
        <w:rPr>
          <w:color w:val="000000" w:themeColor="text1"/>
          <w:lang w:val="en-CA"/>
        </w:rPr>
        <w:t>a. </w:t>
      </w:r>
      <w:r w:rsidRPr="002872C7">
        <w:rPr>
          <w:color w:val="000000" w:themeColor="text1"/>
          <w:lang w:val="en-CA"/>
        </w:rPr>
        <w:t xml:space="preserve">33, citing </w:t>
      </w:r>
      <w:r w:rsidRPr="002872C7">
        <w:rPr>
          <w:i/>
          <w:iCs/>
          <w:color w:val="000000" w:themeColor="text1"/>
          <w:lang w:val="en-CA"/>
        </w:rPr>
        <w:t>R. v. Nygaard</w:t>
      </w:r>
      <w:r w:rsidRPr="002872C7">
        <w:rPr>
          <w:color w:val="000000" w:themeColor="text1"/>
          <w:lang w:val="en-CA"/>
        </w:rPr>
        <w:t>, [1989] 2 S.C.R. 1074, p.</w:t>
      </w:r>
      <w:r w:rsidR="001A59AC">
        <w:rPr>
          <w:color w:val="000000" w:themeColor="text1"/>
          <w:lang w:val="en-CA"/>
        </w:rPr>
        <w:t> </w:t>
      </w:r>
      <w:r w:rsidRPr="002872C7">
        <w:rPr>
          <w:color w:val="000000" w:themeColor="text1"/>
          <w:lang w:val="en-CA"/>
        </w:rPr>
        <w:t>1084.</w:t>
      </w:r>
    </w:p>
  </w:footnote>
  <w:footnote w:id="7">
    <w:p w14:paraId="5DE737E4" w14:textId="124623F5"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2872C7">
        <w:rPr>
          <w:rFonts w:cs="Arial"/>
          <w:color w:val="000000" w:themeColor="text1"/>
          <w:lang w:val="en-CA"/>
        </w:rPr>
        <w:t xml:space="preserve"> </w:t>
      </w:r>
      <w:r w:rsidRPr="002872C7">
        <w:rPr>
          <w:rFonts w:cs="Arial"/>
          <w:i/>
          <w:iCs/>
          <w:color w:val="000000" w:themeColor="text1"/>
          <w:lang w:val="en-CA"/>
        </w:rPr>
        <w:t>R</w:t>
      </w:r>
      <w:r w:rsidRPr="002872C7">
        <w:rPr>
          <w:rFonts w:cs="Arial"/>
          <w:color w:val="000000" w:themeColor="text1"/>
          <w:lang w:val="en-CA"/>
        </w:rPr>
        <w:t>.</w:t>
      </w:r>
      <w:r w:rsidRPr="002872C7">
        <w:rPr>
          <w:rFonts w:cs="Arial"/>
          <w:i/>
          <w:iCs/>
          <w:color w:val="000000" w:themeColor="text1"/>
          <w:lang w:val="en-CA"/>
        </w:rPr>
        <w:t> v. Abdullahi</w:t>
      </w:r>
      <w:r w:rsidRPr="002872C7">
        <w:rPr>
          <w:rFonts w:cs="Arial"/>
          <w:color w:val="000000" w:themeColor="text1"/>
          <w:lang w:val="en-CA"/>
        </w:rPr>
        <w:t>, 2023 SCC 19, par</w:t>
      </w:r>
      <w:r w:rsidR="005B6A02">
        <w:rPr>
          <w:rFonts w:cs="Arial"/>
          <w:color w:val="000000" w:themeColor="text1"/>
          <w:lang w:val="en-CA"/>
        </w:rPr>
        <w:t>a. </w:t>
      </w:r>
      <w:r w:rsidRPr="00727080">
        <w:rPr>
          <w:rFonts w:cs="Arial"/>
          <w:color w:val="000000" w:themeColor="text1"/>
        </w:rPr>
        <w:t>37.</w:t>
      </w:r>
    </w:p>
  </w:footnote>
  <w:footnote w:id="8">
    <w:p w14:paraId="5DE737E5" w14:textId="10A2F2C1"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i/>
          <w:iCs/>
          <w:color w:val="000000" w:themeColor="text1"/>
        </w:rPr>
        <w:t xml:space="preserve"> R. v. Rodgerson</w:t>
      </w:r>
      <w:r w:rsidRPr="00727080">
        <w:rPr>
          <w:rFonts w:cs="Arial"/>
          <w:color w:val="000000" w:themeColor="text1"/>
        </w:rPr>
        <w:t>, 2015 SCC 38, par</w:t>
      </w:r>
      <w:r w:rsidR="005B6A02" w:rsidRPr="00727080">
        <w:rPr>
          <w:rFonts w:cs="Arial"/>
          <w:color w:val="000000" w:themeColor="text1"/>
        </w:rPr>
        <w:t>a. </w:t>
      </w:r>
      <w:r w:rsidRPr="00727080">
        <w:rPr>
          <w:rFonts w:cs="Arial"/>
          <w:color w:val="000000" w:themeColor="text1"/>
        </w:rPr>
        <w:t>30.</w:t>
      </w:r>
    </w:p>
  </w:footnote>
  <w:footnote w:id="9">
    <w:p w14:paraId="5DE737E6" w14:textId="127EABA2"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rPr>
        <w:t>R. v. Rodgerson</w:t>
      </w:r>
      <w:r w:rsidRPr="00727080">
        <w:rPr>
          <w:rFonts w:cs="Arial"/>
          <w:color w:val="000000" w:themeColor="text1"/>
        </w:rPr>
        <w:t>, 2015 SCC 38, par</w:t>
      </w:r>
      <w:r w:rsidR="005B6A02" w:rsidRPr="00727080">
        <w:rPr>
          <w:rFonts w:cs="Arial"/>
          <w:color w:val="000000" w:themeColor="text1"/>
        </w:rPr>
        <w:t>a. </w:t>
      </w:r>
      <w:r w:rsidRPr="00727080">
        <w:rPr>
          <w:rFonts w:cs="Arial"/>
          <w:color w:val="000000" w:themeColor="text1"/>
        </w:rPr>
        <w:t>30;</w:t>
      </w:r>
      <w:r w:rsidRPr="00727080">
        <w:rPr>
          <w:rFonts w:cs="Arial"/>
          <w:i/>
          <w:iCs/>
          <w:color w:val="000000" w:themeColor="text1"/>
        </w:rPr>
        <w:t xml:space="preserve"> R</w:t>
      </w:r>
      <w:r w:rsidRPr="00727080">
        <w:rPr>
          <w:rFonts w:cs="Arial"/>
          <w:color w:val="000000" w:themeColor="text1"/>
        </w:rPr>
        <w:t>.</w:t>
      </w:r>
      <w:r w:rsidRPr="00727080">
        <w:rPr>
          <w:rFonts w:cs="Arial"/>
          <w:i/>
          <w:iCs/>
          <w:color w:val="000000" w:themeColor="text1"/>
        </w:rPr>
        <w:t> v. Abdullahi</w:t>
      </w:r>
      <w:r w:rsidRPr="00727080">
        <w:rPr>
          <w:rFonts w:cs="Arial"/>
          <w:color w:val="000000" w:themeColor="text1"/>
        </w:rPr>
        <w:t>, 2023 SCC 19, para</w:t>
      </w:r>
      <w:r w:rsidR="005B6A02" w:rsidRPr="00727080">
        <w:rPr>
          <w:rFonts w:cs="Arial"/>
          <w:color w:val="000000" w:themeColor="text1"/>
        </w:rPr>
        <w:t>s. </w:t>
      </w:r>
      <w:r w:rsidRPr="00727080">
        <w:rPr>
          <w:rFonts w:cs="Arial"/>
          <w:color w:val="000000" w:themeColor="text1"/>
        </w:rPr>
        <w:t>54 and 55.</w:t>
      </w:r>
    </w:p>
  </w:footnote>
  <w:footnote w:id="10">
    <w:p w14:paraId="5DE737E7" w14:textId="13F2B635"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shd w:val="clear" w:color="auto" w:fill="FFFFFF"/>
        </w:rPr>
        <w:t>R. v. Rodgerson</w:t>
      </w:r>
      <w:r w:rsidRPr="00727080">
        <w:rPr>
          <w:rFonts w:cs="Arial"/>
          <w:iCs/>
          <w:color w:val="000000" w:themeColor="text1"/>
          <w:shd w:val="clear" w:color="auto" w:fill="FFFFFF"/>
        </w:rPr>
        <w:t>, 2015 SCC 38, par</w:t>
      </w:r>
      <w:r w:rsidR="005B6A02" w:rsidRPr="00727080">
        <w:rPr>
          <w:rFonts w:cs="Arial"/>
          <w:iCs/>
          <w:color w:val="000000" w:themeColor="text1"/>
          <w:shd w:val="clear" w:color="auto" w:fill="FFFFFF"/>
        </w:rPr>
        <w:t>a. </w:t>
      </w:r>
      <w:r w:rsidRPr="00727080">
        <w:rPr>
          <w:rFonts w:cs="Arial"/>
          <w:iCs/>
          <w:color w:val="000000" w:themeColor="text1"/>
          <w:shd w:val="clear" w:color="auto" w:fill="FFFFFF"/>
        </w:rPr>
        <w:t>51.</w:t>
      </w:r>
    </w:p>
  </w:footnote>
  <w:footnote w:id="11">
    <w:p w14:paraId="5DE737E8" w14:textId="6492351B"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rPr>
        <w:t>Criminal Code</w:t>
      </w:r>
      <w:r w:rsidRPr="00727080">
        <w:rPr>
          <w:rFonts w:cs="Arial"/>
          <w:color w:val="000000" w:themeColor="text1"/>
        </w:rPr>
        <w:t xml:space="preserve">, R.S.C. 1985, c. C-46, </w:t>
      </w:r>
      <w:r w:rsidR="005B6A02" w:rsidRPr="00727080">
        <w:rPr>
          <w:rFonts w:cs="Arial"/>
          <w:color w:val="000000" w:themeColor="text1"/>
        </w:rPr>
        <w:t>s. </w:t>
      </w:r>
      <w:r w:rsidRPr="00727080">
        <w:rPr>
          <w:rFonts w:cs="Arial"/>
          <w:color w:val="000000" w:themeColor="text1"/>
        </w:rPr>
        <w:t>231(2).</w:t>
      </w:r>
    </w:p>
  </w:footnote>
  <w:footnote w:id="12">
    <w:p w14:paraId="5DE737E9" w14:textId="27034531"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shd w:val="clear" w:color="auto" w:fill="FFFFFF"/>
        </w:rPr>
        <w:t>R. v. Rodgerson</w:t>
      </w:r>
      <w:r w:rsidRPr="00727080">
        <w:rPr>
          <w:rFonts w:cs="Arial"/>
          <w:iCs/>
          <w:color w:val="000000" w:themeColor="text1"/>
          <w:shd w:val="clear" w:color="auto" w:fill="FFFFFF"/>
        </w:rPr>
        <w:t>, 2015 SCC 38, par</w:t>
      </w:r>
      <w:r w:rsidR="005B6A02" w:rsidRPr="00727080">
        <w:rPr>
          <w:rFonts w:cs="Arial"/>
          <w:iCs/>
          <w:color w:val="000000" w:themeColor="text1"/>
          <w:shd w:val="clear" w:color="auto" w:fill="FFFFFF"/>
        </w:rPr>
        <w:t>a. </w:t>
      </w:r>
      <w:r w:rsidRPr="00727080">
        <w:rPr>
          <w:rFonts w:cs="Arial"/>
          <w:iCs/>
          <w:color w:val="000000" w:themeColor="text1"/>
          <w:shd w:val="clear" w:color="auto" w:fill="FFFFFF"/>
        </w:rPr>
        <w:t>31.</w:t>
      </w:r>
    </w:p>
  </w:footnote>
  <w:footnote w:id="13">
    <w:p w14:paraId="5DE737EA" w14:textId="7155FE1F" w:rsidR="00C21DAC" w:rsidRPr="002872C7" w:rsidRDefault="00750A8F" w:rsidP="00C21DAC">
      <w:pPr>
        <w:pStyle w:val="Notedebasdepage"/>
        <w:ind w:left="0" w:firstLine="0"/>
        <w:rPr>
          <w:rFonts w:cs="Arial"/>
          <w:color w:val="000000" w:themeColor="text1"/>
          <w:lang w:val="en-CA"/>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rPr>
        <w:t>R. v. Calnen</w:t>
      </w:r>
      <w:r w:rsidRPr="00727080">
        <w:rPr>
          <w:rFonts w:cs="Arial"/>
          <w:color w:val="000000" w:themeColor="text1"/>
        </w:rPr>
        <w:t>, 2019 SCC 6, par</w:t>
      </w:r>
      <w:r w:rsidR="005B6A02" w:rsidRPr="00727080">
        <w:rPr>
          <w:rFonts w:cs="Arial"/>
          <w:color w:val="000000" w:themeColor="text1"/>
        </w:rPr>
        <w:t>a. </w:t>
      </w:r>
      <w:r w:rsidRPr="00727080">
        <w:rPr>
          <w:rFonts w:cs="Arial"/>
          <w:color w:val="000000" w:themeColor="text1"/>
        </w:rPr>
        <w:t xml:space="preserve">9; </w:t>
      </w:r>
      <w:r w:rsidRPr="00727080">
        <w:rPr>
          <w:rFonts w:cs="Arial"/>
          <w:i/>
          <w:iCs/>
          <w:color w:val="000000" w:themeColor="text1"/>
        </w:rPr>
        <w:t>R. v. Rodgerson</w:t>
      </w:r>
      <w:r w:rsidRPr="00727080">
        <w:rPr>
          <w:rFonts w:cs="Arial"/>
          <w:color w:val="000000" w:themeColor="text1"/>
        </w:rPr>
        <w:t>, 2015 SCC 38, par</w:t>
      </w:r>
      <w:r w:rsidR="005B6A02" w:rsidRPr="00727080">
        <w:rPr>
          <w:rFonts w:cs="Arial"/>
          <w:color w:val="000000" w:themeColor="text1"/>
        </w:rPr>
        <w:t>a. </w:t>
      </w:r>
      <w:r w:rsidRPr="00727080">
        <w:rPr>
          <w:rFonts w:cs="Arial"/>
          <w:color w:val="000000" w:themeColor="text1"/>
        </w:rPr>
        <w:t xml:space="preserve">30; </w:t>
      </w:r>
      <w:r w:rsidRPr="00727080">
        <w:rPr>
          <w:rFonts w:cs="Arial"/>
          <w:i/>
          <w:iCs/>
          <w:color w:val="000000" w:themeColor="text1"/>
        </w:rPr>
        <w:t>R</w:t>
      </w:r>
      <w:r w:rsidRPr="00727080">
        <w:rPr>
          <w:rFonts w:cs="Arial"/>
          <w:color w:val="000000" w:themeColor="text1"/>
        </w:rPr>
        <w:t>.</w:t>
      </w:r>
      <w:r w:rsidRPr="00727080">
        <w:rPr>
          <w:rFonts w:cs="Arial"/>
          <w:i/>
          <w:iCs/>
          <w:color w:val="000000" w:themeColor="text1"/>
        </w:rPr>
        <w:t> v. Abdullahi</w:t>
      </w:r>
      <w:r w:rsidRPr="00727080">
        <w:rPr>
          <w:rFonts w:cs="Arial"/>
          <w:color w:val="000000" w:themeColor="text1"/>
        </w:rPr>
        <w:t>, 2023 SCC 19, par</w:t>
      </w:r>
      <w:r w:rsidR="005B6A02" w:rsidRPr="00727080">
        <w:rPr>
          <w:rFonts w:cs="Arial"/>
          <w:color w:val="000000" w:themeColor="text1"/>
        </w:rPr>
        <w:t>a. </w:t>
      </w:r>
      <w:r w:rsidRPr="002872C7">
        <w:rPr>
          <w:rFonts w:cs="Arial"/>
          <w:color w:val="000000" w:themeColor="text1"/>
          <w:lang w:val="en-CA"/>
        </w:rPr>
        <w:t>36.</w:t>
      </w:r>
    </w:p>
  </w:footnote>
  <w:footnote w:id="14">
    <w:p w14:paraId="5DE737EB" w14:textId="4C59EADE" w:rsidR="00752298" w:rsidRPr="002872C7" w:rsidRDefault="00750A8F" w:rsidP="00952F7E">
      <w:pPr>
        <w:pStyle w:val="Notedebasdepage"/>
        <w:ind w:left="0" w:firstLine="0"/>
        <w:rPr>
          <w:lang w:val="en-CA"/>
        </w:rPr>
      </w:pPr>
      <w:r w:rsidRPr="002872C7">
        <w:rPr>
          <w:rStyle w:val="Appelnotedebasdep"/>
          <w:lang w:val="en-CA"/>
        </w:rPr>
        <w:footnoteRef/>
      </w:r>
      <w:r w:rsidRPr="002872C7">
        <w:rPr>
          <w:lang w:val="en-CA"/>
        </w:rPr>
        <w:t xml:space="preserve">The appellant had </w:t>
      </w:r>
      <w:r w:rsidR="001A59AC">
        <w:rPr>
          <w:lang w:val="en-CA"/>
        </w:rPr>
        <w:t xml:space="preserve">raised </w:t>
      </w:r>
      <w:r w:rsidRPr="002872C7">
        <w:rPr>
          <w:lang w:val="en-CA"/>
        </w:rPr>
        <w:t>a defence of intoxication, which could have led to a verdict of manslaughter.</w:t>
      </w:r>
    </w:p>
  </w:footnote>
  <w:footnote w:id="15">
    <w:p w14:paraId="5DE737EC" w14:textId="09F34746"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Style w:val="cf01"/>
          <w:rFonts w:ascii="Arial" w:hAnsi="Arial" w:cs="Arial"/>
          <w:color w:val="000000" w:themeColor="text1"/>
          <w:sz w:val="20"/>
          <w:szCs w:val="20"/>
        </w:rPr>
        <w:t>R. v. Chanthabouala,</w:t>
      </w:r>
      <w:r w:rsidRPr="00727080">
        <w:rPr>
          <w:rStyle w:val="cf11"/>
          <w:rFonts w:ascii="Arial" w:hAnsi="Arial" w:cs="Arial"/>
          <w:color w:val="000000" w:themeColor="text1"/>
          <w:sz w:val="20"/>
          <w:szCs w:val="20"/>
        </w:rPr>
        <w:t xml:space="preserve"> 2011 BCCA 463, par</w:t>
      </w:r>
      <w:r w:rsidR="005B6A02" w:rsidRPr="00727080">
        <w:rPr>
          <w:rStyle w:val="cf11"/>
          <w:rFonts w:ascii="Arial" w:hAnsi="Arial" w:cs="Arial"/>
          <w:color w:val="000000" w:themeColor="text1"/>
          <w:sz w:val="20"/>
          <w:szCs w:val="20"/>
        </w:rPr>
        <w:t>a. </w:t>
      </w:r>
      <w:r w:rsidRPr="00727080">
        <w:rPr>
          <w:rStyle w:val="cf11"/>
          <w:rFonts w:ascii="Arial" w:hAnsi="Arial" w:cs="Arial"/>
          <w:color w:val="000000" w:themeColor="text1"/>
          <w:sz w:val="20"/>
          <w:szCs w:val="20"/>
        </w:rPr>
        <w:t>18.</w:t>
      </w:r>
    </w:p>
  </w:footnote>
  <w:footnote w:id="16">
    <w:p w14:paraId="5DE737ED" w14:textId="499114C9" w:rsidR="00C21DAC" w:rsidRPr="00727080" w:rsidRDefault="00750A8F" w:rsidP="00C21DAC">
      <w:pPr>
        <w:spacing w:line="240" w:lineRule="auto"/>
        <w:jc w:val="both"/>
        <w:rPr>
          <w:rFonts w:cs="Arial"/>
          <w:color w:val="000000" w:themeColor="text1"/>
          <w:sz w:val="20"/>
          <w:lang w:eastAsia="en-US"/>
        </w:rPr>
      </w:pPr>
      <w:r w:rsidRPr="002872C7">
        <w:rPr>
          <w:rStyle w:val="Appelnotedebasdep"/>
          <w:rFonts w:cs="Arial"/>
          <w:color w:val="000000" w:themeColor="text1"/>
          <w:sz w:val="20"/>
          <w:lang w:val="en-CA"/>
        </w:rPr>
        <w:footnoteRef/>
      </w:r>
      <w:r w:rsidRPr="00727080">
        <w:rPr>
          <w:rFonts w:cs="Arial"/>
          <w:color w:val="000000" w:themeColor="text1"/>
          <w:sz w:val="20"/>
          <w:lang w:eastAsia="en-US"/>
        </w:rPr>
        <w:t xml:space="preserve"> </w:t>
      </w:r>
      <w:r w:rsidRPr="00727080">
        <w:rPr>
          <w:rFonts w:cs="Arial"/>
          <w:i/>
          <w:iCs/>
          <w:color w:val="000000" w:themeColor="text1"/>
          <w:sz w:val="20"/>
          <w:lang w:eastAsia="en-US"/>
        </w:rPr>
        <w:t>R. v. Rodgerson</w:t>
      </w:r>
      <w:r w:rsidRPr="00727080">
        <w:rPr>
          <w:rFonts w:cs="Arial"/>
          <w:color w:val="000000" w:themeColor="text1"/>
          <w:sz w:val="20"/>
          <w:lang w:eastAsia="en-US"/>
        </w:rPr>
        <w:t>, 2015 SCC 38, par</w:t>
      </w:r>
      <w:r w:rsidR="005B6A02" w:rsidRPr="00727080">
        <w:rPr>
          <w:rFonts w:cs="Arial"/>
          <w:color w:val="000000" w:themeColor="text1"/>
          <w:sz w:val="20"/>
          <w:lang w:eastAsia="en-US"/>
        </w:rPr>
        <w:t>a. </w:t>
      </w:r>
      <w:r w:rsidRPr="00727080">
        <w:rPr>
          <w:rFonts w:cs="Arial"/>
          <w:color w:val="000000" w:themeColor="text1"/>
          <w:sz w:val="20"/>
          <w:lang w:eastAsia="en-US"/>
        </w:rPr>
        <w:t>28.</w:t>
      </w:r>
    </w:p>
  </w:footnote>
  <w:footnote w:id="17">
    <w:p w14:paraId="5DE737EE" w14:textId="287F907B" w:rsidR="00C21DAC" w:rsidRPr="00727080" w:rsidRDefault="00750A8F" w:rsidP="00C21DAC">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shd w:val="clear" w:color="auto" w:fill="FFFFFF"/>
        </w:rPr>
        <w:t>R. v. Abdullahi</w:t>
      </w:r>
      <w:r w:rsidRPr="00727080">
        <w:rPr>
          <w:rFonts w:cs="Arial"/>
          <w:iCs/>
          <w:color w:val="000000" w:themeColor="text1"/>
          <w:shd w:val="clear" w:color="auto" w:fill="FFFFFF"/>
        </w:rPr>
        <w:t>, 2023 SCC 19, par</w:t>
      </w:r>
      <w:r w:rsidR="005B6A02" w:rsidRPr="00727080">
        <w:rPr>
          <w:rFonts w:cs="Arial"/>
          <w:iCs/>
          <w:color w:val="000000" w:themeColor="text1"/>
          <w:shd w:val="clear" w:color="auto" w:fill="FFFFFF"/>
        </w:rPr>
        <w:t>a. </w:t>
      </w:r>
      <w:r w:rsidRPr="00727080">
        <w:rPr>
          <w:rFonts w:cs="Arial"/>
          <w:iCs/>
          <w:color w:val="000000" w:themeColor="text1"/>
          <w:shd w:val="clear" w:color="auto" w:fill="FFFFFF"/>
        </w:rPr>
        <w:t>72.</w:t>
      </w:r>
    </w:p>
  </w:footnote>
  <w:footnote w:id="18">
    <w:p w14:paraId="5DE737EF" w14:textId="327DDEFA" w:rsidR="00E729CA" w:rsidRPr="00727080" w:rsidRDefault="00750A8F">
      <w:pPr>
        <w:pStyle w:val="Notedebasdepage"/>
        <w:rPr>
          <w:rFonts w:cs="Arial"/>
          <w:color w:val="000000" w:themeColor="text1"/>
        </w:rPr>
      </w:pPr>
      <w:r w:rsidRPr="002872C7">
        <w:rPr>
          <w:rStyle w:val="Appelnotedebasdep"/>
          <w:rFonts w:cs="Arial"/>
          <w:color w:val="000000" w:themeColor="text1"/>
          <w:lang w:val="en-CA"/>
        </w:rPr>
        <w:footnoteRef/>
      </w:r>
      <w:r w:rsidRPr="00727080">
        <w:rPr>
          <w:rFonts w:cs="Arial"/>
          <w:color w:val="000000" w:themeColor="text1"/>
        </w:rPr>
        <w:t xml:space="preserve"> </w:t>
      </w:r>
      <w:r w:rsidRPr="00727080">
        <w:rPr>
          <w:rFonts w:cs="Arial"/>
          <w:i/>
          <w:iCs/>
          <w:color w:val="000000" w:themeColor="text1"/>
        </w:rPr>
        <w:t>R. v. Rodgerson</w:t>
      </w:r>
      <w:r w:rsidRPr="00727080">
        <w:rPr>
          <w:rFonts w:cs="Arial"/>
          <w:color w:val="000000" w:themeColor="text1"/>
        </w:rPr>
        <w:t>, 2015 SCC 38, par</w:t>
      </w:r>
      <w:r w:rsidR="005B6A02" w:rsidRPr="00727080">
        <w:rPr>
          <w:rFonts w:cs="Arial"/>
          <w:color w:val="000000" w:themeColor="text1"/>
        </w:rPr>
        <w:t>a. </w:t>
      </w:r>
      <w:r w:rsidRPr="00727080">
        <w:rPr>
          <w:rFonts w:cs="Arial"/>
          <w:color w:val="000000" w:themeColor="text1"/>
        </w:rPr>
        <w:t xml:space="preserve">20; </w:t>
      </w:r>
      <w:r w:rsidRPr="00727080">
        <w:rPr>
          <w:rFonts w:cs="Arial"/>
          <w:i/>
          <w:iCs/>
          <w:color w:val="000000" w:themeColor="text1"/>
          <w:shd w:val="clear" w:color="auto" w:fill="FFFFFF"/>
        </w:rPr>
        <w:t>Bresaw c. R.</w:t>
      </w:r>
      <w:r w:rsidRPr="00727080">
        <w:rPr>
          <w:rFonts w:cs="Arial"/>
          <w:iCs/>
          <w:color w:val="000000" w:themeColor="text1"/>
          <w:shd w:val="clear" w:color="auto" w:fill="FFFFFF"/>
        </w:rPr>
        <w:t>, 2017 QCCA 1255, par</w:t>
      </w:r>
      <w:r w:rsidR="005B6A02" w:rsidRPr="00727080">
        <w:rPr>
          <w:rFonts w:cs="Arial"/>
          <w:iCs/>
          <w:color w:val="000000" w:themeColor="text1"/>
          <w:shd w:val="clear" w:color="auto" w:fill="FFFFFF"/>
        </w:rPr>
        <w:t>a. </w:t>
      </w:r>
      <w:r w:rsidRPr="00727080">
        <w:rPr>
          <w:rFonts w:cs="Arial"/>
          <w:iCs/>
          <w:color w:val="000000" w:themeColor="text1"/>
          <w:shd w:val="clear" w:color="auto" w:fill="FFFFFF"/>
        </w:rPr>
        <w:t>52.</w:t>
      </w:r>
    </w:p>
  </w:footnote>
  <w:footnote w:id="19">
    <w:p w14:paraId="5DE737F0" w14:textId="20A3C397" w:rsidR="00C21DAC" w:rsidRPr="00727080" w:rsidRDefault="00750A8F" w:rsidP="00C21DAC">
      <w:pPr>
        <w:pStyle w:val="Notedebasdepage"/>
        <w:ind w:left="0" w:firstLine="0"/>
        <w:rPr>
          <w:rFonts w:cs="Arial"/>
          <w:color w:val="000000" w:themeColor="text1"/>
        </w:rPr>
      </w:pPr>
      <w:r w:rsidRPr="002872C7">
        <w:rPr>
          <w:rStyle w:val="Appelnotedebasdep"/>
          <w:rFonts w:cs="Arial"/>
          <w:color w:val="000000" w:themeColor="text1"/>
          <w:lang w:val="en-CA"/>
        </w:rPr>
        <w:footnoteRef/>
      </w:r>
      <w:r w:rsidRPr="00727080">
        <w:rPr>
          <w:rFonts w:cs="Arial"/>
          <w:i/>
          <w:iCs/>
          <w:color w:val="000000" w:themeColor="text1"/>
        </w:rPr>
        <w:t xml:space="preserve"> R. v. Rodgerson</w:t>
      </w:r>
      <w:r w:rsidRPr="00727080">
        <w:rPr>
          <w:rFonts w:cs="Arial"/>
          <w:color w:val="000000" w:themeColor="text1"/>
        </w:rPr>
        <w:t>, 2015 SCC 38, par</w:t>
      </w:r>
      <w:r w:rsidR="005B6A02" w:rsidRPr="00727080">
        <w:rPr>
          <w:rFonts w:cs="Arial"/>
          <w:color w:val="000000" w:themeColor="text1"/>
        </w:rPr>
        <w:t>a. </w:t>
      </w:r>
      <w:r w:rsidRPr="00727080">
        <w:rPr>
          <w:rFonts w:cs="Arial"/>
          <w:color w:val="000000" w:themeColor="text1"/>
        </w:rPr>
        <w:t xml:space="preserve">39; </w:t>
      </w:r>
      <w:r w:rsidRPr="00727080">
        <w:rPr>
          <w:rFonts w:cs="Arial"/>
          <w:i/>
          <w:iCs/>
          <w:color w:val="000000" w:themeColor="text1"/>
        </w:rPr>
        <w:t>R</w:t>
      </w:r>
      <w:r w:rsidRPr="00727080">
        <w:rPr>
          <w:rFonts w:cs="Arial"/>
          <w:color w:val="000000" w:themeColor="text1"/>
        </w:rPr>
        <w:t>.</w:t>
      </w:r>
      <w:r w:rsidRPr="00727080">
        <w:rPr>
          <w:rFonts w:cs="Arial"/>
          <w:i/>
          <w:iCs/>
          <w:color w:val="000000" w:themeColor="text1"/>
        </w:rPr>
        <w:t> v. Abdullahi</w:t>
      </w:r>
      <w:r w:rsidRPr="00727080">
        <w:rPr>
          <w:rFonts w:cs="Arial"/>
          <w:color w:val="000000" w:themeColor="text1"/>
        </w:rPr>
        <w:t>, 2023 SCC 19, par</w:t>
      </w:r>
      <w:r w:rsidR="005B6A02" w:rsidRPr="00727080">
        <w:rPr>
          <w:rFonts w:cs="Arial"/>
          <w:color w:val="000000" w:themeColor="text1"/>
        </w:rPr>
        <w:t>a. </w:t>
      </w:r>
      <w:r w:rsidRPr="00727080">
        <w:rPr>
          <w:rFonts w:cs="Arial"/>
          <w:color w:val="000000" w:themeColor="text1"/>
        </w:rPr>
        <w:t xml:space="preserve">33; </w:t>
      </w:r>
      <w:r w:rsidRPr="00727080">
        <w:rPr>
          <w:rFonts w:cs="Arial"/>
          <w:i/>
          <w:iCs/>
          <w:color w:val="000000" w:themeColor="text1"/>
        </w:rPr>
        <w:t>Criminal Code</w:t>
      </w:r>
      <w:r w:rsidRPr="00727080">
        <w:rPr>
          <w:rFonts w:cs="Arial"/>
          <w:color w:val="000000" w:themeColor="text1"/>
        </w:rPr>
        <w:t>, R.S.C.</w:t>
      </w:r>
      <w:r w:rsidR="00C60CD6" w:rsidRPr="00727080">
        <w:rPr>
          <w:rFonts w:cs="Arial"/>
          <w:color w:val="000000" w:themeColor="text1"/>
        </w:rPr>
        <w:t> </w:t>
      </w:r>
      <w:r w:rsidRPr="00727080">
        <w:rPr>
          <w:rFonts w:cs="Arial"/>
          <w:color w:val="000000" w:themeColor="text1"/>
        </w:rPr>
        <w:t>1985, c. C</w:t>
      </w:r>
      <w:r w:rsidR="00C60CD6" w:rsidRPr="00727080">
        <w:rPr>
          <w:rFonts w:cs="Arial"/>
          <w:color w:val="000000" w:themeColor="text1"/>
        </w:rPr>
        <w:noBreakHyphen/>
      </w:r>
      <w:r w:rsidRPr="00727080">
        <w:rPr>
          <w:rFonts w:cs="Arial"/>
          <w:color w:val="000000" w:themeColor="text1"/>
        </w:rPr>
        <w:t xml:space="preserve">46, </w:t>
      </w:r>
      <w:r w:rsidR="005B6A02" w:rsidRPr="00727080">
        <w:rPr>
          <w:rFonts w:cs="Arial"/>
          <w:color w:val="000000" w:themeColor="text1"/>
        </w:rPr>
        <w:t>s. </w:t>
      </w:r>
      <w:r w:rsidRPr="00727080">
        <w:rPr>
          <w:rFonts w:cs="Arial"/>
          <w:color w:val="000000" w:themeColor="text1"/>
        </w:rPr>
        <w:t>686(1)(b)(iii).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37D6" w14:textId="77777777" w:rsidR="00C21DAC" w:rsidRDefault="00750A8F" w:rsidP="000D243C">
    <w:pPr>
      <w:tabs>
        <w:tab w:val="center" w:pos="4709"/>
        <w:tab w:val="right" w:pos="9360"/>
      </w:tabs>
      <w:spacing w:line="360" w:lineRule="auto"/>
      <w:ind w:right="524"/>
    </w:pPr>
    <w:r>
      <w:rPr>
        <w:lang w:val="en-CA"/>
      </w:rPr>
      <w:t xml:space="preserve">200-10-003818-213 </w:t>
    </w:r>
    <w:r>
      <w:rPr>
        <w:lang w:val="en-CA"/>
      </w:rPr>
      <w:tab/>
    </w:r>
    <w:r>
      <w:rPr>
        <w:lang w:val="en-CA"/>
      </w:rPr>
      <w:tab/>
      <w:t xml:space="preserve">PAGE: </w:t>
    </w:r>
    <w:r>
      <w:fldChar w:fldCharType="begin"/>
    </w:r>
    <w:r>
      <w:instrText xml:space="preserve"> PAGE </w:instrText>
    </w:r>
    <w:r>
      <w:fldChar w:fldCharType="separate"/>
    </w:r>
    <w:r>
      <w:t>1</w:t>
    </w:r>
    <w:r>
      <w:fldChar w:fldCharType="end"/>
    </w:r>
  </w:p>
  <w:p w14:paraId="5DE737D7" w14:textId="77777777" w:rsidR="00841E8F" w:rsidRDefault="00841E8F" w:rsidP="000D243C">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37DC" w14:textId="77777777" w:rsidR="007E33E4" w:rsidRDefault="00750A8F" w:rsidP="00DB2119">
    <w:pPr>
      <w:tabs>
        <w:tab w:val="center" w:pos="4709"/>
        <w:tab w:val="right" w:pos="9360"/>
      </w:tabs>
      <w:spacing w:line="360" w:lineRule="auto"/>
      <w:ind w:right="524"/>
    </w:pPr>
    <w:bookmarkStart w:id="14" w:name="EntDossier"/>
    <w:r>
      <w:rPr>
        <w:lang w:val="en-CA"/>
      </w:rPr>
      <w:t>200-10-003818-213</w:t>
    </w:r>
    <w:bookmarkEnd w:id="14"/>
    <w:r>
      <w:rPr>
        <w:lang w:val="en-CA"/>
      </w:rPr>
      <w:t xml:space="preserve"> </w:t>
    </w:r>
    <w:r>
      <w:rPr>
        <w:lang w:val="en-CA"/>
      </w:rPr>
      <w:tab/>
    </w:r>
    <w:r>
      <w:rPr>
        <w:lang w:val="en-CA"/>
      </w:rPr>
      <w:tab/>
      <w:t xml:space="preserve">PAGE: </w:t>
    </w:r>
    <w:r>
      <w:fldChar w:fldCharType="begin"/>
    </w:r>
    <w:r>
      <w:instrText xml:space="preserve"> PAGE </w:instrText>
    </w:r>
    <w:r>
      <w:fldChar w:fldCharType="separate"/>
    </w:r>
    <w:r w:rsidR="008D18FC">
      <w:rPr>
        <w:noProof/>
      </w:rPr>
      <w:t>2</w:t>
    </w:r>
    <w:r>
      <w:fldChar w:fldCharType="end"/>
    </w:r>
  </w:p>
  <w:p w14:paraId="5DE737DD"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1297527"/>
    <w:multiLevelType w:val="hybridMultilevel"/>
    <w:tmpl w:val="2FDA2EDC"/>
    <w:lvl w:ilvl="0" w:tplc="5B728F90">
      <w:start w:val="1"/>
      <w:numFmt w:val="decimal"/>
      <w:lvlText w:val="(%1)"/>
      <w:lvlJc w:val="left"/>
      <w:pPr>
        <w:ind w:left="1080" w:hanging="360"/>
      </w:pPr>
    </w:lvl>
    <w:lvl w:ilvl="1" w:tplc="329871A0">
      <w:start w:val="1"/>
      <w:numFmt w:val="decimal"/>
      <w:lvlText w:val="(%2)"/>
      <w:lvlJc w:val="left"/>
      <w:pPr>
        <w:ind w:left="1080" w:hanging="360"/>
      </w:pPr>
    </w:lvl>
    <w:lvl w:ilvl="2" w:tplc="7F64C35A">
      <w:start w:val="1"/>
      <w:numFmt w:val="decimal"/>
      <w:lvlText w:val="(%3)"/>
      <w:lvlJc w:val="left"/>
      <w:pPr>
        <w:ind w:left="1080" w:hanging="360"/>
      </w:pPr>
    </w:lvl>
    <w:lvl w:ilvl="3" w:tplc="01880130">
      <w:start w:val="1"/>
      <w:numFmt w:val="decimal"/>
      <w:lvlText w:val="(%4)"/>
      <w:lvlJc w:val="left"/>
      <w:pPr>
        <w:ind w:left="1080" w:hanging="360"/>
      </w:pPr>
    </w:lvl>
    <w:lvl w:ilvl="4" w:tplc="DF428DF4">
      <w:start w:val="1"/>
      <w:numFmt w:val="decimal"/>
      <w:lvlText w:val="(%5)"/>
      <w:lvlJc w:val="left"/>
      <w:pPr>
        <w:ind w:left="1080" w:hanging="360"/>
      </w:pPr>
    </w:lvl>
    <w:lvl w:ilvl="5" w:tplc="2CF8B37C">
      <w:start w:val="1"/>
      <w:numFmt w:val="decimal"/>
      <w:lvlText w:val="(%6)"/>
      <w:lvlJc w:val="left"/>
      <w:pPr>
        <w:ind w:left="1080" w:hanging="360"/>
      </w:pPr>
    </w:lvl>
    <w:lvl w:ilvl="6" w:tplc="144E3A16">
      <w:start w:val="1"/>
      <w:numFmt w:val="decimal"/>
      <w:lvlText w:val="(%7)"/>
      <w:lvlJc w:val="left"/>
      <w:pPr>
        <w:ind w:left="1080" w:hanging="360"/>
      </w:pPr>
    </w:lvl>
    <w:lvl w:ilvl="7" w:tplc="A9C213C0">
      <w:start w:val="1"/>
      <w:numFmt w:val="decimal"/>
      <w:lvlText w:val="(%8)"/>
      <w:lvlJc w:val="left"/>
      <w:pPr>
        <w:ind w:left="1080" w:hanging="360"/>
      </w:pPr>
    </w:lvl>
    <w:lvl w:ilvl="8" w:tplc="132488AE">
      <w:start w:val="1"/>
      <w:numFmt w:val="decimal"/>
      <w:lvlText w:val="(%9)"/>
      <w:lvlJc w:val="left"/>
      <w:pPr>
        <w:ind w:left="1080" w:hanging="360"/>
      </w:p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C57119C"/>
    <w:multiLevelType w:val="hybridMultilevel"/>
    <w:tmpl w:val="7DFE140E"/>
    <w:lvl w:ilvl="0" w:tplc="965E0EFE">
      <w:start w:val="1"/>
      <w:numFmt w:val="decimal"/>
      <w:lvlText w:val="(%1)"/>
      <w:lvlJc w:val="left"/>
      <w:pPr>
        <w:ind w:left="1080" w:hanging="360"/>
      </w:pPr>
    </w:lvl>
    <w:lvl w:ilvl="1" w:tplc="8A4C0272">
      <w:start w:val="1"/>
      <w:numFmt w:val="decimal"/>
      <w:lvlText w:val="(%2)"/>
      <w:lvlJc w:val="left"/>
      <w:pPr>
        <w:ind w:left="1080" w:hanging="360"/>
      </w:pPr>
    </w:lvl>
    <w:lvl w:ilvl="2" w:tplc="0ED093D2">
      <w:start w:val="1"/>
      <w:numFmt w:val="decimal"/>
      <w:lvlText w:val="(%3)"/>
      <w:lvlJc w:val="left"/>
      <w:pPr>
        <w:ind w:left="1080" w:hanging="360"/>
      </w:pPr>
    </w:lvl>
    <w:lvl w:ilvl="3" w:tplc="78BC389A">
      <w:start w:val="1"/>
      <w:numFmt w:val="decimal"/>
      <w:lvlText w:val="(%4)"/>
      <w:lvlJc w:val="left"/>
      <w:pPr>
        <w:ind w:left="1080" w:hanging="360"/>
      </w:pPr>
    </w:lvl>
    <w:lvl w:ilvl="4" w:tplc="DD186734">
      <w:start w:val="1"/>
      <w:numFmt w:val="decimal"/>
      <w:lvlText w:val="(%5)"/>
      <w:lvlJc w:val="left"/>
      <w:pPr>
        <w:ind w:left="1080" w:hanging="360"/>
      </w:pPr>
    </w:lvl>
    <w:lvl w:ilvl="5" w:tplc="B90C7DBC">
      <w:start w:val="1"/>
      <w:numFmt w:val="decimal"/>
      <w:lvlText w:val="(%6)"/>
      <w:lvlJc w:val="left"/>
      <w:pPr>
        <w:ind w:left="1080" w:hanging="360"/>
      </w:pPr>
    </w:lvl>
    <w:lvl w:ilvl="6" w:tplc="F4D636DA">
      <w:start w:val="1"/>
      <w:numFmt w:val="decimal"/>
      <w:lvlText w:val="(%7)"/>
      <w:lvlJc w:val="left"/>
      <w:pPr>
        <w:ind w:left="1080" w:hanging="360"/>
      </w:pPr>
    </w:lvl>
    <w:lvl w:ilvl="7" w:tplc="CBBA206C">
      <w:start w:val="1"/>
      <w:numFmt w:val="decimal"/>
      <w:lvlText w:val="(%8)"/>
      <w:lvlJc w:val="left"/>
      <w:pPr>
        <w:ind w:left="1080" w:hanging="360"/>
      </w:pPr>
    </w:lvl>
    <w:lvl w:ilvl="8" w:tplc="51CA235A">
      <w:start w:val="1"/>
      <w:numFmt w:val="decimal"/>
      <w:lvlText w:val="(%9)"/>
      <w:lvlJc w:val="left"/>
      <w:pPr>
        <w:ind w:left="1080" w:hanging="360"/>
      </w:pPr>
    </w:lvl>
  </w:abstractNum>
  <w:num w:numId="1" w16cid:durableId="2127724492">
    <w:abstractNumId w:val="13"/>
  </w:num>
  <w:num w:numId="2" w16cid:durableId="1593734755">
    <w:abstractNumId w:val="13"/>
  </w:num>
  <w:num w:numId="3" w16cid:durableId="474688687">
    <w:abstractNumId w:val="13"/>
  </w:num>
  <w:num w:numId="4" w16cid:durableId="1695959443">
    <w:abstractNumId w:val="8"/>
  </w:num>
  <w:num w:numId="5" w16cid:durableId="954336087">
    <w:abstractNumId w:val="3"/>
  </w:num>
  <w:num w:numId="6" w16cid:durableId="1666934281">
    <w:abstractNumId w:val="2"/>
  </w:num>
  <w:num w:numId="7" w16cid:durableId="693699972">
    <w:abstractNumId w:val="1"/>
  </w:num>
  <w:num w:numId="8" w16cid:durableId="1428891917">
    <w:abstractNumId w:val="0"/>
  </w:num>
  <w:num w:numId="9" w16cid:durableId="1074090464">
    <w:abstractNumId w:val="9"/>
  </w:num>
  <w:num w:numId="10" w16cid:durableId="1810829523">
    <w:abstractNumId w:val="7"/>
  </w:num>
  <w:num w:numId="11" w16cid:durableId="181092672">
    <w:abstractNumId w:val="6"/>
  </w:num>
  <w:num w:numId="12" w16cid:durableId="1575891729">
    <w:abstractNumId w:val="5"/>
  </w:num>
  <w:num w:numId="13" w16cid:durableId="281957056">
    <w:abstractNumId w:val="4"/>
  </w:num>
  <w:num w:numId="14" w16cid:durableId="338582613">
    <w:abstractNumId w:val="13"/>
  </w:num>
  <w:num w:numId="15" w16cid:durableId="1923249444">
    <w:abstractNumId w:val="13"/>
  </w:num>
  <w:num w:numId="16" w16cid:durableId="1955676739">
    <w:abstractNumId w:val="13"/>
  </w:num>
  <w:num w:numId="17" w16cid:durableId="1383480745">
    <w:abstractNumId w:val="12"/>
  </w:num>
  <w:num w:numId="18" w16cid:durableId="777531349">
    <w:abstractNumId w:val="10"/>
  </w:num>
  <w:num w:numId="19" w16cid:durableId="421293365">
    <w:abstractNumId w:val="11"/>
  </w:num>
  <w:num w:numId="20" w16cid:durableId="1107240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U JUGE"/>
    <w:docVar w:name="MotifJuge3" w:val="MOTIFS DE LA JUGE"/>
    <w:docVar w:name="NomFamJuge1" w:val="DUTIL"/>
    <w:docVar w:name="NomFamJuge2" w:val="RUEL"/>
    <w:docVar w:name="NomFamJuge3" w:val="LAVALLÉE"/>
    <w:docVar w:name="NomFamJuge4" w:val="MAILHOT"/>
    <w:docVar w:name="NomFamJuge5" w:val="BAUDOUIN"/>
    <w:docVar w:name="QteJuge1" w:val=", J.C.A."/>
    <w:docVar w:name="QteJuge2" w:val=", J.C.A."/>
    <w:docVar w:name="QteJuge3" w:val=", J.C.A."/>
    <w:docVar w:name="stPremiereFois" w:val="Non"/>
  </w:docVars>
  <w:rsids>
    <w:rsidRoot w:val="00411C01"/>
    <w:rsid w:val="00005ACB"/>
    <w:rsid w:val="000131E1"/>
    <w:rsid w:val="00030A07"/>
    <w:rsid w:val="00035968"/>
    <w:rsid w:val="00043588"/>
    <w:rsid w:val="0004394C"/>
    <w:rsid w:val="00053691"/>
    <w:rsid w:val="00064735"/>
    <w:rsid w:val="0007420F"/>
    <w:rsid w:val="000911A1"/>
    <w:rsid w:val="000A7516"/>
    <w:rsid w:val="000B42AF"/>
    <w:rsid w:val="000D243C"/>
    <w:rsid w:val="000D5BFC"/>
    <w:rsid w:val="000E3157"/>
    <w:rsid w:val="000F0FC9"/>
    <w:rsid w:val="00110B53"/>
    <w:rsid w:val="00112321"/>
    <w:rsid w:val="00117914"/>
    <w:rsid w:val="0013028C"/>
    <w:rsid w:val="001540A3"/>
    <w:rsid w:val="0015610F"/>
    <w:rsid w:val="00160B31"/>
    <w:rsid w:val="00181F56"/>
    <w:rsid w:val="00184113"/>
    <w:rsid w:val="00190C4D"/>
    <w:rsid w:val="00190FA7"/>
    <w:rsid w:val="001972F2"/>
    <w:rsid w:val="001A59AC"/>
    <w:rsid w:val="001C528E"/>
    <w:rsid w:val="00205DC4"/>
    <w:rsid w:val="0021548E"/>
    <w:rsid w:val="00225574"/>
    <w:rsid w:val="002273F5"/>
    <w:rsid w:val="0023782B"/>
    <w:rsid w:val="00265657"/>
    <w:rsid w:val="002872C7"/>
    <w:rsid w:val="002A11CB"/>
    <w:rsid w:val="002B4A07"/>
    <w:rsid w:val="002C4107"/>
    <w:rsid w:val="002C422E"/>
    <w:rsid w:val="002D1200"/>
    <w:rsid w:val="002E1B81"/>
    <w:rsid w:val="002E1F0E"/>
    <w:rsid w:val="002E229C"/>
    <w:rsid w:val="002E51F1"/>
    <w:rsid w:val="002E7EAB"/>
    <w:rsid w:val="002F1350"/>
    <w:rsid w:val="002F6136"/>
    <w:rsid w:val="00310476"/>
    <w:rsid w:val="00322DE0"/>
    <w:rsid w:val="0032363D"/>
    <w:rsid w:val="0033190E"/>
    <w:rsid w:val="003422C1"/>
    <w:rsid w:val="00351A7B"/>
    <w:rsid w:val="00361325"/>
    <w:rsid w:val="00374888"/>
    <w:rsid w:val="00374E40"/>
    <w:rsid w:val="00384BFF"/>
    <w:rsid w:val="003D487D"/>
    <w:rsid w:val="003E3239"/>
    <w:rsid w:val="003E3E3C"/>
    <w:rsid w:val="004018B0"/>
    <w:rsid w:val="00411C01"/>
    <w:rsid w:val="00414D28"/>
    <w:rsid w:val="004234CC"/>
    <w:rsid w:val="00423DF1"/>
    <w:rsid w:val="00430C58"/>
    <w:rsid w:val="004331C4"/>
    <w:rsid w:val="0043564D"/>
    <w:rsid w:val="00441C25"/>
    <w:rsid w:val="004457BE"/>
    <w:rsid w:val="00446452"/>
    <w:rsid w:val="00456E0F"/>
    <w:rsid w:val="00471D02"/>
    <w:rsid w:val="00472DC8"/>
    <w:rsid w:val="004802EC"/>
    <w:rsid w:val="004A29F1"/>
    <w:rsid w:val="004A6641"/>
    <w:rsid w:val="004B1E94"/>
    <w:rsid w:val="004B33FF"/>
    <w:rsid w:val="004C15D6"/>
    <w:rsid w:val="004D2F69"/>
    <w:rsid w:val="004D5F6F"/>
    <w:rsid w:val="004E4FBA"/>
    <w:rsid w:val="005131F1"/>
    <w:rsid w:val="0051484F"/>
    <w:rsid w:val="00516B3E"/>
    <w:rsid w:val="005262C9"/>
    <w:rsid w:val="00531D70"/>
    <w:rsid w:val="00537B62"/>
    <w:rsid w:val="005644FA"/>
    <w:rsid w:val="00566BF6"/>
    <w:rsid w:val="00572663"/>
    <w:rsid w:val="00583434"/>
    <w:rsid w:val="0058349F"/>
    <w:rsid w:val="00596A55"/>
    <w:rsid w:val="005A21D2"/>
    <w:rsid w:val="005A78BF"/>
    <w:rsid w:val="005B564C"/>
    <w:rsid w:val="005B6A02"/>
    <w:rsid w:val="005B6B4C"/>
    <w:rsid w:val="005C12EF"/>
    <w:rsid w:val="005C7516"/>
    <w:rsid w:val="005D1522"/>
    <w:rsid w:val="005F5F5F"/>
    <w:rsid w:val="00601369"/>
    <w:rsid w:val="00607C35"/>
    <w:rsid w:val="00624770"/>
    <w:rsid w:val="0064250B"/>
    <w:rsid w:val="00642D18"/>
    <w:rsid w:val="00670514"/>
    <w:rsid w:val="00676637"/>
    <w:rsid w:val="006826AA"/>
    <w:rsid w:val="0068356A"/>
    <w:rsid w:val="00694300"/>
    <w:rsid w:val="006A0DB0"/>
    <w:rsid w:val="006A6629"/>
    <w:rsid w:val="006C0FF4"/>
    <w:rsid w:val="006E5860"/>
    <w:rsid w:val="006E7953"/>
    <w:rsid w:val="006F39CD"/>
    <w:rsid w:val="00701EA3"/>
    <w:rsid w:val="007104A7"/>
    <w:rsid w:val="00710FBD"/>
    <w:rsid w:val="00727080"/>
    <w:rsid w:val="00740A17"/>
    <w:rsid w:val="0074241A"/>
    <w:rsid w:val="007462D6"/>
    <w:rsid w:val="00746321"/>
    <w:rsid w:val="0074738B"/>
    <w:rsid w:val="00750A8F"/>
    <w:rsid w:val="00752298"/>
    <w:rsid w:val="0076062E"/>
    <w:rsid w:val="00762FB4"/>
    <w:rsid w:val="00765CB6"/>
    <w:rsid w:val="007953F3"/>
    <w:rsid w:val="007A7803"/>
    <w:rsid w:val="007B061E"/>
    <w:rsid w:val="007B0DCF"/>
    <w:rsid w:val="007B48D5"/>
    <w:rsid w:val="007D087C"/>
    <w:rsid w:val="007D1697"/>
    <w:rsid w:val="007D7DE5"/>
    <w:rsid w:val="007E33E4"/>
    <w:rsid w:val="007E4CC9"/>
    <w:rsid w:val="00800D23"/>
    <w:rsid w:val="008021B7"/>
    <w:rsid w:val="00816273"/>
    <w:rsid w:val="008257DA"/>
    <w:rsid w:val="0082717B"/>
    <w:rsid w:val="00827B04"/>
    <w:rsid w:val="0083032E"/>
    <w:rsid w:val="00841907"/>
    <w:rsid w:val="00841E8F"/>
    <w:rsid w:val="00847720"/>
    <w:rsid w:val="0086036A"/>
    <w:rsid w:val="008653A3"/>
    <w:rsid w:val="008657A2"/>
    <w:rsid w:val="00866645"/>
    <w:rsid w:val="00881028"/>
    <w:rsid w:val="00882210"/>
    <w:rsid w:val="0088517C"/>
    <w:rsid w:val="008A6185"/>
    <w:rsid w:val="008C1FE9"/>
    <w:rsid w:val="008C7DCE"/>
    <w:rsid w:val="008D18FC"/>
    <w:rsid w:val="008D398B"/>
    <w:rsid w:val="008D7E49"/>
    <w:rsid w:val="008F364A"/>
    <w:rsid w:val="008F3F53"/>
    <w:rsid w:val="008F7898"/>
    <w:rsid w:val="00913E03"/>
    <w:rsid w:val="009229E9"/>
    <w:rsid w:val="00926953"/>
    <w:rsid w:val="00932703"/>
    <w:rsid w:val="00936469"/>
    <w:rsid w:val="009400B7"/>
    <w:rsid w:val="00945800"/>
    <w:rsid w:val="00946848"/>
    <w:rsid w:val="00951506"/>
    <w:rsid w:val="00952F7E"/>
    <w:rsid w:val="00954DC2"/>
    <w:rsid w:val="00957B92"/>
    <w:rsid w:val="00970966"/>
    <w:rsid w:val="00974442"/>
    <w:rsid w:val="00975C4B"/>
    <w:rsid w:val="009B78FB"/>
    <w:rsid w:val="009D5712"/>
    <w:rsid w:val="009E0591"/>
    <w:rsid w:val="009F0682"/>
    <w:rsid w:val="009F1F69"/>
    <w:rsid w:val="00A16F77"/>
    <w:rsid w:val="00A23BF4"/>
    <w:rsid w:val="00A2593B"/>
    <w:rsid w:val="00A34E05"/>
    <w:rsid w:val="00A43D8B"/>
    <w:rsid w:val="00A454F1"/>
    <w:rsid w:val="00A52958"/>
    <w:rsid w:val="00A543CC"/>
    <w:rsid w:val="00A93CFF"/>
    <w:rsid w:val="00AB7DD2"/>
    <w:rsid w:val="00AD231A"/>
    <w:rsid w:val="00AD4508"/>
    <w:rsid w:val="00AE341D"/>
    <w:rsid w:val="00AF0C7C"/>
    <w:rsid w:val="00B01D86"/>
    <w:rsid w:val="00B02066"/>
    <w:rsid w:val="00B07E4E"/>
    <w:rsid w:val="00B11FD1"/>
    <w:rsid w:val="00B137E9"/>
    <w:rsid w:val="00B30EA2"/>
    <w:rsid w:val="00B36ED3"/>
    <w:rsid w:val="00B414A7"/>
    <w:rsid w:val="00B4654F"/>
    <w:rsid w:val="00B513C9"/>
    <w:rsid w:val="00B56EF4"/>
    <w:rsid w:val="00B6400E"/>
    <w:rsid w:val="00B70485"/>
    <w:rsid w:val="00B82A13"/>
    <w:rsid w:val="00BB36B3"/>
    <w:rsid w:val="00BC32A3"/>
    <w:rsid w:val="00BC5CD9"/>
    <w:rsid w:val="00BD7DFA"/>
    <w:rsid w:val="00BE336A"/>
    <w:rsid w:val="00BF301D"/>
    <w:rsid w:val="00C02AF8"/>
    <w:rsid w:val="00C02C2B"/>
    <w:rsid w:val="00C17E01"/>
    <w:rsid w:val="00C21DAC"/>
    <w:rsid w:val="00C307AE"/>
    <w:rsid w:val="00C31AC4"/>
    <w:rsid w:val="00C35839"/>
    <w:rsid w:val="00C409BE"/>
    <w:rsid w:val="00C423CA"/>
    <w:rsid w:val="00C43412"/>
    <w:rsid w:val="00C60CD6"/>
    <w:rsid w:val="00C61683"/>
    <w:rsid w:val="00C652ED"/>
    <w:rsid w:val="00C7793C"/>
    <w:rsid w:val="00C82314"/>
    <w:rsid w:val="00C90776"/>
    <w:rsid w:val="00C939A8"/>
    <w:rsid w:val="00C97145"/>
    <w:rsid w:val="00CA142B"/>
    <w:rsid w:val="00D010FD"/>
    <w:rsid w:val="00D02812"/>
    <w:rsid w:val="00D20056"/>
    <w:rsid w:val="00D8220F"/>
    <w:rsid w:val="00D86630"/>
    <w:rsid w:val="00D90955"/>
    <w:rsid w:val="00D92A04"/>
    <w:rsid w:val="00DB2119"/>
    <w:rsid w:val="00DC05BC"/>
    <w:rsid w:val="00DC2901"/>
    <w:rsid w:val="00DD3A24"/>
    <w:rsid w:val="00DF3516"/>
    <w:rsid w:val="00E03C07"/>
    <w:rsid w:val="00E04536"/>
    <w:rsid w:val="00E13953"/>
    <w:rsid w:val="00E20E3C"/>
    <w:rsid w:val="00E304D3"/>
    <w:rsid w:val="00E36290"/>
    <w:rsid w:val="00E6162A"/>
    <w:rsid w:val="00E62047"/>
    <w:rsid w:val="00E729CA"/>
    <w:rsid w:val="00E81E61"/>
    <w:rsid w:val="00E848B4"/>
    <w:rsid w:val="00E84BAC"/>
    <w:rsid w:val="00E91417"/>
    <w:rsid w:val="00E91750"/>
    <w:rsid w:val="00E94329"/>
    <w:rsid w:val="00EA289C"/>
    <w:rsid w:val="00EB1377"/>
    <w:rsid w:val="00EC1E33"/>
    <w:rsid w:val="00EC7D3B"/>
    <w:rsid w:val="00ED7F73"/>
    <w:rsid w:val="00EE16DC"/>
    <w:rsid w:val="00EE45C0"/>
    <w:rsid w:val="00EF0464"/>
    <w:rsid w:val="00F07022"/>
    <w:rsid w:val="00F077B2"/>
    <w:rsid w:val="00F1119E"/>
    <w:rsid w:val="00F24094"/>
    <w:rsid w:val="00F32D97"/>
    <w:rsid w:val="00F33E30"/>
    <w:rsid w:val="00F3595A"/>
    <w:rsid w:val="00F35A34"/>
    <w:rsid w:val="00F40882"/>
    <w:rsid w:val="00F43559"/>
    <w:rsid w:val="00F500EB"/>
    <w:rsid w:val="00F50C16"/>
    <w:rsid w:val="00F54E79"/>
    <w:rsid w:val="00F5789B"/>
    <w:rsid w:val="00F62F0C"/>
    <w:rsid w:val="00F72C6E"/>
    <w:rsid w:val="00F73B4D"/>
    <w:rsid w:val="00F75AAB"/>
    <w:rsid w:val="00F75C76"/>
    <w:rsid w:val="00F803C6"/>
    <w:rsid w:val="00FC3257"/>
    <w:rsid w:val="00FC6C32"/>
    <w:rsid w:val="00FC720B"/>
    <w:rsid w:val="00FC7BF6"/>
    <w:rsid w:val="00FD7314"/>
    <w:rsid w:val="00FE3FE9"/>
    <w:rsid w:val="00FE6A10"/>
    <w:rsid w:val="00FF12B5"/>
    <w:rsid w:val="00FF49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73729"/>
  <w15:chartTrackingRefBased/>
  <w15:docId w15:val="{DC60448F-C41F-4EE1-8BDB-D3C39F94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1 Char1 Char Char,Char1 Char1 Char1,Char1 Char2 Char,Char1 Char3,Footnote Text Char Char Char,Footnote Text Char Char1,Footnote Text Char1 Char,Footnote Text Char2,fn"/>
    <w:basedOn w:val="Normal"/>
    <w:link w:val="NotedebasdepageCar"/>
    <w:semiHidden/>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Char1 Char1 Char Char Car,Char1 Char1 Char1 Car,Char1 Char2 Char Car,Char1 Char3 Car,Footnote Text Char Char Char Car,Footnote Text Char Char1 Car,Footnote Text Char1 Char Car,Footnote Text Char2 Car,fn Car"/>
    <w:basedOn w:val="Policepardfaut"/>
    <w:link w:val="Notedebasdepage"/>
    <w:semiHidden/>
    <w:rsid w:val="00C21DAC"/>
    <w:rPr>
      <w:rFonts w:ascii="Arial" w:hAnsi="Arial"/>
      <w:lang w:eastAsia="fr-FR"/>
    </w:rPr>
  </w:style>
  <w:style w:type="paragraph" w:customStyle="1" w:styleId="aParagraphe">
    <w:name w:val="(a) Paragraphe"/>
    <w:basedOn w:val="Normal"/>
    <w:qFormat/>
    <w:rsid w:val="00C21DAC"/>
    <w:pPr>
      <w:tabs>
        <w:tab w:val="num" w:pos="720"/>
      </w:tabs>
      <w:spacing w:before="120" w:after="120" w:line="360" w:lineRule="auto"/>
      <w:jc w:val="both"/>
    </w:pPr>
    <w:rPr>
      <w:kern w:val="28"/>
    </w:rPr>
  </w:style>
  <w:style w:type="character" w:customStyle="1" w:styleId="cf01">
    <w:name w:val="cf01"/>
    <w:basedOn w:val="Policepardfaut"/>
    <w:rsid w:val="00C21DAC"/>
    <w:rPr>
      <w:rFonts w:ascii="Segoe UI" w:hAnsi="Segoe UI" w:cs="Segoe UI" w:hint="default"/>
      <w:i/>
      <w:iCs/>
      <w:color w:val="212529"/>
      <w:sz w:val="18"/>
      <w:szCs w:val="18"/>
      <w:shd w:val="clear" w:color="auto" w:fill="FFFFFF"/>
    </w:rPr>
  </w:style>
  <w:style w:type="character" w:customStyle="1" w:styleId="cf11">
    <w:name w:val="cf11"/>
    <w:basedOn w:val="Policepardfaut"/>
    <w:rsid w:val="00C21DAC"/>
    <w:rPr>
      <w:rFonts w:ascii="Segoe UI" w:hAnsi="Segoe UI" w:cs="Segoe UI" w:hint="default"/>
      <w:color w:val="212529"/>
      <w:sz w:val="18"/>
      <w:szCs w:val="18"/>
      <w:shd w:val="clear" w:color="auto" w:fill="FFFFFF"/>
    </w:rPr>
  </w:style>
  <w:style w:type="paragraph" w:styleId="Rvision">
    <w:name w:val="Revision"/>
    <w:hidden/>
    <w:uiPriority w:val="99"/>
    <w:semiHidden/>
    <w:rsid w:val="00C21DAC"/>
    <w:rPr>
      <w:rFonts w:ascii="Arial" w:hAnsi="Arial"/>
      <w:sz w:val="24"/>
      <w:lang w:eastAsia="fr-FR"/>
    </w:rPr>
  </w:style>
  <w:style w:type="character" w:styleId="Marquedecommentaire">
    <w:name w:val="annotation reference"/>
    <w:basedOn w:val="Policepardfaut"/>
    <w:uiPriority w:val="99"/>
    <w:semiHidden/>
    <w:unhideWhenUsed/>
    <w:rsid w:val="00EA289C"/>
    <w:rPr>
      <w:sz w:val="16"/>
      <w:szCs w:val="16"/>
    </w:rPr>
  </w:style>
  <w:style w:type="paragraph" w:styleId="Commentaire">
    <w:name w:val="annotation text"/>
    <w:basedOn w:val="Normal"/>
    <w:link w:val="CommentaireCar"/>
    <w:uiPriority w:val="99"/>
    <w:unhideWhenUsed/>
    <w:rsid w:val="00EA289C"/>
    <w:pPr>
      <w:spacing w:line="240" w:lineRule="auto"/>
    </w:pPr>
    <w:rPr>
      <w:sz w:val="20"/>
    </w:rPr>
  </w:style>
  <w:style w:type="character" w:customStyle="1" w:styleId="CommentaireCar">
    <w:name w:val="Commentaire Car"/>
    <w:basedOn w:val="Policepardfaut"/>
    <w:link w:val="Commentaire"/>
    <w:uiPriority w:val="99"/>
    <w:rsid w:val="00EA289C"/>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EA289C"/>
    <w:rPr>
      <w:b/>
      <w:bCs/>
    </w:rPr>
  </w:style>
  <w:style w:type="character" w:customStyle="1" w:styleId="ObjetducommentaireCar">
    <w:name w:val="Objet du commentaire Car"/>
    <w:basedOn w:val="CommentaireCar"/>
    <w:link w:val="Objetducommentaire"/>
    <w:uiPriority w:val="99"/>
    <w:semiHidden/>
    <w:rsid w:val="00EA289C"/>
    <w:rPr>
      <w:rFonts w:ascii="Arial" w:hAnsi="Arial"/>
      <w:b/>
      <w:bCs/>
      <w:lang w:eastAsia="fr-FR"/>
    </w:rPr>
  </w:style>
  <w:style w:type="character" w:styleId="Hyperlien">
    <w:name w:val="Hyperlink"/>
    <w:basedOn w:val="Policepardfaut"/>
    <w:uiPriority w:val="99"/>
    <w:unhideWhenUsed/>
    <w:rsid w:val="00EA289C"/>
    <w:rPr>
      <w:color w:val="0563C1" w:themeColor="hyperlink"/>
      <w:u w:val="single"/>
    </w:rPr>
  </w:style>
  <w:style w:type="character" w:customStyle="1" w:styleId="Mentionnonrsolue1">
    <w:name w:val="Mention non résolue1"/>
    <w:basedOn w:val="Policepardfaut"/>
    <w:uiPriority w:val="99"/>
    <w:semiHidden/>
    <w:unhideWhenUsed/>
    <w:rsid w:val="00EA289C"/>
    <w:rPr>
      <w:color w:val="605E5C"/>
      <w:shd w:val="clear" w:color="auto" w:fill="E1DFDD"/>
    </w:rPr>
  </w:style>
  <w:style w:type="character" w:customStyle="1" w:styleId="cf21">
    <w:name w:val="cf21"/>
    <w:basedOn w:val="Policepardfaut"/>
    <w:rsid w:val="00F077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1751</Words>
  <Characters>9636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creator>Gisèle Monnet</dc:creator>
  <cp:lastModifiedBy>Gauthier, François</cp:lastModifiedBy>
  <cp:revision>6</cp:revision>
  <cp:lastPrinted>2024-12-11T17:45:00Z</cp:lastPrinted>
  <dcterms:created xsi:type="dcterms:W3CDTF">2025-02-04T14:32:00Z</dcterms:created>
  <dcterms:modified xsi:type="dcterms:W3CDTF">2025-02-04T15:24:00Z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CA</vt:lpwstr>
  </property>
  <property fmtid="{D5CDD505-2E9C-101B-9397-08002B2CF9AE}" pid="3" name="Soquij_DateModification">
    <vt:lpwstr>04-26-2001</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