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891D" w14:textId="2EA15855" w:rsidR="005E46B7" w:rsidRPr="001826AA" w:rsidRDefault="005E46B7">
      <w:pPr>
        <w:rPr>
          <w:b/>
          <w:bCs/>
          <w:lang w:val="en-CA"/>
        </w:rPr>
      </w:pPr>
      <w:r w:rsidRPr="001826AA">
        <w:rPr>
          <w:b/>
          <w:bCs/>
          <w:lang w:val="en-CA"/>
        </w:rPr>
        <w:t>Translated from the original French</w:t>
      </w:r>
    </w:p>
    <w:tbl>
      <w:tblPr>
        <w:tblW w:w="9568" w:type="dxa"/>
        <w:tblLayout w:type="fixed"/>
        <w:tblCellMar>
          <w:left w:w="70" w:type="dxa"/>
          <w:right w:w="70" w:type="dxa"/>
        </w:tblCellMar>
        <w:tblLook w:val="0000" w:firstRow="0" w:lastRow="0" w:firstColumn="0" w:lastColumn="0" w:noHBand="0" w:noVBand="0"/>
      </w:tblPr>
      <w:tblGrid>
        <w:gridCol w:w="1917"/>
        <w:gridCol w:w="2903"/>
        <w:gridCol w:w="850"/>
        <w:gridCol w:w="3828"/>
        <w:gridCol w:w="70"/>
      </w:tblGrid>
      <w:tr w:rsidR="001826AA" w:rsidRPr="001A7F2A" w14:paraId="38FD1CDB" w14:textId="77777777" w:rsidTr="004C5B4A">
        <w:trPr>
          <w:gridAfter w:val="1"/>
          <w:wAfter w:w="70" w:type="dxa"/>
          <w:trHeight w:val="360"/>
        </w:trPr>
        <w:tc>
          <w:tcPr>
            <w:tcW w:w="5670" w:type="dxa"/>
            <w:gridSpan w:val="3"/>
          </w:tcPr>
          <w:p w14:paraId="38FD1CD9" w14:textId="40A82A5C" w:rsidR="001826AA" w:rsidRPr="001A7F2A" w:rsidRDefault="001826AA" w:rsidP="001826AA">
            <w:pPr>
              <w:pStyle w:val="zSoquijdatRepertorie"/>
              <w:rPr>
                <w:lang w:val="en-CA"/>
              </w:rPr>
            </w:pPr>
            <w:r>
              <w:rPr>
                <w:rFonts w:cs="Arial"/>
              </w:rPr>
              <w:t>Autorité des marchés financiers c. Langford Sharp</w:t>
            </w:r>
          </w:p>
        </w:tc>
        <w:tc>
          <w:tcPr>
            <w:tcW w:w="3828" w:type="dxa"/>
          </w:tcPr>
          <w:p w14:paraId="38FD1CDA" w14:textId="0E6DF453" w:rsidR="001826AA" w:rsidRPr="001A7F2A" w:rsidRDefault="001826AA" w:rsidP="001826AA">
            <w:pPr>
              <w:pStyle w:val="zSoquijdatRefNeutre"/>
              <w:jc w:val="right"/>
              <w:rPr>
                <w:lang w:val="en-CA"/>
              </w:rPr>
            </w:pPr>
            <w:r w:rsidRPr="009F5CAB">
              <w:rPr>
                <w:rFonts w:cs="Arial"/>
              </w:rPr>
              <w:t>2024 QCTMF 83</w:t>
            </w:r>
          </w:p>
        </w:tc>
      </w:tr>
      <w:tr w:rsidR="00E30A3A" w:rsidRPr="001A7F2A" w14:paraId="38FD1CDD" w14:textId="77777777" w:rsidTr="00C87573">
        <w:trPr>
          <w:gridAfter w:val="1"/>
          <w:wAfter w:w="70" w:type="dxa"/>
          <w:trHeight w:val="900"/>
        </w:trPr>
        <w:tc>
          <w:tcPr>
            <w:tcW w:w="9498" w:type="dxa"/>
            <w:gridSpan w:val="4"/>
            <w:vAlign w:val="bottom"/>
          </w:tcPr>
          <w:p w14:paraId="38FD1CDC" w14:textId="24E49CB3" w:rsidR="00573EC4" w:rsidRPr="00915703" w:rsidRDefault="00CB0FDA" w:rsidP="00C87573">
            <w:pPr>
              <w:pStyle w:val="zSoquijlblCour"/>
              <w:rPr>
                <w:lang w:val="en-CA"/>
              </w:rPr>
            </w:pPr>
            <w:r w:rsidRPr="00915703">
              <w:rPr>
                <w:lang w:val="en-CA"/>
              </w:rPr>
              <w:t>FINANCIAL MARKETS</w:t>
            </w:r>
            <w:r w:rsidR="00934628" w:rsidRPr="00915703">
              <w:rPr>
                <w:lang w:val="en-CA"/>
              </w:rPr>
              <w:br/>
            </w:r>
            <w:r w:rsidRPr="00915703">
              <w:rPr>
                <w:lang w:val="en-CA"/>
              </w:rPr>
              <w:t>ADMINISTRATIVE TRIBUNAL</w:t>
            </w:r>
          </w:p>
        </w:tc>
      </w:tr>
      <w:tr w:rsidR="00E30A3A" w:rsidRPr="001A7F2A" w14:paraId="38FD1CDF" w14:textId="77777777" w:rsidTr="00C87573">
        <w:trPr>
          <w:gridAfter w:val="1"/>
          <w:wAfter w:w="70" w:type="dxa"/>
          <w:trHeight w:val="540"/>
        </w:trPr>
        <w:tc>
          <w:tcPr>
            <w:tcW w:w="9498" w:type="dxa"/>
            <w:gridSpan w:val="4"/>
          </w:tcPr>
          <w:p w14:paraId="38FD1CDE" w14:textId="77777777" w:rsidR="00573EC4" w:rsidRPr="00915703" w:rsidRDefault="00573EC4" w:rsidP="00C87573">
            <w:pPr>
              <w:pStyle w:val="zSoquijdatDivision"/>
              <w:rPr>
                <w:lang w:val="en-CA"/>
              </w:rPr>
            </w:pPr>
          </w:p>
        </w:tc>
      </w:tr>
      <w:tr w:rsidR="00E30A3A" w:rsidRPr="001A7F2A" w14:paraId="38FD1CE1" w14:textId="77777777" w:rsidTr="00C87573">
        <w:trPr>
          <w:gridAfter w:val="1"/>
          <w:wAfter w:w="70" w:type="dxa"/>
        </w:trPr>
        <w:tc>
          <w:tcPr>
            <w:tcW w:w="9498" w:type="dxa"/>
            <w:gridSpan w:val="4"/>
          </w:tcPr>
          <w:p w14:paraId="38FD1CE0" w14:textId="796EEC01" w:rsidR="00573EC4" w:rsidRPr="00915703" w:rsidRDefault="00CB0FDA" w:rsidP="00C87573">
            <w:pPr>
              <w:pStyle w:val="zSoquijlblPays"/>
              <w:rPr>
                <w:lang w:val="en-CA"/>
              </w:rPr>
            </w:pPr>
            <w:r w:rsidRPr="00915703">
              <w:rPr>
                <w:lang w:val="en-CA"/>
              </w:rPr>
              <w:t>CANADA</w:t>
            </w:r>
          </w:p>
        </w:tc>
      </w:tr>
      <w:tr w:rsidR="00E30A3A" w:rsidRPr="001A7F2A" w14:paraId="38FD1CE3" w14:textId="77777777" w:rsidTr="00C87573">
        <w:trPr>
          <w:gridAfter w:val="1"/>
          <w:wAfter w:w="70" w:type="dxa"/>
        </w:trPr>
        <w:tc>
          <w:tcPr>
            <w:tcW w:w="9498" w:type="dxa"/>
            <w:gridSpan w:val="4"/>
          </w:tcPr>
          <w:p w14:paraId="38FD1CE2" w14:textId="3433D72A" w:rsidR="00573EC4" w:rsidRPr="00915703" w:rsidRDefault="00CB0FDA" w:rsidP="00C87573">
            <w:pPr>
              <w:pStyle w:val="zSoquijlblProvince"/>
              <w:rPr>
                <w:lang w:val="en-CA"/>
              </w:rPr>
            </w:pPr>
            <w:r w:rsidRPr="00915703">
              <w:rPr>
                <w:lang w:val="en-CA"/>
              </w:rPr>
              <w:t>PROVINCE OF QUEBEC</w:t>
            </w:r>
          </w:p>
        </w:tc>
      </w:tr>
      <w:tr w:rsidR="00E30A3A" w:rsidRPr="001A7F2A" w14:paraId="38FD1CE5" w14:textId="77777777" w:rsidTr="00C87573">
        <w:trPr>
          <w:gridAfter w:val="1"/>
          <w:wAfter w:w="70" w:type="dxa"/>
        </w:trPr>
        <w:tc>
          <w:tcPr>
            <w:tcW w:w="9498" w:type="dxa"/>
            <w:gridSpan w:val="4"/>
          </w:tcPr>
          <w:p w14:paraId="38FD1CE4" w14:textId="7109523F" w:rsidR="00573EC4" w:rsidRPr="00915703" w:rsidRDefault="00CB0FDA" w:rsidP="00C87573">
            <w:pPr>
              <w:pStyle w:val="zSoquijdatGreffe"/>
              <w:rPr>
                <w:lang w:val="en-CA"/>
              </w:rPr>
            </w:pPr>
            <w:r w:rsidRPr="00915703">
              <w:rPr>
                <w:lang w:val="en-CA"/>
              </w:rPr>
              <w:t>MONTREAL</w:t>
            </w:r>
          </w:p>
        </w:tc>
      </w:tr>
      <w:tr w:rsidR="00E30A3A" w:rsidRPr="001A7F2A" w14:paraId="38FD1CE7" w14:textId="77777777" w:rsidTr="00C87573">
        <w:trPr>
          <w:gridAfter w:val="1"/>
          <w:wAfter w:w="70" w:type="dxa"/>
          <w:trHeight w:val="540"/>
        </w:trPr>
        <w:tc>
          <w:tcPr>
            <w:tcW w:w="9498" w:type="dxa"/>
            <w:gridSpan w:val="4"/>
          </w:tcPr>
          <w:p w14:paraId="38FD1CE6" w14:textId="77777777" w:rsidR="00573EC4" w:rsidRPr="00915703" w:rsidRDefault="00573EC4" w:rsidP="00C87573">
            <w:pPr>
              <w:pStyle w:val="zSoquijlblNomChambre"/>
              <w:rPr>
                <w:lang w:val="en-CA"/>
              </w:rPr>
            </w:pPr>
          </w:p>
        </w:tc>
      </w:tr>
      <w:tr w:rsidR="00E30A3A" w:rsidRPr="001A7F2A" w14:paraId="38FD1CEA" w14:textId="77777777" w:rsidTr="00F8117D">
        <w:trPr>
          <w:gridAfter w:val="1"/>
          <w:wAfter w:w="70" w:type="dxa"/>
        </w:trPr>
        <w:tc>
          <w:tcPr>
            <w:tcW w:w="1917" w:type="dxa"/>
          </w:tcPr>
          <w:p w14:paraId="38FD1CE8" w14:textId="15C1DFBA" w:rsidR="00573EC4" w:rsidRPr="00915703" w:rsidRDefault="00CB0FDA" w:rsidP="00C87573">
            <w:pPr>
              <w:pStyle w:val="zSoquijlblNoDossier"/>
              <w:rPr>
                <w:lang w:val="en-CA"/>
              </w:rPr>
            </w:pPr>
            <w:r w:rsidRPr="00915703">
              <w:rPr>
                <w:lang w:val="en-CA"/>
              </w:rPr>
              <w:t>FILE No.:</w:t>
            </w:r>
          </w:p>
        </w:tc>
        <w:tc>
          <w:tcPr>
            <w:tcW w:w="7581" w:type="dxa"/>
            <w:gridSpan w:val="3"/>
          </w:tcPr>
          <w:p w14:paraId="38FD1CE9" w14:textId="1528CB2A" w:rsidR="00573EC4" w:rsidRPr="00915703" w:rsidRDefault="00CB0FDA" w:rsidP="00C87573">
            <w:pPr>
              <w:pStyle w:val="zSoquijdatNoDossier"/>
              <w:rPr>
                <w:lang w:val="en-CA"/>
              </w:rPr>
            </w:pPr>
            <w:r w:rsidRPr="00915703">
              <w:rPr>
                <w:lang w:val="en-CA"/>
              </w:rPr>
              <w:t>2017-008</w:t>
            </w:r>
          </w:p>
        </w:tc>
      </w:tr>
      <w:tr w:rsidR="00E30A3A" w:rsidRPr="001A7F2A" w14:paraId="38FD1CEC" w14:textId="77777777" w:rsidTr="00C87573">
        <w:trPr>
          <w:gridAfter w:val="1"/>
          <w:wAfter w:w="70" w:type="dxa"/>
        </w:trPr>
        <w:tc>
          <w:tcPr>
            <w:tcW w:w="9498" w:type="dxa"/>
            <w:gridSpan w:val="4"/>
          </w:tcPr>
          <w:p w14:paraId="38FD1CEB" w14:textId="77777777" w:rsidR="00573EC4" w:rsidRPr="00915703" w:rsidRDefault="00573EC4" w:rsidP="00C87573">
            <w:pPr>
              <w:rPr>
                <w:lang w:val="en-CA"/>
              </w:rPr>
            </w:pPr>
          </w:p>
        </w:tc>
      </w:tr>
      <w:tr w:rsidR="00E30A3A" w:rsidRPr="001A7F2A" w14:paraId="38FD1CEF" w14:textId="77777777" w:rsidTr="00F8117D">
        <w:trPr>
          <w:gridAfter w:val="1"/>
          <w:wAfter w:w="70" w:type="dxa"/>
        </w:trPr>
        <w:tc>
          <w:tcPr>
            <w:tcW w:w="1917" w:type="dxa"/>
          </w:tcPr>
          <w:p w14:paraId="38FD1CED" w14:textId="75DCE21C" w:rsidR="00573EC4" w:rsidRPr="00915703" w:rsidRDefault="00CB0FDA" w:rsidP="00C87573">
            <w:pPr>
              <w:pStyle w:val="zSoquijlblNoDossier"/>
              <w:rPr>
                <w:lang w:val="en-CA"/>
              </w:rPr>
            </w:pPr>
            <w:r w:rsidRPr="00915703">
              <w:rPr>
                <w:lang w:val="en-CA"/>
              </w:rPr>
              <w:t>DECISION No.:</w:t>
            </w:r>
          </w:p>
        </w:tc>
        <w:tc>
          <w:tcPr>
            <w:tcW w:w="7581" w:type="dxa"/>
            <w:gridSpan w:val="3"/>
          </w:tcPr>
          <w:p w14:paraId="38FD1CEE" w14:textId="35731A36" w:rsidR="00573EC4" w:rsidRPr="00915703" w:rsidRDefault="00CB0FDA" w:rsidP="00C87573">
            <w:pPr>
              <w:pStyle w:val="zSoquijdatNoDossier"/>
              <w:rPr>
                <w:lang w:val="en-CA"/>
              </w:rPr>
            </w:pPr>
            <w:r w:rsidRPr="00915703">
              <w:rPr>
                <w:lang w:val="en-CA"/>
              </w:rPr>
              <w:t>2017-008-004</w:t>
            </w:r>
          </w:p>
        </w:tc>
      </w:tr>
      <w:tr w:rsidR="00E30A3A" w:rsidRPr="001A7F2A" w14:paraId="38FD1CF1" w14:textId="77777777" w:rsidTr="00C87573">
        <w:trPr>
          <w:gridAfter w:val="1"/>
          <w:wAfter w:w="70" w:type="dxa"/>
          <w:cantSplit/>
          <w:trHeight w:val="235"/>
        </w:trPr>
        <w:tc>
          <w:tcPr>
            <w:tcW w:w="9498" w:type="dxa"/>
            <w:gridSpan w:val="4"/>
          </w:tcPr>
          <w:p w14:paraId="38FD1CF0" w14:textId="77777777" w:rsidR="00573EC4" w:rsidRPr="00915703" w:rsidRDefault="00573EC4" w:rsidP="00C87573">
            <w:pPr>
              <w:rPr>
                <w:lang w:val="en-CA"/>
              </w:rPr>
            </w:pPr>
          </w:p>
        </w:tc>
      </w:tr>
      <w:tr w:rsidR="00E30A3A" w:rsidRPr="001A7F2A" w14:paraId="38FD1CF4" w14:textId="77777777" w:rsidTr="00B80D38">
        <w:trPr>
          <w:gridAfter w:val="1"/>
          <w:wAfter w:w="70" w:type="dxa"/>
        </w:trPr>
        <w:tc>
          <w:tcPr>
            <w:tcW w:w="1917" w:type="dxa"/>
          </w:tcPr>
          <w:p w14:paraId="38FD1CF2" w14:textId="5900BD46" w:rsidR="00573EC4" w:rsidRPr="00915703" w:rsidRDefault="00CB0FDA" w:rsidP="00C87573">
            <w:pPr>
              <w:pStyle w:val="zSoquijlblDateJugement"/>
              <w:rPr>
                <w:lang w:val="en-CA"/>
              </w:rPr>
            </w:pPr>
            <w:r w:rsidRPr="00915703">
              <w:rPr>
                <w:lang w:val="en-CA"/>
              </w:rPr>
              <w:t>DATE:</w:t>
            </w:r>
          </w:p>
        </w:tc>
        <w:tc>
          <w:tcPr>
            <w:tcW w:w="7581" w:type="dxa"/>
            <w:gridSpan w:val="3"/>
          </w:tcPr>
          <w:p w14:paraId="38FD1CF3" w14:textId="59CA068A" w:rsidR="00573EC4" w:rsidRPr="00915703" w:rsidRDefault="00CB0FDA" w:rsidP="00253EDB">
            <w:pPr>
              <w:pStyle w:val="zSoquijdatDateJugement"/>
              <w:rPr>
                <w:lang w:val="en-CA"/>
              </w:rPr>
            </w:pPr>
            <w:r w:rsidRPr="00915703">
              <w:rPr>
                <w:lang w:val="en-CA"/>
              </w:rPr>
              <w:t>December 6, 2024</w:t>
            </w:r>
          </w:p>
        </w:tc>
      </w:tr>
      <w:tr w:rsidR="00E30A3A" w:rsidRPr="001A7F2A" w14:paraId="38FD1CF6" w14:textId="77777777" w:rsidTr="00B80D38">
        <w:trPr>
          <w:gridAfter w:val="1"/>
          <w:wAfter w:w="70" w:type="dxa"/>
        </w:trPr>
        <w:tc>
          <w:tcPr>
            <w:tcW w:w="9498" w:type="dxa"/>
            <w:gridSpan w:val="4"/>
            <w:tcBorders>
              <w:bottom w:val="single" w:sz="4" w:space="0" w:color="auto"/>
            </w:tcBorders>
          </w:tcPr>
          <w:p w14:paraId="38FD1CF5" w14:textId="77777777" w:rsidR="00573EC4" w:rsidRPr="00915703" w:rsidRDefault="00573EC4" w:rsidP="00C87573">
            <w:pPr>
              <w:ind w:left="14" w:right="-67"/>
              <w:rPr>
                <w:lang w:val="en-CA"/>
              </w:rPr>
            </w:pPr>
          </w:p>
        </w:tc>
      </w:tr>
      <w:tr w:rsidR="00E30A3A" w:rsidRPr="001A7F2A" w14:paraId="38FD1CF8" w14:textId="77777777" w:rsidTr="00B80D38">
        <w:trPr>
          <w:gridAfter w:val="1"/>
          <w:wAfter w:w="70" w:type="dxa"/>
        </w:trPr>
        <w:tc>
          <w:tcPr>
            <w:tcW w:w="9498" w:type="dxa"/>
            <w:gridSpan w:val="4"/>
            <w:tcBorders>
              <w:top w:val="single" w:sz="4" w:space="0" w:color="auto"/>
            </w:tcBorders>
          </w:tcPr>
          <w:p w14:paraId="38FD1CF7" w14:textId="77777777" w:rsidR="00573EC4" w:rsidRPr="00915703" w:rsidRDefault="00573EC4" w:rsidP="00C87573">
            <w:pPr>
              <w:rPr>
                <w:lang w:val="en-CA"/>
              </w:rPr>
            </w:pPr>
          </w:p>
        </w:tc>
      </w:tr>
      <w:tr w:rsidR="00E30A3A" w:rsidRPr="001A7F2A" w14:paraId="38FD1CFB" w14:textId="77777777" w:rsidTr="009968EE">
        <w:tblPrEx>
          <w:tblCellMar>
            <w:left w:w="0" w:type="dxa"/>
            <w:right w:w="0" w:type="dxa"/>
          </w:tblCellMar>
        </w:tblPrEx>
        <w:tc>
          <w:tcPr>
            <w:tcW w:w="4820" w:type="dxa"/>
            <w:gridSpan w:val="2"/>
          </w:tcPr>
          <w:p w14:paraId="38FD1CF9" w14:textId="594FF164" w:rsidR="00573EC4" w:rsidRPr="00915703" w:rsidRDefault="00CB0FDA" w:rsidP="00C87573">
            <w:pPr>
              <w:pStyle w:val="zSoquijdatQteJuge"/>
              <w:rPr>
                <w:lang w:val="en-CA"/>
              </w:rPr>
            </w:pPr>
            <w:r w:rsidRPr="00915703">
              <w:rPr>
                <w:lang w:val="en-CA"/>
              </w:rPr>
              <w:t>BEFORE THE ADMINISTRATIVE JUDGE</w:t>
            </w:r>
            <w:r w:rsidR="009968EE" w:rsidRPr="00915703">
              <w:rPr>
                <w:lang w:val="en-CA"/>
              </w:rPr>
              <w:t>:</w:t>
            </w:r>
          </w:p>
        </w:tc>
        <w:tc>
          <w:tcPr>
            <w:tcW w:w="4748" w:type="dxa"/>
            <w:gridSpan w:val="3"/>
          </w:tcPr>
          <w:p w14:paraId="38FD1CFA" w14:textId="6B90DEEF" w:rsidR="00573EC4" w:rsidRPr="00915703" w:rsidRDefault="00CB0FDA" w:rsidP="00C87573">
            <w:pPr>
              <w:pStyle w:val="zSoquijdatJuge"/>
              <w:rPr>
                <w:lang w:val="en-CA"/>
              </w:rPr>
            </w:pPr>
            <w:r w:rsidRPr="00915703">
              <w:rPr>
                <w:lang w:val="en-CA"/>
              </w:rPr>
              <w:t>Mtre JEAN-PIERRE CRISTEL</w:t>
            </w:r>
          </w:p>
        </w:tc>
      </w:tr>
      <w:tr w:rsidR="00E30A3A" w:rsidRPr="001A7F2A" w14:paraId="38FD1CFD" w14:textId="77777777" w:rsidTr="00B80D38">
        <w:trPr>
          <w:gridAfter w:val="1"/>
          <w:wAfter w:w="70" w:type="dxa"/>
        </w:trPr>
        <w:tc>
          <w:tcPr>
            <w:tcW w:w="9498" w:type="dxa"/>
            <w:gridSpan w:val="4"/>
            <w:tcBorders>
              <w:bottom w:val="single" w:sz="4" w:space="0" w:color="auto"/>
            </w:tcBorders>
          </w:tcPr>
          <w:p w14:paraId="38FD1CFC" w14:textId="77777777" w:rsidR="00573EC4" w:rsidRPr="00915703" w:rsidRDefault="00573EC4" w:rsidP="00C87573">
            <w:pPr>
              <w:ind w:left="14" w:right="-67"/>
              <w:rPr>
                <w:lang w:val="en-CA"/>
              </w:rPr>
            </w:pPr>
          </w:p>
        </w:tc>
      </w:tr>
      <w:tr w:rsidR="00E30A3A" w:rsidRPr="001A7F2A" w14:paraId="38FD1CFF" w14:textId="77777777" w:rsidTr="00B80D38">
        <w:trPr>
          <w:gridAfter w:val="1"/>
          <w:wAfter w:w="70" w:type="dxa"/>
        </w:trPr>
        <w:tc>
          <w:tcPr>
            <w:tcW w:w="9498" w:type="dxa"/>
            <w:gridSpan w:val="4"/>
            <w:tcBorders>
              <w:top w:val="single" w:sz="4" w:space="0" w:color="auto"/>
            </w:tcBorders>
          </w:tcPr>
          <w:p w14:paraId="38FD1CFE" w14:textId="77777777" w:rsidR="00573EC4" w:rsidRPr="00915703" w:rsidRDefault="00573EC4" w:rsidP="00C87573">
            <w:pPr>
              <w:pStyle w:val="zSoquijlblTitrePartie"/>
              <w:rPr>
                <w:lang w:val="en-CA"/>
              </w:rPr>
            </w:pPr>
          </w:p>
        </w:tc>
      </w:tr>
      <w:tr w:rsidR="00E30A3A" w:rsidRPr="001A7F2A" w14:paraId="38FD1D01" w14:textId="77777777" w:rsidTr="00C87573">
        <w:trPr>
          <w:gridAfter w:val="1"/>
          <w:wAfter w:w="70" w:type="dxa"/>
        </w:trPr>
        <w:tc>
          <w:tcPr>
            <w:tcW w:w="9498" w:type="dxa"/>
            <w:gridSpan w:val="4"/>
          </w:tcPr>
          <w:p w14:paraId="38FD1D00" w14:textId="77777777" w:rsidR="00573EC4" w:rsidRPr="00915703" w:rsidRDefault="00573EC4" w:rsidP="00C87573">
            <w:pPr>
              <w:rPr>
                <w:lang w:val="en-CA"/>
              </w:rPr>
            </w:pPr>
          </w:p>
        </w:tc>
      </w:tr>
      <w:tr w:rsidR="00E30A3A" w:rsidRPr="001A7F2A" w14:paraId="38FD1D03" w14:textId="77777777" w:rsidTr="00C87573">
        <w:trPr>
          <w:gridAfter w:val="1"/>
          <w:wAfter w:w="70" w:type="dxa"/>
        </w:trPr>
        <w:tc>
          <w:tcPr>
            <w:tcW w:w="9498" w:type="dxa"/>
            <w:gridSpan w:val="4"/>
          </w:tcPr>
          <w:p w14:paraId="38FD1D02" w14:textId="45C77577" w:rsidR="00573EC4" w:rsidRPr="00915703" w:rsidRDefault="00CB0FDA" w:rsidP="00C87573">
            <w:pPr>
              <w:pStyle w:val="zSoquijdatNomPartieDem"/>
              <w:rPr>
                <w:lang w:val="en-CA"/>
              </w:rPr>
            </w:pPr>
            <w:r w:rsidRPr="00915703">
              <w:rPr>
                <w:lang w:val="en-CA"/>
              </w:rPr>
              <w:t>AUTORITÉ DES MARCHÉS FINANCIERS</w:t>
            </w:r>
            <w:r w:rsidR="00934628" w:rsidRPr="00915703">
              <w:rPr>
                <w:lang w:val="en-CA"/>
              </w:rPr>
              <w:t xml:space="preserve"> </w:t>
            </w:r>
          </w:p>
        </w:tc>
      </w:tr>
      <w:tr w:rsidR="00E30A3A" w:rsidRPr="001A7F2A" w14:paraId="38FD1D05" w14:textId="77777777" w:rsidTr="00C87573">
        <w:trPr>
          <w:gridAfter w:val="1"/>
          <w:wAfter w:w="70" w:type="dxa"/>
        </w:trPr>
        <w:tc>
          <w:tcPr>
            <w:tcW w:w="9498" w:type="dxa"/>
            <w:gridSpan w:val="4"/>
          </w:tcPr>
          <w:p w14:paraId="38FD1D04" w14:textId="58701C9E" w:rsidR="00573EC4" w:rsidRPr="00915703" w:rsidRDefault="00CB0FDA" w:rsidP="00C87573">
            <w:pPr>
              <w:pStyle w:val="zSoquijdatQtePartieDem"/>
              <w:ind w:left="709"/>
              <w:rPr>
                <w:lang w:val="en-CA"/>
              </w:rPr>
            </w:pPr>
            <w:r w:rsidRPr="00915703">
              <w:rPr>
                <w:lang w:val="en-CA"/>
              </w:rPr>
              <w:t>Applicant</w:t>
            </w:r>
            <w:r w:rsidR="00323874" w:rsidRPr="00915703">
              <w:rPr>
                <w:lang w:val="en-CA"/>
              </w:rPr>
              <w:t xml:space="preserve"> </w:t>
            </w:r>
          </w:p>
        </w:tc>
      </w:tr>
      <w:tr w:rsidR="00E30A3A" w:rsidRPr="001A7F2A" w14:paraId="38FD1D07" w14:textId="77777777" w:rsidTr="00C87573">
        <w:trPr>
          <w:gridAfter w:val="1"/>
          <w:wAfter w:w="70" w:type="dxa"/>
        </w:trPr>
        <w:tc>
          <w:tcPr>
            <w:tcW w:w="9498" w:type="dxa"/>
            <w:gridSpan w:val="4"/>
          </w:tcPr>
          <w:p w14:paraId="38FD1D06" w14:textId="7BEBDEC5" w:rsidR="00573EC4" w:rsidRPr="00915703" w:rsidRDefault="00CB0FDA" w:rsidP="00C87573">
            <w:pPr>
              <w:pStyle w:val="zSoquijlblLienParties"/>
              <w:rPr>
                <w:lang w:val="en-CA"/>
              </w:rPr>
            </w:pPr>
            <w:r w:rsidRPr="00915703">
              <w:rPr>
                <w:lang w:val="en-CA"/>
              </w:rPr>
              <w:t>v.</w:t>
            </w:r>
          </w:p>
        </w:tc>
      </w:tr>
      <w:tr w:rsidR="00E30A3A" w:rsidRPr="001A7F2A" w14:paraId="38FD1D09" w14:textId="77777777" w:rsidTr="00C87573">
        <w:trPr>
          <w:gridAfter w:val="1"/>
          <w:wAfter w:w="70" w:type="dxa"/>
        </w:trPr>
        <w:tc>
          <w:tcPr>
            <w:tcW w:w="9498" w:type="dxa"/>
            <w:gridSpan w:val="4"/>
          </w:tcPr>
          <w:p w14:paraId="38FD1D08" w14:textId="5824B0E6" w:rsidR="00573EC4" w:rsidRPr="00915703" w:rsidRDefault="00CB0FDA" w:rsidP="00C87573">
            <w:pPr>
              <w:pStyle w:val="zSoquijdatNomPartieDef"/>
              <w:rPr>
                <w:lang w:val="en-CA"/>
              </w:rPr>
            </w:pPr>
            <w:r w:rsidRPr="00915703">
              <w:rPr>
                <w:lang w:val="en-CA"/>
              </w:rPr>
              <w:t>FREDERICK LANGFORD SHARP</w:t>
            </w:r>
            <w:r w:rsidR="00934628" w:rsidRPr="00915703">
              <w:rPr>
                <w:lang w:val="en-CA"/>
              </w:rPr>
              <w:t xml:space="preserve"> </w:t>
            </w:r>
          </w:p>
        </w:tc>
      </w:tr>
      <w:tr w:rsidR="00E30A3A" w:rsidRPr="001A7F2A" w14:paraId="38FD1D0C" w14:textId="77777777" w:rsidTr="00C87573">
        <w:trPr>
          <w:gridAfter w:val="1"/>
          <w:wAfter w:w="70" w:type="dxa"/>
        </w:trPr>
        <w:tc>
          <w:tcPr>
            <w:tcW w:w="9498" w:type="dxa"/>
            <w:gridSpan w:val="4"/>
          </w:tcPr>
          <w:p w14:paraId="38FD1D0B" w14:textId="1E3598AA" w:rsidR="006C5EB2" w:rsidRPr="00915703" w:rsidRDefault="00CB0FDA" w:rsidP="00F8117D">
            <w:pPr>
              <w:pStyle w:val="zSoquijdatNomPartieDef"/>
              <w:rPr>
                <w:b w:val="0"/>
                <w:lang w:val="en-CA"/>
              </w:rPr>
            </w:pPr>
            <w:r w:rsidRPr="00915703">
              <w:rPr>
                <w:b w:val="0"/>
                <w:lang w:val="en-CA"/>
              </w:rPr>
              <w:t>and</w:t>
            </w:r>
          </w:p>
        </w:tc>
      </w:tr>
      <w:tr w:rsidR="00E30A3A" w:rsidRPr="001A7F2A" w14:paraId="38FD1D0F" w14:textId="77777777" w:rsidTr="00C87573">
        <w:trPr>
          <w:gridAfter w:val="1"/>
          <w:wAfter w:w="70" w:type="dxa"/>
        </w:trPr>
        <w:tc>
          <w:tcPr>
            <w:tcW w:w="9498" w:type="dxa"/>
            <w:gridSpan w:val="4"/>
          </w:tcPr>
          <w:p w14:paraId="38FD1D0D" w14:textId="1DAD31C0" w:rsidR="00C21C5D" w:rsidRPr="00915703" w:rsidRDefault="00CB0FDA" w:rsidP="00C87573">
            <w:pPr>
              <w:rPr>
                <w:b/>
                <w:lang w:val="en-CA"/>
              </w:rPr>
            </w:pPr>
            <w:r w:rsidRPr="00915703">
              <w:rPr>
                <w:b/>
                <w:lang w:val="en-CA"/>
              </w:rPr>
              <w:t>SOLO INTERNATIONAL INC.</w:t>
            </w:r>
          </w:p>
          <w:p w14:paraId="38FD1D0E" w14:textId="56A3414D" w:rsidR="00573EC4" w:rsidRPr="00915703" w:rsidRDefault="00CB0FDA" w:rsidP="00C87573">
            <w:pPr>
              <w:rPr>
                <w:lang w:val="en-CA"/>
              </w:rPr>
            </w:pPr>
            <w:r w:rsidRPr="00915703">
              <w:rPr>
                <w:lang w:val="en-CA"/>
              </w:rPr>
              <w:t>and</w:t>
            </w:r>
          </w:p>
        </w:tc>
      </w:tr>
      <w:tr w:rsidR="00E30A3A" w:rsidRPr="001A7F2A" w14:paraId="38FD1D11" w14:textId="77777777" w:rsidTr="00C87573">
        <w:trPr>
          <w:gridAfter w:val="1"/>
          <w:wAfter w:w="70" w:type="dxa"/>
        </w:trPr>
        <w:tc>
          <w:tcPr>
            <w:tcW w:w="9498" w:type="dxa"/>
            <w:gridSpan w:val="4"/>
          </w:tcPr>
          <w:p w14:paraId="38FD1D10" w14:textId="5F133964" w:rsidR="00573EC4" w:rsidRPr="00915703" w:rsidRDefault="00CB0FDA" w:rsidP="00C87573">
            <w:pPr>
              <w:pStyle w:val="zSoquijdatNomPartieDef"/>
              <w:rPr>
                <w:lang w:val="en-CA"/>
              </w:rPr>
            </w:pPr>
            <w:r w:rsidRPr="00915703">
              <w:rPr>
                <w:lang w:val="en-CA"/>
              </w:rPr>
              <w:t>MICHEL PLANTE</w:t>
            </w:r>
          </w:p>
        </w:tc>
      </w:tr>
      <w:tr w:rsidR="00E30A3A" w:rsidRPr="001A7F2A" w14:paraId="38FD1D13" w14:textId="77777777" w:rsidTr="00C87573">
        <w:trPr>
          <w:gridAfter w:val="1"/>
          <w:wAfter w:w="70" w:type="dxa"/>
        </w:trPr>
        <w:tc>
          <w:tcPr>
            <w:tcW w:w="9498" w:type="dxa"/>
            <w:gridSpan w:val="4"/>
          </w:tcPr>
          <w:p w14:paraId="38FD1D12" w14:textId="1E7796A4" w:rsidR="00573EC4" w:rsidRPr="00915703" w:rsidRDefault="00CB0FDA" w:rsidP="00C87573">
            <w:pPr>
              <w:pStyle w:val="zSoquijdatNomPartieDef"/>
              <w:rPr>
                <w:lang w:val="en-CA"/>
              </w:rPr>
            </w:pPr>
            <w:r w:rsidRPr="00915703">
              <w:rPr>
                <w:b w:val="0"/>
                <w:lang w:val="en-CA"/>
              </w:rPr>
              <w:t>and</w:t>
            </w:r>
          </w:p>
        </w:tc>
      </w:tr>
      <w:tr w:rsidR="00E30A3A" w:rsidRPr="001A7F2A" w14:paraId="38FD1D15" w14:textId="77777777" w:rsidTr="00C87573">
        <w:trPr>
          <w:gridAfter w:val="1"/>
          <w:wAfter w:w="70" w:type="dxa"/>
        </w:trPr>
        <w:tc>
          <w:tcPr>
            <w:tcW w:w="9498" w:type="dxa"/>
            <w:gridSpan w:val="4"/>
          </w:tcPr>
          <w:p w14:paraId="38FD1D14" w14:textId="74320184" w:rsidR="00573EC4" w:rsidRPr="00915703" w:rsidRDefault="00CB0FDA" w:rsidP="00C87573">
            <w:pPr>
              <w:pStyle w:val="zSoquijdatNomPartieDef"/>
              <w:rPr>
                <w:lang w:val="en-CA"/>
              </w:rPr>
            </w:pPr>
            <w:r w:rsidRPr="00915703">
              <w:rPr>
                <w:lang w:val="en-CA"/>
              </w:rPr>
              <w:t>VINCENZO ANTONIO CARNOVALE</w:t>
            </w:r>
          </w:p>
        </w:tc>
      </w:tr>
      <w:tr w:rsidR="00E30A3A" w:rsidRPr="001A7F2A" w14:paraId="38FD1D17" w14:textId="77777777" w:rsidTr="00C87573">
        <w:trPr>
          <w:gridAfter w:val="1"/>
          <w:wAfter w:w="70" w:type="dxa"/>
        </w:trPr>
        <w:tc>
          <w:tcPr>
            <w:tcW w:w="9498" w:type="dxa"/>
            <w:gridSpan w:val="4"/>
          </w:tcPr>
          <w:p w14:paraId="38FD1D16" w14:textId="22B4BA01" w:rsidR="00573EC4" w:rsidRPr="00915703" w:rsidRDefault="00CB0FDA" w:rsidP="00C87573">
            <w:pPr>
              <w:pStyle w:val="zSoquijdatNomPartieDef"/>
              <w:rPr>
                <w:b w:val="0"/>
                <w:lang w:val="en-CA"/>
              </w:rPr>
            </w:pPr>
            <w:r w:rsidRPr="00915703">
              <w:rPr>
                <w:b w:val="0"/>
                <w:lang w:val="en-CA"/>
              </w:rPr>
              <w:t>and</w:t>
            </w:r>
          </w:p>
        </w:tc>
      </w:tr>
      <w:tr w:rsidR="00E30A3A" w:rsidRPr="001A7F2A" w14:paraId="38FD1D19" w14:textId="77777777" w:rsidTr="00C87573">
        <w:trPr>
          <w:gridAfter w:val="1"/>
          <w:wAfter w:w="70" w:type="dxa"/>
        </w:trPr>
        <w:tc>
          <w:tcPr>
            <w:tcW w:w="9498" w:type="dxa"/>
            <w:gridSpan w:val="4"/>
          </w:tcPr>
          <w:p w14:paraId="38FD1D18" w14:textId="34E56CBC" w:rsidR="00573EC4" w:rsidRPr="00915703" w:rsidRDefault="00CB0FDA" w:rsidP="00C87573">
            <w:pPr>
              <w:pStyle w:val="zSoquijdatNomPartieDef"/>
              <w:rPr>
                <w:lang w:val="en-CA"/>
              </w:rPr>
            </w:pPr>
            <w:r w:rsidRPr="00915703">
              <w:rPr>
                <w:lang w:val="en-CA"/>
              </w:rPr>
              <w:t>PASQUALE ANTONIO ROCCA</w:t>
            </w:r>
          </w:p>
        </w:tc>
      </w:tr>
      <w:tr w:rsidR="00E30A3A" w:rsidRPr="001A7F2A" w14:paraId="38FD1D1B" w14:textId="77777777" w:rsidTr="00C87573">
        <w:trPr>
          <w:gridAfter w:val="1"/>
          <w:wAfter w:w="70" w:type="dxa"/>
        </w:trPr>
        <w:tc>
          <w:tcPr>
            <w:tcW w:w="9498" w:type="dxa"/>
            <w:gridSpan w:val="4"/>
          </w:tcPr>
          <w:p w14:paraId="38FD1D1A" w14:textId="4FC0A9AA" w:rsidR="00573EC4" w:rsidRPr="00915703" w:rsidRDefault="00CB0FDA" w:rsidP="00C87573">
            <w:pPr>
              <w:pStyle w:val="zSoquijdatNomPartieDef"/>
              <w:rPr>
                <w:b w:val="0"/>
                <w:lang w:val="en-CA"/>
              </w:rPr>
            </w:pPr>
            <w:r w:rsidRPr="00915703">
              <w:rPr>
                <w:b w:val="0"/>
                <w:lang w:val="en-CA"/>
              </w:rPr>
              <w:t>and</w:t>
            </w:r>
          </w:p>
        </w:tc>
      </w:tr>
      <w:tr w:rsidR="00E30A3A" w:rsidRPr="001A7F2A" w14:paraId="38FD1D1D" w14:textId="77777777" w:rsidTr="00C87573">
        <w:trPr>
          <w:gridAfter w:val="1"/>
          <w:wAfter w:w="70" w:type="dxa"/>
        </w:trPr>
        <w:tc>
          <w:tcPr>
            <w:tcW w:w="9498" w:type="dxa"/>
            <w:gridSpan w:val="4"/>
          </w:tcPr>
          <w:p w14:paraId="38FD1D1C" w14:textId="087F5B25" w:rsidR="00573EC4" w:rsidRPr="00915703" w:rsidRDefault="00CB0FDA" w:rsidP="00C87573">
            <w:pPr>
              <w:pStyle w:val="zSoquijdatNomPartieDef"/>
              <w:rPr>
                <w:lang w:val="en-CA"/>
              </w:rPr>
            </w:pPr>
            <w:r w:rsidRPr="00915703">
              <w:rPr>
                <w:lang w:val="en-CA"/>
              </w:rPr>
              <w:t>SHAWN VAN DAMME</w:t>
            </w:r>
          </w:p>
        </w:tc>
      </w:tr>
      <w:tr w:rsidR="00E30A3A" w:rsidRPr="001A7F2A" w14:paraId="38FD1D1F" w14:textId="77777777" w:rsidTr="00C87573">
        <w:trPr>
          <w:gridAfter w:val="1"/>
          <w:wAfter w:w="70" w:type="dxa"/>
        </w:trPr>
        <w:tc>
          <w:tcPr>
            <w:tcW w:w="9498" w:type="dxa"/>
            <w:gridSpan w:val="4"/>
          </w:tcPr>
          <w:p w14:paraId="38FD1D1E" w14:textId="3FFDC1D7" w:rsidR="00573EC4" w:rsidRPr="00915703" w:rsidRDefault="00CB0FDA" w:rsidP="00C21C5D">
            <w:pPr>
              <w:pStyle w:val="zSoquijdatQtePartieDef"/>
              <w:rPr>
                <w:lang w:val="en-CA"/>
              </w:rPr>
            </w:pPr>
            <w:r w:rsidRPr="00915703">
              <w:rPr>
                <w:lang w:val="en-CA"/>
              </w:rPr>
              <w:t>Respondents</w:t>
            </w:r>
          </w:p>
        </w:tc>
      </w:tr>
      <w:tr w:rsidR="00E30A3A" w:rsidRPr="001A7F2A" w14:paraId="38FD1D21" w14:textId="77777777" w:rsidTr="00B80D38">
        <w:trPr>
          <w:gridAfter w:val="1"/>
          <w:wAfter w:w="70" w:type="dxa"/>
        </w:trPr>
        <w:tc>
          <w:tcPr>
            <w:tcW w:w="9498" w:type="dxa"/>
            <w:gridSpan w:val="4"/>
          </w:tcPr>
          <w:p w14:paraId="38FD1D20" w14:textId="77777777" w:rsidR="00573EC4" w:rsidRPr="00915703" w:rsidRDefault="00573EC4" w:rsidP="00C87573">
            <w:pPr>
              <w:ind w:left="14" w:right="-95"/>
              <w:rPr>
                <w:lang w:val="en-CA"/>
              </w:rPr>
            </w:pPr>
          </w:p>
        </w:tc>
      </w:tr>
      <w:tr w:rsidR="00E30A3A" w:rsidRPr="001A7F2A" w14:paraId="38FD1D23" w14:textId="77777777" w:rsidTr="00B80D38">
        <w:trPr>
          <w:gridAfter w:val="1"/>
          <w:wAfter w:w="70" w:type="dxa"/>
        </w:trPr>
        <w:tc>
          <w:tcPr>
            <w:tcW w:w="9498" w:type="dxa"/>
            <w:gridSpan w:val="4"/>
            <w:tcBorders>
              <w:bottom w:val="single" w:sz="4" w:space="0" w:color="auto"/>
            </w:tcBorders>
          </w:tcPr>
          <w:p w14:paraId="38FD1D22" w14:textId="77777777" w:rsidR="00573EC4" w:rsidRPr="00915703" w:rsidRDefault="00573EC4" w:rsidP="00C87573">
            <w:pPr>
              <w:ind w:left="14" w:right="-95"/>
              <w:rPr>
                <w:lang w:val="en-CA"/>
              </w:rPr>
            </w:pPr>
          </w:p>
        </w:tc>
      </w:tr>
      <w:tr w:rsidR="00E30A3A" w:rsidRPr="001A7F2A" w14:paraId="38FD1D25" w14:textId="77777777" w:rsidTr="00B80D38">
        <w:trPr>
          <w:gridAfter w:val="1"/>
          <w:wAfter w:w="70" w:type="dxa"/>
        </w:trPr>
        <w:tc>
          <w:tcPr>
            <w:tcW w:w="9498" w:type="dxa"/>
            <w:gridSpan w:val="4"/>
            <w:tcBorders>
              <w:top w:val="single" w:sz="4" w:space="0" w:color="auto"/>
            </w:tcBorders>
          </w:tcPr>
          <w:p w14:paraId="38FD1D24" w14:textId="77777777" w:rsidR="00573EC4" w:rsidRPr="00915703" w:rsidRDefault="00573EC4" w:rsidP="00C87573">
            <w:pPr>
              <w:jc w:val="center"/>
              <w:rPr>
                <w:lang w:val="en-CA"/>
              </w:rPr>
            </w:pPr>
          </w:p>
        </w:tc>
      </w:tr>
      <w:tr w:rsidR="00E30A3A" w:rsidRPr="001A7F2A" w14:paraId="38FD1D27" w14:textId="77777777" w:rsidTr="00B80D38">
        <w:trPr>
          <w:gridAfter w:val="1"/>
          <w:wAfter w:w="70" w:type="dxa"/>
        </w:trPr>
        <w:tc>
          <w:tcPr>
            <w:tcW w:w="9498" w:type="dxa"/>
            <w:gridSpan w:val="4"/>
          </w:tcPr>
          <w:p w14:paraId="38FD1D26" w14:textId="41315BAE" w:rsidR="00573EC4" w:rsidRPr="00915703" w:rsidRDefault="00CB0FDA" w:rsidP="00C87573">
            <w:pPr>
              <w:pStyle w:val="zSoquijlblTypeDocument"/>
              <w:rPr>
                <w:lang w:val="en-CA"/>
              </w:rPr>
            </w:pPr>
            <w:r w:rsidRPr="00915703">
              <w:rPr>
                <w:lang w:val="en-CA"/>
              </w:rPr>
              <w:t>DECISION</w:t>
            </w:r>
          </w:p>
        </w:tc>
      </w:tr>
      <w:tr w:rsidR="00E30A3A" w:rsidRPr="001A7F2A" w14:paraId="38FD1D29" w14:textId="77777777" w:rsidTr="00B80D38">
        <w:trPr>
          <w:gridAfter w:val="1"/>
          <w:wAfter w:w="70" w:type="dxa"/>
        </w:trPr>
        <w:tc>
          <w:tcPr>
            <w:tcW w:w="9498" w:type="dxa"/>
            <w:gridSpan w:val="4"/>
            <w:tcBorders>
              <w:bottom w:val="single" w:sz="4" w:space="0" w:color="auto"/>
            </w:tcBorders>
          </w:tcPr>
          <w:p w14:paraId="38FD1D28" w14:textId="77777777" w:rsidR="00573EC4" w:rsidRPr="00915703" w:rsidRDefault="00573EC4" w:rsidP="00B80D38">
            <w:pPr>
              <w:ind w:left="14" w:right="-70"/>
              <w:rPr>
                <w:lang w:val="en-CA"/>
              </w:rPr>
            </w:pPr>
          </w:p>
        </w:tc>
      </w:tr>
      <w:tr w:rsidR="00E30A3A" w:rsidRPr="001A7F2A" w14:paraId="38FD1D2B" w14:textId="77777777" w:rsidTr="00B80D38">
        <w:trPr>
          <w:gridAfter w:val="1"/>
          <w:wAfter w:w="70" w:type="dxa"/>
        </w:trPr>
        <w:tc>
          <w:tcPr>
            <w:tcW w:w="9498" w:type="dxa"/>
            <w:gridSpan w:val="4"/>
            <w:tcBorders>
              <w:top w:val="single" w:sz="4" w:space="0" w:color="auto"/>
            </w:tcBorders>
          </w:tcPr>
          <w:p w14:paraId="38FD1D2A" w14:textId="77777777" w:rsidR="00573EC4" w:rsidRPr="00915703" w:rsidRDefault="00573EC4" w:rsidP="00C87573">
            <w:pPr>
              <w:rPr>
                <w:lang w:val="en-CA"/>
              </w:rPr>
            </w:pPr>
          </w:p>
        </w:tc>
      </w:tr>
    </w:tbl>
    <w:p w14:paraId="4CC44432" w14:textId="77777777" w:rsidR="009206A8" w:rsidRPr="00915703" w:rsidRDefault="009206A8" w:rsidP="00573EC4">
      <w:pPr>
        <w:rPr>
          <w:b/>
          <w:lang w:val="en-CA"/>
        </w:rPr>
      </w:pPr>
    </w:p>
    <w:p w14:paraId="38FD1D2D" w14:textId="4305BF44" w:rsidR="00573EC4" w:rsidRPr="00915703" w:rsidRDefault="00CB0FDA" w:rsidP="00573EC4">
      <w:pPr>
        <w:rPr>
          <w:b/>
          <w:lang w:val="en-CA"/>
        </w:rPr>
      </w:pPr>
      <w:r w:rsidRPr="00915703">
        <w:rPr>
          <w:b/>
          <w:lang w:val="en-CA"/>
        </w:rPr>
        <w:lastRenderedPageBreak/>
        <w:t>OVERVIEW</w:t>
      </w:r>
    </w:p>
    <w:p w14:paraId="38FD1D2E" w14:textId="5FE227E5" w:rsidR="00B80D38" w:rsidRPr="003154F0" w:rsidRDefault="00102777" w:rsidP="00573EC4">
      <w:pPr>
        <w:pStyle w:val="Paragraphe"/>
        <w:numPr>
          <w:ilvl w:val="0"/>
          <w:numId w:val="1"/>
        </w:numPr>
        <w:rPr>
          <w:lang w:val="en-CA"/>
        </w:rPr>
      </w:pPr>
      <w:r w:rsidRPr="001A7F2A">
        <w:rPr>
          <w:lang w:val="en-CA"/>
        </w:rPr>
        <w:t>On April 20, 2017,</w:t>
      </w:r>
      <w:r w:rsidRPr="00915703">
        <w:rPr>
          <w:rStyle w:val="Appelnotedebasdep"/>
          <w:lang w:val="en-CA"/>
        </w:rPr>
        <w:footnoteReference w:id="1"/>
      </w:r>
      <w:r w:rsidRPr="001A7F2A">
        <w:rPr>
          <w:lang w:val="en-CA"/>
        </w:rPr>
        <w:t xml:space="preserve"> the </w:t>
      </w:r>
      <w:proofErr w:type="spellStart"/>
      <w:r w:rsidRPr="001A7F2A">
        <w:rPr>
          <w:lang w:val="en-CA"/>
        </w:rPr>
        <w:t>Autorité</w:t>
      </w:r>
      <w:proofErr w:type="spellEnd"/>
      <w:r w:rsidRPr="001A7F2A">
        <w:rPr>
          <w:lang w:val="en-CA"/>
        </w:rPr>
        <w:t xml:space="preserve"> des </w:t>
      </w:r>
      <w:proofErr w:type="spellStart"/>
      <w:r w:rsidRPr="001A7F2A">
        <w:rPr>
          <w:lang w:val="en-CA"/>
        </w:rPr>
        <w:t>marchés</w:t>
      </w:r>
      <w:proofErr w:type="spellEnd"/>
      <w:r w:rsidRPr="001A7F2A">
        <w:rPr>
          <w:lang w:val="en-CA"/>
        </w:rPr>
        <w:t xml:space="preserve"> financiers (the “Authority”) </w:t>
      </w:r>
      <w:proofErr w:type="gramStart"/>
      <w:r w:rsidR="003154F0">
        <w:rPr>
          <w:lang w:val="en-CA"/>
        </w:rPr>
        <w:t>submitted</w:t>
      </w:r>
      <w:r w:rsidRPr="00996987">
        <w:rPr>
          <w:lang w:val="en-CA"/>
        </w:rPr>
        <w:t xml:space="preserve"> </w:t>
      </w:r>
      <w:r w:rsidRPr="001A7F2A">
        <w:rPr>
          <w:lang w:val="en-CA"/>
        </w:rPr>
        <w:t>a</w:t>
      </w:r>
      <w:r w:rsidR="0091724E" w:rsidRPr="001A7F2A">
        <w:rPr>
          <w:lang w:val="en-CA"/>
        </w:rPr>
        <w:t xml:space="preserve">n </w:t>
      </w:r>
      <w:r w:rsidR="0057544E" w:rsidRPr="001A7F2A">
        <w:rPr>
          <w:lang w:val="en-CA"/>
        </w:rPr>
        <w:t>application</w:t>
      </w:r>
      <w:proofErr w:type="gramEnd"/>
      <w:r w:rsidRPr="001A7F2A">
        <w:rPr>
          <w:lang w:val="en-CA"/>
        </w:rPr>
        <w:t xml:space="preserve"> for administrative </w:t>
      </w:r>
      <w:r w:rsidR="000977A6" w:rsidRPr="001A7F2A">
        <w:rPr>
          <w:lang w:val="en-CA"/>
        </w:rPr>
        <w:t>penalties</w:t>
      </w:r>
      <w:r w:rsidRPr="001A7F2A">
        <w:rPr>
          <w:lang w:val="en-CA"/>
        </w:rPr>
        <w:t>, a prohibition from acting as a director or officer, and a cease trading order against the respondents Michel Plante, Solo International Inc.</w:t>
      </w:r>
      <w:r w:rsidR="002558E7" w:rsidRPr="001A7F2A">
        <w:rPr>
          <w:lang w:val="en-CA"/>
        </w:rPr>
        <w:t xml:space="preserve"> </w:t>
      </w:r>
      <w:r w:rsidRPr="003154F0">
        <w:rPr>
          <w:lang w:val="en-CA"/>
        </w:rPr>
        <w:t>(</w:t>
      </w:r>
      <w:r w:rsidR="0091724E" w:rsidRPr="003154F0">
        <w:rPr>
          <w:lang w:val="en-CA"/>
        </w:rPr>
        <w:t>“</w:t>
      </w:r>
      <w:r w:rsidRPr="003154F0">
        <w:rPr>
          <w:lang w:val="en-CA"/>
        </w:rPr>
        <w:t xml:space="preserve">Solo”), Frederick Langford Sharp, Vincenzo Antonio Carnovale, Pasquale Antonio Rocca, </w:t>
      </w:r>
      <w:r w:rsidR="00363EDC" w:rsidRPr="003154F0">
        <w:rPr>
          <w:lang w:val="en-CA"/>
        </w:rPr>
        <w:t xml:space="preserve">and </w:t>
      </w:r>
      <w:r w:rsidRPr="003154F0">
        <w:rPr>
          <w:lang w:val="en-CA"/>
        </w:rPr>
        <w:t>Shawn Van Damme.</w:t>
      </w:r>
      <w:r w:rsidR="007160D7" w:rsidRPr="003154F0">
        <w:rPr>
          <w:lang w:val="en-CA"/>
        </w:rPr>
        <w:t xml:space="preserve"> </w:t>
      </w:r>
    </w:p>
    <w:p w14:paraId="1DFABB07" w14:textId="7CEF5C45" w:rsidR="007160D7" w:rsidRPr="001A7F2A" w:rsidRDefault="0091724E" w:rsidP="00573EC4">
      <w:pPr>
        <w:pStyle w:val="Paragraphe"/>
        <w:numPr>
          <w:ilvl w:val="0"/>
          <w:numId w:val="1"/>
        </w:numPr>
        <w:rPr>
          <w:lang w:val="en-CA"/>
        </w:rPr>
      </w:pPr>
      <w:r w:rsidRPr="001A7F2A">
        <w:rPr>
          <w:lang w:val="en-CA"/>
        </w:rPr>
        <w:t>Essentially, t</w:t>
      </w:r>
      <w:r w:rsidR="00102777" w:rsidRPr="001A7F2A">
        <w:rPr>
          <w:lang w:val="en-CA"/>
        </w:rPr>
        <w:t>he Authority alleges that the respondents took part in a pump and dump scheme to manipulate the share price of a mining exploration corporation</w:t>
      </w:r>
      <w:r w:rsidRPr="001A7F2A">
        <w:rPr>
          <w:lang w:val="en-CA"/>
        </w:rPr>
        <w:t>,</w:t>
      </w:r>
      <w:r w:rsidR="00102777" w:rsidRPr="001A7F2A">
        <w:rPr>
          <w:lang w:val="en-CA"/>
        </w:rPr>
        <w:t xml:space="preserve"> </w:t>
      </w:r>
      <w:r w:rsidRPr="001A7F2A">
        <w:rPr>
          <w:lang w:val="en-CA"/>
        </w:rPr>
        <w:t xml:space="preserve">more specifically, the respondent Solo </w:t>
      </w:r>
      <w:r w:rsidR="00102777" w:rsidRPr="001A7F2A">
        <w:rPr>
          <w:lang w:val="en-CA"/>
        </w:rPr>
        <w:t xml:space="preserve">– a reporting issuer subject to the </w:t>
      </w:r>
      <w:r w:rsidR="00102777" w:rsidRPr="001A7F2A">
        <w:rPr>
          <w:i/>
          <w:lang w:val="en-CA"/>
        </w:rPr>
        <w:t>Securities Act</w:t>
      </w:r>
      <w:r w:rsidR="00102777" w:rsidRPr="001A7F2A">
        <w:rPr>
          <w:rStyle w:val="Appelnotedebasdep"/>
          <w:lang w:val="en-CA"/>
        </w:rPr>
        <w:footnoteReference w:id="2"/>
      </w:r>
      <w:r w:rsidR="00102777" w:rsidRPr="001A7F2A">
        <w:rPr>
          <w:lang w:val="en-CA"/>
        </w:rPr>
        <w:t xml:space="preserve"> –</w:t>
      </w:r>
      <w:r w:rsidR="00003F9F" w:rsidRPr="001A7F2A">
        <w:rPr>
          <w:lang w:val="en-CA"/>
        </w:rPr>
        <w:t xml:space="preserve"> </w:t>
      </w:r>
      <w:r w:rsidR="00102777" w:rsidRPr="001A7F2A">
        <w:rPr>
          <w:lang w:val="en-CA"/>
        </w:rPr>
        <w:t xml:space="preserve">and that they thereby committed serious breaches to sections 195.2 and 199.1 of the </w:t>
      </w:r>
      <w:r w:rsidR="00102777" w:rsidRPr="001A7F2A">
        <w:rPr>
          <w:i/>
          <w:lang w:val="en-CA"/>
        </w:rPr>
        <w:t>Securities Act</w:t>
      </w:r>
      <w:r w:rsidR="00102777" w:rsidRPr="001A7F2A">
        <w:rPr>
          <w:lang w:val="en-CA"/>
        </w:rPr>
        <w:t>.</w:t>
      </w:r>
      <w:r w:rsidR="00934628" w:rsidRPr="001A7F2A">
        <w:rPr>
          <w:lang w:val="en-CA"/>
        </w:rPr>
        <w:t xml:space="preserve"> </w:t>
      </w:r>
    </w:p>
    <w:p w14:paraId="38FD1D2F" w14:textId="07F6DEFE" w:rsidR="00190B84" w:rsidRPr="001A7F2A" w:rsidRDefault="00102777" w:rsidP="00573EC4">
      <w:pPr>
        <w:pStyle w:val="Paragraphe"/>
        <w:numPr>
          <w:ilvl w:val="0"/>
          <w:numId w:val="1"/>
        </w:numPr>
        <w:rPr>
          <w:lang w:val="en-CA"/>
        </w:rPr>
      </w:pPr>
      <w:r w:rsidRPr="001A7F2A">
        <w:rPr>
          <w:lang w:val="en-CA"/>
        </w:rPr>
        <w:t xml:space="preserve">On May 11, 2017, the respondent Michel Plante </w:t>
      </w:r>
      <w:r w:rsidR="00094051" w:rsidRPr="001A7F2A">
        <w:rPr>
          <w:lang w:val="en-CA"/>
        </w:rPr>
        <w:t xml:space="preserve">submitted </w:t>
      </w:r>
      <w:r w:rsidRPr="001A7F2A">
        <w:rPr>
          <w:lang w:val="en-CA"/>
        </w:rPr>
        <w:t xml:space="preserve">an interim application with the Tribunal to dismiss </w:t>
      </w:r>
      <w:r w:rsidR="00491E8F" w:rsidRPr="001A7F2A">
        <w:rPr>
          <w:lang w:val="en-CA"/>
        </w:rPr>
        <w:t>the proceeding</w:t>
      </w:r>
      <w:r w:rsidRPr="001A7F2A">
        <w:rPr>
          <w:lang w:val="en-CA"/>
        </w:rPr>
        <w:t xml:space="preserve"> against him.</w:t>
      </w:r>
      <w:r w:rsidR="00521EAD" w:rsidRPr="001A7F2A">
        <w:rPr>
          <w:lang w:val="en-CA"/>
        </w:rPr>
        <w:t xml:space="preserve"> </w:t>
      </w:r>
      <w:r w:rsidRPr="001A7F2A">
        <w:rPr>
          <w:lang w:val="en-CA"/>
        </w:rPr>
        <w:t>This interim application was dismissed by the Tribunal on April 24, 2018.</w:t>
      </w:r>
      <w:bookmarkStart w:id="0" w:name="_Ref19620906"/>
      <w:r w:rsidRPr="00080AEA">
        <w:rPr>
          <w:rStyle w:val="Appelnotedebasdep"/>
          <w:lang w:val="en-CA"/>
        </w:rPr>
        <w:footnoteReference w:id="3"/>
      </w:r>
      <w:bookmarkEnd w:id="0"/>
    </w:p>
    <w:p w14:paraId="38FD1D31" w14:textId="6A7B315A" w:rsidR="00B80D38" w:rsidRPr="001A7F2A" w:rsidRDefault="00102777" w:rsidP="003F0B68">
      <w:pPr>
        <w:pStyle w:val="Paragraphe"/>
        <w:numPr>
          <w:ilvl w:val="0"/>
          <w:numId w:val="1"/>
        </w:numPr>
        <w:rPr>
          <w:lang w:val="en-CA"/>
        </w:rPr>
      </w:pPr>
      <w:r w:rsidRPr="001A7F2A">
        <w:rPr>
          <w:lang w:val="en-CA"/>
        </w:rPr>
        <w:t xml:space="preserve">On June 7, 2017, the respondents Vincenzo Antonio Carnovale, Pasquale Antonio Rocca, and Shawn Van Damme </w:t>
      </w:r>
      <w:r w:rsidR="00094051" w:rsidRPr="001A7F2A">
        <w:rPr>
          <w:lang w:val="en-CA"/>
        </w:rPr>
        <w:t xml:space="preserve">submitted </w:t>
      </w:r>
      <w:r w:rsidRPr="001A7F2A">
        <w:rPr>
          <w:lang w:val="en-CA"/>
        </w:rPr>
        <w:t>an interim application with the Tribunal for a declinatory exception, followed by Frederick Langford Sharp, who did the same on June</w:t>
      </w:r>
      <w:r w:rsidR="00122B3E" w:rsidRPr="001A7F2A">
        <w:rPr>
          <w:lang w:val="en-CA"/>
        </w:rPr>
        <w:t> </w:t>
      </w:r>
      <w:r w:rsidRPr="001A7F2A">
        <w:rPr>
          <w:lang w:val="en-CA"/>
        </w:rPr>
        <w:t>26, 2017.</w:t>
      </w:r>
      <w:r w:rsidR="00C76CA6" w:rsidRPr="001A7F2A">
        <w:rPr>
          <w:lang w:val="en-CA"/>
        </w:rPr>
        <w:t xml:space="preserve"> </w:t>
      </w:r>
      <w:r w:rsidRPr="001A7F2A">
        <w:rPr>
          <w:lang w:val="en-CA"/>
        </w:rPr>
        <w:t>On November 22, 2017, the Tribunal dismissed these interim applications for a declinatory exception.</w:t>
      </w:r>
      <w:bookmarkStart w:id="1" w:name="_Ref19620956"/>
      <w:r w:rsidRPr="00080AEA">
        <w:rPr>
          <w:rStyle w:val="Appelnotedebasdep"/>
          <w:lang w:val="en-CA"/>
        </w:rPr>
        <w:footnoteReference w:id="4"/>
      </w:r>
      <w:bookmarkEnd w:id="1"/>
    </w:p>
    <w:p w14:paraId="38FD1D33" w14:textId="01A4F681" w:rsidR="00A80E5A" w:rsidRPr="001A7F2A" w:rsidRDefault="00102777" w:rsidP="008300AF">
      <w:pPr>
        <w:pStyle w:val="Style1"/>
        <w:tabs>
          <w:tab w:val="num" w:pos="360"/>
          <w:tab w:val="left" w:pos="426"/>
        </w:tabs>
        <w:rPr>
          <w:lang w:val="en-CA"/>
        </w:rPr>
      </w:pPr>
      <w:r w:rsidRPr="001A7F2A">
        <w:rPr>
          <w:lang w:val="en-CA"/>
        </w:rPr>
        <w:t xml:space="preserve">On December 21, 2017, the Tribunal was informed that the respondents Frederick Langford Sharp, Vincenzo Antonio Carnovale, Pasquale Antonio Rocca, and Shawn Van Damme had </w:t>
      </w:r>
      <w:r w:rsidR="00080AEA">
        <w:rPr>
          <w:lang w:val="en-CA"/>
        </w:rPr>
        <w:t>filed</w:t>
      </w:r>
      <w:r w:rsidR="00094051" w:rsidRPr="001A7F2A">
        <w:rPr>
          <w:lang w:val="en-CA"/>
        </w:rPr>
        <w:t xml:space="preserve"> </w:t>
      </w:r>
      <w:r w:rsidRPr="001A7F2A">
        <w:rPr>
          <w:lang w:val="en-CA"/>
        </w:rPr>
        <w:t xml:space="preserve">applications </w:t>
      </w:r>
      <w:r w:rsidR="00080AEA">
        <w:rPr>
          <w:lang w:val="en-CA"/>
        </w:rPr>
        <w:t>with</w:t>
      </w:r>
      <w:r w:rsidR="00060A1D" w:rsidRPr="001A7F2A">
        <w:rPr>
          <w:lang w:val="en-CA"/>
        </w:rPr>
        <w:t xml:space="preserve"> </w:t>
      </w:r>
      <w:r w:rsidRPr="001A7F2A">
        <w:rPr>
          <w:lang w:val="en-CA"/>
        </w:rPr>
        <w:t xml:space="preserve">the Superior Court for judicial review of its decision dated November 22, 2017. On January 9, 2019, the Superior Court </w:t>
      </w:r>
      <w:r w:rsidR="00AD1FDF" w:rsidRPr="001A7F2A">
        <w:rPr>
          <w:lang w:val="en-CA"/>
        </w:rPr>
        <w:t>upheld</w:t>
      </w:r>
      <w:r w:rsidRPr="001A7F2A">
        <w:rPr>
          <w:lang w:val="en-CA"/>
        </w:rPr>
        <w:t xml:space="preserve"> the decision rendered by the Tribunal on November 22, 2017.</w:t>
      </w:r>
      <w:r w:rsidRPr="00080AEA">
        <w:rPr>
          <w:rStyle w:val="Appelnotedebasdep"/>
          <w:lang w:val="en-CA"/>
        </w:rPr>
        <w:footnoteReference w:id="5"/>
      </w:r>
    </w:p>
    <w:p w14:paraId="38FD1D35" w14:textId="4894E28B" w:rsidR="001B069B" w:rsidRPr="001A7F2A" w:rsidRDefault="00934628" w:rsidP="007E5D8F">
      <w:pPr>
        <w:pStyle w:val="Paragraphe"/>
        <w:numPr>
          <w:ilvl w:val="0"/>
          <w:numId w:val="1"/>
        </w:numPr>
        <w:rPr>
          <w:lang w:val="en-CA"/>
        </w:rPr>
      </w:pPr>
      <w:r w:rsidRPr="001A7F2A">
        <w:rPr>
          <w:lang w:val="en-CA"/>
        </w:rPr>
        <w:t xml:space="preserve"> </w:t>
      </w:r>
      <w:r w:rsidR="00102777" w:rsidRPr="001A7F2A">
        <w:rPr>
          <w:lang w:val="en-CA"/>
        </w:rPr>
        <w:t>On March 15, 2019, the Court of Appe</w:t>
      </w:r>
      <w:r w:rsidR="001A7F2A">
        <w:rPr>
          <w:lang w:val="en-CA"/>
        </w:rPr>
        <w:t>a</w:t>
      </w:r>
      <w:r w:rsidR="00102777" w:rsidRPr="001A7F2A">
        <w:rPr>
          <w:lang w:val="en-CA"/>
        </w:rPr>
        <w:t xml:space="preserve">l granted the respondents Frederick Langford Sharp, Vincenzo Antonio Carnovale, Pasquale Antonio Rocca, and Shawn Van Damme leave to appeal from the </w:t>
      </w:r>
      <w:r w:rsidR="00AD1FDF" w:rsidRPr="001A7F2A">
        <w:rPr>
          <w:lang w:val="en-CA"/>
        </w:rPr>
        <w:t xml:space="preserve">Superior Court </w:t>
      </w:r>
      <w:r w:rsidR="00102777" w:rsidRPr="001A7F2A">
        <w:rPr>
          <w:lang w:val="en-CA"/>
        </w:rPr>
        <w:t>judgment rendered</w:t>
      </w:r>
      <w:r w:rsidR="00AD1FDF" w:rsidRPr="001A7F2A">
        <w:rPr>
          <w:lang w:val="en-CA"/>
        </w:rPr>
        <w:t xml:space="preserve"> on</w:t>
      </w:r>
      <w:r w:rsidR="00102777" w:rsidRPr="001A7F2A">
        <w:rPr>
          <w:lang w:val="en-CA"/>
        </w:rPr>
        <w:t xml:space="preserve"> January</w:t>
      </w:r>
      <w:r w:rsidR="00122B3E" w:rsidRPr="001A7F2A">
        <w:rPr>
          <w:lang w:val="en-CA"/>
        </w:rPr>
        <w:t> </w:t>
      </w:r>
      <w:r w:rsidR="00102777" w:rsidRPr="001A7F2A">
        <w:rPr>
          <w:lang w:val="en-CA"/>
        </w:rPr>
        <w:t>9,</w:t>
      </w:r>
      <w:r w:rsidR="00122B3E" w:rsidRPr="001A7F2A">
        <w:rPr>
          <w:lang w:val="en-CA"/>
        </w:rPr>
        <w:t> </w:t>
      </w:r>
      <w:r w:rsidR="00102777" w:rsidRPr="001A7F2A">
        <w:rPr>
          <w:lang w:val="en-CA"/>
        </w:rPr>
        <w:t>2019.</w:t>
      </w:r>
      <w:r w:rsidR="00102777" w:rsidRPr="00080AEA">
        <w:rPr>
          <w:rStyle w:val="Appelnotedebasdep"/>
          <w:lang w:val="en-CA"/>
        </w:rPr>
        <w:footnoteReference w:id="6"/>
      </w:r>
      <w:r w:rsidRPr="001A7F2A">
        <w:rPr>
          <w:lang w:val="en-CA"/>
        </w:rPr>
        <w:t xml:space="preserve"> </w:t>
      </w:r>
    </w:p>
    <w:p w14:paraId="6E05CF57" w14:textId="180386F6" w:rsidR="007B4805" w:rsidRPr="001A7F2A" w:rsidRDefault="00102777" w:rsidP="00DD1EA2">
      <w:pPr>
        <w:pStyle w:val="Style1"/>
        <w:widowControl w:val="0"/>
        <w:tabs>
          <w:tab w:val="num" w:pos="360"/>
        </w:tabs>
        <w:rPr>
          <w:lang w:val="en-CA"/>
        </w:rPr>
      </w:pPr>
      <w:bookmarkStart w:id="2" w:name="_Hlk184047378"/>
      <w:r w:rsidRPr="001A7F2A">
        <w:rPr>
          <w:lang w:val="en-CA"/>
        </w:rPr>
        <w:t xml:space="preserve">On May 27, 2019, the respondent Michel Plante </w:t>
      </w:r>
      <w:r w:rsidR="00D61624" w:rsidRPr="001A7F2A">
        <w:rPr>
          <w:lang w:val="en-CA"/>
        </w:rPr>
        <w:t>submitted to</w:t>
      </w:r>
      <w:r w:rsidRPr="001A7F2A">
        <w:rPr>
          <w:lang w:val="en-CA"/>
        </w:rPr>
        <w:t xml:space="preserve"> the Tribunal another interim application for a stay of the proceedings against him</w:t>
      </w:r>
      <w:r w:rsidR="00A20B55" w:rsidRPr="001A7F2A">
        <w:rPr>
          <w:lang w:val="en-CA"/>
        </w:rPr>
        <w:t xml:space="preserve"> in which he</w:t>
      </w:r>
      <w:r w:rsidRPr="001A7F2A">
        <w:rPr>
          <w:lang w:val="en-CA"/>
        </w:rPr>
        <w:t xml:space="preserve"> basically </w:t>
      </w:r>
      <w:r w:rsidR="00A20B55" w:rsidRPr="001A7F2A">
        <w:rPr>
          <w:lang w:val="en-CA"/>
        </w:rPr>
        <w:t xml:space="preserve">alleged </w:t>
      </w:r>
      <w:r w:rsidRPr="001A7F2A">
        <w:rPr>
          <w:lang w:val="en-CA"/>
        </w:rPr>
        <w:t xml:space="preserve">that there was an unreasonable delay in this case, causing him significant </w:t>
      </w:r>
      <w:r w:rsidR="007B2762" w:rsidRPr="001A7F2A">
        <w:rPr>
          <w:lang w:val="en-CA"/>
        </w:rPr>
        <w:t>prejudice</w:t>
      </w:r>
      <w:r w:rsidRPr="001A7F2A">
        <w:rPr>
          <w:lang w:val="en-CA"/>
        </w:rPr>
        <w:t>.</w:t>
      </w:r>
      <w:r w:rsidR="00B251B8" w:rsidRPr="001A7F2A">
        <w:rPr>
          <w:lang w:val="en-CA"/>
        </w:rPr>
        <w:t xml:space="preserve"> </w:t>
      </w:r>
      <w:bookmarkEnd w:id="2"/>
      <w:r w:rsidRPr="001A7F2A">
        <w:rPr>
          <w:lang w:val="en-CA"/>
        </w:rPr>
        <w:t>On September</w:t>
      </w:r>
      <w:r w:rsidR="00122B3E" w:rsidRPr="001A7F2A">
        <w:rPr>
          <w:lang w:val="en-CA"/>
        </w:rPr>
        <w:t> </w:t>
      </w:r>
      <w:r w:rsidRPr="001A7F2A">
        <w:rPr>
          <w:lang w:val="en-CA"/>
        </w:rPr>
        <w:t>18,</w:t>
      </w:r>
      <w:r w:rsidR="00122B3E" w:rsidRPr="001A7F2A">
        <w:rPr>
          <w:lang w:val="en-CA"/>
        </w:rPr>
        <w:t> </w:t>
      </w:r>
      <w:r w:rsidRPr="001A7F2A">
        <w:rPr>
          <w:lang w:val="en-CA"/>
        </w:rPr>
        <w:t xml:space="preserve">2019, the Tribunal dismissed this second interim application filed by </w:t>
      </w:r>
      <w:r w:rsidR="00122B3E" w:rsidRPr="001A7F2A">
        <w:rPr>
          <w:lang w:val="en-CA"/>
        </w:rPr>
        <w:t>respondent</w:t>
      </w:r>
      <w:r w:rsidRPr="001A7F2A">
        <w:rPr>
          <w:lang w:val="en-CA"/>
        </w:rPr>
        <w:t xml:space="preserve"> Michel Plante.</w:t>
      </w:r>
      <w:r w:rsidRPr="00080AEA">
        <w:rPr>
          <w:rStyle w:val="Appelnotedebasdep"/>
          <w:lang w:val="en-CA"/>
        </w:rPr>
        <w:footnoteReference w:id="7"/>
      </w:r>
      <w:r w:rsidR="00976200" w:rsidRPr="001A7F2A">
        <w:rPr>
          <w:lang w:val="en-CA"/>
        </w:rPr>
        <w:t xml:space="preserve"> </w:t>
      </w:r>
    </w:p>
    <w:p w14:paraId="5F4B9E51" w14:textId="1253FFE7" w:rsidR="00976200" w:rsidRPr="001A7F2A" w:rsidRDefault="00102777" w:rsidP="005C2523">
      <w:pPr>
        <w:pStyle w:val="Paragraphe"/>
        <w:widowControl w:val="0"/>
        <w:numPr>
          <w:ilvl w:val="0"/>
          <w:numId w:val="1"/>
        </w:numPr>
        <w:rPr>
          <w:lang w:val="en-CA"/>
        </w:rPr>
      </w:pPr>
      <w:r w:rsidRPr="001A7F2A">
        <w:rPr>
          <w:lang w:val="en-CA"/>
        </w:rPr>
        <w:t xml:space="preserve">On September 15, 2021, the Court of Appeal dismissed the appeal of the respondents </w:t>
      </w:r>
      <w:r w:rsidRPr="001A7F2A">
        <w:rPr>
          <w:lang w:val="en-CA"/>
        </w:rPr>
        <w:lastRenderedPageBreak/>
        <w:t>Frederick Langford Sharp, Vincenzo Antonio Carnovale, Pasquale Antonio Rocca, and Shawn Van Damme, upholding the Superior Court judgment dated January 9, 2019,</w:t>
      </w:r>
      <w:r w:rsidRPr="00080AEA">
        <w:rPr>
          <w:rStyle w:val="Appelnotedebasdep"/>
          <w:lang w:val="en-CA"/>
        </w:rPr>
        <w:footnoteReference w:id="8"/>
      </w:r>
      <w:r w:rsidRPr="001A7F2A">
        <w:rPr>
          <w:lang w:val="en-CA"/>
        </w:rPr>
        <w:t xml:space="preserve"> </w:t>
      </w:r>
      <w:r w:rsidR="000C4EBE" w:rsidRPr="001A7F2A">
        <w:rPr>
          <w:lang w:val="en-CA"/>
        </w:rPr>
        <w:t>itself upholding</w:t>
      </w:r>
      <w:r w:rsidRPr="001A7F2A">
        <w:rPr>
          <w:lang w:val="en-CA"/>
        </w:rPr>
        <w:t xml:space="preserve"> the Tribunal’s decision dated November 22, 2017.</w:t>
      </w:r>
    </w:p>
    <w:p w14:paraId="5C2ADEA6" w14:textId="0E5DC6A0" w:rsidR="00AC489C" w:rsidRPr="001A7F2A" w:rsidRDefault="00102777" w:rsidP="005C2523">
      <w:pPr>
        <w:pStyle w:val="Paragraphe"/>
        <w:widowControl w:val="0"/>
        <w:numPr>
          <w:ilvl w:val="0"/>
          <w:numId w:val="1"/>
        </w:numPr>
        <w:rPr>
          <w:lang w:val="en-CA"/>
        </w:rPr>
      </w:pPr>
      <w:r w:rsidRPr="001A7F2A">
        <w:rPr>
          <w:lang w:val="en-CA"/>
        </w:rPr>
        <w:t>On November 15, 2021, The Tribunal was informed that these respondents, including Frederick Langford Sharp, had sought leave from the Supreme Court to appeal</w:t>
      </w:r>
      <w:r w:rsidR="000C2625" w:rsidRPr="001A7F2A">
        <w:rPr>
          <w:lang w:val="en-CA"/>
        </w:rPr>
        <w:t xml:space="preserve"> from</w:t>
      </w:r>
      <w:r w:rsidRPr="001A7F2A">
        <w:rPr>
          <w:lang w:val="en-CA"/>
        </w:rPr>
        <w:t xml:space="preserve"> the Court of Appeal judgment dated September 15, 2021.</w:t>
      </w:r>
      <w:r w:rsidR="003C7F59" w:rsidRPr="001A7F2A">
        <w:rPr>
          <w:lang w:val="en-CA"/>
        </w:rPr>
        <w:t xml:space="preserve"> </w:t>
      </w:r>
      <w:r w:rsidRPr="001A7F2A">
        <w:rPr>
          <w:lang w:val="en-CA"/>
        </w:rPr>
        <w:t>Leave to appeal was granted by the Supreme Court on April 28, 2022.</w:t>
      </w:r>
      <w:r w:rsidRPr="00080AEA">
        <w:rPr>
          <w:rStyle w:val="Appelnotedebasdep"/>
          <w:lang w:val="en-CA"/>
        </w:rPr>
        <w:footnoteReference w:id="9"/>
      </w:r>
      <w:r w:rsidR="00C106AC" w:rsidRPr="001A7F2A">
        <w:rPr>
          <w:lang w:val="en-CA"/>
        </w:rPr>
        <w:t xml:space="preserve"> </w:t>
      </w:r>
    </w:p>
    <w:p w14:paraId="7C50E1CC" w14:textId="1841BA6A" w:rsidR="00AD6C3C" w:rsidRPr="001A7F2A" w:rsidRDefault="006A3519" w:rsidP="005C2523">
      <w:pPr>
        <w:pStyle w:val="Paragraphe"/>
        <w:widowControl w:val="0"/>
        <w:numPr>
          <w:ilvl w:val="0"/>
          <w:numId w:val="1"/>
        </w:numPr>
        <w:rPr>
          <w:lang w:val="en-CA"/>
        </w:rPr>
      </w:pPr>
      <w:r w:rsidRPr="001A7F2A">
        <w:rPr>
          <w:lang w:val="en-CA"/>
        </w:rPr>
        <w:t>Moreover, on February 2, 2022, the Court of Appeal granted the respondents’ application to stay the execution of the Court of Appeal judgment dated September</w:t>
      </w:r>
      <w:r w:rsidR="000C2625" w:rsidRPr="001A7F2A">
        <w:rPr>
          <w:lang w:val="en-CA"/>
        </w:rPr>
        <w:t> </w:t>
      </w:r>
      <w:r w:rsidRPr="001A7F2A">
        <w:rPr>
          <w:lang w:val="en-CA"/>
        </w:rPr>
        <w:t>15,</w:t>
      </w:r>
      <w:r w:rsidR="000C2625" w:rsidRPr="001A7F2A">
        <w:rPr>
          <w:lang w:val="en-CA"/>
        </w:rPr>
        <w:t> </w:t>
      </w:r>
      <w:r w:rsidRPr="001A7F2A">
        <w:rPr>
          <w:lang w:val="en-CA"/>
        </w:rPr>
        <w:t xml:space="preserve">2021, and to stay proceedings </w:t>
      </w:r>
      <w:r w:rsidR="000C2625" w:rsidRPr="001A7F2A">
        <w:rPr>
          <w:lang w:val="en-CA"/>
        </w:rPr>
        <w:t>until</w:t>
      </w:r>
      <w:r w:rsidRPr="001A7F2A">
        <w:rPr>
          <w:lang w:val="en-CA"/>
        </w:rPr>
        <w:t xml:space="preserve"> the Supreme Court’s ruling.</w:t>
      </w:r>
      <w:r w:rsidRPr="00080AEA">
        <w:rPr>
          <w:rStyle w:val="Appelnotedebasdep"/>
          <w:lang w:val="en-CA"/>
        </w:rPr>
        <w:footnoteReference w:id="10"/>
      </w:r>
      <w:r w:rsidR="003D2AD3" w:rsidRPr="001A7F2A">
        <w:rPr>
          <w:lang w:val="en-CA"/>
        </w:rPr>
        <w:t xml:space="preserve"> </w:t>
      </w:r>
    </w:p>
    <w:p w14:paraId="06DD1D39" w14:textId="6E2900E7" w:rsidR="00236B0D" w:rsidRPr="001A7F2A" w:rsidRDefault="006A3519" w:rsidP="005C2523">
      <w:pPr>
        <w:pStyle w:val="Paragraphe"/>
        <w:widowControl w:val="0"/>
        <w:numPr>
          <w:ilvl w:val="0"/>
          <w:numId w:val="1"/>
        </w:numPr>
        <w:rPr>
          <w:lang w:val="en-CA"/>
        </w:rPr>
      </w:pPr>
      <w:r w:rsidRPr="001A7F2A">
        <w:rPr>
          <w:lang w:val="en-CA"/>
        </w:rPr>
        <w:t>On November 17, 2023, the Supreme Court of Canada dismissed</w:t>
      </w:r>
      <w:r w:rsidRPr="00080AEA">
        <w:rPr>
          <w:rStyle w:val="Appelnotedebasdep"/>
          <w:lang w:val="en-CA"/>
        </w:rPr>
        <w:footnoteReference w:id="11"/>
      </w:r>
      <w:r w:rsidRPr="001A7F2A">
        <w:rPr>
          <w:lang w:val="en-CA"/>
        </w:rPr>
        <w:t xml:space="preserve"> the appeal of the </w:t>
      </w:r>
      <w:proofErr w:type="gramStart"/>
      <w:r w:rsidR="00C073A3" w:rsidRPr="001A7F2A">
        <w:rPr>
          <w:lang w:val="en-CA"/>
        </w:rPr>
        <w:t xml:space="preserve">aforementioned </w:t>
      </w:r>
      <w:r w:rsidRPr="001A7F2A">
        <w:rPr>
          <w:lang w:val="en-CA"/>
        </w:rPr>
        <w:t>respondents</w:t>
      </w:r>
      <w:proofErr w:type="gramEnd"/>
      <w:r w:rsidRPr="001A7F2A">
        <w:rPr>
          <w:lang w:val="en-CA"/>
        </w:rPr>
        <w:t xml:space="preserve"> and</w:t>
      </w:r>
      <w:r w:rsidR="000C2625" w:rsidRPr="001A7F2A">
        <w:rPr>
          <w:lang w:val="en-CA"/>
        </w:rPr>
        <w:t>, just over six years after it was rendered,</w:t>
      </w:r>
      <w:r w:rsidRPr="001A7F2A">
        <w:rPr>
          <w:lang w:val="en-CA"/>
        </w:rPr>
        <w:t xml:space="preserve"> confirmed the Tribunal’s decision dated November 22, 2017, dismiss</w:t>
      </w:r>
      <w:r w:rsidR="000C2625" w:rsidRPr="001A7F2A">
        <w:rPr>
          <w:lang w:val="en-CA"/>
        </w:rPr>
        <w:t>ing</w:t>
      </w:r>
      <w:r w:rsidRPr="001A7F2A">
        <w:rPr>
          <w:lang w:val="en-CA"/>
        </w:rPr>
        <w:t xml:space="preserve"> the interim application for a declinatory exception brought by the respondents Frederick Langford Sharp, Vincenzo Antonio Carnovale, Pasquale Antonio Rocca, </w:t>
      </w:r>
      <w:r w:rsidR="007B2762" w:rsidRPr="001A7F2A">
        <w:rPr>
          <w:lang w:val="en-CA"/>
        </w:rPr>
        <w:t>and</w:t>
      </w:r>
      <w:r w:rsidRPr="001A7F2A">
        <w:rPr>
          <w:lang w:val="en-CA"/>
        </w:rPr>
        <w:t xml:space="preserve"> Shawn Van Damme.</w:t>
      </w:r>
    </w:p>
    <w:p w14:paraId="7FB1D8FB" w14:textId="168CE7B8" w:rsidR="007175DC" w:rsidRPr="001A7F2A" w:rsidRDefault="006A3519" w:rsidP="005C2523">
      <w:pPr>
        <w:pStyle w:val="Paragraphe"/>
        <w:widowControl w:val="0"/>
        <w:numPr>
          <w:ilvl w:val="0"/>
          <w:numId w:val="1"/>
        </w:numPr>
        <w:rPr>
          <w:lang w:val="en-CA"/>
        </w:rPr>
      </w:pPr>
      <w:r w:rsidRPr="001A7F2A">
        <w:rPr>
          <w:lang w:val="en-CA"/>
        </w:rPr>
        <w:t xml:space="preserve">On September 13, 2024, the respondent Frederick Langford Sharp </w:t>
      </w:r>
      <w:r w:rsidR="00507E91" w:rsidRPr="001A7F2A">
        <w:rPr>
          <w:lang w:val="en-CA"/>
        </w:rPr>
        <w:t xml:space="preserve">submitted </w:t>
      </w:r>
      <w:r w:rsidRPr="001A7F2A">
        <w:rPr>
          <w:lang w:val="en-CA"/>
        </w:rPr>
        <w:t xml:space="preserve">another interim application </w:t>
      </w:r>
      <w:r w:rsidR="00080AEA">
        <w:rPr>
          <w:lang w:val="en-CA"/>
        </w:rPr>
        <w:t>to</w:t>
      </w:r>
      <w:r w:rsidRPr="001A7F2A">
        <w:rPr>
          <w:lang w:val="en-CA"/>
        </w:rPr>
        <w:t xml:space="preserve"> the Tribunal for a stay of the proceedings </w:t>
      </w:r>
      <w:r w:rsidR="007B2762" w:rsidRPr="001A7F2A">
        <w:rPr>
          <w:lang w:val="en-CA"/>
        </w:rPr>
        <w:t>against</w:t>
      </w:r>
      <w:r w:rsidRPr="001A7F2A">
        <w:rPr>
          <w:lang w:val="en-CA"/>
        </w:rPr>
        <w:t xml:space="preserve"> him</w:t>
      </w:r>
      <w:r w:rsidR="00507E91" w:rsidRPr="001A7F2A">
        <w:rPr>
          <w:lang w:val="en-CA"/>
        </w:rPr>
        <w:t xml:space="preserve"> in which</w:t>
      </w:r>
      <w:r w:rsidRPr="001A7F2A">
        <w:rPr>
          <w:lang w:val="en-CA"/>
        </w:rPr>
        <w:t xml:space="preserve"> </w:t>
      </w:r>
      <w:r w:rsidR="00507E91" w:rsidRPr="001A7F2A">
        <w:rPr>
          <w:lang w:val="en-CA"/>
        </w:rPr>
        <w:t xml:space="preserve">he </w:t>
      </w:r>
      <w:r w:rsidRPr="001A7F2A">
        <w:rPr>
          <w:lang w:val="en-CA"/>
        </w:rPr>
        <w:t xml:space="preserve">basically </w:t>
      </w:r>
      <w:r w:rsidR="00507E91" w:rsidRPr="001A7F2A">
        <w:rPr>
          <w:lang w:val="en-CA"/>
        </w:rPr>
        <w:t xml:space="preserve">alleges </w:t>
      </w:r>
      <w:r w:rsidRPr="001A7F2A">
        <w:rPr>
          <w:lang w:val="en-CA"/>
        </w:rPr>
        <w:t>that there was an unreasonable delay in this case</w:t>
      </w:r>
      <w:r w:rsidR="00AB1E10" w:rsidRPr="001A7F2A">
        <w:rPr>
          <w:lang w:val="en-CA"/>
        </w:rPr>
        <w:t xml:space="preserve"> that</w:t>
      </w:r>
      <w:r w:rsidRPr="001A7F2A">
        <w:rPr>
          <w:lang w:val="en-CA"/>
        </w:rPr>
        <w:t xml:space="preserve"> caus</w:t>
      </w:r>
      <w:r w:rsidR="00AB1E10" w:rsidRPr="001A7F2A">
        <w:rPr>
          <w:lang w:val="en-CA"/>
        </w:rPr>
        <w:t>ed</w:t>
      </w:r>
      <w:r w:rsidRPr="001A7F2A">
        <w:rPr>
          <w:lang w:val="en-CA"/>
        </w:rPr>
        <w:t xml:space="preserve"> </w:t>
      </w:r>
      <w:r w:rsidR="007B2762" w:rsidRPr="001A7F2A">
        <w:rPr>
          <w:lang w:val="en-CA"/>
        </w:rPr>
        <w:t>him</w:t>
      </w:r>
      <w:r w:rsidRPr="001A7F2A">
        <w:rPr>
          <w:lang w:val="en-CA"/>
        </w:rPr>
        <w:t xml:space="preserve"> significant </w:t>
      </w:r>
      <w:r w:rsidR="007B2762" w:rsidRPr="001A7F2A">
        <w:rPr>
          <w:lang w:val="en-CA"/>
        </w:rPr>
        <w:t>prejudice</w:t>
      </w:r>
      <w:r w:rsidRPr="001A7F2A">
        <w:rPr>
          <w:lang w:val="en-CA"/>
        </w:rPr>
        <w:t>.</w:t>
      </w:r>
      <w:r w:rsidR="006B242B" w:rsidRPr="001A7F2A">
        <w:rPr>
          <w:lang w:val="en-CA"/>
        </w:rPr>
        <w:t xml:space="preserve">  </w:t>
      </w:r>
    </w:p>
    <w:p w14:paraId="38FD1D37" w14:textId="066A6950" w:rsidR="0003778C" w:rsidRPr="001A7F2A" w:rsidRDefault="006A3519" w:rsidP="005C2523">
      <w:pPr>
        <w:pStyle w:val="Paragraphe"/>
        <w:widowControl w:val="0"/>
        <w:numPr>
          <w:ilvl w:val="0"/>
          <w:numId w:val="1"/>
        </w:numPr>
        <w:rPr>
          <w:lang w:val="en-CA"/>
        </w:rPr>
      </w:pPr>
      <w:r w:rsidRPr="001A7F2A">
        <w:rPr>
          <w:lang w:val="en-CA"/>
        </w:rPr>
        <w:t>The Authority contests this new interim application by the respondent Frederick Langford Sharp.</w:t>
      </w:r>
      <w:r w:rsidR="009669D6" w:rsidRPr="001A7F2A">
        <w:rPr>
          <w:lang w:val="en-CA"/>
        </w:rPr>
        <w:t xml:space="preserve"> </w:t>
      </w:r>
    </w:p>
    <w:p w14:paraId="38FD1D38" w14:textId="0142AEF5" w:rsidR="0003778C" w:rsidRPr="001A7F2A" w:rsidRDefault="00385272" w:rsidP="005C2523">
      <w:pPr>
        <w:pStyle w:val="Paragraphe"/>
        <w:widowControl w:val="0"/>
        <w:numPr>
          <w:ilvl w:val="0"/>
          <w:numId w:val="1"/>
        </w:numPr>
        <w:rPr>
          <w:lang w:val="en-CA"/>
        </w:rPr>
      </w:pPr>
      <w:r w:rsidRPr="001A7F2A">
        <w:rPr>
          <w:lang w:val="en-CA"/>
        </w:rPr>
        <w:t>The Tribunal must therefore answer the follow question:</w:t>
      </w:r>
      <w:r w:rsidR="00AB1E10" w:rsidRPr="001A7F2A">
        <w:rPr>
          <w:lang w:val="en-CA"/>
        </w:rPr>
        <w:t xml:space="preserve"> [</w:t>
      </w:r>
      <w:r w:rsidR="00AB1E10" w:rsidRPr="001A7F2A">
        <w:rPr>
          <w:smallCaps/>
          <w:lang w:val="en-CA"/>
        </w:rPr>
        <w:t>translation</w:t>
      </w:r>
      <w:r w:rsidR="00AB1E10" w:rsidRPr="001A7F2A">
        <w:rPr>
          <w:lang w:val="en-CA"/>
        </w:rPr>
        <w:t>]</w:t>
      </w:r>
      <w:r w:rsidRPr="001A7F2A">
        <w:rPr>
          <w:lang w:val="en-CA"/>
        </w:rPr>
        <w:t xml:space="preserve"> “Must the Tribunal, in the public </w:t>
      </w:r>
      <w:r w:rsidR="00AB1E10" w:rsidRPr="001A7F2A">
        <w:rPr>
          <w:lang w:val="en-CA"/>
        </w:rPr>
        <w:t>interest</w:t>
      </w:r>
      <w:r w:rsidRPr="001A7F2A">
        <w:rPr>
          <w:lang w:val="en-CA"/>
        </w:rPr>
        <w:t>, put an end to the administrative proceedings brought by the Authority on April 20, 2017, against the respondent Frederick Langford Sharp?</w:t>
      </w:r>
      <w:r w:rsidR="00AB1E10" w:rsidRPr="001A7F2A">
        <w:rPr>
          <w:lang w:val="en-CA"/>
        </w:rPr>
        <w:t>”</w:t>
      </w:r>
      <w:r w:rsidR="00486A30" w:rsidRPr="001A7F2A">
        <w:rPr>
          <w:lang w:val="en-CA"/>
        </w:rPr>
        <w:t xml:space="preserve"> </w:t>
      </w:r>
    </w:p>
    <w:p w14:paraId="38FD1D39" w14:textId="7416600B" w:rsidR="00B80D38" w:rsidRPr="001A7F2A" w:rsidRDefault="00385272" w:rsidP="005C2523">
      <w:pPr>
        <w:pStyle w:val="Paragraphe"/>
        <w:widowControl w:val="0"/>
        <w:numPr>
          <w:ilvl w:val="0"/>
          <w:numId w:val="1"/>
        </w:numPr>
        <w:rPr>
          <w:lang w:val="en-CA"/>
        </w:rPr>
      </w:pPr>
      <w:r w:rsidRPr="001A7F2A">
        <w:rPr>
          <w:lang w:val="en-CA"/>
        </w:rPr>
        <w:t>For the reasons set out in the analysis below, the Tribunal will answer this question in the negative.</w:t>
      </w:r>
      <w:r w:rsidR="001B069B" w:rsidRPr="001A7F2A">
        <w:rPr>
          <w:lang w:val="en-CA"/>
        </w:rPr>
        <w:t xml:space="preserve">      </w:t>
      </w:r>
    </w:p>
    <w:p w14:paraId="38FD1D3A" w14:textId="631AEB46" w:rsidR="00B80D38" w:rsidRPr="001A7F2A" w:rsidRDefault="00385272" w:rsidP="005C2523">
      <w:pPr>
        <w:pStyle w:val="Style1"/>
        <w:widowControl w:val="0"/>
        <w:numPr>
          <w:ilvl w:val="0"/>
          <w:numId w:val="0"/>
        </w:numPr>
        <w:rPr>
          <w:b/>
          <w:lang w:val="en-CA"/>
        </w:rPr>
      </w:pPr>
      <w:r w:rsidRPr="001A7F2A">
        <w:rPr>
          <w:b/>
          <w:lang w:val="en-CA"/>
        </w:rPr>
        <w:t>ANALYSIS</w:t>
      </w:r>
    </w:p>
    <w:p w14:paraId="38FD1D3B" w14:textId="6CAA758B" w:rsidR="00C00F5C" w:rsidRPr="001A7F2A" w:rsidRDefault="00385272" w:rsidP="005C2523">
      <w:pPr>
        <w:pStyle w:val="Style1"/>
        <w:widowControl w:val="0"/>
        <w:numPr>
          <w:ilvl w:val="0"/>
          <w:numId w:val="0"/>
        </w:numPr>
        <w:rPr>
          <w:b/>
          <w:i/>
          <w:lang w:val="en-CA"/>
        </w:rPr>
      </w:pPr>
      <w:r w:rsidRPr="001A7F2A">
        <w:rPr>
          <w:b/>
          <w:i/>
          <w:lang w:val="en-CA"/>
        </w:rPr>
        <w:t>Question at issue: “Must the Tribunal, in the public int</w:t>
      </w:r>
      <w:r w:rsidR="003B453D" w:rsidRPr="001A7F2A">
        <w:rPr>
          <w:b/>
          <w:i/>
          <w:lang w:val="en-CA"/>
        </w:rPr>
        <w:t>e</w:t>
      </w:r>
      <w:r w:rsidRPr="001A7F2A">
        <w:rPr>
          <w:b/>
          <w:i/>
          <w:lang w:val="en-CA"/>
        </w:rPr>
        <w:t>rest, put an end to the administrative proceedings brought by the Authority on April 20, 2017, against the respondent Frederick Langford Sharp?</w:t>
      </w:r>
      <w:r w:rsidR="00AB1E10" w:rsidRPr="001A7F2A">
        <w:rPr>
          <w:b/>
          <w:i/>
          <w:lang w:val="en-CA"/>
        </w:rPr>
        <w:t>”</w:t>
      </w:r>
      <w:r w:rsidR="00934628" w:rsidRPr="001A7F2A">
        <w:rPr>
          <w:b/>
          <w:i/>
          <w:lang w:val="en-CA"/>
        </w:rPr>
        <w:t xml:space="preserve"> </w:t>
      </w:r>
    </w:p>
    <w:p w14:paraId="38FD1D3C" w14:textId="66D7AA1E" w:rsidR="00C00F5C" w:rsidRPr="001A7F2A" w:rsidRDefault="00385272" w:rsidP="005C2523">
      <w:pPr>
        <w:pStyle w:val="Style1"/>
        <w:widowControl w:val="0"/>
        <w:rPr>
          <w:lang w:val="en-CA"/>
        </w:rPr>
      </w:pPr>
      <w:r w:rsidRPr="001A7F2A">
        <w:rPr>
          <w:lang w:val="en-CA"/>
        </w:rPr>
        <w:t>For the reasons given below, the Tribunal will answer this question with a “no”.</w:t>
      </w:r>
    </w:p>
    <w:p w14:paraId="38FD1D3D" w14:textId="0408EDA8" w:rsidR="001203F2" w:rsidRPr="001A7F2A" w:rsidRDefault="00385272" w:rsidP="005C2523">
      <w:pPr>
        <w:pStyle w:val="Paragraphe"/>
        <w:widowControl w:val="0"/>
        <w:numPr>
          <w:ilvl w:val="0"/>
          <w:numId w:val="1"/>
        </w:numPr>
        <w:rPr>
          <w:lang w:val="en-CA"/>
        </w:rPr>
      </w:pPr>
      <w:r w:rsidRPr="001A7F2A">
        <w:rPr>
          <w:lang w:val="en-CA"/>
        </w:rPr>
        <w:t xml:space="preserve">The Tribunal first recalls that, in this case, the Authority alleges that all the respondents </w:t>
      </w:r>
      <w:r w:rsidR="00AB1E10" w:rsidRPr="001A7F2A">
        <w:rPr>
          <w:lang w:val="en-CA"/>
        </w:rPr>
        <w:t>participated</w:t>
      </w:r>
      <w:r w:rsidRPr="001A7F2A">
        <w:rPr>
          <w:lang w:val="en-CA"/>
        </w:rPr>
        <w:t xml:space="preserve"> in implementing a massive and sophisticated scheme to manipulate the</w:t>
      </w:r>
      <w:r w:rsidR="00AB1E10" w:rsidRPr="001A7F2A">
        <w:rPr>
          <w:lang w:val="en-CA"/>
        </w:rPr>
        <w:t xml:space="preserve"> respondent Solo’s</w:t>
      </w:r>
      <w:r w:rsidRPr="001A7F2A">
        <w:rPr>
          <w:lang w:val="en-CA"/>
        </w:rPr>
        <w:t xml:space="preserve"> share price, which scheme had transnational scope </w:t>
      </w:r>
      <w:r w:rsidRPr="001A7F2A">
        <w:rPr>
          <w:lang w:val="en-CA"/>
        </w:rPr>
        <w:lastRenderedPageBreak/>
        <w:t>and elements.</w:t>
      </w:r>
      <w:r w:rsidR="007D48A2" w:rsidRPr="001A7F2A">
        <w:rPr>
          <w:lang w:val="en-CA"/>
        </w:rPr>
        <w:t xml:space="preserve"> </w:t>
      </w:r>
      <w:r w:rsidRPr="001A7F2A">
        <w:rPr>
          <w:lang w:val="en-CA"/>
        </w:rPr>
        <w:t xml:space="preserve">The Authority also alleges that this scheme allowed them to make illegal profits totalling $2,6 million, at the expense of other investors who purchased shares of Solo, a reporting issuer subject to the </w:t>
      </w:r>
      <w:r w:rsidRPr="001A7F2A">
        <w:rPr>
          <w:i/>
          <w:lang w:val="en-CA"/>
        </w:rPr>
        <w:t>Securities Act</w:t>
      </w:r>
      <w:r w:rsidRPr="001A7F2A">
        <w:rPr>
          <w:lang w:val="en-CA"/>
        </w:rPr>
        <w:t>.</w:t>
      </w:r>
      <w:r w:rsidRPr="00080AEA">
        <w:rPr>
          <w:rStyle w:val="Appelnotedebasdep"/>
          <w:iCs/>
          <w:lang w:val="en-CA"/>
        </w:rPr>
        <w:footnoteReference w:id="12"/>
      </w:r>
      <w:r w:rsidR="00934628" w:rsidRPr="001A7F2A">
        <w:rPr>
          <w:lang w:val="en-CA"/>
        </w:rPr>
        <w:t xml:space="preserve"> </w:t>
      </w:r>
    </w:p>
    <w:p w14:paraId="38FD1D3F" w14:textId="0C760976" w:rsidR="002558E7" w:rsidRPr="001A7F2A" w:rsidRDefault="00385272" w:rsidP="005C2523">
      <w:pPr>
        <w:pStyle w:val="Paragraphe"/>
        <w:widowControl w:val="0"/>
        <w:numPr>
          <w:ilvl w:val="0"/>
          <w:numId w:val="1"/>
        </w:numPr>
        <w:rPr>
          <w:lang w:val="en-CA"/>
        </w:rPr>
      </w:pPr>
      <w:r w:rsidRPr="001A7F2A">
        <w:rPr>
          <w:lang w:val="en-CA"/>
        </w:rPr>
        <w:t>The Tribunal has yet to hear the Authority’s originating pleading on the merits in this case.</w:t>
      </w:r>
      <w:r w:rsidR="00934628" w:rsidRPr="001A7F2A">
        <w:rPr>
          <w:lang w:val="en-CA"/>
        </w:rPr>
        <w:t xml:space="preserve"> </w:t>
      </w:r>
      <w:r w:rsidRPr="001A7F2A">
        <w:rPr>
          <w:lang w:val="en-CA"/>
        </w:rPr>
        <w:t xml:space="preserve">The Tribunal therefore states that its analysis </w:t>
      </w:r>
      <w:r w:rsidR="00927F9C" w:rsidRPr="001A7F2A">
        <w:rPr>
          <w:lang w:val="en-CA"/>
        </w:rPr>
        <w:t>of</w:t>
      </w:r>
      <w:r w:rsidRPr="001A7F2A">
        <w:rPr>
          <w:lang w:val="en-CA"/>
        </w:rPr>
        <w:t xml:space="preserve"> this most recent interim application by the respondent Frederick Langford Sharp, which seeks to stay the proceedings against him, must be performed taking as proved the facts alleged in the Authority’s originating pleading, which was filed on April 20, 2017, and later amended on May 10, 2024.</w:t>
      </w:r>
      <w:r w:rsidR="00934628" w:rsidRPr="001A7F2A">
        <w:rPr>
          <w:lang w:val="en-CA"/>
        </w:rPr>
        <w:t xml:space="preserve">    </w:t>
      </w:r>
    </w:p>
    <w:p w14:paraId="38FD1D40" w14:textId="541B7E0A" w:rsidR="00B80D38" w:rsidRPr="001A7F2A" w:rsidRDefault="0028173E" w:rsidP="005C2523">
      <w:pPr>
        <w:pStyle w:val="Paragraphe"/>
        <w:widowControl w:val="0"/>
        <w:numPr>
          <w:ilvl w:val="0"/>
          <w:numId w:val="1"/>
        </w:numPr>
        <w:rPr>
          <w:lang w:val="en-CA"/>
        </w:rPr>
      </w:pPr>
      <w:r w:rsidRPr="001A7F2A">
        <w:rPr>
          <w:lang w:val="en-CA"/>
        </w:rPr>
        <w:t xml:space="preserve">The </w:t>
      </w:r>
      <w:r w:rsidR="00777A71" w:rsidRPr="001A7F2A">
        <w:rPr>
          <w:lang w:val="en-CA"/>
        </w:rPr>
        <w:t xml:space="preserve">Tribunal </w:t>
      </w:r>
      <w:r w:rsidRPr="001A7F2A">
        <w:rPr>
          <w:lang w:val="en-CA"/>
        </w:rPr>
        <w:t>states that it has already rendered three decisions on interim applications presented by one or more respondents.</w:t>
      </w:r>
      <w:r w:rsidR="00AA72D4" w:rsidRPr="001A7F2A">
        <w:rPr>
          <w:lang w:val="en-CA"/>
        </w:rPr>
        <w:t xml:space="preserve"> </w:t>
      </w:r>
    </w:p>
    <w:p w14:paraId="285A6A69" w14:textId="52317516" w:rsidR="004E3A4F" w:rsidRPr="001A7F2A" w:rsidRDefault="00927F9C" w:rsidP="004E3A4F">
      <w:pPr>
        <w:pStyle w:val="Style1"/>
        <w:rPr>
          <w:lang w:val="en-CA"/>
        </w:rPr>
      </w:pPr>
      <w:r w:rsidRPr="001A7F2A">
        <w:rPr>
          <w:lang w:val="en-CA"/>
        </w:rPr>
        <w:t>The first decision, rendered on November 22, 2017,</w:t>
      </w:r>
      <w:r w:rsidR="00934628" w:rsidRPr="00080AEA">
        <w:rPr>
          <w:rStyle w:val="Appelnotedebasdep"/>
          <w:lang w:val="en-CA"/>
        </w:rPr>
        <w:footnoteReference w:id="13"/>
      </w:r>
      <w:r w:rsidR="0028173E" w:rsidRPr="001A7F2A">
        <w:rPr>
          <w:lang w:val="en-CA"/>
        </w:rPr>
        <w:t xml:space="preserve"> dismissed the preliminary applications for declinatory exceptions presented to the Tribunal in June 2017 by the respondents Frederick Langford Sharp, Vincenzo Antonio Carnovale, Pasquale Antonio Rocca, and Shawn Van Damme.</w:t>
      </w:r>
      <w:r w:rsidR="00934628" w:rsidRPr="001A7F2A">
        <w:rPr>
          <w:lang w:val="en-CA"/>
        </w:rPr>
        <w:t xml:space="preserve"> </w:t>
      </w:r>
      <w:r w:rsidR="0028173E" w:rsidRPr="001A7F2A">
        <w:rPr>
          <w:lang w:val="en-CA"/>
        </w:rPr>
        <w:t>In that decision, the Tribunal indicated</w:t>
      </w:r>
      <w:proofErr w:type="gramStart"/>
      <w:r w:rsidR="001A7F2A">
        <w:rPr>
          <w:lang w:val="en-CA"/>
        </w:rPr>
        <w:t>,</w:t>
      </w:r>
      <w:r w:rsidR="0028173E" w:rsidRPr="001A7F2A">
        <w:rPr>
          <w:lang w:val="en-CA"/>
        </w:rPr>
        <w:t xml:space="preserve"> in particular</w:t>
      </w:r>
      <w:r w:rsidR="001A7F2A">
        <w:rPr>
          <w:lang w:val="en-CA"/>
        </w:rPr>
        <w:t>,</w:t>
      </w:r>
      <w:r w:rsidR="0028173E" w:rsidRPr="001A7F2A">
        <w:rPr>
          <w:lang w:val="en-CA"/>
        </w:rPr>
        <w:t xml:space="preserve"> that</w:t>
      </w:r>
      <w:proofErr w:type="gramEnd"/>
      <w:r w:rsidR="0028173E" w:rsidRPr="001A7F2A">
        <w:rPr>
          <w:lang w:val="en-CA"/>
        </w:rPr>
        <w:t xml:space="preserve"> by taking </w:t>
      </w:r>
      <w:r w:rsidR="004453FF" w:rsidRPr="001A7F2A">
        <w:rPr>
          <w:lang w:val="en-CA"/>
        </w:rPr>
        <w:t xml:space="preserve">as proved </w:t>
      </w:r>
      <w:r w:rsidR="0028173E" w:rsidRPr="001A7F2A">
        <w:rPr>
          <w:lang w:val="en-CA"/>
        </w:rPr>
        <w:t xml:space="preserve">the facts alleged by the </w:t>
      </w:r>
      <w:r w:rsidR="004453FF" w:rsidRPr="001A7F2A">
        <w:rPr>
          <w:lang w:val="en-CA"/>
        </w:rPr>
        <w:t>Authority</w:t>
      </w:r>
      <w:r w:rsidR="0028173E" w:rsidRPr="001A7F2A">
        <w:rPr>
          <w:lang w:val="en-CA"/>
        </w:rPr>
        <w:t xml:space="preserve">, it </w:t>
      </w:r>
      <w:r w:rsidR="004453FF" w:rsidRPr="001A7F2A">
        <w:rPr>
          <w:lang w:val="en-CA"/>
        </w:rPr>
        <w:t>was</w:t>
      </w:r>
      <w:r w:rsidR="0028173E" w:rsidRPr="001A7F2A">
        <w:rPr>
          <w:lang w:val="en-CA"/>
        </w:rPr>
        <w:t xml:space="preserve"> clear that there is a real and substantial link between the alleged scheme and Quebec, and between the </w:t>
      </w:r>
      <w:r w:rsidR="00014C3C" w:rsidRPr="001A7F2A">
        <w:rPr>
          <w:lang w:val="en-CA"/>
        </w:rPr>
        <w:t>afore</w:t>
      </w:r>
      <w:r w:rsidR="0028173E" w:rsidRPr="001A7F2A">
        <w:rPr>
          <w:lang w:val="en-CA"/>
        </w:rPr>
        <w:t>mentioned respondents and Quebec.</w:t>
      </w:r>
      <w:r w:rsidR="00934628" w:rsidRPr="001A7F2A">
        <w:rPr>
          <w:lang w:val="en-CA"/>
        </w:rPr>
        <w:t xml:space="preserve"> </w:t>
      </w:r>
      <w:r w:rsidR="0028173E" w:rsidRPr="001A7F2A">
        <w:rPr>
          <w:lang w:val="en-CA"/>
        </w:rPr>
        <w:t>That decision was subsequently upheld by the Superior Court on January 9, 2019, by the Court of Appeal on September 15, 2021, and by the S</w:t>
      </w:r>
      <w:r w:rsidR="004453FF" w:rsidRPr="001A7F2A">
        <w:rPr>
          <w:lang w:val="en-CA"/>
        </w:rPr>
        <w:t>u</w:t>
      </w:r>
      <w:r w:rsidR="0028173E" w:rsidRPr="001A7F2A">
        <w:rPr>
          <w:lang w:val="en-CA"/>
        </w:rPr>
        <w:t xml:space="preserve">preme Court on November 17, 2023, the whole in the context of an application for judicial review sought by these </w:t>
      </w:r>
      <w:r w:rsidR="004453FF" w:rsidRPr="001A7F2A">
        <w:rPr>
          <w:lang w:val="en-CA"/>
        </w:rPr>
        <w:t>respondents</w:t>
      </w:r>
      <w:r w:rsidR="0028173E" w:rsidRPr="001A7F2A">
        <w:rPr>
          <w:lang w:val="en-CA"/>
        </w:rPr>
        <w:t xml:space="preserve">, which basically took six years to </w:t>
      </w:r>
      <w:r w:rsidR="00DB5FC0" w:rsidRPr="001A7F2A">
        <w:rPr>
          <w:lang w:val="en-CA"/>
        </w:rPr>
        <w:t>complete</w:t>
      </w:r>
      <w:r w:rsidR="0028173E" w:rsidRPr="001A7F2A">
        <w:rPr>
          <w:lang w:val="en-CA"/>
        </w:rPr>
        <w:t xml:space="preserve">, during which time they expressly asked and obtained a </w:t>
      </w:r>
      <w:r w:rsidR="00FD424F" w:rsidRPr="001A7F2A">
        <w:rPr>
          <w:lang w:val="en-CA"/>
        </w:rPr>
        <w:t xml:space="preserve">stay </w:t>
      </w:r>
      <w:r w:rsidR="0028173E" w:rsidRPr="001A7F2A">
        <w:rPr>
          <w:lang w:val="en-CA"/>
        </w:rPr>
        <w:t xml:space="preserve">of </w:t>
      </w:r>
      <w:r w:rsidR="00DB5FC0" w:rsidRPr="001A7F2A">
        <w:rPr>
          <w:lang w:val="en-CA"/>
        </w:rPr>
        <w:t xml:space="preserve">the </w:t>
      </w:r>
      <w:r w:rsidR="0028173E" w:rsidRPr="001A7F2A">
        <w:rPr>
          <w:lang w:val="en-CA"/>
        </w:rPr>
        <w:t>proceedings before</w:t>
      </w:r>
      <w:r w:rsidR="00DB5FC0" w:rsidRPr="001A7F2A">
        <w:rPr>
          <w:lang w:val="en-CA"/>
        </w:rPr>
        <w:t xml:space="preserve"> </w:t>
      </w:r>
      <w:r w:rsidR="0028173E" w:rsidRPr="001A7F2A">
        <w:rPr>
          <w:lang w:val="en-CA"/>
        </w:rPr>
        <w:t xml:space="preserve">the Tribunal </w:t>
      </w:r>
      <w:r w:rsidR="00DB5FC0" w:rsidRPr="001A7F2A">
        <w:rPr>
          <w:lang w:val="en-CA"/>
        </w:rPr>
        <w:t>with respect to</w:t>
      </w:r>
      <w:r w:rsidR="0028173E" w:rsidRPr="001A7F2A">
        <w:rPr>
          <w:lang w:val="en-CA"/>
        </w:rPr>
        <w:t xml:space="preserve"> the originating pleading filed by the Authority against them.</w:t>
      </w:r>
      <w:r w:rsidR="00934628" w:rsidRPr="001A7F2A">
        <w:rPr>
          <w:lang w:val="en-CA"/>
        </w:rPr>
        <w:t xml:space="preserve">   </w:t>
      </w:r>
    </w:p>
    <w:p w14:paraId="38FD1D41" w14:textId="13BBE38B" w:rsidR="00032DFC" w:rsidRPr="001A7F2A" w:rsidRDefault="0028173E" w:rsidP="005C2523">
      <w:pPr>
        <w:pStyle w:val="Style1"/>
        <w:widowControl w:val="0"/>
        <w:rPr>
          <w:lang w:val="en-CA"/>
        </w:rPr>
      </w:pPr>
      <w:r w:rsidRPr="001A7F2A">
        <w:rPr>
          <w:lang w:val="en-CA"/>
        </w:rPr>
        <w:t>The second decision, rendered on April 24, 2018,</w:t>
      </w:r>
      <w:r w:rsidRPr="00080AEA">
        <w:rPr>
          <w:rStyle w:val="Appelnotedebasdep"/>
          <w:lang w:val="en-CA"/>
        </w:rPr>
        <w:footnoteReference w:id="14"/>
      </w:r>
      <w:r w:rsidRPr="001A7F2A">
        <w:rPr>
          <w:lang w:val="en-CA"/>
        </w:rPr>
        <w:t xml:space="preserve"> dismissed a preliminary application presented to the Tribunal by the respondent Michel Plante on May 11, 2017.</w:t>
      </w:r>
      <w:r w:rsidR="008E7A75" w:rsidRPr="001A7F2A">
        <w:rPr>
          <w:lang w:val="en-CA"/>
        </w:rPr>
        <w:t xml:space="preserve"> </w:t>
      </w:r>
      <w:r w:rsidRPr="001A7F2A">
        <w:rPr>
          <w:lang w:val="en-CA"/>
        </w:rPr>
        <w:t>In that decision, the Tribunal indicated</w:t>
      </w:r>
      <w:proofErr w:type="gramStart"/>
      <w:r w:rsidR="00331C22" w:rsidRPr="001A7F2A">
        <w:rPr>
          <w:lang w:val="en-CA"/>
        </w:rPr>
        <w:t>,</w:t>
      </w:r>
      <w:r w:rsidRPr="001A7F2A">
        <w:rPr>
          <w:lang w:val="en-CA"/>
        </w:rPr>
        <w:t xml:space="preserve"> in particular</w:t>
      </w:r>
      <w:r w:rsidR="00331C22" w:rsidRPr="001A7F2A">
        <w:rPr>
          <w:lang w:val="en-CA"/>
        </w:rPr>
        <w:t>,</w:t>
      </w:r>
      <w:r w:rsidRPr="001A7F2A">
        <w:rPr>
          <w:lang w:val="en-CA"/>
        </w:rPr>
        <w:t xml:space="preserve"> that</w:t>
      </w:r>
      <w:proofErr w:type="gramEnd"/>
      <w:r w:rsidRPr="001A7F2A">
        <w:rPr>
          <w:lang w:val="en-CA"/>
        </w:rPr>
        <w:t xml:space="preserve"> by taking </w:t>
      </w:r>
      <w:r w:rsidR="00DB5FC0" w:rsidRPr="001A7F2A">
        <w:rPr>
          <w:lang w:val="en-CA"/>
        </w:rPr>
        <w:t xml:space="preserve">as proved </w:t>
      </w:r>
      <w:r w:rsidRPr="001A7F2A">
        <w:rPr>
          <w:lang w:val="en-CA"/>
        </w:rPr>
        <w:t xml:space="preserve">the facts alleged by the Authority, it did not consider the </w:t>
      </w:r>
      <w:r w:rsidR="00DB5FC0" w:rsidRPr="001A7F2A">
        <w:rPr>
          <w:lang w:val="en-CA"/>
        </w:rPr>
        <w:t>Authority’s</w:t>
      </w:r>
      <w:r w:rsidRPr="001A7F2A">
        <w:rPr>
          <w:lang w:val="en-CA"/>
        </w:rPr>
        <w:t xml:space="preserve"> application to be frivolous or unfounded with respect to that respondent.</w:t>
      </w:r>
      <w:r w:rsidR="008E7A75" w:rsidRPr="001A7F2A">
        <w:rPr>
          <w:lang w:val="en-CA"/>
        </w:rPr>
        <w:t xml:space="preserve"> </w:t>
      </w:r>
    </w:p>
    <w:p w14:paraId="66920F9D" w14:textId="7DCD0F6A" w:rsidR="00A7329E" w:rsidRPr="001A7F2A" w:rsidRDefault="0028173E" w:rsidP="00A7329E">
      <w:pPr>
        <w:pStyle w:val="Paragraphe"/>
        <w:widowControl w:val="0"/>
        <w:numPr>
          <w:ilvl w:val="0"/>
          <w:numId w:val="1"/>
        </w:numPr>
        <w:rPr>
          <w:lang w:val="en-CA"/>
        </w:rPr>
      </w:pPr>
      <w:r w:rsidRPr="001A7F2A">
        <w:rPr>
          <w:lang w:val="en-CA"/>
        </w:rPr>
        <w:t xml:space="preserve">In the third decision, rendered on September 18, 2019, the Tribunal dismissed another interim application presented on May 27, 2019, by the respondent Michel Plante for a stay of proceedings. In that interim </w:t>
      </w:r>
      <w:r w:rsidR="007B2762" w:rsidRPr="001A7F2A">
        <w:rPr>
          <w:lang w:val="en-CA"/>
        </w:rPr>
        <w:t>application</w:t>
      </w:r>
      <w:r w:rsidRPr="001A7F2A">
        <w:rPr>
          <w:lang w:val="en-CA"/>
        </w:rPr>
        <w:t xml:space="preserve">, </w:t>
      </w:r>
      <w:r w:rsidR="00DB5FC0" w:rsidRPr="001A7F2A">
        <w:rPr>
          <w:lang w:val="en-CA"/>
        </w:rPr>
        <w:t>the respondent Michel Plante</w:t>
      </w:r>
      <w:r w:rsidRPr="001A7F2A">
        <w:rPr>
          <w:lang w:val="en-CA"/>
        </w:rPr>
        <w:t xml:space="preserve"> basically alleged that unreasonable delays affected this file </w:t>
      </w:r>
      <w:r w:rsidR="00DB5FC0" w:rsidRPr="001A7F2A">
        <w:rPr>
          <w:lang w:val="en-CA"/>
        </w:rPr>
        <w:t>that</w:t>
      </w:r>
      <w:r w:rsidRPr="001A7F2A">
        <w:rPr>
          <w:lang w:val="en-CA"/>
        </w:rPr>
        <w:t xml:space="preserve"> caused him significant </w:t>
      </w:r>
      <w:r w:rsidR="007B2762" w:rsidRPr="001A7F2A">
        <w:rPr>
          <w:lang w:val="en-CA"/>
        </w:rPr>
        <w:t>prejudice</w:t>
      </w:r>
      <w:r w:rsidRPr="001A7F2A">
        <w:rPr>
          <w:lang w:val="en-CA"/>
        </w:rPr>
        <w:t>.</w:t>
      </w:r>
    </w:p>
    <w:p w14:paraId="5AE7843D" w14:textId="20EC2790" w:rsidR="00702EB0" w:rsidRPr="001A7F2A" w:rsidRDefault="0028173E" w:rsidP="00702EB0">
      <w:pPr>
        <w:pStyle w:val="Style1"/>
        <w:rPr>
          <w:lang w:val="en-CA"/>
        </w:rPr>
      </w:pPr>
      <w:r w:rsidRPr="001A7F2A">
        <w:rPr>
          <w:lang w:val="en-CA"/>
        </w:rPr>
        <w:t xml:space="preserve">The Tribunal emphasizes that it is in this context that the respondent Frederick Langford Sharp now alleges, in a new interim application dated September 13, 2024, that he is </w:t>
      </w:r>
      <w:r w:rsidR="007B2762" w:rsidRPr="001A7F2A">
        <w:rPr>
          <w:lang w:val="en-CA"/>
        </w:rPr>
        <w:t>suffering</w:t>
      </w:r>
      <w:r w:rsidRPr="001A7F2A">
        <w:rPr>
          <w:lang w:val="en-CA"/>
        </w:rPr>
        <w:t xml:space="preserve"> significant </w:t>
      </w:r>
      <w:r w:rsidR="007B2762" w:rsidRPr="001A7F2A">
        <w:rPr>
          <w:lang w:val="en-CA"/>
        </w:rPr>
        <w:t>prejudice</w:t>
      </w:r>
      <w:r w:rsidRPr="001A7F2A">
        <w:rPr>
          <w:lang w:val="en-CA"/>
        </w:rPr>
        <w:t xml:space="preserve"> from the delays mentioned above.</w:t>
      </w:r>
    </w:p>
    <w:p w14:paraId="38FD1D47" w14:textId="21BCC110" w:rsidR="001203F2" w:rsidRPr="001A7F2A" w:rsidRDefault="0028173E" w:rsidP="005C2523">
      <w:pPr>
        <w:pStyle w:val="Style1"/>
        <w:widowControl w:val="0"/>
        <w:rPr>
          <w:lang w:val="en-CA"/>
        </w:rPr>
      </w:pPr>
      <w:r w:rsidRPr="001A7F2A">
        <w:rPr>
          <w:lang w:val="en-CA"/>
        </w:rPr>
        <w:lastRenderedPageBreak/>
        <w:t xml:space="preserve">In this respect, it is important to recall that the </w:t>
      </w:r>
      <w:r w:rsidRPr="001A7F2A">
        <w:rPr>
          <w:i/>
          <w:iCs/>
          <w:lang w:val="en-CA"/>
        </w:rPr>
        <w:t>Securities Act</w:t>
      </w:r>
      <w:r w:rsidRPr="001A7F2A">
        <w:rPr>
          <w:lang w:val="en-CA"/>
        </w:rPr>
        <w:t xml:space="preserve"> contains no prescriptive period for administrative proceedings brought before the Tribunal.</w:t>
      </w:r>
      <w:r w:rsidR="00934628" w:rsidRPr="001A7F2A">
        <w:rPr>
          <w:lang w:val="en-CA"/>
        </w:rPr>
        <w:t xml:space="preserve"> </w:t>
      </w:r>
    </w:p>
    <w:p w14:paraId="38FD1D48" w14:textId="1DA4130E" w:rsidR="00FF0A53" w:rsidRPr="001A7F2A" w:rsidRDefault="0028173E" w:rsidP="005C2523">
      <w:pPr>
        <w:pStyle w:val="Paragraphe"/>
        <w:widowControl w:val="0"/>
        <w:numPr>
          <w:ilvl w:val="0"/>
          <w:numId w:val="1"/>
        </w:numPr>
        <w:rPr>
          <w:lang w:val="en-CA"/>
        </w:rPr>
      </w:pPr>
      <w:r w:rsidRPr="001A7F2A">
        <w:rPr>
          <w:lang w:val="en-CA"/>
        </w:rPr>
        <w:t xml:space="preserve">The </w:t>
      </w:r>
      <w:r w:rsidRPr="00080AEA">
        <w:rPr>
          <w:i/>
          <w:iCs/>
          <w:lang w:val="en-CA"/>
        </w:rPr>
        <w:t>Act</w:t>
      </w:r>
      <w:r w:rsidRPr="001A7F2A">
        <w:rPr>
          <w:lang w:val="en-CA"/>
        </w:rPr>
        <w:t xml:space="preserve"> does provide a five-year prescriptive period</w:t>
      </w:r>
      <w:r w:rsidRPr="00080AEA">
        <w:rPr>
          <w:rStyle w:val="Appelnotedebasdep"/>
          <w:lang w:val="en-CA"/>
        </w:rPr>
        <w:footnoteReference w:id="15"/>
      </w:r>
      <w:r w:rsidRPr="001A7F2A">
        <w:rPr>
          <w:lang w:val="en-CA"/>
        </w:rPr>
        <w:t xml:space="preserve"> for penal proceedings, which runs from the date on which the investigation record is opened until proceedings are instituted.</w:t>
      </w:r>
      <w:r w:rsidR="00934628" w:rsidRPr="001A7F2A">
        <w:rPr>
          <w:lang w:val="en-CA"/>
        </w:rPr>
        <w:t xml:space="preserve"> </w:t>
      </w:r>
      <w:r w:rsidR="00394593" w:rsidRPr="001A7F2A">
        <w:rPr>
          <w:lang w:val="en-CA"/>
        </w:rPr>
        <w:t xml:space="preserve">However, this case is not a penal proceeding instituted by the Authority before the Court of Québec pursuant to the </w:t>
      </w:r>
      <w:r w:rsidR="00394593" w:rsidRPr="001A7F2A">
        <w:rPr>
          <w:i/>
          <w:iCs/>
          <w:lang w:val="en-CA"/>
        </w:rPr>
        <w:t>Securities Act</w:t>
      </w:r>
      <w:r w:rsidR="00394593" w:rsidRPr="001A7F2A">
        <w:rPr>
          <w:lang w:val="en-CA"/>
        </w:rPr>
        <w:t xml:space="preserve">, but an administrative proceeding brought </w:t>
      </w:r>
      <w:r w:rsidR="00584A80" w:rsidRPr="001A7F2A">
        <w:rPr>
          <w:lang w:val="en-CA"/>
        </w:rPr>
        <w:t>before</w:t>
      </w:r>
      <w:r w:rsidR="00394593" w:rsidRPr="001A7F2A">
        <w:rPr>
          <w:lang w:val="en-CA"/>
        </w:rPr>
        <w:t xml:space="preserve"> the Tribunal, seeking preventive and deterrent orders</w:t>
      </w:r>
      <w:r w:rsidR="00584A80" w:rsidRPr="001A7F2A">
        <w:rPr>
          <w:lang w:val="en-CA"/>
        </w:rPr>
        <w:t xml:space="preserve"> under sections 265, 273.1, and 273.3 of the </w:t>
      </w:r>
      <w:r w:rsidR="00584A80" w:rsidRPr="001A7F2A">
        <w:rPr>
          <w:i/>
          <w:iCs/>
          <w:lang w:val="en-CA"/>
        </w:rPr>
        <w:t>Securities Act</w:t>
      </w:r>
      <w:r w:rsidR="00394593" w:rsidRPr="001A7F2A">
        <w:rPr>
          <w:lang w:val="en-CA"/>
        </w:rPr>
        <w:t xml:space="preserve"> to protect the public interest. </w:t>
      </w:r>
      <w:r w:rsidR="00934628" w:rsidRPr="001A7F2A">
        <w:rPr>
          <w:lang w:val="en-CA"/>
        </w:rPr>
        <w:t xml:space="preserve">  </w:t>
      </w:r>
    </w:p>
    <w:p w14:paraId="38FD1D49" w14:textId="03E8BC5A" w:rsidR="00FF0A53" w:rsidRPr="001A7F2A" w:rsidRDefault="00394593" w:rsidP="005C2523">
      <w:pPr>
        <w:pStyle w:val="Style1"/>
        <w:widowControl w:val="0"/>
        <w:rPr>
          <w:lang w:val="en-CA"/>
        </w:rPr>
      </w:pPr>
      <w:r w:rsidRPr="001A7F2A">
        <w:rPr>
          <w:lang w:val="en-CA"/>
        </w:rPr>
        <w:t xml:space="preserve">The Tribunal notes that in this administrative </w:t>
      </w:r>
      <w:r w:rsidR="007B2762" w:rsidRPr="001A7F2A">
        <w:rPr>
          <w:lang w:val="en-CA"/>
        </w:rPr>
        <w:t>proceeding</w:t>
      </w:r>
      <w:r w:rsidRPr="001A7F2A">
        <w:rPr>
          <w:lang w:val="en-CA"/>
        </w:rPr>
        <w:t xml:space="preserve">, between the beginning of the investigation on November 16, 2012, and the filing with the </w:t>
      </w:r>
      <w:r w:rsidR="007B2762" w:rsidRPr="001A7F2A">
        <w:rPr>
          <w:lang w:val="en-CA"/>
        </w:rPr>
        <w:t>Tribunal</w:t>
      </w:r>
      <w:r w:rsidRPr="001A7F2A">
        <w:rPr>
          <w:lang w:val="en-CA"/>
        </w:rPr>
        <w:t xml:space="preserve"> of the Authority’s originating pleading on April 20, 2017, a period of five years did not </w:t>
      </w:r>
      <w:r w:rsidR="00584A80" w:rsidRPr="001A7F2A">
        <w:rPr>
          <w:lang w:val="en-CA"/>
        </w:rPr>
        <w:t>pass</w:t>
      </w:r>
      <w:r w:rsidRPr="001A7F2A">
        <w:rPr>
          <w:lang w:val="en-CA"/>
        </w:rPr>
        <w:t xml:space="preserve">, </w:t>
      </w:r>
      <w:r w:rsidR="00584A80" w:rsidRPr="001A7F2A">
        <w:rPr>
          <w:lang w:val="en-CA"/>
        </w:rPr>
        <w:t>despite</w:t>
      </w:r>
      <w:r w:rsidRPr="001A7F2A">
        <w:rPr>
          <w:lang w:val="en-CA"/>
        </w:rPr>
        <w:t xml:space="preserve"> this case includ</w:t>
      </w:r>
      <w:r w:rsidR="00584A80" w:rsidRPr="001A7F2A">
        <w:rPr>
          <w:lang w:val="en-CA"/>
        </w:rPr>
        <w:t>ing</w:t>
      </w:r>
      <w:r w:rsidRPr="001A7F2A">
        <w:rPr>
          <w:lang w:val="en-CA"/>
        </w:rPr>
        <w:t xml:space="preserve"> a complex transnational element involving </w:t>
      </w:r>
      <w:r w:rsidR="00584A80" w:rsidRPr="001A7F2A">
        <w:rPr>
          <w:lang w:val="en-CA"/>
        </w:rPr>
        <w:t>the Authority seeking</w:t>
      </w:r>
      <w:r w:rsidRPr="001A7F2A">
        <w:rPr>
          <w:lang w:val="en-CA"/>
        </w:rPr>
        <w:t xml:space="preserve"> information and evidence from several foreign regulators.</w:t>
      </w:r>
      <w:r w:rsidR="00934628" w:rsidRPr="001A7F2A">
        <w:rPr>
          <w:lang w:val="en-CA"/>
        </w:rPr>
        <w:t xml:space="preserve">  </w:t>
      </w:r>
    </w:p>
    <w:p w14:paraId="38FD1D4A" w14:textId="106CA5DC" w:rsidR="00BF2CFE" w:rsidRPr="001A7F2A" w:rsidRDefault="00394593" w:rsidP="00BF2CFE">
      <w:pPr>
        <w:pStyle w:val="Style1"/>
        <w:rPr>
          <w:lang w:val="en-CA"/>
        </w:rPr>
      </w:pPr>
      <w:r w:rsidRPr="001A7F2A">
        <w:rPr>
          <w:lang w:val="en-CA"/>
        </w:rPr>
        <w:t xml:space="preserve">In this respect, the Tribunal recalls that </w:t>
      </w:r>
      <w:r w:rsidR="00584A80" w:rsidRPr="001A7F2A">
        <w:rPr>
          <w:lang w:val="en-CA"/>
        </w:rPr>
        <w:t>the</w:t>
      </w:r>
      <w:r w:rsidRPr="001A7F2A">
        <w:rPr>
          <w:lang w:val="en-CA"/>
        </w:rPr>
        <w:t xml:space="preserve"> Authority alleges that all the respondents, including the respondent Frederick Langford Sharp, implemented their scheme by using a panoply of dummy corporations</w:t>
      </w:r>
      <w:r w:rsidRPr="00080AEA">
        <w:rPr>
          <w:rStyle w:val="Appelnotedebasdep"/>
          <w:lang w:val="en-CA"/>
        </w:rPr>
        <w:footnoteReference w:id="16"/>
      </w:r>
      <w:r w:rsidRPr="001A7F2A">
        <w:rPr>
          <w:lang w:val="en-CA"/>
        </w:rPr>
        <w:t xml:space="preserve"> and bank accounts outside Quebec, in</w:t>
      </w:r>
      <w:r w:rsidR="00584A80" w:rsidRPr="001A7F2A">
        <w:rPr>
          <w:lang w:val="en-CA"/>
        </w:rPr>
        <w:t xml:space="preserve"> such</w:t>
      </w:r>
      <w:r w:rsidRPr="001A7F2A">
        <w:rPr>
          <w:lang w:val="en-CA"/>
        </w:rPr>
        <w:t xml:space="preserve"> far-flung jurisdictions as the Republic of the Marshall Islands, the Federation of Saint Christopher and Nevis in the Lesser Antilles, the Independent State of Samoa, and Belize.</w:t>
      </w:r>
    </w:p>
    <w:p w14:paraId="38FD1D4B" w14:textId="285DB5B0" w:rsidR="00BF2CFE" w:rsidRPr="001A7F2A" w:rsidRDefault="005776F7" w:rsidP="00BF2CFE">
      <w:pPr>
        <w:pStyle w:val="Style1"/>
        <w:rPr>
          <w:lang w:val="en-CA"/>
        </w:rPr>
      </w:pPr>
      <w:proofErr w:type="gramStart"/>
      <w:r w:rsidRPr="001A7F2A">
        <w:rPr>
          <w:lang w:val="en-CA"/>
        </w:rPr>
        <w:t>In light of</w:t>
      </w:r>
      <w:proofErr w:type="gramEnd"/>
      <w:r w:rsidRPr="001A7F2A">
        <w:rPr>
          <w:lang w:val="en-CA"/>
        </w:rPr>
        <w:t xml:space="preserve"> the circumstances surrounding this case and the </w:t>
      </w:r>
      <w:r w:rsidR="00037E56" w:rsidRPr="001A7F2A">
        <w:rPr>
          <w:lang w:val="en-CA"/>
        </w:rPr>
        <w:t>complex</w:t>
      </w:r>
      <w:r w:rsidRPr="001A7F2A">
        <w:rPr>
          <w:lang w:val="en-CA"/>
        </w:rPr>
        <w:t xml:space="preserve"> transnational aspect of the investigation undertaken by the Authority, the Tribunal does not consider the delay of less than five years stated in paragraph 26 of this decision to be undue or clearly </w:t>
      </w:r>
      <w:r w:rsidR="00037E56" w:rsidRPr="001A7F2A">
        <w:rPr>
          <w:lang w:val="en-CA"/>
        </w:rPr>
        <w:t>unacceptable</w:t>
      </w:r>
      <w:r w:rsidRPr="001A7F2A">
        <w:rPr>
          <w:lang w:val="en-CA"/>
        </w:rPr>
        <w:t>.</w:t>
      </w:r>
      <w:r w:rsidR="00934628" w:rsidRPr="001A7F2A">
        <w:rPr>
          <w:lang w:val="en-CA"/>
        </w:rPr>
        <w:t xml:space="preserve"> </w:t>
      </w:r>
    </w:p>
    <w:p w14:paraId="179734D9" w14:textId="43DDFDC2" w:rsidR="00FB3272" w:rsidRPr="001A7F2A" w:rsidRDefault="005776F7" w:rsidP="001203F2">
      <w:pPr>
        <w:pStyle w:val="Paragraphe"/>
        <w:numPr>
          <w:ilvl w:val="0"/>
          <w:numId w:val="1"/>
        </w:numPr>
        <w:rPr>
          <w:sz w:val="20"/>
          <w:lang w:val="en-CA"/>
        </w:rPr>
      </w:pPr>
      <w:r w:rsidRPr="001A7F2A">
        <w:rPr>
          <w:lang w:val="en-CA"/>
        </w:rPr>
        <w:t xml:space="preserve">Furthermore, as the Supreme Court noted in </w:t>
      </w:r>
      <w:proofErr w:type="spellStart"/>
      <w:r w:rsidRPr="001A7F2A">
        <w:rPr>
          <w:i/>
          <w:lang w:val="en-CA"/>
        </w:rPr>
        <w:t>Blencoe</w:t>
      </w:r>
      <w:proofErr w:type="spellEnd"/>
      <w:r w:rsidR="001638A5" w:rsidRPr="001A7F2A">
        <w:rPr>
          <w:i/>
          <w:lang w:val="en-CA"/>
        </w:rPr>
        <w:t>,</w:t>
      </w:r>
      <w:r w:rsidRPr="00080AEA">
        <w:rPr>
          <w:rStyle w:val="Appelnotedebasdep"/>
          <w:lang w:val="en-CA"/>
        </w:rPr>
        <w:footnoteReference w:id="17"/>
      </w:r>
      <w:r w:rsidR="00037E56" w:rsidRPr="001A7F2A">
        <w:rPr>
          <w:i/>
          <w:lang w:val="en-CA"/>
        </w:rPr>
        <w:t xml:space="preserve"> </w:t>
      </w:r>
      <w:r w:rsidRPr="001A7F2A">
        <w:rPr>
          <w:lang w:val="en-CA"/>
        </w:rPr>
        <w:t>“delay, without more, will not warrant a stay of proceedings as an abuse of process at common law”.</w:t>
      </w:r>
      <w:r w:rsidRPr="00080AEA">
        <w:rPr>
          <w:rStyle w:val="Appelnotedebasdep"/>
          <w:lang w:val="en-CA"/>
        </w:rPr>
        <w:footnoteReference w:id="18"/>
      </w:r>
      <w:r w:rsidR="00934628" w:rsidRPr="001A7F2A">
        <w:rPr>
          <w:lang w:val="en-CA"/>
        </w:rPr>
        <w:t xml:space="preserve"> </w:t>
      </w:r>
      <w:r w:rsidRPr="001A7F2A">
        <w:rPr>
          <w:lang w:val="en-CA"/>
        </w:rPr>
        <w:t>“In the administrative law context, there must be proof of significant prejudice which results from an unacceptable delay”.</w:t>
      </w:r>
      <w:r w:rsidRPr="007E30AA">
        <w:rPr>
          <w:rStyle w:val="Appelnotedebasdep"/>
          <w:lang w:val="en-CA"/>
        </w:rPr>
        <w:footnoteReference w:id="19"/>
      </w:r>
      <w:r w:rsidR="00934628" w:rsidRPr="001A7F2A">
        <w:rPr>
          <w:lang w:val="en-CA"/>
        </w:rPr>
        <w:t xml:space="preserve"> </w:t>
      </w:r>
      <w:r w:rsidR="007F0FA6" w:rsidRPr="001A7F2A">
        <w:rPr>
          <w:lang w:val="en-CA"/>
        </w:rPr>
        <w:t>“Staying proceedings for the mere passage of time would be tantamount to imposing a judicially created limitation period”,</w:t>
      </w:r>
      <w:r w:rsidR="007F0FA6" w:rsidRPr="007E30AA">
        <w:rPr>
          <w:rStyle w:val="Appelnotedebasdep"/>
          <w:lang w:val="en-CA"/>
        </w:rPr>
        <w:footnoteReference w:id="20"/>
      </w:r>
      <w:r w:rsidR="007F0FA6" w:rsidRPr="001A7F2A">
        <w:rPr>
          <w:lang w:val="en-CA"/>
        </w:rPr>
        <w:t xml:space="preserve"> which in the Tribunal’s opinion, is not desirable in administrative law, especially </w:t>
      </w:r>
      <w:r w:rsidR="00037E56" w:rsidRPr="001A7F2A">
        <w:rPr>
          <w:lang w:val="en-CA"/>
        </w:rPr>
        <w:t>with respect to</w:t>
      </w:r>
      <w:r w:rsidR="007F0FA6" w:rsidRPr="001A7F2A">
        <w:rPr>
          <w:lang w:val="en-CA"/>
        </w:rPr>
        <w:t xml:space="preserve"> securities market regulation.</w:t>
      </w:r>
      <w:r w:rsidR="00B94301" w:rsidRPr="001A7F2A">
        <w:rPr>
          <w:lang w:val="en-CA"/>
        </w:rPr>
        <w:t xml:space="preserve"> </w:t>
      </w:r>
    </w:p>
    <w:p w14:paraId="38FD1D4C" w14:textId="603176B6" w:rsidR="001203F2" w:rsidRPr="001A7F2A" w:rsidRDefault="007F0FA6" w:rsidP="001203F2">
      <w:pPr>
        <w:pStyle w:val="Paragraphe"/>
        <w:numPr>
          <w:ilvl w:val="0"/>
          <w:numId w:val="1"/>
        </w:numPr>
        <w:rPr>
          <w:sz w:val="20"/>
          <w:lang w:val="en-CA"/>
        </w:rPr>
      </w:pPr>
      <w:r w:rsidRPr="001A7F2A">
        <w:rPr>
          <w:lang w:val="en-CA"/>
        </w:rPr>
        <w:lastRenderedPageBreak/>
        <w:t xml:space="preserve">Also, in </w:t>
      </w:r>
      <w:r w:rsidRPr="001A7F2A">
        <w:rPr>
          <w:i/>
          <w:lang w:val="en-CA"/>
        </w:rPr>
        <w:t>Blencoe</w:t>
      </w:r>
      <w:r w:rsidRPr="001A7F2A">
        <w:rPr>
          <w:lang w:val="en-CA"/>
        </w:rPr>
        <w:t xml:space="preserve">, the Supreme Court added the following: </w:t>
      </w:r>
    </w:p>
    <w:p w14:paraId="210BC852" w14:textId="51968232" w:rsidR="00B94301" w:rsidRPr="001A7F2A" w:rsidRDefault="007F0FA6" w:rsidP="00B94301">
      <w:pPr>
        <w:pStyle w:val="Paragraphe"/>
        <w:tabs>
          <w:tab w:val="clear" w:pos="360"/>
        </w:tabs>
        <w:ind w:left="709" w:right="715"/>
        <w:rPr>
          <w:sz w:val="22"/>
          <w:szCs w:val="22"/>
          <w:lang w:val="en-CA"/>
        </w:rPr>
      </w:pPr>
      <w:r w:rsidRPr="001A7F2A">
        <w:rPr>
          <w:color w:val="000000"/>
          <w:kern w:val="0"/>
          <w:sz w:val="22"/>
          <w:szCs w:val="22"/>
          <w:lang w:val="en-CA"/>
        </w:rPr>
        <w:t>[122] The determination of whether a delay has become inordinate depends on the nature of the case and its complexity, the facts and issues, the purpose and nature of the proceedings, whether the respondent contributed to the delay or waived the delay, and other circumstances of the case.</w:t>
      </w:r>
      <w:r w:rsidR="00934628" w:rsidRPr="001A7F2A">
        <w:rPr>
          <w:sz w:val="22"/>
          <w:szCs w:val="22"/>
          <w:lang w:val="en-CA"/>
        </w:rPr>
        <w:t xml:space="preserve"> </w:t>
      </w:r>
      <w:r w:rsidRPr="001A7F2A">
        <w:rPr>
          <w:sz w:val="22"/>
          <w:szCs w:val="22"/>
          <w:lang w:val="en-CA"/>
        </w:rPr>
        <w:t>As previously mentioned, the determination of whether a delay is inordinate is not based on the length of the delay alone, but on contextual factors, including the nature of the various rights at stake in the proceedings, in the attempt to determine whether the community’s sense of fairness would be offended by the delay.</w:t>
      </w:r>
    </w:p>
    <w:p w14:paraId="37DAADE2" w14:textId="0751DA41" w:rsidR="00BE436B" w:rsidRPr="001A7F2A" w:rsidRDefault="007F0FA6" w:rsidP="00F3328D">
      <w:pPr>
        <w:pStyle w:val="Style1"/>
        <w:rPr>
          <w:lang w:val="en-CA"/>
        </w:rPr>
      </w:pPr>
      <w:r w:rsidRPr="001A7F2A">
        <w:rPr>
          <w:lang w:val="en-CA"/>
        </w:rPr>
        <w:t xml:space="preserve">Finally, in </w:t>
      </w:r>
      <w:proofErr w:type="spellStart"/>
      <w:r w:rsidRPr="001A7F2A">
        <w:rPr>
          <w:i/>
          <w:lang w:val="en-CA"/>
        </w:rPr>
        <w:t>Abrametz</w:t>
      </w:r>
      <w:proofErr w:type="spellEnd"/>
      <w:r w:rsidRPr="001A7F2A">
        <w:rPr>
          <w:lang w:val="en-CA"/>
        </w:rPr>
        <w:t>,</w:t>
      </w:r>
      <w:r w:rsidRPr="007E30AA">
        <w:rPr>
          <w:rStyle w:val="Appelnotedebasdep"/>
          <w:lang w:val="en-CA"/>
        </w:rPr>
        <w:footnoteReference w:id="21"/>
      </w:r>
      <w:r w:rsidRPr="001A7F2A">
        <w:rPr>
          <w:iCs/>
          <w:lang w:val="en-CA"/>
        </w:rPr>
        <w:t xml:space="preserve"> the Supreme Court </w:t>
      </w:r>
      <w:r w:rsidR="00037E56" w:rsidRPr="001A7F2A">
        <w:rPr>
          <w:iCs/>
          <w:lang w:val="en-CA"/>
        </w:rPr>
        <w:t>explicitly</w:t>
      </w:r>
      <w:r w:rsidRPr="001A7F2A">
        <w:rPr>
          <w:iCs/>
          <w:lang w:val="en-CA"/>
        </w:rPr>
        <w:t xml:space="preserve"> refused to apply the </w:t>
      </w:r>
      <w:r w:rsidRPr="001A7F2A">
        <w:rPr>
          <w:i/>
          <w:iCs/>
          <w:lang w:val="en-CA"/>
        </w:rPr>
        <w:t>Jordan</w:t>
      </w:r>
      <w:r w:rsidRPr="007E30AA">
        <w:rPr>
          <w:rStyle w:val="Appelnotedebasdep"/>
          <w:lang w:val="en-CA"/>
        </w:rPr>
        <w:footnoteReference w:id="22"/>
      </w:r>
      <w:r w:rsidRPr="001A7F2A">
        <w:rPr>
          <w:lang w:val="en-CA"/>
        </w:rPr>
        <w:t xml:space="preserve"> </w:t>
      </w:r>
      <w:r w:rsidRPr="001A7F2A">
        <w:rPr>
          <w:iCs/>
          <w:lang w:val="en-CA"/>
        </w:rPr>
        <w:t>approach to administrative proceedings:</w:t>
      </w:r>
    </w:p>
    <w:p w14:paraId="122CAE41" w14:textId="39F9F376" w:rsidR="00BE436B" w:rsidRPr="001A7F2A" w:rsidRDefault="00CF5AB3" w:rsidP="00BE436B">
      <w:pPr>
        <w:pStyle w:val="Style1"/>
        <w:numPr>
          <w:ilvl w:val="0"/>
          <w:numId w:val="0"/>
        </w:numPr>
        <w:ind w:left="709" w:right="715"/>
        <w:rPr>
          <w:sz w:val="22"/>
          <w:szCs w:val="22"/>
          <w:lang w:val="en-CA"/>
        </w:rPr>
      </w:pPr>
      <w:r w:rsidRPr="001A7F2A">
        <w:rPr>
          <w:color w:val="000000"/>
          <w:kern w:val="0"/>
          <w:sz w:val="22"/>
          <w:szCs w:val="22"/>
          <w:lang w:val="en-CA"/>
        </w:rPr>
        <w:t xml:space="preserve">[47] However, there are important reasons why </w:t>
      </w:r>
      <w:r w:rsidRPr="001A7F2A">
        <w:rPr>
          <w:i/>
          <w:color w:val="000000"/>
          <w:kern w:val="0"/>
          <w:sz w:val="22"/>
          <w:szCs w:val="22"/>
          <w:lang w:val="en-CA"/>
        </w:rPr>
        <w:t>Jordan</w:t>
      </w:r>
      <w:r w:rsidRPr="001A7F2A">
        <w:rPr>
          <w:color w:val="000000"/>
          <w:kern w:val="0"/>
          <w:sz w:val="22"/>
          <w:szCs w:val="22"/>
          <w:lang w:val="en-CA"/>
        </w:rPr>
        <w:t xml:space="preserve"> does not apply to administrative proceedings.</w:t>
      </w:r>
      <w:r w:rsidR="00934628" w:rsidRPr="001A7F2A">
        <w:rPr>
          <w:color w:val="000000"/>
          <w:kern w:val="0"/>
          <w:sz w:val="22"/>
          <w:szCs w:val="22"/>
          <w:lang w:val="en-CA"/>
        </w:rPr>
        <w:t xml:space="preserve"> </w:t>
      </w:r>
      <w:r w:rsidRPr="001A7F2A">
        <w:rPr>
          <w:color w:val="000000"/>
          <w:kern w:val="0"/>
          <w:sz w:val="22"/>
          <w:szCs w:val="22"/>
          <w:lang w:val="en-CA"/>
        </w:rPr>
        <w:t>Jordan deals with the right to be tried within a reasonable time under s.</w:t>
      </w:r>
      <w:r w:rsidR="00934628" w:rsidRPr="001A7F2A">
        <w:rPr>
          <w:kern w:val="0"/>
          <w:sz w:val="22"/>
          <w:szCs w:val="22"/>
          <w:lang w:val="en-CA"/>
        </w:rPr>
        <w:t> </w:t>
      </w:r>
      <w:r w:rsidRPr="007E30AA">
        <w:rPr>
          <w:kern w:val="0"/>
          <w:sz w:val="22"/>
          <w:szCs w:val="22"/>
          <w:lang w:val="en-CA"/>
        </w:rPr>
        <w:t xml:space="preserve">11(b) of the </w:t>
      </w:r>
      <w:r w:rsidRPr="007E30AA">
        <w:rPr>
          <w:i/>
          <w:kern w:val="0"/>
          <w:sz w:val="22"/>
          <w:szCs w:val="22"/>
          <w:lang w:val="en-CA"/>
        </w:rPr>
        <w:t>Canadian Charter of Rights and Freedom</w:t>
      </w:r>
      <w:r w:rsidRPr="007E30AA">
        <w:rPr>
          <w:kern w:val="0"/>
          <w:sz w:val="22"/>
          <w:szCs w:val="22"/>
          <w:lang w:val="en-CA"/>
        </w:rPr>
        <w:t>.</w:t>
      </w:r>
      <w:r w:rsidR="00934628" w:rsidRPr="007E30AA">
        <w:rPr>
          <w:kern w:val="0"/>
          <w:sz w:val="22"/>
          <w:szCs w:val="22"/>
          <w:lang w:val="en-CA"/>
        </w:rPr>
        <w:t xml:space="preserve"> </w:t>
      </w:r>
      <w:r w:rsidRPr="007E30AA">
        <w:rPr>
          <w:kern w:val="0"/>
          <w:sz w:val="22"/>
          <w:szCs w:val="22"/>
          <w:lang w:val="en-CA"/>
        </w:rPr>
        <w:t xml:space="preserve">No such </w:t>
      </w:r>
      <w:r w:rsidRPr="007E30AA">
        <w:rPr>
          <w:i/>
          <w:kern w:val="0"/>
          <w:sz w:val="22"/>
          <w:szCs w:val="22"/>
          <w:lang w:val="en-CA"/>
        </w:rPr>
        <w:t>Charter</w:t>
      </w:r>
      <w:r w:rsidRPr="007E30AA">
        <w:rPr>
          <w:kern w:val="0"/>
          <w:sz w:val="22"/>
          <w:szCs w:val="22"/>
          <w:lang w:val="en-CA"/>
        </w:rPr>
        <w:t xml:space="preserve"> right applies to administrative proceedings. </w:t>
      </w:r>
      <w:r w:rsidRPr="001A7F2A">
        <w:rPr>
          <w:kern w:val="0"/>
          <w:sz w:val="22"/>
          <w:szCs w:val="22"/>
          <w:lang w:val="en-CA"/>
        </w:rPr>
        <w:t>As such, there is no constitutional right outside the criminal context to be “tried” within a reasonable time.</w:t>
      </w:r>
    </w:p>
    <w:p w14:paraId="2CF210A7" w14:textId="2CEFC329" w:rsidR="00C0395F" w:rsidRPr="001A7F2A" w:rsidRDefault="000A789A" w:rsidP="00F3328D">
      <w:pPr>
        <w:pStyle w:val="Style1"/>
        <w:rPr>
          <w:lang w:val="en-CA"/>
        </w:rPr>
      </w:pPr>
      <w:r w:rsidRPr="001A7F2A">
        <w:rPr>
          <w:lang w:val="en-CA"/>
        </w:rPr>
        <w:t>T</w:t>
      </w:r>
      <w:r w:rsidR="00CF5AB3" w:rsidRPr="001A7F2A">
        <w:rPr>
          <w:lang w:val="en-CA"/>
        </w:rPr>
        <w:t>he Tribunal</w:t>
      </w:r>
      <w:r w:rsidRPr="001A7F2A">
        <w:rPr>
          <w:lang w:val="en-CA"/>
        </w:rPr>
        <w:t xml:space="preserve"> finds that</w:t>
      </w:r>
      <w:r w:rsidR="00CF5AB3" w:rsidRPr="001A7F2A">
        <w:rPr>
          <w:lang w:val="en-CA"/>
        </w:rPr>
        <w:t xml:space="preserve"> </w:t>
      </w:r>
      <w:proofErr w:type="gramStart"/>
      <w:r w:rsidR="00CF5AB3" w:rsidRPr="001A7F2A">
        <w:rPr>
          <w:lang w:val="en-CA"/>
        </w:rPr>
        <w:t>it is clear that the</w:t>
      </w:r>
      <w:proofErr w:type="gramEnd"/>
      <w:r w:rsidR="00CF5AB3" w:rsidRPr="001A7F2A">
        <w:rPr>
          <w:lang w:val="en-CA"/>
        </w:rPr>
        <w:t xml:space="preserve"> delay caused by the progression of all the interim applications, the applications for judicial review, and the appeals brought by the respondents in this case cannot be imputed to the Authority.</w:t>
      </w:r>
      <w:r w:rsidR="00F3328D" w:rsidRPr="001A7F2A">
        <w:rPr>
          <w:lang w:val="en-CA"/>
        </w:rPr>
        <w:t xml:space="preserve"> </w:t>
      </w:r>
    </w:p>
    <w:p w14:paraId="38FD1D4E" w14:textId="1B67495B" w:rsidR="00F3328D" w:rsidRPr="001A7F2A" w:rsidRDefault="00C11BB5" w:rsidP="00F3328D">
      <w:pPr>
        <w:pStyle w:val="Style1"/>
        <w:rPr>
          <w:lang w:val="en-CA"/>
        </w:rPr>
      </w:pPr>
      <w:r w:rsidRPr="001A7F2A">
        <w:rPr>
          <w:lang w:val="en-CA"/>
        </w:rPr>
        <w:t>In this regard</w:t>
      </w:r>
      <w:r w:rsidR="00CF5AB3" w:rsidRPr="001A7F2A">
        <w:rPr>
          <w:lang w:val="en-CA"/>
        </w:rPr>
        <w:t xml:space="preserve">, it is </w:t>
      </w:r>
      <w:r w:rsidRPr="001A7F2A">
        <w:rPr>
          <w:lang w:val="en-CA"/>
        </w:rPr>
        <w:t>worth</w:t>
      </w:r>
      <w:r w:rsidR="00CF5AB3" w:rsidRPr="001A7F2A">
        <w:rPr>
          <w:lang w:val="en-CA"/>
        </w:rPr>
        <w:t xml:space="preserve"> point</w:t>
      </w:r>
      <w:r w:rsidRPr="001A7F2A">
        <w:rPr>
          <w:lang w:val="en-CA"/>
        </w:rPr>
        <w:t>ing</w:t>
      </w:r>
      <w:r w:rsidR="00CF5AB3" w:rsidRPr="001A7F2A">
        <w:rPr>
          <w:lang w:val="en-CA"/>
        </w:rPr>
        <w:t xml:space="preserve"> out that the judicial review </w:t>
      </w:r>
      <w:r w:rsidR="000A789A" w:rsidRPr="001A7F2A">
        <w:rPr>
          <w:lang w:val="en-CA"/>
        </w:rPr>
        <w:t xml:space="preserve">process </w:t>
      </w:r>
      <w:r w:rsidRPr="001A7F2A">
        <w:rPr>
          <w:lang w:val="en-CA"/>
        </w:rPr>
        <w:t>for</w:t>
      </w:r>
      <w:r w:rsidR="00CF5AB3" w:rsidRPr="001A7F2A">
        <w:rPr>
          <w:lang w:val="en-CA"/>
        </w:rPr>
        <w:t xml:space="preserve"> the Tribunal’s decision dated November 22, 2017, instituted by the respondent Frederick Langford Sharp with the respondents Carnovale, Rocca, and Van Damme, essentially took six of the seven years and seven months that have passed since the Authority’s originating pleading was filed in this case, on April 20, 2017.</w:t>
      </w:r>
    </w:p>
    <w:p w14:paraId="16834A81" w14:textId="7290DA49" w:rsidR="00BB44A2" w:rsidRPr="001A7F2A" w:rsidRDefault="00CF5AB3" w:rsidP="00BB44A2">
      <w:pPr>
        <w:pStyle w:val="Style1"/>
        <w:rPr>
          <w:lang w:val="en-CA"/>
        </w:rPr>
      </w:pPr>
      <w:r w:rsidRPr="001A7F2A">
        <w:rPr>
          <w:lang w:val="en-CA"/>
        </w:rPr>
        <w:t xml:space="preserve">What is more, all the time that passed since this originating pleading was filed was basically spent by the Tribunal addressing all the various interim applications filed by the respondents, </w:t>
      </w:r>
      <w:r w:rsidR="00C11BB5" w:rsidRPr="001A7F2A">
        <w:rPr>
          <w:lang w:val="en-CA"/>
        </w:rPr>
        <w:t xml:space="preserve">while </w:t>
      </w:r>
      <w:r w:rsidRPr="001A7F2A">
        <w:rPr>
          <w:lang w:val="en-CA"/>
        </w:rPr>
        <w:t xml:space="preserve">awaiting the end of the judicial review process described above, </w:t>
      </w:r>
      <w:r w:rsidR="00ED7D5F" w:rsidRPr="001A7F2A">
        <w:rPr>
          <w:lang w:val="en-CA"/>
        </w:rPr>
        <w:t>and—</w:t>
      </w:r>
      <w:r w:rsidRPr="001A7F2A">
        <w:rPr>
          <w:lang w:val="en-CA"/>
        </w:rPr>
        <w:t xml:space="preserve">since </w:t>
      </w:r>
      <w:r w:rsidR="00C11BB5" w:rsidRPr="001A7F2A">
        <w:rPr>
          <w:lang w:val="en-CA"/>
        </w:rPr>
        <w:t>the</w:t>
      </w:r>
      <w:r w:rsidR="005055C0" w:rsidRPr="001A7F2A">
        <w:rPr>
          <w:lang w:val="en-CA"/>
        </w:rPr>
        <w:t xml:space="preserve"> </w:t>
      </w:r>
      <w:r w:rsidR="00ED7D5F" w:rsidRPr="001A7F2A">
        <w:rPr>
          <w:lang w:val="en-CA"/>
        </w:rPr>
        <w:t xml:space="preserve">process came to an </w:t>
      </w:r>
      <w:r w:rsidR="005055C0" w:rsidRPr="001A7F2A">
        <w:rPr>
          <w:lang w:val="en-CA"/>
        </w:rPr>
        <w:t>end</w:t>
      </w:r>
      <w:r w:rsidRPr="001A7F2A">
        <w:rPr>
          <w:lang w:val="en-CA"/>
        </w:rPr>
        <w:t xml:space="preserve"> on November 17, 2023</w:t>
      </w:r>
      <w:r w:rsidR="00ED7D5F" w:rsidRPr="001A7F2A">
        <w:rPr>
          <w:lang w:val="en-CA"/>
        </w:rPr>
        <w:t>—</w:t>
      </w:r>
      <w:r w:rsidRPr="001A7F2A">
        <w:rPr>
          <w:lang w:val="en-CA"/>
        </w:rPr>
        <w:t>allowing new counsel for the respondent Frederick Langford Sharp to familiarize himself with the file and give him a reasonable amount of time to decide with his client whether they wanted to file a new interim application</w:t>
      </w:r>
      <w:r w:rsidR="00ED7D5F" w:rsidRPr="001A7F2A">
        <w:rPr>
          <w:lang w:val="en-CA"/>
        </w:rPr>
        <w:t>. They did so</w:t>
      </w:r>
      <w:r w:rsidRPr="001A7F2A">
        <w:rPr>
          <w:lang w:val="en-CA"/>
        </w:rPr>
        <w:t xml:space="preserve"> on September 13, 2024, by filing an application with the Tribunal for a stay of the proceedings against </w:t>
      </w:r>
      <w:r w:rsidR="005055C0" w:rsidRPr="001A7F2A">
        <w:rPr>
          <w:lang w:val="en-CA"/>
        </w:rPr>
        <w:t>the respondent Frederick Langford Sharp</w:t>
      </w:r>
      <w:r w:rsidRPr="001A7F2A">
        <w:rPr>
          <w:lang w:val="en-CA"/>
        </w:rPr>
        <w:t>, basically alleging that the delays in this file were unreasonable and caused him significant prejudice.</w:t>
      </w:r>
      <w:r w:rsidR="00934628" w:rsidRPr="001A7F2A">
        <w:rPr>
          <w:lang w:val="en-CA"/>
        </w:rPr>
        <w:t xml:space="preserve">  </w:t>
      </w:r>
    </w:p>
    <w:p w14:paraId="42C4B94A" w14:textId="51D2BCF6" w:rsidR="00FB3272" w:rsidRPr="001A7F2A" w:rsidRDefault="00CF5AB3" w:rsidP="00D52B3F">
      <w:pPr>
        <w:pStyle w:val="Paragraphe"/>
        <w:numPr>
          <w:ilvl w:val="0"/>
          <w:numId w:val="1"/>
        </w:numPr>
        <w:rPr>
          <w:lang w:val="en-CA"/>
        </w:rPr>
      </w:pPr>
      <w:r w:rsidRPr="001A7F2A">
        <w:rPr>
          <w:lang w:val="en-CA"/>
        </w:rPr>
        <w:t>The respondent Frederick Langford Sharp alleges that he suffered prejudice to his reputation as well as ongoing financial inconveniences and stress.</w:t>
      </w:r>
      <w:r w:rsidR="00426569" w:rsidRPr="001A7F2A">
        <w:rPr>
          <w:lang w:val="en-CA"/>
        </w:rPr>
        <w:t xml:space="preserve"> </w:t>
      </w:r>
      <w:r w:rsidR="00F447DE" w:rsidRPr="001A7F2A">
        <w:rPr>
          <w:lang w:val="en-CA"/>
        </w:rPr>
        <w:t xml:space="preserve">Because the respondent Frederick Langford Sharp did not testify at the hearing of November 29, 2024, </w:t>
      </w:r>
      <w:r w:rsidR="00F447DE" w:rsidRPr="001A7F2A">
        <w:rPr>
          <w:lang w:val="en-CA"/>
        </w:rPr>
        <w:lastRenderedPageBreak/>
        <w:t>and his interim application is unsupported by an</w:t>
      </w:r>
      <w:r w:rsidR="0016141A" w:rsidRPr="001A7F2A">
        <w:rPr>
          <w:lang w:val="en-CA"/>
        </w:rPr>
        <w:t>y</w:t>
      </w:r>
      <w:r w:rsidR="00F447DE" w:rsidRPr="001A7F2A">
        <w:rPr>
          <w:lang w:val="en-CA"/>
        </w:rPr>
        <w:t xml:space="preserve"> affidavit signed by him, the Tribunal is of the view that the above allegations do not constitute evidence of these inconveniences.</w:t>
      </w:r>
      <w:r w:rsidR="00426569" w:rsidRPr="001A7F2A">
        <w:rPr>
          <w:lang w:val="en-CA"/>
        </w:rPr>
        <w:t xml:space="preserve"> </w:t>
      </w:r>
    </w:p>
    <w:p w14:paraId="38FD1D51" w14:textId="513FDA37" w:rsidR="00D52B3F" w:rsidRPr="001A7F2A" w:rsidRDefault="00F447DE" w:rsidP="00D52B3F">
      <w:pPr>
        <w:pStyle w:val="Paragraphe"/>
        <w:numPr>
          <w:ilvl w:val="0"/>
          <w:numId w:val="1"/>
        </w:numPr>
        <w:rPr>
          <w:lang w:val="en-CA"/>
        </w:rPr>
      </w:pPr>
      <w:r w:rsidRPr="001A7F2A">
        <w:rPr>
          <w:lang w:val="en-CA"/>
        </w:rPr>
        <w:t>Moreover, the Tribunal indicates that this type of annoyance is inherent to being a party to a legal proceeding like the one currently involving the respondent Frederick Langford Sharp in this case.</w:t>
      </w:r>
      <w:r w:rsidR="000F2AC5" w:rsidRPr="001A7F2A">
        <w:rPr>
          <w:lang w:val="en-CA"/>
        </w:rPr>
        <w:t xml:space="preserve">    </w:t>
      </w:r>
    </w:p>
    <w:p w14:paraId="38FD1D52" w14:textId="65A27CE1" w:rsidR="00D52B3F" w:rsidRPr="001A7F2A" w:rsidRDefault="00F447DE" w:rsidP="00D52B3F">
      <w:pPr>
        <w:pStyle w:val="Paragraphe"/>
        <w:numPr>
          <w:ilvl w:val="0"/>
          <w:numId w:val="1"/>
        </w:numPr>
        <w:rPr>
          <w:lang w:val="en-CA"/>
        </w:rPr>
      </w:pPr>
      <w:r w:rsidRPr="001A7F2A">
        <w:rPr>
          <w:lang w:val="en-CA"/>
        </w:rPr>
        <w:t xml:space="preserve">The multiplication of interim applications, judicial review applications, and appeals brought by the respondents, including the respondent Frederick Langford Sharp, can only contribute to </w:t>
      </w:r>
      <w:r w:rsidR="0016141A" w:rsidRPr="001A7F2A">
        <w:rPr>
          <w:lang w:val="en-CA"/>
        </w:rPr>
        <w:t>prolonging</w:t>
      </w:r>
      <w:r w:rsidRPr="001A7F2A">
        <w:rPr>
          <w:lang w:val="en-CA"/>
        </w:rPr>
        <w:t xml:space="preserve"> the above stated annoyances.</w:t>
      </w:r>
    </w:p>
    <w:p w14:paraId="6B924903" w14:textId="246C91F3" w:rsidR="001B6C2B" w:rsidRPr="001A7F2A" w:rsidRDefault="00F447DE" w:rsidP="00D52B3F">
      <w:pPr>
        <w:pStyle w:val="Paragraphe"/>
        <w:numPr>
          <w:ilvl w:val="0"/>
          <w:numId w:val="1"/>
        </w:numPr>
        <w:rPr>
          <w:lang w:val="en-CA"/>
        </w:rPr>
      </w:pPr>
      <w:r w:rsidRPr="001A7F2A">
        <w:rPr>
          <w:lang w:val="en-CA"/>
        </w:rPr>
        <w:t xml:space="preserve">The respondent Frederick Langford Sharp alleges that these delays also cause significant prejudice to his right to make full answer and defence, in particular because additional evidence was disclosed by the Authority in 2024, in some cases following requests for additional information made directly to the </w:t>
      </w:r>
      <w:r w:rsidR="00D138ED" w:rsidRPr="001A7F2A">
        <w:rPr>
          <w:lang w:val="en-CA"/>
        </w:rPr>
        <w:t>Authority</w:t>
      </w:r>
      <w:r w:rsidRPr="001A7F2A">
        <w:rPr>
          <w:lang w:val="en-CA"/>
        </w:rPr>
        <w:t xml:space="preserve"> by counsel for some of the respondents and </w:t>
      </w:r>
      <w:r w:rsidR="00D138ED" w:rsidRPr="001A7F2A">
        <w:rPr>
          <w:lang w:val="en-CA"/>
        </w:rPr>
        <w:t>because</w:t>
      </w:r>
      <w:r w:rsidRPr="001A7F2A">
        <w:rPr>
          <w:lang w:val="en-CA"/>
        </w:rPr>
        <w:t xml:space="preserve"> some</w:t>
      </w:r>
      <w:r w:rsidR="00D138ED" w:rsidRPr="001A7F2A">
        <w:rPr>
          <w:lang w:val="en-CA"/>
        </w:rPr>
        <w:t xml:space="preserve"> of the</w:t>
      </w:r>
      <w:r w:rsidRPr="001A7F2A">
        <w:rPr>
          <w:lang w:val="en-CA"/>
        </w:rPr>
        <w:t xml:space="preserve"> hyperlinks appearing in the documents disclosed in evidence are no longer functional.</w:t>
      </w:r>
    </w:p>
    <w:p w14:paraId="71D5D835" w14:textId="4711EC61" w:rsidR="00F757FF" w:rsidRPr="001A7F2A" w:rsidRDefault="00F447DE" w:rsidP="00D52B3F">
      <w:pPr>
        <w:pStyle w:val="Paragraphe"/>
        <w:numPr>
          <w:ilvl w:val="0"/>
          <w:numId w:val="1"/>
        </w:numPr>
        <w:rPr>
          <w:lang w:val="en-CA"/>
        </w:rPr>
      </w:pPr>
      <w:r w:rsidRPr="001A7F2A">
        <w:rPr>
          <w:lang w:val="en-CA"/>
        </w:rPr>
        <w:t xml:space="preserve">The Tribunal recalls that the originating application filed by the Authority against the respondents is 16 pages long and includes 111 paragraphs </w:t>
      </w:r>
      <w:r w:rsidR="00D138ED" w:rsidRPr="001A7F2A">
        <w:rPr>
          <w:lang w:val="en-CA"/>
        </w:rPr>
        <w:t>referring</w:t>
      </w:r>
      <w:r w:rsidRPr="001A7F2A">
        <w:rPr>
          <w:lang w:val="en-CA"/>
        </w:rPr>
        <w:t xml:space="preserve"> to 49 exhibits, which were all disclosed to the respondents in 2017.</w:t>
      </w:r>
      <w:r w:rsidR="008766AD" w:rsidRPr="001A7F2A">
        <w:rPr>
          <w:lang w:val="en-CA"/>
        </w:rPr>
        <w:t xml:space="preserve"> </w:t>
      </w:r>
      <w:r w:rsidRPr="001A7F2A">
        <w:rPr>
          <w:lang w:val="en-CA"/>
        </w:rPr>
        <w:t>Counsel for the Authority clearly indicated at the hearing that it is this evidence the regulator intends to use to make its case when the time comes for the Tribunal to hear the originating pleading referred to above on the merits, not the additional evidence subsequently disclosed to the respondents at their request and/or in the spirit of transparency.</w:t>
      </w:r>
      <w:r w:rsidR="008766AD" w:rsidRPr="001A7F2A">
        <w:rPr>
          <w:lang w:val="en-CA"/>
        </w:rPr>
        <w:t xml:space="preserve"> </w:t>
      </w:r>
    </w:p>
    <w:p w14:paraId="24118AE3" w14:textId="6246768C" w:rsidR="004E0D5E" w:rsidRPr="001A7F2A" w:rsidRDefault="00F447DE" w:rsidP="00D52B3F">
      <w:pPr>
        <w:pStyle w:val="Paragraphe"/>
        <w:numPr>
          <w:ilvl w:val="0"/>
          <w:numId w:val="1"/>
        </w:numPr>
        <w:rPr>
          <w:lang w:val="en-CA"/>
        </w:rPr>
      </w:pPr>
      <w:r w:rsidRPr="001A7F2A">
        <w:rPr>
          <w:lang w:val="en-CA"/>
        </w:rPr>
        <w:t xml:space="preserve">In this respect, the Tribunal states that, in </w:t>
      </w:r>
      <w:r w:rsidRPr="001A7F2A">
        <w:rPr>
          <w:i/>
          <w:lang w:val="en-CA"/>
        </w:rPr>
        <w:t>May</w:t>
      </w:r>
      <w:r w:rsidRPr="001A7F2A">
        <w:rPr>
          <w:lang w:val="en-CA"/>
        </w:rPr>
        <w:t>,</w:t>
      </w:r>
      <w:r w:rsidRPr="007E30AA">
        <w:rPr>
          <w:rStyle w:val="Appelnotedebasdep"/>
          <w:lang w:val="en-CA"/>
        </w:rPr>
        <w:footnoteReference w:id="23"/>
      </w:r>
      <w:r w:rsidRPr="001A7F2A">
        <w:rPr>
          <w:lang w:val="en-CA"/>
        </w:rPr>
        <w:t xml:space="preserve"> the Supreme Court established that the standard of disclosure that applies in criminal cases does not apply in the administrative context.</w:t>
      </w:r>
      <w:r w:rsidR="00934628" w:rsidRPr="001A7F2A">
        <w:rPr>
          <w:lang w:val="en-CA"/>
        </w:rPr>
        <w:t xml:space="preserve"> </w:t>
      </w:r>
      <w:r w:rsidRPr="001A7F2A">
        <w:rPr>
          <w:lang w:val="en-CA"/>
        </w:rPr>
        <w:t>Thus, in an administrative proceeding “</w:t>
      </w:r>
      <w:r w:rsidR="007E30AA">
        <w:rPr>
          <w:lang w:val="en-CA"/>
        </w:rPr>
        <w:t xml:space="preserve">… </w:t>
      </w:r>
      <w:r w:rsidRPr="001A7F2A">
        <w:rPr>
          <w:lang w:val="en-CA"/>
        </w:rPr>
        <w:t>the duty of procedural fairness generally requires that the decision-maker discloses the information he or she relied upon.</w:t>
      </w:r>
      <w:r w:rsidR="00934628" w:rsidRPr="001A7F2A">
        <w:rPr>
          <w:lang w:val="en-CA"/>
        </w:rPr>
        <w:t xml:space="preserve"> </w:t>
      </w:r>
      <w:r w:rsidRPr="001A7F2A">
        <w:rPr>
          <w:lang w:val="en-CA"/>
        </w:rPr>
        <w:t xml:space="preserve">The requirement is that the individual must know the case he or she </w:t>
      </w:r>
      <w:proofErr w:type="gramStart"/>
      <w:r w:rsidRPr="001A7F2A">
        <w:rPr>
          <w:lang w:val="en-CA"/>
        </w:rPr>
        <w:t>has to</w:t>
      </w:r>
      <w:proofErr w:type="gramEnd"/>
      <w:r w:rsidRPr="001A7F2A">
        <w:rPr>
          <w:lang w:val="en-CA"/>
        </w:rPr>
        <w:t xml:space="preserve"> meet”.</w:t>
      </w:r>
      <w:r w:rsidR="00934628" w:rsidRPr="001A7F2A">
        <w:rPr>
          <w:lang w:val="en-CA"/>
        </w:rPr>
        <w:t xml:space="preserve">   </w:t>
      </w:r>
    </w:p>
    <w:p w14:paraId="5DD5470C" w14:textId="572F79E5" w:rsidR="007C62F3" w:rsidRPr="001A7F2A" w:rsidRDefault="007B718B" w:rsidP="00D52B3F">
      <w:pPr>
        <w:pStyle w:val="Paragraphe"/>
        <w:numPr>
          <w:ilvl w:val="0"/>
          <w:numId w:val="1"/>
        </w:numPr>
        <w:rPr>
          <w:lang w:val="en-CA"/>
        </w:rPr>
      </w:pPr>
      <w:proofErr w:type="gramStart"/>
      <w:r w:rsidRPr="001A7F2A">
        <w:rPr>
          <w:lang w:val="en-CA"/>
        </w:rPr>
        <w:t>With regard to</w:t>
      </w:r>
      <w:proofErr w:type="gramEnd"/>
      <w:r w:rsidRPr="001A7F2A">
        <w:rPr>
          <w:lang w:val="en-CA"/>
        </w:rPr>
        <w:t xml:space="preserve"> the no-longer-functional hyperlinks in certain documents disclosed in evidence, the Tribunal would point out that a hyperlink that is not functional today is not an indication that a </w:t>
      </w:r>
      <w:r w:rsidR="00D138ED" w:rsidRPr="001A7F2A">
        <w:rPr>
          <w:lang w:val="en-CA"/>
        </w:rPr>
        <w:t>document</w:t>
      </w:r>
      <w:r w:rsidRPr="001A7F2A">
        <w:rPr>
          <w:lang w:val="en-CA"/>
        </w:rPr>
        <w:t xml:space="preserve">, to which it gave access, was not duly gathered from a website, several years </w:t>
      </w:r>
      <w:r w:rsidR="00E80AFC" w:rsidRPr="001A7F2A">
        <w:rPr>
          <w:lang w:val="en-CA"/>
        </w:rPr>
        <w:t>earlier</w:t>
      </w:r>
      <w:r w:rsidRPr="001A7F2A">
        <w:rPr>
          <w:lang w:val="en-CA"/>
        </w:rPr>
        <w:t xml:space="preserve">, during an investigation by the </w:t>
      </w:r>
      <w:r w:rsidR="00D138ED" w:rsidRPr="001A7F2A">
        <w:rPr>
          <w:lang w:val="en-CA"/>
        </w:rPr>
        <w:t>Authority</w:t>
      </w:r>
      <w:r w:rsidRPr="001A7F2A">
        <w:rPr>
          <w:lang w:val="en-CA"/>
        </w:rPr>
        <w:t>.</w:t>
      </w:r>
      <w:r w:rsidR="00CB3DCF" w:rsidRPr="001A7F2A">
        <w:rPr>
          <w:lang w:val="en-CA"/>
        </w:rPr>
        <w:t xml:space="preserve"> </w:t>
      </w:r>
    </w:p>
    <w:p w14:paraId="4B589267" w14:textId="274FC9A4" w:rsidR="004E0D5E" w:rsidRPr="001A7F2A" w:rsidRDefault="007B718B" w:rsidP="00D52B3F">
      <w:pPr>
        <w:pStyle w:val="Paragraphe"/>
        <w:numPr>
          <w:ilvl w:val="0"/>
          <w:numId w:val="1"/>
        </w:numPr>
        <w:rPr>
          <w:lang w:val="en-CA"/>
        </w:rPr>
      </w:pPr>
      <w:r w:rsidRPr="001A7F2A">
        <w:rPr>
          <w:lang w:val="en-CA"/>
        </w:rPr>
        <w:t>What is more, an allegation that a hyperlink that is no longer function</w:t>
      </w:r>
      <w:r w:rsidR="00E80AFC" w:rsidRPr="001A7F2A">
        <w:rPr>
          <w:lang w:val="en-CA"/>
        </w:rPr>
        <w:t>al</w:t>
      </w:r>
      <w:r w:rsidRPr="001A7F2A">
        <w:rPr>
          <w:lang w:val="en-CA"/>
        </w:rPr>
        <w:t xml:space="preserve"> is not evidence that the integrity of a document, gathered several years </w:t>
      </w:r>
      <w:r w:rsidR="00E80AFC" w:rsidRPr="001A7F2A">
        <w:rPr>
          <w:lang w:val="en-CA"/>
        </w:rPr>
        <w:t>earlier</w:t>
      </w:r>
      <w:r w:rsidRPr="001A7F2A">
        <w:rPr>
          <w:lang w:val="en-CA"/>
        </w:rPr>
        <w:t xml:space="preserve"> during an investigation, was not duly </w:t>
      </w:r>
      <w:r w:rsidR="00E80AFC" w:rsidRPr="001A7F2A">
        <w:rPr>
          <w:lang w:val="en-CA"/>
        </w:rPr>
        <w:t>protected</w:t>
      </w:r>
      <w:r w:rsidRPr="001A7F2A">
        <w:rPr>
          <w:lang w:val="en-CA"/>
        </w:rPr>
        <w:t xml:space="preserve"> until the document </w:t>
      </w:r>
      <w:r w:rsidR="00E80AFC" w:rsidRPr="001A7F2A">
        <w:rPr>
          <w:lang w:val="en-CA"/>
        </w:rPr>
        <w:t>could</w:t>
      </w:r>
      <w:r w:rsidRPr="001A7F2A">
        <w:rPr>
          <w:lang w:val="en-CA"/>
        </w:rPr>
        <w:t xml:space="preserve"> be filed in the record at a Tribunal hearing.</w:t>
      </w:r>
      <w:r w:rsidR="0002701A" w:rsidRPr="001A7F2A">
        <w:rPr>
          <w:lang w:val="en-CA"/>
        </w:rPr>
        <w:t xml:space="preserve"> </w:t>
      </w:r>
    </w:p>
    <w:p w14:paraId="11CDCC7A" w14:textId="3DBFF4A7" w:rsidR="00322FB2" w:rsidRPr="001A7F2A" w:rsidRDefault="007B718B" w:rsidP="00D52B3F">
      <w:pPr>
        <w:pStyle w:val="Paragraphe"/>
        <w:numPr>
          <w:ilvl w:val="0"/>
          <w:numId w:val="1"/>
        </w:numPr>
        <w:rPr>
          <w:lang w:val="en-CA"/>
        </w:rPr>
      </w:pPr>
      <w:r w:rsidRPr="001A7F2A">
        <w:rPr>
          <w:lang w:val="en-CA"/>
        </w:rPr>
        <w:t xml:space="preserve">In this respect, the Tribunal recalls section 7 of the </w:t>
      </w:r>
      <w:r w:rsidRPr="001A7F2A">
        <w:rPr>
          <w:i/>
          <w:lang w:val="en-CA"/>
        </w:rPr>
        <w:t>Act to establish a legal framework for information technology</w:t>
      </w:r>
      <w:r w:rsidRPr="001A7F2A">
        <w:rPr>
          <w:lang w:val="en-CA"/>
        </w:rPr>
        <w:t>,</w:t>
      </w:r>
      <w:r w:rsidRPr="007E30AA">
        <w:rPr>
          <w:rStyle w:val="Appelnotedebasdep"/>
          <w:lang w:val="en-CA"/>
        </w:rPr>
        <w:footnoteReference w:id="24"/>
      </w:r>
      <w:r w:rsidRPr="001A7F2A">
        <w:rPr>
          <w:lang w:val="en-CA"/>
        </w:rPr>
        <w:t xml:space="preserve"> </w:t>
      </w:r>
      <w:r w:rsidRPr="001A7F2A">
        <w:rPr>
          <w:iCs/>
          <w:lang w:val="en-CA"/>
        </w:rPr>
        <w:t>which establishes the following:</w:t>
      </w:r>
    </w:p>
    <w:p w14:paraId="01F57161" w14:textId="44B0855D" w:rsidR="00E50307" w:rsidRPr="001A7F2A" w:rsidRDefault="007B718B" w:rsidP="00E50307">
      <w:pPr>
        <w:pStyle w:val="Style1"/>
        <w:numPr>
          <w:ilvl w:val="0"/>
          <w:numId w:val="0"/>
        </w:numPr>
        <w:ind w:left="851" w:right="573"/>
        <w:rPr>
          <w:sz w:val="22"/>
          <w:szCs w:val="22"/>
          <w:lang w:val="en-CA" w:eastAsia="fr-CA"/>
        </w:rPr>
      </w:pPr>
      <w:r w:rsidRPr="001A7F2A">
        <w:rPr>
          <w:b/>
          <w:bCs/>
          <w:sz w:val="22"/>
          <w:szCs w:val="22"/>
          <w:lang w:val="en-CA" w:eastAsia="fr-CA"/>
        </w:rPr>
        <w:lastRenderedPageBreak/>
        <w:t>7.</w:t>
      </w:r>
      <w:r w:rsidR="00934628" w:rsidRPr="001A7F2A">
        <w:rPr>
          <w:sz w:val="22"/>
          <w:szCs w:val="22"/>
          <w:lang w:val="en-CA" w:eastAsia="fr-CA"/>
        </w:rPr>
        <w:t xml:space="preserve"> </w:t>
      </w:r>
      <w:r w:rsidRPr="001A7F2A">
        <w:rPr>
          <w:sz w:val="22"/>
          <w:szCs w:val="22"/>
          <w:lang w:val="en-CA" w:eastAsia="fr-CA"/>
        </w:rPr>
        <w:t>It is not necessary to prove that the medium of a document or that the processes, systems or technology used to communicate by means of a document ensure its integrity, unless the person contesting the admission of the document establishes, upon a preponderance of evidence, that the integrity of the document has been affected.</w:t>
      </w:r>
    </w:p>
    <w:p w14:paraId="38FD1D54" w14:textId="7B50CA3E" w:rsidR="00A57A3B" w:rsidRPr="001A7F2A" w:rsidRDefault="00385272" w:rsidP="000D6490">
      <w:pPr>
        <w:pStyle w:val="Paragraphe"/>
        <w:numPr>
          <w:ilvl w:val="0"/>
          <w:numId w:val="1"/>
        </w:numPr>
        <w:rPr>
          <w:lang w:val="en-CA"/>
        </w:rPr>
      </w:pPr>
      <w:r w:rsidRPr="001A7F2A">
        <w:rPr>
          <w:lang w:val="en-CA"/>
        </w:rPr>
        <w:t>The Tribunal has yet to hear the Authority’s originating pleading on the merits in this case.</w:t>
      </w:r>
      <w:r w:rsidR="00934628" w:rsidRPr="001A7F2A">
        <w:rPr>
          <w:lang w:val="en-CA"/>
        </w:rPr>
        <w:t xml:space="preserve"> </w:t>
      </w:r>
      <w:r w:rsidR="007B718B" w:rsidRPr="001A7F2A">
        <w:rPr>
          <w:lang w:val="en-CA"/>
        </w:rPr>
        <w:t xml:space="preserve">It </w:t>
      </w:r>
      <w:r w:rsidR="002947FF" w:rsidRPr="001A7F2A">
        <w:rPr>
          <w:lang w:val="en-CA"/>
        </w:rPr>
        <w:t>cannot</w:t>
      </w:r>
      <w:r w:rsidR="007B718B" w:rsidRPr="001A7F2A">
        <w:rPr>
          <w:lang w:val="en-CA"/>
        </w:rPr>
        <w:t xml:space="preserve"> currently assess the probative value of the evidence the regulator intends to file in support of this </w:t>
      </w:r>
      <w:r w:rsidR="002947FF" w:rsidRPr="001A7F2A">
        <w:rPr>
          <w:lang w:val="en-CA"/>
        </w:rPr>
        <w:t>application</w:t>
      </w:r>
      <w:r w:rsidR="007B718B" w:rsidRPr="001A7F2A">
        <w:rPr>
          <w:lang w:val="en-CA"/>
        </w:rPr>
        <w:t xml:space="preserve">, no more than it can assess the probative value of the defence evidence presented by all the respondents, and by the respondent Frederick Langford Sharp in particular.  </w:t>
      </w:r>
      <w:r w:rsidR="00934628" w:rsidRPr="001A7F2A">
        <w:rPr>
          <w:lang w:val="en-CA"/>
        </w:rPr>
        <w:t xml:space="preserve"> </w:t>
      </w:r>
    </w:p>
    <w:p w14:paraId="38FD1D57" w14:textId="4E541974" w:rsidR="00B03E80" w:rsidRPr="001A7F2A" w:rsidRDefault="002947FF" w:rsidP="00AB7656">
      <w:pPr>
        <w:pStyle w:val="Paragraphe"/>
        <w:numPr>
          <w:ilvl w:val="0"/>
          <w:numId w:val="1"/>
        </w:numPr>
        <w:rPr>
          <w:lang w:val="en-CA"/>
        </w:rPr>
      </w:pPr>
      <w:r w:rsidRPr="001A7F2A">
        <w:rPr>
          <w:lang w:val="en-CA"/>
        </w:rPr>
        <w:t>However, t</w:t>
      </w:r>
      <w:r w:rsidR="007B718B" w:rsidRPr="001A7F2A">
        <w:rPr>
          <w:lang w:val="en-CA"/>
        </w:rPr>
        <w:t>he Tribunal recalls</w:t>
      </w:r>
      <w:r w:rsidRPr="001A7F2A">
        <w:rPr>
          <w:lang w:val="en-CA"/>
        </w:rPr>
        <w:t xml:space="preserve"> </w:t>
      </w:r>
      <w:r w:rsidR="007B718B" w:rsidRPr="001A7F2A">
        <w:rPr>
          <w:lang w:val="en-CA"/>
        </w:rPr>
        <w:t>that in its originating pleading, the Authority alleges that the respondent Frederick Langford Sharp play</w:t>
      </w:r>
      <w:r w:rsidRPr="001A7F2A">
        <w:rPr>
          <w:lang w:val="en-CA"/>
        </w:rPr>
        <w:t>ed</w:t>
      </w:r>
      <w:r w:rsidR="007B718B" w:rsidRPr="001A7F2A">
        <w:rPr>
          <w:lang w:val="en-CA"/>
        </w:rPr>
        <w:t xml:space="preserve"> a </w:t>
      </w:r>
      <w:r w:rsidRPr="001A7F2A">
        <w:rPr>
          <w:lang w:val="en-CA"/>
        </w:rPr>
        <w:t>[</w:t>
      </w:r>
      <w:r w:rsidRPr="001A7F2A">
        <w:rPr>
          <w:smallCaps/>
          <w:lang w:val="en-CA"/>
        </w:rPr>
        <w:t>translation</w:t>
      </w:r>
      <w:r w:rsidRPr="001A7F2A">
        <w:rPr>
          <w:lang w:val="en-CA"/>
        </w:rPr>
        <w:t xml:space="preserve">] </w:t>
      </w:r>
      <w:r w:rsidR="007B718B" w:rsidRPr="001A7F2A">
        <w:rPr>
          <w:lang w:val="en-CA"/>
        </w:rPr>
        <w:t xml:space="preserve">“central role” in the pump and </w:t>
      </w:r>
      <w:r w:rsidR="00CB4C7F" w:rsidRPr="001A7F2A">
        <w:rPr>
          <w:lang w:val="en-CA"/>
        </w:rPr>
        <w:t xml:space="preserve">dump </w:t>
      </w:r>
      <w:r w:rsidR="007B718B" w:rsidRPr="001A7F2A">
        <w:rPr>
          <w:lang w:val="en-CA"/>
        </w:rPr>
        <w:t>scheme affecting the</w:t>
      </w:r>
      <w:r w:rsidRPr="001A7F2A">
        <w:rPr>
          <w:lang w:val="en-CA"/>
        </w:rPr>
        <w:t xml:space="preserve"> price of the</w:t>
      </w:r>
      <w:r w:rsidR="007B718B" w:rsidRPr="001A7F2A">
        <w:rPr>
          <w:lang w:val="en-CA"/>
        </w:rPr>
        <w:t xml:space="preserve"> respondent Solo’s share</w:t>
      </w:r>
      <w:r w:rsidRPr="001A7F2A">
        <w:rPr>
          <w:lang w:val="en-CA"/>
        </w:rPr>
        <w:t>s</w:t>
      </w:r>
      <w:r w:rsidR="007B718B" w:rsidRPr="001A7F2A">
        <w:rPr>
          <w:lang w:val="en-CA"/>
        </w:rPr>
        <w:t xml:space="preserve"> and that he is the signatory </w:t>
      </w:r>
      <w:r w:rsidRPr="001A7F2A">
        <w:rPr>
          <w:lang w:val="en-CA"/>
        </w:rPr>
        <w:t>for</w:t>
      </w:r>
      <w:r w:rsidR="007B718B" w:rsidRPr="001A7F2A">
        <w:rPr>
          <w:lang w:val="en-CA"/>
        </w:rPr>
        <w:t xml:space="preserve"> the bank accounts of several of the dummy corporations used to conceal his involvement in the scheme.</w:t>
      </w:r>
      <w:r w:rsidR="006D14F1" w:rsidRPr="001A7F2A">
        <w:rPr>
          <w:lang w:val="en-CA"/>
        </w:rPr>
        <w:t xml:space="preserve"> </w:t>
      </w:r>
    </w:p>
    <w:p w14:paraId="38FD1D58" w14:textId="007CBD12" w:rsidR="00B03E80" w:rsidRPr="001A7F2A" w:rsidRDefault="007B718B" w:rsidP="00B03E80">
      <w:pPr>
        <w:pStyle w:val="Style1"/>
        <w:rPr>
          <w:lang w:val="en-CA"/>
        </w:rPr>
      </w:pPr>
      <w:r w:rsidRPr="001A7F2A">
        <w:rPr>
          <w:lang w:val="en-CA"/>
        </w:rPr>
        <w:t>The Authority also alleges that</w:t>
      </w:r>
      <w:r w:rsidR="002947FF" w:rsidRPr="001A7F2A">
        <w:rPr>
          <w:lang w:val="en-CA"/>
        </w:rPr>
        <w:t xml:space="preserve">, in its promotion, </w:t>
      </w:r>
      <w:r w:rsidRPr="001A7F2A">
        <w:rPr>
          <w:lang w:val="en-CA"/>
        </w:rPr>
        <w:t>this scheme used</w:t>
      </w:r>
      <w:r w:rsidR="002947FF" w:rsidRPr="001A7F2A">
        <w:rPr>
          <w:lang w:val="en-CA"/>
        </w:rPr>
        <w:t xml:space="preserve"> </w:t>
      </w:r>
      <w:r w:rsidRPr="001A7F2A">
        <w:rPr>
          <w:lang w:val="en-CA"/>
        </w:rPr>
        <w:t>press releases issued publicly by the respondent Solo and publications on several websites accessible to Quebec residents.</w:t>
      </w:r>
    </w:p>
    <w:p w14:paraId="38FD1D5C" w14:textId="320C3D38" w:rsidR="00B03E80" w:rsidRPr="001A7F2A" w:rsidRDefault="007B718B" w:rsidP="00B03E80">
      <w:pPr>
        <w:pStyle w:val="Style1"/>
        <w:rPr>
          <w:lang w:val="en-CA"/>
        </w:rPr>
      </w:pPr>
      <w:r w:rsidRPr="001A7F2A">
        <w:rPr>
          <w:lang w:val="en-CA"/>
        </w:rPr>
        <w:t xml:space="preserve">According to the Authority, this scheme allowed the respondents to make illegal profits totalling over $2.6 million, at the expense of other investors who purchased shares of the respondent Solo, a reporting issuer subject to the </w:t>
      </w:r>
      <w:r w:rsidRPr="001A7F2A">
        <w:rPr>
          <w:i/>
          <w:lang w:val="en-CA"/>
        </w:rPr>
        <w:t>Securities Act</w:t>
      </w:r>
      <w:r w:rsidRPr="001A7F2A">
        <w:rPr>
          <w:lang w:val="en-CA"/>
        </w:rPr>
        <w:t>.</w:t>
      </w:r>
      <w:r w:rsidR="00934628" w:rsidRPr="001A7F2A">
        <w:rPr>
          <w:lang w:val="en-CA"/>
        </w:rPr>
        <w:t xml:space="preserve"> </w:t>
      </w:r>
    </w:p>
    <w:p w14:paraId="38FD1D5D" w14:textId="68B51152" w:rsidR="00041199" w:rsidRPr="001A7F2A" w:rsidRDefault="006838EC" w:rsidP="00D52B3F">
      <w:pPr>
        <w:pStyle w:val="Paragraphe"/>
        <w:numPr>
          <w:ilvl w:val="0"/>
          <w:numId w:val="1"/>
        </w:numPr>
        <w:rPr>
          <w:lang w:val="en-CA"/>
        </w:rPr>
      </w:pPr>
      <w:r w:rsidRPr="001A7F2A">
        <w:rPr>
          <w:lang w:val="en-CA"/>
        </w:rPr>
        <w:t xml:space="preserve">In the context of this interim application by the respondent Frederick Langford Sharp, the Tribunal must take as proved all the </w:t>
      </w:r>
      <w:r w:rsidR="002947FF" w:rsidRPr="001A7F2A">
        <w:rPr>
          <w:lang w:val="en-CA"/>
        </w:rPr>
        <w:t>allegations</w:t>
      </w:r>
      <w:r w:rsidRPr="001A7F2A">
        <w:rPr>
          <w:lang w:val="en-CA"/>
        </w:rPr>
        <w:t xml:space="preserve"> in the </w:t>
      </w:r>
      <w:r w:rsidR="002947FF" w:rsidRPr="001A7F2A">
        <w:rPr>
          <w:lang w:val="en-CA"/>
        </w:rPr>
        <w:t>Authority’s</w:t>
      </w:r>
      <w:r w:rsidRPr="001A7F2A">
        <w:rPr>
          <w:lang w:val="en-CA"/>
        </w:rPr>
        <w:t xml:space="preserve"> originating pleading.</w:t>
      </w:r>
      <w:r w:rsidR="00934628" w:rsidRPr="001A7F2A">
        <w:rPr>
          <w:lang w:val="en-CA"/>
        </w:rPr>
        <w:t xml:space="preserve"> </w:t>
      </w:r>
    </w:p>
    <w:p w14:paraId="466808CA" w14:textId="45BD4FD4" w:rsidR="00891F1F" w:rsidRPr="001A7F2A" w:rsidRDefault="006838EC" w:rsidP="00D52B3F">
      <w:pPr>
        <w:pStyle w:val="Paragraphe"/>
        <w:numPr>
          <w:ilvl w:val="0"/>
          <w:numId w:val="1"/>
        </w:numPr>
        <w:rPr>
          <w:rFonts w:cs="Arial"/>
          <w:lang w:val="en-CA" w:eastAsia="fr-CA"/>
        </w:rPr>
      </w:pPr>
      <w:r w:rsidRPr="001A7F2A">
        <w:rPr>
          <w:lang w:val="en-CA"/>
        </w:rPr>
        <w:t xml:space="preserve">The allegations against the respondents in the originating pleading </w:t>
      </w:r>
      <w:r w:rsidR="00E11986" w:rsidRPr="001A7F2A">
        <w:rPr>
          <w:lang w:val="en-CA"/>
        </w:rPr>
        <w:t xml:space="preserve">involve </w:t>
      </w:r>
      <w:r w:rsidRPr="001A7F2A">
        <w:rPr>
          <w:lang w:val="en-CA"/>
        </w:rPr>
        <w:t xml:space="preserve">serious breaches of the </w:t>
      </w:r>
      <w:r w:rsidRPr="001A7F2A">
        <w:rPr>
          <w:i/>
          <w:lang w:val="en-CA"/>
        </w:rPr>
        <w:t>Securities Act</w:t>
      </w:r>
      <w:r w:rsidRPr="001A7F2A">
        <w:rPr>
          <w:lang w:val="en-CA"/>
        </w:rPr>
        <w:t>.</w:t>
      </w:r>
      <w:r w:rsidR="00B707DC" w:rsidRPr="001A7F2A">
        <w:rPr>
          <w:lang w:val="en-CA"/>
        </w:rPr>
        <w:t xml:space="preserve"> </w:t>
      </w:r>
    </w:p>
    <w:p w14:paraId="126FCF30" w14:textId="0745CFC2" w:rsidR="007C62F3" w:rsidRPr="001A7F2A" w:rsidRDefault="006838EC" w:rsidP="00D52B3F">
      <w:pPr>
        <w:pStyle w:val="Paragraphe"/>
        <w:numPr>
          <w:ilvl w:val="0"/>
          <w:numId w:val="1"/>
        </w:numPr>
        <w:rPr>
          <w:rFonts w:cs="Arial"/>
          <w:lang w:val="en-CA" w:eastAsia="fr-CA"/>
        </w:rPr>
      </w:pPr>
      <w:r w:rsidRPr="001A7F2A">
        <w:rPr>
          <w:lang w:val="en-CA"/>
        </w:rPr>
        <w:t xml:space="preserve">The Tribunal points out that this application was presented by the market regulator duly mandated by the </w:t>
      </w:r>
      <w:r w:rsidR="002A6C49" w:rsidRPr="001A7F2A">
        <w:rPr>
          <w:lang w:val="en-CA"/>
        </w:rPr>
        <w:t>l</w:t>
      </w:r>
      <w:r w:rsidRPr="001A7F2A">
        <w:rPr>
          <w:lang w:val="en-CA"/>
        </w:rPr>
        <w:t>egislature to protect investors and the integrity of financial markets.</w:t>
      </w:r>
      <w:r w:rsidR="00D52B3F" w:rsidRPr="001A7F2A">
        <w:rPr>
          <w:lang w:val="en-CA"/>
        </w:rPr>
        <w:t xml:space="preserve"> </w:t>
      </w:r>
    </w:p>
    <w:p w14:paraId="2A1599C9" w14:textId="75908D28" w:rsidR="00C84A20" w:rsidRPr="001A7F2A" w:rsidRDefault="006838EC" w:rsidP="00D52B3F">
      <w:pPr>
        <w:pStyle w:val="Paragraphe"/>
        <w:numPr>
          <w:ilvl w:val="0"/>
          <w:numId w:val="1"/>
        </w:numPr>
        <w:rPr>
          <w:rFonts w:cs="Arial"/>
          <w:lang w:val="en-CA" w:eastAsia="fr-CA"/>
        </w:rPr>
      </w:pPr>
      <w:r w:rsidRPr="001A7F2A">
        <w:rPr>
          <w:lang w:val="en-CA"/>
        </w:rPr>
        <w:t>The Tribunal is of the view that it is clear the Authority</w:t>
      </w:r>
      <w:r w:rsidR="002A6C49" w:rsidRPr="001A7F2A">
        <w:rPr>
          <w:lang w:val="en-CA"/>
        </w:rPr>
        <w:t xml:space="preserve"> bears absolutely no</w:t>
      </w:r>
      <w:r w:rsidRPr="001A7F2A">
        <w:rPr>
          <w:lang w:val="en-CA"/>
        </w:rPr>
        <w:t xml:space="preserve"> responsib</w:t>
      </w:r>
      <w:r w:rsidR="002A6C49" w:rsidRPr="001A7F2A">
        <w:rPr>
          <w:lang w:val="en-CA"/>
        </w:rPr>
        <w:t>ility</w:t>
      </w:r>
      <w:r w:rsidRPr="001A7F2A">
        <w:rPr>
          <w:lang w:val="en-CA"/>
        </w:rPr>
        <w:t xml:space="preserve"> for the time that</w:t>
      </w:r>
      <w:r w:rsidR="002A6C49" w:rsidRPr="001A7F2A">
        <w:rPr>
          <w:lang w:val="en-CA"/>
        </w:rPr>
        <w:t xml:space="preserve"> has</w:t>
      </w:r>
      <w:r w:rsidRPr="001A7F2A">
        <w:rPr>
          <w:lang w:val="en-CA"/>
        </w:rPr>
        <w:t xml:space="preserve"> </w:t>
      </w:r>
      <w:r w:rsidR="002A6C49" w:rsidRPr="001A7F2A">
        <w:rPr>
          <w:lang w:val="en-CA"/>
        </w:rPr>
        <w:t>e</w:t>
      </w:r>
      <w:r w:rsidRPr="001A7F2A">
        <w:rPr>
          <w:lang w:val="en-CA"/>
        </w:rPr>
        <w:t xml:space="preserve">lapsed in this file since </w:t>
      </w:r>
      <w:r w:rsidR="002A6C49" w:rsidRPr="001A7F2A">
        <w:rPr>
          <w:lang w:val="en-CA"/>
        </w:rPr>
        <w:t>the Authority’s</w:t>
      </w:r>
      <w:r w:rsidRPr="001A7F2A">
        <w:rPr>
          <w:lang w:val="en-CA"/>
        </w:rPr>
        <w:t xml:space="preserve"> originating pleading was filed on April 20, 2017.</w:t>
      </w:r>
      <w:r w:rsidR="00934628" w:rsidRPr="001A7F2A">
        <w:rPr>
          <w:lang w:val="en-CA"/>
        </w:rPr>
        <w:t xml:space="preserve"> </w:t>
      </w:r>
      <w:r w:rsidRPr="001A7F2A">
        <w:rPr>
          <w:lang w:val="en-CA"/>
        </w:rPr>
        <w:t xml:space="preserve">What is more, the Tribunal is of the view that the respondent Frederick Langford Sharp has presented no probative evidence that he suffered a significant prejudice </w:t>
      </w:r>
      <w:r w:rsidR="002A6C49" w:rsidRPr="001A7F2A">
        <w:rPr>
          <w:lang w:val="en-CA"/>
        </w:rPr>
        <w:t>due to</w:t>
      </w:r>
      <w:r w:rsidRPr="001A7F2A">
        <w:rPr>
          <w:lang w:val="en-CA"/>
        </w:rPr>
        <w:t xml:space="preserve"> this </w:t>
      </w:r>
      <w:proofErr w:type="gramStart"/>
      <w:r w:rsidRPr="001A7F2A">
        <w:rPr>
          <w:lang w:val="en-CA"/>
        </w:rPr>
        <w:t>period of time</w:t>
      </w:r>
      <w:proofErr w:type="gramEnd"/>
      <w:r w:rsidRPr="001A7F2A">
        <w:rPr>
          <w:lang w:val="en-CA"/>
        </w:rPr>
        <w:t>.</w:t>
      </w:r>
    </w:p>
    <w:p w14:paraId="38FD1D62" w14:textId="6D018CED" w:rsidR="00D52B3F" w:rsidRPr="001A7F2A" w:rsidRDefault="006838EC" w:rsidP="00D52B3F">
      <w:pPr>
        <w:pStyle w:val="Paragraphe"/>
        <w:numPr>
          <w:ilvl w:val="0"/>
          <w:numId w:val="1"/>
        </w:numPr>
        <w:rPr>
          <w:rFonts w:cs="Arial"/>
          <w:lang w:val="en-CA" w:eastAsia="fr-CA"/>
        </w:rPr>
      </w:pPr>
      <w:r w:rsidRPr="001A7F2A">
        <w:rPr>
          <w:lang w:val="en-CA"/>
        </w:rPr>
        <w:t>Consequently, the Tribunal considers that it is in the public interest to hear on its merits the Authority’s originating pleading against all the respondents and</w:t>
      </w:r>
      <w:proofErr w:type="gramStart"/>
      <w:r w:rsidRPr="001A7F2A">
        <w:rPr>
          <w:lang w:val="en-CA"/>
        </w:rPr>
        <w:t>, in particular</w:t>
      </w:r>
      <w:r w:rsidR="00C5562B" w:rsidRPr="001A7F2A">
        <w:rPr>
          <w:lang w:val="en-CA"/>
        </w:rPr>
        <w:t>,</w:t>
      </w:r>
      <w:r w:rsidRPr="001A7F2A">
        <w:rPr>
          <w:lang w:val="en-CA"/>
        </w:rPr>
        <w:t xml:space="preserve"> against</w:t>
      </w:r>
      <w:proofErr w:type="gramEnd"/>
      <w:r w:rsidRPr="001A7F2A">
        <w:rPr>
          <w:lang w:val="en-CA"/>
        </w:rPr>
        <w:t xml:space="preserve"> the respondent Frederick Langford Sharp.</w:t>
      </w:r>
    </w:p>
    <w:p w14:paraId="38FD1D63" w14:textId="130934BD" w:rsidR="00D13A4B" w:rsidRPr="001A7F2A" w:rsidRDefault="00F575A6" w:rsidP="00D13A4B">
      <w:pPr>
        <w:pStyle w:val="Style1"/>
        <w:rPr>
          <w:lang w:val="en-CA"/>
        </w:rPr>
      </w:pPr>
      <w:r w:rsidRPr="001A7F2A">
        <w:rPr>
          <w:lang w:val="en-CA"/>
        </w:rPr>
        <w:t xml:space="preserve">Moreover, the Tribunal recalls that the Authority will have the burden, at the hearing, of supporting its allegations </w:t>
      </w:r>
      <w:r w:rsidR="00576822" w:rsidRPr="001A7F2A">
        <w:rPr>
          <w:lang w:val="en-CA"/>
        </w:rPr>
        <w:t>against</w:t>
      </w:r>
      <w:r w:rsidRPr="001A7F2A">
        <w:rPr>
          <w:lang w:val="en-CA"/>
        </w:rPr>
        <w:t xml:space="preserve"> each of the respondents with probative evidence on a balance of probabilities to convince the Tribunal to implement all the conclusions sought in its originating pleading in the public interest.</w:t>
      </w:r>
      <w:r w:rsidR="00934628" w:rsidRPr="001A7F2A">
        <w:rPr>
          <w:lang w:val="en-CA"/>
        </w:rPr>
        <w:t xml:space="preserve"> </w:t>
      </w:r>
    </w:p>
    <w:p w14:paraId="38FD1D64" w14:textId="4898FE81" w:rsidR="00D13A4B" w:rsidRPr="001A7F2A" w:rsidRDefault="00F575A6" w:rsidP="00E5406C">
      <w:pPr>
        <w:pStyle w:val="Style1"/>
        <w:rPr>
          <w:lang w:val="en-CA"/>
        </w:rPr>
      </w:pPr>
      <w:r w:rsidRPr="001A7F2A">
        <w:rPr>
          <w:lang w:val="en-CA"/>
        </w:rPr>
        <w:lastRenderedPageBreak/>
        <w:t xml:space="preserve">During that hearing, the respondents will have access to all the evidence </w:t>
      </w:r>
      <w:r w:rsidR="00576822" w:rsidRPr="001A7F2A">
        <w:rPr>
          <w:lang w:val="en-CA"/>
        </w:rPr>
        <w:t>available to</w:t>
      </w:r>
      <w:r w:rsidRPr="001A7F2A">
        <w:rPr>
          <w:lang w:val="en-CA"/>
        </w:rPr>
        <w:t xml:space="preserve"> the Tribunal to render its decision.</w:t>
      </w:r>
      <w:r w:rsidR="00934628" w:rsidRPr="001A7F2A">
        <w:rPr>
          <w:lang w:val="en-CA"/>
        </w:rPr>
        <w:t xml:space="preserve"> </w:t>
      </w:r>
      <w:r w:rsidRPr="001A7F2A">
        <w:rPr>
          <w:lang w:val="en-CA"/>
        </w:rPr>
        <w:t xml:space="preserve">Furthermore, all the respondents will then </w:t>
      </w:r>
      <w:proofErr w:type="gramStart"/>
      <w:r w:rsidR="00576822" w:rsidRPr="001A7F2A">
        <w:rPr>
          <w:lang w:val="en-CA"/>
        </w:rPr>
        <w:t>have</w:t>
      </w:r>
      <w:r w:rsidRPr="001A7F2A">
        <w:rPr>
          <w:lang w:val="en-CA"/>
        </w:rPr>
        <w:t xml:space="preserve"> the opportunity to</w:t>
      </w:r>
      <w:proofErr w:type="gramEnd"/>
      <w:r w:rsidRPr="001A7F2A">
        <w:rPr>
          <w:lang w:val="en-CA"/>
        </w:rPr>
        <w:t xml:space="preserve"> fully present their own documentary and testimonial evidence, cross-examine the Authority’s witnesses, and present a complete argument.</w:t>
      </w:r>
      <w:r w:rsidR="00934628" w:rsidRPr="001A7F2A">
        <w:rPr>
          <w:lang w:val="en-CA"/>
        </w:rPr>
        <w:t xml:space="preserve">       </w:t>
      </w:r>
    </w:p>
    <w:p w14:paraId="38FD1D65" w14:textId="7EB98B58" w:rsidR="005D0EE2" w:rsidRPr="001A7F2A" w:rsidRDefault="00F575A6" w:rsidP="001746B4">
      <w:pPr>
        <w:pStyle w:val="Paragraphe"/>
        <w:numPr>
          <w:ilvl w:val="0"/>
          <w:numId w:val="1"/>
        </w:numPr>
        <w:tabs>
          <w:tab w:val="clear" w:pos="360"/>
        </w:tabs>
        <w:spacing w:before="0" w:after="0"/>
        <w:rPr>
          <w:b/>
          <w:lang w:val="en-CA"/>
        </w:rPr>
      </w:pPr>
      <w:r w:rsidRPr="001A7F2A">
        <w:rPr>
          <w:lang w:val="en-CA"/>
        </w:rPr>
        <w:t xml:space="preserve">Accordingly, after having duly considered the interim application for a stay of proceedings brought by the respondent Frederick Langford Sharp and the </w:t>
      </w:r>
      <w:r w:rsidR="00576822" w:rsidRPr="001A7F2A">
        <w:rPr>
          <w:lang w:val="en-CA"/>
        </w:rPr>
        <w:t>arguments</w:t>
      </w:r>
      <w:r w:rsidRPr="001A7F2A">
        <w:rPr>
          <w:lang w:val="en-CA"/>
        </w:rPr>
        <w:t xml:space="preserve"> and case law presented by counsel for the parties, the Tribunal finds that it must, in the public interest, dismiss it.</w:t>
      </w:r>
      <w:r w:rsidR="00D52B3F" w:rsidRPr="001A7F2A">
        <w:rPr>
          <w:lang w:val="en-CA"/>
        </w:rPr>
        <w:t xml:space="preserve">   </w:t>
      </w:r>
    </w:p>
    <w:p w14:paraId="38FD1D66" w14:textId="77777777" w:rsidR="00573EC4" w:rsidRPr="001A7F2A" w:rsidRDefault="00573EC4" w:rsidP="00573EC4">
      <w:pPr>
        <w:pStyle w:val="Paragraphe"/>
        <w:tabs>
          <w:tab w:val="clear" w:pos="360"/>
        </w:tabs>
        <w:spacing w:before="0" w:after="0"/>
        <w:rPr>
          <w:b/>
          <w:lang w:val="en-CA"/>
        </w:rPr>
      </w:pPr>
    </w:p>
    <w:p w14:paraId="38FD1D67" w14:textId="1DC36B19" w:rsidR="00573EC4" w:rsidRPr="001A7F2A" w:rsidRDefault="00F575A6" w:rsidP="002F6D0D">
      <w:pPr>
        <w:pStyle w:val="Paragraphe"/>
        <w:tabs>
          <w:tab w:val="clear" w:pos="360"/>
        </w:tabs>
        <w:spacing w:before="0" w:after="0"/>
        <w:rPr>
          <w:lang w:val="en-CA"/>
        </w:rPr>
      </w:pPr>
      <w:r w:rsidRPr="001A7F2A">
        <w:rPr>
          <w:b/>
          <w:bCs/>
          <w:lang w:val="en-CA"/>
        </w:rPr>
        <w:t>FOR THESE REASONS</w:t>
      </w:r>
      <w:r w:rsidRPr="001A7F2A">
        <w:rPr>
          <w:lang w:val="en-CA"/>
        </w:rPr>
        <w:t xml:space="preserve">, the Financial Markets Administrative Tribunal, in the public interest and pursuant to </w:t>
      </w:r>
      <w:r w:rsidR="00576822" w:rsidRPr="001A7F2A">
        <w:rPr>
          <w:lang w:val="en-CA"/>
        </w:rPr>
        <w:t>sections</w:t>
      </w:r>
      <w:r w:rsidRPr="001A7F2A">
        <w:rPr>
          <w:lang w:val="en-CA"/>
        </w:rPr>
        <w:t xml:space="preserve"> 93 and 97 of the </w:t>
      </w:r>
      <w:r w:rsidRPr="001A7F2A">
        <w:rPr>
          <w:i/>
          <w:lang w:val="en-CA"/>
        </w:rPr>
        <w:t>Act respecting the regulation of the financial sector</w:t>
      </w:r>
      <w:r w:rsidRPr="001A7F2A">
        <w:rPr>
          <w:lang w:val="en-CA"/>
        </w:rPr>
        <w:t>:</w:t>
      </w:r>
      <w:r w:rsidRPr="00FD62C9">
        <w:rPr>
          <w:rStyle w:val="Appelnotedebasdep"/>
          <w:lang w:val="en-CA"/>
        </w:rPr>
        <w:footnoteReference w:id="25"/>
      </w:r>
      <w:r w:rsidRPr="001A7F2A">
        <w:rPr>
          <w:lang w:val="en-CA"/>
        </w:rPr>
        <w:t xml:space="preserve"> </w:t>
      </w:r>
    </w:p>
    <w:p w14:paraId="38FD1D68" w14:textId="77777777" w:rsidR="005963BB" w:rsidRPr="001A7F2A" w:rsidRDefault="005963BB" w:rsidP="002F6D0D">
      <w:pPr>
        <w:pStyle w:val="Paragraphe"/>
        <w:tabs>
          <w:tab w:val="clear" w:pos="360"/>
        </w:tabs>
        <w:spacing w:before="0" w:after="0"/>
        <w:rPr>
          <w:lang w:val="en-CA"/>
        </w:rPr>
      </w:pPr>
    </w:p>
    <w:p w14:paraId="38FD1D69" w14:textId="6E3397C7" w:rsidR="005963BB" w:rsidRPr="001A7F2A" w:rsidRDefault="00F575A6" w:rsidP="002F6D0D">
      <w:pPr>
        <w:pStyle w:val="Paragraphe"/>
        <w:tabs>
          <w:tab w:val="clear" w:pos="360"/>
        </w:tabs>
        <w:spacing w:before="0" w:after="0"/>
        <w:rPr>
          <w:lang w:val="en-CA"/>
        </w:rPr>
      </w:pPr>
      <w:r w:rsidRPr="001A7F2A">
        <w:rPr>
          <w:b/>
          <w:lang w:val="en-CA"/>
        </w:rPr>
        <w:t xml:space="preserve">DISMISSES </w:t>
      </w:r>
      <w:r w:rsidRPr="001A7F2A">
        <w:rPr>
          <w:bCs/>
          <w:lang w:val="en-CA"/>
        </w:rPr>
        <w:t>the interim application of the respondent Frederick Langford Sharp for a stay of the proceedings against him.</w:t>
      </w:r>
      <w:r w:rsidR="00934628" w:rsidRPr="001A7F2A">
        <w:rPr>
          <w:lang w:val="en-CA"/>
        </w:rPr>
        <w:t xml:space="preserve"> </w:t>
      </w:r>
    </w:p>
    <w:p w14:paraId="4605DBCF" w14:textId="77777777" w:rsidR="0033449E" w:rsidRPr="001A7F2A" w:rsidRDefault="0033449E" w:rsidP="00573EC4">
      <w:pPr>
        <w:pStyle w:val="Paragraphe"/>
        <w:tabs>
          <w:tab w:val="clear" w:pos="360"/>
        </w:tabs>
        <w:rPr>
          <w:lang w:val="en-CA"/>
        </w:rPr>
      </w:pPr>
    </w:p>
    <w:p w14:paraId="5B10E5A3" w14:textId="77777777" w:rsidR="00576822" w:rsidRPr="001A7F2A" w:rsidRDefault="00576822" w:rsidP="00573EC4">
      <w:pPr>
        <w:pStyle w:val="Paragraphe"/>
        <w:tabs>
          <w:tab w:val="clear" w:pos="360"/>
        </w:tabs>
        <w:rPr>
          <w:lang w:val="en-CA"/>
        </w:rPr>
      </w:pPr>
    </w:p>
    <w:p w14:paraId="558C7657" w14:textId="77777777" w:rsidR="00576822" w:rsidRPr="001A7F2A" w:rsidRDefault="00576822" w:rsidP="00573EC4">
      <w:pPr>
        <w:pStyle w:val="Paragraphe"/>
        <w:tabs>
          <w:tab w:val="clear" w:pos="360"/>
        </w:tabs>
        <w:rPr>
          <w:lang w:val="en-CA"/>
        </w:rPr>
      </w:pPr>
    </w:p>
    <w:p w14:paraId="37809757" w14:textId="77777777" w:rsidR="00576822" w:rsidRPr="001A7F2A" w:rsidRDefault="00576822" w:rsidP="00573EC4">
      <w:pPr>
        <w:pStyle w:val="Paragraphe"/>
        <w:tabs>
          <w:tab w:val="clear" w:pos="360"/>
        </w:tabs>
        <w:rPr>
          <w:lang w:val="en-CA"/>
        </w:rPr>
      </w:pPr>
    </w:p>
    <w:tbl>
      <w:tblPr>
        <w:tblW w:w="9568" w:type="dxa"/>
        <w:tblInd w:w="-70" w:type="dxa"/>
        <w:tblLayout w:type="fixed"/>
        <w:tblCellMar>
          <w:left w:w="0" w:type="dxa"/>
          <w:right w:w="0" w:type="dxa"/>
        </w:tblCellMar>
        <w:tblLook w:val="0000" w:firstRow="0" w:lastRow="0" w:firstColumn="0" w:lastColumn="0" w:noHBand="0" w:noVBand="0"/>
      </w:tblPr>
      <w:tblGrid>
        <w:gridCol w:w="6"/>
        <w:gridCol w:w="4826"/>
        <w:gridCol w:w="4729"/>
        <w:gridCol w:w="7"/>
      </w:tblGrid>
      <w:tr w:rsidR="00E30A3A" w:rsidRPr="001A7F2A" w14:paraId="38FD1D71" w14:textId="77777777" w:rsidTr="00B80D38">
        <w:trPr>
          <w:gridBefore w:val="1"/>
          <w:wBefore w:w="6" w:type="dxa"/>
          <w:cantSplit/>
        </w:trPr>
        <w:tc>
          <w:tcPr>
            <w:tcW w:w="4826" w:type="dxa"/>
          </w:tcPr>
          <w:p w14:paraId="38FD1D6D" w14:textId="77777777" w:rsidR="00573EC4" w:rsidRPr="001A7F2A" w:rsidRDefault="00573EC4" w:rsidP="00C87573">
            <w:pPr>
              <w:rPr>
                <w:lang w:val="en-CA"/>
              </w:rPr>
            </w:pPr>
          </w:p>
        </w:tc>
        <w:tc>
          <w:tcPr>
            <w:tcW w:w="4736" w:type="dxa"/>
            <w:gridSpan w:val="2"/>
          </w:tcPr>
          <w:p w14:paraId="38FD1D6E" w14:textId="1A5558C8" w:rsidR="00573EC4" w:rsidRPr="00915703" w:rsidRDefault="00F575A6" w:rsidP="00C87573">
            <w:pPr>
              <w:pStyle w:val="zSoquijdatSignature3Juge"/>
            </w:pPr>
            <w:r w:rsidRPr="00915703">
              <w:t>__________________________________</w:t>
            </w:r>
          </w:p>
          <w:p w14:paraId="38FD1D6F" w14:textId="272591BD" w:rsidR="00827FDF" w:rsidRPr="00915703" w:rsidRDefault="00F575A6" w:rsidP="00F8117D">
            <w:pPr>
              <w:pStyle w:val="zSoquijdatSignature3Juge"/>
              <w:jc w:val="center"/>
              <w:rPr>
                <w:b/>
              </w:rPr>
            </w:pPr>
            <w:r w:rsidRPr="00915703">
              <w:rPr>
                <w:b/>
              </w:rPr>
              <w:t>Mtre Jean-Pierre Cristel</w:t>
            </w:r>
          </w:p>
          <w:p w14:paraId="38FD1D70" w14:textId="3BE9C387" w:rsidR="00573EC4" w:rsidRPr="00915703" w:rsidRDefault="00F575A6" w:rsidP="00827FDF">
            <w:pPr>
              <w:pStyle w:val="zSoquijdatSignature3Juge"/>
              <w:jc w:val="center"/>
            </w:pPr>
            <w:r w:rsidRPr="00915703">
              <w:rPr>
                <w:b/>
              </w:rPr>
              <w:t>Administrative Judge</w:t>
            </w:r>
          </w:p>
        </w:tc>
      </w:tr>
      <w:tr w:rsidR="00E30A3A" w:rsidRPr="001A7F2A" w14:paraId="38FD1D74" w14:textId="77777777" w:rsidTr="00B80D38">
        <w:tblPrEx>
          <w:tblCellMar>
            <w:left w:w="70" w:type="dxa"/>
            <w:right w:w="70" w:type="dxa"/>
          </w:tblCellMar>
        </w:tblPrEx>
        <w:trPr>
          <w:gridAfter w:val="1"/>
          <w:wAfter w:w="7" w:type="dxa"/>
        </w:trPr>
        <w:tc>
          <w:tcPr>
            <w:tcW w:w="9561" w:type="dxa"/>
            <w:gridSpan w:val="3"/>
          </w:tcPr>
          <w:p w14:paraId="38FD1D73" w14:textId="77777777" w:rsidR="0013535E" w:rsidRPr="00915703" w:rsidRDefault="0013535E" w:rsidP="00B80D38">
            <w:pPr>
              <w:pStyle w:val="zSoquijlblProcureurDef"/>
            </w:pPr>
          </w:p>
        </w:tc>
      </w:tr>
    </w:tbl>
    <w:p w14:paraId="38FD1D75" w14:textId="5601E299" w:rsidR="0097602E" w:rsidRPr="00915703" w:rsidRDefault="0097602E"/>
    <w:p w14:paraId="76A078FB" w14:textId="77777777" w:rsidR="00576822" w:rsidRPr="00915703" w:rsidRDefault="00576822"/>
    <w:p w14:paraId="23A53140" w14:textId="77777777" w:rsidR="00576822" w:rsidRPr="00915703" w:rsidRDefault="00576822"/>
    <w:p w14:paraId="439C5B0B" w14:textId="77777777" w:rsidR="00576822" w:rsidRPr="00915703" w:rsidRDefault="00576822"/>
    <w:p w14:paraId="7E85AD33" w14:textId="77777777" w:rsidR="00576822" w:rsidRPr="00915703" w:rsidRDefault="00576822"/>
    <w:p w14:paraId="195E46C2" w14:textId="77777777" w:rsidR="00576822" w:rsidRPr="00915703" w:rsidRDefault="00576822"/>
    <w:p w14:paraId="6F345C6F" w14:textId="77777777" w:rsidR="00576822" w:rsidRPr="00915703" w:rsidRDefault="00576822"/>
    <w:p w14:paraId="755295B9" w14:textId="77777777" w:rsidR="00576822" w:rsidRPr="00915703" w:rsidRDefault="00576822"/>
    <w:tbl>
      <w:tblPr>
        <w:tblW w:w="9561" w:type="dxa"/>
        <w:tblInd w:w="-70" w:type="dxa"/>
        <w:tblLayout w:type="fixed"/>
        <w:tblCellMar>
          <w:left w:w="70" w:type="dxa"/>
          <w:right w:w="70" w:type="dxa"/>
        </w:tblCellMar>
        <w:tblLook w:val="0000" w:firstRow="0" w:lastRow="0" w:firstColumn="0" w:lastColumn="0" w:noHBand="0" w:noVBand="0"/>
      </w:tblPr>
      <w:tblGrid>
        <w:gridCol w:w="2067"/>
        <w:gridCol w:w="7494"/>
      </w:tblGrid>
      <w:tr w:rsidR="00E30A3A" w:rsidRPr="001A7F2A" w14:paraId="38FD1D7D" w14:textId="77777777" w:rsidTr="0097602E">
        <w:tc>
          <w:tcPr>
            <w:tcW w:w="9561" w:type="dxa"/>
            <w:gridSpan w:val="2"/>
          </w:tcPr>
          <w:p w14:paraId="38FD1D7C" w14:textId="2ED7B964" w:rsidR="00C21C5D" w:rsidRPr="00915703" w:rsidRDefault="00F575A6" w:rsidP="00B80D38">
            <w:pPr>
              <w:pStyle w:val="zSoquijlblProcureurDef"/>
            </w:pPr>
            <w:r w:rsidRPr="00915703">
              <w:t>Mtre Stéphanie Jolin and Mtre</w:t>
            </w:r>
            <w:r w:rsidRPr="00915703">
              <w:rPr>
                <w:vertAlign w:val="superscript"/>
              </w:rPr>
              <w:t xml:space="preserve"> </w:t>
            </w:r>
            <w:r w:rsidRPr="00915703">
              <w:t>Éric Blais</w:t>
            </w:r>
          </w:p>
        </w:tc>
      </w:tr>
      <w:tr w:rsidR="00E30A3A" w:rsidRPr="001A7F2A" w14:paraId="38FD1D7F" w14:textId="77777777" w:rsidTr="0097602E">
        <w:tc>
          <w:tcPr>
            <w:tcW w:w="9561" w:type="dxa"/>
            <w:gridSpan w:val="2"/>
          </w:tcPr>
          <w:p w14:paraId="38FD1D7E" w14:textId="2684D255" w:rsidR="00C21C5D" w:rsidRPr="00915703" w:rsidRDefault="00F575A6" w:rsidP="00C87573">
            <w:pPr>
              <w:pStyle w:val="zSoquijlblProcureurDef"/>
            </w:pPr>
            <w:r w:rsidRPr="00915703">
              <w:t>(</w:t>
            </w:r>
            <w:proofErr w:type="spellStart"/>
            <w:r w:rsidRPr="00915703">
              <w:t>Litigation</w:t>
            </w:r>
            <w:proofErr w:type="spellEnd"/>
            <w:r w:rsidRPr="00915703">
              <w:t xml:space="preserve"> Services, Autorité des marchés financiers)</w:t>
            </w:r>
          </w:p>
        </w:tc>
      </w:tr>
      <w:tr w:rsidR="00E30A3A" w:rsidRPr="001A7F2A" w14:paraId="38FD1D81" w14:textId="77777777" w:rsidTr="0097602E">
        <w:tc>
          <w:tcPr>
            <w:tcW w:w="9561" w:type="dxa"/>
            <w:gridSpan w:val="2"/>
          </w:tcPr>
          <w:p w14:paraId="38FD1D80" w14:textId="3711324C" w:rsidR="00C21C5D" w:rsidRPr="00915703" w:rsidRDefault="00F575A6" w:rsidP="00B80D38">
            <w:pPr>
              <w:pStyle w:val="zSoquijlblProcureurDef"/>
            </w:pPr>
            <w:proofErr w:type="spellStart"/>
            <w:r w:rsidRPr="00915703">
              <w:t>Counsel</w:t>
            </w:r>
            <w:proofErr w:type="spellEnd"/>
            <w:r w:rsidRPr="00915703">
              <w:t xml:space="preserve"> for the Autorité des marchés financiers</w:t>
            </w:r>
          </w:p>
        </w:tc>
      </w:tr>
      <w:tr w:rsidR="00E30A3A" w:rsidRPr="001A7F2A" w14:paraId="38FD1D83" w14:textId="77777777" w:rsidTr="0097602E">
        <w:tc>
          <w:tcPr>
            <w:tcW w:w="9561" w:type="dxa"/>
            <w:gridSpan w:val="2"/>
          </w:tcPr>
          <w:p w14:paraId="38FD1D82" w14:textId="77777777" w:rsidR="00C21C5D" w:rsidRPr="00915703" w:rsidRDefault="00C21C5D" w:rsidP="00C87573">
            <w:pPr>
              <w:pStyle w:val="zSoquijlblProcureurDef"/>
            </w:pPr>
          </w:p>
        </w:tc>
      </w:tr>
      <w:tr w:rsidR="00E30A3A" w:rsidRPr="00915703" w14:paraId="38FD1D87" w14:textId="77777777" w:rsidTr="0097602E">
        <w:trPr>
          <w:trHeight w:val="80"/>
        </w:trPr>
        <w:tc>
          <w:tcPr>
            <w:tcW w:w="9561" w:type="dxa"/>
            <w:gridSpan w:val="2"/>
          </w:tcPr>
          <w:p w14:paraId="17F093FD" w14:textId="11FB9A79" w:rsidR="00B5237B" w:rsidRPr="00FD62C9" w:rsidRDefault="00F575A6" w:rsidP="00B5237B">
            <w:pPr>
              <w:pStyle w:val="zSoquijlblProcureurDef"/>
              <w:rPr>
                <w:lang w:val="en-CA"/>
              </w:rPr>
            </w:pPr>
            <w:r w:rsidRPr="00FD62C9">
              <w:rPr>
                <w:lang w:val="en-CA"/>
              </w:rPr>
              <w:t>Mtre Alexandre Giroux</w:t>
            </w:r>
          </w:p>
          <w:p w14:paraId="38FD1D86" w14:textId="4D9745B8" w:rsidR="00C21C5D" w:rsidRPr="001A7F2A" w:rsidRDefault="00F575A6" w:rsidP="00B5237B">
            <w:pPr>
              <w:pStyle w:val="zSoquijlblProcureurDef"/>
              <w:rPr>
                <w:lang w:val="en-CA"/>
              </w:rPr>
            </w:pPr>
            <w:r w:rsidRPr="001A7F2A">
              <w:rPr>
                <w:lang w:val="en-CA"/>
              </w:rPr>
              <w:t>Counsel for Frederick Langford Sharp</w:t>
            </w:r>
          </w:p>
        </w:tc>
      </w:tr>
      <w:tr w:rsidR="00E30A3A" w:rsidRPr="00915703" w14:paraId="38FD1D89" w14:textId="77777777" w:rsidTr="0097602E">
        <w:trPr>
          <w:trHeight w:val="201"/>
        </w:trPr>
        <w:tc>
          <w:tcPr>
            <w:tcW w:w="9561" w:type="dxa"/>
            <w:gridSpan w:val="2"/>
          </w:tcPr>
          <w:p w14:paraId="38FD1D88" w14:textId="77777777" w:rsidR="00C21C5D" w:rsidRPr="001A7F2A" w:rsidRDefault="00C21C5D" w:rsidP="00C87573">
            <w:pPr>
              <w:pStyle w:val="zSoquijlblProcureurDef"/>
              <w:rPr>
                <w:lang w:val="en-CA"/>
              </w:rPr>
            </w:pPr>
          </w:p>
        </w:tc>
      </w:tr>
      <w:tr w:rsidR="00E30A3A" w:rsidRPr="001A7F2A" w14:paraId="38FD1D8D" w14:textId="77777777" w:rsidTr="0097602E">
        <w:tc>
          <w:tcPr>
            <w:tcW w:w="9561" w:type="dxa"/>
            <w:gridSpan w:val="2"/>
          </w:tcPr>
          <w:p w14:paraId="21F7DEE2" w14:textId="10E74DF8" w:rsidR="00B5237B" w:rsidRPr="001A7F2A" w:rsidRDefault="00F575A6" w:rsidP="00B5237B">
            <w:pPr>
              <w:spacing w:line="255" w:lineRule="atLeast"/>
              <w:rPr>
                <w:lang w:val="en-CA"/>
              </w:rPr>
            </w:pPr>
            <w:r w:rsidRPr="001A7F2A">
              <w:rPr>
                <w:lang w:val="en-CA"/>
              </w:rPr>
              <w:t>Mtre Fanny Albrecht</w:t>
            </w:r>
          </w:p>
          <w:p w14:paraId="38FD1D8B" w14:textId="609C2409" w:rsidR="00B80D38" w:rsidRPr="001A7F2A" w:rsidRDefault="00F575A6" w:rsidP="00D85891">
            <w:pPr>
              <w:pStyle w:val="zSoquijlblProcureurDef"/>
              <w:rPr>
                <w:lang w:val="en-CA"/>
              </w:rPr>
            </w:pPr>
            <w:r w:rsidRPr="001A7F2A">
              <w:rPr>
                <w:lang w:val="en-CA"/>
              </w:rPr>
              <w:lastRenderedPageBreak/>
              <w:t>(LCM avocats)</w:t>
            </w:r>
          </w:p>
          <w:p w14:paraId="38FD1D8C" w14:textId="71B0AC0D" w:rsidR="00B80D38" w:rsidRPr="00FD62C9" w:rsidRDefault="00F575A6" w:rsidP="00D85891">
            <w:pPr>
              <w:pStyle w:val="zSoquijlblProcureurDef"/>
              <w:rPr>
                <w:lang w:val="en-CA"/>
              </w:rPr>
            </w:pPr>
            <w:r w:rsidRPr="00FD62C9">
              <w:rPr>
                <w:lang w:val="en-CA"/>
              </w:rPr>
              <w:t>Counsel for Shawn Van Damme, Vincenzo Antonio Carnovale, and Pasquale Antonio Rocca</w:t>
            </w:r>
          </w:p>
        </w:tc>
      </w:tr>
      <w:tr w:rsidR="00E30A3A" w:rsidRPr="001A7F2A" w14:paraId="38FD1D8F" w14:textId="77777777" w:rsidTr="0097602E">
        <w:tc>
          <w:tcPr>
            <w:tcW w:w="9561" w:type="dxa"/>
            <w:gridSpan w:val="2"/>
          </w:tcPr>
          <w:p w14:paraId="38FD1D8E" w14:textId="77777777" w:rsidR="00C21C5D" w:rsidRPr="00FD62C9" w:rsidRDefault="00C21C5D" w:rsidP="00C87573">
            <w:pPr>
              <w:pStyle w:val="zSoquijlblProcureurDef"/>
              <w:rPr>
                <w:lang w:val="en-CA"/>
              </w:rPr>
            </w:pPr>
          </w:p>
        </w:tc>
      </w:tr>
      <w:tr w:rsidR="00E30A3A" w:rsidRPr="001A7F2A" w14:paraId="38FD1D92" w14:textId="77777777" w:rsidTr="0097602E">
        <w:tc>
          <w:tcPr>
            <w:tcW w:w="2067" w:type="dxa"/>
          </w:tcPr>
          <w:p w14:paraId="38FD1D90" w14:textId="2E402BA4" w:rsidR="00C21C5D" w:rsidRPr="00FD62C9" w:rsidRDefault="00F575A6" w:rsidP="00C87573">
            <w:pPr>
              <w:pStyle w:val="zSoquijlblDateAudience"/>
              <w:rPr>
                <w:lang w:val="en-CA"/>
              </w:rPr>
            </w:pPr>
            <w:r w:rsidRPr="00FD62C9">
              <w:rPr>
                <w:lang w:val="en-CA"/>
              </w:rPr>
              <w:t>Date of hearing:</w:t>
            </w:r>
          </w:p>
        </w:tc>
        <w:tc>
          <w:tcPr>
            <w:tcW w:w="7494" w:type="dxa"/>
          </w:tcPr>
          <w:p w14:paraId="38FD1D91" w14:textId="4A54DE6E" w:rsidR="00C21C5D" w:rsidRPr="00FD62C9" w:rsidRDefault="00F575A6" w:rsidP="00C87573">
            <w:pPr>
              <w:pStyle w:val="zSoquijdatDateAudience"/>
              <w:rPr>
                <w:lang w:val="en-CA"/>
              </w:rPr>
            </w:pPr>
            <w:r w:rsidRPr="00FD62C9">
              <w:rPr>
                <w:lang w:val="en-CA"/>
              </w:rPr>
              <w:t>November 29, 2024</w:t>
            </w:r>
          </w:p>
        </w:tc>
      </w:tr>
    </w:tbl>
    <w:p w14:paraId="38FD1D93" w14:textId="77777777" w:rsidR="00573EC4" w:rsidRPr="00FD62C9" w:rsidRDefault="00573EC4" w:rsidP="00573EC4">
      <w:pPr>
        <w:rPr>
          <w:lang w:val="en-CA"/>
        </w:rPr>
      </w:pPr>
    </w:p>
    <w:p w14:paraId="38FD1D94" w14:textId="77777777" w:rsidR="00070D64" w:rsidRPr="00FD62C9" w:rsidRDefault="00070D64" w:rsidP="00573EC4">
      <w:pPr>
        <w:rPr>
          <w:lang w:val="en-CA"/>
        </w:rPr>
      </w:pPr>
    </w:p>
    <w:sectPr w:rsidR="00070D64" w:rsidRPr="00FD62C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3CA3" w14:textId="77777777" w:rsidR="008320C1" w:rsidRDefault="008320C1">
      <w:r>
        <w:separator/>
      </w:r>
    </w:p>
  </w:endnote>
  <w:endnote w:type="continuationSeparator" w:id="0">
    <w:p w14:paraId="2A21BE4F" w14:textId="77777777" w:rsidR="008320C1" w:rsidRDefault="0083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1D9C" w14:textId="77777777" w:rsidR="00D85891" w:rsidRDefault="00934628">
    <w:pPr>
      <w:framePr w:wrap="around" w:vAnchor="text" w:hAnchor="margin" w:xAlign="right" w:y="1"/>
    </w:pPr>
    <w:r>
      <w:fldChar w:fldCharType="begin"/>
    </w:r>
    <w:r>
      <w:instrText xml:space="preserve">PAGE  </w:instrText>
    </w:r>
    <w:r>
      <w:fldChar w:fldCharType="separate"/>
    </w:r>
    <w:r w:rsidR="00447268">
      <w:rPr>
        <w:noProof/>
      </w:rPr>
      <w:t>4</w:t>
    </w:r>
    <w:r>
      <w:fldChar w:fldCharType="end"/>
    </w:r>
  </w:p>
  <w:p w14:paraId="38FD1D9D" w14:textId="77777777" w:rsidR="00D85891" w:rsidRDefault="00D8589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2297" w14:textId="77777777" w:rsidR="005C0E6F" w:rsidRDefault="005C0E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04D8" w14:textId="77777777" w:rsidR="005C0E6F" w:rsidRDefault="005C0E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22A9" w14:textId="77777777" w:rsidR="008320C1" w:rsidRDefault="008320C1">
      <w:r>
        <w:separator/>
      </w:r>
    </w:p>
  </w:footnote>
  <w:footnote w:type="continuationSeparator" w:id="0">
    <w:p w14:paraId="764A081A" w14:textId="77777777" w:rsidR="008320C1" w:rsidRDefault="008320C1">
      <w:r>
        <w:continuationSeparator/>
      </w:r>
    </w:p>
  </w:footnote>
  <w:footnote w:id="1">
    <w:p w14:paraId="0A8F9804" w14:textId="26DC99BD" w:rsidR="00102777" w:rsidRPr="00F575A6" w:rsidRDefault="00102777" w:rsidP="00102777">
      <w:pPr>
        <w:pStyle w:val="Notedebasdepage"/>
        <w:rPr>
          <w:lang w:val="en-CA"/>
        </w:rPr>
      </w:pPr>
      <w:r>
        <w:rPr>
          <w:rStyle w:val="Appelnotedebasdep"/>
        </w:rPr>
        <w:footnoteRef/>
      </w:r>
      <w:r w:rsidRPr="00F575A6">
        <w:rPr>
          <w:lang w:val="en-CA"/>
        </w:rPr>
        <w:t xml:space="preserve"> </w:t>
      </w:r>
      <w:r w:rsidRPr="00F575A6">
        <w:rPr>
          <w:lang w:val="en-CA"/>
        </w:rPr>
        <w:tab/>
      </w:r>
      <w:r w:rsidR="00F575A6" w:rsidRPr="00F575A6">
        <w:rPr>
          <w:lang w:val="en-CA"/>
        </w:rPr>
        <w:t>On May 10, 2024, the Authority amended its initial pleading and list of exhibits.</w:t>
      </w:r>
      <w:r w:rsidRPr="00F575A6">
        <w:rPr>
          <w:lang w:val="en-CA"/>
        </w:rPr>
        <w:t xml:space="preserve"> </w:t>
      </w:r>
    </w:p>
  </w:footnote>
  <w:footnote w:id="2">
    <w:p w14:paraId="49C44A12" w14:textId="4639670C" w:rsidR="00102777" w:rsidRDefault="00102777" w:rsidP="00102777">
      <w:pPr>
        <w:pStyle w:val="Notedebasdepage"/>
      </w:pPr>
      <w:r>
        <w:rPr>
          <w:rStyle w:val="Appelnotedebasdep"/>
        </w:rPr>
        <w:footnoteRef/>
      </w:r>
      <w:r>
        <w:t xml:space="preserve"> </w:t>
      </w:r>
      <w:r>
        <w:tab/>
      </w:r>
      <w:r w:rsidR="00F575A6" w:rsidRPr="0045618A">
        <w:t>CQLR, c. V-1.1 (“SA”).</w:t>
      </w:r>
    </w:p>
  </w:footnote>
  <w:footnote w:id="3">
    <w:p w14:paraId="7F52FC4D" w14:textId="468B3D4A" w:rsidR="00102777" w:rsidRDefault="00102777" w:rsidP="00102777">
      <w:pPr>
        <w:pStyle w:val="Notedebasdepage"/>
      </w:pPr>
      <w:r>
        <w:rPr>
          <w:rStyle w:val="Appelnotedebasdep"/>
        </w:rPr>
        <w:footnoteRef/>
      </w:r>
      <w:r>
        <w:t xml:space="preserve"> </w:t>
      </w:r>
      <w:r>
        <w:tab/>
      </w:r>
      <w:r w:rsidR="00F575A6" w:rsidRPr="0045618A">
        <w:rPr>
          <w:i/>
        </w:rPr>
        <w:t>Autorité des marchés financiers</w:t>
      </w:r>
      <w:r w:rsidR="00F575A6" w:rsidRPr="0045618A">
        <w:t xml:space="preserve"> </w:t>
      </w:r>
      <w:r w:rsidR="00F575A6" w:rsidRPr="0045618A">
        <w:rPr>
          <w:i/>
        </w:rPr>
        <w:t>c.</w:t>
      </w:r>
      <w:r w:rsidR="00F575A6" w:rsidRPr="0045618A">
        <w:t xml:space="preserve"> </w:t>
      </w:r>
      <w:r w:rsidR="00F575A6" w:rsidRPr="0045618A">
        <w:rPr>
          <w:i/>
        </w:rPr>
        <w:t>Plante</w:t>
      </w:r>
      <w:r w:rsidR="00F575A6" w:rsidRPr="0045618A">
        <w:t>, 2018 QCTMF 41.</w:t>
      </w:r>
    </w:p>
  </w:footnote>
  <w:footnote w:id="4">
    <w:p w14:paraId="27666FC7" w14:textId="53A1C006" w:rsidR="00102777" w:rsidRDefault="00102777" w:rsidP="00102777">
      <w:pPr>
        <w:pStyle w:val="Notedebasdepage"/>
      </w:pPr>
      <w:r>
        <w:rPr>
          <w:rStyle w:val="Appelnotedebasdep"/>
        </w:rPr>
        <w:footnoteRef/>
      </w:r>
      <w:r>
        <w:t xml:space="preserve"> </w:t>
      </w:r>
      <w:r>
        <w:tab/>
      </w:r>
      <w:r w:rsidR="00F575A6" w:rsidRPr="0045618A">
        <w:rPr>
          <w:i/>
        </w:rPr>
        <w:t>Autorité des marchés financiers</w:t>
      </w:r>
      <w:r w:rsidR="00F575A6" w:rsidRPr="0045618A">
        <w:t xml:space="preserve"> </w:t>
      </w:r>
      <w:r w:rsidR="00F575A6" w:rsidRPr="0045618A">
        <w:rPr>
          <w:i/>
        </w:rPr>
        <w:t>c.</w:t>
      </w:r>
      <w:r w:rsidR="00F575A6" w:rsidRPr="0045618A">
        <w:t xml:space="preserve"> </w:t>
      </w:r>
      <w:r w:rsidR="00F575A6" w:rsidRPr="0045618A">
        <w:rPr>
          <w:i/>
        </w:rPr>
        <w:t>Solo International inc.</w:t>
      </w:r>
      <w:r w:rsidR="00F575A6" w:rsidRPr="0045618A">
        <w:t>, 2017 QCTMF 114.</w:t>
      </w:r>
    </w:p>
  </w:footnote>
  <w:footnote w:id="5">
    <w:p w14:paraId="3E6BC59A" w14:textId="34DF6DE7" w:rsidR="00102777" w:rsidRDefault="00102777" w:rsidP="00102777">
      <w:pPr>
        <w:pStyle w:val="Notedebasdepage"/>
      </w:pPr>
      <w:r>
        <w:rPr>
          <w:rStyle w:val="Appelnotedebasdep"/>
        </w:rPr>
        <w:footnoteRef/>
      </w:r>
      <w:r>
        <w:t xml:space="preserve"> </w:t>
      </w:r>
      <w:r>
        <w:tab/>
      </w:r>
      <w:r w:rsidR="00F575A6" w:rsidRPr="00F575A6">
        <w:rPr>
          <w:i/>
          <w:iCs/>
        </w:rPr>
        <w:t>Langford Sharp c.</w:t>
      </w:r>
      <w:r w:rsidR="00F575A6" w:rsidRPr="00F575A6">
        <w:rPr>
          <w:iCs/>
        </w:rPr>
        <w:t xml:space="preserve"> </w:t>
      </w:r>
      <w:r w:rsidR="00F575A6" w:rsidRPr="00F575A6">
        <w:rPr>
          <w:i/>
          <w:iCs/>
        </w:rPr>
        <w:t>Financial Markets Administrative Tribunal</w:t>
      </w:r>
      <w:r w:rsidR="00F575A6" w:rsidRPr="00F575A6">
        <w:rPr>
          <w:iCs/>
        </w:rPr>
        <w:t>, 2019 QCCS 9.</w:t>
      </w:r>
      <w:r>
        <w:t xml:space="preserve"> </w:t>
      </w:r>
    </w:p>
  </w:footnote>
  <w:footnote w:id="6">
    <w:p w14:paraId="648A0D84" w14:textId="7A8B72D7" w:rsidR="00102777" w:rsidRDefault="00102777" w:rsidP="00102777">
      <w:pPr>
        <w:pStyle w:val="Notedebasdepage"/>
      </w:pPr>
      <w:r>
        <w:rPr>
          <w:rStyle w:val="Appelnotedebasdep"/>
        </w:rPr>
        <w:footnoteRef/>
      </w:r>
      <w:r>
        <w:t xml:space="preserve"> </w:t>
      </w:r>
      <w:r>
        <w:tab/>
      </w:r>
      <w:r w:rsidR="00F575A6" w:rsidRPr="0045618A">
        <w:rPr>
          <w:i/>
          <w:iCs/>
        </w:rPr>
        <w:t>Langford Sharp</w:t>
      </w:r>
      <w:r w:rsidR="00F575A6" w:rsidRPr="0045618A">
        <w:rPr>
          <w:iCs/>
        </w:rPr>
        <w:t xml:space="preserve"> </w:t>
      </w:r>
      <w:r w:rsidR="00F575A6" w:rsidRPr="0045618A">
        <w:rPr>
          <w:i/>
          <w:iCs/>
        </w:rPr>
        <w:t>c.</w:t>
      </w:r>
      <w:r w:rsidR="00F575A6" w:rsidRPr="0045618A">
        <w:rPr>
          <w:iCs/>
        </w:rPr>
        <w:t xml:space="preserve"> </w:t>
      </w:r>
      <w:r w:rsidR="00F575A6" w:rsidRPr="0045618A">
        <w:rPr>
          <w:i/>
          <w:iCs/>
        </w:rPr>
        <w:t>Autorité des marchés financiers</w:t>
      </w:r>
      <w:r w:rsidR="00F575A6" w:rsidRPr="0045618A">
        <w:rPr>
          <w:iCs/>
        </w:rPr>
        <w:t>, 2019 QCCA 449.</w:t>
      </w:r>
    </w:p>
  </w:footnote>
  <w:footnote w:id="7">
    <w:p w14:paraId="14A72255" w14:textId="1898233C" w:rsidR="00102777" w:rsidRDefault="00102777" w:rsidP="00102777">
      <w:pPr>
        <w:pStyle w:val="Notedebasdepage"/>
      </w:pPr>
      <w:r>
        <w:rPr>
          <w:rStyle w:val="Appelnotedebasdep"/>
        </w:rPr>
        <w:footnoteRef/>
      </w:r>
      <w:r>
        <w:t xml:space="preserve"> </w:t>
      </w:r>
      <w:r>
        <w:tab/>
      </w:r>
      <w:r w:rsidR="00F575A6" w:rsidRPr="0045618A">
        <w:rPr>
          <w:i/>
          <w:iCs/>
        </w:rPr>
        <w:t>Autorité des marchés financiers c.</w:t>
      </w:r>
      <w:r w:rsidR="00F575A6" w:rsidRPr="0045618A">
        <w:rPr>
          <w:iCs/>
        </w:rPr>
        <w:t xml:space="preserve"> </w:t>
      </w:r>
      <w:r w:rsidR="00F575A6" w:rsidRPr="0045618A">
        <w:rPr>
          <w:i/>
          <w:iCs/>
        </w:rPr>
        <w:t>Plante</w:t>
      </w:r>
      <w:r w:rsidR="00F575A6" w:rsidRPr="0045618A">
        <w:rPr>
          <w:iCs/>
        </w:rPr>
        <w:t>, 2019 QCTMF 50.</w:t>
      </w:r>
      <w:r>
        <w:t xml:space="preserve"> </w:t>
      </w:r>
    </w:p>
  </w:footnote>
  <w:footnote w:id="8">
    <w:p w14:paraId="0E26BD67" w14:textId="188B1CA5" w:rsidR="00102777" w:rsidRDefault="00102777" w:rsidP="00102777">
      <w:pPr>
        <w:pStyle w:val="Notedebasdepage"/>
      </w:pPr>
      <w:r>
        <w:rPr>
          <w:rStyle w:val="Appelnotedebasdep"/>
        </w:rPr>
        <w:footnoteRef/>
      </w:r>
      <w:r>
        <w:t xml:space="preserve"> </w:t>
      </w:r>
      <w:r>
        <w:tab/>
      </w:r>
      <w:r w:rsidR="00F575A6" w:rsidRPr="0045618A">
        <w:rPr>
          <w:i/>
          <w:iCs/>
        </w:rPr>
        <w:t>Langford Sharp</w:t>
      </w:r>
      <w:r w:rsidR="00F575A6" w:rsidRPr="0045618A">
        <w:rPr>
          <w:iCs/>
        </w:rPr>
        <w:t xml:space="preserve"> </w:t>
      </w:r>
      <w:r w:rsidR="00F575A6" w:rsidRPr="0045618A">
        <w:rPr>
          <w:i/>
          <w:iCs/>
        </w:rPr>
        <w:t>c.</w:t>
      </w:r>
      <w:r w:rsidR="00F575A6" w:rsidRPr="0045618A">
        <w:rPr>
          <w:iCs/>
        </w:rPr>
        <w:t xml:space="preserve"> </w:t>
      </w:r>
      <w:r w:rsidR="00F575A6" w:rsidRPr="0045618A">
        <w:rPr>
          <w:i/>
          <w:iCs/>
        </w:rPr>
        <w:t>Autorité des marchés financiers</w:t>
      </w:r>
      <w:r w:rsidR="00F575A6" w:rsidRPr="0045618A">
        <w:rPr>
          <w:iCs/>
        </w:rPr>
        <w:t>, 2021 QCCA 1364.</w:t>
      </w:r>
    </w:p>
  </w:footnote>
  <w:footnote w:id="9">
    <w:p w14:paraId="1211EF70" w14:textId="48AE0AB1" w:rsidR="00102777" w:rsidRPr="00F575A6" w:rsidRDefault="00102777" w:rsidP="00102777">
      <w:pPr>
        <w:pStyle w:val="Notedebasdepage"/>
      </w:pPr>
      <w:r>
        <w:rPr>
          <w:rStyle w:val="Appelnotedebasdep"/>
        </w:rPr>
        <w:footnoteRef/>
      </w:r>
      <w:r w:rsidRPr="00F575A6">
        <w:t xml:space="preserve"> </w:t>
      </w:r>
      <w:r w:rsidRPr="00F575A6">
        <w:tab/>
      </w:r>
      <w:r w:rsidR="00F575A6" w:rsidRPr="00F575A6">
        <w:rPr>
          <w:i/>
          <w:iCs/>
        </w:rPr>
        <w:t>Frederick Langford Sharp, et al.</w:t>
      </w:r>
      <w:r w:rsidR="00F575A6" w:rsidRPr="00F575A6">
        <w:rPr>
          <w:iCs/>
        </w:rPr>
        <w:t xml:space="preserve"> </w:t>
      </w:r>
      <w:r w:rsidR="00F575A6" w:rsidRPr="00F575A6">
        <w:rPr>
          <w:i/>
          <w:iCs/>
        </w:rPr>
        <w:t>v.</w:t>
      </w:r>
      <w:r w:rsidR="00F575A6" w:rsidRPr="00F575A6">
        <w:rPr>
          <w:iCs/>
        </w:rPr>
        <w:t xml:space="preserve"> </w:t>
      </w:r>
      <w:r w:rsidR="00F575A6" w:rsidRPr="00F575A6">
        <w:rPr>
          <w:i/>
          <w:iCs/>
        </w:rPr>
        <w:t>Autorité des Marchés Financiers, et al</w:t>
      </w:r>
      <w:r w:rsidR="00F575A6" w:rsidRPr="00F575A6">
        <w:rPr>
          <w:iCs/>
        </w:rPr>
        <w:t>., 2022 CanLII 32916 (SCC).</w:t>
      </w:r>
    </w:p>
  </w:footnote>
  <w:footnote w:id="10">
    <w:p w14:paraId="3D2BE27A" w14:textId="6EC88819" w:rsidR="006A3519" w:rsidRDefault="006A3519" w:rsidP="006A3519">
      <w:pPr>
        <w:pStyle w:val="Notedebasdepage"/>
      </w:pPr>
      <w:r>
        <w:rPr>
          <w:rStyle w:val="Appelnotedebasdep"/>
        </w:rPr>
        <w:footnoteRef/>
      </w:r>
      <w:r>
        <w:t xml:space="preserve"> </w:t>
      </w:r>
      <w:r>
        <w:tab/>
      </w:r>
      <w:r w:rsidR="00F575A6" w:rsidRPr="0045618A">
        <w:rPr>
          <w:i/>
          <w:iCs/>
        </w:rPr>
        <w:t>Langford Sharp c. Autorité des marchés financiers</w:t>
      </w:r>
      <w:r w:rsidR="00F575A6" w:rsidRPr="0045618A">
        <w:rPr>
          <w:iCs/>
        </w:rPr>
        <w:t>, 2022 QCCA 152.</w:t>
      </w:r>
      <w:r>
        <w:t xml:space="preserve"> </w:t>
      </w:r>
    </w:p>
  </w:footnote>
  <w:footnote w:id="11">
    <w:p w14:paraId="4751C264" w14:textId="5E7E19C7" w:rsidR="006A3519" w:rsidRDefault="006A3519" w:rsidP="006A3519">
      <w:pPr>
        <w:pStyle w:val="Notedebasdepage"/>
      </w:pPr>
      <w:r>
        <w:rPr>
          <w:rStyle w:val="Appelnotedebasdep"/>
        </w:rPr>
        <w:footnoteRef/>
      </w:r>
      <w:r>
        <w:t xml:space="preserve"> </w:t>
      </w:r>
      <w:r w:rsidRPr="006974A9">
        <w:rPr>
          <w:i/>
          <w:iCs/>
        </w:rPr>
        <w:tab/>
      </w:r>
      <w:r w:rsidR="00F575A6" w:rsidRPr="0045618A">
        <w:rPr>
          <w:i/>
          <w:iCs/>
        </w:rPr>
        <w:t>Sharp v. Autorité des marchés financiers</w:t>
      </w:r>
      <w:r w:rsidR="00F575A6" w:rsidRPr="0045618A">
        <w:rPr>
          <w:iCs/>
        </w:rPr>
        <w:t>, 2023 SCC 29.</w:t>
      </w:r>
      <w:r>
        <w:t xml:space="preserve"> </w:t>
      </w:r>
    </w:p>
  </w:footnote>
  <w:footnote w:id="12">
    <w:p w14:paraId="7A0E9F83" w14:textId="739244FB" w:rsidR="00385272" w:rsidRPr="006974A9" w:rsidRDefault="00385272" w:rsidP="00385272">
      <w:pPr>
        <w:pStyle w:val="Notedebasdepage"/>
        <w:ind w:left="284" w:hanging="284"/>
      </w:pPr>
      <w:r>
        <w:rPr>
          <w:rStyle w:val="Appelnotedebasdep"/>
        </w:rPr>
        <w:footnoteRef/>
      </w:r>
      <w:r>
        <w:t xml:space="preserve"> </w:t>
      </w:r>
      <w:r>
        <w:tab/>
      </w:r>
      <w:r w:rsidR="00F575A6" w:rsidRPr="0045618A">
        <w:t>CQLR, c. V-1.1.</w:t>
      </w:r>
      <w:r>
        <w:t xml:space="preserve"> </w:t>
      </w:r>
      <w:r w:rsidR="00F575A6" w:rsidRPr="0045618A">
        <w:t>(</w:t>
      </w:r>
      <w:r w:rsidR="00DB5FC0" w:rsidRPr="0031692E">
        <w:t>“</w:t>
      </w:r>
      <w:r w:rsidR="00F575A6" w:rsidRPr="00DB5FC0">
        <w:rPr>
          <w:i/>
          <w:iCs/>
        </w:rPr>
        <w:t>S.A.</w:t>
      </w:r>
      <w:r w:rsidR="00F575A6" w:rsidRPr="00DB5FC0">
        <w:t>”).</w:t>
      </w:r>
    </w:p>
  </w:footnote>
  <w:footnote w:id="13">
    <w:p w14:paraId="2FB0FF42" w14:textId="44663496" w:rsidR="004E3A4F" w:rsidRPr="006974A9" w:rsidRDefault="00934628" w:rsidP="004E3A4F">
      <w:pPr>
        <w:pStyle w:val="Notedebasdepage"/>
        <w:ind w:left="284" w:hanging="284"/>
      </w:pPr>
      <w:r w:rsidRPr="00F52DB5">
        <w:rPr>
          <w:rStyle w:val="Appelnotedebasdep"/>
        </w:rPr>
        <w:footnoteRef/>
      </w:r>
      <w:r w:rsidRPr="00F52DB5">
        <w:t xml:space="preserve"> </w:t>
      </w:r>
      <w:r w:rsidRPr="00F52DB5">
        <w:tab/>
      </w:r>
      <w:r w:rsidR="00F575A6" w:rsidRPr="0045618A">
        <w:rPr>
          <w:i/>
        </w:rPr>
        <w:t>Autorité des marchés financiers</w:t>
      </w:r>
      <w:r w:rsidR="00F575A6" w:rsidRPr="0045618A">
        <w:t xml:space="preserve"> </w:t>
      </w:r>
      <w:r w:rsidR="00F575A6" w:rsidRPr="0045618A">
        <w:rPr>
          <w:i/>
        </w:rPr>
        <w:t>c.</w:t>
      </w:r>
      <w:r w:rsidR="00F575A6" w:rsidRPr="0045618A">
        <w:t xml:space="preserve"> </w:t>
      </w:r>
      <w:r w:rsidR="00F575A6" w:rsidRPr="0045618A">
        <w:rPr>
          <w:i/>
        </w:rPr>
        <w:t>Solo International inc.</w:t>
      </w:r>
      <w:r w:rsidR="00F575A6" w:rsidRPr="0045618A">
        <w:t>, 2017 QCTMF 114.</w:t>
      </w:r>
    </w:p>
  </w:footnote>
  <w:footnote w:id="14">
    <w:p w14:paraId="113531E7" w14:textId="2A367630" w:rsidR="0028173E" w:rsidRPr="0045618A" w:rsidRDefault="0028173E" w:rsidP="0028173E">
      <w:pPr>
        <w:pStyle w:val="Notedebasdepage"/>
        <w:ind w:left="284" w:hanging="284"/>
      </w:pPr>
      <w:r>
        <w:rPr>
          <w:rStyle w:val="Appelnotedebasdep"/>
        </w:rPr>
        <w:footnoteRef/>
      </w:r>
      <w:r w:rsidRPr="006974A9">
        <w:t xml:space="preserve"> </w:t>
      </w:r>
      <w:r w:rsidRPr="006974A9">
        <w:tab/>
      </w:r>
      <w:r w:rsidR="00F575A6" w:rsidRPr="0045618A">
        <w:rPr>
          <w:i/>
        </w:rPr>
        <w:t>Autorité des marchés financiers</w:t>
      </w:r>
      <w:r w:rsidR="00F575A6" w:rsidRPr="0045618A">
        <w:t xml:space="preserve"> </w:t>
      </w:r>
      <w:r w:rsidR="00F575A6" w:rsidRPr="0045618A">
        <w:rPr>
          <w:i/>
        </w:rPr>
        <w:t>c.</w:t>
      </w:r>
      <w:r w:rsidR="00F575A6" w:rsidRPr="0045618A">
        <w:t xml:space="preserve"> </w:t>
      </w:r>
      <w:r w:rsidR="00F575A6" w:rsidRPr="0045618A">
        <w:rPr>
          <w:i/>
        </w:rPr>
        <w:t>Plante</w:t>
      </w:r>
      <w:r w:rsidR="00F575A6" w:rsidRPr="0045618A">
        <w:t>, 2018 QCTMF 41.</w:t>
      </w:r>
      <w:r w:rsidRPr="0045618A">
        <w:t xml:space="preserve"> </w:t>
      </w:r>
    </w:p>
  </w:footnote>
  <w:footnote w:id="15">
    <w:p w14:paraId="1FFF19DA" w14:textId="7BBD3921" w:rsidR="0028173E" w:rsidRPr="006974A9" w:rsidRDefault="0028173E" w:rsidP="0028173E">
      <w:pPr>
        <w:pStyle w:val="Notedebasdepage"/>
        <w:ind w:left="284" w:hanging="284"/>
      </w:pPr>
      <w:r>
        <w:rPr>
          <w:rStyle w:val="Appelnotedebasdep"/>
        </w:rPr>
        <w:footnoteRef/>
      </w:r>
      <w:r w:rsidRPr="006974A9">
        <w:t xml:space="preserve"> </w:t>
      </w:r>
      <w:r w:rsidRPr="006974A9">
        <w:tab/>
      </w:r>
      <w:r w:rsidR="00F575A6" w:rsidRPr="0045618A">
        <w:t xml:space="preserve">Section 211 </w:t>
      </w:r>
      <w:r w:rsidR="00F575A6" w:rsidRPr="0031692E">
        <w:rPr>
          <w:i/>
          <w:iCs/>
        </w:rPr>
        <w:t>S.A.</w:t>
      </w:r>
    </w:p>
  </w:footnote>
  <w:footnote w:id="16">
    <w:p w14:paraId="116D38C6" w14:textId="3EECD197" w:rsidR="00394593" w:rsidRPr="006974A9" w:rsidRDefault="00394593" w:rsidP="00394593">
      <w:pPr>
        <w:pStyle w:val="Notedebasdepage"/>
        <w:ind w:left="284" w:hanging="284"/>
      </w:pPr>
      <w:r>
        <w:rPr>
          <w:rStyle w:val="Appelnotedebasdep"/>
        </w:rPr>
        <w:footnoteRef/>
      </w:r>
      <w:r>
        <w:t xml:space="preserve"> </w:t>
      </w:r>
      <w:r>
        <w:tab/>
      </w:r>
      <w:r w:rsidR="00F575A6" w:rsidRPr="00F575A6">
        <w:t xml:space="preserve">See paragraphs 75 and 76 of </w:t>
      </w:r>
      <w:r w:rsidR="00F575A6" w:rsidRPr="00F575A6">
        <w:rPr>
          <w:i/>
        </w:rPr>
        <w:t>Autorité des marchés financiers</w:t>
      </w:r>
      <w:r w:rsidR="00F575A6" w:rsidRPr="00F575A6">
        <w:t xml:space="preserve"> c. </w:t>
      </w:r>
      <w:r w:rsidR="00F575A6" w:rsidRPr="00F575A6">
        <w:rPr>
          <w:i/>
        </w:rPr>
        <w:t>Solo International inc.</w:t>
      </w:r>
      <w:r w:rsidR="00F575A6" w:rsidRPr="00F575A6">
        <w:t>, 2017 QCTMF 114: Craigstone Ltd., Ventura Capital SA, Tandem Growth LLC / Terra Euity LLC, Peaceful Lion Hordings Ltd., Morris Capital Inc., Futuna Ltd and Anatom Associates SA.</w:t>
      </w:r>
    </w:p>
  </w:footnote>
  <w:footnote w:id="17">
    <w:p w14:paraId="324C9E89" w14:textId="24165AEB" w:rsidR="005776F7" w:rsidRPr="00F575A6" w:rsidRDefault="005776F7" w:rsidP="005776F7">
      <w:pPr>
        <w:pStyle w:val="Notedebasdepage"/>
        <w:ind w:left="284" w:hanging="284"/>
        <w:rPr>
          <w:lang w:val="en-CA"/>
        </w:rPr>
      </w:pPr>
      <w:r>
        <w:rPr>
          <w:rStyle w:val="Appelnotedebasdep"/>
        </w:rPr>
        <w:footnoteRef/>
      </w:r>
      <w:r w:rsidRPr="00F575A6">
        <w:rPr>
          <w:lang w:val="en-CA"/>
        </w:rPr>
        <w:t xml:space="preserve"> </w:t>
      </w:r>
      <w:r w:rsidRPr="00F575A6">
        <w:rPr>
          <w:lang w:val="en-CA"/>
        </w:rPr>
        <w:tab/>
      </w:r>
      <w:r w:rsidR="00F575A6" w:rsidRPr="0045618A">
        <w:rPr>
          <w:i/>
          <w:lang w:val="en-CA"/>
        </w:rPr>
        <w:t>Blencoe v. British Columbia (Human Rights Commission)</w:t>
      </w:r>
      <w:r w:rsidR="00F575A6" w:rsidRPr="0045618A">
        <w:rPr>
          <w:lang w:val="en-CA"/>
        </w:rPr>
        <w:t>, [2000] 2 S.C.R.</w:t>
      </w:r>
      <w:r w:rsidRPr="00F575A6">
        <w:rPr>
          <w:lang w:val="en-CA"/>
        </w:rPr>
        <w:t xml:space="preserve"> </w:t>
      </w:r>
      <w:r w:rsidR="00F575A6" w:rsidRPr="0045618A">
        <w:rPr>
          <w:lang w:val="en-CA"/>
        </w:rPr>
        <w:t>307, 2000 SCC 44.</w:t>
      </w:r>
    </w:p>
  </w:footnote>
  <w:footnote w:id="18">
    <w:p w14:paraId="435F25BA" w14:textId="7B2E75F9" w:rsidR="005776F7" w:rsidRPr="00F575A6" w:rsidRDefault="005776F7" w:rsidP="005776F7">
      <w:pPr>
        <w:pStyle w:val="Notedebasdepage"/>
        <w:ind w:left="284" w:hanging="284"/>
        <w:rPr>
          <w:lang w:val="en-CA"/>
        </w:rPr>
      </w:pPr>
      <w:r>
        <w:rPr>
          <w:rStyle w:val="Appelnotedebasdep"/>
        </w:rPr>
        <w:footnoteRef/>
      </w:r>
      <w:r w:rsidRPr="00F575A6">
        <w:rPr>
          <w:lang w:val="en-CA"/>
        </w:rPr>
        <w:t xml:space="preserve"> </w:t>
      </w:r>
      <w:r w:rsidRPr="00F575A6">
        <w:rPr>
          <w:lang w:val="en-CA"/>
        </w:rPr>
        <w:tab/>
      </w:r>
      <w:r w:rsidR="00F575A6" w:rsidRPr="0045618A">
        <w:rPr>
          <w:i/>
          <w:lang w:val="en-CA"/>
        </w:rPr>
        <w:t>Blencoe v. British Columbia (Human Rights Commission)</w:t>
      </w:r>
      <w:r w:rsidR="00F575A6" w:rsidRPr="0045618A">
        <w:rPr>
          <w:lang w:val="en-CA"/>
        </w:rPr>
        <w:t>, [2000] 2 S.C.R.</w:t>
      </w:r>
      <w:r w:rsidRPr="00F575A6">
        <w:rPr>
          <w:lang w:val="en-CA"/>
        </w:rPr>
        <w:t xml:space="preserve"> </w:t>
      </w:r>
      <w:r w:rsidR="00F575A6" w:rsidRPr="0045618A">
        <w:rPr>
          <w:lang w:val="en-CA"/>
        </w:rPr>
        <w:t>307, 2000 SCC 44 at para.</w:t>
      </w:r>
      <w:r w:rsidRPr="00F575A6">
        <w:rPr>
          <w:lang w:val="en-CA"/>
        </w:rPr>
        <w:t xml:space="preserve"> </w:t>
      </w:r>
      <w:r w:rsidR="00F575A6">
        <w:rPr>
          <w:lang w:val="en-CA"/>
        </w:rPr>
        <w:t>101.</w:t>
      </w:r>
    </w:p>
  </w:footnote>
  <w:footnote w:id="19">
    <w:p w14:paraId="514E8AA1" w14:textId="445304B1" w:rsidR="005776F7" w:rsidRPr="00F575A6" w:rsidRDefault="005776F7" w:rsidP="005776F7">
      <w:pPr>
        <w:pStyle w:val="Notedebasdepage"/>
        <w:ind w:left="284" w:hanging="284"/>
        <w:rPr>
          <w:iCs/>
          <w:lang w:val="en-CA"/>
        </w:rPr>
      </w:pPr>
      <w:r>
        <w:rPr>
          <w:rStyle w:val="Appelnotedebasdep"/>
        </w:rPr>
        <w:footnoteRef/>
      </w:r>
      <w:r w:rsidRPr="00F575A6">
        <w:rPr>
          <w:lang w:val="en-CA"/>
        </w:rPr>
        <w:t xml:space="preserve"> </w:t>
      </w:r>
      <w:r w:rsidRPr="00F575A6">
        <w:rPr>
          <w:lang w:val="en-CA"/>
        </w:rPr>
        <w:tab/>
        <w:t xml:space="preserve"> </w:t>
      </w:r>
      <w:r w:rsidR="00F575A6" w:rsidRPr="0045618A">
        <w:rPr>
          <w:i/>
          <w:lang w:val="en-CA"/>
        </w:rPr>
        <w:t>Blencoe v. British Columbia (Human Rights Commission)</w:t>
      </w:r>
      <w:r w:rsidR="00F575A6" w:rsidRPr="0045618A">
        <w:rPr>
          <w:lang w:val="en-CA"/>
        </w:rPr>
        <w:t>, [2000] 2 S.C.R.</w:t>
      </w:r>
      <w:r w:rsidRPr="00F575A6">
        <w:rPr>
          <w:iCs/>
          <w:lang w:val="en-CA"/>
        </w:rPr>
        <w:t xml:space="preserve"> </w:t>
      </w:r>
      <w:r w:rsidR="00F575A6" w:rsidRPr="0045618A">
        <w:rPr>
          <w:iCs/>
          <w:lang w:val="en-CA"/>
        </w:rPr>
        <w:t>307, 2000 SCC 44 at para. 101.</w:t>
      </w:r>
    </w:p>
  </w:footnote>
  <w:footnote w:id="20">
    <w:p w14:paraId="63E636FA" w14:textId="3BBF5AE1" w:rsidR="007F0FA6" w:rsidRPr="00F575A6" w:rsidRDefault="007F0FA6" w:rsidP="007F0FA6">
      <w:pPr>
        <w:pStyle w:val="Notedebasdepage"/>
        <w:rPr>
          <w:iCs/>
          <w:lang w:val="en-CA"/>
        </w:rPr>
      </w:pPr>
      <w:r>
        <w:rPr>
          <w:rStyle w:val="Appelnotedebasdep"/>
        </w:rPr>
        <w:footnoteRef/>
      </w:r>
      <w:r w:rsidRPr="00F575A6">
        <w:rPr>
          <w:lang w:val="en-CA"/>
        </w:rPr>
        <w:t xml:space="preserve"> </w:t>
      </w:r>
      <w:r w:rsidRPr="00F575A6">
        <w:rPr>
          <w:lang w:val="en-CA"/>
        </w:rPr>
        <w:tab/>
      </w:r>
      <w:r w:rsidR="00F575A6" w:rsidRPr="0045618A">
        <w:rPr>
          <w:i/>
          <w:lang w:val="en-CA"/>
        </w:rPr>
        <w:t>Blencoe v. British Columbia (Human Rights Commission)</w:t>
      </w:r>
      <w:r w:rsidR="00F575A6" w:rsidRPr="0045618A">
        <w:rPr>
          <w:lang w:val="en-CA"/>
        </w:rPr>
        <w:t>, [2000] 2 S.C.R.</w:t>
      </w:r>
      <w:r w:rsidRPr="00F575A6">
        <w:rPr>
          <w:lang w:val="en-CA"/>
        </w:rPr>
        <w:t xml:space="preserve"> </w:t>
      </w:r>
      <w:r w:rsidR="00F575A6" w:rsidRPr="0045618A">
        <w:rPr>
          <w:lang w:val="en-CA"/>
        </w:rPr>
        <w:t>307, 2000 SCC 44 at para. 101.</w:t>
      </w:r>
    </w:p>
  </w:footnote>
  <w:footnote w:id="21">
    <w:p w14:paraId="31EB8860" w14:textId="31733F9C" w:rsidR="007F0FA6" w:rsidRPr="004E0CB0" w:rsidRDefault="007F0FA6" w:rsidP="007F0FA6">
      <w:pPr>
        <w:pStyle w:val="Notedebasdepage"/>
        <w:rPr>
          <w:lang w:val="en-US"/>
        </w:rPr>
      </w:pPr>
      <w:r>
        <w:rPr>
          <w:rStyle w:val="Appelnotedebasdep"/>
        </w:rPr>
        <w:footnoteRef/>
      </w:r>
      <w:r w:rsidRPr="004E0CB0">
        <w:rPr>
          <w:lang w:val="en-US"/>
        </w:rPr>
        <w:t xml:space="preserve"> </w:t>
      </w:r>
      <w:r w:rsidRPr="004E0CB0">
        <w:rPr>
          <w:lang w:val="en-US"/>
        </w:rPr>
        <w:tab/>
      </w:r>
      <w:r w:rsidR="00F575A6" w:rsidRPr="0045618A">
        <w:rPr>
          <w:i/>
          <w:iCs/>
          <w:lang w:val="en-US"/>
        </w:rPr>
        <w:t>Law Society of Saskatchewan v.</w:t>
      </w:r>
      <w:r w:rsidR="00F575A6" w:rsidRPr="0045618A">
        <w:rPr>
          <w:iCs/>
          <w:lang w:val="en-US"/>
        </w:rPr>
        <w:t xml:space="preserve"> </w:t>
      </w:r>
      <w:r w:rsidR="00F575A6" w:rsidRPr="0045618A">
        <w:rPr>
          <w:i/>
          <w:iCs/>
          <w:lang w:val="en-US"/>
        </w:rPr>
        <w:t>Abrametz</w:t>
      </w:r>
      <w:r w:rsidR="00F575A6" w:rsidRPr="0045618A">
        <w:rPr>
          <w:iCs/>
          <w:lang w:val="en-US"/>
        </w:rPr>
        <w:t>, 2022 SCC 29.</w:t>
      </w:r>
    </w:p>
  </w:footnote>
  <w:footnote w:id="22">
    <w:p w14:paraId="752E8F65" w14:textId="3AF8C41E" w:rsidR="007F0FA6" w:rsidRPr="00915703" w:rsidRDefault="007F0FA6" w:rsidP="007F0FA6">
      <w:pPr>
        <w:pStyle w:val="Notedebasdepage"/>
        <w:rPr>
          <w:lang w:val="en-CA"/>
        </w:rPr>
      </w:pPr>
      <w:r>
        <w:rPr>
          <w:rStyle w:val="Appelnotedebasdep"/>
        </w:rPr>
        <w:footnoteRef/>
      </w:r>
      <w:r w:rsidRPr="00915703">
        <w:rPr>
          <w:lang w:val="en-CA"/>
        </w:rPr>
        <w:t xml:space="preserve"> </w:t>
      </w:r>
      <w:r w:rsidRPr="00915703">
        <w:rPr>
          <w:i/>
          <w:iCs/>
          <w:lang w:val="en-CA"/>
        </w:rPr>
        <w:tab/>
      </w:r>
      <w:r w:rsidR="00F575A6" w:rsidRPr="00915703">
        <w:rPr>
          <w:i/>
          <w:iCs/>
          <w:lang w:val="en-CA"/>
        </w:rPr>
        <w:t>R. v. Jordan</w:t>
      </w:r>
      <w:r w:rsidR="00F575A6" w:rsidRPr="00915703">
        <w:rPr>
          <w:iCs/>
          <w:lang w:val="en-CA"/>
        </w:rPr>
        <w:t>, [2016] 1 S.C.R.</w:t>
      </w:r>
      <w:r w:rsidRPr="00915703">
        <w:rPr>
          <w:lang w:val="en-CA"/>
        </w:rPr>
        <w:t xml:space="preserve"> </w:t>
      </w:r>
      <w:r w:rsidR="00F575A6" w:rsidRPr="00915703">
        <w:rPr>
          <w:lang w:val="en-CA"/>
        </w:rPr>
        <w:t>631, 2016 SCC 27 (CanLII).</w:t>
      </w:r>
      <w:r w:rsidRPr="00915703">
        <w:rPr>
          <w:lang w:val="en-CA"/>
        </w:rPr>
        <w:t xml:space="preserve"> </w:t>
      </w:r>
    </w:p>
  </w:footnote>
  <w:footnote w:id="23">
    <w:p w14:paraId="5667A0D1" w14:textId="3AF7568B" w:rsidR="00F447DE" w:rsidRPr="00F575A6" w:rsidRDefault="00F447DE" w:rsidP="00F447DE">
      <w:pPr>
        <w:pStyle w:val="Notedebasdepage"/>
        <w:rPr>
          <w:lang w:val="en-CA"/>
        </w:rPr>
      </w:pPr>
      <w:r>
        <w:rPr>
          <w:rStyle w:val="Appelnotedebasdep"/>
        </w:rPr>
        <w:footnoteRef/>
      </w:r>
      <w:r w:rsidRPr="00F575A6">
        <w:rPr>
          <w:lang w:val="en-CA"/>
        </w:rPr>
        <w:t xml:space="preserve"> </w:t>
      </w:r>
      <w:r w:rsidRPr="00F575A6">
        <w:rPr>
          <w:lang w:val="en-CA"/>
        </w:rPr>
        <w:tab/>
      </w:r>
      <w:r w:rsidR="00F575A6" w:rsidRPr="0045618A">
        <w:rPr>
          <w:i/>
          <w:iCs/>
          <w:lang w:val="en-CA"/>
        </w:rPr>
        <w:t>May v. Ferndale Institution</w:t>
      </w:r>
      <w:r w:rsidR="00F575A6" w:rsidRPr="0045618A">
        <w:rPr>
          <w:iCs/>
          <w:lang w:val="en-CA"/>
        </w:rPr>
        <w:t xml:space="preserve">, [2005] 3 S.C.R. </w:t>
      </w:r>
      <w:r w:rsidR="00F575A6" w:rsidRPr="0045618A">
        <w:rPr>
          <w:lang w:val="en-CA"/>
        </w:rPr>
        <w:t>809, 2005 SCC 82 at paras.</w:t>
      </w:r>
      <w:r w:rsidRPr="00F575A6">
        <w:rPr>
          <w:lang w:val="en-CA"/>
        </w:rPr>
        <w:t xml:space="preserve"> </w:t>
      </w:r>
      <w:r w:rsidR="00F575A6" w:rsidRPr="0045618A">
        <w:rPr>
          <w:lang w:val="en-CA"/>
        </w:rPr>
        <w:t>91 and 92.</w:t>
      </w:r>
    </w:p>
  </w:footnote>
  <w:footnote w:id="24">
    <w:p w14:paraId="4275656C" w14:textId="390B60D2" w:rsidR="007B718B" w:rsidRPr="00E80AFC" w:rsidRDefault="007B718B" w:rsidP="007B718B">
      <w:pPr>
        <w:pStyle w:val="Notedebasdepage"/>
        <w:rPr>
          <w:lang w:val="en-CA"/>
        </w:rPr>
      </w:pPr>
      <w:r>
        <w:rPr>
          <w:rStyle w:val="Appelnotedebasdep"/>
        </w:rPr>
        <w:footnoteRef/>
      </w:r>
      <w:r w:rsidRPr="00E80AFC">
        <w:rPr>
          <w:lang w:val="en-CA"/>
        </w:rPr>
        <w:t xml:space="preserve"> </w:t>
      </w:r>
      <w:r w:rsidRPr="00E80AFC">
        <w:rPr>
          <w:lang w:val="en-CA"/>
        </w:rPr>
        <w:tab/>
      </w:r>
      <w:r w:rsidR="00F575A6" w:rsidRPr="00E80AFC">
        <w:rPr>
          <w:lang w:val="en-CA"/>
        </w:rPr>
        <w:t>CQLR, c. C-1.1.</w:t>
      </w:r>
    </w:p>
  </w:footnote>
  <w:footnote w:id="25">
    <w:p w14:paraId="1247D98F" w14:textId="5B76EC91" w:rsidR="00F575A6" w:rsidRPr="00E80AFC" w:rsidRDefault="00F575A6" w:rsidP="00F575A6">
      <w:pPr>
        <w:pStyle w:val="Notedebasdepage"/>
        <w:rPr>
          <w:lang w:val="en-CA"/>
        </w:rPr>
      </w:pPr>
      <w:r>
        <w:rPr>
          <w:rStyle w:val="Appelnotedebasdep"/>
        </w:rPr>
        <w:footnoteRef/>
      </w:r>
      <w:r w:rsidRPr="00E80AFC">
        <w:rPr>
          <w:lang w:val="en-CA"/>
        </w:rPr>
        <w:t xml:space="preserve"> </w:t>
      </w:r>
      <w:r w:rsidRPr="00E80AFC">
        <w:rPr>
          <w:lang w:val="en-CA"/>
        </w:rPr>
        <w:tab/>
        <w:t>CQLR, c. E-6.1.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20C8" w14:textId="77777777" w:rsidR="005C0E6F" w:rsidRDefault="005C0E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1D99" w14:textId="4D121DC8" w:rsidR="00D85891" w:rsidRDefault="00CB0FDA">
    <w:pPr>
      <w:tabs>
        <w:tab w:val="center" w:pos="4709"/>
        <w:tab w:val="right" w:pos="9360"/>
      </w:tabs>
      <w:ind w:right="524"/>
    </w:pPr>
    <w:r>
      <w:t>2017-008-004</w:t>
    </w:r>
    <w:r w:rsidR="00934628">
      <w:tab/>
    </w:r>
    <w:r w:rsidR="00934628">
      <w:tab/>
    </w:r>
    <w:r w:rsidR="00F575A6" w:rsidRPr="0045618A">
      <w:t>PAGE:</w:t>
    </w:r>
    <w:r w:rsidR="00934628">
      <w:t xml:space="preserve"> </w:t>
    </w:r>
    <w:r w:rsidR="00934628">
      <w:fldChar w:fldCharType="begin"/>
    </w:r>
    <w:r w:rsidR="00934628">
      <w:instrText xml:space="preserve"> PAGE </w:instrText>
    </w:r>
    <w:r w:rsidR="00934628">
      <w:fldChar w:fldCharType="separate"/>
    </w:r>
    <w:r w:rsidR="00447268">
      <w:rPr>
        <w:noProof/>
      </w:rPr>
      <w:t>9</w:t>
    </w:r>
    <w:r w:rsidR="00934628">
      <w:fldChar w:fldCharType="end"/>
    </w:r>
  </w:p>
  <w:p w14:paraId="38FD1D9A" w14:textId="77777777" w:rsidR="00D85891" w:rsidRDefault="00D85891">
    <w:pPr>
      <w:tabs>
        <w:tab w:val="center" w:pos="4709"/>
        <w:tab w:val="right" w:pos="9090"/>
      </w:tabs>
      <w:ind w:right="524"/>
    </w:pPr>
  </w:p>
  <w:p w14:paraId="38FD1D9B" w14:textId="77777777" w:rsidR="00D85891" w:rsidRDefault="00D85891">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1FD2" w14:textId="77777777" w:rsidR="005C0E6F" w:rsidRDefault="005C0E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C44695"/>
    <w:multiLevelType w:val="hybridMultilevel"/>
    <w:tmpl w:val="6CF1C723"/>
    <w:lvl w:ilvl="0" w:tplc="295C067E">
      <w:start w:val="1"/>
      <w:numFmt w:val="ideographDigital"/>
      <w:lvlText w:val=""/>
      <w:lvlJc w:val="left"/>
    </w:lvl>
    <w:lvl w:ilvl="1" w:tplc="6A0E0E46">
      <w:numFmt w:val="decimal"/>
      <w:lvlText w:val=""/>
      <w:lvlJc w:val="left"/>
    </w:lvl>
    <w:lvl w:ilvl="2" w:tplc="0EE85A00">
      <w:numFmt w:val="decimal"/>
      <w:lvlText w:val=""/>
      <w:lvlJc w:val="left"/>
    </w:lvl>
    <w:lvl w:ilvl="3" w:tplc="477CC906">
      <w:numFmt w:val="decimal"/>
      <w:lvlText w:val=""/>
      <w:lvlJc w:val="left"/>
    </w:lvl>
    <w:lvl w:ilvl="4" w:tplc="A120CFB0">
      <w:numFmt w:val="decimal"/>
      <w:lvlText w:val=""/>
      <w:lvlJc w:val="left"/>
    </w:lvl>
    <w:lvl w:ilvl="5" w:tplc="27567E0A">
      <w:numFmt w:val="decimal"/>
      <w:lvlText w:val=""/>
      <w:lvlJc w:val="left"/>
    </w:lvl>
    <w:lvl w:ilvl="6" w:tplc="C2CEDE9C">
      <w:numFmt w:val="decimal"/>
      <w:lvlText w:val=""/>
      <w:lvlJc w:val="left"/>
    </w:lvl>
    <w:lvl w:ilvl="7" w:tplc="B4EA1B1C">
      <w:numFmt w:val="decimal"/>
      <w:lvlText w:val=""/>
      <w:lvlJc w:val="left"/>
    </w:lvl>
    <w:lvl w:ilvl="8" w:tplc="66401012">
      <w:numFmt w:val="decimal"/>
      <w:lvlText w:val=""/>
      <w:lvlJc w:val="left"/>
    </w:lvl>
  </w:abstractNum>
  <w:abstractNum w:abstractNumId="1" w15:restartNumberingAfterBreak="0">
    <w:nsid w:val="FFFFFF7C"/>
    <w:multiLevelType w:val="singleLevel"/>
    <w:tmpl w:val="8AF2C96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BF652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C2CBF8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754779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A28E7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5927B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A0C5F9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51CC2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A8F9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CA23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A97578"/>
    <w:multiLevelType w:val="hybridMultilevel"/>
    <w:tmpl w:val="BDF26732"/>
    <w:lvl w:ilvl="0" w:tplc="DF8EE17C">
      <w:start w:val="1"/>
      <w:numFmt w:val="bullet"/>
      <w:lvlText w:val=""/>
      <w:lvlJc w:val="left"/>
      <w:pPr>
        <w:ind w:left="720" w:hanging="360"/>
      </w:pPr>
      <w:rPr>
        <w:rFonts w:ascii="Symbol" w:hAnsi="Symbol" w:hint="default"/>
      </w:rPr>
    </w:lvl>
    <w:lvl w:ilvl="1" w:tplc="E3C0C6EA" w:tentative="1">
      <w:start w:val="1"/>
      <w:numFmt w:val="bullet"/>
      <w:lvlText w:val="o"/>
      <w:lvlJc w:val="left"/>
      <w:pPr>
        <w:ind w:left="1440" w:hanging="360"/>
      </w:pPr>
      <w:rPr>
        <w:rFonts w:ascii="Courier New" w:hAnsi="Courier New" w:cs="Courier New" w:hint="default"/>
      </w:rPr>
    </w:lvl>
    <w:lvl w:ilvl="2" w:tplc="7C380A78" w:tentative="1">
      <w:start w:val="1"/>
      <w:numFmt w:val="bullet"/>
      <w:lvlText w:val=""/>
      <w:lvlJc w:val="left"/>
      <w:pPr>
        <w:ind w:left="2160" w:hanging="360"/>
      </w:pPr>
      <w:rPr>
        <w:rFonts w:ascii="Wingdings" w:hAnsi="Wingdings" w:hint="default"/>
      </w:rPr>
    </w:lvl>
    <w:lvl w:ilvl="3" w:tplc="152A3CFC" w:tentative="1">
      <w:start w:val="1"/>
      <w:numFmt w:val="bullet"/>
      <w:lvlText w:val=""/>
      <w:lvlJc w:val="left"/>
      <w:pPr>
        <w:ind w:left="2880" w:hanging="360"/>
      </w:pPr>
      <w:rPr>
        <w:rFonts w:ascii="Symbol" w:hAnsi="Symbol" w:hint="default"/>
      </w:rPr>
    </w:lvl>
    <w:lvl w:ilvl="4" w:tplc="E61A21A8" w:tentative="1">
      <w:start w:val="1"/>
      <w:numFmt w:val="bullet"/>
      <w:lvlText w:val="o"/>
      <w:lvlJc w:val="left"/>
      <w:pPr>
        <w:ind w:left="3600" w:hanging="360"/>
      </w:pPr>
      <w:rPr>
        <w:rFonts w:ascii="Courier New" w:hAnsi="Courier New" w:cs="Courier New" w:hint="default"/>
      </w:rPr>
    </w:lvl>
    <w:lvl w:ilvl="5" w:tplc="B68A42E0" w:tentative="1">
      <w:start w:val="1"/>
      <w:numFmt w:val="bullet"/>
      <w:lvlText w:val=""/>
      <w:lvlJc w:val="left"/>
      <w:pPr>
        <w:ind w:left="4320" w:hanging="360"/>
      </w:pPr>
      <w:rPr>
        <w:rFonts w:ascii="Wingdings" w:hAnsi="Wingdings" w:hint="default"/>
      </w:rPr>
    </w:lvl>
    <w:lvl w:ilvl="6" w:tplc="19BCB9EC" w:tentative="1">
      <w:start w:val="1"/>
      <w:numFmt w:val="bullet"/>
      <w:lvlText w:val=""/>
      <w:lvlJc w:val="left"/>
      <w:pPr>
        <w:ind w:left="5040" w:hanging="360"/>
      </w:pPr>
      <w:rPr>
        <w:rFonts w:ascii="Symbol" w:hAnsi="Symbol" w:hint="default"/>
      </w:rPr>
    </w:lvl>
    <w:lvl w:ilvl="7" w:tplc="0600782E" w:tentative="1">
      <w:start w:val="1"/>
      <w:numFmt w:val="bullet"/>
      <w:lvlText w:val="o"/>
      <w:lvlJc w:val="left"/>
      <w:pPr>
        <w:ind w:left="5760" w:hanging="360"/>
      </w:pPr>
      <w:rPr>
        <w:rFonts w:ascii="Courier New" w:hAnsi="Courier New" w:cs="Courier New" w:hint="default"/>
      </w:rPr>
    </w:lvl>
    <w:lvl w:ilvl="8" w:tplc="19E817E0" w:tentative="1">
      <w:start w:val="1"/>
      <w:numFmt w:val="bullet"/>
      <w:lvlText w:val=""/>
      <w:lvlJc w:val="left"/>
      <w:pPr>
        <w:ind w:left="6480" w:hanging="360"/>
      </w:pPr>
      <w:rPr>
        <w:rFonts w:ascii="Wingdings" w:hAnsi="Wingdings" w:hint="default"/>
      </w:rPr>
    </w:lvl>
  </w:abstractNum>
  <w:abstractNum w:abstractNumId="12" w15:restartNumberingAfterBreak="0">
    <w:nsid w:val="21D21A8D"/>
    <w:multiLevelType w:val="hybridMultilevel"/>
    <w:tmpl w:val="9DD45BC4"/>
    <w:lvl w:ilvl="0" w:tplc="1E7A89B4">
      <w:start w:val="1"/>
      <w:numFmt w:val="bullet"/>
      <w:lvlText w:val=""/>
      <w:lvlJc w:val="left"/>
      <w:pPr>
        <w:ind w:left="720" w:hanging="360"/>
      </w:pPr>
      <w:rPr>
        <w:rFonts w:ascii="Symbol" w:hAnsi="Symbol" w:hint="default"/>
      </w:rPr>
    </w:lvl>
    <w:lvl w:ilvl="1" w:tplc="4D6A3148" w:tentative="1">
      <w:start w:val="1"/>
      <w:numFmt w:val="bullet"/>
      <w:lvlText w:val="o"/>
      <w:lvlJc w:val="left"/>
      <w:pPr>
        <w:ind w:left="1440" w:hanging="360"/>
      </w:pPr>
      <w:rPr>
        <w:rFonts w:ascii="Courier New" w:hAnsi="Courier New" w:cs="Courier New" w:hint="default"/>
      </w:rPr>
    </w:lvl>
    <w:lvl w:ilvl="2" w:tplc="F35A724E" w:tentative="1">
      <w:start w:val="1"/>
      <w:numFmt w:val="bullet"/>
      <w:lvlText w:val=""/>
      <w:lvlJc w:val="left"/>
      <w:pPr>
        <w:ind w:left="2160" w:hanging="360"/>
      </w:pPr>
      <w:rPr>
        <w:rFonts w:ascii="Wingdings" w:hAnsi="Wingdings" w:hint="default"/>
      </w:rPr>
    </w:lvl>
    <w:lvl w:ilvl="3" w:tplc="7C74E8EA" w:tentative="1">
      <w:start w:val="1"/>
      <w:numFmt w:val="bullet"/>
      <w:lvlText w:val=""/>
      <w:lvlJc w:val="left"/>
      <w:pPr>
        <w:ind w:left="2880" w:hanging="360"/>
      </w:pPr>
      <w:rPr>
        <w:rFonts w:ascii="Symbol" w:hAnsi="Symbol" w:hint="default"/>
      </w:rPr>
    </w:lvl>
    <w:lvl w:ilvl="4" w:tplc="E074512A" w:tentative="1">
      <w:start w:val="1"/>
      <w:numFmt w:val="bullet"/>
      <w:lvlText w:val="o"/>
      <w:lvlJc w:val="left"/>
      <w:pPr>
        <w:ind w:left="3600" w:hanging="360"/>
      </w:pPr>
      <w:rPr>
        <w:rFonts w:ascii="Courier New" w:hAnsi="Courier New" w:cs="Courier New" w:hint="default"/>
      </w:rPr>
    </w:lvl>
    <w:lvl w:ilvl="5" w:tplc="1884FA06" w:tentative="1">
      <w:start w:val="1"/>
      <w:numFmt w:val="bullet"/>
      <w:lvlText w:val=""/>
      <w:lvlJc w:val="left"/>
      <w:pPr>
        <w:ind w:left="4320" w:hanging="360"/>
      </w:pPr>
      <w:rPr>
        <w:rFonts w:ascii="Wingdings" w:hAnsi="Wingdings" w:hint="default"/>
      </w:rPr>
    </w:lvl>
    <w:lvl w:ilvl="6" w:tplc="6A0601A0" w:tentative="1">
      <w:start w:val="1"/>
      <w:numFmt w:val="bullet"/>
      <w:lvlText w:val=""/>
      <w:lvlJc w:val="left"/>
      <w:pPr>
        <w:ind w:left="5040" w:hanging="360"/>
      </w:pPr>
      <w:rPr>
        <w:rFonts w:ascii="Symbol" w:hAnsi="Symbol" w:hint="default"/>
      </w:rPr>
    </w:lvl>
    <w:lvl w:ilvl="7" w:tplc="9404DCB6" w:tentative="1">
      <w:start w:val="1"/>
      <w:numFmt w:val="bullet"/>
      <w:lvlText w:val="o"/>
      <w:lvlJc w:val="left"/>
      <w:pPr>
        <w:ind w:left="5760" w:hanging="360"/>
      </w:pPr>
      <w:rPr>
        <w:rFonts w:ascii="Courier New" w:hAnsi="Courier New" w:cs="Courier New" w:hint="default"/>
      </w:rPr>
    </w:lvl>
    <w:lvl w:ilvl="8" w:tplc="B144F0BA" w:tentative="1">
      <w:start w:val="1"/>
      <w:numFmt w:val="bullet"/>
      <w:lvlText w:val=""/>
      <w:lvlJc w:val="left"/>
      <w:pPr>
        <w:ind w:left="6480" w:hanging="360"/>
      </w:pPr>
      <w:rPr>
        <w:rFonts w:ascii="Wingdings" w:hAnsi="Wingdings" w:hint="default"/>
      </w:rPr>
    </w:lvl>
  </w:abstractNum>
  <w:abstractNum w:abstractNumId="13" w15:restartNumberingAfterBreak="0">
    <w:nsid w:val="3B2C557D"/>
    <w:multiLevelType w:val="hybridMultilevel"/>
    <w:tmpl w:val="DC9CFC5C"/>
    <w:lvl w:ilvl="0" w:tplc="3A0C5A02">
      <w:start w:val="1"/>
      <w:numFmt w:val="bullet"/>
      <w:lvlText w:val=""/>
      <w:lvlJc w:val="left"/>
      <w:pPr>
        <w:ind w:left="792" w:hanging="360"/>
      </w:pPr>
      <w:rPr>
        <w:rFonts w:ascii="Symbol" w:hAnsi="Symbol" w:hint="default"/>
      </w:rPr>
    </w:lvl>
    <w:lvl w:ilvl="1" w:tplc="94A2729C" w:tentative="1">
      <w:start w:val="1"/>
      <w:numFmt w:val="bullet"/>
      <w:lvlText w:val="o"/>
      <w:lvlJc w:val="left"/>
      <w:pPr>
        <w:ind w:left="1512" w:hanging="360"/>
      </w:pPr>
      <w:rPr>
        <w:rFonts w:ascii="Courier New" w:hAnsi="Courier New" w:cs="Courier New" w:hint="default"/>
      </w:rPr>
    </w:lvl>
    <w:lvl w:ilvl="2" w:tplc="5FEA0734" w:tentative="1">
      <w:start w:val="1"/>
      <w:numFmt w:val="bullet"/>
      <w:lvlText w:val=""/>
      <w:lvlJc w:val="left"/>
      <w:pPr>
        <w:ind w:left="2232" w:hanging="360"/>
      </w:pPr>
      <w:rPr>
        <w:rFonts w:ascii="Wingdings" w:hAnsi="Wingdings" w:hint="default"/>
      </w:rPr>
    </w:lvl>
    <w:lvl w:ilvl="3" w:tplc="ADF0580E" w:tentative="1">
      <w:start w:val="1"/>
      <w:numFmt w:val="bullet"/>
      <w:lvlText w:val=""/>
      <w:lvlJc w:val="left"/>
      <w:pPr>
        <w:ind w:left="2952" w:hanging="360"/>
      </w:pPr>
      <w:rPr>
        <w:rFonts w:ascii="Symbol" w:hAnsi="Symbol" w:hint="default"/>
      </w:rPr>
    </w:lvl>
    <w:lvl w:ilvl="4" w:tplc="699E4782" w:tentative="1">
      <w:start w:val="1"/>
      <w:numFmt w:val="bullet"/>
      <w:lvlText w:val="o"/>
      <w:lvlJc w:val="left"/>
      <w:pPr>
        <w:ind w:left="3672" w:hanging="360"/>
      </w:pPr>
      <w:rPr>
        <w:rFonts w:ascii="Courier New" w:hAnsi="Courier New" w:cs="Courier New" w:hint="default"/>
      </w:rPr>
    </w:lvl>
    <w:lvl w:ilvl="5" w:tplc="AB0C8D98" w:tentative="1">
      <w:start w:val="1"/>
      <w:numFmt w:val="bullet"/>
      <w:lvlText w:val=""/>
      <w:lvlJc w:val="left"/>
      <w:pPr>
        <w:ind w:left="4392" w:hanging="360"/>
      </w:pPr>
      <w:rPr>
        <w:rFonts w:ascii="Wingdings" w:hAnsi="Wingdings" w:hint="default"/>
      </w:rPr>
    </w:lvl>
    <w:lvl w:ilvl="6" w:tplc="9E22298C" w:tentative="1">
      <w:start w:val="1"/>
      <w:numFmt w:val="bullet"/>
      <w:lvlText w:val=""/>
      <w:lvlJc w:val="left"/>
      <w:pPr>
        <w:ind w:left="5112" w:hanging="360"/>
      </w:pPr>
      <w:rPr>
        <w:rFonts w:ascii="Symbol" w:hAnsi="Symbol" w:hint="default"/>
      </w:rPr>
    </w:lvl>
    <w:lvl w:ilvl="7" w:tplc="2F202DF6" w:tentative="1">
      <w:start w:val="1"/>
      <w:numFmt w:val="bullet"/>
      <w:lvlText w:val="o"/>
      <w:lvlJc w:val="left"/>
      <w:pPr>
        <w:ind w:left="5832" w:hanging="360"/>
      </w:pPr>
      <w:rPr>
        <w:rFonts w:ascii="Courier New" w:hAnsi="Courier New" w:cs="Courier New" w:hint="default"/>
      </w:rPr>
    </w:lvl>
    <w:lvl w:ilvl="8" w:tplc="A52C3B8C" w:tentative="1">
      <w:start w:val="1"/>
      <w:numFmt w:val="bullet"/>
      <w:lvlText w:val=""/>
      <w:lvlJc w:val="left"/>
      <w:pPr>
        <w:ind w:left="6552" w:hanging="360"/>
      </w:pPr>
      <w:rPr>
        <w:rFonts w:ascii="Wingdings" w:hAnsi="Wingdings" w:hint="default"/>
      </w:rPr>
    </w:lvl>
  </w:abstractNum>
  <w:abstractNum w:abstractNumId="14" w15:restartNumberingAfterBreak="0">
    <w:nsid w:val="47013317"/>
    <w:multiLevelType w:val="hybridMultilevel"/>
    <w:tmpl w:val="86A4E4CC"/>
    <w:lvl w:ilvl="0" w:tplc="63F07334">
      <w:start w:val="1"/>
      <w:numFmt w:val="bullet"/>
      <w:lvlText w:val=""/>
      <w:lvlJc w:val="left"/>
      <w:pPr>
        <w:ind w:left="720" w:hanging="360"/>
      </w:pPr>
      <w:rPr>
        <w:rFonts w:ascii="Symbol" w:hAnsi="Symbol" w:hint="default"/>
      </w:rPr>
    </w:lvl>
    <w:lvl w:ilvl="1" w:tplc="2BE419C6" w:tentative="1">
      <w:start w:val="1"/>
      <w:numFmt w:val="bullet"/>
      <w:lvlText w:val="o"/>
      <w:lvlJc w:val="left"/>
      <w:pPr>
        <w:ind w:left="1440" w:hanging="360"/>
      </w:pPr>
      <w:rPr>
        <w:rFonts w:ascii="Courier New" w:hAnsi="Courier New" w:cs="Courier New" w:hint="default"/>
      </w:rPr>
    </w:lvl>
    <w:lvl w:ilvl="2" w:tplc="2564EE68" w:tentative="1">
      <w:start w:val="1"/>
      <w:numFmt w:val="bullet"/>
      <w:lvlText w:val=""/>
      <w:lvlJc w:val="left"/>
      <w:pPr>
        <w:ind w:left="2160" w:hanging="360"/>
      </w:pPr>
      <w:rPr>
        <w:rFonts w:ascii="Wingdings" w:hAnsi="Wingdings" w:hint="default"/>
      </w:rPr>
    </w:lvl>
    <w:lvl w:ilvl="3" w:tplc="B4909A46" w:tentative="1">
      <w:start w:val="1"/>
      <w:numFmt w:val="bullet"/>
      <w:lvlText w:val=""/>
      <w:lvlJc w:val="left"/>
      <w:pPr>
        <w:ind w:left="2880" w:hanging="360"/>
      </w:pPr>
      <w:rPr>
        <w:rFonts w:ascii="Symbol" w:hAnsi="Symbol" w:hint="default"/>
      </w:rPr>
    </w:lvl>
    <w:lvl w:ilvl="4" w:tplc="D968E26E" w:tentative="1">
      <w:start w:val="1"/>
      <w:numFmt w:val="bullet"/>
      <w:lvlText w:val="o"/>
      <w:lvlJc w:val="left"/>
      <w:pPr>
        <w:ind w:left="3600" w:hanging="360"/>
      </w:pPr>
      <w:rPr>
        <w:rFonts w:ascii="Courier New" w:hAnsi="Courier New" w:cs="Courier New" w:hint="default"/>
      </w:rPr>
    </w:lvl>
    <w:lvl w:ilvl="5" w:tplc="4AFAD488" w:tentative="1">
      <w:start w:val="1"/>
      <w:numFmt w:val="bullet"/>
      <w:lvlText w:val=""/>
      <w:lvlJc w:val="left"/>
      <w:pPr>
        <w:ind w:left="4320" w:hanging="360"/>
      </w:pPr>
      <w:rPr>
        <w:rFonts w:ascii="Wingdings" w:hAnsi="Wingdings" w:hint="default"/>
      </w:rPr>
    </w:lvl>
    <w:lvl w:ilvl="6" w:tplc="E878EDC8" w:tentative="1">
      <w:start w:val="1"/>
      <w:numFmt w:val="bullet"/>
      <w:lvlText w:val=""/>
      <w:lvlJc w:val="left"/>
      <w:pPr>
        <w:ind w:left="5040" w:hanging="360"/>
      </w:pPr>
      <w:rPr>
        <w:rFonts w:ascii="Symbol" w:hAnsi="Symbol" w:hint="default"/>
      </w:rPr>
    </w:lvl>
    <w:lvl w:ilvl="7" w:tplc="9BE06F30" w:tentative="1">
      <w:start w:val="1"/>
      <w:numFmt w:val="bullet"/>
      <w:lvlText w:val="o"/>
      <w:lvlJc w:val="left"/>
      <w:pPr>
        <w:ind w:left="5760" w:hanging="360"/>
      </w:pPr>
      <w:rPr>
        <w:rFonts w:ascii="Courier New" w:hAnsi="Courier New" w:cs="Courier New" w:hint="default"/>
      </w:rPr>
    </w:lvl>
    <w:lvl w:ilvl="8" w:tplc="2042EBC4" w:tentative="1">
      <w:start w:val="1"/>
      <w:numFmt w:val="bullet"/>
      <w:lvlText w:val=""/>
      <w:lvlJc w:val="left"/>
      <w:pPr>
        <w:ind w:left="6480" w:hanging="360"/>
      </w:pPr>
      <w:rPr>
        <w:rFonts w:ascii="Wingdings" w:hAnsi="Wingdings" w:hint="default"/>
      </w:rPr>
    </w:lvl>
  </w:abstractNum>
  <w:abstractNum w:abstractNumId="15" w15:restartNumberingAfterBreak="0">
    <w:nsid w:val="504C26D8"/>
    <w:multiLevelType w:val="hybridMultilevel"/>
    <w:tmpl w:val="D90C28DA"/>
    <w:lvl w:ilvl="0" w:tplc="2F16AC34">
      <w:start w:val="1"/>
      <w:numFmt w:val="bullet"/>
      <w:lvlText w:val=""/>
      <w:lvlJc w:val="left"/>
      <w:pPr>
        <w:ind w:left="720" w:hanging="360"/>
      </w:pPr>
      <w:rPr>
        <w:rFonts w:ascii="Symbol" w:hAnsi="Symbol" w:hint="default"/>
      </w:rPr>
    </w:lvl>
    <w:lvl w:ilvl="1" w:tplc="B4628CA4" w:tentative="1">
      <w:start w:val="1"/>
      <w:numFmt w:val="bullet"/>
      <w:lvlText w:val="o"/>
      <w:lvlJc w:val="left"/>
      <w:pPr>
        <w:ind w:left="1440" w:hanging="360"/>
      </w:pPr>
      <w:rPr>
        <w:rFonts w:ascii="Courier New" w:hAnsi="Courier New" w:cs="Courier New" w:hint="default"/>
      </w:rPr>
    </w:lvl>
    <w:lvl w:ilvl="2" w:tplc="1304E2B0" w:tentative="1">
      <w:start w:val="1"/>
      <w:numFmt w:val="bullet"/>
      <w:lvlText w:val=""/>
      <w:lvlJc w:val="left"/>
      <w:pPr>
        <w:ind w:left="2160" w:hanging="360"/>
      </w:pPr>
      <w:rPr>
        <w:rFonts w:ascii="Wingdings" w:hAnsi="Wingdings" w:hint="default"/>
      </w:rPr>
    </w:lvl>
    <w:lvl w:ilvl="3" w:tplc="31BA3310" w:tentative="1">
      <w:start w:val="1"/>
      <w:numFmt w:val="bullet"/>
      <w:lvlText w:val=""/>
      <w:lvlJc w:val="left"/>
      <w:pPr>
        <w:ind w:left="2880" w:hanging="360"/>
      </w:pPr>
      <w:rPr>
        <w:rFonts w:ascii="Symbol" w:hAnsi="Symbol" w:hint="default"/>
      </w:rPr>
    </w:lvl>
    <w:lvl w:ilvl="4" w:tplc="4232CE46" w:tentative="1">
      <w:start w:val="1"/>
      <w:numFmt w:val="bullet"/>
      <w:lvlText w:val="o"/>
      <w:lvlJc w:val="left"/>
      <w:pPr>
        <w:ind w:left="3600" w:hanging="360"/>
      </w:pPr>
      <w:rPr>
        <w:rFonts w:ascii="Courier New" w:hAnsi="Courier New" w:cs="Courier New" w:hint="default"/>
      </w:rPr>
    </w:lvl>
    <w:lvl w:ilvl="5" w:tplc="06C61AFA" w:tentative="1">
      <w:start w:val="1"/>
      <w:numFmt w:val="bullet"/>
      <w:lvlText w:val=""/>
      <w:lvlJc w:val="left"/>
      <w:pPr>
        <w:ind w:left="4320" w:hanging="360"/>
      </w:pPr>
      <w:rPr>
        <w:rFonts w:ascii="Wingdings" w:hAnsi="Wingdings" w:hint="default"/>
      </w:rPr>
    </w:lvl>
    <w:lvl w:ilvl="6" w:tplc="36C209A6" w:tentative="1">
      <w:start w:val="1"/>
      <w:numFmt w:val="bullet"/>
      <w:lvlText w:val=""/>
      <w:lvlJc w:val="left"/>
      <w:pPr>
        <w:ind w:left="5040" w:hanging="360"/>
      </w:pPr>
      <w:rPr>
        <w:rFonts w:ascii="Symbol" w:hAnsi="Symbol" w:hint="default"/>
      </w:rPr>
    </w:lvl>
    <w:lvl w:ilvl="7" w:tplc="A34C30CE" w:tentative="1">
      <w:start w:val="1"/>
      <w:numFmt w:val="bullet"/>
      <w:lvlText w:val="o"/>
      <w:lvlJc w:val="left"/>
      <w:pPr>
        <w:ind w:left="5760" w:hanging="360"/>
      </w:pPr>
      <w:rPr>
        <w:rFonts w:ascii="Courier New" w:hAnsi="Courier New" w:cs="Courier New" w:hint="default"/>
      </w:rPr>
    </w:lvl>
    <w:lvl w:ilvl="8" w:tplc="BBF43300" w:tentative="1">
      <w:start w:val="1"/>
      <w:numFmt w:val="bullet"/>
      <w:lvlText w:val=""/>
      <w:lvlJc w:val="left"/>
      <w:pPr>
        <w:ind w:left="6480" w:hanging="360"/>
      </w:pPr>
      <w:rPr>
        <w:rFonts w:ascii="Wingdings" w:hAnsi="Wingdings" w:hint="default"/>
      </w:rPr>
    </w:lvl>
  </w:abstractNum>
  <w:abstractNum w:abstractNumId="16" w15:restartNumberingAfterBreak="0">
    <w:nsid w:val="609C0DCC"/>
    <w:multiLevelType w:val="multilevel"/>
    <w:tmpl w:val="12885388"/>
    <w:lvl w:ilvl="0">
      <w:start w:val="1"/>
      <w:numFmt w:val="decimal"/>
      <w:pStyle w:val="Style1"/>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92A2B4B"/>
    <w:multiLevelType w:val="hybridMultilevel"/>
    <w:tmpl w:val="9DC281B2"/>
    <w:lvl w:ilvl="0" w:tplc="933E3B74">
      <w:start w:val="1"/>
      <w:numFmt w:val="bullet"/>
      <w:lvlText w:val=""/>
      <w:lvlJc w:val="left"/>
      <w:pPr>
        <w:ind w:left="720" w:hanging="360"/>
      </w:pPr>
      <w:rPr>
        <w:rFonts w:ascii="Symbol" w:hAnsi="Symbol" w:hint="default"/>
      </w:rPr>
    </w:lvl>
    <w:lvl w:ilvl="1" w:tplc="1BB2D60C" w:tentative="1">
      <w:start w:val="1"/>
      <w:numFmt w:val="bullet"/>
      <w:lvlText w:val="o"/>
      <w:lvlJc w:val="left"/>
      <w:pPr>
        <w:ind w:left="1440" w:hanging="360"/>
      </w:pPr>
      <w:rPr>
        <w:rFonts w:ascii="Courier New" w:hAnsi="Courier New" w:cs="Courier New" w:hint="default"/>
      </w:rPr>
    </w:lvl>
    <w:lvl w:ilvl="2" w:tplc="0E66AF08" w:tentative="1">
      <w:start w:val="1"/>
      <w:numFmt w:val="bullet"/>
      <w:lvlText w:val=""/>
      <w:lvlJc w:val="left"/>
      <w:pPr>
        <w:ind w:left="2160" w:hanging="360"/>
      </w:pPr>
      <w:rPr>
        <w:rFonts w:ascii="Wingdings" w:hAnsi="Wingdings" w:hint="default"/>
      </w:rPr>
    </w:lvl>
    <w:lvl w:ilvl="3" w:tplc="52782F32" w:tentative="1">
      <w:start w:val="1"/>
      <w:numFmt w:val="bullet"/>
      <w:lvlText w:val=""/>
      <w:lvlJc w:val="left"/>
      <w:pPr>
        <w:ind w:left="2880" w:hanging="360"/>
      </w:pPr>
      <w:rPr>
        <w:rFonts w:ascii="Symbol" w:hAnsi="Symbol" w:hint="default"/>
      </w:rPr>
    </w:lvl>
    <w:lvl w:ilvl="4" w:tplc="1326ED2E" w:tentative="1">
      <w:start w:val="1"/>
      <w:numFmt w:val="bullet"/>
      <w:lvlText w:val="o"/>
      <w:lvlJc w:val="left"/>
      <w:pPr>
        <w:ind w:left="3600" w:hanging="360"/>
      </w:pPr>
      <w:rPr>
        <w:rFonts w:ascii="Courier New" w:hAnsi="Courier New" w:cs="Courier New" w:hint="default"/>
      </w:rPr>
    </w:lvl>
    <w:lvl w:ilvl="5" w:tplc="90F6C616" w:tentative="1">
      <w:start w:val="1"/>
      <w:numFmt w:val="bullet"/>
      <w:lvlText w:val=""/>
      <w:lvlJc w:val="left"/>
      <w:pPr>
        <w:ind w:left="4320" w:hanging="360"/>
      </w:pPr>
      <w:rPr>
        <w:rFonts w:ascii="Wingdings" w:hAnsi="Wingdings" w:hint="default"/>
      </w:rPr>
    </w:lvl>
    <w:lvl w:ilvl="6" w:tplc="BB1A6594" w:tentative="1">
      <w:start w:val="1"/>
      <w:numFmt w:val="bullet"/>
      <w:lvlText w:val=""/>
      <w:lvlJc w:val="left"/>
      <w:pPr>
        <w:ind w:left="5040" w:hanging="360"/>
      </w:pPr>
      <w:rPr>
        <w:rFonts w:ascii="Symbol" w:hAnsi="Symbol" w:hint="default"/>
      </w:rPr>
    </w:lvl>
    <w:lvl w:ilvl="7" w:tplc="343EA690" w:tentative="1">
      <w:start w:val="1"/>
      <w:numFmt w:val="bullet"/>
      <w:lvlText w:val="o"/>
      <w:lvlJc w:val="left"/>
      <w:pPr>
        <w:ind w:left="5760" w:hanging="360"/>
      </w:pPr>
      <w:rPr>
        <w:rFonts w:ascii="Courier New" w:hAnsi="Courier New" w:cs="Courier New" w:hint="default"/>
      </w:rPr>
    </w:lvl>
    <w:lvl w:ilvl="8" w:tplc="8460C918" w:tentative="1">
      <w:start w:val="1"/>
      <w:numFmt w:val="bullet"/>
      <w:lvlText w:val=""/>
      <w:lvlJc w:val="left"/>
      <w:pPr>
        <w:ind w:left="6480" w:hanging="360"/>
      </w:pPr>
      <w:rPr>
        <w:rFonts w:ascii="Wingdings" w:hAnsi="Wingdings" w:hint="default"/>
      </w:rPr>
    </w:lvl>
  </w:abstractNum>
  <w:num w:numId="1" w16cid:durableId="895091286">
    <w:abstractNumId w:val="16"/>
  </w:num>
  <w:num w:numId="2" w16cid:durableId="846865100">
    <w:abstractNumId w:val="16"/>
  </w:num>
  <w:num w:numId="3" w16cid:durableId="577515700">
    <w:abstractNumId w:val="16"/>
  </w:num>
  <w:num w:numId="4" w16cid:durableId="494540269">
    <w:abstractNumId w:val="9"/>
  </w:num>
  <w:num w:numId="5" w16cid:durableId="1573153662">
    <w:abstractNumId w:val="4"/>
  </w:num>
  <w:num w:numId="6" w16cid:durableId="497499109">
    <w:abstractNumId w:val="3"/>
  </w:num>
  <w:num w:numId="7" w16cid:durableId="1441561063">
    <w:abstractNumId w:val="2"/>
  </w:num>
  <w:num w:numId="8" w16cid:durableId="1580359995">
    <w:abstractNumId w:val="1"/>
  </w:num>
  <w:num w:numId="9" w16cid:durableId="1109280939">
    <w:abstractNumId w:val="10"/>
  </w:num>
  <w:num w:numId="10" w16cid:durableId="1760906347">
    <w:abstractNumId w:val="8"/>
  </w:num>
  <w:num w:numId="11" w16cid:durableId="2018186696">
    <w:abstractNumId w:val="7"/>
  </w:num>
  <w:num w:numId="12" w16cid:durableId="1351950735">
    <w:abstractNumId w:val="6"/>
  </w:num>
  <w:num w:numId="13" w16cid:durableId="597296039">
    <w:abstractNumId w:val="5"/>
  </w:num>
  <w:num w:numId="14" w16cid:durableId="1745494697">
    <w:abstractNumId w:val="13"/>
  </w:num>
  <w:num w:numId="15" w16cid:durableId="515121935">
    <w:abstractNumId w:val="11"/>
  </w:num>
  <w:num w:numId="16" w16cid:durableId="974405615">
    <w:abstractNumId w:val="14"/>
  </w:num>
  <w:num w:numId="17" w16cid:durableId="304163666">
    <w:abstractNumId w:val="12"/>
  </w:num>
  <w:num w:numId="18" w16cid:durableId="2063362873">
    <w:abstractNumId w:val="0"/>
  </w:num>
  <w:num w:numId="19" w16cid:durableId="885290756">
    <w:abstractNumId w:val="17"/>
  </w:num>
  <w:num w:numId="20" w16cid:durableId="82529955">
    <w:abstractNumId w:val="15"/>
  </w:num>
  <w:num w:numId="21" w16cid:durableId="556745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5"/>
    <w:rsid w:val="000001A1"/>
    <w:rsid w:val="00002900"/>
    <w:rsid w:val="00003F9F"/>
    <w:rsid w:val="00005E09"/>
    <w:rsid w:val="00005EAF"/>
    <w:rsid w:val="0000696E"/>
    <w:rsid w:val="00011194"/>
    <w:rsid w:val="000118F9"/>
    <w:rsid w:val="00014C3C"/>
    <w:rsid w:val="00016282"/>
    <w:rsid w:val="0001628B"/>
    <w:rsid w:val="0001793A"/>
    <w:rsid w:val="00017E63"/>
    <w:rsid w:val="0002701A"/>
    <w:rsid w:val="00032DFC"/>
    <w:rsid w:val="0003736F"/>
    <w:rsid w:val="0003778C"/>
    <w:rsid w:val="000378ED"/>
    <w:rsid w:val="00037E56"/>
    <w:rsid w:val="00041199"/>
    <w:rsid w:val="00041DB4"/>
    <w:rsid w:val="0004617D"/>
    <w:rsid w:val="000510FE"/>
    <w:rsid w:val="00053E5F"/>
    <w:rsid w:val="00054351"/>
    <w:rsid w:val="00060A1D"/>
    <w:rsid w:val="00062B7B"/>
    <w:rsid w:val="000659B1"/>
    <w:rsid w:val="00067686"/>
    <w:rsid w:val="00070D64"/>
    <w:rsid w:val="00080AE8"/>
    <w:rsid w:val="00080AEA"/>
    <w:rsid w:val="0008141F"/>
    <w:rsid w:val="000903BE"/>
    <w:rsid w:val="00091F65"/>
    <w:rsid w:val="00091FA0"/>
    <w:rsid w:val="00094051"/>
    <w:rsid w:val="00094DDC"/>
    <w:rsid w:val="00095709"/>
    <w:rsid w:val="000976EC"/>
    <w:rsid w:val="000977A6"/>
    <w:rsid w:val="000A1F1C"/>
    <w:rsid w:val="000A2DBF"/>
    <w:rsid w:val="000A2DE5"/>
    <w:rsid w:val="000A43CC"/>
    <w:rsid w:val="000A4648"/>
    <w:rsid w:val="000A4BEB"/>
    <w:rsid w:val="000A537D"/>
    <w:rsid w:val="000A544C"/>
    <w:rsid w:val="000A6B8B"/>
    <w:rsid w:val="000A789A"/>
    <w:rsid w:val="000B3CF0"/>
    <w:rsid w:val="000B673C"/>
    <w:rsid w:val="000B696B"/>
    <w:rsid w:val="000B6ED8"/>
    <w:rsid w:val="000C0F9B"/>
    <w:rsid w:val="000C2625"/>
    <w:rsid w:val="000C45A3"/>
    <w:rsid w:val="000C4EBE"/>
    <w:rsid w:val="000C737E"/>
    <w:rsid w:val="000D0746"/>
    <w:rsid w:val="000D125A"/>
    <w:rsid w:val="000D2AAE"/>
    <w:rsid w:val="000D2C11"/>
    <w:rsid w:val="000D6490"/>
    <w:rsid w:val="000D6852"/>
    <w:rsid w:val="000D6CBB"/>
    <w:rsid w:val="000E2BA3"/>
    <w:rsid w:val="000E5F73"/>
    <w:rsid w:val="000E62F9"/>
    <w:rsid w:val="000F2AC5"/>
    <w:rsid w:val="000F31AC"/>
    <w:rsid w:val="000F4025"/>
    <w:rsid w:val="000F7BFC"/>
    <w:rsid w:val="00102777"/>
    <w:rsid w:val="00102ABC"/>
    <w:rsid w:val="0010326D"/>
    <w:rsid w:val="001032CF"/>
    <w:rsid w:val="00105698"/>
    <w:rsid w:val="00106710"/>
    <w:rsid w:val="0011006A"/>
    <w:rsid w:val="00110286"/>
    <w:rsid w:val="00111184"/>
    <w:rsid w:val="00114FCB"/>
    <w:rsid w:val="001203F2"/>
    <w:rsid w:val="0012143F"/>
    <w:rsid w:val="00122B3E"/>
    <w:rsid w:val="00123A5A"/>
    <w:rsid w:val="00125237"/>
    <w:rsid w:val="00125A31"/>
    <w:rsid w:val="0013194A"/>
    <w:rsid w:val="0013535E"/>
    <w:rsid w:val="00136838"/>
    <w:rsid w:val="0014044B"/>
    <w:rsid w:val="00143E02"/>
    <w:rsid w:val="00146411"/>
    <w:rsid w:val="00153D5A"/>
    <w:rsid w:val="0015474D"/>
    <w:rsid w:val="001547E7"/>
    <w:rsid w:val="001556D1"/>
    <w:rsid w:val="0016141A"/>
    <w:rsid w:val="001617EB"/>
    <w:rsid w:val="0016335E"/>
    <w:rsid w:val="001638A5"/>
    <w:rsid w:val="0016528E"/>
    <w:rsid w:val="00165D8A"/>
    <w:rsid w:val="00172776"/>
    <w:rsid w:val="001746B4"/>
    <w:rsid w:val="001768C3"/>
    <w:rsid w:val="00177174"/>
    <w:rsid w:val="00177FB6"/>
    <w:rsid w:val="00181C04"/>
    <w:rsid w:val="001826AA"/>
    <w:rsid w:val="00190B84"/>
    <w:rsid w:val="001919D5"/>
    <w:rsid w:val="00191F21"/>
    <w:rsid w:val="001949F9"/>
    <w:rsid w:val="00196408"/>
    <w:rsid w:val="001A0DD4"/>
    <w:rsid w:val="001A2771"/>
    <w:rsid w:val="001A53BB"/>
    <w:rsid w:val="001A54F0"/>
    <w:rsid w:val="001A7317"/>
    <w:rsid w:val="001A7F2A"/>
    <w:rsid w:val="001B069B"/>
    <w:rsid w:val="001B3738"/>
    <w:rsid w:val="001B6C2B"/>
    <w:rsid w:val="001B774F"/>
    <w:rsid w:val="001C1553"/>
    <w:rsid w:val="001C18F5"/>
    <w:rsid w:val="001C1BC8"/>
    <w:rsid w:val="001C43FB"/>
    <w:rsid w:val="001C513A"/>
    <w:rsid w:val="001C5E64"/>
    <w:rsid w:val="001D276A"/>
    <w:rsid w:val="001D27BB"/>
    <w:rsid w:val="001D2F92"/>
    <w:rsid w:val="001D374E"/>
    <w:rsid w:val="001D433A"/>
    <w:rsid w:val="001D4526"/>
    <w:rsid w:val="001D4D12"/>
    <w:rsid w:val="001D5D42"/>
    <w:rsid w:val="001D72E2"/>
    <w:rsid w:val="001E1735"/>
    <w:rsid w:val="001E3339"/>
    <w:rsid w:val="001E3F71"/>
    <w:rsid w:val="001E45EE"/>
    <w:rsid w:val="001E6E3C"/>
    <w:rsid w:val="001E7537"/>
    <w:rsid w:val="001F0049"/>
    <w:rsid w:val="001F45FA"/>
    <w:rsid w:val="001F5EEC"/>
    <w:rsid w:val="00201072"/>
    <w:rsid w:val="00202683"/>
    <w:rsid w:val="00203F24"/>
    <w:rsid w:val="00204DBD"/>
    <w:rsid w:val="00204FB6"/>
    <w:rsid w:val="00205F02"/>
    <w:rsid w:val="00210377"/>
    <w:rsid w:val="00210545"/>
    <w:rsid w:val="00212224"/>
    <w:rsid w:val="00213637"/>
    <w:rsid w:val="00216CB7"/>
    <w:rsid w:val="00217827"/>
    <w:rsid w:val="00221FE2"/>
    <w:rsid w:val="002257C5"/>
    <w:rsid w:val="00227165"/>
    <w:rsid w:val="00235188"/>
    <w:rsid w:val="00236458"/>
    <w:rsid w:val="00236A23"/>
    <w:rsid w:val="00236B0D"/>
    <w:rsid w:val="00236E65"/>
    <w:rsid w:val="00242D64"/>
    <w:rsid w:val="00243D69"/>
    <w:rsid w:val="0025302E"/>
    <w:rsid w:val="002532A5"/>
    <w:rsid w:val="00253EDB"/>
    <w:rsid w:val="0025427C"/>
    <w:rsid w:val="00254363"/>
    <w:rsid w:val="0025540F"/>
    <w:rsid w:val="002558E7"/>
    <w:rsid w:val="00255FFA"/>
    <w:rsid w:val="00256F6A"/>
    <w:rsid w:val="00257308"/>
    <w:rsid w:val="002614E5"/>
    <w:rsid w:val="00262E47"/>
    <w:rsid w:val="00264F26"/>
    <w:rsid w:val="00266870"/>
    <w:rsid w:val="00266A0B"/>
    <w:rsid w:val="00275920"/>
    <w:rsid w:val="00276792"/>
    <w:rsid w:val="00276A86"/>
    <w:rsid w:val="0028173E"/>
    <w:rsid w:val="00282144"/>
    <w:rsid w:val="00284F04"/>
    <w:rsid w:val="002875ED"/>
    <w:rsid w:val="0029173E"/>
    <w:rsid w:val="00291AAF"/>
    <w:rsid w:val="00293AFF"/>
    <w:rsid w:val="002947FF"/>
    <w:rsid w:val="002A0C5D"/>
    <w:rsid w:val="002A3098"/>
    <w:rsid w:val="002A360A"/>
    <w:rsid w:val="002A4249"/>
    <w:rsid w:val="002A4B62"/>
    <w:rsid w:val="002A5B38"/>
    <w:rsid w:val="002A6C49"/>
    <w:rsid w:val="002B130C"/>
    <w:rsid w:val="002B20DB"/>
    <w:rsid w:val="002B2614"/>
    <w:rsid w:val="002B3858"/>
    <w:rsid w:val="002B4AA5"/>
    <w:rsid w:val="002B5935"/>
    <w:rsid w:val="002B7005"/>
    <w:rsid w:val="002C13BC"/>
    <w:rsid w:val="002C17C8"/>
    <w:rsid w:val="002C2CAB"/>
    <w:rsid w:val="002C3AD8"/>
    <w:rsid w:val="002C54FB"/>
    <w:rsid w:val="002C5568"/>
    <w:rsid w:val="002C7DD9"/>
    <w:rsid w:val="002D4AB5"/>
    <w:rsid w:val="002D5530"/>
    <w:rsid w:val="002D6F35"/>
    <w:rsid w:val="002D7DDA"/>
    <w:rsid w:val="002E0AFD"/>
    <w:rsid w:val="002E1BBC"/>
    <w:rsid w:val="002E5E41"/>
    <w:rsid w:val="002E69E9"/>
    <w:rsid w:val="002E7E36"/>
    <w:rsid w:val="002F1899"/>
    <w:rsid w:val="002F1D58"/>
    <w:rsid w:val="002F27FA"/>
    <w:rsid w:val="002F2C5E"/>
    <w:rsid w:val="002F3EF5"/>
    <w:rsid w:val="002F4968"/>
    <w:rsid w:val="002F50C2"/>
    <w:rsid w:val="002F6ADF"/>
    <w:rsid w:val="002F6D0D"/>
    <w:rsid w:val="002F7785"/>
    <w:rsid w:val="002F7FF9"/>
    <w:rsid w:val="003015BE"/>
    <w:rsid w:val="00302813"/>
    <w:rsid w:val="00303C12"/>
    <w:rsid w:val="003060D5"/>
    <w:rsid w:val="00306E45"/>
    <w:rsid w:val="00306F66"/>
    <w:rsid w:val="00307F30"/>
    <w:rsid w:val="00311A61"/>
    <w:rsid w:val="003154F0"/>
    <w:rsid w:val="0031692E"/>
    <w:rsid w:val="003175D7"/>
    <w:rsid w:val="00322FB2"/>
    <w:rsid w:val="00323874"/>
    <w:rsid w:val="00323E98"/>
    <w:rsid w:val="003317B4"/>
    <w:rsid w:val="00331C22"/>
    <w:rsid w:val="003338AB"/>
    <w:rsid w:val="00334416"/>
    <w:rsid w:val="0033449E"/>
    <w:rsid w:val="003356E4"/>
    <w:rsid w:val="00342F2F"/>
    <w:rsid w:val="00363EDC"/>
    <w:rsid w:val="00364F1E"/>
    <w:rsid w:val="00367528"/>
    <w:rsid w:val="00367959"/>
    <w:rsid w:val="00371628"/>
    <w:rsid w:val="00374BC4"/>
    <w:rsid w:val="0037509A"/>
    <w:rsid w:val="003842F4"/>
    <w:rsid w:val="00384AAF"/>
    <w:rsid w:val="00385272"/>
    <w:rsid w:val="003900B7"/>
    <w:rsid w:val="003910E1"/>
    <w:rsid w:val="003929B5"/>
    <w:rsid w:val="00394593"/>
    <w:rsid w:val="003A745F"/>
    <w:rsid w:val="003B453D"/>
    <w:rsid w:val="003B5086"/>
    <w:rsid w:val="003B700D"/>
    <w:rsid w:val="003C0CCA"/>
    <w:rsid w:val="003C0DCF"/>
    <w:rsid w:val="003C0E5D"/>
    <w:rsid w:val="003C47D2"/>
    <w:rsid w:val="003C602A"/>
    <w:rsid w:val="003C6D21"/>
    <w:rsid w:val="003C7F59"/>
    <w:rsid w:val="003D2AD3"/>
    <w:rsid w:val="003D2FE8"/>
    <w:rsid w:val="003D3546"/>
    <w:rsid w:val="003D5F15"/>
    <w:rsid w:val="003D5FE0"/>
    <w:rsid w:val="003D5FF8"/>
    <w:rsid w:val="003D6958"/>
    <w:rsid w:val="003D74EA"/>
    <w:rsid w:val="003E03BE"/>
    <w:rsid w:val="003E264F"/>
    <w:rsid w:val="003E2CC6"/>
    <w:rsid w:val="003E7F72"/>
    <w:rsid w:val="003F0B68"/>
    <w:rsid w:val="003F3570"/>
    <w:rsid w:val="003F5CBD"/>
    <w:rsid w:val="003F5EEF"/>
    <w:rsid w:val="003F6908"/>
    <w:rsid w:val="00403228"/>
    <w:rsid w:val="004052F1"/>
    <w:rsid w:val="00410A5B"/>
    <w:rsid w:val="004138D9"/>
    <w:rsid w:val="004165A1"/>
    <w:rsid w:val="00417550"/>
    <w:rsid w:val="00421577"/>
    <w:rsid w:val="004222AB"/>
    <w:rsid w:val="00422861"/>
    <w:rsid w:val="00426569"/>
    <w:rsid w:val="00427BB1"/>
    <w:rsid w:val="00431D49"/>
    <w:rsid w:val="004343F3"/>
    <w:rsid w:val="00436617"/>
    <w:rsid w:val="00437C49"/>
    <w:rsid w:val="00437FFD"/>
    <w:rsid w:val="00444190"/>
    <w:rsid w:val="004453FF"/>
    <w:rsid w:val="00447268"/>
    <w:rsid w:val="0044753C"/>
    <w:rsid w:val="00450DEB"/>
    <w:rsid w:val="0045175B"/>
    <w:rsid w:val="00452013"/>
    <w:rsid w:val="00452D4E"/>
    <w:rsid w:val="00453059"/>
    <w:rsid w:val="00453198"/>
    <w:rsid w:val="004541E0"/>
    <w:rsid w:val="0045618A"/>
    <w:rsid w:val="00457C5A"/>
    <w:rsid w:val="00463868"/>
    <w:rsid w:val="00482DE4"/>
    <w:rsid w:val="00485B09"/>
    <w:rsid w:val="00486A30"/>
    <w:rsid w:val="00490424"/>
    <w:rsid w:val="00491CC8"/>
    <w:rsid w:val="00491E16"/>
    <w:rsid w:val="00491E8F"/>
    <w:rsid w:val="004962BA"/>
    <w:rsid w:val="004963BE"/>
    <w:rsid w:val="0049716A"/>
    <w:rsid w:val="004A1268"/>
    <w:rsid w:val="004A43DB"/>
    <w:rsid w:val="004A496C"/>
    <w:rsid w:val="004A5761"/>
    <w:rsid w:val="004B2FBD"/>
    <w:rsid w:val="004B5C86"/>
    <w:rsid w:val="004B64F6"/>
    <w:rsid w:val="004B7374"/>
    <w:rsid w:val="004C2AE1"/>
    <w:rsid w:val="004C3A3F"/>
    <w:rsid w:val="004C3A94"/>
    <w:rsid w:val="004C5B4A"/>
    <w:rsid w:val="004C5C2A"/>
    <w:rsid w:val="004C6F56"/>
    <w:rsid w:val="004C7BEF"/>
    <w:rsid w:val="004D349F"/>
    <w:rsid w:val="004D516E"/>
    <w:rsid w:val="004E0CB0"/>
    <w:rsid w:val="004E0D5E"/>
    <w:rsid w:val="004E1A72"/>
    <w:rsid w:val="004E3A4F"/>
    <w:rsid w:val="004E55BB"/>
    <w:rsid w:val="004F07EC"/>
    <w:rsid w:val="004F34B4"/>
    <w:rsid w:val="00500705"/>
    <w:rsid w:val="005036E3"/>
    <w:rsid w:val="005055AC"/>
    <w:rsid w:val="005055C0"/>
    <w:rsid w:val="0050776C"/>
    <w:rsid w:val="00507E91"/>
    <w:rsid w:val="00511015"/>
    <w:rsid w:val="00514C3E"/>
    <w:rsid w:val="00515136"/>
    <w:rsid w:val="00521EAD"/>
    <w:rsid w:val="0052272D"/>
    <w:rsid w:val="0052312A"/>
    <w:rsid w:val="00524A86"/>
    <w:rsid w:val="005276B8"/>
    <w:rsid w:val="005301E8"/>
    <w:rsid w:val="00530929"/>
    <w:rsid w:val="00531116"/>
    <w:rsid w:val="00532FFA"/>
    <w:rsid w:val="0053703D"/>
    <w:rsid w:val="005409FF"/>
    <w:rsid w:val="00550D02"/>
    <w:rsid w:val="00552C1C"/>
    <w:rsid w:val="0055572F"/>
    <w:rsid w:val="00556F7F"/>
    <w:rsid w:val="00557EBA"/>
    <w:rsid w:val="00560920"/>
    <w:rsid w:val="00561DCA"/>
    <w:rsid w:val="00562F5E"/>
    <w:rsid w:val="00566880"/>
    <w:rsid w:val="00573EC4"/>
    <w:rsid w:val="005746C8"/>
    <w:rsid w:val="0057544E"/>
    <w:rsid w:val="00576822"/>
    <w:rsid w:val="005776F7"/>
    <w:rsid w:val="00581933"/>
    <w:rsid w:val="005845A0"/>
    <w:rsid w:val="00584A80"/>
    <w:rsid w:val="005874D6"/>
    <w:rsid w:val="005933AF"/>
    <w:rsid w:val="005963BB"/>
    <w:rsid w:val="005A242E"/>
    <w:rsid w:val="005A6271"/>
    <w:rsid w:val="005A7A4C"/>
    <w:rsid w:val="005B4520"/>
    <w:rsid w:val="005B49D3"/>
    <w:rsid w:val="005B4A41"/>
    <w:rsid w:val="005C0E6F"/>
    <w:rsid w:val="005C155E"/>
    <w:rsid w:val="005C2523"/>
    <w:rsid w:val="005C5BD5"/>
    <w:rsid w:val="005D0EE2"/>
    <w:rsid w:val="005D1E08"/>
    <w:rsid w:val="005D3F93"/>
    <w:rsid w:val="005D6781"/>
    <w:rsid w:val="005D7561"/>
    <w:rsid w:val="005E0D2F"/>
    <w:rsid w:val="005E11E9"/>
    <w:rsid w:val="005E41D8"/>
    <w:rsid w:val="005E46B7"/>
    <w:rsid w:val="005F1EBA"/>
    <w:rsid w:val="005F430B"/>
    <w:rsid w:val="005F49C0"/>
    <w:rsid w:val="005F5A11"/>
    <w:rsid w:val="005F651E"/>
    <w:rsid w:val="00601115"/>
    <w:rsid w:val="006017C0"/>
    <w:rsid w:val="00602A36"/>
    <w:rsid w:val="006030BF"/>
    <w:rsid w:val="0061410F"/>
    <w:rsid w:val="00615A02"/>
    <w:rsid w:val="00615BD4"/>
    <w:rsid w:val="00616754"/>
    <w:rsid w:val="00617D05"/>
    <w:rsid w:val="006248F6"/>
    <w:rsid w:val="006253AA"/>
    <w:rsid w:val="00631962"/>
    <w:rsid w:val="00632072"/>
    <w:rsid w:val="006353DA"/>
    <w:rsid w:val="0063750B"/>
    <w:rsid w:val="00642894"/>
    <w:rsid w:val="00643F19"/>
    <w:rsid w:val="00645E37"/>
    <w:rsid w:val="00652C83"/>
    <w:rsid w:val="00657DA9"/>
    <w:rsid w:val="006615A3"/>
    <w:rsid w:val="006676DD"/>
    <w:rsid w:val="0067010F"/>
    <w:rsid w:val="006709C5"/>
    <w:rsid w:val="0068294F"/>
    <w:rsid w:val="006838EC"/>
    <w:rsid w:val="00695FD4"/>
    <w:rsid w:val="00696E15"/>
    <w:rsid w:val="00697104"/>
    <w:rsid w:val="006974A9"/>
    <w:rsid w:val="006A06B5"/>
    <w:rsid w:val="006A3519"/>
    <w:rsid w:val="006A3E8E"/>
    <w:rsid w:val="006A3F68"/>
    <w:rsid w:val="006A4BB5"/>
    <w:rsid w:val="006B242B"/>
    <w:rsid w:val="006B4D54"/>
    <w:rsid w:val="006B50A6"/>
    <w:rsid w:val="006B5956"/>
    <w:rsid w:val="006C3888"/>
    <w:rsid w:val="006C5526"/>
    <w:rsid w:val="006C5EB2"/>
    <w:rsid w:val="006C6B0D"/>
    <w:rsid w:val="006D14C2"/>
    <w:rsid w:val="006D14F1"/>
    <w:rsid w:val="006D3F75"/>
    <w:rsid w:val="006D791D"/>
    <w:rsid w:val="006E3A77"/>
    <w:rsid w:val="006E4C69"/>
    <w:rsid w:val="006E5FD2"/>
    <w:rsid w:val="006E6E07"/>
    <w:rsid w:val="006E76ED"/>
    <w:rsid w:val="006F238D"/>
    <w:rsid w:val="006F28A3"/>
    <w:rsid w:val="006F35AB"/>
    <w:rsid w:val="006F508A"/>
    <w:rsid w:val="006F7447"/>
    <w:rsid w:val="00702E9D"/>
    <w:rsid w:val="00702EB0"/>
    <w:rsid w:val="00706A09"/>
    <w:rsid w:val="00707DF3"/>
    <w:rsid w:val="007117D9"/>
    <w:rsid w:val="00713AC4"/>
    <w:rsid w:val="00713E3C"/>
    <w:rsid w:val="007160D7"/>
    <w:rsid w:val="007175DC"/>
    <w:rsid w:val="00717AEC"/>
    <w:rsid w:val="00720128"/>
    <w:rsid w:val="00720996"/>
    <w:rsid w:val="00726685"/>
    <w:rsid w:val="00730F60"/>
    <w:rsid w:val="00731059"/>
    <w:rsid w:val="00732A55"/>
    <w:rsid w:val="007360B8"/>
    <w:rsid w:val="00740345"/>
    <w:rsid w:val="007459A1"/>
    <w:rsid w:val="0074716D"/>
    <w:rsid w:val="00755C4D"/>
    <w:rsid w:val="00757965"/>
    <w:rsid w:val="00760ECA"/>
    <w:rsid w:val="00761561"/>
    <w:rsid w:val="00767000"/>
    <w:rsid w:val="00777A71"/>
    <w:rsid w:val="00781F92"/>
    <w:rsid w:val="007863A7"/>
    <w:rsid w:val="00786D83"/>
    <w:rsid w:val="00790E21"/>
    <w:rsid w:val="00795305"/>
    <w:rsid w:val="0079619D"/>
    <w:rsid w:val="007A3D55"/>
    <w:rsid w:val="007A46AA"/>
    <w:rsid w:val="007A48B2"/>
    <w:rsid w:val="007B2762"/>
    <w:rsid w:val="007B2EFD"/>
    <w:rsid w:val="007B3E53"/>
    <w:rsid w:val="007B4805"/>
    <w:rsid w:val="007B5AFA"/>
    <w:rsid w:val="007B718B"/>
    <w:rsid w:val="007B7880"/>
    <w:rsid w:val="007C17CE"/>
    <w:rsid w:val="007C2767"/>
    <w:rsid w:val="007C3697"/>
    <w:rsid w:val="007C4C1B"/>
    <w:rsid w:val="007C62F3"/>
    <w:rsid w:val="007C754E"/>
    <w:rsid w:val="007C7C9C"/>
    <w:rsid w:val="007D48A2"/>
    <w:rsid w:val="007D4BD0"/>
    <w:rsid w:val="007E30AA"/>
    <w:rsid w:val="007E5369"/>
    <w:rsid w:val="007E5D8F"/>
    <w:rsid w:val="007E6CAF"/>
    <w:rsid w:val="007F0FA6"/>
    <w:rsid w:val="007F12EA"/>
    <w:rsid w:val="007F558A"/>
    <w:rsid w:val="007F5D14"/>
    <w:rsid w:val="007F64A7"/>
    <w:rsid w:val="00802559"/>
    <w:rsid w:val="00804BC4"/>
    <w:rsid w:val="008102DD"/>
    <w:rsid w:val="00810F68"/>
    <w:rsid w:val="00812862"/>
    <w:rsid w:val="0081528B"/>
    <w:rsid w:val="00815433"/>
    <w:rsid w:val="00823B3E"/>
    <w:rsid w:val="00823ED0"/>
    <w:rsid w:val="00824C90"/>
    <w:rsid w:val="00827FDF"/>
    <w:rsid w:val="008300AF"/>
    <w:rsid w:val="0083145F"/>
    <w:rsid w:val="0083194F"/>
    <w:rsid w:val="008320C1"/>
    <w:rsid w:val="008376EB"/>
    <w:rsid w:val="00840A26"/>
    <w:rsid w:val="00841A89"/>
    <w:rsid w:val="008424AF"/>
    <w:rsid w:val="00844D54"/>
    <w:rsid w:val="00845676"/>
    <w:rsid w:val="0085036C"/>
    <w:rsid w:val="0085739F"/>
    <w:rsid w:val="00857FD6"/>
    <w:rsid w:val="008625C6"/>
    <w:rsid w:val="008643FE"/>
    <w:rsid w:val="00865852"/>
    <w:rsid w:val="00873409"/>
    <w:rsid w:val="008740AA"/>
    <w:rsid w:val="0087431B"/>
    <w:rsid w:val="008766AD"/>
    <w:rsid w:val="0087754C"/>
    <w:rsid w:val="0088005B"/>
    <w:rsid w:val="00880E48"/>
    <w:rsid w:val="00881047"/>
    <w:rsid w:val="008829DA"/>
    <w:rsid w:val="00883570"/>
    <w:rsid w:val="00883860"/>
    <w:rsid w:val="008867D4"/>
    <w:rsid w:val="00886DB0"/>
    <w:rsid w:val="00890161"/>
    <w:rsid w:val="00891F1F"/>
    <w:rsid w:val="008975B2"/>
    <w:rsid w:val="00897607"/>
    <w:rsid w:val="008A3712"/>
    <w:rsid w:val="008A37CF"/>
    <w:rsid w:val="008A4953"/>
    <w:rsid w:val="008A6B5F"/>
    <w:rsid w:val="008A755D"/>
    <w:rsid w:val="008B0391"/>
    <w:rsid w:val="008B166B"/>
    <w:rsid w:val="008B17B8"/>
    <w:rsid w:val="008C165F"/>
    <w:rsid w:val="008C1C63"/>
    <w:rsid w:val="008C5841"/>
    <w:rsid w:val="008D3BD2"/>
    <w:rsid w:val="008D64E5"/>
    <w:rsid w:val="008E0B76"/>
    <w:rsid w:val="008E6FE7"/>
    <w:rsid w:val="008E79B7"/>
    <w:rsid w:val="008E7A75"/>
    <w:rsid w:val="008F1380"/>
    <w:rsid w:val="008F51EA"/>
    <w:rsid w:val="008F6924"/>
    <w:rsid w:val="008F7FEC"/>
    <w:rsid w:val="009003C5"/>
    <w:rsid w:val="009011EF"/>
    <w:rsid w:val="00901381"/>
    <w:rsid w:val="009016D6"/>
    <w:rsid w:val="00903F92"/>
    <w:rsid w:val="0090611B"/>
    <w:rsid w:val="009132F0"/>
    <w:rsid w:val="00915703"/>
    <w:rsid w:val="0091724E"/>
    <w:rsid w:val="009206A8"/>
    <w:rsid w:val="00921B03"/>
    <w:rsid w:val="00925B76"/>
    <w:rsid w:val="00926B77"/>
    <w:rsid w:val="00927860"/>
    <w:rsid w:val="00927F9C"/>
    <w:rsid w:val="009317B5"/>
    <w:rsid w:val="00931EE0"/>
    <w:rsid w:val="00933AB0"/>
    <w:rsid w:val="00933E66"/>
    <w:rsid w:val="00934628"/>
    <w:rsid w:val="009371A0"/>
    <w:rsid w:val="009429AB"/>
    <w:rsid w:val="009431E8"/>
    <w:rsid w:val="00947160"/>
    <w:rsid w:val="0094719E"/>
    <w:rsid w:val="009505D9"/>
    <w:rsid w:val="00950782"/>
    <w:rsid w:val="00950EF7"/>
    <w:rsid w:val="009524A8"/>
    <w:rsid w:val="00952F09"/>
    <w:rsid w:val="009545AF"/>
    <w:rsid w:val="00960D12"/>
    <w:rsid w:val="00962DA6"/>
    <w:rsid w:val="00962EAA"/>
    <w:rsid w:val="0096322E"/>
    <w:rsid w:val="00963B55"/>
    <w:rsid w:val="009669D6"/>
    <w:rsid w:val="00970BB7"/>
    <w:rsid w:val="009713EB"/>
    <w:rsid w:val="00972825"/>
    <w:rsid w:val="0097602E"/>
    <w:rsid w:val="00976200"/>
    <w:rsid w:val="00977C7D"/>
    <w:rsid w:val="00982933"/>
    <w:rsid w:val="0098501B"/>
    <w:rsid w:val="00987B1E"/>
    <w:rsid w:val="00990450"/>
    <w:rsid w:val="00991879"/>
    <w:rsid w:val="00991907"/>
    <w:rsid w:val="009968EE"/>
    <w:rsid w:val="009A4732"/>
    <w:rsid w:val="009B1AB7"/>
    <w:rsid w:val="009B1BD5"/>
    <w:rsid w:val="009B3DB9"/>
    <w:rsid w:val="009B773D"/>
    <w:rsid w:val="009C38D0"/>
    <w:rsid w:val="009C51D2"/>
    <w:rsid w:val="009C5C27"/>
    <w:rsid w:val="009C7160"/>
    <w:rsid w:val="009D0242"/>
    <w:rsid w:val="009D088E"/>
    <w:rsid w:val="009D4FFC"/>
    <w:rsid w:val="009E0C07"/>
    <w:rsid w:val="009E1264"/>
    <w:rsid w:val="009E444C"/>
    <w:rsid w:val="009E6E9B"/>
    <w:rsid w:val="009F156A"/>
    <w:rsid w:val="009F169A"/>
    <w:rsid w:val="009F53FD"/>
    <w:rsid w:val="009F6061"/>
    <w:rsid w:val="009F7231"/>
    <w:rsid w:val="00A0538D"/>
    <w:rsid w:val="00A06421"/>
    <w:rsid w:val="00A1155E"/>
    <w:rsid w:val="00A13788"/>
    <w:rsid w:val="00A20B55"/>
    <w:rsid w:val="00A24321"/>
    <w:rsid w:val="00A273C4"/>
    <w:rsid w:val="00A313CD"/>
    <w:rsid w:val="00A33A47"/>
    <w:rsid w:val="00A33F2F"/>
    <w:rsid w:val="00A34D8C"/>
    <w:rsid w:val="00A36DAB"/>
    <w:rsid w:val="00A36E3E"/>
    <w:rsid w:val="00A41BFD"/>
    <w:rsid w:val="00A42572"/>
    <w:rsid w:val="00A4346A"/>
    <w:rsid w:val="00A54AFD"/>
    <w:rsid w:val="00A56936"/>
    <w:rsid w:val="00A57140"/>
    <w:rsid w:val="00A57A3B"/>
    <w:rsid w:val="00A7329E"/>
    <w:rsid w:val="00A74188"/>
    <w:rsid w:val="00A742C2"/>
    <w:rsid w:val="00A76FD5"/>
    <w:rsid w:val="00A8029E"/>
    <w:rsid w:val="00A80E5A"/>
    <w:rsid w:val="00A82538"/>
    <w:rsid w:val="00A8273E"/>
    <w:rsid w:val="00A84FE6"/>
    <w:rsid w:val="00A9337E"/>
    <w:rsid w:val="00A93AEC"/>
    <w:rsid w:val="00A94D42"/>
    <w:rsid w:val="00A96B03"/>
    <w:rsid w:val="00AA03C3"/>
    <w:rsid w:val="00AA1385"/>
    <w:rsid w:val="00AA1821"/>
    <w:rsid w:val="00AA5921"/>
    <w:rsid w:val="00AA72D4"/>
    <w:rsid w:val="00AA7CF9"/>
    <w:rsid w:val="00AB0AD1"/>
    <w:rsid w:val="00AB1E10"/>
    <w:rsid w:val="00AB3C34"/>
    <w:rsid w:val="00AB7656"/>
    <w:rsid w:val="00AB793F"/>
    <w:rsid w:val="00AC489C"/>
    <w:rsid w:val="00AC4B7D"/>
    <w:rsid w:val="00AC6119"/>
    <w:rsid w:val="00AD1745"/>
    <w:rsid w:val="00AD1FDF"/>
    <w:rsid w:val="00AD2EA3"/>
    <w:rsid w:val="00AD6C3C"/>
    <w:rsid w:val="00AE1A58"/>
    <w:rsid w:val="00AE1CA2"/>
    <w:rsid w:val="00AF3EAA"/>
    <w:rsid w:val="00AF4DD6"/>
    <w:rsid w:val="00AF62CF"/>
    <w:rsid w:val="00B01BFB"/>
    <w:rsid w:val="00B03E80"/>
    <w:rsid w:val="00B04BA0"/>
    <w:rsid w:val="00B0510A"/>
    <w:rsid w:val="00B078BC"/>
    <w:rsid w:val="00B07FE1"/>
    <w:rsid w:val="00B12A19"/>
    <w:rsid w:val="00B147DD"/>
    <w:rsid w:val="00B155B3"/>
    <w:rsid w:val="00B157F0"/>
    <w:rsid w:val="00B15C10"/>
    <w:rsid w:val="00B203AC"/>
    <w:rsid w:val="00B2060B"/>
    <w:rsid w:val="00B251B8"/>
    <w:rsid w:val="00B2520A"/>
    <w:rsid w:val="00B27525"/>
    <w:rsid w:val="00B30B70"/>
    <w:rsid w:val="00B4030F"/>
    <w:rsid w:val="00B419AE"/>
    <w:rsid w:val="00B43B35"/>
    <w:rsid w:val="00B4778F"/>
    <w:rsid w:val="00B5070B"/>
    <w:rsid w:val="00B5151E"/>
    <w:rsid w:val="00B521B5"/>
    <w:rsid w:val="00B5237B"/>
    <w:rsid w:val="00B53A26"/>
    <w:rsid w:val="00B55D8E"/>
    <w:rsid w:val="00B6315C"/>
    <w:rsid w:val="00B707DC"/>
    <w:rsid w:val="00B724AF"/>
    <w:rsid w:val="00B75C69"/>
    <w:rsid w:val="00B76B32"/>
    <w:rsid w:val="00B80D38"/>
    <w:rsid w:val="00B937DF"/>
    <w:rsid w:val="00B94301"/>
    <w:rsid w:val="00BA1A22"/>
    <w:rsid w:val="00BA3C47"/>
    <w:rsid w:val="00BB041E"/>
    <w:rsid w:val="00BB44A2"/>
    <w:rsid w:val="00BB69D7"/>
    <w:rsid w:val="00BB6F71"/>
    <w:rsid w:val="00BC0A77"/>
    <w:rsid w:val="00BC0AA3"/>
    <w:rsid w:val="00BC27C6"/>
    <w:rsid w:val="00BC2D6F"/>
    <w:rsid w:val="00BC39ED"/>
    <w:rsid w:val="00BC5C42"/>
    <w:rsid w:val="00BC5D97"/>
    <w:rsid w:val="00BC6413"/>
    <w:rsid w:val="00BD1397"/>
    <w:rsid w:val="00BD2191"/>
    <w:rsid w:val="00BD240D"/>
    <w:rsid w:val="00BD3DF1"/>
    <w:rsid w:val="00BD4F6A"/>
    <w:rsid w:val="00BE23FB"/>
    <w:rsid w:val="00BE2C93"/>
    <w:rsid w:val="00BE436B"/>
    <w:rsid w:val="00BE6443"/>
    <w:rsid w:val="00BE6C8F"/>
    <w:rsid w:val="00BF0070"/>
    <w:rsid w:val="00BF00A6"/>
    <w:rsid w:val="00BF2CFE"/>
    <w:rsid w:val="00BF36A8"/>
    <w:rsid w:val="00BF3AC4"/>
    <w:rsid w:val="00C0050D"/>
    <w:rsid w:val="00C00F5C"/>
    <w:rsid w:val="00C0134C"/>
    <w:rsid w:val="00C013D2"/>
    <w:rsid w:val="00C0222E"/>
    <w:rsid w:val="00C02445"/>
    <w:rsid w:val="00C03416"/>
    <w:rsid w:val="00C0395F"/>
    <w:rsid w:val="00C073A3"/>
    <w:rsid w:val="00C106AC"/>
    <w:rsid w:val="00C11989"/>
    <w:rsid w:val="00C11BB5"/>
    <w:rsid w:val="00C15533"/>
    <w:rsid w:val="00C20C74"/>
    <w:rsid w:val="00C21C5D"/>
    <w:rsid w:val="00C250F8"/>
    <w:rsid w:val="00C27E03"/>
    <w:rsid w:val="00C31A2F"/>
    <w:rsid w:val="00C3311C"/>
    <w:rsid w:val="00C35248"/>
    <w:rsid w:val="00C409A1"/>
    <w:rsid w:val="00C42B32"/>
    <w:rsid w:val="00C45DE0"/>
    <w:rsid w:val="00C46CA3"/>
    <w:rsid w:val="00C52238"/>
    <w:rsid w:val="00C536F9"/>
    <w:rsid w:val="00C5562B"/>
    <w:rsid w:val="00C57E23"/>
    <w:rsid w:val="00C62174"/>
    <w:rsid w:val="00C63333"/>
    <w:rsid w:val="00C71236"/>
    <w:rsid w:val="00C72480"/>
    <w:rsid w:val="00C72FA5"/>
    <w:rsid w:val="00C7419D"/>
    <w:rsid w:val="00C760FE"/>
    <w:rsid w:val="00C76CA6"/>
    <w:rsid w:val="00C83DAC"/>
    <w:rsid w:val="00C84A20"/>
    <w:rsid w:val="00C85F27"/>
    <w:rsid w:val="00C87070"/>
    <w:rsid w:val="00C87573"/>
    <w:rsid w:val="00C938E7"/>
    <w:rsid w:val="00C95014"/>
    <w:rsid w:val="00C97274"/>
    <w:rsid w:val="00CA31FE"/>
    <w:rsid w:val="00CA5D9B"/>
    <w:rsid w:val="00CB0FDA"/>
    <w:rsid w:val="00CB2B08"/>
    <w:rsid w:val="00CB3DCF"/>
    <w:rsid w:val="00CB4C7F"/>
    <w:rsid w:val="00CB5022"/>
    <w:rsid w:val="00CC0EFB"/>
    <w:rsid w:val="00CC19A7"/>
    <w:rsid w:val="00CC5ADB"/>
    <w:rsid w:val="00CC750A"/>
    <w:rsid w:val="00CD0ED8"/>
    <w:rsid w:val="00CD1EA5"/>
    <w:rsid w:val="00CD6788"/>
    <w:rsid w:val="00CD724D"/>
    <w:rsid w:val="00CD7974"/>
    <w:rsid w:val="00CE42A6"/>
    <w:rsid w:val="00CF3063"/>
    <w:rsid w:val="00CF4D78"/>
    <w:rsid w:val="00CF5AB3"/>
    <w:rsid w:val="00CF5B0E"/>
    <w:rsid w:val="00CF6979"/>
    <w:rsid w:val="00CF6DF1"/>
    <w:rsid w:val="00CF7E18"/>
    <w:rsid w:val="00CF7E89"/>
    <w:rsid w:val="00D03384"/>
    <w:rsid w:val="00D04D8A"/>
    <w:rsid w:val="00D138ED"/>
    <w:rsid w:val="00D13A4B"/>
    <w:rsid w:val="00D13F30"/>
    <w:rsid w:val="00D146BA"/>
    <w:rsid w:val="00D15968"/>
    <w:rsid w:val="00D16DD8"/>
    <w:rsid w:val="00D201EF"/>
    <w:rsid w:val="00D2277B"/>
    <w:rsid w:val="00D24376"/>
    <w:rsid w:val="00D2547F"/>
    <w:rsid w:val="00D30501"/>
    <w:rsid w:val="00D309E7"/>
    <w:rsid w:val="00D31A7D"/>
    <w:rsid w:val="00D31E18"/>
    <w:rsid w:val="00D3692A"/>
    <w:rsid w:val="00D40281"/>
    <w:rsid w:val="00D45D0B"/>
    <w:rsid w:val="00D514C2"/>
    <w:rsid w:val="00D52B3F"/>
    <w:rsid w:val="00D61624"/>
    <w:rsid w:val="00D616C5"/>
    <w:rsid w:val="00D64BAD"/>
    <w:rsid w:val="00D65E25"/>
    <w:rsid w:val="00D708BF"/>
    <w:rsid w:val="00D70F89"/>
    <w:rsid w:val="00D7227B"/>
    <w:rsid w:val="00D75102"/>
    <w:rsid w:val="00D804C5"/>
    <w:rsid w:val="00D835BD"/>
    <w:rsid w:val="00D83C34"/>
    <w:rsid w:val="00D85891"/>
    <w:rsid w:val="00D86446"/>
    <w:rsid w:val="00D90176"/>
    <w:rsid w:val="00D94F5B"/>
    <w:rsid w:val="00D951C1"/>
    <w:rsid w:val="00D95906"/>
    <w:rsid w:val="00DA002B"/>
    <w:rsid w:val="00DA4B69"/>
    <w:rsid w:val="00DB3376"/>
    <w:rsid w:val="00DB5FC0"/>
    <w:rsid w:val="00DB66FD"/>
    <w:rsid w:val="00DB6BD1"/>
    <w:rsid w:val="00DC0038"/>
    <w:rsid w:val="00DD1EA2"/>
    <w:rsid w:val="00DE1A42"/>
    <w:rsid w:val="00DE312A"/>
    <w:rsid w:val="00DE5424"/>
    <w:rsid w:val="00DE642B"/>
    <w:rsid w:val="00DE6F3E"/>
    <w:rsid w:val="00DF231D"/>
    <w:rsid w:val="00E01FEC"/>
    <w:rsid w:val="00E02239"/>
    <w:rsid w:val="00E05334"/>
    <w:rsid w:val="00E07BE5"/>
    <w:rsid w:val="00E106A2"/>
    <w:rsid w:val="00E109E9"/>
    <w:rsid w:val="00E11986"/>
    <w:rsid w:val="00E17CDC"/>
    <w:rsid w:val="00E17E36"/>
    <w:rsid w:val="00E208EC"/>
    <w:rsid w:val="00E20AB2"/>
    <w:rsid w:val="00E266D3"/>
    <w:rsid w:val="00E30A3A"/>
    <w:rsid w:val="00E32E15"/>
    <w:rsid w:val="00E36866"/>
    <w:rsid w:val="00E371CE"/>
    <w:rsid w:val="00E40FAC"/>
    <w:rsid w:val="00E4116C"/>
    <w:rsid w:val="00E434DD"/>
    <w:rsid w:val="00E50307"/>
    <w:rsid w:val="00E50BF4"/>
    <w:rsid w:val="00E53FF1"/>
    <w:rsid w:val="00E5406C"/>
    <w:rsid w:val="00E5487B"/>
    <w:rsid w:val="00E54E09"/>
    <w:rsid w:val="00E629BE"/>
    <w:rsid w:val="00E662A7"/>
    <w:rsid w:val="00E71814"/>
    <w:rsid w:val="00E7477C"/>
    <w:rsid w:val="00E75629"/>
    <w:rsid w:val="00E80AFC"/>
    <w:rsid w:val="00E8279E"/>
    <w:rsid w:val="00E8336E"/>
    <w:rsid w:val="00E83BA9"/>
    <w:rsid w:val="00E85423"/>
    <w:rsid w:val="00E854C5"/>
    <w:rsid w:val="00E95DC0"/>
    <w:rsid w:val="00E97B65"/>
    <w:rsid w:val="00EA3540"/>
    <w:rsid w:val="00EA3BFC"/>
    <w:rsid w:val="00EA5071"/>
    <w:rsid w:val="00EA6047"/>
    <w:rsid w:val="00EA6363"/>
    <w:rsid w:val="00EB0B85"/>
    <w:rsid w:val="00EB39E3"/>
    <w:rsid w:val="00EB69C4"/>
    <w:rsid w:val="00EC24B8"/>
    <w:rsid w:val="00EC4B8F"/>
    <w:rsid w:val="00EC5DF2"/>
    <w:rsid w:val="00EC699D"/>
    <w:rsid w:val="00ED24C7"/>
    <w:rsid w:val="00ED2811"/>
    <w:rsid w:val="00ED7348"/>
    <w:rsid w:val="00ED7D5F"/>
    <w:rsid w:val="00EE04A3"/>
    <w:rsid w:val="00EE3B01"/>
    <w:rsid w:val="00EE429A"/>
    <w:rsid w:val="00EE767E"/>
    <w:rsid w:val="00F008B6"/>
    <w:rsid w:val="00F04C65"/>
    <w:rsid w:val="00F1422C"/>
    <w:rsid w:val="00F14781"/>
    <w:rsid w:val="00F16021"/>
    <w:rsid w:val="00F22963"/>
    <w:rsid w:val="00F25212"/>
    <w:rsid w:val="00F269F7"/>
    <w:rsid w:val="00F306F0"/>
    <w:rsid w:val="00F31BB7"/>
    <w:rsid w:val="00F3328D"/>
    <w:rsid w:val="00F347E3"/>
    <w:rsid w:val="00F34B56"/>
    <w:rsid w:val="00F352F0"/>
    <w:rsid w:val="00F377E8"/>
    <w:rsid w:val="00F37BB8"/>
    <w:rsid w:val="00F4225E"/>
    <w:rsid w:val="00F4412D"/>
    <w:rsid w:val="00F4439A"/>
    <w:rsid w:val="00F447DE"/>
    <w:rsid w:val="00F47EA0"/>
    <w:rsid w:val="00F52757"/>
    <w:rsid w:val="00F52DB5"/>
    <w:rsid w:val="00F55119"/>
    <w:rsid w:val="00F556D2"/>
    <w:rsid w:val="00F575A6"/>
    <w:rsid w:val="00F60DDF"/>
    <w:rsid w:val="00F60ECD"/>
    <w:rsid w:val="00F65EE8"/>
    <w:rsid w:val="00F7140D"/>
    <w:rsid w:val="00F71E15"/>
    <w:rsid w:val="00F757FF"/>
    <w:rsid w:val="00F8117D"/>
    <w:rsid w:val="00F81CB2"/>
    <w:rsid w:val="00F82D47"/>
    <w:rsid w:val="00F84CBC"/>
    <w:rsid w:val="00F86481"/>
    <w:rsid w:val="00F90F1F"/>
    <w:rsid w:val="00FA6B80"/>
    <w:rsid w:val="00FA7A2F"/>
    <w:rsid w:val="00FB1819"/>
    <w:rsid w:val="00FB3272"/>
    <w:rsid w:val="00FB41E4"/>
    <w:rsid w:val="00FB501D"/>
    <w:rsid w:val="00FC08C8"/>
    <w:rsid w:val="00FC1067"/>
    <w:rsid w:val="00FC481F"/>
    <w:rsid w:val="00FC501E"/>
    <w:rsid w:val="00FD420D"/>
    <w:rsid w:val="00FD424F"/>
    <w:rsid w:val="00FD4E45"/>
    <w:rsid w:val="00FD555A"/>
    <w:rsid w:val="00FD60A3"/>
    <w:rsid w:val="00FD62C9"/>
    <w:rsid w:val="00FD660D"/>
    <w:rsid w:val="00FE4215"/>
    <w:rsid w:val="00FE5D97"/>
    <w:rsid w:val="00FE662E"/>
    <w:rsid w:val="00FF0A53"/>
    <w:rsid w:val="00FF1374"/>
    <w:rsid w:val="00FF2BB5"/>
    <w:rsid w:val="00FF67B9"/>
    <w:rsid w:val="00FF6ABC"/>
    <w:rsid w:val="00FF6DDD"/>
    <w:rsid w:val="00FF6D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Paragraphe"/>
    <w:qFormat/>
    <w:rsid w:val="0096322E"/>
    <w:pPr>
      <w:keepNext/>
      <w:spacing w:before="240" w:after="60"/>
      <w:outlineLvl w:val="0"/>
    </w:pPr>
    <w:rPr>
      <w:b/>
      <w:kern w:val="28"/>
    </w:rPr>
  </w:style>
  <w:style w:type="paragraph" w:styleId="Titre2">
    <w:name w:val="heading 2"/>
    <w:basedOn w:val="Normal"/>
    <w:next w:val="Paragraphe"/>
    <w:qFormat/>
    <w:pPr>
      <w:keepNext/>
      <w:spacing w:before="240" w:after="60"/>
      <w:outlineLvl w:val="1"/>
    </w:pPr>
    <w:rPr>
      <w:b/>
      <w:i/>
    </w:rPr>
  </w:style>
  <w:style w:type="paragraph" w:styleId="Titre3">
    <w:name w:val="heading 3"/>
    <w:basedOn w:val="Normal"/>
    <w:next w:val="Paragraphe"/>
    <w:qFormat/>
    <w:rsid w:val="0096322E"/>
    <w:pPr>
      <w:keepNext/>
      <w:spacing w:before="240" w:after="60"/>
      <w:outlineLvl w:val="2"/>
    </w:pPr>
    <w:rPr>
      <w:i/>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rsid w:val="0096322E"/>
    <w:pPr>
      <w:tabs>
        <w:tab w:val="num" w:pos="360"/>
      </w:tabs>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tabs>
        <w:tab w:val="clear" w:pos="360"/>
      </w:tabs>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rsid w:val="00B4030F"/>
    <w:pPr>
      <w:tabs>
        <w:tab w:val="center" w:pos="4320"/>
        <w:tab w:val="right" w:pos="8640"/>
      </w:tabs>
    </w:pPr>
  </w:style>
  <w:style w:type="paragraph" w:styleId="Pieddepage">
    <w:name w:val="footer"/>
    <w:basedOn w:val="Normal"/>
    <w:rsid w:val="00B4030F"/>
    <w:pPr>
      <w:tabs>
        <w:tab w:val="center" w:pos="4320"/>
        <w:tab w:val="right" w:pos="8640"/>
      </w:tabs>
    </w:pPr>
  </w:style>
  <w:style w:type="paragraph" w:customStyle="1" w:styleId="Citationendoubleretrait">
    <w:name w:val="Citation en double retrait"/>
    <w:basedOn w:val="Citationenretrai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basedOn w:val="Policepardfaut"/>
    <w:rsid w:val="00BA3C47"/>
    <w:rPr>
      <w:vertAlign w:val="superscript"/>
    </w:rPr>
  </w:style>
  <w:style w:type="paragraph" w:styleId="Textedebulles">
    <w:name w:val="Balloon Text"/>
    <w:basedOn w:val="Normal"/>
    <w:link w:val="TextedebullesCar"/>
    <w:rsid w:val="00B155B3"/>
    <w:rPr>
      <w:rFonts w:ascii="Tahoma" w:hAnsi="Tahoma" w:cs="Tahoma"/>
      <w:sz w:val="16"/>
      <w:szCs w:val="16"/>
    </w:rPr>
  </w:style>
  <w:style w:type="character" w:customStyle="1" w:styleId="TextedebullesCar">
    <w:name w:val="Texte de bulles Car"/>
    <w:basedOn w:val="Policepardfaut"/>
    <w:link w:val="Textedebulles"/>
    <w:rsid w:val="00B155B3"/>
    <w:rPr>
      <w:rFonts w:ascii="Tahoma" w:hAnsi="Tahoma" w:cs="Tahoma"/>
      <w:sz w:val="16"/>
      <w:szCs w:val="16"/>
      <w:lang w:eastAsia="fr-FR"/>
    </w:rPr>
  </w:style>
  <w:style w:type="paragraph" w:styleId="Paragraphedeliste">
    <w:name w:val="List Paragraph"/>
    <w:basedOn w:val="Normal"/>
    <w:uiPriority w:val="34"/>
    <w:qFormat/>
    <w:rsid w:val="009C51D2"/>
    <w:pPr>
      <w:ind w:left="720"/>
      <w:contextualSpacing/>
    </w:pPr>
  </w:style>
  <w:style w:type="paragraph" w:customStyle="1" w:styleId="CM39">
    <w:name w:val="CM39"/>
    <w:basedOn w:val="Normal"/>
    <w:next w:val="Normal"/>
    <w:uiPriority w:val="99"/>
    <w:rsid w:val="00F1422C"/>
    <w:pPr>
      <w:widowControl w:val="0"/>
      <w:autoSpaceDE w:val="0"/>
      <w:autoSpaceDN w:val="0"/>
      <w:adjustRightInd w:val="0"/>
    </w:pPr>
    <w:rPr>
      <w:rFonts w:eastAsiaTheme="minorEastAsia" w:cs="Arial"/>
      <w:szCs w:val="24"/>
      <w:lang w:eastAsia="fr-CA"/>
    </w:rPr>
  </w:style>
  <w:style w:type="paragraph" w:customStyle="1" w:styleId="CM17">
    <w:name w:val="CM17"/>
    <w:basedOn w:val="Normal"/>
    <w:next w:val="Normal"/>
    <w:uiPriority w:val="99"/>
    <w:rsid w:val="00F1422C"/>
    <w:pPr>
      <w:widowControl w:val="0"/>
      <w:autoSpaceDE w:val="0"/>
      <w:autoSpaceDN w:val="0"/>
      <w:adjustRightInd w:val="0"/>
      <w:spacing w:line="231" w:lineRule="atLeast"/>
    </w:pPr>
    <w:rPr>
      <w:rFonts w:eastAsiaTheme="minorEastAsia" w:cs="Arial"/>
      <w:szCs w:val="24"/>
      <w:lang w:eastAsia="fr-CA"/>
    </w:rPr>
  </w:style>
  <w:style w:type="paragraph" w:customStyle="1" w:styleId="CM13">
    <w:name w:val="CM13"/>
    <w:basedOn w:val="Normal"/>
    <w:next w:val="Normal"/>
    <w:uiPriority w:val="99"/>
    <w:rsid w:val="008B166B"/>
    <w:pPr>
      <w:widowControl w:val="0"/>
      <w:autoSpaceDE w:val="0"/>
      <w:autoSpaceDN w:val="0"/>
      <w:adjustRightInd w:val="0"/>
      <w:spacing w:line="231" w:lineRule="atLeast"/>
    </w:pPr>
    <w:rPr>
      <w:rFonts w:eastAsiaTheme="minorEastAsia" w:cs="Arial"/>
      <w:szCs w:val="24"/>
      <w:lang w:eastAsia="fr-CA"/>
    </w:rPr>
  </w:style>
  <w:style w:type="paragraph" w:customStyle="1" w:styleId="CM42">
    <w:name w:val="CM42"/>
    <w:basedOn w:val="Normal"/>
    <w:next w:val="Normal"/>
    <w:uiPriority w:val="99"/>
    <w:rsid w:val="008B166B"/>
    <w:pPr>
      <w:widowControl w:val="0"/>
      <w:autoSpaceDE w:val="0"/>
      <w:autoSpaceDN w:val="0"/>
      <w:adjustRightInd w:val="0"/>
    </w:pPr>
    <w:rPr>
      <w:rFonts w:eastAsiaTheme="minorEastAsia" w:cs="Arial"/>
      <w:szCs w:val="24"/>
      <w:lang w:eastAsia="fr-CA"/>
    </w:rPr>
  </w:style>
  <w:style w:type="paragraph" w:customStyle="1" w:styleId="Default">
    <w:name w:val="Default"/>
    <w:rsid w:val="008B166B"/>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8B166B"/>
    <w:rPr>
      <w:color w:val="auto"/>
    </w:rPr>
  </w:style>
  <w:style w:type="paragraph" w:customStyle="1" w:styleId="CM36">
    <w:name w:val="CM36"/>
    <w:basedOn w:val="Default"/>
    <w:next w:val="Default"/>
    <w:uiPriority w:val="99"/>
    <w:rsid w:val="00500705"/>
    <w:rPr>
      <w:color w:val="auto"/>
    </w:rPr>
  </w:style>
  <w:style w:type="character" w:styleId="Hyperlien">
    <w:name w:val="Hyperlink"/>
    <w:basedOn w:val="Policepardfaut"/>
    <w:rsid w:val="002F7785"/>
    <w:rPr>
      <w:color w:val="0000FF" w:themeColor="hyperlink"/>
      <w:u w:val="single"/>
    </w:rPr>
  </w:style>
  <w:style w:type="character" w:styleId="Marquedecommentaire">
    <w:name w:val="annotation reference"/>
    <w:basedOn w:val="Policepardfaut"/>
    <w:rsid w:val="006353DA"/>
    <w:rPr>
      <w:sz w:val="16"/>
      <w:szCs w:val="16"/>
    </w:rPr>
  </w:style>
  <w:style w:type="paragraph" w:styleId="Commentaire">
    <w:name w:val="annotation text"/>
    <w:basedOn w:val="Normal"/>
    <w:link w:val="CommentaireCar"/>
    <w:rsid w:val="006353DA"/>
    <w:rPr>
      <w:sz w:val="20"/>
    </w:rPr>
  </w:style>
  <w:style w:type="character" w:customStyle="1" w:styleId="CommentaireCar">
    <w:name w:val="Commentaire Car"/>
    <w:basedOn w:val="Policepardfaut"/>
    <w:link w:val="Commentaire"/>
    <w:rsid w:val="006353DA"/>
    <w:rPr>
      <w:rFonts w:ascii="Arial" w:hAnsi="Arial"/>
      <w:lang w:eastAsia="fr-FR"/>
    </w:rPr>
  </w:style>
  <w:style w:type="paragraph" w:styleId="Objetducommentaire">
    <w:name w:val="annotation subject"/>
    <w:basedOn w:val="Commentaire"/>
    <w:next w:val="Commentaire"/>
    <w:link w:val="ObjetducommentaireCar"/>
    <w:rsid w:val="006353DA"/>
    <w:rPr>
      <w:b/>
      <w:bCs/>
    </w:rPr>
  </w:style>
  <w:style w:type="character" w:customStyle="1" w:styleId="ObjetducommentaireCar">
    <w:name w:val="Objet du commentaire Car"/>
    <w:basedOn w:val="CommentaireCar"/>
    <w:link w:val="Objetducommentaire"/>
    <w:rsid w:val="006353DA"/>
    <w:rPr>
      <w:rFonts w:ascii="Arial" w:hAnsi="Arial"/>
      <w:b/>
      <w:bCs/>
      <w:lang w:eastAsia="fr-FR"/>
    </w:rPr>
  </w:style>
  <w:style w:type="paragraph" w:customStyle="1" w:styleId="Style1">
    <w:name w:val="Style1"/>
    <w:basedOn w:val="Paragraphe"/>
    <w:link w:val="Style1Car"/>
    <w:qFormat/>
    <w:rsid w:val="00F8117D"/>
    <w:pPr>
      <w:numPr>
        <w:numId w:val="1"/>
      </w:numPr>
      <w:tabs>
        <w:tab w:val="clear" w:pos="360"/>
      </w:tabs>
    </w:pPr>
  </w:style>
  <w:style w:type="character" w:customStyle="1" w:styleId="ParagrapheCar">
    <w:name w:val="Paragraphe Car"/>
    <w:basedOn w:val="Policepardfaut"/>
    <w:link w:val="Paragraphe"/>
    <w:rsid w:val="00F8117D"/>
    <w:rPr>
      <w:rFonts w:ascii="Arial" w:hAnsi="Arial"/>
      <w:kern w:val="28"/>
      <w:sz w:val="24"/>
      <w:lang w:eastAsia="fr-FR"/>
    </w:rPr>
  </w:style>
  <w:style w:type="character" w:customStyle="1" w:styleId="Style1Car">
    <w:name w:val="Style1 Car"/>
    <w:basedOn w:val="ParagrapheCar"/>
    <w:link w:val="Style1"/>
    <w:rsid w:val="00F8117D"/>
    <w:rPr>
      <w:rFonts w:ascii="Arial" w:hAnsi="Arial"/>
      <w:kern w:val="28"/>
      <w:sz w:val="24"/>
      <w:lang w:eastAsia="fr-FR"/>
    </w:rPr>
  </w:style>
  <w:style w:type="character" w:customStyle="1" w:styleId="m-member-dir-list-itemorg">
    <w:name w:val="m-member-dir-list-item__org"/>
    <w:basedOn w:val="Policepardfaut"/>
    <w:rsid w:val="00B80D38"/>
  </w:style>
  <w:style w:type="character" w:customStyle="1" w:styleId="NotedebasdepageCar">
    <w:name w:val="Note de bas de page Car"/>
    <w:link w:val="Notedebasdepage"/>
    <w:rsid w:val="00D52B3F"/>
    <w:rPr>
      <w:rFonts w:ascii="Arial" w:hAnsi="Arial"/>
      <w:lang w:eastAsia="fr-FR"/>
    </w:rPr>
  </w:style>
  <w:style w:type="paragraph" w:styleId="Citation">
    <w:name w:val="Quote"/>
    <w:basedOn w:val="Normal"/>
    <w:next w:val="Normal"/>
    <w:link w:val="CitationCar"/>
    <w:uiPriority w:val="29"/>
    <w:qFormat/>
    <w:rsid w:val="000B6ED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B6ED8"/>
    <w:rPr>
      <w:rFonts w:ascii="Arial" w:hAnsi="Arial"/>
      <w:i/>
      <w:iCs/>
      <w:color w:val="404040" w:themeColor="text1" w:themeTint="BF"/>
      <w:sz w:val="24"/>
      <w:lang w:eastAsia="fr-FR"/>
    </w:rPr>
  </w:style>
  <w:style w:type="character" w:customStyle="1" w:styleId="subsection">
    <w:name w:val="subsection"/>
    <w:basedOn w:val="Policepardfaut"/>
    <w:rsid w:val="00E50307"/>
  </w:style>
  <w:style w:type="paragraph" w:styleId="Rvision">
    <w:name w:val="Revision"/>
    <w:hidden/>
    <w:uiPriority w:val="99"/>
    <w:semiHidden/>
    <w:rsid w:val="000A4BEB"/>
    <w:rPr>
      <w:rFonts w:ascii="Arial" w:hAnsi="Arial"/>
      <w:sz w:val="24"/>
      <w:lang w:eastAsia="fr-FR"/>
    </w:rPr>
  </w:style>
  <w:style w:type="character" w:styleId="Mentionnonrsolue">
    <w:name w:val="Unresolved Mention"/>
    <w:basedOn w:val="Policepardfaut"/>
    <w:uiPriority w:val="99"/>
    <w:semiHidden/>
    <w:unhideWhenUsed/>
    <w:rsid w:val="00102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3542-2F8D-470B-BC15-F2204F13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3176</Words>
  <Characters>17472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2025-02-05T19:23:00Z</dcterms:created>
  <dcterms:modified xsi:type="dcterms:W3CDTF">2025-02-07T14:51:00Z</dcterms:modified>
</cp:coreProperties>
</file>