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4DD0" w14:textId="6C9125A9" w:rsidR="006C10A1" w:rsidRPr="006C10A1" w:rsidRDefault="006C10A1" w:rsidP="006C10A1">
      <w:pPr>
        <w:pStyle w:val="zSoquijdatRepertorie"/>
        <w:rPr>
          <w:sz w:val="24"/>
          <w:szCs w:val="24"/>
          <w:lang w:val="en-CA"/>
        </w:rPr>
      </w:pPr>
      <w:r w:rsidRPr="0052637E">
        <w:rPr>
          <w:sz w:val="24"/>
          <w:szCs w:val="24"/>
          <w:lang w:val="en-CA"/>
        </w:rPr>
        <w:t>English translation of the judgment of the Court</w:t>
      </w:r>
    </w:p>
    <w:tbl>
      <w:tblPr>
        <w:tblW w:w="9360" w:type="dxa"/>
        <w:tblLayout w:type="fixed"/>
        <w:tblCellMar>
          <w:left w:w="0" w:type="dxa"/>
          <w:right w:w="0" w:type="dxa"/>
        </w:tblCellMar>
        <w:tblLook w:val="0000" w:firstRow="0" w:lastRow="0" w:firstColumn="0" w:lastColumn="0" w:noHBand="0" w:noVBand="0"/>
      </w:tblPr>
      <w:tblGrid>
        <w:gridCol w:w="1030"/>
        <w:gridCol w:w="590"/>
        <w:gridCol w:w="81"/>
        <w:gridCol w:w="2269"/>
        <w:gridCol w:w="3402"/>
        <w:gridCol w:w="1988"/>
      </w:tblGrid>
      <w:tr w:rsidR="008E5D8E" w:rsidRPr="00F77FE0" w14:paraId="3B2EBF11" w14:textId="77777777" w:rsidTr="008D18FC">
        <w:trPr>
          <w:trHeight w:val="248"/>
        </w:trPr>
        <w:tc>
          <w:tcPr>
            <w:tcW w:w="7372" w:type="dxa"/>
            <w:gridSpan w:val="5"/>
          </w:tcPr>
          <w:p w14:paraId="3B2EBF0F" w14:textId="4565C2EE" w:rsidR="008E5D8E" w:rsidRPr="0052637E" w:rsidRDefault="008E5D8E" w:rsidP="008E5D8E">
            <w:pPr>
              <w:pStyle w:val="zSoquijdatRepertorie"/>
              <w:rPr>
                <w:sz w:val="24"/>
                <w:szCs w:val="24"/>
                <w:lang w:val="en-CA"/>
              </w:rPr>
            </w:pPr>
            <w:proofErr w:type="spellStart"/>
            <w:r>
              <w:rPr>
                <w:rFonts w:cs="Arial"/>
              </w:rPr>
              <w:t>Nowkawalk</w:t>
            </w:r>
            <w:proofErr w:type="spellEnd"/>
            <w:r>
              <w:rPr>
                <w:rFonts w:cs="Arial"/>
              </w:rPr>
              <w:t xml:space="preserve"> c. R.</w:t>
            </w:r>
          </w:p>
        </w:tc>
        <w:tc>
          <w:tcPr>
            <w:tcW w:w="1988" w:type="dxa"/>
          </w:tcPr>
          <w:p w14:paraId="3B2EBF10" w14:textId="6BF40A23" w:rsidR="008E5D8E" w:rsidRPr="00D01473" w:rsidRDefault="008E5D8E" w:rsidP="008E5D8E">
            <w:pPr>
              <w:pStyle w:val="zSoquijdatRefNeutre"/>
              <w:jc w:val="right"/>
              <w:rPr>
                <w:lang w:val="en-CA"/>
              </w:rPr>
            </w:pPr>
            <w:r w:rsidRPr="0039363C">
              <w:rPr>
                <w:rFonts w:cs="Arial"/>
              </w:rPr>
              <w:t>2024 QCCA 1730</w:t>
            </w:r>
          </w:p>
        </w:tc>
      </w:tr>
      <w:tr w:rsidR="00834883" w:rsidRPr="00D01473" w14:paraId="3B2EBF13" w14:textId="77777777" w:rsidTr="008D18FC">
        <w:trPr>
          <w:trHeight w:val="247"/>
        </w:trPr>
        <w:tc>
          <w:tcPr>
            <w:tcW w:w="9360" w:type="dxa"/>
            <w:gridSpan w:val="6"/>
          </w:tcPr>
          <w:p w14:paraId="3B2EBF12" w14:textId="77777777" w:rsidR="008F364A" w:rsidRPr="00D01473" w:rsidRDefault="009C618A">
            <w:pPr>
              <w:pStyle w:val="zSoquijlblCour"/>
              <w:rPr>
                <w:lang w:val="en-CA"/>
              </w:rPr>
            </w:pPr>
            <w:r w:rsidRPr="00D01473">
              <w:rPr>
                <w:bCs/>
                <w:lang w:val="en-CA"/>
              </w:rPr>
              <w:t>COURT OF APPEAL</w:t>
            </w:r>
          </w:p>
        </w:tc>
      </w:tr>
      <w:tr w:rsidR="00834883" w:rsidRPr="00D01473" w14:paraId="3B2EBF15" w14:textId="77777777" w:rsidTr="008D18FC">
        <w:trPr>
          <w:trHeight w:val="540"/>
        </w:trPr>
        <w:tc>
          <w:tcPr>
            <w:tcW w:w="9360" w:type="dxa"/>
            <w:gridSpan w:val="6"/>
          </w:tcPr>
          <w:p w14:paraId="3B2EBF14" w14:textId="77777777" w:rsidR="008F364A" w:rsidRPr="00D01473" w:rsidRDefault="008F364A">
            <w:pPr>
              <w:pStyle w:val="zSoquijdatDivision"/>
              <w:rPr>
                <w:lang w:val="en-CA"/>
              </w:rPr>
            </w:pPr>
          </w:p>
        </w:tc>
      </w:tr>
      <w:tr w:rsidR="00834883" w:rsidRPr="00D01473" w14:paraId="3B2EBF17" w14:textId="77777777" w:rsidTr="008D18FC">
        <w:tc>
          <w:tcPr>
            <w:tcW w:w="9360" w:type="dxa"/>
            <w:gridSpan w:val="6"/>
          </w:tcPr>
          <w:p w14:paraId="3B2EBF16" w14:textId="77777777" w:rsidR="008F364A" w:rsidRPr="00D01473" w:rsidRDefault="009C618A">
            <w:pPr>
              <w:pStyle w:val="zSoquijlblPays"/>
              <w:rPr>
                <w:lang w:val="en-CA"/>
              </w:rPr>
            </w:pPr>
            <w:r w:rsidRPr="00D01473">
              <w:rPr>
                <w:lang w:val="en-CA"/>
              </w:rPr>
              <w:t>CANADA</w:t>
            </w:r>
          </w:p>
        </w:tc>
      </w:tr>
      <w:tr w:rsidR="00834883" w:rsidRPr="00D01473" w14:paraId="3B2EBF19" w14:textId="77777777" w:rsidTr="008D18FC">
        <w:tc>
          <w:tcPr>
            <w:tcW w:w="9360" w:type="dxa"/>
            <w:gridSpan w:val="6"/>
          </w:tcPr>
          <w:p w14:paraId="3B2EBF18" w14:textId="77777777" w:rsidR="008F364A" w:rsidRPr="00D01473" w:rsidRDefault="009C618A">
            <w:pPr>
              <w:pStyle w:val="zSoquijlblProvince"/>
              <w:rPr>
                <w:lang w:val="en-CA"/>
              </w:rPr>
            </w:pPr>
            <w:r w:rsidRPr="00D01473">
              <w:rPr>
                <w:lang w:val="en-CA"/>
              </w:rPr>
              <w:t>PROVINCE OF QUEBEC</w:t>
            </w:r>
          </w:p>
        </w:tc>
      </w:tr>
      <w:tr w:rsidR="00834883" w:rsidRPr="00D01473" w14:paraId="3B2EBF1D" w14:textId="77777777" w:rsidTr="00C5591E">
        <w:tc>
          <w:tcPr>
            <w:tcW w:w="1701" w:type="dxa"/>
            <w:gridSpan w:val="3"/>
          </w:tcPr>
          <w:p w14:paraId="3B2EBF1A" w14:textId="7CE825D2" w:rsidR="008F364A" w:rsidRPr="00D01473" w:rsidRDefault="00C5591E" w:rsidP="00C5591E">
            <w:pPr>
              <w:pStyle w:val="zSoquijdatGreffe"/>
              <w:rPr>
                <w:lang w:val="en-CA"/>
              </w:rPr>
            </w:pPr>
            <w:r w:rsidRPr="00C5591E">
              <w:rPr>
                <w:lang w:val="en-CA"/>
              </w:rPr>
              <w:t>QUEBEC CITY</w:t>
            </w:r>
          </w:p>
          <w:p w14:paraId="3B2EBF1B" w14:textId="77777777" w:rsidR="008F364A" w:rsidRPr="00D01473" w:rsidRDefault="008F364A">
            <w:pPr>
              <w:pStyle w:val="zSoquijlblGreffe"/>
              <w:rPr>
                <w:lang w:val="en-CA"/>
              </w:rPr>
            </w:pPr>
          </w:p>
        </w:tc>
        <w:tc>
          <w:tcPr>
            <w:tcW w:w="7659" w:type="dxa"/>
            <w:gridSpan w:val="3"/>
          </w:tcPr>
          <w:p w14:paraId="3B2EBF1C" w14:textId="529B89EA" w:rsidR="008F364A" w:rsidRPr="00D01473" w:rsidRDefault="00C5591E" w:rsidP="00C5591E">
            <w:pPr>
              <w:pStyle w:val="zSoquijlblGreffe"/>
              <w:rPr>
                <w:lang w:val="en-CA"/>
              </w:rPr>
            </w:pPr>
            <w:r w:rsidRPr="00C5591E">
              <w:t>SEAT</w:t>
            </w:r>
          </w:p>
        </w:tc>
      </w:tr>
      <w:tr w:rsidR="00834883" w:rsidRPr="00D01473" w14:paraId="3B2EBF20" w14:textId="77777777" w:rsidTr="008D18FC">
        <w:tc>
          <w:tcPr>
            <w:tcW w:w="1030" w:type="dxa"/>
          </w:tcPr>
          <w:p w14:paraId="3B2EBF1E" w14:textId="77777777" w:rsidR="008F364A" w:rsidRPr="00D01473" w:rsidRDefault="009C618A">
            <w:pPr>
              <w:pStyle w:val="zSoquijlblNoDossier"/>
              <w:rPr>
                <w:lang w:val="en-CA"/>
              </w:rPr>
            </w:pPr>
            <w:r w:rsidRPr="00D01473">
              <w:rPr>
                <w:lang w:val="en-CA"/>
              </w:rPr>
              <w:t>No.:</w:t>
            </w:r>
          </w:p>
        </w:tc>
        <w:tc>
          <w:tcPr>
            <w:tcW w:w="8330" w:type="dxa"/>
            <w:gridSpan w:val="5"/>
          </w:tcPr>
          <w:p w14:paraId="3B2EBF1F" w14:textId="77777777" w:rsidR="008F364A" w:rsidRPr="00D01473" w:rsidRDefault="009C618A">
            <w:pPr>
              <w:pStyle w:val="zSoquijdatNoDossier"/>
              <w:rPr>
                <w:lang w:val="en-CA"/>
              </w:rPr>
            </w:pPr>
            <w:bookmarkStart w:id="0" w:name="NoDossier"/>
            <w:r w:rsidRPr="00D01473">
              <w:rPr>
                <w:lang w:val="en-CA"/>
              </w:rPr>
              <w:t>200-10-700081-248</w:t>
            </w:r>
            <w:bookmarkEnd w:id="0"/>
          </w:p>
        </w:tc>
      </w:tr>
      <w:tr w:rsidR="00834883" w:rsidRPr="00D01473" w14:paraId="3B2EBF22" w14:textId="77777777" w:rsidTr="008D18FC">
        <w:tc>
          <w:tcPr>
            <w:tcW w:w="9360" w:type="dxa"/>
            <w:gridSpan w:val="6"/>
          </w:tcPr>
          <w:p w14:paraId="3B2EBF21" w14:textId="77777777" w:rsidR="00D15F5F" w:rsidRPr="00D01473" w:rsidRDefault="009C618A" w:rsidP="004220E9">
            <w:pPr>
              <w:pStyle w:val="zSoquijdatNoDossierAnt"/>
              <w:ind w:left="993"/>
              <w:rPr>
                <w:lang w:val="en-CA"/>
              </w:rPr>
            </w:pPr>
            <w:r w:rsidRPr="00D01473">
              <w:rPr>
                <w:lang w:val="en-CA"/>
              </w:rPr>
              <w:t>(640-01-048431-234) (640-01-049070-239)</w:t>
            </w:r>
          </w:p>
        </w:tc>
      </w:tr>
      <w:tr w:rsidR="00834883" w:rsidRPr="00D01473" w14:paraId="3B2EBF24" w14:textId="77777777" w:rsidTr="008D18FC">
        <w:tc>
          <w:tcPr>
            <w:tcW w:w="9360" w:type="dxa"/>
            <w:gridSpan w:val="6"/>
          </w:tcPr>
          <w:p w14:paraId="3B2EBF23" w14:textId="77777777" w:rsidR="008F364A" w:rsidRPr="00D01473" w:rsidRDefault="008F364A">
            <w:pPr>
              <w:rPr>
                <w:lang w:val="en-CA"/>
              </w:rPr>
            </w:pPr>
          </w:p>
        </w:tc>
      </w:tr>
      <w:tr w:rsidR="00834883" w:rsidRPr="00D01473" w14:paraId="3B2EBF27" w14:textId="77777777" w:rsidTr="008D18FC">
        <w:tc>
          <w:tcPr>
            <w:tcW w:w="1030" w:type="dxa"/>
          </w:tcPr>
          <w:p w14:paraId="3B2EBF25" w14:textId="77777777" w:rsidR="008F364A" w:rsidRPr="00D01473" w:rsidRDefault="009C618A">
            <w:pPr>
              <w:pStyle w:val="zSoquijlblDateJugement"/>
              <w:rPr>
                <w:lang w:val="en-CA"/>
              </w:rPr>
            </w:pPr>
            <w:r w:rsidRPr="00D01473">
              <w:rPr>
                <w:lang w:val="en-CA"/>
              </w:rPr>
              <w:t>DATE:</w:t>
            </w:r>
          </w:p>
        </w:tc>
        <w:tc>
          <w:tcPr>
            <w:tcW w:w="8330" w:type="dxa"/>
            <w:gridSpan w:val="5"/>
          </w:tcPr>
          <w:p w14:paraId="3B2EBF26" w14:textId="77777777" w:rsidR="008F364A" w:rsidRPr="00D01473" w:rsidRDefault="009C618A">
            <w:pPr>
              <w:pStyle w:val="zSoquijdatDateJugement"/>
              <w:rPr>
                <w:lang w:val="en-CA"/>
              </w:rPr>
            </w:pPr>
            <w:r w:rsidRPr="00D01473">
              <w:rPr>
                <w:lang w:val="en-CA"/>
              </w:rPr>
              <w:t>December 19, 2024</w:t>
            </w:r>
          </w:p>
        </w:tc>
      </w:tr>
      <w:tr w:rsidR="00834883" w:rsidRPr="00D01473" w14:paraId="3B2EBF29" w14:textId="77777777" w:rsidTr="008D18FC">
        <w:tc>
          <w:tcPr>
            <w:tcW w:w="9360" w:type="dxa"/>
            <w:gridSpan w:val="6"/>
            <w:tcBorders>
              <w:bottom w:val="single" w:sz="8" w:space="0" w:color="auto"/>
            </w:tcBorders>
          </w:tcPr>
          <w:p w14:paraId="3B2EBF28" w14:textId="77777777" w:rsidR="008F364A" w:rsidRPr="00D01473" w:rsidRDefault="008F364A">
            <w:pPr>
              <w:rPr>
                <w:lang w:val="en-CA"/>
              </w:rPr>
            </w:pPr>
          </w:p>
        </w:tc>
      </w:tr>
      <w:tr w:rsidR="00834883" w:rsidRPr="00D01473" w14:paraId="3B2EBF2B" w14:textId="77777777" w:rsidTr="008D18FC">
        <w:tc>
          <w:tcPr>
            <w:tcW w:w="9360" w:type="dxa"/>
            <w:gridSpan w:val="6"/>
            <w:tcBorders>
              <w:top w:val="single" w:sz="8" w:space="0" w:color="auto"/>
            </w:tcBorders>
          </w:tcPr>
          <w:p w14:paraId="3B2EBF2A" w14:textId="77777777" w:rsidR="008F364A" w:rsidRPr="00D01473" w:rsidRDefault="008F364A">
            <w:pPr>
              <w:rPr>
                <w:lang w:val="en-CA"/>
              </w:rPr>
            </w:pPr>
          </w:p>
        </w:tc>
      </w:tr>
      <w:tr w:rsidR="00834883" w:rsidRPr="00D01473" w14:paraId="3B2EBF31" w14:textId="77777777" w:rsidTr="008D18FC">
        <w:tc>
          <w:tcPr>
            <w:tcW w:w="1620" w:type="dxa"/>
            <w:gridSpan w:val="2"/>
          </w:tcPr>
          <w:p w14:paraId="3B2EBF2C" w14:textId="77777777" w:rsidR="008F364A" w:rsidRPr="00D01473" w:rsidRDefault="009C618A" w:rsidP="00423DF1">
            <w:pPr>
              <w:pStyle w:val="zSoquijlblJuge"/>
              <w:ind w:right="-142"/>
              <w:rPr>
                <w:lang w:val="en-CA"/>
              </w:rPr>
            </w:pPr>
            <w:bookmarkStart w:id="1" w:name="FORMATION"/>
            <w:r w:rsidRPr="00D01473">
              <w:rPr>
                <w:bCs/>
                <w:lang w:val="en-CA"/>
              </w:rPr>
              <w:t>CORAM:</w:t>
            </w:r>
            <w:bookmarkEnd w:id="1"/>
          </w:p>
        </w:tc>
        <w:tc>
          <w:tcPr>
            <w:tcW w:w="2350" w:type="dxa"/>
            <w:gridSpan w:val="2"/>
          </w:tcPr>
          <w:p w14:paraId="3B2EBF2D" w14:textId="77777777" w:rsidR="008F364A" w:rsidRPr="00D01473" w:rsidRDefault="009C618A">
            <w:pPr>
              <w:pStyle w:val="zSoquijdatQteJuge"/>
              <w:rPr>
                <w:lang w:val="en-CA"/>
              </w:rPr>
            </w:pPr>
            <w:bookmarkStart w:id="2" w:name="Honorables"/>
            <w:r w:rsidRPr="00D01473">
              <w:rPr>
                <w:bCs/>
                <w:lang w:val="en-CA"/>
              </w:rPr>
              <w:t>THE HONOURABLE</w:t>
            </w:r>
            <w:bookmarkEnd w:id="2"/>
          </w:p>
        </w:tc>
        <w:tc>
          <w:tcPr>
            <w:tcW w:w="5390" w:type="dxa"/>
            <w:gridSpan w:val="2"/>
          </w:tcPr>
          <w:p w14:paraId="3B2EBF2E" w14:textId="77777777" w:rsidR="008F364A" w:rsidRPr="00F77FE0" w:rsidRDefault="009C618A">
            <w:pPr>
              <w:pStyle w:val="zSoquijdatJuge"/>
            </w:pPr>
            <w:bookmarkStart w:id="3" w:name="NomJuge1"/>
            <w:r w:rsidRPr="00F77FE0">
              <w:rPr>
                <w:bCs/>
              </w:rPr>
              <w:t>GUY GAGNON, J.A.</w:t>
            </w:r>
            <w:bookmarkEnd w:id="3"/>
          </w:p>
          <w:p w14:paraId="3B2EBF2F" w14:textId="77777777" w:rsidR="008F364A" w:rsidRPr="00F77FE0" w:rsidRDefault="009C618A">
            <w:pPr>
              <w:pStyle w:val="zSoquijdatJuge"/>
            </w:pPr>
            <w:bookmarkStart w:id="4" w:name="NomJuge2"/>
            <w:r w:rsidRPr="00F77FE0">
              <w:rPr>
                <w:bCs/>
              </w:rPr>
              <w:t>SIMON RUEL, J.A.</w:t>
            </w:r>
            <w:bookmarkEnd w:id="4"/>
          </w:p>
          <w:p w14:paraId="3B2EBF30" w14:textId="77777777" w:rsidR="005A78BF" w:rsidRPr="00F77FE0" w:rsidRDefault="009C618A" w:rsidP="00D15F5F">
            <w:pPr>
              <w:pStyle w:val="zSoquijdatJuge"/>
            </w:pPr>
            <w:bookmarkStart w:id="5" w:name="_Hlt520513784"/>
            <w:bookmarkStart w:id="6" w:name="NomJuge3"/>
            <w:bookmarkEnd w:id="5"/>
            <w:r w:rsidRPr="00F77FE0">
              <w:rPr>
                <w:bCs/>
              </w:rPr>
              <w:t>LORI RENÉE WEITZMAN, J.A.</w:t>
            </w:r>
            <w:bookmarkEnd w:id="6"/>
          </w:p>
        </w:tc>
      </w:tr>
      <w:tr w:rsidR="00834883" w:rsidRPr="00D01473" w14:paraId="3B2EBF33" w14:textId="77777777" w:rsidTr="008D18FC">
        <w:tc>
          <w:tcPr>
            <w:tcW w:w="9360" w:type="dxa"/>
            <w:gridSpan w:val="6"/>
            <w:tcBorders>
              <w:bottom w:val="single" w:sz="8" w:space="0" w:color="auto"/>
            </w:tcBorders>
          </w:tcPr>
          <w:p w14:paraId="3B2EBF32" w14:textId="77777777" w:rsidR="008F364A" w:rsidRPr="00F77FE0" w:rsidRDefault="008F364A"/>
        </w:tc>
      </w:tr>
      <w:tr w:rsidR="00834883" w:rsidRPr="00D01473" w14:paraId="3B2EBF35" w14:textId="77777777" w:rsidTr="008D18FC">
        <w:tc>
          <w:tcPr>
            <w:tcW w:w="9360" w:type="dxa"/>
            <w:gridSpan w:val="6"/>
          </w:tcPr>
          <w:p w14:paraId="3B2EBF34" w14:textId="77777777" w:rsidR="008F364A" w:rsidRPr="00F77FE0" w:rsidRDefault="008F364A">
            <w:pPr>
              <w:pStyle w:val="zSoquijlblTitrePartie"/>
            </w:pPr>
          </w:p>
        </w:tc>
      </w:tr>
      <w:tr w:rsidR="00834883" w:rsidRPr="00D01473" w14:paraId="3B2EBF37" w14:textId="77777777" w:rsidTr="008D18FC">
        <w:tc>
          <w:tcPr>
            <w:tcW w:w="9360" w:type="dxa"/>
            <w:gridSpan w:val="6"/>
          </w:tcPr>
          <w:p w14:paraId="3B2EBF36" w14:textId="77777777" w:rsidR="008F364A" w:rsidRPr="00D01473" w:rsidRDefault="009C618A">
            <w:pPr>
              <w:pStyle w:val="zSoquijdatNomPartieDem"/>
              <w:rPr>
                <w:lang w:val="en-CA"/>
              </w:rPr>
            </w:pPr>
            <w:r w:rsidRPr="00D01473">
              <w:rPr>
                <w:lang w:val="en-CA"/>
              </w:rPr>
              <w:t>LUCY LISA NOWKAWALK</w:t>
            </w:r>
          </w:p>
        </w:tc>
      </w:tr>
      <w:tr w:rsidR="00834883" w:rsidRPr="00D01473" w14:paraId="3B2EBF39" w14:textId="77777777" w:rsidTr="008D18FC">
        <w:tc>
          <w:tcPr>
            <w:tcW w:w="9360" w:type="dxa"/>
            <w:gridSpan w:val="6"/>
          </w:tcPr>
          <w:p w14:paraId="3B2EBF38" w14:textId="77777777" w:rsidR="008F364A" w:rsidRPr="00D01473" w:rsidRDefault="009C618A">
            <w:pPr>
              <w:pStyle w:val="zSoquijdatQtePartieDem"/>
              <w:rPr>
                <w:lang w:val="en-CA"/>
              </w:rPr>
            </w:pPr>
            <w:r w:rsidRPr="00D01473">
              <w:rPr>
                <w:lang w:val="en-CA"/>
              </w:rPr>
              <w:t>APPELLANT - Accused</w:t>
            </w:r>
          </w:p>
        </w:tc>
      </w:tr>
      <w:tr w:rsidR="00834883" w:rsidRPr="00D01473" w14:paraId="3B2EBF3B" w14:textId="77777777" w:rsidTr="008D18FC">
        <w:tc>
          <w:tcPr>
            <w:tcW w:w="9360" w:type="dxa"/>
            <w:gridSpan w:val="6"/>
          </w:tcPr>
          <w:p w14:paraId="3B2EBF3A" w14:textId="77777777" w:rsidR="008F364A" w:rsidRPr="00D01473" w:rsidRDefault="009C618A">
            <w:pPr>
              <w:pStyle w:val="zSoquijlblLienParties"/>
              <w:rPr>
                <w:lang w:val="en-CA"/>
              </w:rPr>
            </w:pPr>
            <w:r w:rsidRPr="00D01473">
              <w:rPr>
                <w:lang w:val="en-CA"/>
              </w:rPr>
              <w:t>v.</w:t>
            </w:r>
          </w:p>
        </w:tc>
      </w:tr>
      <w:tr w:rsidR="00834883" w:rsidRPr="00D01473" w14:paraId="3B2EBF3D" w14:textId="77777777" w:rsidTr="008D18FC">
        <w:tc>
          <w:tcPr>
            <w:tcW w:w="9360" w:type="dxa"/>
            <w:gridSpan w:val="6"/>
          </w:tcPr>
          <w:p w14:paraId="3B2EBF3C" w14:textId="77777777" w:rsidR="008F364A" w:rsidRPr="00D01473" w:rsidRDefault="008F364A">
            <w:pPr>
              <w:rPr>
                <w:lang w:val="en-CA"/>
              </w:rPr>
            </w:pPr>
          </w:p>
        </w:tc>
      </w:tr>
      <w:tr w:rsidR="00834883" w:rsidRPr="00D01473" w14:paraId="3B2EBF3F" w14:textId="77777777" w:rsidTr="008D18FC">
        <w:tc>
          <w:tcPr>
            <w:tcW w:w="9360" w:type="dxa"/>
            <w:gridSpan w:val="6"/>
          </w:tcPr>
          <w:p w14:paraId="3B2EBF3E" w14:textId="77777777" w:rsidR="008F364A" w:rsidRPr="00D01473" w:rsidRDefault="009C618A">
            <w:pPr>
              <w:pStyle w:val="zSoquijdatNomPartieDef"/>
              <w:rPr>
                <w:lang w:val="en-CA"/>
              </w:rPr>
            </w:pPr>
            <w:r w:rsidRPr="00D01473">
              <w:rPr>
                <w:lang w:val="en-CA"/>
              </w:rPr>
              <w:t>HIS MAJESTY THE KING</w:t>
            </w:r>
          </w:p>
        </w:tc>
      </w:tr>
      <w:tr w:rsidR="00834883" w:rsidRPr="00D01473" w14:paraId="3B2EBF41" w14:textId="77777777" w:rsidTr="008D18FC">
        <w:tc>
          <w:tcPr>
            <w:tcW w:w="9360" w:type="dxa"/>
            <w:gridSpan w:val="6"/>
          </w:tcPr>
          <w:p w14:paraId="3B2EBF40" w14:textId="77777777" w:rsidR="008F364A" w:rsidRPr="00D01473" w:rsidRDefault="009C618A">
            <w:pPr>
              <w:pStyle w:val="zSoquijdatQtePartieDef"/>
              <w:rPr>
                <w:lang w:val="en-CA"/>
              </w:rPr>
            </w:pPr>
            <w:r w:rsidRPr="00D01473">
              <w:rPr>
                <w:lang w:val="en-CA"/>
              </w:rPr>
              <w:t>RESPONDENT - Prosecutor</w:t>
            </w:r>
          </w:p>
        </w:tc>
      </w:tr>
      <w:tr w:rsidR="00834883" w:rsidRPr="00D01473" w14:paraId="3B2EBF43" w14:textId="77777777" w:rsidTr="008D18FC">
        <w:tc>
          <w:tcPr>
            <w:tcW w:w="9360" w:type="dxa"/>
            <w:gridSpan w:val="6"/>
          </w:tcPr>
          <w:p w14:paraId="3B2EBF42" w14:textId="77777777" w:rsidR="008F364A" w:rsidRPr="00D01473" w:rsidRDefault="008F364A">
            <w:pPr>
              <w:rPr>
                <w:lang w:val="en-CA"/>
              </w:rPr>
            </w:pPr>
          </w:p>
        </w:tc>
      </w:tr>
      <w:tr w:rsidR="00834883" w:rsidRPr="00D01473" w14:paraId="3B2EBF45" w14:textId="77777777" w:rsidTr="008D18FC">
        <w:tc>
          <w:tcPr>
            <w:tcW w:w="9360" w:type="dxa"/>
            <w:gridSpan w:val="6"/>
            <w:tcBorders>
              <w:top w:val="single" w:sz="8" w:space="0" w:color="auto"/>
            </w:tcBorders>
          </w:tcPr>
          <w:p w14:paraId="3B2EBF44" w14:textId="77777777" w:rsidR="008F364A" w:rsidRPr="00D01473" w:rsidRDefault="008F364A">
            <w:pPr>
              <w:rPr>
                <w:lang w:val="en-CA"/>
              </w:rPr>
            </w:pPr>
            <w:bookmarkStart w:id="7" w:name="Arret"/>
          </w:p>
        </w:tc>
      </w:tr>
      <w:tr w:rsidR="00834883" w:rsidRPr="00D01473" w14:paraId="3B2EBF47" w14:textId="77777777" w:rsidTr="008D18FC">
        <w:tc>
          <w:tcPr>
            <w:tcW w:w="9360" w:type="dxa"/>
            <w:gridSpan w:val="6"/>
          </w:tcPr>
          <w:p w14:paraId="3B2EBF46" w14:textId="77777777" w:rsidR="008F364A" w:rsidRPr="00D01473" w:rsidRDefault="009C618A">
            <w:pPr>
              <w:pStyle w:val="zSoquijlblTypeDocument"/>
              <w:rPr>
                <w:lang w:val="en-CA"/>
              </w:rPr>
            </w:pPr>
            <w:bookmarkStart w:id="8" w:name="TitreDocument"/>
            <w:r w:rsidRPr="00D01473">
              <w:rPr>
                <w:lang w:val="en-CA"/>
              </w:rPr>
              <w:t>JUDGMENT</w:t>
            </w:r>
            <w:bookmarkEnd w:id="8"/>
          </w:p>
        </w:tc>
      </w:tr>
      <w:tr w:rsidR="00834883" w:rsidRPr="00D01473" w14:paraId="3B2EBF49" w14:textId="77777777" w:rsidTr="008D18FC">
        <w:tc>
          <w:tcPr>
            <w:tcW w:w="9360" w:type="dxa"/>
            <w:gridSpan w:val="6"/>
            <w:tcBorders>
              <w:bottom w:val="single" w:sz="8" w:space="0" w:color="auto"/>
            </w:tcBorders>
          </w:tcPr>
          <w:p w14:paraId="3B2EBF48" w14:textId="77777777" w:rsidR="008F364A" w:rsidRPr="00D01473" w:rsidRDefault="008F364A">
            <w:pPr>
              <w:rPr>
                <w:lang w:val="en-CA"/>
              </w:rPr>
            </w:pPr>
          </w:p>
        </w:tc>
      </w:tr>
      <w:tr w:rsidR="00834883" w:rsidRPr="00D01473" w14:paraId="3B2EBF4B" w14:textId="77777777" w:rsidTr="008D18FC">
        <w:tc>
          <w:tcPr>
            <w:tcW w:w="9360" w:type="dxa"/>
            <w:gridSpan w:val="6"/>
            <w:tcBorders>
              <w:top w:val="single" w:sz="8" w:space="0" w:color="auto"/>
            </w:tcBorders>
          </w:tcPr>
          <w:p w14:paraId="3B2EBF4A" w14:textId="77777777" w:rsidR="008F364A" w:rsidRPr="00D01473" w:rsidRDefault="008F364A">
            <w:pPr>
              <w:rPr>
                <w:lang w:val="en-CA"/>
              </w:rPr>
            </w:pPr>
          </w:p>
        </w:tc>
      </w:tr>
    </w:tbl>
    <w:p w14:paraId="3B2EBF4C" w14:textId="77777777" w:rsidR="00FC5E92" w:rsidRPr="00D01473" w:rsidRDefault="009C618A" w:rsidP="00D05DE9">
      <w:pPr>
        <w:pStyle w:val="Paragraphe"/>
        <w:spacing w:line="240" w:lineRule="auto"/>
        <w:rPr>
          <w:rFonts w:cs="Arial"/>
          <w:lang w:val="en-CA"/>
        </w:rPr>
      </w:pPr>
      <w:r w:rsidRPr="00D01473">
        <w:rPr>
          <w:rFonts w:cs="Arial"/>
          <w:lang w:val="en-CA"/>
        </w:rPr>
        <w:t xml:space="preserve">On September 13, 2023, the appellant received a 15-month sentence to be served in the community for incidents involving physical violence against her former spouse and another person. In the months that followed, she breached the conditional sentence order on three occasions: on October 6, 2023, she did not answer a phone call from her supervisor; on January 3, 2024, she was not at her residence despite being required to be there at all times; moreover, she committed breaches in connection with an incident that occurred on December 22, 2023, for which she was charged with one count of assault and one count of assault with a weapon, both offences punishable on summary conviction. </w:t>
      </w:r>
    </w:p>
    <w:p w14:paraId="3B2EBF4D" w14:textId="2377CEFC" w:rsidR="00545CB4" w:rsidRPr="00D01473" w:rsidRDefault="009C618A" w:rsidP="00D05DE9">
      <w:pPr>
        <w:pStyle w:val="Paragraphe"/>
        <w:spacing w:line="240" w:lineRule="auto"/>
        <w:rPr>
          <w:rFonts w:cs="Arial"/>
          <w:lang w:val="en-CA"/>
        </w:rPr>
      </w:pPr>
      <w:r w:rsidRPr="00D01473">
        <w:rPr>
          <w:rFonts w:cs="Arial"/>
          <w:lang w:val="en-CA"/>
        </w:rPr>
        <w:t xml:space="preserve">The facts relating to the December 22, </w:t>
      </w:r>
      <w:proofErr w:type="gramStart"/>
      <w:r w:rsidRPr="00D01473">
        <w:rPr>
          <w:rFonts w:cs="Arial"/>
          <w:lang w:val="en-CA"/>
        </w:rPr>
        <w:t>2023</w:t>
      </w:r>
      <w:proofErr w:type="gramEnd"/>
      <w:r w:rsidRPr="00D01473">
        <w:rPr>
          <w:rFonts w:cs="Arial"/>
          <w:lang w:val="en-CA"/>
        </w:rPr>
        <w:t xml:space="preserve"> </w:t>
      </w:r>
      <w:r w:rsidR="00E41756">
        <w:rPr>
          <w:rFonts w:cs="Arial"/>
          <w:lang w:val="en-CA"/>
        </w:rPr>
        <w:t xml:space="preserve">breaches </w:t>
      </w:r>
      <w:r w:rsidRPr="00D01473">
        <w:rPr>
          <w:rFonts w:cs="Arial"/>
          <w:lang w:val="en-CA"/>
        </w:rPr>
        <w:t>and the new charges took place in a convenience store in Inukjuak, when the appellant</w:t>
      </w:r>
      <w:r w:rsidR="00D219C2">
        <w:rPr>
          <w:rFonts w:cs="Arial"/>
          <w:lang w:val="en-CA"/>
        </w:rPr>
        <w:t>’</w:t>
      </w:r>
      <w:r w:rsidRPr="00D01473">
        <w:rPr>
          <w:rFonts w:cs="Arial"/>
          <w:lang w:val="en-CA"/>
        </w:rPr>
        <w:t xml:space="preserve">s former spouse approached </w:t>
      </w:r>
      <w:r w:rsidR="00E20054">
        <w:rPr>
          <w:rFonts w:cs="Arial"/>
          <w:lang w:val="en-CA"/>
        </w:rPr>
        <w:t xml:space="preserve">the appellant </w:t>
      </w:r>
      <w:r w:rsidRPr="00D01473">
        <w:rPr>
          <w:rFonts w:cs="Arial"/>
          <w:lang w:val="en-CA"/>
        </w:rPr>
        <w:t xml:space="preserve">to speak with her. The appellant was afraid, because she knew she was prohibited from having contact with her former spouse. A dispute arose and the appellant </w:t>
      </w:r>
      <w:r w:rsidRPr="00D01473">
        <w:rPr>
          <w:rFonts w:cs="Arial"/>
          <w:lang w:val="en-CA"/>
        </w:rPr>
        <w:lastRenderedPageBreak/>
        <w:t>threw two soda cans in her former spouse</w:t>
      </w:r>
      <w:r w:rsidR="00D219C2">
        <w:rPr>
          <w:rFonts w:cs="Arial"/>
          <w:lang w:val="en-CA"/>
        </w:rPr>
        <w:t>’</w:t>
      </w:r>
      <w:r w:rsidRPr="00D01473">
        <w:rPr>
          <w:rFonts w:cs="Arial"/>
          <w:lang w:val="en-CA"/>
        </w:rPr>
        <w:t>s direction. She fled to her home and was subsequently arrested. The breaches in connection with this incident are therefore</w:t>
      </w:r>
      <w:r w:rsidR="009B3AA8">
        <w:rPr>
          <w:rFonts w:cs="Arial"/>
          <w:lang w:val="en-CA"/>
        </w:rPr>
        <w:t>:</w:t>
      </w:r>
      <w:r w:rsidRPr="00D01473">
        <w:rPr>
          <w:rFonts w:cs="Arial"/>
          <w:lang w:val="en-CA"/>
        </w:rPr>
        <w:t xml:space="preserve"> that she failed to keep the peace and be of good behaviour</w:t>
      </w:r>
      <w:r w:rsidR="009B3AA8">
        <w:rPr>
          <w:rFonts w:cs="Arial"/>
          <w:lang w:val="en-CA"/>
        </w:rPr>
        <w:t>;</w:t>
      </w:r>
      <w:r w:rsidRPr="00D01473">
        <w:rPr>
          <w:rFonts w:cs="Arial"/>
          <w:lang w:val="en-CA"/>
        </w:rPr>
        <w:t xml:space="preserve"> that she did not abstain from communicating with the victim and being in his physical presence</w:t>
      </w:r>
      <w:r w:rsidR="009B3AA8">
        <w:rPr>
          <w:rFonts w:cs="Arial"/>
          <w:lang w:val="en-CA"/>
        </w:rPr>
        <w:t>;</w:t>
      </w:r>
      <w:r w:rsidRPr="00D01473">
        <w:rPr>
          <w:rFonts w:cs="Arial"/>
          <w:lang w:val="en-CA"/>
        </w:rPr>
        <w:t xml:space="preserve"> that she did not abstain from harassing or bothering the victim</w:t>
      </w:r>
      <w:r w:rsidR="009B3AA8">
        <w:rPr>
          <w:rFonts w:cs="Arial"/>
          <w:lang w:val="en-CA"/>
        </w:rPr>
        <w:t>;</w:t>
      </w:r>
      <w:r w:rsidRPr="00D01473">
        <w:rPr>
          <w:rFonts w:cs="Arial"/>
          <w:lang w:val="en-CA"/>
        </w:rPr>
        <w:t xml:space="preserve"> that she failed to </w:t>
      </w:r>
      <w:proofErr w:type="gramStart"/>
      <w:r w:rsidRPr="00D01473">
        <w:rPr>
          <w:rFonts w:cs="Arial"/>
          <w:lang w:val="en-CA"/>
        </w:rPr>
        <w:t>be at her residence at all times</w:t>
      </w:r>
      <w:proofErr w:type="gramEnd"/>
      <w:r w:rsidR="009B3AA8">
        <w:rPr>
          <w:rFonts w:cs="Arial"/>
          <w:lang w:val="en-CA"/>
        </w:rPr>
        <w:t>;</w:t>
      </w:r>
      <w:r w:rsidRPr="00D01473">
        <w:rPr>
          <w:rFonts w:cs="Arial"/>
          <w:lang w:val="en-CA"/>
        </w:rPr>
        <w:t xml:space="preserve"> and that she did not refrain from consuming alcoholic beverages. At the time, the appellant was pregnant, the father of the unborn child being her former spouse, Mr. </w:t>
      </w:r>
      <w:proofErr w:type="spellStart"/>
      <w:r w:rsidRPr="00D01473">
        <w:rPr>
          <w:rFonts w:cs="Arial"/>
          <w:lang w:val="en-CA"/>
        </w:rPr>
        <w:t>Nastapoka</w:t>
      </w:r>
      <w:proofErr w:type="spellEnd"/>
      <w:r w:rsidRPr="00D01473">
        <w:rPr>
          <w:rFonts w:cs="Arial"/>
          <w:lang w:val="en-CA"/>
        </w:rPr>
        <w:t>.</w:t>
      </w:r>
    </w:p>
    <w:p w14:paraId="3B2EBF4E" w14:textId="7BDD3029" w:rsidR="001E6447" w:rsidRPr="00D01473" w:rsidRDefault="009C618A" w:rsidP="00D05DE9">
      <w:pPr>
        <w:pStyle w:val="Paragraphe"/>
        <w:spacing w:line="240" w:lineRule="auto"/>
        <w:rPr>
          <w:rFonts w:cs="Arial"/>
          <w:lang w:val="en-CA"/>
        </w:rPr>
      </w:pPr>
      <w:r w:rsidRPr="00D01473">
        <w:rPr>
          <w:rFonts w:cs="Arial"/>
          <w:lang w:val="en-CA"/>
        </w:rPr>
        <w:t>The appellant admitted the facts pertaining to the breaches and pleaded guilty to a new offence of assault with a weapon. In light of the particular circumstances of this case – that the appellant, an Inuk woman from Nunavik, was seven months pregnant and was due to give birth soon</w:t>
      </w:r>
      <w:r w:rsidR="00AC369B">
        <w:rPr>
          <w:rFonts w:cs="Arial"/>
          <w:lang w:val="en-CA"/>
        </w:rPr>
        <w:t>;</w:t>
      </w:r>
      <w:r w:rsidRPr="00D01473">
        <w:rPr>
          <w:rFonts w:cs="Arial"/>
          <w:lang w:val="en-CA"/>
        </w:rPr>
        <w:t xml:space="preserve"> that she would otherwise be imprisoned in the south, outside her community</w:t>
      </w:r>
      <w:r w:rsidR="00AC369B">
        <w:rPr>
          <w:rFonts w:cs="Arial"/>
          <w:lang w:val="en-CA"/>
        </w:rPr>
        <w:t>;</w:t>
      </w:r>
      <w:r w:rsidRPr="00D01473">
        <w:rPr>
          <w:rFonts w:cs="Arial"/>
          <w:lang w:val="en-CA"/>
        </w:rPr>
        <w:t xml:space="preserve"> that she was cooperative</w:t>
      </w:r>
      <w:r w:rsidR="00AC369B">
        <w:rPr>
          <w:rFonts w:cs="Arial"/>
          <w:lang w:val="en-CA"/>
        </w:rPr>
        <w:t>;</w:t>
      </w:r>
      <w:r w:rsidRPr="00D01473">
        <w:rPr>
          <w:rFonts w:cs="Arial"/>
          <w:lang w:val="en-CA"/>
        </w:rPr>
        <w:t xml:space="preserve"> and that the initial offence was her first conviction – the parties made a joint submission </w:t>
      </w:r>
      <w:r w:rsidR="00AC369B">
        <w:rPr>
          <w:rFonts w:cs="Arial"/>
          <w:lang w:val="en-CA"/>
        </w:rPr>
        <w:t xml:space="preserve">which </w:t>
      </w:r>
      <w:r w:rsidRPr="00D01473">
        <w:rPr>
          <w:rFonts w:cs="Arial"/>
          <w:lang w:val="en-CA"/>
        </w:rPr>
        <w:t xml:space="preserve">consisted in modifying the optional conditions of the conditional sentence order so as to add 50 hours of community service to be performed within a period of 10 months. </w:t>
      </w:r>
    </w:p>
    <w:p w14:paraId="3B2EBF4F" w14:textId="47868779" w:rsidR="00545CB4" w:rsidRPr="00D01473" w:rsidRDefault="009C618A" w:rsidP="00D05DE9">
      <w:pPr>
        <w:pStyle w:val="Paragraphe"/>
        <w:spacing w:line="240" w:lineRule="auto"/>
        <w:rPr>
          <w:rFonts w:cs="Arial"/>
          <w:lang w:val="en-CA"/>
        </w:rPr>
      </w:pPr>
      <w:r w:rsidRPr="00D01473">
        <w:rPr>
          <w:rFonts w:cs="Arial"/>
          <w:lang w:val="en-CA"/>
        </w:rPr>
        <w:t xml:space="preserve">At a hearing held on January 11, 2024, the judge rejected this joint submission. He was of the view that the presumption that a breach of a conditional sentence order results in the revocation thereof should be applied. In </w:t>
      </w:r>
      <w:r w:rsidR="00F77FE0">
        <w:rPr>
          <w:rFonts w:cs="Arial"/>
          <w:lang w:val="en-CA"/>
        </w:rPr>
        <w:t xml:space="preserve">his </w:t>
      </w:r>
      <w:r w:rsidRPr="00D01473">
        <w:rPr>
          <w:rFonts w:cs="Arial"/>
          <w:lang w:val="en-CA"/>
        </w:rPr>
        <w:t xml:space="preserve">opinion, since the situation involved a reoffence in a matter of conjugal violence, the public would be shocked to learn that, in such a context, the appellant would not be reincarcerated. He found that the parties </w:t>
      </w:r>
      <w:r w:rsidR="00690F55">
        <w:rPr>
          <w:rFonts w:cs="Arial"/>
          <w:lang w:val="en-CA"/>
        </w:rPr>
        <w:t xml:space="preserve">were </w:t>
      </w:r>
      <w:r w:rsidR="00D219C2">
        <w:rPr>
          <w:rFonts w:cs="Arial"/>
          <w:lang w:val="en-CA"/>
        </w:rPr>
        <w:t>“</w:t>
      </w:r>
      <w:r w:rsidRPr="00D01473">
        <w:rPr>
          <w:rFonts w:cs="Arial"/>
          <w:lang w:val="en-CA"/>
        </w:rPr>
        <w:t>putting an overemphasis</w:t>
      </w:r>
      <w:r w:rsidR="00D219C2">
        <w:rPr>
          <w:rFonts w:cs="Arial"/>
          <w:lang w:val="en-CA"/>
        </w:rPr>
        <w:t>”</w:t>
      </w:r>
      <w:r w:rsidRPr="00D01473">
        <w:rPr>
          <w:rFonts w:cs="Arial"/>
          <w:lang w:val="en-CA"/>
        </w:rPr>
        <w:t> on the fact that the appellant was young and pregnant.</w:t>
      </w:r>
    </w:p>
    <w:p w14:paraId="3B2EBF50" w14:textId="35951DA7" w:rsidR="00EB708E" w:rsidRPr="00D01473" w:rsidRDefault="009C618A" w:rsidP="00D05DE9">
      <w:pPr>
        <w:pStyle w:val="aParagraphe"/>
        <w:numPr>
          <w:ilvl w:val="0"/>
          <w:numId w:val="18"/>
        </w:numPr>
        <w:spacing w:line="240" w:lineRule="auto"/>
        <w:rPr>
          <w:rFonts w:cs="Arial"/>
          <w:lang w:val="en-CA"/>
        </w:rPr>
      </w:pPr>
      <w:r w:rsidRPr="00D01473">
        <w:rPr>
          <w:rFonts w:cs="Arial"/>
          <w:lang w:val="en-CA"/>
        </w:rPr>
        <w:t xml:space="preserve">The judge therefore fully revoked the conditional sentence order, given the various breaches, and ordered that the appellant be committed to custody until the expiration of the sentence, in accordance with </w:t>
      </w:r>
      <w:r w:rsidR="00F25186">
        <w:rPr>
          <w:rFonts w:cs="Arial"/>
          <w:lang w:val="en-CA"/>
        </w:rPr>
        <w:t>s. </w:t>
      </w:r>
      <w:r w:rsidRPr="00D01473">
        <w:rPr>
          <w:rFonts w:cs="Arial"/>
          <w:lang w:val="en-CA"/>
        </w:rPr>
        <w:t xml:space="preserve">742.6(9)(d) of the </w:t>
      </w:r>
      <w:r w:rsidRPr="00D01473">
        <w:rPr>
          <w:rFonts w:cs="Arial"/>
          <w:i/>
          <w:iCs/>
          <w:lang w:val="en-CA"/>
        </w:rPr>
        <w:t>Criminal Code</w:t>
      </w:r>
      <w:r w:rsidRPr="00D01473">
        <w:rPr>
          <w:rFonts w:cs="Arial"/>
          <w:lang w:val="en-CA"/>
        </w:rPr>
        <w:t>.</w:t>
      </w:r>
      <w:r w:rsidRPr="00D01473">
        <w:rPr>
          <w:rStyle w:val="Appelnotedebasdep"/>
          <w:rFonts w:cs="Arial"/>
          <w:lang w:val="en-CA"/>
        </w:rPr>
        <w:footnoteReference w:id="1"/>
      </w:r>
      <w:r w:rsidRPr="00D01473">
        <w:rPr>
          <w:rFonts w:cs="Arial"/>
          <w:lang w:val="en-CA"/>
        </w:rPr>
        <w:t xml:space="preserve"> With respect to the new offence, he sentenced the appellant to one day of detention, consecutive to any other sentence. This latter sentence is not under appeal. On February 26, 2024, a judge of this Court released the appellant from custody pending the determination of her appeal.</w:t>
      </w:r>
    </w:p>
    <w:p w14:paraId="3B2EBF51" w14:textId="17CF5D0E" w:rsidR="002A4EA9" w:rsidRPr="00D01473" w:rsidRDefault="009C618A" w:rsidP="00D05DE9">
      <w:pPr>
        <w:pStyle w:val="aParagraphe"/>
        <w:numPr>
          <w:ilvl w:val="0"/>
          <w:numId w:val="18"/>
        </w:numPr>
        <w:spacing w:line="240" w:lineRule="auto"/>
        <w:rPr>
          <w:rFonts w:cs="Arial"/>
          <w:lang w:val="en-CA"/>
        </w:rPr>
      </w:pPr>
      <w:r w:rsidRPr="00D01473">
        <w:rPr>
          <w:rFonts w:cs="Arial"/>
          <w:lang w:val="en-CA"/>
        </w:rPr>
        <w:t>The appellant argues that in rejecting the parties</w:t>
      </w:r>
      <w:r w:rsidR="00D219C2">
        <w:rPr>
          <w:rFonts w:cs="Arial"/>
          <w:lang w:val="en-CA"/>
        </w:rPr>
        <w:t>’</w:t>
      </w:r>
      <w:r w:rsidRPr="00D01473">
        <w:rPr>
          <w:rFonts w:cs="Arial"/>
          <w:lang w:val="en-CA"/>
        </w:rPr>
        <w:t xml:space="preserve"> joint submission, the trial judge erred in his application of </w:t>
      </w:r>
      <w:r w:rsidRPr="00D01473">
        <w:rPr>
          <w:rFonts w:cs="Arial"/>
          <w:i/>
          <w:iCs/>
          <w:lang w:val="en-CA"/>
        </w:rPr>
        <w:t>R. v. Anthony-Cook</w:t>
      </w:r>
      <w:r w:rsidRPr="00D01473">
        <w:rPr>
          <w:rFonts w:cs="Arial"/>
          <w:lang w:val="en-CA"/>
        </w:rPr>
        <w:t>.</w:t>
      </w:r>
      <w:r w:rsidRPr="00D01473">
        <w:rPr>
          <w:rStyle w:val="Appelnotedebasdep"/>
          <w:rFonts w:cs="Arial"/>
          <w:lang w:val="en-CA"/>
        </w:rPr>
        <w:footnoteReference w:id="2"/>
      </w:r>
    </w:p>
    <w:p w14:paraId="3B2EBF52" w14:textId="74131C2C" w:rsidR="00747B10" w:rsidRPr="00D01473" w:rsidRDefault="009C618A" w:rsidP="002A4EA9">
      <w:pPr>
        <w:pStyle w:val="aParagraphe"/>
        <w:numPr>
          <w:ilvl w:val="0"/>
          <w:numId w:val="18"/>
        </w:numPr>
        <w:spacing w:line="240" w:lineRule="auto"/>
        <w:rPr>
          <w:rFonts w:cs="Arial"/>
          <w:lang w:val="en-CA"/>
        </w:rPr>
      </w:pPr>
      <w:r w:rsidRPr="00D01473">
        <w:rPr>
          <w:rFonts w:cs="Arial"/>
          <w:lang w:val="en-CA"/>
        </w:rPr>
        <w:t>An unusual element in this appeal is that the Crown supports the appellant</w:t>
      </w:r>
      <w:r w:rsidR="00D219C2">
        <w:rPr>
          <w:rFonts w:cs="Arial"/>
          <w:lang w:val="en-CA"/>
        </w:rPr>
        <w:t>’</w:t>
      </w:r>
      <w:r w:rsidRPr="00D01473">
        <w:rPr>
          <w:rFonts w:cs="Arial"/>
          <w:lang w:val="en-CA"/>
        </w:rPr>
        <w:t>s position. It is the prosecution</w:t>
      </w:r>
      <w:r w:rsidR="00D219C2">
        <w:rPr>
          <w:rFonts w:cs="Arial"/>
          <w:lang w:val="en-CA"/>
        </w:rPr>
        <w:t>’</w:t>
      </w:r>
      <w:r w:rsidRPr="00D01473">
        <w:rPr>
          <w:rFonts w:cs="Arial"/>
          <w:lang w:val="en-CA"/>
        </w:rPr>
        <w:t>s view that the joint submission, which favours community reintegration, is consistent with the principles of restorative justice, while also giving due regard to the public interest and the offender</w:t>
      </w:r>
      <w:r w:rsidR="00D219C2">
        <w:rPr>
          <w:rFonts w:cs="Arial"/>
          <w:lang w:val="en-CA"/>
        </w:rPr>
        <w:t>’</w:t>
      </w:r>
      <w:r w:rsidRPr="00D01473">
        <w:rPr>
          <w:rFonts w:cs="Arial"/>
          <w:lang w:val="en-CA"/>
        </w:rPr>
        <w:t xml:space="preserve">s unique situation. Indeed, the </w:t>
      </w:r>
      <w:proofErr w:type="gramStart"/>
      <w:r w:rsidRPr="00D01473">
        <w:rPr>
          <w:rFonts w:cs="Arial"/>
          <w:lang w:val="en-CA"/>
        </w:rPr>
        <w:t xml:space="preserve">particular </w:t>
      </w:r>
      <w:r w:rsidR="00B36683">
        <w:rPr>
          <w:rFonts w:cs="Arial"/>
          <w:lang w:val="en-CA"/>
        </w:rPr>
        <w:t>circumstances</w:t>
      </w:r>
      <w:proofErr w:type="gramEnd"/>
      <w:r w:rsidR="00B36683">
        <w:rPr>
          <w:rFonts w:cs="Arial"/>
          <w:lang w:val="en-CA"/>
        </w:rPr>
        <w:t xml:space="preserve"> </w:t>
      </w:r>
      <w:r w:rsidRPr="00D01473">
        <w:rPr>
          <w:rFonts w:cs="Arial"/>
          <w:lang w:val="en-CA"/>
        </w:rPr>
        <w:t>of the appellant, who was then seven</w:t>
      </w:r>
      <w:r w:rsidR="00B36683">
        <w:rPr>
          <w:rFonts w:cs="Arial"/>
          <w:lang w:val="en-CA"/>
        </w:rPr>
        <w:t xml:space="preserve"> </w:t>
      </w:r>
      <w:r w:rsidRPr="00D01473">
        <w:rPr>
          <w:rFonts w:cs="Arial"/>
          <w:lang w:val="en-CA"/>
        </w:rPr>
        <w:t xml:space="preserve">months pregnant and resided in the same remote community as the father of the unborn child, required a solution that would </w:t>
      </w:r>
      <w:r w:rsidRPr="00D01473">
        <w:rPr>
          <w:rFonts w:cs="Arial"/>
          <w:lang w:val="en-CA"/>
        </w:rPr>
        <w:lastRenderedPageBreak/>
        <w:t>respect the parties</w:t>
      </w:r>
      <w:r w:rsidR="00D219C2">
        <w:rPr>
          <w:rFonts w:cs="Arial"/>
          <w:lang w:val="en-CA"/>
        </w:rPr>
        <w:t>’</w:t>
      </w:r>
      <w:r w:rsidRPr="00D01473">
        <w:rPr>
          <w:rFonts w:cs="Arial"/>
          <w:lang w:val="en-CA"/>
        </w:rPr>
        <w:t xml:space="preserve"> community ties and cultural context. </w:t>
      </w:r>
      <w:r w:rsidR="00980508">
        <w:rPr>
          <w:rFonts w:cs="Arial"/>
          <w:lang w:val="en-CA"/>
        </w:rPr>
        <w:t>According to the Crown, t</w:t>
      </w:r>
      <w:r w:rsidRPr="00D01473">
        <w:rPr>
          <w:rFonts w:cs="Arial"/>
          <w:lang w:val="en-CA"/>
        </w:rPr>
        <w:t>he judge should therefore have shown deference to the parties</w:t>
      </w:r>
      <w:r w:rsidR="00D219C2">
        <w:rPr>
          <w:rFonts w:cs="Arial"/>
          <w:lang w:val="en-CA"/>
        </w:rPr>
        <w:t>’</w:t>
      </w:r>
      <w:r w:rsidRPr="00D01473">
        <w:rPr>
          <w:rFonts w:cs="Arial"/>
          <w:lang w:val="en-CA"/>
        </w:rPr>
        <w:t xml:space="preserve"> suggestion, which also took into account the victim</w:t>
      </w:r>
      <w:r w:rsidR="00D219C2">
        <w:rPr>
          <w:rFonts w:cs="Arial"/>
          <w:lang w:val="en-CA"/>
        </w:rPr>
        <w:t>’</w:t>
      </w:r>
      <w:r w:rsidRPr="00D01473">
        <w:rPr>
          <w:rFonts w:cs="Arial"/>
          <w:lang w:val="en-CA"/>
        </w:rPr>
        <w:t xml:space="preserve">s need for protection and the objective of </w:t>
      </w:r>
      <w:proofErr w:type="gramStart"/>
      <w:r w:rsidRPr="00D01473">
        <w:rPr>
          <w:rFonts w:cs="Arial"/>
          <w:lang w:val="en-CA"/>
        </w:rPr>
        <w:t>deterrence, and</w:t>
      </w:r>
      <w:proofErr w:type="gramEnd"/>
      <w:r w:rsidRPr="00D01473">
        <w:rPr>
          <w:rFonts w:cs="Arial"/>
          <w:lang w:val="en-CA"/>
        </w:rPr>
        <w:t xml:space="preserve"> was entirely consistent with the public interest. </w:t>
      </w:r>
    </w:p>
    <w:p w14:paraId="3B2EBF53" w14:textId="1C2CAB2A" w:rsidR="00C048F7" w:rsidRPr="00D01473" w:rsidRDefault="009C618A" w:rsidP="00D05DE9">
      <w:pPr>
        <w:pStyle w:val="aParagraphe"/>
        <w:numPr>
          <w:ilvl w:val="0"/>
          <w:numId w:val="18"/>
        </w:numPr>
        <w:spacing w:line="240" w:lineRule="auto"/>
        <w:rPr>
          <w:rFonts w:cs="Arial"/>
          <w:lang w:val="en-CA"/>
        </w:rPr>
      </w:pPr>
      <w:r w:rsidRPr="00D01473">
        <w:rPr>
          <w:rFonts w:cs="Arial"/>
          <w:lang w:val="en-CA"/>
        </w:rPr>
        <w:t xml:space="preserve">The Court agrees with these assertions. </w:t>
      </w:r>
      <w:r w:rsidR="00C16113">
        <w:rPr>
          <w:rFonts w:cs="Arial"/>
          <w:lang w:val="en-CA"/>
        </w:rPr>
        <w:t>T</w:t>
      </w:r>
      <w:r w:rsidRPr="00D01473">
        <w:rPr>
          <w:rFonts w:cs="Arial"/>
          <w:lang w:val="en-CA"/>
        </w:rPr>
        <w:t>he appeal</w:t>
      </w:r>
      <w:r w:rsidR="00C16113">
        <w:rPr>
          <w:rFonts w:cs="Arial"/>
          <w:lang w:val="en-CA"/>
        </w:rPr>
        <w:t xml:space="preserve"> should be allowed</w:t>
      </w:r>
      <w:r w:rsidRPr="00D01473">
        <w:rPr>
          <w:rFonts w:cs="Arial"/>
          <w:lang w:val="en-CA"/>
        </w:rPr>
        <w:t>.</w:t>
      </w:r>
    </w:p>
    <w:p w14:paraId="3B2EBF54" w14:textId="77777777" w:rsidR="0018125C" w:rsidRPr="00D01473" w:rsidRDefault="009C618A" w:rsidP="00D05DE9">
      <w:pPr>
        <w:pStyle w:val="aParagraphe"/>
        <w:numPr>
          <w:ilvl w:val="0"/>
          <w:numId w:val="18"/>
        </w:numPr>
        <w:spacing w:line="240" w:lineRule="auto"/>
        <w:rPr>
          <w:rFonts w:cs="Arial"/>
          <w:lang w:val="en-CA"/>
        </w:rPr>
      </w:pPr>
      <w:r w:rsidRPr="00D01473">
        <w:rPr>
          <w:rFonts w:cs="Arial"/>
          <w:lang w:val="en-CA"/>
        </w:rPr>
        <w:t>Joint sentencing submissions following a guilty plea play a vitally important role in the well‑being of the criminal and penal justice system.</w:t>
      </w:r>
      <w:r w:rsidRPr="00D01473">
        <w:rPr>
          <w:rStyle w:val="Appelnotedebasdep"/>
          <w:rFonts w:cs="Arial"/>
          <w:lang w:val="en-CA"/>
        </w:rPr>
        <w:footnoteReference w:id="3"/>
      </w:r>
      <w:r w:rsidRPr="00D01473">
        <w:rPr>
          <w:rFonts w:cs="Arial"/>
          <w:lang w:val="en-CA"/>
        </w:rPr>
        <w:t xml:space="preserve"> Such submissions benefit not only the accused, but also victims, witnesses, and the administration of justice generally.</w:t>
      </w:r>
      <w:r w:rsidRPr="00D01473">
        <w:rPr>
          <w:rStyle w:val="Appelnotedebasdep"/>
          <w:rFonts w:cs="Arial"/>
          <w:lang w:val="en-CA"/>
        </w:rPr>
        <w:footnoteReference w:id="4"/>
      </w:r>
      <w:r w:rsidRPr="00D01473">
        <w:rPr>
          <w:rFonts w:cs="Arial"/>
          <w:lang w:val="en-CA"/>
        </w:rPr>
        <w:t xml:space="preserve"> </w:t>
      </w:r>
    </w:p>
    <w:p w14:paraId="3B2EBF55" w14:textId="24BBD41A" w:rsidR="00FC6BC0" w:rsidRPr="00D01473" w:rsidRDefault="009C618A" w:rsidP="00D05DE9">
      <w:pPr>
        <w:pStyle w:val="aParagraphe"/>
        <w:numPr>
          <w:ilvl w:val="0"/>
          <w:numId w:val="18"/>
        </w:numPr>
        <w:spacing w:line="240" w:lineRule="auto"/>
        <w:rPr>
          <w:rFonts w:cs="Arial"/>
          <w:lang w:val="en-CA"/>
        </w:rPr>
      </w:pPr>
      <w:r w:rsidRPr="00D01473">
        <w:rPr>
          <w:rFonts w:cs="Arial"/>
          <w:lang w:val="en-CA"/>
        </w:rPr>
        <w:t>They offer guarantees of predictability and certainty to parties and to criminal justice system participants.</w:t>
      </w:r>
      <w:r w:rsidRPr="00D01473">
        <w:rPr>
          <w:rStyle w:val="Appelnotedebasdep"/>
          <w:rFonts w:cs="Arial"/>
          <w:lang w:val="en-CA"/>
        </w:rPr>
        <w:footnoteReference w:id="5"/>
      </w:r>
      <w:r w:rsidRPr="00D01473">
        <w:rPr>
          <w:rFonts w:cs="Arial"/>
          <w:lang w:val="en-CA"/>
        </w:rPr>
        <w:t xml:space="preserve"> These agreements save the justice system precious time, resources, and expenses, which can be channelled into other matters.</w:t>
      </w:r>
      <w:r w:rsidRPr="00D01473">
        <w:rPr>
          <w:rStyle w:val="Appelnotedebasdep"/>
          <w:rFonts w:cs="Arial"/>
          <w:lang w:val="en-CA"/>
        </w:rPr>
        <w:footnoteReference w:id="6"/>
      </w:r>
      <w:r w:rsidRPr="00D01473">
        <w:rPr>
          <w:rFonts w:cs="Arial"/>
          <w:lang w:val="en-CA"/>
        </w:rPr>
        <w:t xml:space="preserve"> These considerations are particularly relevant in the context of justice in the north, where there are inevitably major issues of judicial availability, delays and logistics.</w:t>
      </w:r>
      <w:r w:rsidRPr="00D01473">
        <w:rPr>
          <w:rStyle w:val="Appelnotedebasdep"/>
          <w:rFonts w:cs="Arial"/>
          <w:lang w:val="en-CA"/>
        </w:rPr>
        <w:footnoteReference w:id="7"/>
      </w:r>
    </w:p>
    <w:p w14:paraId="3B2EBF56" w14:textId="405AF36D" w:rsidR="0018125C" w:rsidRPr="00D01473" w:rsidRDefault="009C618A" w:rsidP="00D05DE9">
      <w:pPr>
        <w:pStyle w:val="aParagraphe"/>
        <w:numPr>
          <w:ilvl w:val="0"/>
          <w:numId w:val="18"/>
        </w:numPr>
        <w:spacing w:line="240" w:lineRule="auto"/>
        <w:rPr>
          <w:rFonts w:cs="Arial"/>
          <w:lang w:val="en-CA"/>
        </w:rPr>
      </w:pPr>
      <w:r w:rsidRPr="00D01473">
        <w:rPr>
          <w:rFonts w:cs="Arial"/>
          <w:lang w:val="en-CA"/>
        </w:rPr>
        <w:t>Trial judges should not lightly set aside a joint sentencing submission following a guilty plea.</w:t>
      </w:r>
      <w:r w:rsidRPr="00D01473">
        <w:rPr>
          <w:rStyle w:val="Appelnotedebasdep"/>
          <w:rFonts w:cs="Arial"/>
          <w:lang w:val="en-CA"/>
        </w:rPr>
        <w:footnoteReference w:id="8"/>
      </w:r>
      <w:r w:rsidRPr="00D01473">
        <w:rPr>
          <w:rFonts w:cs="Arial"/>
          <w:lang w:val="en-CA"/>
        </w:rPr>
        <w:t xml:space="preserve"> They may do so where the proposed sentence would bring the administration of justice into disrepute or is otherwise contrary to the public interest,</w:t>
      </w:r>
      <w:r w:rsidRPr="00D01473">
        <w:rPr>
          <w:rStyle w:val="Appelnotedebasdep"/>
          <w:rFonts w:cs="Arial"/>
          <w:lang w:val="en-CA"/>
        </w:rPr>
        <w:footnoteReference w:id="9"/>
      </w:r>
      <w:r w:rsidRPr="00D01473">
        <w:rPr>
          <w:rFonts w:cs="Arial"/>
          <w:lang w:val="en-CA"/>
        </w:rPr>
        <w:t xml:space="preserve"> provided they have first expressed their concerns to the parties and have informed the accused about the possibility of withdrawing the guilty plea.</w:t>
      </w:r>
      <w:r w:rsidRPr="00D01473">
        <w:rPr>
          <w:rStyle w:val="Appelnotedebasdep"/>
          <w:rFonts w:cs="Arial"/>
          <w:lang w:val="en-CA"/>
        </w:rPr>
        <w:footnoteReference w:id="10"/>
      </w:r>
    </w:p>
    <w:p w14:paraId="3B2EBF57" w14:textId="77777777" w:rsidR="00FC6BC0" w:rsidRPr="00D01473" w:rsidRDefault="009C618A" w:rsidP="00D05DE9">
      <w:pPr>
        <w:pStyle w:val="aParagraphe"/>
        <w:numPr>
          <w:ilvl w:val="0"/>
          <w:numId w:val="18"/>
        </w:numPr>
        <w:spacing w:line="240" w:lineRule="auto"/>
        <w:rPr>
          <w:rFonts w:cs="Arial"/>
          <w:lang w:val="en-CA"/>
        </w:rPr>
      </w:pPr>
      <w:r w:rsidRPr="00D01473">
        <w:rPr>
          <w:rFonts w:cs="Arial"/>
          <w:lang w:val="en-CA"/>
        </w:rPr>
        <w:t>This is the case when the sentence is so unhinged from the circumstances of the offence and the offender that its acceptance would lead reasonable and informed persons, aware of all the relevant circumstances,</w:t>
      </w:r>
      <w:r w:rsidRPr="00D01473">
        <w:rPr>
          <w:rStyle w:val="Appelnotedebasdep"/>
          <w:lang w:val="en-CA"/>
        </w:rPr>
        <w:footnoteReference w:id="11"/>
      </w:r>
      <w:r w:rsidRPr="00D01473">
        <w:rPr>
          <w:rFonts w:cs="Arial"/>
          <w:lang w:val="en-CA"/>
        </w:rPr>
        <w:t xml:space="preserve"> including the importance of promoting certainty in resolution discussions, to believe that the proper functioning of the justice system had broken down, which would be contrary to the public interest.</w:t>
      </w:r>
      <w:r w:rsidRPr="00D01473">
        <w:rPr>
          <w:rStyle w:val="Appelnotedebasdep"/>
          <w:rFonts w:cs="Arial"/>
          <w:lang w:val="en-CA"/>
        </w:rPr>
        <w:footnoteReference w:id="12"/>
      </w:r>
    </w:p>
    <w:p w14:paraId="3B2EBF58" w14:textId="4A5A0B64" w:rsidR="00AA20E9" w:rsidRPr="00D01473" w:rsidRDefault="009C618A" w:rsidP="00D05DE9">
      <w:pPr>
        <w:pStyle w:val="aParagraphe"/>
        <w:numPr>
          <w:ilvl w:val="0"/>
          <w:numId w:val="18"/>
        </w:numPr>
        <w:spacing w:line="240" w:lineRule="auto"/>
        <w:rPr>
          <w:rFonts w:cs="Arial"/>
          <w:lang w:val="en-CA"/>
        </w:rPr>
      </w:pPr>
      <w:r w:rsidRPr="00D01473">
        <w:rPr>
          <w:rFonts w:cs="Arial"/>
          <w:lang w:val="en-CA"/>
        </w:rPr>
        <w:lastRenderedPageBreak/>
        <w:t xml:space="preserve">In the case of Indigenous offenders, sentencing judges must take the </w:t>
      </w:r>
      <w:r w:rsidRPr="00D01473">
        <w:rPr>
          <w:rFonts w:cs="Arial"/>
          <w:i/>
          <w:iCs/>
          <w:lang w:val="en-CA"/>
        </w:rPr>
        <w:t>Gladue</w:t>
      </w:r>
      <w:r w:rsidRPr="00D01473">
        <w:rPr>
          <w:rStyle w:val="Appelnotedebasdep"/>
          <w:rFonts w:cs="Arial"/>
          <w:lang w:val="en-CA"/>
        </w:rPr>
        <w:footnoteReference w:id="13"/>
      </w:r>
      <w:r w:rsidRPr="00D01473">
        <w:rPr>
          <w:rFonts w:cs="Arial"/>
          <w:lang w:val="en-CA"/>
        </w:rPr>
        <w:t xml:space="preserve"> factors into account. When the parties</w:t>
      </w:r>
      <w:r w:rsidR="00D219C2">
        <w:rPr>
          <w:rFonts w:cs="Arial"/>
          <w:lang w:val="en-CA"/>
        </w:rPr>
        <w:t>’</w:t>
      </w:r>
      <w:r w:rsidRPr="00D01473">
        <w:rPr>
          <w:rFonts w:cs="Arial"/>
          <w:lang w:val="en-CA"/>
        </w:rPr>
        <w:t xml:space="preserve"> joint submission fails to consider the </w:t>
      </w:r>
      <w:r w:rsidRPr="00D01473">
        <w:rPr>
          <w:rFonts w:cs="Arial"/>
          <w:i/>
          <w:iCs/>
          <w:lang w:val="en-CA"/>
        </w:rPr>
        <w:t>Gladue</w:t>
      </w:r>
      <w:r w:rsidRPr="00D01473">
        <w:rPr>
          <w:rFonts w:cs="Arial"/>
          <w:lang w:val="en-CA"/>
        </w:rPr>
        <w:t xml:space="preserve"> factors, the sentencing judge must reject it.</w:t>
      </w:r>
      <w:r w:rsidRPr="00D01473">
        <w:rPr>
          <w:rStyle w:val="Appelnotedebasdep"/>
          <w:rFonts w:cs="Arial"/>
          <w:lang w:val="en-CA"/>
        </w:rPr>
        <w:footnoteReference w:id="14"/>
      </w:r>
      <w:r w:rsidRPr="00D01473">
        <w:rPr>
          <w:rFonts w:cs="Arial"/>
          <w:lang w:val="en-CA"/>
        </w:rPr>
        <w:t xml:space="preserve"> Conversely, a joint submission that takes full account of the </w:t>
      </w:r>
      <w:r w:rsidRPr="00D01473">
        <w:rPr>
          <w:rFonts w:cs="Arial"/>
          <w:i/>
          <w:iCs/>
          <w:lang w:val="en-CA"/>
        </w:rPr>
        <w:t>Gladue</w:t>
      </w:r>
      <w:r w:rsidRPr="00D01473">
        <w:rPr>
          <w:rFonts w:cs="Arial"/>
          <w:lang w:val="en-CA"/>
        </w:rPr>
        <w:t xml:space="preserve"> factors and is put forward by lawyers familiar with the context carries a great deal of weight. </w:t>
      </w:r>
    </w:p>
    <w:p w14:paraId="3B2EBF59" w14:textId="2912BE46" w:rsidR="00FA1B89" w:rsidRPr="00D01473" w:rsidRDefault="009C618A" w:rsidP="00D05DE9">
      <w:pPr>
        <w:pStyle w:val="aParagraphe"/>
        <w:numPr>
          <w:ilvl w:val="0"/>
          <w:numId w:val="18"/>
        </w:numPr>
        <w:spacing w:line="240" w:lineRule="auto"/>
        <w:rPr>
          <w:rFonts w:cs="Arial"/>
          <w:lang w:val="en-CA"/>
        </w:rPr>
      </w:pPr>
      <w:r w:rsidRPr="00D01473">
        <w:rPr>
          <w:rFonts w:cs="Arial"/>
          <w:lang w:val="en-CA"/>
        </w:rPr>
        <w:t xml:space="preserve">As regards a breach of a conditional sentence order, the offender is subject to the measures set out in s. 742.6(9) of the </w:t>
      </w:r>
      <w:r w:rsidRPr="00D01473">
        <w:rPr>
          <w:rFonts w:cs="Arial"/>
          <w:i/>
          <w:iCs/>
          <w:lang w:val="en-CA"/>
        </w:rPr>
        <w:t>Criminal Code</w:t>
      </w:r>
      <w:r w:rsidRPr="00D01473">
        <w:rPr>
          <w:rFonts w:cs="Arial"/>
          <w:lang w:val="en-CA"/>
        </w:rPr>
        <w:t>, of which the most severe is the complete revocation of the conditional sentence order, resulting in the offender</w:t>
      </w:r>
      <w:r w:rsidR="00D219C2">
        <w:rPr>
          <w:rFonts w:cs="Arial"/>
          <w:lang w:val="en-CA"/>
        </w:rPr>
        <w:t>’</w:t>
      </w:r>
      <w:r w:rsidRPr="00D01473">
        <w:rPr>
          <w:rFonts w:cs="Arial"/>
          <w:lang w:val="en-CA"/>
        </w:rPr>
        <w:t>s incarceration until the end of the prison sentence.</w:t>
      </w:r>
    </w:p>
    <w:p w14:paraId="3B2EBF5A" w14:textId="7C396A5F" w:rsidR="00EE117C" w:rsidRPr="00D01473" w:rsidRDefault="009C618A" w:rsidP="00D05DE9">
      <w:pPr>
        <w:pStyle w:val="aParagraphe"/>
        <w:numPr>
          <w:ilvl w:val="0"/>
          <w:numId w:val="18"/>
        </w:numPr>
        <w:spacing w:line="240" w:lineRule="auto"/>
        <w:rPr>
          <w:rFonts w:cs="Arial"/>
          <w:lang w:val="en-CA"/>
        </w:rPr>
      </w:pPr>
      <w:r w:rsidRPr="00D01473">
        <w:rPr>
          <w:rFonts w:cs="Arial"/>
          <w:lang w:val="en-CA"/>
        </w:rPr>
        <w:t xml:space="preserve">But, as with any other sentencing decision, determining the appropriate order </w:t>
      </w:r>
      <w:r w:rsidR="00FB6EAB">
        <w:rPr>
          <w:rFonts w:cs="Arial"/>
          <w:lang w:val="en-CA"/>
        </w:rPr>
        <w:t xml:space="preserve">when there has been </w:t>
      </w:r>
      <w:r w:rsidRPr="00D01473">
        <w:rPr>
          <w:rFonts w:cs="Arial"/>
          <w:lang w:val="en-CA"/>
        </w:rPr>
        <w:t>a breach of a conditional sentence is an individualized process.</w:t>
      </w:r>
      <w:r w:rsidRPr="00D01473">
        <w:rPr>
          <w:rStyle w:val="Appelnotedebasdep"/>
          <w:rFonts w:cs="Arial"/>
          <w:lang w:val="en-CA"/>
        </w:rPr>
        <w:footnoteReference w:id="15"/>
      </w:r>
      <w:r w:rsidRPr="00D01473">
        <w:rPr>
          <w:rFonts w:cs="Arial"/>
          <w:lang w:val="en-CA"/>
        </w:rPr>
        <w:t xml:space="preserve"> The sentencing judge has the discretion to determine which of the measures – whose range is set out in s. 742.6(9) of the </w:t>
      </w:r>
      <w:r w:rsidRPr="00D01473">
        <w:rPr>
          <w:rFonts w:cs="Arial"/>
          <w:i/>
          <w:iCs/>
          <w:lang w:val="en-CA"/>
        </w:rPr>
        <w:t>Criminal Code</w:t>
      </w:r>
      <w:r w:rsidRPr="00D01473">
        <w:rPr>
          <w:rFonts w:cs="Arial"/>
          <w:lang w:val="en-CA"/>
        </w:rPr>
        <w:t xml:space="preserve"> – is appropriate </w:t>
      </w:r>
      <w:proofErr w:type="gramStart"/>
      <w:r w:rsidRPr="00D01473">
        <w:rPr>
          <w:rFonts w:cs="Arial"/>
          <w:lang w:val="en-CA"/>
        </w:rPr>
        <w:t>in light of</w:t>
      </w:r>
      <w:proofErr w:type="gramEnd"/>
      <w:r w:rsidRPr="00D01473">
        <w:rPr>
          <w:rFonts w:cs="Arial"/>
          <w:lang w:val="en-CA"/>
        </w:rPr>
        <w:t xml:space="preserve"> all the circumstances.</w:t>
      </w:r>
    </w:p>
    <w:p w14:paraId="3B2EBF5B" w14:textId="77777777" w:rsidR="00FA1B89" w:rsidRPr="00D01473" w:rsidRDefault="009C618A" w:rsidP="00D05DE9">
      <w:pPr>
        <w:pStyle w:val="aParagraphe"/>
        <w:numPr>
          <w:ilvl w:val="0"/>
          <w:numId w:val="18"/>
        </w:numPr>
        <w:spacing w:line="240" w:lineRule="auto"/>
        <w:rPr>
          <w:rFonts w:cs="Arial"/>
          <w:lang w:val="en-CA"/>
        </w:rPr>
      </w:pPr>
      <w:r w:rsidRPr="00D01473">
        <w:rPr>
          <w:rFonts w:cs="Arial"/>
          <w:lang w:val="en-CA"/>
        </w:rPr>
        <w:t>In the case at bar, the trial judge committed a reviewable error in principle by failing to consider all the relevant factors in his analysis of the public interest test. He should have provided clear and cogent reasons for departing from the joint submission.</w:t>
      </w:r>
      <w:r w:rsidRPr="00D01473">
        <w:rPr>
          <w:rStyle w:val="Appelnotedebasdep"/>
          <w:rFonts w:cs="Arial"/>
          <w:lang w:val="en-CA"/>
        </w:rPr>
        <w:footnoteReference w:id="16"/>
      </w:r>
    </w:p>
    <w:p w14:paraId="3B2EBF5C" w14:textId="15A9C9B2" w:rsidR="00C3710E" w:rsidRPr="00D01473" w:rsidRDefault="009C618A" w:rsidP="00D05DE9">
      <w:pPr>
        <w:pStyle w:val="aParagraphe"/>
        <w:numPr>
          <w:ilvl w:val="0"/>
          <w:numId w:val="18"/>
        </w:numPr>
        <w:spacing w:line="240" w:lineRule="auto"/>
        <w:rPr>
          <w:rFonts w:cs="Arial"/>
          <w:lang w:val="en-CA"/>
        </w:rPr>
      </w:pPr>
      <w:r w:rsidRPr="00D01473">
        <w:rPr>
          <w:rFonts w:cs="Arial"/>
          <w:lang w:val="en-CA"/>
        </w:rPr>
        <w:t xml:space="preserve">In this regard, he should have explained how the proposed sentence constituted </w:t>
      </w:r>
      <w:r w:rsidR="00D219C2">
        <w:rPr>
          <w:rFonts w:cs="Arial"/>
          <w:lang w:val="en-CA"/>
        </w:rPr>
        <w:t>“</w:t>
      </w:r>
      <w:r w:rsidRPr="00D01473">
        <w:rPr>
          <w:rFonts w:cs="Arial"/>
          <w:lang w:val="en-CA"/>
        </w:rPr>
        <w:t>a breakdown in the proper functioning of the criminal justice system</w:t>
      </w:r>
      <w:r w:rsidR="00D219C2">
        <w:rPr>
          <w:rFonts w:cs="Arial"/>
          <w:lang w:val="en-CA"/>
        </w:rPr>
        <w:t>”</w:t>
      </w:r>
      <w:r w:rsidRPr="00D01473">
        <w:rPr>
          <w:rFonts w:cs="Arial"/>
          <w:lang w:val="en-CA"/>
        </w:rPr>
        <w:t xml:space="preserve"> and [</w:t>
      </w:r>
      <w:r w:rsidRPr="00404392">
        <w:rPr>
          <w:rFonts w:cs="Arial"/>
          <w:smallCaps/>
          <w:lang w:val="en-CA"/>
        </w:rPr>
        <w:t>translation</w:t>
      </w:r>
      <w:r w:rsidRPr="00D01473">
        <w:rPr>
          <w:rFonts w:cs="Arial"/>
          <w:lang w:val="en-CA"/>
        </w:rPr>
        <w:t>]</w:t>
      </w:r>
      <w:r w:rsidR="00404392">
        <w:rPr>
          <w:rFonts w:cs="Arial"/>
          <w:lang w:val="en-CA"/>
        </w:rPr>
        <w:t> </w:t>
      </w:r>
      <w:r w:rsidR="00D219C2">
        <w:rPr>
          <w:rFonts w:cs="Arial"/>
          <w:lang w:val="en-CA"/>
        </w:rPr>
        <w:t>“</w:t>
      </w:r>
      <w:r w:rsidRPr="00D01473">
        <w:rPr>
          <w:rFonts w:cs="Arial"/>
          <w:lang w:val="en-CA"/>
        </w:rPr>
        <w:t>[could not] serve the greater good</w:t>
      </w:r>
      <w:r w:rsidR="00D219C2">
        <w:rPr>
          <w:rFonts w:cs="Arial"/>
          <w:lang w:val="en-CA"/>
        </w:rPr>
        <w:t>”</w:t>
      </w:r>
      <w:r w:rsidRPr="00D01473">
        <w:rPr>
          <w:rFonts w:cs="Arial"/>
          <w:lang w:val="en-CA"/>
        </w:rPr>
        <w:t>.</w:t>
      </w:r>
      <w:r w:rsidRPr="00D01473">
        <w:rPr>
          <w:rStyle w:val="Appelnotedebasdep"/>
          <w:rFonts w:cs="Arial"/>
          <w:lang w:val="en-CA"/>
        </w:rPr>
        <w:footnoteReference w:id="17"/>
      </w:r>
      <w:r w:rsidRPr="00D01473">
        <w:rPr>
          <w:rFonts w:cs="Arial"/>
          <w:lang w:val="en-CA"/>
        </w:rPr>
        <w:t xml:space="preserve"> He failed to do so.</w:t>
      </w:r>
    </w:p>
    <w:p w14:paraId="3B2EBF5D" w14:textId="77777777" w:rsidR="00421669" w:rsidRPr="00D01473" w:rsidRDefault="009C618A" w:rsidP="00D05DE9">
      <w:pPr>
        <w:pStyle w:val="aParagraphe"/>
        <w:numPr>
          <w:ilvl w:val="0"/>
          <w:numId w:val="18"/>
        </w:numPr>
        <w:spacing w:line="240" w:lineRule="auto"/>
        <w:rPr>
          <w:rFonts w:cs="Arial"/>
          <w:lang w:val="en-CA"/>
        </w:rPr>
      </w:pPr>
      <w:r w:rsidRPr="00D01473">
        <w:rPr>
          <w:rFonts w:cs="Arial"/>
          <w:lang w:val="en-CA"/>
        </w:rPr>
        <w:t xml:space="preserve">The judge focused his attention on factors unfavourable to the joint submission, in particular the presence of three breaches and the fact that the new offence fell within the context of domestic violence and was committed against the same victim. But the judge failed to take into account the following considerations, which were presented by the </w:t>
      </w:r>
      <w:proofErr w:type="gramStart"/>
      <w:r w:rsidRPr="00D01473">
        <w:rPr>
          <w:rFonts w:cs="Arial"/>
          <w:lang w:val="en-CA"/>
        </w:rPr>
        <w:t>lawyers</w:t>
      </w:r>
      <w:proofErr w:type="gramEnd"/>
      <w:r w:rsidRPr="00D01473">
        <w:rPr>
          <w:rFonts w:cs="Arial"/>
          <w:lang w:val="en-CA"/>
        </w:rPr>
        <w:t xml:space="preserve"> and which supported the joint submission and provided a justification therefor under the public interest test, given the particular context of this case:</w:t>
      </w:r>
    </w:p>
    <w:p w14:paraId="3B2EBF5E" w14:textId="0D7AE546" w:rsidR="00221392" w:rsidRPr="00651B9B" w:rsidRDefault="009C618A" w:rsidP="00D05DE9">
      <w:pPr>
        <w:pStyle w:val="aParagraphe"/>
        <w:numPr>
          <w:ilvl w:val="0"/>
          <w:numId w:val="20"/>
        </w:numPr>
        <w:spacing w:line="240" w:lineRule="auto"/>
        <w:rPr>
          <w:rFonts w:cs="Arial"/>
          <w:szCs w:val="24"/>
          <w:lang w:val="en-CA"/>
        </w:rPr>
      </w:pPr>
      <w:r w:rsidRPr="00D01473">
        <w:rPr>
          <w:rFonts w:cs="Arial"/>
          <w:szCs w:val="24"/>
          <w:lang w:val="en-CA"/>
        </w:rPr>
        <w:t xml:space="preserve">The existence of the </w:t>
      </w:r>
      <w:r w:rsidRPr="00D01473">
        <w:rPr>
          <w:rFonts w:cs="Arial"/>
          <w:i/>
          <w:iCs/>
          <w:szCs w:val="24"/>
          <w:lang w:val="en-CA"/>
        </w:rPr>
        <w:t>Gladue</w:t>
      </w:r>
      <w:r w:rsidRPr="00D01473">
        <w:rPr>
          <w:rFonts w:cs="Arial"/>
          <w:szCs w:val="24"/>
          <w:lang w:val="en-CA"/>
        </w:rPr>
        <w:t xml:space="preserve"> factors, in particular the issues of serious alcohol abuse and crime in Indigenous communities, issues that stem directly from </w:t>
      </w:r>
      <w:r w:rsidR="00651B9B">
        <w:rPr>
          <w:rFonts w:cs="Arial"/>
          <w:szCs w:val="24"/>
          <w:lang w:val="en-CA"/>
        </w:rPr>
        <w:t>Canada’s</w:t>
      </w:r>
      <w:r w:rsidRPr="00651B9B">
        <w:rPr>
          <w:rFonts w:cs="Arial"/>
          <w:szCs w:val="24"/>
          <w:lang w:val="en-CA"/>
        </w:rPr>
        <w:t xml:space="preserve"> </w:t>
      </w:r>
      <w:r w:rsidR="00651B9B">
        <w:rPr>
          <w:rFonts w:cs="Arial"/>
          <w:szCs w:val="24"/>
          <w:lang w:val="en-CA"/>
        </w:rPr>
        <w:t xml:space="preserve">previous </w:t>
      </w:r>
      <w:r w:rsidRPr="00651B9B">
        <w:rPr>
          <w:rFonts w:cs="Arial"/>
          <w:szCs w:val="24"/>
          <w:lang w:val="en-CA"/>
        </w:rPr>
        <w:t>colonialist</w:t>
      </w:r>
      <w:r w:rsidRPr="00D01473">
        <w:rPr>
          <w:rFonts w:cs="Arial"/>
          <w:szCs w:val="24"/>
          <w:lang w:val="en-CA"/>
        </w:rPr>
        <w:t xml:space="preserve"> policies; the appellant herself suffers from alcohol </w:t>
      </w:r>
      <w:proofErr w:type="gramStart"/>
      <w:r w:rsidRPr="00D01473">
        <w:rPr>
          <w:rFonts w:cs="Arial"/>
          <w:szCs w:val="24"/>
          <w:lang w:val="en-CA"/>
        </w:rPr>
        <w:t>abuse;</w:t>
      </w:r>
      <w:proofErr w:type="gramEnd"/>
      <w:r w:rsidR="00651B9B">
        <w:rPr>
          <w:rFonts w:cs="Arial"/>
          <w:szCs w:val="24"/>
          <w:lang w:val="en-CA"/>
        </w:rPr>
        <w:t xml:space="preserve"> </w:t>
      </w:r>
    </w:p>
    <w:p w14:paraId="3B2EBF5F" w14:textId="77777777" w:rsidR="00221392" w:rsidRPr="00D01473" w:rsidRDefault="009C618A" w:rsidP="00D05DE9">
      <w:pPr>
        <w:pStyle w:val="aParagraphe"/>
        <w:numPr>
          <w:ilvl w:val="0"/>
          <w:numId w:val="20"/>
        </w:numPr>
        <w:spacing w:line="240" w:lineRule="auto"/>
        <w:rPr>
          <w:rFonts w:cs="Arial"/>
          <w:szCs w:val="24"/>
          <w:lang w:val="en-CA"/>
        </w:rPr>
      </w:pPr>
      <w:r w:rsidRPr="00D01473">
        <w:rPr>
          <w:rFonts w:cs="Arial"/>
          <w:szCs w:val="24"/>
          <w:lang w:val="en-CA"/>
        </w:rPr>
        <w:lastRenderedPageBreak/>
        <w:t xml:space="preserve">The need to tailor sentences to the situation and realities of Indigenous peoples, which justifies considering alternative sanctions to imprisonment as a means of more effectively achieving the objectives of sentencing in a particular </w:t>
      </w:r>
      <w:proofErr w:type="gramStart"/>
      <w:r w:rsidRPr="00D01473">
        <w:rPr>
          <w:rFonts w:cs="Arial"/>
          <w:szCs w:val="24"/>
          <w:lang w:val="en-CA"/>
        </w:rPr>
        <w:t>community;</w:t>
      </w:r>
      <w:proofErr w:type="gramEnd"/>
    </w:p>
    <w:p w14:paraId="3B2EBF60" w14:textId="681D7939" w:rsidR="00C3710E" w:rsidRPr="00D01473" w:rsidRDefault="009C618A" w:rsidP="00D05DE9">
      <w:pPr>
        <w:pStyle w:val="aParagraphe"/>
        <w:numPr>
          <w:ilvl w:val="0"/>
          <w:numId w:val="20"/>
        </w:numPr>
        <w:spacing w:line="240" w:lineRule="auto"/>
        <w:rPr>
          <w:rFonts w:cs="Arial"/>
          <w:szCs w:val="24"/>
          <w:lang w:val="en-CA"/>
        </w:rPr>
      </w:pPr>
      <w:r w:rsidRPr="00D01473">
        <w:rPr>
          <w:rFonts w:cs="Arial"/>
          <w:szCs w:val="24"/>
          <w:lang w:val="en-CA"/>
        </w:rPr>
        <w:t xml:space="preserve">The fact that the accused is young, is an Inuk woman from a small northern community and was seven months pregnant; the fact that, in this context, revoking the </w:t>
      </w:r>
      <w:r w:rsidR="00F77FE0">
        <w:rPr>
          <w:rFonts w:cs="Arial"/>
          <w:szCs w:val="24"/>
          <w:lang w:val="en-CA"/>
        </w:rPr>
        <w:t>conditional</w:t>
      </w:r>
      <w:r w:rsidR="00F77FE0" w:rsidRPr="00D01473">
        <w:rPr>
          <w:rFonts w:cs="Arial"/>
          <w:szCs w:val="24"/>
          <w:lang w:val="en-CA"/>
        </w:rPr>
        <w:t xml:space="preserve"> </w:t>
      </w:r>
      <w:r w:rsidRPr="00D01473">
        <w:rPr>
          <w:rFonts w:cs="Arial"/>
          <w:szCs w:val="24"/>
          <w:lang w:val="en-CA"/>
        </w:rPr>
        <w:t xml:space="preserve">sentence would mean detention in a prison in the south, where she would have been forced to carry her pregnancy to term, without her family present and in an environment that was completely foreign in every </w:t>
      </w:r>
      <w:proofErr w:type="gramStart"/>
      <w:r w:rsidRPr="00D01473">
        <w:rPr>
          <w:rFonts w:cs="Arial"/>
          <w:szCs w:val="24"/>
          <w:lang w:val="en-CA"/>
        </w:rPr>
        <w:t>respect;</w:t>
      </w:r>
      <w:proofErr w:type="gramEnd"/>
    </w:p>
    <w:p w14:paraId="3B2EBF61" w14:textId="27405DE2" w:rsidR="00C3710E" w:rsidRPr="00D01473" w:rsidRDefault="009C618A" w:rsidP="00D05DE9">
      <w:pPr>
        <w:pStyle w:val="aParagraphe"/>
        <w:numPr>
          <w:ilvl w:val="0"/>
          <w:numId w:val="20"/>
        </w:numPr>
        <w:spacing w:line="240" w:lineRule="auto"/>
        <w:rPr>
          <w:rFonts w:cs="Arial"/>
          <w:szCs w:val="24"/>
          <w:lang w:val="en-CA"/>
        </w:rPr>
      </w:pPr>
      <w:r w:rsidRPr="00D01473">
        <w:rPr>
          <w:rFonts w:cs="Arial"/>
          <w:szCs w:val="24"/>
          <w:lang w:val="en-CA"/>
        </w:rPr>
        <w:t xml:space="preserve">The particular circumstances of the second breach – namely, that it was the victim who approached the appellant, that the latter, who was aware of her conditions, panicked, and that the </w:t>
      </w:r>
      <w:r w:rsidR="00D219C2">
        <w:rPr>
          <w:rFonts w:cs="Arial"/>
          <w:szCs w:val="24"/>
          <w:lang w:val="en-CA"/>
        </w:rPr>
        <w:t>“</w:t>
      </w:r>
      <w:r w:rsidRPr="00651B9B">
        <w:rPr>
          <w:rFonts w:cs="Arial"/>
          <w:szCs w:val="24"/>
          <w:lang w:val="en-CA"/>
        </w:rPr>
        <w:t>weapon</w:t>
      </w:r>
      <w:r w:rsidR="00D219C2" w:rsidRPr="00651B9B">
        <w:rPr>
          <w:rFonts w:cs="Arial"/>
          <w:szCs w:val="24"/>
          <w:lang w:val="en-CA"/>
        </w:rPr>
        <w:t>”</w:t>
      </w:r>
      <w:r w:rsidRPr="00D01473">
        <w:rPr>
          <w:rFonts w:cs="Arial"/>
          <w:szCs w:val="24"/>
          <w:lang w:val="en-CA"/>
        </w:rPr>
        <w:t xml:space="preserve"> used in the crime was soda </w:t>
      </w:r>
      <w:proofErr w:type="gramStart"/>
      <w:r w:rsidRPr="00D01473">
        <w:rPr>
          <w:rFonts w:cs="Arial"/>
          <w:szCs w:val="24"/>
          <w:lang w:val="en-CA"/>
        </w:rPr>
        <w:t>cans;</w:t>
      </w:r>
      <w:proofErr w:type="gramEnd"/>
    </w:p>
    <w:p w14:paraId="3B2EBF62" w14:textId="77777777" w:rsidR="009E65BA" w:rsidRPr="00D01473" w:rsidRDefault="009C618A" w:rsidP="00D05DE9">
      <w:pPr>
        <w:pStyle w:val="aParagraphe"/>
        <w:numPr>
          <w:ilvl w:val="0"/>
          <w:numId w:val="20"/>
        </w:numPr>
        <w:spacing w:line="240" w:lineRule="auto"/>
        <w:rPr>
          <w:rFonts w:cs="Arial"/>
          <w:szCs w:val="24"/>
          <w:lang w:val="en-CA"/>
        </w:rPr>
      </w:pPr>
      <w:r w:rsidRPr="00D01473">
        <w:rPr>
          <w:rFonts w:cs="Arial"/>
          <w:szCs w:val="24"/>
          <w:lang w:val="en-CA"/>
        </w:rPr>
        <w:t xml:space="preserve">The appellant had no criminal record prior to the offence that led to the conditional </w:t>
      </w:r>
      <w:proofErr w:type="gramStart"/>
      <w:r w:rsidRPr="00D01473">
        <w:rPr>
          <w:rFonts w:cs="Arial"/>
          <w:szCs w:val="24"/>
          <w:lang w:val="en-CA"/>
        </w:rPr>
        <w:t>sentence;</w:t>
      </w:r>
      <w:proofErr w:type="gramEnd"/>
    </w:p>
    <w:p w14:paraId="3B2EBF63" w14:textId="77777777" w:rsidR="003D7050" w:rsidRPr="00D01473" w:rsidRDefault="009C618A" w:rsidP="00D05DE9">
      <w:pPr>
        <w:pStyle w:val="aParagraphe"/>
        <w:numPr>
          <w:ilvl w:val="0"/>
          <w:numId w:val="20"/>
        </w:numPr>
        <w:spacing w:line="240" w:lineRule="auto"/>
        <w:rPr>
          <w:rFonts w:cs="Arial"/>
          <w:szCs w:val="24"/>
          <w:lang w:val="en-CA"/>
        </w:rPr>
      </w:pPr>
      <w:r w:rsidRPr="00D01473">
        <w:rPr>
          <w:rFonts w:cs="Arial"/>
          <w:szCs w:val="24"/>
          <w:lang w:val="en-CA"/>
        </w:rPr>
        <w:t>Her probation officer had expressed the opinion that she was fit to continue serving her sentence in the community and that she had shown signs of rehabilitation since the beginning of her sentence; she had also been generally cooperative and transparent since the beginning of her sentence in the community.</w:t>
      </w:r>
    </w:p>
    <w:p w14:paraId="3B2EBF64" w14:textId="0A329361" w:rsidR="003D7050" w:rsidRPr="00D01473" w:rsidRDefault="009C618A" w:rsidP="00D05DE9">
      <w:pPr>
        <w:pStyle w:val="aParagraphe"/>
        <w:numPr>
          <w:ilvl w:val="0"/>
          <w:numId w:val="18"/>
        </w:numPr>
        <w:spacing w:line="240" w:lineRule="auto"/>
        <w:rPr>
          <w:rFonts w:cs="Arial"/>
          <w:szCs w:val="24"/>
          <w:lang w:val="en-CA"/>
        </w:rPr>
      </w:pPr>
      <w:r w:rsidRPr="00D01473">
        <w:rPr>
          <w:rFonts w:cs="Arial"/>
          <w:szCs w:val="24"/>
          <w:lang w:val="en-CA"/>
        </w:rPr>
        <w:t xml:space="preserve">The judge was required to engage with </w:t>
      </w:r>
      <w:proofErr w:type="gramStart"/>
      <w:r w:rsidRPr="00D01473">
        <w:rPr>
          <w:rFonts w:cs="Arial"/>
          <w:szCs w:val="24"/>
          <w:u w:val="single"/>
          <w:lang w:val="en-CA"/>
        </w:rPr>
        <w:t>all</w:t>
      </w:r>
      <w:r w:rsidRPr="00D01473">
        <w:rPr>
          <w:rFonts w:cs="Arial"/>
          <w:szCs w:val="24"/>
          <w:lang w:val="en-CA"/>
        </w:rPr>
        <w:t xml:space="preserve"> of</w:t>
      </w:r>
      <w:proofErr w:type="gramEnd"/>
      <w:r w:rsidRPr="00D01473">
        <w:rPr>
          <w:rFonts w:cs="Arial"/>
          <w:szCs w:val="24"/>
          <w:lang w:val="en-CA"/>
        </w:rPr>
        <w:t xml:space="preserve"> the case-specific elements and consider whether, in light of these, an informed member of the public would view the proposed sentence as a breakdown in the proper functioning of the justice system.</w:t>
      </w:r>
      <w:r w:rsidRPr="00D01473">
        <w:rPr>
          <w:rStyle w:val="Appelnotedebasdep"/>
          <w:rFonts w:cs="Arial"/>
          <w:szCs w:val="24"/>
          <w:lang w:val="en-CA"/>
        </w:rPr>
        <w:footnoteReference w:id="18"/>
      </w:r>
      <w:r w:rsidR="00E92FFC">
        <w:rPr>
          <w:rFonts w:cs="Arial"/>
          <w:szCs w:val="24"/>
          <w:lang w:val="en-CA"/>
        </w:rPr>
        <w:t xml:space="preserve"> </w:t>
      </w:r>
    </w:p>
    <w:p w14:paraId="3B2EBF65" w14:textId="53601885" w:rsidR="0078509E" w:rsidRPr="00D01473" w:rsidRDefault="00815029" w:rsidP="00D05DE9">
      <w:pPr>
        <w:pStyle w:val="aParagraphe"/>
        <w:numPr>
          <w:ilvl w:val="0"/>
          <w:numId w:val="18"/>
        </w:numPr>
        <w:spacing w:line="240" w:lineRule="auto"/>
        <w:rPr>
          <w:rFonts w:cs="Arial"/>
          <w:szCs w:val="24"/>
          <w:lang w:val="en-CA"/>
        </w:rPr>
      </w:pPr>
      <w:proofErr w:type="gramStart"/>
      <w:r>
        <w:rPr>
          <w:rFonts w:cs="Arial"/>
          <w:szCs w:val="24"/>
          <w:lang w:val="en-CA"/>
        </w:rPr>
        <w:t>It is c</w:t>
      </w:r>
      <w:r w:rsidR="009C618A" w:rsidRPr="00D01473">
        <w:rPr>
          <w:rFonts w:cs="Arial"/>
          <w:szCs w:val="24"/>
          <w:lang w:val="en-CA"/>
        </w:rPr>
        <w:t>lear</w:t>
      </w:r>
      <w:r>
        <w:rPr>
          <w:rFonts w:cs="Arial"/>
          <w:szCs w:val="24"/>
          <w:lang w:val="en-CA"/>
        </w:rPr>
        <w:t xml:space="preserve"> that</w:t>
      </w:r>
      <w:r w:rsidR="009C618A" w:rsidRPr="00D01473">
        <w:rPr>
          <w:rFonts w:cs="Arial"/>
          <w:szCs w:val="24"/>
          <w:lang w:val="en-CA"/>
        </w:rPr>
        <w:t>, taking</w:t>
      </w:r>
      <w:proofErr w:type="gramEnd"/>
      <w:r w:rsidR="009C618A" w:rsidRPr="00D01473">
        <w:rPr>
          <w:rFonts w:cs="Arial"/>
          <w:szCs w:val="24"/>
          <w:lang w:val="en-CA"/>
        </w:rPr>
        <w:t xml:space="preserve"> all the relevant considerations into account, the parties</w:t>
      </w:r>
      <w:r w:rsidR="00D219C2">
        <w:rPr>
          <w:rFonts w:cs="Arial"/>
          <w:szCs w:val="24"/>
          <w:lang w:val="en-CA"/>
        </w:rPr>
        <w:t>’</w:t>
      </w:r>
      <w:r w:rsidR="009C618A" w:rsidRPr="00D01473">
        <w:rPr>
          <w:rFonts w:cs="Arial"/>
          <w:szCs w:val="24"/>
          <w:lang w:val="en-CA"/>
        </w:rPr>
        <w:t xml:space="preserve"> joint submission was not contrary to the public interest. On the contrary, it was entirely consistent with the public interest. It </w:t>
      </w:r>
      <w:proofErr w:type="gramStart"/>
      <w:r w:rsidR="009C618A" w:rsidRPr="00D01473">
        <w:rPr>
          <w:rFonts w:cs="Arial"/>
          <w:szCs w:val="24"/>
          <w:lang w:val="en-CA"/>
        </w:rPr>
        <w:t>took into account</w:t>
      </w:r>
      <w:proofErr w:type="gramEnd"/>
      <w:r w:rsidR="009C618A" w:rsidRPr="00D01473">
        <w:rPr>
          <w:rFonts w:cs="Arial"/>
          <w:szCs w:val="24"/>
          <w:lang w:val="en-CA"/>
        </w:rPr>
        <w:t xml:space="preserve"> the particular circumstances of the appellant and the victim, their </w:t>
      </w:r>
      <w:r w:rsidR="00651B9B">
        <w:rPr>
          <w:rFonts w:cs="Arial"/>
          <w:szCs w:val="24"/>
          <w:lang w:val="en-CA"/>
        </w:rPr>
        <w:t>indigenousness</w:t>
      </w:r>
      <w:r w:rsidR="00362B12" w:rsidRPr="00804616">
        <w:rPr>
          <w:rFonts w:cs="Arial"/>
          <w:szCs w:val="24"/>
          <w:lang w:val="en-CA"/>
        </w:rPr>
        <w:t>,</w:t>
      </w:r>
      <w:r w:rsidR="009C618A" w:rsidRPr="00D01473">
        <w:rPr>
          <w:rFonts w:cs="Arial"/>
          <w:szCs w:val="24"/>
          <w:lang w:val="en-CA"/>
        </w:rPr>
        <w:t xml:space="preserve"> and the interests of justice in settling this case in an efficient, fair and predictable manner.</w:t>
      </w:r>
    </w:p>
    <w:p w14:paraId="3B2EBF66" w14:textId="65B98653" w:rsidR="0053310C" w:rsidRPr="00D01473" w:rsidRDefault="009C618A" w:rsidP="00D05DE9">
      <w:pPr>
        <w:pStyle w:val="aParagraphe"/>
        <w:numPr>
          <w:ilvl w:val="0"/>
          <w:numId w:val="18"/>
        </w:numPr>
        <w:spacing w:line="240" w:lineRule="auto"/>
        <w:rPr>
          <w:rFonts w:cs="Arial"/>
          <w:szCs w:val="24"/>
          <w:lang w:val="en-CA"/>
        </w:rPr>
      </w:pPr>
      <w:r w:rsidRPr="00D01473">
        <w:rPr>
          <w:rFonts w:cs="Arial"/>
          <w:szCs w:val="24"/>
          <w:lang w:val="en-CA"/>
        </w:rPr>
        <w:t xml:space="preserve">The appeal should therefore be </w:t>
      </w:r>
      <w:proofErr w:type="gramStart"/>
      <w:r w:rsidRPr="00D01473">
        <w:rPr>
          <w:rFonts w:cs="Arial"/>
          <w:szCs w:val="24"/>
          <w:lang w:val="en-CA"/>
        </w:rPr>
        <w:t>allowed</w:t>
      </w:r>
      <w:proofErr w:type="gramEnd"/>
      <w:r w:rsidRPr="00D01473">
        <w:rPr>
          <w:rFonts w:cs="Arial"/>
          <w:szCs w:val="24"/>
          <w:lang w:val="en-CA"/>
        </w:rPr>
        <w:t xml:space="preserve"> and the parties</w:t>
      </w:r>
      <w:r w:rsidR="00D219C2">
        <w:rPr>
          <w:rFonts w:cs="Arial"/>
          <w:szCs w:val="24"/>
          <w:lang w:val="en-CA"/>
        </w:rPr>
        <w:t>’</w:t>
      </w:r>
      <w:r w:rsidRPr="00D01473">
        <w:rPr>
          <w:rFonts w:cs="Arial"/>
          <w:szCs w:val="24"/>
          <w:lang w:val="en-CA"/>
        </w:rPr>
        <w:t xml:space="preserve"> joint </w:t>
      </w:r>
      <w:r w:rsidRPr="00804616">
        <w:rPr>
          <w:rFonts w:cs="Arial"/>
          <w:szCs w:val="24"/>
          <w:lang w:val="en-CA"/>
        </w:rPr>
        <w:t>submission implemented. It should be noted that, pursuant to the conditional sentence order,</w:t>
      </w:r>
      <w:r w:rsidRPr="00D01473">
        <w:rPr>
          <w:rFonts w:cs="Arial"/>
          <w:szCs w:val="24"/>
          <w:lang w:val="en-CA"/>
        </w:rPr>
        <w:t xml:space="preserve"> the appellant will remain under supervision and, in addition to the other conditions of the order, will also be required to perform 50 hours of community service.</w:t>
      </w:r>
    </w:p>
    <w:p w14:paraId="3B2EBF67" w14:textId="77777777" w:rsidR="00C048F7" w:rsidRPr="00D01473" w:rsidRDefault="009C618A" w:rsidP="00D05DE9">
      <w:pPr>
        <w:pStyle w:val="aParagraphe"/>
        <w:tabs>
          <w:tab w:val="clear" w:pos="720"/>
        </w:tabs>
        <w:spacing w:line="240" w:lineRule="auto"/>
        <w:rPr>
          <w:rFonts w:cs="Arial"/>
          <w:b/>
          <w:bCs/>
          <w:lang w:val="en-CA"/>
        </w:rPr>
      </w:pPr>
      <w:r w:rsidRPr="00D01473">
        <w:rPr>
          <w:rFonts w:cs="Arial"/>
          <w:b/>
          <w:bCs/>
          <w:lang w:val="en-CA"/>
        </w:rPr>
        <w:t>FOR THESE REASONS, THE COURT:</w:t>
      </w:r>
    </w:p>
    <w:p w14:paraId="3B2EBF68" w14:textId="77777777" w:rsidR="00E31821" w:rsidRPr="00D01473" w:rsidRDefault="009C618A" w:rsidP="00D05DE9">
      <w:pPr>
        <w:pStyle w:val="aParagraphe"/>
        <w:numPr>
          <w:ilvl w:val="0"/>
          <w:numId w:val="18"/>
        </w:numPr>
        <w:spacing w:line="240" w:lineRule="auto"/>
        <w:rPr>
          <w:rFonts w:cs="Arial"/>
          <w:lang w:val="en-CA"/>
        </w:rPr>
      </w:pPr>
      <w:r w:rsidRPr="00D01473">
        <w:rPr>
          <w:rFonts w:cs="Arial"/>
          <w:b/>
          <w:bCs/>
          <w:lang w:val="en-CA"/>
        </w:rPr>
        <w:t>ALLOWS</w:t>
      </w:r>
      <w:r w:rsidRPr="00D01473">
        <w:rPr>
          <w:rFonts w:cs="Arial"/>
          <w:lang w:val="en-CA"/>
        </w:rPr>
        <w:t xml:space="preserve"> the </w:t>
      </w:r>
      <w:proofErr w:type="gramStart"/>
      <w:r w:rsidRPr="00D01473">
        <w:rPr>
          <w:rFonts w:cs="Arial"/>
          <w:lang w:val="en-CA"/>
        </w:rPr>
        <w:t>appeal;</w:t>
      </w:r>
      <w:proofErr w:type="gramEnd"/>
    </w:p>
    <w:p w14:paraId="3B2EBF69" w14:textId="77777777" w:rsidR="00C048F7" w:rsidRPr="00D01473" w:rsidRDefault="009C618A" w:rsidP="00D05DE9">
      <w:pPr>
        <w:pStyle w:val="aParagraphe"/>
        <w:numPr>
          <w:ilvl w:val="0"/>
          <w:numId w:val="18"/>
        </w:numPr>
        <w:spacing w:line="240" w:lineRule="auto"/>
        <w:rPr>
          <w:rFonts w:cs="Arial"/>
          <w:lang w:val="en-CA"/>
        </w:rPr>
      </w:pPr>
      <w:r w:rsidRPr="00D01473">
        <w:rPr>
          <w:rFonts w:cs="Arial"/>
          <w:b/>
          <w:bCs/>
          <w:lang w:val="en-CA"/>
        </w:rPr>
        <w:t xml:space="preserve">SETS ASIDE </w:t>
      </w:r>
      <w:r w:rsidRPr="00D01473">
        <w:rPr>
          <w:rFonts w:cs="Arial"/>
          <w:lang w:val="en-CA"/>
        </w:rPr>
        <w:t xml:space="preserve">the trial judgment rendered on January 11, </w:t>
      </w:r>
      <w:proofErr w:type="gramStart"/>
      <w:r w:rsidRPr="00D01473">
        <w:rPr>
          <w:rFonts w:cs="Arial"/>
          <w:lang w:val="en-CA"/>
        </w:rPr>
        <w:t>2024;</w:t>
      </w:r>
      <w:proofErr w:type="gramEnd"/>
    </w:p>
    <w:p w14:paraId="3B2EBF6A" w14:textId="180483AA" w:rsidR="00AC5A2F" w:rsidRPr="00D01473" w:rsidRDefault="009C618A" w:rsidP="00D05DE9">
      <w:pPr>
        <w:pStyle w:val="aParagraphe"/>
        <w:numPr>
          <w:ilvl w:val="0"/>
          <w:numId w:val="18"/>
        </w:numPr>
        <w:spacing w:line="240" w:lineRule="auto"/>
        <w:rPr>
          <w:rFonts w:cs="Arial"/>
          <w:lang w:val="en-CA"/>
        </w:rPr>
      </w:pPr>
      <w:r w:rsidRPr="00D01473">
        <w:rPr>
          <w:rFonts w:cs="Arial"/>
          <w:lang w:val="en-CA"/>
        </w:rPr>
        <w:lastRenderedPageBreak/>
        <w:t xml:space="preserve">In Court of Québec file numbers 640-01-048431-234 and 640-01-049070-239, pursuant to s. 742.6(14) of the </w:t>
      </w:r>
      <w:r w:rsidRPr="00D01473">
        <w:rPr>
          <w:rFonts w:cs="Arial"/>
          <w:i/>
          <w:iCs/>
          <w:lang w:val="en-CA"/>
        </w:rPr>
        <w:t>Criminal Code</w:t>
      </w:r>
      <w:r w:rsidRPr="00D01473">
        <w:rPr>
          <w:rFonts w:cs="Arial"/>
          <w:lang w:val="en-CA"/>
        </w:rPr>
        <w:t xml:space="preserve">, </w:t>
      </w:r>
      <w:r w:rsidRPr="00D01473">
        <w:rPr>
          <w:rFonts w:cs="Arial"/>
          <w:b/>
          <w:bCs/>
          <w:lang w:val="en-CA"/>
        </w:rPr>
        <w:t>ORDERS</w:t>
      </w:r>
      <w:r w:rsidRPr="00D01473">
        <w:rPr>
          <w:rFonts w:cs="Arial"/>
          <w:lang w:val="en-CA"/>
        </w:rPr>
        <w:t xml:space="preserve"> that the period between October</w:t>
      </w:r>
      <w:r w:rsidR="00362B12">
        <w:rPr>
          <w:rFonts w:cs="Arial"/>
          <w:lang w:val="en-CA"/>
        </w:rPr>
        <w:t> </w:t>
      </w:r>
      <w:r w:rsidRPr="00D01473">
        <w:rPr>
          <w:rFonts w:cs="Arial"/>
          <w:lang w:val="en-CA"/>
        </w:rPr>
        <w:t xml:space="preserve">31, </w:t>
      </w:r>
      <w:proofErr w:type="gramStart"/>
      <w:r w:rsidRPr="00D01473">
        <w:rPr>
          <w:rFonts w:cs="Arial"/>
          <w:lang w:val="en-CA"/>
        </w:rPr>
        <w:t>2023</w:t>
      </w:r>
      <w:proofErr w:type="gramEnd"/>
      <w:r w:rsidRPr="00D01473">
        <w:rPr>
          <w:rFonts w:cs="Arial"/>
          <w:lang w:val="en-CA"/>
        </w:rPr>
        <w:t xml:space="preserve"> and </w:t>
      </w:r>
      <w:r w:rsidR="00362B12" w:rsidRPr="00D01473">
        <w:rPr>
          <w:rFonts w:cs="Arial"/>
          <w:lang w:val="en-CA"/>
        </w:rPr>
        <w:t>December</w:t>
      </w:r>
      <w:r w:rsidR="00362B12">
        <w:rPr>
          <w:rFonts w:cs="Arial"/>
          <w:lang w:val="en-CA"/>
        </w:rPr>
        <w:t> </w:t>
      </w:r>
      <w:r w:rsidRPr="00D01473">
        <w:rPr>
          <w:rFonts w:cs="Arial"/>
          <w:lang w:val="en-CA"/>
        </w:rPr>
        <w:t>22, 2023 be deemed to be time served under the conditional sentence order;</w:t>
      </w:r>
    </w:p>
    <w:p w14:paraId="3B2EBF6B" w14:textId="77777777" w:rsidR="00C048F7" w:rsidRPr="00D01473" w:rsidRDefault="009C618A" w:rsidP="00D05DE9">
      <w:pPr>
        <w:pStyle w:val="aParagraphe"/>
        <w:numPr>
          <w:ilvl w:val="0"/>
          <w:numId w:val="18"/>
        </w:numPr>
        <w:spacing w:line="240" w:lineRule="auto"/>
        <w:rPr>
          <w:lang w:val="en-CA"/>
        </w:rPr>
      </w:pPr>
      <w:r w:rsidRPr="00D01473">
        <w:rPr>
          <w:lang w:val="en-CA"/>
        </w:rPr>
        <w:t xml:space="preserve">In Court of Québec file numbers 640-01-048431-234 and 640-01-049070-239, pursuant to s. 742.6(9)(b) of the </w:t>
      </w:r>
      <w:r w:rsidRPr="00D01473">
        <w:rPr>
          <w:i/>
          <w:iCs/>
          <w:lang w:val="en-CA"/>
        </w:rPr>
        <w:t>Criminal Code</w:t>
      </w:r>
      <w:r w:rsidRPr="00D01473">
        <w:rPr>
          <w:lang w:val="en-CA"/>
        </w:rPr>
        <w:t xml:space="preserve">, </w:t>
      </w:r>
      <w:r w:rsidRPr="00D01473">
        <w:rPr>
          <w:b/>
          <w:bCs/>
          <w:lang w:val="en-CA"/>
        </w:rPr>
        <w:t>ORDERS</w:t>
      </w:r>
      <w:r w:rsidRPr="00D01473">
        <w:rPr>
          <w:lang w:val="en-CA"/>
        </w:rPr>
        <w:t xml:space="preserve"> that there be added to the conditional sentence order fifty (50) hours of community service to be performed within a period of ten (10) months.</w:t>
      </w:r>
    </w:p>
    <w:p w14:paraId="3B2EBF6C" w14:textId="77777777" w:rsidR="00545CB4" w:rsidRPr="00D01473" w:rsidRDefault="00545CB4" w:rsidP="00E31821">
      <w:pPr>
        <w:pStyle w:val="Paragraphe"/>
        <w:numPr>
          <w:ilvl w:val="0"/>
          <w:numId w:val="0"/>
        </w:numPr>
        <w:spacing w:line="240" w:lineRule="auto"/>
        <w:rPr>
          <w:lang w:val="en-CA"/>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834883" w:rsidRPr="00F77FE0" w14:paraId="3B2EBF6E" w14:textId="77777777" w:rsidTr="003E3239">
        <w:trPr>
          <w:trHeight w:val="576"/>
        </w:trPr>
        <w:tc>
          <w:tcPr>
            <w:tcW w:w="9362" w:type="dxa"/>
            <w:gridSpan w:val="3"/>
            <w:tcBorders>
              <w:top w:val="nil"/>
              <w:bottom w:val="nil"/>
            </w:tcBorders>
          </w:tcPr>
          <w:p w14:paraId="3B2EBF6D" w14:textId="77777777" w:rsidR="008F364A" w:rsidRPr="00D01473" w:rsidRDefault="008F364A">
            <w:pPr>
              <w:keepNext/>
              <w:rPr>
                <w:lang w:val="en-CA"/>
              </w:rPr>
            </w:pPr>
          </w:p>
        </w:tc>
      </w:tr>
      <w:tr w:rsidR="00834883" w:rsidRPr="00F77FE0" w14:paraId="3B2EBF71" w14:textId="77777777" w:rsidTr="00117914">
        <w:trPr>
          <w:trHeight w:val="283"/>
        </w:trPr>
        <w:tc>
          <w:tcPr>
            <w:tcW w:w="4682" w:type="dxa"/>
            <w:gridSpan w:val="2"/>
            <w:tcBorders>
              <w:top w:val="nil"/>
              <w:bottom w:val="nil"/>
            </w:tcBorders>
          </w:tcPr>
          <w:p w14:paraId="3B2EBF6F" w14:textId="77777777" w:rsidR="008F364A" w:rsidRPr="00D01473" w:rsidRDefault="008F364A">
            <w:pPr>
              <w:keepNext/>
              <w:rPr>
                <w:lang w:val="en-CA"/>
              </w:rPr>
            </w:pPr>
          </w:p>
        </w:tc>
        <w:tc>
          <w:tcPr>
            <w:tcW w:w="4680" w:type="dxa"/>
            <w:tcBorders>
              <w:top w:val="nil"/>
              <w:bottom w:val="single" w:sz="8" w:space="0" w:color="auto"/>
            </w:tcBorders>
          </w:tcPr>
          <w:p w14:paraId="3B2EBF70" w14:textId="77777777" w:rsidR="008F364A" w:rsidRPr="00D01473" w:rsidRDefault="008F364A">
            <w:pPr>
              <w:keepNext/>
              <w:rPr>
                <w:lang w:val="en-CA"/>
              </w:rPr>
            </w:pPr>
          </w:p>
        </w:tc>
      </w:tr>
      <w:tr w:rsidR="00834883" w:rsidRPr="00D01473" w14:paraId="3B2EBF74" w14:textId="77777777" w:rsidTr="00117914">
        <w:trPr>
          <w:trHeight w:val="283"/>
        </w:trPr>
        <w:tc>
          <w:tcPr>
            <w:tcW w:w="4682" w:type="dxa"/>
            <w:gridSpan w:val="2"/>
            <w:tcBorders>
              <w:top w:val="nil"/>
            </w:tcBorders>
          </w:tcPr>
          <w:p w14:paraId="3B2EBF72" w14:textId="77777777" w:rsidR="008F364A" w:rsidRPr="00D01473" w:rsidRDefault="008F364A">
            <w:pPr>
              <w:keepNext/>
              <w:rPr>
                <w:lang w:val="en-CA"/>
              </w:rPr>
            </w:pPr>
          </w:p>
        </w:tc>
        <w:tc>
          <w:tcPr>
            <w:tcW w:w="4680" w:type="dxa"/>
            <w:tcBorders>
              <w:top w:val="single" w:sz="8" w:space="0" w:color="auto"/>
            </w:tcBorders>
          </w:tcPr>
          <w:p w14:paraId="3B2EBF73" w14:textId="4F7469EE" w:rsidR="008F364A" w:rsidRPr="00D01473" w:rsidRDefault="005C0227">
            <w:pPr>
              <w:rPr>
                <w:lang w:val="en-CA"/>
              </w:rPr>
            </w:pPr>
            <w:r w:rsidRPr="005C0227">
              <w:rPr>
                <w:lang w:val="en-CA"/>
              </w:rPr>
              <w:t>GUY GAGNON, J.A.</w:t>
            </w:r>
          </w:p>
        </w:tc>
      </w:tr>
      <w:tr w:rsidR="00834883" w:rsidRPr="00D01473" w14:paraId="3B2EBF77" w14:textId="77777777" w:rsidTr="00117914">
        <w:trPr>
          <w:trHeight w:val="283"/>
        </w:trPr>
        <w:tc>
          <w:tcPr>
            <w:tcW w:w="4682" w:type="dxa"/>
            <w:gridSpan w:val="2"/>
            <w:tcBorders>
              <w:top w:val="nil"/>
            </w:tcBorders>
          </w:tcPr>
          <w:p w14:paraId="3B2EBF75" w14:textId="77777777" w:rsidR="008F364A" w:rsidRPr="00D01473" w:rsidRDefault="008F364A">
            <w:pPr>
              <w:keepNext/>
              <w:rPr>
                <w:lang w:val="en-CA"/>
              </w:rPr>
            </w:pPr>
            <w:bookmarkStart w:id="9" w:name="Signature2"/>
          </w:p>
        </w:tc>
        <w:tc>
          <w:tcPr>
            <w:tcW w:w="4680" w:type="dxa"/>
            <w:tcBorders>
              <w:top w:val="nil"/>
            </w:tcBorders>
          </w:tcPr>
          <w:p w14:paraId="3B2EBF76" w14:textId="77777777" w:rsidR="008F364A" w:rsidRPr="00D01473" w:rsidRDefault="008F364A">
            <w:pPr>
              <w:keepNext/>
              <w:rPr>
                <w:lang w:val="en-CA"/>
              </w:rPr>
            </w:pPr>
          </w:p>
        </w:tc>
      </w:tr>
      <w:tr w:rsidR="00834883" w:rsidRPr="00D01473" w14:paraId="3B2EBF7A" w14:textId="77777777" w:rsidTr="00117914">
        <w:trPr>
          <w:trHeight w:val="283"/>
        </w:trPr>
        <w:tc>
          <w:tcPr>
            <w:tcW w:w="4682" w:type="dxa"/>
            <w:gridSpan w:val="2"/>
            <w:tcBorders>
              <w:top w:val="nil"/>
              <w:bottom w:val="nil"/>
            </w:tcBorders>
          </w:tcPr>
          <w:p w14:paraId="3B2EBF78" w14:textId="77777777" w:rsidR="008F364A" w:rsidRPr="00D01473" w:rsidRDefault="008F364A">
            <w:pPr>
              <w:keepNext/>
              <w:rPr>
                <w:lang w:val="en-CA"/>
              </w:rPr>
            </w:pPr>
          </w:p>
        </w:tc>
        <w:tc>
          <w:tcPr>
            <w:tcW w:w="4680" w:type="dxa"/>
            <w:tcBorders>
              <w:top w:val="nil"/>
              <w:bottom w:val="single" w:sz="8" w:space="0" w:color="auto"/>
            </w:tcBorders>
          </w:tcPr>
          <w:p w14:paraId="3B2EBF79" w14:textId="77777777" w:rsidR="008F364A" w:rsidRPr="00D01473" w:rsidRDefault="008F364A">
            <w:pPr>
              <w:keepNext/>
              <w:rPr>
                <w:lang w:val="en-CA"/>
              </w:rPr>
            </w:pPr>
          </w:p>
        </w:tc>
      </w:tr>
      <w:tr w:rsidR="00834883" w:rsidRPr="00D01473" w14:paraId="3B2EBF7D" w14:textId="77777777" w:rsidTr="00117914">
        <w:trPr>
          <w:trHeight w:val="283"/>
        </w:trPr>
        <w:tc>
          <w:tcPr>
            <w:tcW w:w="4682" w:type="dxa"/>
            <w:gridSpan w:val="2"/>
            <w:tcBorders>
              <w:top w:val="nil"/>
            </w:tcBorders>
          </w:tcPr>
          <w:p w14:paraId="3B2EBF7B" w14:textId="77777777" w:rsidR="008F364A" w:rsidRPr="00D01473" w:rsidRDefault="008F364A">
            <w:pPr>
              <w:keepNext/>
              <w:rPr>
                <w:lang w:val="en-CA"/>
              </w:rPr>
            </w:pPr>
          </w:p>
        </w:tc>
        <w:tc>
          <w:tcPr>
            <w:tcW w:w="4680" w:type="dxa"/>
            <w:tcBorders>
              <w:top w:val="single" w:sz="8" w:space="0" w:color="auto"/>
            </w:tcBorders>
          </w:tcPr>
          <w:p w14:paraId="3B2EBF7C" w14:textId="0F12690C" w:rsidR="008F364A" w:rsidRPr="00D01473" w:rsidRDefault="005C0227">
            <w:pPr>
              <w:keepNext/>
              <w:rPr>
                <w:lang w:val="en-CA"/>
              </w:rPr>
            </w:pPr>
            <w:r w:rsidRPr="005C0227">
              <w:rPr>
                <w:lang w:val="en-CA"/>
              </w:rPr>
              <w:t>SIMON RUEL, J.A.</w:t>
            </w:r>
          </w:p>
        </w:tc>
      </w:tr>
      <w:tr w:rsidR="00834883" w:rsidRPr="00D01473" w14:paraId="3B2EBF80" w14:textId="77777777" w:rsidTr="00117914">
        <w:trPr>
          <w:trHeight w:val="283"/>
        </w:trPr>
        <w:tc>
          <w:tcPr>
            <w:tcW w:w="4682" w:type="dxa"/>
            <w:gridSpan w:val="2"/>
            <w:tcBorders>
              <w:top w:val="nil"/>
            </w:tcBorders>
          </w:tcPr>
          <w:p w14:paraId="3B2EBF7E" w14:textId="77777777" w:rsidR="008F364A" w:rsidRPr="00D01473" w:rsidRDefault="008F364A">
            <w:pPr>
              <w:keepNext/>
              <w:rPr>
                <w:lang w:val="en-CA"/>
              </w:rPr>
            </w:pPr>
            <w:bookmarkStart w:id="10" w:name="Signature3"/>
            <w:bookmarkEnd w:id="9"/>
          </w:p>
        </w:tc>
        <w:tc>
          <w:tcPr>
            <w:tcW w:w="4680" w:type="dxa"/>
            <w:tcBorders>
              <w:top w:val="nil"/>
            </w:tcBorders>
          </w:tcPr>
          <w:p w14:paraId="3B2EBF7F" w14:textId="77777777" w:rsidR="008F364A" w:rsidRPr="00D01473" w:rsidRDefault="008F364A">
            <w:pPr>
              <w:keepNext/>
              <w:rPr>
                <w:lang w:val="en-CA"/>
              </w:rPr>
            </w:pPr>
          </w:p>
        </w:tc>
      </w:tr>
      <w:tr w:rsidR="00834883" w:rsidRPr="00D01473" w14:paraId="3B2EBF83" w14:textId="77777777" w:rsidTr="00117914">
        <w:trPr>
          <w:trHeight w:val="283"/>
        </w:trPr>
        <w:tc>
          <w:tcPr>
            <w:tcW w:w="4682" w:type="dxa"/>
            <w:gridSpan w:val="2"/>
            <w:tcBorders>
              <w:top w:val="nil"/>
              <w:bottom w:val="nil"/>
            </w:tcBorders>
          </w:tcPr>
          <w:p w14:paraId="3B2EBF81" w14:textId="77777777" w:rsidR="008F364A" w:rsidRPr="00D01473" w:rsidRDefault="008F364A">
            <w:pPr>
              <w:keepNext/>
              <w:rPr>
                <w:lang w:val="en-CA"/>
              </w:rPr>
            </w:pPr>
          </w:p>
        </w:tc>
        <w:tc>
          <w:tcPr>
            <w:tcW w:w="4680" w:type="dxa"/>
            <w:tcBorders>
              <w:top w:val="nil"/>
              <w:bottom w:val="single" w:sz="8" w:space="0" w:color="auto"/>
            </w:tcBorders>
          </w:tcPr>
          <w:p w14:paraId="3B2EBF82" w14:textId="77777777" w:rsidR="008F364A" w:rsidRPr="00D01473" w:rsidRDefault="008F364A">
            <w:pPr>
              <w:keepNext/>
              <w:rPr>
                <w:lang w:val="en-CA"/>
              </w:rPr>
            </w:pPr>
          </w:p>
        </w:tc>
      </w:tr>
      <w:tr w:rsidR="00834883" w:rsidRPr="00D01473" w14:paraId="3B2EBF86" w14:textId="77777777" w:rsidTr="00117914">
        <w:trPr>
          <w:trHeight w:val="283"/>
        </w:trPr>
        <w:tc>
          <w:tcPr>
            <w:tcW w:w="4682" w:type="dxa"/>
            <w:gridSpan w:val="2"/>
            <w:tcBorders>
              <w:top w:val="nil"/>
            </w:tcBorders>
          </w:tcPr>
          <w:p w14:paraId="3B2EBF84" w14:textId="77777777" w:rsidR="008F364A" w:rsidRPr="00D01473" w:rsidRDefault="008F364A">
            <w:pPr>
              <w:keepNext/>
              <w:rPr>
                <w:lang w:val="en-CA"/>
              </w:rPr>
            </w:pPr>
          </w:p>
        </w:tc>
        <w:tc>
          <w:tcPr>
            <w:tcW w:w="4680" w:type="dxa"/>
            <w:tcBorders>
              <w:top w:val="single" w:sz="8" w:space="0" w:color="auto"/>
            </w:tcBorders>
          </w:tcPr>
          <w:p w14:paraId="3B2EBF85" w14:textId="03039314" w:rsidR="008F364A" w:rsidRPr="00F77FE0" w:rsidRDefault="005C0227">
            <w:pPr>
              <w:keepNext/>
            </w:pPr>
            <w:r w:rsidRPr="00F77FE0">
              <w:t>LORI RENÉE WEITZMAN, J.A.</w:t>
            </w:r>
          </w:p>
        </w:tc>
      </w:tr>
      <w:bookmarkEnd w:id="10"/>
      <w:tr w:rsidR="00834883" w:rsidRPr="00D01473" w14:paraId="3B2EBF88" w14:textId="77777777" w:rsidTr="00423DF1">
        <w:tc>
          <w:tcPr>
            <w:tcW w:w="9362" w:type="dxa"/>
            <w:gridSpan w:val="3"/>
          </w:tcPr>
          <w:p w14:paraId="3B2EBF87" w14:textId="77777777" w:rsidR="005A78BF" w:rsidRPr="00F77FE0" w:rsidRDefault="005A78BF" w:rsidP="005A78BF"/>
        </w:tc>
      </w:tr>
      <w:tr w:rsidR="00834883" w:rsidRPr="00D01473" w14:paraId="3B2EBF8A" w14:textId="77777777" w:rsidTr="00423DF1">
        <w:tc>
          <w:tcPr>
            <w:tcW w:w="9362" w:type="dxa"/>
            <w:gridSpan w:val="3"/>
          </w:tcPr>
          <w:p w14:paraId="3B2EBF89" w14:textId="77777777" w:rsidR="005A78BF" w:rsidRPr="00D01473" w:rsidRDefault="009C618A" w:rsidP="005A78BF">
            <w:pPr>
              <w:pStyle w:val="zSoquijdatNomProcureurDem"/>
              <w:rPr>
                <w:lang w:val="en-CA"/>
              </w:rPr>
            </w:pPr>
            <w:proofErr w:type="spellStart"/>
            <w:r w:rsidRPr="00D01473">
              <w:rPr>
                <w:lang w:val="en-CA"/>
              </w:rPr>
              <w:t>Mtre</w:t>
            </w:r>
            <w:proofErr w:type="spellEnd"/>
            <w:r w:rsidRPr="00D01473">
              <w:rPr>
                <w:lang w:val="en-CA"/>
              </w:rPr>
              <w:t xml:space="preserve"> Dave </w:t>
            </w:r>
            <w:proofErr w:type="spellStart"/>
            <w:r w:rsidRPr="00D01473">
              <w:rPr>
                <w:lang w:val="en-CA"/>
              </w:rPr>
              <w:t>Drolet</w:t>
            </w:r>
            <w:proofErr w:type="spellEnd"/>
            <w:r w:rsidRPr="00D01473">
              <w:rPr>
                <w:lang w:val="en-CA"/>
              </w:rPr>
              <w:t xml:space="preserve"> (ABSENT)</w:t>
            </w:r>
          </w:p>
        </w:tc>
      </w:tr>
      <w:tr w:rsidR="00834883" w:rsidRPr="00D01473" w14:paraId="3B2EBF8C" w14:textId="77777777" w:rsidTr="00423DF1">
        <w:tc>
          <w:tcPr>
            <w:tcW w:w="9362" w:type="dxa"/>
            <w:gridSpan w:val="3"/>
          </w:tcPr>
          <w:p w14:paraId="3B2EBF8B" w14:textId="06C4C672" w:rsidR="005A78BF" w:rsidRPr="00F77FE0" w:rsidRDefault="009C618A" w:rsidP="005A78BF">
            <w:pPr>
              <w:pStyle w:val="zSoquijdatCabinetProcureurDem"/>
              <w:rPr>
                <w:smallCaps/>
              </w:rPr>
            </w:pPr>
            <w:r w:rsidRPr="00F77FE0">
              <w:rPr>
                <w:smallCaps/>
              </w:rPr>
              <w:t>Centre communautaire juridique de l</w:t>
            </w:r>
            <w:r w:rsidR="00D219C2" w:rsidRPr="00F77FE0">
              <w:rPr>
                <w:smallCaps/>
              </w:rPr>
              <w:t>’</w:t>
            </w:r>
            <w:r w:rsidRPr="00F77FE0">
              <w:rPr>
                <w:smallCaps/>
              </w:rPr>
              <w:t>Abitibi-Témiscamingue</w:t>
            </w:r>
          </w:p>
        </w:tc>
      </w:tr>
      <w:tr w:rsidR="00834883" w:rsidRPr="00D01473" w14:paraId="3B2EBF8E" w14:textId="77777777" w:rsidTr="00423DF1">
        <w:tc>
          <w:tcPr>
            <w:tcW w:w="9362" w:type="dxa"/>
            <w:gridSpan w:val="3"/>
          </w:tcPr>
          <w:p w14:paraId="3B2EBF8D" w14:textId="77777777" w:rsidR="005A78BF" w:rsidRPr="00D01473" w:rsidRDefault="009C618A" w:rsidP="005A78BF">
            <w:pPr>
              <w:pStyle w:val="zSoquijlblProcureurDem"/>
              <w:rPr>
                <w:lang w:val="en-CA"/>
              </w:rPr>
            </w:pPr>
            <w:r w:rsidRPr="00D01473">
              <w:rPr>
                <w:lang w:val="en-CA"/>
              </w:rPr>
              <w:t>For the appellant</w:t>
            </w:r>
          </w:p>
        </w:tc>
      </w:tr>
      <w:tr w:rsidR="00834883" w:rsidRPr="00D01473" w14:paraId="3B2EBF90" w14:textId="77777777" w:rsidTr="00423DF1">
        <w:tc>
          <w:tcPr>
            <w:tcW w:w="9362" w:type="dxa"/>
            <w:gridSpan w:val="3"/>
          </w:tcPr>
          <w:p w14:paraId="3B2EBF8F" w14:textId="77777777" w:rsidR="005A78BF" w:rsidRPr="00D01473" w:rsidRDefault="005A78BF" w:rsidP="005A78BF">
            <w:pPr>
              <w:rPr>
                <w:lang w:val="en-CA"/>
              </w:rPr>
            </w:pPr>
          </w:p>
        </w:tc>
      </w:tr>
      <w:tr w:rsidR="00834883" w:rsidRPr="00D01473" w14:paraId="3B2EBF92" w14:textId="77777777" w:rsidTr="00423DF1">
        <w:tc>
          <w:tcPr>
            <w:tcW w:w="9362" w:type="dxa"/>
            <w:gridSpan w:val="3"/>
          </w:tcPr>
          <w:p w14:paraId="3B2EBF91" w14:textId="77777777" w:rsidR="005A78BF" w:rsidRPr="00D01473" w:rsidRDefault="009C618A" w:rsidP="005A78BF">
            <w:pPr>
              <w:pStyle w:val="zSoquijdatNomProcureurDef"/>
              <w:rPr>
                <w:lang w:val="en-CA"/>
              </w:rPr>
            </w:pPr>
            <w:proofErr w:type="spellStart"/>
            <w:r w:rsidRPr="00D01473">
              <w:rPr>
                <w:lang w:val="en-CA"/>
              </w:rPr>
              <w:t>Mtre</w:t>
            </w:r>
            <w:proofErr w:type="spellEnd"/>
            <w:r w:rsidRPr="00D01473">
              <w:rPr>
                <w:lang w:val="en-CA"/>
              </w:rPr>
              <w:t xml:space="preserve"> </w:t>
            </w:r>
            <w:proofErr w:type="spellStart"/>
            <w:r w:rsidRPr="00D01473">
              <w:rPr>
                <w:lang w:val="en-CA"/>
              </w:rPr>
              <w:t>Johannie</w:t>
            </w:r>
            <w:proofErr w:type="spellEnd"/>
            <w:r w:rsidRPr="00D01473">
              <w:rPr>
                <w:lang w:val="en-CA"/>
              </w:rPr>
              <w:t xml:space="preserve"> Simard (ABSENT)</w:t>
            </w:r>
          </w:p>
        </w:tc>
      </w:tr>
      <w:tr w:rsidR="00834883" w:rsidRPr="00F77FE0" w14:paraId="3B2EBF94" w14:textId="77777777" w:rsidTr="00423DF1">
        <w:tc>
          <w:tcPr>
            <w:tcW w:w="9362" w:type="dxa"/>
            <w:gridSpan w:val="3"/>
          </w:tcPr>
          <w:p w14:paraId="3B2EBF93" w14:textId="77777777" w:rsidR="005A78BF" w:rsidRPr="00D01473" w:rsidRDefault="009C618A" w:rsidP="005A78BF">
            <w:pPr>
              <w:pStyle w:val="zSoquijdatCabinetProcureurDef"/>
              <w:rPr>
                <w:smallCaps/>
                <w:lang w:val="en-CA"/>
              </w:rPr>
            </w:pPr>
            <w:r w:rsidRPr="00D01473">
              <w:rPr>
                <w:smallCaps/>
                <w:lang w:val="en-CA"/>
              </w:rPr>
              <w:t>Director of Criminal and Penal Prosecutions</w:t>
            </w:r>
          </w:p>
        </w:tc>
      </w:tr>
      <w:tr w:rsidR="00834883" w:rsidRPr="00D01473" w14:paraId="3B2EBF96" w14:textId="77777777" w:rsidTr="00423DF1">
        <w:tc>
          <w:tcPr>
            <w:tcW w:w="9362" w:type="dxa"/>
            <w:gridSpan w:val="3"/>
          </w:tcPr>
          <w:p w14:paraId="3B2EBF95" w14:textId="77777777" w:rsidR="005A78BF" w:rsidRPr="00D01473" w:rsidRDefault="009C618A" w:rsidP="005A78BF">
            <w:pPr>
              <w:pStyle w:val="zSoquijlblProcureurDef"/>
              <w:rPr>
                <w:lang w:val="en-CA"/>
              </w:rPr>
            </w:pPr>
            <w:r w:rsidRPr="00D01473">
              <w:rPr>
                <w:lang w:val="en-CA"/>
              </w:rPr>
              <w:t>For the respondent</w:t>
            </w:r>
          </w:p>
        </w:tc>
      </w:tr>
      <w:tr w:rsidR="00834883" w:rsidRPr="00D01473" w14:paraId="3B2EBF98" w14:textId="77777777" w:rsidTr="00423DF1">
        <w:tc>
          <w:tcPr>
            <w:tcW w:w="9362" w:type="dxa"/>
            <w:gridSpan w:val="3"/>
          </w:tcPr>
          <w:p w14:paraId="3B2EBF97" w14:textId="77777777" w:rsidR="005A78BF" w:rsidRPr="00D01473" w:rsidRDefault="005A78BF" w:rsidP="005A78BF">
            <w:pPr>
              <w:rPr>
                <w:lang w:val="en-CA"/>
              </w:rPr>
            </w:pPr>
          </w:p>
        </w:tc>
      </w:tr>
      <w:tr w:rsidR="00834883" w:rsidRPr="00D01473" w14:paraId="3B2EBF9B" w14:textId="77777777" w:rsidTr="00423DF1">
        <w:tc>
          <w:tcPr>
            <w:tcW w:w="1997" w:type="dxa"/>
          </w:tcPr>
          <w:p w14:paraId="3B2EBF99" w14:textId="77777777" w:rsidR="005A78BF" w:rsidRPr="00D01473" w:rsidRDefault="005A78BF" w:rsidP="005A78BF">
            <w:pPr>
              <w:pStyle w:val="zSoquijlblDateAudience"/>
              <w:rPr>
                <w:lang w:val="en-CA"/>
              </w:rPr>
            </w:pPr>
          </w:p>
        </w:tc>
        <w:tc>
          <w:tcPr>
            <w:tcW w:w="7365" w:type="dxa"/>
            <w:gridSpan w:val="2"/>
          </w:tcPr>
          <w:p w14:paraId="3B2EBF9A" w14:textId="77777777" w:rsidR="005A78BF" w:rsidRPr="00D01473" w:rsidRDefault="005A78BF" w:rsidP="005A78BF">
            <w:pPr>
              <w:pStyle w:val="zSoquijdatDateAudience"/>
              <w:rPr>
                <w:lang w:val="en-CA"/>
              </w:rPr>
            </w:pPr>
          </w:p>
        </w:tc>
      </w:tr>
      <w:bookmarkEnd w:id="7"/>
    </w:tbl>
    <w:p w14:paraId="3B2EBF9C" w14:textId="77777777" w:rsidR="00740A17" w:rsidRPr="00D01473" w:rsidRDefault="00740A17" w:rsidP="00D15F5F">
      <w:pPr>
        <w:rPr>
          <w:lang w:val="en-CA"/>
        </w:rPr>
      </w:pPr>
    </w:p>
    <w:sectPr w:rsidR="00740A17" w:rsidRPr="00D01473" w:rsidSect="00D15F5F">
      <w:headerReference w:type="default" r:id="rId8"/>
      <w:footerReference w:type="default" r:id="rId9"/>
      <w:pgSz w:w="12242" w:h="15842" w:code="1"/>
      <w:pgMar w:top="1440" w:right="1008" w:bottom="1440" w:left="1872" w:header="1440" w:footer="7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702E" w14:textId="77777777" w:rsidR="00920179" w:rsidRDefault="00920179">
      <w:pPr>
        <w:spacing w:line="240" w:lineRule="auto"/>
      </w:pPr>
      <w:r>
        <w:separator/>
      </w:r>
    </w:p>
  </w:endnote>
  <w:endnote w:type="continuationSeparator" w:id="0">
    <w:p w14:paraId="61D68A6F" w14:textId="77777777" w:rsidR="00920179" w:rsidRDefault="00920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D1DD" w14:textId="32133633" w:rsidR="0052637E" w:rsidRPr="00F77FE0" w:rsidRDefault="0052637E" w:rsidP="0052637E">
    <w:pPr>
      <w:pStyle w:val="Pieddepage"/>
      <w:jc w:val="right"/>
      <w:rPr>
        <w:lang w:val="en-CA"/>
      </w:rPr>
    </w:pPr>
    <w:r w:rsidRPr="00F77FE0">
      <w:rPr>
        <w:lang w:val="en-CA"/>
      </w:rPr>
      <w:t>English translation of the judgment of the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B95B" w14:textId="77777777" w:rsidR="00920179" w:rsidRDefault="00920179">
      <w:r>
        <w:separator/>
      </w:r>
    </w:p>
  </w:footnote>
  <w:footnote w:type="continuationSeparator" w:id="0">
    <w:p w14:paraId="18DE16C1" w14:textId="77777777" w:rsidR="00920179" w:rsidRDefault="00920179">
      <w:r>
        <w:continuationSeparator/>
      </w:r>
    </w:p>
  </w:footnote>
  <w:footnote w:id="1">
    <w:p w14:paraId="3B2EBFA1" w14:textId="77777777" w:rsidR="001242FF" w:rsidRPr="00F77FE0" w:rsidRDefault="009C618A">
      <w:pPr>
        <w:pStyle w:val="Notedebasdepage"/>
      </w:pPr>
      <w:r w:rsidRPr="00D01473">
        <w:rPr>
          <w:rStyle w:val="Appelnotedebasdep"/>
          <w:lang w:val="en-CA"/>
        </w:rPr>
        <w:footnoteRef/>
      </w:r>
      <w:r w:rsidRPr="00F77FE0">
        <w:t xml:space="preserve"> </w:t>
      </w:r>
      <w:r w:rsidRPr="00F77FE0">
        <w:rPr>
          <w:i/>
          <w:iCs/>
        </w:rPr>
        <w:t>Criminal Code</w:t>
      </w:r>
      <w:r w:rsidRPr="00F77FE0">
        <w:t>, R.S.C. 1985, c. C-46.</w:t>
      </w:r>
    </w:p>
  </w:footnote>
  <w:footnote w:id="2">
    <w:p w14:paraId="3B2EBFA2" w14:textId="77777777" w:rsidR="00C048F7" w:rsidRPr="00D01473" w:rsidRDefault="009C618A">
      <w:pPr>
        <w:pStyle w:val="Notedebasdepage"/>
        <w:rPr>
          <w:lang w:val="en-CA"/>
        </w:rPr>
      </w:pPr>
      <w:r w:rsidRPr="00D01473">
        <w:rPr>
          <w:rStyle w:val="Appelnotedebasdep"/>
          <w:lang w:val="en-CA"/>
        </w:rPr>
        <w:footnoteRef/>
      </w:r>
      <w:r w:rsidRPr="00D01473">
        <w:rPr>
          <w:lang w:val="en-CA"/>
        </w:rPr>
        <w:t xml:space="preserve"> </w:t>
      </w:r>
      <w:r w:rsidRPr="00D01473">
        <w:rPr>
          <w:i/>
          <w:iCs/>
          <w:lang w:val="en-CA"/>
        </w:rPr>
        <w:t>R. v. Anthony-Cook</w:t>
      </w:r>
      <w:r w:rsidRPr="00D01473">
        <w:rPr>
          <w:lang w:val="en-CA"/>
        </w:rPr>
        <w:t>, 2016 SCC 43.</w:t>
      </w:r>
    </w:p>
  </w:footnote>
  <w:footnote w:id="3">
    <w:p w14:paraId="3B2EBFA3" w14:textId="77777777" w:rsidR="00AF4E80" w:rsidRPr="00D01473" w:rsidRDefault="009C618A" w:rsidP="00AF4E80">
      <w:pPr>
        <w:pStyle w:val="Notedebasdepage"/>
        <w:rPr>
          <w:lang w:val="en-CA"/>
        </w:rPr>
      </w:pPr>
      <w:r w:rsidRPr="00D01473">
        <w:rPr>
          <w:rStyle w:val="Appelnotedebasdep"/>
          <w:lang w:val="en-CA"/>
        </w:rPr>
        <w:footnoteRef/>
      </w:r>
      <w:r w:rsidRPr="00D01473">
        <w:rPr>
          <w:lang w:val="en-CA"/>
        </w:rPr>
        <w:t xml:space="preserve"> </w:t>
      </w:r>
      <w:r w:rsidRPr="00D01473">
        <w:rPr>
          <w:i/>
          <w:iCs/>
          <w:lang w:val="en-CA"/>
        </w:rPr>
        <w:t>R. v. Anthony-Cook</w:t>
      </w:r>
      <w:r w:rsidRPr="00D01473">
        <w:rPr>
          <w:lang w:val="en-CA"/>
        </w:rPr>
        <w:t>, 2016 SCC 43, para. 25.</w:t>
      </w:r>
    </w:p>
  </w:footnote>
  <w:footnote w:id="4">
    <w:p w14:paraId="3B2EBFA4" w14:textId="77777777" w:rsidR="00AF4E80" w:rsidRPr="00D01473" w:rsidRDefault="009C618A" w:rsidP="00AF4E80">
      <w:pPr>
        <w:pStyle w:val="Notedebasdepage"/>
        <w:rPr>
          <w:lang w:val="en-CA"/>
        </w:rPr>
      </w:pPr>
      <w:r w:rsidRPr="00D01473">
        <w:rPr>
          <w:rStyle w:val="Appelnotedebasdep"/>
          <w:lang w:val="en-CA"/>
        </w:rPr>
        <w:footnoteRef/>
      </w:r>
      <w:r w:rsidRPr="00D01473">
        <w:rPr>
          <w:lang w:val="en-CA"/>
        </w:rPr>
        <w:t xml:space="preserve"> </w:t>
      </w:r>
      <w:r w:rsidRPr="00D01473">
        <w:rPr>
          <w:i/>
          <w:iCs/>
          <w:lang w:val="en-CA"/>
        </w:rPr>
        <w:t>R. v. Anthony-Cook</w:t>
      </w:r>
      <w:r w:rsidRPr="00D01473">
        <w:rPr>
          <w:lang w:val="en-CA"/>
        </w:rPr>
        <w:t>, 2016 SCC 43, para. 35.</w:t>
      </w:r>
    </w:p>
  </w:footnote>
  <w:footnote w:id="5">
    <w:p w14:paraId="3B2EBFA5" w14:textId="77777777" w:rsidR="00574708" w:rsidRPr="00D01473" w:rsidRDefault="009C618A">
      <w:pPr>
        <w:pStyle w:val="Notedebasdepage"/>
        <w:rPr>
          <w:lang w:val="en-CA"/>
        </w:rPr>
      </w:pPr>
      <w:r w:rsidRPr="00D01473">
        <w:rPr>
          <w:rStyle w:val="Appelnotedebasdep"/>
          <w:lang w:val="en-CA"/>
        </w:rPr>
        <w:footnoteRef/>
      </w:r>
      <w:r w:rsidRPr="00D01473">
        <w:rPr>
          <w:lang w:val="en-CA"/>
        </w:rPr>
        <w:t xml:space="preserve"> </w:t>
      </w:r>
      <w:r w:rsidRPr="00D01473">
        <w:rPr>
          <w:i/>
          <w:iCs/>
          <w:lang w:val="en-CA"/>
        </w:rPr>
        <w:t>R. v. Anthony-Cook</w:t>
      </w:r>
      <w:r w:rsidRPr="00D01473">
        <w:rPr>
          <w:lang w:val="en-CA"/>
        </w:rPr>
        <w:t>, 2016 SCC 43, para. 40.</w:t>
      </w:r>
    </w:p>
  </w:footnote>
  <w:footnote w:id="6">
    <w:p w14:paraId="3B2EBFA6" w14:textId="77777777" w:rsidR="0053310C" w:rsidRPr="00D01473" w:rsidRDefault="009C618A">
      <w:pPr>
        <w:pStyle w:val="Notedebasdepage"/>
        <w:rPr>
          <w:lang w:val="en-CA"/>
        </w:rPr>
      </w:pPr>
      <w:r w:rsidRPr="00D01473">
        <w:rPr>
          <w:rStyle w:val="Appelnotedebasdep"/>
          <w:lang w:val="en-CA"/>
        </w:rPr>
        <w:footnoteRef/>
      </w:r>
      <w:r w:rsidRPr="00D01473">
        <w:rPr>
          <w:lang w:val="en-CA"/>
        </w:rPr>
        <w:t xml:space="preserve"> </w:t>
      </w:r>
      <w:r w:rsidRPr="00D01473">
        <w:rPr>
          <w:i/>
          <w:iCs/>
          <w:lang w:val="en-CA"/>
        </w:rPr>
        <w:t>R. v. Anthony-Cook</w:t>
      </w:r>
      <w:r w:rsidRPr="00D01473">
        <w:rPr>
          <w:lang w:val="en-CA"/>
        </w:rPr>
        <w:t>, 2016 SCC 43, para. 40.</w:t>
      </w:r>
    </w:p>
  </w:footnote>
  <w:footnote w:id="7">
    <w:p w14:paraId="3B2EBFA7" w14:textId="526512B2" w:rsidR="00FC6BC0" w:rsidRPr="00D01473" w:rsidRDefault="009C618A" w:rsidP="00FA1B89">
      <w:pPr>
        <w:pStyle w:val="Notedebasdepage"/>
        <w:ind w:left="0" w:firstLine="0"/>
        <w:rPr>
          <w:lang w:val="en-CA"/>
        </w:rPr>
      </w:pPr>
      <w:r w:rsidRPr="00D01473">
        <w:rPr>
          <w:rStyle w:val="Appelnotedebasdep"/>
          <w:lang w:val="en-CA"/>
        </w:rPr>
        <w:footnoteRef/>
      </w:r>
      <w:r w:rsidRPr="00D01473">
        <w:rPr>
          <w:lang w:val="en-CA"/>
        </w:rPr>
        <w:t xml:space="preserve"> Regarding these issues, see, in particular, </w:t>
      </w:r>
      <w:proofErr w:type="spellStart"/>
      <w:r w:rsidRPr="00D01473">
        <w:rPr>
          <w:lang w:val="en-CA"/>
        </w:rPr>
        <w:t>Mtre</w:t>
      </w:r>
      <w:proofErr w:type="spellEnd"/>
      <w:r w:rsidRPr="00D01473">
        <w:rPr>
          <w:lang w:val="en-CA"/>
        </w:rPr>
        <w:t xml:space="preserve"> Jean-Claude </w:t>
      </w:r>
      <w:proofErr w:type="spellStart"/>
      <w:r w:rsidRPr="00D01473">
        <w:rPr>
          <w:lang w:val="en-CA"/>
        </w:rPr>
        <w:t>Latraverse</w:t>
      </w:r>
      <w:proofErr w:type="spellEnd"/>
      <w:r w:rsidRPr="00D01473">
        <w:rPr>
          <w:lang w:val="en-CA"/>
        </w:rPr>
        <w:t xml:space="preserve">, </w:t>
      </w:r>
      <w:r w:rsidR="00D219C2">
        <w:rPr>
          <w:lang w:val="en-CA"/>
        </w:rPr>
        <w:t>“</w:t>
      </w:r>
      <w:r w:rsidRPr="00D01473">
        <w:rPr>
          <w:lang w:val="en-CA"/>
        </w:rPr>
        <w:t>Report on the Situation of the Itinerant Court in Nunavik</w:t>
      </w:r>
      <w:r w:rsidR="00D219C2">
        <w:rPr>
          <w:lang w:val="en-CA"/>
        </w:rPr>
        <w:t>”</w:t>
      </w:r>
      <w:r w:rsidRPr="00D01473">
        <w:rPr>
          <w:lang w:val="en-CA"/>
        </w:rPr>
        <w:t xml:space="preserve">, Report prepared at the request of the President of the </w:t>
      </w:r>
      <w:proofErr w:type="spellStart"/>
      <w:r w:rsidRPr="00D01473">
        <w:rPr>
          <w:lang w:val="en-CA"/>
        </w:rPr>
        <w:t>Makivik</w:t>
      </w:r>
      <w:proofErr w:type="spellEnd"/>
      <w:r w:rsidRPr="00D01473">
        <w:rPr>
          <w:lang w:val="en-CA"/>
        </w:rPr>
        <w:t xml:space="preserve"> Corporation, Mr. Pita </w:t>
      </w:r>
      <w:proofErr w:type="spellStart"/>
      <w:r w:rsidRPr="00D01473">
        <w:rPr>
          <w:lang w:val="en-CA"/>
        </w:rPr>
        <w:t>Aatami</w:t>
      </w:r>
      <w:proofErr w:type="spellEnd"/>
      <w:r w:rsidRPr="00D01473">
        <w:rPr>
          <w:lang w:val="en-CA"/>
        </w:rPr>
        <w:t xml:space="preserve">, and the Minister of Justice and Attorney General of Quebec, 2022, online: &lt; </w:t>
      </w:r>
      <w:hyperlink r:id="rId1" w:history="1">
        <w:r w:rsidR="00A927D2" w:rsidRPr="00D01473">
          <w:rPr>
            <w:rStyle w:val="Hyperlien"/>
            <w:lang w:val="en-CA"/>
          </w:rPr>
          <w:t>https://cdn-contenu.quebec.ca/cdn-contenu/adm/min/justice/publications-adm/rapports/Report_Latraverse_2022-07-06.pdf</w:t>
        </w:r>
      </w:hyperlink>
      <w:r w:rsidRPr="00D01473">
        <w:rPr>
          <w:lang w:val="en-CA"/>
        </w:rPr>
        <w:t xml:space="preserve"> &gt;; the report highlights, among many factors, the significant impact that postponements can have on delays, the fact that it may be impossible to travel to communities because of bad weather or mechanical breakdowns, and the fact that clients or witnesses may be absent because it is common for individuals to have to leave their community to obtain medical services, for example, p. 9.</w:t>
      </w:r>
    </w:p>
  </w:footnote>
  <w:footnote w:id="8">
    <w:p w14:paraId="3B2EBFA8" w14:textId="77777777" w:rsidR="00EB3B78" w:rsidRPr="00D01473" w:rsidRDefault="009C618A">
      <w:pPr>
        <w:pStyle w:val="Notedebasdepage"/>
        <w:rPr>
          <w:lang w:val="en-CA"/>
        </w:rPr>
      </w:pPr>
      <w:r w:rsidRPr="00D01473">
        <w:rPr>
          <w:rStyle w:val="Appelnotedebasdep"/>
          <w:lang w:val="en-CA"/>
        </w:rPr>
        <w:footnoteRef/>
      </w:r>
      <w:r w:rsidRPr="00D01473">
        <w:rPr>
          <w:lang w:val="en-CA"/>
        </w:rPr>
        <w:t xml:space="preserve"> </w:t>
      </w:r>
      <w:r w:rsidRPr="00D01473">
        <w:rPr>
          <w:i/>
          <w:iCs/>
          <w:lang w:val="en-CA"/>
        </w:rPr>
        <w:t>R. v. Anthony-Cook</w:t>
      </w:r>
      <w:r w:rsidRPr="00D01473">
        <w:rPr>
          <w:lang w:val="en-CA"/>
        </w:rPr>
        <w:t>, 2016 SCC 43, para. 34.</w:t>
      </w:r>
    </w:p>
  </w:footnote>
  <w:footnote w:id="9">
    <w:p w14:paraId="3B2EBFA9" w14:textId="77777777" w:rsidR="00FC6BC0" w:rsidRPr="00D01473" w:rsidRDefault="009C618A" w:rsidP="00FC6BC0">
      <w:pPr>
        <w:pStyle w:val="Notedebasdepage"/>
        <w:rPr>
          <w:rFonts w:cs="Arial"/>
          <w:color w:val="000000" w:themeColor="text1"/>
          <w:lang w:val="en-CA"/>
        </w:rPr>
      </w:pPr>
      <w:r w:rsidRPr="00D01473">
        <w:rPr>
          <w:rStyle w:val="Appelnotedebasdep"/>
          <w:rFonts w:cs="Arial"/>
          <w:color w:val="000000" w:themeColor="text1"/>
          <w:lang w:val="en-CA"/>
        </w:rPr>
        <w:footnoteRef/>
      </w:r>
      <w:r w:rsidRPr="00D01473">
        <w:rPr>
          <w:rFonts w:cs="Arial"/>
          <w:color w:val="000000" w:themeColor="text1"/>
          <w:lang w:val="en-CA"/>
        </w:rPr>
        <w:t xml:space="preserve"> </w:t>
      </w:r>
      <w:r w:rsidRPr="00D01473">
        <w:rPr>
          <w:rFonts w:cs="Arial"/>
          <w:i/>
          <w:iCs/>
          <w:color w:val="000000" w:themeColor="text1"/>
          <w:lang w:val="en-CA"/>
        </w:rPr>
        <w:t>R. v. Anthony-Cook</w:t>
      </w:r>
      <w:r w:rsidRPr="00D01473">
        <w:rPr>
          <w:rFonts w:cs="Arial"/>
          <w:color w:val="000000" w:themeColor="text1"/>
          <w:lang w:val="en-CA"/>
        </w:rPr>
        <w:t>, 2016 SCC 43, para. 32.</w:t>
      </w:r>
    </w:p>
  </w:footnote>
  <w:footnote w:id="10">
    <w:p w14:paraId="3B2EBFAA" w14:textId="77777777" w:rsidR="0018125C" w:rsidRPr="00D01473" w:rsidRDefault="009C618A">
      <w:pPr>
        <w:pStyle w:val="Notedebasdepage"/>
        <w:rPr>
          <w:lang w:val="en-CA"/>
        </w:rPr>
      </w:pPr>
      <w:r w:rsidRPr="00D01473">
        <w:rPr>
          <w:rStyle w:val="Appelnotedebasdep"/>
          <w:lang w:val="en-CA"/>
        </w:rPr>
        <w:footnoteRef/>
      </w:r>
      <w:r w:rsidRPr="00D01473">
        <w:rPr>
          <w:lang w:val="en-CA"/>
        </w:rPr>
        <w:t xml:space="preserve"> </w:t>
      </w:r>
      <w:r w:rsidRPr="00D01473">
        <w:rPr>
          <w:i/>
          <w:iCs/>
          <w:lang w:val="en-CA"/>
        </w:rPr>
        <w:t>R. v. Anthony-Cook</w:t>
      </w:r>
      <w:r w:rsidRPr="00D01473">
        <w:rPr>
          <w:lang w:val="en-CA"/>
        </w:rPr>
        <w:t>, 2016 SCC 43, para. 58.</w:t>
      </w:r>
    </w:p>
  </w:footnote>
  <w:footnote w:id="11">
    <w:p w14:paraId="3B2EBFAB" w14:textId="77777777" w:rsidR="00B25A83" w:rsidRPr="00D01473" w:rsidRDefault="009C618A" w:rsidP="00B25A83">
      <w:pPr>
        <w:pStyle w:val="Notedebasdepage"/>
        <w:rPr>
          <w:rFonts w:cs="Arial"/>
          <w:color w:val="000000" w:themeColor="text1"/>
          <w:lang w:val="en-CA"/>
        </w:rPr>
      </w:pPr>
      <w:r w:rsidRPr="00D01473">
        <w:rPr>
          <w:rStyle w:val="Appelnotedebasdep"/>
          <w:lang w:val="en-CA"/>
        </w:rPr>
        <w:footnoteRef/>
      </w:r>
      <w:r w:rsidRPr="00D01473">
        <w:rPr>
          <w:rFonts w:cs="Arial"/>
          <w:lang w:val="en-CA"/>
        </w:rPr>
        <w:t xml:space="preserve"> </w:t>
      </w:r>
      <w:r w:rsidRPr="00D01473">
        <w:rPr>
          <w:rFonts w:cs="Arial"/>
          <w:i/>
          <w:iCs/>
          <w:lang w:val="en-CA"/>
        </w:rPr>
        <w:t>R. v. Cheema</w:t>
      </w:r>
      <w:r w:rsidRPr="00D01473">
        <w:rPr>
          <w:rFonts w:cs="Arial"/>
          <w:lang w:val="en-CA"/>
        </w:rPr>
        <w:t>, 2019 BCCA 268, para. 23.</w:t>
      </w:r>
    </w:p>
  </w:footnote>
  <w:footnote w:id="12">
    <w:p w14:paraId="3B2EBFAC" w14:textId="77777777" w:rsidR="00FC6BC0" w:rsidRPr="00F77FE0" w:rsidRDefault="009C618A" w:rsidP="00FC6BC0">
      <w:pPr>
        <w:pStyle w:val="Notedebasdepage"/>
        <w:rPr>
          <w:rFonts w:cs="Arial"/>
          <w:color w:val="000000" w:themeColor="text1"/>
        </w:rPr>
      </w:pPr>
      <w:r w:rsidRPr="00D01473">
        <w:rPr>
          <w:rStyle w:val="Appelnotedebasdep"/>
          <w:rFonts w:cs="Arial"/>
          <w:color w:val="000000" w:themeColor="text1"/>
          <w:lang w:val="en-CA"/>
        </w:rPr>
        <w:footnoteRef/>
      </w:r>
      <w:r w:rsidRPr="00D01473">
        <w:rPr>
          <w:rFonts w:cs="Arial"/>
          <w:color w:val="000000" w:themeColor="text1"/>
          <w:lang w:val="en-CA"/>
        </w:rPr>
        <w:t xml:space="preserve"> </w:t>
      </w:r>
      <w:r w:rsidRPr="00D01473">
        <w:rPr>
          <w:rFonts w:cs="Arial"/>
          <w:i/>
          <w:iCs/>
          <w:color w:val="000000" w:themeColor="text1"/>
          <w:lang w:val="en-CA"/>
        </w:rPr>
        <w:t>R. v. Anthony-Cook</w:t>
      </w:r>
      <w:r w:rsidRPr="00D01473">
        <w:rPr>
          <w:rFonts w:cs="Arial"/>
          <w:color w:val="000000" w:themeColor="text1"/>
          <w:lang w:val="en-CA"/>
        </w:rPr>
        <w:t xml:space="preserve">, 2016 SCC 43, para. </w:t>
      </w:r>
      <w:r w:rsidRPr="00F77FE0">
        <w:rPr>
          <w:rFonts w:cs="Arial"/>
          <w:color w:val="000000" w:themeColor="text1"/>
        </w:rPr>
        <w:t>34.</w:t>
      </w:r>
    </w:p>
  </w:footnote>
  <w:footnote w:id="13">
    <w:p w14:paraId="3B2EBFAD" w14:textId="77777777" w:rsidR="00AA20E9" w:rsidRPr="00D01473" w:rsidRDefault="009C618A" w:rsidP="00E51CD7">
      <w:pPr>
        <w:pStyle w:val="Notedebasdepage"/>
        <w:ind w:left="0" w:firstLine="0"/>
        <w:rPr>
          <w:rFonts w:cs="Arial"/>
          <w:color w:val="000000" w:themeColor="text1"/>
          <w:lang w:val="en-CA"/>
        </w:rPr>
      </w:pPr>
      <w:r w:rsidRPr="00D01473">
        <w:rPr>
          <w:rStyle w:val="Appelnotedebasdep"/>
          <w:rFonts w:cs="Arial"/>
          <w:color w:val="000000" w:themeColor="text1"/>
          <w:lang w:val="en-CA"/>
        </w:rPr>
        <w:footnoteRef/>
      </w:r>
      <w:r w:rsidRPr="00F77FE0">
        <w:rPr>
          <w:rFonts w:cs="Arial"/>
          <w:color w:val="000000" w:themeColor="text1"/>
        </w:rPr>
        <w:t xml:space="preserve"> </w:t>
      </w:r>
      <w:r w:rsidRPr="00F77FE0">
        <w:rPr>
          <w:rFonts w:cs="Arial"/>
          <w:i/>
          <w:iCs/>
          <w:color w:val="000000" w:themeColor="text1"/>
        </w:rPr>
        <w:t xml:space="preserve">R. v. </w:t>
      </w:r>
      <w:proofErr w:type="spellStart"/>
      <w:r w:rsidRPr="00F77FE0">
        <w:rPr>
          <w:rFonts w:cs="Arial"/>
          <w:i/>
          <w:iCs/>
          <w:color w:val="000000" w:themeColor="text1"/>
        </w:rPr>
        <w:t>Gladue</w:t>
      </w:r>
      <w:proofErr w:type="spellEnd"/>
      <w:r w:rsidRPr="00F77FE0">
        <w:rPr>
          <w:rFonts w:cs="Arial"/>
          <w:color w:val="000000" w:themeColor="text1"/>
        </w:rPr>
        <w:t xml:space="preserve">, [1999] 1 S.C.R. 688, para. 66; </w:t>
      </w:r>
      <w:r w:rsidRPr="00F77FE0">
        <w:rPr>
          <w:rFonts w:cs="Arial"/>
          <w:i/>
          <w:iCs/>
          <w:color w:val="000000" w:themeColor="text1"/>
        </w:rPr>
        <w:t xml:space="preserve">R. v. </w:t>
      </w:r>
      <w:proofErr w:type="spellStart"/>
      <w:r w:rsidRPr="00F77FE0">
        <w:rPr>
          <w:rFonts w:cs="Arial"/>
          <w:i/>
          <w:iCs/>
          <w:color w:val="000000" w:themeColor="text1"/>
        </w:rPr>
        <w:t>Ippelee</w:t>
      </w:r>
      <w:proofErr w:type="spellEnd"/>
      <w:r w:rsidRPr="00F77FE0">
        <w:rPr>
          <w:rFonts w:cs="Arial"/>
          <w:color w:val="000000" w:themeColor="text1"/>
        </w:rPr>
        <w:t xml:space="preserve">, 2012 SCC 13, para. </w:t>
      </w:r>
      <w:r w:rsidRPr="00D01473">
        <w:rPr>
          <w:rFonts w:cs="Arial"/>
          <w:color w:val="000000" w:themeColor="text1"/>
          <w:lang w:val="en-CA"/>
        </w:rPr>
        <w:t>60.</w:t>
      </w:r>
    </w:p>
  </w:footnote>
  <w:footnote w:id="14">
    <w:p w14:paraId="3B2EBFAE" w14:textId="77777777" w:rsidR="00AA20E9" w:rsidRPr="00D01473" w:rsidRDefault="009C618A" w:rsidP="00AA20E9">
      <w:pPr>
        <w:pStyle w:val="Notedebasdepage"/>
        <w:rPr>
          <w:rFonts w:cs="Arial"/>
          <w:color w:val="000000" w:themeColor="text1"/>
          <w:lang w:val="en-CA"/>
        </w:rPr>
      </w:pPr>
      <w:r w:rsidRPr="00D01473">
        <w:rPr>
          <w:rStyle w:val="Appelnotedebasdep"/>
          <w:rFonts w:cs="Arial"/>
          <w:color w:val="000000" w:themeColor="text1"/>
          <w:lang w:val="en-CA"/>
        </w:rPr>
        <w:footnoteRef/>
      </w:r>
      <w:r w:rsidRPr="00D01473">
        <w:rPr>
          <w:rFonts w:cs="Arial"/>
          <w:color w:val="000000" w:themeColor="text1"/>
          <w:lang w:val="en-CA"/>
        </w:rPr>
        <w:t xml:space="preserve"> </w:t>
      </w:r>
      <w:r w:rsidRPr="00D01473">
        <w:rPr>
          <w:rFonts w:cs="Arial"/>
          <w:i/>
          <w:iCs/>
          <w:color w:val="000000" w:themeColor="text1"/>
          <w:lang w:val="en-CA"/>
        </w:rPr>
        <w:t>R v. Head</w:t>
      </w:r>
      <w:r w:rsidRPr="00D01473">
        <w:rPr>
          <w:rFonts w:cs="Arial"/>
          <w:color w:val="000000" w:themeColor="text1"/>
          <w:lang w:val="en-CA"/>
        </w:rPr>
        <w:t xml:space="preserve">, 2020 ABPC 211, para. 58; </w:t>
      </w:r>
      <w:r w:rsidRPr="00D01473">
        <w:rPr>
          <w:rFonts w:cs="Arial"/>
          <w:i/>
          <w:iCs/>
          <w:color w:val="000000" w:themeColor="text1"/>
          <w:lang w:val="en-CA"/>
        </w:rPr>
        <w:t xml:space="preserve">R c. </w:t>
      </w:r>
      <w:proofErr w:type="spellStart"/>
      <w:r w:rsidRPr="00D01473">
        <w:rPr>
          <w:rFonts w:cs="Arial"/>
          <w:i/>
          <w:iCs/>
          <w:color w:val="000000" w:themeColor="text1"/>
          <w:lang w:val="en-CA"/>
        </w:rPr>
        <w:t>Awashish</w:t>
      </w:r>
      <w:proofErr w:type="spellEnd"/>
      <w:r w:rsidRPr="00D01473">
        <w:rPr>
          <w:rFonts w:cs="Arial"/>
          <w:color w:val="000000" w:themeColor="text1"/>
          <w:lang w:val="en-CA"/>
        </w:rPr>
        <w:t>, 2020 QCCQ 3614, para. 64.</w:t>
      </w:r>
    </w:p>
  </w:footnote>
  <w:footnote w:id="15">
    <w:p w14:paraId="3B2EBFAF" w14:textId="77777777" w:rsidR="00EE117C" w:rsidRPr="00D01473" w:rsidRDefault="009C618A" w:rsidP="00EE117C">
      <w:pPr>
        <w:pStyle w:val="Notedebasdepage"/>
        <w:rPr>
          <w:rFonts w:cs="Arial"/>
          <w:color w:val="000000" w:themeColor="text1"/>
          <w:lang w:val="en-CA"/>
        </w:rPr>
      </w:pPr>
      <w:r w:rsidRPr="00D01473">
        <w:rPr>
          <w:rStyle w:val="Appelnotedebasdep"/>
          <w:rFonts w:cs="Arial"/>
          <w:color w:val="000000" w:themeColor="text1"/>
          <w:lang w:val="en-CA"/>
        </w:rPr>
        <w:footnoteRef/>
      </w:r>
      <w:r w:rsidRPr="00D01473">
        <w:rPr>
          <w:rFonts w:cs="Arial"/>
          <w:color w:val="000000" w:themeColor="text1"/>
          <w:lang w:val="en-CA"/>
        </w:rPr>
        <w:t xml:space="preserve"> </w:t>
      </w:r>
      <w:r w:rsidRPr="00D01473">
        <w:rPr>
          <w:rFonts w:cs="Arial"/>
          <w:i/>
          <w:iCs/>
          <w:color w:val="000000" w:themeColor="text1"/>
          <w:lang w:val="en-CA"/>
        </w:rPr>
        <w:t xml:space="preserve">R. v. </w:t>
      </w:r>
      <w:proofErr w:type="spellStart"/>
      <w:r w:rsidRPr="00D01473">
        <w:rPr>
          <w:rFonts w:cs="Arial"/>
          <w:i/>
          <w:iCs/>
          <w:color w:val="000000" w:themeColor="text1"/>
          <w:lang w:val="en-CA"/>
        </w:rPr>
        <w:t>Antaya</w:t>
      </w:r>
      <w:proofErr w:type="spellEnd"/>
      <w:r w:rsidRPr="00D01473">
        <w:rPr>
          <w:rFonts w:cs="Arial"/>
          <w:color w:val="000000" w:themeColor="text1"/>
          <w:lang w:val="en-CA"/>
        </w:rPr>
        <w:t>, 2022 ONCA 819, para. 9.</w:t>
      </w:r>
    </w:p>
  </w:footnote>
  <w:footnote w:id="16">
    <w:p w14:paraId="3B2EBFB0" w14:textId="77777777" w:rsidR="00C70BCE" w:rsidRPr="00D01473" w:rsidRDefault="009C618A">
      <w:pPr>
        <w:pStyle w:val="Notedebasdepage"/>
        <w:rPr>
          <w:lang w:val="en-CA"/>
        </w:rPr>
      </w:pPr>
      <w:r w:rsidRPr="00D01473">
        <w:rPr>
          <w:rStyle w:val="Appelnotedebasdep"/>
          <w:lang w:val="en-CA"/>
        </w:rPr>
        <w:footnoteRef/>
      </w:r>
      <w:r w:rsidRPr="00D01473">
        <w:rPr>
          <w:lang w:val="en-CA"/>
        </w:rPr>
        <w:t xml:space="preserve"> </w:t>
      </w:r>
      <w:r w:rsidRPr="00D01473">
        <w:rPr>
          <w:i/>
          <w:iCs/>
          <w:lang w:val="en-CA"/>
        </w:rPr>
        <w:t>R. v. Anthony-Cook</w:t>
      </w:r>
      <w:r w:rsidRPr="00D01473">
        <w:rPr>
          <w:lang w:val="en-CA"/>
        </w:rPr>
        <w:t>, 2016 SCC 43, para. 60.</w:t>
      </w:r>
    </w:p>
  </w:footnote>
  <w:footnote w:id="17">
    <w:p w14:paraId="3B2EBFB2" w14:textId="3EFB8B57" w:rsidR="00C70BCE" w:rsidRPr="00D01473" w:rsidRDefault="009C618A">
      <w:pPr>
        <w:pStyle w:val="Notedebasdepage"/>
        <w:rPr>
          <w:lang w:val="en-CA"/>
        </w:rPr>
      </w:pPr>
      <w:r w:rsidRPr="00D01473">
        <w:rPr>
          <w:rStyle w:val="Appelnotedebasdep"/>
          <w:lang w:val="en-CA"/>
        </w:rPr>
        <w:footnoteRef/>
      </w:r>
      <w:r w:rsidRPr="00D01473">
        <w:rPr>
          <w:rFonts w:cs="Arial"/>
          <w:lang w:val="en-CA"/>
        </w:rPr>
        <w:t xml:space="preserve"> </w:t>
      </w:r>
      <w:r w:rsidRPr="00D01473">
        <w:rPr>
          <w:rFonts w:cs="Arial"/>
          <w:i/>
          <w:iCs/>
          <w:lang w:val="en-CA"/>
        </w:rPr>
        <w:t>R. v. Anthony-Cook</w:t>
      </w:r>
      <w:r w:rsidRPr="00D01473">
        <w:rPr>
          <w:rFonts w:cs="Arial"/>
          <w:lang w:val="en-CA"/>
        </w:rPr>
        <w:t xml:space="preserve">, 2016 SCC 43, para. 47; </w:t>
      </w:r>
      <w:r w:rsidRPr="00D01473">
        <w:rPr>
          <w:rFonts w:cs="Arial"/>
          <w:i/>
          <w:iCs/>
          <w:lang w:val="en-CA"/>
        </w:rPr>
        <w:t>R. c. Reyes</w:t>
      </w:r>
      <w:r w:rsidRPr="00D01473">
        <w:rPr>
          <w:rFonts w:cs="Arial"/>
          <w:lang w:val="en-CA"/>
        </w:rPr>
        <w:t>, 2022 QCCA 1689, para. 36.</w:t>
      </w:r>
    </w:p>
  </w:footnote>
  <w:footnote w:id="18">
    <w:p w14:paraId="3B2EBFB3" w14:textId="77777777" w:rsidR="00C3710E" w:rsidRPr="00D01473" w:rsidRDefault="009C618A" w:rsidP="00C3710E">
      <w:pPr>
        <w:pStyle w:val="Notedebasdepage"/>
        <w:rPr>
          <w:rFonts w:cs="Arial"/>
          <w:color w:val="000000" w:themeColor="text1"/>
          <w:lang w:val="en-CA"/>
        </w:rPr>
      </w:pPr>
      <w:r w:rsidRPr="00D01473">
        <w:rPr>
          <w:rStyle w:val="Appelnotedebasdep"/>
          <w:rFonts w:cs="Arial"/>
          <w:color w:val="000000" w:themeColor="text1"/>
          <w:lang w:val="en-CA"/>
        </w:rPr>
        <w:footnoteRef/>
      </w:r>
      <w:r w:rsidRPr="00D01473">
        <w:rPr>
          <w:rFonts w:cs="Arial"/>
          <w:color w:val="000000" w:themeColor="text1"/>
          <w:lang w:val="en-CA"/>
        </w:rPr>
        <w:t xml:space="preserve"> </w:t>
      </w:r>
      <w:r w:rsidRPr="00D01473">
        <w:rPr>
          <w:rFonts w:cs="Arial"/>
          <w:i/>
          <w:iCs/>
          <w:color w:val="000000" w:themeColor="text1"/>
          <w:lang w:val="en-CA"/>
        </w:rPr>
        <w:t>R. c. Reyes</w:t>
      </w:r>
      <w:r w:rsidRPr="00D01473">
        <w:rPr>
          <w:rFonts w:cs="Arial"/>
          <w:color w:val="000000" w:themeColor="text1"/>
          <w:lang w:val="en-CA"/>
        </w:rPr>
        <w:t xml:space="preserve">, 2022 QCCA 1689, para. 36, citing </w:t>
      </w:r>
      <w:r w:rsidRPr="00D01473">
        <w:rPr>
          <w:rFonts w:cs="Arial"/>
          <w:i/>
          <w:iCs/>
          <w:color w:val="000000" w:themeColor="text1"/>
          <w:lang w:val="en-CA"/>
        </w:rPr>
        <w:t>R. v. Anthony-Cook</w:t>
      </w:r>
      <w:r w:rsidRPr="00D01473">
        <w:rPr>
          <w:rFonts w:cs="Arial"/>
          <w:color w:val="000000" w:themeColor="text1"/>
          <w:lang w:val="en-CA"/>
        </w:rPr>
        <w:t>, 2016 SCC 43, para.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BF9F" w14:textId="77777777" w:rsidR="007E33E4" w:rsidRDefault="009C618A" w:rsidP="00DB2119">
    <w:pPr>
      <w:tabs>
        <w:tab w:val="center" w:pos="4709"/>
        <w:tab w:val="right" w:pos="9360"/>
      </w:tabs>
      <w:spacing w:line="360" w:lineRule="auto"/>
      <w:ind w:right="524"/>
    </w:pPr>
    <w:bookmarkStart w:id="11" w:name="EntDossier"/>
    <w:r>
      <w:rPr>
        <w:lang w:val="en-CA"/>
      </w:rPr>
      <w:t>200-10-700081-248</w:t>
    </w:r>
    <w:bookmarkEnd w:id="11"/>
    <w:r>
      <w:rPr>
        <w:lang w:val="en-CA"/>
      </w:rPr>
      <w:t xml:space="preserve"> </w:t>
    </w:r>
    <w:r>
      <w:rPr>
        <w:lang w:val="en-CA"/>
      </w:rPr>
      <w:tab/>
    </w:r>
    <w:r>
      <w:rPr>
        <w:lang w:val="en-CA"/>
      </w:rPr>
      <w:tab/>
      <w:t xml:space="preserve">PAGE: </w:t>
    </w:r>
    <w:r>
      <w:fldChar w:fldCharType="begin"/>
    </w:r>
    <w:r>
      <w:instrText xml:space="preserve"> PAGE </w:instrText>
    </w:r>
    <w:r>
      <w:fldChar w:fldCharType="separate"/>
    </w:r>
    <w:r w:rsidR="008D18FC">
      <w:rPr>
        <w:noProof/>
      </w:rPr>
      <w:t>2</w:t>
    </w:r>
    <w:r>
      <w:fldChar w:fldCharType="end"/>
    </w:r>
  </w:p>
  <w:p w14:paraId="3B2EBFA0"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0403584"/>
    <w:multiLevelType w:val="multilevel"/>
    <w:tmpl w:val="8B06EA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0D07329"/>
    <w:multiLevelType w:val="hybridMultilevel"/>
    <w:tmpl w:val="AF1A063E"/>
    <w:lvl w:ilvl="0" w:tplc="15F6DD38">
      <w:start w:val="1"/>
      <w:numFmt w:val="bullet"/>
      <w:lvlText w:val=""/>
      <w:lvlJc w:val="left"/>
      <w:pPr>
        <w:ind w:left="720" w:hanging="360"/>
      </w:pPr>
      <w:rPr>
        <w:rFonts w:ascii="Symbol" w:hAnsi="Symbol" w:hint="default"/>
      </w:rPr>
    </w:lvl>
    <w:lvl w:ilvl="1" w:tplc="6E2E767C" w:tentative="1">
      <w:start w:val="1"/>
      <w:numFmt w:val="bullet"/>
      <w:lvlText w:val="o"/>
      <w:lvlJc w:val="left"/>
      <w:pPr>
        <w:ind w:left="1440" w:hanging="360"/>
      </w:pPr>
      <w:rPr>
        <w:rFonts w:ascii="Courier New" w:hAnsi="Courier New" w:cs="Courier New" w:hint="default"/>
      </w:rPr>
    </w:lvl>
    <w:lvl w:ilvl="2" w:tplc="EA7063D4" w:tentative="1">
      <w:start w:val="1"/>
      <w:numFmt w:val="bullet"/>
      <w:lvlText w:val=""/>
      <w:lvlJc w:val="left"/>
      <w:pPr>
        <w:ind w:left="2160" w:hanging="360"/>
      </w:pPr>
      <w:rPr>
        <w:rFonts w:ascii="Wingdings" w:hAnsi="Wingdings" w:hint="default"/>
      </w:rPr>
    </w:lvl>
    <w:lvl w:ilvl="3" w:tplc="47CE3F4A" w:tentative="1">
      <w:start w:val="1"/>
      <w:numFmt w:val="bullet"/>
      <w:lvlText w:val=""/>
      <w:lvlJc w:val="left"/>
      <w:pPr>
        <w:ind w:left="2880" w:hanging="360"/>
      </w:pPr>
      <w:rPr>
        <w:rFonts w:ascii="Symbol" w:hAnsi="Symbol" w:hint="default"/>
      </w:rPr>
    </w:lvl>
    <w:lvl w:ilvl="4" w:tplc="434299D8" w:tentative="1">
      <w:start w:val="1"/>
      <w:numFmt w:val="bullet"/>
      <w:lvlText w:val="o"/>
      <w:lvlJc w:val="left"/>
      <w:pPr>
        <w:ind w:left="3600" w:hanging="360"/>
      </w:pPr>
      <w:rPr>
        <w:rFonts w:ascii="Courier New" w:hAnsi="Courier New" w:cs="Courier New" w:hint="default"/>
      </w:rPr>
    </w:lvl>
    <w:lvl w:ilvl="5" w:tplc="6FCA017A" w:tentative="1">
      <w:start w:val="1"/>
      <w:numFmt w:val="bullet"/>
      <w:lvlText w:val=""/>
      <w:lvlJc w:val="left"/>
      <w:pPr>
        <w:ind w:left="4320" w:hanging="360"/>
      </w:pPr>
      <w:rPr>
        <w:rFonts w:ascii="Wingdings" w:hAnsi="Wingdings" w:hint="default"/>
      </w:rPr>
    </w:lvl>
    <w:lvl w:ilvl="6" w:tplc="EC481F00" w:tentative="1">
      <w:start w:val="1"/>
      <w:numFmt w:val="bullet"/>
      <w:lvlText w:val=""/>
      <w:lvlJc w:val="left"/>
      <w:pPr>
        <w:ind w:left="5040" w:hanging="360"/>
      </w:pPr>
      <w:rPr>
        <w:rFonts w:ascii="Symbol" w:hAnsi="Symbol" w:hint="default"/>
      </w:rPr>
    </w:lvl>
    <w:lvl w:ilvl="7" w:tplc="9B2209D0" w:tentative="1">
      <w:start w:val="1"/>
      <w:numFmt w:val="bullet"/>
      <w:lvlText w:val="o"/>
      <w:lvlJc w:val="left"/>
      <w:pPr>
        <w:ind w:left="5760" w:hanging="360"/>
      </w:pPr>
      <w:rPr>
        <w:rFonts w:ascii="Courier New" w:hAnsi="Courier New" w:cs="Courier New" w:hint="default"/>
      </w:rPr>
    </w:lvl>
    <w:lvl w:ilvl="8" w:tplc="F294ABD8" w:tentative="1">
      <w:start w:val="1"/>
      <w:numFmt w:val="bullet"/>
      <w:lvlText w:val=""/>
      <w:lvlJc w:val="left"/>
      <w:pPr>
        <w:ind w:left="6480" w:hanging="360"/>
      </w:pPr>
      <w:rPr>
        <w:rFonts w:ascii="Wingdings" w:hAnsi="Wingdings" w:hint="default"/>
      </w:rPr>
    </w:lvl>
  </w:abstractNum>
  <w:abstractNum w:abstractNumId="14"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822691990">
    <w:abstractNumId w:val="14"/>
  </w:num>
  <w:num w:numId="2" w16cid:durableId="347172289">
    <w:abstractNumId w:val="14"/>
  </w:num>
  <w:num w:numId="3" w16cid:durableId="782575655">
    <w:abstractNumId w:val="14"/>
  </w:num>
  <w:num w:numId="4" w16cid:durableId="159738137">
    <w:abstractNumId w:val="8"/>
  </w:num>
  <w:num w:numId="5" w16cid:durableId="711272124">
    <w:abstractNumId w:val="3"/>
  </w:num>
  <w:num w:numId="6" w16cid:durableId="1606884880">
    <w:abstractNumId w:val="2"/>
  </w:num>
  <w:num w:numId="7" w16cid:durableId="878013977">
    <w:abstractNumId w:val="1"/>
  </w:num>
  <w:num w:numId="8" w16cid:durableId="349380153">
    <w:abstractNumId w:val="0"/>
  </w:num>
  <w:num w:numId="9" w16cid:durableId="386729391">
    <w:abstractNumId w:val="9"/>
  </w:num>
  <w:num w:numId="10" w16cid:durableId="1776558244">
    <w:abstractNumId w:val="7"/>
  </w:num>
  <w:num w:numId="11" w16cid:durableId="1515456335">
    <w:abstractNumId w:val="6"/>
  </w:num>
  <w:num w:numId="12" w16cid:durableId="204489782">
    <w:abstractNumId w:val="5"/>
  </w:num>
  <w:num w:numId="13" w16cid:durableId="340133934">
    <w:abstractNumId w:val="4"/>
  </w:num>
  <w:num w:numId="14" w16cid:durableId="36317125">
    <w:abstractNumId w:val="14"/>
  </w:num>
  <w:num w:numId="15" w16cid:durableId="515851708">
    <w:abstractNumId w:val="14"/>
  </w:num>
  <w:num w:numId="16" w16cid:durableId="591091589">
    <w:abstractNumId w:val="14"/>
  </w:num>
  <w:num w:numId="17" w16cid:durableId="2022656411">
    <w:abstractNumId w:val="12"/>
  </w:num>
  <w:num w:numId="18" w16cid:durableId="1793860266">
    <w:abstractNumId w:val="10"/>
  </w:num>
  <w:num w:numId="19" w16cid:durableId="668102520">
    <w:abstractNumId w:val="11"/>
  </w:num>
  <w:num w:numId="20" w16cid:durableId="11087707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E14363D-AF19-45E4-BC84-66BA22ACB5DF}"/>
    <w:docVar w:name="dgnword-eventsink" w:val="363720320"/>
    <w:docVar w:name="dgnword-lastRevisionsView" w:val="0"/>
    <w:docVar w:name="inNBChoix" w:val="3"/>
    <w:docVar w:name="MotifJuge1" w:val="MOTIFS DU JUGE"/>
    <w:docVar w:name="MotifJuge2" w:val="MOTIFS DU JUGE"/>
    <w:docVar w:name="MotifJuge3" w:val="MOTIFS DE LA JUGE"/>
    <w:docVar w:name="NomFamJuge1" w:val="GAGNON"/>
    <w:docVar w:name="NomFamJuge2" w:val="RUEL"/>
    <w:docVar w:name="NomFamJuge3" w:val="WEITZMAN"/>
    <w:docVar w:name="NomFamJuge4" w:val="MAILHOT"/>
    <w:docVar w:name="NomFamJuge5" w:val="BAUDOUIN"/>
    <w:docVar w:name="QteJuge1" w:val=", J.C.A."/>
    <w:docVar w:name="QteJuge2" w:val=", J.C.A."/>
    <w:docVar w:name="QteJuge3" w:val=", J.C.A."/>
    <w:docVar w:name="stPremiereFois" w:val="Non"/>
  </w:docVars>
  <w:rsids>
    <w:rsidRoot w:val="00D15F5F"/>
    <w:rsid w:val="00000F61"/>
    <w:rsid w:val="000131E1"/>
    <w:rsid w:val="00021985"/>
    <w:rsid w:val="00032820"/>
    <w:rsid w:val="0004394C"/>
    <w:rsid w:val="00053691"/>
    <w:rsid w:val="00086145"/>
    <w:rsid w:val="000A7516"/>
    <w:rsid w:val="000B42AF"/>
    <w:rsid w:val="000C4F06"/>
    <w:rsid w:val="000D3B07"/>
    <w:rsid w:val="00110B53"/>
    <w:rsid w:val="00112321"/>
    <w:rsid w:val="00117914"/>
    <w:rsid w:val="001213EE"/>
    <w:rsid w:val="001242FF"/>
    <w:rsid w:val="0013028C"/>
    <w:rsid w:val="0015610F"/>
    <w:rsid w:val="00160B31"/>
    <w:rsid w:val="00166B4E"/>
    <w:rsid w:val="0018125C"/>
    <w:rsid w:val="00181F56"/>
    <w:rsid w:val="00190FA7"/>
    <w:rsid w:val="001972F2"/>
    <w:rsid w:val="001D2732"/>
    <w:rsid w:val="001E6447"/>
    <w:rsid w:val="001F1759"/>
    <w:rsid w:val="001F31AA"/>
    <w:rsid w:val="00205DC4"/>
    <w:rsid w:val="0021548E"/>
    <w:rsid w:val="00221392"/>
    <w:rsid w:val="002273F5"/>
    <w:rsid w:val="0025560B"/>
    <w:rsid w:val="00257635"/>
    <w:rsid w:val="0026156E"/>
    <w:rsid w:val="002A4EA9"/>
    <w:rsid w:val="002B0001"/>
    <w:rsid w:val="002B4A07"/>
    <w:rsid w:val="002C4107"/>
    <w:rsid w:val="002E1F0E"/>
    <w:rsid w:val="002E229C"/>
    <w:rsid w:val="002E51F1"/>
    <w:rsid w:val="002F1350"/>
    <w:rsid w:val="002F6136"/>
    <w:rsid w:val="00322DE0"/>
    <w:rsid w:val="0032363D"/>
    <w:rsid w:val="00330F3D"/>
    <w:rsid w:val="0033190E"/>
    <w:rsid w:val="00361325"/>
    <w:rsid w:val="00361B5B"/>
    <w:rsid w:val="00362B12"/>
    <w:rsid w:val="00374888"/>
    <w:rsid w:val="00374E40"/>
    <w:rsid w:val="00395B02"/>
    <w:rsid w:val="003D487D"/>
    <w:rsid w:val="003D7050"/>
    <w:rsid w:val="003E3239"/>
    <w:rsid w:val="003E3E3C"/>
    <w:rsid w:val="00404392"/>
    <w:rsid w:val="00421669"/>
    <w:rsid w:val="004220E9"/>
    <w:rsid w:val="00423DF1"/>
    <w:rsid w:val="00430C58"/>
    <w:rsid w:val="004331C4"/>
    <w:rsid w:val="0043564D"/>
    <w:rsid w:val="00437A69"/>
    <w:rsid w:val="00441C25"/>
    <w:rsid w:val="00446452"/>
    <w:rsid w:val="0045513B"/>
    <w:rsid w:val="00472DC8"/>
    <w:rsid w:val="004802EC"/>
    <w:rsid w:val="004A004C"/>
    <w:rsid w:val="004A29F1"/>
    <w:rsid w:val="004A6641"/>
    <w:rsid w:val="004B1E94"/>
    <w:rsid w:val="004B23E4"/>
    <w:rsid w:val="004B33FF"/>
    <w:rsid w:val="004C18E2"/>
    <w:rsid w:val="004D2F69"/>
    <w:rsid w:val="004D700B"/>
    <w:rsid w:val="004E4FBA"/>
    <w:rsid w:val="004F00F5"/>
    <w:rsid w:val="00506E16"/>
    <w:rsid w:val="005131F1"/>
    <w:rsid w:val="0051484F"/>
    <w:rsid w:val="00516B3E"/>
    <w:rsid w:val="005223FC"/>
    <w:rsid w:val="0052275B"/>
    <w:rsid w:val="005262C9"/>
    <w:rsid w:val="0052637E"/>
    <w:rsid w:val="00531D70"/>
    <w:rsid w:val="0053310C"/>
    <w:rsid w:val="00545CB4"/>
    <w:rsid w:val="00566BF6"/>
    <w:rsid w:val="00574708"/>
    <w:rsid w:val="00583434"/>
    <w:rsid w:val="0058349F"/>
    <w:rsid w:val="005A2EF4"/>
    <w:rsid w:val="005A3341"/>
    <w:rsid w:val="005A45BB"/>
    <w:rsid w:val="005A78BF"/>
    <w:rsid w:val="005B6B4C"/>
    <w:rsid w:val="005C0227"/>
    <w:rsid w:val="005C7516"/>
    <w:rsid w:val="005D1522"/>
    <w:rsid w:val="005F5F5F"/>
    <w:rsid w:val="00624770"/>
    <w:rsid w:val="0064250B"/>
    <w:rsid w:val="00642E7A"/>
    <w:rsid w:val="00646ECA"/>
    <w:rsid w:val="00651B9B"/>
    <w:rsid w:val="006638DC"/>
    <w:rsid w:val="00670D3B"/>
    <w:rsid w:val="006717C3"/>
    <w:rsid w:val="00680BBF"/>
    <w:rsid w:val="006826AA"/>
    <w:rsid w:val="0068356A"/>
    <w:rsid w:val="00690F55"/>
    <w:rsid w:val="006A0DB0"/>
    <w:rsid w:val="006A6629"/>
    <w:rsid w:val="006C10A1"/>
    <w:rsid w:val="006C525A"/>
    <w:rsid w:val="006F25CB"/>
    <w:rsid w:val="007262B6"/>
    <w:rsid w:val="00740A17"/>
    <w:rsid w:val="007462D6"/>
    <w:rsid w:val="0074738B"/>
    <w:rsid w:val="00747B10"/>
    <w:rsid w:val="0076062E"/>
    <w:rsid w:val="0078509E"/>
    <w:rsid w:val="007953F3"/>
    <w:rsid w:val="007A7803"/>
    <w:rsid w:val="007B061E"/>
    <w:rsid w:val="007B48D5"/>
    <w:rsid w:val="007C25FD"/>
    <w:rsid w:val="007C3743"/>
    <w:rsid w:val="007D087C"/>
    <w:rsid w:val="007D7724"/>
    <w:rsid w:val="007E33E4"/>
    <w:rsid w:val="007E4CC9"/>
    <w:rsid w:val="00800D23"/>
    <w:rsid w:val="00804616"/>
    <w:rsid w:val="00815029"/>
    <w:rsid w:val="00816273"/>
    <w:rsid w:val="00825BC8"/>
    <w:rsid w:val="0082717B"/>
    <w:rsid w:val="00827B04"/>
    <w:rsid w:val="0083032E"/>
    <w:rsid w:val="00834883"/>
    <w:rsid w:val="00841907"/>
    <w:rsid w:val="0085480F"/>
    <w:rsid w:val="0086036A"/>
    <w:rsid w:val="00864B34"/>
    <w:rsid w:val="008653A3"/>
    <w:rsid w:val="008657A2"/>
    <w:rsid w:val="00866645"/>
    <w:rsid w:val="00874343"/>
    <w:rsid w:val="00881165"/>
    <w:rsid w:val="00882210"/>
    <w:rsid w:val="008A6185"/>
    <w:rsid w:val="008B72C2"/>
    <w:rsid w:val="008C1FE9"/>
    <w:rsid w:val="008C7DCE"/>
    <w:rsid w:val="008D18FC"/>
    <w:rsid w:val="008D398B"/>
    <w:rsid w:val="008D7E49"/>
    <w:rsid w:val="008E1821"/>
    <w:rsid w:val="008E5D8E"/>
    <w:rsid w:val="008E707E"/>
    <w:rsid w:val="008F364A"/>
    <w:rsid w:val="008F3F53"/>
    <w:rsid w:val="008F7E26"/>
    <w:rsid w:val="009044B9"/>
    <w:rsid w:val="00913E03"/>
    <w:rsid w:val="009172F7"/>
    <w:rsid w:val="00920179"/>
    <w:rsid w:val="009229E9"/>
    <w:rsid w:val="00926953"/>
    <w:rsid w:val="00932703"/>
    <w:rsid w:val="00936469"/>
    <w:rsid w:val="009400B7"/>
    <w:rsid w:val="00954DC2"/>
    <w:rsid w:val="00957B92"/>
    <w:rsid w:val="00970966"/>
    <w:rsid w:val="00974442"/>
    <w:rsid w:val="00980508"/>
    <w:rsid w:val="00997ADD"/>
    <w:rsid w:val="009B1A10"/>
    <w:rsid w:val="009B3AA8"/>
    <w:rsid w:val="009C618A"/>
    <w:rsid w:val="009E65BA"/>
    <w:rsid w:val="009F1F69"/>
    <w:rsid w:val="009F52C6"/>
    <w:rsid w:val="009F5FD2"/>
    <w:rsid w:val="00A23BF4"/>
    <w:rsid w:val="00A2593B"/>
    <w:rsid w:val="00A34E05"/>
    <w:rsid w:val="00A43D8B"/>
    <w:rsid w:val="00A454F1"/>
    <w:rsid w:val="00A543CC"/>
    <w:rsid w:val="00A7368B"/>
    <w:rsid w:val="00A927D2"/>
    <w:rsid w:val="00A93CFF"/>
    <w:rsid w:val="00AA20E9"/>
    <w:rsid w:val="00AB7DD2"/>
    <w:rsid w:val="00AC1498"/>
    <w:rsid w:val="00AC369B"/>
    <w:rsid w:val="00AC5A2F"/>
    <w:rsid w:val="00AF0C7C"/>
    <w:rsid w:val="00AF4E80"/>
    <w:rsid w:val="00B01D86"/>
    <w:rsid w:val="00B071EF"/>
    <w:rsid w:val="00B07E4E"/>
    <w:rsid w:val="00B11FD1"/>
    <w:rsid w:val="00B137E9"/>
    <w:rsid w:val="00B25A83"/>
    <w:rsid w:val="00B30EA2"/>
    <w:rsid w:val="00B36683"/>
    <w:rsid w:val="00B36ED3"/>
    <w:rsid w:val="00B513C9"/>
    <w:rsid w:val="00B56EF4"/>
    <w:rsid w:val="00B70485"/>
    <w:rsid w:val="00B82A13"/>
    <w:rsid w:val="00BA53A7"/>
    <w:rsid w:val="00BA5825"/>
    <w:rsid w:val="00BE4EC6"/>
    <w:rsid w:val="00BF4772"/>
    <w:rsid w:val="00C02AF8"/>
    <w:rsid w:val="00C048F7"/>
    <w:rsid w:val="00C16113"/>
    <w:rsid w:val="00C17E01"/>
    <w:rsid w:val="00C31AC4"/>
    <w:rsid w:val="00C3710E"/>
    <w:rsid w:val="00C409BE"/>
    <w:rsid w:val="00C423CA"/>
    <w:rsid w:val="00C5591E"/>
    <w:rsid w:val="00C652ED"/>
    <w:rsid w:val="00C70BCE"/>
    <w:rsid w:val="00C7793C"/>
    <w:rsid w:val="00C939A8"/>
    <w:rsid w:val="00C97145"/>
    <w:rsid w:val="00D010FD"/>
    <w:rsid w:val="00D01473"/>
    <w:rsid w:val="00D02812"/>
    <w:rsid w:val="00D04C9D"/>
    <w:rsid w:val="00D05DE9"/>
    <w:rsid w:val="00D10AC0"/>
    <w:rsid w:val="00D15F5F"/>
    <w:rsid w:val="00D20056"/>
    <w:rsid w:val="00D219C2"/>
    <w:rsid w:val="00D34E83"/>
    <w:rsid w:val="00D65BC9"/>
    <w:rsid w:val="00DB1D6F"/>
    <w:rsid w:val="00DB2119"/>
    <w:rsid w:val="00DC05BC"/>
    <w:rsid w:val="00DD3A24"/>
    <w:rsid w:val="00DF3516"/>
    <w:rsid w:val="00E03C07"/>
    <w:rsid w:val="00E12222"/>
    <w:rsid w:val="00E20054"/>
    <w:rsid w:val="00E20E3C"/>
    <w:rsid w:val="00E261E6"/>
    <w:rsid w:val="00E31821"/>
    <w:rsid w:val="00E36290"/>
    <w:rsid w:val="00E37F51"/>
    <w:rsid w:val="00E41756"/>
    <w:rsid w:val="00E51CD7"/>
    <w:rsid w:val="00E63FAC"/>
    <w:rsid w:val="00E81D8D"/>
    <w:rsid w:val="00E81E61"/>
    <w:rsid w:val="00E848B4"/>
    <w:rsid w:val="00E91417"/>
    <w:rsid w:val="00E92FFC"/>
    <w:rsid w:val="00E94329"/>
    <w:rsid w:val="00EB1377"/>
    <w:rsid w:val="00EB3B78"/>
    <w:rsid w:val="00EB708E"/>
    <w:rsid w:val="00EC1E33"/>
    <w:rsid w:val="00EE117C"/>
    <w:rsid w:val="00F07022"/>
    <w:rsid w:val="00F1119E"/>
    <w:rsid w:val="00F15B40"/>
    <w:rsid w:val="00F16488"/>
    <w:rsid w:val="00F21CDE"/>
    <w:rsid w:val="00F25186"/>
    <w:rsid w:val="00F33E30"/>
    <w:rsid w:val="00F35A34"/>
    <w:rsid w:val="00F37A21"/>
    <w:rsid w:val="00F40882"/>
    <w:rsid w:val="00F43559"/>
    <w:rsid w:val="00F43C0D"/>
    <w:rsid w:val="00F5789B"/>
    <w:rsid w:val="00F75AAB"/>
    <w:rsid w:val="00F75C76"/>
    <w:rsid w:val="00F77FE0"/>
    <w:rsid w:val="00FA1B89"/>
    <w:rsid w:val="00FB6EAB"/>
    <w:rsid w:val="00FC123D"/>
    <w:rsid w:val="00FC5E92"/>
    <w:rsid w:val="00FC6BC0"/>
    <w:rsid w:val="00FC720B"/>
    <w:rsid w:val="00FE0719"/>
    <w:rsid w:val="00FE3FE9"/>
    <w:rsid w:val="00FE6A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EBF0F"/>
  <w15:chartTrackingRefBased/>
  <w15:docId w15:val="{F2F9725D-5FF9-47AD-8C54-ADDB6950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rFonts w:ascii="Arial" w:hAnsi="Arial"/>
      <w:sz w:val="24"/>
      <w:lang w:eastAsia="fr-FR"/>
    </w:rPr>
  </w:style>
  <w:style w:type="paragraph" w:styleId="Titre1">
    <w:name w:val="heading 1"/>
    <w:aliases w:val="(b) Titre 1"/>
    <w:basedOn w:val="Normal"/>
    <w:next w:val="Normal"/>
    <w:qFormat/>
    <w:pPr>
      <w:keepNext/>
      <w:spacing w:before="240" w:after="60" w:line="500" w:lineRule="exact"/>
      <w:outlineLvl w:val="0"/>
    </w:pPr>
    <w:rPr>
      <w:b/>
      <w:kern w:val="28"/>
      <w:sz w:val="28"/>
    </w:rPr>
  </w:style>
  <w:style w:type="paragraph" w:styleId="Titre2">
    <w:name w:val="heading 2"/>
    <w:aliases w:val="(b) Titre 2"/>
    <w:basedOn w:val="Normal"/>
    <w:next w:val="Normal"/>
    <w:qFormat/>
    <w:pPr>
      <w:keepNext/>
      <w:spacing w:before="240" w:after="60"/>
      <w:outlineLvl w:val="1"/>
    </w:pPr>
    <w:rPr>
      <w:b/>
      <w:i/>
    </w:rPr>
  </w:style>
  <w:style w:type="paragraph" w:styleId="Titre3">
    <w:name w:val="heading 3"/>
    <w:aliases w:val="(b) Titre 3"/>
    <w:basedOn w:val="Normal"/>
    <w:next w:val="Normal"/>
    <w:qFormat/>
    <w:pPr>
      <w:keepNext/>
      <w:spacing w:before="240" w:after="60"/>
      <w:outlineLvl w:val="2"/>
    </w:pPr>
  </w:style>
  <w:style w:type="paragraph" w:styleId="Titre4">
    <w:name w:val="heading 4"/>
    <w:aliases w:val="(b) Titre 4"/>
    <w:basedOn w:val="Normal"/>
    <w:next w:val="Normal"/>
    <w:link w:val="Titre4Car"/>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uiPriority w:val="99"/>
    <w:semiHidden/>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uiPriority w:val="99"/>
    <w:semiHidden/>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paragraph" w:customStyle="1" w:styleId="aParagraphe">
    <w:name w:val="(a) Paragraphe"/>
    <w:basedOn w:val="Normal"/>
    <w:qFormat/>
    <w:rsid w:val="00EB708E"/>
    <w:pPr>
      <w:tabs>
        <w:tab w:val="num" w:pos="720"/>
      </w:tabs>
      <w:spacing w:before="120" w:after="120" w:line="360" w:lineRule="auto"/>
      <w:jc w:val="both"/>
    </w:pPr>
    <w:rPr>
      <w:kern w:val="28"/>
    </w:rPr>
  </w:style>
  <w:style w:type="character" w:customStyle="1" w:styleId="NotedebasdepageCar">
    <w:name w:val="Note de bas de page Car"/>
    <w:basedOn w:val="Policepardfaut"/>
    <w:link w:val="Notedebasdepage"/>
    <w:uiPriority w:val="99"/>
    <w:semiHidden/>
    <w:rsid w:val="00EB708E"/>
    <w:rPr>
      <w:rFonts w:ascii="Arial" w:hAnsi="Arial"/>
      <w:lang w:eastAsia="fr-FR"/>
    </w:rPr>
  </w:style>
  <w:style w:type="character" w:customStyle="1" w:styleId="Titre4Car">
    <w:name w:val="Titre 4 Car"/>
    <w:aliases w:val="(b) Titre 4 Car"/>
    <w:basedOn w:val="Policepardfaut"/>
    <w:link w:val="Titre4"/>
    <w:rsid w:val="00AA20E9"/>
    <w:rPr>
      <w:rFonts w:ascii="Arial" w:hAnsi="Arial"/>
      <w:b/>
      <w:sz w:val="24"/>
      <w:lang w:eastAsia="fr-FR"/>
    </w:rPr>
  </w:style>
  <w:style w:type="character" w:styleId="Marquedecommentaire">
    <w:name w:val="annotation reference"/>
    <w:basedOn w:val="Policepardfaut"/>
    <w:uiPriority w:val="99"/>
    <w:semiHidden/>
    <w:unhideWhenUsed/>
    <w:rsid w:val="0052275B"/>
    <w:rPr>
      <w:sz w:val="16"/>
      <w:szCs w:val="16"/>
    </w:rPr>
  </w:style>
  <w:style w:type="paragraph" w:styleId="Commentaire">
    <w:name w:val="annotation text"/>
    <w:basedOn w:val="Normal"/>
    <w:link w:val="CommentaireCar"/>
    <w:uiPriority w:val="99"/>
    <w:unhideWhenUsed/>
    <w:rsid w:val="0052275B"/>
    <w:pPr>
      <w:spacing w:line="240" w:lineRule="auto"/>
    </w:pPr>
    <w:rPr>
      <w:sz w:val="20"/>
    </w:rPr>
  </w:style>
  <w:style w:type="character" w:customStyle="1" w:styleId="CommentaireCar">
    <w:name w:val="Commentaire Car"/>
    <w:basedOn w:val="Policepardfaut"/>
    <w:link w:val="Commentaire"/>
    <w:uiPriority w:val="99"/>
    <w:rsid w:val="0052275B"/>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52275B"/>
    <w:rPr>
      <w:b/>
      <w:bCs/>
    </w:rPr>
  </w:style>
  <w:style w:type="character" w:customStyle="1" w:styleId="ObjetducommentaireCar">
    <w:name w:val="Objet du commentaire Car"/>
    <w:basedOn w:val="CommentaireCar"/>
    <w:link w:val="Objetducommentaire"/>
    <w:uiPriority w:val="99"/>
    <w:semiHidden/>
    <w:rsid w:val="0052275B"/>
    <w:rPr>
      <w:rFonts w:ascii="Arial" w:hAnsi="Arial"/>
      <w:b/>
      <w:bCs/>
      <w:lang w:eastAsia="fr-FR"/>
    </w:rPr>
  </w:style>
  <w:style w:type="paragraph" w:styleId="Rvision">
    <w:name w:val="Revision"/>
    <w:hidden/>
    <w:uiPriority w:val="99"/>
    <w:semiHidden/>
    <w:rsid w:val="0052275B"/>
    <w:rPr>
      <w:rFonts w:ascii="Arial" w:hAnsi="Arial"/>
      <w:sz w:val="24"/>
      <w:lang w:eastAsia="fr-FR"/>
    </w:rPr>
  </w:style>
  <w:style w:type="character" w:styleId="Hyperlien">
    <w:name w:val="Hyperlink"/>
    <w:basedOn w:val="Policepardfaut"/>
    <w:uiPriority w:val="99"/>
    <w:unhideWhenUsed/>
    <w:rsid w:val="001D2732"/>
    <w:rPr>
      <w:color w:val="0563C1" w:themeColor="hyperlink"/>
      <w:u w:val="single"/>
    </w:rPr>
  </w:style>
  <w:style w:type="character" w:customStyle="1" w:styleId="Mentionnonrsolue1">
    <w:name w:val="Mention non résolue1"/>
    <w:basedOn w:val="Policepardfaut"/>
    <w:uiPriority w:val="99"/>
    <w:semiHidden/>
    <w:unhideWhenUsed/>
    <w:rsid w:val="001D2732"/>
    <w:rPr>
      <w:color w:val="605E5C"/>
      <w:shd w:val="clear" w:color="auto" w:fill="E1DFDD"/>
    </w:rPr>
  </w:style>
  <w:style w:type="character" w:styleId="Lienvisit">
    <w:name w:val="FollowedHyperlink"/>
    <w:basedOn w:val="Policepardfaut"/>
    <w:uiPriority w:val="99"/>
    <w:semiHidden/>
    <w:unhideWhenUsed/>
    <w:rsid w:val="00E122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contenu.quebec.ca/cdn-contenu/adm/min/justice/publications-adm/rapports/Report_Latraverse_2022-07-06.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A525-8000-4EBF-92DB-64B5AB8AA0D3}">
  <ds:schemaRefs>
    <ds:schemaRef ds:uri="http://schemas.openxmlformats.org/officeDocument/2006/bibliography"/>
  </ds:schemaRefs>
</ds:datastoreItem>
</file>

<file path=docMetadata/LabelInfo.xml><?xml version="1.0" encoding="utf-8"?>
<clbl:labelList xmlns:clbl="http://schemas.microsoft.com/office/2020/mipLabelMetadata">
  <clbl:label id="{3f6dec78-7ded-4395-975c-6edbb7d10b16}" enabled="0" method="" siteId="{3f6dec78-7ded-4395-975c-6edbb7d10b16}" removed="1"/>
</clbl:labelList>
</file>

<file path=docProps/app.xml><?xml version="1.0" encoding="utf-8"?>
<Properties xmlns="http://schemas.openxmlformats.org/officeDocument/2006/extended-properties" xmlns:vt="http://schemas.openxmlformats.org/officeDocument/2006/docPropsVTypes">
  <Template>Normal.dotm</Template>
  <TotalTime>54</TotalTime>
  <Pages>6</Pages>
  <Words>1813</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Gabarit de jugement pour la cour d'appel</vt:lpstr>
    </vt:vector>
  </TitlesOfParts>
  <Manager>Patrice Tardif</Manager>
  <Company>MJQ</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jugement pour la cour d'appel</dc:title>
  <dc:creator>Gisèle Monnet</dc:creator>
  <cp:lastModifiedBy>Gauthier, François</cp:lastModifiedBy>
  <cp:revision>4</cp:revision>
  <cp:lastPrinted>2024-12-19T13:48:00Z</cp:lastPrinted>
  <dcterms:created xsi:type="dcterms:W3CDTF">2025-02-06T14:12:00Z</dcterms:created>
  <dcterms:modified xsi:type="dcterms:W3CDTF">2025-02-06T19:33:00Z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Cour">
    <vt:lpwstr>CA</vt:lpwstr>
  </property>
  <property fmtid="{D5CDD505-2E9C-101B-9397-08002B2CF9AE}" pid="3" name="Soquij_DateModification">
    <vt:lpwstr>04-26-2001</vt:lpwstr>
  </property>
  <property fmtid="{D5CDD505-2E9C-101B-9397-08002B2CF9AE}" pid="4" name="Soquij_Langue">
    <vt:lpwstr>Fra</vt:lpwstr>
  </property>
  <property fmtid="{D5CDD505-2E9C-101B-9397-08002B2CF9AE}" pid="5" name="Soquij_Modele">
    <vt:lpwstr>Edj</vt:lpwstr>
  </property>
  <property fmtid="{D5CDD505-2E9C-101B-9397-08002B2CF9AE}" pid="6" name="Soquij_ModifiePar">
    <vt:lpwstr>renste</vt:lpwstr>
  </property>
  <property fmtid="{D5CDD505-2E9C-101B-9397-08002B2CF9AE}" pid="7" name="Soquij_Version">
    <vt:lpwstr>1.6</vt:lpwstr>
  </property>
</Properties>
</file>