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D59C" w14:textId="773CBA3A" w:rsidR="004E6C2C" w:rsidRPr="004E6C2C" w:rsidRDefault="004E6C2C">
      <w:pPr>
        <w:rPr>
          <w:b/>
          <w:bCs/>
        </w:rPr>
      </w:pPr>
      <w:r w:rsidRPr="004E6C2C">
        <w:rPr>
          <w:b/>
          <w:bCs/>
          <w:lang w:val="en-CA"/>
        </w:rPr>
        <w:t>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2350"/>
        <w:gridCol w:w="3402"/>
        <w:gridCol w:w="1988"/>
      </w:tblGrid>
      <w:tr w:rsidR="00FF3084" w:rsidRPr="00430279" w14:paraId="7F7FE69E" w14:textId="77777777" w:rsidTr="008D18FC">
        <w:trPr>
          <w:trHeight w:val="248"/>
        </w:trPr>
        <w:tc>
          <w:tcPr>
            <w:tcW w:w="7372" w:type="dxa"/>
            <w:gridSpan w:val="4"/>
          </w:tcPr>
          <w:p w14:paraId="2D9F3401" w14:textId="7EA47A0D" w:rsidR="00FF3084" w:rsidRPr="00700A2E" w:rsidRDefault="00FF3084" w:rsidP="00FF3084">
            <w:pPr>
              <w:pStyle w:val="zSoquijdatRepertorie"/>
              <w:rPr>
                <w:lang w:val="en-CA"/>
              </w:rPr>
            </w:pPr>
            <w:r w:rsidRPr="007103C5">
              <w:t xml:space="preserve">2177 23rd Avenue Holdings c. </w:t>
            </w:r>
            <w:proofErr w:type="spellStart"/>
            <w:r w:rsidRPr="007103C5">
              <w:t>Pival</w:t>
            </w:r>
            <w:proofErr w:type="spellEnd"/>
            <w:r w:rsidRPr="007103C5">
              <w:t xml:space="preserve"> International </w:t>
            </w:r>
            <w:proofErr w:type="spellStart"/>
            <w:r w:rsidRPr="007103C5">
              <w:t>inc.</w:t>
            </w:r>
            <w:proofErr w:type="spellEnd"/>
          </w:p>
        </w:tc>
        <w:tc>
          <w:tcPr>
            <w:tcW w:w="1988" w:type="dxa"/>
          </w:tcPr>
          <w:p w14:paraId="4F9AC4E2" w14:textId="06EB3C16" w:rsidR="00FF3084" w:rsidRPr="00700A2E" w:rsidRDefault="00FF3084" w:rsidP="00FF3084">
            <w:pPr>
              <w:pStyle w:val="zSoquijdatRefNeutre"/>
              <w:jc w:val="right"/>
              <w:rPr>
                <w:lang w:val="en-CA"/>
              </w:rPr>
            </w:pPr>
            <w:r w:rsidRPr="007103C5">
              <w:t>2025 QCCA 19</w:t>
            </w:r>
          </w:p>
        </w:tc>
      </w:tr>
      <w:tr w:rsidR="00FF3084" w:rsidRPr="00700A2E" w14:paraId="0ABD5BF0" w14:textId="77777777" w:rsidTr="008D18FC">
        <w:trPr>
          <w:trHeight w:val="247"/>
        </w:trPr>
        <w:tc>
          <w:tcPr>
            <w:tcW w:w="9360" w:type="dxa"/>
            <w:gridSpan w:val="5"/>
          </w:tcPr>
          <w:p w14:paraId="68BF3767" w14:textId="784C2BEB" w:rsidR="00FF3084" w:rsidRPr="00700A2E" w:rsidRDefault="00FF3084" w:rsidP="00FF3084">
            <w:pPr>
              <w:pStyle w:val="zSoquijlblCour"/>
              <w:rPr>
                <w:lang w:val="en-CA"/>
              </w:rPr>
            </w:pPr>
            <w:r w:rsidRPr="00700A2E">
              <w:rPr>
                <w:lang w:val="en-CA"/>
              </w:rPr>
              <w:t>COUR</w:t>
            </w:r>
            <w:r>
              <w:rPr>
                <w:lang w:val="en-CA"/>
              </w:rPr>
              <w:t>T OF APPEAL</w:t>
            </w:r>
          </w:p>
        </w:tc>
      </w:tr>
      <w:tr w:rsidR="00FF3084" w:rsidRPr="00700A2E" w14:paraId="55FC9425" w14:textId="77777777" w:rsidTr="008D18FC">
        <w:trPr>
          <w:trHeight w:val="540"/>
        </w:trPr>
        <w:tc>
          <w:tcPr>
            <w:tcW w:w="9360" w:type="dxa"/>
            <w:gridSpan w:val="5"/>
          </w:tcPr>
          <w:p w14:paraId="1D7CC0C9" w14:textId="77777777" w:rsidR="00FF3084" w:rsidRPr="00700A2E" w:rsidRDefault="00FF3084" w:rsidP="00FF3084">
            <w:pPr>
              <w:pStyle w:val="zSoquijdatDivision"/>
              <w:rPr>
                <w:lang w:val="en-CA"/>
              </w:rPr>
            </w:pPr>
          </w:p>
        </w:tc>
      </w:tr>
      <w:tr w:rsidR="00FF3084" w:rsidRPr="00700A2E" w14:paraId="13196F30" w14:textId="77777777" w:rsidTr="008D18FC">
        <w:tc>
          <w:tcPr>
            <w:tcW w:w="9360" w:type="dxa"/>
            <w:gridSpan w:val="5"/>
          </w:tcPr>
          <w:p w14:paraId="55CC20F6" w14:textId="77777777" w:rsidR="00FF3084" w:rsidRPr="00700A2E" w:rsidRDefault="00FF3084" w:rsidP="00FF3084">
            <w:pPr>
              <w:pStyle w:val="zSoquijlblPays"/>
              <w:rPr>
                <w:lang w:val="en-CA"/>
              </w:rPr>
            </w:pPr>
            <w:r w:rsidRPr="00700A2E">
              <w:rPr>
                <w:lang w:val="en-CA"/>
              </w:rPr>
              <w:t>CANADA</w:t>
            </w:r>
          </w:p>
        </w:tc>
      </w:tr>
      <w:tr w:rsidR="00FF3084" w:rsidRPr="00700A2E" w14:paraId="7BAB837F" w14:textId="77777777" w:rsidTr="008D18FC">
        <w:tc>
          <w:tcPr>
            <w:tcW w:w="9360" w:type="dxa"/>
            <w:gridSpan w:val="5"/>
          </w:tcPr>
          <w:p w14:paraId="51CB348A" w14:textId="633004CC" w:rsidR="00FF3084" w:rsidRPr="00700A2E" w:rsidRDefault="00FF3084" w:rsidP="00FF3084">
            <w:pPr>
              <w:pStyle w:val="zSoquijlblProvince"/>
              <w:rPr>
                <w:lang w:val="en-CA"/>
              </w:rPr>
            </w:pPr>
            <w:r w:rsidRPr="00700A2E">
              <w:rPr>
                <w:lang w:val="en-CA"/>
              </w:rPr>
              <w:t xml:space="preserve">PROVINCE </w:t>
            </w:r>
            <w:r>
              <w:rPr>
                <w:lang w:val="en-CA"/>
              </w:rPr>
              <w:t>OF</w:t>
            </w:r>
            <w:r w:rsidRPr="00700A2E">
              <w:rPr>
                <w:lang w:val="en-CA"/>
              </w:rPr>
              <w:t xml:space="preserve"> QU</w:t>
            </w:r>
            <w:r>
              <w:rPr>
                <w:lang w:val="en-CA"/>
              </w:rPr>
              <w:t>E</w:t>
            </w:r>
            <w:r w:rsidRPr="00700A2E">
              <w:rPr>
                <w:lang w:val="en-CA"/>
              </w:rPr>
              <w:t>BEC</w:t>
            </w:r>
          </w:p>
        </w:tc>
      </w:tr>
      <w:tr w:rsidR="00FF3084" w:rsidRPr="00700A2E" w14:paraId="04A3ADB9" w14:textId="77777777" w:rsidTr="00042C5E">
        <w:tc>
          <w:tcPr>
            <w:tcW w:w="9360" w:type="dxa"/>
            <w:gridSpan w:val="5"/>
          </w:tcPr>
          <w:p w14:paraId="62B63F35" w14:textId="70AC7D62" w:rsidR="00FF3084" w:rsidRPr="00700A2E" w:rsidRDefault="00FF3084" w:rsidP="00FF3084">
            <w:pPr>
              <w:pStyle w:val="zSoquijdatGreffe"/>
              <w:rPr>
                <w:lang w:val="en-CA"/>
              </w:rPr>
            </w:pPr>
            <w:bookmarkStart w:id="0" w:name="NomGreffe"/>
            <w:r w:rsidRPr="00700A2E">
              <w:rPr>
                <w:lang w:val="en-CA"/>
              </w:rPr>
              <w:t>MONTR</w:t>
            </w:r>
            <w:r>
              <w:rPr>
                <w:lang w:val="en-CA"/>
              </w:rPr>
              <w:t>E</w:t>
            </w:r>
            <w:r w:rsidRPr="00700A2E">
              <w:rPr>
                <w:lang w:val="en-CA"/>
              </w:rPr>
              <w:t>A</w:t>
            </w:r>
            <w:r>
              <w:rPr>
                <w:lang w:val="en-CA"/>
              </w:rPr>
              <w:t xml:space="preserve">L </w:t>
            </w:r>
            <w:bookmarkEnd w:id="0"/>
            <w:r>
              <w:rPr>
                <w:lang w:val="en-CA"/>
              </w:rPr>
              <w:t>SEAT</w:t>
            </w:r>
          </w:p>
        </w:tc>
      </w:tr>
      <w:tr w:rsidR="00FF3084" w:rsidRPr="00700A2E" w14:paraId="6933EF05" w14:textId="77777777" w:rsidTr="007B79A5">
        <w:tc>
          <w:tcPr>
            <w:tcW w:w="9360" w:type="dxa"/>
            <w:gridSpan w:val="5"/>
          </w:tcPr>
          <w:p w14:paraId="03302624" w14:textId="77777777" w:rsidR="00FF3084" w:rsidRPr="00700A2E" w:rsidRDefault="00FF3084" w:rsidP="00FF3084">
            <w:pPr>
              <w:pStyle w:val="zSoquijdatGreffe"/>
              <w:rPr>
                <w:lang w:val="en-CA"/>
              </w:rPr>
            </w:pPr>
          </w:p>
        </w:tc>
      </w:tr>
      <w:tr w:rsidR="00FF3084" w:rsidRPr="00700A2E" w14:paraId="5AACD10E" w14:textId="77777777" w:rsidTr="008D18FC">
        <w:tc>
          <w:tcPr>
            <w:tcW w:w="1030" w:type="dxa"/>
          </w:tcPr>
          <w:p w14:paraId="164C410A" w14:textId="19266B3B" w:rsidR="00FF3084" w:rsidRPr="00700A2E" w:rsidRDefault="00FF3084" w:rsidP="00FF3084">
            <w:pPr>
              <w:pStyle w:val="zSoquijlblNoDossier"/>
              <w:rPr>
                <w:lang w:val="en-CA"/>
              </w:rPr>
            </w:pPr>
            <w:r w:rsidRPr="00700A2E">
              <w:rPr>
                <w:lang w:val="en-CA"/>
              </w:rPr>
              <w:t>N</w:t>
            </w:r>
            <w:r>
              <w:rPr>
                <w:lang w:val="en-CA"/>
              </w:rPr>
              <w:t>o.</w:t>
            </w:r>
            <w:r w:rsidRPr="00700A2E">
              <w:rPr>
                <w:lang w:val="en-CA"/>
              </w:rPr>
              <w:t>:</w:t>
            </w:r>
          </w:p>
        </w:tc>
        <w:tc>
          <w:tcPr>
            <w:tcW w:w="8330" w:type="dxa"/>
            <w:gridSpan w:val="4"/>
          </w:tcPr>
          <w:p w14:paraId="0667E445" w14:textId="77777777" w:rsidR="00FF3084" w:rsidRPr="00700A2E" w:rsidRDefault="00FF3084" w:rsidP="00FF3084">
            <w:pPr>
              <w:pStyle w:val="zSoquijdatNoDossier"/>
              <w:rPr>
                <w:lang w:val="en-CA"/>
              </w:rPr>
            </w:pPr>
            <w:bookmarkStart w:id="1" w:name="NoDossier"/>
            <w:r w:rsidRPr="00700A2E">
              <w:rPr>
                <w:lang w:val="en-CA"/>
              </w:rPr>
              <w:t>500-09-030702-237</w:t>
            </w:r>
            <w:bookmarkEnd w:id="1"/>
          </w:p>
        </w:tc>
      </w:tr>
      <w:tr w:rsidR="00FF3084" w:rsidRPr="00700A2E" w14:paraId="5F0E72B1" w14:textId="77777777" w:rsidTr="008D18FC">
        <w:tc>
          <w:tcPr>
            <w:tcW w:w="9360" w:type="dxa"/>
            <w:gridSpan w:val="5"/>
          </w:tcPr>
          <w:p w14:paraId="32DCE373" w14:textId="77777777" w:rsidR="00FF3084" w:rsidRPr="00700A2E" w:rsidRDefault="00FF3084" w:rsidP="00FF3084">
            <w:pPr>
              <w:pStyle w:val="zSoquijdatNoDossierAnt"/>
              <w:rPr>
                <w:lang w:val="en-CA"/>
              </w:rPr>
            </w:pPr>
            <w:r w:rsidRPr="00700A2E">
              <w:rPr>
                <w:lang w:val="en-CA"/>
              </w:rPr>
              <w:t>(500-17-120777-225)</w:t>
            </w:r>
          </w:p>
        </w:tc>
      </w:tr>
      <w:tr w:rsidR="00FF3084" w:rsidRPr="00700A2E" w14:paraId="2AC87CC3" w14:textId="77777777" w:rsidTr="008D18FC">
        <w:tc>
          <w:tcPr>
            <w:tcW w:w="9360" w:type="dxa"/>
            <w:gridSpan w:val="5"/>
          </w:tcPr>
          <w:p w14:paraId="4852C7D1" w14:textId="77777777" w:rsidR="00FF3084" w:rsidRPr="00700A2E" w:rsidRDefault="00FF3084" w:rsidP="00FF3084">
            <w:pPr>
              <w:rPr>
                <w:lang w:val="en-CA"/>
              </w:rPr>
            </w:pPr>
          </w:p>
        </w:tc>
      </w:tr>
      <w:tr w:rsidR="00FF3084" w:rsidRPr="00700A2E" w14:paraId="6445BDA6" w14:textId="77777777" w:rsidTr="008D18FC">
        <w:tc>
          <w:tcPr>
            <w:tcW w:w="1030" w:type="dxa"/>
          </w:tcPr>
          <w:p w14:paraId="68670487" w14:textId="71EC699B" w:rsidR="00FF3084" w:rsidRPr="00700A2E" w:rsidRDefault="00FF3084" w:rsidP="00FF3084">
            <w:pPr>
              <w:pStyle w:val="zSoquijlblDateJugement"/>
              <w:rPr>
                <w:lang w:val="en-CA"/>
              </w:rPr>
            </w:pPr>
            <w:r w:rsidRPr="00700A2E">
              <w:rPr>
                <w:lang w:val="en-CA"/>
              </w:rPr>
              <w:t>DATE:</w:t>
            </w:r>
          </w:p>
        </w:tc>
        <w:tc>
          <w:tcPr>
            <w:tcW w:w="8330" w:type="dxa"/>
            <w:gridSpan w:val="4"/>
          </w:tcPr>
          <w:p w14:paraId="53259804" w14:textId="22A5A3CE" w:rsidR="00FF3084" w:rsidRPr="00700A2E" w:rsidRDefault="00FF3084" w:rsidP="00FF3084">
            <w:pPr>
              <w:pStyle w:val="zSoquijdatDateJugement"/>
              <w:rPr>
                <w:lang w:val="en-CA"/>
              </w:rPr>
            </w:pPr>
            <w:r w:rsidRPr="00700A2E">
              <w:rPr>
                <w:lang w:val="en-CA"/>
              </w:rPr>
              <w:fldChar w:fldCharType="begin"/>
            </w:r>
            <w:r w:rsidRPr="00700A2E">
              <w:rPr>
                <w:lang w:val="en-CA"/>
              </w:rPr>
              <w:instrText xml:space="preserve"> QUOTE " " </w:instrText>
            </w:r>
            <w:r w:rsidRPr="00700A2E">
              <w:rPr>
                <w:lang w:val="en-CA"/>
              </w:rPr>
              <w:fldChar w:fldCharType="separate"/>
            </w:r>
            <w:r w:rsidRPr="00700A2E">
              <w:rPr>
                <w:lang w:val="en-CA"/>
              </w:rPr>
              <w:t xml:space="preserve"> </w:t>
            </w:r>
            <w:r w:rsidRPr="00700A2E">
              <w:rPr>
                <w:lang w:val="en-CA"/>
              </w:rPr>
              <w:fldChar w:fldCharType="end"/>
            </w:r>
            <w:r>
              <w:rPr>
                <w:lang w:val="en-CA"/>
              </w:rPr>
              <w:t>January 9,</w:t>
            </w:r>
            <w:r w:rsidRPr="00700A2E">
              <w:rPr>
                <w:lang w:val="en-CA"/>
              </w:rPr>
              <w:t xml:space="preserve"> 2025</w:t>
            </w:r>
          </w:p>
        </w:tc>
      </w:tr>
      <w:tr w:rsidR="00FF3084" w:rsidRPr="00700A2E" w14:paraId="4D56C0F9" w14:textId="77777777" w:rsidTr="008D18FC">
        <w:tc>
          <w:tcPr>
            <w:tcW w:w="9360" w:type="dxa"/>
            <w:gridSpan w:val="5"/>
            <w:tcBorders>
              <w:bottom w:val="single" w:sz="8" w:space="0" w:color="auto"/>
            </w:tcBorders>
          </w:tcPr>
          <w:p w14:paraId="62896E3B" w14:textId="77777777" w:rsidR="00FF3084" w:rsidRPr="00700A2E" w:rsidRDefault="00FF3084" w:rsidP="00FF3084">
            <w:pPr>
              <w:rPr>
                <w:lang w:val="en-CA"/>
              </w:rPr>
            </w:pPr>
          </w:p>
        </w:tc>
      </w:tr>
      <w:tr w:rsidR="00FF3084" w:rsidRPr="00700A2E" w14:paraId="73EE7154" w14:textId="77777777" w:rsidTr="008D18FC">
        <w:tc>
          <w:tcPr>
            <w:tcW w:w="9360" w:type="dxa"/>
            <w:gridSpan w:val="5"/>
            <w:tcBorders>
              <w:top w:val="single" w:sz="8" w:space="0" w:color="auto"/>
            </w:tcBorders>
          </w:tcPr>
          <w:p w14:paraId="1435EDBF" w14:textId="77777777" w:rsidR="00FF3084" w:rsidRPr="00700A2E" w:rsidRDefault="00FF3084" w:rsidP="00FF3084">
            <w:pPr>
              <w:rPr>
                <w:lang w:val="en-CA"/>
              </w:rPr>
            </w:pPr>
          </w:p>
        </w:tc>
      </w:tr>
      <w:tr w:rsidR="00FF3084" w:rsidRPr="00700A2E" w14:paraId="7B1BC378" w14:textId="77777777" w:rsidTr="008D18FC">
        <w:tc>
          <w:tcPr>
            <w:tcW w:w="1620" w:type="dxa"/>
            <w:gridSpan w:val="2"/>
          </w:tcPr>
          <w:p w14:paraId="1D7EA585" w14:textId="463F01F7" w:rsidR="00FF3084" w:rsidRPr="00700A2E" w:rsidRDefault="00FF3084" w:rsidP="00FF3084">
            <w:pPr>
              <w:pStyle w:val="zSoquijlblJuge"/>
              <w:ind w:right="-142"/>
              <w:rPr>
                <w:lang w:val="en-CA"/>
              </w:rPr>
            </w:pPr>
            <w:bookmarkStart w:id="2" w:name="FORMATION"/>
            <w:r>
              <w:rPr>
                <w:lang w:val="en-CA"/>
              </w:rPr>
              <w:t>CORAM</w:t>
            </w:r>
            <w:r w:rsidRPr="00700A2E">
              <w:rPr>
                <w:lang w:val="en-CA"/>
              </w:rPr>
              <w:t>:</w:t>
            </w:r>
            <w:bookmarkEnd w:id="2"/>
          </w:p>
        </w:tc>
        <w:tc>
          <w:tcPr>
            <w:tcW w:w="2350" w:type="dxa"/>
          </w:tcPr>
          <w:p w14:paraId="1EA0987D" w14:textId="7D52C8EA" w:rsidR="00FF3084" w:rsidRPr="00700A2E" w:rsidRDefault="00FF3084" w:rsidP="00FF3084">
            <w:pPr>
              <w:pStyle w:val="zSoquijdatQteJuge"/>
              <w:rPr>
                <w:lang w:val="en-CA"/>
              </w:rPr>
            </w:pPr>
            <w:r>
              <w:rPr>
                <w:lang w:val="en-CA"/>
              </w:rPr>
              <w:t>THE HONOURABLE</w:t>
            </w:r>
          </w:p>
        </w:tc>
        <w:tc>
          <w:tcPr>
            <w:tcW w:w="5390" w:type="dxa"/>
            <w:gridSpan w:val="2"/>
          </w:tcPr>
          <w:p w14:paraId="1206BD98" w14:textId="567963D0" w:rsidR="00FF3084" w:rsidRPr="002E35B4" w:rsidRDefault="00FF3084" w:rsidP="00FF3084">
            <w:pPr>
              <w:pStyle w:val="zSoquijdatJuge"/>
            </w:pPr>
            <w:bookmarkStart w:id="3" w:name="NomJuge1"/>
            <w:r w:rsidRPr="002E35B4">
              <w:t>FRANÇOIS DOYON, J.A.</w:t>
            </w:r>
            <w:bookmarkEnd w:id="3"/>
          </w:p>
          <w:p w14:paraId="27A41CF4" w14:textId="658832B5" w:rsidR="00FF3084" w:rsidRPr="002E35B4" w:rsidRDefault="00FF3084" w:rsidP="00FF3084">
            <w:pPr>
              <w:pStyle w:val="zSoquijdatJuge"/>
            </w:pPr>
            <w:bookmarkStart w:id="4" w:name="NomJuge2"/>
            <w:r w:rsidRPr="002E35B4">
              <w:t>SUZANNE GAGNÉ, J.A.</w:t>
            </w:r>
            <w:bookmarkEnd w:id="4"/>
          </w:p>
          <w:p w14:paraId="5DF780F9" w14:textId="5EDE9559" w:rsidR="00FF3084" w:rsidRPr="00700A2E" w:rsidRDefault="00FF3084" w:rsidP="00FF3084">
            <w:pPr>
              <w:pStyle w:val="zSoquijdatJuge"/>
              <w:rPr>
                <w:lang w:val="en-CA"/>
              </w:rPr>
            </w:pPr>
            <w:bookmarkStart w:id="5" w:name="_Hlt520513784"/>
            <w:bookmarkStart w:id="6" w:name="NomJuge3"/>
            <w:bookmarkEnd w:id="5"/>
            <w:r w:rsidRPr="00700A2E">
              <w:rPr>
                <w:lang w:val="en-CA"/>
              </w:rPr>
              <w:t>FRÉDÉRIC BACHAND, J</w:t>
            </w:r>
            <w:r>
              <w:rPr>
                <w:lang w:val="en-CA"/>
              </w:rPr>
              <w:t>.</w:t>
            </w:r>
            <w:r w:rsidRPr="00700A2E">
              <w:rPr>
                <w:lang w:val="en-CA"/>
              </w:rPr>
              <w:t>A.</w:t>
            </w:r>
            <w:bookmarkEnd w:id="6"/>
          </w:p>
        </w:tc>
      </w:tr>
      <w:tr w:rsidR="00FF3084" w:rsidRPr="00700A2E" w14:paraId="326659F6" w14:textId="77777777" w:rsidTr="008D18FC">
        <w:tc>
          <w:tcPr>
            <w:tcW w:w="9360" w:type="dxa"/>
            <w:gridSpan w:val="5"/>
            <w:tcBorders>
              <w:bottom w:val="single" w:sz="8" w:space="0" w:color="auto"/>
            </w:tcBorders>
          </w:tcPr>
          <w:p w14:paraId="7326CBD3" w14:textId="77777777" w:rsidR="00FF3084" w:rsidRPr="00700A2E" w:rsidRDefault="00FF3084" w:rsidP="00FF3084">
            <w:pPr>
              <w:rPr>
                <w:lang w:val="en-CA"/>
              </w:rPr>
            </w:pPr>
          </w:p>
        </w:tc>
      </w:tr>
      <w:tr w:rsidR="00FF3084" w:rsidRPr="00700A2E" w14:paraId="62994A61" w14:textId="77777777" w:rsidTr="008D18FC">
        <w:tc>
          <w:tcPr>
            <w:tcW w:w="9360" w:type="dxa"/>
            <w:gridSpan w:val="5"/>
          </w:tcPr>
          <w:p w14:paraId="1B95F308" w14:textId="77777777" w:rsidR="00FF3084" w:rsidRPr="00700A2E" w:rsidRDefault="00FF3084" w:rsidP="00FF3084">
            <w:pPr>
              <w:pStyle w:val="zSoquijlblTitrePartie"/>
              <w:rPr>
                <w:lang w:val="en-CA"/>
              </w:rPr>
            </w:pPr>
          </w:p>
        </w:tc>
      </w:tr>
      <w:tr w:rsidR="00FF3084" w:rsidRPr="00430279" w14:paraId="512A9C81" w14:textId="77777777" w:rsidTr="008D18FC">
        <w:tc>
          <w:tcPr>
            <w:tcW w:w="9360" w:type="dxa"/>
            <w:gridSpan w:val="5"/>
          </w:tcPr>
          <w:p w14:paraId="61AC8416" w14:textId="77777777" w:rsidR="00FF3084" w:rsidRPr="00700A2E" w:rsidRDefault="00FF3084" w:rsidP="00FF3084">
            <w:pPr>
              <w:pStyle w:val="zSoquijdatNomPartieDem"/>
              <w:rPr>
                <w:lang w:val="en-CA"/>
              </w:rPr>
            </w:pPr>
            <w:r w:rsidRPr="00700A2E">
              <w:rPr>
                <w:lang w:val="en-CA"/>
              </w:rPr>
              <w:t>2177 23</w:t>
            </w:r>
            <w:r w:rsidRPr="00700A2E">
              <w:rPr>
                <w:vertAlign w:val="superscript"/>
                <w:lang w:val="en-CA"/>
              </w:rPr>
              <w:t>RD</w:t>
            </w:r>
            <w:r w:rsidRPr="00700A2E">
              <w:rPr>
                <w:lang w:val="en-CA"/>
              </w:rPr>
              <w:t xml:space="preserve"> AVENUE HOLDINGS ULC</w:t>
            </w:r>
          </w:p>
          <w:p w14:paraId="2DC7483A" w14:textId="6E09826F" w:rsidR="00FF3084" w:rsidRPr="00700A2E" w:rsidRDefault="00FF3084" w:rsidP="00FF3084">
            <w:pPr>
              <w:pStyle w:val="zSoquijdatNomPartieDem"/>
              <w:rPr>
                <w:lang w:val="en-CA"/>
              </w:rPr>
            </w:pPr>
            <w:r w:rsidRPr="00700A2E">
              <w:rPr>
                <w:lang w:val="en-CA"/>
              </w:rPr>
              <w:t>BP COGNAC CANADA OWNER LIMITED PARTNERSHIP</w:t>
            </w:r>
          </w:p>
        </w:tc>
      </w:tr>
      <w:tr w:rsidR="00FF3084" w:rsidRPr="00700A2E" w14:paraId="530A5D82" w14:textId="77777777" w:rsidTr="008D18FC">
        <w:tc>
          <w:tcPr>
            <w:tcW w:w="9360" w:type="dxa"/>
            <w:gridSpan w:val="5"/>
          </w:tcPr>
          <w:p w14:paraId="6AC2ECFC" w14:textId="69299943" w:rsidR="00FF3084" w:rsidRPr="00700A2E" w:rsidRDefault="00FF3084" w:rsidP="00FF3084">
            <w:pPr>
              <w:pStyle w:val="zSoquijdatQtePartieDem"/>
              <w:rPr>
                <w:lang w:val="en-CA"/>
              </w:rPr>
            </w:pPr>
            <w:r w:rsidRPr="00700A2E">
              <w:rPr>
                <w:lang w:val="en-CA"/>
              </w:rPr>
              <w:t>APPEL</w:t>
            </w:r>
            <w:r>
              <w:rPr>
                <w:lang w:val="en-CA"/>
              </w:rPr>
              <w:t>L</w:t>
            </w:r>
            <w:r w:rsidRPr="00700A2E">
              <w:rPr>
                <w:lang w:val="en-CA"/>
              </w:rPr>
              <w:t>ANT</w:t>
            </w:r>
            <w:r>
              <w:rPr>
                <w:lang w:val="en-CA"/>
              </w:rPr>
              <w:t>S</w:t>
            </w:r>
            <w:r w:rsidRPr="00700A2E">
              <w:rPr>
                <w:lang w:val="en-CA"/>
              </w:rPr>
              <w:t xml:space="preserve"> / </w:t>
            </w:r>
            <w:r>
              <w:rPr>
                <w:lang w:val="en-CA"/>
              </w:rPr>
              <w:t>INCIDENTAL RESPONDENTS</w:t>
            </w:r>
            <w:r w:rsidRPr="00700A2E">
              <w:rPr>
                <w:lang w:val="en-CA"/>
              </w:rPr>
              <w:t xml:space="preserve"> – </w:t>
            </w:r>
            <w:r>
              <w:rPr>
                <w:lang w:val="en-CA"/>
              </w:rPr>
              <w:t>Defendants</w:t>
            </w:r>
          </w:p>
        </w:tc>
      </w:tr>
      <w:tr w:rsidR="00FF3084" w:rsidRPr="00700A2E" w14:paraId="7DF09296" w14:textId="77777777" w:rsidTr="008D18FC">
        <w:tc>
          <w:tcPr>
            <w:tcW w:w="9360" w:type="dxa"/>
            <w:gridSpan w:val="5"/>
          </w:tcPr>
          <w:p w14:paraId="4FB21586" w14:textId="36FEB44F" w:rsidR="00FF3084" w:rsidRPr="00700A2E" w:rsidRDefault="00FF3084" w:rsidP="00FF3084">
            <w:pPr>
              <w:pStyle w:val="zSoquijlblLienParties"/>
              <w:rPr>
                <w:lang w:val="en-CA"/>
              </w:rPr>
            </w:pPr>
            <w:r>
              <w:rPr>
                <w:lang w:val="en-CA"/>
              </w:rPr>
              <w:t>v</w:t>
            </w:r>
            <w:r w:rsidRPr="00700A2E">
              <w:rPr>
                <w:lang w:val="en-CA"/>
              </w:rPr>
              <w:t>.</w:t>
            </w:r>
          </w:p>
        </w:tc>
      </w:tr>
      <w:tr w:rsidR="00FF3084" w:rsidRPr="00700A2E" w14:paraId="282C62E5" w14:textId="77777777" w:rsidTr="008D18FC">
        <w:tc>
          <w:tcPr>
            <w:tcW w:w="9360" w:type="dxa"/>
            <w:gridSpan w:val="5"/>
          </w:tcPr>
          <w:p w14:paraId="11348DB0" w14:textId="77777777" w:rsidR="00FF3084" w:rsidRPr="00700A2E" w:rsidRDefault="00FF3084" w:rsidP="00FF3084">
            <w:pPr>
              <w:rPr>
                <w:lang w:val="en-CA"/>
              </w:rPr>
            </w:pPr>
          </w:p>
        </w:tc>
      </w:tr>
      <w:tr w:rsidR="00FF3084" w:rsidRPr="00700A2E" w14:paraId="64A0E54C" w14:textId="77777777" w:rsidTr="008D18FC">
        <w:tc>
          <w:tcPr>
            <w:tcW w:w="9360" w:type="dxa"/>
            <w:gridSpan w:val="5"/>
          </w:tcPr>
          <w:p w14:paraId="49DAA962" w14:textId="202F4CE1" w:rsidR="00FF3084" w:rsidRPr="00700A2E" w:rsidRDefault="00FF3084" w:rsidP="00FF3084">
            <w:pPr>
              <w:pStyle w:val="zSoquijdatNomPartieDef"/>
              <w:rPr>
                <w:lang w:val="en-CA"/>
              </w:rPr>
            </w:pPr>
            <w:r w:rsidRPr="00700A2E">
              <w:rPr>
                <w:lang w:val="en-CA"/>
              </w:rPr>
              <w:t>PIVAL INTERNATIONAL INC.</w:t>
            </w:r>
          </w:p>
        </w:tc>
      </w:tr>
      <w:tr w:rsidR="00FF3084" w:rsidRPr="00700A2E" w14:paraId="35F9B9F0" w14:textId="77777777" w:rsidTr="008D18FC">
        <w:tc>
          <w:tcPr>
            <w:tcW w:w="9360" w:type="dxa"/>
            <w:gridSpan w:val="5"/>
          </w:tcPr>
          <w:p w14:paraId="0B898681" w14:textId="0543441E" w:rsidR="00FF3084" w:rsidRPr="00700A2E" w:rsidRDefault="00FF3084" w:rsidP="00FF3084">
            <w:pPr>
              <w:pStyle w:val="zSoquijdatQtePartieDef"/>
              <w:rPr>
                <w:lang w:val="en-CA"/>
              </w:rPr>
            </w:pPr>
            <w:r>
              <w:rPr>
                <w:lang w:val="en-CA"/>
              </w:rPr>
              <w:t>RESPONDENT</w:t>
            </w:r>
            <w:r w:rsidRPr="00700A2E">
              <w:rPr>
                <w:lang w:val="en-CA"/>
              </w:rPr>
              <w:t xml:space="preserve"> / </w:t>
            </w:r>
            <w:r>
              <w:rPr>
                <w:lang w:val="en-CA"/>
              </w:rPr>
              <w:t>INCIDENTAL APPELLANT</w:t>
            </w:r>
            <w:r w:rsidRPr="00700A2E">
              <w:rPr>
                <w:lang w:val="en-CA"/>
              </w:rPr>
              <w:t xml:space="preserve"> – </w:t>
            </w:r>
            <w:r>
              <w:rPr>
                <w:lang w:val="en-CA"/>
              </w:rPr>
              <w:t>Plaintiff</w:t>
            </w:r>
          </w:p>
        </w:tc>
      </w:tr>
      <w:tr w:rsidR="00FF3084" w:rsidRPr="00700A2E" w14:paraId="7D9FCCEE" w14:textId="77777777" w:rsidTr="008D18FC">
        <w:tc>
          <w:tcPr>
            <w:tcW w:w="9360" w:type="dxa"/>
            <w:gridSpan w:val="5"/>
          </w:tcPr>
          <w:p w14:paraId="485EF312" w14:textId="77777777" w:rsidR="00FF3084" w:rsidRPr="00700A2E" w:rsidRDefault="00FF3084" w:rsidP="00FF3084">
            <w:pPr>
              <w:rPr>
                <w:lang w:val="en-CA"/>
              </w:rPr>
            </w:pPr>
          </w:p>
        </w:tc>
      </w:tr>
      <w:tr w:rsidR="00FF3084" w:rsidRPr="00700A2E" w14:paraId="06178E71" w14:textId="77777777" w:rsidTr="008D18FC">
        <w:tc>
          <w:tcPr>
            <w:tcW w:w="9360" w:type="dxa"/>
            <w:gridSpan w:val="5"/>
            <w:tcBorders>
              <w:top w:val="single" w:sz="8" w:space="0" w:color="auto"/>
            </w:tcBorders>
          </w:tcPr>
          <w:p w14:paraId="7685CD07" w14:textId="77777777" w:rsidR="00FF3084" w:rsidRPr="00700A2E" w:rsidRDefault="00FF3084" w:rsidP="00FF3084">
            <w:pPr>
              <w:rPr>
                <w:lang w:val="en-CA"/>
              </w:rPr>
            </w:pPr>
          </w:p>
        </w:tc>
      </w:tr>
      <w:tr w:rsidR="00FF3084" w:rsidRPr="00700A2E" w14:paraId="78766E06" w14:textId="77777777" w:rsidTr="008D18FC">
        <w:tc>
          <w:tcPr>
            <w:tcW w:w="9360" w:type="dxa"/>
            <w:gridSpan w:val="5"/>
          </w:tcPr>
          <w:p w14:paraId="33433A48" w14:textId="77777777" w:rsidR="00FF3084" w:rsidRPr="00430279" w:rsidRDefault="00FF3084" w:rsidP="00FF3084">
            <w:pPr>
              <w:pStyle w:val="zSoquijlblTypeDocument"/>
              <w:rPr>
                <w:lang w:val="en-CA"/>
              </w:rPr>
            </w:pPr>
            <w:r w:rsidRPr="00430279">
              <w:rPr>
                <w:lang w:val="en-CA"/>
              </w:rPr>
              <w:t>JUDGMENT</w:t>
            </w:r>
          </w:p>
          <w:p w14:paraId="50C03322" w14:textId="09BD17AC" w:rsidR="00FF3084" w:rsidRPr="00700A2E" w:rsidRDefault="00FF3084" w:rsidP="00FF3084">
            <w:pPr>
              <w:pStyle w:val="zSoquijlblTypeDocument"/>
              <w:rPr>
                <w:lang w:val="en-CA"/>
              </w:rPr>
            </w:pPr>
            <w:r w:rsidRPr="00430279">
              <w:rPr>
                <w:lang w:val="en-CA"/>
              </w:rPr>
              <w:t>(rectified on February 3, 2025)</w:t>
            </w:r>
          </w:p>
        </w:tc>
      </w:tr>
      <w:tr w:rsidR="00FF3084" w:rsidRPr="00700A2E" w14:paraId="13E63FB7" w14:textId="77777777" w:rsidTr="008D18FC">
        <w:tc>
          <w:tcPr>
            <w:tcW w:w="9360" w:type="dxa"/>
            <w:gridSpan w:val="5"/>
            <w:tcBorders>
              <w:bottom w:val="single" w:sz="8" w:space="0" w:color="auto"/>
            </w:tcBorders>
          </w:tcPr>
          <w:p w14:paraId="7267D1BD" w14:textId="77777777" w:rsidR="00FF3084" w:rsidRPr="00700A2E" w:rsidRDefault="00FF3084" w:rsidP="00FF3084">
            <w:pPr>
              <w:rPr>
                <w:lang w:val="en-CA"/>
              </w:rPr>
            </w:pPr>
          </w:p>
        </w:tc>
      </w:tr>
      <w:tr w:rsidR="00FF3084" w:rsidRPr="00700A2E" w14:paraId="0D1BE67C" w14:textId="77777777" w:rsidTr="008D18FC">
        <w:tc>
          <w:tcPr>
            <w:tcW w:w="9360" w:type="dxa"/>
            <w:gridSpan w:val="5"/>
            <w:tcBorders>
              <w:top w:val="single" w:sz="8" w:space="0" w:color="auto"/>
            </w:tcBorders>
          </w:tcPr>
          <w:p w14:paraId="0327134B" w14:textId="77777777" w:rsidR="00FF3084" w:rsidRPr="00700A2E" w:rsidRDefault="00FF3084" w:rsidP="00FF3084">
            <w:pPr>
              <w:rPr>
                <w:lang w:val="en-CA"/>
              </w:rPr>
            </w:pPr>
          </w:p>
        </w:tc>
      </w:tr>
    </w:tbl>
    <w:p w14:paraId="0265EC68" w14:textId="12E492DA" w:rsidR="008F364A" w:rsidRPr="00700A2E" w:rsidRDefault="00700A2E">
      <w:pPr>
        <w:pStyle w:val="Paragraphe"/>
        <w:rPr>
          <w:lang w:val="en-CA"/>
        </w:rPr>
      </w:pPr>
      <w:bookmarkStart w:id="7" w:name="Arret"/>
      <w:r>
        <w:rPr>
          <w:lang w:val="en-CA"/>
        </w:rPr>
        <w:t>The appellants are appealing a judgment rendered on August 7,</w:t>
      </w:r>
      <w:r w:rsidR="008235F7" w:rsidRPr="00700A2E">
        <w:rPr>
          <w:lang w:val="en-CA"/>
        </w:rPr>
        <w:t xml:space="preserve"> </w:t>
      </w:r>
      <w:proofErr w:type="gramStart"/>
      <w:r w:rsidR="008235F7" w:rsidRPr="00700A2E">
        <w:rPr>
          <w:lang w:val="en-CA"/>
        </w:rPr>
        <w:t>2023</w:t>
      </w:r>
      <w:proofErr w:type="gramEnd"/>
      <w:r w:rsidR="008235F7" w:rsidRPr="00700A2E">
        <w:rPr>
          <w:lang w:val="en-CA"/>
        </w:rPr>
        <w:t xml:space="preserve"> </w:t>
      </w:r>
      <w:r>
        <w:rPr>
          <w:lang w:val="en-CA"/>
        </w:rPr>
        <w:t>by the Superior Court</w:t>
      </w:r>
      <w:r w:rsidR="008235F7" w:rsidRPr="00700A2E">
        <w:rPr>
          <w:lang w:val="en-CA"/>
        </w:rPr>
        <w:t xml:space="preserve">, </w:t>
      </w:r>
      <w:r>
        <w:rPr>
          <w:lang w:val="en-CA"/>
        </w:rPr>
        <w:t>D</w:t>
      </w:r>
      <w:r w:rsidR="008235F7" w:rsidRPr="00700A2E">
        <w:rPr>
          <w:lang w:val="en-CA"/>
        </w:rPr>
        <w:t xml:space="preserve">istrict </w:t>
      </w:r>
      <w:r>
        <w:rPr>
          <w:lang w:val="en-CA"/>
        </w:rPr>
        <w:t>of</w:t>
      </w:r>
      <w:r w:rsidR="008235F7" w:rsidRPr="00700A2E">
        <w:rPr>
          <w:lang w:val="en-CA"/>
        </w:rPr>
        <w:t xml:space="preserve"> Montr</w:t>
      </w:r>
      <w:r>
        <w:rPr>
          <w:lang w:val="en-CA"/>
        </w:rPr>
        <w:t>e</w:t>
      </w:r>
      <w:r w:rsidR="008235F7" w:rsidRPr="00700A2E">
        <w:rPr>
          <w:lang w:val="en-CA"/>
        </w:rPr>
        <w:t>al (</w:t>
      </w:r>
      <w:r>
        <w:rPr>
          <w:lang w:val="en-CA"/>
        </w:rPr>
        <w:t>the Honourable</w:t>
      </w:r>
      <w:r w:rsidR="008235F7" w:rsidRPr="00700A2E">
        <w:rPr>
          <w:lang w:val="en-CA"/>
        </w:rPr>
        <w:t xml:space="preserve"> Andres C. </w:t>
      </w:r>
      <w:proofErr w:type="spellStart"/>
      <w:r w:rsidR="008235F7" w:rsidRPr="00700A2E">
        <w:rPr>
          <w:lang w:val="en-CA"/>
        </w:rPr>
        <w:t>Garin</w:t>
      </w:r>
      <w:proofErr w:type="spellEnd"/>
      <w:r w:rsidR="008235F7" w:rsidRPr="00700A2E">
        <w:rPr>
          <w:lang w:val="en-CA"/>
        </w:rPr>
        <w:t xml:space="preserve">), </w:t>
      </w:r>
      <w:r>
        <w:rPr>
          <w:lang w:val="en-CA"/>
        </w:rPr>
        <w:t>that granted in part</w:t>
      </w:r>
      <w:r w:rsidR="00416C73" w:rsidRPr="00700A2E">
        <w:rPr>
          <w:lang w:val="en-CA"/>
        </w:rPr>
        <w:t xml:space="preserve"> </w:t>
      </w:r>
      <w:r>
        <w:rPr>
          <w:lang w:val="en-CA"/>
        </w:rPr>
        <w:t xml:space="preserve">the respondent’s </w:t>
      </w:r>
      <w:r w:rsidR="00416C73" w:rsidRPr="00700A2E">
        <w:rPr>
          <w:lang w:val="en-CA"/>
        </w:rPr>
        <w:t>/ </w:t>
      </w:r>
      <w:r w:rsidR="00C46F1D">
        <w:rPr>
          <w:lang w:val="en-CA"/>
        </w:rPr>
        <w:t xml:space="preserve">incidental </w:t>
      </w:r>
      <w:r>
        <w:rPr>
          <w:lang w:val="en-CA"/>
        </w:rPr>
        <w:t xml:space="preserve">appellant’s </w:t>
      </w:r>
      <w:r w:rsidRPr="00700A2E">
        <w:rPr>
          <w:lang w:val="en-CA"/>
        </w:rPr>
        <w:t>Re-Modified Originating Application to Institute Proceedings</w:t>
      </w:r>
      <w:r w:rsidR="008235F7" w:rsidRPr="00700A2E">
        <w:rPr>
          <w:lang w:val="en-CA"/>
        </w:rPr>
        <w:t>.</w:t>
      </w:r>
    </w:p>
    <w:p w14:paraId="2CE014C0" w14:textId="52879962" w:rsidR="008235F7" w:rsidRPr="00700A2E" w:rsidRDefault="00700A2E">
      <w:pPr>
        <w:pStyle w:val="Paragraphe"/>
        <w:rPr>
          <w:lang w:val="en-CA"/>
        </w:rPr>
      </w:pPr>
      <w:bookmarkStart w:id="8" w:name="_Hlk189567196"/>
      <w:r>
        <w:rPr>
          <w:lang w:val="en-CA"/>
        </w:rPr>
        <w:t>For the reasons of</w:t>
      </w:r>
      <w:r w:rsidR="008235F7" w:rsidRPr="00700A2E">
        <w:rPr>
          <w:lang w:val="en-CA"/>
        </w:rPr>
        <w:t xml:space="preserve"> Gagné, </w:t>
      </w:r>
      <w:r>
        <w:rPr>
          <w:lang w:val="en-CA"/>
        </w:rPr>
        <w:t xml:space="preserve">J.A., with which </w:t>
      </w:r>
      <w:r w:rsidR="008235F7" w:rsidRPr="00700A2E">
        <w:rPr>
          <w:lang w:val="en-CA"/>
        </w:rPr>
        <w:t xml:space="preserve">Doyon </w:t>
      </w:r>
      <w:r>
        <w:rPr>
          <w:lang w:val="en-CA"/>
        </w:rPr>
        <w:t>and</w:t>
      </w:r>
      <w:r w:rsidR="008235F7" w:rsidRPr="00700A2E">
        <w:rPr>
          <w:lang w:val="en-CA"/>
        </w:rPr>
        <w:t xml:space="preserve"> </w:t>
      </w:r>
      <w:proofErr w:type="spellStart"/>
      <w:r w:rsidR="008235F7" w:rsidRPr="00430279">
        <w:rPr>
          <w:lang w:val="en-CA"/>
        </w:rPr>
        <w:t>Bachand</w:t>
      </w:r>
      <w:proofErr w:type="spellEnd"/>
      <w:r w:rsidR="008235F7" w:rsidRPr="00430279">
        <w:rPr>
          <w:lang w:val="en-CA"/>
        </w:rPr>
        <w:t>,</w:t>
      </w:r>
      <w:r w:rsidRPr="00430279">
        <w:rPr>
          <w:lang w:val="en-CA"/>
        </w:rPr>
        <w:t xml:space="preserve"> JJ.A.</w:t>
      </w:r>
      <w:r w:rsidR="0084326A" w:rsidRPr="00430279">
        <w:rPr>
          <w:lang w:val="en-CA"/>
        </w:rPr>
        <w:t xml:space="preserve"> concur,</w:t>
      </w:r>
      <w:r w:rsidR="008235F7" w:rsidRPr="00430279">
        <w:rPr>
          <w:lang w:val="en-CA"/>
        </w:rPr>
        <w:t xml:space="preserve"> </w:t>
      </w:r>
      <w:r w:rsidRPr="00430279">
        <w:rPr>
          <w:b/>
          <w:bCs/>
          <w:lang w:val="en-CA"/>
        </w:rPr>
        <w:t>THE</w:t>
      </w:r>
      <w:r>
        <w:rPr>
          <w:b/>
          <w:bCs/>
          <w:lang w:val="en-CA"/>
        </w:rPr>
        <w:t xml:space="preserve"> COURT</w:t>
      </w:r>
      <w:r w:rsidR="008235F7" w:rsidRPr="00700A2E">
        <w:rPr>
          <w:b/>
          <w:bCs/>
          <w:lang w:val="en-CA"/>
        </w:rPr>
        <w:t>:</w:t>
      </w:r>
    </w:p>
    <w:bookmarkEnd w:id="8"/>
    <w:p w14:paraId="6FC2B030" w14:textId="27209106" w:rsidR="008235F7" w:rsidRPr="00700A2E" w:rsidRDefault="00700A2E">
      <w:pPr>
        <w:pStyle w:val="Paragraphe"/>
        <w:rPr>
          <w:lang w:val="en-CA"/>
        </w:rPr>
      </w:pPr>
      <w:r>
        <w:rPr>
          <w:b/>
          <w:bCs/>
          <w:lang w:val="en-CA"/>
        </w:rPr>
        <w:t>ALLOWS</w:t>
      </w:r>
      <w:r w:rsidR="008235F7" w:rsidRPr="00700A2E">
        <w:rPr>
          <w:lang w:val="en-CA"/>
        </w:rPr>
        <w:t xml:space="preserve"> </w:t>
      </w:r>
      <w:r>
        <w:rPr>
          <w:lang w:val="en-CA"/>
        </w:rPr>
        <w:t xml:space="preserve">the </w:t>
      </w:r>
      <w:proofErr w:type="gramStart"/>
      <w:r>
        <w:rPr>
          <w:lang w:val="en-CA"/>
        </w:rPr>
        <w:t>appeal</w:t>
      </w:r>
      <w:r w:rsidR="008235F7" w:rsidRPr="00700A2E">
        <w:rPr>
          <w:lang w:val="en-CA"/>
        </w:rPr>
        <w:t>;</w:t>
      </w:r>
      <w:proofErr w:type="gramEnd"/>
    </w:p>
    <w:p w14:paraId="43184B9E" w14:textId="6D8BA838" w:rsidR="008235F7" w:rsidRPr="00700A2E" w:rsidRDefault="00D64E8F">
      <w:pPr>
        <w:pStyle w:val="Paragraphe"/>
        <w:rPr>
          <w:lang w:val="en-CA"/>
        </w:rPr>
      </w:pPr>
      <w:r>
        <w:rPr>
          <w:b/>
          <w:bCs/>
          <w:lang w:val="en-CA"/>
        </w:rPr>
        <w:t>QUASHES</w:t>
      </w:r>
      <w:r w:rsidR="008235F7" w:rsidRPr="00700A2E">
        <w:rPr>
          <w:lang w:val="en-CA"/>
        </w:rPr>
        <w:t xml:space="preserve"> </w:t>
      </w:r>
      <w:r w:rsidR="00700A2E">
        <w:rPr>
          <w:lang w:val="en-CA"/>
        </w:rPr>
        <w:t>the judgment in first</w:t>
      </w:r>
      <w:r w:rsidR="008235F7" w:rsidRPr="00700A2E">
        <w:rPr>
          <w:lang w:val="en-CA"/>
        </w:rPr>
        <w:t xml:space="preserve"> </w:t>
      </w:r>
      <w:proofErr w:type="gramStart"/>
      <w:r w:rsidR="008235F7" w:rsidRPr="00700A2E">
        <w:rPr>
          <w:lang w:val="en-CA"/>
        </w:rPr>
        <w:t>instance;</w:t>
      </w:r>
      <w:proofErr w:type="gramEnd"/>
    </w:p>
    <w:p w14:paraId="4CACCF72" w14:textId="41C8964D" w:rsidR="008235F7" w:rsidRPr="00700A2E" w:rsidRDefault="00700A2E">
      <w:pPr>
        <w:pStyle w:val="Paragraphe"/>
        <w:rPr>
          <w:lang w:val="en-CA"/>
        </w:rPr>
      </w:pPr>
      <w:r>
        <w:rPr>
          <w:b/>
          <w:bCs/>
          <w:lang w:val="en-CA"/>
        </w:rPr>
        <w:lastRenderedPageBreak/>
        <w:t>DISMISSES</w:t>
      </w:r>
      <w:r w:rsidR="008235F7" w:rsidRPr="00700A2E">
        <w:rPr>
          <w:lang w:val="en-CA"/>
        </w:rPr>
        <w:t xml:space="preserve"> </w:t>
      </w:r>
      <w:r w:rsidRPr="00700A2E">
        <w:rPr>
          <w:lang w:val="en-CA"/>
        </w:rPr>
        <w:t xml:space="preserve">the respondent’s / </w:t>
      </w:r>
      <w:r w:rsidR="00C46F1D">
        <w:rPr>
          <w:lang w:val="en-CA"/>
        </w:rPr>
        <w:t xml:space="preserve">incidental </w:t>
      </w:r>
      <w:r w:rsidRPr="00700A2E">
        <w:rPr>
          <w:lang w:val="en-CA"/>
        </w:rPr>
        <w:t xml:space="preserve">appellant’s Re-Modified Originating Application to Institute </w:t>
      </w:r>
      <w:proofErr w:type="gramStart"/>
      <w:r w:rsidRPr="00700A2E">
        <w:rPr>
          <w:lang w:val="en-CA"/>
        </w:rPr>
        <w:t>Proceedings</w:t>
      </w:r>
      <w:r w:rsidR="008235F7" w:rsidRPr="00700A2E">
        <w:rPr>
          <w:lang w:val="en-CA"/>
        </w:rPr>
        <w:t>;</w:t>
      </w:r>
      <w:proofErr w:type="gramEnd"/>
    </w:p>
    <w:p w14:paraId="7BE1983E" w14:textId="09234445" w:rsidR="008235F7" w:rsidRPr="00700A2E" w:rsidRDefault="00C46F1D">
      <w:pPr>
        <w:pStyle w:val="Paragraphe"/>
        <w:rPr>
          <w:lang w:val="en-CA"/>
        </w:rPr>
      </w:pPr>
      <w:r>
        <w:rPr>
          <w:b/>
          <w:bCs/>
          <w:lang w:val="en-CA"/>
        </w:rPr>
        <w:t>TAKES NOTE</w:t>
      </w:r>
      <w:r w:rsidR="008235F7" w:rsidRPr="00700A2E">
        <w:rPr>
          <w:lang w:val="en-CA"/>
        </w:rPr>
        <w:t xml:space="preserve"> </w:t>
      </w:r>
      <w:r>
        <w:rPr>
          <w:lang w:val="en-CA"/>
        </w:rPr>
        <w:t xml:space="preserve">of the appellant’s </w:t>
      </w:r>
      <w:r w:rsidR="00416C73" w:rsidRPr="00700A2E">
        <w:rPr>
          <w:lang w:val="en-CA"/>
        </w:rPr>
        <w:t>/ </w:t>
      </w:r>
      <w:r>
        <w:rPr>
          <w:lang w:val="en-CA"/>
        </w:rPr>
        <w:t>incidental respondent’s offer</w:t>
      </w:r>
      <w:r w:rsidR="008235F7" w:rsidRPr="00700A2E">
        <w:rPr>
          <w:lang w:val="en-CA"/>
        </w:rPr>
        <w:t xml:space="preserve"> </w:t>
      </w:r>
      <w:r>
        <w:rPr>
          <w:lang w:val="en-CA"/>
        </w:rPr>
        <w:t>to</w:t>
      </w:r>
      <w:r w:rsidR="00B31CDA">
        <w:rPr>
          <w:lang w:val="en-CA"/>
        </w:rPr>
        <w:t xml:space="preserve"> allow the respondent / incidental appellant to</w:t>
      </w:r>
      <w:r>
        <w:rPr>
          <w:lang w:val="en-CA"/>
        </w:rPr>
        <w:t xml:space="preserve"> continue occupy</w:t>
      </w:r>
      <w:r w:rsidR="00155851">
        <w:rPr>
          <w:lang w:val="en-CA"/>
        </w:rPr>
        <w:t>ing</w:t>
      </w:r>
      <w:r>
        <w:rPr>
          <w:lang w:val="en-CA"/>
        </w:rPr>
        <w:t xml:space="preserve"> the leased premises until May</w:t>
      </w:r>
      <w:r w:rsidR="00BD6DA0">
        <w:rPr>
          <w:lang w:val="en-CA"/>
        </w:rPr>
        <w:t> </w:t>
      </w:r>
      <w:r>
        <w:rPr>
          <w:lang w:val="en-CA"/>
        </w:rPr>
        <w:t>31,</w:t>
      </w:r>
      <w:r w:rsidR="006E0045" w:rsidRPr="00700A2E">
        <w:rPr>
          <w:lang w:val="en-CA"/>
        </w:rPr>
        <w:t> </w:t>
      </w:r>
      <w:r w:rsidR="008235F7" w:rsidRPr="00700A2E">
        <w:rPr>
          <w:lang w:val="en-CA"/>
        </w:rPr>
        <w:t xml:space="preserve">2025, </w:t>
      </w:r>
      <w:r>
        <w:rPr>
          <w:lang w:val="en-CA"/>
        </w:rPr>
        <w:t xml:space="preserve">for a base rent of </w:t>
      </w:r>
      <w:r w:rsidRPr="00430279">
        <w:rPr>
          <w:lang w:val="en-CA"/>
        </w:rPr>
        <w:t>$</w:t>
      </w:r>
      <w:r w:rsidR="008235F7" w:rsidRPr="00430279">
        <w:rPr>
          <w:lang w:val="en-CA"/>
        </w:rPr>
        <w:t>10</w:t>
      </w:r>
      <w:r w:rsidRPr="00430279">
        <w:rPr>
          <w:lang w:val="en-CA"/>
        </w:rPr>
        <w:t>.</w:t>
      </w:r>
      <w:r w:rsidR="00873787" w:rsidRPr="00430279">
        <w:rPr>
          <w:u w:val="single"/>
          <w:lang w:val="en-CA"/>
        </w:rPr>
        <w:t>50</w:t>
      </w:r>
      <w:r w:rsidR="008235F7" w:rsidRPr="00700A2E">
        <w:rPr>
          <w:lang w:val="en-CA"/>
        </w:rPr>
        <w:t> </w:t>
      </w:r>
      <w:r>
        <w:rPr>
          <w:lang w:val="en-CA"/>
        </w:rPr>
        <w:t xml:space="preserve">per square </w:t>
      </w:r>
      <w:proofErr w:type="gramStart"/>
      <w:r>
        <w:rPr>
          <w:lang w:val="en-CA"/>
        </w:rPr>
        <w:t>foot</w:t>
      </w:r>
      <w:r w:rsidR="008235F7" w:rsidRPr="00700A2E">
        <w:rPr>
          <w:lang w:val="en-CA"/>
        </w:rPr>
        <w:t>;</w:t>
      </w:r>
      <w:proofErr w:type="gramEnd"/>
    </w:p>
    <w:p w14:paraId="71F592B3" w14:textId="347F3EF3" w:rsidR="008235F7" w:rsidRPr="00700A2E" w:rsidRDefault="00C46F1D">
      <w:pPr>
        <w:pStyle w:val="Paragraphe"/>
        <w:rPr>
          <w:lang w:val="en-CA"/>
        </w:rPr>
      </w:pPr>
      <w:r>
        <w:rPr>
          <w:b/>
          <w:bCs/>
          <w:lang w:val="en-CA"/>
        </w:rPr>
        <w:t>DISMISSES</w:t>
      </w:r>
      <w:r w:rsidR="008235F7" w:rsidRPr="00700A2E">
        <w:rPr>
          <w:lang w:val="en-CA"/>
        </w:rPr>
        <w:t xml:space="preserve"> </w:t>
      </w:r>
      <w:r>
        <w:rPr>
          <w:lang w:val="en-CA"/>
        </w:rPr>
        <w:t xml:space="preserve">the incidental </w:t>
      </w:r>
      <w:proofErr w:type="gramStart"/>
      <w:r>
        <w:rPr>
          <w:lang w:val="en-CA"/>
        </w:rPr>
        <w:t>appeal</w:t>
      </w:r>
      <w:r w:rsidR="006E0045" w:rsidRPr="00700A2E">
        <w:rPr>
          <w:lang w:val="en-CA"/>
        </w:rPr>
        <w:t>;</w:t>
      </w:r>
      <w:proofErr w:type="gramEnd"/>
    </w:p>
    <w:p w14:paraId="6DF1A01B" w14:textId="7FECD859" w:rsidR="006E0045" w:rsidRPr="00700A2E" w:rsidRDefault="00C46F1D">
      <w:pPr>
        <w:pStyle w:val="Paragraphe"/>
        <w:rPr>
          <w:lang w:val="en-CA"/>
        </w:rPr>
      </w:pPr>
      <w:r>
        <w:rPr>
          <w:b/>
          <w:bCs/>
          <w:lang w:val="en-CA"/>
        </w:rPr>
        <w:t>THE WHOLE</w:t>
      </w:r>
      <w:r w:rsidR="006E0045" w:rsidRPr="00700A2E">
        <w:rPr>
          <w:lang w:val="en-CA"/>
        </w:rPr>
        <w:t xml:space="preserve"> </w:t>
      </w:r>
      <w:r>
        <w:rPr>
          <w:lang w:val="en-CA"/>
        </w:rPr>
        <w:t>with legal costs</w:t>
      </w:r>
      <w:r w:rsidR="00B31CDA">
        <w:rPr>
          <w:lang w:val="en-CA"/>
        </w:rPr>
        <w:t xml:space="preserve"> against the respondent</w:t>
      </w:r>
      <w:r w:rsidR="00416C73" w:rsidRPr="00700A2E">
        <w:rPr>
          <w:lang w:val="en-CA"/>
        </w:rPr>
        <w:t> / </w:t>
      </w:r>
      <w:r w:rsidR="00B31CDA">
        <w:rPr>
          <w:lang w:val="en-CA"/>
        </w:rPr>
        <w:t>incidental appellant</w:t>
      </w:r>
      <w:r w:rsidR="006E0045" w:rsidRPr="00700A2E">
        <w:rPr>
          <w:lang w:val="en-CA"/>
        </w:rPr>
        <w:t xml:space="preserve">, </w:t>
      </w:r>
      <w:r w:rsidR="00B31CDA">
        <w:rPr>
          <w:lang w:val="en-CA"/>
        </w:rPr>
        <w:t>both in first instance and on appeal</w:t>
      </w:r>
      <w:r w:rsidR="006E0045" w:rsidRPr="00700A2E">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F364A" w:rsidRPr="00430279" w14:paraId="5EE7CE79" w14:textId="77777777" w:rsidTr="003E3239">
        <w:trPr>
          <w:trHeight w:val="576"/>
        </w:trPr>
        <w:tc>
          <w:tcPr>
            <w:tcW w:w="9362" w:type="dxa"/>
            <w:gridSpan w:val="3"/>
            <w:tcBorders>
              <w:top w:val="nil"/>
              <w:bottom w:val="nil"/>
            </w:tcBorders>
          </w:tcPr>
          <w:p w14:paraId="1B2B1596" w14:textId="77777777" w:rsidR="008F364A" w:rsidRPr="00700A2E" w:rsidRDefault="008F364A">
            <w:pPr>
              <w:keepNext/>
              <w:rPr>
                <w:lang w:val="en-CA"/>
              </w:rPr>
            </w:pPr>
          </w:p>
        </w:tc>
      </w:tr>
      <w:tr w:rsidR="008F364A" w:rsidRPr="00430279" w14:paraId="272E3CC6" w14:textId="77777777" w:rsidTr="00117914">
        <w:trPr>
          <w:trHeight w:val="283"/>
        </w:trPr>
        <w:tc>
          <w:tcPr>
            <w:tcW w:w="4682" w:type="dxa"/>
            <w:gridSpan w:val="2"/>
            <w:tcBorders>
              <w:top w:val="nil"/>
              <w:bottom w:val="nil"/>
            </w:tcBorders>
          </w:tcPr>
          <w:p w14:paraId="7DE8DDA2" w14:textId="77777777" w:rsidR="008F364A" w:rsidRPr="00700A2E" w:rsidRDefault="008F364A">
            <w:pPr>
              <w:keepNext/>
              <w:rPr>
                <w:lang w:val="en-CA"/>
              </w:rPr>
            </w:pPr>
          </w:p>
        </w:tc>
        <w:tc>
          <w:tcPr>
            <w:tcW w:w="4680" w:type="dxa"/>
            <w:tcBorders>
              <w:top w:val="nil"/>
              <w:bottom w:val="single" w:sz="8" w:space="0" w:color="auto"/>
            </w:tcBorders>
          </w:tcPr>
          <w:p w14:paraId="698B7C58" w14:textId="77777777" w:rsidR="008F364A" w:rsidRPr="00700A2E" w:rsidRDefault="008F364A">
            <w:pPr>
              <w:keepNext/>
              <w:rPr>
                <w:lang w:val="en-CA"/>
              </w:rPr>
            </w:pPr>
          </w:p>
        </w:tc>
      </w:tr>
      <w:tr w:rsidR="008F364A" w:rsidRPr="00700A2E" w14:paraId="7BBD4A14" w14:textId="77777777" w:rsidTr="00117914">
        <w:trPr>
          <w:trHeight w:val="283"/>
        </w:trPr>
        <w:tc>
          <w:tcPr>
            <w:tcW w:w="4682" w:type="dxa"/>
            <w:gridSpan w:val="2"/>
            <w:tcBorders>
              <w:top w:val="nil"/>
            </w:tcBorders>
          </w:tcPr>
          <w:p w14:paraId="33DE349F" w14:textId="77777777" w:rsidR="008F364A" w:rsidRPr="00700A2E" w:rsidRDefault="008F364A">
            <w:pPr>
              <w:keepNext/>
              <w:rPr>
                <w:lang w:val="en-CA"/>
              </w:rPr>
            </w:pPr>
          </w:p>
        </w:tc>
        <w:tc>
          <w:tcPr>
            <w:tcW w:w="4680" w:type="dxa"/>
            <w:tcBorders>
              <w:top w:val="single" w:sz="8" w:space="0" w:color="auto"/>
            </w:tcBorders>
          </w:tcPr>
          <w:p w14:paraId="6E95968B" w14:textId="4E8BEF8D" w:rsidR="008F364A" w:rsidRPr="00700A2E" w:rsidRDefault="00FE1F52">
            <w:pPr>
              <w:rPr>
                <w:lang w:val="en-CA"/>
              </w:rPr>
            </w:pPr>
            <w:r>
              <w:rPr>
                <w:lang w:val="en-CA"/>
              </w:rPr>
              <w:t xml:space="preserve">FRANÇOIS DOYON, </w:t>
            </w:r>
            <w:r w:rsidR="00B31CDA">
              <w:rPr>
                <w:lang w:val="en-CA"/>
              </w:rPr>
              <w:t>J.A.</w:t>
            </w:r>
          </w:p>
        </w:tc>
      </w:tr>
      <w:tr w:rsidR="008F364A" w:rsidRPr="00700A2E" w14:paraId="3BBF89A6" w14:textId="77777777" w:rsidTr="00117914">
        <w:trPr>
          <w:trHeight w:val="283"/>
        </w:trPr>
        <w:tc>
          <w:tcPr>
            <w:tcW w:w="4682" w:type="dxa"/>
            <w:gridSpan w:val="2"/>
            <w:tcBorders>
              <w:top w:val="nil"/>
            </w:tcBorders>
          </w:tcPr>
          <w:p w14:paraId="27CFDD93" w14:textId="77777777" w:rsidR="008F364A" w:rsidRPr="00700A2E" w:rsidRDefault="008F364A">
            <w:pPr>
              <w:keepNext/>
              <w:rPr>
                <w:lang w:val="en-CA"/>
              </w:rPr>
            </w:pPr>
            <w:bookmarkStart w:id="9" w:name="Signature2"/>
          </w:p>
        </w:tc>
        <w:tc>
          <w:tcPr>
            <w:tcW w:w="4680" w:type="dxa"/>
            <w:tcBorders>
              <w:top w:val="nil"/>
            </w:tcBorders>
          </w:tcPr>
          <w:p w14:paraId="6C741110" w14:textId="77777777" w:rsidR="008F364A" w:rsidRPr="00700A2E" w:rsidRDefault="008F364A">
            <w:pPr>
              <w:keepNext/>
              <w:rPr>
                <w:lang w:val="en-CA"/>
              </w:rPr>
            </w:pPr>
          </w:p>
        </w:tc>
      </w:tr>
      <w:tr w:rsidR="008F364A" w:rsidRPr="00700A2E" w14:paraId="485BE51D" w14:textId="77777777" w:rsidTr="00117914">
        <w:trPr>
          <w:trHeight w:val="283"/>
        </w:trPr>
        <w:tc>
          <w:tcPr>
            <w:tcW w:w="4682" w:type="dxa"/>
            <w:gridSpan w:val="2"/>
            <w:tcBorders>
              <w:top w:val="nil"/>
              <w:bottom w:val="nil"/>
            </w:tcBorders>
          </w:tcPr>
          <w:p w14:paraId="3E108271" w14:textId="77777777" w:rsidR="008F364A" w:rsidRPr="00700A2E" w:rsidRDefault="008F364A">
            <w:pPr>
              <w:keepNext/>
              <w:rPr>
                <w:lang w:val="en-CA"/>
              </w:rPr>
            </w:pPr>
          </w:p>
        </w:tc>
        <w:tc>
          <w:tcPr>
            <w:tcW w:w="4680" w:type="dxa"/>
            <w:tcBorders>
              <w:top w:val="nil"/>
              <w:bottom w:val="single" w:sz="8" w:space="0" w:color="auto"/>
            </w:tcBorders>
          </w:tcPr>
          <w:p w14:paraId="1A68FA6D" w14:textId="77777777" w:rsidR="008F364A" w:rsidRPr="00700A2E" w:rsidRDefault="008F364A">
            <w:pPr>
              <w:keepNext/>
              <w:rPr>
                <w:lang w:val="en-CA"/>
              </w:rPr>
            </w:pPr>
          </w:p>
        </w:tc>
      </w:tr>
      <w:tr w:rsidR="008F364A" w:rsidRPr="00700A2E" w14:paraId="31BA5625" w14:textId="77777777" w:rsidTr="00117914">
        <w:trPr>
          <w:trHeight w:val="283"/>
        </w:trPr>
        <w:tc>
          <w:tcPr>
            <w:tcW w:w="4682" w:type="dxa"/>
            <w:gridSpan w:val="2"/>
            <w:tcBorders>
              <w:top w:val="nil"/>
            </w:tcBorders>
          </w:tcPr>
          <w:p w14:paraId="08716840" w14:textId="77777777" w:rsidR="008F364A" w:rsidRPr="00700A2E" w:rsidRDefault="008F364A">
            <w:pPr>
              <w:keepNext/>
              <w:rPr>
                <w:lang w:val="en-CA"/>
              </w:rPr>
            </w:pPr>
          </w:p>
        </w:tc>
        <w:tc>
          <w:tcPr>
            <w:tcW w:w="4680" w:type="dxa"/>
            <w:tcBorders>
              <w:top w:val="single" w:sz="8" w:space="0" w:color="auto"/>
            </w:tcBorders>
          </w:tcPr>
          <w:p w14:paraId="01B90325" w14:textId="0E73471B" w:rsidR="008F364A" w:rsidRPr="00700A2E" w:rsidRDefault="00FE1F52">
            <w:pPr>
              <w:keepNext/>
              <w:rPr>
                <w:lang w:val="en-CA"/>
              </w:rPr>
            </w:pPr>
            <w:r>
              <w:rPr>
                <w:lang w:val="en-CA"/>
              </w:rPr>
              <w:t xml:space="preserve">SUZANNE GAGNÉ, </w:t>
            </w:r>
            <w:r w:rsidR="00B31CDA">
              <w:rPr>
                <w:lang w:val="en-CA"/>
              </w:rPr>
              <w:t>J.A.</w:t>
            </w:r>
          </w:p>
        </w:tc>
      </w:tr>
      <w:tr w:rsidR="008F364A" w:rsidRPr="00700A2E" w14:paraId="43F8EA18" w14:textId="77777777" w:rsidTr="00117914">
        <w:trPr>
          <w:trHeight w:val="283"/>
        </w:trPr>
        <w:tc>
          <w:tcPr>
            <w:tcW w:w="4682" w:type="dxa"/>
            <w:gridSpan w:val="2"/>
            <w:tcBorders>
              <w:top w:val="nil"/>
            </w:tcBorders>
          </w:tcPr>
          <w:p w14:paraId="548789A8" w14:textId="77777777" w:rsidR="008F364A" w:rsidRPr="00700A2E" w:rsidRDefault="008F364A">
            <w:pPr>
              <w:keepNext/>
              <w:rPr>
                <w:lang w:val="en-CA"/>
              </w:rPr>
            </w:pPr>
            <w:bookmarkStart w:id="10" w:name="Signature3"/>
            <w:bookmarkEnd w:id="9"/>
          </w:p>
        </w:tc>
        <w:tc>
          <w:tcPr>
            <w:tcW w:w="4680" w:type="dxa"/>
            <w:tcBorders>
              <w:top w:val="nil"/>
            </w:tcBorders>
          </w:tcPr>
          <w:p w14:paraId="6EB8D60F" w14:textId="77777777" w:rsidR="008F364A" w:rsidRPr="00700A2E" w:rsidRDefault="008F364A">
            <w:pPr>
              <w:keepNext/>
              <w:rPr>
                <w:lang w:val="en-CA"/>
              </w:rPr>
            </w:pPr>
          </w:p>
        </w:tc>
      </w:tr>
      <w:tr w:rsidR="008F364A" w:rsidRPr="00700A2E" w14:paraId="1498B6B9" w14:textId="77777777" w:rsidTr="00117914">
        <w:trPr>
          <w:trHeight w:val="283"/>
        </w:trPr>
        <w:tc>
          <w:tcPr>
            <w:tcW w:w="4682" w:type="dxa"/>
            <w:gridSpan w:val="2"/>
            <w:tcBorders>
              <w:top w:val="nil"/>
              <w:bottom w:val="nil"/>
            </w:tcBorders>
          </w:tcPr>
          <w:p w14:paraId="3F39833E" w14:textId="77777777" w:rsidR="008F364A" w:rsidRPr="00700A2E" w:rsidRDefault="008F364A">
            <w:pPr>
              <w:keepNext/>
              <w:rPr>
                <w:lang w:val="en-CA"/>
              </w:rPr>
            </w:pPr>
          </w:p>
        </w:tc>
        <w:tc>
          <w:tcPr>
            <w:tcW w:w="4680" w:type="dxa"/>
            <w:tcBorders>
              <w:top w:val="nil"/>
              <w:bottom w:val="single" w:sz="8" w:space="0" w:color="auto"/>
            </w:tcBorders>
          </w:tcPr>
          <w:p w14:paraId="1C6CCA47" w14:textId="77777777" w:rsidR="008F364A" w:rsidRPr="00700A2E" w:rsidRDefault="008F364A">
            <w:pPr>
              <w:keepNext/>
              <w:rPr>
                <w:lang w:val="en-CA"/>
              </w:rPr>
            </w:pPr>
          </w:p>
        </w:tc>
      </w:tr>
      <w:tr w:rsidR="008F364A" w:rsidRPr="00700A2E" w14:paraId="0DA31B0F" w14:textId="77777777" w:rsidTr="00117914">
        <w:trPr>
          <w:trHeight w:val="283"/>
        </w:trPr>
        <w:tc>
          <w:tcPr>
            <w:tcW w:w="4682" w:type="dxa"/>
            <w:gridSpan w:val="2"/>
            <w:tcBorders>
              <w:top w:val="nil"/>
            </w:tcBorders>
          </w:tcPr>
          <w:p w14:paraId="41A6A223" w14:textId="77777777" w:rsidR="008F364A" w:rsidRPr="00700A2E" w:rsidRDefault="008F364A">
            <w:pPr>
              <w:keepNext/>
              <w:rPr>
                <w:lang w:val="en-CA"/>
              </w:rPr>
            </w:pPr>
          </w:p>
        </w:tc>
        <w:tc>
          <w:tcPr>
            <w:tcW w:w="4680" w:type="dxa"/>
            <w:tcBorders>
              <w:top w:val="single" w:sz="8" w:space="0" w:color="auto"/>
            </w:tcBorders>
          </w:tcPr>
          <w:p w14:paraId="30A6E4C5" w14:textId="13FF561E" w:rsidR="008F364A" w:rsidRPr="00700A2E" w:rsidRDefault="00FE1F52">
            <w:pPr>
              <w:keepNext/>
              <w:rPr>
                <w:lang w:val="en-CA"/>
              </w:rPr>
            </w:pPr>
            <w:r>
              <w:rPr>
                <w:lang w:val="en-CA"/>
              </w:rPr>
              <w:t xml:space="preserve">FRÉDÉRIC BACHAND, </w:t>
            </w:r>
            <w:r w:rsidR="00B31CDA">
              <w:rPr>
                <w:lang w:val="en-CA"/>
              </w:rPr>
              <w:t>J.A.</w:t>
            </w:r>
          </w:p>
        </w:tc>
      </w:tr>
      <w:bookmarkEnd w:id="10"/>
      <w:tr w:rsidR="005A78BF" w:rsidRPr="00700A2E" w14:paraId="6B1F4310" w14:textId="77777777" w:rsidTr="00E3219B">
        <w:tc>
          <w:tcPr>
            <w:tcW w:w="9362" w:type="dxa"/>
            <w:gridSpan w:val="3"/>
            <w:tcBorders>
              <w:bottom w:val="nil"/>
            </w:tcBorders>
          </w:tcPr>
          <w:p w14:paraId="4551B87C" w14:textId="77777777" w:rsidR="005A78BF" w:rsidRPr="00700A2E" w:rsidRDefault="005A78BF" w:rsidP="005A78BF">
            <w:pPr>
              <w:rPr>
                <w:lang w:val="en-CA"/>
              </w:rPr>
            </w:pPr>
          </w:p>
        </w:tc>
      </w:tr>
      <w:tr w:rsidR="005A78BF" w:rsidRPr="00700A2E" w14:paraId="630EB3C1" w14:textId="77777777" w:rsidTr="00E3219B">
        <w:tc>
          <w:tcPr>
            <w:tcW w:w="9362" w:type="dxa"/>
            <w:gridSpan w:val="3"/>
            <w:tcBorders>
              <w:top w:val="nil"/>
            </w:tcBorders>
          </w:tcPr>
          <w:p w14:paraId="2449FA14" w14:textId="78BEBF01" w:rsidR="005A78BF" w:rsidRPr="002E35B4" w:rsidRDefault="00E3219B" w:rsidP="005A78BF">
            <w:pPr>
              <w:pStyle w:val="zSoquijdatNomProcureurDem"/>
            </w:pPr>
            <w:proofErr w:type="spellStart"/>
            <w:r w:rsidRPr="002E35B4">
              <w:t>M</w:t>
            </w:r>
            <w:r w:rsidR="00B31CDA" w:rsidRPr="002E35B4">
              <w:t>tre</w:t>
            </w:r>
            <w:proofErr w:type="spellEnd"/>
            <w:r w:rsidRPr="002E35B4">
              <w:t xml:space="preserve"> Alexandre Forest</w:t>
            </w:r>
          </w:p>
          <w:p w14:paraId="295CAABC" w14:textId="745389AA" w:rsidR="00E3219B" w:rsidRPr="002E35B4" w:rsidRDefault="00E3219B" w:rsidP="005A78BF">
            <w:pPr>
              <w:pStyle w:val="zSoquijdatNomProcureurDem"/>
            </w:pPr>
            <w:proofErr w:type="spellStart"/>
            <w:r w:rsidRPr="002E35B4">
              <w:t>M</w:t>
            </w:r>
            <w:r w:rsidR="00B31CDA" w:rsidRPr="002E35B4">
              <w:t>tre</w:t>
            </w:r>
            <w:proofErr w:type="spellEnd"/>
            <w:r w:rsidRPr="002E35B4">
              <w:t xml:space="preserve"> Mathieu Papineau</w:t>
            </w:r>
          </w:p>
        </w:tc>
      </w:tr>
      <w:tr w:rsidR="005A78BF" w:rsidRPr="00700A2E" w14:paraId="5C7E0518" w14:textId="77777777" w:rsidTr="00423DF1">
        <w:tc>
          <w:tcPr>
            <w:tcW w:w="9362" w:type="dxa"/>
            <w:gridSpan w:val="3"/>
          </w:tcPr>
          <w:p w14:paraId="4612DB90" w14:textId="66AD8454" w:rsidR="005A78BF" w:rsidRPr="00700A2E" w:rsidRDefault="00E3219B" w:rsidP="005A78BF">
            <w:pPr>
              <w:pStyle w:val="zSoquijdatCabinetProcureurDem"/>
              <w:rPr>
                <w:lang w:val="en-CA"/>
              </w:rPr>
            </w:pPr>
            <w:r w:rsidRPr="00700A2E">
              <w:rPr>
                <w:lang w:val="en-CA"/>
              </w:rPr>
              <w:t>GOWLING WLG (CANADA)</w:t>
            </w:r>
          </w:p>
        </w:tc>
      </w:tr>
      <w:tr w:rsidR="005A78BF" w:rsidRPr="00430279" w14:paraId="44E6F3E8" w14:textId="77777777" w:rsidTr="00423DF1">
        <w:tc>
          <w:tcPr>
            <w:tcW w:w="9362" w:type="dxa"/>
            <w:gridSpan w:val="3"/>
          </w:tcPr>
          <w:p w14:paraId="69964521" w14:textId="5273D59F" w:rsidR="005A78BF" w:rsidRPr="00700A2E" w:rsidRDefault="00B31CDA" w:rsidP="005A78BF">
            <w:pPr>
              <w:pStyle w:val="zSoquijlblProcureurDem"/>
              <w:rPr>
                <w:lang w:val="en-CA"/>
              </w:rPr>
            </w:pPr>
            <w:r>
              <w:rPr>
                <w:lang w:val="en-CA"/>
              </w:rPr>
              <w:t>For the appellants</w:t>
            </w:r>
            <w:r w:rsidR="001E3C52" w:rsidRPr="00700A2E">
              <w:rPr>
                <w:lang w:val="en-CA"/>
              </w:rPr>
              <w:t> / </w:t>
            </w:r>
            <w:r>
              <w:rPr>
                <w:lang w:val="en-CA"/>
              </w:rPr>
              <w:t>incidental respondents</w:t>
            </w:r>
          </w:p>
        </w:tc>
      </w:tr>
      <w:tr w:rsidR="005A78BF" w:rsidRPr="00430279" w14:paraId="7303D9A6" w14:textId="77777777" w:rsidTr="00423DF1">
        <w:tc>
          <w:tcPr>
            <w:tcW w:w="9362" w:type="dxa"/>
            <w:gridSpan w:val="3"/>
          </w:tcPr>
          <w:p w14:paraId="6B27DADA" w14:textId="77777777" w:rsidR="005A78BF" w:rsidRPr="00700A2E" w:rsidRDefault="005A78BF" w:rsidP="005A78BF">
            <w:pPr>
              <w:rPr>
                <w:lang w:val="en-CA"/>
              </w:rPr>
            </w:pPr>
          </w:p>
        </w:tc>
      </w:tr>
      <w:tr w:rsidR="005A78BF" w:rsidRPr="00430279" w14:paraId="21ADE160" w14:textId="77777777" w:rsidTr="00423DF1">
        <w:tc>
          <w:tcPr>
            <w:tcW w:w="9362" w:type="dxa"/>
            <w:gridSpan w:val="3"/>
          </w:tcPr>
          <w:p w14:paraId="34DE5B96" w14:textId="76E23D2D" w:rsidR="005A78BF" w:rsidRPr="00700A2E" w:rsidRDefault="00E3219B" w:rsidP="005A78BF">
            <w:pPr>
              <w:pStyle w:val="zSoquijdatNomProcureurDef"/>
              <w:rPr>
                <w:lang w:val="en-CA"/>
              </w:rPr>
            </w:pPr>
            <w:proofErr w:type="spellStart"/>
            <w:r w:rsidRPr="00700A2E">
              <w:rPr>
                <w:lang w:val="en-CA"/>
              </w:rPr>
              <w:t>M</w:t>
            </w:r>
            <w:r w:rsidR="00B31CDA">
              <w:rPr>
                <w:lang w:val="en-CA"/>
              </w:rPr>
              <w:t>tre</w:t>
            </w:r>
            <w:proofErr w:type="spellEnd"/>
            <w:r w:rsidRPr="00700A2E">
              <w:rPr>
                <w:lang w:val="en-CA"/>
              </w:rPr>
              <w:t xml:space="preserve"> Matthew Mc</w:t>
            </w:r>
            <w:r w:rsidR="00AF178F" w:rsidRPr="00700A2E">
              <w:rPr>
                <w:lang w:val="en-CA"/>
              </w:rPr>
              <w:t xml:space="preserve"> </w:t>
            </w:r>
            <w:r w:rsidRPr="00700A2E">
              <w:rPr>
                <w:lang w:val="en-CA"/>
              </w:rPr>
              <w:t>Laughlin</w:t>
            </w:r>
          </w:p>
          <w:p w14:paraId="75C1AA44" w14:textId="2AB82F5E" w:rsidR="00E3219B" w:rsidRPr="00700A2E" w:rsidRDefault="00E3219B" w:rsidP="005A78BF">
            <w:pPr>
              <w:pStyle w:val="zSoquijdatNomProcureurDef"/>
              <w:rPr>
                <w:lang w:val="en-CA"/>
              </w:rPr>
            </w:pPr>
            <w:proofErr w:type="spellStart"/>
            <w:r w:rsidRPr="00700A2E">
              <w:rPr>
                <w:lang w:val="en-CA"/>
              </w:rPr>
              <w:t>M</w:t>
            </w:r>
            <w:r w:rsidR="00B31CDA">
              <w:rPr>
                <w:lang w:val="en-CA"/>
              </w:rPr>
              <w:t>tre</w:t>
            </w:r>
            <w:proofErr w:type="spellEnd"/>
            <w:r w:rsidRPr="00700A2E">
              <w:rPr>
                <w:lang w:val="en-CA"/>
              </w:rPr>
              <w:t xml:space="preserve"> Alexandre </w:t>
            </w:r>
            <w:proofErr w:type="spellStart"/>
            <w:r w:rsidRPr="00700A2E">
              <w:rPr>
                <w:lang w:val="en-CA"/>
              </w:rPr>
              <w:t>Katerelos</w:t>
            </w:r>
            <w:proofErr w:type="spellEnd"/>
          </w:p>
        </w:tc>
      </w:tr>
      <w:tr w:rsidR="005A78BF" w:rsidRPr="00700A2E" w14:paraId="2A7BA27D" w14:textId="77777777" w:rsidTr="00423DF1">
        <w:tc>
          <w:tcPr>
            <w:tcW w:w="9362" w:type="dxa"/>
            <w:gridSpan w:val="3"/>
          </w:tcPr>
          <w:p w14:paraId="26ABDE4B" w14:textId="67C400D6" w:rsidR="005A78BF" w:rsidRPr="00700A2E" w:rsidRDefault="00E3219B" w:rsidP="005A78BF">
            <w:pPr>
              <w:pStyle w:val="zSoquijdatCabinetProcureurDef"/>
              <w:rPr>
                <w:lang w:val="en-CA"/>
              </w:rPr>
            </w:pPr>
            <w:r w:rsidRPr="00700A2E">
              <w:rPr>
                <w:lang w:val="en-CA"/>
              </w:rPr>
              <w:t>KRB AVOCATS</w:t>
            </w:r>
          </w:p>
        </w:tc>
      </w:tr>
      <w:tr w:rsidR="005A78BF" w:rsidRPr="00430279" w14:paraId="215A69F7" w14:textId="77777777" w:rsidTr="00423DF1">
        <w:tc>
          <w:tcPr>
            <w:tcW w:w="9362" w:type="dxa"/>
            <w:gridSpan w:val="3"/>
          </w:tcPr>
          <w:p w14:paraId="64155493" w14:textId="23689A62" w:rsidR="005A78BF" w:rsidRPr="00700A2E" w:rsidRDefault="00B31CDA" w:rsidP="005A78BF">
            <w:pPr>
              <w:pStyle w:val="zSoquijlblProcureurDef"/>
              <w:rPr>
                <w:lang w:val="en-CA"/>
              </w:rPr>
            </w:pPr>
            <w:r>
              <w:rPr>
                <w:lang w:val="en-CA"/>
              </w:rPr>
              <w:t>For the respondent</w:t>
            </w:r>
            <w:r w:rsidR="001E3C52" w:rsidRPr="00700A2E">
              <w:rPr>
                <w:lang w:val="en-CA"/>
              </w:rPr>
              <w:t> / </w:t>
            </w:r>
            <w:r>
              <w:rPr>
                <w:lang w:val="en-CA"/>
              </w:rPr>
              <w:t>incidental appellant</w:t>
            </w:r>
          </w:p>
        </w:tc>
      </w:tr>
      <w:tr w:rsidR="005A78BF" w:rsidRPr="00430279" w14:paraId="2522DFAB" w14:textId="77777777" w:rsidTr="00423DF1">
        <w:tc>
          <w:tcPr>
            <w:tcW w:w="9362" w:type="dxa"/>
            <w:gridSpan w:val="3"/>
          </w:tcPr>
          <w:p w14:paraId="249FE50D" w14:textId="77777777" w:rsidR="005A78BF" w:rsidRPr="00700A2E" w:rsidRDefault="005A78BF" w:rsidP="005A78BF">
            <w:pPr>
              <w:rPr>
                <w:lang w:val="en-CA"/>
              </w:rPr>
            </w:pPr>
          </w:p>
        </w:tc>
      </w:tr>
      <w:tr w:rsidR="005A78BF" w:rsidRPr="00700A2E" w14:paraId="7FB3AE81" w14:textId="77777777" w:rsidTr="00423DF1">
        <w:tc>
          <w:tcPr>
            <w:tcW w:w="1997" w:type="dxa"/>
          </w:tcPr>
          <w:p w14:paraId="45EB6296" w14:textId="77F000E2" w:rsidR="005A78BF" w:rsidRPr="00700A2E" w:rsidRDefault="00B31CDA" w:rsidP="005A78BF">
            <w:pPr>
              <w:pStyle w:val="zSoquijlblDateAudience"/>
              <w:rPr>
                <w:lang w:val="en-CA"/>
              </w:rPr>
            </w:pPr>
            <w:r>
              <w:rPr>
                <w:lang w:val="en-CA"/>
              </w:rPr>
              <w:t>Hearing date</w:t>
            </w:r>
            <w:r w:rsidR="005A78BF" w:rsidRPr="00700A2E">
              <w:rPr>
                <w:lang w:val="en-CA"/>
              </w:rPr>
              <w:t>:</w:t>
            </w:r>
          </w:p>
        </w:tc>
        <w:tc>
          <w:tcPr>
            <w:tcW w:w="7365" w:type="dxa"/>
            <w:gridSpan w:val="2"/>
          </w:tcPr>
          <w:p w14:paraId="7231E88F" w14:textId="15A3B765" w:rsidR="005A78BF" w:rsidRPr="00700A2E" w:rsidRDefault="00B31CDA" w:rsidP="005A78BF">
            <w:pPr>
              <w:pStyle w:val="zSoquijdatDateAudience"/>
              <w:rPr>
                <w:lang w:val="en-CA"/>
              </w:rPr>
            </w:pPr>
            <w:r>
              <w:rPr>
                <w:lang w:val="en-CA"/>
              </w:rPr>
              <w:t>November 12,</w:t>
            </w:r>
            <w:r w:rsidR="00E3219B" w:rsidRPr="00700A2E">
              <w:rPr>
                <w:lang w:val="en-CA"/>
              </w:rPr>
              <w:t xml:space="preserve"> 2024</w:t>
            </w:r>
          </w:p>
        </w:tc>
      </w:tr>
    </w:tbl>
    <w:p w14:paraId="5194E7C8" w14:textId="77777777" w:rsidR="00CF0E5B" w:rsidRPr="00700A2E" w:rsidRDefault="00CF0E5B" w:rsidP="00CF0E5B">
      <w:pPr>
        <w:rPr>
          <w:lang w:val="en-CA"/>
        </w:rPr>
        <w:sectPr w:rsidR="00CF0E5B" w:rsidRPr="00700A2E" w:rsidSect="008F41FB">
          <w:headerReference w:type="default" r:id="rId8"/>
          <w:footerReference w:type="default" r:id="rId9"/>
          <w:footnotePr>
            <w:numRestart w:val="eachSect"/>
          </w:footnotePr>
          <w:pgSz w:w="12242" w:h="15842" w:code="1"/>
          <w:pgMar w:top="1440" w:right="1008" w:bottom="1440" w:left="1872" w:header="1440" w:footer="792" w:gutter="0"/>
          <w:cols w:space="720"/>
          <w:formProt w:val="0"/>
          <w:titlePg/>
          <w:docGrid w:linePitch="326"/>
        </w:sectPr>
      </w:pPr>
      <w:bookmarkStart w:id="11" w:name="Opinion"/>
      <w:bookmarkEnd w:id="7"/>
    </w:p>
    <w:tbl>
      <w:tblPr>
        <w:tblW w:w="0" w:type="auto"/>
        <w:tblLayout w:type="fixed"/>
        <w:tblCellMar>
          <w:left w:w="0" w:type="dxa"/>
          <w:right w:w="0" w:type="dxa"/>
        </w:tblCellMar>
        <w:tblLook w:val="0000" w:firstRow="0" w:lastRow="0" w:firstColumn="0" w:lastColumn="0" w:noHBand="0" w:noVBand="0"/>
      </w:tblPr>
      <w:tblGrid>
        <w:gridCol w:w="9360"/>
      </w:tblGrid>
      <w:tr w:rsidR="00CF0E5B" w:rsidRPr="00700A2E" w14:paraId="05A1F10F" w14:textId="77777777" w:rsidTr="00E8282E">
        <w:tc>
          <w:tcPr>
            <w:tcW w:w="9360" w:type="dxa"/>
            <w:tcBorders>
              <w:bottom w:val="single" w:sz="8" w:space="0" w:color="auto"/>
            </w:tcBorders>
          </w:tcPr>
          <w:p w14:paraId="2906D18E" w14:textId="77777777" w:rsidR="00CF0E5B" w:rsidRPr="00700A2E" w:rsidRDefault="00CF0E5B" w:rsidP="00E8282E">
            <w:pPr>
              <w:rPr>
                <w:lang w:val="en-CA"/>
              </w:rPr>
            </w:pPr>
          </w:p>
        </w:tc>
      </w:tr>
      <w:tr w:rsidR="00CF0E5B" w:rsidRPr="00700A2E" w14:paraId="6F393450" w14:textId="77777777" w:rsidTr="00E8282E">
        <w:tc>
          <w:tcPr>
            <w:tcW w:w="9360" w:type="dxa"/>
            <w:tcBorders>
              <w:top w:val="single" w:sz="8" w:space="0" w:color="auto"/>
            </w:tcBorders>
          </w:tcPr>
          <w:p w14:paraId="30A96FF7" w14:textId="77777777" w:rsidR="00CF0E5B" w:rsidRPr="00700A2E" w:rsidRDefault="00CF0E5B" w:rsidP="00E8282E">
            <w:pPr>
              <w:rPr>
                <w:lang w:val="en-CA"/>
              </w:rPr>
            </w:pPr>
          </w:p>
        </w:tc>
      </w:tr>
      <w:tr w:rsidR="00CF0E5B" w:rsidRPr="00430279" w14:paraId="0346280B" w14:textId="77777777" w:rsidTr="00E8282E">
        <w:tc>
          <w:tcPr>
            <w:tcW w:w="9360" w:type="dxa"/>
          </w:tcPr>
          <w:p w14:paraId="0098DC40" w14:textId="2AB1D338" w:rsidR="00CF0E5B" w:rsidRPr="00700A2E" w:rsidRDefault="00B31CDA" w:rsidP="00E8282E">
            <w:pPr>
              <w:pStyle w:val="zSoquijlblOpinionJuge"/>
              <w:rPr>
                <w:lang w:val="en-CA"/>
              </w:rPr>
            </w:pPr>
            <w:r>
              <w:rPr>
                <w:lang w:val="en-CA"/>
              </w:rPr>
              <w:t>REASONS OF</w:t>
            </w:r>
            <w:r w:rsidR="00FE1F52">
              <w:rPr>
                <w:lang w:val="en-CA"/>
              </w:rPr>
              <w:t xml:space="preserve"> GAGNÉ, J.A</w:t>
            </w:r>
            <w:r>
              <w:rPr>
                <w:lang w:val="en-CA"/>
              </w:rPr>
              <w:t>.</w:t>
            </w:r>
          </w:p>
        </w:tc>
      </w:tr>
      <w:tr w:rsidR="00CF0E5B" w:rsidRPr="00430279" w14:paraId="4739CFD8" w14:textId="77777777" w:rsidTr="00E8282E">
        <w:tc>
          <w:tcPr>
            <w:tcW w:w="9360" w:type="dxa"/>
            <w:tcBorders>
              <w:bottom w:val="single" w:sz="8" w:space="0" w:color="auto"/>
            </w:tcBorders>
          </w:tcPr>
          <w:p w14:paraId="357AE898" w14:textId="77777777" w:rsidR="00CF0E5B" w:rsidRPr="00700A2E" w:rsidRDefault="00CF0E5B" w:rsidP="00E8282E">
            <w:pPr>
              <w:rPr>
                <w:lang w:val="en-CA"/>
              </w:rPr>
            </w:pPr>
          </w:p>
        </w:tc>
      </w:tr>
      <w:tr w:rsidR="00CF0E5B" w:rsidRPr="00430279" w14:paraId="398E6415" w14:textId="77777777" w:rsidTr="00E8282E">
        <w:tc>
          <w:tcPr>
            <w:tcW w:w="9360" w:type="dxa"/>
            <w:tcBorders>
              <w:top w:val="single" w:sz="8" w:space="0" w:color="auto"/>
            </w:tcBorders>
          </w:tcPr>
          <w:p w14:paraId="0FE75AAD" w14:textId="77777777" w:rsidR="00CF0E5B" w:rsidRPr="00700A2E" w:rsidRDefault="00CF0E5B" w:rsidP="00E8282E">
            <w:pPr>
              <w:rPr>
                <w:lang w:val="en-CA"/>
              </w:rPr>
            </w:pPr>
          </w:p>
        </w:tc>
      </w:tr>
    </w:tbl>
    <w:p w14:paraId="26A24D2D" w14:textId="14F88DA9" w:rsidR="00CF0E5B" w:rsidRPr="00700A2E" w:rsidRDefault="00B31CDA" w:rsidP="00CF0E5B">
      <w:pPr>
        <w:pStyle w:val="Paragraphe"/>
        <w:rPr>
          <w:lang w:val="en-CA"/>
        </w:rPr>
      </w:pPr>
      <w:r>
        <w:rPr>
          <w:lang w:val="en-CA"/>
        </w:rPr>
        <w:t xml:space="preserve">The appeal concerns the interpretation of a so-called </w:t>
      </w:r>
      <w:r w:rsidR="00732DEE">
        <w:rPr>
          <w:lang w:val="en-CA"/>
        </w:rPr>
        <w:t xml:space="preserve">option to </w:t>
      </w:r>
      <w:r>
        <w:rPr>
          <w:lang w:val="en-CA"/>
        </w:rPr>
        <w:t>renew</w:t>
      </w:r>
      <w:r w:rsidR="00732DEE">
        <w:rPr>
          <w:lang w:val="en-CA"/>
        </w:rPr>
        <w:t xml:space="preserve"> </w:t>
      </w:r>
      <w:r>
        <w:rPr>
          <w:lang w:val="en-CA"/>
        </w:rPr>
        <w:t xml:space="preserve">clause </w:t>
      </w:r>
      <w:r w:rsidR="00155851">
        <w:rPr>
          <w:lang w:val="en-CA"/>
        </w:rPr>
        <w:t xml:space="preserve">contained </w:t>
      </w:r>
      <w:r>
        <w:rPr>
          <w:lang w:val="en-CA"/>
        </w:rPr>
        <w:t xml:space="preserve">in a commercial lease and the duty to negotiate in good faith arising therefrom. The incidental appeal, for its part, primarily raises the issue of whether a renewal proposal </w:t>
      </w:r>
      <w:r w:rsidR="006C6FDD">
        <w:rPr>
          <w:lang w:val="en-CA"/>
        </w:rPr>
        <w:t>conditional on</w:t>
      </w:r>
      <w:r w:rsidR="00FB31EA">
        <w:rPr>
          <w:lang w:val="en-CA"/>
        </w:rPr>
        <w:t xml:space="preserve"> the subsequent acceptance by the person</w:t>
      </w:r>
      <w:r w:rsidR="00155851">
        <w:rPr>
          <w:lang w:val="en-CA"/>
        </w:rPr>
        <w:t>(</w:t>
      </w:r>
      <w:r w:rsidR="00FB31EA">
        <w:rPr>
          <w:lang w:val="en-CA"/>
        </w:rPr>
        <w:t>s</w:t>
      </w:r>
      <w:r w:rsidR="00155851">
        <w:rPr>
          <w:lang w:val="en-CA"/>
        </w:rPr>
        <w:t>)</w:t>
      </w:r>
      <w:r w:rsidR="00FB31EA">
        <w:rPr>
          <w:lang w:val="en-CA"/>
        </w:rPr>
        <w:t xml:space="preserve"> authorized by the proposal’s author constitutes an offer to contract within the meaning of article </w:t>
      </w:r>
      <w:r w:rsidR="00CF0E5B" w:rsidRPr="00700A2E">
        <w:rPr>
          <w:lang w:val="en-CA"/>
        </w:rPr>
        <w:t>1388 </w:t>
      </w:r>
      <w:r w:rsidR="00CF0E5B" w:rsidRPr="00700A2E">
        <w:rPr>
          <w:i/>
          <w:iCs/>
          <w:lang w:val="en-CA"/>
        </w:rPr>
        <w:t>C.</w:t>
      </w:r>
      <w:r w:rsidR="00FB31EA">
        <w:rPr>
          <w:i/>
          <w:iCs/>
          <w:lang w:val="en-CA"/>
        </w:rPr>
        <w:t>C</w:t>
      </w:r>
      <w:r w:rsidR="00CF0E5B" w:rsidRPr="00700A2E">
        <w:rPr>
          <w:i/>
          <w:iCs/>
          <w:lang w:val="en-CA"/>
        </w:rPr>
        <w:t>.Q.</w:t>
      </w:r>
    </w:p>
    <w:p w14:paraId="3B777F21" w14:textId="53EB179E" w:rsidR="00CF0E5B" w:rsidRPr="00700A2E" w:rsidRDefault="00FB31EA" w:rsidP="00CF0E5B">
      <w:pPr>
        <w:pStyle w:val="Paragraphe"/>
        <w:rPr>
          <w:lang w:val="en-CA"/>
        </w:rPr>
      </w:pPr>
      <w:r>
        <w:rPr>
          <w:lang w:val="en-CA"/>
        </w:rPr>
        <w:t xml:space="preserve">The trial judge answered </w:t>
      </w:r>
      <w:r w:rsidR="00155851">
        <w:rPr>
          <w:lang w:val="en-CA"/>
        </w:rPr>
        <w:t>the latter</w:t>
      </w:r>
      <w:r>
        <w:rPr>
          <w:lang w:val="en-CA"/>
        </w:rPr>
        <w:t xml:space="preserve"> question in the negative and therefore concluded that no renewal agreement had been formed</w:t>
      </w:r>
      <w:r w:rsidR="00CF0E5B" w:rsidRPr="00700A2E">
        <w:rPr>
          <w:lang w:val="en-CA"/>
        </w:rPr>
        <w:t xml:space="preserve">. </w:t>
      </w:r>
      <w:r>
        <w:rPr>
          <w:lang w:val="en-CA"/>
        </w:rPr>
        <w:t xml:space="preserve">He further </w:t>
      </w:r>
      <w:r w:rsidR="003E0C00">
        <w:rPr>
          <w:lang w:val="en-CA"/>
        </w:rPr>
        <w:t>held</w:t>
      </w:r>
      <w:r>
        <w:rPr>
          <w:lang w:val="en-CA"/>
        </w:rPr>
        <w:t xml:space="preserve"> that the </w:t>
      </w:r>
      <w:r w:rsidR="00732DEE">
        <w:rPr>
          <w:lang w:val="en-CA"/>
        </w:rPr>
        <w:t>lease clause in</w:t>
      </w:r>
      <w:r w:rsidR="00CF0E5B" w:rsidRPr="00700A2E">
        <w:rPr>
          <w:lang w:val="en-CA"/>
        </w:rPr>
        <w:t xml:space="preserve"> question </w:t>
      </w:r>
      <w:r w:rsidR="00732DEE">
        <w:rPr>
          <w:lang w:val="en-CA"/>
        </w:rPr>
        <w:t>constituted a true option to renew</w:t>
      </w:r>
      <w:r w:rsidR="00185EEE">
        <w:rPr>
          <w:lang w:val="en-CA"/>
        </w:rPr>
        <w:t>,</w:t>
      </w:r>
      <w:r w:rsidR="00732DEE">
        <w:rPr>
          <w:lang w:val="en-CA"/>
        </w:rPr>
        <w:t xml:space="preserve"> rather than a mere </w:t>
      </w:r>
      <w:r w:rsidR="00185EEE" w:rsidRPr="00185EEE">
        <w:rPr>
          <w:lang w:val="en-CA"/>
        </w:rPr>
        <w:t>right of first refusal</w:t>
      </w:r>
      <w:r w:rsidR="00185EEE">
        <w:rPr>
          <w:i/>
          <w:iCs/>
          <w:lang w:val="en-CA"/>
        </w:rPr>
        <w:t>.</w:t>
      </w:r>
      <w:r w:rsidR="00CF0E5B" w:rsidRPr="00700A2E">
        <w:rPr>
          <w:lang w:val="en-CA"/>
        </w:rPr>
        <w:t xml:space="preserve"> </w:t>
      </w:r>
      <w:r w:rsidR="00732DEE">
        <w:rPr>
          <w:lang w:val="en-CA"/>
        </w:rPr>
        <w:t>In his view,</w:t>
      </w:r>
      <w:r w:rsidR="00CF0E5B" w:rsidRPr="00700A2E">
        <w:rPr>
          <w:lang w:val="en-CA"/>
        </w:rPr>
        <w:t xml:space="preserve"> </w:t>
      </w:r>
      <w:r w:rsidR="00732DEE">
        <w:rPr>
          <w:lang w:val="en-CA"/>
        </w:rPr>
        <w:t>the appellants</w:t>
      </w:r>
      <w:r w:rsidR="003E0C00">
        <w:rPr>
          <w:lang w:val="en-CA"/>
        </w:rPr>
        <w:t>’</w:t>
      </w:r>
      <w:r w:rsidR="00732DEE">
        <w:rPr>
          <w:lang w:val="en-CA"/>
        </w:rPr>
        <w:t xml:space="preserve"> </w:t>
      </w:r>
      <w:r w:rsidR="00C06A83" w:rsidRPr="00430279">
        <w:rPr>
          <w:lang w:val="en-CA"/>
        </w:rPr>
        <w:t>predecessor in title</w:t>
      </w:r>
      <w:r w:rsidR="00CF0E5B" w:rsidRPr="00430279">
        <w:rPr>
          <w:lang w:val="en-CA"/>
        </w:rPr>
        <w:t>,</w:t>
      </w:r>
      <w:r w:rsidR="00CF0E5B" w:rsidRPr="00700A2E">
        <w:rPr>
          <w:lang w:val="en-CA"/>
        </w:rPr>
        <w:t xml:space="preserve"> Fonds de Placement </w:t>
      </w:r>
      <w:proofErr w:type="spellStart"/>
      <w:r w:rsidR="00CF0E5B" w:rsidRPr="00700A2E">
        <w:rPr>
          <w:lang w:val="en-CA"/>
        </w:rPr>
        <w:t>Immobilier</w:t>
      </w:r>
      <w:proofErr w:type="spellEnd"/>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732DEE">
        <w:rPr>
          <w:lang w:val="en-CA"/>
        </w:rPr>
        <w:t>“</w:t>
      </w:r>
      <w:proofErr w:type="spellStart"/>
      <w:r w:rsidR="00CF0E5B" w:rsidRPr="00700A2E">
        <w:rPr>
          <w:lang w:val="en-CA"/>
        </w:rPr>
        <w:t>Cominar</w:t>
      </w:r>
      <w:proofErr w:type="spellEnd"/>
      <w:r w:rsidR="00732DEE">
        <w:rPr>
          <w:lang w:val="en-CA"/>
        </w:rPr>
        <w:t>”</w:t>
      </w:r>
      <w:r w:rsidR="00CF0E5B" w:rsidRPr="00700A2E">
        <w:rPr>
          <w:lang w:val="en-CA"/>
        </w:rPr>
        <w:t xml:space="preserve">), </w:t>
      </w:r>
      <w:r w:rsidR="007A57D7">
        <w:rPr>
          <w:lang w:val="en-CA"/>
        </w:rPr>
        <w:t>breached its duty to negotiate the rental price in good faith</w:t>
      </w:r>
      <w:r w:rsidR="00CF0E5B" w:rsidRPr="00700A2E">
        <w:rPr>
          <w:lang w:val="en-CA"/>
        </w:rPr>
        <w:t xml:space="preserve"> </w:t>
      </w:r>
      <w:r w:rsidR="007A57D7">
        <w:rPr>
          <w:lang w:val="en-CA"/>
        </w:rPr>
        <w:t>after the respondent</w:t>
      </w:r>
      <w:r w:rsidR="00CF0E5B" w:rsidRPr="00700A2E">
        <w:rPr>
          <w:lang w:val="en-CA"/>
        </w:rPr>
        <w:t xml:space="preserve"> (</w:t>
      </w:r>
      <w:r w:rsidR="007A57D7">
        <w:rPr>
          <w:lang w:val="en-CA"/>
        </w:rPr>
        <w:t>“</w:t>
      </w:r>
      <w:r w:rsidR="00CF0E5B" w:rsidRPr="00700A2E">
        <w:rPr>
          <w:lang w:val="en-CA"/>
        </w:rPr>
        <w:t>L</w:t>
      </w:r>
      <w:r w:rsidR="007A57D7">
        <w:rPr>
          <w:lang w:val="en-CA"/>
        </w:rPr>
        <w:t>essee”</w:t>
      </w:r>
      <w:r w:rsidR="00CF0E5B" w:rsidRPr="00700A2E">
        <w:rPr>
          <w:lang w:val="en-CA"/>
        </w:rPr>
        <w:t>)</w:t>
      </w:r>
      <w:r w:rsidR="007A57D7">
        <w:rPr>
          <w:lang w:val="en-CA"/>
        </w:rPr>
        <w:t xml:space="preserve"> exercised the option</w:t>
      </w:r>
      <w:r w:rsidR="00CF0E5B" w:rsidRPr="00700A2E">
        <w:rPr>
          <w:lang w:val="en-CA"/>
        </w:rPr>
        <w:t xml:space="preserve">. </w:t>
      </w:r>
      <w:r w:rsidR="007A57D7">
        <w:rPr>
          <w:lang w:val="en-CA"/>
        </w:rPr>
        <w:t xml:space="preserve">Holding that the evidence was insufficient to allow him to fix the rent, he ordered the parties to </w:t>
      </w:r>
      <w:r w:rsidR="00185EEE">
        <w:rPr>
          <w:lang w:val="en-CA"/>
        </w:rPr>
        <w:t>engage in good faith</w:t>
      </w:r>
      <w:r w:rsidR="007A57D7">
        <w:rPr>
          <w:lang w:val="en-CA"/>
        </w:rPr>
        <w:t xml:space="preserve"> nego</w:t>
      </w:r>
      <w:r w:rsidR="00185EEE">
        <w:rPr>
          <w:lang w:val="en-CA"/>
        </w:rPr>
        <w:t xml:space="preserve">tiations and reserved their right to </w:t>
      </w:r>
      <w:r w:rsidR="00B11DF7">
        <w:rPr>
          <w:lang w:val="en-CA"/>
        </w:rPr>
        <w:t>seek further adjudication of</w:t>
      </w:r>
      <w:r w:rsidR="00185EEE">
        <w:rPr>
          <w:lang w:val="en-CA"/>
        </w:rPr>
        <w:t xml:space="preserve"> the Superior Court should they fail to come to an agreement</w:t>
      </w:r>
      <w:r w:rsidR="007A57D7">
        <w:rPr>
          <w:lang w:val="en-CA"/>
        </w:rPr>
        <w:t>.</w:t>
      </w:r>
      <w:r w:rsidR="00CF0E5B" w:rsidRPr="00700A2E">
        <w:rPr>
          <w:rStyle w:val="Appelnotedebasdep"/>
          <w:lang w:val="en-CA"/>
        </w:rPr>
        <w:footnoteReference w:id="1"/>
      </w:r>
    </w:p>
    <w:p w14:paraId="7254EF46" w14:textId="0664CFC3" w:rsidR="00CF0E5B" w:rsidRPr="00700A2E" w:rsidRDefault="00185EEE" w:rsidP="00CF0E5B">
      <w:pPr>
        <w:pStyle w:val="Paragraphe"/>
        <w:rPr>
          <w:lang w:val="en-CA"/>
        </w:rPr>
      </w:pPr>
      <w:proofErr w:type="gramStart"/>
      <w:r>
        <w:rPr>
          <w:lang w:val="en-CA"/>
        </w:rPr>
        <w:t>For the reasons that</w:t>
      </w:r>
      <w:proofErr w:type="gramEnd"/>
      <w:r>
        <w:rPr>
          <w:lang w:val="en-CA"/>
        </w:rPr>
        <w:t xml:space="preserve"> follow</w:t>
      </w:r>
      <w:r w:rsidR="00CF0E5B" w:rsidRPr="00700A2E">
        <w:rPr>
          <w:lang w:val="en-CA"/>
        </w:rPr>
        <w:t xml:space="preserve">, </w:t>
      </w:r>
      <w:r>
        <w:rPr>
          <w:lang w:val="en-CA"/>
        </w:rPr>
        <w:t>I would allow the appeal and dismiss the incidental appeal</w:t>
      </w:r>
      <w:r w:rsidR="00CF0E5B" w:rsidRPr="00700A2E">
        <w:rPr>
          <w:lang w:val="en-CA"/>
        </w:rPr>
        <w:t xml:space="preserve">. </w:t>
      </w:r>
      <w:r>
        <w:rPr>
          <w:lang w:val="en-CA"/>
        </w:rPr>
        <w:t xml:space="preserve">Indeed, I am of the view that the lease clause </w:t>
      </w:r>
      <w:r w:rsidR="00877175">
        <w:rPr>
          <w:lang w:val="en-CA"/>
        </w:rPr>
        <w:t xml:space="preserve">merely </w:t>
      </w:r>
      <w:r>
        <w:rPr>
          <w:lang w:val="en-CA"/>
        </w:rPr>
        <w:t>grant</w:t>
      </w:r>
      <w:r w:rsidR="003E0C00">
        <w:rPr>
          <w:lang w:val="en-CA"/>
        </w:rPr>
        <w:t>ed</w:t>
      </w:r>
      <w:r>
        <w:rPr>
          <w:lang w:val="en-CA"/>
        </w:rPr>
        <w:t xml:space="preserve"> to the Lessee a right of first refusal, </w:t>
      </w:r>
      <w:r w:rsidR="00877175">
        <w:rPr>
          <w:lang w:val="en-CA"/>
        </w:rPr>
        <w:t xml:space="preserve">and that </w:t>
      </w:r>
      <w:proofErr w:type="spellStart"/>
      <w:r w:rsidR="00877175">
        <w:rPr>
          <w:lang w:val="en-CA"/>
        </w:rPr>
        <w:t>Cominar</w:t>
      </w:r>
      <w:proofErr w:type="spellEnd"/>
      <w:r w:rsidR="00877175">
        <w:rPr>
          <w:lang w:val="en-CA"/>
        </w:rPr>
        <w:t xml:space="preserve"> did not breach its duty to negotiate in good faith.  At the same time, I would agree with the judge that the renewal proposal did not constitute an offer to contract</w:t>
      </w:r>
      <w:r w:rsidR="00CF0E5B" w:rsidRPr="00700A2E">
        <w:rPr>
          <w:lang w:val="en-CA"/>
        </w:rPr>
        <w:t>.</w:t>
      </w:r>
    </w:p>
    <w:p w14:paraId="3F6C4BE9" w14:textId="383DA5C2" w:rsidR="00CF0E5B" w:rsidRPr="00700A2E" w:rsidRDefault="00936B2F" w:rsidP="00CF0E5B">
      <w:pPr>
        <w:pStyle w:val="Titre1"/>
        <w:rPr>
          <w:lang w:val="en-CA"/>
        </w:rPr>
      </w:pPr>
      <w:r>
        <w:rPr>
          <w:lang w:val="en-CA"/>
        </w:rPr>
        <w:t>Background</w:t>
      </w:r>
    </w:p>
    <w:p w14:paraId="38A910AC" w14:textId="277B1ED4" w:rsidR="00CF0E5B" w:rsidRPr="00700A2E" w:rsidRDefault="00936B2F" w:rsidP="00CF0E5B">
      <w:pPr>
        <w:pStyle w:val="Paragraphe"/>
        <w:rPr>
          <w:lang w:val="en-CA"/>
        </w:rPr>
      </w:pPr>
      <w:r>
        <w:rPr>
          <w:lang w:val="en-CA"/>
        </w:rPr>
        <w:t>The Lessee</w:t>
      </w:r>
      <w:r w:rsidR="00CF0E5B" w:rsidRPr="00700A2E">
        <w:rPr>
          <w:lang w:val="en-CA"/>
        </w:rPr>
        <w:t xml:space="preserve"> </w:t>
      </w:r>
      <w:r w:rsidRPr="00936B2F">
        <w:rPr>
          <w:lang w:val="en-CA"/>
        </w:rPr>
        <w:t>is in the business of transportation, warehousing, distribution and logistics</w:t>
      </w:r>
      <w:r w:rsidR="00CF0E5B" w:rsidRPr="00700A2E">
        <w:rPr>
          <w:lang w:val="en-CA"/>
        </w:rPr>
        <w:t xml:space="preserve">. </w:t>
      </w:r>
      <w:r w:rsidRPr="00936B2F">
        <w:rPr>
          <w:lang w:val="en-CA"/>
        </w:rPr>
        <w:t xml:space="preserve">In July 2016, it </w:t>
      </w:r>
      <w:proofErr w:type="gramStart"/>
      <w:r w:rsidRPr="00936B2F">
        <w:rPr>
          <w:lang w:val="en-CA"/>
        </w:rPr>
        <w:t>entered into</w:t>
      </w:r>
      <w:proofErr w:type="gramEnd"/>
      <w:r w:rsidRPr="00936B2F">
        <w:rPr>
          <w:lang w:val="en-CA"/>
        </w:rPr>
        <w:t xml:space="preserve"> a five</w:t>
      </w:r>
      <w:r w:rsidRPr="00936B2F">
        <w:rPr>
          <w:rFonts w:ascii="Cambria Math" w:hAnsi="Cambria Math" w:cs="Cambria Math"/>
          <w:lang w:val="en-CA"/>
        </w:rPr>
        <w:t>‑</w:t>
      </w:r>
      <w:r w:rsidRPr="00936B2F">
        <w:rPr>
          <w:lang w:val="en-CA"/>
        </w:rPr>
        <w:t xml:space="preserve">year </w:t>
      </w:r>
      <w:r>
        <w:rPr>
          <w:lang w:val="en-CA"/>
        </w:rPr>
        <w:t xml:space="preserve">commercial </w:t>
      </w:r>
      <w:r w:rsidRPr="00936B2F">
        <w:rPr>
          <w:lang w:val="en-CA"/>
        </w:rPr>
        <w:t xml:space="preserve">lease for industrial premises located in Lachine </w:t>
      </w:r>
      <w:r w:rsidR="00CF0E5B" w:rsidRPr="00700A2E">
        <w:rPr>
          <w:lang w:val="en-CA"/>
        </w:rPr>
        <w:t>(</w:t>
      </w:r>
      <w:r>
        <w:rPr>
          <w:lang w:val="en-CA"/>
        </w:rPr>
        <w:t>the “Leased Premises”</w:t>
      </w:r>
      <w:r w:rsidR="00CF0E5B" w:rsidRPr="00700A2E">
        <w:rPr>
          <w:lang w:val="en-CA"/>
        </w:rPr>
        <w:t>).</w:t>
      </w:r>
    </w:p>
    <w:p w14:paraId="48F166F5" w14:textId="2C0014CB" w:rsidR="00CF0E5B" w:rsidRPr="00700A2E" w:rsidRDefault="0082086A" w:rsidP="00CF0E5B">
      <w:pPr>
        <w:pStyle w:val="Paragraphe"/>
        <w:rPr>
          <w:lang w:val="en-CA"/>
        </w:rPr>
      </w:pPr>
      <w:r>
        <w:rPr>
          <w:lang w:val="en-CA"/>
        </w:rPr>
        <w:t>The lease, as amended in July</w:t>
      </w:r>
      <w:r w:rsidR="00CF0E5B" w:rsidRPr="00700A2E">
        <w:rPr>
          <w:lang w:val="en-CA"/>
        </w:rPr>
        <w:t> 2017</w:t>
      </w:r>
      <w:r>
        <w:rPr>
          <w:lang w:val="en-CA"/>
        </w:rPr>
        <w:t>,</w:t>
      </w:r>
      <w:r w:rsidR="00CF0E5B" w:rsidRPr="00700A2E">
        <w:rPr>
          <w:rStyle w:val="Appelnotedebasdep"/>
          <w:lang w:val="en-CA"/>
        </w:rPr>
        <w:footnoteReference w:id="2"/>
      </w:r>
      <w:r w:rsidR="00CF0E5B" w:rsidRPr="00700A2E">
        <w:rPr>
          <w:lang w:val="en-CA"/>
        </w:rPr>
        <w:t xml:space="preserve"> </w:t>
      </w:r>
      <w:r>
        <w:rPr>
          <w:lang w:val="en-CA"/>
        </w:rPr>
        <w:t xml:space="preserve">included a so-called </w:t>
      </w:r>
      <w:r w:rsidRPr="0082086A">
        <w:rPr>
          <w:lang w:val="en-CA"/>
        </w:rPr>
        <w:t>option to renew clause</w:t>
      </w:r>
      <w:r w:rsidR="00CF0E5B" w:rsidRPr="00700A2E">
        <w:rPr>
          <w:lang w:val="en-CA"/>
        </w:rPr>
        <w:t>:</w:t>
      </w:r>
    </w:p>
    <w:p w14:paraId="7007A1FD" w14:textId="77777777" w:rsidR="00CF0E5B" w:rsidRPr="002E35B4" w:rsidRDefault="00CF0E5B" w:rsidP="001E3C52">
      <w:pPr>
        <w:pStyle w:val="Citationenretrait"/>
        <w:keepNext/>
        <w:rPr>
          <w:b/>
          <w:bCs/>
        </w:rPr>
      </w:pPr>
      <w:r w:rsidRPr="002E35B4">
        <w:rPr>
          <w:b/>
          <w:bCs/>
        </w:rPr>
        <w:t>27.6</w:t>
      </w:r>
      <w:r w:rsidRPr="002E35B4">
        <w:rPr>
          <w:b/>
          <w:bCs/>
        </w:rPr>
        <w:tab/>
        <w:t>Option de renouvellement</w:t>
      </w:r>
    </w:p>
    <w:p w14:paraId="6FDE50B5" w14:textId="77777777" w:rsidR="00CF0E5B" w:rsidRPr="002E35B4" w:rsidRDefault="00CF0E5B" w:rsidP="001E3C52">
      <w:pPr>
        <w:pStyle w:val="Citationenretrait"/>
        <w:keepNext/>
      </w:pPr>
      <w:r w:rsidRPr="002E35B4">
        <w:t xml:space="preserve">À la condition que le Locataire remplisse, de bonne foi et ponctuellement, toutes les obligations qui lui incombent en vertu du bail et qu’il ne soit pas en défaut en vertu de l’une quelconque d’entre elles pendant le terme du bail, il pourra </w:t>
      </w:r>
      <w:r w:rsidRPr="002E35B4">
        <w:lastRenderedPageBreak/>
        <w:t>renouveler le présent bail pour une (1) période additionnelle de cinq (5) ans, soit pour la période débutant le 1</w:t>
      </w:r>
      <w:r w:rsidRPr="002E35B4">
        <w:rPr>
          <w:vertAlign w:val="superscript"/>
        </w:rPr>
        <w:t>er</w:t>
      </w:r>
      <w:r w:rsidRPr="002E35B4">
        <w:t xml:space="preserve"> janvier 2023 et se terminant le 31 décembre 2028</w:t>
      </w:r>
      <w:r w:rsidRPr="00700A2E">
        <w:rPr>
          <w:rStyle w:val="Appelnotedebasdep"/>
          <w:lang w:val="en-CA"/>
        </w:rPr>
        <w:footnoteReference w:id="3"/>
      </w:r>
      <w:r w:rsidRPr="002E35B4">
        <w:t xml:space="preserve">. Un </w:t>
      </w:r>
      <w:r w:rsidRPr="002E35B4">
        <w:rPr>
          <w:u w:val="single"/>
        </w:rPr>
        <w:t>avis écrit</w:t>
      </w:r>
      <w:r w:rsidRPr="002E35B4">
        <w:t>, au moins neuf (9) mois avant l’expiration du présent bail, devra être donné au Bailleur. À défaut d’avis par le Locataire, le présent bail prendra automatiquement fin à l’arrivée du terme fixé.</w:t>
      </w:r>
    </w:p>
    <w:p w14:paraId="3ECB1BE0" w14:textId="77777777" w:rsidR="00CF0E5B" w:rsidRPr="002E35B4" w:rsidRDefault="00CF0E5B" w:rsidP="00CF0E5B">
      <w:pPr>
        <w:pStyle w:val="Citationenretrait"/>
      </w:pPr>
      <w:r w:rsidRPr="002E35B4">
        <w:t xml:space="preserve">Si le Locataire désire se prévaloir de l’option, </w:t>
      </w:r>
      <w:r w:rsidRPr="002E35B4">
        <w:rPr>
          <w:u w:val="single"/>
        </w:rPr>
        <w:t>le nouveau prix fixé pour son loyer devra être négocié dans un délai de soixante (60) jours de l’avis, et une nouvelle entente de location devra avoir été conclue entre les parties à l’intérieur du même délai, à défaut de quoi, l’option de renouvellement deviendra nulle et non avenue à l’expiration dudit délai de soixante (60) jours</w:t>
      </w:r>
      <w:r w:rsidRPr="002E35B4">
        <w:t xml:space="preserve">. Les taux applicables pour fixer le loyer seront </w:t>
      </w:r>
      <w:r w:rsidRPr="002E35B4">
        <w:rPr>
          <w:u w:val="single"/>
        </w:rPr>
        <w:t>les taux du marché et/ou de l’Immeuble alors en vigueur pour un terme équivalent et pour un espace comparable et d’usage similaire aux Lieux Loués et situés dans le même secteur de la ville de Montréal</w:t>
      </w:r>
      <w:r w:rsidRPr="002E35B4">
        <w:t>.</w:t>
      </w:r>
    </w:p>
    <w:p w14:paraId="10F93E6A" w14:textId="77777777" w:rsidR="00CF0E5B" w:rsidRPr="002E35B4" w:rsidRDefault="00CF0E5B" w:rsidP="00CF0E5B">
      <w:pPr>
        <w:pStyle w:val="Citationenretrait"/>
      </w:pPr>
      <w:r w:rsidRPr="002E35B4">
        <w:t xml:space="preserve">Le fait que le Locataire continue d’occuper les Lieux Loués après l’expiration de son bail sans qu’un nouveau bail n’ait été signé ne constitue pas un renouvellement de bail, le Locataire étant considéré comme Locataire au mois, et il devra payer, en sus de toute somme payable à titre de loyer additionnel prévu au bail, cent vingt-cinq pourcent (125 %) du loyer de base payable lors de la dernière année du bail. Le Locataire s’engage à quitter les Lieux Loués dans un délai maximum de trente (30) jours </w:t>
      </w:r>
      <w:proofErr w:type="gramStart"/>
      <w:r w:rsidRPr="002E35B4">
        <w:t>suite à</w:t>
      </w:r>
      <w:proofErr w:type="gramEnd"/>
      <w:r w:rsidRPr="002E35B4">
        <w:t xml:space="preserve"> la réception d’un avis écrit du Bailleur à cet effet.</w:t>
      </w:r>
      <w:r w:rsidRPr="00700A2E">
        <w:rPr>
          <w:rStyle w:val="Appelnotedebasdep"/>
          <w:lang w:val="en-CA"/>
        </w:rPr>
        <w:footnoteReference w:id="4"/>
      </w:r>
    </w:p>
    <w:p w14:paraId="44DC1A69" w14:textId="2530FBE0" w:rsidR="00CF0E5B" w:rsidRPr="00700A2E" w:rsidRDefault="00CF0E5B" w:rsidP="00CF0E5B">
      <w:pPr>
        <w:pStyle w:val="Citationenretrait"/>
        <w:jc w:val="right"/>
        <w:rPr>
          <w:lang w:val="en-CA"/>
        </w:rPr>
      </w:pPr>
      <w:r w:rsidRPr="00700A2E">
        <w:rPr>
          <w:lang w:val="en-CA"/>
        </w:rPr>
        <w:t>[</w:t>
      </w:r>
      <w:r w:rsidR="0082086A">
        <w:rPr>
          <w:lang w:val="en-CA"/>
        </w:rPr>
        <w:t>Bold in the original</w:t>
      </w:r>
      <w:r w:rsidRPr="00700A2E">
        <w:rPr>
          <w:lang w:val="en-CA"/>
        </w:rPr>
        <w:t xml:space="preserve">; </w:t>
      </w:r>
      <w:r w:rsidR="0082086A">
        <w:rPr>
          <w:lang w:val="en-CA"/>
        </w:rPr>
        <w:t>underlining added</w:t>
      </w:r>
      <w:r w:rsidRPr="00700A2E">
        <w:rPr>
          <w:lang w:val="en-CA"/>
        </w:rPr>
        <w:t>]</w:t>
      </w:r>
    </w:p>
    <w:p w14:paraId="4AEE06EF" w14:textId="192DFA0B" w:rsidR="00CF0E5B" w:rsidRPr="00700A2E" w:rsidRDefault="003D782B" w:rsidP="00CF0E5B">
      <w:pPr>
        <w:pStyle w:val="Paragraphe"/>
        <w:rPr>
          <w:lang w:val="en-CA"/>
        </w:rPr>
      </w:pPr>
      <w:r>
        <w:rPr>
          <w:lang w:val="en-CA"/>
        </w:rPr>
        <w:t>Discussions in view of renewal of the lease began in the spring of 2021</w:t>
      </w:r>
      <w:r w:rsidR="00CF0E5B" w:rsidRPr="00700A2E">
        <w:rPr>
          <w:lang w:val="en-CA"/>
        </w:rPr>
        <w:t xml:space="preserve">. </w:t>
      </w:r>
      <w:r>
        <w:rPr>
          <w:lang w:val="en-CA"/>
        </w:rPr>
        <w:t xml:space="preserve">During a videoconference held on June 28, </w:t>
      </w:r>
      <w:r w:rsidR="00CF0E5B" w:rsidRPr="00700A2E">
        <w:rPr>
          <w:lang w:val="en-CA"/>
        </w:rPr>
        <w:t>2021, M</w:t>
      </w:r>
      <w:r>
        <w:rPr>
          <w:lang w:val="en-CA"/>
        </w:rPr>
        <w:t>r</w:t>
      </w:r>
      <w:r w:rsidR="00CF0E5B" w:rsidRPr="00700A2E">
        <w:rPr>
          <w:lang w:val="en-CA"/>
        </w:rPr>
        <w:t xml:space="preserve">. Mario La Barbera, </w:t>
      </w:r>
      <w:r>
        <w:rPr>
          <w:lang w:val="en-CA"/>
        </w:rPr>
        <w:t>President of the Lessee</w:t>
      </w:r>
      <w:r w:rsidR="00CF0E5B" w:rsidRPr="00700A2E">
        <w:rPr>
          <w:lang w:val="en-CA"/>
        </w:rPr>
        <w:t xml:space="preserve">, </w:t>
      </w:r>
      <w:r>
        <w:rPr>
          <w:lang w:val="en-CA"/>
        </w:rPr>
        <w:t>verbally notified</w:t>
      </w:r>
      <w:r w:rsidR="00CF0E5B" w:rsidRPr="00700A2E">
        <w:rPr>
          <w:lang w:val="en-CA"/>
        </w:rPr>
        <w:t xml:space="preserve"> M</w:t>
      </w:r>
      <w:r>
        <w:rPr>
          <w:lang w:val="en-CA"/>
        </w:rPr>
        <w:t>r</w:t>
      </w:r>
      <w:r w:rsidR="00CF0E5B" w:rsidRPr="00700A2E">
        <w:rPr>
          <w:lang w:val="en-CA"/>
        </w:rPr>
        <w:t xml:space="preserve">. Michael Racine, </w:t>
      </w:r>
      <w:r w:rsidR="00796651">
        <w:rPr>
          <w:lang w:val="en-CA"/>
        </w:rPr>
        <w:t xml:space="preserve">a </w:t>
      </w:r>
      <w:proofErr w:type="spellStart"/>
      <w:r w:rsidR="00CF0E5B" w:rsidRPr="00700A2E">
        <w:rPr>
          <w:lang w:val="en-CA"/>
        </w:rPr>
        <w:t>Cominar</w:t>
      </w:r>
      <w:proofErr w:type="spellEnd"/>
      <w:r>
        <w:rPr>
          <w:lang w:val="en-CA"/>
        </w:rPr>
        <w:t xml:space="preserve"> </w:t>
      </w:r>
      <w:r w:rsidR="00796651">
        <w:rPr>
          <w:lang w:val="en-CA"/>
        </w:rPr>
        <w:t>Executive Vice-President,</w:t>
      </w:r>
      <w:r w:rsidR="00CF0E5B" w:rsidRPr="00700A2E">
        <w:rPr>
          <w:rStyle w:val="Appelnotedebasdep"/>
          <w:lang w:val="en-CA"/>
        </w:rPr>
        <w:footnoteReference w:id="5"/>
      </w:r>
      <w:r w:rsidR="00CF0E5B" w:rsidRPr="00700A2E">
        <w:rPr>
          <w:lang w:val="en-CA"/>
        </w:rPr>
        <w:t xml:space="preserve"> </w:t>
      </w:r>
      <w:r w:rsidR="00796651">
        <w:rPr>
          <w:lang w:val="en-CA"/>
        </w:rPr>
        <w:t>that the Lessee wished to avail itself of the renewal option.</w:t>
      </w:r>
      <w:r w:rsidR="00CF0E5B" w:rsidRPr="00700A2E">
        <w:rPr>
          <w:rStyle w:val="Appelnotedebasdep"/>
          <w:lang w:val="en-CA"/>
        </w:rPr>
        <w:footnoteReference w:id="6"/>
      </w:r>
    </w:p>
    <w:p w14:paraId="288CE208" w14:textId="2832F629" w:rsidR="00CF0E5B" w:rsidRPr="00700A2E" w:rsidRDefault="00796651" w:rsidP="00CF0E5B">
      <w:pPr>
        <w:pStyle w:val="Paragraphe"/>
        <w:rPr>
          <w:lang w:val="en-CA"/>
        </w:rPr>
      </w:pPr>
      <w:r>
        <w:rPr>
          <w:lang w:val="en-CA"/>
        </w:rPr>
        <w:t>On September 27,</w:t>
      </w:r>
      <w:r w:rsidR="00CF0E5B" w:rsidRPr="00700A2E">
        <w:rPr>
          <w:lang w:val="en-CA"/>
        </w:rPr>
        <w:t xml:space="preserve"> 2021, </w:t>
      </w:r>
      <w:proofErr w:type="spellStart"/>
      <w:r w:rsidR="00CF0E5B" w:rsidRPr="00700A2E">
        <w:rPr>
          <w:lang w:val="en-CA"/>
        </w:rPr>
        <w:t>Cominar</w:t>
      </w:r>
      <w:proofErr w:type="spellEnd"/>
      <w:r w:rsidR="00CF0E5B" w:rsidRPr="00700A2E">
        <w:rPr>
          <w:lang w:val="en-CA"/>
        </w:rPr>
        <w:t xml:space="preserve"> </w:t>
      </w:r>
      <w:r>
        <w:rPr>
          <w:lang w:val="en-CA"/>
        </w:rPr>
        <w:t>sent a first renewal proposal to the Lessee</w:t>
      </w:r>
      <w:r w:rsidR="00CF0E5B" w:rsidRPr="00700A2E">
        <w:rPr>
          <w:lang w:val="en-CA"/>
        </w:rPr>
        <w:t xml:space="preserve">. </w:t>
      </w:r>
      <w:r>
        <w:rPr>
          <w:lang w:val="en-CA"/>
        </w:rPr>
        <w:t>The base rents</w:t>
      </w:r>
      <w:r w:rsidR="00CF0E5B" w:rsidRPr="00700A2E">
        <w:rPr>
          <w:rStyle w:val="Appelnotedebasdep"/>
          <w:lang w:val="en-CA"/>
        </w:rPr>
        <w:footnoteReference w:id="7"/>
      </w:r>
      <w:r w:rsidR="00CF0E5B" w:rsidRPr="00700A2E">
        <w:rPr>
          <w:lang w:val="en-CA"/>
        </w:rPr>
        <w:t xml:space="preserve"> </w:t>
      </w:r>
      <w:r>
        <w:rPr>
          <w:lang w:val="en-CA"/>
        </w:rPr>
        <w:t xml:space="preserve">appearing </w:t>
      </w:r>
      <w:r w:rsidR="003F1C43">
        <w:rPr>
          <w:lang w:val="en-CA"/>
        </w:rPr>
        <w:t>were based</w:t>
      </w:r>
      <w:r>
        <w:rPr>
          <w:lang w:val="en-CA"/>
        </w:rPr>
        <w:t xml:space="preserve"> on a market report prepared by </w:t>
      </w:r>
      <w:r w:rsidR="00CF0E5B" w:rsidRPr="00700A2E">
        <w:rPr>
          <w:lang w:val="en-CA"/>
        </w:rPr>
        <w:t>CBRE (</w:t>
      </w:r>
      <w:r>
        <w:rPr>
          <w:lang w:val="en-CA"/>
        </w:rPr>
        <w:t xml:space="preserve">a real estate </w:t>
      </w:r>
      <w:r>
        <w:rPr>
          <w:lang w:val="en-CA"/>
        </w:rPr>
        <w:lastRenderedPageBreak/>
        <w:t>services firm</w:t>
      </w:r>
      <w:r w:rsidR="00CF0E5B" w:rsidRPr="00700A2E">
        <w:rPr>
          <w:lang w:val="en-CA"/>
        </w:rPr>
        <w:t xml:space="preserve">) </w:t>
      </w:r>
      <w:r>
        <w:rPr>
          <w:lang w:val="en-CA"/>
        </w:rPr>
        <w:t>on industrial rentals for the third quarter of</w:t>
      </w:r>
      <w:r w:rsidR="00CF0E5B" w:rsidRPr="00700A2E">
        <w:rPr>
          <w:lang w:val="en-CA"/>
        </w:rPr>
        <w:t xml:space="preserve"> 2021. </w:t>
      </w:r>
      <w:r>
        <w:rPr>
          <w:lang w:val="en-CA"/>
        </w:rPr>
        <w:t>The Lessee refused that proposal</w:t>
      </w:r>
      <w:r w:rsidR="00CF0E5B" w:rsidRPr="00700A2E">
        <w:rPr>
          <w:lang w:val="en-CA"/>
        </w:rPr>
        <w:t>.</w:t>
      </w:r>
    </w:p>
    <w:p w14:paraId="3FC81344" w14:textId="3AA1619A" w:rsidR="00CF0E5B" w:rsidRPr="00700A2E" w:rsidRDefault="00796651" w:rsidP="00CF0E5B">
      <w:pPr>
        <w:pStyle w:val="Paragraphe"/>
        <w:rPr>
          <w:lang w:val="en-CA"/>
        </w:rPr>
      </w:pPr>
      <w:r>
        <w:rPr>
          <w:lang w:val="en-CA"/>
        </w:rPr>
        <w:t xml:space="preserve">On October 18, </w:t>
      </w:r>
      <w:r w:rsidR="00CF0E5B" w:rsidRPr="00700A2E">
        <w:rPr>
          <w:lang w:val="en-CA"/>
        </w:rPr>
        <w:t xml:space="preserve">2021, </w:t>
      </w:r>
      <w:proofErr w:type="spellStart"/>
      <w:r w:rsidR="00CF0E5B" w:rsidRPr="00700A2E">
        <w:rPr>
          <w:lang w:val="en-CA"/>
        </w:rPr>
        <w:t>Cominar</w:t>
      </w:r>
      <w:proofErr w:type="spellEnd"/>
      <w:r w:rsidR="00CF0E5B" w:rsidRPr="00700A2E">
        <w:rPr>
          <w:lang w:val="en-CA"/>
        </w:rPr>
        <w:t xml:space="preserve"> </w:t>
      </w:r>
      <w:r>
        <w:rPr>
          <w:lang w:val="en-CA"/>
        </w:rPr>
        <w:t xml:space="preserve">sent </w:t>
      </w:r>
      <w:r w:rsidR="003F1C43">
        <w:rPr>
          <w:lang w:val="en-CA"/>
        </w:rPr>
        <w:t>it</w:t>
      </w:r>
      <w:r>
        <w:rPr>
          <w:lang w:val="en-CA"/>
        </w:rPr>
        <w:t xml:space="preserve"> a second renewal proposal. It is useful to reproduce it in </w:t>
      </w:r>
      <w:r w:rsidR="003F1C43">
        <w:rPr>
          <w:lang w:val="en-CA"/>
        </w:rPr>
        <w:t>its entirety</w:t>
      </w:r>
      <w:r w:rsidR="00CF0E5B" w:rsidRPr="00700A2E">
        <w:rPr>
          <w:lang w:val="en-CA"/>
        </w:rPr>
        <w:t>:</w:t>
      </w:r>
    </w:p>
    <w:p w14:paraId="7997E0AE" w14:textId="77777777" w:rsidR="00CF0E5B" w:rsidRPr="009C06C7" w:rsidRDefault="00CF0E5B" w:rsidP="00CF0E5B">
      <w:pPr>
        <w:spacing w:before="120" w:after="120"/>
        <w:ind w:left="720" w:right="720"/>
        <w:jc w:val="both"/>
        <w:rPr>
          <w:sz w:val="22"/>
          <w:szCs w:val="22"/>
        </w:rPr>
      </w:pPr>
      <w:r w:rsidRPr="009C06C7">
        <w:rPr>
          <w:rStyle w:val="Corpsdutexte20"/>
          <w:sz w:val="22"/>
          <w:szCs w:val="22"/>
          <w:lang w:val="fr-CA"/>
        </w:rPr>
        <w:t>Bonjour,</w:t>
      </w:r>
    </w:p>
    <w:p w14:paraId="52937044" w14:textId="77777777" w:rsidR="00CF0E5B" w:rsidRPr="002E35B4" w:rsidRDefault="00CF0E5B" w:rsidP="00CF0E5B">
      <w:pPr>
        <w:spacing w:before="120" w:after="120"/>
        <w:ind w:left="720" w:right="720"/>
        <w:jc w:val="both"/>
        <w:rPr>
          <w:sz w:val="22"/>
          <w:szCs w:val="22"/>
        </w:rPr>
      </w:pPr>
      <w:proofErr w:type="gramStart"/>
      <w:r w:rsidRPr="002E35B4">
        <w:rPr>
          <w:rStyle w:val="Corpsdutexte20"/>
          <w:sz w:val="22"/>
          <w:szCs w:val="22"/>
          <w:lang w:val="fr-CA"/>
        </w:rPr>
        <w:t>Suite à</w:t>
      </w:r>
      <w:proofErr w:type="gramEnd"/>
      <w:r w:rsidRPr="002E35B4">
        <w:rPr>
          <w:rStyle w:val="Corpsdutexte20"/>
          <w:sz w:val="22"/>
          <w:szCs w:val="22"/>
          <w:lang w:val="fr-CA"/>
        </w:rPr>
        <w:t xml:space="preserve"> votre demande, il nous fait plaisir de vous soumettre les conditions de location concernant un espace dans l’immeuble situé à l’adresse mentionnée en objet. </w:t>
      </w:r>
      <w:r w:rsidRPr="002E35B4">
        <w:rPr>
          <w:rStyle w:val="Corpsdutexte20"/>
          <w:sz w:val="22"/>
          <w:szCs w:val="22"/>
          <w:u w:val="single"/>
          <w:lang w:val="fr-CA"/>
        </w:rPr>
        <w:t xml:space="preserve">Veuillez noter toutefois que la validité de ces conditions, de même que les autres conditions de la location à intervenir, sont sujettes à l’acceptation ultérieure de la ou des personnes dûment autorisées du FPI </w:t>
      </w:r>
      <w:proofErr w:type="spellStart"/>
      <w:r w:rsidRPr="002E35B4">
        <w:rPr>
          <w:rStyle w:val="Corpsdutexte20"/>
          <w:sz w:val="22"/>
          <w:szCs w:val="22"/>
          <w:u w:val="single"/>
          <w:lang w:val="fr-CA"/>
        </w:rPr>
        <w:t>Cominar</w:t>
      </w:r>
      <w:proofErr w:type="spellEnd"/>
      <w:r w:rsidRPr="002E35B4">
        <w:rPr>
          <w:rStyle w:val="Corpsdutexte20"/>
          <w:sz w:val="22"/>
          <w:szCs w:val="22"/>
          <w:lang w:val="fr-CA"/>
        </w:rPr>
        <w:t xml:space="preserve">. De plus, il est expressément entendu entre les parties que </w:t>
      </w:r>
      <w:r w:rsidRPr="002E35B4">
        <w:rPr>
          <w:rStyle w:val="Corpsdutexte20"/>
          <w:sz w:val="22"/>
          <w:szCs w:val="22"/>
          <w:u w:val="single"/>
          <w:lang w:val="fr-CA"/>
        </w:rPr>
        <w:t>le présent document ne constitue pas un contrat et ne liera pas les parties tant et aussi longtemps que l’entente complète</w:t>
      </w:r>
      <w:r w:rsidRPr="002E35B4">
        <w:rPr>
          <w:rStyle w:val="Corpsdutexte20"/>
          <w:sz w:val="22"/>
          <w:szCs w:val="22"/>
          <w:lang w:val="fr-CA"/>
        </w:rPr>
        <w:t xml:space="preserve"> </w:t>
      </w:r>
      <w:r w:rsidRPr="002E35B4">
        <w:rPr>
          <w:rStyle w:val="Corpsdutexte20"/>
          <w:sz w:val="22"/>
          <w:szCs w:val="22"/>
          <w:u w:val="single"/>
          <w:lang w:val="fr-CA"/>
        </w:rPr>
        <w:t>de location énonçant tous les termes et conditions ne sera signée par le Bailleur et le Locataire</w:t>
      </w:r>
      <w:r w:rsidRPr="002E35B4">
        <w:rPr>
          <w:rStyle w:val="Corpsdutexte20"/>
          <w:sz w:val="22"/>
          <w:szCs w:val="22"/>
          <w:lang w:val="fr-CA"/>
        </w:rPr>
        <w:t>.</w:t>
      </w:r>
    </w:p>
    <w:p w14:paraId="7D46C0AF" w14:textId="77777777" w:rsidR="00CF0E5B" w:rsidRPr="002E35B4" w:rsidRDefault="00CF0E5B" w:rsidP="00CF0E5B">
      <w:pPr>
        <w:ind w:right="1565"/>
        <w:rPr>
          <w:rStyle w:val="Corpsdutexte20"/>
          <w:sz w:val="22"/>
          <w:szCs w:val="22"/>
          <w:lang w:val="fr-CA"/>
        </w:rPr>
      </w:pPr>
      <w:r w:rsidRPr="00700A2E">
        <w:rPr>
          <w:noProof/>
          <w:sz w:val="22"/>
          <w:szCs w:val="22"/>
          <w:lang w:val="en-CA"/>
        </w:rPr>
        <mc:AlternateContent>
          <mc:Choice Requires="wps">
            <w:drawing>
              <wp:anchor distT="0" distB="22225" distL="63500" distR="880110" simplePos="0" relativeHeight="251659264" behindDoc="1" locked="0" layoutInCell="1" allowOverlap="1" wp14:anchorId="1DCB9C81" wp14:editId="273FCE7E">
                <wp:simplePos x="0" y="0"/>
                <wp:positionH relativeFrom="margin">
                  <wp:posOffset>462280</wp:posOffset>
                </wp:positionH>
                <wp:positionV relativeFrom="paragraph">
                  <wp:posOffset>13970</wp:posOffset>
                </wp:positionV>
                <wp:extent cx="1416050" cy="796290"/>
                <wp:effectExtent l="0" t="0" r="12700" b="0"/>
                <wp:wrapSquare wrapText="r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E7C7" w14:textId="77777777" w:rsidR="00CF0E5B" w:rsidRPr="00B16780" w:rsidRDefault="00CF0E5B" w:rsidP="00CF0E5B">
                            <w:r w:rsidRPr="00B16780">
                              <w:rPr>
                                <w:rStyle w:val="Corpsdutexte4Exact"/>
                                <w:sz w:val="22"/>
                                <w:szCs w:val="22"/>
                              </w:rPr>
                              <w:t>Adresse :</w:t>
                            </w:r>
                          </w:p>
                          <w:p w14:paraId="585B9A47" w14:textId="77777777" w:rsidR="00CF0E5B" w:rsidRDefault="00CF0E5B" w:rsidP="00CF0E5B">
                            <w:pPr>
                              <w:rPr>
                                <w:rStyle w:val="Corpsdutexte4Exact"/>
                                <w:sz w:val="22"/>
                                <w:szCs w:val="22"/>
                              </w:rPr>
                            </w:pPr>
                            <w:r w:rsidRPr="00B16780">
                              <w:rPr>
                                <w:rStyle w:val="Corpsdutexte4Exact"/>
                                <w:sz w:val="22"/>
                                <w:szCs w:val="22"/>
                              </w:rPr>
                              <w:t>Superficie</w:t>
                            </w:r>
                            <w:r w:rsidRPr="00B16780">
                              <w:rPr>
                                <w:rStyle w:val="Corpsdutexte4Exact"/>
                              </w:rPr>
                              <w:t xml:space="preserve"> </w:t>
                            </w:r>
                            <w:r w:rsidRPr="00B16780">
                              <w:rPr>
                                <w:rStyle w:val="Corpsdutexte4Exact"/>
                                <w:sz w:val="22"/>
                                <w:szCs w:val="22"/>
                              </w:rPr>
                              <w:t>totale :</w:t>
                            </w:r>
                            <w:r w:rsidRPr="00B16780">
                              <w:rPr>
                                <w:rStyle w:val="Corpsdutexte4Exact"/>
                              </w:rPr>
                              <w:t xml:space="preserve"> </w:t>
                            </w:r>
                            <w:r w:rsidRPr="00B16780">
                              <w:rPr>
                                <w:rStyle w:val="Corpsdutexte4Exact"/>
                                <w:sz w:val="22"/>
                                <w:szCs w:val="22"/>
                              </w:rPr>
                              <w:t>Superficie</w:t>
                            </w:r>
                            <w:r w:rsidRPr="00B16780">
                              <w:rPr>
                                <w:rStyle w:val="Corpsdutexte4Exact"/>
                              </w:rPr>
                              <w:t xml:space="preserve"> </w:t>
                            </w:r>
                            <w:r w:rsidRPr="00B16780">
                              <w:rPr>
                                <w:rStyle w:val="Corpsdutexte4Exact"/>
                                <w:sz w:val="22"/>
                                <w:szCs w:val="22"/>
                              </w:rPr>
                              <w:t>locative :</w:t>
                            </w:r>
                            <w:r w:rsidRPr="00B16780">
                              <w:rPr>
                                <w:rStyle w:val="Corpsdutexte4Exact"/>
                              </w:rPr>
                              <w:t xml:space="preserve"> </w:t>
                            </w:r>
                            <w:r w:rsidRPr="00B16780">
                              <w:rPr>
                                <w:rStyle w:val="Corpsdutexte4Exact"/>
                                <w:sz w:val="22"/>
                                <w:szCs w:val="22"/>
                              </w:rPr>
                              <w:t>Terme :</w:t>
                            </w:r>
                          </w:p>
                          <w:p w14:paraId="4D3A7F97" w14:textId="77777777" w:rsidR="00CF0E5B" w:rsidRDefault="00CF0E5B" w:rsidP="00CF0E5B">
                            <w:r w:rsidRPr="00B16780">
                              <w:rPr>
                                <w:rStyle w:val="Corpsdutexte4Exact"/>
                                <w:sz w:val="22"/>
                                <w:szCs w:val="22"/>
                              </w:rPr>
                              <w:t>Début</w:t>
                            </w:r>
                            <w:r w:rsidRPr="00B16780">
                              <w:rPr>
                                <w:rStyle w:val="Corpsdutexte4Exact"/>
                              </w:rPr>
                              <w:t xml:space="preserve"> </w:t>
                            </w:r>
                            <w:r w:rsidRPr="00B16780">
                              <w:rPr>
                                <w:rStyle w:val="Corpsdutexte4Exact"/>
                                <w:sz w:val="22"/>
                                <w:szCs w:val="22"/>
                              </w:rPr>
                              <w:t>du</w:t>
                            </w:r>
                            <w:r w:rsidRPr="00B16780">
                              <w:rPr>
                                <w:rStyle w:val="Corpsdutexte4Exact"/>
                              </w:rPr>
                              <w:t xml:space="preserve"> </w:t>
                            </w:r>
                            <w:r w:rsidRPr="00B16780">
                              <w:rPr>
                                <w:rStyle w:val="Corpsdutexte4Exact"/>
                                <w:sz w:val="22"/>
                                <w:szCs w:val="22"/>
                              </w:rPr>
                              <w:t>terme :</w:t>
                            </w:r>
                            <w:r w:rsidRPr="00B16780">
                              <w:rPr>
                                <w:rStyle w:val="Corpsdutexte4Exact"/>
                              </w:rPr>
                              <w:t xml:space="preserve"> </w:t>
                            </w:r>
                            <w:r w:rsidRPr="00B16780">
                              <w:rPr>
                                <w:rStyle w:val="Corpsdutexte4Exact"/>
                                <w:sz w:val="22"/>
                                <w:szCs w:val="22"/>
                              </w:rPr>
                              <w:t>Loyer</w:t>
                            </w:r>
                            <w:r w:rsidRPr="00B16780">
                              <w:rPr>
                                <w:rStyle w:val="Corpsdutexte4Exact"/>
                              </w:rPr>
                              <w:t xml:space="preserve"> </w:t>
                            </w:r>
                            <w:r w:rsidRPr="00B16780">
                              <w:rPr>
                                <w:rStyle w:val="Corpsdutexte4Exact"/>
                                <w:sz w:val="22"/>
                                <w:szCs w:val="22"/>
                              </w:rPr>
                              <w:t>de</w:t>
                            </w:r>
                            <w:r w:rsidRPr="00B16780">
                              <w:rPr>
                                <w:rStyle w:val="Corpsdutexte4Exact"/>
                              </w:rPr>
                              <w:t xml:space="preserve"> </w:t>
                            </w:r>
                            <w:r w:rsidRPr="00B16780">
                              <w:rPr>
                                <w:rStyle w:val="Corpsdutexte4Exact"/>
                                <w:sz w:val="22"/>
                                <w:szCs w:val="22"/>
                              </w:rPr>
                              <w:t>base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B9C81" id="_x0000_t202" coordsize="21600,21600" o:spt="202" path="m,l,21600r21600,l21600,xe">
                <v:stroke joinstyle="miter"/>
                <v:path gradientshapeok="t" o:connecttype="rect"/>
              </v:shapetype>
              <v:shape id="Zone de texte 2" o:spid="_x0000_s1026" type="#_x0000_t202" style="position:absolute;margin-left:36.4pt;margin-top:1.1pt;width:111.5pt;height:62.7pt;z-index:-251657216;visibility:visible;mso-wrap-style:square;mso-width-percent:0;mso-height-percent:0;mso-wrap-distance-left:5pt;mso-wrap-distance-top:0;mso-wrap-distance-right:69.3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" filled="f" stroked="f">
                <v:textbox style="mso-fit-shape-to-text:t" inset="0,0,0,0">
                  <w:txbxContent>
                    <w:p w14:paraId="55AFE7C7" w14:textId="77777777" w:rsidR="00CF0E5B" w:rsidRPr="00B16780" w:rsidRDefault="00CF0E5B" w:rsidP="00CF0E5B">
                      <w:r w:rsidRPr="00B16780">
                        <w:rPr>
                          <w:rStyle w:val="Corpsdutexte4Exact"/>
                          <w:sz w:val="22"/>
                          <w:szCs w:val="22"/>
                        </w:rPr>
                        <w:t>Adresse :</w:t>
                      </w:r>
                    </w:p>
                    <w:p w14:paraId="585B9A47" w14:textId="77777777" w:rsidR="00CF0E5B" w:rsidRDefault="00CF0E5B" w:rsidP="00CF0E5B">
                      <w:pPr>
                        <w:rPr>
                          <w:rStyle w:val="Corpsdutexte4Exact"/>
                          <w:sz w:val="22"/>
                          <w:szCs w:val="22"/>
                        </w:rPr>
                      </w:pPr>
                      <w:r w:rsidRPr="00B16780">
                        <w:rPr>
                          <w:rStyle w:val="Corpsdutexte4Exact"/>
                          <w:sz w:val="22"/>
                          <w:szCs w:val="22"/>
                        </w:rPr>
                        <w:t>Superficie</w:t>
                      </w:r>
                      <w:r w:rsidRPr="00B16780">
                        <w:rPr>
                          <w:rStyle w:val="Corpsdutexte4Exact"/>
                        </w:rPr>
                        <w:t xml:space="preserve"> </w:t>
                      </w:r>
                      <w:r w:rsidRPr="00B16780">
                        <w:rPr>
                          <w:rStyle w:val="Corpsdutexte4Exact"/>
                          <w:sz w:val="22"/>
                          <w:szCs w:val="22"/>
                        </w:rPr>
                        <w:t>totale :</w:t>
                      </w:r>
                      <w:r w:rsidRPr="00B16780">
                        <w:rPr>
                          <w:rStyle w:val="Corpsdutexte4Exact"/>
                        </w:rPr>
                        <w:t xml:space="preserve"> </w:t>
                      </w:r>
                      <w:r w:rsidRPr="00B16780">
                        <w:rPr>
                          <w:rStyle w:val="Corpsdutexte4Exact"/>
                          <w:sz w:val="22"/>
                          <w:szCs w:val="22"/>
                        </w:rPr>
                        <w:t>Superficie</w:t>
                      </w:r>
                      <w:r w:rsidRPr="00B16780">
                        <w:rPr>
                          <w:rStyle w:val="Corpsdutexte4Exact"/>
                        </w:rPr>
                        <w:t xml:space="preserve"> </w:t>
                      </w:r>
                      <w:r w:rsidRPr="00B16780">
                        <w:rPr>
                          <w:rStyle w:val="Corpsdutexte4Exact"/>
                          <w:sz w:val="22"/>
                          <w:szCs w:val="22"/>
                        </w:rPr>
                        <w:t>locative :</w:t>
                      </w:r>
                      <w:r w:rsidRPr="00B16780">
                        <w:rPr>
                          <w:rStyle w:val="Corpsdutexte4Exact"/>
                        </w:rPr>
                        <w:t xml:space="preserve"> </w:t>
                      </w:r>
                      <w:r w:rsidRPr="00B16780">
                        <w:rPr>
                          <w:rStyle w:val="Corpsdutexte4Exact"/>
                          <w:sz w:val="22"/>
                          <w:szCs w:val="22"/>
                        </w:rPr>
                        <w:t>Terme :</w:t>
                      </w:r>
                    </w:p>
                    <w:p w14:paraId="4D3A7F97" w14:textId="77777777" w:rsidR="00CF0E5B" w:rsidRDefault="00CF0E5B" w:rsidP="00CF0E5B">
                      <w:r w:rsidRPr="00B16780">
                        <w:rPr>
                          <w:rStyle w:val="Corpsdutexte4Exact"/>
                          <w:sz w:val="22"/>
                          <w:szCs w:val="22"/>
                        </w:rPr>
                        <w:t>Début</w:t>
                      </w:r>
                      <w:r w:rsidRPr="00B16780">
                        <w:rPr>
                          <w:rStyle w:val="Corpsdutexte4Exact"/>
                        </w:rPr>
                        <w:t xml:space="preserve"> </w:t>
                      </w:r>
                      <w:r w:rsidRPr="00B16780">
                        <w:rPr>
                          <w:rStyle w:val="Corpsdutexte4Exact"/>
                          <w:sz w:val="22"/>
                          <w:szCs w:val="22"/>
                        </w:rPr>
                        <w:t>du</w:t>
                      </w:r>
                      <w:r w:rsidRPr="00B16780">
                        <w:rPr>
                          <w:rStyle w:val="Corpsdutexte4Exact"/>
                        </w:rPr>
                        <w:t xml:space="preserve"> </w:t>
                      </w:r>
                      <w:r w:rsidRPr="00B16780">
                        <w:rPr>
                          <w:rStyle w:val="Corpsdutexte4Exact"/>
                          <w:sz w:val="22"/>
                          <w:szCs w:val="22"/>
                        </w:rPr>
                        <w:t>terme :</w:t>
                      </w:r>
                      <w:r w:rsidRPr="00B16780">
                        <w:rPr>
                          <w:rStyle w:val="Corpsdutexte4Exact"/>
                        </w:rPr>
                        <w:t xml:space="preserve"> </w:t>
                      </w:r>
                      <w:r w:rsidRPr="00B16780">
                        <w:rPr>
                          <w:rStyle w:val="Corpsdutexte4Exact"/>
                          <w:sz w:val="22"/>
                          <w:szCs w:val="22"/>
                        </w:rPr>
                        <w:t>Loyer</w:t>
                      </w:r>
                      <w:r w:rsidRPr="00B16780">
                        <w:rPr>
                          <w:rStyle w:val="Corpsdutexte4Exact"/>
                        </w:rPr>
                        <w:t xml:space="preserve"> </w:t>
                      </w:r>
                      <w:r w:rsidRPr="00B16780">
                        <w:rPr>
                          <w:rStyle w:val="Corpsdutexte4Exact"/>
                          <w:sz w:val="22"/>
                          <w:szCs w:val="22"/>
                        </w:rPr>
                        <w:t>de</w:t>
                      </w:r>
                      <w:r w:rsidRPr="00B16780">
                        <w:rPr>
                          <w:rStyle w:val="Corpsdutexte4Exact"/>
                        </w:rPr>
                        <w:t xml:space="preserve"> </w:t>
                      </w:r>
                      <w:r w:rsidRPr="00B16780">
                        <w:rPr>
                          <w:rStyle w:val="Corpsdutexte4Exact"/>
                          <w:sz w:val="22"/>
                          <w:szCs w:val="22"/>
                        </w:rPr>
                        <w:t>base :</w:t>
                      </w:r>
                    </w:p>
                  </w:txbxContent>
                </v:textbox>
                <w10:wrap type="square" side="right" anchorx="margin"/>
              </v:shape>
            </w:pict>
          </mc:Fallback>
        </mc:AlternateContent>
      </w:r>
      <w:r w:rsidRPr="002E35B4">
        <w:rPr>
          <w:rStyle w:val="Corpsdutexte20"/>
          <w:sz w:val="22"/>
          <w:szCs w:val="22"/>
          <w:lang w:val="fr-CA"/>
        </w:rPr>
        <w:t>2177, 23</w:t>
      </w:r>
      <w:r w:rsidRPr="002E35B4">
        <w:rPr>
          <w:rStyle w:val="Corpsdutexte20"/>
          <w:sz w:val="22"/>
          <w:szCs w:val="22"/>
          <w:vertAlign w:val="superscript"/>
          <w:lang w:val="fr-CA"/>
        </w:rPr>
        <w:t>e</w:t>
      </w:r>
      <w:r w:rsidRPr="002E35B4">
        <w:rPr>
          <w:rStyle w:val="Corpsdutexte20"/>
          <w:sz w:val="22"/>
          <w:szCs w:val="22"/>
          <w:lang w:val="fr-CA"/>
        </w:rPr>
        <w:t xml:space="preserve"> avenue, Montréal, QC 220 554 pieds carrés                 200 000 pieds carrés                   60 mois                                          1</w:t>
      </w:r>
      <w:r w:rsidRPr="002E35B4">
        <w:rPr>
          <w:rStyle w:val="Corpsdutexte20"/>
          <w:sz w:val="22"/>
          <w:szCs w:val="22"/>
          <w:vertAlign w:val="superscript"/>
          <w:lang w:val="fr-CA"/>
        </w:rPr>
        <w:t>er</w:t>
      </w:r>
      <w:r w:rsidRPr="002E35B4">
        <w:rPr>
          <w:rStyle w:val="Corpsdutexte20"/>
          <w:sz w:val="22"/>
          <w:szCs w:val="22"/>
          <w:lang w:val="fr-CA"/>
        </w:rPr>
        <w:t> janvier 2023</w:t>
      </w:r>
    </w:p>
    <w:p w14:paraId="1E5AED91" w14:textId="77777777" w:rsidR="00CF0E5B" w:rsidRPr="002E35B4" w:rsidRDefault="00CF0E5B" w:rsidP="00CF0E5B">
      <w:pPr>
        <w:spacing w:before="120" w:after="120"/>
        <w:ind w:right="2880"/>
        <w:jc w:val="center"/>
        <w:rPr>
          <w:sz w:val="22"/>
          <w:szCs w:val="22"/>
        </w:rPr>
      </w:pPr>
    </w:p>
    <w:tbl>
      <w:tblPr>
        <w:tblOverlap w:val="never"/>
        <w:tblW w:w="7933"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33"/>
      </w:tblGrid>
      <w:tr w:rsidR="00CF0E5B" w:rsidRPr="00700A2E" w14:paraId="5D4E28F1" w14:textId="77777777" w:rsidTr="00E8282E">
        <w:trPr>
          <w:trHeight w:hRule="exact" w:val="436"/>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bottom"/>
          </w:tcPr>
          <w:p w14:paraId="21588E0C" w14:textId="77777777" w:rsidR="00CF0E5B" w:rsidRPr="002E35B4" w:rsidRDefault="00CF0E5B" w:rsidP="00E8282E">
            <w:pPr>
              <w:framePr w:w="7921" w:wrap="around" w:vAnchor="text" w:hAnchor="page" w:x="2604" w:y="1"/>
              <w:jc w:val="center"/>
              <w:rPr>
                <w:rFonts w:eastAsia="Arial" w:cs="Arial"/>
                <w:b/>
                <w:bCs/>
                <w:color w:val="242423"/>
                <w:sz w:val="22"/>
                <w:szCs w:val="22"/>
                <w:lang w:bidi="fr-FR"/>
              </w:rPr>
            </w:pPr>
            <w:r w:rsidRPr="002E35B4">
              <w:rPr>
                <w:rFonts w:eastAsia="Arial" w:cs="Arial"/>
                <w:b/>
                <w:bCs/>
                <w:color w:val="242423"/>
                <w:sz w:val="22"/>
                <w:szCs w:val="22"/>
                <w:lang w:bidi="fr-FR"/>
              </w:rPr>
              <w:t>Loyer de base calculé sur 200 000 pieds carrés</w:t>
            </w:r>
          </w:p>
        </w:tc>
      </w:tr>
    </w:tbl>
    <w:tbl>
      <w:tblPr>
        <w:tblStyle w:val="Grilledutableau"/>
        <w:tblW w:w="0" w:type="auto"/>
        <w:tblInd w:w="720" w:type="dxa"/>
        <w:tblLook w:val="04A0" w:firstRow="1" w:lastRow="0" w:firstColumn="1" w:lastColumn="0" w:noHBand="0" w:noVBand="1"/>
      </w:tblPr>
      <w:tblGrid>
        <w:gridCol w:w="2819"/>
        <w:gridCol w:w="1559"/>
        <w:gridCol w:w="1701"/>
        <w:gridCol w:w="1843"/>
      </w:tblGrid>
      <w:tr w:rsidR="00CF0E5B" w:rsidRPr="00700A2E" w14:paraId="61FFF96A" w14:textId="77777777" w:rsidTr="00E8282E">
        <w:tc>
          <w:tcPr>
            <w:tcW w:w="2819" w:type="dxa"/>
            <w:vAlign w:val="center"/>
          </w:tcPr>
          <w:p w14:paraId="1A858370" w14:textId="77777777" w:rsidR="00CF0E5B" w:rsidRPr="00700A2E" w:rsidRDefault="00CF0E5B" w:rsidP="00E8282E">
            <w:pPr>
              <w:pStyle w:val="Citationenretrait"/>
              <w:ind w:left="-121" w:right="-107"/>
              <w:jc w:val="center"/>
              <w:rPr>
                <w:b/>
                <w:bCs/>
                <w:lang w:val="en-CA"/>
              </w:rPr>
            </w:pPr>
            <w:proofErr w:type="spellStart"/>
            <w:r w:rsidRPr="00700A2E">
              <w:rPr>
                <w:b/>
                <w:bCs/>
                <w:lang w:val="en-CA"/>
              </w:rPr>
              <w:t>Période</w:t>
            </w:r>
            <w:proofErr w:type="spellEnd"/>
          </w:p>
        </w:tc>
        <w:tc>
          <w:tcPr>
            <w:tcW w:w="1559" w:type="dxa"/>
          </w:tcPr>
          <w:p w14:paraId="0F102A05" w14:textId="77777777" w:rsidR="00CF0E5B" w:rsidRPr="002E35B4" w:rsidRDefault="00CF0E5B" w:rsidP="00E8282E">
            <w:pPr>
              <w:pStyle w:val="Citationenretrait"/>
              <w:spacing w:before="0" w:after="0"/>
              <w:ind w:left="-113" w:right="-108"/>
              <w:jc w:val="center"/>
              <w:rPr>
                <w:b/>
                <w:bCs/>
              </w:rPr>
            </w:pPr>
            <w:r w:rsidRPr="002E35B4">
              <w:rPr>
                <w:b/>
                <w:bCs/>
              </w:rPr>
              <w:t>Loyer de base par pied carré par année</w:t>
            </w:r>
          </w:p>
        </w:tc>
        <w:tc>
          <w:tcPr>
            <w:tcW w:w="1701" w:type="dxa"/>
          </w:tcPr>
          <w:p w14:paraId="7A28BC7B" w14:textId="77777777" w:rsidR="00CF0E5B" w:rsidRPr="00700A2E" w:rsidRDefault="00CF0E5B" w:rsidP="00E8282E">
            <w:pPr>
              <w:pStyle w:val="Citationenretrait"/>
              <w:ind w:left="-112" w:right="-107"/>
              <w:jc w:val="center"/>
              <w:rPr>
                <w:b/>
                <w:bCs/>
                <w:lang w:val="en-CA"/>
              </w:rPr>
            </w:pPr>
            <w:proofErr w:type="spellStart"/>
            <w:r w:rsidRPr="00700A2E">
              <w:rPr>
                <w:b/>
                <w:bCs/>
                <w:lang w:val="en-CA"/>
              </w:rPr>
              <w:t>Loyer</w:t>
            </w:r>
            <w:proofErr w:type="spellEnd"/>
            <w:r w:rsidRPr="00700A2E">
              <w:rPr>
                <w:b/>
                <w:bCs/>
                <w:lang w:val="en-CA"/>
              </w:rPr>
              <w:t xml:space="preserve"> de base </w:t>
            </w:r>
            <w:proofErr w:type="spellStart"/>
            <w:r w:rsidRPr="00700A2E">
              <w:rPr>
                <w:b/>
                <w:bCs/>
                <w:lang w:val="en-CA"/>
              </w:rPr>
              <w:t>mensuel</w:t>
            </w:r>
            <w:proofErr w:type="spellEnd"/>
          </w:p>
        </w:tc>
        <w:tc>
          <w:tcPr>
            <w:tcW w:w="1843" w:type="dxa"/>
          </w:tcPr>
          <w:p w14:paraId="07D3C382" w14:textId="77777777" w:rsidR="00CF0E5B" w:rsidRPr="00700A2E" w:rsidRDefault="00CF0E5B" w:rsidP="00E8282E">
            <w:pPr>
              <w:pStyle w:val="Citationenretrait"/>
              <w:ind w:left="-113" w:right="-106"/>
              <w:jc w:val="center"/>
              <w:rPr>
                <w:b/>
                <w:bCs/>
                <w:lang w:val="en-CA"/>
              </w:rPr>
            </w:pPr>
            <w:proofErr w:type="spellStart"/>
            <w:r w:rsidRPr="00700A2E">
              <w:rPr>
                <w:b/>
                <w:bCs/>
                <w:lang w:val="en-CA"/>
              </w:rPr>
              <w:t>Loyer</w:t>
            </w:r>
            <w:proofErr w:type="spellEnd"/>
            <w:r w:rsidRPr="00700A2E">
              <w:rPr>
                <w:b/>
                <w:bCs/>
                <w:lang w:val="en-CA"/>
              </w:rPr>
              <w:t xml:space="preserve"> de base </w:t>
            </w:r>
            <w:proofErr w:type="spellStart"/>
            <w:r w:rsidRPr="00700A2E">
              <w:rPr>
                <w:b/>
                <w:bCs/>
                <w:lang w:val="en-CA"/>
              </w:rPr>
              <w:t>annuel</w:t>
            </w:r>
            <w:proofErr w:type="spellEnd"/>
          </w:p>
        </w:tc>
      </w:tr>
      <w:tr w:rsidR="00CF0E5B" w:rsidRPr="00700A2E" w14:paraId="4FAEBD7E" w14:textId="77777777" w:rsidTr="00E8282E">
        <w:trPr>
          <w:trHeight w:val="722"/>
        </w:trPr>
        <w:tc>
          <w:tcPr>
            <w:tcW w:w="2819" w:type="dxa"/>
            <w:vAlign w:val="center"/>
          </w:tcPr>
          <w:p w14:paraId="34103146" w14:textId="77777777" w:rsidR="00CF0E5B" w:rsidRPr="00700A2E" w:rsidRDefault="00CF0E5B" w:rsidP="00E8282E">
            <w:pPr>
              <w:pStyle w:val="Citationenretrait"/>
              <w:spacing w:before="0" w:after="0"/>
              <w:ind w:left="-121" w:right="-111"/>
              <w:jc w:val="center"/>
              <w:rPr>
                <w:lang w:val="en-CA"/>
              </w:rPr>
            </w:pPr>
            <w:r w:rsidRPr="00700A2E">
              <w:rPr>
                <w:lang w:val="en-CA"/>
              </w:rPr>
              <w:t>1</w:t>
            </w:r>
            <w:r w:rsidRPr="00700A2E">
              <w:rPr>
                <w:vertAlign w:val="superscript"/>
                <w:lang w:val="en-CA"/>
              </w:rPr>
              <w:t>er</w:t>
            </w:r>
            <w:r w:rsidRPr="00700A2E">
              <w:rPr>
                <w:lang w:val="en-CA"/>
              </w:rPr>
              <w:t xml:space="preserve"> </w:t>
            </w:r>
            <w:proofErr w:type="spellStart"/>
            <w:r w:rsidRPr="00700A2E">
              <w:rPr>
                <w:lang w:val="en-CA"/>
              </w:rPr>
              <w:t>janvier</w:t>
            </w:r>
            <w:proofErr w:type="spellEnd"/>
            <w:r w:rsidRPr="00700A2E">
              <w:rPr>
                <w:lang w:val="en-CA"/>
              </w:rPr>
              <w:t xml:space="preserve"> 2023 au</w:t>
            </w:r>
          </w:p>
          <w:p w14:paraId="6C3F1521" w14:textId="77777777" w:rsidR="00CF0E5B" w:rsidRPr="00700A2E" w:rsidRDefault="00CF0E5B" w:rsidP="00E8282E">
            <w:pPr>
              <w:pStyle w:val="Citationenretrait"/>
              <w:spacing w:before="0" w:after="0"/>
              <w:ind w:left="-121" w:right="-111"/>
              <w:jc w:val="center"/>
              <w:rPr>
                <w:lang w:val="en-CA"/>
              </w:rPr>
            </w:pPr>
            <w:r w:rsidRPr="00700A2E">
              <w:rPr>
                <w:lang w:val="en-CA"/>
              </w:rPr>
              <w:t xml:space="preserve"> 31 </w:t>
            </w:r>
            <w:proofErr w:type="spellStart"/>
            <w:r w:rsidRPr="00700A2E">
              <w:rPr>
                <w:lang w:val="en-CA"/>
              </w:rPr>
              <w:t>décembre</w:t>
            </w:r>
            <w:proofErr w:type="spellEnd"/>
            <w:r w:rsidRPr="00700A2E">
              <w:rPr>
                <w:lang w:val="en-CA"/>
              </w:rPr>
              <w:t xml:space="preserve"> 2024</w:t>
            </w:r>
          </w:p>
        </w:tc>
        <w:tc>
          <w:tcPr>
            <w:tcW w:w="1559" w:type="dxa"/>
            <w:vAlign w:val="center"/>
          </w:tcPr>
          <w:p w14:paraId="4B1A96DD" w14:textId="77777777" w:rsidR="00CF0E5B" w:rsidRPr="00700A2E" w:rsidRDefault="00CF0E5B" w:rsidP="00E8282E">
            <w:pPr>
              <w:pStyle w:val="Citationenretrait"/>
              <w:spacing w:before="0" w:after="0"/>
              <w:ind w:left="-109" w:right="-106"/>
              <w:jc w:val="center"/>
              <w:rPr>
                <w:lang w:val="en-CA"/>
              </w:rPr>
            </w:pPr>
            <w:r w:rsidRPr="00700A2E">
              <w:rPr>
                <w:lang w:val="en-CA"/>
              </w:rPr>
              <w:t>9,25 $</w:t>
            </w:r>
          </w:p>
        </w:tc>
        <w:tc>
          <w:tcPr>
            <w:tcW w:w="1701" w:type="dxa"/>
            <w:vAlign w:val="center"/>
          </w:tcPr>
          <w:p w14:paraId="561A6A22" w14:textId="77777777" w:rsidR="00CF0E5B" w:rsidRPr="00700A2E" w:rsidRDefault="00CF0E5B" w:rsidP="00E8282E">
            <w:pPr>
              <w:pStyle w:val="Citationenretrait"/>
              <w:spacing w:before="0" w:after="0"/>
              <w:ind w:left="-104" w:right="-106"/>
              <w:jc w:val="center"/>
              <w:rPr>
                <w:lang w:val="en-CA"/>
              </w:rPr>
            </w:pPr>
            <w:r w:rsidRPr="00700A2E">
              <w:rPr>
                <w:lang w:val="en-CA"/>
              </w:rPr>
              <w:t>154 166,67 $</w:t>
            </w:r>
          </w:p>
        </w:tc>
        <w:tc>
          <w:tcPr>
            <w:tcW w:w="1843" w:type="dxa"/>
            <w:vAlign w:val="center"/>
          </w:tcPr>
          <w:p w14:paraId="4E668FFD" w14:textId="77777777" w:rsidR="00CF0E5B" w:rsidRPr="00700A2E" w:rsidRDefault="00CF0E5B" w:rsidP="00E8282E">
            <w:pPr>
              <w:pStyle w:val="Citationenretrait"/>
              <w:spacing w:before="0" w:after="0"/>
              <w:ind w:left="-104" w:right="-105"/>
              <w:jc w:val="center"/>
              <w:rPr>
                <w:lang w:val="en-CA"/>
              </w:rPr>
            </w:pPr>
            <w:r w:rsidRPr="00700A2E">
              <w:rPr>
                <w:lang w:val="en-CA"/>
              </w:rPr>
              <w:t>1 850 000,00 $</w:t>
            </w:r>
          </w:p>
        </w:tc>
      </w:tr>
      <w:tr w:rsidR="00CF0E5B" w:rsidRPr="00700A2E" w14:paraId="22B6BF1A" w14:textId="77777777" w:rsidTr="00E8282E">
        <w:trPr>
          <w:trHeight w:val="704"/>
        </w:trPr>
        <w:tc>
          <w:tcPr>
            <w:tcW w:w="2819" w:type="dxa"/>
            <w:vAlign w:val="center"/>
          </w:tcPr>
          <w:p w14:paraId="7DA869C7" w14:textId="77777777" w:rsidR="00CF0E5B" w:rsidRPr="00700A2E" w:rsidRDefault="00CF0E5B" w:rsidP="00E8282E">
            <w:pPr>
              <w:pStyle w:val="Citationenretrait"/>
              <w:spacing w:before="0" w:after="0"/>
              <w:ind w:left="-121" w:right="-111"/>
              <w:jc w:val="center"/>
              <w:rPr>
                <w:lang w:val="en-CA"/>
              </w:rPr>
            </w:pPr>
            <w:r w:rsidRPr="00700A2E">
              <w:rPr>
                <w:lang w:val="en-CA"/>
              </w:rPr>
              <w:t>1</w:t>
            </w:r>
            <w:r w:rsidRPr="00700A2E">
              <w:rPr>
                <w:vertAlign w:val="superscript"/>
                <w:lang w:val="en-CA"/>
              </w:rPr>
              <w:t>er</w:t>
            </w:r>
            <w:r w:rsidRPr="00700A2E">
              <w:rPr>
                <w:lang w:val="en-CA"/>
              </w:rPr>
              <w:t xml:space="preserve"> </w:t>
            </w:r>
            <w:proofErr w:type="spellStart"/>
            <w:r w:rsidRPr="00700A2E">
              <w:rPr>
                <w:lang w:val="en-CA"/>
              </w:rPr>
              <w:t>janvier</w:t>
            </w:r>
            <w:proofErr w:type="spellEnd"/>
            <w:r w:rsidRPr="00700A2E">
              <w:rPr>
                <w:lang w:val="en-CA"/>
              </w:rPr>
              <w:t xml:space="preserve"> 2025 au</w:t>
            </w:r>
          </w:p>
          <w:p w14:paraId="40EF03C9" w14:textId="77777777" w:rsidR="00CF0E5B" w:rsidRPr="00700A2E" w:rsidRDefault="00CF0E5B" w:rsidP="00E8282E">
            <w:pPr>
              <w:pStyle w:val="Citationenretrait"/>
              <w:spacing w:before="0" w:after="0"/>
              <w:ind w:left="-121" w:right="-111"/>
              <w:jc w:val="center"/>
              <w:rPr>
                <w:lang w:val="en-CA"/>
              </w:rPr>
            </w:pPr>
            <w:r w:rsidRPr="00700A2E">
              <w:rPr>
                <w:lang w:val="en-CA"/>
              </w:rPr>
              <w:t xml:space="preserve">31 </w:t>
            </w:r>
            <w:proofErr w:type="spellStart"/>
            <w:r w:rsidRPr="00700A2E">
              <w:rPr>
                <w:lang w:val="en-CA"/>
              </w:rPr>
              <w:t>décembre</w:t>
            </w:r>
            <w:proofErr w:type="spellEnd"/>
            <w:r w:rsidRPr="00700A2E">
              <w:rPr>
                <w:lang w:val="en-CA"/>
              </w:rPr>
              <w:t xml:space="preserve"> 2025</w:t>
            </w:r>
          </w:p>
        </w:tc>
        <w:tc>
          <w:tcPr>
            <w:tcW w:w="1559" w:type="dxa"/>
            <w:vAlign w:val="center"/>
          </w:tcPr>
          <w:p w14:paraId="2C70FFAD" w14:textId="77777777" w:rsidR="00CF0E5B" w:rsidRPr="00700A2E" w:rsidRDefault="00CF0E5B" w:rsidP="00E8282E">
            <w:pPr>
              <w:pStyle w:val="Citationenretrait"/>
              <w:spacing w:before="0" w:after="0"/>
              <w:ind w:left="-109" w:right="-106"/>
              <w:jc w:val="center"/>
              <w:rPr>
                <w:lang w:val="en-CA"/>
              </w:rPr>
            </w:pPr>
            <w:r w:rsidRPr="00700A2E">
              <w:rPr>
                <w:lang w:val="en-CA"/>
              </w:rPr>
              <w:t>9,50 $</w:t>
            </w:r>
          </w:p>
        </w:tc>
        <w:tc>
          <w:tcPr>
            <w:tcW w:w="1701" w:type="dxa"/>
            <w:vAlign w:val="center"/>
          </w:tcPr>
          <w:p w14:paraId="060D5888" w14:textId="77777777" w:rsidR="00CF0E5B" w:rsidRPr="00700A2E" w:rsidRDefault="00CF0E5B" w:rsidP="00E8282E">
            <w:pPr>
              <w:pStyle w:val="Citationenretrait"/>
              <w:spacing w:before="0" w:after="0"/>
              <w:ind w:left="-104" w:right="-106"/>
              <w:jc w:val="center"/>
              <w:rPr>
                <w:lang w:val="en-CA"/>
              </w:rPr>
            </w:pPr>
            <w:r w:rsidRPr="00700A2E">
              <w:rPr>
                <w:lang w:val="en-CA"/>
              </w:rPr>
              <w:t>158 333,33 $</w:t>
            </w:r>
          </w:p>
        </w:tc>
        <w:tc>
          <w:tcPr>
            <w:tcW w:w="1843" w:type="dxa"/>
            <w:vAlign w:val="center"/>
          </w:tcPr>
          <w:p w14:paraId="490A143A" w14:textId="77777777" w:rsidR="00CF0E5B" w:rsidRPr="00700A2E" w:rsidRDefault="00CF0E5B" w:rsidP="00E8282E">
            <w:pPr>
              <w:pStyle w:val="Citationenretrait"/>
              <w:spacing w:before="0" w:after="0"/>
              <w:ind w:left="-104" w:right="-105"/>
              <w:jc w:val="center"/>
              <w:rPr>
                <w:lang w:val="en-CA"/>
              </w:rPr>
            </w:pPr>
            <w:r w:rsidRPr="00700A2E">
              <w:rPr>
                <w:lang w:val="en-CA"/>
              </w:rPr>
              <w:t>1 900 000,00 $</w:t>
            </w:r>
          </w:p>
        </w:tc>
      </w:tr>
      <w:tr w:rsidR="00CF0E5B" w:rsidRPr="00700A2E" w14:paraId="50BD2C69" w14:textId="77777777" w:rsidTr="00E8282E">
        <w:trPr>
          <w:trHeight w:val="686"/>
        </w:trPr>
        <w:tc>
          <w:tcPr>
            <w:tcW w:w="2819" w:type="dxa"/>
            <w:vAlign w:val="center"/>
          </w:tcPr>
          <w:p w14:paraId="57CE0D9A" w14:textId="77777777" w:rsidR="00CF0E5B" w:rsidRPr="00700A2E" w:rsidRDefault="00CF0E5B" w:rsidP="00E8282E">
            <w:pPr>
              <w:pStyle w:val="Citationenretrait"/>
              <w:spacing w:before="0" w:after="0"/>
              <w:ind w:left="-121" w:right="-111"/>
              <w:jc w:val="center"/>
              <w:rPr>
                <w:lang w:val="en-CA"/>
              </w:rPr>
            </w:pPr>
            <w:r w:rsidRPr="00700A2E">
              <w:rPr>
                <w:lang w:val="en-CA"/>
              </w:rPr>
              <w:t>1</w:t>
            </w:r>
            <w:r w:rsidRPr="00700A2E">
              <w:rPr>
                <w:vertAlign w:val="superscript"/>
                <w:lang w:val="en-CA"/>
              </w:rPr>
              <w:t>er</w:t>
            </w:r>
            <w:r w:rsidRPr="00700A2E">
              <w:rPr>
                <w:lang w:val="en-CA"/>
              </w:rPr>
              <w:t xml:space="preserve"> </w:t>
            </w:r>
            <w:proofErr w:type="spellStart"/>
            <w:r w:rsidRPr="00700A2E">
              <w:rPr>
                <w:lang w:val="en-CA"/>
              </w:rPr>
              <w:t>janvier</w:t>
            </w:r>
            <w:proofErr w:type="spellEnd"/>
            <w:r w:rsidRPr="00700A2E">
              <w:rPr>
                <w:lang w:val="en-CA"/>
              </w:rPr>
              <w:t xml:space="preserve"> 2026 au </w:t>
            </w:r>
          </w:p>
          <w:p w14:paraId="16ECBFE3" w14:textId="77777777" w:rsidR="00CF0E5B" w:rsidRPr="00700A2E" w:rsidRDefault="00CF0E5B" w:rsidP="00E8282E">
            <w:pPr>
              <w:pStyle w:val="Citationenretrait"/>
              <w:spacing w:before="0" w:after="0"/>
              <w:ind w:left="-121" w:right="-111"/>
              <w:jc w:val="center"/>
              <w:rPr>
                <w:lang w:val="en-CA"/>
              </w:rPr>
            </w:pPr>
            <w:r w:rsidRPr="00700A2E">
              <w:rPr>
                <w:lang w:val="en-CA"/>
              </w:rPr>
              <w:t xml:space="preserve">31 </w:t>
            </w:r>
            <w:proofErr w:type="spellStart"/>
            <w:r w:rsidRPr="00700A2E">
              <w:rPr>
                <w:lang w:val="en-CA"/>
              </w:rPr>
              <w:t>décembre</w:t>
            </w:r>
            <w:proofErr w:type="spellEnd"/>
            <w:r w:rsidRPr="00700A2E">
              <w:rPr>
                <w:lang w:val="en-CA"/>
              </w:rPr>
              <w:t xml:space="preserve"> 2027</w:t>
            </w:r>
          </w:p>
        </w:tc>
        <w:tc>
          <w:tcPr>
            <w:tcW w:w="1559" w:type="dxa"/>
            <w:vAlign w:val="center"/>
          </w:tcPr>
          <w:p w14:paraId="138A335F" w14:textId="77777777" w:rsidR="00CF0E5B" w:rsidRPr="00700A2E" w:rsidRDefault="00CF0E5B" w:rsidP="00E8282E">
            <w:pPr>
              <w:pStyle w:val="Citationenretrait"/>
              <w:spacing w:before="0" w:after="0"/>
              <w:ind w:left="-109" w:right="-106"/>
              <w:jc w:val="center"/>
              <w:rPr>
                <w:lang w:val="en-CA"/>
              </w:rPr>
            </w:pPr>
            <w:r w:rsidRPr="00700A2E">
              <w:rPr>
                <w:lang w:val="en-CA"/>
              </w:rPr>
              <w:t>9,75 $</w:t>
            </w:r>
          </w:p>
        </w:tc>
        <w:tc>
          <w:tcPr>
            <w:tcW w:w="1701" w:type="dxa"/>
            <w:vAlign w:val="center"/>
          </w:tcPr>
          <w:p w14:paraId="37E17710" w14:textId="77777777" w:rsidR="00CF0E5B" w:rsidRPr="00700A2E" w:rsidRDefault="00CF0E5B" w:rsidP="00E8282E">
            <w:pPr>
              <w:pStyle w:val="Citationenretrait"/>
              <w:spacing w:before="0" w:after="0"/>
              <w:ind w:left="-104" w:right="-106"/>
              <w:jc w:val="center"/>
              <w:rPr>
                <w:lang w:val="en-CA"/>
              </w:rPr>
            </w:pPr>
            <w:r w:rsidRPr="00700A2E">
              <w:rPr>
                <w:lang w:val="en-CA"/>
              </w:rPr>
              <w:t>162 500,00 $</w:t>
            </w:r>
          </w:p>
        </w:tc>
        <w:tc>
          <w:tcPr>
            <w:tcW w:w="1843" w:type="dxa"/>
            <w:vAlign w:val="center"/>
          </w:tcPr>
          <w:p w14:paraId="5FA17973" w14:textId="77777777" w:rsidR="00CF0E5B" w:rsidRPr="00700A2E" w:rsidRDefault="00CF0E5B" w:rsidP="00E8282E">
            <w:pPr>
              <w:pStyle w:val="Citationenretrait"/>
              <w:spacing w:before="0" w:after="0"/>
              <w:ind w:left="-104" w:right="-105"/>
              <w:jc w:val="center"/>
              <w:rPr>
                <w:lang w:val="en-CA"/>
              </w:rPr>
            </w:pPr>
            <w:r w:rsidRPr="00700A2E">
              <w:rPr>
                <w:lang w:val="en-CA"/>
              </w:rPr>
              <w:t>1 950 000,00 $</w:t>
            </w:r>
          </w:p>
        </w:tc>
      </w:tr>
    </w:tbl>
    <w:p w14:paraId="045D86C0" w14:textId="77777777" w:rsidR="00CF0E5B" w:rsidRPr="002E35B4" w:rsidRDefault="00CF0E5B" w:rsidP="00CF0E5B">
      <w:pPr>
        <w:keepNext/>
        <w:spacing w:before="120"/>
        <w:rPr>
          <w:rStyle w:val="Lgendedutableau"/>
          <w:b w:val="0"/>
          <w:bCs w:val="0"/>
          <w:sz w:val="22"/>
          <w:szCs w:val="22"/>
          <w:lang w:val="fr-CA"/>
        </w:rPr>
      </w:pPr>
      <w:r w:rsidRPr="006B0D16">
        <w:rPr>
          <w:sz w:val="22"/>
          <w:szCs w:val="22"/>
        </w:rPr>
        <w:tab/>
      </w:r>
      <w:r w:rsidRPr="002E35B4">
        <w:rPr>
          <w:rStyle w:val="Lgendedutableau"/>
          <w:sz w:val="22"/>
          <w:szCs w:val="22"/>
          <w:lang w:val="fr-CA"/>
        </w:rPr>
        <w:t>Loyer additionnel :</w:t>
      </w:r>
      <w:r w:rsidRPr="002E35B4">
        <w:rPr>
          <w:rStyle w:val="Lgendedutableau"/>
          <w:b w:val="0"/>
          <w:bCs w:val="0"/>
          <w:sz w:val="22"/>
          <w:szCs w:val="22"/>
          <w:lang w:val="fr-CA"/>
        </w:rPr>
        <w:t xml:space="preserve"> </w:t>
      </w:r>
      <w:r w:rsidRPr="002E35B4">
        <w:rPr>
          <w:rStyle w:val="Lgendedutableau"/>
          <w:b w:val="0"/>
          <w:bCs w:val="0"/>
          <w:sz w:val="22"/>
          <w:szCs w:val="22"/>
          <w:lang w:val="fr-CA"/>
        </w:rPr>
        <w:tab/>
      </w:r>
      <w:r w:rsidRPr="002E35B4">
        <w:rPr>
          <w:rStyle w:val="Lgendedutableau"/>
          <w:b w:val="0"/>
          <w:bCs w:val="0"/>
          <w:sz w:val="22"/>
          <w:szCs w:val="22"/>
          <w:lang w:val="fr-CA"/>
        </w:rPr>
        <w:tab/>
        <w:t>Estimé comme suit pour l’année 2023</w:t>
      </w:r>
    </w:p>
    <w:p w14:paraId="1307159F" w14:textId="77777777" w:rsidR="00CF0E5B" w:rsidRPr="002E35B4" w:rsidRDefault="00CF0E5B" w:rsidP="00CF0E5B">
      <w:pPr>
        <w:keepNext/>
        <w:ind w:left="720"/>
        <w:rPr>
          <w:rStyle w:val="Lgendedutableau"/>
          <w:b w:val="0"/>
          <w:bCs w:val="0"/>
          <w:sz w:val="22"/>
          <w:szCs w:val="22"/>
          <w:lang w:val="fr-CA"/>
        </w:rPr>
      </w:pP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t>Frais d’exploitation :</w:t>
      </w:r>
      <w:r w:rsidRPr="002E35B4">
        <w:rPr>
          <w:rStyle w:val="Lgendedutableau"/>
          <w:b w:val="0"/>
          <w:bCs w:val="0"/>
          <w:sz w:val="22"/>
          <w:szCs w:val="22"/>
          <w:lang w:val="fr-CA"/>
        </w:rPr>
        <w:tab/>
        <w:t>0,26 $ / p.c.</w:t>
      </w:r>
    </w:p>
    <w:p w14:paraId="11D52C23" w14:textId="77777777" w:rsidR="00CF0E5B" w:rsidRPr="002E35B4" w:rsidRDefault="00CF0E5B" w:rsidP="00CF0E5B">
      <w:pPr>
        <w:ind w:left="720"/>
        <w:rPr>
          <w:rStyle w:val="Lgendedutableau"/>
          <w:b w:val="0"/>
          <w:bCs w:val="0"/>
          <w:sz w:val="22"/>
          <w:szCs w:val="22"/>
          <w:lang w:val="fr-CA"/>
        </w:rPr>
      </w:pP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t>Taxes foncières :</w:t>
      </w:r>
      <w:r w:rsidRPr="002E35B4">
        <w:rPr>
          <w:rStyle w:val="Lgendedutableau"/>
          <w:b w:val="0"/>
          <w:bCs w:val="0"/>
          <w:sz w:val="22"/>
          <w:szCs w:val="22"/>
          <w:lang w:val="fr-CA"/>
        </w:rPr>
        <w:tab/>
      </w:r>
      <w:r w:rsidRPr="002E35B4">
        <w:rPr>
          <w:rStyle w:val="Lgendedutableau"/>
          <w:b w:val="0"/>
          <w:bCs w:val="0"/>
          <w:sz w:val="22"/>
          <w:szCs w:val="22"/>
          <w:u w:val="single"/>
          <w:lang w:val="fr-CA"/>
        </w:rPr>
        <w:t>1,76 $ / p.c.</w:t>
      </w:r>
    </w:p>
    <w:p w14:paraId="3A0AF71C" w14:textId="77777777" w:rsidR="00CF0E5B" w:rsidRPr="00700A2E" w:rsidRDefault="00CF0E5B" w:rsidP="00CF0E5B">
      <w:pPr>
        <w:spacing w:after="120"/>
        <w:ind w:left="720"/>
        <w:rPr>
          <w:sz w:val="22"/>
          <w:szCs w:val="22"/>
          <w:lang w:val="en-CA"/>
        </w:rPr>
      </w:pP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r w:rsidRPr="002E35B4">
        <w:rPr>
          <w:rStyle w:val="Lgendedutableau"/>
          <w:b w:val="0"/>
          <w:bCs w:val="0"/>
          <w:sz w:val="22"/>
          <w:szCs w:val="22"/>
          <w:lang w:val="fr-CA"/>
        </w:rPr>
        <w:tab/>
      </w:r>
      <w:proofErr w:type="gramStart"/>
      <w:r w:rsidRPr="00700A2E">
        <w:rPr>
          <w:rStyle w:val="Lgendedutableau"/>
          <w:sz w:val="22"/>
          <w:szCs w:val="22"/>
          <w:lang w:val="en-CA"/>
        </w:rPr>
        <w:t>Total :</w:t>
      </w:r>
      <w:proofErr w:type="gramEnd"/>
      <w:r w:rsidRPr="00700A2E">
        <w:rPr>
          <w:rStyle w:val="Lgendedutableau"/>
          <w:sz w:val="22"/>
          <w:szCs w:val="22"/>
          <w:lang w:val="en-CA"/>
        </w:rPr>
        <w:tab/>
      </w:r>
      <w:r w:rsidRPr="00700A2E">
        <w:rPr>
          <w:rStyle w:val="Lgendedutableau"/>
          <w:sz w:val="22"/>
          <w:szCs w:val="22"/>
          <w:lang w:val="en-CA"/>
        </w:rPr>
        <w:tab/>
      </w:r>
      <w:r w:rsidRPr="00700A2E">
        <w:rPr>
          <w:rStyle w:val="Lgendedutableau"/>
          <w:sz w:val="22"/>
          <w:szCs w:val="22"/>
          <w:lang w:val="en-CA"/>
        </w:rPr>
        <w:tab/>
        <w:t>2,02 $</w:t>
      </w:r>
      <w:r w:rsidRPr="00700A2E">
        <w:rPr>
          <w:rStyle w:val="Lgendedutableau"/>
          <w:b w:val="0"/>
          <w:bCs w:val="0"/>
          <w:sz w:val="22"/>
          <w:szCs w:val="22"/>
          <w:lang w:val="en-CA"/>
        </w:rPr>
        <w:t xml:space="preserve"> </w:t>
      </w:r>
      <w:r w:rsidRPr="00700A2E">
        <w:rPr>
          <w:rStyle w:val="Lgendedutableau"/>
          <w:sz w:val="22"/>
          <w:szCs w:val="22"/>
          <w:lang w:val="en-CA"/>
        </w:rPr>
        <w:t>/ p.c.</w:t>
      </w:r>
    </w:p>
    <w:tbl>
      <w:tblPr>
        <w:tblStyle w:val="Grilledutableau"/>
        <w:tblW w:w="7801"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4252"/>
      </w:tblGrid>
      <w:tr w:rsidR="00CF0E5B" w:rsidRPr="00700A2E" w14:paraId="295672B0" w14:textId="77777777" w:rsidTr="00E8282E">
        <w:tc>
          <w:tcPr>
            <w:tcW w:w="3549" w:type="dxa"/>
          </w:tcPr>
          <w:p w14:paraId="51B6B015" w14:textId="77777777" w:rsidR="00CF0E5B" w:rsidRPr="00700A2E" w:rsidRDefault="00CF0E5B" w:rsidP="00E8282E">
            <w:pPr>
              <w:tabs>
                <w:tab w:val="left" w:pos="709"/>
                <w:tab w:val="left" w:pos="4395"/>
              </w:tabs>
              <w:spacing w:before="120" w:after="120"/>
              <w:ind w:left="-101"/>
              <w:rPr>
                <w:b/>
                <w:bCs/>
                <w:sz w:val="22"/>
                <w:szCs w:val="22"/>
                <w:lang w:val="en-CA"/>
              </w:rPr>
            </w:pPr>
            <w:r w:rsidRPr="00700A2E">
              <w:rPr>
                <w:b/>
                <w:bCs/>
                <w:sz w:val="22"/>
                <w:szCs w:val="22"/>
                <w:lang w:val="en-CA"/>
              </w:rPr>
              <w:lastRenderedPageBreak/>
              <w:t xml:space="preserve">Travaux du </w:t>
            </w:r>
            <w:proofErr w:type="spellStart"/>
            <w:proofErr w:type="gramStart"/>
            <w:r w:rsidRPr="00700A2E">
              <w:rPr>
                <w:b/>
                <w:bCs/>
                <w:sz w:val="22"/>
                <w:szCs w:val="22"/>
                <w:lang w:val="en-CA"/>
              </w:rPr>
              <w:t>Bailleur</w:t>
            </w:r>
            <w:proofErr w:type="spellEnd"/>
            <w:r w:rsidRPr="00700A2E">
              <w:rPr>
                <w:b/>
                <w:bCs/>
                <w:sz w:val="22"/>
                <w:szCs w:val="22"/>
                <w:lang w:val="en-CA"/>
              </w:rPr>
              <w:t> :</w:t>
            </w:r>
            <w:proofErr w:type="gramEnd"/>
          </w:p>
        </w:tc>
        <w:tc>
          <w:tcPr>
            <w:tcW w:w="4252" w:type="dxa"/>
          </w:tcPr>
          <w:p w14:paraId="688DF755"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Le Bailleur procédera au remplacement de la toiture au printemps 2023, le tout selon les modalités de l’article 27.4 du bail.</w:t>
            </w:r>
          </w:p>
        </w:tc>
      </w:tr>
      <w:tr w:rsidR="00CF0E5B" w:rsidRPr="00700A2E" w14:paraId="3A866D7D" w14:textId="77777777" w:rsidTr="00E8282E">
        <w:tc>
          <w:tcPr>
            <w:tcW w:w="3549" w:type="dxa"/>
          </w:tcPr>
          <w:p w14:paraId="747A989C" w14:textId="77777777" w:rsidR="00CF0E5B" w:rsidRPr="002E35B4" w:rsidRDefault="00CF0E5B" w:rsidP="00E8282E">
            <w:pPr>
              <w:tabs>
                <w:tab w:val="left" w:pos="709"/>
                <w:tab w:val="left" w:pos="4395"/>
              </w:tabs>
              <w:spacing w:before="120" w:after="120"/>
              <w:rPr>
                <w:sz w:val="22"/>
                <w:szCs w:val="22"/>
              </w:rPr>
            </w:pPr>
          </w:p>
        </w:tc>
        <w:tc>
          <w:tcPr>
            <w:tcW w:w="4252" w:type="dxa"/>
          </w:tcPr>
          <w:p w14:paraId="1E3D8E3D"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Le Bailleur procédera aux réparations de la dalle de béton dans la section des quais de chargement.</w:t>
            </w:r>
          </w:p>
        </w:tc>
      </w:tr>
      <w:tr w:rsidR="00CF0E5B" w:rsidRPr="00700A2E" w14:paraId="7B351760" w14:textId="77777777" w:rsidTr="00E8282E">
        <w:tc>
          <w:tcPr>
            <w:tcW w:w="3549" w:type="dxa"/>
          </w:tcPr>
          <w:p w14:paraId="52231825" w14:textId="77777777" w:rsidR="00CF0E5B" w:rsidRPr="002E35B4" w:rsidRDefault="00CF0E5B" w:rsidP="00E8282E">
            <w:pPr>
              <w:tabs>
                <w:tab w:val="left" w:pos="709"/>
                <w:tab w:val="left" w:pos="4395"/>
              </w:tabs>
              <w:spacing w:before="120" w:after="120"/>
              <w:rPr>
                <w:sz w:val="22"/>
                <w:szCs w:val="22"/>
              </w:rPr>
            </w:pPr>
          </w:p>
        </w:tc>
        <w:tc>
          <w:tcPr>
            <w:tcW w:w="4252" w:type="dxa"/>
          </w:tcPr>
          <w:p w14:paraId="27622513"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Tous les autres travaux et aménagements seront de la seule responsabilité du Locataire, à ses frais et à l’entière exonération du Bailleur mais ce dernier devra préalablement approuver par écrit tous ces autres travaux et aménagements.</w:t>
            </w:r>
          </w:p>
        </w:tc>
      </w:tr>
      <w:tr w:rsidR="00CF0E5B" w:rsidRPr="00700A2E" w14:paraId="7F908CB9" w14:textId="77777777" w:rsidTr="00E8282E">
        <w:tc>
          <w:tcPr>
            <w:tcW w:w="3549" w:type="dxa"/>
          </w:tcPr>
          <w:p w14:paraId="3ECEB709" w14:textId="77777777" w:rsidR="00CF0E5B" w:rsidRPr="00700A2E" w:rsidRDefault="00CF0E5B" w:rsidP="00E8282E">
            <w:pPr>
              <w:tabs>
                <w:tab w:val="left" w:pos="709"/>
                <w:tab w:val="left" w:pos="4395"/>
              </w:tabs>
              <w:spacing w:before="120" w:after="120"/>
              <w:ind w:left="-101"/>
              <w:rPr>
                <w:b/>
                <w:bCs/>
                <w:sz w:val="22"/>
                <w:szCs w:val="22"/>
                <w:lang w:val="en-CA"/>
              </w:rPr>
            </w:pPr>
            <w:r w:rsidRPr="00700A2E">
              <w:rPr>
                <w:b/>
                <w:bCs/>
                <w:sz w:val="22"/>
                <w:szCs w:val="22"/>
                <w:lang w:val="en-CA"/>
              </w:rPr>
              <w:t xml:space="preserve">Allocation </w:t>
            </w:r>
            <w:proofErr w:type="spellStart"/>
            <w:proofErr w:type="gramStart"/>
            <w:r w:rsidRPr="00700A2E">
              <w:rPr>
                <w:b/>
                <w:bCs/>
                <w:sz w:val="22"/>
                <w:szCs w:val="22"/>
                <w:lang w:val="en-CA"/>
              </w:rPr>
              <w:t>monétaire</w:t>
            </w:r>
            <w:proofErr w:type="spellEnd"/>
            <w:r w:rsidRPr="00700A2E">
              <w:rPr>
                <w:b/>
                <w:bCs/>
                <w:sz w:val="22"/>
                <w:szCs w:val="22"/>
                <w:lang w:val="en-CA"/>
              </w:rPr>
              <w:t> :</w:t>
            </w:r>
            <w:proofErr w:type="gramEnd"/>
          </w:p>
        </w:tc>
        <w:tc>
          <w:tcPr>
            <w:tcW w:w="4252" w:type="dxa"/>
          </w:tcPr>
          <w:p w14:paraId="1B50A32C"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Le Bailleur accorde au Locataire une allocation monétaire au montant de soixante-dix mille dollars (70 000,00 $) plus les taxes applicables, pour effectuer des améliorations locatives dans les Lieux Loués.</w:t>
            </w:r>
          </w:p>
        </w:tc>
      </w:tr>
      <w:tr w:rsidR="00CF0E5B" w:rsidRPr="00700A2E" w14:paraId="0D07C38F" w14:textId="77777777" w:rsidTr="00E8282E">
        <w:tc>
          <w:tcPr>
            <w:tcW w:w="3549" w:type="dxa"/>
          </w:tcPr>
          <w:p w14:paraId="677388D2" w14:textId="77777777" w:rsidR="00CF0E5B" w:rsidRPr="00700A2E" w:rsidRDefault="00CF0E5B" w:rsidP="00E8282E">
            <w:pPr>
              <w:tabs>
                <w:tab w:val="left" w:pos="709"/>
                <w:tab w:val="left" w:pos="4395"/>
              </w:tabs>
              <w:spacing w:before="120" w:after="120"/>
              <w:ind w:left="-101"/>
              <w:rPr>
                <w:b/>
                <w:bCs/>
                <w:sz w:val="22"/>
                <w:szCs w:val="22"/>
                <w:lang w:val="en-CA"/>
              </w:rPr>
            </w:pPr>
            <w:proofErr w:type="spellStart"/>
            <w:r w:rsidRPr="00700A2E">
              <w:rPr>
                <w:b/>
                <w:bCs/>
                <w:sz w:val="22"/>
                <w:szCs w:val="22"/>
                <w:lang w:val="en-CA"/>
              </w:rPr>
              <w:t>Loyer</w:t>
            </w:r>
            <w:proofErr w:type="spellEnd"/>
            <w:r w:rsidRPr="00700A2E">
              <w:rPr>
                <w:b/>
                <w:bCs/>
                <w:sz w:val="22"/>
                <w:szCs w:val="22"/>
                <w:lang w:val="en-CA"/>
              </w:rPr>
              <w:t xml:space="preserve"> </w:t>
            </w:r>
            <w:proofErr w:type="spellStart"/>
            <w:proofErr w:type="gramStart"/>
            <w:r w:rsidRPr="00700A2E">
              <w:rPr>
                <w:b/>
                <w:bCs/>
                <w:sz w:val="22"/>
                <w:szCs w:val="22"/>
                <w:lang w:val="en-CA"/>
              </w:rPr>
              <w:t>gratuit</w:t>
            </w:r>
            <w:proofErr w:type="spellEnd"/>
            <w:r w:rsidRPr="00700A2E">
              <w:rPr>
                <w:b/>
                <w:bCs/>
                <w:sz w:val="22"/>
                <w:szCs w:val="22"/>
                <w:lang w:val="en-CA"/>
              </w:rPr>
              <w:t> :</w:t>
            </w:r>
            <w:proofErr w:type="gramEnd"/>
          </w:p>
        </w:tc>
        <w:tc>
          <w:tcPr>
            <w:tcW w:w="4252" w:type="dxa"/>
          </w:tcPr>
          <w:p w14:paraId="5654C49E"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Le locataire n’aura pas à payer le Loyer de base pour le mois de janvier 2023.</w:t>
            </w:r>
          </w:p>
        </w:tc>
      </w:tr>
      <w:tr w:rsidR="00CF0E5B" w:rsidRPr="00700A2E" w14:paraId="3EF9524D" w14:textId="77777777" w:rsidTr="00E8282E">
        <w:tc>
          <w:tcPr>
            <w:tcW w:w="3549" w:type="dxa"/>
          </w:tcPr>
          <w:p w14:paraId="7DE5F679" w14:textId="77777777" w:rsidR="00CF0E5B" w:rsidRPr="00700A2E" w:rsidRDefault="00CF0E5B" w:rsidP="00E8282E">
            <w:pPr>
              <w:tabs>
                <w:tab w:val="left" w:pos="709"/>
                <w:tab w:val="left" w:pos="4395"/>
              </w:tabs>
              <w:spacing w:before="120" w:after="120"/>
              <w:ind w:left="-101"/>
              <w:rPr>
                <w:b/>
                <w:bCs/>
                <w:sz w:val="22"/>
                <w:szCs w:val="22"/>
                <w:lang w:val="en-CA"/>
              </w:rPr>
            </w:pPr>
            <w:r w:rsidRPr="00700A2E">
              <w:rPr>
                <w:b/>
                <w:bCs/>
                <w:sz w:val="22"/>
                <w:szCs w:val="22"/>
                <w:lang w:val="en-CA"/>
              </w:rPr>
              <w:t xml:space="preserve">Option de </w:t>
            </w:r>
            <w:proofErr w:type="spellStart"/>
            <w:proofErr w:type="gramStart"/>
            <w:r w:rsidRPr="00700A2E">
              <w:rPr>
                <w:b/>
                <w:bCs/>
                <w:sz w:val="22"/>
                <w:szCs w:val="22"/>
                <w:lang w:val="en-CA"/>
              </w:rPr>
              <w:t>renouvellement</w:t>
            </w:r>
            <w:proofErr w:type="spellEnd"/>
            <w:r w:rsidRPr="00700A2E">
              <w:rPr>
                <w:b/>
                <w:bCs/>
                <w:sz w:val="22"/>
                <w:szCs w:val="22"/>
                <w:lang w:val="en-CA"/>
              </w:rPr>
              <w:t> :</w:t>
            </w:r>
            <w:proofErr w:type="gramEnd"/>
          </w:p>
        </w:tc>
        <w:tc>
          <w:tcPr>
            <w:tcW w:w="4252" w:type="dxa"/>
          </w:tcPr>
          <w:p w14:paraId="7A2D82A1" w14:textId="77777777" w:rsidR="00CF0E5B" w:rsidRPr="00700A2E" w:rsidRDefault="00CF0E5B" w:rsidP="00E8282E">
            <w:pPr>
              <w:tabs>
                <w:tab w:val="left" w:pos="709"/>
                <w:tab w:val="left" w:pos="4395"/>
              </w:tabs>
              <w:spacing w:before="120" w:after="120"/>
              <w:jc w:val="both"/>
              <w:rPr>
                <w:sz w:val="22"/>
                <w:szCs w:val="22"/>
                <w:lang w:val="en-CA"/>
              </w:rPr>
            </w:pPr>
            <w:r w:rsidRPr="00700A2E">
              <w:rPr>
                <w:sz w:val="22"/>
                <w:szCs w:val="22"/>
                <w:lang w:val="en-CA"/>
              </w:rPr>
              <w:t xml:space="preserve">1 X 5 </w:t>
            </w:r>
            <w:proofErr w:type="spellStart"/>
            <w:r w:rsidRPr="00700A2E">
              <w:rPr>
                <w:sz w:val="22"/>
                <w:szCs w:val="22"/>
                <w:lang w:val="en-CA"/>
              </w:rPr>
              <w:t>ans</w:t>
            </w:r>
            <w:proofErr w:type="spellEnd"/>
          </w:p>
        </w:tc>
      </w:tr>
      <w:tr w:rsidR="00CF0E5B" w:rsidRPr="00700A2E" w14:paraId="68AC9C63" w14:textId="77777777" w:rsidTr="00E8282E">
        <w:tc>
          <w:tcPr>
            <w:tcW w:w="3549" w:type="dxa"/>
          </w:tcPr>
          <w:p w14:paraId="7DD71887" w14:textId="77777777" w:rsidR="00CF0E5B" w:rsidRPr="00700A2E" w:rsidRDefault="00CF0E5B" w:rsidP="00E8282E">
            <w:pPr>
              <w:tabs>
                <w:tab w:val="left" w:pos="709"/>
                <w:tab w:val="left" w:pos="4395"/>
              </w:tabs>
              <w:spacing w:before="120" w:after="120"/>
              <w:ind w:left="-101"/>
              <w:rPr>
                <w:b/>
                <w:bCs/>
                <w:sz w:val="22"/>
                <w:szCs w:val="22"/>
                <w:lang w:val="en-CA"/>
              </w:rPr>
            </w:pPr>
            <w:proofErr w:type="spellStart"/>
            <w:r w:rsidRPr="00700A2E">
              <w:rPr>
                <w:b/>
                <w:bCs/>
                <w:sz w:val="22"/>
                <w:szCs w:val="22"/>
                <w:lang w:val="en-CA"/>
              </w:rPr>
              <w:t>Autres</w:t>
            </w:r>
            <w:proofErr w:type="spellEnd"/>
            <w:r w:rsidRPr="00700A2E">
              <w:rPr>
                <w:b/>
                <w:bCs/>
                <w:sz w:val="22"/>
                <w:szCs w:val="22"/>
                <w:lang w:val="en-CA"/>
              </w:rPr>
              <w:t xml:space="preserve"> </w:t>
            </w:r>
            <w:proofErr w:type="gramStart"/>
            <w:r w:rsidRPr="00700A2E">
              <w:rPr>
                <w:b/>
                <w:bCs/>
                <w:sz w:val="22"/>
                <w:szCs w:val="22"/>
                <w:lang w:val="en-CA"/>
              </w:rPr>
              <w:t>conditions :</w:t>
            </w:r>
            <w:proofErr w:type="gramEnd"/>
          </w:p>
        </w:tc>
        <w:tc>
          <w:tcPr>
            <w:tcW w:w="4252" w:type="dxa"/>
          </w:tcPr>
          <w:p w14:paraId="3FD4FAF7" w14:textId="77777777" w:rsidR="00CF0E5B" w:rsidRPr="002E35B4" w:rsidRDefault="00CF0E5B" w:rsidP="00E8282E">
            <w:pPr>
              <w:tabs>
                <w:tab w:val="left" w:pos="709"/>
                <w:tab w:val="left" w:pos="4395"/>
              </w:tabs>
              <w:spacing w:before="120" w:after="120"/>
              <w:jc w:val="both"/>
              <w:rPr>
                <w:sz w:val="22"/>
                <w:szCs w:val="22"/>
              </w:rPr>
            </w:pPr>
            <w:r w:rsidRPr="002E35B4">
              <w:rPr>
                <w:sz w:val="22"/>
                <w:szCs w:val="22"/>
              </w:rPr>
              <w:t>Bail net standard du bailleur.</w:t>
            </w:r>
          </w:p>
        </w:tc>
      </w:tr>
    </w:tbl>
    <w:p w14:paraId="40F866D2" w14:textId="77777777" w:rsidR="00CF0E5B" w:rsidRPr="002E35B4" w:rsidRDefault="00CF0E5B" w:rsidP="00CF0E5B">
      <w:pPr>
        <w:spacing w:before="120" w:after="120"/>
        <w:ind w:left="720" w:right="720"/>
        <w:jc w:val="both"/>
        <w:rPr>
          <w:sz w:val="22"/>
          <w:szCs w:val="22"/>
        </w:rPr>
      </w:pPr>
      <w:r w:rsidRPr="002E35B4">
        <w:rPr>
          <w:rStyle w:val="Corpsdutexte20"/>
          <w:sz w:val="22"/>
          <w:szCs w:val="22"/>
          <w:u w:val="single"/>
          <w:lang w:val="fr-CA"/>
        </w:rPr>
        <w:t>Sous réserve du premier paragraphe de la présente, les présentes conditions de location sont valides jusqu’au 30 novembre 2021</w:t>
      </w:r>
      <w:r w:rsidRPr="002E35B4">
        <w:rPr>
          <w:rStyle w:val="Corpsdutexte20"/>
          <w:sz w:val="22"/>
          <w:szCs w:val="22"/>
          <w:lang w:val="fr-CA"/>
        </w:rPr>
        <w:t>, après quoi, elles deviendront nulles et non avenues.</w:t>
      </w:r>
    </w:p>
    <w:p w14:paraId="148D4C80" w14:textId="77777777" w:rsidR="00CF0E5B" w:rsidRPr="00700A2E" w:rsidRDefault="00CF0E5B" w:rsidP="00CF0E5B">
      <w:pPr>
        <w:spacing w:before="120" w:after="120"/>
        <w:ind w:left="720" w:right="720"/>
        <w:jc w:val="both"/>
        <w:rPr>
          <w:rStyle w:val="Corpsdutexte20"/>
          <w:sz w:val="22"/>
          <w:szCs w:val="22"/>
          <w:lang w:val="en-CA"/>
        </w:rPr>
      </w:pPr>
      <w:r w:rsidRPr="002E35B4">
        <w:rPr>
          <w:rStyle w:val="Corpsdutexte20"/>
          <w:sz w:val="22"/>
          <w:szCs w:val="22"/>
          <w:lang w:val="fr-CA"/>
        </w:rPr>
        <w:t xml:space="preserve">Sur réception ou confirmation de votre approbation des conditions de la présente à l’intérieur du délai ci-dessus mentionné, </w:t>
      </w:r>
      <w:r w:rsidRPr="002E35B4">
        <w:rPr>
          <w:rStyle w:val="Corpsdutexte20"/>
          <w:sz w:val="22"/>
          <w:szCs w:val="22"/>
          <w:u w:val="single"/>
          <w:lang w:val="fr-CA"/>
        </w:rPr>
        <w:t>nous vous transmettrons l’entente de location à intervenir entre les parties</w:t>
      </w:r>
      <w:r w:rsidRPr="002E35B4">
        <w:rPr>
          <w:rStyle w:val="Corpsdutexte20"/>
          <w:sz w:val="22"/>
          <w:szCs w:val="22"/>
          <w:lang w:val="fr-CA"/>
        </w:rPr>
        <w:t xml:space="preserve">. </w:t>
      </w:r>
      <w:r w:rsidRPr="00700A2E">
        <w:rPr>
          <w:rStyle w:val="Corpsdutexte20"/>
          <w:sz w:val="22"/>
          <w:szCs w:val="22"/>
          <w:lang w:val="en-CA"/>
        </w:rPr>
        <w:t>[…].</w:t>
      </w:r>
      <w:r w:rsidRPr="00700A2E">
        <w:rPr>
          <w:rStyle w:val="Appelnotedebasdep"/>
          <w:rFonts w:eastAsia="Arial" w:cs="Arial"/>
          <w:color w:val="242423"/>
          <w:sz w:val="22"/>
          <w:szCs w:val="22"/>
          <w:lang w:val="en-CA" w:bidi="fr-FR"/>
        </w:rPr>
        <w:footnoteReference w:id="8"/>
      </w:r>
    </w:p>
    <w:p w14:paraId="0BBC858C" w14:textId="2989E6EF" w:rsidR="00CF0E5B" w:rsidRPr="00700A2E" w:rsidRDefault="00BD6DA0" w:rsidP="00CF0E5B">
      <w:pPr>
        <w:spacing w:before="120" w:after="120"/>
        <w:ind w:left="720" w:right="720"/>
        <w:jc w:val="right"/>
        <w:rPr>
          <w:highlight w:val="magenta"/>
          <w:lang w:val="en-CA"/>
        </w:rPr>
      </w:pPr>
      <w:r w:rsidRPr="00700A2E">
        <w:rPr>
          <w:rStyle w:val="Corpsdutexte20"/>
          <w:sz w:val="22"/>
          <w:szCs w:val="22"/>
          <w:lang w:val="en-CA"/>
        </w:rPr>
        <w:t xml:space="preserve"> </w:t>
      </w:r>
      <w:r w:rsidR="00CF0E5B" w:rsidRPr="00700A2E">
        <w:rPr>
          <w:rStyle w:val="Corpsdutexte20"/>
          <w:sz w:val="22"/>
          <w:szCs w:val="22"/>
          <w:lang w:val="en-CA"/>
        </w:rPr>
        <w:t>[</w:t>
      </w:r>
      <w:r w:rsidR="0017298E" w:rsidRPr="0017298E">
        <w:rPr>
          <w:rStyle w:val="Corpsdutexte20"/>
          <w:sz w:val="22"/>
          <w:szCs w:val="22"/>
          <w:lang w:val="en-CA"/>
        </w:rPr>
        <w:t>Bold in the original; underlining added</w:t>
      </w:r>
      <w:r w:rsidR="00CF0E5B" w:rsidRPr="00700A2E">
        <w:rPr>
          <w:rStyle w:val="Corpsdutexte20"/>
          <w:sz w:val="22"/>
          <w:szCs w:val="22"/>
          <w:lang w:val="en-CA"/>
        </w:rPr>
        <w:t>]</w:t>
      </w:r>
    </w:p>
    <w:p w14:paraId="5A5C046E" w14:textId="17E2A63A" w:rsidR="00CF0E5B" w:rsidRPr="00700A2E" w:rsidRDefault="0017298E" w:rsidP="00CF0E5B">
      <w:pPr>
        <w:pStyle w:val="Paragraphe"/>
        <w:rPr>
          <w:lang w:val="en-CA"/>
        </w:rPr>
      </w:pPr>
      <w:r>
        <w:rPr>
          <w:lang w:val="en-CA"/>
        </w:rPr>
        <w:lastRenderedPageBreak/>
        <w:t>A few days later</w:t>
      </w:r>
      <w:r w:rsidR="00CF0E5B" w:rsidRPr="00700A2E">
        <w:rPr>
          <w:lang w:val="en-CA"/>
        </w:rPr>
        <w:t>, M</w:t>
      </w:r>
      <w:r>
        <w:rPr>
          <w:lang w:val="en-CA"/>
        </w:rPr>
        <w:t>r</w:t>
      </w:r>
      <w:r w:rsidR="00CF0E5B" w:rsidRPr="00700A2E">
        <w:rPr>
          <w:lang w:val="en-CA"/>
        </w:rPr>
        <w:t xml:space="preserve">. Racine </w:t>
      </w:r>
      <w:r>
        <w:rPr>
          <w:lang w:val="en-CA"/>
        </w:rPr>
        <w:t>learned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was about to enter a</w:t>
      </w:r>
      <w:r w:rsidR="00CF0E5B" w:rsidRPr="00700A2E">
        <w:rPr>
          <w:lang w:val="en-CA"/>
        </w:rPr>
        <w:t xml:space="preserve"> </w:t>
      </w:r>
      <w:r>
        <w:rPr>
          <w:lang w:val="en-CA"/>
        </w:rPr>
        <w:t>“</w:t>
      </w:r>
      <w:r w:rsidR="00CF0E5B" w:rsidRPr="0017298E">
        <w:rPr>
          <w:lang w:val="en-CA"/>
        </w:rPr>
        <w:t>going-private</w:t>
      </w:r>
      <w:r>
        <w:rPr>
          <w:lang w:val="en-CA"/>
        </w:rPr>
        <w:t>”</w:t>
      </w:r>
      <w:r w:rsidR="00CF0E5B" w:rsidRPr="0017298E">
        <w:rPr>
          <w:lang w:val="en-CA"/>
        </w:rPr>
        <w:t> transaction</w:t>
      </w:r>
      <w:r w:rsidR="00CF0E5B" w:rsidRPr="00700A2E">
        <w:rPr>
          <w:lang w:val="en-CA"/>
        </w:rPr>
        <w:t xml:space="preserve">. </w:t>
      </w:r>
      <w:r>
        <w:rPr>
          <w:lang w:val="en-CA"/>
        </w:rPr>
        <w:t>In</w:t>
      </w:r>
      <w:r w:rsidR="0076700F">
        <w:rPr>
          <w:lang w:val="en-CA"/>
        </w:rPr>
        <w:t>deed</w:t>
      </w:r>
      <w:r w:rsidR="00CF0E5B" w:rsidRPr="00700A2E">
        <w:rPr>
          <w:lang w:val="en-CA"/>
        </w:rPr>
        <w:t xml:space="preserve">, </w:t>
      </w:r>
      <w:r>
        <w:rPr>
          <w:lang w:val="en-CA"/>
        </w:rPr>
        <w:t>on October 24,</w:t>
      </w:r>
      <w:r w:rsidR="00CF0E5B" w:rsidRPr="00700A2E">
        <w:rPr>
          <w:lang w:val="en-CA"/>
        </w:rPr>
        <w:t xml:space="preserve"> 2021, </w:t>
      </w:r>
      <w:proofErr w:type="spellStart"/>
      <w:r w:rsidR="00CF0E5B" w:rsidRPr="00700A2E">
        <w:rPr>
          <w:lang w:val="en-CA"/>
        </w:rPr>
        <w:t>Cominar</w:t>
      </w:r>
      <w:proofErr w:type="spellEnd"/>
      <w:r w:rsidR="00CF0E5B" w:rsidRPr="00700A2E">
        <w:rPr>
          <w:lang w:val="en-CA"/>
        </w:rPr>
        <w:t xml:space="preserve"> </w:t>
      </w:r>
      <w:r>
        <w:rPr>
          <w:lang w:val="en-CA"/>
        </w:rPr>
        <w:t>signed an</w:t>
      </w:r>
      <w:r w:rsidR="00CF0E5B" w:rsidRPr="00700A2E">
        <w:rPr>
          <w:lang w:val="en-CA"/>
        </w:rPr>
        <w:t xml:space="preserve"> </w:t>
      </w:r>
      <w:r w:rsidR="0076700F">
        <w:rPr>
          <w:lang w:val="en-CA"/>
        </w:rPr>
        <w:t>A</w:t>
      </w:r>
      <w:r w:rsidR="00BD6DA0">
        <w:rPr>
          <w:lang w:val="en-CA"/>
        </w:rPr>
        <w:t>rrangement</w:t>
      </w:r>
      <w:r w:rsidR="00CF0E5B" w:rsidRPr="0017298E">
        <w:rPr>
          <w:lang w:val="en-CA"/>
        </w:rPr>
        <w:t xml:space="preserve"> </w:t>
      </w:r>
      <w:r w:rsidR="003F1C43">
        <w:rPr>
          <w:lang w:val="en-CA"/>
        </w:rPr>
        <w:t>A</w:t>
      </w:r>
      <w:r w:rsidR="00CF0E5B" w:rsidRPr="0017298E">
        <w:rPr>
          <w:lang w:val="en-CA"/>
        </w:rPr>
        <w:t>greement</w:t>
      </w:r>
      <w:r w:rsidR="00CF0E5B" w:rsidRPr="00700A2E">
        <w:rPr>
          <w:lang w:val="en-CA"/>
        </w:rPr>
        <w:t xml:space="preserve"> </w:t>
      </w:r>
      <w:r>
        <w:rPr>
          <w:lang w:val="en-CA"/>
        </w:rPr>
        <w:t>that required it to obtain the potential purchaser’s concurrence before entering into any lease agreement</w:t>
      </w:r>
      <w:r w:rsidR="00CF0E5B" w:rsidRPr="00700A2E">
        <w:rPr>
          <w:lang w:val="en-CA"/>
        </w:rPr>
        <w:t xml:space="preserve">. </w:t>
      </w:r>
      <w:r>
        <w:rPr>
          <w:lang w:val="en-CA"/>
        </w:rPr>
        <w:t>From that point on</w:t>
      </w:r>
      <w:r w:rsidR="00CF0E5B" w:rsidRPr="00700A2E">
        <w:rPr>
          <w:lang w:val="en-CA"/>
        </w:rPr>
        <w:t xml:space="preserve">, </w:t>
      </w:r>
      <w:r>
        <w:rPr>
          <w:lang w:val="en-CA"/>
        </w:rPr>
        <w:t>weekly meetings were held between</w:t>
      </w:r>
      <w:r w:rsidR="00CF0E5B" w:rsidRPr="00700A2E">
        <w:rPr>
          <w:lang w:val="en-CA"/>
        </w:rPr>
        <w:t xml:space="preserve"> </w:t>
      </w:r>
      <w:r>
        <w:rPr>
          <w:lang w:val="en-CA"/>
        </w:rPr>
        <w:t>Mr</w:t>
      </w:r>
      <w:r w:rsidR="00CF0E5B" w:rsidRPr="00700A2E">
        <w:rPr>
          <w:lang w:val="en-CA"/>
        </w:rPr>
        <w:t xml:space="preserve">. Racine </w:t>
      </w:r>
      <w:r>
        <w:rPr>
          <w:lang w:val="en-CA"/>
        </w:rPr>
        <w:t>and</w:t>
      </w:r>
      <w:r w:rsidR="00CF0E5B" w:rsidRPr="00700A2E">
        <w:rPr>
          <w:lang w:val="en-CA"/>
        </w:rPr>
        <w:t xml:space="preserve"> M</w:t>
      </w:r>
      <w:r>
        <w:rPr>
          <w:lang w:val="en-CA"/>
        </w:rPr>
        <w:t>r</w:t>
      </w:r>
      <w:r w:rsidR="00CF0E5B" w:rsidRPr="00700A2E">
        <w:rPr>
          <w:lang w:val="en-CA"/>
        </w:rPr>
        <w:t xml:space="preserve">. David Owen, </w:t>
      </w:r>
      <w:r>
        <w:rPr>
          <w:lang w:val="en-CA"/>
        </w:rPr>
        <w:t>President of</w:t>
      </w:r>
      <w:r w:rsidR="00CF0E5B" w:rsidRPr="00700A2E">
        <w:rPr>
          <w:lang w:val="en-CA"/>
        </w:rPr>
        <w:t xml:space="preserve"> Pure Industrial (</w:t>
      </w:r>
      <w:r w:rsidR="0076700F">
        <w:rPr>
          <w:lang w:val="en-CA"/>
        </w:rPr>
        <w:t>“</w:t>
      </w:r>
      <w:r w:rsidR="00CF0E5B" w:rsidRPr="00700A2E">
        <w:rPr>
          <w:lang w:val="en-CA"/>
        </w:rPr>
        <w:t>Pure</w:t>
      </w:r>
      <w:r w:rsidR="0076700F">
        <w:rPr>
          <w:lang w:val="en-CA"/>
        </w:rPr>
        <w:t>”</w:t>
      </w:r>
      <w:r w:rsidR="00CF0E5B" w:rsidRPr="00700A2E">
        <w:rPr>
          <w:lang w:val="en-CA"/>
        </w:rPr>
        <w:t xml:space="preserve">), </w:t>
      </w:r>
      <w:r w:rsidR="009C6914">
        <w:rPr>
          <w:lang w:val="en-CA"/>
        </w:rPr>
        <w:t xml:space="preserve">the manager appointed by </w:t>
      </w:r>
      <w:r w:rsidR="0076700F">
        <w:rPr>
          <w:lang w:val="en-CA"/>
        </w:rPr>
        <w:t xml:space="preserve">the </w:t>
      </w:r>
      <w:r w:rsidR="009C6914">
        <w:rPr>
          <w:lang w:val="en-CA"/>
        </w:rPr>
        <w:t>potential purchaser</w:t>
      </w:r>
      <w:r w:rsidR="00CF0E5B" w:rsidRPr="00700A2E">
        <w:rPr>
          <w:lang w:val="en-CA"/>
        </w:rPr>
        <w:t>.</w:t>
      </w:r>
    </w:p>
    <w:p w14:paraId="1722CF1F" w14:textId="701D6203" w:rsidR="00CF0E5B" w:rsidRPr="00700A2E" w:rsidRDefault="0076700F" w:rsidP="00CF0E5B">
      <w:pPr>
        <w:pStyle w:val="Paragraphe"/>
        <w:rPr>
          <w:lang w:val="en-CA"/>
        </w:rPr>
      </w:pPr>
      <w:r>
        <w:rPr>
          <w:lang w:val="en-CA"/>
        </w:rPr>
        <w:t>Over</w:t>
      </w:r>
      <w:r w:rsidR="009C6914">
        <w:rPr>
          <w:lang w:val="en-CA"/>
        </w:rPr>
        <w:t xml:space="preserve"> the course of th</w:t>
      </w:r>
      <w:r>
        <w:rPr>
          <w:lang w:val="en-CA"/>
        </w:rPr>
        <w:t>o</w:t>
      </w:r>
      <w:r w:rsidR="009C6914">
        <w:rPr>
          <w:lang w:val="en-CA"/>
        </w:rPr>
        <w:t>se meetings</w:t>
      </w:r>
      <w:r w:rsidR="00CF0E5B" w:rsidRPr="00700A2E">
        <w:rPr>
          <w:lang w:val="en-CA"/>
        </w:rPr>
        <w:t>, M</w:t>
      </w:r>
      <w:r w:rsidR="009C6914">
        <w:rPr>
          <w:lang w:val="en-CA"/>
        </w:rPr>
        <w:t>r</w:t>
      </w:r>
      <w:r w:rsidR="00CF0E5B" w:rsidRPr="00700A2E">
        <w:rPr>
          <w:lang w:val="en-CA"/>
        </w:rPr>
        <w:t xml:space="preserve">. Racine </w:t>
      </w:r>
      <w:r w:rsidR="009C6914">
        <w:rPr>
          <w:lang w:val="en-CA"/>
        </w:rPr>
        <w:t>observed</w:t>
      </w:r>
      <w:r w:rsidR="00CF0E5B" w:rsidRPr="00700A2E">
        <w:rPr>
          <w:lang w:val="en-CA"/>
        </w:rPr>
        <w:t xml:space="preserve"> </w:t>
      </w:r>
      <w:r w:rsidR="009C6914">
        <w:rPr>
          <w:lang w:val="en-CA"/>
        </w:rPr>
        <w:t>that</w:t>
      </w:r>
      <w:r w:rsidR="00CF0E5B" w:rsidRPr="00700A2E">
        <w:rPr>
          <w:lang w:val="en-CA"/>
        </w:rPr>
        <w:t xml:space="preserve"> Pure </w:t>
      </w:r>
      <w:r w:rsidR="009C6914">
        <w:rPr>
          <w:lang w:val="en-CA"/>
        </w:rPr>
        <w:t xml:space="preserve">had </w:t>
      </w:r>
      <w:r>
        <w:rPr>
          <w:lang w:val="en-CA"/>
        </w:rPr>
        <w:t>“</w:t>
      </w:r>
      <w:proofErr w:type="spellStart"/>
      <w:r w:rsidR="00CF0E5B" w:rsidRPr="0076700F">
        <w:rPr>
          <w:i/>
          <w:iCs/>
          <w:lang w:val="en-CA"/>
        </w:rPr>
        <w:t>une</w:t>
      </w:r>
      <w:proofErr w:type="spellEnd"/>
      <w:r w:rsidR="00CF0E5B" w:rsidRPr="0076700F">
        <w:rPr>
          <w:i/>
          <w:iCs/>
          <w:lang w:val="en-CA"/>
        </w:rPr>
        <w:t xml:space="preserve"> opinion </w:t>
      </w:r>
      <w:proofErr w:type="spellStart"/>
      <w:r w:rsidR="00CF0E5B" w:rsidRPr="0076700F">
        <w:rPr>
          <w:i/>
          <w:iCs/>
          <w:lang w:val="en-CA"/>
        </w:rPr>
        <w:t>différente</w:t>
      </w:r>
      <w:proofErr w:type="spellEnd"/>
      <w:r w:rsidR="00CF0E5B" w:rsidRPr="0076700F">
        <w:rPr>
          <w:i/>
          <w:iCs/>
          <w:lang w:val="en-CA"/>
        </w:rPr>
        <w:t xml:space="preserve"> […] de </w:t>
      </w:r>
      <w:proofErr w:type="spellStart"/>
      <w:r w:rsidR="00CF0E5B" w:rsidRPr="0076700F">
        <w:rPr>
          <w:i/>
          <w:iCs/>
          <w:lang w:val="en-CA"/>
        </w:rPr>
        <w:t>l’évolution</w:t>
      </w:r>
      <w:proofErr w:type="spellEnd"/>
      <w:r w:rsidR="00CF0E5B" w:rsidRPr="0076700F">
        <w:rPr>
          <w:i/>
          <w:iCs/>
          <w:lang w:val="en-CA"/>
        </w:rPr>
        <w:t xml:space="preserve"> des </w:t>
      </w:r>
      <w:proofErr w:type="spellStart"/>
      <w:r w:rsidR="00CF0E5B" w:rsidRPr="0076700F">
        <w:rPr>
          <w:i/>
          <w:iCs/>
          <w:lang w:val="en-CA"/>
        </w:rPr>
        <w:t>loyers</w:t>
      </w:r>
      <w:proofErr w:type="spellEnd"/>
      <w:r w:rsidR="00CF0E5B" w:rsidRPr="0076700F">
        <w:rPr>
          <w:i/>
          <w:iCs/>
          <w:lang w:val="en-CA"/>
        </w:rPr>
        <w:t xml:space="preserve"> dans les </w:t>
      </w:r>
      <w:proofErr w:type="spellStart"/>
      <w:r w:rsidR="00C06A83" w:rsidRPr="0076700F">
        <w:rPr>
          <w:i/>
          <w:iCs/>
          <w:lang w:val="en-CA"/>
        </w:rPr>
        <w:t>march</w:t>
      </w:r>
      <w:r w:rsidR="00C06A83">
        <w:rPr>
          <w:i/>
          <w:iCs/>
          <w:lang w:val="en-CA"/>
        </w:rPr>
        <w:t>és</w:t>
      </w:r>
      <w:proofErr w:type="spellEnd"/>
      <w:r>
        <w:rPr>
          <w:lang w:val="en-CA"/>
        </w:rPr>
        <w:t>”</w:t>
      </w:r>
      <w:r w:rsidR="00CF0E5B" w:rsidRPr="00700A2E">
        <w:rPr>
          <w:lang w:val="en-CA"/>
        </w:rPr>
        <w:t xml:space="preserve"> </w:t>
      </w:r>
      <w:r w:rsidR="009C6914">
        <w:rPr>
          <w:lang w:val="en-CA"/>
        </w:rPr>
        <w:t xml:space="preserve">for the </w:t>
      </w:r>
      <w:r w:rsidR="006C6FDD">
        <w:rPr>
          <w:lang w:val="en-CA"/>
        </w:rPr>
        <w:t xml:space="preserve">upcoming </w:t>
      </w:r>
      <w:r w:rsidR="009C6914">
        <w:rPr>
          <w:lang w:val="en-CA"/>
        </w:rPr>
        <w:t>quarters</w:t>
      </w:r>
      <w:r w:rsidR="00CF0E5B" w:rsidRPr="00700A2E">
        <w:rPr>
          <w:lang w:val="en-CA"/>
        </w:rPr>
        <w:t xml:space="preserve">. </w:t>
      </w:r>
      <w:r w:rsidR="009C6914">
        <w:rPr>
          <w:lang w:val="en-CA"/>
        </w:rPr>
        <w:t xml:space="preserve">He therefore </w:t>
      </w:r>
      <w:r w:rsidR="00120C49">
        <w:rPr>
          <w:lang w:val="en-CA"/>
        </w:rPr>
        <w:t>anticipated</w:t>
      </w:r>
      <w:r w:rsidR="009C6914">
        <w:rPr>
          <w:lang w:val="en-CA"/>
        </w:rPr>
        <w:t xml:space="preserve"> that Pure would probably not agree to the rents included in the second proposal</w:t>
      </w:r>
      <w:r w:rsidR="00CF0E5B" w:rsidRPr="00700A2E">
        <w:rPr>
          <w:lang w:val="en-CA"/>
        </w:rPr>
        <w:t xml:space="preserve">. </w:t>
      </w:r>
      <w:r w:rsidR="009C6914">
        <w:rPr>
          <w:lang w:val="en-CA"/>
        </w:rPr>
        <w:t>He informed the Lessee of this on November</w:t>
      </w:r>
      <w:r w:rsidR="00CF0E5B" w:rsidRPr="00700A2E">
        <w:rPr>
          <w:lang w:val="en-CA"/>
        </w:rPr>
        <w:t xml:space="preserve"> 24</w:t>
      </w:r>
      <w:r w:rsidR="009C6914">
        <w:rPr>
          <w:lang w:val="en-CA"/>
        </w:rPr>
        <w:t xml:space="preserve">, </w:t>
      </w:r>
      <w:r w:rsidR="00CF0E5B" w:rsidRPr="00700A2E">
        <w:rPr>
          <w:lang w:val="en-CA"/>
        </w:rPr>
        <w:t>2021.</w:t>
      </w:r>
    </w:p>
    <w:p w14:paraId="2D70A5F7" w14:textId="4937A8CD" w:rsidR="00CF0E5B" w:rsidRPr="00700A2E" w:rsidRDefault="00120C49" w:rsidP="00CF0E5B">
      <w:pPr>
        <w:pStyle w:val="Paragraphe"/>
        <w:rPr>
          <w:lang w:val="en-CA"/>
        </w:rPr>
      </w:pPr>
      <w:r>
        <w:rPr>
          <w:lang w:val="en-CA"/>
        </w:rPr>
        <w:t>The next day</w:t>
      </w:r>
      <w:r w:rsidR="00CF0E5B" w:rsidRPr="00700A2E">
        <w:rPr>
          <w:lang w:val="en-CA"/>
        </w:rPr>
        <w:t xml:space="preserve">, </w:t>
      </w:r>
      <w:r>
        <w:rPr>
          <w:lang w:val="en-CA"/>
        </w:rPr>
        <w:t>the Lessee</w:t>
      </w:r>
      <w:r w:rsidR="00CF0E5B" w:rsidRPr="00700A2E">
        <w:rPr>
          <w:lang w:val="en-CA"/>
        </w:rPr>
        <w:t xml:space="preserve"> accepte</w:t>
      </w:r>
      <w:r>
        <w:rPr>
          <w:lang w:val="en-CA"/>
        </w:rPr>
        <w:t>d</w:t>
      </w:r>
      <w:r w:rsidR="00CF0E5B" w:rsidRPr="00700A2E">
        <w:rPr>
          <w:lang w:val="en-CA"/>
        </w:rPr>
        <w:t xml:space="preserve"> </w:t>
      </w:r>
      <w:r>
        <w:rPr>
          <w:lang w:val="en-CA"/>
        </w:rPr>
        <w:t>the second renewal proposal</w:t>
      </w:r>
      <w:r w:rsidR="00CF0E5B" w:rsidRPr="00700A2E">
        <w:rPr>
          <w:lang w:val="en-CA"/>
        </w:rPr>
        <w:t xml:space="preserve">. </w:t>
      </w:r>
      <w:r>
        <w:rPr>
          <w:lang w:val="en-CA"/>
        </w:rPr>
        <w:t xml:space="preserve">On November </w:t>
      </w:r>
      <w:r w:rsidR="00CF0E5B" w:rsidRPr="00700A2E">
        <w:rPr>
          <w:lang w:val="en-CA"/>
        </w:rPr>
        <w:t>26</w:t>
      </w:r>
      <w:r>
        <w:rPr>
          <w:lang w:val="en-CA"/>
        </w:rPr>
        <w:t>,</w:t>
      </w:r>
      <w:r w:rsidR="00CF0E5B" w:rsidRPr="00700A2E">
        <w:rPr>
          <w:lang w:val="en-CA"/>
        </w:rPr>
        <w:t xml:space="preserve"> 2021, </w:t>
      </w:r>
      <w:proofErr w:type="spellStart"/>
      <w:r w:rsidR="00CF0E5B" w:rsidRPr="00700A2E">
        <w:rPr>
          <w:lang w:val="en-CA"/>
        </w:rPr>
        <w:t>Cominar</w:t>
      </w:r>
      <w:proofErr w:type="spellEnd"/>
      <w:r w:rsidR="00CF0E5B" w:rsidRPr="00700A2E">
        <w:rPr>
          <w:lang w:val="en-CA"/>
        </w:rPr>
        <w:t xml:space="preserve"> </w:t>
      </w:r>
      <w:r>
        <w:rPr>
          <w:lang w:val="en-CA"/>
        </w:rPr>
        <w:t>presented that proposal to</w:t>
      </w:r>
      <w:r w:rsidR="00CF0E5B" w:rsidRPr="00700A2E">
        <w:rPr>
          <w:lang w:val="en-CA"/>
        </w:rPr>
        <w:t xml:space="preserve"> Pure, </w:t>
      </w:r>
      <w:r>
        <w:rPr>
          <w:lang w:val="en-CA"/>
        </w:rPr>
        <w:t>who rejected it</w:t>
      </w:r>
      <w:r w:rsidR="00CF0E5B" w:rsidRPr="00700A2E">
        <w:rPr>
          <w:lang w:val="en-CA"/>
        </w:rPr>
        <w:t>.</w:t>
      </w:r>
    </w:p>
    <w:p w14:paraId="559BB611" w14:textId="1F73F530" w:rsidR="00CF0E5B" w:rsidRPr="00700A2E" w:rsidRDefault="00D0128B" w:rsidP="00CF0E5B">
      <w:pPr>
        <w:pStyle w:val="Paragraphe"/>
        <w:rPr>
          <w:lang w:val="en-CA"/>
        </w:rPr>
      </w:pPr>
      <w:r>
        <w:rPr>
          <w:lang w:val="en-CA"/>
        </w:rPr>
        <w:t>On November 30,</w:t>
      </w:r>
      <w:r w:rsidR="00CF0E5B" w:rsidRPr="00700A2E">
        <w:rPr>
          <w:lang w:val="en-CA"/>
        </w:rPr>
        <w:t> 2021, M</w:t>
      </w:r>
      <w:r>
        <w:rPr>
          <w:lang w:val="en-CA"/>
        </w:rPr>
        <w:t>r</w:t>
      </w:r>
      <w:r w:rsidR="00CF0E5B" w:rsidRPr="00700A2E">
        <w:rPr>
          <w:lang w:val="en-CA"/>
        </w:rPr>
        <w:t xml:space="preserve">. Racine </w:t>
      </w:r>
      <w:r>
        <w:rPr>
          <w:lang w:val="en-CA"/>
        </w:rPr>
        <w:t xml:space="preserve">informed the Lessee of that refusal and reminded it that </w:t>
      </w:r>
      <w:proofErr w:type="spellStart"/>
      <w:r>
        <w:rPr>
          <w:lang w:val="en-CA"/>
        </w:rPr>
        <w:t>Cominar’s</w:t>
      </w:r>
      <w:proofErr w:type="spellEnd"/>
      <w:r>
        <w:rPr>
          <w:lang w:val="en-CA"/>
        </w:rPr>
        <w:t xml:space="preserve"> renewal proposal was </w:t>
      </w:r>
      <w:r w:rsidR="006C6FDD">
        <w:rPr>
          <w:lang w:val="en-CA"/>
        </w:rPr>
        <w:t>conditional on</w:t>
      </w:r>
      <w:r w:rsidRPr="00D0128B">
        <w:rPr>
          <w:lang w:val="en-CA"/>
        </w:rPr>
        <w:t xml:space="preserve"> the subsequent acceptance by the </w:t>
      </w:r>
      <w:r w:rsidR="006C6FDD" w:rsidRPr="00D0128B">
        <w:rPr>
          <w:lang w:val="en-CA"/>
        </w:rPr>
        <w:t xml:space="preserve">authorized </w:t>
      </w:r>
      <w:r w:rsidRPr="00D0128B">
        <w:rPr>
          <w:lang w:val="en-CA"/>
        </w:rPr>
        <w:t>person</w:t>
      </w:r>
      <w:r>
        <w:rPr>
          <w:lang w:val="en-CA"/>
        </w:rPr>
        <w:t>(</w:t>
      </w:r>
      <w:r w:rsidRPr="00D0128B">
        <w:rPr>
          <w:lang w:val="en-CA"/>
        </w:rPr>
        <w:t>s</w:t>
      </w:r>
      <w:r>
        <w:rPr>
          <w:lang w:val="en-CA"/>
        </w:rPr>
        <w:t>)</w:t>
      </w:r>
      <w:r w:rsidR="00CF0E5B" w:rsidRPr="00700A2E">
        <w:rPr>
          <w:lang w:val="en-CA"/>
        </w:rPr>
        <w:t xml:space="preserve">. </w:t>
      </w:r>
      <w:r>
        <w:rPr>
          <w:lang w:val="en-CA"/>
        </w:rPr>
        <w:t xml:space="preserve">Moreover, he </w:t>
      </w:r>
      <w:r w:rsidR="001F34EE">
        <w:rPr>
          <w:lang w:val="en-CA"/>
        </w:rPr>
        <w:t>assumed</w:t>
      </w:r>
      <w:r>
        <w:rPr>
          <w:lang w:val="en-CA"/>
        </w:rPr>
        <w:t xml:space="preserve"> that the Lessee intended to avail itself of the renewal option and considered that the 60-day </w:t>
      </w:r>
      <w:r w:rsidR="00EB3C58">
        <w:rPr>
          <w:lang w:val="en-CA"/>
        </w:rPr>
        <w:t>time limit</w:t>
      </w:r>
      <w:r w:rsidR="001F34EE">
        <w:rPr>
          <w:lang w:val="en-CA"/>
        </w:rPr>
        <w:t xml:space="preserve"> </w:t>
      </w:r>
      <w:r>
        <w:rPr>
          <w:lang w:val="en-CA"/>
        </w:rPr>
        <w:t xml:space="preserve">in which to negotiate </w:t>
      </w:r>
      <w:r w:rsidR="00C06A83">
        <w:rPr>
          <w:lang w:val="en-CA"/>
        </w:rPr>
        <w:t xml:space="preserve">the </w:t>
      </w:r>
      <w:r>
        <w:rPr>
          <w:lang w:val="en-CA"/>
        </w:rPr>
        <w:t xml:space="preserve">rental price and enter into a new lease agreement began </w:t>
      </w:r>
      <w:r w:rsidR="00EB3C58">
        <w:rPr>
          <w:lang w:val="en-CA"/>
        </w:rPr>
        <w:t xml:space="preserve">to run </w:t>
      </w:r>
      <w:r w:rsidR="001F34EE">
        <w:rPr>
          <w:lang w:val="en-CA"/>
        </w:rPr>
        <w:t xml:space="preserve">on November 25, </w:t>
      </w:r>
      <w:r w:rsidR="00CF0E5B" w:rsidRPr="00700A2E">
        <w:rPr>
          <w:lang w:val="en-CA"/>
        </w:rPr>
        <w:t>2021 (</w:t>
      </w:r>
      <w:r w:rsidR="001F34EE">
        <w:rPr>
          <w:lang w:val="en-CA"/>
        </w:rPr>
        <w:t xml:space="preserve">the acceptance </w:t>
      </w:r>
      <w:r w:rsidR="00CF0E5B" w:rsidRPr="00700A2E">
        <w:rPr>
          <w:lang w:val="en-CA"/>
        </w:rPr>
        <w:t xml:space="preserve">date </w:t>
      </w:r>
      <w:r w:rsidR="001F34EE">
        <w:rPr>
          <w:lang w:val="en-CA"/>
        </w:rPr>
        <w:t>of the second proposal</w:t>
      </w:r>
      <w:r w:rsidR="00CF0E5B" w:rsidRPr="00700A2E">
        <w:rPr>
          <w:lang w:val="en-CA"/>
        </w:rPr>
        <w:t>).</w:t>
      </w:r>
    </w:p>
    <w:p w14:paraId="51A49300" w14:textId="1780B385" w:rsidR="00CF0E5B" w:rsidRPr="00544031" w:rsidRDefault="00EB3C58" w:rsidP="00CF0E5B">
      <w:pPr>
        <w:pStyle w:val="Paragraphe"/>
        <w:rPr>
          <w:lang w:val="en-CA"/>
        </w:rPr>
      </w:pPr>
      <w:r w:rsidRPr="00544031">
        <w:rPr>
          <w:lang w:val="en-CA"/>
        </w:rPr>
        <w:t xml:space="preserve">On December </w:t>
      </w:r>
      <w:r w:rsidR="000A7F18" w:rsidRPr="00544031">
        <w:rPr>
          <w:lang w:val="en-CA"/>
        </w:rPr>
        <w:t>6</w:t>
      </w:r>
      <w:r w:rsidRPr="00544031">
        <w:rPr>
          <w:lang w:val="en-CA"/>
        </w:rPr>
        <w:t>,</w:t>
      </w:r>
      <w:r w:rsidR="00CF0E5B" w:rsidRPr="00544031">
        <w:rPr>
          <w:lang w:val="en-CA"/>
        </w:rPr>
        <w:t> 2021,</w:t>
      </w:r>
      <w:r w:rsidR="00CF0E5B" w:rsidRPr="00544031">
        <w:rPr>
          <w:rStyle w:val="Appelnotedebasdep"/>
          <w:lang w:val="en-CA"/>
        </w:rPr>
        <w:t xml:space="preserve"> </w:t>
      </w:r>
      <w:r w:rsidR="00C06A83" w:rsidRPr="00544031">
        <w:rPr>
          <w:lang w:val="en-CA"/>
        </w:rPr>
        <w:t xml:space="preserve">the </w:t>
      </w:r>
      <w:r w:rsidRPr="00544031">
        <w:rPr>
          <w:lang w:val="en-CA"/>
        </w:rPr>
        <w:t>Lessee’s counsel wrote to</w:t>
      </w:r>
      <w:r w:rsidR="00CF0E5B" w:rsidRPr="00544031">
        <w:rPr>
          <w:lang w:val="en-CA"/>
        </w:rPr>
        <w:t xml:space="preserve"> </w:t>
      </w:r>
      <w:proofErr w:type="spellStart"/>
      <w:r w:rsidR="00CF0E5B" w:rsidRPr="00544031">
        <w:rPr>
          <w:lang w:val="en-CA"/>
        </w:rPr>
        <w:t>Cominar</w:t>
      </w:r>
      <w:proofErr w:type="spellEnd"/>
      <w:r w:rsidR="00CF0E5B" w:rsidRPr="00544031">
        <w:rPr>
          <w:lang w:val="en-CA"/>
        </w:rPr>
        <w:t xml:space="preserve"> </w:t>
      </w:r>
      <w:r w:rsidRPr="00544031">
        <w:rPr>
          <w:lang w:val="en-CA"/>
        </w:rPr>
        <w:t xml:space="preserve">informing it that his client </w:t>
      </w:r>
      <w:r w:rsidR="000A7F18" w:rsidRPr="00544031">
        <w:rPr>
          <w:lang w:val="en-CA"/>
        </w:rPr>
        <w:t>considered</w:t>
      </w:r>
      <w:r w:rsidR="00CF0E5B" w:rsidRPr="00544031">
        <w:rPr>
          <w:lang w:val="en-CA"/>
        </w:rPr>
        <w:t xml:space="preserve"> </w:t>
      </w:r>
      <w:r w:rsidRPr="00544031">
        <w:rPr>
          <w:lang w:val="en-CA"/>
        </w:rPr>
        <w:t>“</w:t>
      </w:r>
      <w:proofErr w:type="spellStart"/>
      <w:r w:rsidR="00CF0E5B" w:rsidRPr="00544031">
        <w:rPr>
          <w:i/>
          <w:iCs/>
          <w:lang w:val="en-CA"/>
        </w:rPr>
        <w:t>déraisonnable</w:t>
      </w:r>
      <w:proofErr w:type="spellEnd"/>
      <w:r w:rsidR="00CF0E5B" w:rsidRPr="00544031">
        <w:rPr>
          <w:i/>
          <w:iCs/>
          <w:lang w:val="en-CA"/>
        </w:rPr>
        <w:t xml:space="preserve"> et </w:t>
      </w:r>
      <w:proofErr w:type="spellStart"/>
      <w:r w:rsidR="00CF0E5B" w:rsidRPr="00544031">
        <w:rPr>
          <w:i/>
          <w:iCs/>
          <w:lang w:val="en-CA"/>
        </w:rPr>
        <w:t>infondée</w:t>
      </w:r>
      <w:proofErr w:type="spellEnd"/>
      <w:r w:rsidR="00CF0E5B" w:rsidRPr="00544031">
        <w:rPr>
          <w:i/>
          <w:iCs/>
          <w:lang w:val="en-CA"/>
        </w:rPr>
        <w:t xml:space="preserve"> la </w:t>
      </w:r>
      <w:proofErr w:type="spellStart"/>
      <w:r w:rsidR="00CF0E5B" w:rsidRPr="00544031">
        <w:rPr>
          <w:i/>
          <w:iCs/>
          <w:lang w:val="en-CA"/>
        </w:rPr>
        <w:t>répudiation</w:t>
      </w:r>
      <w:proofErr w:type="spellEnd"/>
      <w:r w:rsidR="00CF0E5B" w:rsidRPr="00544031">
        <w:rPr>
          <w:i/>
          <w:iCs/>
          <w:lang w:val="en-CA"/>
        </w:rPr>
        <w:t xml:space="preserve"> par </w:t>
      </w:r>
      <w:proofErr w:type="spellStart"/>
      <w:r w:rsidR="00CF0E5B" w:rsidRPr="00544031">
        <w:rPr>
          <w:i/>
          <w:iCs/>
          <w:lang w:val="en-CA"/>
        </w:rPr>
        <w:t>Cominar</w:t>
      </w:r>
      <w:proofErr w:type="spellEnd"/>
      <w:r w:rsidR="00CF0E5B" w:rsidRPr="00544031">
        <w:rPr>
          <w:i/>
          <w:iCs/>
          <w:lang w:val="en-CA"/>
        </w:rPr>
        <w:t xml:space="preserve"> des </w:t>
      </w:r>
      <w:proofErr w:type="spellStart"/>
      <w:r w:rsidR="00CF0E5B" w:rsidRPr="00544031">
        <w:rPr>
          <w:i/>
          <w:iCs/>
          <w:lang w:val="en-CA"/>
        </w:rPr>
        <w:t>termes</w:t>
      </w:r>
      <w:proofErr w:type="spellEnd"/>
      <w:r w:rsidR="00CF0E5B" w:rsidRPr="00544031">
        <w:rPr>
          <w:i/>
          <w:iCs/>
          <w:lang w:val="en-CA"/>
        </w:rPr>
        <w:t xml:space="preserve"> </w:t>
      </w:r>
      <w:proofErr w:type="spellStart"/>
      <w:r w:rsidR="00CF0E5B" w:rsidRPr="00544031">
        <w:rPr>
          <w:i/>
          <w:iCs/>
          <w:lang w:val="en-CA"/>
        </w:rPr>
        <w:t>qu’elle</w:t>
      </w:r>
      <w:proofErr w:type="spellEnd"/>
      <w:r w:rsidR="00CF0E5B" w:rsidRPr="00544031">
        <w:rPr>
          <w:i/>
          <w:iCs/>
          <w:lang w:val="en-CA"/>
        </w:rPr>
        <w:t xml:space="preserve"> </w:t>
      </w:r>
      <w:proofErr w:type="gramStart"/>
      <w:r w:rsidR="00CF0E5B" w:rsidRPr="00544031">
        <w:rPr>
          <w:i/>
          <w:iCs/>
          <w:lang w:val="en-CA"/>
        </w:rPr>
        <w:t>a</w:t>
      </w:r>
      <w:proofErr w:type="gramEnd"/>
      <w:r w:rsidR="00CF0E5B" w:rsidRPr="00544031">
        <w:rPr>
          <w:i/>
          <w:iCs/>
          <w:lang w:val="en-CA"/>
        </w:rPr>
        <w:t xml:space="preserve"> elle-</w:t>
      </w:r>
      <w:proofErr w:type="spellStart"/>
      <w:r w:rsidR="00CF0E5B" w:rsidRPr="00544031">
        <w:rPr>
          <w:i/>
          <w:iCs/>
          <w:lang w:val="en-CA"/>
        </w:rPr>
        <w:t>même</w:t>
      </w:r>
      <w:proofErr w:type="spellEnd"/>
      <w:r w:rsidR="00CF0E5B" w:rsidRPr="00544031">
        <w:rPr>
          <w:i/>
          <w:iCs/>
          <w:lang w:val="en-CA"/>
        </w:rPr>
        <w:t xml:space="preserve"> </w:t>
      </w:r>
      <w:proofErr w:type="spellStart"/>
      <w:r w:rsidRPr="00544031">
        <w:rPr>
          <w:i/>
          <w:iCs/>
          <w:lang w:val="en-CA"/>
        </w:rPr>
        <w:t>proposés</w:t>
      </w:r>
      <w:proofErr w:type="spellEnd"/>
      <w:r w:rsidRPr="00544031">
        <w:rPr>
          <w:lang w:val="en-CA"/>
        </w:rPr>
        <w:t>.”</w:t>
      </w:r>
      <w:r w:rsidR="00CF0E5B" w:rsidRPr="00700A2E">
        <w:rPr>
          <w:rStyle w:val="Appelnotedebasdep"/>
          <w:lang w:val="en-CA"/>
        </w:rPr>
        <w:footnoteReference w:id="9"/>
      </w:r>
    </w:p>
    <w:p w14:paraId="31A84543" w14:textId="58F7771B" w:rsidR="00CF0E5B" w:rsidRPr="00700A2E" w:rsidRDefault="00EB3C58" w:rsidP="00CF0E5B">
      <w:pPr>
        <w:pStyle w:val="Paragraphe"/>
        <w:rPr>
          <w:lang w:val="en-CA"/>
        </w:rPr>
      </w:pPr>
      <w:r>
        <w:rPr>
          <w:lang w:val="en-CA"/>
        </w:rPr>
        <w:t>On December</w:t>
      </w:r>
      <w:r w:rsidR="00CF0E5B" w:rsidRPr="00700A2E">
        <w:rPr>
          <w:lang w:val="en-CA"/>
        </w:rPr>
        <w:t> </w:t>
      </w:r>
      <w:r w:rsidR="000A7F18">
        <w:rPr>
          <w:lang w:val="en-CA"/>
        </w:rPr>
        <w:t xml:space="preserve">21, </w:t>
      </w:r>
      <w:r w:rsidR="00CF0E5B" w:rsidRPr="00700A2E">
        <w:rPr>
          <w:lang w:val="en-CA"/>
        </w:rPr>
        <w:t xml:space="preserve">2021, </w:t>
      </w:r>
      <w:proofErr w:type="spellStart"/>
      <w:r w:rsidR="00CF0E5B" w:rsidRPr="00700A2E">
        <w:rPr>
          <w:lang w:val="en-CA"/>
        </w:rPr>
        <w:t>Cominar</w:t>
      </w:r>
      <w:proofErr w:type="spellEnd"/>
      <w:r w:rsidR="00CF0E5B" w:rsidRPr="00700A2E">
        <w:rPr>
          <w:lang w:val="en-CA"/>
        </w:rPr>
        <w:t xml:space="preserve"> </w:t>
      </w:r>
      <w:r>
        <w:rPr>
          <w:lang w:val="en-CA"/>
        </w:rPr>
        <w:t xml:space="preserve">informed the Lessee that the potential purchaser </w:t>
      </w:r>
      <w:r w:rsidRPr="00EB3C58">
        <w:rPr>
          <w:lang w:val="en-CA"/>
        </w:rPr>
        <w:t>“</w:t>
      </w:r>
      <w:r w:rsidR="00CF0E5B" w:rsidRPr="00EB3C58">
        <w:rPr>
          <w:lang w:val="en-CA"/>
        </w:rPr>
        <w:t>is still ready to do some work to improve the building and the site</w:t>
      </w:r>
      <w:r w:rsidRPr="00EB3C58">
        <w:rPr>
          <w:lang w:val="en-CA"/>
        </w:rPr>
        <w:t>”</w:t>
      </w:r>
      <w:r w:rsidR="00CF0E5B" w:rsidRPr="00700A2E">
        <w:rPr>
          <w:lang w:val="en-CA"/>
        </w:rPr>
        <w:t xml:space="preserve">, </w:t>
      </w:r>
      <w:r>
        <w:rPr>
          <w:lang w:val="en-CA"/>
        </w:rPr>
        <w:t>but that the asking base rate would now be $</w:t>
      </w:r>
      <w:r w:rsidR="00CF0E5B" w:rsidRPr="00700A2E">
        <w:rPr>
          <w:lang w:val="en-CA"/>
        </w:rPr>
        <w:t>11</w:t>
      </w:r>
      <w:r>
        <w:rPr>
          <w:lang w:val="en-CA"/>
        </w:rPr>
        <w:t>.</w:t>
      </w:r>
      <w:r w:rsidR="00CF0E5B" w:rsidRPr="00700A2E">
        <w:rPr>
          <w:lang w:val="en-CA"/>
        </w:rPr>
        <w:t>75 </w:t>
      </w:r>
      <w:r>
        <w:rPr>
          <w:lang w:val="en-CA"/>
        </w:rPr>
        <w:t>per square foot</w:t>
      </w:r>
      <w:r w:rsidR="00CF0E5B" w:rsidRPr="00700A2E">
        <w:rPr>
          <w:lang w:val="en-CA"/>
        </w:rPr>
        <w:t xml:space="preserve"> </w:t>
      </w:r>
      <w:r>
        <w:rPr>
          <w:lang w:val="en-CA"/>
        </w:rPr>
        <w:t>with</w:t>
      </w:r>
      <w:r w:rsidR="000A7F18">
        <w:rPr>
          <w:lang w:val="en-CA"/>
        </w:rPr>
        <w:t xml:space="preserve"> a</w:t>
      </w:r>
      <w:r>
        <w:rPr>
          <w:lang w:val="en-CA"/>
        </w:rPr>
        <w:t xml:space="preserve"> </w:t>
      </w:r>
      <w:r w:rsidR="00CF0E5B" w:rsidRPr="00700A2E">
        <w:rPr>
          <w:lang w:val="en-CA"/>
        </w:rPr>
        <w:t xml:space="preserve">4% </w:t>
      </w:r>
      <w:r>
        <w:rPr>
          <w:lang w:val="en-CA"/>
        </w:rPr>
        <w:t>percent increase each year.</w:t>
      </w:r>
      <w:r w:rsidR="00CF0E5B" w:rsidRPr="00700A2E">
        <w:rPr>
          <w:rStyle w:val="Appelnotedebasdep"/>
          <w:lang w:val="en-CA"/>
        </w:rPr>
        <w:footnoteReference w:id="10"/>
      </w:r>
    </w:p>
    <w:p w14:paraId="1F75E226" w14:textId="37B328A3" w:rsidR="00CF0E5B" w:rsidRPr="00700A2E" w:rsidRDefault="001C6DC3" w:rsidP="00CF0E5B">
      <w:pPr>
        <w:pStyle w:val="Paragraphe"/>
        <w:rPr>
          <w:lang w:val="en-CA"/>
        </w:rPr>
      </w:pPr>
      <w:r>
        <w:rPr>
          <w:lang w:val="en-CA"/>
        </w:rPr>
        <w:t>Additional</w:t>
      </w:r>
      <w:r w:rsidR="00EB3C58">
        <w:rPr>
          <w:lang w:val="en-CA"/>
        </w:rPr>
        <w:t xml:space="preserve"> exchanges</w:t>
      </w:r>
      <w:r>
        <w:rPr>
          <w:lang w:val="en-CA"/>
        </w:rPr>
        <w:t xml:space="preserve"> followed</w:t>
      </w:r>
      <w:r w:rsidR="00EB3C58">
        <w:rPr>
          <w:lang w:val="en-CA"/>
        </w:rPr>
        <w:t xml:space="preserve"> between the parties</w:t>
      </w:r>
      <w:r>
        <w:rPr>
          <w:lang w:val="en-CA"/>
        </w:rPr>
        <w:t>’</w:t>
      </w:r>
      <w:r w:rsidR="00EB3C58">
        <w:rPr>
          <w:lang w:val="en-CA"/>
        </w:rPr>
        <w:t xml:space="preserve"> counsel</w:t>
      </w:r>
      <w:r>
        <w:rPr>
          <w:lang w:val="en-CA"/>
        </w:rPr>
        <w:t xml:space="preserve">, which I will discuss further </w:t>
      </w:r>
      <w:r w:rsidR="000A7F18">
        <w:rPr>
          <w:lang w:val="en-CA"/>
        </w:rPr>
        <w:t>when addressing the issue of</w:t>
      </w:r>
      <w:r w:rsidR="00CF0E5B" w:rsidRPr="00700A2E">
        <w:rPr>
          <w:lang w:val="en-CA"/>
        </w:rPr>
        <w:t xml:space="preserve"> </w:t>
      </w:r>
      <w:proofErr w:type="spellStart"/>
      <w:r w:rsidR="00CF0E5B" w:rsidRPr="00700A2E">
        <w:rPr>
          <w:lang w:val="en-CA"/>
        </w:rPr>
        <w:t>Cominar</w:t>
      </w:r>
      <w:r>
        <w:rPr>
          <w:lang w:val="en-CA"/>
        </w:rPr>
        <w:t>’s</w:t>
      </w:r>
      <w:proofErr w:type="spellEnd"/>
      <w:r>
        <w:rPr>
          <w:lang w:val="en-CA"/>
        </w:rPr>
        <w:t xml:space="preserve"> bad faith</w:t>
      </w:r>
      <w:r w:rsidR="00CF0E5B" w:rsidRPr="00700A2E">
        <w:rPr>
          <w:lang w:val="en-CA"/>
        </w:rPr>
        <w:t>.</w:t>
      </w:r>
    </w:p>
    <w:p w14:paraId="0871983C" w14:textId="6F915F9A" w:rsidR="00CF0E5B" w:rsidRPr="00700A2E" w:rsidRDefault="001C6DC3" w:rsidP="00CF0E5B">
      <w:pPr>
        <w:pStyle w:val="Paragraphe"/>
        <w:rPr>
          <w:lang w:val="en-CA"/>
        </w:rPr>
      </w:pPr>
      <w:r>
        <w:rPr>
          <w:lang w:val="en-CA"/>
        </w:rPr>
        <w:t>On March 1,</w:t>
      </w:r>
      <w:r w:rsidR="00CF0E5B" w:rsidRPr="00700A2E">
        <w:rPr>
          <w:lang w:val="en-CA"/>
        </w:rPr>
        <w:t xml:space="preserve"> 2022, </w:t>
      </w:r>
      <w:r w:rsidR="00C06A83">
        <w:rPr>
          <w:lang w:val="en-CA"/>
        </w:rPr>
        <w:t xml:space="preserve">the </w:t>
      </w:r>
      <w:r>
        <w:rPr>
          <w:lang w:val="en-CA"/>
        </w:rPr>
        <w:t>appellants</w:t>
      </w:r>
      <w:r w:rsidR="00CF0E5B" w:rsidRPr="00700A2E">
        <w:rPr>
          <w:lang w:val="en-CA"/>
        </w:rPr>
        <w:t xml:space="preserve"> (</w:t>
      </w:r>
      <w:r>
        <w:rPr>
          <w:lang w:val="en-CA"/>
        </w:rPr>
        <w:t>the “Owners”</w:t>
      </w:r>
      <w:r w:rsidR="00CF0E5B" w:rsidRPr="00700A2E">
        <w:rPr>
          <w:lang w:val="en-CA"/>
        </w:rPr>
        <w:t xml:space="preserve">) </w:t>
      </w:r>
      <w:r w:rsidR="00C50E2D">
        <w:rPr>
          <w:lang w:val="en-CA"/>
        </w:rPr>
        <w:t>acquired the building in which the Leased Premises were located</w:t>
      </w:r>
      <w:r w:rsidR="00CF0E5B" w:rsidRPr="00700A2E">
        <w:rPr>
          <w:lang w:val="en-CA"/>
        </w:rPr>
        <w:t xml:space="preserve">. </w:t>
      </w:r>
      <w:r w:rsidR="00C50E2D">
        <w:rPr>
          <w:lang w:val="en-CA"/>
        </w:rPr>
        <w:t>About a month later</w:t>
      </w:r>
      <w:r w:rsidR="00CF0E5B" w:rsidRPr="00700A2E">
        <w:rPr>
          <w:lang w:val="en-CA"/>
        </w:rPr>
        <w:t xml:space="preserve">, </w:t>
      </w:r>
      <w:r w:rsidR="00C50E2D">
        <w:rPr>
          <w:lang w:val="en-CA"/>
        </w:rPr>
        <w:t xml:space="preserve">and although the 60-day period provided in clause </w:t>
      </w:r>
      <w:r w:rsidR="00CF0E5B" w:rsidRPr="00700A2E">
        <w:rPr>
          <w:lang w:val="en-CA"/>
        </w:rPr>
        <w:t xml:space="preserve">27.6 </w:t>
      </w:r>
      <w:r w:rsidR="00C50E2D">
        <w:rPr>
          <w:lang w:val="en-CA"/>
        </w:rPr>
        <w:t>of the lease had expired</w:t>
      </w:r>
      <w:r w:rsidR="00CF0E5B" w:rsidRPr="00700A2E">
        <w:rPr>
          <w:lang w:val="en-CA"/>
        </w:rPr>
        <w:t xml:space="preserve">, </w:t>
      </w:r>
      <w:r w:rsidR="00C50E2D">
        <w:rPr>
          <w:lang w:val="en-CA"/>
        </w:rPr>
        <w:t>they sent the Lessee a list of 37 comparable rentals and asked it to provide its own data</w:t>
      </w:r>
      <w:r w:rsidR="00CF0E5B" w:rsidRPr="00700A2E">
        <w:rPr>
          <w:lang w:val="en-CA"/>
        </w:rPr>
        <w:t>.</w:t>
      </w:r>
    </w:p>
    <w:p w14:paraId="08E9F3C4" w14:textId="3E40849B" w:rsidR="00CF0E5B" w:rsidRPr="00700A2E" w:rsidRDefault="00C50E2D" w:rsidP="00CF0E5B">
      <w:pPr>
        <w:pStyle w:val="Paragraphe"/>
        <w:rPr>
          <w:lang w:val="en-CA"/>
        </w:rPr>
      </w:pPr>
      <w:r>
        <w:rPr>
          <w:lang w:val="en-CA"/>
        </w:rPr>
        <w:lastRenderedPageBreak/>
        <w:t>On April 26,</w:t>
      </w:r>
      <w:r w:rsidR="00CF0E5B" w:rsidRPr="00700A2E">
        <w:rPr>
          <w:lang w:val="en-CA"/>
        </w:rPr>
        <w:t xml:space="preserve"> 2022, </w:t>
      </w:r>
      <w:r>
        <w:rPr>
          <w:lang w:val="en-CA"/>
        </w:rPr>
        <w:t>the Lessee filed a</w:t>
      </w:r>
      <w:r w:rsidR="00F534E1">
        <w:rPr>
          <w:lang w:val="en-CA"/>
        </w:rPr>
        <w:t>n originating application</w:t>
      </w:r>
      <w:r w:rsidR="00CF0E5B" w:rsidRPr="00700A2E">
        <w:rPr>
          <w:lang w:val="en-CA"/>
        </w:rPr>
        <w:t xml:space="preserve">. </w:t>
      </w:r>
      <w:r w:rsidR="00F534E1">
        <w:rPr>
          <w:lang w:val="en-CA"/>
        </w:rPr>
        <w:t xml:space="preserve">It sought, </w:t>
      </w:r>
      <w:r w:rsidR="00F534E1" w:rsidRPr="00F534E1">
        <w:rPr>
          <w:i/>
          <w:iCs/>
          <w:lang w:val="en-CA"/>
        </w:rPr>
        <w:t>inter alia</w:t>
      </w:r>
      <w:r w:rsidR="00F534E1">
        <w:rPr>
          <w:lang w:val="en-CA"/>
        </w:rPr>
        <w:t xml:space="preserve">, a declaration that the parties were bound by the second renewal proposal and by the lease </w:t>
      </w:r>
      <w:r w:rsidR="000A7F18">
        <w:rPr>
          <w:lang w:val="en-CA"/>
        </w:rPr>
        <w:t xml:space="preserve">purportedly </w:t>
      </w:r>
      <w:r w:rsidR="00F534E1">
        <w:rPr>
          <w:lang w:val="en-CA"/>
        </w:rPr>
        <w:t>resulting therefrom</w:t>
      </w:r>
      <w:r w:rsidR="00CF0E5B" w:rsidRPr="00700A2E">
        <w:rPr>
          <w:lang w:val="en-CA"/>
        </w:rPr>
        <w:t>.</w:t>
      </w:r>
    </w:p>
    <w:p w14:paraId="12396200" w14:textId="347EEC3A" w:rsidR="00CF0E5B" w:rsidRPr="00700A2E" w:rsidRDefault="00CF0E5B" w:rsidP="00CF0E5B">
      <w:pPr>
        <w:pStyle w:val="Titre1"/>
        <w:rPr>
          <w:lang w:val="en-CA"/>
        </w:rPr>
      </w:pPr>
      <w:r w:rsidRPr="00700A2E">
        <w:rPr>
          <w:lang w:val="en-CA"/>
        </w:rPr>
        <w:t>Ju</w:t>
      </w:r>
      <w:r w:rsidR="00F534E1">
        <w:rPr>
          <w:lang w:val="en-CA"/>
        </w:rPr>
        <w:t>d</w:t>
      </w:r>
      <w:r w:rsidRPr="00700A2E">
        <w:rPr>
          <w:lang w:val="en-CA"/>
        </w:rPr>
        <w:t xml:space="preserve">gment </w:t>
      </w:r>
      <w:r w:rsidR="00F534E1">
        <w:rPr>
          <w:lang w:val="en-CA"/>
        </w:rPr>
        <w:t>in first</w:t>
      </w:r>
      <w:r w:rsidRPr="00700A2E">
        <w:rPr>
          <w:lang w:val="en-CA"/>
        </w:rPr>
        <w:t xml:space="preserve"> instance</w:t>
      </w:r>
    </w:p>
    <w:p w14:paraId="3E714B87" w14:textId="11DC0692" w:rsidR="00CF0E5B" w:rsidRPr="00700A2E" w:rsidRDefault="000C2922" w:rsidP="00CF0E5B">
      <w:pPr>
        <w:pStyle w:val="Paragraphe"/>
        <w:rPr>
          <w:lang w:val="en-CA"/>
        </w:rPr>
      </w:pPr>
      <w:r>
        <w:rPr>
          <w:lang w:val="en-CA"/>
        </w:rPr>
        <w:t>First, t</w:t>
      </w:r>
      <w:r w:rsidR="00F534E1">
        <w:rPr>
          <w:lang w:val="en-CA"/>
        </w:rPr>
        <w:t xml:space="preserve">he judge </w:t>
      </w:r>
      <w:r>
        <w:rPr>
          <w:lang w:val="en-CA"/>
        </w:rPr>
        <w:t>questioned</w:t>
      </w:r>
      <w:r w:rsidR="00F534E1">
        <w:rPr>
          <w:lang w:val="en-CA"/>
        </w:rPr>
        <w:t xml:space="preserve"> whether clause 27.6 of the lease granted to the Lessee a true renewal option, rather than a mere right of first refusal</w:t>
      </w:r>
      <w:r w:rsidR="00CF0E5B" w:rsidRPr="00700A2E">
        <w:rPr>
          <w:lang w:val="en-CA"/>
        </w:rPr>
        <w:t xml:space="preserve">. </w:t>
      </w:r>
      <w:r w:rsidR="00F534E1">
        <w:rPr>
          <w:lang w:val="en-CA"/>
        </w:rPr>
        <w:t xml:space="preserve">In his view it did, because the clause referred to market rates for a </w:t>
      </w:r>
      <w:r w:rsidR="00F82970">
        <w:rPr>
          <w:lang w:val="en-CA"/>
        </w:rPr>
        <w:t>comparable</w:t>
      </w:r>
      <w:r w:rsidR="00F534E1">
        <w:rPr>
          <w:lang w:val="en-CA"/>
        </w:rPr>
        <w:t xml:space="preserve"> lease which, in his opinion, render</w:t>
      </w:r>
      <w:r w:rsidR="00271184">
        <w:rPr>
          <w:lang w:val="en-CA"/>
        </w:rPr>
        <w:t>ed</w:t>
      </w:r>
      <w:r w:rsidR="00F534E1">
        <w:rPr>
          <w:lang w:val="en-CA"/>
        </w:rPr>
        <w:t xml:space="preserve"> the rent determinable within the meaning of articles</w:t>
      </w:r>
      <w:r w:rsidR="00CF0E5B" w:rsidRPr="00700A2E">
        <w:rPr>
          <w:lang w:val="en-CA"/>
        </w:rPr>
        <w:t xml:space="preserve"> 1373 </w:t>
      </w:r>
      <w:r w:rsidR="00F534E1">
        <w:rPr>
          <w:lang w:val="en-CA"/>
        </w:rPr>
        <w:t>and</w:t>
      </w:r>
      <w:r w:rsidR="00CF0E5B" w:rsidRPr="00700A2E">
        <w:rPr>
          <w:lang w:val="en-CA"/>
        </w:rPr>
        <w:t xml:space="preserve"> 1374 </w:t>
      </w:r>
      <w:r w:rsidR="00CF0E5B" w:rsidRPr="00700A2E">
        <w:rPr>
          <w:i/>
          <w:iCs/>
          <w:lang w:val="en-CA"/>
        </w:rPr>
        <w:t>C.</w:t>
      </w:r>
      <w:r w:rsidR="00F534E1">
        <w:rPr>
          <w:i/>
          <w:iCs/>
          <w:lang w:val="en-CA"/>
        </w:rPr>
        <w:t>C</w:t>
      </w:r>
      <w:r w:rsidR="00CF0E5B" w:rsidRPr="00700A2E">
        <w:rPr>
          <w:i/>
          <w:iCs/>
          <w:lang w:val="en-CA"/>
        </w:rPr>
        <w:t>.Q.</w:t>
      </w:r>
    </w:p>
    <w:p w14:paraId="1B6B565B" w14:textId="68158C7D" w:rsidR="00CF0E5B" w:rsidRPr="00700A2E" w:rsidRDefault="00271184" w:rsidP="00CF0E5B">
      <w:pPr>
        <w:pStyle w:val="Paragraphe"/>
        <w:rPr>
          <w:lang w:val="en-CA"/>
        </w:rPr>
      </w:pPr>
      <w:r>
        <w:rPr>
          <w:lang w:val="en-CA"/>
        </w:rPr>
        <w:t>Second</w:t>
      </w:r>
      <w:r w:rsidR="000C2922">
        <w:rPr>
          <w:lang w:val="en-CA"/>
        </w:rPr>
        <w:t>, t</w:t>
      </w:r>
      <w:r>
        <w:rPr>
          <w:lang w:val="en-CA"/>
        </w:rPr>
        <w:t>he judge considered the question of whether</w:t>
      </w:r>
      <w:r w:rsidR="00CF0E5B" w:rsidRPr="00700A2E">
        <w:rPr>
          <w:lang w:val="en-CA"/>
        </w:rPr>
        <w:t xml:space="preserve"> </w:t>
      </w:r>
      <w:r>
        <w:rPr>
          <w:lang w:val="en-CA"/>
        </w:rPr>
        <w:t xml:space="preserve">a lease agreement was formed on November </w:t>
      </w:r>
      <w:r w:rsidR="00CF0E5B" w:rsidRPr="00700A2E">
        <w:rPr>
          <w:lang w:val="en-CA"/>
        </w:rPr>
        <w:t>25</w:t>
      </w:r>
      <w:r>
        <w:rPr>
          <w:lang w:val="en-CA"/>
        </w:rPr>
        <w:t>,</w:t>
      </w:r>
      <w:r w:rsidR="00CF0E5B" w:rsidRPr="00700A2E">
        <w:rPr>
          <w:lang w:val="en-CA"/>
        </w:rPr>
        <w:t xml:space="preserve"> 2021, </w:t>
      </w:r>
      <w:r w:rsidR="00F82970">
        <w:rPr>
          <w:lang w:val="en-CA"/>
        </w:rPr>
        <w:t>when</w:t>
      </w:r>
      <w:r w:rsidR="003F2F9E">
        <w:rPr>
          <w:lang w:val="en-CA"/>
        </w:rPr>
        <w:t xml:space="preserve"> </w:t>
      </w:r>
      <w:r>
        <w:rPr>
          <w:lang w:val="en-CA"/>
        </w:rPr>
        <w:t>the Lessee accepted the second renewal proposal</w:t>
      </w:r>
      <w:r w:rsidR="00CF0E5B" w:rsidRPr="00700A2E">
        <w:rPr>
          <w:lang w:val="en-CA"/>
        </w:rPr>
        <w:t xml:space="preserve">. </w:t>
      </w:r>
      <w:r w:rsidR="000C2922">
        <w:rPr>
          <w:lang w:val="en-CA"/>
        </w:rPr>
        <w:t>He found that that proposal did not constitute an offer to contract within the meaning of article</w:t>
      </w:r>
      <w:r w:rsidR="00CF0E5B" w:rsidRPr="00700A2E">
        <w:rPr>
          <w:lang w:val="en-CA"/>
        </w:rPr>
        <w:t> 1388 </w:t>
      </w:r>
      <w:r w:rsidR="00CF0E5B" w:rsidRPr="00700A2E">
        <w:rPr>
          <w:i/>
          <w:iCs/>
          <w:lang w:val="en-CA"/>
        </w:rPr>
        <w:t>C</w:t>
      </w:r>
      <w:r w:rsidR="000C2922">
        <w:rPr>
          <w:i/>
          <w:iCs/>
          <w:lang w:val="en-CA"/>
        </w:rPr>
        <w:t>.C</w:t>
      </w:r>
      <w:r w:rsidR="00CF0E5B" w:rsidRPr="00700A2E">
        <w:rPr>
          <w:i/>
          <w:iCs/>
          <w:lang w:val="en-CA"/>
        </w:rPr>
        <w:t>.Q.</w:t>
      </w:r>
      <w:r w:rsidR="00CF0E5B" w:rsidRPr="00700A2E">
        <w:rPr>
          <w:lang w:val="en-CA"/>
        </w:rPr>
        <w:t xml:space="preserve">, </w:t>
      </w:r>
      <w:r w:rsidR="000C2922">
        <w:rPr>
          <w:lang w:val="en-CA"/>
        </w:rPr>
        <w:t>and therefore that its acceptance by the Lessee did not result in an exchange of consents</w:t>
      </w:r>
      <w:r w:rsidR="00CF0E5B" w:rsidRPr="00700A2E">
        <w:rPr>
          <w:lang w:val="en-CA"/>
        </w:rPr>
        <w:t xml:space="preserve">. </w:t>
      </w:r>
      <w:r w:rsidR="000C2922">
        <w:rPr>
          <w:lang w:val="en-CA"/>
        </w:rPr>
        <w:t xml:space="preserve">He rejected </w:t>
      </w:r>
      <w:proofErr w:type="gramStart"/>
      <w:r w:rsidR="000C2922">
        <w:rPr>
          <w:lang w:val="en-CA"/>
        </w:rPr>
        <w:t>all of</w:t>
      </w:r>
      <w:proofErr w:type="gramEnd"/>
      <w:r w:rsidR="000C2922">
        <w:rPr>
          <w:lang w:val="en-CA"/>
        </w:rPr>
        <w:t xml:space="preserve"> the Lessee’s other submissions aimed at countering </w:t>
      </w:r>
      <w:r w:rsidR="003F2F9E">
        <w:rPr>
          <w:lang w:val="en-CA"/>
        </w:rPr>
        <w:t xml:space="preserve">the </w:t>
      </w:r>
      <w:r w:rsidR="00F82970">
        <w:rPr>
          <w:lang w:val="en-CA"/>
        </w:rPr>
        <w:t xml:space="preserve">subsequent acceptance </w:t>
      </w:r>
      <w:r w:rsidR="003F2F9E">
        <w:rPr>
          <w:lang w:val="en-CA"/>
        </w:rPr>
        <w:t xml:space="preserve">stipulation </w:t>
      </w:r>
      <w:r w:rsidR="000C2922">
        <w:rPr>
          <w:lang w:val="en-CA"/>
        </w:rPr>
        <w:t>contained in the proposal</w:t>
      </w:r>
      <w:r w:rsidR="00CF0E5B" w:rsidRPr="00700A2E">
        <w:rPr>
          <w:lang w:val="en-CA"/>
        </w:rPr>
        <w:t>.</w:t>
      </w:r>
    </w:p>
    <w:p w14:paraId="7FDCB281" w14:textId="1F5DDE6F" w:rsidR="00CF0E5B" w:rsidRPr="00700A2E" w:rsidRDefault="003F2F9E" w:rsidP="00CF0E5B">
      <w:pPr>
        <w:pStyle w:val="Paragraphe"/>
        <w:rPr>
          <w:lang w:val="en-CA"/>
        </w:rPr>
      </w:pPr>
      <w:r>
        <w:rPr>
          <w:lang w:val="en-CA"/>
        </w:rPr>
        <w:t>Third</w:t>
      </w:r>
      <w:r w:rsidR="00CF0E5B" w:rsidRPr="00700A2E">
        <w:rPr>
          <w:lang w:val="en-CA"/>
        </w:rPr>
        <w:t xml:space="preserve">, </w:t>
      </w:r>
      <w:r>
        <w:rPr>
          <w:lang w:val="en-CA"/>
        </w:rPr>
        <w:t>the judge found that as of November</w:t>
      </w:r>
      <w:r w:rsidR="00CF0E5B" w:rsidRPr="00700A2E">
        <w:rPr>
          <w:lang w:val="en-CA"/>
        </w:rPr>
        <w:t xml:space="preserve"> 25</w:t>
      </w:r>
      <w:r>
        <w:rPr>
          <w:lang w:val="en-CA"/>
        </w:rPr>
        <w:t>,</w:t>
      </w:r>
      <w:r w:rsidR="00CF0E5B" w:rsidRPr="00700A2E">
        <w:rPr>
          <w:lang w:val="en-CA"/>
        </w:rPr>
        <w:t xml:space="preserve"> 2021, </w:t>
      </w:r>
      <w:proofErr w:type="spellStart"/>
      <w:r w:rsidR="00CF0E5B" w:rsidRPr="00700A2E">
        <w:rPr>
          <w:lang w:val="en-CA"/>
        </w:rPr>
        <w:t>Cominar</w:t>
      </w:r>
      <w:proofErr w:type="spellEnd"/>
      <w:r w:rsidR="00CF0E5B" w:rsidRPr="00700A2E">
        <w:rPr>
          <w:lang w:val="en-CA"/>
        </w:rPr>
        <w:t xml:space="preserve"> </w:t>
      </w:r>
      <w:r>
        <w:rPr>
          <w:lang w:val="en-CA"/>
        </w:rPr>
        <w:t>had breached its duty to negotiate the rent</w:t>
      </w:r>
      <w:r w:rsidR="00F82970">
        <w:rPr>
          <w:lang w:val="en-CA"/>
        </w:rPr>
        <w:t>al price</w:t>
      </w:r>
      <w:r>
        <w:rPr>
          <w:lang w:val="en-CA"/>
        </w:rPr>
        <w:t xml:space="preserve"> in good faith</w:t>
      </w:r>
      <w:r w:rsidR="00CF0E5B" w:rsidRPr="00700A2E">
        <w:rPr>
          <w:lang w:val="en-CA"/>
        </w:rPr>
        <w:t xml:space="preserve">. </w:t>
      </w:r>
      <w:proofErr w:type="spellStart"/>
      <w:r>
        <w:rPr>
          <w:lang w:val="en-CA"/>
        </w:rPr>
        <w:t>Cominar</w:t>
      </w:r>
      <w:proofErr w:type="spellEnd"/>
      <w:r>
        <w:rPr>
          <w:lang w:val="en-CA"/>
        </w:rPr>
        <w:t xml:space="preserve"> could not, in his view, wash its hands of the matter and simply be </w:t>
      </w:r>
      <w:r w:rsidR="00FD68A4">
        <w:rPr>
          <w:lang w:val="en-CA"/>
        </w:rPr>
        <w:t>a mouthpiece for</w:t>
      </w:r>
      <w:r w:rsidR="00FD68A4" w:rsidRPr="00700A2E">
        <w:rPr>
          <w:lang w:val="en-CA"/>
        </w:rPr>
        <w:t xml:space="preserve"> </w:t>
      </w:r>
      <w:r w:rsidR="00CF0E5B" w:rsidRPr="00700A2E">
        <w:rPr>
          <w:lang w:val="en-CA"/>
        </w:rPr>
        <w:t>Pure.</w:t>
      </w:r>
    </w:p>
    <w:p w14:paraId="50B8E9B6" w14:textId="179F06D5" w:rsidR="00CF0E5B" w:rsidRPr="00700A2E" w:rsidRDefault="00FD68A4" w:rsidP="00CF0E5B">
      <w:pPr>
        <w:pStyle w:val="Paragraphe"/>
        <w:rPr>
          <w:lang w:val="en-CA"/>
        </w:rPr>
      </w:pPr>
      <w:r>
        <w:rPr>
          <w:lang w:val="en-CA"/>
        </w:rPr>
        <w:t>Fourth</w:t>
      </w:r>
      <w:r w:rsidR="00CF0E5B" w:rsidRPr="00700A2E">
        <w:rPr>
          <w:lang w:val="en-CA"/>
        </w:rPr>
        <w:t xml:space="preserve">, </w:t>
      </w:r>
      <w:r>
        <w:rPr>
          <w:lang w:val="en-CA"/>
        </w:rPr>
        <w:t>the judge considered the appropriate relief to be granted</w:t>
      </w:r>
      <w:r w:rsidR="00CF0E5B" w:rsidRPr="00700A2E">
        <w:rPr>
          <w:lang w:val="en-CA"/>
        </w:rPr>
        <w:t xml:space="preserve">. </w:t>
      </w:r>
      <w:r>
        <w:rPr>
          <w:lang w:val="en-CA"/>
        </w:rPr>
        <w:t xml:space="preserve">He found that, </w:t>
      </w:r>
      <w:r w:rsidR="00F82970">
        <w:rPr>
          <w:lang w:val="en-CA"/>
        </w:rPr>
        <w:t>but</w:t>
      </w:r>
      <w:r>
        <w:rPr>
          <w:lang w:val="en-CA"/>
        </w:rPr>
        <w:t xml:space="preserve"> for </w:t>
      </w:r>
      <w:proofErr w:type="spellStart"/>
      <w:r>
        <w:rPr>
          <w:lang w:val="en-CA"/>
        </w:rPr>
        <w:t>Cominar’s</w:t>
      </w:r>
      <w:proofErr w:type="spellEnd"/>
      <w:r>
        <w:rPr>
          <w:lang w:val="en-CA"/>
        </w:rPr>
        <w:t xml:space="preserve"> bad faith, the Lessee would have entered into a new lease agreement based on market rates. He held however that the evidence did not allow him to set the rent</w:t>
      </w:r>
      <w:r w:rsidR="00CF0E5B" w:rsidRPr="00700A2E">
        <w:rPr>
          <w:lang w:val="en-CA"/>
        </w:rPr>
        <w:t xml:space="preserve">. </w:t>
      </w:r>
      <w:r w:rsidR="00580AE7">
        <w:rPr>
          <w:lang w:val="en-CA"/>
        </w:rPr>
        <w:t xml:space="preserve">Referring to the mode of performance that is specific performance of the obligation, he ordered the parties to </w:t>
      </w:r>
      <w:r w:rsidR="00580AE7" w:rsidRPr="00580AE7">
        <w:rPr>
          <w:lang w:val="en-CA"/>
        </w:rPr>
        <w:t xml:space="preserve">engage in good faith discussions </w:t>
      </w:r>
      <w:proofErr w:type="gramStart"/>
      <w:r w:rsidR="00580AE7" w:rsidRPr="00580AE7">
        <w:rPr>
          <w:lang w:val="en-CA"/>
        </w:rPr>
        <w:t>in order to</w:t>
      </w:r>
      <w:proofErr w:type="gramEnd"/>
      <w:r w:rsidR="00580AE7" w:rsidRPr="00580AE7">
        <w:rPr>
          <w:lang w:val="en-CA"/>
        </w:rPr>
        <w:t xml:space="preserve"> set the rent </w:t>
      </w:r>
      <w:r w:rsidR="00580AE7">
        <w:rPr>
          <w:lang w:val="en-CA"/>
        </w:rPr>
        <w:t xml:space="preserve">in accordance with market rates and reserved their </w:t>
      </w:r>
      <w:r w:rsidR="00580AE7" w:rsidRPr="00580AE7">
        <w:rPr>
          <w:lang w:val="en-CA"/>
        </w:rPr>
        <w:t xml:space="preserve">right to </w:t>
      </w:r>
      <w:r w:rsidR="00B11DF7" w:rsidRPr="00B11DF7">
        <w:rPr>
          <w:lang w:val="en-CA"/>
        </w:rPr>
        <w:t xml:space="preserve">seek further adjudication of the </w:t>
      </w:r>
      <w:r w:rsidR="00580AE7" w:rsidRPr="00580AE7">
        <w:rPr>
          <w:lang w:val="en-CA"/>
        </w:rPr>
        <w:t>Superior Court should they fail to come to an agreement</w:t>
      </w:r>
      <w:r w:rsidR="00CF0E5B" w:rsidRPr="00700A2E">
        <w:rPr>
          <w:lang w:val="en-CA"/>
        </w:rPr>
        <w:t>.</w:t>
      </w:r>
    </w:p>
    <w:p w14:paraId="60EAC5DB" w14:textId="76796741" w:rsidR="00CF0E5B" w:rsidRPr="00700A2E" w:rsidRDefault="008A1ED6" w:rsidP="00CF0E5B">
      <w:pPr>
        <w:pStyle w:val="Titre1"/>
        <w:rPr>
          <w:lang w:val="en-CA"/>
        </w:rPr>
      </w:pPr>
      <w:r>
        <w:rPr>
          <w:lang w:val="en-CA"/>
        </w:rPr>
        <w:t>Issues</w:t>
      </w:r>
    </w:p>
    <w:p w14:paraId="29B53B20" w14:textId="455AE984" w:rsidR="00CF0E5B" w:rsidRPr="00700A2E" w:rsidRDefault="00254445" w:rsidP="00CF0E5B">
      <w:pPr>
        <w:pStyle w:val="Paragraphe"/>
        <w:rPr>
          <w:lang w:val="en-CA"/>
        </w:rPr>
      </w:pPr>
      <w:r>
        <w:rPr>
          <w:lang w:val="en-CA"/>
        </w:rPr>
        <w:t>Both parties are dissatisfied by the judgment</w:t>
      </w:r>
      <w:r w:rsidR="00CF0E5B" w:rsidRPr="00700A2E">
        <w:rPr>
          <w:lang w:val="en-CA"/>
        </w:rPr>
        <w:t xml:space="preserve">. </w:t>
      </w:r>
      <w:r>
        <w:rPr>
          <w:lang w:val="en-CA"/>
        </w:rPr>
        <w:t>As mentioned</w:t>
      </w:r>
      <w:r w:rsidR="00CF0E5B" w:rsidRPr="00700A2E">
        <w:rPr>
          <w:lang w:val="en-CA"/>
        </w:rPr>
        <w:t xml:space="preserve">, </w:t>
      </w:r>
      <w:r>
        <w:rPr>
          <w:lang w:val="en-CA"/>
        </w:rPr>
        <w:t xml:space="preserve">the Owners’ appeal concerns the interpretation of clause </w:t>
      </w:r>
      <w:r w:rsidR="00CF0E5B" w:rsidRPr="00700A2E">
        <w:rPr>
          <w:lang w:val="en-CA"/>
        </w:rPr>
        <w:t xml:space="preserve">27.6 </w:t>
      </w:r>
      <w:r>
        <w:rPr>
          <w:lang w:val="en-CA"/>
        </w:rPr>
        <w:t>and the judge’s conclusion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breached its duty to negotiate in good faith</w:t>
      </w:r>
      <w:r w:rsidR="00CF0E5B" w:rsidRPr="00700A2E">
        <w:rPr>
          <w:lang w:val="en-CA"/>
        </w:rPr>
        <w:t xml:space="preserve">. </w:t>
      </w:r>
      <w:r>
        <w:rPr>
          <w:lang w:val="en-CA"/>
        </w:rPr>
        <w:t>In its incidental appeal</w:t>
      </w:r>
      <w:r w:rsidR="00CF0E5B" w:rsidRPr="00700A2E">
        <w:rPr>
          <w:lang w:val="en-CA"/>
        </w:rPr>
        <w:t xml:space="preserve">, </w:t>
      </w:r>
      <w:r>
        <w:rPr>
          <w:lang w:val="en-CA"/>
        </w:rPr>
        <w:t>the Lessee argues that the judge erred in law by giving effect to the subsequent acceptance stipulation contained in the second renewal proposal</w:t>
      </w:r>
      <w:r w:rsidR="00CF0E5B" w:rsidRPr="00700A2E">
        <w:rPr>
          <w:lang w:val="en-CA"/>
        </w:rPr>
        <w:t xml:space="preserve">. </w:t>
      </w:r>
      <w:r>
        <w:rPr>
          <w:lang w:val="en-CA"/>
        </w:rPr>
        <w:t xml:space="preserve">In the alternative, it argues that the judge </w:t>
      </w:r>
      <w:r w:rsidR="003560ED">
        <w:rPr>
          <w:lang w:val="en-CA"/>
        </w:rPr>
        <w:t>should have</w:t>
      </w:r>
      <w:r>
        <w:rPr>
          <w:lang w:val="en-CA"/>
        </w:rPr>
        <w:t xml:space="preserve"> set the rent</w:t>
      </w:r>
      <w:r w:rsidR="00CF0E5B" w:rsidRPr="00700A2E">
        <w:rPr>
          <w:lang w:val="en-CA"/>
        </w:rPr>
        <w:t>.</w:t>
      </w:r>
    </w:p>
    <w:p w14:paraId="28AA08ED" w14:textId="7CAB15FA" w:rsidR="00CF0E5B" w:rsidRPr="00700A2E" w:rsidRDefault="00254445" w:rsidP="00CF0E5B">
      <w:pPr>
        <w:pStyle w:val="Paragraphe"/>
        <w:rPr>
          <w:lang w:val="en-CA"/>
        </w:rPr>
      </w:pPr>
      <w:r>
        <w:rPr>
          <w:lang w:val="en-CA"/>
        </w:rPr>
        <w:t xml:space="preserve">I begin by addressing the issue of whether a lease agreement was formed on November 25, 2021, </w:t>
      </w:r>
      <w:r w:rsidR="003560ED">
        <w:rPr>
          <w:lang w:val="en-CA"/>
        </w:rPr>
        <w:t>when</w:t>
      </w:r>
      <w:r w:rsidRPr="00254445">
        <w:rPr>
          <w:lang w:val="en-CA"/>
        </w:rPr>
        <w:t xml:space="preserve"> the Lessee accepted </w:t>
      </w:r>
      <w:proofErr w:type="spellStart"/>
      <w:r>
        <w:rPr>
          <w:lang w:val="en-CA"/>
        </w:rPr>
        <w:t>Cominar’s</w:t>
      </w:r>
      <w:proofErr w:type="spellEnd"/>
      <w:r>
        <w:rPr>
          <w:lang w:val="en-CA"/>
        </w:rPr>
        <w:t xml:space="preserve"> </w:t>
      </w:r>
      <w:r w:rsidRPr="00254445">
        <w:rPr>
          <w:lang w:val="en-CA"/>
        </w:rPr>
        <w:t>second proposal</w:t>
      </w:r>
      <w:r w:rsidR="00CF0E5B" w:rsidRPr="00700A2E">
        <w:rPr>
          <w:lang w:val="en-CA"/>
        </w:rPr>
        <w:t xml:space="preserve">. </w:t>
      </w:r>
      <w:r w:rsidR="009F3323">
        <w:rPr>
          <w:lang w:val="en-CA"/>
        </w:rPr>
        <w:t xml:space="preserve">I will then turn to the </w:t>
      </w:r>
      <w:r w:rsidR="00CF0E5B" w:rsidRPr="00700A2E">
        <w:rPr>
          <w:lang w:val="en-CA"/>
        </w:rPr>
        <w:t>interpr</w:t>
      </w:r>
      <w:r w:rsidR="009F3323">
        <w:rPr>
          <w:lang w:val="en-CA"/>
        </w:rPr>
        <w:t>etation of c</w:t>
      </w:r>
      <w:r w:rsidR="00CF0E5B" w:rsidRPr="00700A2E">
        <w:rPr>
          <w:lang w:val="en-CA"/>
        </w:rPr>
        <w:t xml:space="preserve">lause 27.6 </w:t>
      </w:r>
      <w:r w:rsidR="009F3323">
        <w:rPr>
          <w:lang w:val="en-CA"/>
        </w:rPr>
        <w:t>of the lease and to the finding that</w:t>
      </w:r>
      <w:r w:rsidR="00CF0E5B" w:rsidRPr="00700A2E">
        <w:rPr>
          <w:lang w:val="en-CA"/>
        </w:rPr>
        <w:t xml:space="preserve"> </w:t>
      </w:r>
      <w:proofErr w:type="spellStart"/>
      <w:r w:rsidR="00CF0E5B" w:rsidRPr="00700A2E">
        <w:rPr>
          <w:lang w:val="en-CA"/>
        </w:rPr>
        <w:t>Cominar</w:t>
      </w:r>
      <w:proofErr w:type="spellEnd"/>
      <w:r w:rsidR="009F3323">
        <w:rPr>
          <w:lang w:val="en-CA"/>
        </w:rPr>
        <w:t xml:space="preserve"> acted in bad faith</w:t>
      </w:r>
      <w:r w:rsidR="00CF0E5B" w:rsidRPr="00700A2E">
        <w:rPr>
          <w:lang w:val="en-CA"/>
        </w:rPr>
        <w:t>.</w:t>
      </w:r>
    </w:p>
    <w:p w14:paraId="1E253ED2" w14:textId="310D884E" w:rsidR="00CF0E5B" w:rsidRPr="00700A2E" w:rsidRDefault="00CF0E5B" w:rsidP="00CF0E5B">
      <w:pPr>
        <w:pStyle w:val="Titre1"/>
        <w:rPr>
          <w:lang w:val="en-CA"/>
        </w:rPr>
      </w:pPr>
      <w:r w:rsidRPr="00700A2E">
        <w:rPr>
          <w:lang w:val="en-CA"/>
        </w:rPr>
        <w:lastRenderedPageBreak/>
        <w:t>Analys</w:t>
      </w:r>
      <w:r w:rsidR="009F3323">
        <w:rPr>
          <w:lang w:val="en-CA"/>
        </w:rPr>
        <w:t>is</w:t>
      </w:r>
    </w:p>
    <w:p w14:paraId="15E7C626" w14:textId="4A772343" w:rsidR="00CF0E5B" w:rsidRPr="00700A2E" w:rsidRDefault="009F3323" w:rsidP="00CF0E5B">
      <w:pPr>
        <w:pStyle w:val="Titre2"/>
        <w:rPr>
          <w:lang w:val="en-CA"/>
        </w:rPr>
      </w:pPr>
      <w:r>
        <w:rPr>
          <w:lang w:val="en-CA"/>
        </w:rPr>
        <w:t>Was a lease agreement formed on November</w:t>
      </w:r>
      <w:r w:rsidR="00CF0E5B" w:rsidRPr="00700A2E">
        <w:rPr>
          <w:lang w:val="en-CA"/>
        </w:rPr>
        <w:t xml:space="preserve"> 25</w:t>
      </w:r>
      <w:r>
        <w:rPr>
          <w:lang w:val="en-CA"/>
        </w:rPr>
        <w:t>,</w:t>
      </w:r>
      <w:r w:rsidR="00CF0E5B" w:rsidRPr="00700A2E">
        <w:rPr>
          <w:lang w:val="en-CA"/>
        </w:rPr>
        <w:t> 2021?</w:t>
      </w:r>
    </w:p>
    <w:p w14:paraId="77A95AB2" w14:textId="5547C1B6" w:rsidR="00CF0E5B" w:rsidRPr="00700A2E" w:rsidRDefault="009F3323" w:rsidP="00CF0E5B">
      <w:pPr>
        <w:pStyle w:val="Paragraphe"/>
        <w:rPr>
          <w:lang w:val="en-CA"/>
        </w:rPr>
      </w:pPr>
      <w:r>
        <w:rPr>
          <w:lang w:val="en-CA"/>
        </w:rPr>
        <w:t>The judge framed the issue in these terms</w:t>
      </w:r>
      <w:r w:rsidR="00CF0E5B" w:rsidRPr="00700A2E">
        <w:rPr>
          <w:lang w:val="en-CA"/>
        </w:rPr>
        <w:t>:</w:t>
      </w:r>
    </w:p>
    <w:p w14:paraId="37095607" w14:textId="77777777" w:rsidR="00CF0E5B" w:rsidRPr="00700A2E" w:rsidRDefault="00CF0E5B" w:rsidP="00CF0E5B">
      <w:pPr>
        <w:pStyle w:val="Citationenretrait"/>
        <w:rPr>
          <w:b/>
          <w:bCs/>
          <w:u w:val="single"/>
          <w:lang w:val="en-CA"/>
        </w:rPr>
      </w:pPr>
      <w:r w:rsidRPr="00700A2E">
        <w:rPr>
          <w:b/>
          <w:bCs/>
          <w:u w:val="single"/>
          <w:lang w:val="en-CA"/>
        </w:rPr>
        <w:t>2. WAS THE LEASE RENEWED ON NOVEMBER 25?</w:t>
      </w:r>
    </w:p>
    <w:p w14:paraId="7C360BA7" w14:textId="77777777" w:rsidR="00CF0E5B" w:rsidRPr="00700A2E" w:rsidRDefault="00CF0E5B" w:rsidP="00CF0E5B">
      <w:pPr>
        <w:pStyle w:val="Citationenretrait"/>
        <w:keepNext/>
        <w:rPr>
          <w:lang w:val="en-CA"/>
        </w:rPr>
      </w:pPr>
      <w:r w:rsidRPr="00700A2E">
        <w:rPr>
          <w:lang w:val="en-CA"/>
        </w:rPr>
        <w:t>[21</w:t>
      </w:r>
      <w:proofErr w:type="gramStart"/>
      <w:r w:rsidRPr="00700A2E">
        <w:rPr>
          <w:lang w:val="en-CA"/>
        </w:rPr>
        <w:t>]  The</w:t>
      </w:r>
      <w:proofErr w:type="gramEnd"/>
      <w:r w:rsidRPr="00700A2E">
        <w:rPr>
          <w:lang w:val="en-CA"/>
        </w:rPr>
        <w:t xml:space="preserve"> second issue raised is whether the Lease was renewed by agreement between the parties on November 25, 2021, when Pival accepted a renewal proposal presented by </w:t>
      </w:r>
      <w:proofErr w:type="spellStart"/>
      <w:r w:rsidRPr="00700A2E">
        <w:rPr>
          <w:lang w:val="en-CA"/>
        </w:rPr>
        <w:t>Cominar</w:t>
      </w:r>
      <w:proofErr w:type="spellEnd"/>
      <w:r w:rsidRPr="00700A2E">
        <w:rPr>
          <w:lang w:val="en-CA"/>
        </w:rPr>
        <w:t>. Irrespective of the terms of the renewal clause in section 27.6 of the Lease, to the extent that a binding offer was accepted by Pival on that date, a new contract will have been formed between the parties.</w:t>
      </w:r>
    </w:p>
    <w:p w14:paraId="4069FFF4" w14:textId="4AB1CC58" w:rsidR="00CF0E5B" w:rsidRPr="00700A2E" w:rsidRDefault="00CF0E5B" w:rsidP="00CF0E5B">
      <w:pPr>
        <w:pStyle w:val="Citationenretrait"/>
        <w:jc w:val="right"/>
        <w:rPr>
          <w:lang w:val="en-CA"/>
        </w:rPr>
      </w:pPr>
      <w:r w:rsidRPr="00700A2E">
        <w:rPr>
          <w:lang w:val="en-CA"/>
        </w:rPr>
        <w:t>[</w:t>
      </w:r>
      <w:r w:rsidR="009F3323">
        <w:rPr>
          <w:lang w:val="en-CA"/>
        </w:rPr>
        <w:t xml:space="preserve">Bold and underlining in the </w:t>
      </w:r>
      <w:r w:rsidRPr="00700A2E">
        <w:rPr>
          <w:lang w:val="en-CA"/>
        </w:rPr>
        <w:t>original]</w:t>
      </w:r>
    </w:p>
    <w:p w14:paraId="3D8CF7E7" w14:textId="526A69F1" w:rsidR="00CF0E5B" w:rsidRPr="00700A2E" w:rsidRDefault="009F3323" w:rsidP="00CF0E5B">
      <w:pPr>
        <w:pStyle w:val="Paragraphe"/>
        <w:rPr>
          <w:lang w:val="en-CA"/>
        </w:rPr>
      </w:pPr>
      <w:r>
        <w:rPr>
          <w:lang w:val="en-CA"/>
        </w:rPr>
        <w:t xml:space="preserve">After summarizing the discussions surrounding the renewal of the lease, the judge considered whether </w:t>
      </w:r>
      <w:proofErr w:type="spellStart"/>
      <w:r>
        <w:rPr>
          <w:lang w:val="en-CA"/>
        </w:rPr>
        <w:t>Cominar’s</w:t>
      </w:r>
      <w:proofErr w:type="spellEnd"/>
      <w:r>
        <w:rPr>
          <w:lang w:val="en-CA"/>
        </w:rPr>
        <w:t xml:space="preserve"> second proposal constituted an offer to contract</w:t>
      </w:r>
      <w:r w:rsidR="00CF0E5B" w:rsidRPr="00700A2E">
        <w:rPr>
          <w:lang w:val="en-CA"/>
        </w:rPr>
        <w:t xml:space="preserve">. </w:t>
      </w:r>
      <w:r>
        <w:rPr>
          <w:lang w:val="en-CA"/>
        </w:rPr>
        <w:t>He cited</w:t>
      </w:r>
      <w:r w:rsidR="00CF0E5B" w:rsidRPr="00700A2E">
        <w:rPr>
          <w:lang w:val="en-CA"/>
        </w:rPr>
        <w:t xml:space="preserve"> </w:t>
      </w:r>
      <w:r w:rsidR="00C06A83">
        <w:rPr>
          <w:lang w:val="en-CA"/>
        </w:rPr>
        <w:t xml:space="preserve">article </w:t>
      </w:r>
      <w:r w:rsidR="00CF0E5B" w:rsidRPr="00700A2E">
        <w:rPr>
          <w:lang w:val="en-CA"/>
        </w:rPr>
        <w:t>1388 </w:t>
      </w:r>
      <w:r w:rsidR="00CF0E5B" w:rsidRPr="00700A2E">
        <w:rPr>
          <w:i/>
          <w:iCs/>
          <w:lang w:val="en-CA"/>
        </w:rPr>
        <w:t>C.</w:t>
      </w:r>
      <w:r>
        <w:rPr>
          <w:i/>
          <w:iCs/>
          <w:lang w:val="en-CA"/>
        </w:rPr>
        <w:t>C</w:t>
      </w:r>
      <w:r w:rsidR="00CF0E5B" w:rsidRPr="00700A2E">
        <w:rPr>
          <w:i/>
          <w:iCs/>
          <w:lang w:val="en-CA"/>
        </w:rPr>
        <w:t>.Q</w:t>
      </w:r>
      <w:r w:rsidR="00CF0E5B" w:rsidRPr="00700A2E">
        <w:rPr>
          <w:lang w:val="en-CA"/>
        </w:rPr>
        <w:t>. </w:t>
      </w:r>
      <w:r>
        <w:rPr>
          <w:lang w:val="en-CA"/>
        </w:rPr>
        <w:t>in that regard</w:t>
      </w:r>
      <w:r w:rsidR="00CF0E5B" w:rsidRPr="00700A2E">
        <w:rPr>
          <w:lang w:val="en-CA"/>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CF0E5B" w:rsidRPr="00EE068B" w14:paraId="66FD5C9B" w14:textId="77777777" w:rsidTr="00E8282E">
        <w:tc>
          <w:tcPr>
            <w:tcW w:w="4681" w:type="dxa"/>
            <w:shd w:val="clear" w:color="auto" w:fill="auto"/>
          </w:tcPr>
          <w:p w14:paraId="640F1E99" w14:textId="23049CB4" w:rsidR="00CF0E5B" w:rsidRPr="00544031" w:rsidRDefault="00CF0E5B" w:rsidP="00E8282E">
            <w:pPr>
              <w:pStyle w:val="Tableaugauchefranais"/>
              <w:spacing w:before="120" w:after="120"/>
              <w:ind w:right="142"/>
              <w:jc w:val="both"/>
              <w:rPr>
                <w:lang w:val="en-CA"/>
              </w:rPr>
            </w:pPr>
            <w:r w:rsidRPr="00523AC3">
              <w:rPr>
                <w:b/>
                <w:bCs/>
                <w:lang w:val="en-CA"/>
              </w:rPr>
              <w:t>1388.</w:t>
            </w:r>
            <w:r w:rsidRPr="00523AC3">
              <w:rPr>
                <w:lang w:val="en-CA"/>
              </w:rPr>
              <w:t> </w:t>
            </w:r>
            <w:r w:rsidR="00EE068B" w:rsidRPr="00544031">
              <w:rPr>
                <w:lang w:val="en-CA"/>
              </w:rPr>
              <w:t>An offer to contract is a proposal which contains all the essential elements of the proposed contract and in which the offeror signifies his willingness to be bound if it is accepted.</w:t>
            </w:r>
          </w:p>
        </w:tc>
        <w:tc>
          <w:tcPr>
            <w:tcW w:w="4681" w:type="dxa"/>
            <w:shd w:val="clear" w:color="auto" w:fill="auto"/>
          </w:tcPr>
          <w:p w14:paraId="3315D0F0" w14:textId="37BBFF70" w:rsidR="00CF0E5B" w:rsidRPr="00544031" w:rsidRDefault="00CF0E5B" w:rsidP="00E8282E">
            <w:pPr>
              <w:pStyle w:val="Tableaudroiteanglais"/>
              <w:spacing w:before="120" w:after="120"/>
              <w:ind w:left="142"/>
              <w:rPr>
                <w:lang w:val="fr-CA"/>
              </w:rPr>
            </w:pPr>
            <w:r w:rsidRPr="00523AC3">
              <w:rPr>
                <w:b/>
                <w:bCs/>
                <w:lang w:val="fr-CA"/>
              </w:rPr>
              <w:t>1388.</w:t>
            </w:r>
            <w:r w:rsidRPr="00523AC3">
              <w:rPr>
                <w:lang w:val="fr-CA"/>
              </w:rPr>
              <w:t xml:space="preserve"> </w:t>
            </w:r>
            <w:r w:rsidR="00EE068B" w:rsidRPr="00544031">
              <w:rPr>
                <w:lang w:val="fr-CA"/>
              </w:rPr>
              <w:t>Est une offre de contracter, la proposition qui comporte tous les éléments essentiels du contrat envisagé et qui indique la volonté de son auteur d’être lié en cas d’acceptation.</w:t>
            </w:r>
          </w:p>
        </w:tc>
      </w:tr>
    </w:tbl>
    <w:p w14:paraId="20D682D9" w14:textId="4734CC06" w:rsidR="00CF0E5B" w:rsidRPr="00700A2E" w:rsidRDefault="007B160F" w:rsidP="00CF0E5B">
      <w:pPr>
        <w:pStyle w:val="Paragraphe"/>
        <w:rPr>
          <w:lang w:val="en-CA"/>
        </w:rPr>
      </w:pPr>
      <w:r>
        <w:rPr>
          <w:lang w:val="en-CA"/>
        </w:rPr>
        <w:t>He determined that it did not, relying on the language of the propos</w:t>
      </w:r>
      <w:r w:rsidR="003560ED">
        <w:rPr>
          <w:lang w:val="en-CA"/>
        </w:rPr>
        <w:t>al</w:t>
      </w:r>
      <w:r w:rsidR="00CF0E5B" w:rsidRPr="00700A2E">
        <w:rPr>
          <w:lang w:val="en-CA"/>
        </w:rPr>
        <w:t>:</w:t>
      </w:r>
    </w:p>
    <w:p w14:paraId="60667ED2" w14:textId="77777777" w:rsidR="00CF0E5B" w:rsidRPr="00700A2E" w:rsidRDefault="00CF0E5B" w:rsidP="00CF0E5B">
      <w:pPr>
        <w:pStyle w:val="Citationenretrait"/>
        <w:rPr>
          <w:lang w:val="en-CA"/>
        </w:rPr>
      </w:pPr>
      <w:r w:rsidRPr="00700A2E">
        <w:rPr>
          <w:lang w:val="en-CA"/>
        </w:rPr>
        <w:t>[44]</w:t>
      </w:r>
      <w:r w:rsidRPr="00700A2E">
        <w:rPr>
          <w:lang w:val="en-CA"/>
        </w:rPr>
        <w:tab/>
        <w:t xml:space="preserve">The words used by </w:t>
      </w:r>
      <w:proofErr w:type="spellStart"/>
      <w:r w:rsidRPr="00700A2E">
        <w:rPr>
          <w:lang w:val="en-CA"/>
        </w:rPr>
        <w:t>Cominar</w:t>
      </w:r>
      <w:proofErr w:type="spellEnd"/>
      <w:r w:rsidRPr="00700A2E">
        <w:rPr>
          <w:lang w:val="en-CA"/>
        </w:rPr>
        <w:t xml:space="preserve"> stipulated that the proposed conditions were subject to further approval by duly authorised persons and that no contract would come into existence until a complete lease was signed. This language clearly indicates that </w:t>
      </w:r>
      <w:proofErr w:type="spellStart"/>
      <w:r w:rsidRPr="00700A2E">
        <w:rPr>
          <w:lang w:val="en-CA"/>
        </w:rPr>
        <w:t>Cominar</w:t>
      </w:r>
      <w:proofErr w:type="spellEnd"/>
      <w:r w:rsidRPr="00700A2E">
        <w:rPr>
          <w:lang w:val="en-CA"/>
        </w:rPr>
        <w:t xml:space="preserve"> did not intend to be bound by Pival’s acceptance of the Second Proposal.</w:t>
      </w:r>
    </w:p>
    <w:p w14:paraId="571C1CC6" w14:textId="77777777" w:rsidR="00CF0E5B" w:rsidRPr="00700A2E" w:rsidRDefault="00CF0E5B" w:rsidP="00CF0E5B">
      <w:pPr>
        <w:pStyle w:val="Citationenretrait"/>
        <w:rPr>
          <w:lang w:val="en-CA"/>
        </w:rPr>
      </w:pPr>
      <w:r w:rsidRPr="00700A2E">
        <w:rPr>
          <w:lang w:val="en-CA"/>
        </w:rPr>
        <w:t>[45]</w:t>
      </w:r>
      <w:r w:rsidRPr="00700A2E">
        <w:rPr>
          <w:lang w:val="en-CA"/>
        </w:rPr>
        <w:tab/>
        <w:t xml:space="preserve">To be sure, the penultimate paragraph of the Second Proposal indicates that </w:t>
      </w:r>
      <w:proofErr w:type="spellStart"/>
      <w:r w:rsidRPr="00700A2E">
        <w:rPr>
          <w:lang w:val="en-CA"/>
        </w:rPr>
        <w:t>Cominar</w:t>
      </w:r>
      <w:proofErr w:type="spellEnd"/>
      <w:r w:rsidRPr="00700A2E">
        <w:rPr>
          <w:lang w:val="en-CA"/>
        </w:rPr>
        <w:t xml:space="preserve"> will transmit a lease agreement to Pival upon timely confirmation of its approval of the proposed terms. That said, given the clarity of the words used in the first paragraph, and the subsequent reference to that paragraph in the text stipulating the timeframe within which the proposal was open, I find that </w:t>
      </w:r>
      <w:proofErr w:type="spellStart"/>
      <w:r w:rsidRPr="00700A2E">
        <w:rPr>
          <w:lang w:val="en-CA"/>
        </w:rPr>
        <w:t>Cominar</w:t>
      </w:r>
      <w:proofErr w:type="spellEnd"/>
      <w:r w:rsidRPr="00700A2E">
        <w:rPr>
          <w:lang w:val="en-CA"/>
        </w:rPr>
        <w:t xml:space="preserve"> did not intend to be bound by mere acceptance of the Second Proposal.</w:t>
      </w:r>
    </w:p>
    <w:p w14:paraId="6C88B3A4" w14:textId="77777777" w:rsidR="00CF0E5B" w:rsidRPr="00700A2E" w:rsidRDefault="00CF0E5B" w:rsidP="00CF0E5B">
      <w:pPr>
        <w:pStyle w:val="Citationenretrait"/>
        <w:rPr>
          <w:lang w:val="en-CA"/>
        </w:rPr>
      </w:pPr>
      <w:r w:rsidRPr="00700A2E">
        <w:rPr>
          <w:lang w:val="en-CA"/>
        </w:rPr>
        <w:t>[46]</w:t>
      </w:r>
      <w:r w:rsidRPr="00700A2E">
        <w:rPr>
          <w:lang w:val="en-CA"/>
        </w:rPr>
        <w:tab/>
        <w:t xml:space="preserve">As explained by </w:t>
      </w:r>
      <w:proofErr w:type="spellStart"/>
      <w:r w:rsidRPr="00700A2E">
        <w:rPr>
          <w:lang w:val="en-CA"/>
        </w:rPr>
        <w:t>Lluelles</w:t>
      </w:r>
      <w:proofErr w:type="spellEnd"/>
      <w:r w:rsidRPr="00700A2E">
        <w:rPr>
          <w:lang w:val="en-CA"/>
        </w:rPr>
        <w:t xml:space="preserve"> and Moore, this sort of proposal does not constitute a true offer that, if accepted, creates a binding contact. Rather, it is the </w:t>
      </w:r>
      <w:r w:rsidRPr="00700A2E">
        <w:rPr>
          <w:lang w:val="en-CA"/>
        </w:rPr>
        <w:lastRenderedPageBreak/>
        <w:t xml:space="preserve">acceptance of such a proposal that </w:t>
      </w:r>
      <w:r w:rsidRPr="00700A2E">
        <w:rPr>
          <w:u w:val="single"/>
          <w:lang w:val="en-CA"/>
        </w:rPr>
        <w:t>itself constitutes an offer</w:t>
      </w:r>
      <w:r w:rsidRPr="00700A2E">
        <w:rPr>
          <w:lang w:val="en-CA"/>
        </w:rPr>
        <w:t xml:space="preserve"> which, in turn, must be accepted to give rise to a contract:</w:t>
      </w:r>
    </w:p>
    <w:p w14:paraId="53608101" w14:textId="77777777" w:rsidR="00CF0E5B" w:rsidRPr="002E35B4" w:rsidRDefault="00CF0E5B" w:rsidP="00CF0E5B">
      <w:pPr>
        <w:pStyle w:val="Citationenretrait"/>
        <w:ind w:left="1440" w:right="1440"/>
        <w:rPr>
          <w:i/>
          <w:iCs/>
          <w:sz w:val="20"/>
        </w:rPr>
      </w:pPr>
      <w:r w:rsidRPr="002E35B4">
        <w:rPr>
          <w:i/>
          <w:iCs/>
          <w:sz w:val="20"/>
        </w:rPr>
        <w:t>Même si elle renferme tous les éléments essentiels du contrat projeté, la proposition ne mérite pas pour autant le label d’offre, si elle ne révèle pas une volonté ferme de son auteur d’être lié par l’acceptation du destinataire. […] Il en ira de même si l’auteur d’une offre complète, présentée comme sérieuse, l’assortit d’une stipulation selon laquelle l’offre ne constitue aucun engagement en cas d’acceptation. L</w:t>
      </w:r>
      <w:proofErr w:type="gramStart"/>
      <w:r w:rsidRPr="002E35B4">
        <w:rPr>
          <w:i/>
          <w:iCs/>
          <w:sz w:val="20"/>
        </w:rPr>
        <w:t>’«</w:t>
      </w:r>
      <w:proofErr w:type="gramEnd"/>
      <w:r w:rsidRPr="002E35B4">
        <w:rPr>
          <w:i/>
          <w:iCs/>
          <w:sz w:val="20"/>
        </w:rPr>
        <w:t> acceptation » de cette proposition ne saurait sceller le contrat; elle serait, en réalité, elle-même une offre, laquelle devrait être acceptée pour que le contrat puisse se former.</w:t>
      </w:r>
    </w:p>
    <w:p w14:paraId="3841E8E4" w14:textId="77777777" w:rsidR="00CF0E5B" w:rsidRPr="00700A2E" w:rsidRDefault="00CF0E5B" w:rsidP="00CF0E5B">
      <w:pPr>
        <w:pStyle w:val="Citationenretrait"/>
        <w:rPr>
          <w:szCs w:val="22"/>
          <w:lang w:val="en-CA"/>
        </w:rPr>
      </w:pPr>
      <w:r w:rsidRPr="00700A2E">
        <w:rPr>
          <w:szCs w:val="22"/>
          <w:lang w:val="en-CA"/>
        </w:rPr>
        <w:t>[47]</w:t>
      </w:r>
      <w:r w:rsidRPr="00700A2E">
        <w:rPr>
          <w:szCs w:val="22"/>
          <w:lang w:val="en-CA"/>
        </w:rPr>
        <w:tab/>
        <w:t>Reserves, whereby a party formulating a contractual proposal makes it subject to further approvals, are not unusual in contractual discussions.  Nor are they prohibited by any principle.</w:t>
      </w:r>
    </w:p>
    <w:p w14:paraId="53905163" w14:textId="77777777" w:rsidR="00CF0E5B" w:rsidRPr="00700A2E" w:rsidRDefault="00CF0E5B" w:rsidP="00CF0E5B">
      <w:pPr>
        <w:pStyle w:val="Citationenretrait"/>
        <w:rPr>
          <w:szCs w:val="22"/>
          <w:lang w:val="en-CA"/>
        </w:rPr>
      </w:pPr>
      <w:r w:rsidRPr="00700A2E">
        <w:rPr>
          <w:szCs w:val="22"/>
          <w:lang w:val="en-CA"/>
        </w:rPr>
        <w:t>[48]</w:t>
      </w:r>
      <w:r w:rsidRPr="00700A2E">
        <w:rPr>
          <w:szCs w:val="22"/>
          <w:lang w:val="en-CA"/>
        </w:rPr>
        <w:tab/>
        <w:t xml:space="preserve">Given the fact that the Second Proposal was not </w:t>
      </w:r>
      <w:proofErr w:type="gramStart"/>
      <w:r w:rsidRPr="00700A2E">
        <w:rPr>
          <w:szCs w:val="22"/>
          <w:lang w:val="en-CA"/>
        </w:rPr>
        <w:t>firm, and</w:t>
      </w:r>
      <w:proofErr w:type="gramEnd"/>
      <w:r w:rsidRPr="00700A2E">
        <w:rPr>
          <w:szCs w:val="22"/>
          <w:lang w:val="en-CA"/>
        </w:rPr>
        <w:t xml:space="preserve"> did not manifest </w:t>
      </w:r>
      <w:proofErr w:type="spellStart"/>
      <w:r w:rsidRPr="00700A2E">
        <w:rPr>
          <w:szCs w:val="22"/>
          <w:lang w:val="en-CA"/>
        </w:rPr>
        <w:t>Cominar’s</w:t>
      </w:r>
      <w:proofErr w:type="spellEnd"/>
      <w:r w:rsidRPr="00700A2E">
        <w:rPr>
          <w:szCs w:val="22"/>
          <w:lang w:val="en-CA"/>
        </w:rPr>
        <w:t xml:space="preserve"> intent to be bound if accepted, I find that it did not constitute an offer under article 1388 CCQ. Accordingly, Pival’s acceptance of the Second Proposal did not result in a binding contract being formed.</w:t>
      </w:r>
    </w:p>
    <w:p w14:paraId="628F25A5" w14:textId="77777777" w:rsidR="00CF0E5B" w:rsidRPr="00700A2E" w:rsidRDefault="00CF0E5B" w:rsidP="00CF0E5B">
      <w:pPr>
        <w:pStyle w:val="Citationenretrait"/>
        <w:rPr>
          <w:szCs w:val="22"/>
          <w:lang w:val="en-CA"/>
        </w:rPr>
      </w:pPr>
      <w:r w:rsidRPr="00700A2E">
        <w:rPr>
          <w:szCs w:val="22"/>
          <w:lang w:val="en-CA"/>
        </w:rPr>
        <w:t>[49]</w:t>
      </w:r>
      <w:r w:rsidRPr="00700A2E">
        <w:rPr>
          <w:szCs w:val="22"/>
          <w:lang w:val="en-CA"/>
        </w:rPr>
        <w:tab/>
        <w:t xml:space="preserve">In reality, Pival’s acceptance of the Second Proposal, and its communication of such acceptance to </w:t>
      </w:r>
      <w:proofErr w:type="spellStart"/>
      <w:r w:rsidRPr="00700A2E">
        <w:rPr>
          <w:szCs w:val="22"/>
          <w:lang w:val="en-CA"/>
        </w:rPr>
        <w:t>Cominar</w:t>
      </w:r>
      <w:proofErr w:type="spellEnd"/>
      <w:r w:rsidRPr="00700A2E">
        <w:rPr>
          <w:szCs w:val="22"/>
          <w:lang w:val="en-CA"/>
        </w:rPr>
        <w:t xml:space="preserve">, constituted an offer within the meaning of article 1388 CCQ. That offer was not accepted by </w:t>
      </w:r>
      <w:proofErr w:type="spellStart"/>
      <w:r w:rsidRPr="00700A2E">
        <w:rPr>
          <w:szCs w:val="22"/>
          <w:lang w:val="en-CA"/>
        </w:rPr>
        <w:t>Cominar</w:t>
      </w:r>
      <w:proofErr w:type="spellEnd"/>
      <w:r w:rsidRPr="00700A2E">
        <w:rPr>
          <w:szCs w:val="22"/>
          <w:lang w:val="en-CA"/>
        </w:rPr>
        <w:t xml:space="preserve"> and, as a result, no contract for a renewed lease in respect of the Lease Premises was concluded.</w:t>
      </w:r>
    </w:p>
    <w:p w14:paraId="28A40D40" w14:textId="1B91F88B" w:rsidR="00CF0E5B" w:rsidRPr="00700A2E" w:rsidRDefault="00CF0E5B" w:rsidP="00CF0E5B">
      <w:pPr>
        <w:pStyle w:val="Citationenretrait"/>
        <w:jc w:val="right"/>
        <w:rPr>
          <w:szCs w:val="22"/>
          <w:lang w:val="en-CA"/>
        </w:rPr>
      </w:pPr>
      <w:r w:rsidRPr="00700A2E">
        <w:rPr>
          <w:szCs w:val="22"/>
          <w:lang w:val="en-CA"/>
        </w:rPr>
        <w:t>[</w:t>
      </w:r>
      <w:r w:rsidR="007B160F">
        <w:rPr>
          <w:szCs w:val="22"/>
          <w:lang w:val="en-CA"/>
        </w:rPr>
        <w:t xml:space="preserve">References </w:t>
      </w:r>
      <w:proofErr w:type="gramStart"/>
      <w:r w:rsidR="007B160F">
        <w:rPr>
          <w:szCs w:val="22"/>
          <w:lang w:val="en-CA"/>
        </w:rPr>
        <w:t>omitted</w:t>
      </w:r>
      <w:r w:rsidRPr="00700A2E">
        <w:rPr>
          <w:szCs w:val="22"/>
          <w:lang w:val="en-CA"/>
        </w:rPr>
        <w:t>;</w:t>
      </w:r>
      <w:proofErr w:type="gramEnd"/>
      <w:r w:rsidRPr="00700A2E">
        <w:rPr>
          <w:szCs w:val="22"/>
          <w:lang w:val="en-CA"/>
        </w:rPr>
        <w:t xml:space="preserve"> </w:t>
      </w:r>
      <w:r w:rsidR="007B160F">
        <w:rPr>
          <w:szCs w:val="22"/>
          <w:lang w:val="en-CA"/>
        </w:rPr>
        <w:t>underlining and italics in the original</w:t>
      </w:r>
      <w:r w:rsidRPr="00700A2E">
        <w:rPr>
          <w:szCs w:val="22"/>
          <w:lang w:val="en-CA"/>
        </w:rPr>
        <w:t>]</w:t>
      </w:r>
    </w:p>
    <w:p w14:paraId="389D0FB7" w14:textId="138AA7F8" w:rsidR="00CF0E5B" w:rsidRPr="00700A2E" w:rsidRDefault="007B160F" w:rsidP="00CF0E5B">
      <w:pPr>
        <w:pStyle w:val="Paragraphe"/>
        <w:rPr>
          <w:lang w:val="en-CA"/>
        </w:rPr>
      </w:pPr>
      <w:r>
        <w:rPr>
          <w:lang w:val="en-CA"/>
        </w:rPr>
        <w:t>Th</w:t>
      </w:r>
      <w:r w:rsidR="007D2E2B">
        <w:rPr>
          <w:lang w:val="en-CA"/>
        </w:rPr>
        <w:t>ere is nothing objectionable in this</w:t>
      </w:r>
      <w:r>
        <w:rPr>
          <w:lang w:val="en-CA"/>
        </w:rPr>
        <w:t xml:space="preserve"> analysis</w:t>
      </w:r>
      <w:r w:rsidR="00CF0E5B" w:rsidRPr="00700A2E">
        <w:rPr>
          <w:lang w:val="en-CA"/>
        </w:rPr>
        <w:t>.</w:t>
      </w:r>
    </w:p>
    <w:p w14:paraId="7C70B38C" w14:textId="464BD037" w:rsidR="00CF0E5B" w:rsidRPr="00700A2E" w:rsidRDefault="007D2E2B" w:rsidP="00CF0E5B">
      <w:pPr>
        <w:pStyle w:val="Paragraphe"/>
        <w:rPr>
          <w:lang w:val="en-CA"/>
        </w:rPr>
      </w:pPr>
      <w:r>
        <w:rPr>
          <w:lang w:val="en-CA"/>
        </w:rPr>
        <w:t>According to the Lessee</w:t>
      </w:r>
      <w:r w:rsidR="00CF0E5B" w:rsidRPr="00700A2E">
        <w:rPr>
          <w:lang w:val="en-CA"/>
        </w:rPr>
        <w:t xml:space="preserve">, </w:t>
      </w:r>
      <w:r>
        <w:rPr>
          <w:lang w:val="en-CA"/>
        </w:rPr>
        <w:t xml:space="preserve">the subsequent acceptance stipulation </w:t>
      </w:r>
      <w:r w:rsidR="003560ED">
        <w:rPr>
          <w:lang w:val="en-CA"/>
        </w:rPr>
        <w:t>was</w:t>
      </w:r>
      <w:r>
        <w:rPr>
          <w:lang w:val="en-CA"/>
        </w:rPr>
        <w:t xml:space="preserve"> inapplicable on account of its </w:t>
      </w:r>
      <w:r w:rsidR="00CF0E5B" w:rsidRPr="00700A2E">
        <w:rPr>
          <w:lang w:val="en-CA"/>
        </w:rPr>
        <w:t xml:space="preserve">vague </w:t>
      </w:r>
      <w:r w:rsidR="00055E83">
        <w:rPr>
          <w:lang w:val="en-CA"/>
        </w:rPr>
        <w:t>and imprecise nature and the fact that it d</w:t>
      </w:r>
      <w:r w:rsidR="003560ED">
        <w:rPr>
          <w:lang w:val="en-CA"/>
        </w:rPr>
        <w:t>id</w:t>
      </w:r>
      <w:r w:rsidR="00055E83">
        <w:rPr>
          <w:lang w:val="en-CA"/>
        </w:rPr>
        <w:t xml:space="preserve"> not indicate who the authorized persons </w:t>
      </w:r>
      <w:r w:rsidR="003560ED">
        <w:rPr>
          <w:lang w:val="en-CA"/>
        </w:rPr>
        <w:t>we</w:t>
      </w:r>
      <w:r w:rsidR="00055E83">
        <w:rPr>
          <w:lang w:val="en-CA"/>
        </w:rPr>
        <w:t>re</w:t>
      </w:r>
      <w:r w:rsidR="00CF0E5B" w:rsidRPr="00700A2E">
        <w:rPr>
          <w:lang w:val="en-CA"/>
        </w:rPr>
        <w:t xml:space="preserve">. </w:t>
      </w:r>
      <w:r w:rsidR="00055E83">
        <w:rPr>
          <w:lang w:val="en-CA"/>
        </w:rPr>
        <w:t>This submission, which is not supported by any source, is without merit</w:t>
      </w:r>
      <w:r w:rsidR="00CF0E5B" w:rsidRPr="00700A2E">
        <w:rPr>
          <w:lang w:val="en-CA"/>
        </w:rPr>
        <w:t>.</w:t>
      </w:r>
    </w:p>
    <w:p w14:paraId="0AA4FA6C" w14:textId="7940AAEB" w:rsidR="00CF0E5B" w:rsidRPr="00700A2E" w:rsidRDefault="005F7E70" w:rsidP="00CF0E5B">
      <w:pPr>
        <w:pStyle w:val="Paragraphe"/>
        <w:rPr>
          <w:lang w:val="en-CA"/>
        </w:rPr>
      </w:pPr>
      <w:r>
        <w:rPr>
          <w:lang w:val="en-CA"/>
        </w:rPr>
        <w:t>The Lessee also argues that the judge erred in setting the renewal option exercise date</w:t>
      </w:r>
      <w:r w:rsidR="00CF0E5B" w:rsidRPr="00700A2E">
        <w:rPr>
          <w:lang w:val="en-CA"/>
        </w:rPr>
        <w:t xml:space="preserve"> </w:t>
      </w:r>
      <w:proofErr w:type="gramStart"/>
      <w:r>
        <w:rPr>
          <w:lang w:val="en-CA"/>
        </w:rPr>
        <w:t>at</w:t>
      </w:r>
      <w:proofErr w:type="gramEnd"/>
      <w:r>
        <w:rPr>
          <w:lang w:val="en-CA"/>
        </w:rPr>
        <w:t xml:space="preserve"> November 25,</w:t>
      </w:r>
      <w:r w:rsidR="00CF0E5B" w:rsidRPr="00700A2E">
        <w:rPr>
          <w:lang w:val="en-CA"/>
        </w:rPr>
        <w:t xml:space="preserve"> 2021. </w:t>
      </w:r>
      <w:r>
        <w:rPr>
          <w:lang w:val="en-CA"/>
        </w:rPr>
        <w:t xml:space="preserve">In its view, the option was exercised, rather, on September 27, 2021, </w:t>
      </w:r>
      <w:r w:rsidR="003560ED">
        <w:rPr>
          <w:lang w:val="en-CA"/>
        </w:rPr>
        <w:t>when</w:t>
      </w:r>
      <w:r>
        <w:rPr>
          <w:lang w:val="en-CA"/>
        </w:rPr>
        <w:t xml:space="preserve"> </w:t>
      </w:r>
      <w:proofErr w:type="spellStart"/>
      <w:r>
        <w:rPr>
          <w:lang w:val="en-CA"/>
        </w:rPr>
        <w:t>Cominar</w:t>
      </w:r>
      <w:proofErr w:type="spellEnd"/>
      <w:r>
        <w:rPr>
          <w:lang w:val="en-CA"/>
        </w:rPr>
        <w:t xml:space="preserve"> sent it the first proposal</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thus allegedly waived the requirement of a written notice</w:t>
      </w:r>
      <w:r w:rsidR="00CF0E5B" w:rsidRPr="00700A2E">
        <w:rPr>
          <w:lang w:val="en-CA"/>
        </w:rPr>
        <w:t xml:space="preserve">. </w:t>
      </w:r>
      <w:r>
        <w:rPr>
          <w:lang w:val="en-CA"/>
        </w:rPr>
        <w:t xml:space="preserve">It argues that the judge erred in </w:t>
      </w:r>
      <w:r w:rsidRPr="00430279">
        <w:rPr>
          <w:lang w:val="en-CA"/>
        </w:rPr>
        <w:t xml:space="preserve">failing to </w:t>
      </w:r>
      <w:r w:rsidR="00C06A83" w:rsidRPr="00430279">
        <w:rPr>
          <w:lang w:val="en-CA"/>
        </w:rPr>
        <w:t xml:space="preserve">address </w:t>
      </w:r>
      <w:r w:rsidRPr="00430279">
        <w:rPr>
          <w:lang w:val="en-CA"/>
        </w:rPr>
        <w:t>that argumen</w:t>
      </w:r>
      <w:r w:rsidR="003560ED" w:rsidRPr="00430279">
        <w:rPr>
          <w:lang w:val="en-CA"/>
        </w:rPr>
        <w:t>t</w:t>
      </w:r>
      <w:r w:rsidR="00CF0E5B" w:rsidRPr="00430279">
        <w:rPr>
          <w:lang w:val="en-CA"/>
        </w:rPr>
        <w:t>.</w:t>
      </w:r>
    </w:p>
    <w:p w14:paraId="7627BEBF" w14:textId="5BB13166" w:rsidR="00CF0E5B" w:rsidRPr="00700A2E" w:rsidRDefault="005F7E70" w:rsidP="00CF0E5B">
      <w:pPr>
        <w:pStyle w:val="Paragraphe"/>
        <w:rPr>
          <w:lang w:val="en-CA"/>
        </w:rPr>
      </w:pPr>
      <w:r w:rsidRPr="002E35B4">
        <w:lastRenderedPageBreak/>
        <w:t xml:space="preserve">It </w:t>
      </w:r>
      <w:proofErr w:type="spellStart"/>
      <w:r w:rsidRPr="002E35B4">
        <w:t>is</w:t>
      </w:r>
      <w:proofErr w:type="spellEnd"/>
      <w:r w:rsidRPr="002E35B4">
        <w:t xml:space="preserve"> </w:t>
      </w:r>
      <w:proofErr w:type="spellStart"/>
      <w:r w:rsidRPr="002E35B4">
        <w:t>true</w:t>
      </w:r>
      <w:proofErr w:type="spellEnd"/>
      <w:r w:rsidRPr="002E35B4">
        <w:t xml:space="preserve"> </w:t>
      </w:r>
      <w:proofErr w:type="spellStart"/>
      <w:r w:rsidRPr="002E35B4">
        <w:t>that</w:t>
      </w:r>
      <w:proofErr w:type="spellEnd"/>
      <w:r w:rsidRPr="002E35B4">
        <w:t xml:space="preserve"> the </w:t>
      </w:r>
      <w:proofErr w:type="spellStart"/>
      <w:r w:rsidRPr="002E35B4">
        <w:t>judge</w:t>
      </w:r>
      <w:proofErr w:type="spellEnd"/>
      <w:r w:rsidRPr="002E35B4">
        <w:t xml:space="preserve"> </w:t>
      </w:r>
      <w:proofErr w:type="spellStart"/>
      <w:r w:rsidRPr="002E35B4">
        <w:t>did</w:t>
      </w:r>
      <w:proofErr w:type="spellEnd"/>
      <w:r w:rsidRPr="002E35B4">
        <w:t xml:space="preserve"> not </w:t>
      </w:r>
      <w:proofErr w:type="spellStart"/>
      <w:r w:rsidRPr="002E35B4">
        <w:t>discuss</w:t>
      </w:r>
      <w:proofErr w:type="spellEnd"/>
      <w:r w:rsidRPr="002E35B4">
        <w:t xml:space="preserve"> </w:t>
      </w:r>
      <w:proofErr w:type="spellStart"/>
      <w:r w:rsidRPr="002E35B4">
        <w:t>this</w:t>
      </w:r>
      <w:proofErr w:type="spellEnd"/>
      <w:r w:rsidR="00CF0E5B" w:rsidRPr="002E35B4">
        <w:t xml:space="preserve">, </w:t>
      </w:r>
      <w:r w:rsidRPr="002E35B4">
        <w:t xml:space="preserve">but a </w:t>
      </w:r>
      <w:proofErr w:type="spellStart"/>
      <w:r w:rsidRPr="002E35B4">
        <w:t>judge</w:t>
      </w:r>
      <w:proofErr w:type="spellEnd"/>
      <w:r w:rsidRPr="002E35B4">
        <w:t xml:space="preserve"> </w:t>
      </w:r>
      <w:proofErr w:type="spellStart"/>
      <w:r w:rsidRPr="002E35B4">
        <w:t>need</w:t>
      </w:r>
      <w:proofErr w:type="spellEnd"/>
      <w:r w:rsidRPr="002E35B4">
        <w:t xml:space="preserve"> not</w:t>
      </w:r>
      <w:r w:rsidR="00CF0E5B" w:rsidRPr="002E35B4">
        <w:t xml:space="preserve"> </w:t>
      </w:r>
      <w:r w:rsidRPr="002E35B4">
        <w:t>“</w:t>
      </w:r>
      <w:r w:rsidR="00CF0E5B" w:rsidRPr="002E35B4">
        <w:rPr>
          <w:i/>
          <w:iCs/>
        </w:rPr>
        <w:t>discuter de tous les arguments des parties, certains ne méritant pas d’être traités en long et en large ni même d’être traités tout court</w:t>
      </w:r>
      <w:r w:rsidRPr="002E35B4">
        <w:t>”</w:t>
      </w:r>
      <w:r w:rsidR="00C06A83">
        <w:t>.</w:t>
      </w:r>
      <w:r w:rsidR="00CF0E5B" w:rsidRPr="00700A2E">
        <w:rPr>
          <w:vertAlign w:val="superscript"/>
          <w:lang w:val="en-CA"/>
        </w:rPr>
        <w:footnoteReference w:id="11"/>
      </w:r>
      <w:r w:rsidR="00CF0E5B" w:rsidRPr="00544031">
        <w:t xml:space="preserve"> </w:t>
      </w:r>
      <w:r>
        <w:rPr>
          <w:lang w:val="en-CA"/>
        </w:rPr>
        <w:t>In any event,</w:t>
      </w:r>
      <w:r w:rsidR="00FF7D0A">
        <w:rPr>
          <w:lang w:val="en-CA"/>
        </w:rPr>
        <w:t xml:space="preserve"> the option exercise date has no bearing on the issue of whether</w:t>
      </w:r>
      <w:r w:rsidR="00CF0E5B" w:rsidRPr="00700A2E">
        <w:rPr>
          <w:lang w:val="en-CA"/>
        </w:rPr>
        <w:t xml:space="preserve"> </w:t>
      </w:r>
      <w:r w:rsidR="00FF7D0A">
        <w:rPr>
          <w:lang w:val="en-CA"/>
        </w:rPr>
        <w:t xml:space="preserve">the second proposal </w:t>
      </w:r>
      <w:r w:rsidR="00CF0E5B" w:rsidRPr="00700A2E">
        <w:rPr>
          <w:lang w:val="en-CA"/>
        </w:rPr>
        <w:t>– </w:t>
      </w:r>
      <w:r w:rsidR="00FF7D0A">
        <w:rPr>
          <w:lang w:val="en-CA"/>
        </w:rPr>
        <w:t>the only one that was accepted by the Lessee</w:t>
      </w:r>
      <w:r w:rsidR="00CF0E5B" w:rsidRPr="00700A2E">
        <w:rPr>
          <w:lang w:val="en-CA"/>
        </w:rPr>
        <w:t xml:space="preserve"> – </w:t>
      </w:r>
      <w:r w:rsidR="00FF7D0A">
        <w:rPr>
          <w:lang w:val="en-CA"/>
        </w:rPr>
        <w:t xml:space="preserve">constituted an offer to contract within the meaning of </w:t>
      </w:r>
      <w:r w:rsidR="00CF0E5B" w:rsidRPr="00700A2E">
        <w:rPr>
          <w:lang w:val="en-CA"/>
        </w:rPr>
        <w:t>article 1388 </w:t>
      </w:r>
      <w:r w:rsidR="00CF0E5B" w:rsidRPr="00700A2E">
        <w:rPr>
          <w:i/>
          <w:iCs/>
          <w:lang w:val="en-CA"/>
        </w:rPr>
        <w:t>C.</w:t>
      </w:r>
      <w:r w:rsidR="00FF7D0A">
        <w:rPr>
          <w:i/>
          <w:iCs/>
          <w:lang w:val="en-CA"/>
        </w:rPr>
        <w:t>C</w:t>
      </w:r>
      <w:r w:rsidR="00CF0E5B" w:rsidRPr="00700A2E">
        <w:rPr>
          <w:i/>
          <w:iCs/>
          <w:lang w:val="en-CA"/>
        </w:rPr>
        <w:t>.Q.</w:t>
      </w:r>
    </w:p>
    <w:p w14:paraId="6DCDAA75" w14:textId="54B60710" w:rsidR="00CF0E5B" w:rsidRPr="00700A2E" w:rsidRDefault="00EE2405" w:rsidP="00CF0E5B">
      <w:pPr>
        <w:pStyle w:val="Paragraphe"/>
        <w:rPr>
          <w:lang w:val="en-CA"/>
        </w:rPr>
      </w:pPr>
      <w:r>
        <w:rPr>
          <w:lang w:val="en-CA"/>
        </w:rPr>
        <w:t>In the alternative</w:t>
      </w:r>
      <w:r w:rsidR="00CF0E5B" w:rsidRPr="00700A2E">
        <w:rPr>
          <w:lang w:val="en-CA"/>
        </w:rPr>
        <w:t xml:space="preserve">, </w:t>
      </w:r>
      <w:r>
        <w:rPr>
          <w:lang w:val="en-CA"/>
        </w:rPr>
        <w:t>the Lessee argues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 xml:space="preserve">used the subsequent acceptance stipulation as a ploy, </w:t>
      </w:r>
      <w:r w:rsidR="0097787D">
        <w:rPr>
          <w:lang w:val="en-CA"/>
        </w:rPr>
        <w:t>thereby</w:t>
      </w:r>
      <w:r>
        <w:rPr>
          <w:lang w:val="en-CA"/>
        </w:rPr>
        <w:t xml:space="preserve"> </w:t>
      </w:r>
      <w:r w:rsidR="0097787D">
        <w:rPr>
          <w:lang w:val="en-CA"/>
        </w:rPr>
        <w:t>acting contrary to</w:t>
      </w:r>
      <w:r>
        <w:rPr>
          <w:lang w:val="en-CA"/>
        </w:rPr>
        <w:t xml:space="preserve"> the requirements of good faith.</w:t>
      </w:r>
      <w:r w:rsidR="00CF0E5B" w:rsidRPr="00700A2E">
        <w:rPr>
          <w:lang w:val="en-CA"/>
        </w:rPr>
        <w:t xml:space="preserve"> </w:t>
      </w:r>
      <w:r>
        <w:rPr>
          <w:lang w:val="en-CA"/>
        </w:rPr>
        <w:t>The judge found otherwise and gave the following explanation</w:t>
      </w:r>
      <w:r w:rsidR="00CF0E5B" w:rsidRPr="00700A2E">
        <w:rPr>
          <w:lang w:val="en-CA"/>
        </w:rPr>
        <w:t>:</w:t>
      </w:r>
    </w:p>
    <w:p w14:paraId="06113B20" w14:textId="77777777" w:rsidR="00CF0E5B" w:rsidRPr="00700A2E" w:rsidRDefault="00CF0E5B" w:rsidP="00CF0E5B">
      <w:pPr>
        <w:pStyle w:val="Citationenretrait"/>
        <w:rPr>
          <w:lang w:val="en-CA"/>
        </w:rPr>
      </w:pPr>
      <w:r w:rsidRPr="00700A2E">
        <w:rPr>
          <w:lang w:val="en-CA"/>
        </w:rPr>
        <w:t>[52</w:t>
      </w:r>
      <w:proofErr w:type="gramStart"/>
      <w:r w:rsidRPr="00700A2E">
        <w:rPr>
          <w:lang w:val="en-CA"/>
        </w:rPr>
        <w:t>]  As</w:t>
      </w:r>
      <w:proofErr w:type="gramEnd"/>
      <w:r w:rsidRPr="00700A2E">
        <w:rPr>
          <w:lang w:val="en-CA"/>
        </w:rPr>
        <w:t xml:space="preserve"> a matter of course, </w:t>
      </w:r>
      <w:proofErr w:type="spellStart"/>
      <w:r w:rsidRPr="00700A2E">
        <w:rPr>
          <w:lang w:val="en-CA"/>
        </w:rPr>
        <w:t>Cominar’s</w:t>
      </w:r>
      <w:proofErr w:type="spellEnd"/>
      <w:r w:rsidRPr="00700A2E">
        <w:rPr>
          <w:lang w:val="en-CA"/>
        </w:rPr>
        <w:t xml:space="preserve"> standard practice was to include reserves in its proposals. It did so to allow its negotiating teams to put together deals, which would then be brought to the persons within the organization with the requisite decision-making authority. This seemed to be the optimal way of managing the volume of deals that </w:t>
      </w:r>
      <w:proofErr w:type="spellStart"/>
      <w:r w:rsidRPr="00700A2E">
        <w:rPr>
          <w:lang w:val="en-CA"/>
        </w:rPr>
        <w:t>Cominar’s</w:t>
      </w:r>
      <w:proofErr w:type="spellEnd"/>
      <w:r w:rsidRPr="00700A2E">
        <w:rPr>
          <w:lang w:val="en-CA"/>
        </w:rPr>
        <w:t xml:space="preserve"> staff processed. Racine was highly placed within the organization. Nevertheless, given the square footage at issue, approval of the lease renewal was required from Racine’s direct superior, as well as </w:t>
      </w:r>
      <w:proofErr w:type="spellStart"/>
      <w:r w:rsidRPr="00700A2E">
        <w:rPr>
          <w:lang w:val="en-CA"/>
        </w:rPr>
        <w:t>Cominar’s</w:t>
      </w:r>
      <w:proofErr w:type="spellEnd"/>
      <w:r w:rsidRPr="00700A2E">
        <w:rPr>
          <w:lang w:val="en-CA"/>
        </w:rPr>
        <w:t xml:space="preserve"> president and its board.</w:t>
      </w:r>
    </w:p>
    <w:p w14:paraId="5E15EE66" w14:textId="77777777" w:rsidR="00CF0E5B" w:rsidRPr="00700A2E" w:rsidRDefault="00CF0E5B" w:rsidP="00CF0E5B">
      <w:pPr>
        <w:pStyle w:val="Citationenretrait"/>
        <w:rPr>
          <w:lang w:val="en-CA"/>
        </w:rPr>
      </w:pPr>
      <w:r w:rsidRPr="00700A2E">
        <w:rPr>
          <w:lang w:val="en-CA"/>
        </w:rPr>
        <w:t>[53</w:t>
      </w:r>
      <w:proofErr w:type="gramStart"/>
      <w:r w:rsidRPr="00700A2E">
        <w:rPr>
          <w:lang w:val="en-CA"/>
        </w:rPr>
        <w:t>]  In</w:t>
      </w:r>
      <w:proofErr w:type="gramEnd"/>
      <w:r w:rsidRPr="00700A2E">
        <w:rPr>
          <w:lang w:val="en-CA"/>
        </w:rPr>
        <w:t xml:space="preserve"> the circumstances, I do not find that </w:t>
      </w:r>
      <w:proofErr w:type="spellStart"/>
      <w:r w:rsidRPr="00700A2E">
        <w:rPr>
          <w:lang w:val="en-CA"/>
        </w:rPr>
        <w:t>Cominar’s</w:t>
      </w:r>
      <w:proofErr w:type="spellEnd"/>
      <w:r w:rsidRPr="00700A2E">
        <w:rPr>
          <w:lang w:val="en-CA"/>
        </w:rPr>
        <w:t xml:space="preserve"> inclusion of language in its proposals that rendered them non-binding constituted bad faith.</w:t>
      </w:r>
    </w:p>
    <w:p w14:paraId="0A67AC9A" w14:textId="6138815A" w:rsidR="00CF0E5B" w:rsidRPr="00700A2E" w:rsidRDefault="00CF0E5B" w:rsidP="00CF0E5B">
      <w:pPr>
        <w:pStyle w:val="Citationenretrait"/>
        <w:jc w:val="right"/>
        <w:rPr>
          <w:lang w:val="en-CA"/>
        </w:rPr>
      </w:pPr>
      <w:r w:rsidRPr="00700A2E">
        <w:rPr>
          <w:lang w:val="en-CA"/>
        </w:rPr>
        <w:t>[</w:t>
      </w:r>
      <w:r w:rsidR="001E7A46">
        <w:rPr>
          <w:lang w:val="en-CA"/>
        </w:rPr>
        <w:t>References omitted</w:t>
      </w:r>
      <w:r w:rsidRPr="00700A2E">
        <w:rPr>
          <w:lang w:val="en-CA"/>
        </w:rPr>
        <w:t>]</w:t>
      </w:r>
    </w:p>
    <w:p w14:paraId="465558DA" w14:textId="5F3CBC16" w:rsidR="00CF0E5B" w:rsidRPr="00700A2E" w:rsidRDefault="001E7A46" w:rsidP="00CF0E5B">
      <w:pPr>
        <w:pStyle w:val="Paragraphe"/>
        <w:rPr>
          <w:lang w:val="en-CA"/>
        </w:rPr>
      </w:pPr>
      <w:bookmarkStart w:id="12" w:name="_Ref184808135"/>
      <w:r>
        <w:rPr>
          <w:lang w:val="en-CA"/>
        </w:rPr>
        <w:t>Re</w:t>
      </w:r>
      <w:r w:rsidR="0097787D">
        <w:rPr>
          <w:lang w:val="en-CA"/>
        </w:rPr>
        <w:t>calling</w:t>
      </w:r>
      <w:r>
        <w:rPr>
          <w:lang w:val="en-CA"/>
        </w:rPr>
        <w:t xml:space="preserve"> the principle of freedom of contract</w:t>
      </w:r>
      <w:r w:rsidR="00CF0E5B" w:rsidRPr="00700A2E">
        <w:rPr>
          <w:lang w:val="en-CA"/>
        </w:rPr>
        <w:t xml:space="preserve">, </w:t>
      </w:r>
      <w:r>
        <w:rPr>
          <w:lang w:val="en-CA"/>
        </w:rPr>
        <w:t>he added that nothing prevented</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 xml:space="preserve">from requiring the </w:t>
      </w:r>
      <w:r w:rsidR="0097787D">
        <w:rPr>
          <w:lang w:val="en-CA"/>
        </w:rPr>
        <w:t>concurrence</w:t>
      </w:r>
      <w:r>
        <w:rPr>
          <w:lang w:val="en-CA"/>
        </w:rPr>
        <w:t xml:space="preserve"> of the potential purchaser before entering into a new lease agreement</w:t>
      </w:r>
      <w:r w:rsidR="00CF0E5B" w:rsidRPr="00700A2E">
        <w:rPr>
          <w:lang w:val="en-CA"/>
        </w:rPr>
        <w:t>:</w:t>
      </w:r>
      <w:bookmarkEnd w:id="12"/>
    </w:p>
    <w:p w14:paraId="533E72EB" w14:textId="77777777" w:rsidR="00CF0E5B" w:rsidRPr="00700A2E" w:rsidRDefault="00CF0E5B" w:rsidP="00CF0E5B">
      <w:pPr>
        <w:pStyle w:val="Citationenretrait"/>
        <w:keepNext/>
        <w:rPr>
          <w:lang w:val="en-CA"/>
        </w:rPr>
      </w:pPr>
      <w:bookmarkStart w:id="13" w:name="_Hlk184136951"/>
      <w:r w:rsidRPr="00700A2E">
        <w:rPr>
          <w:lang w:val="en-CA"/>
        </w:rPr>
        <w:t>[56</w:t>
      </w:r>
      <w:proofErr w:type="gramStart"/>
      <w:r w:rsidRPr="00700A2E">
        <w:rPr>
          <w:lang w:val="en-CA"/>
        </w:rPr>
        <w:t>]  In</w:t>
      </w:r>
      <w:proofErr w:type="gramEnd"/>
      <w:r w:rsidRPr="00700A2E">
        <w:rPr>
          <w:lang w:val="en-CA"/>
        </w:rPr>
        <w:t xml:space="preserve"> short, the freedom to decide whether to enter into a contract is “the ultimate discretionary right”. In exercising that right, nothing precluded </w:t>
      </w:r>
      <w:proofErr w:type="spellStart"/>
      <w:r w:rsidRPr="00700A2E">
        <w:rPr>
          <w:lang w:val="en-CA"/>
        </w:rPr>
        <w:t>Cominar</w:t>
      </w:r>
      <w:proofErr w:type="spellEnd"/>
      <w:r w:rsidRPr="00700A2E">
        <w:rPr>
          <w:lang w:val="en-CA"/>
        </w:rPr>
        <w:t xml:space="preserve"> from having regard to its other contractual obligations, including its obligation under the Acquisition Agreement to obtain the purchaser’s approval prior to concluding material contracts.</w:t>
      </w:r>
    </w:p>
    <w:p w14:paraId="1DCB8567" w14:textId="1CDC1E04" w:rsidR="00CF0E5B" w:rsidRPr="00700A2E" w:rsidRDefault="00CF0E5B" w:rsidP="00CF0E5B">
      <w:pPr>
        <w:pStyle w:val="Citationenretrait"/>
        <w:jc w:val="right"/>
        <w:rPr>
          <w:lang w:val="en-CA"/>
        </w:rPr>
      </w:pPr>
      <w:r w:rsidRPr="00700A2E">
        <w:rPr>
          <w:lang w:val="en-CA"/>
        </w:rPr>
        <w:t>[</w:t>
      </w:r>
      <w:r w:rsidR="001E7A46">
        <w:rPr>
          <w:lang w:val="en-CA"/>
        </w:rPr>
        <w:t>References omitted</w:t>
      </w:r>
      <w:r w:rsidRPr="00700A2E">
        <w:rPr>
          <w:lang w:val="en-CA"/>
        </w:rPr>
        <w:t>]</w:t>
      </w:r>
    </w:p>
    <w:bookmarkEnd w:id="13"/>
    <w:p w14:paraId="23C986B4" w14:textId="2E3DB364" w:rsidR="00CF0E5B" w:rsidRPr="00700A2E" w:rsidRDefault="00CE69CD" w:rsidP="00CF0E5B">
      <w:pPr>
        <w:pStyle w:val="Paragraphe"/>
        <w:rPr>
          <w:lang w:val="en-CA"/>
        </w:rPr>
      </w:pPr>
      <w:r>
        <w:rPr>
          <w:lang w:val="en-CA"/>
        </w:rPr>
        <w:t>That finding</w:t>
      </w:r>
      <w:r w:rsidR="00CF0E5B" w:rsidRPr="00700A2E">
        <w:rPr>
          <w:lang w:val="en-CA"/>
        </w:rPr>
        <w:t xml:space="preserve">, </w:t>
      </w:r>
      <w:r>
        <w:rPr>
          <w:lang w:val="en-CA"/>
        </w:rPr>
        <w:t>which was one of mixed law and fact</w:t>
      </w:r>
      <w:r w:rsidR="00CF0E5B" w:rsidRPr="00700A2E">
        <w:rPr>
          <w:lang w:val="en-CA"/>
        </w:rPr>
        <w:t xml:space="preserve">, </w:t>
      </w:r>
      <w:r>
        <w:rPr>
          <w:lang w:val="en-CA"/>
        </w:rPr>
        <w:t xml:space="preserve">was supported by the </w:t>
      </w:r>
      <w:r w:rsidR="00CE39A5">
        <w:rPr>
          <w:lang w:val="en-CA"/>
        </w:rPr>
        <w:t xml:space="preserve">pre-trial </w:t>
      </w:r>
      <w:r>
        <w:rPr>
          <w:lang w:val="en-CA"/>
        </w:rPr>
        <w:t>examination of</w:t>
      </w:r>
      <w:r w:rsidR="00CF0E5B" w:rsidRPr="00700A2E">
        <w:rPr>
          <w:lang w:val="en-CA"/>
        </w:rPr>
        <w:t xml:space="preserve"> M</w:t>
      </w:r>
      <w:r>
        <w:rPr>
          <w:lang w:val="en-CA"/>
        </w:rPr>
        <w:t>r</w:t>
      </w:r>
      <w:r w:rsidR="00CF0E5B" w:rsidRPr="00700A2E">
        <w:rPr>
          <w:lang w:val="en-CA"/>
        </w:rPr>
        <w:t>. Racine</w:t>
      </w:r>
      <w:r w:rsidR="00A071D8">
        <w:rPr>
          <w:lang w:val="en-CA"/>
        </w:rPr>
        <w:t>,</w:t>
      </w:r>
      <w:r w:rsidR="00CF0E5B" w:rsidRPr="00700A2E">
        <w:rPr>
          <w:lang w:val="en-CA"/>
        </w:rPr>
        <w:t xml:space="preserve"> </w:t>
      </w:r>
      <w:r>
        <w:rPr>
          <w:lang w:val="en-CA"/>
        </w:rPr>
        <w:t>and the</w:t>
      </w:r>
      <w:r w:rsidR="00CF0E5B" w:rsidRPr="00700A2E">
        <w:rPr>
          <w:lang w:val="en-CA"/>
        </w:rPr>
        <w:t xml:space="preserve"> </w:t>
      </w:r>
      <w:r>
        <w:rPr>
          <w:lang w:val="en-CA"/>
        </w:rPr>
        <w:t>Lessee</w:t>
      </w:r>
      <w:r w:rsidR="00CF0E5B" w:rsidRPr="00700A2E">
        <w:rPr>
          <w:lang w:val="en-CA"/>
        </w:rPr>
        <w:t xml:space="preserve"> </w:t>
      </w:r>
      <w:r w:rsidR="00A071D8">
        <w:rPr>
          <w:lang w:val="en-CA"/>
        </w:rPr>
        <w:t>has not shown any</w:t>
      </w:r>
      <w:r w:rsidR="00CE39A5">
        <w:rPr>
          <w:lang w:val="en-CA"/>
        </w:rPr>
        <w:t xml:space="preserve"> palpable and overriding error</w:t>
      </w:r>
      <w:r w:rsidR="00CF0E5B" w:rsidRPr="00700A2E">
        <w:rPr>
          <w:lang w:val="en-CA"/>
        </w:rPr>
        <w:t>.</w:t>
      </w:r>
    </w:p>
    <w:p w14:paraId="05416968" w14:textId="20E28F67" w:rsidR="00CF0E5B" w:rsidRPr="00700A2E" w:rsidRDefault="00CE39A5" w:rsidP="00CF0E5B">
      <w:pPr>
        <w:pStyle w:val="Paragraphe"/>
        <w:rPr>
          <w:lang w:val="en-CA"/>
        </w:rPr>
      </w:pPr>
      <w:r>
        <w:rPr>
          <w:lang w:val="en-CA"/>
        </w:rPr>
        <w:lastRenderedPageBreak/>
        <w:t>I agree with the judge that the second renewal proposal did not constitute an offer to contract within the meaning of article</w:t>
      </w:r>
      <w:r w:rsidR="00CF0E5B" w:rsidRPr="00700A2E">
        <w:rPr>
          <w:lang w:val="en-CA"/>
        </w:rPr>
        <w:t> 1388 </w:t>
      </w:r>
      <w:r w:rsidR="00CF0E5B" w:rsidRPr="00700A2E">
        <w:rPr>
          <w:i/>
          <w:iCs/>
          <w:lang w:val="en-CA"/>
        </w:rPr>
        <w:t>C.</w:t>
      </w:r>
      <w:r w:rsidR="00F44CBA">
        <w:rPr>
          <w:i/>
          <w:iCs/>
          <w:lang w:val="en-CA"/>
        </w:rPr>
        <w:t>C</w:t>
      </w:r>
      <w:r w:rsidR="00CF0E5B" w:rsidRPr="00700A2E">
        <w:rPr>
          <w:i/>
          <w:iCs/>
          <w:lang w:val="en-CA"/>
        </w:rPr>
        <w:t>.Q.</w:t>
      </w:r>
      <w:r w:rsidR="00CF0E5B" w:rsidRPr="00700A2E">
        <w:rPr>
          <w:lang w:val="en-CA"/>
        </w:rPr>
        <w:t xml:space="preserve"> </w:t>
      </w:r>
      <w:r w:rsidR="00F44CBA">
        <w:rPr>
          <w:lang w:val="en-CA"/>
        </w:rPr>
        <w:t>and that no lease agreement was thus formed on November 25, 2021</w:t>
      </w:r>
      <w:r w:rsidR="00CF0E5B" w:rsidRPr="00700A2E">
        <w:rPr>
          <w:lang w:val="en-CA"/>
        </w:rPr>
        <w:t>.</w:t>
      </w:r>
    </w:p>
    <w:p w14:paraId="39756F3B" w14:textId="13A31F4F" w:rsidR="00CF0E5B" w:rsidRPr="00700A2E" w:rsidRDefault="00F44CBA" w:rsidP="00CF0E5B">
      <w:pPr>
        <w:pStyle w:val="Titre2"/>
        <w:rPr>
          <w:lang w:val="en-CA"/>
        </w:rPr>
      </w:pPr>
      <w:r>
        <w:rPr>
          <w:lang w:val="en-CA"/>
        </w:rPr>
        <w:t>Did c</w:t>
      </w:r>
      <w:r w:rsidR="00CF0E5B" w:rsidRPr="00700A2E">
        <w:rPr>
          <w:lang w:val="en-CA"/>
        </w:rPr>
        <w:t xml:space="preserve">lause 27.6 </w:t>
      </w:r>
      <w:r>
        <w:rPr>
          <w:lang w:val="en-CA"/>
        </w:rPr>
        <w:t xml:space="preserve">of the lease </w:t>
      </w:r>
      <w:r w:rsidR="00782021">
        <w:rPr>
          <w:lang w:val="en-CA"/>
        </w:rPr>
        <w:t>grant</w:t>
      </w:r>
      <w:r>
        <w:rPr>
          <w:lang w:val="en-CA"/>
        </w:rPr>
        <w:t xml:space="preserve"> the Lessee a true renewal option or merely a right of first refusal</w:t>
      </w:r>
      <w:r w:rsidR="00CF0E5B" w:rsidRPr="00700A2E">
        <w:rPr>
          <w:lang w:val="en-CA"/>
        </w:rPr>
        <w:t>?</w:t>
      </w:r>
    </w:p>
    <w:p w14:paraId="693909F7" w14:textId="6C5F76AD" w:rsidR="00CF0E5B" w:rsidRPr="00700A2E" w:rsidRDefault="00377997" w:rsidP="00CF0E5B">
      <w:pPr>
        <w:pStyle w:val="Paragraphe"/>
        <w:rPr>
          <w:lang w:val="en-CA"/>
        </w:rPr>
      </w:pPr>
      <w:r>
        <w:rPr>
          <w:lang w:val="en-CA"/>
        </w:rPr>
        <w:t xml:space="preserve">The </w:t>
      </w:r>
      <w:r w:rsidR="00A071D8">
        <w:rPr>
          <w:lang w:val="en-CA"/>
        </w:rPr>
        <w:t>O</w:t>
      </w:r>
      <w:r>
        <w:rPr>
          <w:lang w:val="en-CA"/>
        </w:rPr>
        <w:t>wners argue that the judge made a reviewable error</w:t>
      </w:r>
      <w:r w:rsidR="00A071D8">
        <w:rPr>
          <w:lang w:val="en-CA"/>
        </w:rPr>
        <w:t xml:space="preserve"> </w:t>
      </w:r>
      <w:r>
        <w:rPr>
          <w:lang w:val="en-CA"/>
        </w:rPr>
        <w:t xml:space="preserve">in finding that clause </w:t>
      </w:r>
      <w:r w:rsidR="00CF0E5B" w:rsidRPr="00700A2E">
        <w:rPr>
          <w:lang w:val="en-CA"/>
        </w:rPr>
        <w:t xml:space="preserve">27.6 </w:t>
      </w:r>
      <w:r>
        <w:rPr>
          <w:lang w:val="en-CA"/>
        </w:rPr>
        <w:t xml:space="preserve">of the lease </w:t>
      </w:r>
      <w:r w:rsidR="00782021">
        <w:rPr>
          <w:lang w:val="en-CA"/>
        </w:rPr>
        <w:t>grant</w:t>
      </w:r>
      <w:r>
        <w:rPr>
          <w:lang w:val="en-CA"/>
        </w:rPr>
        <w:t>ed the Lessee a true renewal option rather than a right of first refusal.</w:t>
      </w:r>
      <w:r w:rsidR="00CF0E5B" w:rsidRPr="00700A2E">
        <w:rPr>
          <w:rStyle w:val="Appelnotedebasdep"/>
          <w:lang w:val="en-CA"/>
        </w:rPr>
        <w:footnoteReference w:id="12"/>
      </w:r>
    </w:p>
    <w:p w14:paraId="4C403946" w14:textId="63DA7F2F" w:rsidR="00CF0E5B" w:rsidRPr="00700A2E" w:rsidRDefault="00377997" w:rsidP="00CF0E5B">
      <w:pPr>
        <w:pStyle w:val="Paragraphe"/>
        <w:rPr>
          <w:lang w:val="en-CA"/>
        </w:rPr>
      </w:pPr>
      <w:r>
        <w:rPr>
          <w:lang w:val="en-CA"/>
        </w:rPr>
        <w:t>I agree</w:t>
      </w:r>
      <w:r w:rsidR="00CF0E5B" w:rsidRPr="00700A2E">
        <w:rPr>
          <w:lang w:val="en-CA"/>
        </w:rPr>
        <w:t>.</w:t>
      </w:r>
    </w:p>
    <w:p w14:paraId="56E20586" w14:textId="461C2CFB" w:rsidR="00CF0E5B" w:rsidRPr="00700A2E" w:rsidRDefault="00377997" w:rsidP="00CF0E5B">
      <w:pPr>
        <w:pStyle w:val="Paragraphe"/>
        <w:rPr>
          <w:lang w:val="en-CA"/>
        </w:rPr>
      </w:pPr>
      <w:r>
        <w:rPr>
          <w:lang w:val="en-CA"/>
        </w:rPr>
        <w:t>It is true that clause</w:t>
      </w:r>
      <w:r w:rsidR="00CF0E5B" w:rsidRPr="00700A2E">
        <w:rPr>
          <w:lang w:val="en-CA"/>
        </w:rPr>
        <w:t xml:space="preserve"> 27.6 </w:t>
      </w:r>
      <w:r w:rsidR="00A3652B">
        <w:rPr>
          <w:lang w:val="en-CA"/>
        </w:rPr>
        <w:t>did</w:t>
      </w:r>
      <w:r>
        <w:rPr>
          <w:lang w:val="en-CA"/>
        </w:rPr>
        <w:t xml:space="preserve"> not leave the negotiation of the new lease, nor even the rent</w:t>
      </w:r>
      <w:r w:rsidR="00CF0E5B" w:rsidRPr="00700A2E">
        <w:rPr>
          <w:lang w:val="en-CA"/>
        </w:rPr>
        <w:t xml:space="preserve">, </w:t>
      </w:r>
      <w:r>
        <w:rPr>
          <w:lang w:val="en-CA"/>
        </w:rPr>
        <w:t xml:space="preserve">completely open, </w:t>
      </w:r>
      <w:r w:rsidR="00C06A83">
        <w:rPr>
          <w:lang w:val="en-CA"/>
        </w:rPr>
        <w:t>unlike</w:t>
      </w:r>
      <w:r>
        <w:rPr>
          <w:lang w:val="en-CA"/>
        </w:rPr>
        <w:t xml:space="preserve"> the clauses at issue in </w:t>
      </w:r>
      <w:r w:rsidR="00A071D8">
        <w:rPr>
          <w:lang w:val="en-CA"/>
        </w:rPr>
        <w:t xml:space="preserve">some of </w:t>
      </w:r>
      <w:r>
        <w:rPr>
          <w:lang w:val="en-CA"/>
        </w:rPr>
        <w:t>the decisions relied upon by the Owners</w:t>
      </w:r>
      <w:r w:rsidR="00CF0E5B" w:rsidRPr="00700A2E">
        <w:rPr>
          <w:lang w:val="en-CA"/>
        </w:rPr>
        <w:t xml:space="preserve">. </w:t>
      </w:r>
      <w:r w:rsidRPr="002E35B4">
        <w:t xml:space="preserve">For </w:t>
      </w:r>
      <w:proofErr w:type="spellStart"/>
      <w:r w:rsidRPr="002E35B4">
        <w:t>example</w:t>
      </w:r>
      <w:proofErr w:type="spellEnd"/>
      <w:r w:rsidRPr="002E35B4">
        <w:t>, in</w:t>
      </w:r>
      <w:r w:rsidR="00CF0E5B" w:rsidRPr="002E35B4">
        <w:t xml:space="preserve"> </w:t>
      </w:r>
      <w:r w:rsidR="00CF0E5B" w:rsidRPr="002E35B4">
        <w:rPr>
          <w:i/>
          <w:iCs/>
        </w:rPr>
        <w:t xml:space="preserve">Place Lebourgneuf </w:t>
      </w:r>
      <w:proofErr w:type="spellStart"/>
      <w:r w:rsidR="00CF0E5B" w:rsidRPr="002E35B4">
        <w:rPr>
          <w:i/>
          <w:iCs/>
        </w:rPr>
        <w:t>inc.</w:t>
      </w:r>
      <w:proofErr w:type="spellEnd"/>
      <w:r w:rsidR="00CF0E5B" w:rsidRPr="002E35B4">
        <w:rPr>
          <w:i/>
          <w:iCs/>
        </w:rPr>
        <w:t xml:space="preserve"> c. Autodrome de Val Bélair </w:t>
      </w:r>
      <w:proofErr w:type="spellStart"/>
      <w:r w:rsidR="00CF0E5B" w:rsidRPr="002E35B4">
        <w:rPr>
          <w:i/>
          <w:iCs/>
        </w:rPr>
        <w:t>inc.</w:t>
      </w:r>
      <w:proofErr w:type="spellEnd"/>
      <w:r w:rsidR="00CF0E5B" w:rsidRPr="002E35B4">
        <w:t xml:space="preserve">, </w:t>
      </w:r>
      <w:r w:rsidRPr="002E35B4">
        <w:t xml:space="preserve">the clause </w:t>
      </w:r>
      <w:proofErr w:type="spellStart"/>
      <w:r w:rsidRPr="002E35B4">
        <w:t>stipulated</w:t>
      </w:r>
      <w:proofErr w:type="spellEnd"/>
      <w:r w:rsidRPr="002E35B4">
        <w:t xml:space="preserve"> </w:t>
      </w:r>
      <w:proofErr w:type="spellStart"/>
      <w:r w:rsidRPr="002E35B4">
        <w:t>that</w:t>
      </w:r>
      <w:proofErr w:type="spellEnd"/>
      <w:r w:rsidRPr="002E35B4">
        <w:t xml:space="preserve"> “</w:t>
      </w:r>
      <w:r w:rsidR="00CF0E5B" w:rsidRPr="002E35B4">
        <w:rPr>
          <w:i/>
          <w:iCs/>
        </w:rPr>
        <w:t>chacun des termes et conditions du bail à intervenir [doit] faire l’objet d’une entente entre les parties</w:t>
      </w:r>
      <w:r w:rsidRPr="002E35B4">
        <w:t>.”</w:t>
      </w:r>
      <w:r w:rsidR="00CF0E5B" w:rsidRPr="00700A2E">
        <w:rPr>
          <w:rStyle w:val="Appelnotedebasdep"/>
          <w:lang w:val="en-CA"/>
        </w:rPr>
        <w:footnoteReference w:id="13"/>
      </w:r>
      <w:r w:rsidR="00CF0E5B" w:rsidRPr="002E35B4">
        <w:t xml:space="preserve"> </w:t>
      </w:r>
      <w:r>
        <w:rPr>
          <w:lang w:val="en-CA"/>
        </w:rPr>
        <w:t xml:space="preserve">The clause in this case </w:t>
      </w:r>
      <w:r w:rsidR="00854EEF">
        <w:rPr>
          <w:lang w:val="en-CA"/>
        </w:rPr>
        <w:t>i</w:t>
      </w:r>
      <w:r w:rsidR="00EF0C89">
        <w:rPr>
          <w:lang w:val="en-CA"/>
        </w:rPr>
        <w:t>s more specific in that it provide</w:t>
      </w:r>
      <w:r w:rsidR="00854EEF">
        <w:rPr>
          <w:lang w:val="en-CA"/>
        </w:rPr>
        <w:t>s</w:t>
      </w:r>
      <w:r w:rsidR="00EF0C89">
        <w:rPr>
          <w:lang w:val="en-CA"/>
        </w:rPr>
        <w:t xml:space="preserve"> parameters </w:t>
      </w:r>
      <w:r w:rsidR="00A071D8">
        <w:rPr>
          <w:lang w:val="en-CA"/>
        </w:rPr>
        <w:t xml:space="preserve">for </w:t>
      </w:r>
      <w:r w:rsidR="00EF0C89">
        <w:rPr>
          <w:lang w:val="en-CA"/>
        </w:rPr>
        <w:t>setting the rent</w:t>
      </w:r>
      <w:r w:rsidR="00CF0E5B" w:rsidRPr="00700A2E">
        <w:rPr>
          <w:lang w:val="en-CA"/>
        </w:rPr>
        <w:t xml:space="preserve">. </w:t>
      </w:r>
      <w:bookmarkStart w:id="14" w:name="_Ref183523034"/>
      <w:r w:rsidR="00EF0C89">
        <w:rPr>
          <w:lang w:val="en-CA"/>
        </w:rPr>
        <w:t xml:space="preserve">It </w:t>
      </w:r>
      <w:r w:rsidR="00854EEF">
        <w:rPr>
          <w:lang w:val="en-CA"/>
        </w:rPr>
        <w:t>i</w:t>
      </w:r>
      <w:r w:rsidR="00EF0C89">
        <w:rPr>
          <w:lang w:val="en-CA"/>
        </w:rPr>
        <w:t>s closer to the renewal option clauses found in academic commentary and in some judicial decisions.</w:t>
      </w:r>
      <w:r w:rsidR="00CF0E5B" w:rsidRPr="00700A2E">
        <w:rPr>
          <w:rStyle w:val="Appelnotedebasdep"/>
          <w:lang w:val="en-CA"/>
        </w:rPr>
        <w:footnoteReference w:id="14"/>
      </w:r>
      <w:bookmarkEnd w:id="14"/>
      <w:r w:rsidR="00CF0E5B" w:rsidRPr="00700A2E">
        <w:rPr>
          <w:lang w:val="en-CA"/>
        </w:rPr>
        <w:t xml:space="preserve"> </w:t>
      </w:r>
    </w:p>
    <w:p w14:paraId="37FAD061" w14:textId="31B4B572" w:rsidR="00CF0E5B" w:rsidRPr="00700A2E" w:rsidRDefault="00EF0C89" w:rsidP="00CF0E5B">
      <w:pPr>
        <w:pStyle w:val="Paragraphe"/>
        <w:rPr>
          <w:lang w:val="en-CA"/>
        </w:rPr>
      </w:pPr>
      <w:r>
        <w:rPr>
          <w:lang w:val="en-CA"/>
        </w:rPr>
        <w:t>But</w:t>
      </w:r>
      <w:r w:rsidR="002C50B1">
        <w:rPr>
          <w:lang w:val="en-CA"/>
        </w:rPr>
        <w:t xml:space="preserve"> that is not to say that</w:t>
      </w:r>
      <w:r>
        <w:rPr>
          <w:lang w:val="en-CA"/>
        </w:rPr>
        <w:t xml:space="preserve"> the</w:t>
      </w:r>
      <w:r w:rsidR="002C50B1">
        <w:rPr>
          <w:lang w:val="en-CA"/>
        </w:rPr>
        <w:t xml:space="preserve"> rent </w:t>
      </w:r>
      <w:r w:rsidR="00854EEF">
        <w:rPr>
          <w:lang w:val="en-CA"/>
        </w:rPr>
        <w:t>wa</w:t>
      </w:r>
      <w:r w:rsidR="002C50B1">
        <w:rPr>
          <w:lang w:val="en-CA"/>
        </w:rPr>
        <w:t>s “determinable” within the meaning of articles</w:t>
      </w:r>
      <w:r w:rsidR="00CF0E5B" w:rsidRPr="00700A2E">
        <w:rPr>
          <w:lang w:val="en-CA"/>
        </w:rPr>
        <w:t xml:space="preserve"> 1373 </w:t>
      </w:r>
      <w:r w:rsidR="002C50B1">
        <w:rPr>
          <w:lang w:val="en-CA"/>
        </w:rPr>
        <w:t>and</w:t>
      </w:r>
      <w:r w:rsidR="00CF0E5B" w:rsidRPr="00700A2E">
        <w:rPr>
          <w:lang w:val="en-CA"/>
        </w:rPr>
        <w:t xml:space="preserve"> 1374 </w:t>
      </w:r>
      <w:r w:rsidR="00CF0E5B" w:rsidRPr="00700A2E">
        <w:rPr>
          <w:i/>
          <w:iCs/>
          <w:lang w:val="en-CA"/>
        </w:rPr>
        <w:t>C.</w:t>
      </w:r>
      <w:r w:rsidR="002C50B1">
        <w:rPr>
          <w:i/>
          <w:iCs/>
          <w:lang w:val="en-CA"/>
        </w:rPr>
        <w:t>C</w:t>
      </w:r>
      <w:r w:rsidR="00CF0E5B" w:rsidRPr="00700A2E">
        <w:rPr>
          <w:i/>
          <w:iCs/>
          <w:lang w:val="en-CA"/>
        </w:rPr>
        <w:t>.Q</w:t>
      </w:r>
      <w:r w:rsidR="00CF0E5B" w:rsidRPr="00700A2E">
        <w:rPr>
          <w:lang w:val="en-CA"/>
        </w:rPr>
        <w:t>.</w:t>
      </w:r>
      <w:r w:rsidR="00CF0E5B" w:rsidRPr="00700A2E">
        <w:rPr>
          <w:rStyle w:val="Appelnotedebasdep"/>
          <w:lang w:val="en-CA"/>
        </w:rPr>
        <w:footnoteReference w:id="15"/>
      </w:r>
      <w:r w:rsidR="00CF0E5B" w:rsidRPr="00700A2E">
        <w:rPr>
          <w:lang w:val="en-CA"/>
        </w:rPr>
        <w:t xml:space="preserve"> </w:t>
      </w:r>
      <w:r w:rsidR="002C50B1">
        <w:rPr>
          <w:lang w:val="en-CA"/>
        </w:rPr>
        <w:t>Indeed, clause</w:t>
      </w:r>
      <w:r w:rsidR="00CF0E5B" w:rsidRPr="00700A2E">
        <w:rPr>
          <w:lang w:val="en-CA"/>
        </w:rPr>
        <w:t xml:space="preserve"> 27.6 </w:t>
      </w:r>
      <w:r w:rsidR="002C50B1">
        <w:rPr>
          <w:lang w:val="en-CA"/>
        </w:rPr>
        <w:t>does not refer to any known price index</w:t>
      </w:r>
      <w:r w:rsidR="00CF0E5B" w:rsidRPr="00700A2E">
        <w:rPr>
          <w:lang w:val="en-CA"/>
        </w:rPr>
        <w:t xml:space="preserve">, </w:t>
      </w:r>
      <w:r w:rsidR="002C50B1">
        <w:rPr>
          <w:lang w:val="en-CA"/>
        </w:rPr>
        <w:t>nor does it provide for any lease determination mechanism “</w:t>
      </w:r>
      <w:proofErr w:type="spellStart"/>
      <w:r w:rsidR="00CF0E5B" w:rsidRPr="00A3652B">
        <w:rPr>
          <w:i/>
          <w:iCs/>
          <w:lang w:val="en-CA"/>
        </w:rPr>
        <w:t>objectif</w:t>
      </w:r>
      <w:proofErr w:type="spellEnd"/>
      <w:r w:rsidR="00CF0E5B" w:rsidRPr="00A3652B">
        <w:rPr>
          <w:i/>
          <w:iCs/>
          <w:lang w:val="en-CA"/>
        </w:rPr>
        <w:t xml:space="preserve"> et </w:t>
      </w:r>
      <w:proofErr w:type="spellStart"/>
      <w:r w:rsidR="00CF0E5B" w:rsidRPr="00A3652B">
        <w:rPr>
          <w:i/>
          <w:iCs/>
          <w:lang w:val="en-CA"/>
        </w:rPr>
        <w:t>extérieur</w:t>
      </w:r>
      <w:proofErr w:type="spellEnd"/>
      <w:r w:rsidR="00CF0E5B" w:rsidRPr="00A3652B">
        <w:rPr>
          <w:i/>
          <w:iCs/>
          <w:lang w:val="en-CA"/>
        </w:rPr>
        <w:t xml:space="preserve"> aux parties</w:t>
      </w:r>
      <w:r w:rsidR="002C50B1">
        <w:rPr>
          <w:lang w:val="en-CA"/>
        </w:rPr>
        <w:t>.”</w:t>
      </w:r>
      <w:bookmarkStart w:id="15" w:name="_Ref185601738"/>
      <w:r w:rsidR="00CF0E5B" w:rsidRPr="00700A2E">
        <w:rPr>
          <w:rStyle w:val="Appelnotedebasdep"/>
          <w:lang w:val="en-CA"/>
        </w:rPr>
        <w:footnoteReference w:id="16"/>
      </w:r>
      <w:bookmarkEnd w:id="15"/>
      <w:r w:rsidR="00CF0E5B" w:rsidRPr="00700A2E">
        <w:rPr>
          <w:lang w:val="en-CA"/>
        </w:rPr>
        <w:t xml:space="preserve"> </w:t>
      </w:r>
      <w:r w:rsidR="002C50B1">
        <w:rPr>
          <w:lang w:val="en-CA"/>
        </w:rPr>
        <w:t>Even the words “</w:t>
      </w:r>
      <w:proofErr w:type="spellStart"/>
      <w:r w:rsidR="00CF0E5B" w:rsidRPr="00A3652B">
        <w:rPr>
          <w:i/>
          <w:iCs/>
          <w:lang w:val="en-CA"/>
        </w:rPr>
        <w:t>espace</w:t>
      </w:r>
      <w:proofErr w:type="spellEnd"/>
      <w:r w:rsidR="00CF0E5B" w:rsidRPr="00A3652B">
        <w:rPr>
          <w:i/>
          <w:iCs/>
          <w:lang w:val="en-CA"/>
        </w:rPr>
        <w:t xml:space="preserve"> comparable et </w:t>
      </w:r>
      <w:proofErr w:type="spellStart"/>
      <w:r w:rsidR="00CF0E5B" w:rsidRPr="00A3652B">
        <w:rPr>
          <w:i/>
          <w:iCs/>
          <w:lang w:val="en-CA"/>
        </w:rPr>
        <w:t>d’usage</w:t>
      </w:r>
      <w:proofErr w:type="spellEnd"/>
      <w:r w:rsidR="00CF0E5B" w:rsidRPr="00A3652B">
        <w:rPr>
          <w:i/>
          <w:iCs/>
          <w:lang w:val="en-CA"/>
        </w:rPr>
        <w:t xml:space="preserve"> </w:t>
      </w:r>
      <w:proofErr w:type="spellStart"/>
      <w:r w:rsidR="00CF0E5B" w:rsidRPr="00A3652B">
        <w:rPr>
          <w:i/>
          <w:iCs/>
          <w:lang w:val="en-CA"/>
        </w:rPr>
        <w:t>similaire</w:t>
      </w:r>
      <w:proofErr w:type="spellEnd"/>
      <w:r w:rsidR="002C50B1">
        <w:rPr>
          <w:lang w:val="en-CA"/>
        </w:rPr>
        <w:t xml:space="preserve">” are </w:t>
      </w:r>
      <w:r w:rsidR="00652355">
        <w:rPr>
          <w:lang w:val="en-CA"/>
        </w:rPr>
        <w:t>open</w:t>
      </w:r>
      <w:r w:rsidR="002C50B1">
        <w:rPr>
          <w:lang w:val="en-CA"/>
        </w:rPr>
        <w:t xml:space="preserve"> to</w:t>
      </w:r>
      <w:r w:rsidR="00CF0E5B" w:rsidRPr="00700A2E">
        <w:rPr>
          <w:lang w:val="en-CA"/>
        </w:rPr>
        <w:t xml:space="preserve"> </w:t>
      </w:r>
      <w:r w:rsidR="00652355">
        <w:rPr>
          <w:lang w:val="en-CA"/>
        </w:rPr>
        <w:t>debate</w:t>
      </w:r>
      <w:r w:rsidR="00CF0E5B" w:rsidRPr="00700A2E">
        <w:rPr>
          <w:lang w:val="en-CA"/>
        </w:rPr>
        <w:t xml:space="preserve">. </w:t>
      </w:r>
      <w:r w:rsidR="002C50B1">
        <w:rPr>
          <w:lang w:val="en-CA"/>
        </w:rPr>
        <w:t>Determination of the rent depen</w:t>
      </w:r>
      <w:r w:rsidR="00242159">
        <w:rPr>
          <w:lang w:val="en-CA"/>
        </w:rPr>
        <w:t>ded</w:t>
      </w:r>
      <w:r w:rsidR="002C50B1">
        <w:rPr>
          <w:lang w:val="en-CA"/>
        </w:rPr>
        <w:t xml:space="preserve"> </w:t>
      </w:r>
      <w:r w:rsidR="00652355">
        <w:rPr>
          <w:lang w:val="en-CA"/>
        </w:rPr>
        <w:t xml:space="preserve">on </w:t>
      </w:r>
      <w:r w:rsidR="002C50B1">
        <w:rPr>
          <w:lang w:val="en-CA"/>
        </w:rPr>
        <w:t>the outcome of negotiations between the parties</w:t>
      </w:r>
      <w:r w:rsidR="00CF0E5B" w:rsidRPr="00700A2E">
        <w:rPr>
          <w:lang w:val="en-CA"/>
        </w:rPr>
        <w:t>.</w:t>
      </w:r>
    </w:p>
    <w:p w14:paraId="2C18E5E4" w14:textId="2DA28081" w:rsidR="00CF0E5B" w:rsidRPr="00700A2E" w:rsidRDefault="00104D11" w:rsidP="00CF0E5B">
      <w:pPr>
        <w:pStyle w:val="Paragraphe"/>
        <w:rPr>
          <w:lang w:val="en-CA"/>
        </w:rPr>
      </w:pPr>
      <w:r>
        <w:rPr>
          <w:lang w:val="en-CA"/>
        </w:rPr>
        <w:t>And there is more</w:t>
      </w:r>
      <w:r w:rsidR="00CF0E5B" w:rsidRPr="00700A2E">
        <w:rPr>
          <w:lang w:val="en-CA"/>
        </w:rPr>
        <w:t xml:space="preserve">. </w:t>
      </w:r>
      <w:r>
        <w:rPr>
          <w:lang w:val="en-CA"/>
        </w:rPr>
        <w:t>The judge failed to consider that part of the clause that provided what would happen if no agreement on the rent was reached</w:t>
      </w:r>
      <w:r w:rsidR="00CF0E5B" w:rsidRPr="00700A2E">
        <w:rPr>
          <w:lang w:val="en-CA"/>
        </w:rPr>
        <w:t xml:space="preserve">: </w:t>
      </w:r>
      <w:r>
        <w:rPr>
          <w:lang w:val="en-CA"/>
        </w:rPr>
        <w:t>“</w:t>
      </w:r>
      <w:r w:rsidR="00CF0E5B" w:rsidRPr="00A3652B">
        <w:rPr>
          <w:i/>
          <w:iCs/>
          <w:lang w:val="en-CA"/>
        </w:rPr>
        <w:t xml:space="preserve">à </w:t>
      </w:r>
      <w:proofErr w:type="spellStart"/>
      <w:r w:rsidR="00CF0E5B" w:rsidRPr="00A3652B">
        <w:rPr>
          <w:i/>
          <w:iCs/>
          <w:lang w:val="en-CA"/>
        </w:rPr>
        <w:t>défaut</w:t>
      </w:r>
      <w:proofErr w:type="spellEnd"/>
      <w:r w:rsidR="00CF0E5B" w:rsidRPr="00A3652B">
        <w:rPr>
          <w:i/>
          <w:iCs/>
          <w:lang w:val="en-CA"/>
        </w:rPr>
        <w:t xml:space="preserve"> de quoi, </w:t>
      </w:r>
      <w:proofErr w:type="spellStart"/>
      <w:r w:rsidR="00CF0E5B" w:rsidRPr="00A3652B">
        <w:rPr>
          <w:i/>
          <w:iCs/>
          <w:lang w:val="en-CA"/>
        </w:rPr>
        <w:t>l’option</w:t>
      </w:r>
      <w:proofErr w:type="spellEnd"/>
      <w:r w:rsidR="00CF0E5B" w:rsidRPr="00A3652B">
        <w:rPr>
          <w:i/>
          <w:iCs/>
          <w:lang w:val="en-CA"/>
        </w:rPr>
        <w:t xml:space="preserve"> de </w:t>
      </w:r>
      <w:proofErr w:type="spellStart"/>
      <w:r w:rsidR="00CF0E5B" w:rsidRPr="00A3652B">
        <w:rPr>
          <w:i/>
          <w:iCs/>
          <w:lang w:val="en-CA"/>
        </w:rPr>
        <w:t>renouvellement</w:t>
      </w:r>
      <w:proofErr w:type="spellEnd"/>
      <w:r w:rsidR="00CF0E5B" w:rsidRPr="00A3652B">
        <w:rPr>
          <w:i/>
          <w:iCs/>
          <w:lang w:val="en-CA"/>
        </w:rPr>
        <w:t xml:space="preserve"> </w:t>
      </w:r>
      <w:proofErr w:type="spellStart"/>
      <w:r w:rsidR="00CF0E5B" w:rsidRPr="00A3652B">
        <w:rPr>
          <w:i/>
          <w:iCs/>
          <w:lang w:val="en-CA"/>
        </w:rPr>
        <w:t>deviendra</w:t>
      </w:r>
      <w:proofErr w:type="spellEnd"/>
      <w:r w:rsidR="00CF0E5B" w:rsidRPr="00A3652B">
        <w:rPr>
          <w:i/>
          <w:iCs/>
          <w:lang w:val="en-CA"/>
        </w:rPr>
        <w:t xml:space="preserve"> </w:t>
      </w:r>
      <w:proofErr w:type="spellStart"/>
      <w:r w:rsidR="00CF0E5B" w:rsidRPr="00A3652B">
        <w:rPr>
          <w:i/>
          <w:iCs/>
          <w:lang w:val="en-CA"/>
        </w:rPr>
        <w:t>nulle</w:t>
      </w:r>
      <w:proofErr w:type="spellEnd"/>
      <w:r w:rsidR="00CF0E5B" w:rsidRPr="00A3652B">
        <w:rPr>
          <w:i/>
          <w:iCs/>
          <w:lang w:val="en-CA"/>
        </w:rPr>
        <w:t xml:space="preserve"> et non avenue à </w:t>
      </w:r>
      <w:proofErr w:type="spellStart"/>
      <w:r w:rsidR="00CF0E5B" w:rsidRPr="00A3652B">
        <w:rPr>
          <w:i/>
          <w:iCs/>
          <w:lang w:val="en-CA"/>
        </w:rPr>
        <w:t>l’expiration</w:t>
      </w:r>
      <w:proofErr w:type="spellEnd"/>
      <w:r w:rsidR="00CF0E5B" w:rsidRPr="00A3652B">
        <w:rPr>
          <w:i/>
          <w:iCs/>
          <w:lang w:val="en-CA"/>
        </w:rPr>
        <w:t xml:space="preserve"> </w:t>
      </w:r>
      <w:proofErr w:type="spellStart"/>
      <w:r w:rsidR="00CF0E5B" w:rsidRPr="00A3652B">
        <w:rPr>
          <w:i/>
          <w:iCs/>
          <w:lang w:val="en-CA"/>
        </w:rPr>
        <w:t>dudit</w:t>
      </w:r>
      <w:proofErr w:type="spellEnd"/>
      <w:r w:rsidR="00CF0E5B" w:rsidRPr="00A3652B">
        <w:rPr>
          <w:i/>
          <w:iCs/>
          <w:lang w:val="en-CA"/>
        </w:rPr>
        <w:t xml:space="preserve"> </w:t>
      </w:r>
      <w:proofErr w:type="spellStart"/>
      <w:r w:rsidR="00CF0E5B" w:rsidRPr="00A3652B">
        <w:rPr>
          <w:i/>
          <w:iCs/>
          <w:lang w:val="en-CA"/>
        </w:rPr>
        <w:t>délai</w:t>
      </w:r>
      <w:proofErr w:type="spellEnd"/>
      <w:r w:rsidR="00CF0E5B" w:rsidRPr="00A3652B">
        <w:rPr>
          <w:i/>
          <w:iCs/>
          <w:lang w:val="en-CA"/>
        </w:rPr>
        <w:t xml:space="preserve"> de </w:t>
      </w:r>
      <w:proofErr w:type="spellStart"/>
      <w:r w:rsidR="00CF0E5B" w:rsidRPr="00A3652B">
        <w:rPr>
          <w:i/>
          <w:iCs/>
          <w:lang w:val="en-CA"/>
        </w:rPr>
        <w:t>soixante</w:t>
      </w:r>
      <w:proofErr w:type="spellEnd"/>
      <w:r w:rsidR="00CF0E5B" w:rsidRPr="00A3652B">
        <w:rPr>
          <w:i/>
          <w:iCs/>
          <w:lang w:val="en-CA"/>
        </w:rPr>
        <w:t> (60) </w:t>
      </w:r>
      <w:proofErr w:type="spellStart"/>
      <w:r w:rsidR="00CF0E5B" w:rsidRPr="00A3652B">
        <w:rPr>
          <w:i/>
          <w:iCs/>
          <w:lang w:val="en-CA"/>
        </w:rPr>
        <w:t>jours</w:t>
      </w:r>
      <w:proofErr w:type="spellEnd"/>
      <w:r>
        <w:rPr>
          <w:lang w:val="en-CA"/>
        </w:rPr>
        <w:t>.”</w:t>
      </w:r>
    </w:p>
    <w:p w14:paraId="52382EB3" w14:textId="591BB871" w:rsidR="00CF0E5B" w:rsidRPr="00700A2E" w:rsidRDefault="00104D11" w:rsidP="00CF0E5B">
      <w:pPr>
        <w:pStyle w:val="Paragraphe"/>
        <w:rPr>
          <w:lang w:val="en-CA"/>
        </w:rPr>
      </w:pPr>
      <w:r>
        <w:rPr>
          <w:lang w:val="en-CA"/>
        </w:rPr>
        <w:lastRenderedPageBreak/>
        <w:t>In support of his interpretation of clause</w:t>
      </w:r>
      <w:r w:rsidR="00CF0E5B" w:rsidRPr="00700A2E">
        <w:rPr>
          <w:lang w:val="en-CA"/>
        </w:rPr>
        <w:t xml:space="preserve"> 27.6, </w:t>
      </w:r>
      <w:r>
        <w:rPr>
          <w:lang w:val="en-CA"/>
        </w:rPr>
        <w:t xml:space="preserve">the judge gave a few examples of decisions </w:t>
      </w:r>
      <w:r w:rsidR="00420A91">
        <w:rPr>
          <w:lang w:val="en-CA"/>
        </w:rPr>
        <w:t>in which</w:t>
      </w:r>
      <w:r>
        <w:rPr>
          <w:lang w:val="en-CA"/>
        </w:rPr>
        <w:t xml:space="preserve"> the Superior Court set the rent</w:t>
      </w:r>
      <w:r w:rsidR="00420A91">
        <w:rPr>
          <w:lang w:val="en-CA"/>
        </w:rPr>
        <w:t xml:space="preserve"> by</w:t>
      </w:r>
      <w:r>
        <w:rPr>
          <w:lang w:val="en-CA"/>
        </w:rPr>
        <w:t xml:space="preserve"> </w:t>
      </w:r>
      <w:r w:rsidR="00420A91">
        <w:rPr>
          <w:lang w:val="en-CA"/>
        </w:rPr>
        <w:t>relying on expert evidence on market rates</w:t>
      </w:r>
      <w:r w:rsidR="00CF0E5B" w:rsidRPr="00700A2E">
        <w:rPr>
          <w:lang w:val="en-CA"/>
        </w:rPr>
        <w:t>:</w:t>
      </w:r>
    </w:p>
    <w:p w14:paraId="50645ED2" w14:textId="77777777" w:rsidR="00CF0E5B" w:rsidRPr="00700A2E" w:rsidRDefault="00CF0E5B" w:rsidP="00CF0E5B">
      <w:pPr>
        <w:pStyle w:val="Citationenretrait"/>
        <w:rPr>
          <w:lang w:val="en-CA"/>
        </w:rPr>
      </w:pPr>
      <w:r w:rsidRPr="00700A2E">
        <w:rPr>
          <w:lang w:val="en-CA"/>
        </w:rPr>
        <w:t>[</w:t>
      </w:r>
      <w:bookmarkStart w:id="16" w:name="par16"/>
      <w:r w:rsidRPr="00700A2E">
        <w:rPr>
          <w:lang w:val="en-CA"/>
        </w:rPr>
        <w:t>16</w:t>
      </w:r>
      <w:bookmarkEnd w:id="16"/>
      <w:proofErr w:type="gramStart"/>
      <w:r w:rsidRPr="00700A2E">
        <w:rPr>
          <w:lang w:val="en-CA"/>
        </w:rPr>
        <w:t>]</w:t>
      </w:r>
      <w:r w:rsidRPr="00700A2E">
        <w:rPr>
          <w:szCs w:val="22"/>
          <w:lang w:val="en-CA"/>
        </w:rPr>
        <w:t>  </w:t>
      </w:r>
      <w:r w:rsidRPr="00700A2E">
        <w:rPr>
          <w:lang w:val="en-CA"/>
        </w:rPr>
        <w:t>Indeed</w:t>
      </w:r>
      <w:proofErr w:type="gramEnd"/>
      <w:r w:rsidRPr="00700A2E">
        <w:rPr>
          <w:lang w:val="en-CA"/>
        </w:rPr>
        <w:t>, the case law offers a number of examples in which the Superior Court, relying on expert evidence, has set the rent payable pursuant to a clause providing for its determination in accordance with market rates.</w:t>
      </w:r>
      <w:r w:rsidRPr="00700A2E">
        <w:rPr>
          <w:vertAlign w:val="superscript"/>
          <w:lang w:val="en-CA"/>
        </w:rPr>
        <w:t>11</w:t>
      </w:r>
      <w:r w:rsidRPr="00700A2E">
        <w:rPr>
          <w:lang w:val="en-CA"/>
        </w:rPr>
        <w:t> These cases demonstrate that language of the sort used in section 27.6 creates a determinable obligation.</w:t>
      </w:r>
    </w:p>
    <w:p w14:paraId="3596774E" w14:textId="77777777" w:rsidR="00CF0E5B" w:rsidRPr="00700A2E" w:rsidRDefault="00000000" w:rsidP="00CF0E5B">
      <w:pPr>
        <w:pStyle w:val="Citationenretrait"/>
        <w:spacing w:before="0" w:after="0"/>
        <w:rPr>
          <w:lang w:val="en-CA"/>
        </w:rPr>
      </w:pPr>
      <w:r>
        <w:rPr>
          <w:lang w:val="en-CA"/>
        </w:rPr>
        <w:pict w14:anchorId="01B7F8AB">
          <v:rect id="_x0000_i1025" style="width:167.95pt;height:1.6pt" o:hrpct="424" o:hrstd="t" o:hr="t" fillcolor="#a0a0a0" stroked="f"/>
        </w:pict>
      </w:r>
    </w:p>
    <w:p w14:paraId="686BBD15" w14:textId="77777777" w:rsidR="00CF0E5B" w:rsidRPr="00700A2E" w:rsidRDefault="00CF0E5B" w:rsidP="00CF0E5B">
      <w:pPr>
        <w:pStyle w:val="Citationenretrait"/>
        <w:spacing w:line="240" w:lineRule="auto"/>
        <w:ind w:left="851" w:hanging="142"/>
        <w:rPr>
          <w:i/>
          <w:iCs/>
          <w:sz w:val="20"/>
          <w:szCs w:val="18"/>
          <w:lang w:val="en-CA"/>
        </w:rPr>
      </w:pPr>
      <w:proofErr w:type="gramStart"/>
      <w:r w:rsidRPr="002E35B4">
        <w:rPr>
          <w:vertAlign w:val="superscript"/>
        </w:rPr>
        <w:t>11</w:t>
      </w:r>
      <w:r w:rsidRPr="002E35B4">
        <w:rPr>
          <w:sz w:val="18"/>
          <w:szCs w:val="18"/>
          <w:vertAlign w:val="superscript"/>
        </w:rPr>
        <w:t>  </w:t>
      </w:r>
      <w:r w:rsidRPr="002E35B4">
        <w:rPr>
          <w:rFonts w:cs="Arial"/>
          <w:i/>
          <w:iCs/>
          <w:sz w:val="18"/>
          <w:szCs w:val="16"/>
        </w:rPr>
        <w:t>Ibid</w:t>
      </w:r>
      <w:r w:rsidRPr="002E35B4">
        <w:rPr>
          <w:rFonts w:cs="Arial"/>
          <w:sz w:val="18"/>
          <w:szCs w:val="16"/>
        </w:rPr>
        <w:t>.</w:t>
      </w:r>
      <w:proofErr w:type="gramEnd"/>
      <w:r w:rsidRPr="002E35B4">
        <w:rPr>
          <w:rFonts w:cs="Arial"/>
          <w:i/>
          <w:iCs/>
          <w:sz w:val="18"/>
          <w:szCs w:val="16"/>
        </w:rPr>
        <w:t xml:space="preserve"> </w:t>
      </w:r>
      <w:r w:rsidRPr="002E35B4">
        <w:rPr>
          <w:rFonts w:cs="Arial"/>
          <w:sz w:val="18"/>
          <w:szCs w:val="16"/>
        </w:rPr>
        <w:t>[</w:t>
      </w:r>
      <w:r w:rsidRPr="002E35B4">
        <w:rPr>
          <w:rFonts w:cs="Arial"/>
          <w:i/>
          <w:iCs/>
          <w:sz w:val="18"/>
          <w:szCs w:val="16"/>
        </w:rPr>
        <w:t>9047</w:t>
      </w:r>
      <w:r w:rsidRPr="002E35B4">
        <w:rPr>
          <w:rFonts w:ascii="Cambria Math" w:hAnsi="Cambria Math" w:cs="Cambria Math"/>
          <w:i/>
          <w:iCs/>
          <w:sz w:val="18"/>
          <w:szCs w:val="16"/>
        </w:rPr>
        <w:t>‑</w:t>
      </w:r>
      <w:r w:rsidRPr="002E35B4">
        <w:rPr>
          <w:rFonts w:cs="Arial"/>
          <w:i/>
          <w:iCs/>
          <w:sz w:val="18"/>
          <w:szCs w:val="16"/>
        </w:rPr>
        <w:t xml:space="preserve">7993 Québec Inc. v. </w:t>
      </w:r>
      <w:proofErr w:type="spellStart"/>
      <w:r w:rsidRPr="002E35B4">
        <w:rPr>
          <w:rFonts w:cs="Arial"/>
          <w:i/>
          <w:iCs/>
          <w:sz w:val="18"/>
          <w:szCs w:val="16"/>
        </w:rPr>
        <w:t>Bairaktaris</w:t>
      </w:r>
      <w:proofErr w:type="spellEnd"/>
      <w:r w:rsidRPr="002E35B4">
        <w:rPr>
          <w:rFonts w:cs="Arial"/>
          <w:sz w:val="18"/>
          <w:szCs w:val="16"/>
        </w:rPr>
        <w:t>, 2002 CanLII 45476 (QC CS), para. </w:t>
      </w:r>
      <w:r w:rsidRPr="00700A2E">
        <w:rPr>
          <w:rFonts w:cs="Arial"/>
          <w:sz w:val="18"/>
          <w:szCs w:val="16"/>
          <w:lang w:val="en-CA"/>
        </w:rPr>
        <w:t xml:space="preserve">3]; </w:t>
      </w:r>
      <w:r w:rsidRPr="00700A2E">
        <w:rPr>
          <w:rFonts w:cs="Arial"/>
          <w:i/>
          <w:iCs/>
          <w:sz w:val="18"/>
          <w:szCs w:val="16"/>
          <w:lang w:val="en-CA"/>
        </w:rPr>
        <w:t>National Trust Company v. 2000 McGill College Avenue Building inc.</w:t>
      </w:r>
      <w:r w:rsidRPr="00700A2E">
        <w:rPr>
          <w:rFonts w:cs="Arial"/>
          <w:sz w:val="18"/>
          <w:szCs w:val="16"/>
          <w:lang w:val="en-CA"/>
        </w:rPr>
        <w:t>, 1998 CanLII 11451 (QC CS) [</w:t>
      </w:r>
      <w:r w:rsidRPr="00700A2E">
        <w:rPr>
          <w:rFonts w:cs="Arial"/>
          <w:i/>
          <w:iCs/>
          <w:sz w:val="18"/>
          <w:szCs w:val="16"/>
          <w:lang w:val="en-CA"/>
        </w:rPr>
        <w:t>National Trust Company</w:t>
      </w:r>
      <w:r w:rsidRPr="00700A2E">
        <w:rPr>
          <w:rFonts w:cs="Arial"/>
          <w:sz w:val="18"/>
          <w:szCs w:val="16"/>
          <w:lang w:val="en-CA"/>
        </w:rPr>
        <w:t>];</w:t>
      </w:r>
      <w:r w:rsidRPr="00700A2E">
        <w:rPr>
          <w:rFonts w:cs="Arial"/>
          <w:i/>
          <w:iCs/>
          <w:sz w:val="18"/>
          <w:szCs w:val="16"/>
          <w:lang w:val="en-CA"/>
        </w:rPr>
        <w:t xml:space="preserve"> Immeubles Polaris (Canada) </w:t>
      </w:r>
      <w:proofErr w:type="spellStart"/>
      <w:r w:rsidRPr="00700A2E">
        <w:rPr>
          <w:rFonts w:cs="Arial"/>
          <w:i/>
          <w:iCs/>
          <w:sz w:val="18"/>
          <w:szCs w:val="16"/>
          <w:lang w:val="en-CA"/>
        </w:rPr>
        <w:t>Ltée</w:t>
      </w:r>
      <w:proofErr w:type="spellEnd"/>
      <w:r w:rsidRPr="00700A2E">
        <w:rPr>
          <w:rFonts w:cs="Arial"/>
          <w:i/>
          <w:iCs/>
          <w:sz w:val="18"/>
          <w:szCs w:val="16"/>
          <w:lang w:val="en-CA"/>
        </w:rPr>
        <w:t xml:space="preserve"> v. Société </w:t>
      </w:r>
      <w:proofErr w:type="spellStart"/>
      <w:r w:rsidRPr="00700A2E">
        <w:rPr>
          <w:rFonts w:cs="Arial"/>
          <w:i/>
          <w:iCs/>
          <w:sz w:val="18"/>
          <w:szCs w:val="16"/>
          <w:lang w:val="en-CA"/>
        </w:rPr>
        <w:t>d’investissements</w:t>
      </w:r>
      <w:proofErr w:type="spellEnd"/>
      <w:r w:rsidRPr="00700A2E">
        <w:rPr>
          <w:rFonts w:cs="Arial"/>
          <w:i/>
          <w:iCs/>
          <w:sz w:val="18"/>
          <w:szCs w:val="16"/>
          <w:lang w:val="en-CA"/>
        </w:rPr>
        <w:t xml:space="preserve"> </w:t>
      </w:r>
      <w:proofErr w:type="spellStart"/>
      <w:r w:rsidRPr="00700A2E">
        <w:rPr>
          <w:rFonts w:cs="Arial"/>
          <w:i/>
          <w:iCs/>
          <w:sz w:val="18"/>
          <w:szCs w:val="16"/>
          <w:lang w:val="en-CA"/>
        </w:rPr>
        <w:t>Kesmat</w:t>
      </w:r>
      <w:proofErr w:type="spellEnd"/>
      <w:r w:rsidRPr="00700A2E">
        <w:rPr>
          <w:rFonts w:cs="Arial"/>
          <w:i/>
          <w:iCs/>
          <w:sz w:val="18"/>
          <w:szCs w:val="16"/>
          <w:lang w:val="en-CA"/>
        </w:rPr>
        <w:t xml:space="preserve"> Inc.</w:t>
      </w:r>
      <w:r w:rsidRPr="00700A2E">
        <w:rPr>
          <w:rFonts w:cs="Arial"/>
          <w:sz w:val="18"/>
          <w:szCs w:val="16"/>
          <w:lang w:val="en-CA"/>
        </w:rPr>
        <w:t>, 2004 CanLII 20640 (QC CS) [</w:t>
      </w:r>
      <w:r w:rsidRPr="00700A2E">
        <w:rPr>
          <w:rFonts w:cs="Arial"/>
          <w:i/>
          <w:iCs/>
          <w:sz w:val="18"/>
          <w:szCs w:val="16"/>
          <w:lang w:val="en-CA"/>
        </w:rPr>
        <w:t>Immeubles Polaris</w:t>
      </w:r>
      <w:r w:rsidRPr="00700A2E">
        <w:rPr>
          <w:rFonts w:cs="Arial"/>
          <w:sz w:val="18"/>
          <w:szCs w:val="16"/>
          <w:lang w:val="en-CA"/>
        </w:rPr>
        <w:t>];</w:t>
      </w:r>
      <w:r w:rsidRPr="00700A2E">
        <w:rPr>
          <w:rFonts w:cs="Arial"/>
          <w:i/>
          <w:iCs/>
          <w:sz w:val="18"/>
          <w:szCs w:val="16"/>
          <w:lang w:val="en-CA"/>
        </w:rPr>
        <w:t xml:space="preserve"> United States of America v. </w:t>
      </w:r>
      <w:proofErr w:type="spellStart"/>
      <w:r w:rsidRPr="00700A2E">
        <w:rPr>
          <w:rFonts w:cs="Arial"/>
          <w:i/>
          <w:iCs/>
          <w:sz w:val="18"/>
          <w:szCs w:val="16"/>
          <w:lang w:val="en-CA"/>
        </w:rPr>
        <w:t>Bleury</w:t>
      </w:r>
      <w:proofErr w:type="spellEnd"/>
      <w:r w:rsidRPr="00700A2E">
        <w:rPr>
          <w:rFonts w:cs="Arial"/>
          <w:i/>
          <w:iCs/>
          <w:sz w:val="18"/>
          <w:szCs w:val="16"/>
          <w:lang w:val="en-CA"/>
        </w:rPr>
        <w:t>-Dorchester Realties Inc.</w:t>
      </w:r>
      <w:r w:rsidRPr="00700A2E">
        <w:rPr>
          <w:rFonts w:cs="Arial"/>
          <w:sz w:val="18"/>
          <w:szCs w:val="16"/>
          <w:lang w:val="en-CA"/>
        </w:rPr>
        <w:t>, 2009 QCCS 3835, appeal dismissed:</w:t>
      </w:r>
      <w:r w:rsidRPr="00700A2E">
        <w:rPr>
          <w:rFonts w:cs="Arial"/>
          <w:i/>
          <w:iCs/>
          <w:sz w:val="18"/>
          <w:szCs w:val="16"/>
          <w:lang w:val="en-CA"/>
        </w:rPr>
        <w:t xml:space="preserve"> </w:t>
      </w:r>
      <w:proofErr w:type="spellStart"/>
      <w:r w:rsidRPr="00700A2E">
        <w:rPr>
          <w:rFonts w:cs="Arial"/>
          <w:i/>
          <w:iCs/>
          <w:sz w:val="18"/>
          <w:szCs w:val="16"/>
          <w:lang w:val="en-CA"/>
        </w:rPr>
        <w:t>Bleury</w:t>
      </w:r>
      <w:proofErr w:type="spellEnd"/>
      <w:r w:rsidRPr="00700A2E">
        <w:rPr>
          <w:rFonts w:cs="Arial"/>
          <w:i/>
          <w:iCs/>
          <w:sz w:val="18"/>
          <w:szCs w:val="16"/>
          <w:lang w:val="en-CA"/>
        </w:rPr>
        <w:t xml:space="preserve">-Dorchester Realties Inc. v. United States of America, </w:t>
      </w:r>
      <w:r w:rsidRPr="00700A2E">
        <w:rPr>
          <w:rFonts w:cs="Arial"/>
          <w:sz w:val="18"/>
          <w:szCs w:val="16"/>
          <w:lang w:val="en-CA"/>
        </w:rPr>
        <w:t>2011 QCCA 362</w:t>
      </w:r>
      <w:r w:rsidRPr="00700A2E">
        <w:rPr>
          <w:rFonts w:cs="Arial"/>
          <w:i/>
          <w:iCs/>
          <w:sz w:val="18"/>
          <w:szCs w:val="16"/>
          <w:lang w:val="en-CA"/>
        </w:rPr>
        <w:t xml:space="preserve"> </w:t>
      </w:r>
      <w:r w:rsidRPr="00700A2E">
        <w:rPr>
          <w:rFonts w:cs="Arial"/>
          <w:sz w:val="18"/>
          <w:szCs w:val="16"/>
          <w:lang w:val="en-CA"/>
        </w:rPr>
        <w:t>[</w:t>
      </w:r>
      <w:proofErr w:type="spellStart"/>
      <w:r w:rsidRPr="00700A2E">
        <w:rPr>
          <w:rFonts w:cs="Arial"/>
          <w:i/>
          <w:iCs/>
          <w:sz w:val="18"/>
          <w:szCs w:val="16"/>
          <w:lang w:val="en-CA"/>
        </w:rPr>
        <w:t>Bleury</w:t>
      </w:r>
      <w:proofErr w:type="spellEnd"/>
      <w:r w:rsidRPr="00700A2E">
        <w:rPr>
          <w:rFonts w:cs="Arial"/>
          <w:i/>
          <w:iCs/>
          <w:sz w:val="18"/>
          <w:szCs w:val="16"/>
          <w:lang w:val="en-CA"/>
        </w:rPr>
        <w:t>-Dorchester Realties</w:t>
      </w:r>
      <w:r w:rsidRPr="00700A2E">
        <w:rPr>
          <w:rFonts w:cs="Arial"/>
          <w:sz w:val="18"/>
          <w:szCs w:val="16"/>
          <w:lang w:val="en-CA"/>
        </w:rPr>
        <w:t>].</w:t>
      </w:r>
    </w:p>
    <w:p w14:paraId="0841AEFE" w14:textId="7289E9AD" w:rsidR="00CF0E5B" w:rsidRPr="00700A2E" w:rsidRDefault="00420A91" w:rsidP="00CF0E5B">
      <w:pPr>
        <w:pStyle w:val="Paragraphe"/>
        <w:rPr>
          <w:lang w:val="en-CA"/>
        </w:rPr>
      </w:pPr>
      <w:r>
        <w:rPr>
          <w:lang w:val="en-CA"/>
        </w:rPr>
        <w:t>However, in each of those cases, the renewal option clause did not provide what would happen failing agreement</w:t>
      </w:r>
      <w:r w:rsidR="00CF0E5B" w:rsidRPr="00700A2E">
        <w:rPr>
          <w:lang w:val="en-CA"/>
        </w:rPr>
        <w:t xml:space="preserve">. </w:t>
      </w:r>
      <w:r>
        <w:rPr>
          <w:lang w:val="en-CA"/>
        </w:rPr>
        <w:t>The judge should have considered that fundamental distinction in deciding whether clause</w:t>
      </w:r>
      <w:r w:rsidR="00CF0E5B" w:rsidRPr="00700A2E">
        <w:rPr>
          <w:lang w:val="en-CA"/>
        </w:rPr>
        <w:t xml:space="preserve"> 27.6 </w:t>
      </w:r>
      <w:r w:rsidR="00782021">
        <w:rPr>
          <w:lang w:val="en-CA"/>
        </w:rPr>
        <w:t>grant</w:t>
      </w:r>
      <w:r>
        <w:rPr>
          <w:lang w:val="en-CA"/>
        </w:rPr>
        <w:t>ed a true renewal option or not</w:t>
      </w:r>
      <w:r w:rsidR="00CF0E5B" w:rsidRPr="00700A2E">
        <w:rPr>
          <w:lang w:val="en-CA"/>
        </w:rPr>
        <w:t xml:space="preserve">. </w:t>
      </w:r>
    </w:p>
    <w:p w14:paraId="5AE2EA03" w14:textId="7E38E742" w:rsidR="00CF0E5B" w:rsidRPr="00700A2E" w:rsidRDefault="00420A91" w:rsidP="00CF0E5B">
      <w:pPr>
        <w:pStyle w:val="Paragraphe"/>
        <w:rPr>
          <w:lang w:val="en-CA"/>
        </w:rPr>
      </w:pPr>
      <w:r>
        <w:rPr>
          <w:lang w:val="en-CA"/>
        </w:rPr>
        <w:t>In the case at bar, the parties could have provided a mandatory arbitration clause</w:t>
      </w:r>
      <w:r w:rsidR="00CF0E5B" w:rsidRPr="00700A2E">
        <w:rPr>
          <w:rStyle w:val="Appelnotedebasdep"/>
          <w:lang w:val="en-CA"/>
        </w:rPr>
        <w:footnoteReference w:id="17"/>
      </w:r>
      <w:r w:rsidR="00CF0E5B" w:rsidRPr="00700A2E">
        <w:rPr>
          <w:lang w:val="en-CA"/>
        </w:rPr>
        <w:t xml:space="preserve"> </w:t>
      </w:r>
      <w:r>
        <w:rPr>
          <w:lang w:val="en-CA"/>
        </w:rPr>
        <w:t xml:space="preserve">or </w:t>
      </w:r>
      <w:r w:rsidR="00054E77">
        <w:rPr>
          <w:lang w:val="en-CA"/>
        </w:rPr>
        <w:t>a provision calling for</w:t>
      </w:r>
      <w:r w:rsidR="000A4DC1">
        <w:rPr>
          <w:lang w:val="en-CA"/>
        </w:rPr>
        <w:t xml:space="preserve"> </w:t>
      </w:r>
      <w:r>
        <w:rPr>
          <w:lang w:val="en-CA"/>
        </w:rPr>
        <w:t>the rent</w:t>
      </w:r>
      <w:r w:rsidR="00054E77">
        <w:rPr>
          <w:lang w:val="en-CA"/>
        </w:rPr>
        <w:t xml:space="preserve"> to be set</w:t>
      </w:r>
      <w:r>
        <w:rPr>
          <w:lang w:val="en-CA"/>
        </w:rPr>
        <w:t xml:space="preserve"> by an</w:t>
      </w:r>
      <w:r w:rsidR="00CF0E5B" w:rsidRPr="00700A2E">
        <w:rPr>
          <w:lang w:val="en-CA"/>
        </w:rPr>
        <w:t xml:space="preserve"> expert. </w:t>
      </w:r>
      <w:r>
        <w:rPr>
          <w:lang w:val="en-CA"/>
        </w:rPr>
        <w:t xml:space="preserve">Instead, they agreed that failing agreement on the rent </w:t>
      </w:r>
      <w:r w:rsidR="000A4DC1">
        <w:rPr>
          <w:lang w:val="en-CA"/>
        </w:rPr>
        <w:t>within</w:t>
      </w:r>
      <w:r w:rsidR="00CF0E5B" w:rsidRPr="00700A2E">
        <w:rPr>
          <w:lang w:val="en-CA"/>
        </w:rPr>
        <w:t xml:space="preserve"> 60 </w:t>
      </w:r>
      <w:r w:rsidR="000A4DC1">
        <w:rPr>
          <w:lang w:val="en-CA"/>
        </w:rPr>
        <w:t>days</w:t>
      </w:r>
      <w:r w:rsidR="00CF0E5B" w:rsidRPr="00700A2E">
        <w:rPr>
          <w:lang w:val="en-CA"/>
        </w:rPr>
        <w:t xml:space="preserve">, </w:t>
      </w:r>
      <w:r w:rsidR="000A4DC1">
        <w:rPr>
          <w:lang w:val="en-CA"/>
        </w:rPr>
        <w:t>the renewal option would become null and void</w:t>
      </w:r>
      <w:r w:rsidR="00CF0E5B" w:rsidRPr="00700A2E">
        <w:rPr>
          <w:lang w:val="en-CA"/>
        </w:rPr>
        <w:t xml:space="preserve">. </w:t>
      </w:r>
      <w:r w:rsidR="000A4DC1">
        <w:rPr>
          <w:lang w:val="en-CA"/>
        </w:rPr>
        <w:t xml:space="preserve">As </w:t>
      </w:r>
      <w:r w:rsidR="00A3652B">
        <w:rPr>
          <w:lang w:val="en-CA"/>
        </w:rPr>
        <w:t>with</w:t>
      </w:r>
      <w:r w:rsidR="000A4DC1">
        <w:rPr>
          <w:lang w:val="en-CA"/>
        </w:rPr>
        <w:t xml:space="preserve"> the clause at issue in</w:t>
      </w:r>
      <w:r w:rsidR="00CF0E5B" w:rsidRPr="00700A2E">
        <w:rPr>
          <w:lang w:val="en-CA"/>
        </w:rPr>
        <w:t xml:space="preserve"> </w:t>
      </w:r>
      <w:proofErr w:type="spellStart"/>
      <w:r w:rsidR="00CF0E5B" w:rsidRPr="00700A2E">
        <w:rPr>
          <w:i/>
          <w:iCs/>
          <w:lang w:val="en-CA"/>
        </w:rPr>
        <w:t>Cité</w:t>
      </w:r>
      <w:proofErr w:type="spellEnd"/>
      <w:r w:rsidR="00CF0E5B" w:rsidRPr="00700A2E">
        <w:rPr>
          <w:i/>
          <w:iCs/>
          <w:lang w:val="en-CA"/>
        </w:rPr>
        <w:t xml:space="preserve"> </w:t>
      </w:r>
      <w:proofErr w:type="spellStart"/>
      <w:r w:rsidR="00CF0E5B" w:rsidRPr="00700A2E">
        <w:rPr>
          <w:i/>
          <w:iCs/>
          <w:lang w:val="en-CA"/>
        </w:rPr>
        <w:t>Nordelec</w:t>
      </w:r>
      <w:proofErr w:type="spellEnd"/>
      <w:r w:rsidR="00CF0E5B" w:rsidRPr="00700A2E">
        <w:rPr>
          <w:i/>
          <w:iCs/>
          <w:lang w:val="en-CA"/>
        </w:rPr>
        <w:t xml:space="preserve"> inc. c. 9087-0593 Québec inc.</w:t>
      </w:r>
      <w:bookmarkStart w:id="17" w:name="_Ref182471452"/>
      <w:bookmarkStart w:id="18" w:name="_Ref183519931"/>
      <w:r w:rsidR="000A4DC1" w:rsidRPr="000A4DC1">
        <w:rPr>
          <w:lang w:val="en-CA"/>
        </w:rPr>
        <w:t>,</w:t>
      </w:r>
      <w:r w:rsidR="00CF0E5B" w:rsidRPr="00700A2E">
        <w:rPr>
          <w:rStyle w:val="Appelnotedebasdep"/>
          <w:lang w:val="en-CA"/>
        </w:rPr>
        <w:footnoteReference w:id="18"/>
      </w:r>
      <w:bookmarkEnd w:id="17"/>
      <w:bookmarkEnd w:id="18"/>
      <w:r w:rsidR="000A4DC1">
        <w:rPr>
          <w:lang w:val="en-CA"/>
        </w:rPr>
        <w:t xml:space="preserve"> in </w:t>
      </w:r>
      <w:r w:rsidR="00054E77">
        <w:rPr>
          <w:lang w:val="en-CA"/>
        </w:rPr>
        <w:t>this</w:t>
      </w:r>
      <w:r w:rsidR="000A4DC1">
        <w:rPr>
          <w:lang w:val="en-CA"/>
        </w:rPr>
        <w:t xml:space="preserve"> case, that part of</w:t>
      </w:r>
      <w:r w:rsidR="00CF0E5B" w:rsidRPr="00700A2E">
        <w:rPr>
          <w:lang w:val="en-CA"/>
        </w:rPr>
        <w:t> </w:t>
      </w:r>
      <w:r w:rsidR="00054E77">
        <w:rPr>
          <w:lang w:val="en-CA"/>
        </w:rPr>
        <w:t xml:space="preserve">clause </w:t>
      </w:r>
      <w:r w:rsidR="00CF0E5B" w:rsidRPr="00700A2E">
        <w:rPr>
          <w:lang w:val="en-CA"/>
        </w:rPr>
        <w:t xml:space="preserve">27.6 </w:t>
      </w:r>
      <w:r w:rsidR="00054E77">
        <w:rPr>
          <w:lang w:val="en-CA"/>
        </w:rPr>
        <w:t>deprive</w:t>
      </w:r>
      <w:r w:rsidR="00A3652B">
        <w:rPr>
          <w:lang w:val="en-CA"/>
        </w:rPr>
        <w:t>d</w:t>
      </w:r>
      <w:r w:rsidR="000A4DC1">
        <w:rPr>
          <w:lang w:val="en-CA"/>
        </w:rPr>
        <w:t xml:space="preserve"> the renewal option </w:t>
      </w:r>
      <w:r w:rsidR="00054E77">
        <w:rPr>
          <w:lang w:val="en-CA"/>
        </w:rPr>
        <w:t>of</w:t>
      </w:r>
      <w:r w:rsidR="000A4DC1">
        <w:rPr>
          <w:lang w:val="en-CA"/>
        </w:rPr>
        <w:t xml:space="preserve"> any binding character whatsoever.</w:t>
      </w:r>
      <w:r w:rsidR="00CF0E5B" w:rsidRPr="00700A2E">
        <w:rPr>
          <w:rStyle w:val="Appelnotedebasdep"/>
          <w:lang w:val="en-CA"/>
        </w:rPr>
        <w:footnoteReference w:id="19"/>
      </w:r>
      <w:r w:rsidR="00CF0E5B" w:rsidRPr="00700A2E">
        <w:rPr>
          <w:lang w:val="en-CA"/>
        </w:rPr>
        <w:t xml:space="preserve"> </w:t>
      </w:r>
    </w:p>
    <w:p w14:paraId="4E386794" w14:textId="02BB2AC1" w:rsidR="00CF0E5B" w:rsidRPr="00700A2E" w:rsidRDefault="00054E77" w:rsidP="00CF0E5B">
      <w:pPr>
        <w:pStyle w:val="Paragraphe"/>
        <w:rPr>
          <w:lang w:val="en-CA"/>
        </w:rPr>
      </w:pPr>
      <w:r w:rsidRPr="002E35B4">
        <w:t>In</w:t>
      </w:r>
      <w:r w:rsidR="00CF0E5B" w:rsidRPr="002E35B4">
        <w:t xml:space="preserve"> </w:t>
      </w:r>
      <w:proofErr w:type="spellStart"/>
      <w:r w:rsidR="00CF0E5B" w:rsidRPr="002E35B4">
        <w:rPr>
          <w:i/>
          <w:iCs/>
        </w:rPr>
        <w:t>Nordelec</w:t>
      </w:r>
      <w:proofErr w:type="spellEnd"/>
      <w:r w:rsidR="00CF0E5B" w:rsidRPr="002E35B4">
        <w:t xml:space="preserve">, </w:t>
      </w:r>
      <w:r w:rsidR="00710943" w:rsidRPr="002E35B4">
        <w:t xml:space="preserve">the </w:t>
      </w:r>
      <w:proofErr w:type="spellStart"/>
      <w:r w:rsidR="00710943" w:rsidRPr="002E35B4">
        <w:t>renewal</w:t>
      </w:r>
      <w:proofErr w:type="spellEnd"/>
      <w:r w:rsidR="00710943" w:rsidRPr="002E35B4">
        <w:t xml:space="preserve"> clause </w:t>
      </w:r>
      <w:proofErr w:type="spellStart"/>
      <w:r w:rsidR="00710943" w:rsidRPr="002E35B4">
        <w:t>provided</w:t>
      </w:r>
      <w:proofErr w:type="spellEnd"/>
      <w:r w:rsidR="00710943" w:rsidRPr="002E35B4">
        <w:t xml:space="preserve"> </w:t>
      </w:r>
      <w:proofErr w:type="spellStart"/>
      <w:r w:rsidR="00710943" w:rsidRPr="002E35B4">
        <w:t>that</w:t>
      </w:r>
      <w:proofErr w:type="spellEnd"/>
      <w:r w:rsidR="00710943" w:rsidRPr="002E35B4">
        <w:t xml:space="preserve"> the base </w:t>
      </w:r>
      <w:proofErr w:type="spellStart"/>
      <w:r w:rsidR="00710943" w:rsidRPr="002E35B4">
        <w:t>rent</w:t>
      </w:r>
      <w:proofErr w:type="spellEnd"/>
      <w:r w:rsidR="00710943" w:rsidRPr="002E35B4">
        <w:t xml:space="preserve"> </w:t>
      </w:r>
      <w:proofErr w:type="spellStart"/>
      <w:r w:rsidR="00710943" w:rsidRPr="002E35B4">
        <w:t>would</w:t>
      </w:r>
      <w:proofErr w:type="spellEnd"/>
      <w:r w:rsidR="00710943" w:rsidRPr="002E35B4">
        <w:t xml:space="preserve"> </w:t>
      </w:r>
      <w:proofErr w:type="spellStart"/>
      <w:r w:rsidR="00710943" w:rsidRPr="002E35B4">
        <w:t>be</w:t>
      </w:r>
      <w:proofErr w:type="spellEnd"/>
      <w:r w:rsidR="00710943" w:rsidRPr="002E35B4">
        <w:t xml:space="preserve"> </w:t>
      </w:r>
      <w:proofErr w:type="spellStart"/>
      <w:r w:rsidR="00710943" w:rsidRPr="002E35B4">
        <w:t>established</w:t>
      </w:r>
      <w:proofErr w:type="spellEnd"/>
      <w:r w:rsidR="00710943" w:rsidRPr="002E35B4">
        <w:t xml:space="preserve"> “</w:t>
      </w:r>
      <w:r w:rsidR="00CF0E5B" w:rsidRPr="002E35B4">
        <w:rPr>
          <w:i/>
          <w:iCs/>
        </w:rPr>
        <w:t>au taux du marché pour des espaces similaires dans l’Édifice</w:t>
      </w:r>
      <w:r w:rsidR="00710943" w:rsidRPr="002E35B4">
        <w:t>”</w:t>
      </w:r>
      <w:r w:rsidR="00CF0E5B" w:rsidRPr="002E35B4">
        <w:t xml:space="preserve"> </w:t>
      </w:r>
      <w:r w:rsidR="00710943" w:rsidRPr="002E35B4">
        <w:t xml:space="preserve">and </w:t>
      </w:r>
      <w:proofErr w:type="spellStart"/>
      <w:r w:rsidR="00710943" w:rsidRPr="002E35B4">
        <w:t>that</w:t>
      </w:r>
      <w:proofErr w:type="spellEnd"/>
      <w:r w:rsidR="00710943" w:rsidRPr="002E35B4">
        <w:t xml:space="preserve">, </w:t>
      </w:r>
      <w:proofErr w:type="spellStart"/>
      <w:r w:rsidR="00710943" w:rsidRPr="002E35B4">
        <w:t>failing</w:t>
      </w:r>
      <w:proofErr w:type="spellEnd"/>
      <w:r w:rsidR="00710943" w:rsidRPr="002E35B4">
        <w:t xml:space="preserve"> agreement</w:t>
      </w:r>
      <w:r w:rsidR="00CF0E5B" w:rsidRPr="002E35B4">
        <w:t xml:space="preserve">, </w:t>
      </w:r>
      <w:r w:rsidR="00710943" w:rsidRPr="002E35B4">
        <w:t>“</w:t>
      </w:r>
      <w:r w:rsidR="00CF0E5B" w:rsidRPr="002E35B4">
        <w:rPr>
          <w:i/>
          <w:iCs/>
        </w:rPr>
        <w:t xml:space="preserve">le bail prendra fin à la fin du terme sans autres </w:t>
      </w:r>
      <w:proofErr w:type="spellStart"/>
      <w:r w:rsidR="00710943" w:rsidRPr="002E35B4">
        <w:rPr>
          <w:i/>
          <w:iCs/>
        </w:rPr>
        <w:t>representations</w:t>
      </w:r>
      <w:proofErr w:type="spellEnd"/>
      <w:r w:rsidR="00710943" w:rsidRPr="002E35B4">
        <w:t>.”</w:t>
      </w:r>
      <w:r w:rsidR="00CF0E5B" w:rsidRPr="002E35B4">
        <w:t xml:space="preserve"> </w:t>
      </w:r>
      <w:proofErr w:type="spellStart"/>
      <w:r w:rsidR="00710943" w:rsidRPr="002E35B4">
        <w:t>According</w:t>
      </w:r>
      <w:proofErr w:type="spellEnd"/>
      <w:r w:rsidR="00710943" w:rsidRPr="002E35B4">
        <w:t xml:space="preserve"> t</w:t>
      </w:r>
      <w:r w:rsidR="00242159" w:rsidRPr="002E35B4">
        <w:t>o t</w:t>
      </w:r>
      <w:r w:rsidR="00710943" w:rsidRPr="002E35B4">
        <w:t>he Court “</w:t>
      </w:r>
      <w:r w:rsidR="00CF0E5B" w:rsidRPr="002E35B4">
        <w:rPr>
          <w:i/>
          <w:iCs/>
        </w:rPr>
        <w:t>[c]</w:t>
      </w:r>
      <w:proofErr w:type="spellStart"/>
      <w:r w:rsidR="00CF0E5B" w:rsidRPr="002E35B4">
        <w:rPr>
          <w:i/>
          <w:iCs/>
        </w:rPr>
        <w:t>ette</w:t>
      </w:r>
      <w:proofErr w:type="spellEnd"/>
      <w:r w:rsidR="00CF0E5B" w:rsidRPr="002E35B4">
        <w:rPr>
          <w:i/>
          <w:iCs/>
        </w:rPr>
        <w:t xml:space="preserve"> disposition obligeait les parties à négocier et prévoyait clairement le résultat de l’échec des pourparlers : la fin du bail</w:t>
      </w:r>
      <w:r w:rsidR="00710943" w:rsidRPr="002E35B4">
        <w:t>.”</w:t>
      </w:r>
      <w:r w:rsidR="00CF0E5B" w:rsidRPr="00700A2E">
        <w:rPr>
          <w:rStyle w:val="Appelnotedebasdep"/>
          <w:lang w:val="en-CA"/>
        </w:rPr>
        <w:footnoteReference w:id="20"/>
      </w:r>
      <w:r w:rsidR="00710943" w:rsidRPr="002E35B4">
        <w:t xml:space="preserve"> </w:t>
      </w:r>
      <w:r w:rsidR="00710943">
        <w:rPr>
          <w:lang w:val="en-CA"/>
        </w:rPr>
        <w:t>After setting aside the judge’s finding on the lessor’s bad faith</w:t>
      </w:r>
      <w:r w:rsidR="00CF0E5B" w:rsidRPr="00700A2E">
        <w:rPr>
          <w:lang w:val="en-CA"/>
        </w:rPr>
        <w:t xml:space="preserve">, </w:t>
      </w:r>
      <w:r w:rsidR="00710943">
        <w:rPr>
          <w:lang w:val="en-CA"/>
        </w:rPr>
        <w:t>the Court noted</w:t>
      </w:r>
      <w:r w:rsidR="00CF0E5B" w:rsidRPr="00700A2E">
        <w:rPr>
          <w:lang w:val="en-CA"/>
        </w:rPr>
        <w:t>:</w:t>
      </w:r>
    </w:p>
    <w:p w14:paraId="64EA8795" w14:textId="77777777" w:rsidR="00CF0E5B" w:rsidRPr="002E35B4" w:rsidRDefault="00CF0E5B" w:rsidP="00CF0E5B">
      <w:pPr>
        <w:pStyle w:val="Citationenretrait"/>
      </w:pPr>
      <w:r w:rsidRPr="002E35B4">
        <w:lastRenderedPageBreak/>
        <w:t>[7</w:t>
      </w:r>
      <w:proofErr w:type="gramStart"/>
      <w:r w:rsidRPr="002E35B4">
        <w:t>]  Cela</w:t>
      </w:r>
      <w:proofErr w:type="gramEnd"/>
      <w:r w:rsidRPr="002E35B4">
        <w:t xml:space="preserve"> dit, le juge aurait dû constater l’impasse des négociations et appliquer la sanction convenue par les parties et inscrite au dernier alinéa de la clause 9.1, la terminaison du bail.</w:t>
      </w:r>
      <w:r w:rsidRPr="00700A2E">
        <w:rPr>
          <w:rStyle w:val="Appelnotedebasdep"/>
          <w:lang w:val="en-CA"/>
        </w:rPr>
        <w:footnoteReference w:id="21"/>
      </w:r>
    </w:p>
    <w:p w14:paraId="146051C6" w14:textId="432AE710" w:rsidR="00CF0E5B" w:rsidRPr="00700A2E" w:rsidRDefault="00710943" w:rsidP="00CF0E5B">
      <w:pPr>
        <w:pStyle w:val="Paragraphe"/>
        <w:rPr>
          <w:lang w:val="en-CA"/>
        </w:rPr>
      </w:pPr>
      <w:r>
        <w:rPr>
          <w:lang w:val="en-CA"/>
        </w:rPr>
        <w:t xml:space="preserve">Thus, </w:t>
      </w:r>
      <w:r w:rsidR="00136736">
        <w:rPr>
          <w:lang w:val="en-CA"/>
        </w:rPr>
        <w:t>where there is</w:t>
      </w:r>
      <w:r>
        <w:rPr>
          <w:lang w:val="en-CA"/>
        </w:rPr>
        <w:t xml:space="preserve"> a clause providing that, failing agreement, the lease </w:t>
      </w:r>
      <w:r w:rsidR="00242159">
        <w:rPr>
          <w:lang w:val="en-CA"/>
        </w:rPr>
        <w:t>will</w:t>
      </w:r>
      <w:r>
        <w:rPr>
          <w:lang w:val="en-CA"/>
        </w:rPr>
        <w:t xml:space="preserve"> </w:t>
      </w:r>
      <w:r w:rsidR="00136736">
        <w:rPr>
          <w:lang w:val="en-CA"/>
        </w:rPr>
        <w:t>terminate</w:t>
      </w:r>
      <w:r>
        <w:rPr>
          <w:lang w:val="en-CA"/>
        </w:rPr>
        <w:t xml:space="preserve"> (or the renewal option </w:t>
      </w:r>
      <w:r w:rsidR="00242159">
        <w:rPr>
          <w:lang w:val="en-CA"/>
        </w:rPr>
        <w:t>wi</w:t>
      </w:r>
      <w:r>
        <w:rPr>
          <w:lang w:val="en-CA"/>
        </w:rPr>
        <w:t>ll become null and void</w:t>
      </w:r>
      <w:r w:rsidR="00CF0E5B" w:rsidRPr="00700A2E">
        <w:rPr>
          <w:lang w:val="en-CA"/>
        </w:rPr>
        <w:t xml:space="preserve">), </w:t>
      </w:r>
      <w:r>
        <w:rPr>
          <w:lang w:val="en-CA"/>
        </w:rPr>
        <w:t xml:space="preserve">the court has no other choice </w:t>
      </w:r>
      <w:r w:rsidR="00136736">
        <w:rPr>
          <w:lang w:val="en-CA"/>
        </w:rPr>
        <w:t>but</w:t>
      </w:r>
      <w:r>
        <w:rPr>
          <w:lang w:val="en-CA"/>
        </w:rPr>
        <w:t xml:space="preserve"> to apply the consequence </w:t>
      </w:r>
      <w:r w:rsidR="00136736">
        <w:rPr>
          <w:lang w:val="en-CA"/>
        </w:rPr>
        <w:t>contemplated</w:t>
      </w:r>
      <w:r>
        <w:rPr>
          <w:lang w:val="en-CA"/>
        </w:rPr>
        <w:t xml:space="preserve"> by the parties</w:t>
      </w:r>
      <w:r w:rsidR="00CF0E5B" w:rsidRPr="00700A2E">
        <w:rPr>
          <w:lang w:val="en-CA"/>
        </w:rPr>
        <w:t xml:space="preserve">. </w:t>
      </w:r>
      <w:r>
        <w:rPr>
          <w:lang w:val="en-CA"/>
        </w:rPr>
        <w:t xml:space="preserve">To be sure, such a clause requires the parties </w:t>
      </w:r>
      <w:r w:rsidR="001C71D5">
        <w:rPr>
          <w:lang w:val="en-CA"/>
        </w:rPr>
        <w:t xml:space="preserve">to </w:t>
      </w:r>
      <w:r>
        <w:rPr>
          <w:lang w:val="en-CA"/>
        </w:rPr>
        <w:t>negotiate in good faith,</w:t>
      </w:r>
      <w:r w:rsidR="00CF0E5B" w:rsidRPr="00700A2E">
        <w:rPr>
          <w:rStyle w:val="Appelnotedebasdep"/>
          <w:lang w:val="en-CA"/>
        </w:rPr>
        <w:footnoteReference w:id="22"/>
      </w:r>
      <w:r>
        <w:rPr>
          <w:lang w:val="en-CA"/>
        </w:rPr>
        <w:t xml:space="preserve"> </w:t>
      </w:r>
      <w:r w:rsidR="00136736">
        <w:rPr>
          <w:lang w:val="en-CA"/>
        </w:rPr>
        <w:t>but it does not allow the court to set the rent</w:t>
      </w:r>
      <w:r w:rsidR="00CF0E5B" w:rsidRPr="00700A2E">
        <w:rPr>
          <w:lang w:val="en-CA"/>
        </w:rPr>
        <w:t xml:space="preserve">. </w:t>
      </w:r>
      <w:r w:rsidR="00136736">
        <w:rPr>
          <w:lang w:val="en-CA"/>
        </w:rPr>
        <w:t xml:space="preserve">Should a party breach its duty to negotiate in good faith, the court can only </w:t>
      </w:r>
      <w:r w:rsidR="00E327CC">
        <w:rPr>
          <w:lang w:val="en-CA"/>
        </w:rPr>
        <w:t>order</w:t>
      </w:r>
      <w:r w:rsidR="00136736">
        <w:rPr>
          <w:lang w:val="en-CA"/>
        </w:rPr>
        <w:t xml:space="preserve"> it </w:t>
      </w:r>
      <w:r w:rsidR="00E327CC">
        <w:rPr>
          <w:lang w:val="en-CA"/>
        </w:rPr>
        <w:t>to pay dama</w:t>
      </w:r>
      <w:r w:rsidR="00136736">
        <w:rPr>
          <w:lang w:val="en-CA"/>
        </w:rPr>
        <w:t xml:space="preserve">ges for the </w:t>
      </w:r>
      <w:r w:rsidR="001C71D5">
        <w:rPr>
          <w:lang w:val="en-CA"/>
        </w:rPr>
        <w:t>injury caused</w:t>
      </w:r>
      <w:r w:rsidR="00136736">
        <w:rPr>
          <w:lang w:val="en-CA"/>
        </w:rPr>
        <w:t xml:space="preserve"> to the other party by</w:t>
      </w:r>
      <w:r w:rsidR="001C71D5">
        <w:rPr>
          <w:lang w:val="en-CA"/>
        </w:rPr>
        <w:t xml:space="preserve"> its</w:t>
      </w:r>
      <w:r w:rsidR="00136736">
        <w:rPr>
          <w:lang w:val="en-CA"/>
        </w:rPr>
        <w:t xml:space="preserve"> </w:t>
      </w:r>
      <w:bookmarkStart w:id="19" w:name="_Ref183522921"/>
      <w:bookmarkStart w:id="20" w:name="_Ref184136117"/>
      <w:r w:rsidR="001C71D5" w:rsidRPr="001C71D5">
        <w:rPr>
          <w:lang w:val="en-CA"/>
        </w:rPr>
        <w:t>failure to meet the requirements of good faith</w:t>
      </w:r>
      <w:r w:rsidR="00136736">
        <w:rPr>
          <w:lang w:val="en-CA"/>
        </w:rPr>
        <w:t>.</w:t>
      </w:r>
      <w:r w:rsidR="00CF0E5B" w:rsidRPr="00700A2E">
        <w:rPr>
          <w:rStyle w:val="Appelnotedebasdep"/>
          <w:lang w:val="en-CA"/>
        </w:rPr>
        <w:footnoteReference w:id="23"/>
      </w:r>
      <w:bookmarkEnd w:id="19"/>
      <w:bookmarkEnd w:id="20"/>
    </w:p>
    <w:p w14:paraId="4E2DC8F5" w14:textId="34BAB5E5" w:rsidR="00CF0E5B" w:rsidRPr="00700A2E" w:rsidRDefault="00782021" w:rsidP="00CF0E5B">
      <w:pPr>
        <w:pStyle w:val="Paragraphe"/>
        <w:rPr>
          <w:lang w:val="en-CA"/>
        </w:rPr>
      </w:pPr>
      <w:r>
        <w:rPr>
          <w:lang w:val="en-CA"/>
        </w:rPr>
        <w:t>Here, the judge did not consider that part of the clause beginning with the words</w:t>
      </w:r>
      <w:r w:rsidR="00CF0E5B" w:rsidRPr="00700A2E">
        <w:rPr>
          <w:lang w:val="en-CA"/>
        </w:rPr>
        <w:t xml:space="preserve"> </w:t>
      </w:r>
      <w:r>
        <w:rPr>
          <w:lang w:val="en-CA"/>
        </w:rPr>
        <w:t>“</w:t>
      </w:r>
      <w:r w:rsidR="00CF0E5B" w:rsidRPr="00242159">
        <w:rPr>
          <w:i/>
          <w:iCs/>
          <w:lang w:val="en-CA"/>
        </w:rPr>
        <w:t xml:space="preserve">à </w:t>
      </w:r>
      <w:proofErr w:type="spellStart"/>
      <w:r w:rsidR="00CF0E5B" w:rsidRPr="00242159">
        <w:rPr>
          <w:i/>
          <w:iCs/>
          <w:lang w:val="en-CA"/>
        </w:rPr>
        <w:t>défaut</w:t>
      </w:r>
      <w:proofErr w:type="spellEnd"/>
      <w:r w:rsidR="00CF0E5B" w:rsidRPr="00242159">
        <w:rPr>
          <w:i/>
          <w:iCs/>
          <w:lang w:val="en-CA"/>
        </w:rPr>
        <w:t xml:space="preserve"> de quoi</w:t>
      </w:r>
      <w:r>
        <w:rPr>
          <w:lang w:val="en-CA"/>
        </w:rPr>
        <w:t>”</w:t>
      </w:r>
      <w:r w:rsidR="00CF0E5B" w:rsidRPr="00700A2E">
        <w:rPr>
          <w:lang w:val="en-CA"/>
        </w:rPr>
        <w:t xml:space="preserve"> </w:t>
      </w:r>
      <w:r>
        <w:rPr>
          <w:lang w:val="en-CA"/>
        </w:rPr>
        <w:t>when he answered the first question</w:t>
      </w:r>
      <w:r w:rsidR="00CF0E5B" w:rsidRPr="00700A2E">
        <w:rPr>
          <w:lang w:val="en-CA"/>
        </w:rPr>
        <w:t xml:space="preserve">: </w:t>
      </w:r>
      <w:r>
        <w:rPr>
          <w:lang w:val="en-CA"/>
        </w:rPr>
        <w:t>“</w:t>
      </w:r>
      <w:r w:rsidR="00CF0E5B" w:rsidRPr="00782021">
        <w:rPr>
          <w:lang w:val="en-CA"/>
        </w:rPr>
        <w:t>Does the Renewal Clause Grant an Option to Renew</w:t>
      </w:r>
      <w:r w:rsidR="00CF0E5B" w:rsidRPr="00700A2E">
        <w:rPr>
          <w:lang w:val="en-CA"/>
        </w:rPr>
        <w:t>?</w:t>
      </w:r>
      <w:r>
        <w:rPr>
          <w:lang w:val="en-CA"/>
        </w:rPr>
        <w:t>” On that question, he concluded as follows</w:t>
      </w:r>
      <w:r w:rsidR="00CF0E5B" w:rsidRPr="00700A2E">
        <w:rPr>
          <w:lang w:val="en-CA"/>
        </w:rPr>
        <w:t>:</w:t>
      </w:r>
    </w:p>
    <w:p w14:paraId="4D834967" w14:textId="77777777" w:rsidR="00CF0E5B" w:rsidRPr="00700A2E" w:rsidRDefault="00CF0E5B" w:rsidP="00CF0E5B">
      <w:pPr>
        <w:pStyle w:val="Citationenretrait"/>
        <w:keepNext/>
        <w:rPr>
          <w:lang w:val="en-CA"/>
        </w:rPr>
      </w:pPr>
      <w:r w:rsidRPr="00700A2E">
        <w:rPr>
          <w:lang w:val="en-CA"/>
        </w:rPr>
        <w:t>[19</w:t>
      </w:r>
      <w:proofErr w:type="gramStart"/>
      <w:r w:rsidRPr="00700A2E">
        <w:rPr>
          <w:lang w:val="en-CA"/>
        </w:rPr>
        <w:t>]  [</w:t>
      </w:r>
      <w:proofErr w:type="gramEnd"/>
      <w:r w:rsidRPr="00700A2E">
        <w:rPr>
          <w:lang w:val="en-CA"/>
        </w:rPr>
        <w:t>…] While the parties contemplated that the rent for the term of the renewal would be set by them pursuant to discussions, they also agreed in advance on how that rent would be set, rendering the amount of the rent determinable</w:t>
      </w:r>
      <w:r w:rsidRPr="00700A2E">
        <w:rPr>
          <w:vertAlign w:val="superscript"/>
          <w:lang w:val="en-CA"/>
        </w:rPr>
        <w:t>14</w:t>
      </w:r>
      <w:r w:rsidRPr="00700A2E">
        <w:rPr>
          <w:lang w:val="en-CA"/>
        </w:rPr>
        <w:t>.</w:t>
      </w:r>
    </w:p>
    <w:p w14:paraId="40A3CB8F" w14:textId="77777777" w:rsidR="00CF0E5B" w:rsidRPr="00700A2E" w:rsidRDefault="00000000" w:rsidP="00CF0E5B">
      <w:pPr>
        <w:pStyle w:val="Citationenretrait"/>
        <w:keepNext/>
        <w:spacing w:before="0" w:after="0"/>
        <w:rPr>
          <w:lang w:val="en-CA"/>
        </w:rPr>
      </w:pPr>
      <w:r>
        <w:rPr>
          <w:lang w:val="en-CA"/>
        </w:rPr>
        <w:pict w14:anchorId="09CB6BC0">
          <v:rect id="_x0000_i1026" style="width:167.95pt;height:1.6pt" o:hrpct="424" o:hrstd="t" o:hr="t" fillcolor="#a0a0a0" stroked="f"/>
        </w:pict>
      </w:r>
    </w:p>
    <w:p w14:paraId="66C5104D" w14:textId="77777777" w:rsidR="00CF0E5B" w:rsidRPr="00700A2E" w:rsidRDefault="00CF0E5B" w:rsidP="00CF0E5B">
      <w:pPr>
        <w:pStyle w:val="Citationenretrait"/>
        <w:spacing w:line="240" w:lineRule="auto"/>
        <w:rPr>
          <w:sz w:val="18"/>
          <w:szCs w:val="18"/>
          <w:lang w:val="en-CA"/>
        </w:rPr>
      </w:pPr>
      <w:proofErr w:type="gramStart"/>
      <w:r w:rsidRPr="00700A2E">
        <w:rPr>
          <w:sz w:val="18"/>
          <w:szCs w:val="18"/>
          <w:vertAlign w:val="superscript"/>
          <w:lang w:val="en-CA" w:eastAsia="fr-CA"/>
        </w:rPr>
        <w:t>14</w:t>
      </w:r>
      <w:r w:rsidRPr="00700A2E">
        <w:rPr>
          <w:sz w:val="18"/>
          <w:szCs w:val="18"/>
          <w:vertAlign w:val="superscript"/>
          <w:lang w:val="en-CA"/>
        </w:rPr>
        <w:t>  </w:t>
      </w:r>
      <w:r w:rsidRPr="00700A2E">
        <w:rPr>
          <w:rFonts w:cs="Arial"/>
          <w:color w:val="000000"/>
          <w:sz w:val="18"/>
          <w:szCs w:val="18"/>
          <w:lang w:val="en-CA"/>
        </w:rPr>
        <w:t>Where</w:t>
      </w:r>
      <w:proofErr w:type="gramEnd"/>
      <w:r w:rsidRPr="00700A2E">
        <w:rPr>
          <w:rFonts w:cs="Arial"/>
          <w:color w:val="000000"/>
          <w:sz w:val="18"/>
          <w:szCs w:val="18"/>
          <w:lang w:val="en-CA"/>
        </w:rPr>
        <w:t xml:space="preserve"> an obligation is determinable, in case of disagreement, the courts may intervene and make the requisite determination: J.</w:t>
      </w:r>
      <w:r w:rsidRPr="00700A2E">
        <w:rPr>
          <w:rFonts w:cs="Arial"/>
          <w:color w:val="000000"/>
          <w:sz w:val="18"/>
          <w:szCs w:val="18"/>
          <w:lang w:val="en-CA"/>
        </w:rPr>
        <w:noBreakHyphen/>
        <w:t>L. Baudouin and P.</w:t>
      </w:r>
      <w:r w:rsidRPr="00700A2E">
        <w:rPr>
          <w:rFonts w:cs="Arial"/>
          <w:color w:val="000000"/>
          <w:sz w:val="18"/>
          <w:szCs w:val="18"/>
          <w:lang w:val="en-CA"/>
        </w:rPr>
        <w:noBreakHyphen/>
        <w:t>G. Jobin, </w:t>
      </w:r>
      <w:r w:rsidRPr="00700A2E">
        <w:rPr>
          <w:rFonts w:cs="Arial"/>
          <w:i/>
          <w:iCs/>
          <w:color w:val="000000"/>
          <w:sz w:val="18"/>
          <w:szCs w:val="18"/>
          <w:lang w:val="en-CA"/>
        </w:rPr>
        <w:t>Les obligations</w:t>
      </w:r>
      <w:r w:rsidRPr="00700A2E">
        <w:rPr>
          <w:rFonts w:cs="Arial"/>
          <w:color w:val="000000"/>
          <w:sz w:val="18"/>
          <w:szCs w:val="18"/>
          <w:lang w:val="en-CA"/>
        </w:rPr>
        <w:t>, 7th Ed. by P.</w:t>
      </w:r>
      <w:r w:rsidRPr="00700A2E">
        <w:rPr>
          <w:rFonts w:cs="Arial"/>
          <w:color w:val="000000"/>
          <w:sz w:val="18"/>
          <w:szCs w:val="18"/>
          <w:lang w:val="en-CA"/>
        </w:rPr>
        <w:noBreakHyphen/>
        <w:t xml:space="preserve">G. Jobin and N. </w:t>
      </w:r>
      <w:proofErr w:type="spellStart"/>
      <w:r w:rsidRPr="00700A2E">
        <w:rPr>
          <w:rFonts w:cs="Arial"/>
          <w:color w:val="000000"/>
          <w:sz w:val="18"/>
          <w:szCs w:val="18"/>
          <w:lang w:val="en-CA"/>
        </w:rPr>
        <w:t>Vézina</w:t>
      </w:r>
      <w:proofErr w:type="spellEnd"/>
      <w:r w:rsidRPr="00700A2E">
        <w:rPr>
          <w:rFonts w:cs="Arial"/>
          <w:color w:val="000000"/>
          <w:sz w:val="18"/>
          <w:szCs w:val="18"/>
          <w:lang w:val="en-CA"/>
        </w:rPr>
        <w:t xml:space="preserve"> (</w:t>
      </w:r>
      <w:proofErr w:type="spellStart"/>
      <w:r w:rsidRPr="00700A2E">
        <w:rPr>
          <w:rFonts w:cs="Arial"/>
          <w:color w:val="000000"/>
          <w:sz w:val="18"/>
          <w:szCs w:val="18"/>
          <w:lang w:val="en-CA"/>
        </w:rPr>
        <w:t>Cowansville</w:t>
      </w:r>
      <w:proofErr w:type="spellEnd"/>
      <w:r w:rsidRPr="00700A2E">
        <w:rPr>
          <w:rFonts w:cs="Arial"/>
          <w:color w:val="000000"/>
          <w:sz w:val="18"/>
          <w:szCs w:val="18"/>
          <w:lang w:val="en-CA"/>
        </w:rPr>
        <w:t xml:space="preserve"> (QC): Yvon Blais, 2013), No. 26 (p. 34) [</w:t>
      </w:r>
      <w:r w:rsidRPr="00700A2E">
        <w:rPr>
          <w:rFonts w:cs="Arial"/>
          <w:b/>
          <w:bCs/>
          <w:color w:val="000000"/>
          <w:sz w:val="18"/>
          <w:szCs w:val="18"/>
          <w:lang w:val="en-CA"/>
        </w:rPr>
        <w:t xml:space="preserve">Jobin &amp; </w:t>
      </w:r>
      <w:proofErr w:type="spellStart"/>
      <w:r w:rsidRPr="00700A2E">
        <w:rPr>
          <w:rFonts w:cs="Arial"/>
          <w:b/>
          <w:bCs/>
          <w:color w:val="000000"/>
          <w:sz w:val="18"/>
          <w:szCs w:val="18"/>
          <w:lang w:val="en-CA"/>
        </w:rPr>
        <w:t>Vézina</w:t>
      </w:r>
      <w:proofErr w:type="spellEnd"/>
      <w:r w:rsidRPr="00700A2E">
        <w:rPr>
          <w:rFonts w:cs="Arial"/>
          <w:color w:val="000000"/>
          <w:sz w:val="18"/>
          <w:szCs w:val="18"/>
          <w:lang w:val="en-CA"/>
        </w:rPr>
        <w:t>].</w:t>
      </w:r>
    </w:p>
    <w:p w14:paraId="310F54A2" w14:textId="673C694A" w:rsidR="00CF0E5B" w:rsidRPr="00700A2E" w:rsidRDefault="00782021" w:rsidP="00CF0E5B">
      <w:pPr>
        <w:pStyle w:val="Paragraphe"/>
        <w:rPr>
          <w:lang w:val="en-CA"/>
        </w:rPr>
      </w:pPr>
      <w:r>
        <w:rPr>
          <w:lang w:val="en-CA"/>
        </w:rPr>
        <w:t xml:space="preserve">In sum, the judge found that the parties </w:t>
      </w:r>
      <w:r w:rsidR="000731F3">
        <w:rPr>
          <w:lang w:val="en-CA"/>
        </w:rPr>
        <w:t xml:space="preserve">had </w:t>
      </w:r>
      <w:r>
        <w:rPr>
          <w:lang w:val="en-CA"/>
        </w:rPr>
        <w:t xml:space="preserve">agreed in advance on the way to set the </w:t>
      </w:r>
      <w:proofErr w:type="gramStart"/>
      <w:r>
        <w:rPr>
          <w:lang w:val="en-CA"/>
        </w:rPr>
        <w:t>rent, but</w:t>
      </w:r>
      <w:proofErr w:type="gramEnd"/>
      <w:r>
        <w:rPr>
          <w:lang w:val="en-CA"/>
        </w:rPr>
        <w:t xml:space="preserve"> </w:t>
      </w:r>
      <w:r w:rsidR="000731F3">
        <w:rPr>
          <w:lang w:val="en-CA"/>
        </w:rPr>
        <w:t>overlooked</w:t>
      </w:r>
      <w:r>
        <w:rPr>
          <w:lang w:val="en-CA"/>
        </w:rPr>
        <w:t xml:space="preserve"> the fact that they had also agreed in advance on what would happen failing agreement</w:t>
      </w:r>
      <w:r w:rsidR="00CF0E5B" w:rsidRPr="00700A2E">
        <w:rPr>
          <w:lang w:val="en-CA"/>
        </w:rPr>
        <w:t>.</w:t>
      </w:r>
    </w:p>
    <w:p w14:paraId="342E8B97" w14:textId="248BEB2E" w:rsidR="00CF0E5B" w:rsidRPr="00700A2E" w:rsidRDefault="000731F3" w:rsidP="00CF0E5B">
      <w:pPr>
        <w:pStyle w:val="Paragraphe"/>
        <w:rPr>
          <w:lang w:val="en-CA"/>
        </w:rPr>
      </w:pPr>
      <w:r>
        <w:rPr>
          <w:lang w:val="en-CA"/>
        </w:rPr>
        <w:t xml:space="preserve">The judge considered that </w:t>
      </w:r>
      <w:r w:rsidR="006E00B1">
        <w:rPr>
          <w:lang w:val="en-CA"/>
        </w:rPr>
        <w:t>particularity</w:t>
      </w:r>
      <w:r>
        <w:rPr>
          <w:lang w:val="en-CA"/>
        </w:rPr>
        <w:t xml:space="preserve"> only at the remedy stage,</w:t>
      </w:r>
      <w:r w:rsidR="00CF0E5B" w:rsidRPr="00700A2E">
        <w:rPr>
          <w:rStyle w:val="Appelnotedebasdep"/>
          <w:lang w:val="en-CA"/>
        </w:rPr>
        <w:footnoteReference w:id="24"/>
      </w:r>
      <w:r w:rsidR="00CF0E5B" w:rsidRPr="00700A2E">
        <w:rPr>
          <w:lang w:val="en-CA"/>
        </w:rPr>
        <w:t xml:space="preserve"> </w:t>
      </w:r>
      <w:r>
        <w:rPr>
          <w:lang w:val="en-CA"/>
        </w:rPr>
        <w:t xml:space="preserve">after having found that </w:t>
      </w:r>
      <w:proofErr w:type="spellStart"/>
      <w:r>
        <w:rPr>
          <w:lang w:val="en-CA"/>
        </w:rPr>
        <w:t>Cominar</w:t>
      </w:r>
      <w:proofErr w:type="spellEnd"/>
      <w:r>
        <w:rPr>
          <w:lang w:val="en-CA"/>
        </w:rPr>
        <w:t xml:space="preserve"> had breached its duty to negotiate in good faith</w:t>
      </w:r>
      <w:r w:rsidR="00CF0E5B" w:rsidRPr="00700A2E">
        <w:rPr>
          <w:lang w:val="en-CA"/>
        </w:rPr>
        <w:t xml:space="preserve">. </w:t>
      </w:r>
      <w:r w:rsidR="006E00B1">
        <w:rPr>
          <w:lang w:val="en-CA"/>
        </w:rPr>
        <w:t>He was of the view that the Court’s reasoning in</w:t>
      </w:r>
      <w:r w:rsidR="00CF0E5B" w:rsidRPr="00700A2E">
        <w:rPr>
          <w:lang w:val="en-CA"/>
        </w:rPr>
        <w:t xml:space="preserve"> </w:t>
      </w:r>
      <w:proofErr w:type="spellStart"/>
      <w:r w:rsidR="00CF0E5B" w:rsidRPr="00700A2E">
        <w:rPr>
          <w:i/>
          <w:iCs/>
          <w:lang w:val="en-CA"/>
        </w:rPr>
        <w:t>Nordelec</w:t>
      </w:r>
      <w:proofErr w:type="spellEnd"/>
      <w:r w:rsidR="00CF0E5B" w:rsidRPr="00700A2E">
        <w:rPr>
          <w:lang w:val="en-CA"/>
        </w:rPr>
        <w:t xml:space="preserve"> </w:t>
      </w:r>
      <w:r w:rsidR="006E00B1">
        <w:rPr>
          <w:lang w:val="en-CA"/>
        </w:rPr>
        <w:t xml:space="preserve">does not apply when one of the parties, </w:t>
      </w:r>
      <w:r w:rsidR="006E00B1" w:rsidRPr="006E00B1">
        <w:rPr>
          <w:lang w:val="en-CA"/>
        </w:rPr>
        <w:t>in bad faith, prevent</w:t>
      </w:r>
      <w:r w:rsidR="006E00B1">
        <w:rPr>
          <w:lang w:val="en-CA"/>
        </w:rPr>
        <w:t>s</w:t>
      </w:r>
      <w:r w:rsidR="006E00B1" w:rsidRPr="006E00B1">
        <w:rPr>
          <w:lang w:val="en-CA"/>
        </w:rPr>
        <w:t xml:space="preserve"> the renewal clause from producing its intended effect</w:t>
      </w:r>
      <w:r w:rsidR="006E00B1">
        <w:rPr>
          <w:lang w:val="en-CA"/>
        </w:rPr>
        <w:t>.</w:t>
      </w:r>
      <w:r w:rsidR="00CF0E5B" w:rsidRPr="00700A2E">
        <w:rPr>
          <w:rStyle w:val="Appelnotedebasdep"/>
          <w:lang w:val="en-CA"/>
        </w:rPr>
        <w:footnoteReference w:id="25"/>
      </w:r>
    </w:p>
    <w:p w14:paraId="78ADF74B" w14:textId="03DA58C5" w:rsidR="00CF0E5B" w:rsidRPr="00700A2E" w:rsidRDefault="006E00B1" w:rsidP="00CF0E5B">
      <w:pPr>
        <w:pStyle w:val="Paragraphe"/>
        <w:rPr>
          <w:lang w:val="en-CA"/>
        </w:rPr>
      </w:pPr>
      <w:r>
        <w:rPr>
          <w:lang w:val="en-CA"/>
        </w:rPr>
        <w:lastRenderedPageBreak/>
        <w:t>In making that findin</w:t>
      </w:r>
      <w:r w:rsidR="00306A5A">
        <w:rPr>
          <w:lang w:val="en-CA"/>
        </w:rPr>
        <w:t>g</w:t>
      </w:r>
      <w:r>
        <w:rPr>
          <w:lang w:val="en-CA"/>
        </w:rPr>
        <w:t>, he relied on the decision of Courville</w:t>
      </w:r>
      <w:r w:rsidR="00003F40">
        <w:rPr>
          <w:lang w:val="en-CA"/>
        </w:rPr>
        <w:t xml:space="preserve"> </w:t>
      </w:r>
      <w:r>
        <w:rPr>
          <w:lang w:val="en-CA"/>
        </w:rPr>
        <w:t>J.</w:t>
      </w:r>
      <w:r w:rsidR="00CF0E5B" w:rsidRPr="00700A2E">
        <w:rPr>
          <w:lang w:val="en-CA"/>
        </w:rPr>
        <w:t xml:space="preserve"> </w:t>
      </w:r>
      <w:r>
        <w:rPr>
          <w:lang w:val="en-CA"/>
        </w:rPr>
        <w:t>of the Superior Court in</w:t>
      </w:r>
      <w:r w:rsidR="00CF0E5B" w:rsidRPr="00700A2E">
        <w:rPr>
          <w:lang w:val="en-CA"/>
        </w:rPr>
        <w:t xml:space="preserve"> </w:t>
      </w:r>
      <w:r w:rsidR="00CF0E5B" w:rsidRPr="00700A2E">
        <w:rPr>
          <w:i/>
          <w:iCs/>
          <w:lang w:val="en-CA"/>
        </w:rPr>
        <w:t xml:space="preserve">Desjardins </w:t>
      </w:r>
      <w:proofErr w:type="spellStart"/>
      <w:r w:rsidR="00CF0E5B" w:rsidRPr="00700A2E">
        <w:rPr>
          <w:i/>
          <w:iCs/>
          <w:lang w:val="en-CA"/>
        </w:rPr>
        <w:t>Sécurité</w:t>
      </w:r>
      <w:proofErr w:type="spellEnd"/>
      <w:r w:rsidR="00CF0E5B" w:rsidRPr="00700A2E">
        <w:rPr>
          <w:i/>
          <w:iCs/>
          <w:lang w:val="en-CA"/>
        </w:rPr>
        <w:t xml:space="preserve"> financière c. Bergeron</w:t>
      </w:r>
      <w:bookmarkStart w:id="21" w:name="_Ref182472820"/>
      <w:r w:rsidR="00003F40" w:rsidRPr="00003F40">
        <w:rPr>
          <w:lang w:val="en-CA"/>
        </w:rPr>
        <w:t>.</w:t>
      </w:r>
      <w:r w:rsidR="00CF0E5B" w:rsidRPr="00700A2E">
        <w:rPr>
          <w:rStyle w:val="Appelnotedebasdep"/>
          <w:lang w:val="en-CA"/>
        </w:rPr>
        <w:footnoteReference w:id="26"/>
      </w:r>
      <w:bookmarkEnd w:id="21"/>
      <w:r w:rsidR="00CF0E5B" w:rsidRPr="00700A2E">
        <w:rPr>
          <w:lang w:val="en-CA"/>
        </w:rPr>
        <w:t xml:space="preserve"> </w:t>
      </w:r>
      <w:r w:rsidR="00003F40">
        <w:rPr>
          <w:lang w:val="en-CA"/>
        </w:rPr>
        <w:t>Holding that the lessor had breached its duty to negotiate in good faith</w:t>
      </w:r>
      <w:r w:rsidR="00CF0E5B" w:rsidRPr="00700A2E">
        <w:rPr>
          <w:lang w:val="en-CA"/>
        </w:rPr>
        <w:t>, Courville</w:t>
      </w:r>
      <w:r w:rsidR="00003F40">
        <w:rPr>
          <w:lang w:val="en-CA"/>
        </w:rPr>
        <w:t xml:space="preserve"> J.</w:t>
      </w:r>
      <w:r w:rsidR="00CF0E5B" w:rsidRPr="00700A2E">
        <w:rPr>
          <w:lang w:val="en-CA"/>
        </w:rPr>
        <w:t xml:space="preserve"> </w:t>
      </w:r>
      <w:r w:rsidR="00003F40">
        <w:rPr>
          <w:lang w:val="en-CA"/>
        </w:rPr>
        <w:t>found that the lessor could not be</w:t>
      </w:r>
      <w:r w:rsidR="009E5E1B">
        <w:rPr>
          <w:lang w:val="en-CA"/>
        </w:rPr>
        <w:t xml:space="preserve"> released from the</w:t>
      </w:r>
      <w:r w:rsidR="00003F40">
        <w:rPr>
          <w:lang w:val="en-CA"/>
        </w:rPr>
        <w:t xml:space="preserve"> renewal option, even if the clause provided that</w:t>
      </w:r>
      <w:r w:rsidR="009E5E1B">
        <w:rPr>
          <w:lang w:val="en-CA"/>
        </w:rPr>
        <w:t>,</w:t>
      </w:r>
      <w:r w:rsidR="00003F40">
        <w:rPr>
          <w:lang w:val="en-CA"/>
        </w:rPr>
        <w:t xml:space="preserve"> failing agreement</w:t>
      </w:r>
      <w:r w:rsidR="00CF0E5B" w:rsidRPr="00700A2E">
        <w:rPr>
          <w:lang w:val="en-CA"/>
        </w:rPr>
        <w:t xml:space="preserve">, </w:t>
      </w:r>
      <w:r w:rsidR="00003F40">
        <w:rPr>
          <w:lang w:val="en-CA"/>
        </w:rPr>
        <w:t>“</w:t>
      </w:r>
      <w:proofErr w:type="spellStart"/>
      <w:r w:rsidR="00CF0E5B" w:rsidRPr="00242159">
        <w:rPr>
          <w:i/>
          <w:iCs/>
          <w:lang w:val="en-CA"/>
        </w:rPr>
        <w:t>l’option</w:t>
      </w:r>
      <w:proofErr w:type="spellEnd"/>
      <w:r w:rsidR="00CF0E5B" w:rsidRPr="00242159">
        <w:rPr>
          <w:i/>
          <w:iCs/>
          <w:lang w:val="en-CA"/>
        </w:rPr>
        <w:t xml:space="preserve"> de </w:t>
      </w:r>
      <w:proofErr w:type="spellStart"/>
      <w:r w:rsidR="00CF0E5B" w:rsidRPr="00242159">
        <w:rPr>
          <w:i/>
          <w:iCs/>
          <w:lang w:val="en-CA"/>
        </w:rPr>
        <w:t>renouvellement</w:t>
      </w:r>
      <w:proofErr w:type="spellEnd"/>
      <w:r w:rsidR="00CF0E5B" w:rsidRPr="00242159">
        <w:rPr>
          <w:i/>
          <w:iCs/>
          <w:lang w:val="en-CA"/>
        </w:rPr>
        <w:t xml:space="preserve"> sera </w:t>
      </w:r>
      <w:proofErr w:type="spellStart"/>
      <w:r w:rsidR="00CF0E5B" w:rsidRPr="00242159">
        <w:rPr>
          <w:i/>
          <w:iCs/>
          <w:lang w:val="en-CA"/>
        </w:rPr>
        <w:t>réputée</w:t>
      </w:r>
      <w:proofErr w:type="spellEnd"/>
      <w:r w:rsidR="00CF0E5B" w:rsidRPr="00242159">
        <w:rPr>
          <w:i/>
          <w:iCs/>
          <w:lang w:val="en-CA"/>
        </w:rPr>
        <w:t xml:space="preserve"> </w:t>
      </w:r>
      <w:proofErr w:type="spellStart"/>
      <w:r w:rsidR="00CF0E5B" w:rsidRPr="00242159">
        <w:rPr>
          <w:i/>
          <w:iCs/>
          <w:lang w:val="en-CA"/>
        </w:rPr>
        <w:t>nulle</w:t>
      </w:r>
      <w:proofErr w:type="spellEnd"/>
      <w:r w:rsidR="00CF0E5B" w:rsidRPr="00242159">
        <w:rPr>
          <w:i/>
          <w:iCs/>
          <w:lang w:val="en-CA"/>
        </w:rPr>
        <w:t xml:space="preserve"> et non </w:t>
      </w:r>
      <w:proofErr w:type="spellStart"/>
      <w:r w:rsidR="00CF0E5B" w:rsidRPr="00242159">
        <w:rPr>
          <w:i/>
          <w:iCs/>
          <w:lang w:val="en-CA"/>
        </w:rPr>
        <w:t>exécutée</w:t>
      </w:r>
      <w:proofErr w:type="spellEnd"/>
      <w:r w:rsidR="00003F40">
        <w:rPr>
          <w:lang w:val="en-CA"/>
        </w:rPr>
        <w:t>.”</w:t>
      </w:r>
      <w:r w:rsidR="00CF0E5B" w:rsidRPr="00700A2E">
        <w:rPr>
          <w:rStyle w:val="Appelnotedebasdep"/>
          <w:lang w:val="en-CA"/>
        </w:rPr>
        <w:footnoteReference w:id="27"/>
      </w:r>
      <w:r w:rsidR="00CF0E5B" w:rsidRPr="00700A2E">
        <w:rPr>
          <w:lang w:val="en-CA"/>
        </w:rPr>
        <w:t xml:space="preserve"> </w:t>
      </w:r>
      <w:r w:rsidR="00003F40">
        <w:rPr>
          <w:lang w:val="en-CA"/>
        </w:rPr>
        <w:t>She therefore set the rent at the price of the first lease</w:t>
      </w:r>
      <w:r w:rsidR="00CF0E5B" w:rsidRPr="00700A2E">
        <w:rPr>
          <w:lang w:val="en-CA"/>
        </w:rPr>
        <w:t xml:space="preserve"> (</w:t>
      </w:r>
      <w:r w:rsidR="00003F40">
        <w:rPr>
          <w:lang w:val="en-CA"/>
        </w:rPr>
        <w:t xml:space="preserve">the lessor having failed to establish the </w:t>
      </w:r>
      <w:r w:rsidR="009E5E1B">
        <w:rPr>
          <w:lang w:val="en-CA"/>
        </w:rPr>
        <w:t>prevailing</w:t>
      </w:r>
      <w:r w:rsidR="00003F40">
        <w:rPr>
          <w:lang w:val="en-CA"/>
        </w:rPr>
        <w:t xml:space="preserve"> market rate for the renewal</w:t>
      </w:r>
      <w:r w:rsidR="00CF0E5B" w:rsidRPr="00700A2E">
        <w:rPr>
          <w:lang w:val="en-CA"/>
        </w:rPr>
        <w:t xml:space="preserve"> </w:t>
      </w:r>
      <w:r w:rsidR="00003F40">
        <w:rPr>
          <w:lang w:val="en-CA"/>
        </w:rPr>
        <w:t>period</w:t>
      </w:r>
      <w:r w:rsidR="00CF0E5B" w:rsidRPr="00700A2E">
        <w:rPr>
          <w:lang w:val="en-CA"/>
        </w:rPr>
        <w:t>).</w:t>
      </w:r>
    </w:p>
    <w:p w14:paraId="44F4F779" w14:textId="2FBC0FB5" w:rsidR="00CF0E5B" w:rsidRPr="00700A2E" w:rsidRDefault="00CF0E5B" w:rsidP="00CF0E5B">
      <w:pPr>
        <w:pStyle w:val="Paragraphe"/>
        <w:rPr>
          <w:lang w:val="en-CA"/>
        </w:rPr>
      </w:pPr>
      <w:r w:rsidRPr="002E35B4">
        <w:t>Courville</w:t>
      </w:r>
      <w:r w:rsidR="009E5E1B" w:rsidRPr="002E35B4">
        <w:t xml:space="preserve"> J.</w:t>
      </w:r>
      <w:r w:rsidRPr="002E35B4">
        <w:t xml:space="preserve"> </w:t>
      </w:r>
      <w:proofErr w:type="spellStart"/>
      <w:r w:rsidR="009E5E1B" w:rsidRPr="002E35B4">
        <w:t>distinguished</w:t>
      </w:r>
      <w:proofErr w:type="spellEnd"/>
      <w:r w:rsidRPr="002E35B4">
        <w:rPr>
          <w:i/>
          <w:iCs/>
        </w:rPr>
        <w:t xml:space="preserve"> </w:t>
      </w:r>
      <w:proofErr w:type="spellStart"/>
      <w:r w:rsidRPr="002E35B4">
        <w:rPr>
          <w:i/>
          <w:iCs/>
        </w:rPr>
        <w:t>Nordelec</w:t>
      </w:r>
      <w:proofErr w:type="spellEnd"/>
      <w:r w:rsidRPr="002E35B4">
        <w:t xml:space="preserve"> </w:t>
      </w:r>
      <w:r w:rsidR="009E5E1B" w:rsidRPr="002E35B4">
        <w:t xml:space="preserve">on the </w:t>
      </w:r>
      <w:proofErr w:type="spellStart"/>
      <w:r w:rsidR="009E5E1B" w:rsidRPr="002E35B4">
        <w:t>ground</w:t>
      </w:r>
      <w:proofErr w:type="spellEnd"/>
      <w:r w:rsidR="009E5E1B" w:rsidRPr="002E35B4">
        <w:t xml:space="preserve"> </w:t>
      </w:r>
      <w:proofErr w:type="spellStart"/>
      <w:r w:rsidR="009E5E1B" w:rsidRPr="002E35B4">
        <w:t>that</w:t>
      </w:r>
      <w:proofErr w:type="spellEnd"/>
      <w:r w:rsidR="009E5E1B" w:rsidRPr="002E35B4">
        <w:t xml:space="preserve"> “</w:t>
      </w:r>
      <w:r w:rsidRPr="002E35B4">
        <w:rPr>
          <w:i/>
          <w:iCs/>
        </w:rPr>
        <w:t>les parties, bien que sans succès, avaient néanmoins négocié</w:t>
      </w:r>
      <w:r w:rsidR="009E5E1B" w:rsidRPr="002E35B4">
        <w:t>.”</w:t>
      </w:r>
      <w:r w:rsidRPr="00700A2E">
        <w:rPr>
          <w:rStyle w:val="Appelnotedebasdep"/>
          <w:lang w:val="en-CA"/>
        </w:rPr>
        <w:footnoteReference w:id="28"/>
      </w:r>
      <w:r w:rsidRPr="002E35B4">
        <w:t xml:space="preserve"> </w:t>
      </w:r>
      <w:r w:rsidR="009E5E1B" w:rsidRPr="002E35B4">
        <w:t xml:space="preserve">As </w:t>
      </w:r>
      <w:proofErr w:type="spellStart"/>
      <w:r w:rsidR="009E5E1B" w:rsidRPr="002E35B4">
        <w:t>seen</w:t>
      </w:r>
      <w:proofErr w:type="spellEnd"/>
      <w:r w:rsidR="009E5E1B" w:rsidRPr="002E35B4">
        <w:t>, the</w:t>
      </w:r>
      <w:r w:rsidRPr="002E35B4">
        <w:t xml:space="preserve"> </w:t>
      </w:r>
      <w:r w:rsidRPr="002E35B4">
        <w:rPr>
          <w:i/>
          <w:iCs/>
        </w:rPr>
        <w:t>ratio </w:t>
      </w:r>
      <w:proofErr w:type="spellStart"/>
      <w:r w:rsidRPr="002E35B4">
        <w:rPr>
          <w:i/>
          <w:iCs/>
        </w:rPr>
        <w:t>decidendi</w:t>
      </w:r>
      <w:proofErr w:type="spellEnd"/>
      <w:r w:rsidRPr="002E35B4">
        <w:t xml:space="preserve"> </w:t>
      </w:r>
      <w:r w:rsidR="009E5E1B" w:rsidRPr="002E35B4">
        <w:t>of</w:t>
      </w:r>
      <w:r w:rsidRPr="002E35B4">
        <w:t xml:space="preserve"> </w:t>
      </w:r>
      <w:proofErr w:type="spellStart"/>
      <w:r w:rsidRPr="002E35B4">
        <w:rPr>
          <w:i/>
          <w:iCs/>
        </w:rPr>
        <w:t>Nordelec</w:t>
      </w:r>
      <w:proofErr w:type="spellEnd"/>
      <w:r w:rsidRPr="002E35B4">
        <w:t xml:space="preserve"> </w:t>
      </w:r>
      <w:proofErr w:type="spellStart"/>
      <w:r w:rsidR="009E5E1B" w:rsidRPr="002E35B4">
        <w:t>is</w:t>
      </w:r>
      <w:proofErr w:type="spellEnd"/>
      <w:r w:rsidR="009E5E1B" w:rsidRPr="002E35B4">
        <w:t xml:space="preserve"> “</w:t>
      </w:r>
      <w:r w:rsidRPr="002E35B4">
        <w:rPr>
          <w:i/>
          <w:iCs/>
        </w:rPr>
        <w:t>la sanction convenue par les parties et inscrite au dernier alinéa de la clause 9.1, la terminaison du bail</w:t>
      </w:r>
      <w:r w:rsidR="009E5E1B" w:rsidRPr="002E35B4">
        <w:t>.”</w:t>
      </w:r>
      <w:r w:rsidRPr="00700A2E">
        <w:rPr>
          <w:rStyle w:val="Appelnotedebasdep"/>
          <w:lang w:val="en-CA"/>
        </w:rPr>
        <w:footnoteReference w:id="29"/>
      </w:r>
      <w:r w:rsidRPr="002E35B4">
        <w:t xml:space="preserve"> </w:t>
      </w:r>
      <w:r w:rsidR="009E5E1B">
        <w:rPr>
          <w:lang w:val="en-CA"/>
        </w:rPr>
        <w:t>The fact that a party breached its duty to negotiate in good faith d</w:t>
      </w:r>
      <w:r w:rsidR="00763DDE">
        <w:rPr>
          <w:lang w:val="en-CA"/>
        </w:rPr>
        <w:t>oes</w:t>
      </w:r>
      <w:r w:rsidR="009E5E1B">
        <w:rPr>
          <w:lang w:val="en-CA"/>
        </w:rPr>
        <w:t xml:space="preserve"> not allow the court to rewrite the clause.</w:t>
      </w:r>
      <w:r w:rsidRPr="00700A2E">
        <w:rPr>
          <w:rStyle w:val="Appelnotedebasdep"/>
          <w:lang w:val="en-CA"/>
        </w:rPr>
        <w:footnoteReference w:id="30"/>
      </w:r>
    </w:p>
    <w:p w14:paraId="04C6C749" w14:textId="7C2DF17C" w:rsidR="00CF0E5B" w:rsidRPr="00700A2E" w:rsidRDefault="0064002E" w:rsidP="00CF0E5B">
      <w:pPr>
        <w:pStyle w:val="Paragraphe"/>
        <w:rPr>
          <w:lang w:val="en-CA"/>
        </w:rPr>
      </w:pPr>
      <w:r>
        <w:rPr>
          <w:lang w:val="en-CA"/>
        </w:rPr>
        <w:t>The judge therefore made a palpable and overriding error in not applying that part of clause</w:t>
      </w:r>
      <w:r w:rsidR="00CF0E5B" w:rsidRPr="00700A2E">
        <w:rPr>
          <w:lang w:val="en-CA"/>
        </w:rPr>
        <w:t xml:space="preserve"> 27.6 </w:t>
      </w:r>
      <w:r>
        <w:rPr>
          <w:lang w:val="en-CA"/>
        </w:rPr>
        <w:t>of the lease, pursuant to which, failing agreement on the rent</w:t>
      </w:r>
      <w:r w:rsidR="00CF0E5B" w:rsidRPr="00700A2E">
        <w:rPr>
          <w:lang w:val="en-CA"/>
        </w:rPr>
        <w:t xml:space="preserve">, </w:t>
      </w:r>
      <w:r>
        <w:rPr>
          <w:lang w:val="en-CA"/>
        </w:rPr>
        <w:t>the renewal option would become null and void</w:t>
      </w:r>
      <w:r w:rsidR="00CF0E5B" w:rsidRPr="00700A2E">
        <w:rPr>
          <w:lang w:val="en-CA"/>
        </w:rPr>
        <w:t xml:space="preserve">. </w:t>
      </w:r>
      <w:r w:rsidR="00D21503">
        <w:rPr>
          <w:lang w:val="en-CA"/>
        </w:rPr>
        <w:t>D</w:t>
      </w:r>
      <w:r>
        <w:rPr>
          <w:lang w:val="en-CA"/>
        </w:rPr>
        <w:t>rafted</w:t>
      </w:r>
      <w:r w:rsidR="00D21503">
        <w:rPr>
          <w:lang w:val="en-CA"/>
        </w:rPr>
        <w:t xml:space="preserve"> </w:t>
      </w:r>
      <w:r w:rsidR="00C06A83">
        <w:rPr>
          <w:lang w:val="en-CA"/>
        </w:rPr>
        <w:t>as such</w:t>
      </w:r>
      <w:r>
        <w:rPr>
          <w:lang w:val="en-CA"/>
        </w:rPr>
        <w:t>, that clause granted to the Lessee</w:t>
      </w:r>
      <w:r w:rsidR="00CF0E5B" w:rsidRPr="00700A2E">
        <w:rPr>
          <w:lang w:val="en-CA"/>
        </w:rPr>
        <w:t xml:space="preserve"> </w:t>
      </w:r>
      <w:r>
        <w:rPr>
          <w:lang w:val="en-CA"/>
        </w:rPr>
        <w:t>not a true right to the renewal of the lease, but at the very most a right of first refusal.</w:t>
      </w:r>
      <w:r w:rsidR="00CF0E5B" w:rsidRPr="00700A2E">
        <w:rPr>
          <w:rStyle w:val="Appelnotedebasdep"/>
          <w:lang w:val="en-CA"/>
        </w:rPr>
        <w:footnoteReference w:id="31"/>
      </w:r>
    </w:p>
    <w:p w14:paraId="58D7E554" w14:textId="1C5681FB" w:rsidR="00CF0E5B" w:rsidRPr="00700A2E" w:rsidRDefault="000161F7" w:rsidP="00CF0E5B">
      <w:pPr>
        <w:pStyle w:val="Titre2"/>
        <w:rPr>
          <w:lang w:val="en-CA"/>
        </w:rPr>
      </w:pPr>
      <w:r>
        <w:rPr>
          <w:lang w:val="en-CA"/>
        </w:rPr>
        <w:t xml:space="preserve">Did </w:t>
      </w:r>
      <w:proofErr w:type="spellStart"/>
      <w:r>
        <w:rPr>
          <w:lang w:val="en-CA"/>
        </w:rPr>
        <w:t>C</w:t>
      </w:r>
      <w:r w:rsidR="00CF0E5B" w:rsidRPr="00700A2E">
        <w:rPr>
          <w:lang w:val="en-CA"/>
        </w:rPr>
        <w:t>ominar</w:t>
      </w:r>
      <w:proofErr w:type="spellEnd"/>
      <w:r w:rsidR="00CF0E5B" w:rsidRPr="00700A2E">
        <w:rPr>
          <w:lang w:val="en-CA"/>
        </w:rPr>
        <w:t xml:space="preserve"> </w:t>
      </w:r>
      <w:r>
        <w:rPr>
          <w:lang w:val="en-CA"/>
        </w:rPr>
        <w:t>breach its duty to negotiate the rental price in good faith</w:t>
      </w:r>
      <w:r w:rsidR="00CF0E5B" w:rsidRPr="00700A2E">
        <w:rPr>
          <w:lang w:val="en-CA"/>
        </w:rPr>
        <w:t>?</w:t>
      </w:r>
    </w:p>
    <w:p w14:paraId="6D85AEFD" w14:textId="43F71BA8" w:rsidR="00CF0E5B" w:rsidRPr="00700A2E" w:rsidRDefault="000161F7" w:rsidP="00CF0E5B">
      <w:pPr>
        <w:pStyle w:val="Paragraphe"/>
        <w:rPr>
          <w:lang w:val="en-CA"/>
        </w:rPr>
      </w:pPr>
      <w:r>
        <w:rPr>
          <w:lang w:val="en-CA"/>
        </w:rPr>
        <w:t>Because the Lessee is not claiming damages for breach of the duty to negotiate in good faith, it would not be necessary, technically, to answer that question</w:t>
      </w:r>
      <w:r w:rsidR="00CF0E5B" w:rsidRPr="00700A2E">
        <w:rPr>
          <w:lang w:val="en-CA"/>
        </w:rPr>
        <w:t xml:space="preserve">. </w:t>
      </w:r>
      <w:r>
        <w:rPr>
          <w:lang w:val="en-CA"/>
        </w:rPr>
        <w:t xml:space="preserve">I will address it, however, given the importance </w:t>
      </w:r>
      <w:r w:rsidR="00763DDE">
        <w:rPr>
          <w:lang w:val="en-CA"/>
        </w:rPr>
        <w:t>given to it by</w:t>
      </w:r>
      <w:r>
        <w:rPr>
          <w:lang w:val="en-CA"/>
        </w:rPr>
        <w:t xml:space="preserve"> the parties</w:t>
      </w:r>
      <w:r w:rsidR="00CF0E5B" w:rsidRPr="00700A2E">
        <w:rPr>
          <w:lang w:val="en-CA"/>
        </w:rPr>
        <w:t>.</w:t>
      </w:r>
      <w:bookmarkStart w:id="22" w:name="_Ref182411396"/>
    </w:p>
    <w:p w14:paraId="3C971A32" w14:textId="5B86CFC7" w:rsidR="00CF0E5B" w:rsidRPr="00700A2E" w:rsidRDefault="000161F7" w:rsidP="00CF0E5B">
      <w:pPr>
        <w:pStyle w:val="Paragraphe"/>
        <w:rPr>
          <w:lang w:val="en-CA"/>
        </w:rPr>
      </w:pPr>
      <w:r>
        <w:rPr>
          <w:lang w:val="en-CA"/>
        </w:rPr>
        <w:t xml:space="preserve">As the Supreme Court has just </w:t>
      </w:r>
      <w:r w:rsidR="00763DDE">
        <w:rPr>
          <w:lang w:val="en-CA"/>
        </w:rPr>
        <w:t>held</w:t>
      </w:r>
      <w:r>
        <w:rPr>
          <w:lang w:val="en-CA"/>
        </w:rPr>
        <w:t xml:space="preserve"> in </w:t>
      </w:r>
      <w:r w:rsidR="00CF0E5B" w:rsidRPr="00700A2E">
        <w:rPr>
          <w:i/>
          <w:iCs/>
          <w:lang w:val="en-CA"/>
        </w:rPr>
        <w:t>Qu</w:t>
      </w:r>
      <w:r>
        <w:rPr>
          <w:i/>
          <w:iCs/>
          <w:lang w:val="en-CA"/>
        </w:rPr>
        <w:t>e</w:t>
      </w:r>
      <w:r w:rsidR="00CF0E5B" w:rsidRPr="00700A2E">
        <w:rPr>
          <w:i/>
          <w:iCs/>
          <w:lang w:val="en-CA"/>
        </w:rPr>
        <w:t>bec (</w:t>
      </w:r>
      <w:r>
        <w:rPr>
          <w:i/>
          <w:iCs/>
          <w:lang w:val="en-CA"/>
        </w:rPr>
        <w:t>Attorney General</w:t>
      </w:r>
      <w:r w:rsidR="00CF0E5B" w:rsidRPr="00700A2E">
        <w:rPr>
          <w:i/>
          <w:iCs/>
          <w:lang w:val="en-CA"/>
        </w:rPr>
        <w:t xml:space="preserve">) </w:t>
      </w:r>
      <w:r>
        <w:rPr>
          <w:i/>
          <w:iCs/>
          <w:lang w:val="en-CA"/>
        </w:rPr>
        <w:t>v</w:t>
      </w:r>
      <w:r w:rsidR="00CF0E5B" w:rsidRPr="00700A2E">
        <w:rPr>
          <w:i/>
          <w:iCs/>
          <w:lang w:val="en-CA"/>
        </w:rPr>
        <w:t xml:space="preserve">. </w:t>
      </w:r>
      <w:proofErr w:type="spellStart"/>
      <w:r w:rsidR="00CF0E5B" w:rsidRPr="00700A2E">
        <w:rPr>
          <w:i/>
          <w:iCs/>
          <w:lang w:val="en-CA"/>
        </w:rPr>
        <w:t>Pekuakamiulnuatsh</w:t>
      </w:r>
      <w:proofErr w:type="spellEnd"/>
      <w:r w:rsidR="00CF0E5B" w:rsidRPr="00700A2E">
        <w:rPr>
          <w:i/>
          <w:iCs/>
          <w:lang w:val="en-CA"/>
        </w:rPr>
        <w:t xml:space="preserve"> </w:t>
      </w:r>
      <w:proofErr w:type="spellStart"/>
      <w:r w:rsidR="00CF0E5B" w:rsidRPr="00700A2E">
        <w:rPr>
          <w:i/>
          <w:iCs/>
          <w:lang w:val="en-CA"/>
        </w:rPr>
        <w:t>Takuhikan</w:t>
      </w:r>
      <w:proofErr w:type="spellEnd"/>
      <w:r w:rsidR="00CF0E5B" w:rsidRPr="00700A2E">
        <w:rPr>
          <w:lang w:val="en-CA"/>
        </w:rPr>
        <w:t xml:space="preserve">, </w:t>
      </w:r>
      <w:r>
        <w:rPr>
          <w:lang w:val="en-CA"/>
        </w:rPr>
        <w:t>“</w:t>
      </w:r>
      <w:r w:rsidRPr="000161F7">
        <w:rPr>
          <w:lang w:val="en-CA"/>
        </w:rPr>
        <w:t>good faith is an enacted standard of public order that applies at every stage of the contractual relationship</w:t>
      </w:r>
      <w:r>
        <w:rPr>
          <w:lang w:val="en-CA"/>
        </w:rPr>
        <w:t>.”</w:t>
      </w:r>
      <w:bookmarkStart w:id="23" w:name="_Ref184807722"/>
      <w:r w:rsidR="00CF0E5B" w:rsidRPr="00700A2E">
        <w:rPr>
          <w:rStyle w:val="Appelnotedebasdep"/>
          <w:lang w:val="en-CA"/>
        </w:rPr>
        <w:footnoteReference w:id="32"/>
      </w:r>
      <w:bookmarkEnd w:id="23"/>
      <w:r w:rsidR="00CF0E5B" w:rsidRPr="00700A2E">
        <w:rPr>
          <w:lang w:val="en-CA"/>
        </w:rPr>
        <w:t xml:space="preserve"> </w:t>
      </w:r>
      <w:bookmarkEnd w:id="22"/>
      <w:r w:rsidR="00581211" w:rsidRPr="00581211">
        <w:rPr>
          <w:lang w:val="en-CA"/>
        </w:rPr>
        <w:t>The parties shall conduct themselves in good faith both at the time the obligation arises and at the time it is performed or extinguished</w:t>
      </w:r>
      <w:r w:rsidR="00581211">
        <w:rPr>
          <w:lang w:val="en-CA"/>
        </w:rPr>
        <w:t>.</w:t>
      </w:r>
      <w:r w:rsidR="00CF0E5B" w:rsidRPr="00700A2E">
        <w:rPr>
          <w:rStyle w:val="Appelnotedebasdep"/>
          <w:lang w:val="en-CA"/>
        </w:rPr>
        <w:footnoteReference w:id="33"/>
      </w:r>
    </w:p>
    <w:p w14:paraId="0BD4B46D" w14:textId="5B7D747A" w:rsidR="00CF0E5B" w:rsidRPr="00700A2E" w:rsidRDefault="00581211" w:rsidP="00CF0E5B">
      <w:pPr>
        <w:pStyle w:val="Paragraphe"/>
        <w:rPr>
          <w:lang w:val="en-CA"/>
        </w:rPr>
      </w:pPr>
      <w:r>
        <w:rPr>
          <w:lang w:val="en-CA"/>
        </w:rPr>
        <w:lastRenderedPageBreak/>
        <w:t xml:space="preserve">In the case at bar, the duty to negotiate in good faith flows from clause </w:t>
      </w:r>
      <w:r w:rsidR="00CF0E5B" w:rsidRPr="00700A2E">
        <w:rPr>
          <w:lang w:val="en-CA"/>
        </w:rPr>
        <w:t xml:space="preserve">27.6 </w:t>
      </w:r>
      <w:r>
        <w:rPr>
          <w:lang w:val="en-CA"/>
        </w:rPr>
        <w:t>of the lease and therefore has</w:t>
      </w:r>
      <w:r w:rsidR="00C77B87">
        <w:rPr>
          <w:lang w:val="en-CA"/>
        </w:rPr>
        <w:t xml:space="preserve"> a</w:t>
      </w:r>
      <w:r w:rsidR="00CF0E5B" w:rsidRPr="00700A2E">
        <w:rPr>
          <w:lang w:val="en-CA"/>
        </w:rPr>
        <w:t xml:space="preserve"> </w:t>
      </w:r>
      <w:r>
        <w:rPr>
          <w:lang w:val="en-CA"/>
        </w:rPr>
        <w:t>contractual basis.</w:t>
      </w:r>
      <w:r w:rsidR="00CF0E5B" w:rsidRPr="00700A2E">
        <w:rPr>
          <w:rStyle w:val="Appelnotedebasdep"/>
          <w:lang w:val="en-CA"/>
        </w:rPr>
        <w:footnoteReference w:id="34"/>
      </w:r>
      <w:r w:rsidR="00CF0E5B" w:rsidRPr="00700A2E">
        <w:rPr>
          <w:lang w:val="en-CA"/>
        </w:rPr>
        <w:t xml:space="preserve"> </w:t>
      </w:r>
      <w:r>
        <w:rPr>
          <w:lang w:val="en-CA"/>
        </w:rPr>
        <w:t xml:space="preserve">It consists in performing the contract </w:t>
      </w:r>
      <w:r w:rsidRPr="00581211">
        <w:rPr>
          <w:lang w:val="en-CA"/>
        </w:rPr>
        <w:t>consistent</w:t>
      </w:r>
      <w:r>
        <w:rPr>
          <w:lang w:val="en-CA"/>
        </w:rPr>
        <w:t>ly</w:t>
      </w:r>
      <w:r w:rsidRPr="00581211">
        <w:rPr>
          <w:lang w:val="en-CA"/>
        </w:rPr>
        <w:t xml:space="preserve"> with what was undertaken</w:t>
      </w:r>
      <w:r>
        <w:rPr>
          <w:lang w:val="en-CA"/>
        </w:rPr>
        <w:t>,</w:t>
      </w:r>
      <w:r w:rsidR="00CF0E5B" w:rsidRPr="00700A2E">
        <w:rPr>
          <w:rStyle w:val="Appelnotedebasdep"/>
          <w:lang w:val="en-CA"/>
        </w:rPr>
        <w:footnoteReference w:id="35"/>
      </w:r>
      <w:r>
        <w:rPr>
          <w:lang w:val="en-CA"/>
        </w:rPr>
        <w:t xml:space="preserve"> i.e., </w:t>
      </w:r>
      <w:r w:rsidR="00763DDE">
        <w:rPr>
          <w:lang w:val="en-CA"/>
        </w:rPr>
        <w:t xml:space="preserve">to </w:t>
      </w:r>
      <w:r>
        <w:rPr>
          <w:lang w:val="en-CA"/>
        </w:rPr>
        <w:t xml:space="preserve">negotiate a new rental price within the parameters provided in the clause, </w:t>
      </w:r>
      <w:r w:rsidR="00C77B87">
        <w:rPr>
          <w:lang w:val="en-CA"/>
        </w:rPr>
        <w:t>in accordance with the requirements of good faith</w:t>
      </w:r>
      <w:r w:rsidR="00CF0E5B" w:rsidRPr="00700A2E">
        <w:rPr>
          <w:lang w:val="en-CA"/>
        </w:rPr>
        <w:t>.</w:t>
      </w:r>
    </w:p>
    <w:p w14:paraId="7A1A7F47" w14:textId="1FD7F5E7" w:rsidR="00CF0E5B" w:rsidRPr="00700A2E" w:rsidRDefault="00C77B87" w:rsidP="00CF0E5B">
      <w:pPr>
        <w:pStyle w:val="Paragraphe"/>
        <w:rPr>
          <w:lang w:val="en-CA"/>
        </w:rPr>
      </w:pPr>
      <w:r w:rsidRPr="00C77B87">
        <w:rPr>
          <w:lang w:val="en-CA"/>
        </w:rPr>
        <w:t xml:space="preserve">I pause to </w:t>
      </w:r>
      <w:r>
        <w:rPr>
          <w:lang w:val="en-CA"/>
        </w:rPr>
        <w:t>underscore two important points</w:t>
      </w:r>
      <w:r w:rsidR="00CF0E5B" w:rsidRPr="00700A2E">
        <w:rPr>
          <w:lang w:val="en-CA"/>
        </w:rPr>
        <w:t>.</w:t>
      </w:r>
    </w:p>
    <w:p w14:paraId="6591C425" w14:textId="464E74F5" w:rsidR="00CF0E5B" w:rsidRPr="00700A2E" w:rsidRDefault="00C77B87" w:rsidP="00CF0E5B">
      <w:pPr>
        <w:pStyle w:val="Paragraphe"/>
        <w:rPr>
          <w:lang w:val="en-CA"/>
        </w:rPr>
      </w:pPr>
      <w:r>
        <w:rPr>
          <w:lang w:val="en-CA"/>
        </w:rPr>
        <w:t xml:space="preserve">First, the fact that the duty to negotiate in good faith has a contractual basis does not </w:t>
      </w:r>
      <w:r w:rsidR="0059019F">
        <w:rPr>
          <w:lang w:val="en-CA"/>
        </w:rPr>
        <w:t xml:space="preserve">undermine </w:t>
      </w:r>
      <w:r>
        <w:rPr>
          <w:lang w:val="en-CA"/>
        </w:rPr>
        <w:t>the principle of freedom to contract</w:t>
      </w:r>
      <w:r w:rsidR="00CF0E5B" w:rsidRPr="00700A2E">
        <w:rPr>
          <w:lang w:val="en-CA"/>
        </w:rPr>
        <w:t xml:space="preserve">, </w:t>
      </w:r>
      <w:r w:rsidR="0059019F">
        <w:rPr>
          <w:lang w:val="en-CA"/>
        </w:rPr>
        <w:t>“</w:t>
      </w:r>
      <w:proofErr w:type="spellStart"/>
      <w:r w:rsidR="00CF0E5B" w:rsidRPr="00ED0456">
        <w:rPr>
          <w:i/>
          <w:iCs/>
          <w:lang w:val="en-CA"/>
        </w:rPr>
        <w:t>si</w:t>
      </w:r>
      <w:proofErr w:type="spellEnd"/>
      <w:r w:rsidR="00CF0E5B" w:rsidRPr="00ED0456">
        <w:rPr>
          <w:i/>
          <w:iCs/>
          <w:lang w:val="en-CA"/>
        </w:rPr>
        <w:t xml:space="preserve"> </w:t>
      </w:r>
      <w:proofErr w:type="spellStart"/>
      <w:r w:rsidR="00CF0E5B" w:rsidRPr="00ED0456">
        <w:rPr>
          <w:i/>
          <w:iCs/>
          <w:lang w:val="en-CA"/>
        </w:rPr>
        <w:t>essentielle</w:t>
      </w:r>
      <w:proofErr w:type="spellEnd"/>
      <w:r w:rsidR="00CF0E5B" w:rsidRPr="00ED0456">
        <w:rPr>
          <w:i/>
          <w:iCs/>
          <w:lang w:val="en-CA"/>
        </w:rPr>
        <w:t xml:space="preserve"> à </w:t>
      </w:r>
      <w:proofErr w:type="spellStart"/>
      <w:r w:rsidR="00CF0E5B" w:rsidRPr="00ED0456">
        <w:rPr>
          <w:i/>
          <w:iCs/>
          <w:lang w:val="en-CA"/>
        </w:rPr>
        <w:t>l’autonomie</w:t>
      </w:r>
      <w:proofErr w:type="spellEnd"/>
      <w:r w:rsidR="00CF0E5B" w:rsidRPr="00ED0456">
        <w:rPr>
          <w:i/>
          <w:iCs/>
          <w:lang w:val="en-CA"/>
        </w:rPr>
        <w:t xml:space="preserve"> de la </w:t>
      </w:r>
      <w:proofErr w:type="spellStart"/>
      <w:r w:rsidR="00CF0E5B" w:rsidRPr="00ED0456">
        <w:rPr>
          <w:i/>
          <w:iCs/>
          <w:lang w:val="en-CA"/>
        </w:rPr>
        <w:t>volonté</w:t>
      </w:r>
      <w:proofErr w:type="spellEnd"/>
      <w:r w:rsidR="00CF0E5B" w:rsidRPr="00ED0456">
        <w:rPr>
          <w:i/>
          <w:iCs/>
          <w:lang w:val="en-CA"/>
        </w:rPr>
        <w:t xml:space="preserve"> et à la liberté de commerce</w:t>
      </w:r>
      <w:r w:rsidR="0059019F">
        <w:rPr>
          <w:lang w:val="en-CA"/>
        </w:rPr>
        <w:t>.”</w:t>
      </w:r>
      <w:r w:rsidR="00CF0E5B" w:rsidRPr="00700A2E">
        <w:rPr>
          <w:rStyle w:val="Appelnotedebasdep"/>
          <w:lang w:val="en-CA"/>
        </w:rPr>
        <w:footnoteReference w:id="36"/>
      </w:r>
      <w:r w:rsidR="00CF0E5B" w:rsidRPr="00700A2E">
        <w:rPr>
          <w:lang w:val="en-CA"/>
        </w:rPr>
        <w:t xml:space="preserve"> </w:t>
      </w:r>
      <w:r w:rsidR="0059019F">
        <w:rPr>
          <w:lang w:val="en-CA"/>
        </w:rPr>
        <w:t>The good faith performance of a clause that requires the parties to negotiate the renewal of an agreement</w:t>
      </w:r>
      <w:r w:rsidR="00CF0E5B" w:rsidRPr="00700A2E">
        <w:rPr>
          <w:lang w:val="en-CA"/>
        </w:rPr>
        <w:t xml:space="preserve"> </w:t>
      </w:r>
      <w:r w:rsidR="0059019F">
        <w:rPr>
          <w:lang w:val="en-CA"/>
        </w:rPr>
        <w:t>cannot serve</w:t>
      </w:r>
      <w:r w:rsidR="00CF0E5B" w:rsidRPr="00700A2E">
        <w:rPr>
          <w:lang w:val="en-CA"/>
        </w:rPr>
        <w:t xml:space="preserve"> </w:t>
      </w:r>
      <w:r w:rsidR="0059019F">
        <w:rPr>
          <w:lang w:val="en-CA"/>
        </w:rPr>
        <w:t>“</w:t>
      </w:r>
      <w:r w:rsidR="0059019F" w:rsidRPr="0059019F">
        <w:rPr>
          <w:lang w:val="en-CA"/>
        </w:rPr>
        <w:t>to require or impose specific outcomes from the negotiations</w:t>
      </w:r>
      <w:r w:rsidR="0059019F">
        <w:rPr>
          <w:lang w:val="en-CA"/>
        </w:rPr>
        <w:t>.”</w:t>
      </w:r>
      <w:r w:rsidR="00CF0E5B" w:rsidRPr="00700A2E">
        <w:rPr>
          <w:rStyle w:val="Appelnotedebasdep"/>
          <w:lang w:val="en-CA"/>
        </w:rPr>
        <w:footnoteReference w:id="37"/>
      </w:r>
      <w:r w:rsidR="00CF0E5B" w:rsidRPr="00700A2E">
        <w:rPr>
          <w:lang w:val="en-CA"/>
        </w:rPr>
        <w:t xml:space="preserve"> </w:t>
      </w:r>
      <w:r w:rsidR="0059019F">
        <w:rPr>
          <w:lang w:val="en-CA"/>
        </w:rPr>
        <w:t>The parties</w:t>
      </w:r>
      <w:r w:rsidR="00CF0E5B" w:rsidRPr="00700A2E">
        <w:rPr>
          <w:lang w:val="en-CA"/>
        </w:rPr>
        <w:t xml:space="preserve"> </w:t>
      </w:r>
      <w:r w:rsidR="0059019F">
        <w:rPr>
          <w:lang w:val="en-CA"/>
        </w:rPr>
        <w:t>remain</w:t>
      </w:r>
      <w:r w:rsidR="0059019F" w:rsidRPr="0059019F">
        <w:rPr>
          <w:lang w:val="en-CA"/>
        </w:rPr>
        <w:t xml:space="preserve"> free</w:t>
      </w:r>
      <w:r w:rsidR="0059019F">
        <w:rPr>
          <w:lang w:val="en-CA"/>
        </w:rPr>
        <w:t xml:space="preserve"> </w:t>
      </w:r>
      <w:r w:rsidR="00043C08">
        <w:rPr>
          <w:lang w:val="en-CA"/>
        </w:rPr>
        <w:t>not to</w:t>
      </w:r>
      <w:r w:rsidR="0059019F">
        <w:rPr>
          <w:lang w:val="en-CA"/>
        </w:rPr>
        <w:t xml:space="preserve"> enter a new agreement and</w:t>
      </w:r>
      <w:r w:rsidR="0059019F" w:rsidRPr="0059019F">
        <w:rPr>
          <w:lang w:val="en-CA"/>
        </w:rPr>
        <w:t xml:space="preserve"> to end their existing contractual relationship — again, subject to the requirements of good faith</w:t>
      </w:r>
      <w:r w:rsidR="0059019F">
        <w:rPr>
          <w:lang w:val="en-CA"/>
        </w:rPr>
        <w:t>.</w:t>
      </w:r>
      <w:r w:rsidR="00CF0E5B" w:rsidRPr="00700A2E">
        <w:rPr>
          <w:rStyle w:val="Appelnotedebasdep"/>
          <w:lang w:val="en-CA"/>
        </w:rPr>
        <w:footnoteReference w:id="38"/>
      </w:r>
      <w:r w:rsidR="00CF0E5B" w:rsidRPr="00700A2E">
        <w:rPr>
          <w:lang w:val="en-CA"/>
        </w:rPr>
        <w:t xml:space="preserve"> </w:t>
      </w:r>
      <w:r w:rsidR="0059019F">
        <w:rPr>
          <w:lang w:val="en-CA"/>
        </w:rPr>
        <w:t xml:space="preserve">That situation must be distinguished from that where a party legally </w:t>
      </w:r>
      <w:r w:rsidR="00820D0D">
        <w:rPr>
          <w:lang w:val="en-CA"/>
        </w:rPr>
        <w:t>undertakes to enter into a contract</w:t>
      </w:r>
      <w:r w:rsidR="00CF0E5B" w:rsidRPr="00700A2E">
        <w:rPr>
          <w:lang w:val="en-CA"/>
        </w:rPr>
        <w:t xml:space="preserve"> (</w:t>
      </w:r>
      <w:r w:rsidR="00820D0D">
        <w:rPr>
          <w:lang w:val="en-CA"/>
        </w:rPr>
        <w:t>e.g</w:t>
      </w:r>
      <w:r w:rsidR="00CF0E5B" w:rsidRPr="00700A2E">
        <w:rPr>
          <w:lang w:val="en-CA"/>
        </w:rPr>
        <w:t xml:space="preserve">., </w:t>
      </w:r>
      <w:r w:rsidR="00820D0D">
        <w:rPr>
          <w:lang w:val="en-CA"/>
        </w:rPr>
        <w:t xml:space="preserve">a borrower who undertakes, in a loan agreement, to carry life insurance </w:t>
      </w:r>
      <w:r w:rsidR="00EE7448">
        <w:rPr>
          <w:lang w:val="en-CA"/>
        </w:rPr>
        <w:t>for the benefit</w:t>
      </w:r>
      <w:r w:rsidR="00820D0D">
        <w:rPr>
          <w:lang w:val="en-CA"/>
        </w:rPr>
        <w:t xml:space="preserve"> of the lender</w:t>
      </w:r>
      <w:r w:rsidR="00CF0E5B" w:rsidRPr="00700A2E">
        <w:rPr>
          <w:lang w:val="en-CA"/>
        </w:rPr>
        <w:t xml:space="preserve">). </w:t>
      </w:r>
      <w:r w:rsidR="00820D0D" w:rsidRPr="002E35B4">
        <w:t xml:space="preserve">In </w:t>
      </w:r>
      <w:proofErr w:type="spellStart"/>
      <w:r w:rsidR="00820D0D" w:rsidRPr="002E35B4">
        <w:t>such</w:t>
      </w:r>
      <w:proofErr w:type="spellEnd"/>
      <w:r w:rsidR="00820D0D" w:rsidRPr="002E35B4">
        <w:t xml:space="preserve"> a case</w:t>
      </w:r>
      <w:r w:rsidR="00CF0E5B" w:rsidRPr="002E35B4">
        <w:t xml:space="preserve">, </w:t>
      </w:r>
      <w:r w:rsidR="00820D0D" w:rsidRPr="002E35B4">
        <w:t>“</w:t>
      </w:r>
      <w:r w:rsidR="00CF0E5B" w:rsidRPr="002E35B4">
        <w:rPr>
          <w:i/>
          <w:iCs/>
        </w:rPr>
        <w:t>celui qui a cette obligation se l’est en quelque sorte imposée à lui-même, usant précisément de sa liberté contractuelle</w:t>
      </w:r>
      <w:r w:rsidR="00820D0D" w:rsidRPr="002E35B4">
        <w:t>.”</w:t>
      </w:r>
      <w:r w:rsidR="00CF0E5B" w:rsidRPr="00700A2E">
        <w:rPr>
          <w:rStyle w:val="Appelnotedebasdep"/>
          <w:lang w:val="en-CA"/>
        </w:rPr>
        <w:footnoteReference w:id="39"/>
      </w:r>
      <w:r w:rsidR="00CF0E5B" w:rsidRPr="00700A2E">
        <w:rPr>
          <w:lang w:val="en-CA"/>
        </w:rPr>
        <w:t xml:space="preserve">. </w:t>
      </w:r>
      <w:r w:rsidR="00820D0D">
        <w:rPr>
          <w:lang w:val="en-CA"/>
        </w:rPr>
        <w:t>That is not the case here.</w:t>
      </w:r>
      <w:r w:rsidR="00CF0E5B" w:rsidRPr="00700A2E">
        <w:rPr>
          <w:rStyle w:val="Appelnotedebasdep"/>
          <w:lang w:val="en-CA"/>
        </w:rPr>
        <w:footnoteReference w:id="40"/>
      </w:r>
    </w:p>
    <w:p w14:paraId="241EBB4D" w14:textId="4CD70630" w:rsidR="00CF0E5B" w:rsidRPr="00700A2E" w:rsidRDefault="00EE7448" w:rsidP="00CF0E5B">
      <w:pPr>
        <w:pStyle w:val="Paragraphe"/>
        <w:rPr>
          <w:lang w:val="en-CA"/>
        </w:rPr>
      </w:pPr>
      <w:r>
        <w:rPr>
          <w:lang w:val="en-CA"/>
        </w:rPr>
        <w:t>Second, the principle of freedom to contract and the duty to negotiate in good faith in the performance of a contract are not mutually exclusive</w:t>
      </w:r>
      <w:r w:rsidR="00CF0E5B" w:rsidRPr="00700A2E">
        <w:rPr>
          <w:lang w:val="en-CA"/>
        </w:rPr>
        <w:t xml:space="preserve">. </w:t>
      </w:r>
      <w:r>
        <w:rPr>
          <w:lang w:val="en-CA"/>
        </w:rPr>
        <w:t xml:space="preserve">The fact that the parties remain free </w:t>
      </w:r>
      <w:r w:rsidR="00043C08">
        <w:rPr>
          <w:lang w:val="en-CA"/>
        </w:rPr>
        <w:t>not to</w:t>
      </w:r>
      <w:r>
        <w:rPr>
          <w:lang w:val="en-CA"/>
        </w:rPr>
        <w:t xml:space="preserve"> contract does not diminish their duty to fulfill the requirements of good faith, which may vary according to circumstances and the parameters provided </w:t>
      </w:r>
      <w:r w:rsidR="00043C08">
        <w:rPr>
          <w:lang w:val="en-CA"/>
        </w:rPr>
        <w:t>under</w:t>
      </w:r>
      <w:r>
        <w:rPr>
          <w:lang w:val="en-CA"/>
        </w:rPr>
        <w:t xml:space="preserve"> the contract</w:t>
      </w:r>
      <w:r w:rsidR="00CF0E5B" w:rsidRPr="00700A2E">
        <w:rPr>
          <w:lang w:val="en-CA"/>
        </w:rPr>
        <w:t xml:space="preserve">. </w:t>
      </w:r>
      <w:r>
        <w:rPr>
          <w:lang w:val="en-CA"/>
        </w:rPr>
        <w:t xml:space="preserve">If one of the parties breaches that duty, they </w:t>
      </w:r>
      <w:r w:rsidR="00043C08">
        <w:rPr>
          <w:lang w:val="en-CA"/>
        </w:rPr>
        <w:t>incur</w:t>
      </w:r>
      <w:r w:rsidR="0005552A">
        <w:rPr>
          <w:lang w:val="en-CA"/>
        </w:rPr>
        <w:t xml:space="preserve"> </w:t>
      </w:r>
      <w:r>
        <w:rPr>
          <w:lang w:val="en-CA"/>
        </w:rPr>
        <w:t>contractual liability and may be ordered to pay dama</w:t>
      </w:r>
      <w:r w:rsidR="00043C08">
        <w:rPr>
          <w:lang w:val="en-CA"/>
        </w:rPr>
        <w:t>ges for the injury caused to the other party</w:t>
      </w:r>
      <w:r w:rsidR="00CF0E5B" w:rsidRPr="00700A2E">
        <w:rPr>
          <w:lang w:val="en-CA"/>
        </w:rPr>
        <w:t xml:space="preserve">. </w:t>
      </w:r>
      <w:r w:rsidR="00043C08">
        <w:rPr>
          <w:lang w:val="en-CA"/>
        </w:rPr>
        <w:t>In that sense, the principle of freedom to contract only affects the remedy that the court may grant</w:t>
      </w:r>
      <w:r w:rsidR="00CF0E5B" w:rsidRPr="00700A2E">
        <w:rPr>
          <w:lang w:val="en-CA"/>
        </w:rPr>
        <w:t xml:space="preserve">. </w:t>
      </w:r>
      <w:r w:rsidR="00043C08" w:rsidRPr="00043C08">
        <w:rPr>
          <w:lang w:val="en-CA"/>
        </w:rPr>
        <w:t>I will now return to the matter at hand</w:t>
      </w:r>
      <w:r w:rsidR="00CF0E5B" w:rsidRPr="00700A2E">
        <w:rPr>
          <w:lang w:val="en-CA"/>
        </w:rPr>
        <w:t>.</w:t>
      </w:r>
    </w:p>
    <w:p w14:paraId="4A04361D" w14:textId="44E7D668" w:rsidR="00CF0E5B" w:rsidRPr="00700A2E" w:rsidRDefault="00043C08" w:rsidP="00CF0E5B">
      <w:pPr>
        <w:pStyle w:val="Paragraphe"/>
        <w:rPr>
          <w:lang w:val="en-CA" w:eastAsia="fr-CA"/>
        </w:rPr>
      </w:pPr>
      <w:r>
        <w:rPr>
          <w:lang w:val="en-CA"/>
        </w:rPr>
        <w:t>The judge found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ED0456">
        <w:rPr>
          <w:lang w:val="en-CA"/>
        </w:rPr>
        <w:t>did not act</w:t>
      </w:r>
      <w:r>
        <w:rPr>
          <w:lang w:val="en-CA"/>
        </w:rPr>
        <w:t xml:space="preserve"> in good faith after November</w:t>
      </w:r>
      <w:r w:rsidR="00CF0E5B" w:rsidRPr="00700A2E">
        <w:rPr>
          <w:lang w:val="en-CA"/>
        </w:rPr>
        <w:t xml:space="preserve"> 25</w:t>
      </w:r>
      <w:r>
        <w:rPr>
          <w:lang w:val="en-CA"/>
        </w:rPr>
        <w:t>,</w:t>
      </w:r>
      <w:r w:rsidR="00CF0E5B" w:rsidRPr="00700A2E">
        <w:rPr>
          <w:lang w:val="en-CA"/>
        </w:rPr>
        <w:t xml:space="preserve"> 2021. </w:t>
      </w:r>
      <w:r>
        <w:rPr>
          <w:lang w:val="en-CA"/>
        </w:rPr>
        <w:t>He relied primarily on Mr.</w:t>
      </w:r>
      <w:r w:rsidR="00CF0E5B" w:rsidRPr="00700A2E">
        <w:rPr>
          <w:lang w:val="en-CA" w:eastAsia="fr-CA"/>
        </w:rPr>
        <w:t xml:space="preserve"> Racine</w:t>
      </w:r>
      <w:r>
        <w:rPr>
          <w:lang w:val="en-CA" w:eastAsia="fr-CA"/>
        </w:rPr>
        <w:t>’s testimony</w:t>
      </w:r>
      <w:r w:rsidR="00CF0E5B" w:rsidRPr="00700A2E">
        <w:rPr>
          <w:lang w:val="en-CA" w:eastAsia="fr-CA"/>
        </w:rPr>
        <w:t xml:space="preserve"> </w:t>
      </w:r>
      <w:r w:rsidR="005E1B84">
        <w:rPr>
          <w:lang w:val="en-CA" w:eastAsia="fr-CA"/>
        </w:rPr>
        <w:t>and</w:t>
      </w:r>
      <w:r>
        <w:rPr>
          <w:lang w:val="en-CA" w:eastAsia="fr-CA"/>
        </w:rPr>
        <w:t xml:space="preserve"> on the fact that the base rents </w:t>
      </w:r>
      <w:r w:rsidR="003D730F">
        <w:rPr>
          <w:lang w:val="en-CA" w:eastAsia="fr-CA"/>
        </w:rPr>
        <w:t>demanded</w:t>
      </w:r>
      <w:r w:rsidR="002C6A8D">
        <w:rPr>
          <w:lang w:val="en-CA" w:eastAsia="fr-CA"/>
        </w:rPr>
        <w:t xml:space="preserve"> by</w:t>
      </w:r>
      <w:r>
        <w:rPr>
          <w:lang w:val="en-CA" w:eastAsia="fr-CA"/>
        </w:rPr>
        <w:t xml:space="preserve"> Pure</w:t>
      </w:r>
      <w:r w:rsidR="002C6A8D">
        <w:rPr>
          <w:lang w:val="en-CA" w:eastAsia="fr-CA"/>
        </w:rPr>
        <w:t xml:space="preserve"> </w:t>
      </w:r>
      <w:r w:rsidR="00CF0E5B" w:rsidRPr="00700A2E">
        <w:rPr>
          <w:lang w:val="en-CA" w:eastAsia="fr-CA"/>
        </w:rPr>
        <w:t>(</w:t>
      </w:r>
      <w:r w:rsidR="002C6A8D">
        <w:rPr>
          <w:lang w:val="en-CA" w:eastAsia="fr-CA"/>
        </w:rPr>
        <w:t>$</w:t>
      </w:r>
      <w:r w:rsidR="00CF0E5B" w:rsidRPr="00700A2E">
        <w:rPr>
          <w:lang w:val="en-CA" w:eastAsia="fr-CA"/>
        </w:rPr>
        <w:t>11</w:t>
      </w:r>
      <w:r w:rsidR="002C6A8D">
        <w:rPr>
          <w:lang w:val="en-CA" w:eastAsia="fr-CA"/>
        </w:rPr>
        <w:t>.</w:t>
      </w:r>
      <w:r w:rsidR="00CF0E5B" w:rsidRPr="00700A2E">
        <w:rPr>
          <w:lang w:val="en-CA" w:eastAsia="fr-CA"/>
        </w:rPr>
        <w:t>75 </w:t>
      </w:r>
      <w:r w:rsidR="002C6A8D">
        <w:rPr>
          <w:lang w:val="en-CA" w:eastAsia="fr-CA"/>
        </w:rPr>
        <w:t>per square foot</w:t>
      </w:r>
      <w:r w:rsidR="00CF0E5B" w:rsidRPr="00700A2E">
        <w:rPr>
          <w:lang w:val="en-CA" w:eastAsia="fr-CA"/>
        </w:rPr>
        <w:t xml:space="preserve"> </w:t>
      </w:r>
      <w:r w:rsidR="002C6A8D">
        <w:rPr>
          <w:lang w:val="en-CA" w:eastAsia="fr-CA"/>
        </w:rPr>
        <w:t>with an increase of</w:t>
      </w:r>
      <w:r w:rsidR="00CF0E5B" w:rsidRPr="00700A2E">
        <w:rPr>
          <w:lang w:val="en-CA" w:eastAsia="fr-CA"/>
        </w:rPr>
        <w:t xml:space="preserve"> 4% </w:t>
      </w:r>
      <w:r w:rsidR="002C6A8D">
        <w:rPr>
          <w:lang w:val="en-CA" w:eastAsia="fr-CA"/>
        </w:rPr>
        <w:t>per year</w:t>
      </w:r>
      <w:r w:rsidR="00CF0E5B" w:rsidRPr="00700A2E">
        <w:rPr>
          <w:lang w:val="en-CA" w:eastAsia="fr-CA"/>
        </w:rPr>
        <w:t xml:space="preserve">) </w:t>
      </w:r>
      <w:r w:rsidR="002C6A8D">
        <w:rPr>
          <w:lang w:val="en-CA" w:eastAsia="fr-CA"/>
        </w:rPr>
        <w:t xml:space="preserve">were not supported by any study and did not reflect </w:t>
      </w:r>
      <w:proofErr w:type="spellStart"/>
      <w:r w:rsidR="002C6A8D">
        <w:rPr>
          <w:lang w:val="en-CA" w:eastAsia="fr-CA"/>
        </w:rPr>
        <w:t>Cominar’s</w:t>
      </w:r>
      <w:proofErr w:type="spellEnd"/>
      <w:r w:rsidR="002C6A8D">
        <w:rPr>
          <w:lang w:val="en-CA" w:eastAsia="fr-CA"/>
        </w:rPr>
        <w:t xml:space="preserve"> opinion as to the prevailing market rates in the same sector</w:t>
      </w:r>
      <w:r w:rsidR="00CF0E5B" w:rsidRPr="00700A2E">
        <w:rPr>
          <w:lang w:val="en-CA" w:eastAsia="fr-CA"/>
        </w:rPr>
        <w:t xml:space="preserve">. </w:t>
      </w:r>
      <w:r w:rsidR="002C6A8D">
        <w:rPr>
          <w:lang w:val="en-CA" w:eastAsia="fr-CA"/>
        </w:rPr>
        <w:t xml:space="preserve">He </w:t>
      </w:r>
      <w:r w:rsidR="005E1B84">
        <w:rPr>
          <w:lang w:val="en-CA" w:eastAsia="fr-CA"/>
        </w:rPr>
        <w:t>noted</w:t>
      </w:r>
      <w:r w:rsidR="002C6A8D">
        <w:rPr>
          <w:lang w:val="en-CA" w:eastAsia="fr-CA"/>
        </w:rPr>
        <w:t xml:space="preserve"> the following on that subject</w:t>
      </w:r>
      <w:r w:rsidR="00CF0E5B" w:rsidRPr="00700A2E">
        <w:rPr>
          <w:lang w:val="en-CA" w:eastAsia="fr-CA"/>
        </w:rPr>
        <w:t>:</w:t>
      </w:r>
    </w:p>
    <w:p w14:paraId="1E9CD8C5" w14:textId="77777777" w:rsidR="00CF0E5B" w:rsidRPr="00700A2E" w:rsidRDefault="00CF0E5B" w:rsidP="00CF0E5B">
      <w:pPr>
        <w:pStyle w:val="Citationenretrait"/>
        <w:rPr>
          <w:lang w:val="en-CA" w:eastAsia="fr-CA"/>
        </w:rPr>
      </w:pPr>
      <w:r w:rsidRPr="00700A2E">
        <w:rPr>
          <w:lang w:val="en-CA" w:eastAsia="fr-CA"/>
        </w:rPr>
        <w:lastRenderedPageBreak/>
        <w:t>[71</w:t>
      </w:r>
      <w:proofErr w:type="gramStart"/>
      <w:r w:rsidRPr="00700A2E">
        <w:rPr>
          <w:lang w:val="en-CA" w:eastAsia="fr-CA"/>
        </w:rPr>
        <w:t>]  Owen</w:t>
      </w:r>
      <w:proofErr w:type="gramEnd"/>
      <w:r w:rsidRPr="00700A2E">
        <w:rPr>
          <w:lang w:val="en-CA" w:eastAsia="fr-CA"/>
        </w:rPr>
        <w:t xml:space="preserve"> himself did not rely on any market study or analysis in arriving at the $11.75 rate. In view of Racine’s testimony, I find that this rate was based solely on </w:t>
      </w:r>
      <w:proofErr w:type="spellStart"/>
      <w:r w:rsidRPr="00700A2E">
        <w:rPr>
          <w:lang w:val="en-CA" w:eastAsia="fr-CA"/>
        </w:rPr>
        <w:t>Pure’s</w:t>
      </w:r>
      <w:proofErr w:type="spellEnd"/>
      <w:r w:rsidRPr="00700A2E">
        <w:rPr>
          <w:lang w:val="en-CA" w:eastAsia="fr-CA"/>
        </w:rPr>
        <w:t xml:space="preserve"> experience in the Toronto market. It was not grounded on any endeavour by </w:t>
      </w:r>
      <w:proofErr w:type="spellStart"/>
      <w:r w:rsidRPr="00700A2E">
        <w:rPr>
          <w:lang w:val="en-CA" w:eastAsia="fr-CA"/>
        </w:rPr>
        <w:t>Cominar</w:t>
      </w:r>
      <w:proofErr w:type="spellEnd"/>
      <w:r w:rsidRPr="00700A2E">
        <w:rPr>
          <w:lang w:val="en-CA" w:eastAsia="fr-CA"/>
        </w:rPr>
        <w:t xml:space="preserve">, or Pure for that matter, to ascertain market rates for 5-year leases of industrial properties of about 200,000 square feet in the same sector as the Leased Premises. To be sure, </w:t>
      </w:r>
      <w:proofErr w:type="spellStart"/>
      <w:r w:rsidRPr="00700A2E">
        <w:rPr>
          <w:lang w:val="en-CA" w:eastAsia="fr-CA"/>
        </w:rPr>
        <w:t>Pure’s</w:t>
      </w:r>
      <w:proofErr w:type="spellEnd"/>
      <w:r w:rsidRPr="00700A2E">
        <w:rPr>
          <w:lang w:val="en-CA" w:eastAsia="fr-CA"/>
        </w:rPr>
        <w:t xml:space="preserve"> experience </w:t>
      </w:r>
      <w:r w:rsidRPr="00700A2E">
        <w:rPr>
          <w:u w:val="single"/>
          <w:lang w:val="en-CA" w:eastAsia="fr-CA"/>
        </w:rPr>
        <w:t>in Toronto</w:t>
      </w:r>
      <w:r w:rsidRPr="00700A2E">
        <w:rPr>
          <w:lang w:val="en-CA" w:eastAsia="fr-CA"/>
        </w:rPr>
        <w:t xml:space="preserve"> is of no assistance in identifying market rates for properties located </w:t>
      </w:r>
      <w:r w:rsidRPr="00700A2E">
        <w:rPr>
          <w:u w:val="single"/>
          <w:lang w:val="en-CA" w:eastAsia="fr-CA"/>
        </w:rPr>
        <w:t>in a particular sector of the City of Montreal</w:t>
      </w:r>
      <w:r w:rsidRPr="00700A2E">
        <w:rPr>
          <w:lang w:val="en-CA" w:eastAsia="fr-CA"/>
        </w:rPr>
        <w:t>.</w:t>
      </w:r>
    </w:p>
    <w:p w14:paraId="0234B611" w14:textId="77777777" w:rsidR="00CF0E5B" w:rsidRPr="00700A2E" w:rsidRDefault="00CF0E5B" w:rsidP="00CF0E5B">
      <w:pPr>
        <w:pStyle w:val="Citationenretrait"/>
        <w:rPr>
          <w:lang w:val="en-CA" w:eastAsia="fr-CA"/>
        </w:rPr>
      </w:pPr>
      <w:r w:rsidRPr="00700A2E">
        <w:rPr>
          <w:lang w:val="en-CA" w:eastAsia="fr-CA"/>
        </w:rPr>
        <w:t>[72</w:t>
      </w:r>
      <w:proofErr w:type="gramStart"/>
      <w:r w:rsidRPr="00700A2E">
        <w:rPr>
          <w:lang w:val="en-CA" w:eastAsia="fr-CA"/>
        </w:rPr>
        <w:t>]  In</w:t>
      </w:r>
      <w:proofErr w:type="gramEnd"/>
      <w:r w:rsidRPr="00700A2E">
        <w:rPr>
          <w:lang w:val="en-CA" w:eastAsia="fr-CA"/>
        </w:rPr>
        <w:t xml:space="preserve"> truth, the new asking base rent did not represent </w:t>
      </w:r>
      <w:proofErr w:type="spellStart"/>
      <w:r w:rsidRPr="00700A2E">
        <w:rPr>
          <w:lang w:val="en-CA" w:eastAsia="fr-CA"/>
        </w:rPr>
        <w:t>Cominar’s</w:t>
      </w:r>
      <w:proofErr w:type="spellEnd"/>
      <w:r w:rsidRPr="00700A2E">
        <w:rPr>
          <w:lang w:val="en-CA" w:eastAsia="fr-CA"/>
        </w:rPr>
        <w:t xml:space="preserve"> view of market rates. </w:t>
      </w:r>
      <w:proofErr w:type="spellStart"/>
      <w:r w:rsidRPr="00700A2E">
        <w:rPr>
          <w:lang w:val="en-CA" w:eastAsia="fr-CA"/>
        </w:rPr>
        <w:t>Cominar</w:t>
      </w:r>
      <w:proofErr w:type="spellEnd"/>
      <w:r w:rsidRPr="00700A2E">
        <w:rPr>
          <w:lang w:val="en-CA" w:eastAsia="fr-CA"/>
        </w:rPr>
        <w:t xml:space="preserve"> had formed an opinion as to what constituted market rates based on Racine’s research performed in preparing the First Proposal and subsequent discussions with Pival. As Racine indicated in his testimony, that opinion was reflected in the Second Proposal. </w:t>
      </w:r>
    </w:p>
    <w:p w14:paraId="3B395C01" w14:textId="77777777" w:rsidR="00CF0E5B" w:rsidRPr="00700A2E" w:rsidRDefault="00CF0E5B" w:rsidP="00CF0E5B">
      <w:pPr>
        <w:pStyle w:val="Citationenretrait"/>
        <w:rPr>
          <w:lang w:val="en-CA" w:eastAsia="fr-CA"/>
        </w:rPr>
      </w:pPr>
      <w:r w:rsidRPr="00700A2E">
        <w:rPr>
          <w:lang w:val="en-CA" w:eastAsia="fr-CA"/>
        </w:rPr>
        <w:t>[73</w:t>
      </w:r>
      <w:proofErr w:type="gramStart"/>
      <w:r w:rsidRPr="00700A2E">
        <w:rPr>
          <w:lang w:val="en-CA" w:eastAsia="fr-CA"/>
        </w:rPr>
        <w:t>]  However</w:t>
      </w:r>
      <w:proofErr w:type="gramEnd"/>
      <w:r w:rsidRPr="00700A2E">
        <w:rPr>
          <w:lang w:val="en-CA" w:eastAsia="fr-CA"/>
        </w:rPr>
        <w:t xml:space="preserve">, once the renewal clause was triggered, </w:t>
      </w:r>
      <w:proofErr w:type="spellStart"/>
      <w:r w:rsidRPr="00700A2E">
        <w:rPr>
          <w:lang w:val="en-CA" w:eastAsia="fr-CA"/>
        </w:rPr>
        <w:t>Cominar’s</w:t>
      </w:r>
      <w:proofErr w:type="spellEnd"/>
      <w:r w:rsidRPr="00700A2E">
        <w:rPr>
          <w:lang w:val="en-CA" w:eastAsia="fr-CA"/>
        </w:rPr>
        <w:t xml:space="preserve"> position was effectively dictated by Pure and its vision as to where rents were headed in Montreal. By presenting </w:t>
      </w:r>
      <w:proofErr w:type="spellStart"/>
      <w:r w:rsidRPr="00700A2E">
        <w:rPr>
          <w:lang w:val="en-CA" w:eastAsia="fr-CA"/>
        </w:rPr>
        <w:t>Pure’s</w:t>
      </w:r>
      <w:proofErr w:type="spellEnd"/>
      <w:r w:rsidRPr="00700A2E">
        <w:rPr>
          <w:lang w:val="en-CA" w:eastAsia="fr-CA"/>
        </w:rPr>
        <w:t xml:space="preserve"> position as its own, while knowing that this position was not based on any market studies or analysis, but rather on the latter’s experience in another market, </w:t>
      </w:r>
      <w:proofErr w:type="spellStart"/>
      <w:r w:rsidRPr="00700A2E">
        <w:rPr>
          <w:lang w:val="en-CA" w:eastAsia="fr-CA"/>
        </w:rPr>
        <w:t>Cominar</w:t>
      </w:r>
      <w:proofErr w:type="spellEnd"/>
      <w:r w:rsidRPr="00700A2E">
        <w:rPr>
          <w:lang w:val="en-CA" w:eastAsia="fr-CA"/>
        </w:rPr>
        <w:t xml:space="preserve"> did not act in good faith. In short, </w:t>
      </w:r>
      <w:proofErr w:type="spellStart"/>
      <w:r w:rsidRPr="00700A2E">
        <w:rPr>
          <w:lang w:val="en-CA" w:eastAsia="fr-CA"/>
        </w:rPr>
        <w:t>Cominar</w:t>
      </w:r>
      <w:proofErr w:type="spellEnd"/>
      <w:r w:rsidRPr="00700A2E">
        <w:rPr>
          <w:lang w:val="en-CA" w:eastAsia="fr-CA"/>
        </w:rPr>
        <w:t xml:space="preserve"> could not simply wash its hands of the matter and transform itself into a mere mouthpiece for Pure.</w:t>
      </w:r>
    </w:p>
    <w:p w14:paraId="228B6430" w14:textId="79317275" w:rsidR="00CF0E5B" w:rsidRPr="00700A2E" w:rsidRDefault="00CF0E5B" w:rsidP="00CF0E5B">
      <w:pPr>
        <w:pStyle w:val="Citationenretrait"/>
        <w:jc w:val="right"/>
        <w:rPr>
          <w:lang w:val="en-CA" w:eastAsia="fr-CA"/>
        </w:rPr>
      </w:pPr>
      <w:r w:rsidRPr="00700A2E">
        <w:rPr>
          <w:lang w:val="en-CA" w:eastAsia="fr-CA"/>
        </w:rPr>
        <w:t>[</w:t>
      </w:r>
      <w:proofErr w:type="spellStart"/>
      <w:r w:rsidR="00900882">
        <w:rPr>
          <w:lang w:val="en-CA" w:eastAsia="fr-CA"/>
        </w:rPr>
        <w:t>Referencs</w:t>
      </w:r>
      <w:proofErr w:type="spellEnd"/>
      <w:r w:rsidR="00900882">
        <w:rPr>
          <w:lang w:val="en-CA" w:eastAsia="fr-CA"/>
        </w:rPr>
        <w:t xml:space="preserve"> </w:t>
      </w:r>
      <w:proofErr w:type="gramStart"/>
      <w:r w:rsidR="00900882">
        <w:rPr>
          <w:lang w:val="en-CA" w:eastAsia="fr-CA"/>
        </w:rPr>
        <w:t>omitted</w:t>
      </w:r>
      <w:r w:rsidRPr="00700A2E">
        <w:rPr>
          <w:lang w:val="en-CA" w:eastAsia="fr-CA"/>
        </w:rPr>
        <w:t>;</w:t>
      </w:r>
      <w:proofErr w:type="gramEnd"/>
      <w:r w:rsidRPr="00700A2E">
        <w:rPr>
          <w:lang w:val="en-CA" w:eastAsia="fr-CA"/>
        </w:rPr>
        <w:t xml:space="preserve"> </w:t>
      </w:r>
      <w:r w:rsidR="00900882">
        <w:rPr>
          <w:lang w:val="en-CA" w:eastAsia="fr-CA"/>
        </w:rPr>
        <w:t>underlining in the original</w:t>
      </w:r>
      <w:r w:rsidRPr="00700A2E">
        <w:rPr>
          <w:lang w:val="en-CA" w:eastAsia="fr-CA"/>
        </w:rPr>
        <w:t>]</w:t>
      </w:r>
    </w:p>
    <w:p w14:paraId="588F5D67" w14:textId="01BA5FEF" w:rsidR="00CF0E5B" w:rsidRPr="00700A2E" w:rsidRDefault="00900882" w:rsidP="00CF0E5B">
      <w:pPr>
        <w:pStyle w:val="Paragraphe"/>
        <w:rPr>
          <w:lang w:val="en-CA"/>
        </w:rPr>
      </w:pPr>
      <w:r>
        <w:rPr>
          <w:lang w:val="en-CA"/>
        </w:rPr>
        <w:t>With all due respect</w:t>
      </w:r>
      <w:r w:rsidR="00CF0E5B" w:rsidRPr="00700A2E">
        <w:rPr>
          <w:lang w:val="en-CA"/>
        </w:rPr>
        <w:t xml:space="preserve">, </w:t>
      </w:r>
      <w:r>
        <w:rPr>
          <w:lang w:val="en-CA"/>
        </w:rPr>
        <w:t xml:space="preserve">I hold that that finding was tainted by reviewable errors whose cumulative effect justifies </w:t>
      </w:r>
      <w:r w:rsidRPr="00900882">
        <w:rPr>
          <w:lang w:val="en-CA"/>
        </w:rPr>
        <w:t>undertaking a fresh analysis</w:t>
      </w:r>
      <w:r w:rsidR="00CF0E5B" w:rsidRPr="00700A2E">
        <w:rPr>
          <w:lang w:val="en-CA"/>
        </w:rPr>
        <w:t>.</w:t>
      </w:r>
    </w:p>
    <w:p w14:paraId="0EFF1BB4" w14:textId="16349042" w:rsidR="00CF0E5B" w:rsidRPr="00700A2E" w:rsidRDefault="003D730F" w:rsidP="00CF0E5B">
      <w:pPr>
        <w:pStyle w:val="Paragraphe"/>
        <w:rPr>
          <w:lang w:val="en-CA"/>
        </w:rPr>
      </w:pPr>
      <w:r>
        <w:rPr>
          <w:lang w:val="en-CA"/>
        </w:rPr>
        <w:t>First, Mr. Owen’s testimony shows that at the time of negotiations, Pure managed approximately</w:t>
      </w:r>
      <w:r w:rsidR="00CF0E5B" w:rsidRPr="00700A2E">
        <w:rPr>
          <w:lang w:val="en-CA"/>
        </w:rPr>
        <w:t xml:space="preserve"> 6</w:t>
      </w:r>
      <w:r>
        <w:rPr>
          <w:lang w:val="en-CA"/>
        </w:rPr>
        <w:t>,</w:t>
      </w:r>
      <w:r w:rsidR="00CF0E5B" w:rsidRPr="00700A2E">
        <w:rPr>
          <w:lang w:val="en-CA"/>
        </w:rPr>
        <w:t>000</w:t>
      </w:r>
      <w:r>
        <w:rPr>
          <w:lang w:val="en-CA"/>
        </w:rPr>
        <w:t>,</w:t>
      </w:r>
      <w:r w:rsidR="00CF0E5B" w:rsidRPr="00700A2E">
        <w:rPr>
          <w:lang w:val="en-CA"/>
        </w:rPr>
        <w:t>000 </w:t>
      </w:r>
      <w:r>
        <w:rPr>
          <w:lang w:val="en-CA"/>
        </w:rPr>
        <w:t>square feet of rental space in</w:t>
      </w:r>
      <w:r w:rsidR="00CF0E5B" w:rsidRPr="00700A2E">
        <w:rPr>
          <w:lang w:val="en-CA"/>
        </w:rPr>
        <w:t xml:space="preserve"> Montr</w:t>
      </w:r>
      <w:r>
        <w:rPr>
          <w:lang w:val="en-CA"/>
        </w:rPr>
        <w:t>e</w:t>
      </w:r>
      <w:r w:rsidR="00CF0E5B" w:rsidRPr="00700A2E">
        <w:rPr>
          <w:lang w:val="en-CA"/>
        </w:rPr>
        <w:t xml:space="preserve">al. </w:t>
      </w:r>
      <w:r>
        <w:rPr>
          <w:lang w:val="en-CA"/>
        </w:rPr>
        <w:t xml:space="preserve">His view of the evolution of market rates was not based solely on his experience in the </w:t>
      </w:r>
      <w:r w:rsidR="00CF0E5B" w:rsidRPr="00700A2E">
        <w:rPr>
          <w:lang w:val="en-CA"/>
        </w:rPr>
        <w:t>Toronto</w:t>
      </w:r>
      <w:r>
        <w:rPr>
          <w:lang w:val="en-CA"/>
        </w:rPr>
        <w:t xml:space="preserve"> market</w:t>
      </w:r>
      <w:r w:rsidR="00CF0E5B" w:rsidRPr="00700A2E">
        <w:rPr>
          <w:lang w:val="en-CA"/>
        </w:rPr>
        <w:t xml:space="preserve">. </w:t>
      </w:r>
      <w:r>
        <w:rPr>
          <w:lang w:val="en-CA"/>
        </w:rPr>
        <w:t xml:space="preserve">An while it is true that that view differed from that of </w:t>
      </w:r>
      <w:r w:rsidR="00CF0E5B" w:rsidRPr="00700A2E">
        <w:rPr>
          <w:lang w:val="en-CA"/>
        </w:rPr>
        <w:t>M</w:t>
      </w:r>
      <w:r>
        <w:rPr>
          <w:lang w:val="en-CA"/>
        </w:rPr>
        <w:t>r</w:t>
      </w:r>
      <w:r w:rsidR="00CF0E5B" w:rsidRPr="00700A2E">
        <w:rPr>
          <w:lang w:val="en-CA"/>
        </w:rPr>
        <w:t>. Racine (essenti</w:t>
      </w:r>
      <w:r>
        <w:rPr>
          <w:lang w:val="en-CA"/>
        </w:rPr>
        <w:t xml:space="preserve">ally </w:t>
      </w:r>
      <w:r w:rsidR="002A6A7F">
        <w:rPr>
          <w:lang w:val="en-CA"/>
        </w:rPr>
        <w:t>because</w:t>
      </w:r>
      <w:r>
        <w:rPr>
          <w:lang w:val="en-CA"/>
        </w:rPr>
        <w:t xml:space="preserve"> of a different approach</w:t>
      </w:r>
      <w:r w:rsidR="00CF0E5B" w:rsidRPr="00700A2E">
        <w:rPr>
          <w:lang w:val="en-CA"/>
        </w:rPr>
        <w:t xml:space="preserve">), </w:t>
      </w:r>
      <w:r>
        <w:rPr>
          <w:lang w:val="en-CA"/>
        </w:rPr>
        <w:t xml:space="preserve">the evidence does not support a finding that the base rents demanded by Pure were excessive or unreasonable </w:t>
      </w:r>
      <w:r w:rsidR="002A6A7F">
        <w:rPr>
          <w:lang w:val="en-CA"/>
        </w:rPr>
        <w:t>in</w:t>
      </w:r>
      <w:r>
        <w:rPr>
          <w:lang w:val="en-CA"/>
        </w:rPr>
        <w:t xml:space="preserve"> comparison with applicable rates.</w:t>
      </w:r>
      <w:r w:rsidR="00CF0E5B" w:rsidRPr="00700A2E">
        <w:rPr>
          <w:rStyle w:val="Appelnotedebasdep"/>
          <w:lang w:val="en-CA"/>
        </w:rPr>
        <w:footnoteReference w:id="41"/>
      </w:r>
    </w:p>
    <w:p w14:paraId="6BD66F5A" w14:textId="6F2AB99F" w:rsidR="00CF0E5B" w:rsidRPr="00700A2E" w:rsidRDefault="002A6A7F" w:rsidP="00CF0E5B">
      <w:pPr>
        <w:pStyle w:val="Paragraphe"/>
        <w:rPr>
          <w:lang w:val="en-CA"/>
        </w:rPr>
      </w:pPr>
      <w:bookmarkStart w:id="24" w:name="_Ref184807948"/>
      <w:r>
        <w:rPr>
          <w:lang w:val="en-CA"/>
        </w:rPr>
        <w:t xml:space="preserve">Second, and importantly, the judge assessed </w:t>
      </w:r>
      <w:proofErr w:type="spellStart"/>
      <w:r>
        <w:rPr>
          <w:lang w:val="en-CA"/>
        </w:rPr>
        <w:t>Cominar’s</w:t>
      </w:r>
      <w:proofErr w:type="spellEnd"/>
      <w:r>
        <w:rPr>
          <w:lang w:val="en-CA"/>
        </w:rPr>
        <w:t xml:space="preserve"> conduct through the lens of the Lessee’s right to the renewal of the lease. Indeed, he considered that </w:t>
      </w:r>
      <w:proofErr w:type="spellStart"/>
      <w:r>
        <w:rPr>
          <w:lang w:val="en-CA"/>
        </w:rPr>
        <w:t>Cominar</w:t>
      </w:r>
      <w:proofErr w:type="spellEnd"/>
      <w:r>
        <w:rPr>
          <w:lang w:val="en-CA"/>
        </w:rPr>
        <w:t xml:space="preserve"> had a contractual obligation to enter into a new lease agreement</w:t>
      </w:r>
      <w:r w:rsidR="00CF0E5B" w:rsidRPr="00700A2E">
        <w:rPr>
          <w:lang w:val="en-CA"/>
        </w:rPr>
        <w:t xml:space="preserve">. </w:t>
      </w:r>
      <w:r>
        <w:rPr>
          <w:lang w:val="en-CA"/>
        </w:rPr>
        <w:t xml:space="preserve">This is quite </w:t>
      </w:r>
      <w:r w:rsidR="008E5673">
        <w:rPr>
          <w:lang w:val="en-CA"/>
        </w:rPr>
        <w:t>evident</w:t>
      </w:r>
      <w:r>
        <w:rPr>
          <w:lang w:val="en-CA"/>
        </w:rPr>
        <w:t xml:space="preserve"> </w:t>
      </w:r>
      <w:r w:rsidR="008E5673">
        <w:rPr>
          <w:lang w:val="en-CA"/>
        </w:rPr>
        <w:t>from</w:t>
      </w:r>
      <w:r>
        <w:rPr>
          <w:lang w:val="en-CA"/>
        </w:rPr>
        <w:t xml:space="preserve"> his reasons </w:t>
      </w:r>
      <w:r w:rsidR="008E5673">
        <w:rPr>
          <w:lang w:val="en-CA"/>
        </w:rPr>
        <w:t>where he addresse</w:t>
      </w:r>
      <w:r w:rsidR="005E1B84">
        <w:rPr>
          <w:lang w:val="en-CA"/>
        </w:rPr>
        <w:t>d</w:t>
      </w:r>
      <w:r>
        <w:rPr>
          <w:lang w:val="en-CA"/>
        </w:rPr>
        <w:t xml:space="preserve"> the issue of remedy</w:t>
      </w:r>
      <w:r w:rsidR="00CF0E5B" w:rsidRPr="00700A2E">
        <w:rPr>
          <w:lang w:val="en-CA"/>
        </w:rPr>
        <w:t>:</w:t>
      </w:r>
      <w:bookmarkEnd w:id="24"/>
    </w:p>
    <w:p w14:paraId="1C7ABAEC" w14:textId="77777777" w:rsidR="00CF0E5B" w:rsidRPr="00700A2E" w:rsidRDefault="00CF0E5B" w:rsidP="00CF0E5B">
      <w:pPr>
        <w:pStyle w:val="Citationenretrait"/>
        <w:rPr>
          <w:lang w:val="en-CA" w:eastAsia="fr-CA"/>
        </w:rPr>
      </w:pPr>
      <w:r w:rsidRPr="00700A2E">
        <w:rPr>
          <w:lang w:val="en-CA" w:eastAsia="fr-CA"/>
        </w:rPr>
        <w:lastRenderedPageBreak/>
        <w:t>[93</w:t>
      </w:r>
      <w:proofErr w:type="gramStart"/>
      <w:r w:rsidRPr="00700A2E">
        <w:rPr>
          <w:lang w:val="en-CA" w:eastAsia="fr-CA"/>
        </w:rPr>
        <w:t>]  However</w:t>
      </w:r>
      <w:proofErr w:type="gramEnd"/>
      <w:r w:rsidRPr="00700A2E">
        <w:rPr>
          <w:lang w:val="en-CA" w:eastAsia="fr-CA"/>
        </w:rPr>
        <w:t>, that reasoning does not apply here since Pival holds a true option which, upon exercise, gives a right to a renewed contract with a rent based on market rates.</w:t>
      </w:r>
      <w:r w:rsidRPr="00700A2E">
        <w:rPr>
          <w:vertAlign w:val="superscript"/>
          <w:lang w:val="en-CA" w:eastAsia="fr-CA"/>
        </w:rPr>
        <w:t>57</w:t>
      </w:r>
      <w:r w:rsidRPr="00700A2E">
        <w:rPr>
          <w:lang w:val="en-CA" w:eastAsia="fr-CA"/>
        </w:rPr>
        <w:t xml:space="preserve"> In cases like the present one, failure of one of the parties to act in good faith and to renew the contract is itself a breach of a contractual obligation.</w:t>
      </w:r>
    </w:p>
    <w:p w14:paraId="2B61A084" w14:textId="77777777" w:rsidR="00CF0E5B" w:rsidRPr="00700A2E" w:rsidRDefault="00000000" w:rsidP="00CF0E5B">
      <w:pPr>
        <w:pStyle w:val="Citationenretrait"/>
        <w:spacing w:before="0" w:after="0"/>
        <w:rPr>
          <w:lang w:val="en-CA"/>
        </w:rPr>
      </w:pPr>
      <w:r>
        <w:rPr>
          <w:lang w:val="en-CA"/>
        </w:rPr>
        <w:pict w14:anchorId="5BF15DFF">
          <v:rect id="_x0000_i1027" style="width:167.95pt;height:1.6pt" o:hrpct="424" o:hrstd="t" o:hr="t" fillcolor="#a0a0a0" stroked="f"/>
        </w:pict>
      </w:r>
    </w:p>
    <w:p w14:paraId="5B57A4F2" w14:textId="77777777" w:rsidR="00CF0E5B" w:rsidRPr="00700A2E" w:rsidRDefault="00CF0E5B" w:rsidP="00CF0E5B">
      <w:pPr>
        <w:pStyle w:val="Citationenretrait"/>
        <w:spacing w:before="0" w:line="240" w:lineRule="auto"/>
        <w:rPr>
          <w:sz w:val="18"/>
          <w:szCs w:val="18"/>
          <w:vertAlign w:val="superscript"/>
          <w:lang w:val="en-CA" w:eastAsia="fr-CA"/>
        </w:rPr>
      </w:pPr>
      <w:proofErr w:type="gramStart"/>
      <w:r w:rsidRPr="00700A2E">
        <w:rPr>
          <w:sz w:val="18"/>
          <w:szCs w:val="18"/>
          <w:vertAlign w:val="superscript"/>
          <w:lang w:val="en-CA" w:eastAsia="fr-CA"/>
        </w:rPr>
        <w:t>57</w:t>
      </w:r>
      <w:r w:rsidRPr="00700A2E">
        <w:rPr>
          <w:sz w:val="18"/>
          <w:szCs w:val="18"/>
          <w:vertAlign w:val="superscript"/>
          <w:lang w:val="en-CA"/>
        </w:rPr>
        <w:t>  </w:t>
      </w:r>
      <w:r w:rsidRPr="00700A2E">
        <w:rPr>
          <w:sz w:val="18"/>
          <w:szCs w:val="18"/>
          <w:lang w:val="en-CA"/>
        </w:rPr>
        <w:t>This</w:t>
      </w:r>
      <w:proofErr w:type="gramEnd"/>
      <w:r w:rsidRPr="00700A2E">
        <w:rPr>
          <w:sz w:val="18"/>
          <w:szCs w:val="18"/>
          <w:lang w:val="en-CA"/>
        </w:rPr>
        <w:t xml:space="preserve"> is notably what distinguishes the present case from </w:t>
      </w:r>
      <w:r w:rsidRPr="00700A2E">
        <w:rPr>
          <w:i/>
          <w:iCs/>
          <w:sz w:val="18"/>
          <w:szCs w:val="18"/>
          <w:lang w:val="en-CA"/>
        </w:rPr>
        <w:t>Singh v. Kohli</w:t>
      </w:r>
      <w:r w:rsidRPr="00700A2E">
        <w:rPr>
          <w:sz w:val="18"/>
          <w:szCs w:val="18"/>
          <w:lang w:val="en-CA"/>
        </w:rPr>
        <w:t xml:space="preserve"> and the principles governing a breach of the duty to negotiate in good faith when there is no obligation to enter into a contract. As recognized by Bich J.A., there are circumstances where a party is bound to </w:t>
      </w:r>
      <w:proofErr w:type="gramStart"/>
      <w:r w:rsidRPr="00700A2E">
        <w:rPr>
          <w:sz w:val="18"/>
          <w:szCs w:val="18"/>
          <w:lang w:val="en-CA"/>
        </w:rPr>
        <w:t>enter into</w:t>
      </w:r>
      <w:proofErr w:type="gramEnd"/>
      <w:r w:rsidRPr="00700A2E">
        <w:rPr>
          <w:sz w:val="18"/>
          <w:szCs w:val="18"/>
          <w:lang w:val="en-CA"/>
        </w:rPr>
        <w:t xml:space="preserve"> a contract—usually on account of an existing contractual obligation and thus a prior exercise of freedom of contract (see para. 97; see also and </w:t>
      </w:r>
      <w:proofErr w:type="spellStart"/>
      <w:r w:rsidRPr="00700A2E">
        <w:rPr>
          <w:sz w:val="18"/>
          <w:szCs w:val="18"/>
          <w:lang w:val="en-CA"/>
        </w:rPr>
        <w:t>Lluelles</w:t>
      </w:r>
      <w:proofErr w:type="spellEnd"/>
      <w:r w:rsidRPr="00700A2E">
        <w:rPr>
          <w:sz w:val="18"/>
          <w:szCs w:val="18"/>
          <w:lang w:val="en-CA"/>
        </w:rPr>
        <w:t xml:space="preserve"> &amp; Moore, </w:t>
      </w:r>
      <w:r w:rsidRPr="00700A2E">
        <w:rPr>
          <w:i/>
          <w:iCs/>
          <w:sz w:val="18"/>
          <w:szCs w:val="18"/>
          <w:lang w:val="en-CA"/>
        </w:rPr>
        <w:t>supra</w:t>
      </w:r>
      <w:r w:rsidRPr="00700A2E">
        <w:rPr>
          <w:sz w:val="18"/>
          <w:szCs w:val="18"/>
          <w:lang w:val="en-CA"/>
        </w:rPr>
        <w:t>, paras. 250 and 251 (p 129)). That is precisely the effect of a renewal option such as section 27.6 of the Lease.</w:t>
      </w:r>
    </w:p>
    <w:p w14:paraId="4C5FAC35" w14:textId="2EABED52" w:rsidR="00CF0E5B" w:rsidRPr="00700A2E" w:rsidRDefault="008E5673" w:rsidP="00CF0E5B">
      <w:pPr>
        <w:pStyle w:val="Paragraphe"/>
        <w:rPr>
          <w:lang w:val="en-CA"/>
        </w:rPr>
      </w:pPr>
      <w:r>
        <w:rPr>
          <w:lang w:val="en-CA"/>
        </w:rPr>
        <w:t xml:space="preserve">And yet, in his analysis of the legal nature of the second proposal, the judge recognized that </w:t>
      </w:r>
      <w:proofErr w:type="spellStart"/>
      <w:r>
        <w:rPr>
          <w:lang w:val="en-CA"/>
        </w:rPr>
        <w:t>Cominar</w:t>
      </w:r>
      <w:proofErr w:type="spellEnd"/>
      <w:r>
        <w:rPr>
          <w:lang w:val="en-CA"/>
        </w:rPr>
        <w:t xml:space="preserve"> was not bound thereby and that it could first require </w:t>
      </w:r>
      <w:proofErr w:type="spellStart"/>
      <w:r>
        <w:rPr>
          <w:lang w:val="en-CA"/>
        </w:rPr>
        <w:t>Pure’s</w:t>
      </w:r>
      <w:proofErr w:type="spellEnd"/>
      <w:r>
        <w:rPr>
          <w:lang w:val="en-CA"/>
        </w:rPr>
        <w:t xml:space="preserve"> concurrence before entering into a new lease agreement.</w:t>
      </w:r>
      <w:r w:rsidR="00CF0E5B" w:rsidRPr="00700A2E">
        <w:rPr>
          <w:rStyle w:val="Appelnotedebasdep"/>
          <w:lang w:val="en-CA"/>
        </w:rPr>
        <w:footnoteReference w:id="42"/>
      </w:r>
    </w:p>
    <w:p w14:paraId="0D5E545C" w14:textId="3487385A" w:rsidR="00CF0E5B" w:rsidRPr="00700A2E" w:rsidRDefault="008E5673" w:rsidP="00CF0E5B">
      <w:pPr>
        <w:pStyle w:val="Paragraphe"/>
        <w:rPr>
          <w:lang w:val="en-CA"/>
        </w:rPr>
      </w:pPr>
      <w:r>
        <w:rPr>
          <w:lang w:val="en-CA"/>
        </w:rPr>
        <w:t>In fact, the duty to perform clause</w:t>
      </w:r>
      <w:r w:rsidRPr="00700A2E">
        <w:rPr>
          <w:lang w:val="en-CA"/>
        </w:rPr>
        <w:t xml:space="preserve"> 27.6 </w:t>
      </w:r>
      <w:r>
        <w:rPr>
          <w:lang w:val="en-CA"/>
        </w:rPr>
        <w:t>of the lease</w:t>
      </w:r>
      <w:r w:rsidRPr="00700A2E">
        <w:rPr>
          <w:lang w:val="en-CA"/>
        </w:rPr>
        <w:t xml:space="preserve"> </w:t>
      </w:r>
      <w:r>
        <w:rPr>
          <w:lang w:val="en-CA"/>
        </w:rPr>
        <w:t>in good faith did not require the parties to contract, nor did it dictate the outcome of negotiations</w:t>
      </w:r>
      <w:r w:rsidR="00CF0E5B" w:rsidRPr="00700A2E">
        <w:rPr>
          <w:lang w:val="en-CA"/>
        </w:rPr>
        <w:t xml:space="preserve">. </w:t>
      </w:r>
      <w:r w:rsidR="00050A6F">
        <w:rPr>
          <w:lang w:val="en-CA"/>
        </w:rPr>
        <w:t>The parameters provided in that clause gave the parties some leeway</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050A6F">
        <w:rPr>
          <w:lang w:val="en-CA"/>
        </w:rPr>
        <w:t>was therefore justified in coming back with a new proposal and, as I mentioned earlier, the evidence does not establish that that new proposal was excessive or unreasonable to the point of being tantamount to a disregard for the Lessee’s interests or a refusal to negotiate</w:t>
      </w:r>
      <w:r w:rsidR="00CF0E5B" w:rsidRPr="00700A2E">
        <w:rPr>
          <w:lang w:val="en-CA"/>
        </w:rPr>
        <w:t>.</w:t>
      </w:r>
    </w:p>
    <w:p w14:paraId="76D6FE7F" w14:textId="17AB2C86" w:rsidR="00CF0E5B" w:rsidRPr="00700A2E" w:rsidRDefault="00050A6F" w:rsidP="00CF0E5B">
      <w:pPr>
        <w:pStyle w:val="Paragraphe"/>
        <w:rPr>
          <w:lang w:val="en-CA"/>
        </w:rPr>
      </w:pPr>
      <w:r>
        <w:rPr>
          <w:lang w:val="en-CA"/>
        </w:rPr>
        <w:t xml:space="preserve">Finally, the judge </w:t>
      </w:r>
      <w:r w:rsidR="005E1B84">
        <w:rPr>
          <w:lang w:val="en-CA"/>
        </w:rPr>
        <w:t>ignored</w:t>
      </w:r>
      <w:r>
        <w:rPr>
          <w:lang w:val="en-CA"/>
        </w:rPr>
        <w:t xml:space="preserve"> the</w:t>
      </w:r>
      <w:r w:rsidR="00B6662C">
        <w:rPr>
          <w:lang w:val="en-CA"/>
        </w:rPr>
        <w:t xml:space="preserve"> conduct of the</w:t>
      </w:r>
      <w:r>
        <w:rPr>
          <w:lang w:val="en-CA"/>
        </w:rPr>
        <w:t xml:space="preserve"> Lessee</w:t>
      </w:r>
      <w:r w:rsidR="00B6662C">
        <w:rPr>
          <w:lang w:val="en-CA"/>
        </w:rPr>
        <w:t xml:space="preserve">, who, </w:t>
      </w:r>
      <w:r w:rsidR="0080443E">
        <w:rPr>
          <w:lang w:val="en-CA"/>
        </w:rPr>
        <w:t>after</w:t>
      </w:r>
      <w:r w:rsidR="00B6662C">
        <w:rPr>
          <w:lang w:val="en-CA"/>
        </w:rPr>
        <w:t xml:space="preserve"> November 25, 2021, </w:t>
      </w:r>
      <w:r w:rsidR="006B0D16" w:rsidRPr="00D62286">
        <w:rPr>
          <w:lang w:val="en-CA"/>
        </w:rPr>
        <w:t>became fixated on</w:t>
      </w:r>
      <w:r w:rsidR="0080443E">
        <w:rPr>
          <w:lang w:val="en-CA"/>
        </w:rPr>
        <w:t xml:space="preserve"> the idea</w:t>
      </w:r>
      <w:r w:rsidR="00B6662C">
        <w:rPr>
          <w:lang w:val="en-CA"/>
        </w:rPr>
        <w:t xml:space="preserve">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B6662C">
        <w:rPr>
          <w:lang w:val="en-CA"/>
        </w:rPr>
        <w:t>was bound by the base rents indicated in the second proposal</w:t>
      </w:r>
      <w:r w:rsidR="00CF0E5B" w:rsidRPr="00700A2E">
        <w:rPr>
          <w:lang w:val="en-CA"/>
        </w:rPr>
        <w:t xml:space="preserve">. </w:t>
      </w:r>
      <w:r w:rsidR="00B6662C">
        <w:rPr>
          <w:lang w:val="en-CA"/>
        </w:rPr>
        <w:t>As the saying goes, however</w:t>
      </w:r>
      <w:r w:rsidR="00CF0E5B" w:rsidRPr="00700A2E">
        <w:rPr>
          <w:lang w:val="en-CA"/>
        </w:rPr>
        <w:t xml:space="preserve">, </w:t>
      </w:r>
      <w:r w:rsidR="00B6662C">
        <w:rPr>
          <w:lang w:val="en-CA"/>
        </w:rPr>
        <w:t>“</w:t>
      </w:r>
      <w:r w:rsidR="00CF0E5B" w:rsidRPr="00B6662C">
        <w:rPr>
          <w:lang w:val="en-CA"/>
        </w:rPr>
        <w:t>it takes two to tango.</w:t>
      </w:r>
      <w:r w:rsidR="00B6662C" w:rsidRPr="00B6662C">
        <w:rPr>
          <w:lang w:val="en-CA"/>
        </w:rPr>
        <w:t>”</w:t>
      </w:r>
      <w:r w:rsidR="00CF0E5B" w:rsidRPr="00700A2E">
        <w:rPr>
          <w:lang w:val="en-CA"/>
        </w:rPr>
        <w:t xml:space="preserve"> </w:t>
      </w:r>
      <w:r w:rsidR="008312CC">
        <w:rPr>
          <w:lang w:val="en-CA"/>
        </w:rPr>
        <w:t>Neither did the judge</w:t>
      </w:r>
      <w:r w:rsidR="00B6662C">
        <w:rPr>
          <w:lang w:val="en-CA"/>
        </w:rPr>
        <w:t xml:space="preserve"> </w:t>
      </w:r>
      <w:r w:rsidR="008312CC">
        <w:rPr>
          <w:lang w:val="en-CA"/>
        </w:rPr>
        <w:t xml:space="preserve">consider the openness displayed by </w:t>
      </w:r>
      <w:proofErr w:type="spellStart"/>
      <w:r w:rsidR="008312CC">
        <w:rPr>
          <w:lang w:val="en-CA"/>
        </w:rPr>
        <w:t>Cominar</w:t>
      </w:r>
      <w:proofErr w:type="spellEnd"/>
      <w:r w:rsidR="008312CC">
        <w:rPr>
          <w:lang w:val="en-CA"/>
        </w:rPr>
        <w:t xml:space="preserve"> who, visibly, wa</w:t>
      </w:r>
      <w:r w:rsidR="008312CC" w:rsidRPr="00430279">
        <w:rPr>
          <w:lang w:val="en-CA"/>
        </w:rPr>
        <w:t xml:space="preserve">s </w:t>
      </w:r>
      <w:r w:rsidR="00B43540" w:rsidRPr="00430279">
        <w:rPr>
          <w:lang w:val="en-CA"/>
        </w:rPr>
        <w:t xml:space="preserve">prepared </w:t>
      </w:r>
      <w:r w:rsidR="008312CC" w:rsidRPr="00430279">
        <w:rPr>
          <w:lang w:val="en-CA"/>
        </w:rPr>
        <w:t>to discuss the applicable rates and negotiate the price of the rents</w:t>
      </w:r>
      <w:r w:rsidR="00CF0E5B" w:rsidRPr="00430279">
        <w:rPr>
          <w:lang w:val="en-CA"/>
        </w:rPr>
        <w:t>.</w:t>
      </w:r>
    </w:p>
    <w:p w14:paraId="30EE4D5E" w14:textId="44E24E38" w:rsidR="00CF0E5B" w:rsidRPr="00700A2E" w:rsidRDefault="008312CC" w:rsidP="00CF0E5B">
      <w:pPr>
        <w:pStyle w:val="Paragraphe"/>
        <w:rPr>
          <w:lang w:val="en-CA"/>
        </w:rPr>
      </w:pPr>
      <w:r>
        <w:rPr>
          <w:lang w:val="en-CA"/>
        </w:rPr>
        <w:t>Thus, in an email sent to Mr</w:t>
      </w:r>
      <w:r w:rsidR="00CF0E5B" w:rsidRPr="00700A2E">
        <w:rPr>
          <w:lang w:val="en-CA"/>
        </w:rPr>
        <w:t xml:space="preserve">. Racine </w:t>
      </w:r>
      <w:r>
        <w:rPr>
          <w:lang w:val="en-CA"/>
        </w:rPr>
        <w:t>on January 20,</w:t>
      </w:r>
      <w:r w:rsidR="00CF0E5B" w:rsidRPr="00700A2E">
        <w:rPr>
          <w:lang w:val="en-CA"/>
        </w:rPr>
        <w:t> 2022 (</w:t>
      </w:r>
      <w:r>
        <w:rPr>
          <w:lang w:val="en-CA"/>
        </w:rPr>
        <w:t xml:space="preserve">in reply to the new rental proposal </w:t>
      </w:r>
      <w:r w:rsidR="00512F7B">
        <w:rPr>
          <w:lang w:val="en-CA"/>
        </w:rPr>
        <w:t>dated</w:t>
      </w:r>
      <w:r>
        <w:rPr>
          <w:lang w:val="en-CA"/>
        </w:rPr>
        <w:t xml:space="preserve"> December 21, 2021</w:t>
      </w:r>
      <w:r w:rsidR="00CF0E5B" w:rsidRPr="00700A2E">
        <w:rPr>
          <w:lang w:val="en-CA"/>
        </w:rPr>
        <w:t xml:space="preserve">), </w:t>
      </w:r>
      <w:r w:rsidR="00512F7B">
        <w:rPr>
          <w:lang w:val="en-CA"/>
        </w:rPr>
        <w:t xml:space="preserve">counsel for </w:t>
      </w:r>
      <w:r>
        <w:rPr>
          <w:lang w:val="en-CA"/>
        </w:rPr>
        <w:t>the Lessee</w:t>
      </w:r>
      <w:r w:rsidR="00512F7B">
        <w:rPr>
          <w:lang w:val="en-CA"/>
        </w:rPr>
        <w:t xml:space="preserve"> </w:t>
      </w:r>
      <w:r>
        <w:rPr>
          <w:lang w:val="en-CA"/>
        </w:rPr>
        <w:t>wrote</w:t>
      </w:r>
      <w:r w:rsidR="00CF0E5B" w:rsidRPr="00700A2E">
        <w:rPr>
          <w:lang w:val="en-CA"/>
        </w:rPr>
        <w:t>:</w:t>
      </w:r>
    </w:p>
    <w:p w14:paraId="411AD31C" w14:textId="77777777" w:rsidR="00CF0E5B" w:rsidRPr="00700A2E" w:rsidRDefault="00CF0E5B" w:rsidP="00CF0E5B">
      <w:pPr>
        <w:pStyle w:val="Citationenretrait"/>
        <w:rPr>
          <w:lang w:val="en-CA"/>
        </w:rPr>
      </w:pPr>
      <w:r w:rsidRPr="00700A2E">
        <w:rPr>
          <w:lang w:val="en-CA"/>
        </w:rPr>
        <w:t xml:space="preserve">We reiterate again that our client’s preference is to conclude the renewal promptly, amicably, and to the exclusions of the Courts. However, if </w:t>
      </w:r>
      <w:proofErr w:type="spellStart"/>
      <w:r w:rsidRPr="00700A2E">
        <w:rPr>
          <w:lang w:val="en-CA"/>
        </w:rPr>
        <w:t>Cominar</w:t>
      </w:r>
      <w:proofErr w:type="spellEnd"/>
      <w:r w:rsidRPr="00700A2E">
        <w:rPr>
          <w:lang w:val="en-CA"/>
        </w:rPr>
        <w:t xml:space="preserve"> is unwilling to move forward with the accepted terms that it had proposed itself in October 2021, our client will have no alternative than to seize the Courts to adjudicate the present conflict. Therefore, we would appreciate that you respond to this email within a delay of 3 days to indicate whether </w:t>
      </w:r>
      <w:proofErr w:type="spellStart"/>
      <w:r w:rsidRPr="00700A2E">
        <w:rPr>
          <w:lang w:val="en-CA"/>
        </w:rPr>
        <w:t>Cominar</w:t>
      </w:r>
      <w:proofErr w:type="spellEnd"/>
      <w:r w:rsidRPr="00700A2E">
        <w:rPr>
          <w:lang w:val="en-CA"/>
        </w:rPr>
        <w:t xml:space="preserve"> is willing to renew the Lease based on the terms previously agreed upon by the parties.</w:t>
      </w:r>
      <w:r w:rsidRPr="00700A2E">
        <w:rPr>
          <w:rStyle w:val="Appelnotedebasdep"/>
          <w:lang w:val="en-CA"/>
        </w:rPr>
        <w:footnoteReference w:id="43"/>
      </w:r>
    </w:p>
    <w:p w14:paraId="3D21A958" w14:textId="4C4FFBD9" w:rsidR="00CF0E5B" w:rsidRPr="00700A2E" w:rsidRDefault="00FE168C" w:rsidP="00CF0E5B">
      <w:pPr>
        <w:pStyle w:val="Paragraphe"/>
        <w:rPr>
          <w:lang w:val="en-CA"/>
        </w:rPr>
      </w:pPr>
      <w:r>
        <w:rPr>
          <w:lang w:val="en-CA"/>
        </w:rPr>
        <w:t>Counsel for</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answered him the very next day</w:t>
      </w:r>
      <w:r w:rsidR="00CF0E5B" w:rsidRPr="00700A2E">
        <w:rPr>
          <w:lang w:val="en-CA"/>
        </w:rPr>
        <w:t xml:space="preserve">. </w:t>
      </w:r>
      <w:r>
        <w:rPr>
          <w:lang w:val="en-CA"/>
        </w:rPr>
        <w:t>He indicated that his client would agree to extend the</w:t>
      </w:r>
      <w:r w:rsidR="00CF0E5B" w:rsidRPr="00700A2E">
        <w:rPr>
          <w:lang w:val="en-CA"/>
        </w:rPr>
        <w:t xml:space="preserve"> 60</w:t>
      </w:r>
      <w:r>
        <w:rPr>
          <w:lang w:val="en-CA"/>
        </w:rPr>
        <w:t>-day</w:t>
      </w:r>
      <w:r w:rsidR="00CF0E5B" w:rsidRPr="00700A2E">
        <w:rPr>
          <w:lang w:val="en-CA"/>
        </w:rPr>
        <w:t xml:space="preserve"> </w:t>
      </w:r>
      <w:r>
        <w:rPr>
          <w:lang w:val="en-CA"/>
        </w:rPr>
        <w:t>time limit provided under</w:t>
      </w:r>
      <w:r w:rsidR="00CF0E5B" w:rsidRPr="00700A2E">
        <w:rPr>
          <w:lang w:val="en-CA"/>
        </w:rPr>
        <w:t xml:space="preserve"> clause 27.6, </w:t>
      </w:r>
      <w:r>
        <w:rPr>
          <w:lang w:val="en-CA"/>
        </w:rPr>
        <w:t xml:space="preserve">on the condition, </w:t>
      </w:r>
      <w:r>
        <w:rPr>
          <w:lang w:val="en-CA"/>
        </w:rPr>
        <w:lastRenderedPageBreak/>
        <w:t xml:space="preserve">however, that the Lessee agree to negotiate a new agreement and a new price </w:t>
      </w:r>
      <w:r w:rsidR="003135B3">
        <w:rPr>
          <w:lang w:val="en-CA"/>
        </w:rPr>
        <w:t>at</w:t>
      </w:r>
      <w:r>
        <w:rPr>
          <w:lang w:val="en-CA"/>
        </w:rPr>
        <w:t xml:space="preserve"> market rates</w:t>
      </w:r>
      <w:r w:rsidR="00CF0E5B" w:rsidRPr="00700A2E">
        <w:rPr>
          <w:lang w:val="en-CA"/>
        </w:rPr>
        <w:t xml:space="preserve">. </w:t>
      </w:r>
      <w:r>
        <w:rPr>
          <w:lang w:val="en-CA"/>
        </w:rPr>
        <w:t>It is useful to reproduce the last paragraphs of that letter</w:t>
      </w:r>
      <w:r w:rsidR="00CF0E5B" w:rsidRPr="00700A2E">
        <w:rPr>
          <w:lang w:val="en-CA"/>
        </w:rPr>
        <w:t>:</w:t>
      </w:r>
    </w:p>
    <w:p w14:paraId="4F6A7C72" w14:textId="77777777" w:rsidR="00CF0E5B" w:rsidRPr="00700A2E" w:rsidRDefault="00CF0E5B" w:rsidP="00CF0E5B">
      <w:pPr>
        <w:pStyle w:val="Citationenretrait"/>
        <w:rPr>
          <w:lang w:val="en-CA"/>
        </w:rPr>
      </w:pPr>
      <w:r w:rsidRPr="00700A2E">
        <w:rPr>
          <w:lang w:val="en-CA"/>
        </w:rPr>
        <w:t xml:space="preserve">Although </w:t>
      </w:r>
      <w:proofErr w:type="spellStart"/>
      <w:r w:rsidRPr="00700A2E">
        <w:rPr>
          <w:lang w:val="en-CA"/>
        </w:rPr>
        <w:t>Cominar</w:t>
      </w:r>
      <w:proofErr w:type="spellEnd"/>
      <w:r w:rsidRPr="00700A2E">
        <w:rPr>
          <w:lang w:val="en-CA"/>
        </w:rPr>
        <w:t xml:space="preserve"> could agree to a potential extension of the Renewal Period upon confirmation from Pival that it is willing to negotiate a lease agreement and rent at market price, no further extension will be granted should Pival maintain its position in its integrality. In this latter case and, should </w:t>
      </w:r>
      <w:proofErr w:type="spellStart"/>
      <w:r w:rsidRPr="00700A2E">
        <w:rPr>
          <w:lang w:val="en-CA"/>
        </w:rPr>
        <w:t>Cominar’s</w:t>
      </w:r>
      <w:proofErr w:type="spellEnd"/>
      <w:r w:rsidRPr="00700A2E">
        <w:rPr>
          <w:lang w:val="en-CA"/>
        </w:rPr>
        <w:t xml:space="preserve"> position prevail before the Court as to the non-binding character of the Renewal Proposal, Pival would be faced with no valid renewal of its Lease which term is expiring on December 31, 2022. At the same time, </w:t>
      </w:r>
      <w:proofErr w:type="spellStart"/>
      <w:r w:rsidRPr="00700A2E">
        <w:rPr>
          <w:lang w:val="en-CA"/>
        </w:rPr>
        <w:t>Cominar</w:t>
      </w:r>
      <w:proofErr w:type="spellEnd"/>
      <w:r w:rsidRPr="00700A2E">
        <w:rPr>
          <w:lang w:val="en-CA"/>
        </w:rPr>
        <w:t xml:space="preserve"> would be under no obligation to negotiate any renewal, which would compel Pival to vacate the premises. Considering the inherent delays of the Courts, we respectfully submit that it is a particularly bold judicial risk, all the while </w:t>
      </w:r>
      <w:proofErr w:type="spellStart"/>
      <w:r w:rsidRPr="00700A2E">
        <w:rPr>
          <w:lang w:val="en-CA"/>
        </w:rPr>
        <w:t>Cominar</w:t>
      </w:r>
      <w:proofErr w:type="spellEnd"/>
      <w:r w:rsidRPr="00700A2E">
        <w:rPr>
          <w:lang w:val="en-CA"/>
        </w:rPr>
        <w:t xml:space="preserve"> has repeatedly acted in good faith and showed its openness to negotiate and avoid litigation.</w:t>
      </w:r>
    </w:p>
    <w:p w14:paraId="4334F555" w14:textId="77777777" w:rsidR="00CF0E5B" w:rsidRPr="00700A2E" w:rsidRDefault="00CF0E5B" w:rsidP="00CF0E5B">
      <w:pPr>
        <w:pStyle w:val="Citationenretrait"/>
        <w:rPr>
          <w:lang w:val="en-CA"/>
        </w:rPr>
      </w:pPr>
      <w:r w:rsidRPr="00700A2E">
        <w:rPr>
          <w:lang w:val="en-CA"/>
        </w:rPr>
        <w:t xml:space="preserve">Even though our client would like to reiterate that it is convinced it will prevail in Court, it also would like to stress the fact that its preference would be to find an amicable solution. </w:t>
      </w:r>
      <w:proofErr w:type="spellStart"/>
      <w:r w:rsidRPr="00700A2E">
        <w:rPr>
          <w:lang w:val="en-CA"/>
        </w:rPr>
        <w:t>Cominar</w:t>
      </w:r>
      <w:proofErr w:type="spellEnd"/>
      <w:r w:rsidRPr="00700A2E">
        <w:rPr>
          <w:lang w:val="en-CA"/>
        </w:rPr>
        <w:t xml:space="preserve"> highly values its ongoing business with Pival and would very much like to continue this mutually beneficial relationship for years to come. However, our client cannot accept to be forced to strictly abide by the terms of a Renewal Proposal conditional on further approvals, which were never obtained.</w:t>
      </w:r>
    </w:p>
    <w:p w14:paraId="61B4A880" w14:textId="77777777" w:rsidR="00CF0E5B" w:rsidRPr="00700A2E" w:rsidRDefault="00CF0E5B" w:rsidP="00CF0E5B">
      <w:pPr>
        <w:pStyle w:val="Citationenretrait"/>
        <w:rPr>
          <w:lang w:val="en-CA"/>
        </w:rPr>
      </w:pPr>
      <w:r w:rsidRPr="00700A2E">
        <w:rPr>
          <w:lang w:val="en-CA"/>
        </w:rPr>
        <w:t xml:space="preserve">Considering the above, could you please contact the undersigned at your earliest convenience </w:t>
      </w:r>
      <w:proofErr w:type="gramStart"/>
      <w:r w:rsidRPr="00700A2E">
        <w:rPr>
          <w:lang w:val="en-CA"/>
        </w:rPr>
        <w:t>in order to</w:t>
      </w:r>
      <w:proofErr w:type="gramEnd"/>
      <w:r w:rsidRPr="00700A2E">
        <w:rPr>
          <w:lang w:val="en-CA"/>
        </w:rPr>
        <w:t xml:space="preserve"> at least determine if additional negotiations would be worth a try so that we can discuss what potential extension to the Renewal Period could be allowed by our client? This first step is crucial considering that it will determine whether the Court will need to be seized of the matter without delay or if there is still hope for an amicable solution.</w:t>
      </w:r>
      <w:r w:rsidRPr="00700A2E">
        <w:rPr>
          <w:rStyle w:val="Appelnotedebasdep"/>
          <w:lang w:val="en-CA"/>
        </w:rPr>
        <w:footnoteReference w:id="44"/>
      </w:r>
    </w:p>
    <w:p w14:paraId="6AB1228B" w14:textId="72585CC5" w:rsidR="00CF0E5B" w:rsidRPr="00700A2E" w:rsidRDefault="00BE5913" w:rsidP="00CF0E5B">
      <w:pPr>
        <w:pStyle w:val="Paragraphe"/>
        <w:rPr>
          <w:lang w:val="en-CA"/>
        </w:rPr>
      </w:pPr>
      <w:r>
        <w:rPr>
          <w:lang w:val="en-CA"/>
        </w:rPr>
        <w:t>Counsel for the Lessee replied to that letter on February 4, 2022.</w:t>
      </w:r>
      <w:r w:rsidR="00CF0E5B" w:rsidRPr="00700A2E">
        <w:rPr>
          <w:lang w:val="en-CA"/>
        </w:rPr>
        <w:t xml:space="preserve"> </w:t>
      </w:r>
      <w:r>
        <w:rPr>
          <w:lang w:val="en-CA"/>
        </w:rPr>
        <w:t xml:space="preserve">Essentially, he maintained his client’s position expressed in the January 20 email, while indicating that his client would agree to a meeting. He added this: </w:t>
      </w:r>
      <w:r w:rsidRPr="00BE5913">
        <w:rPr>
          <w:lang w:val="en-CA"/>
        </w:rPr>
        <w:t>“</w:t>
      </w:r>
      <w:r w:rsidR="00CF0E5B" w:rsidRPr="00BE5913">
        <w:rPr>
          <w:lang w:val="en-CA"/>
        </w:rPr>
        <w:t>Note however that we consider our client’s position to be legally secure and we cannot recommend entering into discussions that would be incongruous with the criteria of market rate</w:t>
      </w:r>
      <w:r w:rsidRPr="00BE5913">
        <w:rPr>
          <w:lang w:val="en-CA"/>
        </w:rPr>
        <w:t>.</w:t>
      </w:r>
      <w:r>
        <w:rPr>
          <w:i/>
          <w:iCs/>
          <w:lang w:val="en-CA"/>
        </w:rPr>
        <w:t>”</w:t>
      </w:r>
      <w:r w:rsidR="00CF0E5B" w:rsidRPr="00700A2E">
        <w:rPr>
          <w:rStyle w:val="Appelnotedebasdep"/>
          <w:lang w:val="en-CA"/>
        </w:rPr>
        <w:footnoteReference w:id="45"/>
      </w:r>
    </w:p>
    <w:p w14:paraId="28872BDA" w14:textId="5739720A" w:rsidR="00CF0E5B" w:rsidRPr="00700A2E" w:rsidRDefault="00BE5913" w:rsidP="00CF0E5B">
      <w:pPr>
        <w:pStyle w:val="Paragraphe"/>
        <w:rPr>
          <w:lang w:val="en-CA"/>
        </w:rPr>
      </w:pPr>
      <w:r>
        <w:rPr>
          <w:lang w:val="en-CA"/>
        </w:rPr>
        <w:t>On February 11,</w:t>
      </w:r>
      <w:r w:rsidR="00CF0E5B" w:rsidRPr="00700A2E">
        <w:rPr>
          <w:lang w:val="en-CA"/>
        </w:rPr>
        <w:t xml:space="preserve"> 2022, </w:t>
      </w:r>
      <w:r>
        <w:rPr>
          <w:lang w:val="en-CA"/>
        </w:rPr>
        <w:t>counsel for</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asked him to clarify his position</w:t>
      </w:r>
      <w:r w:rsidR="00CF0E5B" w:rsidRPr="00700A2E">
        <w:rPr>
          <w:lang w:val="en-CA"/>
        </w:rPr>
        <w:t xml:space="preserve">: </w:t>
      </w:r>
      <w:r w:rsidRPr="00BE5913">
        <w:rPr>
          <w:lang w:val="en-CA"/>
        </w:rPr>
        <w:t>“</w:t>
      </w:r>
      <w:r w:rsidR="00CF0E5B" w:rsidRPr="00BE5913">
        <w:rPr>
          <w:lang w:val="en-CA"/>
        </w:rPr>
        <w:t xml:space="preserve">If this means that your client won’t accept any other </w:t>
      </w:r>
      <w:r w:rsidR="002F3071" w:rsidRPr="00BE5913">
        <w:rPr>
          <w:lang w:val="en-CA"/>
        </w:rPr>
        <w:t>rates,</w:t>
      </w:r>
      <w:r w:rsidR="00CF0E5B" w:rsidRPr="00BE5913">
        <w:rPr>
          <w:lang w:val="en-CA"/>
        </w:rPr>
        <w:t xml:space="preserve"> but the ones included under the October Renewal Proposal, we want it clearly stated in writing</w:t>
      </w:r>
      <w:r w:rsidRPr="00BE5913">
        <w:rPr>
          <w:lang w:val="en-CA"/>
        </w:rPr>
        <w:t>.</w:t>
      </w:r>
      <w:r>
        <w:rPr>
          <w:i/>
          <w:iCs/>
          <w:lang w:val="en-CA"/>
        </w:rPr>
        <w:t>”</w:t>
      </w:r>
      <w:r w:rsidR="00CF0E5B" w:rsidRPr="00700A2E">
        <w:rPr>
          <w:rStyle w:val="Appelnotedebasdep"/>
          <w:lang w:val="en-CA"/>
        </w:rPr>
        <w:footnoteReference w:id="46"/>
      </w:r>
    </w:p>
    <w:p w14:paraId="64AA1F9D" w14:textId="71EEEA1D" w:rsidR="00CF0E5B" w:rsidRPr="00700A2E" w:rsidRDefault="00BE5913" w:rsidP="00CF0E5B">
      <w:pPr>
        <w:pStyle w:val="Paragraphe"/>
        <w:rPr>
          <w:lang w:val="en-CA"/>
        </w:rPr>
      </w:pPr>
      <w:r>
        <w:rPr>
          <w:lang w:val="en-CA"/>
        </w:rPr>
        <w:lastRenderedPageBreak/>
        <w:t>The reply, if any was give</w:t>
      </w:r>
      <w:r w:rsidR="002F3071">
        <w:rPr>
          <w:lang w:val="en-CA"/>
        </w:rPr>
        <w:t>n</w:t>
      </w:r>
      <w:r>
        <w:rPr>
          <w:lang w:val="en-CA"/>
        </w:rPr>
        <w:t>, does not appear among the emails filed</w:t>
      </w:r>
      <w:r w:rsidR="00CF0E5B" w:rsidRPr="00700A2E">
        <w:rPr>
          <w:lang w:val="en-CA"/>
        </w:rPr>
        <w:t xml:space="preserve">. </w:t>
      </w:r>
      <w:r>
        <w:rPr>
          <w:lang w:val="en-CA"/>
        </w:rPr>
        <w:t>All we know is that on March</w:t>
      </w:r>
      <w:r w:rsidR="002F3071">
        <w:rPr>
          <w:lang w:val="en-CA"/>
        </w:rPr>
        <w:t xml:space="preserve"> </w:t>
      </w:r>
      <w:r w:rsidR="00CF0E5B" w:rsidRPr="00700A2E">
        <w:rPr>
          <w:lang w:val="en-CA"/>
        </w:rPr>
        <w:t>31</w:t>
      </w:r>
      <w:r w:rsidR="002F3071">
        <w:rPr>
          <w:lang w:val="en-CA"/>
        </w:rPr>
        <w:t>,</w:t>
      </w:r>
      <w:r>
        <w:rPr>
          <w:lang w:val="en-CA"/>
        </w:rPr>
        <w:t xml:space="preserve"> </w:t>
      </w:r>
      <w:r w:rsidR="00CF0E5B" w:rsidRPr="00700A2E">
        <w:rPr>
          <w:lang w:val="en-CA"/>
        </w:rPr>
        <w:t xml:space="preserve">2022, </w:t>
      </w:r>
      <w:r>
        <w:rPr>
          <w:lang w:val="en-CA"/>
        </w:rPr>
        <w:t>counsel for the Owners</w:t>
      </w:r>
      <w:r w:rsidR="00CF0E5B" w:rsidRPr="00700A2E">
        <w:rPr>
          <w:lang w:val="en-CA"/>
        </w:rPr>
        <w:t xml:space="preserve"> (</w:t>
      </w:r>
      <w:r>
        <w:rPr>
          <w:lang w:val="en-CA"/>
        </w:rPr>
        <w:t>the same one</w:t>
      </w:r>
      <w:r w:rsidR="002F3071">
        <w:rPr>
          <w:lang w:val="en-CA"/>
        </w:rPr>
        <w:t xml:space="preserve"> who</w:t>
      </w:r>
      <w:r>
        <w:rPr>
          <w:lang w:val="en-CA"/>
        </w:rPr>
        <w:t xml:space="preserve"> represented</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2F3071">
        <w:rPr>
          <w:lang w:val="en-CA"/>
        </w:rPr>
        <w:t xml:space="preserve">came back </w:t>
      </w:r>
      <w:r>
        <w:rPr>
          <w:lang w:val="en-CA"/>
        </w:rPr>
        <w:t xml:space="preserve">with a list of </w:t>
      </w:r>
      <w:r w:rsidR="00CF0E5B" w:rsidRPr="00700A2E">
        <w:rPr>
          <w:lang w:val="en-CA"/>
        </w:rPr>
        <w:t>37 </w:t>
      </w:r>
      <w:r>
        <w:rPr>
          <w:lang w:val="en-CA"/>
        </w:rPr>
        <w:t>comparable rents</w:t>
      </w:r>
      <w:r w:rsidR="00CF0E5B" w:rsidRPr="00700A2E">
        <w:rPr>
          <w:lang w:val="en-CA"/>
        </w:rPr>
        <w:t xml:space="preserve">. </w:t>
      </w:r>
      <w:r w:rsidR="00D03F00">
        <w:rPr>
          <w:lang w:val="en-CA"/>
        </w:rPr>
        <w:t xml:space="preserve">He </w:t>
      </w:r>
      <w:r w:rsidR="006B0D16" w:rsidRPr="003A2FA0">
        <w:rPr>
          <w:lang w:val="en-CA"/>
        </w:rPr>
        <w:t xml:space="preserve">offered </w:t>
      </w:r>
      <w:r w:rsidR="00D03F00" w:rsidRPr="003A2FA0">
        <w:rPr>
          <w:lang w:val="en-CA"/>
        </w:rPr>
        <w:t>the following</w:t>
      </w:r>
      <w:r w:rsidR="003C107A" w:rsidRPr="003A2FA0">
        <w:rPr>
          <w:lang w:val="en-CA"/>
        </w:rPr>
        <w:t xml:space="preserve"> </w:t>
      </w:r>
      <w:r w:rsidR="006B0D16" w:rsidRPr="003A2FA0">
        <w:rPr>
          <w:lang w:val="en-CA"/>
        </w:rPr>
        <w:t>path</w:t>
      </w:r>
      <w:r w:rsidR="003C107A">
        <w:rPr>
          <w:lang w:val="en-CA"/>
        </w:rPr>
        <w:t xml:space="preserve"> forward</w:t>
      </w:r>
      <w:r w:rsidR="00CF0E5B" w:rsidRPr="00700A2E">
        <w:rPr>
          <w:lang w:val="en-CA"/>
        </w:rPr>
        <w:t>:</w:t>
      </w:r>
    </w:p>
    <w:p w14:paraId="6D8BA692" w14:textId="77777777" w:rsidR="00CF0E5B" w:rsidRPr="00700A2E" w:rsidRDefault="00CF0E5B" w:rsidP="00CF0E5B">
      <w:pPr>
        <w:pStyle w:val="Citationenretrait"/>
        <w:rPr>
          <w:lang w:val="en-CA"/>
        </w:rPr>
      </w:pPr>
      <w:r w:rsidRPr="00700A2E">
        <w:rPr>
          <w:lang w:val="en-CA"/>
        </w:rPr>
        <w:t xml:space="preserve">Although our client maintains the position as stated in the attached letter dated January 21, 2022, in good faith and on a without prejudice basis, it is willing to meet with your client, at its convenience, so to discuss </w:t>
      </w:r>
      <w:proofErr w:type="spellStart"/>
      <w:r w:rsidRPr="00700A2E">
        <w:rPr>
          <w:lang w:val="en-CA"/>
        </w:rPr>
        <w:t>comparables</w:t>
      </w:r>
      <w:proofErr w:type="spellEnd"/>
      <w:r w:rsidRPr="00700A2E">
        <w:rPr>
          <w:lang w:val="en-CA"/>
        </w:rPr>
        <w:t xml:space="preserve"> with regards to the market rate applicable as per the lease. You will find attached, provided to you and your client on a without prejudice and confidential basis and strictly for the purpose of trying to find a mutually acceptable solution so to avoid protracted litigation, a list of 37 </w:t>
      </w:r>
      <w:proofErr w:type="spellStart"/>
      <w:r w:rsidRPr="00700A2E">
        <w:rPr>
          <w:lang w:val="en-CA"/>
        </w:rPr>
        <w:t>comparables</w:t>
      </w:r>
      <w:proofErr w:type="spellEnd"/>
      <w:r w:rsidRPr="00700A2E">
        <w:rPr>
          <w:lang w:val="en-CA"/>
        </w:rPr>
        <w:t xml:space="preserve"> amply justifying a rate over the one which was included in the initial Renewal Proposal.</w:t>
      </w:r>
    </w:p>
    <w:p w14:paraId="21821565" w14:textId="77777777" w:rsidR="00CF0E5B" w:rsidRPr="00700A2E" w:rsidRDefault="00CF0E5B" w:rsidP="00CF0E5B">
      <w:pPr>
        <w:pStyle w:val="Citationenretrait"/>
        <w:rPr>
          <w:lang w:val="en-CA"/>
        </w:rPr>
      </w:pPr>
      <w:r w:rsidRPr="00700A2E">
        <w:rPr>
          <w:lang w:val="en-CA"/>
        </w:rPr>
        <w:t>Could you please confirm:</w:t>
      </w:r>
    </w:p>
    <w:p w14:paraId="167B7BF7" w14:textId="77777777" w:rsidR="00CF0E5B" w:rsidRPr="00700A2E" w:rsidRDefault="00CF0E5B" w:rsidP="00CF0E5B">
      <w:pPr>
        <w:pStyle w:val="Citationenretrait"/>
        <w:spacing w:after="0"/>
        <w:ind w:left="1134"/>
        <w:rPr>
          <w:lang w:val="en-CA"/>
        </w:rPr>
      </w:pPr>
      <w:r w:rsidRPr="00700A2E">
        <w:rPr>
          <w:lang w:val="en-CA"/>
        </w:rPr>
        <w:t xml:space="preserve">1. When your client will be providing its own </w:t>
      </w:r>
      <w:proofErr w:type="spellStart"/>
      <w:proofErr w:type="gramStart"/>
      <w:r w:rsidRPr="00700A2E">
        <w:rPr>
          <w:lang w:val="en-CA"/>
        </w:rPr>
        <w:t>comparables</w:t>
      </w:r>
      <w:proofErr w:type="spellEnd"/>
      <w:r w:rsidRPr="00700A2E">
        <w:rPr>
          <w:lang w:val="en-CA"/>
        </w:rPr>
        <w:t>;</w:t>
      </w:r>
      <w:proofErr w:type="gramEnd"/>
    </w:p>
    <w:p w14:paraId="1A4F7605" w14:textId="77777777" w:rsidR="00CF0E5B" w:rsidRPr="00700A2E" w:rsidRDefault="00CF0E5B" w:rsidP="00CF0E5B">
      <w:pPr>
        <w:pStyle w:val="Citationenretrait"/>
        <w:spacing w:before="0"/>
        <w:ind w:left="1134"/>
        <w:rPr>
          <w:lang w:val="en-CA"/>
        </w:rPr>
      </w:pPr>
      <w:r w:rsidRPr="00700A2E">
        <w:rPr>
          <w:lang w:val="en-CA"/>
        </w:rPr>
        <w:t xml:space="preserve">2. When your client and </w:t>
      </w:r>
      <w:proofErr w:type="gramStart"/>
      <w:r w:rsidRPr="00700A2E">
        <w:rPr>
          <w:lang w:val="en-CA"/>
        </w:rPr>
        <w:t>yourself</w:t>
      </w:r>
      <w:proofErr w:type="gramEnd"/>
      <w:r w:rsidRPr="00700A2E">
        <w:rPr>
          <w:lang w:val="en-CA"/>
        </w:rPr>
        <w:t xml:space="preserve"> would be available to meet.</w:t>
      </w:r>
      <w:r w:rsidRPr="00700A2E">
        <w:rPr>
          <w:rStyle w:val="Appelnotedebasdep"/>
          <w:lang w:val="en-CA"/>
        </w:rPr>
        <w:footnoteReference w:id="47"/>
      </w:r>
    </w:p>
    <w:p w14:paraId="756F55A3" w14:textId="3E318B1F" w:rsidR="00CF0E5B" w:rsidRPr="00700A2E" w:rsidRDefault="00D03F00" w:rsidP="00CF0E5B">
      <w:pPr>
        <w:pStyle w:val="Paragraphe"/>
        <w:rPr>
          <w:lang w:val="en-CA"/>
        </w:rPr>
      </w:pPr>
      <w:r>
        <w:rPr>
          <w:lang w:val="en-CA"/>
        </w:rPr>
        <w:t>Les</w:t>
      </w:r>
      <w:r w:rsidR="003C107A">
        <w:rPr>
          <w:lang w:val="en-CA"/>
        </w:rPr>
        <w:t>s</w:t>
      </w:r>
      <w:r>
        <w:rPr>
          <w:lang w:val="en-CA"/>
        </w:rPr>
        <w:t xml:space="preserve"> than a month later, the Lessee filed an originating application</w:t>
      </w:r>
      <w:r w:rsidR="00CF0E5B" w:rsidRPr="00700A2E">
        <w:rPr>
          <w:lang w:val="en-CA"/>
        </w:rPr>
        <w:t>.</w:t>
      </w:r>
    </w:p>
    <w:p w14:paraId="4B35346B" w14:textId="10874473" w:rsidR="00CF0E5B" w:rsidRPr="00700A2E" w:rsidRDefault="003C107A" w:rsidP="00CF0E5B">
      <w:pPr>
        <w:pStyle w:val="Paragraphe"/>
        <w:rPr>
          <w:lang w:val="en-CA"/>
        </w:rPr>
      </w:pPr>
      <w:r>
        <w:rPr>
          <w:lang w:val="en-CA"/>
        </w:rPr>
        <w:t xml:space="preserve">I am not saying that the Lessee, who </w:t>
      </w:r>
      <w:r w:rsidR="009854E0">
        <w:rPr>
          <w:lang w:val="en-CA"/>
        </w:rPr>
        <w:t xml:space="preserve">was convinced </w:t>
      </w:r>
      <w:r w:rsidR="00B30BFD">
        <w:rPr>
          <w:lang w:val="en-CA"/>
        </w:rPr>
        <w:t>of</w:t>
      </w:r>
      <w:r w:rsidR="00EE55BA">
        <w:rPr>
          <w:lang w:val="en-CA"/>
        </w:rPr>
        <w:t xml:space="preserve"> its</w:t>
      </w:r>
      <w:r w:rsidR="009854E0">
        <w:rPr>
          <w:lang w:val="en-CA"/>
        </w:rPr>
        <w:t xml:space="preserve"> position</w:t>
      </w:r>
      <w:r>
        <w:rPr>
          <w:lang w:val="en-CA"/>
        </w:rPr>
        <w:t xml:space="preserve">, </w:t>
      </w:r>
      <w:r w:rsidR="009854E0">
        <w:rPr>
          <w:lang w:val="en-CA"/>
        </w:rPr>
        <w:t xml:space="preserve">acted </w:t>
      </w:r>
      <w:r>
        <w:rPr>
          <w:lang w:val="en-CA"/>
        </w:rPr>
        <w:t>itself in bad faith</w:t>
      </w:r>
      <w:r w:rsidR="00CF0E5B" w:rsidRPr="00700A2E">
        <w:rPr>
          <w:lang w:val="en-CA"/>
        </w:rPr>
        <w:t xml:space="preserve">. </w:t>
      </w:r>
      <w:r>
        <w:rPr>
          <w:lang w:val="en-CA"/>
        </w:rPr>
        <w:t>As</w:t>
      </w:r>
      <w:r w:rsidR="00CF0E5B" w:rsidRPr="00700A2E">
        <w:rPr>
          <w:lang w:val="en-CA"/>
        </w:rPr>
        <w:t xml:space="preserve"> </w:t>
      </w:r>
      <w:proofErr w:type="spellStart"/>
      <w:r w:rsidR="00CF0E5B" w:rsidRPr="00700A2E">
        <w:rPr>
          <w:lang w:val="en-CA"/>
        </w:rPr>
        <w:t>Kasirer</w:t>
      </w:r>
      <w:proofErr w:type="spellEnd"/>
      <w:r>
        <w:rPr>
          <w:lang w:val="en-CA"/>
        </w:rPr>
        <w:t xml:space="preserve"> J. noted in</w:t>
      </w:r>
      <w:r w:rsidR="00CF0E5B" w:rsidRPr="00700A2E">
        <w:rPr>
          <w:lang w:val="en-CA"/>
        </w:rPr>
        <w:t xml:space="preserve"> </w:t>
      </w:r>
      <w:proofErr w:type="spellStart"/>
      <w:r w:rsidR="00CF0E5B" w:rsidRPr="00700A2E">
        <w:rPr>
          <w:i/>
          <w:iCs/>
          <w:lang w:val="en-CA"/>
        </w:rPr>
        <w:t>Takuhikan</w:t>
      </w:r>
      <w:proofErr w:type="spellEnd"/>
      <w:r w:rsidR="00CF0E5B" w:rsidRPr="00700A2E">
        <w:rPr>
          <w:lang w:val="en-CA"/>
        </w:rPr>
        <w:t xml:space="preserve">, </w:t>
      </w:r>
      <w:r w:rsidR="005C1B78">
        <w:rPr>
          <w:lang w:val="en-CA"/>
        </w:rPr>
        <w:t>n</w:t>
      </w:r>
      <w:r w:rsidR="005C1B78" w:rsidRPr="005C1B78">
        <w:rPr>
          <w:lang w:val="en-CA"/>
        </w:rPr>
        <w:t xml:space="preserve">egotiating tenaciously in </w:t>
      </w:r>
      <w:proofErr w:type="gramStart"/>
      <w:r w:rsidR="005C1B78" w:rsidRPr="005C1B78">
        <w:rPr>
          <w:lang w:val="en-CA"/>
        </w:rPr>
        <w:t>one’s self</w:t>
      </w:r>
      <w:proofErr w:type="gramEnd"/>
      <w:r w:rsidR="005C1B78" w:rsidRPr="005C1B78">
        <w:rPr>
          <w:rFonts w:ascii="Cambria Math" w:hAnsi="Cambria Math" w:cs="Cambria Math"/>
          <w:lang w:val="en-CA"/>
        </w:rPr>
        <w:t>‑</w:t>
      </w:r>
      <w:r w:rsidR="005C1B78" w:rsidRPr="005C1B78">
        <w:rPr>
          <w:lang w:val="en-CA"/>
        </w:rPr>
        <w:t>interest can be entirely compatible with good faith</w:t>
      </w:r>
      <w:r w:rsidR="005C1B78">
        <w:rPr>
          <w:lang w:val="en-CA"/>
        </w:rPr>
        <w:t>.</w:t>
      </w:r>
      <w:r w:rsidR="00CF0E5B" w:rsidRPr="00700A2E">
        <w:rPr>
          <w:rStyle w:val="Appelnotedebasdep"/>
          <w:lang w:val="en-CA"/>
        </w:rPr>
        <w:footnoteReference w:id="48"/>
      </w:r>
      <w:r w:rsidR="005C1B78">
        <w:rPr>
          <w:lang w:val="en-CA"/>
        </w:rPr>
        <w:t xml:space="preserve"> </w:t>
      </w:r>
      <w:r w:rsidR="009854E0">
        <w:rPr>
          <w:lang w:val="en-CA"/>
        </w:rPr>
        <w:t>Nevertheless,</w:t>
      </w:r>
      <w:r w:rsidR="005C1B78">
        <w:rPr>
          <w:lang w:val="en-CA"/>
        </w:rPr>
        <w:t xml:space="preserve"> the judge could not examine </w:t>
      </w:r>
      <w:proofErr w:type="spellStart"/>
      <w:r w:rsidR="005C1B78">
        <w:rPr>
          <w:lang w:val="en-CA"/>
        </w:rPr>
        <w:t>Cominar’s</w:t>
      </w:r>
      <w:proofErr w:type="spellEnd"/>
      <w:r w:rsidR="005C1B78">
        <w:rPr>
          <w:lang w:val="en-CA"/>
        </w:rPr>
        <w:t xml:space="preserve"> conduct </w:t>
      </w:r>
      <w:r w:rsidR="009854E0">
        <w:rPr>
          <w:lang w:val="en-CA"/>
        </w:rPr>
        <w:t>in isolation</w:t>
      </w:r>
      <w:r w:rsidR="005C1B78">
        <w:rPr>
          <w:lang w:val="en-CA"/>
        </w:rPr>
        <w:t xml:space="preserve">, without regard to </w:t>
      </w:r>
      <w:r w:rsidR="00B30BFD">
        <w:rPr>
          <w:lang w:val="en-CA"/>
        </w:rPr>
        <w:t xml:space="preserve">that of </w:t>
      </w:r>
      <w:r w:rsidR="005C1B78">
        <w:rPr>
          <w:lang w:val="en-CA"/>
        </w:rPr>
        <w:t>the Lessee</w:t>
      </w:r>
      <w:r w:rsidR="00CF0E5B" w:rsidRPr="00700A2E">
        <w:rPr>
          <w:lang w:val="en-CA"/>
        </w:rPr>
        <w:t xml:space="preserve">. </w:t>
      </w:r>
      <w:r w:rsidR="005C1B78">
        <w:rPr>
          <w:lang w:val="en-CA"/>
        </w:rPr>
        <w:t xml:space="preserve">Both parties </w:t>
      </w:r>
      <w:r w:rsidR="009854E0" w:rsidRPr="009854E0">
        <w:rPr>
          <w:lang w:val="en-CA"/>
        </w:rPr>
        <w:t>had an obligation to carry out in good faith</w:t>
      </w:r>
      <w:r w:rsidR="005C1B78">
        <w:rPr>
          <w:lang w:val="en-CA"/>
        </w:rPr>
        <w:t xml:space="preserve"> </w:t>
      </w:r>
      <w:r w:rsidR="009854E0">
        <w:rPr>
          <w:lang w:val="en-CA"/>
        </w:rPr>
        <w:t xml:space="preserve">the </w:t>
      </w:r>
      <w:r w:rsidR="009854E0" w:rsidRPr="009854E0">
        <w:rPr>
          <w:lang w:val="en-CA"/>
        </w:rPr>
        <w:t>negotiations</w:t>
      </w:r>
      <w:r w:rsidR="009854E0">
        <w:rPr>
          <w:lang w:val="en-CA"/>
        </w:rPr>
        <w:t xml:space="preserve"> </w:t>
      </w:r>
      <w:r w:rsidR="005C1B78">
        <w:rPr>
          <w:lang w:val="en-CA"/>
        </w:rPr>
        <w:t>provided under</w:t>
      </w:r>
      <w:r w:rsidR="00CF0E5B" w:rsidRPr="00700A2E">
        <w:rPr>
          <w:lang w:val="en-CA"/>
        </w:rPr>
        <w:t xml:space="preserve"> </w:t>
      </w:r>
      <w:r w:rsidR="00B43540">
        <w:rPr>
          <w:lang w:val="en-CA"/>
        </w:rPr>
        <w:t xml:space="preserve">clause </w:t>
      </w:r>
      <w:r w:rsidR="00CF0E5B" w:rsidRPr="00700A2E">
        <w:rPr>
          <w:lang w:val="en-CA"/>
        </w:rPr>
        <w:t xml:space="preserve">27.6 </w:t>
      </w:r>
      <w:r w:rsidR="005C1B78">
        <w:rPr>
          <w:lang w:val="en-CA"/>
        </w:rPr>
        <w:t>of the lease</w:t>
      </w:r>
      <w:r w:rsidR="00B30BFD">
        <w:rPr>
          <w:lang w:val="en-CA"/>
        </w:rPr>
        <w:t>,</w:t>
      </w:r>
      <w:r w:rsidR="005C1B78">
        <w:rPr>
          <w:lang w:val="en-CA"/>
        </w:rPr>
        <w:t xml:space="preserve"> and the judge had to assess their conduct in a contextual manner</w:t>
      </w:r>
      <w:r w:rsidR="00CF0E5B" w:rsidRPr="00700A2E">
        <w:rPr>
          <w:lang w:val="en-CA"/>
        </w:rPr>
        <w:t>.</w:t>
      </w:r>
    </w:p>
    <w:p w14:paraId="5328BD6B" w14:textId="1D572B18" w:rsidR="00CF0E5B" w:rsidRPr="00700A2E" w:rsidRDefault="00B30BFD" w:rsidP="00CF0E5B">
      <w:pPr>
        <w:pStyle w:val="Paragraphe"/>
        <w:rPr>
          <w:lang w:val="en-CA"/>
        </w:rPr>
      </w:pPr>
      <w:r>
        <w:rPr>
          <w:lang w:val="en-CA"/>
        </w:rPr>
        <w:t>Based on the exchanges</w:t>
      </w:r>
      <w:r w:rsidR="00E8667E">
        <w:rPr>
          <w:lang w:val="en-CA"/>
        </w:rPr>
        <w:t xml:space="preserve"> as a whole</w:t>
      </w:r>
      <w:r w:rsidR="00CF0E5B" w:rsidRPr="00700A2E">
        <w:rPr>
          <w:lang w:val="en-CA"/>
        </w:rPr>
        <w:t xml:space="preserve">, </w:t>
      </w:r>
      <w:r w:rsidR="00E44081">
        <w:rPr>
          <w:lang w:val="en-CA"/>
        </w:rPr>
        <w:t>it can be seen</w:t>
      </w:r>
      <w:r>
        <w:rPr>
          <w:lang w:val="en-CA"/>
        </w:rPr>
        <w:t xml:space="preserve"> that </w:t>
      </w:r>
      <w:r w:rsidR="00E44081">
        <w:rPr>
          <w:lang w:val="en-CA"/>
        </w:rPr>
        <w:t>by</w:t>
      </w:r>
      <w:r>
        <w:rPr>
          <w:lang w:val="en-CA"/>
        </w:rPr>
        <w:t xml:space="preserve"> November</w:t>
      </w:r>
      <w:r w:rsidR="00CF0E5B" w:rsidRPr="00700A2E">
        <w:rPr>
          <w:lang w:val="en-CA"/>
        </w:rPr>
        <w:t xml:space="preserve"> </w:t>
      </w:r>
      <w:proofErr w:type="gramStart"/>
      <w:r w:rsidR="00CF0E5B" w:rsidRPr="00700A2E">
        <w:rPr>
          <w:lang w:val="en-CA"/>
        </w:rPr>
        <w:t>24</w:t>
      </w:r>
      <w:r>
        <w:rPr>
          <w:lang w:val="en-CA"/>
        </w:rPr>
        <w:t>,</w:t>
      </w:r>
      <w:r w:rsidR="00CF0E5B" w:rsidRPr="00700A2E">
        <w:rPr>
          <w:lang w:val="en-CA"/>
        </w:rPr>
        <w:t> </w:t>
      </w:r>
      <w:r w:rsidR="00E44081" w:rsidRPr="00700A2E">
        <w:rPr>
          <w:lang w:val="en-CA"/>
        </w:rPr>
        <w:t xml:space="preserve"> </w:t>
      </w:r>
      <w:r w:rsidR="00CF0E5B" w:rsidRPr="00700A2E">
        <w:rPr>
          <w:lang w:val="en-CA"/>
        </w:rPr>
        <w:t>2021</w:t>
      </w:r>
      <w:proofErr w:type="gramEnd"/>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Pr>
          <w:lang w:val="en-CA"/>
        </w:rPr>
        <w:t xml:space="preserve">was transparent in </w:t>
      </w:r>
      <w:r w:rsidR="00E44081">
        <w:rPr>
          <w:lang w:val="en-CA"/>
        </w:rPr>
        <w:t>apprising the Lessee of</w:t>
      </w:r>
      <w:r>
        <w:rPr>
          <w:lang w:val="en-CA"/>
        </w:rPr>
        <w:t xml:space="preserve"> </w:t>
      </w:r>
      <w:proofErr w:type="spellStart"/>
      <w:r>
        <w:rPr>
          <w:lang w:val="en-CA"/>
        </w:rPr>
        <w:t>Pure’s</w:t>
      </w:r>
      <w:proofErr w:type="spellEnd"/>
      <w:r>
        <w:rPr>
          <w:lang w:val="en-CA"/>
        </w:rPr>
        <w:t xml:space="preserve"> opinion on the </w:t>
      </w:r>
      <w:r w:rsidR="00E44081">
        <w:rPr>
          <w:lang w:val="en-CA"/>
        </w:rPr>
        <w:t>course that</w:t>
      </w:r>
      <w:r>
        <w:rPr>
          <w:lang w:val="en-CA"/>
        </w:rPr>
        <w:t xml:space="preserve"> rents</w:t>
      </w:r>
      <w:r w:rsidR="00844751">
        <w:rPr>
          <w:lang w:val="en-CA"/>
        </w:rPr>
        <w:t xml:space="preserve"> were taking</w:t>
      </w:r>
      <w:r w:rsidR="00CF0E5B" w:rsidRPr="00700A2E">
        <w:rPr>
          <w:lang w:val="en-CA"/>
        </w:rPr>
        <w:t xml:space="preserve">. </w:t>
      </w:r>
      <w:r>
        <w:rPr>
          <w:lang w:val="en-CA"/>
        </w:rPr>
        <w:t xml:space="preserve">Later, it </w:t>
      </w:r>
      <w:r w:rsidR="00844751">
        <w:rPr>
          <w:lang w:val="en-CA"/>
        </w:rPr>
        <w:t>sent</w:t>
      </w:r>
      <w:r>
        <w:rPr>
          <w:lang w:val="en-CA"/>
        </w:rPr>
        <w:t xml:space="preserve"> it a new proposal that could appear aggressive (it certainly was in the Lessee’s eyes)</w:t>
      </w:r>
      <w:r w:rsidR="00CF0E5B" w:rsidRPr="00700A2E">
        <w:rPr>
          <w:lang w:val="en-CA"/>
        </w:rPr>
        <w:t xml:space="preserve">, </w:t>
      </w:r>
      <w:r>
        <w:rPr>
          <w:lang w:val="en-CA"/>
        </w:rPr>
        <w:t xml:space="preserve">but, </w:t>
      </w:r>
      <w:proofErr w:type="gramStart"/>
      <w:r>
        <w:rPr>
          <w:lang w:val="en-CA"/>
        </w:rPr>
        <w:t>at all times</w:t>
      </w:r>
      <w:proofErr w:type="gramEnd"/>
      <w:r>
        <w:rPr>
          <w:lang w:val="en-CA"/>
        </w:rPr>
        <w:t xml:space="preserve">, it </w:t>
      </w:r>
      <w:r w:rsidR="00844751">
        <w:rPr>
          <w:lang w:val="en-CA"/>
        </w:rPr>
        <w:t>display</w:t>
      </w:r>
      <w:r>
        <w:rPr>
          <w:lang w:val="en-CA"/>
        </w:rPr>
        <w:t xml:space="preserve">ed </w:t>
      </w:r>
      <w:r w:rsidR="00E8667E">
        <w:rPr>
          <w:lang w:val="en-CA"/>
        </w:rPr>
        <w:t xml:space="preserve">an </w:t>
      </w:r>
      <w:r>
        <w:rPr>
          <w:lang w:val="en-CA"/>
        </w:rPr>
        <w:t>openness to negotiate. All that it required in return was a confirmation</w:t>
      </w:r>
      <w:r w:rsidR="00E8667E">
        <w:rPr>
          <w:lang w:val="en-CA"/>
        </w:rPr>
        <w:t xml:space="preserve"> that</w:t>
      </w:r>
      <w:r>
        <w:rPr>
          <w:lang w:val="en-CA"/>
        </w:rPr>
        <w:t xml:space="preserve"> the Lessee was willing to agree to higher </w:t>
      </w:r>
      <w:r w:rsidR="00844751">
        <w:rPr>
          <w:lang w:val="en-CA"/>
        </w:rPr>
        <w:t xml:space="preserve">rents </w:t>
      </w:r>
      <w:r>
        <w:rPr>
          <w:lang w:val="en-CA"/>
        </w:rPr>
        <w:t>than those of the second proposal</w:t>
      </w:r>
      <w:r w:rsidR="00CF0E5B" w:rsidRPr="00700A2E">
        <w:rPr>
          <w:lang w:val="en-CA"/>
        </w:rPr>
        <w:t>.</w:t>
      </w:r>
    </w:p>
    <w:p w14:paraId="5CF795D3" w14:textId="6D5C55D0" w:rsidR="00CF0E5B" w:rsidRPr="00700A2E" w:rsidRDefault="00844751" w:rsidP="00CF0E5B">
      <w:pPr>
        <w:pStyle w:val="Paragraphe"/>
        <w:rPr>
          <w:lang w:val="en-CA"/>
        </w:rPr>
      </w:pPr>
      <w:r>
        <w:rPr>
          <w:lang w:val="en-CA"/>
        </w:rPr>
        <w:t xml:space="preserve">I therefore </w:t>
      </w:r>
      <w:r w:rsidR="00CA1687">
        <w:rPr>
          <w:lang w:val="en-CA"/>
        </w:rPr>
        <w:t>conclude</w:t>
      </w:r>
      <w:r>
        <w:rPr>
          <w:lang w:val="en-CA"/>
        </w:rPr>
        <w:t xml:space="preserve"> that</w:t>
      </w:r>
      <w:r w:rsidR="00CF0E5B" w:rsidRPr="00700A2E">
        <w:rPr>
          <w:lang w:val="en-CA"/>
        </w:rPr>
        <w:t xml:space="preserve"> </w:t>
      </w:r>
      <w:proofErr w:type="spellStart"/>
      <w:r w:rsidR="00CF0E5B" w:rsidRPr="00700A2E">
        <w:rPr>
          <w:lang w:val="en-CA"/>
        </w:rPr>
        <w:t>Cominar</w:t>
      </w:r>
      <w:proofErr w:type="spellEnd"/>
      <w:r w:rsidR="00CF0E5B" w:rsidRPr="00700A2E">
        <w:rPr>
          <w:lang w:val="en-CA"/>
        </w:rPr>
        <w:t xml:space="preserve"> </w:t>
      </w:r>
      <w:r w:rsidR="00074809">
        <w:rPr>
          <w:lang w:val="en-CA"/>
        </w:rPr>
        <w:t>did not fail to conduct itself</w:t>
      </w:r>
      <w:r w:rsidR="00A902C7">
        <w:rPr>
          <w:lang w:val="en-CA"/>
        </w:rPr>
        <w:t xml:space="preserve"> </w:t>
      </w:r>
      <w:r w:rsidR="00074809">
        <w:rPr>
          <w:lang w:val="en-CA"/>
        </w:rPr>
        <w:t>l</w:t>
      </w:r>
      <w:r w:rsidR="00A902C7">
        <w:rPr>
          <w:lang w:val="en-CA"/>
        </w:rPr>
        <w:t>oyal</w:t>
      </w:r>
      <w:r w:rsidR="00074809">
        <w:rPr>
          <w:lang w:val="en-CA"/>
        </w:rPr>
        <w:t>ly</w:t>
      </w:r>
      <w:r w:rsidR="00A902C7">
        <w:rPr>
          <w:lang w:val="en-CA"/>
        </w:rPr>
        <w:t xml:space="preserve"> </w:t>
      </w:r>
      <w:r w:rsidR="00074809">
        <w:rPr>
          <w:lang w:val="en-CA"/>
        </w:rPr>
        <w:t>or</w:t>
      </w:r>
      <w:r>
        <w:rPr>
          <w:lang w:val="en-CA"/>
        </w:rPr>
        <w:t xml:space="preserve"> </w:t>
      </w:r>
      <w:r w:rsidR="00A902C7">
        <w:rPr>
          <w:lang w:val="en-CA"/>
        </w:rPr>
        <w:t xml:space="preserve">undermine the </w:t>
      </w:r>
      <w:r>
        <w:rPr>
          <w:lang w:val="en-CA"/>
        </w:rPr>
        <w:t xml:space="preserve">Lessee’s legitimate </w:t>
      </w:r>
      <w:r w:rsidR="00A902C7">
        <w:rPr>
          <w:lang w:val="en-CA"/>
        </w:rPr>
        <w:t>expectations</w:t>
      </w:r>
      <w:r w:rsidR="00CF0E5B" w:rsidRPr="00700A2E">
        <w:rPr>
          <w:lang w:val="en-CA"/>
        </w:rPr>
        <w:t xml:space="preserve">. </w:t>
      </w:r>
      <w:r w:rsidR="00074809">
        <w:rPr>
          <w:lang w:val="en-CA"/>
        </w:rPr>
        <w:t>Nor</w:t>
      </w:r>
      <w:r>
        <w:rPr>
          <w:lang w:val="en-CA"/>
        </w:rPr>
        <w:t xml:space="preserve"> </w:t>
      </w:r>
      <w:r w:rsidR="00074809">
        <w:rPr>
          <w:lang w:val="en-CA"/>
        </w:rPr>
        <w:t xml:space="preserve">can it be said, based on </w:t>
      </w:r>
      <w:r>
        <w:rPr>
          <w:lang w:val="en-CA"/>
        </w:rPr>
        <w:t>the evidence relating to the applicable market rates under</w:t>
      </w:r>
      <w:r w:rsidR="00B232D5">
        <w:rPr>
          <w:lang w:val="en-CA"/>
        </w:rPr>
        <w:t xml:space="preserve"> </w:t>
      </w:r>
      <w:r w:rsidR="00B43540">
        <w:rPr>
          <w:lang w:val="en-CA"/>
        </w:rPr>
        <w:t>clause</w:t>
      </w:r>
      <w:r w:rsidR="00CF0E5B" w:rsidRPr="00700A2E">
        <w:rPr>
          <w:lang w:val="en-CA"/>
        </w:rPr>
        <w:t xml:space="preserve"> 27.6 </w:t>
      </w:r>
      <w:r>
        <w:rPr>
          <w:lang w:val="en-CA"/>
        </w:rPr>
        <w:t>of the lease</w:t>
      </w:r>
      <w:r w:rsidR="00074809">
        <w:rPr>
          <w:lang w:val="en-CA"/>
        </w:rPr>
        <w:t>,</w:t>
      </w:r>
      <w:r>
        <w:rPr>
          <w:lang w:val="en-CA"/>
        </w:rPr>
        <w:t xml:space="preserve"> </w:t>
      </w:r>
      <w:r w:rsidR="00A902C7">
        <w:rPr>
          <w:lang w:val="en-CA"/>
        </w:rPr>
        <w:t>that its conduct was excessive or unreasonable</w:t>
      </w:r>
      <w:r w:rsidR="00CF0E5B" w:rsidRPr="00700A2E">
        <w:rPr>
          <w:lang w:val="en-CA"/>
        </w:rPr>
        <w:t>.</w:t>
      </w:r>
    </w:p>
    <w:p w14:paraId="213BA555" w14:textId="77777777" w:rsidR="00CF0E5B" w:rsidRPr="00700A2E" w:rsidRDefault="00CF0E5B" w:rsidP="00CF0E5B">
      <w:pPr>
        <w:pStyle w:val="Paragraphe"/>
        <w:numPr>
          <w:ilvl w:val="0"/>
          <w:numId w:val="0"/>
        </w:numPr>
        <w:jc w:val="center"/>
        <w:rPr>
          <w:lang w:val="en-CA"/>
        </w:rPr>
      </w:pPr>
      <w:r w:rsidRPr="00700A2E">
        <w:rPr>
          <w:lang w:val="en-CA"/>
        </w:rPr>
        <w:t>***</w:t>
      </w:r>
    </w:p>
    <w:p w14:paraId="08427404" w14:textId="3D40BD46" w:rsidR="00CF0E5B" w:rsidRPr="00700A2E" w:rsidRDefault="00074809" w:rsidP="00CF0E5B">
      <w:pPr>
        <w:pStyle w:val="Paragraphe"/>
        <w:rPr>
          <w:lang w:val="en-CA" w:eastAsia="fr-CA"/>
        </w:rPr>
      </w:pPr>
      <w:bookmarkStart w:id="25" w:name="_Hlk182411835"/>
      <w:r>
        <w:rPr>
          <w:lang w:val="en-CA"/>
        </w:rPr>
        <w:lastRenderedPageBreak/>
        <w:t>I find it useful to add a final comment on the relief granted by the judge</w:t>
      </w:r>
      <w:r w:rsidR="00CF0E5B" w:rsidRPr="00700A2E">
        <w:rPr>
          <w:lang w:val="en-CA"/>
        </w:rPr>
        <w:t>.</w:t>
      </w:r>
    </w:p>
    <w:p w14:paraId="78697186" w14:textId="5CB2096C" w:rsidR="00CF0E5B" w:rsidRPr="00700A2E" w:rsidRDefault="0093270D" w:rsidP="00CF0E5B">
      <w:pPr>
        <w:pStyle w:val="Paragraphe"/>
        <w:rPr>
          <w:lang w:val="en-CA" w:eastAsia="fr-CA"/>
        </w:rPr>
      </w:pPr>
      <w:r w:rsidRPr="0093270D">
        <w:rPr>
          <w:lang w:val="en-CA"/>
        </w:rPr>
        <w:t xml:space="preserve">Referring to the mode of performance that is specific performance of the obligation </w:t>
      </w:r>
      <w:r w:rsidR="00CF0E5B" w:rsidRPr="00700A2E">
        <w:rPr>
          <w:lang w:val="en-CA"/>
        </w:rPr>
        <w:t xml:space="preserve">(articles 1590 </w:t>
      </w:r>
      <w:r>
        <w:rPr>
          <w:lang w:val="en-CA"/>
        </w:rPr>
        <w:t>and</w:t>
      </w:r>
      <w:r w:rsidR="00CF0E5B" w:rsidRPr="00700A2E">
        <w:rPr>
          <w:lang w:val="en-CA"/>
        </w:rPr>
        <w:t xml:space="preserve"> 1601 </w:t>
      </w:r>
      <w:r w:rsidR="00CF0E5B" w:rsidRPr="00700A2E">
        <w:rPr>
          <w:i/>
          <w:iCs/>
          <w:lang w:val="en-CA"/>
        </w:rPr>
        <w:t>C.</w:t>
      </w:r>
      <w:r>
        <w:rPr>
          <w:i/>
          <w:iCs/>
          <w:lang w:val="en-CA"/>
        </w:rPr>
        <w:t>C</w:t>
      </w:r>
      <w:r w:rsidR="00CF0E5B" w:rsidRPr="00700A2E">
        <w:rPr>
          <w:i/>
          <w:iCs/>
          <w:lang w:val="en-CA"/>
        </w:rPr>
        <w:t>.Q.</w:t>
      </w:r>
      <w:r w:rsidR="00CF0E5B" w:rsidRPr="00700A2E">
        <w:rPr>
          <w:lang w:val="en-CA"/>
        </w:rPr>
        <w:t xml:space="preserve">), </w:t>
      </w:r>
      <w:r>
        <w:rPr>
          <w:lang w:val="en-CA"/>
        </w:rPr>
        <w:t>the judge was of the view that he could order the parties to negotiate the rental price</w:t>
      </w:r>
      <w:r w:rsidR="00CF0E5B" w:rsidRPr="00700A2E">
        <w:rPr>
          <w:lang w:val="en-CA"/>
        </w:rPr>
        <w:t>:</w:t>
      </w:r>
    </w:p>
    <w:p w14:paraId="00352B1A" w14:textId="77777777" w:rsidR="00CF0E5B" w:rsidRPr="00700A2E" w:rsidRDefault="00CF0E5B" w:rsidP="00CF0E5B">
      <w:pPr>
        <w:pStyle w:val="Citationenretrait"/>
        <w:rPr>
          <w:lang w:val="en-CA"/>
        </w:rPr>
      </w:pPr>
      <w:r w:rsidRPr="00700A2E">
        <w:rPr>
          <w:lang w:val="en-CA"/>
        </w:rPr>
        <w:t>[</w:t>
      </w:r>
      <w:bookmarkStart w:id="26" w:name="par109"/>
      <w:r w:rsidRPr="00700A2E">
        <w:rPr>
          <w:lang w:val="en-CA"/>
        </w:rPr>
        <w:t>109</w:t>
      </w:r>
      <w:bookmarkEnd w:id="26"/>
      <w:proofErr w:type="gramStart"/>
      <w:r w:rsidRPr="00700A2E">
        <w:rPr>
          <w:lang w:val="en-CA"/>
        </w:rPr>
        <w:t>]  As</w:t>
      </w:r>
      <w:proofErr w:type="gramEnd"/>
      <w:r w:rsidRPr="00700A2E">
        <w:rPr>
          <w:lang w:val="en-CA"/>
        </w:rPr>
        <w:t xml:space="preserve"> a matter of specific performance, Pival and the Defendants, who are </w:t>
      </w:r>
      <w:proofErr w:type="spellStart"/>
      <w:r w:rsidRPr="00700A2E">
        <w:rPr>
          <w:lang w:val="en-CA"/>
        </w:rPr>
        <w:t>Cominar’s</w:t>
      </w:r>
      <w:proofErr w:type="spellEnd"/>
      <w:r w:rsidRPr="00700A2E">
        <w:rPr>
          <w:lang w:val="en-CA"/>
        </w:rPr>
        <w:t xml:space="preserve"> successors by particular title and who are themselves bound by the Lease, may be ordered to engage in good faith discussions aimed at setting the rent for the renewal period in accordance with the strict parameters of section 27.6. As required by the text of the renewal clause, the rent so set—and by extension the parties’ good faith discussions—must be based on market rates for a five</w:t>
      </w:r>
      <w:r w:rsidRPr="00700A2E">
        <w:rPr>
          <w:lang w:val="en-CA"/>
        </w:rPr>
        <w:noBreakHyphen/>
        <w:t>year term in force (“</w:t>
      </w:r>
      <w:proofErr w:type="spellStart"/>
      <w:r w:rsidRPr="00700A2E">
        <w:rPr>
          <w:i/>
          <w:iCs/>
          <w:lang w:val="en-CA"/>
        </w:rPr>
        <w:t>alors</w:t>
      </w:r>
      <w:proofErr w:type="spellEnd"/>
      <w:r w:rsidRPr="00700A2E">
        <w:rPr>
          <w:i/>
          <w:iCs/>
          <w:lang w:val="en-CA"/>
        </w:rPr>
        <w:t> </w:t>
      </w:r>
      <w:proofErr w:type="spellStart"/>
      <w:r w:rsidRPr="00700A2E">
        <w:rPr>
          <w:i/>
          <w:iCs/>
          <w:lang w:val="en-CA"/>
        </w:rPr>
        <w:t>en</w:t>
      </w:r>
      <w:proofErr w:type="spellEnd"/>
      <w:r w:rsidRPr="00700A2E">
        <w:rPr>
          <w:i/>
          <w:iCs/>
          <w:lang w:val="en-CA"/>
        </w:rPr>
        <w:t> </w:t>
      </w:r>
      <w:proofErr w:type="spellStart"/>
      <w:r w:rsidRPr="00700A2E">
        <w:rPr>
          <w:i/>
          <w:iCs/>
          <w:lang w:val="en-CA"/>
        </w:rPr>
        <w:t>vigueur</w:t>
      </w:r>
      <w:proofErr w:type="spellEnd"/>
      <w:r w:rsidRPr="00700A2E">
        <w:rPr>
          <w:lang w:val="en-CA"/>
        </w:rPr>
        <w:t>”) on November 25, 2021, when the renewal clause was exercised.</w:t>
      </w:r>
    </w:p>
    <w:p w14:paraId="12C33D05" w14:textId="2480BED2" w:rsidR="00CF0E5B" w:rsidRPr="00700A2E" w:rsidRDefault="00CF0E5B" w:rsidP="00CF0E5B">
      <w:pPr>
        <w:pStyle w:val="Citationenretrait"/>
        <w:jc w:val="right"/>
        <w:rPr>
          <w:lang w:val="en-CA"/>
        </w:rPr>
      </w:pPr>
      <w:r w:rsidRPr="00700A2E">
        <w:rPr>
          <w:lang w:val="en-CA"/>
        </w:rPr>
        <w:t>[</w:t>
      </w:r>
      <w:r w:rsidR="0093270D">
        <w:rPr>
          <w:lang w:val="en-CA"/>
        </w:rPr>
        <w:t xml:space="preserve">Italics in the </w:t>
      </w:r>
      <w:r w:rsidRPr="00700A2E">
        <w:rPr>
          <w:lang w:val="en-CA"/>
        </w:rPr>
        <w:t>original]</w:t>
      </w:r>
    </w:p>
    <w:bookmarkEnd w:id="25"/>
    <w:p w14:paraId="6708A19D" w14:textId="6C1F72FC" w:rsidR="00CF0E5B" w:rsidRPr="00700A2E" w:rsidRDefault="0093270D" w:rsidP="00CF0E5B">
      <w:pPr>
        <w:pStyle w:val="Paragraphe"/>
        <w:rPr>
          <w:lang w:val="en-CA" w:eastAsia="fr-CA"/>
        </w:rPr>
      </w:pPr>
      <w:r>
        <w:rPr>
          <w:lang w:val="en-CA" w:eastAsia="fr-CA"/>
        </w:rPr>
        <w:t>One may ask whether forced specific performance of the duty to negotiate in good faith is possible</w:t>
      </w:r>
      <w:r w:rsidR="00CF0E5B" w:rsidRPr="00700A2E">
        <w:rPr>
          <w:lang w:val="en-CA" w:eastAsia="fr-CA"/>
        </w:rPr>
        <w:t xml:space="preserve">. </w:t>
      </w:r>
      <w:r>
        <w:rPr>
          <w:lang w:val="en-CA" w:eastAsia="fr-CA"/>
        </w:rPr>
        <w:t>According to Professor</w:t>
      </w:r>
      <w:r w:rsidR="00CF0E5B" w:rsidRPr="00700A2E">
        <w:rPr>
          <w:lang w:val="en-CA" w:eastAsia="fr-CA"/>
        </w:rPr>
        <w:t xml:space="preserve"> Brigitte Lefebvre, </w:t>
      </w:r>
      <w:r>
        <w:rPr>
          <w:lang w:val="en-CA" w:eastAsia="fr-CA"/>
        </w:rPr>
        <w:t>that solution, although theoretically conceivable, is not realistic in practice</w:t>
      </w:r>
      <w:r w:rsidR="00CF0E5B" w:rsidRPr="00700A2E">
        <w:rPr>
          <w:lang w:val="en-CA" w:eastAsia="fr-CA"/>
        </w:rPr>
        <w:t>:</w:t>
      </w:r>
    </w:p>
    <w:p w14:paraId="512CE01A" w14:textId="77777777" w:rsidR="00CF0E5B" w:rsidRPr="002E35B4" w:rsidRDefault="00CF0E5B" w:rsidP="00CF0E5B">
      <w:pPr>
        <w:pStyle w:val="Citationenretrait"/>
        <w:rPr>
          <w:lang w:eastAsia="fr-CA"/>
        </w:rPr>
      </w:pPr>
      <w:r w:rsidRPr="002E35B4">
        <w:rPr>
          <w:lang w:eastAsia="fr-CA"/>
        </w:rPr>
        <w:t xml:space="preserve">La question de donner ouverture à l’exécution en nature pour une obligation de moyens peut s’accepter en principe. En théorie, il est concevable que la sanction de ne pas négocier soit d’imposer aux parties de continuer les négociations. Le droit donne techniquement ouverture à une injonction </w:t>
      </w:r>
      <w:proofErr w:type="spellStart"/>
      <w:r w:rsidRPr="002E35B4">
        <w:rPr>
          <w:lang w:eastAsia="fr-CA"/>
        </w:rPr>
        <w:t>mandatoire</w:t>
      </w:r>
      <w:proofErr w:type="spellEnd"/>
      <w:r w:rsidRPr="002E35B4">
        <w:rPr>
          <w:lang w:eastAsia="fr-CA"/>
        </w:rPr>
        <w:t xml:space="preserve">. En pratique cependant, cette solution est irréaliste. On ne peut pas faire abstraction du fait que les parties n’ont pu s’entendre et ont rompu les négociations. Il serait illusoire de croire que les forcer à continuer à négocier ait une quelconque pertinence. La négociation revêt, sous certains aspects, un caractère </w:t>
      </w:r>
      <w:r w:rsidRPr="002E35B4">
        <w:rPr>
          <w:i/>
          <w:iCs/>
          <w:lang w:eastAsia="fr-CA"/>
        </w:rPr>
        <w:t xml:space="preserve">intuitu personae </w:t>
      </w:r>
      <w:r w:rsidRPr="002E35B4">
        <w:rPr>
          <w:lang w:eastAsia="fr-CA"/>
        </w:rPr>
        <w:t>et l’exécution forcée devient impossible. M. </w:t>
      </w:r>
      <w:proofErr w:type="spellStart"/>
      <w:r w:rsidRPr="002E35B4">
        <w:rPr>
          <w:lang w:eastAsia="fr-CA"/>
        </w:rPr>
        <w:t>Cedras</w:t>
      </w:r>
      <w:proofErr w:type="spellEnd"/>
      <w:r w:rsidRPr="002E35B4">
        <w:rPr>
          <w:lang w:eastAsia="fr-CA"/>
        </w:rPr>
        <w:t xml:space="preserve"> est formel: « La seule sanction juridique admissible est l’exécution par équivalent ».</w:t>
      </w:r>
      <w:bookmarkStart w:id="27" w:name="_Ref184380346"/>
      <w:r w:rsidRPr="00700A2E">
        <w:rPr>
          <w:rStyle w:val="Appelnotedebasdep"/>
          <w:lang w:val="en-CA" w:eastAsia="fr-CA"/>
        </w:rPr>
        <w:footnoteReference w:id="49"/>
      </w:r>
      <w:bookmarkEnd w:id="27"/>
    </w:p>
    <w:p w14:paraId="419E3038" w14:textId="0B2AAF2A" w:rsidR="00CF0E5B" w:rsidRPr="00700A2E" w:rsidRDefault="00CF0E5B" w:rsidP="00CF0E5B">
      <w:pPr>
        <w:pStyle w:val="Citationenretrait"/>
        <w:jc w:val="right"/>
        <w:rPr>
          <w:lang w:val="en-CA" w:eastAsia="fr-CA"/>
        </w:rPr>
      </w:pPr>
      <w:r w:rsidRPr="00700A2E">
        <w:rPr>
          <w:lang w:val="en-CA" w:eastAsia="fr-CA"/>
        </w:rPr>
        <w:t>[</w:t>
      </w:r>
      <w:r w:rsidR="0093270D">
        <w:rPr>
          <w:lang w:val="en-CA" w:eastAsia="fr-CA"/>
        </w:rPr>
        <w:t>References omitted</w:t>
      </w:r>
      <w:r w:rsidRPr="00700A2E">
        <w:rPr>
          <w:lang w:val="en-CA" w:eastAsia="fr-CA"/>
        </w:rPr>
        <w:t>]</w:t>
      </w:r>
    </w:p>
    <w:p w14:paraId="6CACA7F6" w14:textId="6A173278" w:rsidR="00CF0E5B" w:rsidRPr="002E35B4" w:rsidRDefault="0093270D" w:rsidP="00CF0E5B">
      <w:pPr>
        <w:pStyle w:val="Paragraphe"/>
        <w:rPr>
          <w:lang w:eastAsia="fr-CA"/>
        </w:rPr>
      </w:pPr>
      <w:proofErr w:type="spellStart"/>
      <w:r w:rsidRPr="002E35B4">
        <w:rPr>
          <w:lang w:eastAsia="fr-CA"/>
        </w:rPr>
        <w:t>Authors</w:t>
      </w:r>
      <w:proofErr w:type="spellEnd"/>
      <w:r w:rsidR="00CF0E5B" w:rsidRPr="002E35B4">
        <w:rPr>
          <w:lang w:eastAsia="fr-CA"/>
        </w:rPr>
        <w:t xml:space="preserve"> Jean-Louis Baudouin, Patrice Deslauriers </w:t>
      </w:r>
      <w:r w:rsidRPr="002E35B4">
        <w:rPr>
          <w:lang w:eastAsia="fr-CA"/>
        </w:rPr>
        <w:t>and</w:t>
      </w:r>
      <w:r w:rsidR="00CF0E5B" w:rsidRPr="002E35B4">
        <w:rPr>
          <w:lang w:eastAsia="fr-CA"/>
        </w:rPr>
        <w:t xml:space="preserve"> Benoît Moore </w:t>
      </w:r>
      <w:proofErr w:type="spellStart"/>
      <w:r w:rsidRPr="002E35B4">
        <w:rPr>
          <w:lang w:eastAsia="fr-CA"/>
        </w:rPr>
        <w:t>share</w:t>
      </w:r>
      <w:proofErr w:type="spellEnd"/>
      <w:r w:rsidRPr="002E35B4">
        <w:rPr>
          <w:lang w:eastAsia="fr-CA"/>
        </w:rPr>
        <w:t xml:space="preserve"> </w:t>
      </w:r>
      <w:proofErr w:type="spellStart"/>
      <w:r w:rsidRPr="002E35B4">
        <w:rPr>
          <w:lang w:eastAsia="fr-CA"/>
        </w:rPr>
        <w:t>that</w:t>
      </w:r>
      <w:proofErr w:type="spellEnd"/>
      <w:r w:rsidRPr="002E35B4">
        <w:rPr>
          <w:lang w:eastAsia="fr-CA"/>
        </w:rPr>
        <w:t xml:space="preserve"> </w:t>
      </w:r>
      <w:proofErr w:type="spellStart"/>
      <w:r w:rsidRPr="002E35B4">
        <w:rPr>
          <w:lang w:eastAsia="fr-CA"/>
        </w:rPr>
        <w:t>view</w:t>
      </w:r>
      <w:proofErr w:type="spellEnd"/>
      <w:r w:rsidR="00CF0E5B" w:rsidRPr="002E35B4">
        <w:rPr>
          <w:lang w:eastAsia="fr-CA"/>
        </w:rPr>
        <w:t xml:space="preserve">, </w:t>
      </w:r>
      <w:proofErr w:type="spellStart"/>
      <w:r w:rsidRPr="002E35B4">
        <w:rPr>
          <w:lang w:eastAsia="fr-CA"/>
        </w:rPr>
        <w:t>noting</w:t>
      </w:r>
      <w:proofErr w:type="spellEnd"/>
      <w:r w:rsidRPr="002E35B4">
        <w:rPr>
          <w:lang w:eastAsia="fr-CA"/>
        </w:rPr>
        <w:t xml:space="preserve"> </w:t>
      </w:r>
      <w:proofErr w:type="spellStart"/>
      <w:r w:rsidRPr="002E35B4">
        <w:rPr>
          <w:lang w:eastAsia="fr-CA"/>
        </w:rPr>
        <w:t>that</w:t>
      </w:r>
      <w:proofErr w:type="spellEnd"/>
      <w:r w:rsidRPr="002E35B4">
        <w:rPr>
          <w:lang w:eastAsia="fr-CA"/>
        </w:rPr>
        <w:t xml:space="preserve"> “</w:t>
      </w:r>
      <w:r w:rsidR="00CF0E5B" w:rsidRPr="002E35B4">
        <w:rPr>
          <w:i/>
          <w:iCs/>
          <w:lang w:eastAsia="fr-CA"/>
        </w:rPr>
        <w:t>la liberté contractuelle ne permet pas qu'une partie ayant rompu les négociations soit, par la suite, obligée de les reprendre contre son gré</w:t>
      </w:r>
      <w:r w:rsidRPr="002E35B4">
        <w:rPr>
          <w:lang w:eastAsia="fr-CA"/>
        </w:rPr>
        <w:t>.”</w:t>
      </w:r>
      <w:r w:rsidR="00CF0E5B" w:rsidRPr="00700A2E">
        <w:rPr>
          <w:rStyle w:val="Appelnotedebasdep"/>
          <w:lang w:val="en-CA" w:eastAsia="fr-CA"/>
        </w:rPr>
        <w:footnoteReference w:id="50"/>
      </w:r>
    </w:p>
    <w:p w14:paraId="36B47D7B" w14:textId="5794FD6A" w:rsidR="00CF0E5B" w:rsidRPr="00700A2E" w:rsidRDefault="0093270D" w:rsidP="00CF0E5B">
      <w:pPr>
        <w:pStyle w:val="Paragraphe"/>
        <w:rPr>
          <w:lang w:val="en-CA"/>
        </w:rPr>
      </w:pPr>
      <w:r>
        <w:rPr>
          <w:lang w:val="en-CA" w:eastAsia="fr-CA"/>
        </w:rPr>
        <w:t xml:space="preserve">Without answering the question </w:t>
      </w:r>
      <w:r w:rsidR="00D64E8F">
        <w:rPr>
          <w:lang w:val="en-CA" w:eastAsia="fr-CA"/>
        </w:rPr>
        <w:t>as</w:t>
      </w:r>
      <w:r w:rsidR="001B3FD1">
        <w:rPr>
          <w:lang w:val="en-CA" w:eastAsia="fr-CA"/>
        </w:rPr>
        <w:t xml:space="preserve"> definitively, I doubt that the forced specific performance of the duty to negotiate in good faith can be effective</w:t>
      </w:r>
      <w:r w:rsidR="00CF0E5B" w:rsidRPr="00700A2E">
        <w:rPr>
          <w:lang w:val="en-CA" w:eastAsia="fr-CA"/>
        </w:rPr>
        <w:t xml:space="preserve">. </w:t>
      </w:r>
      <w:proofErr w:type="gramStart"/>
      <w:r w:rsidR="001B3FD1">
        <w:rPr>
          <w:lang w:val="en-CA" w:eastAsia="fr-CA"/>
        </w:rPr>
        <w:t>More often than not</w:t>
      </w:r>
      <w:proofErr w:type="gramEnd"/>
      <w:r w:rsidR="001B3FD1">
        <w:rPr>
          <w:lang w:val="en-CA" w:eastAsia="fr-CA"/>
        </w:rPr>
        <w:t xml:space="preserve">, under the freedom to contract principle, that mode of performance risks bringing the </w:t>
      </w:r>
      <w:r w:rsidR="001B3FD1">
        <w:rPr>
          <w:lang w:val="en-CA" w:eastAsia="fr-CA"/>
        </w:rPr>
        <w:lastRenderedPageBreak/>
        <w:t>parties back to square one</w:t>
      </w:r>
      <w:r w:rsidR="00CF0E5B" w:rsidRPr="00700A2E">
        <w:rPr>
          <w:lang w:val="en-CA" w:eastAsia="fr-CA"/>
        </w:rPr>
        <w:t xml:space="preserve">. </w:t>
      </w:r>
      <w:r w:rsidR="001B3FD1">
        <w:rPr>
          <w:lang w:val="en-CA" w:eastAsia="fr-CA"/>
        </w:rPr>
        <w:t>Generally</w:t>
      </w:r>
      <w:r w:rsidR="00CF0E5B" w:rsidRPr="00700A2E">
        <w:rPr>
          <w:lang w:val="en-CA" w:eastAsia="fr-CA"/>
        </w:rPr>
        <w:t xml:space="preserve">, </w:t>
      </w:r>
      <w:r w:rsidR="001B3FD1">
        <w:rPr>
          <w:lang w:val="en-CA" w:eastAsia="fr-CA"/>
        </w:rPr>
        <w:t>when a party breaches its duty to act in good faith, the appropriate remedy will be a</w:t>
      </w:r>
      <w:r w:rsidR="00061DC0">
        <w:rPr>
          <w:lang w:val="en-CA" w:eastAsia="fr-CA"/>
        </w:rPr>
        <w:t>n award of</w:t>
      </w:r>
      <w:r w:rsidR="001B3FD1">
        <w:rPr>
          <w:lang w:val="en-CA" w:eastAsia="fr-CA"/>
        </w:rPr>
        <w:t xml:space="preserve"> damage</w:t>
      </w:r>
      <w:r w:rsidR="00061DC0">
        <w:rPr>
          <w:lang w:val="en-CA" w:eastAsia="fr-CA"/>
        </w:rPr>
        <w:t>s,</w:t>
      </w:r>
      <w:r w:rsidR="001B3FD1">
        <w:rPr>
          <w:lang w:val="en-CA" w:eastAsia="fr-CA"/>
        </w:rPr>
        <w:t xml:space="preserve"> </w:t>
      </w:r>
      <w:r w:rsidR="00061DC0">
        <w:rPr>
          <w:lang w:val="en-CA" w:eastAsia="fr-CA"/>
        </w:rPr>
        <w:t>rather than</w:t>
      </w:r>
      <w:r w:rsidR="001B3FD1">
        <w:rPr>
          <w:lang w:val="en-CA" w:eastAsia="fr-CA"/>
        </w:rPr>
        <w:t xml:space="preserve"> specific performance of the duty</w:t>
      </w:r>
      <w:r w:rsidR="00CF0E5B" w:rsidRPr="00700A2E">
        <w:rPr>
          <w:lang w:val="en-CA"/>
        </w:rPr>
        <w:t>.</w:t>
      </w:r>
    </w:p>
    <w:p w14:paraId="453EADED" w14:textId="77777777" w:rsidR="00CF0E5B" w:rsidRPr="00700A2E" w:rsidRDefault="00CF0E5B" w:rsidP="00CF0E5B">
      <w:pPr>
        <w:pStyle w:val="Titre1"/>
        <w:rPr>
          <w:lang w:val="en-CA"/>
        </w:rPr>
      </w:pPr>
      <w:r w:rsidRPr="00700A2E">
        <w:rPr>
          <w:lang w:val="en-CA"/>
        </w:rPr>
        <w:t>Conclusion</w:t>
      </w:r>
    </w:p>
    <w:p w14:paraId="10A33990" w14:textId="285FE23A" w:rsidR="00CF0E5B" w:rsidRPr="00700A2E" w:rsidRDefault="00D64E8F" w:rsidP="00CF0E5B">
      <w:pPr>
        <w:pStyle w:val="Paragraphe"/>
        <w:rPr>
          <w:lang w:val="en-CA"/>
        </w:rPr>
      </w:pPr>
      <w:r>
        <w:rPr>
          <w:lang w:val="en-CA"/>
        </w:rPr>
        <w:t>For these reasons, I would allow the Owner’s appeal, quash the judgment in first instance and dismiss the Lessee’s originating application</w:t>
      </w:r>
      <w:r w:rsidR="00CF0E5B" w:rsidRPr="00700A2E">
        <w:rPr>
          <w:lang w:val="en-CA"/>
        </w:rPr>
        <w:t xml:space="preserve">. </w:t>
      </w:r>
      <w:r w:rsidR="00FE1F52">
        <w:rPr>
          <w:lang w:val="en-CA"/>
        </w:rPr>
        <w:t>The Court</w:t>
      </w:r>
      <w:r>
        <w:rPr>
          <w:lang w:val="en-CA"/>
        </w:rPr>
        <w:t xml:space="preserve"> should take note</w:t>
      </w:r>
      <w:r w:rsidR="00FE1F52">
        <w:rPr>
          <w:lang w:val="en-CA"/>
        </w:rPr>
        <w:t xml:space="preserve"> of the Owner’s offer</w:t>
      </w:r>
      <w:r w:rsidR="00CF0E5B" w:rsidRPr="00700A2E">
        <w:rPr>
          <w:lang w:val="en-CA"/>
        </w:rPr>
        <w:t xml:space="preserve"> </w:t>
      </w:r>
      <w:r w:rsidR="00FE1F52">
        <w:rPr>
          <w:lang w:val="en-CA"/>
        </w:rPr>
        <w:t xml:space="preserve">to allow the Lessee to occupy the Leased Premises until May 31, 2025, for a base rent </w:t>
      </w:r>
      <w:r w:rsidR="00FE1F52" w:rsidRPr="00430279">
        <w:rPr>
          <w:lang w:val="en-CA"/>
        </w:rPr>
        <w:t>of $</w:t>
      </w:r>
      <w:r w:rsidR="00CF0E5B" w:rsidRPr="00430279">
        <w:rPr>
          <w:lang w:val="en-CA"/>
        </w:rPr>
        <w:t>10</w:t>
      </w:r>
      <w:r w:rsidR="00FE1F52" w:rsidRPr="00430279">
        <w:rPr>
          <w:lang w:val="en-CA"/>
        </w:rPr>
        <w:t>.</w:t>
      </w:r>
      <w:r w:rsidR="00873787" w:rsidRPr="00430279">
        <w:rPr>
          <w:u w:val="single"/>
          <w:lang w:val="en-CA"/>
        </w:rPr>
        <w:t>50</w:t>
      </w:r>
      <w:r w:rsidR="00CF0E5B" w:rsidRPr="00430279">
        <w:rPr>
          <w:lang w:val="en-CA"/>
        </w:rPr>
        <w:t> </w:t>
      </w:r>
      <w:r w:rsidR="00FE1F52" w:rsidRPr="00430279">
        <w:rPr>
          <w:lang w:val="en-CA"/>
        </w:rPr>
        <w:t>per</w:t>
      </w:r>
      <w:r w:rsidR="00FE1F52">
        <w:rPr>
          <w:lang w:val="en-CA"/>
        </w:rPr>
        <w:t xml:space="preserve"> square foot</w:t>
      </w:r>
      <w:r w:rsidR="00CF0E5B" w:rsidRPr="00700A2E">
        <w:rPr>
          <w:lang w:val="en-CA"/>
        </w:rPr>
        <w:t xml:space="preserve">. </w:t>
      </w:r>
      <w:r w:rsidR="00FE1F52">
        <w:rPr>
          <w:lang w:val="en-CA"/>
        </w:rPr>
        <w:t>Finally, I would dismiss the Lessee’s incidental appeal</w:t>
      </w:r>
      <w:r w:rsidR="00CF0E5B" w:rsidRPr="00700A2E">
        <w:rPr>
          <w:lang w:val="en-CA"/>
        </w:rPr>
        <w:t xml:space="preserve">. </w:t>
      </w:r>
      <w:r w:rsidR="00FE1F52">
        <w:rPr>
          <w:lang w:val="en-CA"/>
        </w:rPr>
        <w:t xml:space="preserve">The whole, with legal costs against </w:t>
      </w:r>
      <w:r w:rsidR="00784A26">
        <w:rPr>
          <w:lang w:val="en-CA"/>
        </w:rPr>
        <w:t xml:space="preserve">the </w:t>
      </w:r>
      <w:r w:rsidR="00FE1F52">
        <w:rPr>
          <w:lang w:val="en-CA"/>
        </w:rPr>
        <w:t xml:space="preserve">Lessee, </w:t>
      </w:r>
      <w:r w:rsidR="00FE1F52" w:rsidRPr="00FE1F52">
        <w:rPr>
          <w:lang w:val="en-CA"/>
        </w:rPr>
        <w:t>both in first instance and on appeal</w:t>
      </w:r>
      <w:r w:rsidR="00CF0E5B" w:rsidRPr="00700A2E">
        <w:rPr>
          <w:lang w:val="en-CA"/>
        </w:rPr>
        <w:t>.</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CF0E5B" w:rsidRPr="00430279" w14:paraId="263A597D" w14:textId="77777777" w:rsidTr="00E8282E">
        <w:trPr>
          <w:cantSplit/>
          <w:trHeight w:val="513"/>
        </w:trPr>
        <w:tc>
          <w:tcPr>
            <w:tcW w:w="9360" w:type="dxa"/>
            <w:gridSpan w:val="2"/>
          </w:tcPr>
          <w:p w14:paraId="60E40255" w14:textId="77777777" w:rsidR="00CF0E5B" w:rsidRPr="00700A2E" w:rsidRDefault="00CF0E5B" w:rsidP="00E8282E">
            <w:pPr>
              <w:keepNext/>
              <w:rPr>
                <w:lang w:val="en-CA"/>
              </w:rPr>
            </w:pPr>
          </w:p>
        </w:tc>
      </w:tr>
      <w:tr w:rsidR="00CF0E5B" w:rsidRPr="00430279" w14:paraId="4DE936EB" w14:textId="77777777" w:rsidTr="00E8282E">
        <w:trPr>
          <w:cantSplit/>
          <w:trHeight w:val="277"/>
        </w:trPr>
        <w:tc>
          <w:tcPr>
            <w:tcW w:w="4735" w:type="dxa"/>
            <w:vMerge w:val="restart"/>
          </w:tcPr>
          <w:p w14:paraId="2787C563" w14:textId="77777777" w:rsidR="00CF0E5B" w:rsidRPr="00700A2E" w:rsidRDefault="00CF0E5B" w:rsidP="00E8282E">
            <w:pPr>
              <w:keepNext/>
              <w:rPr>
                <w:lang w:val="en-CA"/>
              </w:rPr>
            </w:pPr>
          </w:p>
        </w:tc>
        <w:tc>
          <w:tcPr>
            <w:tcW w:w="4625" w:type="dxa"/>
            <w:tcBorders>
              <w:bottom w:val="single" w:sz="8" w:space="0" w:color="auto"/>
            </w:tcBorders>
          </w:tcPr>
          <w:p w14:paraId="1EAC2A8D" w14:textId="77777777" w:rsidR="00CF0E5B" w:rsidRPr="00700A2E" w:rsidRDefault="00CF0E5B" w:rsidP="00E8282E">
            <w:pPr>
              <w:keepNext/>
              <w:rPr>
                <w:lang w:val="en-CA"/>
              </w:rPr>
            </w:pPr>
          </w:p>
        </w:tc>
      </w:tr>
      <w:tr w:rsidR="00CF0E5B" w:rsidRPr="00700A2E" w14:paraId="192E3C4A" w14:textId="77777777" w:rsidTr="00E8282E">
        <w:trPr>
          <w:cantSplit/>
          <w:trHeight w:val="276"/>
        </w:trPr>
        <w:tc>
          <w:tcPr>
            <w:tcW w:w="4735" w:type="dxa"/>
            <w:vMerge/>
          </w:tcPr>
          <w:p w14:paraId="06ECAB18" w14:textId="77777777" w:rsidR="00CF0E5B" w:rsidRPr="00700A2E" w:rsidRDefault="00CF0E5B" w:rsidP="00E8282E">
            <w:pPr>
              <w:keepNext/>
              <w:rPr>
                <w:lang w:val="en-CA"/>
              </w:rPr>
            </w:pPr>
          </w:p>
        </w:tc>
        <w:tc>
          <w:tcPr>
            <w:tcW w:w="4625" w:type="dxa"/>
          </w:tcPr>
          <w:p w14:paraId="406C6367" w14:textId="5134EAE7" w:rsidR="00CF0E5B" w:rsidRPr="00700A2E" w:rsidRDefault="00FE1F52" w:rsidP="00E8282E">
            <w:pPr>
              <w:keepNext/>
              <w:rPr>
                <w:lang w:val="en-CA"/>
              </w:rPr>
            </w:pPr>
            <w:r>
              <w:rPr>
                <w:lang w:val="en-CA"/>
              </w:rPr>
              <w:t>SUZANNE GAGNÉ, J.A.</w:t>
            </w:r>
          </w:p>
        </w:tc>
      </w:tr>
      <w:bookmarkEnd w:id="11"/>
    </w:tbl>
    <w:p w14:paraId="2B3A951C" w14:textId="77777777" w:rsidR="00740A17" w:rsidRPr="00700A2E" w:rsidRDefault="00740A17" w:rsidP="00E3219B">
      <w:pPr>
        <w:rPr>
          <w:lang w:val="en-CA"/>
        </w:rPr>
      </w:pPr>
    </w:p>
    <w:sectPr w:rsidR="00740A17" w:rsidRPr="00700A2E" w:rsidSect="00CF0E5B">
      <w:headerReference w:type="default" r:id="rId10"/>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920E" w14:textId="77777777" w:rsidR="008C12B4" w:rsidRDefault="008C12B4">
      <w:r>
        <w:separator/>
      </w:r>
    </w:p>
  </w:endnote>
  <w:endnote w:type="continuationSeparator" w:id="0">
    <w:p w14:paraId="3D638EC6" w14:textId="77777777" w:rsidR="008C12B4" w:rsidRDefault="008C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FC93" w14:textId="581A875D" w:rsidR="00897B93" w:rsidRPr="00897B93" w:rsidRDefault="00897B93" w:rsidP="00897B93">
    <w:pPr>
      <w:pStyle w:val="Pieddepage"/>
      <w:jc w:val="right"/>
      <w:rPr>
        <w:lang w:val="en-CA"/>
      </w:rPr>
    </w:pPr>
    <w:r w:rsidRPr="00897B93">
      <w:rPr>
        <w:lang w:val="en-CA"/>
      </w:rPr>
      <w:t>English translation of the judgment o</w:t>
    </w:r>
    <w:r>
      <w:rPr>
        <w:lang w:val="en-CA"/>
      </w:rPr>
      <w:t>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2112" w14:textId="77777777" w:rsidR="008C12B4" w:rsidRDefault="008C12B4">
      <w:r>
        <w:separator/>
      </w:r>
    </w:p>
  </w:footnote>
  <w:footnote w:type="continuationSeparator" w:id="0">
    <w:p w14:paraId="26A8349B" w14:textId="77777777" w:rsidR="008C12B4" w:rsidRDefault="008C12B4">
      <w:r>
        <w:continuationSeparator/>
      </w:r>
    </w:p>
  </w:footnote>
  <w:footnote w:id="1">
    <w:p w14:paraId="55E17224" w14:textId="73157EA1" w:rsidR="00CF0E5B" w:rsidRPr="009C06C7" w:rsidRDefault="00CF0E5B" w:rsidP="00CF0E5B">
      <w:pPr>
        <w:pStyle w:val="Notedebasdepage"/>
        <w:rPr>
          <w:lang w:val="en-CA"/>
        </w:rPr>
      </w:pPr>
      <w:r>
        <w:rPr>
          <w:rStyle w:val="Appelnotedebasdep"/>
        </w:rPr>
        <w:footnoteRef/>
      </w:r>
      <w:r w:rsidRPr="009C06C7">
        <w:rPr>
          <w:lang w:val="en-CA"/>
        </w:rPr>
        <w:t xml:space="preserve"> </w:t>
      </w:r>
      <w:r w:rsidRPr="009C06C7">
        <w:rPr>
          <w:lang w:val="en-CA"/>
        </w:rPr>
        <w:tab/>
      </w:r>
      <w:r w:rsidRPr="009C06C7">
        <w:rPr>
          <w:i/>
          <w:iCs/>
          <w:lang w:val="en-CA"/>
        </w:rPr>
        <w:t>Pival International inc. c. 2177 23rd Avenue Holdings</w:t>
      </w:r>
      <w:r w:rsidRPr="009C06C7">
        <w:rPr>
          <w:lang w:val="en-CA"/>
        </w:rPr>
        <w:t>, 2023 QCCS 3096 [Ju</w:t>
      </w:r>
      <w:r w:rsidR="009C06C7" w:rsidRPr="009C06C7">
        <w:rPr>
          <w:lang w:val="en-CA"/>
        </w:rPr>
        <w:t>dg</w:t>
      </w:r>
      <w:r w:rsidRPr="009C06C7">
        <w:rPr>
          <w:lang w:val="en-CA"/>
        </w:rPr>
        <w:t xml:space="preserve">ment </w:t>
      </w:r>
      <w:r w:rsidR="009C06C7" w:rsidRPr="009C06C7">
        <w:rPr>
          <w:lang w:val="en-CA"/>
        </w:rPr>
        <w:t>under appeal</w:t>
      </w:r>
      <w:r w:rsidRPr="009C06C7">
        <w:rPr>
          <w:lang w:val="en-CA"/>
        </w:rPr>
        <w:t>].</w:t>
      </w:r>
    </w:p>
  </w:footnote>
  <w:footnote w:id="2">
    <w:p w14:paraId="44E4BC06" w14:textId="3D81A1AD" w:rsidR="00CF0E5B" w:rsidRPr="009C06C7" w:rsidRDefault="00CF0E5B" w:rsidP="00CF0E5B">
      <w:pPr>
        <w:pStyle w:val="Notedebasdepage"/>
        <w:rPr>
          <w:lang w:val="en-CA"/>
        </w:rPr>
      </w:pPr>
      <w:r>
        <w:rPr>
          <w:rStyle w:val="Appelnotedebasdep"/>
        </w:rPr>
        <w:footnoteRef/>
      </w:r>
      <w:r w:rsidRPr="009C06C7">
        <w:rPr>
          <w:lang w:val="en-CA"/>
        </w:rPr>
        <w:t xml:space="preserve"> </w:t>
      </w:r>
      <w:r w:rsidRPr="009C06C7">
        <w:rPr>
          <w:lang w:val="en-CA"/>
        </w:rPr>
        <w:tab/>
      </w:r>
      <w:r w:rsidR="009C06C7" w:rsidRPr="009C06C7">
        <w:rPr>
          <w:lang w:val="en-CA"/>
        </w:rPr>
        <w:t>With this amendment, the parties agree</w:t>
      </w:r>
      <w:r w:rsidR="00D62286">
        <w:rPr>
          <w:lang w:val="en-CA"/>
        </w:rPr>
        <w:t>d</w:t>
      </w:r>
      <w:r w:rsidR="009C06C7" w:rsidRPr="009C06C7">
        <w:rPr>
          <w:lang w:val="en-CA"/>
        </w:rPr>
        <w:t xml:space="preserve"> to extend the lease term to December 31, 2022. </w:t>
      </w:r>
      <w:proofErr w:type="gramStart"/>
      <w:r w:rsidR="009C06C7" w:rsidRPr="009C06C7">
        <w:rPr>
          <w:lang w:val="en-CA"/>
        </w:rPr>
        <w:t>With the exception of</w:t>
      </w:r>
      <w:proofErr w:type="gramEnd"/>
      <w:r w:rsidR="009C06C7" w:rsidRPr="009C06C7">
        <w:rPr>
          <w:lang w:val="en-CA"/>
        </w:rPr>
        <w:t xml:space="preserve"> this new term, the terms of the 2016 lease remain</w:t>
      </w:r>
      <w:r w:rsidR="00D62286">
        <w:rPr>
          <w:lang w:val="en-CA"/>
        </w:rPr>
        <w:t>ed</w:t>
      </w:r>
      <w:r w:rsidR="009C06C7" w:rsidRPr="009C06C7">
        <w:rPr>
          <w:lang w:val="en-CA"/>
        </w:rPr>
        <w:t xml:space="preserve"> essentially unchanged.</w:t>
      </w:r>
    </w:p>
  </w:footnote>
  <w:footnote w:id="3">
    <w:p w14:paraId="160E1011" w14:textId="40FDCBF0" w:rsidR="00CF0E5B" w:rsidRPr="009C06C7" w:rsidRDefault="00CF0E5B" w:rsidP="00CF0E5B">
      <w:pPr>
        <w:pStyle w:val="Notedebasdepage"/>
        <w:rPr>
          <w:lang w:val="en-CA"/>
        </w:rPr>
      </w:pPr>
      <w:r>
        <w:rPr>
          <w:rStyle w:val="Appelnotedebasdep"/>
        </w:rPr>
        <w:footnoteRef/>
      </w:r>
      <w:r w:rsidRPr="009C06C7">
        <w:rPr>
          <w:lang w:val="en-CA"/>
        </w:rPr>
        <w:tab/>
      </w:r>
      <w:r w:rsidR="009C06C7" w:rsidRPr="009C06C7">
        <w:rPr>
          <w:lang w:val="en-CA"/>
        </w:rPr>
        <w:t>As the trial judge noted, renewal of the lease for an additional five-year period would end on December</w:t>
      </w:r>
      <w:r w:rsidR="00D62286">
        <w:rPr>
          <w:lang w:val="en-CA"/>
        </w:rPr>
        <w:t> </w:t>
      </w:r>
      <w:r w:rsidR="009C06C7" w:rsidRPr="009C06C7">
        <w:rPr>
          <w:lang w:val="en-CA"/>
        </w:rPr>
        <w:t>31, 2027, not December 31, 2028.</w:t>
      </w:r>
    </w:p>
  </w:footnote>
  <w:footnote w:id="4">
    <w:p w14:paraId="348B2681" w14:textId="04962C1A" w:rsidR="00CF0E5B" w:rsidRPr="0075387F" w:rsidRDefault="00CF0E5B" w:rsidP="00CF0E5B">
      <w:pPr>
        <w:pStyle w:val="Notedebasdepage"/>
        <w:rPr>
          <w:lang w:val="en-CA"/>
        </w:rPr>
      </w:pPr>
      <w:r>
        <w:rPr>
          <w:rStyle w:val="Appelnotedebasdep"/>
        </w:rPr>
        <w:footnoteRef/>
      </w:r>
      <w:r w:rsidRPr="0075387F">
        <w:rPr>
          <w:lang w:val="en-CA"/>
        </w:rPr>
        <w:t xml:space="preserve"> </w:t>
      </w:r>
      <w:r w:rsidRPr="0075387F">
        <w:rPr>
          <w:lang w:val="en-CA"/>
        </w:rPr>
        <w:tab/>
      </w:r>
      <w:r w:rsidR="009C06C7">
        <w:rPr>
          <w:lang w:val="en-CA"/>
        </w:rPr>
        <w:t>Exhibit</w:t>
      </w:r>
      <w:r w:rsidRPr="0075387F">
        <w:rPr>
          <w:lang w:val="en-CA"/>
        </w:rPr>
        <w:t xml:space="preserve"> P-3, Lease Modification executed</w:t>
      </w:r>
      <w:r>
        <w:rPr>
          <w:lang w:val="en-CA"/>
        </w:rPr>
        <w:t xml:space="preserve"> in July 2017 regarding the commercial property situated at 2177 23</w:t>
      </w:r>
      <w:r>
        <w:rPr>
          <w:vertAlign w:val="superscript"/>
          <w:lang w:val="en-CA"/>
        </w:rPr>
        <w:t>rd</w:t>
      </w:r>
      <w:r>
        <w:rPr>
          <w:lang w:val="en-CA"/>
        </w:rPr>
        <w:t xml:space="preserve"> Avenue, Montreal, Quebec, p. 3-4.</w:t>
      </w:r>
    </w:p>
  </w:footnote>
  <w:footnote w:id="5">
    <w:p w14:paraId="595103E5" w14:textId="63859964" w:rsidR="00CF0E5B" w:rsidRPr="009C06C7" w:rsidRDefault="00CF0E5B" w:rsidP="00CF0E5B">
      <w:pPr>
        <w:pStyle w:val="Notedebasdepage"/>
        <w:rPr>
          <w:lang w:val="en-CA"/>
        </w:rPr>
      </w:pPr>
      <w:r>
        <w:rPr>
          <w:rStyle w:val="Appelnotedebasdep"/>
        </w:rPr>
        <w:footnoteRef/>
      </w:r>
      <w:r w:rsidRPr="009C06C7">
        <w:rPr>
          <w:lang w:val="en-CA"/>
        </w:rPr>
        <w:tab/>
      </w:r>
      <w:r w:rsidR="009C06C7" w:rsidRPr="009C06C7">
        <w:rPr>
          <w:lang w:val="en-CA"/>
        </w:rPr>
        <w:t>Mr. Racine</w:t>
      </w:r>
      <w:r w:rsidR="009C06C7">
        <w:rPr>
          <w:lang w:val="en-CA"/>
        </w:rPr>
        <w:t>’</w:t>
      </w:r>
      <w:r w:rsidR="009C06C7" w:rsidRPr="009C06C7">
        <w:rPr>
          <w:lang w:val="en-CA"/>
        </w:rPr>
        <w:t>s exact title is Executive Vice President, Office and Industrial Leasing.</w:t>
      </w:r>
    </w:p>
  </w:footnote>
  <w:footnote w:id="6">
    <w:p w14:paraId="140F4AA6" w14:textId="464D1B67" w:rsidR="00CF0E5B" w:rsidRPr="00D62286" w:rsidRDefault="00CF0E5B" w:rsidP="00CF0E5B">
      <w:pPr>
        <w:pStyle w:val="Notedebasdepage"/>
      </w:pPr>
      <w:r>
        <w:rPr>
          <w:rStyle w:val="Appelnotedebasdep"/>
        </w:rPr>
        <w:footnoteRef/>
      </w:r>
      <w:r w:rsidRPr="009C06C7">
        <w:rPr>
          <w:lang w:val="en-CA"/>
        </w:rPr>
        <w:tab/>
      </w:r>
      <w:r w:rsidR="009C06C7" w:rsidRPr="009C06C7">
        <w:rPr>
          <w:lang w:val="en-CA"/>
        </w:rPr>
        <w:t>According to Mr. La Barbera</w:t>
      </w:r>
      <w:r w:rsidR="00D62286">
        <w:rPr>
          <w:lang w:val="en-CA"/>
        </w:rPr>
        <w:t>’</w:t>
      </w:r>
      <w:r w:rsidR="009C06C7" w:rsidRPr="009C06C7">
        <w:rPr>
          <w:lang w:val="en-CA"/>
        </w:rPr>
        <w:t xml:space="preserve">s testimony. For his part, Mr. Racine does not recall any specific discussion on this subject. </w:t>
      </w:r>
      <w:r w:rsidR="009C06C7" w:rsidRPr="00D62286">
        <w:t xml:space="preserve">He </w:t>
      </w:r>
      <w:proofErr w:type="spellStart"/>
      <w:r w:rsidR="009C06C7" w:rsidRPr="00D62286">
        <w:t>does</w:t>
      </w:r>
      <w:proofErr w:type="spellEnd"/>
      <w:r w:rsidR="009C06C7" w:rsidRPr="00D62286">
        <w:t xml:space="preserve">, </w:t>
      </w:r>
      <w:proofErr w:type="spellStart"/>
      <w:r w:rsidR="009C06C7" w:rsidRPr="00D62286">
        <w:t>however</w:t>
      </w:r>
      <w:proofErr w:type="spellEnd"/>
      <w:r w:rsidR="009C06C7" w:rsidRPr="00D62286">
        <w:t xml:space="preserve">, </w:t>
      </w:r>
      <w:proofErr w:type="spellStart"/>
      <w:r w:rsidR="009C06C7" w:rsidRPr="00D62286">
        <w:t>agree</w:t>
      </w:r>
      <w:proofErr w:type="spellEnd"/>
      <w:r w:rsidR="009C06C7" w:rsidRPr="00D62286">
        <w:t xml:space="preserve"> </w:t>
      </w:r>
      <w:proofErr w:type="spellStart"/>
      <w:r w:rsidR="009C06C7" w:rsidRPr="00D62286">
        <w:t>that</w:t>
      </w:r>
      <w:proofErr w:type="spellEnd"/>
      <w:r w:rsidR="009C06C7" w:rsidRPr="00D62286">
        <w:t xml:space="preserve"> if Mr. La Barbera sent </w:t>
      </w:r>
      <w:proofErr w:type="spellStart"/>
      <w:r w:rsidR="009C06C7" w:rsidRPr="00D62286">
        <w:t>him</w:t>
      </w:r>
      <w:proofErr w:type="spellEnd"/>
      <w:r w:rsidR="009C06C7" w:rsidRPr="00D62286">
        <w:t xml:space="preserve"> a </w:t>
      </w:r>
      <w:proofErr w:type="spellStart"/>
      <w:r w:rsidR="009C06C7" w:rsidRPr="00D62286">
        <w:t>proposal</w:t>
      </w:r>
      <w:proofErr w:type="spellEnd"/>
      <w:r w:rsidR="009C06C7" w:rsidRPr="00D62286">
        <w:t xml:space="preserve">, </w:t>
      </w:r>
      <w:r w:rsidR="00D62286" w:rsidRPr="00D62286">
        <w:t>“</w:t>
      </w:r>
      <w:r w:rsidR="00D62286" w:rsidRPr="00CC6B2C">
        <w:rPr>
          <w:i/>
          <w:iCs/>
        </w:rPr>
        <w:t>c’est que, probablement, il voulait possiblement exercer son option, mais ce n’est pas une confirmation qu’il l’exerce</w:t>
      </w:r>
      <w:r w:rsidR="009C06C7" w:rsidRPr="00D62286">
        <w:t>”</w:t>
      </w:r>
      <w:r w:rsidRPr="00D62286">
        <w:t>.</w:t>
      </w:r>
    </w:p>
  </w:footnote>
  <w:footnote w:id="7">
    <w:p w14:paraId="29AF8FB5" w14:textId="056AE96C" w:rsidR="00CF0E5B" w:rsidRPr="009C06C7" w:rsidRDefault="00CF0E5B" w:rsidP="00CF0E5B">
      <w:pPr>
        <w:pStyle w:val="Notedebasdepage"/>
        <w:rPr>
          <w:lang w:val="en-CA"/>
        </w:rPr>
      </w:pPr>
      <w:r>
        <w:rPr>
          <w:rStyle w:val="Appelnotedebasdep"/>
        </w:rPr>
        <w:footnoteRef/>
      </w:r>
      <w:r w:rsidRPr="009C06C7">
        <w:rPr>
          <w:lang w:val="en-CA"/>
        </w:rPr>
        <w:tab/>
      </w:r>
      <w:r w:rsidR="009C06C7" w:rsidRPr="009C06C7">
        <w:rPr>
          <w:lang w:val="en-CA"/>
        </w:rPr>
        <w:t>$9.50 / square foot for 2023-2024, $9.75 for 2025-2026 and $10 for 2027</w:t>
      </w:r>
      <w:r w:rsidRPr="009C06C7">
        <w:rPr>
          <w:lang w:val="en-CA"/>
        </w:rPr>
        <w:t>.</w:t>
      </w:r>
    </w:p>
  </w:footnote>
  <w:footnote w:id="8">
    <w:p w14:paraId="4F28DE95" w14:textId="2A6D1766" w:rsidR="00CF0E5B" w:rsidRPr="00687A1D" w:rsidRDefault="00CF0E5B" w:rsidP="00CF0E5B">
      <w:pPr>
        <w:pStyle w:val="Notedebasdepage"/>
        <w:rPr>
          <w:lang w:val="en-CA"/>
        </w:rPr>
      </w:pPr>
      <w:r>
        <w:rPr>
          <w:rStyle w:val="Appelnotedebasdep"/>
        </w:rPr>
        <w:footnoteRef/>
      </w:r>
      <w:r w:rsidRPr="00687A1D">
        <w:rPr>
          <w:lang w:val="en-CA"/>
        </w:rPr>
        <w:t xml:space="preserve"> </w:t>
      </w:r>
      <w:r w:rsidRPr="00BD6DA0">
        <w:rPr>
          <w:lang w:val="en-CA"/>
        </w:rPr>
        <w:tab/>
      </w:r>
      <w:r w:rsidR="00BD6DA0" w:rsidRPr="00BD6DA0">
        <w:rPr>
          <w:rStyle w:val="Corpsdutexte20"/>
          <w:sz w:val="20"/>
          <w:szCs w:val="20"/>
          <w:lang w:val="en-CA"/>
        </w:rPr>
        <w:t>Exhibit</w:t>
      </w:r>
      <w:r w:rsidRPr="00BD6DA0">
        <w:rPr>
          <w:lang w:val="en-CA"/>
        </w:rPr>
        <w:t xml:space="preserve"> P</w:t>
      </w:r>
      <w:r w:rsidRPr="00687A1D">
        <w:rPr>
          <w:lang w:val="en-CA"/>
        </w:rPr>
        <w:t xml:space="preserve">-8, </w:t>
      </w:r>
      <w:r w:rsidRPr="00A71D62">
        <w:rPr>
          <w:lang w:val="en-CA"/>
        </w:rPr>
        <w:t>Email sent on October 18</w:t>
      </w:r>
      <w:r w:rsidRPr="00A71D62">
        <w:rPr>
          <w:vertAlign w:val="superscript"/>
          <w:lang w:val="en-CA"/>
        </w:rPr>
        <w:t>th</w:t>
      </w:r>
      <w:r w:rsidRPr="00A71D62">
        <w:rPr>
          <w:lang w:val="en-CA"/>
        </w:rPr>
        <w:t xml:space="preserve">, </w:t>
      </w:r>
      <w:proofErr w:type="gramStart"/>
      <w:r w:rsidRPr="00A71D62">
        <w:rPr>
          <w:lang w:val="en-CA"/>
        </w:rPr>
        <w:t>2021</w:t>
      </w:r>
      <w:proofErr w:type="gramEnd"/>
      <w:r w:rsidRPr="00A71D62">
        <w:rPr>
          <w:lang w:val="en-CA"/>
        </w:rPr>
        <w:t xml:space="preserve"> by Mich</w:t>
      </w:r>
      <w:r>
        <w:rPr>
          <w:lang w:val="en-CA"/>
        </w:rPr>
        <w:t>a</w:t>
      </w:r>
      <w:r w:rsidRPr="00A71D62">
        <w:rPr>
          <w:lang w:val="en-CA"/>
        </w:rPr>
        <w:t>el Racine to Plaintiff containing a revised proposal</w:t>
      </w:r>
      <w:r w:rsidRPr="009312E7">
        <w:rPr>
          <w:lang w:val="en-CA"/>
        </w:rPr>
        <w:t>.</w:t>
      </w:r>
    </w:p>
  </w:footnote>
  <w:footnote w:id="9">
    <w:p w14:paraId="6DEFCD12" w14:textId="61261BEC" w:rsidR="00CF0E5B" w:rsidRPr="00C3083E" w:rsidRDefault="00CF0E5B" w:rsidP="00CF0E5B">
      <w:pPr>
        <w:pStyle w:val="Notedebasdepage"/>
        <w:rPr>
          <w:lang w:val="en-CA"/>
        </w:rPr>
      </w:pPr>
      <w:r>
        <w:rPr>
          <w:rStyle w:val="Appelnotedebasdep"/>
        </w:rPr>
        <w:footnoteRef/>
      </w:r>
      <w:r w:rsidRPr="00C3083E">
        <w:rPr>
          <w:lang w:val="en-CA"/>
        </w:rPr>
        <w:t xml:space="preserve"> </w:t>
      </w:r>
      <w:r w:rsidRPr="00C3083E">
        <w:rPr>
          <w:lang w:val="en-CA"/>
        </w:rPr>
        <w:tab/>
      </w:r>
      <w:r w:rsidR="009C06C7">
        <w:rPr>
          <w:lang w:val="en-CA"/>
        </w:rPr>
        <w:t>Exhibit</w:t>
      </w:r>
      <w:r w:rsidRPr="00C3083E">
        <w:rPr>
          <w:lang w:val="en-CA"/>
        </w:rPr>
        <w:t> P-11, Letter dated Decem</w:t>
      </w:r>
      <w:r>
        <w:rPr>
          <w:lang w:val="en-CA"/>
        </w:rPr>
        <w:t>ber 6</w:t>
      </w:r>
      <w:r>
        <w:rPr>
          <w:vertAlign w:val="superscript"/>
          <w:lang w:val="en-CA"/>
        </w:rPr>
        <w:t>th</w:t>
      </w:r>
      <w:r>
        <w:rPr>
          <w:lang w:val="en-CA"/>
        </w:rPr>
        <w:t>, 2021</w:t>
      </w:r>
      <w:r w:rsidR="00C06A83">
        <w:rPr>
          <w:lang w:val="en-CA"/>
        </w:rPr>
        <w:t>,</w:t>
      </w:r>
      <w:r>
        <w:rPr>
          <w:lang w:val="en-CA"/>
        </w:rPr>
        <w:t xml:space="preserve"> sent by Plaintiff’s attorneys to </w:t>
      </w:r>
      <w:proofErr w:type="spellStart"/>
      <w:r>
        <w:rPr>
          <w:lang w:val="en-CA"/>
        </w:rPr>
        <w:t>Cominar</w:t>
      </w:r>
      <w:proofErr w:type="spellEnd"/>
      <w:r>
        <w:rPr>
          <w:lang w:val="en-CA"/>
        </w:rPr>
        <w:t>.</w:t>
      </w:r>
    </w:p>
  </w:footnote>
  <w:footnote w:id="10">
    <w:p w14:paraId="239B2EAA" w14:textId="699F7B1D" w:rsidR="00CF0E5B" w:rsidRPr="00EB112F" w:rsidRDefault="00CF0E5B" w:rsidP="00CF0E5B">
      <w:pPr>
        <w:pStyle w:val="Notedebasdepage"/>
        <w:rPr>
          <w:lang w:val="en-CA"/>
        </w:rPr>
      </w:pPr>
      <w:r>
        <w:rPr>
          <w:rStyle w:val="Appelnotedebasdep"/>
        </w:rPr>
        <w:footnoteRef/>
      </w:r>
      <w:r w:rsidRPr="00C3083E">
        <w:rPr>
          <w:lang w:val="en-CA"/>
        </w:rPr>
        <w:t xml:space="preserve"> </w:t>
      </w:r>
      <w:r w:rsidRPr="00C3083E">
        <w:rPr>
          <w:lang w:val="en-CA"/>
        </w:rPr>
        <w:tab/>
      </w:r>
      <w:r w:rsidR="009C06C7">
        <w:rPr>
          <w:lang w:val="en-CA"/>
        </w:rPr>
        <w:t>Exhibit</w:t>
      </w:r>
      <w:r w:rsidRPr="00EB112F">
        <w:rPr>
          <w:lang w:val="en-CA"/>
        </w:rPr>
        <w:t xml:space="preserve"> P-12, </w:t>
      </w:r>
      <w:r w:rsidRPr="00EB112F">
        <w:rPr>
          <w:rFonts w:cs="Arial"/>
          <w:szCs w:val="24"/>
          <w:lang w:val="en-CA" w:eastAsia="fr-CA"/>
        </w:rPr>
        <w:t>Email dated December 21</w:t>
      </w:r>
      <w:r w:rsidRPr="00922738">
        <w:rPr>
          <w:rFonts w:cs="Arial"/>
          <w:vertAlign w:val="superscript"/>
          <w:lang w:val="en-CA" w:eastAsia="fr-CA"/>
        </w:rPr>
        <w:t>st</w:t>
      </w:r>
      <w:r w:rsidRPr="00EB112F">
        <w:rPr>
          <w:rFonts w:ascii="ArialMT" w:hAnsi="ArialMT" w:cs="ArialMT"/>
          <w:szCs w:val="24"/>
          <w:lang w:val="en-CA" w:eastAsia="fr-CA"/>
        </w:rPr>
        <w:t>, 2021</w:t>
      </w:r>
      <w:r w:rsidR="00C06A83">
        <w:rPr>
          <w:rFonts w:ascii="ArialMT" w:hAnsi="ArialMT" w:cs="ArialMT"/>
          <w:szCs w:val="24"/>
          <w:lang w:val="en-CA" w:eastAsia="fr-CA"/>
        </w:rPr>
        <w:t>,</w:t>
      </w:r>
      <w:r w:rsidRPr="00EB112F">
        <w:rPr>
          <w:rFonts w:ascii="ArialMT" w:hAnsi="ArialMT" w:cs="ArialMT"/>
          <w:szCs w:val="24"/>
          <w:lang w:val="en-CA" w:eastAsia="fr-CA"/>
        </w:rPr>
        <w:t xml:space="preserve"> sent by </w:t>
      </w:r>
      <w:proofErr w:type="spellStart"/>
      <w:r w:rsidRPr="00EB112F">
        <w:rPr>
          <w:rFonts w:ascii="ArialMT" w:hAnsi="ArialMT" w:cs="ArialMT"/>
          <w:szCs w:val="24"/>
          <w:lang w:val="en-CA" w:eastAsia="fr-CA"/>
        </w:rPr>
        <w:t>Cominar</w:t>
      </w:r>
      <w:proofErr w:type="spellEnd"/>
      <w:r w:rsidRPr="00EB112F">
        <w:rPr>
          <w:rFonts w:ascii="ArialMT" w:hAnsi="ArialMT" w:cs="ArialMT"/>
          <w:szCs w:val="24"/>
          <w:lang w:val="en-CA" w:eastAsia="fr-CA"/>
        </w:rPr>
        <w:t xml:space="preserve"> to Plaintiff, p. </w:t>
      </w:r>
      <w:r>
        <w:rPr>
          <w:rFonts w:ascii="ArialMT" w:hAnsi="ArialMT" w:cs="ArialMT"/>
          <w:szCs w:val="24"/>
          <w:lang w:val="en-CA" w:eastAsia="fr-CA"/>
        </w:rPr>
        <w:t>1.</w:t>
      </w:r>
    </w:p>
    <w:p w14:paraId="135A04CE" w14:textId="77777777" w:rsidR="00CF0E5B" w:rsidRPr="00C3083E" w:rsidRDefault="00CF0E5B" w:rsidP="00CF0E5B">
      <w:pPr>
        <w:pStyle w:val="Notedebasdepage"/>
        <w:rPr>
          <w:lang w:val="en-CA"/>
        </w:rPr>
      </w:pPr>
    </w:p>
  </w:footnote>
  <w:footnote w:id="11">
    <w:p w14:paraId="7F770C87" w14:textId="6A078763" w:rsidR="00CF0E5B" w:rsidRDefault="00CF0E5B" w:rsidP="00CF0E5B">
      <w:pPr>
        <w:pStyle w:val="Notedebasdepage"/>
      </w:pPr>
      <w:r>
        <w:rPr>
          <w:rStyle w:val="Appelnotedebasdep"/>
        </w:rPr>
        <w:footnoteRef/>
      </w:r>
      <w:r>
        <w:t xml:space="preserve"> </w:t>
      </w:r>
      <w:r>
        <w:tab/>
      </w:r>
      <w:r w:rsidRPr="00435417">
        <w:rPr>
          <w:i/>
          <w:iCs/>
        </w:rPr>
        <w:t xml:space="preserve">Syndicat national de </w:t>
      </w:r>
      <w:r>
        <w:rPr>
          <w:i/>
          <w:iCs/>
        </w:rPr>
        <w:t>l’</w:t>
      </w:r>
      <w:r w:rsidRPr="00435417">
        <w:rPr>
          <w:i/>
          <w:iCs/>
        </w:rPr>
        <w:t>automobile, de l</w:t>
      </w:r>
      <w:r>
        <w:rPr>
          <w:i/>
          <w:iCs/>
        </w:rPr>
        <w:t>’</w:t>
      </w:r>
      <w:r w:rsidRPr="00435417">
        <w:rPr>
          <w:i/>
          <w:iCs/>
        </w:rPr>
        <w:t>aérospatiale, du transport et des autres travailleuses et travailleurs du Canada (TCA-Canada), sections locales 187, 728, 1163 c. Brideau</w:t>
      </w:r>
      <w:r w:rsidRPr="00435417">
        <w:t xml:space="preserve">, </w:t>
      </w:r>
      <w:r w:rsidRPr="00A71D62">
        <w:t>2007 QCCA 805</w:t>
      </w:r>
      <w:r>
        <w:t>, par</w:t>
      </w:r>
      <w:r w:rsidR="009C06C7">
        <w:t>a</w:t>
      </w:r>
      <w:r>
        <w:t>. 42.</w:t>
      </w:r>
    </w:p>
  </w:footnote>
  <w:footnote w:id="12">
    <w:p w14:paraId="15289201" w14:textId="26BC6582" w:rsidR="00CF0E5B" w:rsidRDefault="00CF0E5B" w:rsidP="00CF0E5B">
      <w:pPr>
        <w:pStyle w:val="Notedebasdepage"/>
      </w:pPr>
      <w:r>
        <w:rPr>
          <w:rStyle w:val="Appelnotedebasdep"/>
        </w:rPr>
        <w:footnoteRef/>
      </w:r>
      <w:r>
        <w:tab/>
      </w:r>
      <w:proofErr w:type="spellStart"/>
      <w:r>
        <w:t>Ju</w:t>
      </w:r>
      <w:r w:rsidR="009C06C7">
        <w:t>d</w:t>
      </w:r>
      <w:r>
        <w:t>gment</w:t>
      </w:r>
      <w:proofErr w:type="spellEnd"/>
      <w:r>
        <w:t xml:space="preserve"> </w:t>
      </w:r>
      <w:proofErr w:type="spellStart"/>
      <w:r w:rsidR="009C06C7">
        <w:t>under</w:t>
      </w:r>
      <w:proofErr w:type="spellEnd"/>
      <w:r w:rsidR="009C06C7">
        <w:t xml:space="preserve"> </w:t>
      </w:r>
      <w:proofErr w:type="spellStart"/>
      <w:r w:rsidR="009C06C7">
        <w:t>appeal</w:t>
      </w:r>
      <w:proofErr w:type="spellEnd"/>
      <w:r>
        <w:t>, par</w:t>
      </w:r>
      <w:r w:rsidR="009C06C7">
        <w:t>as</w:t>
      </w:r>
      <w:r>
        <w:t>. 10-19.</w:t>
      </w:r>
    </w:p>
  </w:footnote>
  <w:footnote w:id="13">
    <w:p w14:paraId="5075E6B0" w14:textId="7DD02B99" w:rsidR="00CF0E5B" w:rsidRPr="00D62286" w:rsidRDefault="00CF0E5B" w:rsidP="00CF0E5B">
      <w:pPr>
        <w:pStyle w:val="Notedebasdepage"/>
      </w:pPr>
      <w:r>
        <w:rPr>
          <w:rStyle w:val="Appelnotedebasdep"/>
        </w:rPr>
        <w:footnoteRef/>
      </w:r>
      <w:r>
        <w:tab/>
      </w:r>
      <w:r w:rsidRPr="003D712A">
        <w:rPr>
          <w:i/>
          <w:iCs/>
        </w:rPr>
        <w:t xml:space="preserve">Place Lebourgneuf </w:t>
      </w:r>
      <w:proofErr w:type="spellStart"/>
      <w:r w:rsidRPr="003D712A">
        <w:rPr>
          <w:i/>
          <w:iCs/>
        </w:rPr>
        <w:t>inc.</w:t>
      </w:r>
      <w:proofErr w:type="spellEnd"/>
      <w:r w:rsidRPr="003D712A">
        <w:rPr>
          <w:i/>
          <w:iCs/>
        </w:rPr>
        <w:t xml:space="preserve"> c. Autodrome de Val Bélair </w:t>
      </w:r>
      <w:proofErr w:type="spellStart"/>
      <w:r w:rsidRPr="003D712A">
        <w:rPr>
          <w:i/>
          <w:iCs/>
        </w:rPr>
        <w:t>inc.</w:t>
      </w:r>
      <w:proofErr w:type="spellEnd"/>
      <w:r>
        <w:t xml:space="preserve">, [1985] C.A. 364, </w:t>
      </w:r>
      <w:r w:rsidRPr="00746314">
        <w:rPr>
          <w:rFonts w:cs="Arial"/>
        </w:rPr>
        <w:t>p. </w:t>
      </w:r>
      <w:r>
        <w:rPr>
          <w:rFonts w:cs="Arial"/>
        </w:rPr>
        <w:t>1 (</w:t>
      </w:r>
      <w:proofErr w:type="spellStart"/>
      <w:r w:rsidR="009C06C7">
        <w:rPr>
          <w:rFonts w:cs="Arial"/>
        </w:rPr>
        <w:t>reasons</w:t>
      </w:r>
      <w:proofErr w:type="spellEnd"/>
      <w:r w:rsidR="009C06C7">
        <w:rPr>
          <w:rFonts w:cs="Arial"/>
        </w:rPr>
        <w:t xml:space="preserve"> of</w:t>
      </w:r>
      <w:r>
        <w:rPr>
          <w:rFonts w:cs="Arial"/>
        </w:rPr>
        <w:t xml:space="preserve"> Nichols</w:t>
      </w:r>
      <w:r w:rsidR="009C06C7">
        <w:rPr>
          <w:rFonts w:cs="Arial"/>
        </w:rPr>
        <w:t xml:space="preserve"> J.A.</w:t>
      </w:r>
      <w:r>
        <w:rPr>
          <w:rFonts w:cs="Arial"/>
        </w:rPr>
        <w:t>)</w:t>
      </w:r>
      <w:r>
        <w:t xml:space="preserve">. </w:t>
      </w:r>
      <w:proofErr w:type="spellStart"/>
      <w:r w:rsidR="009C06C7" w:rsidRPr="00D62286">
        <w:t>See</w:t>
      </w:r>
      <w:proofErr w:type="spellEnd"/>
      <w:r w:rsidR="009C06C7" w:rsidRPr="00D62286">
        <w:t xml:space="preserve"> </w:t>
      </w:r>
      <w:proofErr w:type="spellStart"/>
      <w:r w:rsidR="009C06C7" w:rsidRPr="00D62286">
        <w:t>also</w:t>
      </w:r>
      <w:proofErr w:type="spellEnd"/>
      <w:r w:rsidRPr="00D62286">
        <w:t xml:space="preserve">: </w:t>
      </w:r>
      <w:r w:rsidRPr="00D62286">
        <w:rPr>
          <w:i/>
          <w:iCs/>
        </w:rPr>
        <w:t xml:space="preserve">Mutuelle des fonctionnaires du Québec c. Les immeubles G.C. Gagnon </w:t>
      </w:r>
      <w:proofErr w:type="spellStart"/>
      <w:r w:rsidRPr="00D62286">
        <w:rPr>
          <w:i/>
          <w:iCs/>
        </w:rPr>
        <w:t>inc.</w:t>
      </w:r>
      <w:proofErr w:type="spellEnd"/>
      <w:r w:rsidRPr="00D62286">
        <w:t xml:space="preserve">, 1997 CanLII 10674 (C.A.), </w:t>
      </w:r>
      <w:proofErr w:type="spellStart"/>
      <w:r w:rsidR="009C06C7" w:rsidRPr="00D62286">
        <w:t>where</w:t>
      </w:r>
      <w:proofErr w:type="spellEnd"/>
      <w:r w:rsidR="009C06C7" w:rsidRPr="00D62286">
        <w:t xml:space="preserve"> the option to </w:t>
      </w:r>
      <w:proofErr w:type="spellStart"/>
      <w:r w:rsidR="009C06C7" w:rsidRPr="00D62286">
        <w:t>renew</w:t>
      </w:r>
      <w:proofErr w:type="spellEnd"/>
      <w:r w:rsidR="009C06C7" w:rsidRPr="00D62286">
        <w:t xml:space="preserve"> the </w:t>
      </w:r>
      <w:proofErr w:type="spellStart"/>
      <w:r w:rsidR="009C06C7" w:rsidRPr="00D62286">
        <w:t>lease</w:t>
      </w:r>
      <w:proofErr w:type="spellEnd"/>
      <w:r w:rsidR="009C06C7" w:rsidRPr="00D62286">
        <w:t xml:space="preserve"> </w:t>
      </w:r>
      <w:proofErr w:type="spellStart"/>
      <w:r w:rsidR="009C06C7" w:rsidRPr="00D62286">
        <w:t>referred</w:t>
      </w:r>
      <w:proofErr w:type="spellEnd"/>
      <w:r w:rsidR="009C06C7" w:rsidRPr="00D62286">
        <w:t xml:space="preserve"> “</w:t>
      </w:r>
      <w:r w:rsidR="00D62286" w:rsidRPr="00CC6B2C">
        <w:rPr>
          <w:i/>
          <w:iCs/>
        </w:rPr>
        <w:t>aux mêmes conditions sauf le loyer qui devra être négocié</w:t>
      </w:r>
      <w:r w:rsidR="009C06C7" w:rsidRPr="00D62286">
        <w:t>”.</w:t>
      </w:r>
    </w:p>
  </w:footnote>
  <w:footnote w:id="14">
    <w:p w14:paraId="561FBBDD" w14:textId="71B80AA6" w:rsidR="00CF0E5B" w:rsidRDefault="00CF0E5B" w:rsidP="00CF0E5B">
      <w:pPr>
        <w:pStyle w:val="Notedebasdepage"/>
      </w:pPr>
      <w:r>
        <w:rPr>
          <w:rStyle w:val="Appelnotedebasdep"/>
        </w:rPr>
        <w:footnoteRef/>
      </w:r>
      <w:r>
        <w:tab/>
        <w:t xml:space="preserve">Stanislas </w:t>
      </w:r>
      <w:proofErr w:type="spellStart"/>
      <w:r>
        <w:t>Bricka</w:t>
      </w:r>
      <w:proofErr w:type="spellEnd"/>
      <w:r w:rsidRPr="009B7411">
        <w:t xml:space="preserve">, </w:t>
      </w:r>
      <w:r w:rsidRPr="009B7411">
        <w:rPr>
          <w:i/>
          <w:iCs/>
        </w:rPr>
        <w:t>Le louage im</w:t>
      </w:r>
      <w:r>
        <w:rPr>
          <w:i/>
          <w:iCs/>
        </w:rPr>
        <w:t>mobilier – Les baux commerciaux</w:t>
      </w:r>
      <w:r>
        <w:t xml:space="preserve"> </w:t>
      </w:r>
      <w:r>
        <w:rPr>
          <w:i/>
          <w:iCs/>
        </w:rPr>
        <w:t>(Art. 1851 à 1891 C.c.Q.)</w:t>
      </w:r>
      <w:r>
        <w:t xml:space="preserve">, </w:t>
      </w:r>
      <w:proofErr w:type="spellStart"/>
      <w:r>
        <w:t>Montr</w:t>
      </w:r>
      <w:r w:rsidR="009C06C7">
        <w:t>e</w:t>
      </w:r>
      <w:r>
        <w:t>al</w:t>
      </w:r>
      <w:proofErr w:type="spellEnd"/>
      <w:r>
        <w:t>, Yvon Blais, 2015, n</w:t>
      </w:r>
      <w:r>
        <w:rPr>
          <w:vertAlign w:val="superscript"/>
        </w:rPr>
        <w:t>o</w:t>
      </w:r>
      <w:r>
        <w:t xml:space="preserve"> 1878 575, p. 394, </w:t>
      </w:r>
      <w:proofErr w:type="spellStart"/>
      <w:r>
        <w:t>cit</w:t>
      </w:r>
      <w:r w:rsidR="009C06C7">
        <w:t>ing</w:t>
      </w:r>
      <w:proofErr w:type="spellEnd"/>
      <w:r>
        <w:t xml:space="preserve"> </w:t>
      </w:r>
      <w:r w:rsidRPr="0076554F">
        <w:rPr>
          <w:i/>
          <w:iCs/>
        </w:rPr>
        <w:t>Desjardins Sécurité financière c. Bergeron</w:t>
      </w:r>
      <w:r>
        <w:t>, 2011 QCCS 2204 [</w:t>
      </w:r>
      <w:r w:rsidRPr="00A71D62">
        <w:rPr>
          <w:i/>
          <w:iCs/>
        </w:rPr>
        <w:t>Desjardins</w:t>
      </w:r>
      <w:r>
        <w:t xml:space="preserve">] </w:t>
      </w:r>
      <w:r w:rsidR="009C06C7">
        <w:t>and</w:t>
      </w:r>
      <w:r>
        <w:t xml:space="preserve"> </w:t>
      </w:r>
      <w:r w:rsidRPr="0076554F">
        <w:rPr>
          <w:i/>
          <w:iCs/>
        </w:rPr>
        <w:t xml:space="preserve">9047-7993 Québec </w:t>
      </w:r>
      <w:proofErr w:type="spellStart"/>
      <w:r w:rsidRPr="0076554F">
        <w:rPr>
          <w:i/>
          <w:iCs/>
        </w:rPr>
        <w:t>inc.</w:t>
      </w:r>
      <w:proofErr w:type="spellEnd"/>
      <w:r w:rsidRPr="0076554F">
        <w:rPr>
          <w:i/>
          <w:iCs/>
        </w:rPr>
        <w:t xml:space="preserve"> c. </w:t>
      </w:r>
      <w:proofErr w:type="spellStart"/>
      <w:r w:rsidRPr="0076554F">
        <w:rPr>
          <w:i/>
          <w:iCs/>
        </w:rPr>
        <w:t>Bairaktaris</w:t>
      </w:r>
      <w:proofErr w:type="spellEnd"/>
      <w:r>
        <w:t xml:space="preserve">, 2002 CanLII 45476 (C.S.). </w:t>
      </w:r>
      <w:proofErr w:type="spellStart"/>
      <w:r w:rsidR="000A5955">
        <w:t>See</w:t>
      </w:r>
      <w:proofErr w:type="spellEnd"/>
      <w:r w:rsidR="000A5955">
        <w:t xml:space="preserve"> </w:t>
      </w:r>
      <w:proofErr w:type="spellStart"/>
      <w:r w:rsidR="000A5955">
        <w:t>also</w:t>
      </w:r>
      <w:proofErr w:type="spellEnd"/>
      <w:r>
        <w:t xml:space="preserve">: Johanne Gagnon, </w:t>
      </w:r>
      <w:r w:rsidR="000A5955" w:rsidRPr="000A5955">
        <w:t>“</w:t>
      </w:r>
      <w:r>
        <w:t>L’option de renouvellement : sa nature, son mécanisme et les conséquences de son existence</w:t>
      </w:r>
      <w:r w:rsidR="000A5955" w:rsidRPr="000A5955">
        <w:t>”</w:t>
      </w:r>
      <w:r>
        <w:t xml:space="preserve">, (2015) 23 </w:t>
      </w:r>
      <w:r>
        <w:rPr>
          <w:i/>
          <w:iCs/>
        </w:rPr>
        <w:t>Le bail commercial – Deuxième colloque</w:t>
      </w:r>
      <w:r>
        <w:t xml:space="preserve"> 139, p</w:t>
      </w:r>
      <w:r w:rsidR="000A5955">
        <w:t>p</w:t>
      </w:r>
      <w:r>
        <w:t>. 144</w:t>
      </w:r>
      <w:r>
        <w:noBreakHyphen/>
        <w:t xml:space="preserve">145; </w:t>
      </w:r>
      <w:proofErr w:type="spellStart"/>
      <w:r>
        <w:t>Mylany</w:t>
      </w:r>
      <w:proofErr w:type="spellEnd"/>
      <w:r>
        <w:t xml:space="preserve"> David </w:t>
      </w:r>
      <w:r w:rsidR="000A5955">
        <w:t>&amp;</w:t>
      </w:r>
      <w:r>
        <w:t xml:space="preserve"> Adèle Poirier, </w:t>
      </w:r>
      <w:r w:rsidR="000A5955" w:rsidRPr="000A5955">
        <w:t>“</w:t>
      </w:r>
      <w:r>
        <w:t>Le bail commercial : sa rédaction en deux temps</w:t>
      </w:r>
      <w:r w:rsidR="000A5955" w:rsidRPr="000A5955">
        <w:t>”</w:t>
      </w:r>
      <w:r>
        <w:t>, (2017) 1 </w:t>
      </w:r>
      <w:r>
        <w:rPr>
          <w:i/>
          <w:iCs/>
        </w:rPr>
        <w:t xml:space="preserve">Cours de perfectionnement du notariat </w:t>
      </w:r>
      <w:r>
        <w:t>71, p. 86.</w:t>
      </w:r>
    </w:p>
  </w:footnote>
  <w:footnote w:id="15">
    <w:p w14:paraId="1A76E388" w14:textId="2E6A5478" w:rsidR="00CF0E5B" w:rsidRDefault="00CF0E5B" w:rsidP="00CF0E5B">
      <w:pPr>
        <w:pStyle w:val="Notedebasdepage"/>
      </w:pPr>
      <w:r w:rsidRPr="00937EC2">
        <w:rPr>
          <w:rStyle w:val="Appelnotedebasdep"/>
        </w:rPr>
        <w:footnoteRef/>
      </w:r>
      <w:r w:rsidRPr="00937EC2">
        <w:tab/>
      </w:r>
      <w:proofErr w:type="spellStart"/>
      <w:r w:rsidR="009C06C7">
        <w:t>Judgment</w:t>
      </w:r>
      <w:proofErr w:type="spellEnd"/>
      <w:r w:rsidR="009C06C7">
        <w:t xml:space="preserve"> </w:t>
      </w:r>
      <w:proofErr w:type="spellStart"/>
      <w:r w:rsidR="009C06C7">
        <w:t>under</w:t>
      </w:r>
      <w:proofErr w:type="spellEnd"/>
      <w:r w:rsidR="009C06C7">
        <w:t xml:space="preserve"> </w:t>
      </w:r>
      <w:proofErr w:type="spellStart"/>
      <w:r w:rsidR="009C06C7">
        <w:t>appeal</w:t>
      </w:r>
      <w:proofErr w:type="spellEnd"/>
      <w:r w:rsidRPr="00937EC2">
        <w:t>, par</w:t>
      </w:r>
      <w:r w:rsidR="009C06C7">
        <w:t>a</w:t>
      </w:r>
      <w:r w:rsidRPr="00937EC2">
        <w:t>. 15.</w:t>
      </w:r>
    </w:p>
  </w:footnote>
  <w:footnote w:id="16">
    <w:p w14:paraId="5E038E81" w14:textId="2EA8D9CD" w:rsidR="00CF0E5B" w:rsidRDefault="00CF0E5B" w:rsidP="00CF0E5B">
      <w:pPr>
        <w:pStyle w:val="Notedebasdepage"/>
      </w:pPr>
      <w:r>
        <w:rPr>
          <w:rStyle w:val="Appelnotedebasdep"/>
        </w:rPr>
        <w:footnoteRef/>
      </w:r>
      <w:r>
        <w:tab/>
        <w:t xml:space="preserve">Didier </w:t>
      </w:r>
      <w:proofErr w:type="spellStart"/>
      <w:r>
        <w:t>Lluelles</w:t>
      </w:r>
      <w:proofErr w:type="spellEnd"/>
      <w:r>
        <w:t xml:space="preserve"> </w:t>
      </w:r>
      <w:r w:rsidR="000A5955">
        <w:t>&amp;</w:t>
      </w:r>
      <w:r>
        <w:t xml:space="preserve"> Benoît Moore, </w:t>
      </w:r>
      <w:r>
        <w:rPr>
          <w:i/>
          <w:iCs/>
        </w:rPr>
        <w:t xml:space="preserve">Droit des </w:t>
      </w:r>
      <w:r w:rsidRPr="00937EC2">
        <w:rPr>
          <w:i/>
          <w:iCs/>
        </w:rPr>
        <w:t>obligations</w:t>
      </w:r>
      <w:r>
        <w:t>, 3</w:t>
      </w:r>
      <w:r w:rsidR="000A5955">
        <w:rPr>
          <w:vertAlign w:val="superscript"/>
        </w:rPr>
        <w:t>rd</w:t>
      </w:r>
      <w:r>
        <w:t xml:space="preserve"> </w:t>
      </w:r>
      <w:proofErr w:type="spellStart"/>
      <w:r w:rsidR="000A5955">
        <w:t>e</w:t>
      </w:r>
      <w:r>
        <w:t>d</w:t>
      </w:r>
      <w:proofErr w:type="spellEnd"/>
      <w:r>
        <w:t xml:space="preserve">., </w:t>
      </w:r>
      <w:proofErr w:type="spellStart"/>
      <w:r>
        <w:t>Montr</w:t>
      </w:r>
      <w:r w:rsidR="000A5955">
        <w:t>e</w:t>
      </w:r>
      <w:r>
        <w:t>al</w:t>
      </w:r>
      <w:proofErr w:type="spellEnd"/>
      <w:r>
        <w:t>, Thémis, 2018, n</w:t>
      </w:r>
      <w:r>
        <w:rPr>
          <w:vertAlign w:val="superscript"/>
        </w:rPr>
        <w:t>o</w:t>
      </w:r>
      <w:r>
        <w:t xml:space="preserve"> 1049.14. </w:t>
      </w:r>
    </w:p>
  </w:footnote>
  <w:footnote w:id="17">
    <w:p w14:paraId="497ECA3F" w14:textId="7450DBB5" w:rsidR="00CF0E5B" w:rsidRDefault="00CF0E5B" w:rsidP="00CF0E5B">
      <w:pPr>
        <w:pStyle w:val="Notedebasdepage"/>
      </w:pPr>
      <w:r>
        <w:rPr>
          <w:rStyle w:val="Appelnotedebasdep"/>
        </w:rPr>
        <w:footnoteRef/>
      </w:r>
      <w:r>
        <w:tab/>
        <w:t xml:space="preserve">M. David </w:t>
      </w:r>
      <w:r w:rsidR="000A5955">
        <w:t>&amp;</w:t>
      </w:r>
      <w:r>
        <w:t xml:space="preserve"> A. Poirier, </w:t>
      </w:r>
      <w:r>
        <w:rPr>
          <w:i/>
          <w:iCs/>
        </w:rPr>
        <w:t>supra</w:t>
      </w:r>
      <w:r>
        <w:t>, note </w:t>
      </w:r>
      <w:r>
        <w:fldChar w:fldCharType="begin"/>
      </w:r>
      <w:r>
        <w:instrText xml:space="preserve"> NOTEREF _Ref183523034 \h </w:instrText>
      </w:r>
      <w:r>
        <w:fldChar w:fldCharType="separate"/>
      </w:r>
      <w:r w:rsidR="00F2001E">
        <w:t>14</w:t>
      </w:r>
      <w:r>
        <w:fldChar w:fldCharType="end"/>
      </w:r>
      <w:r w:rsidRPr="00DF0F7F">
        <w:t>,</w:t>
      </w:r>
      <w:r>
        <w:rPr>
          <w:i/>
          <w:iCs/>
        </w:rPr>
        <w:t xml:space="preserve"> </w:t>
      </w:r>
      <w:r>
        <w:t xml:space="preserve">p. 86; René Gauthier, </w:t>
      </w:r>
      <w:r w:rsidR="000A5955" w:rsidRPr="002E35B4">
        <w:t>“</w:t>
      </w:r>
      <w:r>
        <w:t>La rédaction de certaines clauses particulières du bail : les formulations à privilégier</w:t>
      </w:r>
      <w:r w:rsidR="000A5955" w:rsidRPr="002E35B4">
        <w:t>”</w:t>
      </w:r>
      <w:r>
        <w:t xml:space="preserve">, (2017) 27 </w:t>
      </w:r>
      <w:r>
        <w:rPr>
          <w:i/>
          <w:iCs/>
        </w:rPr>
        <w:t xml:space="preserve">Le bail commercial </w:t>
      </w:r>
      <w:r>
        <w:t xml:space="preserve">– </w:t>
      </w:r>
      <w:r>
        <w:rPr>
          <w:i/>
          <w:iCs/>
        </w:rPr>
        <w:t>Troisième colloque </w:t>
      </w:r>
      <w:r>
        <w:t>1, p. 192.</w:t>
      </w:r>
    </w:p>
  </w:footnote>
  <w:footnote w:id="18">
    <w:p w14:paraId="2021B57F" w14:textId="77777777" w:rsidR="00CF0E5B" w:rsidRPr="00A71D62" w:rsidRDefault="00CF0E5B" w:rsidP="00CF0E5B">
      <w:pPr>
        <w:pStyle w:val="Notedebasdepage"/>
      </w:pPr>
      <w:r>
        <w:rPr>
          <w:rStyle w:val="Appelnotedebasdep"/>
        </w:rPr>
        <w:footnoteRef/>
      </w:r>
      <w:r>
        <w:tab/>
      </w:r>
      <w:r w:rsidRPr="002D624D">
        <w:rPr>
          <w:i/>
          <w:iCs/>
        </w:rPr>
        <w:t xml:space="preserve">Cité </w:t>
      </w:r>
      <w:proofErr w:type="spellStart"/>
      <w:r w:rsidRPr="002D624D">
        <w:rPr>
          <w:i/>
          <w:iCs/>
        </w:rPr>
        <w:t>Nordelec</w:t>
      </w:r>
      <w:proofErr w:type="spellEnd"/>
      <w:r w:rsidRPr="002D624D">
        <w:rPr>
          <w:i/>
          <w:iCs/>
        </w:rPr>
        <w:t xml:space="preserve"> </w:t>
      </w:r>
      <w:proofErr w:type="spellStart"/>
      <w:r w:rsidRPr="002D624D">
        <w:rPr>
          <w:i/>
          <w:iCs/>
        </w:rPr>
        <w:t>inc.</w:t>
      </w:r>
      <w:proofErr w:type="spellEnd"/>
      <w:r w:rsidRPr="002D624D">
        <w:rPr>
          <w:i/>
          <w:iCs/>
        </w:rPr>
        <w:t xml:space="preserve"> c. 9087-0593 Québec </w:t>
      </w:r>
      <w:proofErr w:type="spellStart"/>
      <w:r w:rsidRPr="002D624D">
        <w:rPr>
          <w:i/>
          <w:iCs/>
        </w:rPr>
        <w:t>inc</w:t>
      </w:r>
      <w:r>
        <w:rPr>
          <w:i/>
          <w:iCs/>
        </w:rPr>
        <w:t>.</w:t>
      </w:r>
      <w:proofErr w:type="spellEnd"/>
      <w:r>
        <w:t xml:space="preserve">, 2003 CanLII 72173 (C.A.) </w:t>
      </w:r>
      <w:r w:rsidRPr="00A71D62">
        <w:t>[</w:t>
      </w:r>
      <w:proofErr w:type="spellStart"/>
      <w:r w:rsidRPr="00A71D62">
        <w:rPr>
          <w:i/>
          <w:iCs/>
        </w:rPr>
        <w:t>Nordelec</w:t>
      </w:r>
      <w:proofErr w:type="spellEnd"/>
      <w:r w:rsidRPr="00A71D62">
        <w:t>].</w:t>
      </w:r>
    </w:p>
  </w:footnote>
  <w:footnote w:id="19">
    <w:p w14:paraId="483C7E1C" w14:textId="1E7B6002" w:rsidR="00CF0E5B" w:rsidRPr="00897B93" w:rsidRDefault="00CF0E5B" w:rsidP="00CF0E5B">
      <w:pPr>
        <w:pStyle w:val="Notedebasdepage"/>
      </w:pPr>
      <w:r>
        <w:rPr>
          <w:rStyle w:val="Appelnotedebasdep"/>
        </w:rPr>
        <w:footnoteRef/>
      </w:r>
      <w:r w:rsidRPr="00897B93">
        <w:tab/>
        <w:t xml:space="preserve">S. </w:t>
      </w:r>
      <w:proofErr w:type="spellStart"/>
      <w:r w:rsidRPr="00897B93">
        <w:t>Bricka</w:t>
      </w:r>
      <w:proofErr w:type="spellEnd"/>
      <w:r w:rsidRPr="00897B93">
        <w:t xml:space="preserve">, </w:t>
      </w:r>
      <w:r w:rsidRPr="00897B93">
        <w:rPr>
          <w:i/>
          <w:iCs/>
        </w:rPr>
        <w:t>supra</w:t>
      </w:r>
      <w:r w:rsidRPr="00897B93">
        <w:t xml:space="preserve">, note </w:t>
      </w:r>
      <w:r>
        <w:fldChar w:fldCharType="begin"/>
      </w:r>
      <w:r w:rsidRPr="00897B93">
        <w:instrText xml:space="preserve"> NOTEREF _Ref183523034 \h </w:instrText>
      </w:r>
      <w:r>
        <w:fldChar w:fldCharType="separate"/>
      </w:r>
      <w:r w:rsidR="00F2001E" w:rsidRPr="00897B93">
        <w:t>14</w:t>
      </w:r>
      <w:r>
        <w:fldChar w:fldCharType="end"/>
      </w:r>
      <w:r w:rsidRPr="00897B93">
        <w:t>, p. 393.</w:t>
      </w:r>
    </w:p>
  </w:footnote>
  <w:footnote w:id="20">
    <w:p w14:paraId="53BEE21F" w14:textId="5D099F98" w:rsidR="00CF0E5B" w:rsidRDefault="00CF0E5B" w:rsidP="00CF0E5B">
      <w:pPr>
        <w:pStyle w:val="Notedebasdepage"/>
      </w:pPr>
      <w:r>
        <w:rPr>
          <w:rStyle w:val="Appelnotedebasdep"/>
        </w:rPr>
        <w:footnoteRef/>
      </w:r>
      <w:r>
        <w:tab/>
      </w:r>
      <w:proofErr w:type="spellStart"/>
      <w:r>
        <w:rPr>
          <w:i/>
          <w:iCs/>
        </w:rPr>
        <w:t>Nordelec</w:t>
      </w:r>
      <w:proofErr w:type="spellEnd"/>
      <w:r w:rsidRPr="00A71D62">
        <w:t xml:space="preserve">, </w:t>
      </w:r>
      <w:r w:rsidRPr="00EB6E61">
        <w:rPr>
          <w:i/>
          <w:iCs/>
        </w:rPr>
        <w:t>supra</w:t>
      </w:r>
      <w:r>
        <w:t xml:space="preserve">, note </w:t>
      </w:r>
      <w:r>
        <w:fldChar w:fldCharType="begin"/>
      </w:r>
      <w:r>
        <w:instrText xml:space="preserve"> NOTEREF _Ref182471452 \h </w:instrText>
      </w:r>
      <w:r>
        <w:fldChar w:fldCharType="separate"/>
      </w:r>
      <w:r w:rsidR="00F2001E">
        <w:t>18</w:t>
      </w:r>
      <w:r>
        <w:fldChar w:fldCharType="end"/>
      </w:r>
      <w:r>
        <w:t xml:space="preserve">, </w:t>
      </w:r>
      <w:r w:rsidRPr="00A71D62">
        <w:t>par</w:t>
      </w:r>
      <w:r w:rsidR="000A5955">
        <w:t>a</w:t>
      </w:r>
      <w:r w:rsidRPr="00A71D62">
        <w:t xml:space="preserve">. </w:t>
      </w:r>
      <w:r>
        <w:t>2</w:t>
      </w:r>
      <w:r w:rsidRPr="00A71D62">
        <w:t>.</w:t>
      </w:r>
    </w:p>
  </w:footnote>
  <w:footnote w:id="21">
    <w:p w14:paraId="5CF592F5" w14:textId="77777777" w:rsidR="00CF0E5B" w:rsidRPr="009422B3" w:rsidRDefault="00CF0E5B" w:rsidP="00CF0E5B">
      <w:pPr>
        <w:pStyle w:val="Notedebasdepage"/>
      </w:pPr>
      <w:r>
        <w:rPr>
          <w:rStyle w:val="Appelnotedebasdep"/>
        </w:rPr>
        <w:footnoteRef/>
      </w:r>
      <w:r w:rsidRPr="009422B3">
        <w:t xml:space="preserve"> </w:t>
      </w:r>
      <w:r w:rsidRPr="009422B3">
        <w:tab/>
      </w:r>
      <w:r w:rsidRPr="009422B3">
        <w:rPr>
          <w:i/>
          <w:iCs/>
        </w:rPr>
        <w:t>Id.</w:t>
      </w:r>
      <w:r w:rsidRPr="009422B3">
        <w:t>, par. 7.</w:t>
      </w:r>
    </w:p>
  </w:footnote>
  <w:footnote w:id="22">
    <w:p w14:paraId="541396B9" w14:textId="134F01DB" w:rsidR="00CF0E5B" w:rsidRPr="00897B93" w:rsidRDefault="00CF0E5B" w:rsidP="00CF0E5B">
      <w:pPr>
        <w:pStyle w:val="Notedebasdepage"/>
      </w:pPr>
      <w:r>
        <w:rPr>
          <w:rStyle w:val="Appelnotedebasdep"/>
        </w:rPr>
        <w:footnoteRef/>
      </w:r>
      <w:r w:rsidRPr="00897B93">
        <w:t xml:space="preserve"> </w:t>
      </w:r>
      <w:r w:rsidRPr="00897B93">
        <w:tab/>
        <w:t>S. </w:t>
      </w:r>
      <w:proofErr w:type="spellStart"/>
      <w:r w:rsidRPr="00897B93">
        <w:t>Bricka</w:t>
      </w:r>
      <w:proofErr w:type="spellEnd"/>
      <w:r w:rsidRPr="00897B93">
        <w:t xml:space="preserve">, </w:t>
      </w:r>
      <w:r w:rsidRPr="00897B93">
        <w:rPr>
          <w:i/>
          <w:iCs/>
        </w:rPr>
        <w:t>supra</w:t>
      </w:r>
      <w:r w:rsidRPr="00897B93">
        <w:t xml:space="preserve">, note </w:t>
      </w:r>
      <w:r>
        <w:rPr>
          <w:lang w:val="en-CA"/>
        </w:rPr>
        <w:fldChar w:fldCharType="begin"/>
      </w:r>
      <w:r w:rsidRPr="00897B93">
        <w:instrText xml:space="preserve"> NOTEREF _Ref183523034 \h </w:instrText>
      </w:r>
      <w:r>
        <w:rPr>
          <w:lang w:val="en-CA"/>
        </w:rPr>
      </w:r>
      <w:r>
        <w:rPr>
          <w:lang w:val="en-CA"/>
        </w:rPr>
        <w:fldChar w:fldCharType="separate"/>
      </w:r>
      <w:r w:rsidR="00F2001E" w:rsidRPr="00897B93">
        <w:t>14</w:t>
      </w:r>
      <w:r>
        <w:rPr>
          <w:lang w:val="en-CA"/>
        </w:rPr>
        <w:fldChar w:fldCharType="end"/>
      </w:r>
      <w:r w:rsidRPr="00897B93">
        <w:t>, p. 392.</w:t>
      </w:r>
    </w:p>
  </w:footnote>
  <w:footnote w:id="23">
    <w:p w14:paraId="0E8A0942" w14:textId="2AEB9A57" w:rsidR="00CF0E5B" w:rsidRDefault="00CF0E5B" w:rsidP="00CF0E5B">
      <w:pPr>
        <w:pStyle w:val="Notedebasdepage"/>
      </w:pPr>
      <w:r>
        <w:rPr>
          <w:rStyle w:val="Appelnotedebasdep"/>
        </w:rPr>
        <w:footnoteRef/>
      </w:r>
      <w:r>
        <w:tab/>
      </w:r>
      <w:r w:rsidRPr="00865D62">
        <w:rPr>
          <w:i/>
          <w:iCs/>
        </w:rPr>
        <w:t xml:space="preserve">BMW Canada </w:t>
      </w:r>
      <w:proofErr w:type="spellStart"/>
      <w:r w:rsidRPr="00865D62">
        <w:rPr>
          <w:i/>
          <w:iCs/>
        </w:rPr>
        <w:t>inc.</w:t>
      </w:r>
      <w:proofErr w:type="spellEnd"/>
      <w:r w:rsidRPr="00865D62">
        <w:rPr>
          <w:i/>
          <w:iCs/>
        </w:rPr>
        <w:t xml:space="preserve"> c. Automobiles Jalbert </w:t>
      </w:r>
      <w:proofErr w:type="spellStart"/>
      <w:r w:rsidRPr="00865D62">
        <w:rPr>
          <w:i/>
          <w:iCs/>
        </w:rPr>
        <w:t>inc</w:t>
      </w:r>
      <w:r w:rsidRPr="00865D62">
        <w:t>.</w:t>
      </w:r>
      <w:proofErr w:type="spellEnd"/>
      <w:r w:rsidRPr="00865D62">
        <w:t xml:space="preserve">, </w:t>
      </w:r>
      <w:r w:rsidRPr="00A71D62">
        <w:t>2006 QCCA 1068</w:t>
      </w:r>
      <w:r>
        <w:t>, par</w:t>
      </w:r>
      <w:r w:rsidR="000A5955">
        <w:t>a</w:t>
      </w:r>
      <w:r>
        <w:t xml:space="preserve">. 145, </w:t>
      </w:r>
      <w:r w:rsidR="000A5955" w:rsidRPr="000A5955">
        <w:t xml:space="preserve">application for </w:t>
      </w:r>
      <w:proofErr w:type="spellStart"/>
      <w:r w:rsidR="000A5955" w:rsidRPr="000A5955">
        <w:t>leave</w:t>
      </w:r>
      <w:proofErr w:type="spellEnd"/>
      <w:r w:rsidR="000A5955" w:rsidRPr="000A5955">
        <w:t xml:space="preserve"> to </w:t>
      </w:r>
      <w:proofErr w:type="spellStart"/>
      <w:r w:rsidR="000A5955" w:rsidRPr="000A5955">
        <w:t>appeal</w:t>
      </w:r>
      <w:proofErr w:type="spellEnd"/>
      <w:r w:rsidR="000A5955" w:rsidRPr="000A5955">
        <w:t xml:space="preserve"> to </w:t>
      </w:r>
      <w:r w:rsidR="000A5955">
        <w:t xml:space="preserve">the </w:t>
      </w:r>
      <w:r w:rsidR="000A5955" w:rsidRPr="000A5955">
        <w:t xml:space="preserve">Supreme Court </w:t>
      </w:r>
      <w:proofErr w:type="spellStart"/>
      <w:r w:rsidR="000A5955" w:rsidRPr="000A5955">
        <w:t>dismissed</w:t>
      </w:r>
      <w:proofErr w:type="spellEnd"/>
      <w:r>
        <w:t xml:space="preserve">, </w:t>
      </w:r>
      <w:proofErr w:type="spellStart"/>
      <w:r w:rsidR="000A5955">
        <w:t>February</w:t>
      </w:r>
      <w:proofErr w:type="spellEnd"/>
      <w:r w:rsidR="000A5955">
        <w:t xml:space="preserve"> 22,</w:t>
      </w:r>
      <w:r>
        <w:t> 2007, n</w:t>
      </w:r>
      <w:r>
        <w:rPr>
          <w:vertAlign w:val="superscript"/>
        </w:rPr>
        <w:t>o</w:t>
      </w:r>
      <w:r>
        <w:t xml:space="preserve"> 31685; Brigitte Lefebvre, </w:t>
      </w:r>
      <w:r w:rsidR="000A5955" w:rsidRPr="000A5955">
        <w:t>“</w:t>
      </w:r>
      <w:r>
        <w:t>Rupture des pourparlers : négociateurs, appel à la prudence!</w:t>
      </w:r>
      <w:r w:rsidR="000A5955" w:rsidRPr="000A5955">
        <w:t>”</w:t>
      </w:r>
      <w:r>
        <w:t xml:space="preserve">, (1998) 112 </w:t>
      </w:r>
      <w:r>
        <w:rPr>
          <w:i/>
          <w:iCs/>
        </w:rPr>
        <w:t>Développements récents en droit commercial </w:t>
      </w:r>
      <w:r>
        <w:t xml:space="preserve">121, </w:t>
      </w:r>
      <w:r w:rsidRPr="00746314">
        <w:rPr>
          <w:rFonts w:cs="Arial"/>
        </w:rPr>
        <w:t>p. </w:t>
      </w:r>
      <w:r>
        <w:rPr>
          <w:rFonts w:cs="Arial"/>
        </w:rPr>
        <w:t xml:space="preserve">129. </w:t>
      </w:r>
      <w:proofErr w:type="spellStart"/>
      <w:r w:rsidR="000A5955">
        <w:rPr>
          <w:rFonts w:cs="Arial"/>
        </w:rPr>
        <w:t>See</w:t>
      </w:r>
      <w:proofErr w:type="spellEnd"/>
      <w:r w:rsidR="000A5955">
        <w:rPr>
          <w:rFonts w:cs="Arial"/>
        </w:rPr>
        <w:t xml:space="preserve"> </w:t>
      </w:r>
      <w:proofErr w:type="spellStart"/>
      <w:r w:rsidR="000A5955">
        <w:rPr>
          <w:rFonts w:cs="Arial"/>
        </w:rPr>
        <w:t>also</w:t>
      </w:r>
      <w:proofErr w:type="spellEnd"/>
      <w:r>
        <w:rPr>
          <w:rFonts w:cs="Arial"/>
        </w:rPr>
        <w:t xml:space="preserve">: </w:t>
      </w:r>
      <w:r>
        <w:t xml:space="preserve">Jean-Louis Baudouin, Patrice Deslauriers </w:t>
      </w:r>
      <w:r w:rsidR="000A5955">
        <w:t>&amp;</w:t>
      </w:r>
      <w:r>
        <w:t xml:space="preserve"> Benoît Moore, </w:t>
      </w:r>
      <w:r>
        <w:rPr>
          <w:i/>
          <w:iCs/>
        </w:rPr>
        <w:t>La responsabilité civile</w:t>
      </w:r>
      <w:r>
        <w:t xml:space="preserve">, </w:t>
      </w:r>
      <w:r>
        <w:rPr>
          <w:i/>
          <w:iCs/>
        </w:rPr>
        <w:t>Volume 1 – Principes généraux</w:t>
      </w:r>
      <w:r>
        <w:t>, 9</w:t>
      </w:r>
      <w:r w:rsidR="000A5955">
        <w:rPr>
          <w:vertAlign w:val="superscript"/>
        </w:rPr>
        <w:t>th</w:t>
      </w:r>
      <w:r>
        <w:t xml:space="preserve"> </w:t>
      </w:r>
      <w:proofErr w:type="spellStart"/>
      <w:r w:rsidR="000A5955">
        <w:t>e</w:t>
      </w:r>
      <w:r>
        <w:t>d</w:t>
      </w:r>
      <w:proofErr w:type="spellEnd"/>
      <w:r>
        <w:t xml:space="preserve">., Yvon Blais, </w:t>
      </w:r>
      <w:proofErr w:type="spellStart"/>
      <w:r>
        <w:t>Montr</w:t>
      </w:r>
      <w:r w:rsidR="000A5955">
        <w:t>e</w:t>
      </w:r>
      <w:r>
        <w:t>al</w:t>
      </w:r>
      <w:proofErr w:type="spellEnd"/>
      <w:r>
        <w:t>, 2020, n</w:t>
      </w:r>
      <w:r>
        <w:rPr>
          <w:vertAlign w:val="superscript"/>
        </w:rPr>
        <w:t>o</w:t>
      </w:r>
      <w:r>
        <w:t> 1-71; D. </w:t>
      </w:r>
      <w:proofErr w:type="spellStart"/>
      <w:r>
        <w:t>Lluelles</w:t>
      </w:r>
      <w:proofErr w:type="spellEnd"/>
      <w:r>
        <w:t xml:space="preserve"> </w:t>
      </w:r>
      <w:r w:rsidR="000A5955">
        <w:t>&amp;</w:t>
      </w:r>
      <w:r>
        <w:t xml:space="preserve"> B. Moore, </w:t>
      </w:r>
      <w:r>
        <w:rPr>
          <w:i/>
          <w:iCs/>
        </w:rPr>
        <w:t>supra</w:t>
      </w:r>
      <w:r>
        <w:t xml:space="preserve">, note </w:t>
      </w:r>
      <w:r>
        <w:fldChar w:fldCharType="begin"/>
      </w:r>
      <w:r>
        <w:instrText xml:space="preserve"> NOTEREF _Ref185601738 \h </w:instrText>
      </w:r>
      <w:r>
        <w:fldChar w:fldCharType="separate"/>
      </w:r>
      <w:r w:rsidR="00F2001E">
        <w:t>16</w:t>
      </w:r>
      <w:r>
        <w:fldChar w:fldCharType="end"/>
      </w:r>
      <w:r>
        <w:t>, n</w:t>
      </w:r>
      <w:r>
        <w:rPr>
          <w:vertAlign w:val="superscript"/>
        </w:rPr>
        <w:t>o </w:t>
      </w:r>
      <w:r>
        <w:t>249.4.</w:t>
      </w:r>
    </w:p>
  </w:footnote>
  <w:footnote w:id="24">
    <w:p w14:paraId="6091D87B" w14:textId="30DE1C3F" w:rsidR="00CF0E5B" w:rsidRDefault="00CF0E5B" w:rsidP="00CF0E5B">
      <w:pPr>
        <w:pStyle w:val="Notedebasdepage"/>
      </w:pPr>
      <w:r>
        <w:rPr>
          <w:rStyle w:val="Appelnotedebasdep"/>
        </w:rPr>
        <w:footnoteRef/>
      </w:r>
      <w:r>
        <w:tab/>
      </w:r>
      <w:proofErr w:type="spellStart"/>
      <w:r>
        <w:t>Ju</w:t>
      </w:r>
      <w:r w:rsidR="000A5955">
        <w:t>d</w:t>
      </w:r>
      <w:r>
        <w:t>gment</w:t>
      </w:r>
      <w:proofErr w:type="spellEnd"/>
      <w:r>
        <w:t xml:space="preserve"> </w:t>
      </w:r>
      <w:proofErr w:type="spellStart"/>
      <w:r w:rsidR="000A5955">
        <w:t>under</w:t>
      </w:r>
      <w:proofErr w:type="spellEnd"/>
      <w:r w:rsidR="000A5955">
        <w:t xml:space="preserve"> </w:t>
      </w:r>
      <w:proofErr w:type="spellStart"/>
      <w:r w:rsidR="000A5955">
        <w:t>appeal</w:t>
      </w:r>
      <w:proofErr w:type="spellEnd"/>
      <w:r>
        <w:t>, par</w:t>
      </w:r>
      <w:r w:rsidR="000A5955">
        <w:t>as</w:t>
      </w:r>
      <w:r>
        <w:t xml:space="preserve">. 88 et </w:t>
      </w:r>
      <w:proofErr w:type="spellStart"/>
      <w:r>
        <w:t>s</w:t>
      </w:r>
      <w:r w:rsidR="000A5955">
        <w:t>eq</w:t>
      </w:r>
      <w:proofErr w:type="spellEnd"/>
      <w:r>
        <w:t>.</w:t>
      </w:r>
    </w:p>
  </w:footnote>
  <w:footnote w:id="25">
    <w:p w14:paraId="562AC6AA" w14:textId="53EE6DE2" w:rsidR="00CF0E5B" w:rsidRDefault="00CF0E5B" w:rsidP="00CF0E5B">
      <w:pPr>
        <w:pStyle w:val="Notedebasdepage"/>
      </w:pPr>
      <w:r>
        <w:rPr>
          <w:rStyle w:val="Appelnotedebasdep"/>
        </w:rPr>
        <w:footnoteRef/>
      </w:r>
      <w:r>
        <w:tab/>
      </w:r>
      <w:r>
        <w:rPr>
          <w:i/>
          <w:iCs/>
        </w:rPr>
        <w:t>Id.</w:t>
      </w:r>
      <w:r>
        <w:t>, par</w:t>
      </w:r>
      <w:r w:rsidR="000A5955">
        <w:t>a</w:t>
      </w:r>
      <w:r>
        <w:t>. 96.</w:t>
      </w:r>
    </w:p>
  </w:footnote>
  <w:footnote w:id="26">
    <w:p w14:paraId="42145BBF" w14:textId="60D64147" w:rsidR="00CF0E5B" w:rsidRPr="000B1AD0" w:rsidRDefault="00CF0E5B" w:rsidP="00CF0E5B">
      <w:pPr>
        <w:pStyle w:val="Notedebasdepage"/>
      </w:pPr>
      <w:r>
        <w:rPr>
          <w:rStyle w:val="Appelnotedebasdep"/>
        </w:rPr>
        <w:footnoteRef/>
      </w:r>
      <w:r>
        <w:tab/>
      </w:r>
      <w:r>
        <w:rPr>
          <w:i/>
          <w:iCs/>
        </w:rPr>
        <w:t>Desjardins</w:t>
      </w:r>
      <w:r>
        <w:t xml:space="preserve">, </w:t>
      </w:r>
      <w:r w:rsidRPr="00A71D62">
        <w:rPr>
          <w:i/>
          <w:iCs/>
        </w:rPr>
        <w:t>supra</w:t>
      </w:r>
      <w:r>
        <w:t xml:space="preserve">, note </w:t>
      </w:r>
      <w:r>
        <w:fldChar w:fldCharType="begin"/>
      </w:r>
      <w:r>
        <w:instrText xml:space="preserve"> NOTEREF _Ref183523034 \h </w:instrText>
      </w:r>
      <w:r>
        <w:fldChar w:fldCharType="separate"/>
      </w:r>
      <w:r w:rsidR="00F2001E">
        <w:t>14</w:t>
      </w:r>
      <w:r>
        <w:fldChar w:fldCharType="end"/>
      </w:r>
      <w:r>
        <w:t>.</w:t>
      </w:r>
    </w:p>
  </w:footnote>
  <w:footnote w:id="27">
    <w:p w14:paraId="22108F1F" w14:textId="54C5A982" w:rsidR="00CF0E5B" w:rsidRDefault="00CF0E5B" w:rsidP="00CF0E5B">
      <w:pPr>
        <w:pStyle w:val="Notedebasdepage"/>
      </w:pPr>
      <w:r>
        <w:rPr>
          <w:rStyle w:val="Appelnotedebasdep"/>
        </w:rPr>
        <w:footnoteRef/>
      </w:r>
      <w:r>
        <w:tab/>
      </w:r>
      <w:r>
        <w:rPr>
          <w:i/>
          <w:iCs/>
        </w:rPr>
        <w:t>Id.</w:t>
      </w:r>
      <w:r>
        <w:t>, par</w:t>
      </w:r>
      <w:r w:rsidR="000A5955">
        <w:t>as</w:t>
      </w:r>
      <w:r>
        <w:t>. 5, 53-54.</w:t>
      </w:r>
    </w:p>
  </w:footnote>
  <w:footnote w:id="28">
    <w:p w14:paraId="704F5ED7" w14:textId="3E04C096" w:rsidR="00CF0E5B" w:rsidRDefault="00CF0E5B" w:rsidP="00CF0E5B">
      <w:pPr>
        <w:pStyle w:val="Notedebasdepage"/>
      </w:pPr>
      <w:r>
        <w:rPr>
          <w:rStyle w:val="Appelnotedebasdep"/>
        </w:rPr>
        <w:footnoteRef/>
      </w:r>
      <w:r>
        <w:tab/>
      </w:r>
      <w:r>
        <w:rPr>
          <w:i/>
          <w:iCs/>
        </w:rPr>
        <w:t>Id.</w:t>
      </w:r>
      <w:r>
        <w:t>, par</w:t>
      </w:r>
      <w:r w:rsidR="000A5955">
        <w:t>a</w:t>
      </w:r>
      <w:r>
        <w:t>. 31.</w:t>
      </w:r>
    </w:p>
  </w:footnote>
  <w:footnote w:id="29">
    <w:p w14:paraId="2FF6625B" w14:textId="575D0498" w:rsidR="00CF0E5B" w:rsidRPr="00B7729D" w:rsidRDefault="00CF0E5B" w:rsidP="00CF0E5B">
      <w:pPr>
        <w:pStyle w:val="Notedebasdepage"/>
      </w:pPr>
      <w:r>
        <w:rPr>
          <w:rStyle w:val="Appelnotedebasdep"/>
        </w:rPr>
        <w:footnoteRef/>
      </w:r>
      <w:r>
        <w:t xml:space="preserve"> </w:t>
      </w:r>
      <w:r>
        <w:tab/>
      </w:r>
      <w:proofErr w:type="spellStart"/>
      <w:r>
        <w:rPr>
          <w:i/>
          <w:iCs/>
        </w:rPr>
        <w:t>Nordelec</w:t>
      </w:r>
      <w:proofErr w:type="spellEnd"/>
      <w:r>
        <w:t xml:space="preserve">, </w:t>
      </w:r>
      <w:r w:rsidRPr="00A71D62">
        <w:rPr>
          <w:i/>
          <w:iCs/>
        </w:rPr>
        <w:t>supra</w:t>
      </w:r>
      <w:r>
        <w:t xml:space="preserve">, note </w:t>
      </w:r>
      <w:r>
        <w:fldChar w:fldCharType="begin"/>
      </w:r>
      <w:r>
        <w:instrText xml:space="preserve"> NOTEREF _Ref183519931 \h </w:instrText>
      </w:r>
      <w:r>
        <w:fldChar w:fldCharType="separate"/>
      </w:r>
      <w:r w:rsidR="00F2001E">
        <w:t>18</w:t>
      </w:r>
      <w:r>
        <w:fldChar w:fldCharType="end"/>
      </w:r>
      <w:r>
        <w:t>, par</w:t>
      </w:r>
      <w:r w:rsidR="000A5955">
        <w:t>a</w:t>
      </w:r>
      <w:r>
        <w:t>. 7.</w:t>
      </w:r>
    </w:p>
  </w:footnote>
  <w:footnote w:id="30">
    <w:p w14:paraId="1A280777" w14:textId="26862DB6" w:rsidR="00CF0E5B" w:rsidRPr="00C01ED2" w:rsidRDefault="00CF0E5B" w:rsidP="00CF0E5B">
      <w:pPr>
        <w:pStyle w:val="Notedebasdepage"/>
      </w:pPr>
      <w:r>
        <w:rPr>
          <w:rStyle w:val="Appelnotedebasdep"/>
        </w:rPr>
        <w:footnoteRef/>
      </w:r>
      <w:r w:rsidRPr="00C01ED2">
        <w:tab/>
      </w:r>
      <w:r w:rsidRPr="006A2EAA">
        <w:rPr>
          <w:i/>
          <w:iCs/>
        </w:rPr>
        <w:t xml:space="preserve">BMW Canada </w:t>
      </w:r>
      <w:proofErr w:type="spellStart"/>
      <w:r w:rsidRPr="006A2EAA">
        <w:rPr>
          <w:i/>
          <w:iCs/>
        </w:rPr>
        <w:t>inc.</w:t>
      </w:r>
      <w:proofErr w:type="spellEnd"/>
      <w:r w:rsidRPr="006A2EAA">
        <w:rPr>
          <w:i/>
          <w:iCs/>
        </w:rPr>
        <w:t xml:space="preserve"> c. Automobiles Jalbert </w:t>
      </w:r>
      <w:proofErr w:type="spellStart"/>
      <w:r w:rsidRPr="006A2EAA">
        <w:rPr>
          <w:i/>
          <w:iCs/>
        </w:rPr>
        <w:t>inc</w:t>
      </w:r>
      <w:r w:rsidRPr="006A2EAA">
        <w:t>.</w:t>
      </w:r>
      <w:proofErr w:type="spellEnd"/>
      <w:r w:rsidRPr="006A2EAA">
        <w:t xml:space="preserve">, </w:t>
      </w:r>
      <w:r w:rsidRPr="006A2EAA">
        <w:rPr>
          <w:i/>
          <w:iCs/>
        </w:rPr>
        <w:t>supra</w:t>
      </w:r>
      <w:r w:rsidRPr="006A2EAA">
        <w:t>, note </w:t>
      </w:r>
      <w:r>
        <w:fldChar w:fldCharType="begin"/>
      </w:r>
      <w:r>
        <w:instrText xml:space="preserve"> NOTEREF _Ref184136117 \h </w:instrText>
      </w:r>
      <w:r>
        <w:fldChar w:fldCharType="separate"/>
      </w:r>
      <w:r w:rsidR="00F2001E">
        <w:t>23</w:t>
      </w:r>
      <w:r>
        <w:fldChar w:fldCharType="end"/>
      </w:r>
      <w:r w:rsidRPr="006A2EAA">
        <w:t>, par</w:t>
      </w:r>
      <w:r w:rsidR="000A5955">
        <w:t>a</w:t>
      </w:r>
      <w:r w:rsidRPr="006A2EAA">
        <w:t>. 145.</w:t>
      </w:r>
    </w:p>
  </w:footnote>
  <w:footnote w:id="31">
    <w:p w14:paraId="0CB321DF" w14:textId="4C563EAE" w:rsidR="00CF0E5B" w:rsidRDefault="00CF0E5B" w:rsidP="00CF0E5B">
      <w:pPr>
        <w:pStyle w:val="Notedebasdepage"/>
      </w:pPr>
      <w:r>
        <w:rPr>
          <w:rStyle w:val="Appelnotedebasdep"/>
        </w:rPr>
        <w:footnoteRef/>
      </w:r>
      <w:r>
        <w:tab/>
        <w:t>D. </w:t>
      </w:r>
      <w:proofErr w:type="spellStart"/>
      <w:r>
        <w:t>Lluelles</w:t>
      </w:r>
      <w:proofErr w:type="spellEnd"/>
      <w:r>
        <w:t xml:space="preserve"> </w:t>
      </w:r>
      <w:r w:rsidR="000A5955">
        <w:t>&amp;</w:t>
      </w:r>
      <w:r>
        <w:t xml:space="preserve"> B. Moore, </w:t>
      </w:r>
      <w:r>
        <w:rPr>
          <w:i/>
          <w:iCs/>
        </w:rPr>
        <w:t>supra</w:t>
      </w:r>
      <w:r w:rsidRPr="00A71D62">
        <w:t>, note</w:t>
      </w:r>
      <w:r>
        <w:t xml:space="preserve"> </w:t>
      </w:r>
      <w:r>
        <w:fldChar w:fldCharType="begin"/>
      </w:r>
      <w:r>
        <w:instrText xml:space="preserve"> NOTEREF _Ref185601738 \h </w:instrText>
      </w:r>
      <w:r>
        <w:fldChar w:fldCharType="separate"/>
      </w:r>
      <w:r w:rsidR="00F2001E">
        <w:t>16</w:t>
      </w:r>
      <w:r>
        <w:fldChar w:fldCharType="end"/>
      </w:r>
      <w:r>
        <w:t>, n</w:t>
      </w:r>
      <w:r>
        <w:rPr>
          <w:vertAlign w:val="superscript"/>
        </w:rPr>
        <w:t>o</w:t>
      </w:r>
      <w:r>
        <w:t xml:space="preserve"> 2192. </w:t>
      </w:r>
    </w:p>
  </w:footnote>
  <w:footnote w:id="32">
    <w:p w14:paraId="4F271FFC" w14:textId="58DCEC2F" w:rsidR="00CF0E5B" w:rsidRDefault="00CF0E5B" w:rsidP="00CF0E5B">
      <w:pPr>
        <w:pStyle w:val="Notedebasdepage"/>
      </w:pPr>
      <w:r>
        <w:rPr>
          <w:rStyle w:val="Appelnotedebasdep"/>
        </w:rPr>
        <w:footnoteRef/>
      </w:r>
      <w:r w:rsidRPr="003A2FA0">
        <w:rPr>
          <w:lang w:val="en-CA"/>
        </w:rPr>
        <w:t xml:space="preserve"> </w:t>
      </w:r>
      <w:r w:rsidRPr="003A2FA0">
        <w:rPr>
          <w:lang w:val="en-CA"/>
        </w:rPr>
        <w:tab/>
      </w:r>
      <w:r w:rsidRPr="003A2FA0">
        <w:rPr>
          <w:i/>
          <w:iCs/>
          <w:lang w:val="en-CA"/>
        </w:rPr>
        <w:t>Qu</w:t>
      </w:r>
      <w:r w:rsidR="003A2FA0" w:rsidRPr="003A2FA0">
        <w:rPr>
          <w:i/>
          <w:iCs/>
          <w:lang w:val="en-CA"/>
        </w:rPr>
        <w:t>e</w:t>
      </w:r>
      <w:r w:rsidRPr="003A2FA0">
        <w:rPr>
          <w:i/>
          <w:iCs/>
          <w:lang w:val="en-CA"/>
        </w:rPr>
        <w:t>bec (</w:t>
      </w:r>
      <w:r w:rsidR="003A2FA0" w:rsidRPr="003A2FA0">
        <w:rPr>
          <w:i/>
          <w:iCs/>
          <w:lang w:val="en-CA"/>
        </w:rPr>
        <w:t>Attorney General</w:t>
      </w:r>
      <w:r w:rsidRPr="003A2FA0">
        <w:rPr>
          <w:i/>
          <w:iCs/>
          <w:lang w:val="en-CA"/>
        </w:rPr>
        <w:t xml:space="preserve">) </w:t>
      </w:r>
      <w:r w:rsidR="003A2FA0" w:rsidRPr="003A2FA0">
        <w:rPr>
          <w:i/>
          <w:iCs/>
          <w:lang w:val="en-CA"/>
        </w:rPr>
        <w:t>v</w:t>
      </w:r>
      <w:r w:rsidRPr="003A2FA0">
        <w:rPr>
          <w:i/>
          <w:iCs/>
          <w:lang w:val="en-CA"/>
        </w:rPr>
        <w:t xml:space="preserve">. </w:t>
      </w:r>
      <w:proofErr w:type="spellStart"/>
      <w:r w:rsidRPr="003A2FA0">
        <w:rPr>
          <w:i/>
          <w:iCs/>
          <w:lang w:val="en-CA"/>
        </w:rPr>
        <w:t>Pekuakamiulnuatsh</w:t>
      </w:r>
      <w:proofErr w:type="spellEnd"/>
      <w:r w:rsidRPr="003A2FA0">
        <w:rPr>
          <w:i/>
          <w:iCs/>
          <w:lang w:val="en-CA"/>
        </w:rPr>
        <w:t xml:space="preserve"> </w:t>
      </w:r>
      <w:proofErr w:type="spellStart"/>
      <w:r w:rsidRPr="003A2FA0">
        <w:rPr>
          <w:i/>
          <w:iCs/>
          <w:lang w:val="en-CA"/>
        </w:rPr>
        <w:t>Takuhikan</w:t>
      </w:r>
      <w:proofErr w:type="spellEnd"/>
      <w:r w:rsidRPr="003A2FA0">
        <w:rPr>
          <w:lang w:val="en-CA"/>
        </w:rPr>
        <w:t xml:space="preserve">, 2024 </w:t>
      </w:r>
      <w:r w:rsidR="000A5955" w:rsidRPr="003A2FA0">
        <w:rPr>
          <w:lang w:val="en-CA"/>
        </w:rPr>
        <w:t>SC</w:t>
      </w:r>
      <w:r w:rsidRPr="003A2FA0">
        <w:rPr>
          <w:lang w:val="en-CA"/>
        </w:rPr>
        <w:t>C 39, par</w:t>
      </w:r>
      <w:r w:rsidR="000A5955" w:rsidRPr="003A2FA0">
        <w:rPr>
          <w:lang w:val="en-CA"/>
        </w:rPr>
        <w:t>a</w:t>
      </w:r>
      <w:r w:rsidRPr="003A2FA0">
        <w:rPr>
          <w:lang w:val="en-CA"/>
        </w:rPr>
        <w:t xml:space="preserve">. </w:t>
      </w:r>
      <w:r>
        <w:t xml:space="preserve">104, </w:t>
      </w:r>
      <w:proofErr w:type="spellStart"/>
      <w:r>
        <w:t>cit</w:t>
      </w:r>
      <w:r w:rsidR="000A5955">
        <w:t>ing</w:t>
      </w:r>
      <w:proofErr w:type="spellEnd"/>
      <w:r>
        <w:t xml:space="preserve"> </w:t>
      </w:r>
      <w:r w:rsidRPr="002B707C">
        <w:rPr>
          <w:i/>
          <w:iCs/>
        </w:rPr>
        <w:t xml:space="preserve">Ponce </w:t>
      </w:r>
      <w:r w:rsidR="003A2FA0">
        <w:rPr>
          <w:i/>
          <w:iCs/>
        </w:rPr>
        <w:t>v</w:t>
      </w:r>
      <w:r w:rsidRPr="002B707C">
        <w:rPr>
          <w:i/>
          <w:iCs/>
        </w:rPr>
        <w:t xml:space="preserve">. Société d’investissements Rhéaume </w:t>
      </w:r>
      <w:proofErr w:type="spellStart"/>
      <w:r w:rsidRPr="002B707C">
        <w:rPr>
          <w:i/>
          <w:iCs/>
        </w:rPr>
        <w:t>ltée</w:t>
      </w:r>
      <w:proofErr w:type="spellEnd"/>
      <w:r w:rsidRPr="002B707C">
        <w:t xml:space="preserve">, </w:t>
      </w:r>
      <w:r w:rsidRPr="00A71D62">
        <w:t>2023</w:t>
      </w:r>
      <w:r>
        <w:t> </w:t>
      </w:r>
      <w:r w:rsidRPr="00A71D62">
        <w:t>S</w:t>
      </w:r>
      <w:r w:rsidR="003A2FA0">
        <w:t>C</w:t>
      </w:r>
      <w:r w:rsidRPr="00A71D62">
        <w:t>C</w:t>
      </w:r>
      <w:r>
        <w:t> </w:t>
      </w:r>
      <w:r w:rsidRPr="00A71D62">
        <w:t>25</w:t>
      </w:r>
      <w:r>
        <w:t>, par</w:t>
      </w:r>
      <w:r w:rsidR="003A2FA0">
        <w:t>a</w:t>
      </w:r>
      <w:r>
        <w:t>. 70.</w:t>
      </w:r>
      <w:r w:rsidRPr="006C6359">
        <w:rPr>
          <w:i/>
          <w:iCs/>
        </w:rPr>
        <w:t xml:space="preserve"> </w:t>
      </w:r>
      <w:proofErr w:type="spellStart"/>
      <w:r w:rsidR="003A2FA0">
        <w:t>See</w:t>
      </w:r>
      <w:proofErr w:type="spellEnd"/>
      <w:r w:rsidR="003A2FA0">
        <w:t xml:space="preserve"> </w:t>
      </w:r>
      <w:proofErr w:type="spellStart"/>
      <w:r w:rsidR="003A2FA0">
        <w:t>also</w:t>
      </w:r>
      <w:proofErr w:type="spellEnd"/>
      <w:r>
        <w:t>: Didier </w:t>
      </w:r>
      <w:proofErr w:type="spellStart"/>
      <w:r>
        <w:t>Lluelles</w:t>
      </w:r>
      <w:proofErr w:type="spellEnd"/>
      <w:r>
        <w:t xml:space="preserve">, </w:t>
      </w:r>
      <w:r w:rsidR="000A5955" w:rsidRPr="000A5955">
        <w:t>“</w:t>
      </w:r>
      <w:r>
        <w:t>La bonne foi dans l’exécution des contrats et la problématique des sanctions</w:t>
      </w:r>
      <w:r w:rsidR="000A5955" w:rsidRPr="000A5955">
        <w:t>”</w:t>
      </w:r>
      <w:r>
        <w:t xml:space="preserve">, (2004) 83 : 1 </w:t>
      </w:r>
      <w:r>
        <w:rPr>
          <w:i/>
          <w:iCs/>
        </w:rPr>
        <w:t>Revue du Barreau canadien </w:t>
      </w:r>
      <w:r>
        <w:t xml:space="preserve">181, p. 186 </w:t>
      </w:r>
      <w:r w:rsidR="000A5955" w:rsidRPr="000A5955">
        <w:t xml:space="preserve">(respect for </w:t>
      </w:r>
      <w:proofErr w:type="spellStart"/>
      <w:r w:rsidR="000A5955" w:rsidRPr="000A5955">
        <w:t>this</w:t>
      </w:r>
      <w:proofErr w:type="spellEnd"/>
      <w:r w:rsidR="000A5955" w:rsidRPr="000A5955">
        <w:t xml:space="preserve"> </w:t>
      </w:r>
      <w:proofErr w:type="spellStart"/>
      <w:r w:rsidR="000A5955" w:rsidRPr="000A5955">
        <w:t>principle</w:t>
      </w:r>
      <w:proofErr w:type="spellEnd"/>
      <w:r w:rsidR="000A5955" w:rsidRPr="000A5955">
        <w:t xml:space="preserve"> in the </w:t>
      </w:r>
      <w:proofErr w:type="spellStart"/>
      <w:r w:rsidR="000A5955" w:rsidRPr="000A5955">
        <w:t>implementation</w:t>
      </w:r>
      <w:proofErr w:type="spellEnd"/>
      <w:r w:rsidR="000A5955" w:rsidRPr="000A5955">
        <w:t xml:space="preserve"> of obligations </w:t>
      </w:r>
      <w:proofErr w:type="spellStart"/>
      <w:r w:rsidR="000A5955" w:rsidRPr="000A5955">
        <w:t>is</w:t>
      </w:r>
      <w:proofErr w:type="spellEnd"/>
      <w:r w:rsidR="000A5955" w:rsidRPr="000A5955">
        <w:t xml:space="preserve"> an </w:t>
      </w:r>
      <w:proofErr w:type="spellStart"/>
      <w:r w:rsidR="000A5955" w:rsidRPr="000A5955">
        <w:t>integral</w:t>
      </w:r>
      <w:proofErr w:type="spellEnd"/>
      <w:r w:rsidR="000A5955" w:rsidRPr="000A5955">
        <w:t xml:space="preserve"> part of civil </w:t>
      </w:r>
      <w:proofErr w:type="spellStart"/>
      <w:r w:rsidR="000A5955" w:rsidRPr="000A5955">
        <w:t>law</w:t>
      </w:r>
      <w:proofErr w:type="spellEnd"/>
      <w:r w:rsidR="000A5955" w:rsidRPr="000A5955">
        <w:t>).</w:t>
      </w:r>
    </w:p>
  </w:footnote>
  <w:footnote w:id="33">
    <w:p w14:paraId="2B02D453" w14:textId="33F3339A" w:rsidR="00CF0E5B" w:rsidRPr="003A2FA0" w:rsidRDefault="00CF0E5B" w:rsidP="00CF0E5B">
      <w:pPr>
        <w:pStyle w:val="Notedebasdepage"/>
        <w:rPr>
          <w:lang w:val="en-CA"/>
        </w:rPr>
      </w:pPr>
      <w:r>
        <w:rPr>
          <w:rStyle w:val="Appelnotedebasdep"/>
        </w:rPr>
        <w:footnoteRef/>
      </w:r>
      <w:r w:rsidRPr="003A2FA0">
        <w:rPr>
          <w:lang w:val="en-CA"/>
        </w:rPr>
        <w:tab/>
        <w:t>Art. 1375 </w:t>
      </w:r>
      <w:r w:rsidRPr="003A2FA0">
        <w:rPr>
          <w:i/>
          <w:iCs/>
          <w:lang w:val="en-CA"/>
        </w:rPr>
        <w:t>C.</w:t>
      </w:r>
      <w:r w:rsidR="000A5955" w:rsidRPr="003A2FA0">
        <w:rPr>
          <w:i/>
          <w:iCs/>
          <w:lang w:val="en-CA"/>
        </w:rPr>
        <w:t>C</w:t>
      </w:r>
      <w:r w:rsidRPr="003A2FA0">
        <w:rPr>
          <w:i/>
          <w:iCs/>
          <w:lang w:val="en-CA"/>
        </w:rPr>
        <w:t>.Q.</w:t>
      </w:r>
    </w:p>
  </w:footnote>
  <w:footnote w:id="34">
    <w:p w14:paraId="26983C76" w14:textId="36258A3D" w:rsidR="00CF0E5B" w:rsidRPr="003A2FA0" w:rsidRDefault="00CF0E5B" w:rsidP="00CF0E5B">
      <w:pPr>
        <w:pStyle w:val="Notedebasdepage"/>
        <w:rPr>
          <w:lang w:val="en-CA"/>
        </w:rPr>
      </w:pPr>
      <w:r>
        <w:rPr>
          <w:rStyle w:val="Appelnotedebasdep"/>
        </w:rPr>
        <w:footnoteRef/>
      </w:r>
      <w:r w:rsidRPr="003A2FA0">
        <w:rPr>
          <w:lang w:val="en-CA"/>
        </w:rPr>
        <w:tab/>
      </w:r>
      <w:r w:rsidRPr="003A2FA0">
        <w:rPr>
          <w:i/>
          <w:iCs/>
          <w:lang w:val="en-CA"/>
        </w:rPr>
        <w:t>Qu</w:t>
      </w:r>
      <w:r w:rsidR="003A2FA0" w:rsidRPr="003A2FA0">
        <w:rPr>
          <w:i/>
          <w:iCs/>
          <w:lang w:val="en-CA"/>
        </w:rPr>
        <w:t>e</w:t>
      </w:r>
      <w:r w:rsidRPr="003A2FA0">
        <w:rPr>
          <w:i/>
          <w:iCs/>
          <w:lang w:val="en-CA"/>
        </w:rPr>
        <w:t>bec (</w:t>
      </w:r>
      <w:r w:rsidR="003A2FA0" w:rsidRPr="003A2FA0">
        <w:rPr>
          <w:i/>
          <w:iCs/>
          <w:lang w:val="en-CA"/>
        </w:rPr>
        <w:t>Attorney General</w:t>
      </w:r>
      <w:r w:rsidRPr="003A2FA0">
        <w:rPr>
          <w:i/>
          <w:iCs/>
          <w:lang w:val="en-CA"/>
        </w:rPr>
        <w:t xml:space="preserve">) </w:t>
      </w:r>
      <w:r w:rsidR="003A2FA0">
        <w:rPr>
          <w:i/>
          <w:iCs/>
          <w:lang w:val="en-CA"/>
        </w:rPr>
        <w:t>v</w:t>
      </w:r>
      <w:r w:rsidRPr="003A2FA0">
        <w:rPr>
          <w:i/>
          <w:iCs/>
          <w:lang w:val="en-CA"/>
        </w:rPr>
        <w:t xml:space="preserve">. </w:t>
      </w:r>
      <w:proofErr w:type="spellStart"/>
      <w:r w:rsidRPr="003A2FA0">
        <w:rPr>
          <w:i/>
          <w:iCs/>
          <w:lang w:val="en-CA"/>
        </w:rPr>
        <w:t>Pekuakamiulnuatsh</w:t>
      </w:r>
      <w:proofErr w:type="spellEnd"/>
      <w:r w:rsidRPr="003A2FA0">
        <w:rPr>
          <w:i/>
          <w:iCs/>
          <w:lang w:val="en-CA"/>
        </w:rPr>
        <w:t xml:space="preserve"> </w:t>
      </w:r>
      <w:proofErr w:type="spellStart"/>
      <w:r w:rsidRPr="003A2FA0">
        <w:rPr>
          <w:i/>
          <w:iCs/>
          <w:lang w:val="en-CA"/>
        </w:rPr>
        <w:t>Takuhikan</w:t>
      </w:r>
      <w:proofErr w:type="spellEnd"/>
      <w:r w:rsidRPr="003A2FA0">
        <w:rPr>
          <w:lang w:val="en-CA"/>
        </w:rPr>
        <w:t xml:space="preserve">, </w:t>
      </w:r>
      <w:r w:rsidRPr="003A2FA0">
        <w:rPr>
          <w:i/>
          <w:iCs/>
          <w:lang w:val="en-CA"/>
        </w:rPr>
        <w:t>supra</w:t>
      </w:r>
      <w:r w:rsidRPr="003A2FA0">
        <w:rPr>
          <w:lang w:val="en-CA"/>
        </w:rPr>
        <w:t>, note </w:t>
      </w:r>
      <w:r>
        <w:fldChar w:fldCharType="begin"/>
      </w:r>
      <w:r w:rsidRPr="003A2FA0">
        <w:rPr>
          <w:lang w:val="en-CA"/>
        </w:rPr>
        <w:instrText xml:space="preserve"> NOTEREF _Ref184807722 \h </w:instrText>
      </w:r>
      <w:r>
        <w:fldChar w:fldCharType="separate"/>
      </w:r>
      <w:r w:rsidR="00F2001E" w:rsidRPr="003A2FA0">
        <w:rPr>
          <w:lang w:val="en-CA"/>
        </w:rPr>
        <w:t>32</w:t>
      </w:r>
      <w:r>
        <w:fldChar w:fldCharType="end"/>
      </w:r>
      <w:r w:rsidRPr="003A2FA0">
        <w:rPr>
          <w:lang w:val="en-CA"/>
        </w:rPr>
        <w:t>, par</w:t>
      </w:r>
      <w:r w:rsidR="00D62286">
        <w:rPr>
          <w:lang w:val="en-CA"/>
        </w:rPr>
        <w:t>a</w:t>
      </w:r>
      <w:r w:rsidRPr="003A2FA0">
        <w:rPr>
          <w:lang w:val="en-CA"/>
        </w:rPr>
        <w:t>. 109.</w:t>
      </w:r>
    </w:p>
  </w:footnote>
  <w:footnote w:id="35">
    <w:p w14:paraId="39543935" w14:textId="1A7FD40E" w:rsidR="00CF0E5B" w:rsidRPr="003A2FA0" w:rsidRDefault="00CF0E5B" w:rsidP="00CF0E5B">
      <w:pPr>
        <w:pStyle w:val="Notedebasdepage"/>
        <w:rPr>
          <w:lang w:val="en-CA"/>
        </w:rPr>
      </w:pPr>
      <w:r>
        <w:rPr>
          <w:rStyle w:val="Appelnotedebasdep"/>
        </w:rPr>
        <w:footnoteRef/>
      </w:r>
      <w:r w:rsidRPr="00897B93">
        <w:rPr>
          <w:lang w:val="en-CA"/>
        </w:rPr>
        <w:tab/>
      </w:r>
      <w:r w:rsidRPr="00897B93">
        <w:rPr>
          <w:i/>
          <w:iCs/>
          <w:lang w:val="en-CA"/>
        </w:rPr>
        <w:t>Id</w:t>
      </w:r>
      <w:r w:rsidRPr="00897B93">
        <w:rPr>
          <w:lang w:val="en-CA"/>
        </w:rPr>
        <w:t>., par</w:t>
      </w:r>
      <w:r w:rsidR="003A2FA0" w:rsidRPr="00897B93">
        <w:rPr>
          <w:lang w:val="en-CA"/>
        </w:rPr>
        <w:t>a</w:t>
      </w:r>
      <w:r w:rsidRPr="00897B93">
        <w:rPr>
          <w:lang w:val="en-CA"/>
        </w:rPr>
        <w:t xml:space="preserve">. </w:t>
      </w:r>
      <w:r w:rsidRPr="003A2FA0">
        <w:rPr>
          <w:lang w:val="en-CA"/>
        </w:rPr>
        <w:t xml:space="preserve">112, </w:t>
      </w:r>
      <w:r w:rsidR="003A2FA0" w:rsidRPr="003A2FA0">
        <w:rPr>
          <w:lang w:val="en-CA"/>
        </w:rPr>
        <w:t>Justice</w:t>
      </w:r>
      <w:r w:rsidRPr="003A2FA0">
        <w:rPr>
          <w:lang w:val="en-CA"/>
        </w:rPr>
        <w:t xml:space="preserve"> </w:t>
      </w:r>
      <w:proofErr w:type="spellStart"/>
      <w:r w:rsidRPr="003A2FA0">
        <w:rPr>
          <w:lang w:val="en-CA"/>
        </w:rPr>
        <w:t>Kasirer</w:t>
      </w:r>
      <w:proofErr w:type="spellEnd"/>
      <w:r w:rsidRPr="003A2FA0">
        <w:rPr>
          <w:lang w:val="en-CA"/>
        </w:rPr>
        <w:t xml:space="preserve"> </w:t>
      </w:r>
      <w:r w:rsidR="003A2FA0" w:rsidRPr="003A2FA0">
        <w:rPr>
          <w:lang w:val="en-CA"/>
        </w:rPr>
        <w:t>quo</w:t>
      </w:r>
      <w:r w:rsidRPr="003A2FA0">
        <w:rPr>
          <w:lang w:val="en-CA"/>
        </w:rPr>
        <w:t>te</w:t>
      </w:r>
      <w:r w:rsidR="003A2FA0" w:rsidRPr="003A2FA0">
        <w:rPr>
          <w:lang w:val="en-CA"/>
        </w:rPr>
        <w:t>s author</w:t>
      </w:r>
      <w:r w:rsidRPr="003A2FA0">
        <w:rPr>
          <w:lang w:val="en-CA"/>
        </w:rPr>
        <w:t xml:space="preserve"> Laurent </w:t>
      </w:r>
      <w:proofErr w:type="spellStart"/>
      <w:r w:rsidRPr="003A2FA0">
        <w:rPr>
          <w:lang w:val="en-CA"/>
        </w:rPr>
        <w:t>Aynès</w:t>
      </w:r>
      <w:proofErr w:type="spellEnd"/>
      <w:r w:rsidRPr="003A2FA0">
        <w:rPr>
          <w:lang w:val="en-CA"/>
        </w:rPr>
        <w:t xml:space="preserve"> </w:t>
      </w:r>
      <w:r w:rsidR="003A2FA0" w:rsidRPr="003A2FA0">
        <w:rPr>
          <w:lang w:val="en-CA"/>
        </w:rPr>
        <w:t>for whom good faith is “a duty of behavior which consists in rendering the performance of the contract in conformity with the undertaking”</w:t>
      </w:r>
      <w:r w:rsidRPr="003A2FA0">
        <w:rPr>
          <w:lang w:val="en-CA"/>
        </w:rPr>
        <w:t xml:space="preserve"> (pr</w:t>
      </w:r>
      <w:r w:rsidR="003A2FA0" w:rsidRPr="003A2FA0">
        <w:rPr>
          <w:lang w:val="en-CA"/>
        </w:rPr>
        <w:t>e</w:t>
      </w:r>
      <w:r w:rsidRPr="003A2FA0">
        <w:rPr>
          <w:lang w:val="en-CA"/>
        </w:rPr>
        <w:t xml:space="preserve">face </w:t>
      </w:r>
      <w:r w:rsidR="003A2FA0" w:rsidRPr="003A2FA0">
        <w:rPr>
          <w:lang w:val="en-CA"/>
        </w:rPr>
        <w:t>to</w:t>
      </w:r>
      <w:r w:rsidR="003A2FA0">
        <w:rPr>
          <w:lang w:val="en-CA"/>
        </w:rPr>
        <w:t xml:space="preserve"> </w:t>
      </w:r>
      <w:r w:rsidRPr="003A2FA0">
        <w:rPr>
          <w:lang w:val="en-CA"/>
        </w:rPr>
        <w:t>L. </w:t>
      </w:r>
      <w:proofErr w:type="spellStart"/>
      <w:r w:rsidRPr="003A2FA0">
        <w:rPr>
          <w:lang w:val="en-CA"/>
        </w:rPr>
        <w:t>Aynès</w:t>
      </w:r>
      <w:proofErr w:type="spellEnd"/>
      <w:r w:rsidRPr="003A2FA0">
        <w:rPr>
          <w:lang w:val="en-CA"/>
        </w:rPr>
        <w:t xml:space="preserve"> </w:t>
      </w:r>
      <w:r w:rsidR="003A2FA0">
        <w:rPr>
          <w:lang w:val="en-CA"/>
        </w:rPr>
        <w:t>in</w:t>
      </w:r>
      <w:r w:rsidRPr="003A2FA0">
        <w:rPr>
          <w:lang w:val="en-CA"/>
        </w:rPr>
        <w:t xml:space="preserve"> Rita </w:t>
      </w:r>
      <w:proofErr w:type="spellStart"/>
      <w:r w:rsidRPr="003A2FA0">
        <w:rPr>
          <w:lang w:val="en-CA"/>
        </w:rPr>
        <w:t>Jabbour</w:t>
      </w:r>
      <w:proofErr w:type="spellEnd"/>
      <w:r w:rsidRPr="003A2FA0">
        <w:rPr>
          <w:lang w:val="en-CA"/>
        </w:rPr>
        <w:t xml:space="preserve">, </w:t>
      </w:r>
      <w:r w:rsidRPr="003A2FA0">
        <w:rPr>
          <w:i/>
          <w:iCs/>
          <w:lang w:val="en-CA"/>
        </w:rPr>
        <w:t xml:space="preserve">La bonne </w:t>
      </w:r>
      <w:proofErr w:type="spellStart"/>
      <w:r w:rsidRPr="003A2FA0">
        <w:rPr>
          <w:i/>
          <w:iCs/>
          <w:lang w:val="en-CA"/>
        </w:rPr>
        <w:t>foi</w:t>
      </w:r>
      <w:proofErr w:type="spellEnd"/>
      <w:r w:rsidRPr="003A2FA0">
        <w:rPr>
          <w:i/>
          <w:iCs/>
          <w:lang w:val="en-CA"/>
        </w:rPr>
        <w:t xml:space="preserve"> dans </w:t>
      </w:r>
      <w:proofErr w:type="spellStart"/>
      <w:r w:rsidRPr="003A2FA0">
        <w:rPr>
          <w:i/>
          <w:iCs/>
          <w:lang w:val="en-CA"/>
        </w:rPr>
        <w:t>l’exécution</w:t>
      </w:r>
      <w:proofErr w:type="spellEnd"/>
      <w:r w:rsidRPr="003A2FA0">
        <w:rPr>
          <w:i/>
          <w:iCs/>
          <w:lang w:val="en-CA"/>
        </w:rPr>
        <w:t xml:space="preserve"> du </w:t>
      </w:r>
      <w:proofErr w:type="spellStart"/>
      <w:r w:rsidRPr="003A2FA0">
        <w:rPr>
          <w:i/>
          <w:iCs/>
          <w:lang w:val="en-CA"/>
        </w:rPr>
        <w:t>contrat</w:t>
      </w:r>
      <w:proofErr w:type="spellEnd"/>
      <w:r w:rsidRPr="003A2FA0">
        <w:rPr>
          <w:lang w:val="en-CA"/>
        </w:rPr>
        <w:t>, Issy-les-</w:t>
      </w:r>
      <w:proofErr w:type="spellStart"/>
      <w:r w:rsidRPr="003A2FA0">
        <w:rPr>
          <w:lang w:val="en-CA"/>
        </w:rPr>
        <w:t>Moulineaux</w:t>
      </w:r>
      <w:proofErr w:type="spellEnd"/>
      <w:r w:rsidRPr="003A2FA0">
        <w:rPr>
          <w:lang w:val="en-CA"/>
        </w:rPr>
        <w:t xml:space="preserve">, </w:t>
      </w:r>
      <w:proofErr w:type="spellStart"/>
      <w:r w:rsidRPr="003A2FA0">
        <w:rPr>
          <w:lang w:val="en-CA"/>
        </w:rPr>
        <w:t>Librairie</w:t>
      </w:r>
      <w:proofErr w:type="spellEnd"/>
      <w:r w:rsidRPr="003A2FA0">
        <w:rPr>
          <w:lang w:val="en-CA"/>
        </w:rPr>
        <w:t xml:space="preserve"> </w:t>
      </w:r>
      <w:proofErr w:type="spellStart"/>
      <w:r w:rsidRPr="003A2FA0">
        <w:rPr>
          <w:lang w:val="en-CA"/>
        </w:rPr>
        <w:t>générale</w:t>
      </w:r>
      <w:proofErr w:type="spellEnd"/>
      <w:r w:rsidRPr="003A2FA0">
        <w:rPr>
          <w:lang w:val="en-CA"/>
        </w:rPr>
        <w:t xml:space="preserve"> de droit et de jurisprudence, 2016).</w:t>
      </w:r>
    </w:p>
  </w:footnote>
  <w:footnote w:id="36">
    <w:p w14:paraId="6F2384E3" w14:textId="752E8B12" w:rsidR="00CF0E5B" w:rsidRPr="003A2FA0" w:rsidRDefault="00CF0E5B" w:rsidP="00CF0E5B">
      <w:pPr>
        <w:pStyle w:val="Notedebasdepage"/>
        <w:rPr>
          <w:lang w:val="en-CA"/>
        </w:rPr>
      </w:pPr>
      <w:r>
        <w:rPr>
          <w:rStyle w:val="Appelnotedebasdep"/>
        </w:rPr>
        <w:footnoteRef/>
      </w:r>
      <w:r w:rsidRPr="008118DA">
        <w:tab/>
      </w:r>
      <w:r>
        <w:t>D. </w:t>
      </w:r>
      <w:proofErr w:type="spellStart"/>
      <w:r>
        <w:t>Lluelles</w:t>
      </w:r>
      <w:proofErr w:type="spellEnd"/>
      <w:r>
        <w:t xml:space="preserve"> </w:t>
      </w:r>
      <w:r w:rsidR="003A2FA0">
        <w:t xml:space="preserve">&amp; </w:t>
      </w:r>
      <w:r>
        <w:t xml:space="preserve">B. Moore, </w:t>
      </w:r>
      <w:r>
        <w:rPr>
          <w:i/>
          <w:iCs/>
        </w:rPr>
        <w:t>supra</w:t>
      </w:r>
      <w:r w:rsidRPr="00A71D62">
        <w:t>, note</w:t>
      </w:r>
      <w:r>
        <w:t xml:space="preserve"> </w:t>
      </w:r>
      <w:r>
        <w:fldChar w:fldCharType="begin"/>
      </w:r>
      <w:r>
        <w:instrText xml:space="preserve"> NOTEREF _Ref185601738 \h </w:instrText>
      </w:r>
      <w:r>
        <w:fldChar w:fldCharType="separate"/>
      </w:r>
      <w:r w:rsidR="00F2001E">
        <w:t>16</w:t>
      </w:r>
      <w:r>
        <w:fldChar w:fldCharType="end"/>
      </w:r>
      <w:r>
        <w:t>, par</w:t>
      </w:r>
      <w:r w:rsidR="003A2FA0">
        <w:t>a</w:t>
      </w:r>
      <w:r>
        <w:t xml:space="preserve">. </w:t>
      </w:r>
      <w:r w:rsidRPr="003A2FA0">
        <w:rPr>
          <w:lang w:val="en-CA"/>
        </w:rPr>
        <w:t>249.3, cit</w:t>
      </w:r>
      <w:r w:rsidR="003A2FA0" w:rsidRPr="003A2FA0">
        <w:rPr>
          <w:lang w:val="en-CA"/>
        </w:rPr>
        <w:t>ed in</w:t>
      </w:r>
      <w:r w:rsidRPr="003A2FA0">
        <w:rPr>
          <w:lang w:val="en-CA"/>
        </w:rPr>
        <w:t xml:space="preserve"> </w:t>
      </w:r>
      <w:r w:rsidRPr="003A2FA0">
        <w:rPr>
          <w:i/>
          <w:iCs/>
          <w:lang w:val="en-CA"/>
        </w:rPr>
        <w:t>Singh c. Kohli</w:t>
      </w:r>
      <w:r w:rsidRPr="003A2FA0">
        <w:rPr>
          <w:lang w:val="en-CA"/>
        </w:rPr>
        <w:t xml:space="preserve">, </w:t>
      </w:r>
      <w:r w:rsidR="000267DE" w:rsidRPr="003A2FA0">
        <w:rPr>
          <w:lang w:val="en-CA"/>
        </w:rPr>
        <w:t xml:space="preserve">2015 QCCA 1135, </w:t>
      </w:r>
      <w:r w:rsidRPr="003A2FA0">
        <w:rPr>
          <w:lang w:val="en-CA"/>
        </w:rPr>
        <w:t>par</w:t>
      </w:r>
      <w:r w:rsidR="003A2FA0" w:rsidRPr="003A2FA0">
        <w:rPr>
          <w:lang w:val="en-CA"/>
        </w:rPr>
        <w:t>a</w:t>
      </w:r>
      <w:r w:rsidRPr="003A2FA0">
        <w:rPr>
          <w:lang w:val="en-CA"/>
        </w:rPr>
        <w:t>. 69.</w:t>
      </w:r>
    </w:p>
  </w:footnote>
  <w:footnote w:id="37">
    <w:p w14:paraId="40ADE21D" w14:textId="6542386F" w:rsidR="00CF0E5B" w:rsidRPr="00897B93" w:rsidRDefault="00CF0E5B" w:rsidP="00CF0E5B">
      <w:pPr>
        <w:pStyle w:val="Notedebasdepage"/>
        <w:rPr>
          <w:i/>
          <w:iCs/>
          <w:lang w:val="en-CA"/>
        </w:rPr>
      </w:pPr>
      <w:r>
        <w:rPr>
          <w:rStyle w:val="Appelnotedebasdep"/>
        </w:rPr>
        <w:footnoteRef/>
      </w:r>
      <w:r w:rsidRPr="003A2FA0">
        <w:rPr>
          <w:lang w:val="en-CA"/>
        </w:rPr>
        <w:t xml:space="preserve"> </w:t>
      </w:r>
      <w:r w:rsidRPr="003A2FA0">
        <w:rPr>
          <w:lang w:val="en-CA"/>
        </w:rPr>
        <w:tab/>
      </w:r>
      <w:r w:rsidRPr="003A2FA0">
        <w:rPr>
          <w:i/>
          <w:iCs/>
          <w:lang w:val="en-CA"/>
        </w:rPr>
        <w:t>Qu</w:t>
      </w:r>
      <w:r w:rsidR="003A2FA0" w:rsidRPr="003A2FA0">
        <w:rPr>
          <w:i/>
          <w:iCs/>
          <w:lang w:val="en-CA"/>
        </w:rPr>
        <w:t>e</w:t>
      </w:r>
      <w:r w:rsidRPr="003A2FA0">
        <w:rPr>
          <w:i/>
          <w:iCs/>
          <w:lang w:val="en-CA"/>
        </w:rPr>
        <w:t>bec (</w:t>
      </w:r>
      <w:r w:rsidR="003A2FA0" w:rsidRPr="003A2FA0">
        <w:rPr>
          <w:i/>
          <w:iCs/>
          <w:lang w:val="en-CA"/>
        </w:rPr>
        <w:t>Attorney Gene</w:t>
      </w:r>
      <w:r w:rsidRPr="003A2FA0">
        <w:rPr>
          <w:i/>
          <w:iCs/>
          <w:lang w:val="en-CA"/>
        </w:rPr>
        <w:t xml:space="preserve">ral) </w:t>
      </w:r>
      <w:r w:rsidR="003A2FA0" w:rsidRPr="003A2FA0">
        <w:rPr>
          <w:i/>
          <w:iCs/>
          <w:lang w:val="en-CA"/>
        </w:rPr>
        <w:t>v</w:t>
      </w:r>
      <w:r w:rsidRPr="003A2FA0">
        <w:rPr>
          <w:i/>
          <w:iCs/>
          <w:lang w:val="en-CA"/>
        </w:rPr>
        <w:t xml:space="preserve">. </w:t>
      </w:r>
      <w:proofErr w:type="spellStart"/>
      <w:r w:rsidRPr="003A2FA0">
        <w:rPr>
          <w:i/>
          <w:iCs/>
          <w:lang w:val="en-CA"/>
        </w:rPr>
        <w:t>Pekuakamiulnuatsh</w:t>
      </w:r>
      <w:proofErr w:type="spellEnd"/>
      <w:r w:rsidRPr="003A2FA0">
        <w:rPr>
          <w:i/>
          <w:iCs/>
          <w:lang w:val="en-CA"/>
        </w:rPr>
        <w:t xml:space="preserve"> </w:t>
      </w:r>
      <w:proofErr w:type="spellStart"/>
      <w:r w:rsidRPr="003A2FA0">
        <w:rPr>
          <w:i/>
          <w:iCs/>
          <w:lang w:val="en-CA"/>
        </w:rPr>
        <w:t>Takuhikan</w:t>
      </w:r>
      <w:proofErr w:type="spellEnd"/>
      <w:r w:rsidRPr="003A2FA0">
        <w:rPr>
          <w:lang w:val="en-CA"/>
        </w:rPr>
        <w:t xml:space="preserve">, </w:t>
      </w:r>
      <w:r w:rsidRPr="003A2FA0">
        <w:rPr>
          <w:i/>
          <w:iCs/>
          <w:lang w:val="en-CA"/>
        </w:rPr>
        <w:t>supra</w:t>
      </w:r>
      <w:r w:rsidRPr="003A2FA0">
        <w:rPr>
          <w:lang w:val="en-CA"/>
        </w:rPr>
        <w:t>, note </w:t>
      </w:r>
      <w:r>
        <w:fldChar w:fldCharType="begin"/>
      </w:r>
      <w:r w:rsidRPr="003A2FA0">
        <w:rPr>
          <w:lang w:val="en-CA"/>
        </w:rPr>
        <w:instrText xml:space="preserve"> NOTEREF _Ref184807722 \h </w:instrText>
      </w:r>
      <w:r>
        <w:fldChar w:fldCharType="separate"/>
      </w:r>
      <w:r w:rsidR="00F2001E" w:rsidRPr="003A2FA0">
        <w:rPr>
          <w:lang w:val="en-CA"/>
        </w:rPr>
        <w:t>32</w:t>
      </w:r>
      <w:r>
        <w:fldChar w:fldCharType="end"/>
      </w:r>
      <w:r w:rsidRPr="003A2FA0">
        <w:rPr>
          <w:lang w:val="en-CA"/>
        </w:rPr>
        <w:t>, par</w:t>
      </w:r>
      <w:r w:rsidR="003A2FA0" w:rsidRPr="003A2FA0">
        <w:rPr>
          <w:lang w:val="en-CA"/>
        </w:rPr>
        <w:t>a</w:t>
      </w:r>
      <w:r w:rsidRPr="003A2FA0">
        <w:rPr>
          <w:lang w:val="en-CA"/>
        </w:rPr>
        <w:t xml:space="preserve">. </w:t>
      </w:r>
      <w:r w:rsidRPr="00897B93">
        <w:rPr>
          <w:lang w:val="en-CA"/>
        </w:rPr>
        <w:t>112.</w:t>
      </w:r>
    </w:p>
  </w:footnote>
  <w:footnote w:id="38">
    <w:p w14:paraId="69C850DE" w14:textId="77777777" w:rsidR="00CF0E5B" w:rsidRPr="00897B93" w:rsidRDefault="00CF0E5B" w:rsidP="00CF0E5B">
      <w:pPr>
        <w:pStyle w:val="Notedebasdepage"/>
        <w:rPr>
          <w:lang w:val="en-CA"/>
        </w:rPr>
      </w:pPr>
      <w:r>
        <w:rPr>
          <w:rStyle w:val="Appelnotedebasdep"/>
        </w:rPr>
        <w:footnoteRef/>
      </w:r>
      <w:r w:rsidRPr="00897B93">
        <w:rPr>
          <w:lang w:val="en-CA"/>
        </w:rPr>
        <w:tab/>
      </w:r>
      <w:r w:rsidRPr="00897B93">
        <w:rPr>
          <w:i/>
          <w:iCs/>
          <w:lang w:val="en-CA"/>
        </w:rPr>
        <w:t>Ibid.</w:t>
      </w:r>
    </w:p>
  </w:footnote>
  <w:footnote w:id="39">
    <w:p w14:paraId="44D348CA" w14:textId="735ADFE1" w:rsidR="00CF0E5B" w:rsidRPr="00897B93" w:rsidRDefault="00CF0E5B" w:rsidP="00CF0E5B">
      <w:pPr>
        <w:pStyle w:val="Notedebasdepage"/>
        <w:rPr>
          <w:lang w:val="en-CA"/>
        </w:rPr>
      </w:pPr>
      <w:r>
        <w:rPr>
          <w:rStyle w:val="Appelnotedebasdep"/>
        </w:rPr>
        <w:footnoteRef/>
      </w:r>
      <w:r w:rsidRPr="00897B93">
        <w:rPr>
          <w:lang w:val="en-CA"/>
        </w:rPr>
        <w:tab/>
        <w:t>D. </w:t>
      </w:r>
      <w:proofErr w:type="spellStart"/>
      <w:r w:rsidRPr="00897B93">
        <w:rPr>
          <w:lang w:val="en-CA"/>
        </w:rPr>
        <w:t>Lluelles</w:t>
      </w:r>
      <w:proofErr w:type="spellEnd"/>
      <w:r w:rsidRPr="00897B93">
        <w:rPr>
          <w:lang w:val="en-CA"/>
        </w:rPr>
        <w:t xml:space="preserve"> et B. Moore, </w:t>
      </w:r>
      <w:r w:rsidRPr="00897B93">
        <w:rPr>
          <w:i/>
          <w:iCs/>
          <w:lang w:val="en-CA"/>
        </w:rPr>
        <w:t>supra</w:t>
      </w:r>
      <w:r w:rsidRPr="00897B93">
        <w:rPr>
          <w:lang w:val="en-CA"/>
        </w:rPr>
        <w:t xml:space="preserve">, note </w:t>
      </w:r>
      <w:r>
        <w:fldChar w:fldCharType="begin"/>
      </w:r>
      <w:r w:rsidRPr="00897B93">
        <w:rPr>
          <w:lang w:val="en-CA"/>
        </w:rPr>
        <w:instrText xml:space="preserve"> NOTEREF _Ref185601738 \h </w:instrText>
      </w:r>
      <w:r>
        <w:fldChar w:fldCharType="separate"/>
      </w:r>
      <w:r w:rsidR="00F2001E" w:rsidRPr="00897B93">
        <w:rPr>
          <w:lang w:val="en-CA"/>
        </w:rPr>
        <w:t>16</w:t>
      </w:r>
      <w:r>
        <w:fldChar w:fldCharType="end"/>
      </w:r>
      <w:r w:rsidRPr="00897B93">
        <w:rPr>
          <w:lang w:val="en-CA"/>
        </w:rPr>
        <w:t>, par</w:t>
      </w:r>
      <w:r w:rsidR="003A2FA0" w:rsidRPr="00897B93">
        <w:rPr>
          <w:lang w:val="en-CA"/>
        </w:rPr>
        <w:t>as</w:t>
      </w:r>
      <w:r w:rsidRPr="00897B93">
        <w:rPr>
          <w:lang w:val="en-CA"/>
        </w:rPr>
        <w:t>. 250-251.</w:t>
      </w:r>
    </w:p>
  </w:footnote>
  <w:footnote w:id="40">
    <w:p w14:paraId="789C35AF" w14:textId="0F648B99" w:rsidR="00CF0E5B" w:rsidRPr="001923C9" w:rsidRDefault="00CF0E5B" w:rsidP="00CF0E5B">
      <w:pPr>
        <w:pStyle w:val="Notedebasdepage"/>
        <w:rPr>
          <w:lang w:val="en-CA"/>
        </w:rPr>
      </w:pPr>
      <w:r>
        <w:rPr>
          <w:rStyle w:val="Appelnotedebasdep"/>
        </w:rPr>
        <w:footnoteRef/>
      </w:r>
      <w:r w:rsidRPr="003A2FA0">
        <w:rPr>
          <w:lang w:val="en-CA"/>
        </w:rPr>
        <w:t xml:space="preserve"> </w:t>
      </w:r>
      <w:r w:rsidRPr="003A2FA0">
        <w:rPr>
          <w:lang w:val="en-CA"/>
        </w:rPr>
        <w:tab/>
      </w:r>
      <w:proofErr w:type="spellStart"/>
      <w:r w:rsidRPr="003A2FA0">
        <w:rPr>
          <w:lang w:val="en-CA"/>
        </w:rPr>
        <w:t>Contrair</w:t>
      </w:r>
      <w:r w:rsidR="003A2FA0" w:rsidRPr="003A2FA0">
        <w:rPr>
          <w:lang w:val="en-CA"/>
        </w:rPr>
        <w:t>y</w:t>
      </w:r>
      <w:proofErr w:type="spellEnd"/>
      <w:r w:rsidR="003A2FA0" w:rsidRPr="003A2FA0">
        <w:rPr>
          <w:lang w:val="en-CA"/>
        </w:rPr>
        <w:t xml:space="preserve"> to what the judge wrote at the remedy stage</w:t>
      </w:r>
      <w:r w:rsidRPr="003A2FA0">
        <w:rPr>
          <w:lang w:val="en-CA"/>
        </w:rPr>
        <w:t>: Ju</w:t>
      </w:r>
      <w:r w:rsidR="003A2FA0" w:rsidRPr="003A2FA0">
        <w:rPr>
          <w:lang w:val="en-CA"/>
        </w:rPr>
        <w:t>d</w:t>
      </w:r>
      <w:r w:rsidRPr="003A2FA0">
        <w:rPr>
          <w:lang w:val="en-CA"/>
        </w:rPr>
        <w:t xml:space="preserve">gment </w:t>
      </w:r>
      <w:r w:rsidR="003A2FA0" w:rsidRPr="003A2FA0">
        <w:rPr>
          <w:lang w:val="en-CA"/>
        </w:rPr>
        <w:t>under appeal</w:t>
      </w:r>
      <w:r w:rsidRPr="003A2FA0">
        <w:rPr>
          <w:lang w:val="en-CA"/>
        </w:rPr>
        <w:t xml:space="preserve">, </w:t>
      </w:r>
      <w:r w:rsidR="003A2FA0" w:rsidRPr="003A2FA0">
        <w:rPr>
          <w:lang w:val="en-CA"/>
        </w:rPr>
        <w:t>foot</w:t>
      </w:r>
      <w:r w:rsidRPr="003A2FA0">
        <w:rPr>
          <w:lang w:val="en-CA"/>
        </w:rPr>
        <w:t>note n</w:t>
      </w:r>
      <w:r w:rsidRPr="003A2FA0">
        <w:rPr>
          <w:vertAlign w:val="superscript"/>
          <w:lang w:val="en-CA"/>
        </w:rPr>
        <w:t>o</w:t>
      </w:r>
      <w:r w:rsidRPr="003A2FA0">
        <w:rPr>
          <w:lang w:val="en-CA"/>
        </w:rPr>
        <w:t xml:space="preserve"> 57, </w:t>
      </w:r>
      <w:r w:rsidRPr="003A2FA0">
        <w:rPr>
          <w:i/>
          <w:iCs/>
          <w:lang w:val="en-CA"/>
        </w:rPr>
        <w:t>infra</w:t>
      </w:r>
      <w:r w:rsidRPr="003A2FA0">
        <w:rPr>
          <w:lang w:val="en-CA"/>
        </w:rPr>
        <w:t>, par</w:t>
      </w:r>
      <w:r w:rsidR="003A2FA0" w:rsidRPr="003A2FA0">
        <w:rPr>
          <w:lang w:val="en-CA"/>
        </w:rPr>
        <w:t>a</w:t>
      </w:r>
      <w:r w:rsidRPr="003A2FA0">
        <w:rPr>
          <w:lang w:val="en-CA"/>
        </w:rPr>
        <w:t xml:space="preserve">. </w:t>
      </w:r>
      <w:r w:rsidRPr="00F77C8D">
        <w:fldChar w:fldCharType="begin"/>
      </w:r>
      <w:r w:rsidRPr="003A2FA0">
        <w:rPr>
          <w:lang w:val="en-CA"/>
        </w:rPr>
        <w:instrText xml:space="preserve"> REF _Ref184807948 \r \h  \* MERGEFORMAT </w:instrText>
      </w:r>
      <w:r w:rsidRPr="00F77C8D">
        <w:fldChar w:fldCharType="separate"/>
      </w:r>
      <w:r w:rsidR="00F2001E" w:rsidRPr="00F2001E">
        <w:rPr>
          <w:cs/>
          <w:lang w:val="en-CA"/>
        </w:rPr>
        <w:t>‎</w:t>
      </w:r>
      <w:r w:rsidR="00F2001E" w:rsidRPr="00F2001E">
        <w:rPr>
          <w:lang w:val="en-CA"/>
        </w:rPr>
        <w:t>[68</w:t>
      </w:r>
      <w:r w:rsidR="00F2001E" w:rsidRPr="002E35B4">
        <w:rPr>
          <w:lang w:val="en-CA"/>
        </w:rPr>
        <w:t>]</w:t>
      </w:r>
      <w:r w:rsidRPr="00F77C8D">
        <w:fldChar w:fldCharType="end"/>
      </w:r>
      <w:r w:rsidRPr="00F77C8D">
        <w:rPr>
          <w:lang w:val="en-CA"/>
        </w:rPr>
        <w:t>.</w:t>
      </w:r>
    </w:p>
  </w:footnote>
  <w:footnote w:id="41">
    <w:p w14:paraId="1BC485A5" w14:textId="6635A289" w:rsidR="00CF0E5B" w:rsidRPr="003A2FA0" w:rsidRDefault="00CF0E5B" w:rsidP="00CF0E5B">
      <w:pPr>
        <w:pStyle w:val="Notedebasdepage"/>
        <w:rPr>
          <w:lang w:val="en-CA"/>
        </w:rPr>
      </w:pPr>
      <w:r>
        <w:rPr>
          <w:rStyle w:val="Appelnotedebasdep"/>
        </w:rPr>
        <w:footnoteRef/>
      </w:r>
      <w:r w:rsidRPr="001923C9">
        <w:rPr>
          <w:lang w:val="en-CA"/>
        </w:rPr>
        <w:t xml:space="preserve"> </w:t>
      </w:r>
      <w:r w:rsidRPr="001923C9">
        <w:rPr>
          <w:lang w:val="en-CA"/>
        </w:rPr>
        <w:tab/>
      </w:r>
      <w:r w:rsidR="003A2FA0" w:rsidRPr="003A2FA0">
        <w:rPr>
          <w:lang w:val="en-CA"/>
        </w:rPr>
        <w:t>Moreover, in par</w:t>
      </w:r>
      <w:r w:rsidR="00D62286">
        <w:rPr>
          <w:lang w:val="en-CA"/>
        </w:rPr>
        <w:t>a</w:t>
      </w:r>
      <w:r w:rsidR="003A2FA0" w:rsidRPr="003A2FA0">
        <w:rPr>
          <w:lang w:val="en-CA"/>
        </w:rPr>
        <w:t>. 5 of the judgment</w:t>
      </w:r>
      <w:r w:rsidR="00D62286">
        <w:rPr>
          <w:lang w:val="en-CA"/>
        </w:rPr>
        <w:t xml:space="preserve"> under appeal</w:t>
      </w:r>
      <w:r w:rsidR="003A2FA0" w:rsidRPr="003A2FA0">
        <w:rPr>
          <w:lang w:val="en-CA"/>
        </w:rPr>
        <w:t>, the judge points out</w:t>
      </w:r>
      <w:r w:rsidRPr="001923C9">
        <w:rPr>
          <w:lang w:val="en-CA"/>
        </w:rPr>
        <w:t xml:space="preserve">: </w:t>
      </w:r>
      <w:r w:rsidR="003A2FA0">
        <w:rPr>
          <w:lang w:val="en-CA"/>
        </w:rPr>
        <w:t>“</w:t>
      </w:r>
      <w:r w:rsidRPr="001923C9">
        <w:rPr>
          <w:rFonts w:cs="Arial"/>
          <w:color w:val="000000"/>
          <w:lang w:val="en-CA"/>
        </w:rPr>
        <w:t>the evidence adduced by the parties is insufficient to set the rent in accordance with the terms of the renewal option</w:t>
      </w:r>
      <w:r w:rsidR="003A2FA0">
        <w:rPr>
          <w:rFonts w:cs="Arial"/>
          <w:color w:val="000000"/>
          <w:lang w:val="en-CA"/>
        </w:rPr>
        <w:t>”</w:t>
      </w:r>
      <w:r w:rsidRPr="001923C9">
        <w:rPr>
          <w:lang w:val="en-CA"/>
        </w:rPr>
        <w:t xml:space="preserve">. </w:t>
      </w:r>
      <w:r w:rsidR="003A2FA0" w:rsidRPr="003A2FA0">
        <w:rPr>
          <w:lang w:val="en-CA"/>
        </w:rPr>
        <w:t>See also: Judgment under appeal, para.</w:t>
      </w:r>
      <w:r w:rsidRPr="003A2FA0">
        <w:rPr>
          <w:lang w:val="en-CA"/>
        </w:rPr>
        <w:t> 107.</w:t>
      </w:r>
    </w:p>
  </w:footnote>
  <w:footnote w:id="42">
    <w:p w14:paraId="5D47C336" w14:textId="63DB2397" w:rsidR="00CF0E5B" w:rsidRPr="00922738" w:rsidRDefault="00CF0E5B" w:rsidP="00CF0E5B">
      <w:pPr>
        <w:pStyle w:val="Notedebasdepage"/>
        <w:rPr>
          <w:lang w:val="en-CA"/>
        </w:rPr>
      </w:pPr>
      <w:r>
        <w:rPr>
          <w:rStyle w:val="Appelnotedebasdep"/>
        </w:rPr>
        <w:footnoteRef/>
      </w:r>
      <w:r w:rsidRPr="003A2FA0">
        <w:rPr>
          <w:lang w:val="en-CA"/>
        </w:rPr>
        <w:tab/>
        <w:t>Ju</w:t>
      </w:r>
      <w:r w:rsidR="003A2FA0" w:rsidRPr="003A2FA0">
        <w:rPr>
          <w:lang w:val="en-CA"/>
        </w:rPr>
        <w:t>d</w:t>
      </w:r>
      <w:r w:rsidRPr="003A2FA0">
        <w:rPr>
          <w:lang w:val="en-CA"/>
        </w:rPr>
        <w:t xml:space="preserve">gment </w:t>
      </w:r>
      <w:r w:rsidR="003A2FA0" w:rsidRPr="003A2FA0">
        <w:rPr>
          <w:lang w:val="en-CA"/>
        </w:rPr>
        <w:t>under appeal</w:t>
      </w:r>
      <w:r w:rsidRPr="003A2FA0">
        <w:rPr>
          <w:lang w:val="en-CA"/>
        </w:rPr>
        <w:t>, par</w:t>
      </w:r>
      <w:r w:rsidR="003A2FA0" w:rsidRPr="003A2FA0">
        <w:rPr>
          <w:lang w:val="en-CA"/>
        </w:rPr>
        <w:t>as</w:t>
      </w:r>
      <w:r w:rsidRPr="003A2FA0">
        <w:rPr>
          <w:lang w:val="en-CA"/>
        </w:rPr>
        <w:t xml:space="preserve">. </w:t>
      </w:r>
      <w:r w:rsidRPr="00897B93">
        <w:rPr>
          <w:lang w:val="en-CA"/>
        </w:rPr>
        <w:t xml:space="preserve">55-56, </w:t>
      </w:r>
      <w:r w:rsidRPr="00897B93">
        <w:rPr>
          <w:i/>
          <w:iCs/>
          <w:lang w:val="en-CA"/>
        </w:rPr>
        <w:t>supra</w:t>
      </w:r>
      <w:r w:rsidRPr="00897B93">
        <w:rPr>
          <w:lang w:val="en-CA"/>
        </w:rPr>
        <w:t>, par</w:t>
      </w:r>
      <w:r w:rsidR="003A2FA0" w:rsidRPr="00897B93">
        <w:rPr>
          <w:lang w:val="en-CA"/>
        </w:rPr>
        <w:t>a</w:t>
      </w:r>
      <w:r w:rsidRPr="00897B93">
        <w:rPr>
          <w:lang w:val="en-CA"/>
        </w:rPr>
        <w:t xml:space="preserve">. </w:t>
      </w:r>
      <w:r>
        <w:fldChar w:fldCharType="begin"/>
      </w:r>
      <w:r w:rsidRPr="00897B93">
        <w:rPr>
          <w:lang w:val="en-CA"/>
        </w:rPr>
        <w:instrText xml:space="preserve"> REF _Ref184808135 \r \h </w:instrText>
      </w:r>
      <w:r>
        <w:fldChar w:fldCharType="separate"/>
      </w:r>
      <w:r w:rsidR="00F2001E">
        <w:rPr>
          <w:cs/>
        </w:rPr>
        <w:t>‎</w:t>
      </w:r>
      <w:r w:rsidR="00F2001E" w:rsidRPr="002E35B4">
        <w:rPr>
          <w:lang w:val="en-CA"/>
        </w:rPr>
        <w:t>[40]</w:t>
      </w:r>
      <w:r>
        <w:fldChar w:fldCharType="end"/>
      </w:r>
      <w:r w:rsidRPr="00922738">
        <w:rPr>
          <w:lang w:val="en-CA"/>
        </w:rPr>
        <w:t>.</w:t>
      </w:r>
    </w:p>
  </w:footnote>
  <w:footnote w:id="43">
    <w:p w14:paraId="2518D845" w14:textId="38E61F33" w:rsidR="00CF0E5B" w:rsidRPr="00E77E04" w:rsidRDefault="00CF0E5B" w:rsidP="00CF0E5B">
      <w:pPr>
        <w:pStyle w:val="Notedebasdepage"/>
        <w:rPr>
          <w:lang w:val="en-CA"/>
        </w:rPr>
      </w:pPr>
      <w:r>
        <w:rPr>
          <w:rStyle w:val="Appelnotedebasdep"/>
        </w:rPr>
        <w:footnoteRef/>
      </w:r>
      <w:r w:rsidRPr="00E77E04">
        <w:rPr>
          <w:lang w:val="en-CA"/>
        </w:rPr>
        <w:t xml:space="preserve"> </w:t>
      </w:r>
      <w:r w:rsidRPr="00E77E04">
        <w:rPr>
          <w:lang w:val="en-CA"/>
        </w:rPr>
        <w:tab/>
      </w:r>
      <w:r w:rsidR="003A2FA0">
        <w:rPr>
          <w:lang w:val="en-CA"/>
        </w:rPr>
        <w:t>Exhibit</w:t>
      </w:r>
      <w:r w:rsidRPr="00E77E04">
        <w:rPr>
          <w:lang w:val="en-CA"/>
        </w:rPr>
        <w:t xml:space="preserve"> P-13, Email reply dated J</w:t>
      </w:r>
      <w:r>
        <w:rPr>
          <w:lang w:val="en-CA"/>
        </w:rPr>
        <w:t>anuary 20</w:t>
      </w:r>
      <w:r>
        <w:rPr>
          <w:vertAlign w:val="superscript"/>
          <w:lang w:val="en-CA"/>
        </w:rPr>
        <w:t>th</w:t>
      </w:r>
      <w:r>
        <w:rPr>
          <w:lang w:val="en-CA"/>
        </w:rPr>
        <w:t xml:space="preserve">, </w:t>
      </w:r>
      <w:proofErr w:type="gramStart"/>
      <w:r>
        <w:rPr>
          <w:lang w:val="en-CA"/>
        </w:rPr>
        <w:t>2022</w:t>
      </w:r>
      <w:proofErr w:type="gramEnd"/>
      <w:r>
        <w:rPr>
          <w:lang w:val="en-CA"/>
        </w:rPr>
        <w:t xml:space="preserve"> from Plaintiff’s attorneys to </w:t>
      </w:r>
      <w:proofErr w:type="spellStart"/>
      <w:r>
        <w:rPr>
          <w:lang w:val="en-CA"/>
        </w:rPr>
        <w:t>Cominar</w:t>
      </w:r>
      <w:proofErr w:type="spellEnd"/>
      <w:r>
        <w:rPr>
          <w:lang w:val="en-CA"/>
        </w:rPr>
        <w:t xml:space="preserve">, </w:t>
      </w:r>
      <w:r w:rsidRPr="00F002CC">
        <w:rPr>
          <w:rFonts w:cs="Arial"/>
          <w:lang w:val="en-CA"/>
        </w:rPr>
        <w:t>p. </w:t>
      </w:r>
      <w:r>
        <w:rPr>
          <w:rFonts w:cs="Arial"/>
          <w:lang w:val="en-CA"/>
        </w:rPr>
        <w:t>1</w:t>
      </w:r>
      <w:r>
        <w:rPr>
          <w:lang w:val="en-CA"/>
        </w:rPr>
        <w:t>.</w:t>
      </w:r>
    </w:p>
  </w:footnote>
  <w:footnote w:id="44">
    <w:p w14:paraId="452D86E3" w14:textId="29407742" w:rsidR="00CF0E5B" w:rsidRPr="008C112A" w:rsidRDefault="00CF0E5B" w:rsidP="00CF0E5B">
      <w:pPr>
        <w:pStyle w:val="Notedebasdepage"/>
        <w:rPr>
          <w:lang w:val="en-CA"/>
        </w:rPr>
      </w:pPr>
      <w:r>
        <w:rPr>
          <w:rStyle w:val="Appelnotedebasdep"/>
        </w:rPr>
        <w:footnoteRef/>
      </w:r>
      <w:r w:rsidRPr="008C112A">
        <w:rPr>
          <w:lang w:val="en-CA"/>
        </w:rPr>
        <w:t xml:space="preserve"> </w:t>
      </w:r>
      <w:r w:rsidRPr="008C112A">
        <w:rPr>
          <w:lang w:val="en-CA"/>
        </w:rPr>
        <w:tab/>
      </w:r>
      <w:r w:rsidR="003A2FA0">
        <w:rPr>
          <w:lang w:val="en-CA"/>
        </w:rPr>
        <w:t>Exhibit</w:t>
      </w:r>
      <w:r w:rsidR="003A2FA0" w:rsidRPr="00E77E04">
        <w:rPr>
          <w:lang w:val="en-CA"/>
        </w:rPr>
        <w:t xml:space="preserve"> </w:t>
      </w:r>
      <w:r w:rsidRPr="008C112A">
        <w:rPr>
          <w:lang w:val="en-CA"/>
        </w:rPr>
        <w:t>P-14, Letter dated Jan</w:t>
      </w:r>
      <w:r>
        <w:rPr>
          <w:lang w:val="en-CA"/>
        </w:rPr>
        <w:t>uary 21</w:t>
      </w:r>
      <w:r>
        <w:rPr>
          <w:vertAlign w:val="superscript"/>
          <w:lang w:val="en-CA"/>
        </w:rPr>
        <w:t>st</w:t>
      </w:r>
      <w:r>
        <w:rPr>
          <w:lang w:val="en-CA"/>
        </w:rPr>
        <w:t xml:space="preserve">, </w:t>
      </w:r>
      <w:proofErr w:type="gramStart"/>
      <w:r>
        <w:rPr>
          <w:lang w:val="en-CA"/>
        </w:rPr>
        <w:t>2022</w:t>
      </w:r>
      <w:proofErr w:type="gramEnd"/>
      <w:r>
        <w:rPr>
          <w:lang w:val="en-CA"/>
        </w:rPr>
        <w:t xml:space="preserve"> from </w:t>
      </w:r>
      <w:proofErr w:type="spellStart"/>
      <w:r>
        <w:rPr>
          <w:lang w:val="en-CA"/>
        </w:rPr>
        <w:t>Cominar’s</w:t>
      </w:r>
      <w:proofErr w:type="spellEnd"/>
      <w:r>
        <w:rPr>
          <w:lang w:val="en-CA"/>
        </w:rPr>
        <w:t xml:space="preserve"> attorneys to Plaintiff, p</w:t>
      </w:r>
      <w:r w:rsidR="003A2FA0">
        <w:rPr>
          <w:lang w:val="en-CA"/>
        </w:rPr>
        <w:t>p</w:t>
      </w:r>
      <w:r>
        <w:rPr>
          <w:lang w:val="en-CA"/>
        </w:rPr>
        <w:t>. 2-3.</w:t>
      </w:r>
    </w:p>
  </w:footnote>
  <w:footnote w:id="45">
    <w:p w14:paraId="7E9C98AA" w14:textId="0CDCC1E8" w:rsidR="00CF0E5B" w:rsidRPr="00A223FA" w:rsidRDefault="00CF0E5B" w:rsidP="00CF0E5B">
      <w:pPr>
        <w:pStyle w:val="Notedebasdepage"/>
        <w:rPr>
          <w:lang w:val="en-CA"/>
        </w:rPr>
      </w:pPr>
      <w:r>
        <w:rPr>
          <w:rStyle w:val="Appelnotedebasdep"/>
        </w:rPr>
        <w:footnoteRef/>
      </w:r>
      <w:r w:rsidRPr="00A223FA">
        <w:rPr>
          <w:lang w:val="en-CA"/>
        </w:rPr>
        <w:t xml:space="preserve"> </w:t>
      </w:r>
      <w:r w:rsidRPr="00A223FA">
        <w:rPr>
          <w:lang w:val="en-CA"/>
        </w:rPr>
        <w:tab/>
      </w:r>
      <w:r w:rsidR="003A2FA0">
        <w:rPr>
          <w:lang w:val="en-CA"/>
        </w:rPr>
        <w:t>Exhibit</w:t>
      </w:r>
      <w:r w:rsidR="003A2FA0" w:rsidRPr="00E77E04">
        <w:rPr>
          <w:lang w:val="en-CA"/>
        </w:rPr>
        <w:t xml:space="preserve"> </w:t>
      </w:r>
      <w:r w:rsidRPr="00A223FA">
        <w:rPr>
          <w:lang w:val="en-CA"/>
        </w:rPr>
        <w:t>P-15, Email dated Feb</w:t>
      </w:r>
      <w:r>
        <w:rPr>
          <w:lang w:val="en-CA"/>
        </w:rPr>
        <w:t>ruary 4</w:t>
      </w:r>
      <w:r>
        <w:rPr>
          <w:vertAlign w:val="superscript"/>
          <w:lang w:val="en-CA"/>
        </w:rPr>
        <w:t>th</w:t>
      </w:r>
      <w:r>
        <w:rPr>
          <w:lang w:val="en-CA"/>
        </w:rPr>
        <w:t xml:space="preserve">, </w:t>
      </w:r>
      <w:proofErr w:type="gramStart"/>
      <w:r>
        <w:rPr>
          <w:lang w:val="en-CA"/>
        </w:rPr>
        <w:t>2022</w:t>
      </w:r>
      <w:proofErr w:type="gramEnd"/>
      <w:r>
        <w:rPr>
          <w:lang w:val="en-CA"/>
        </w:rPr>
        <w:t xml:space="preserve"> sent by Plaintiff’s attorneys to </w:t>
      </w:r>
      <w:proofErr w:type="spellStart"/>
      <w:r>
        <w:rPr>
          <w:lang w:val="en-CA"/>
        </w:rPr>
        <w:t>Cominar’s</w:t>
      </w:r>
      <w:proofErr w:type="spellEnd"/>
      <w:r>
        <w:rPr>
          <w:lang w:val="en-CA"/>
        </w:rPr>
        <w:t xml:space="preserve"> attorneys, </w:t>
      </w:r>
      <w:r w:rsidRPr="003A1756">
        <w:rPr>
          <w:rFonts w:cs="Arial"/>
          <w:lang w:val="en-CA"/>
        </w:rPr>
        <w:t>p. </w:t>
      </w:r>
      <w:r>
        <w:rPr>
          <w:rFonts w:cs="Arial"/>
          <w:lang w:val="en-CA"/>
        </w:rPr>
        <w:t>1.</w:t>
      </w:r>
    </w:p>
  </w:footnote>
  <w:footnote w:id="46">
    <w:p w14:paraId="5899A8AB" w14:textId="1A4A237F" w:rsidR="00CF0E5B" w:rsidRPr="00324D9F" w:rsidRDefault="00CF0E5B" w:rsidP="00CF0E5B">
      <w:pPr>
        <w:pStyle w:val="Notedebasdepage"/>
        <w:rPr>
          <w:lang w:val="en-CA"/>
        </w:rPr>
      </w:pPr>
      <w:r>
        <w:rPr>
          <w:rStyle w:val="Appelnotedebasdep"/>
        </w:rPr>
        <w:footnoteRef/>
      </w:r>
      <w:r w:rsidRPr="00A223FA">
        <w:rPr>
          <w:lang w:val="en-CA"/>
        </w:rPr>
        <w:t xml:space="preserve"> </w:t>
      </w:r>
      <w:r w:rsidRPr="00A223FA">
        <w:rPr>
          <w:lang w:val="en-CA"/>
        </w:rPr>
        <w:tab/>
      </w:r>
      <w:r w:rsidR="003A2FA0">
        <w:rPr>
          <w:lang w:val="en-CA"/>
        </w:rPr>
        <w:t>Exhibit</w:t>
      </w:r>
      <w:r w:rsidR="003A2FA0" w:rsidRPr="00E77E04">
        <w:rPr>
          <w:lang w:val="en-CA"/>
        </w:rPr>
        <w:t xml:space="preserve"> </w:t>
      </w:r>
      <w:r w:rsidRPr="00A223FA">
        <w:rPr>
          <w:lang w:val="en-CA"/>
        </w:rPr>
        <w:t>D-1, Emails exchanged between Plaintiff’s lawyer and Defendants’ lawyer from January 21,</w:t>
      </w:r>
      <w:r>
        <w:rPr>
          <w:lang w:val="en-CA"/>
        </w:rPr>
        <w:t xml:space="preserve"> </w:t>
      </w:r>
      <w:r w:rsidRPr="00324D9F">
        <w:rPr>
          <w:lang w:val="en-CA"/>
        </w:rPr>
        <w:t>2022, to March 31, 2022</w:t>
      </w:r>
      <w:r>
        <w:rPr>
          <w:lang w:val="en-CA"/>
        </w:rPr>
        <w:t xml:space="preserve">, </w:t>
      </w:r>
      <w:r w:rsidRPr="003A1756">
        <w:rPr>
          <w:rFonts w:cs="Arial"/>
          <w:lang w:val="en-CA"/>
        </w:rPr>
        <w:t>p. </w:t>
      </w:r>
      <w:r>
        <w:rPr>
          <w:rFonts w:cs="Arial"/>
          <w:lang w:val="en-CA"/>
        </w:rPr>
        <w:t>7.</w:t>
      </w:r>
    </w:p>
  </w:footnote>
  <w:footnote w:id="47">
    <w:p w14:paraId="19E88C27" w14:textId="77777777" w:rsidR="00CF0E5B" w:rsidRPr="003A2FA0" w:rsidRDefault="00CF0E5B" w:rsidP="00CF0E5B">
      <w:pPr>
        <w:pStyle w:val="Notedebasdepage"/>
        <w:rPr>
          <w:lang w:val="en-CA"/>
        </w:rPr>
      </w:pPr>
      <w:r>
        <w:rPr>
          <w:rStyle w:val="Appelnotedebasdep"/>
        </w:rPr>
        <w:footnoteRef/>
      </w:r>
      <w:r w:rsidRPr="003A2FA0">
        <w:rPr>
          <w:lang w:val="en-CA"/>
        </w:rPr>
        <w:t xml:space="preserve"> </w:t>
      </w:r>
      <w:r w:rsidRPr="003A2FA0">
        <w:rPr>
          <w:lang w:val="en-CA"/>
        </w:rPr>
        <w:tab/>
      </w:r>
      <w:r w:rsidRPr="003A2FA0">
        <w:rPr>
          <w:i/>
          <w:iCs/>
          <w:lang w:val="en-CA"/>
        </w:rPr>
        <w:t>Id.</w:t>
      </w:r>
      <w:r w:rsidRPr="003A2FA0">
        <w:rPr>
          <w:lang w:val="en-CA"/>
        </w:rPr>
        <w:t xml:space="preserve">, </w:t>
      </w:r>
      <w:r w:rsidRPr="003A2FA0">
        <w:rPr>
          <w:rFonts w:cs="Arial"/>
          <w:lang w:val="en-CA"/>
        </w:rPr>
        <w:t>p. 1.</w:t>
      </w:r>
    </w:p>
  </w:footnote>
  <w:footnote w:id="48">
    <w:p w14:paraId="09557A74" w14:textId="04084E76" w:rsidR="00CF0E5B" w:rsidRPr="00897B93" w:rsidRDefault="00CF0E5B" w:rsidP="00CF0E5B">
      <w:pPr>
        <w:pStyle w:val="Notedebasdepage"/>
      </w:pPr>
      <w:r>
        <w:rPr>
          <w:rStyle w:val="Appelnotedebasdep"/>
        </w:rPr>
        <w:footnoteRef/>
      </w:r>
      <w:r w:rsidRPr="003A2FA0">
        <w:rPr>
          <w:lang w:val="en-CA"/>
        </w:rPr>
        <w:tab/>
      </w:r>
      <w:r w:rsidRPr="003A2FA0">
        <w:rPr>
          <w:i/>
          <w:iCs/>
          <w:lang w:val="en-CA"/>
        </w:rPr>
        <w:t>Qu</w:t>
      </w:r>
      <w:r w:rsidR="003A2FA0" w:rsidRPr="003A2FA0">
        <w:rPr>
          <w:i/>
          <w:iCs/>
          <w:lang w:val="en-CA"/>
        </w:rPr>
        <w:t>e</w:t>
      </w:r>
      <w:r w:rsidRPr="003A2FA0">
        <w:rPr>
          <w:i/>
          <w:iCs/>
          <w:lang w:val="en-CA"/>
        </w:rPr>
        <w:t>bec (</w:t>
      </w:r>
      <w:r w:rsidR="003A2FA0" w:rsidRPr="003A2FA0">
        <w:rPr>
          <w:i/>
          <w:iCs/>
          <w:lang w:val="en-CA"/>
        </w:rPr>
        <w:t>Attorney General</w:t>
      </w:r>
      <w:r w:rsidRPr="003A2FA0">
        <w:rPr>
          <w:i/>
          <w:iCs/>
          <w:lang w:val="en-CA"/>
        </w:rPr>
        <w:t xml:space="preserve">) </w:t>
      </w:r>
      <w:r w:rsidR="003A2FA0">
        <w:rPr>
          <w:i/>
          <w:iCs/>
          <w:lang w:val="en-CA"/>
        </w:rPr>
        <w:t>v</w:t>
      </w:r>
      <w:r w:rsidRPr="003A2FA0">
        <w:rPr>
          <w:i/>
          <w:iCs/>
          <w:lang w:val="en-CA"/>
        </w:rPr>
        <w:t xml:space="preserve">. </w:t>
      </w:r>
      <w:proofErr w:type="spellStart"/>
      <w:r w:rsidRPr="003A2FA0">
        <w:rPr>
          <w:i/>
          <w:iCs/>
          <w:lang w:val="en-CA"/>
        </w:rPr>
        <w:t>Pekuakamiulnuatsh</w:t>
      </w:r>
      <w:proofErr w:type="spellEnd"/>
      <w:r w:rsidRPr="003A2FA0">
        <w:rPr>
          <w:i/>
          <w:iCs/>
          <w:lang w:val="en-CA"/>
        </w:rPr>
        <w:t xml:space="preserve"> </w:t>
      </w:r>
      <w:proofErr w:type="spellStart"/>
      <w:r w:rsidRPr="003A2FA0">
        <w:rPr>
          <w:i/>
          <w:iCs/>
          <w:lang w:val="en-CA"/>
        </w:rPr>
        <w:t>Takuhikan</w:t>
      </w:r>
      <w:proofErr w:type="spellEnd"/>
      <w:r w:rsidRPr="003A2FA0">
        <w:rPr>
          <w:lang w:val="en-CA"/>
        </w:rPr>
        <w:t xml:space="preserve">, </w:t>
      </w:r>
      <w:r w:rsidRPr="003A2FA0">
        <w:rPr>
          <w:i/>
          <w:iCs/>
          <w:lang w:val="en-CA"/>
        </w:rPr>
        <w:t>supra</w:t>
      </w:r>
      <w:r w:rsidRPr="003A2FA0">
        <w:rPr>
          <w:lang w:val="en-CA"/>
        </w:rPr>
        <w:t>, note </w:t>
      </w:r>
      <w:r>
        <w:fldChar w:fldCharType="begin"/>
      </w:r>
      <w:r w:rsidRPr="003A2FA0">
        <w:rPr>
          <w:lang w:val="en-CA"/>
        </w:rPr>
        <w:instrText xml:space="preserve"> NOTEREF _Ref184807722 \h </w:instrText>
      </w:r>
      <w:r>
        <w:fldChar w:fldCharType="separate"/>
      </w:r>
      <w:r w:rsidR="00F2001E" w:rsidRPr="003A2FA0">
        <w:rPr>
          <w:lang w:val="en-CA"/>
        </w:rPr>
        <w:t>32</w:t>
      </w:r>
      <w:r>
        <w:fldChar w:fldCharType="end"/>
      </w:r>
      <w:r w:rsidRPr="003A2FA0">
        <w:rPr>
          <w:lang w:val="en-CA"/>
        </w:rPr>
        <w:t>, par</w:t>
      </w:r>
      <w:r w:rsidR="003A2FA0">
        <w:rPr>
          <w:lang w:val="en-CA"/>
        </w:rPr>
        <w:t>a</w:t>
      </w:r>
      <w:r w:rsidRPr="003A2FA0">
        <w:rPr>
          <w:lang w:val="en-CA"/>
        </w:rPr>
        <w:t xml:space="preserve">. </w:t>
      </w:r>
      <w:r w:rsidRPr="00897B93">
        <w:t>112.</w:t>
      </w:r>
    </w:p>
  </w:footnote>
  <w:footnote w:id="49">
    <w:p w14:paraId="2F477627" w14:textId="77777777" w:rsidR="00CF0E5B" w:rsidRPr="0045626A" w:rsidRDefault="00CF0E5B" w:rsidP="00CF0E5B">
      <w:pPr>
        <w:pStyle w:val="Notedebasdepage"/>
      </w:pPr>
      <w:r>
        <w:rPr>
          <w:rStyle w:val="Appelnotedebasdep"/>
        </w:rPr>
        <w:footnoteRef/>
      </w:r>
      <w:r>
        <w:t xml:space="preserve"> </w:t>
      </w:r>
      <w:r>
        <w:tab/>
        <w:t xml:space="preserve">Brigitte Lefebvre, </w:t>
      </w:r>
      <w:r>
        <w:rPr>
          <w:i/>
          <w:iCs/>
        </w:rPr>
        <w:t>La bonne foi dans la formation du contrat</w:t>
      </w:r>
      <w:r>
        <w:t>, Cowansville, Yvon Blais, 1998, p. 155.</w:t>
      </w:r>
    </w:p>
  </w:footnote>
  <w:footnote w:id="50">
    <w:p w14:paraId="638C90FB" w14:textId="77886598" w:rsidR="00CF0E5B" w:rsidRPr="00A0710E" w:rsidRDefault="00CF0E5B" w:rsidP="00CF0E5B">
      <w:pPr>
        <w:pStyle w:val="Notedebasdepage"/>
      </w:pPr>
      <w:r>
        <w:rPr>
          <w:rStyle w:val="Appelnotedebasdep"/>
        </w:rPr>
        <w:footnoteRef/>
      </w:r>
      <w:r>
        <w:t xml:space="preserve"> </w:t>
      </w:r>
      <w:r>
        <w:tab/>
        <w:t xml:space="preserve">J.-L. Baudouin, P. Deslauriers </w:t>
      </w:r>
      <w:r w:rsidR="003A2FA0">
        <w:t>&amp;</w:t>
      </w:r>
      <w:r>
        <w:t xml:space="preserve"> B. Moore, </w:t>
      </w:r>
      <w:r>
        <w:rPr>
          <w:i/>
          <w:iCs/>
        </w:rPr>
        <w:t>supra</w:t>
      </w:r>
      <w:r>
        <w:t xml:space="preserve">, note </w:t>
      </w:r>
      <w:r>
        <w:fldChar w:fldCharType="begin"/>
      </w:r>
      <w:r>
        <w:instrText xml:space="preserve"> NOTEREF _Ref184136117 \h </w:instrText>
      </w:r>
      <w:r>
        <w:fldChar w:fldCharType="separate"/>
      </w:r>
      <w:r w:rsidR="00F2001E">
        <w:t>23</w:t>
      </w:r>
      <w:r>
        <w:fldChar w:fldCharType="end"/>
      </w:r>
      <w:r>
        <w:t>, n</w:t>
      </w:r>
      <w:r>
        <w:rPr>
          <w:vertAlign w:val="superscript"/>
        </w:rPr>
        <w:t>o</w:t>
      </w:r>
      <w:r>
        <w:t> 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AE47" w14:textId="1C90CD7B" w:rsidR="00CF0E5B" w:rsidRDefault="00CF0E5B" w:rsidP="008F41FB">
    <w:pPr>
      <w:tabs>
        <w:tab w:val="center" w:pos="4709"/>
        <w:tab w:val="right" w:pos="9360"/>
      </w:tabs>
      <w:spacing w:line="360" w:lineRule="auto"/>
      <w:ind w:right="524"/>
    </w:pPr>
    <w:r>
      <w:t>500-09-030702-237</w:t>
    </w:r>
    <w:r w:rsidRPr="007462D6">
      <w:t xml:space="preserve"> </w:t>
    </w:r>
    <w:r>
      <w:tab/>
    </w:r>
    <w:r>
      <w:tab/>
      <w:t xml:space="preserve">PAGE: </w:t>
    </w:r>
    <w:r>
      <w:fldChar w:fldCharType="begin"/>
    </w:r>
    <w:r>
      <w:instrText xml:space="preserve"> PAGE </w:instrText>
    </w:r>
    <w:r>
      <w:fldChar w:fldCharType="separate"/>
    </w:r>
    <w:r>
      <w:t>1</w:t>
    </w:r>
    <w:r>
      <w:fldChar w:fldCharType="end"/>
    </w:r>
  </w:p>
  <w:p w14:paraId="51C0EEBB" w14:textId="77777777" w:rsidR="00CF0E5B" w:rsidRDefault="00CF0E5B" w:rsidP="008F41FB">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A1DD" w14:textId="260DAA46" w:rsidR="007E33E4" w:rsidRDefault="00E3219B" w:rsidP="00DB2119">
    <w:pPr>
      <w:tabs>
        <w:tab w:val="center" w:pos="4709"/>
        <w:tab w:val="right" w:pos="9360"/>
      </w:tabs>
      <w:spacing w:line="360" w:lineRule="auto"/>
      <w:ind w:right="524"/>
    </w:pPr>
    <w:bookmarkStart w:id="28" w:name="EntDossier"/>
    <w:r>
      <w:t>500-09-030702-237</w:t>
    </w:r>
    <w:bookmarkEnd w:id="28"/>
    <w:r w:rsidR="007E33E4" w:rsidRPr="007462D6">
      <w:t xml:space="preserve"> </w:t>
    </w:r>
    <w:r w:rsidR="007E33E4">
      <w:tab/>
    </w:r>
    <w:r w:rsidR="007E33E4">
      <w:tab/>
      <w:t xml:space="preserve">PAGE: </w:t>
    </w:r>
    <w:r w:rsidR="007E33E4">
      <w:fldChar w:fldCharType="begin"/>
    </w:r>
    <w:r w:rsidR="007E33E4">
      <w:instrText xml:space="preserve"> PAGE </w:instrText>
    </w:r>
    <w:r w:rsidR="007E33E4">
      <w:fldChar w:fldCharType="separate"/>
    </w:r>
    <w:r w:rsidR="008D18FC">
      <w:rPr>
        <w:noProof/>
      </w:rPr>
      <w:t>2</w:t>
    </w:r>
    <w:r w:rsidR="007E33E4">
      <w:fldChar w:fldCharType="end"/>
    </w:r>
  </w:p>
  <w:p w14:paraId="47327E7D"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47A6"/>
    <w:multiLevelType w:val="hybridMultilevel"/>
    <w:tmpl w:val="E080534E"/>
    <w:lvl w:ilvl="0" w:tplc="6F1262E4">
      <w:start w:val="1"/>
      <w:numFmt w:val="bullet"/>
      <w:lvlText w:val=""/>
      <w:lvlJc w:val="left"/>
      <w:pPr>
        <w:ind w:left="720" w:hanging="360"/>
      </w:pPr>
      <w:rPr>
        <w:rFonts w:ascii="Symbol" w:hAnsi="Symbol"/>
      </w:rPr>
    </w:lvl>
    <w:lvl w:ilvl="1" w:tplc="451006A6">
      <w:start w:val="1"/>
      <w:numFmt w:val="bullet"/>
      <w:lvlText w:val=""/>
      <w:lvlJc w:val="left"/>
      <w:pPr>
        <w:ind w:left="720" w:hanging="360"/>
      </w:pPr>
      <w:rPr>
        <w:rFonts w:ascii="Symbol" w:hAnsi="Symbol"/>
      </w:rPr>
    </w:lvl>
    <w:lvl w:ilvl="2" w:tplc="61264FCA">
      <w:start w:val="1"/>
      <w:numFmt w:val="bullet"/>
      <w:lvlText w:val=""/>
      <w:lvlJc w:val="left"/>
      <w:pPr>
        <w:ind w:left="720" w:hanging="360"/>
      </w:pPr>
      <w:rPr>
        <w:rFonts w:ascii="Symbol" w:hAnsi="Symbol"/>
      </w:rPr>
    </w:lvl>
    <w:lvl w:ilvl="3" w:tplc="8B6AD10E">
      <w:start w:val="1"/>
      <w:numFmt w:val="bullet"/>
      <w:lvlText w:val=""/>
      <w:lvlJc w:val="left"/>
      <w:pPr>
        <w:ind w:left="720" w:hanging="360"/>
      </w:pPr>
      <w:rPr>
        <w:rFonts w:ascii="Symbol" w:hAnsi="Symbol"/>
      </w:rPr>
    </w:lvl>
    <w:lvl w:ilvl="4" w:tplc="ADD2C5C2">
      <w:start w:val="1"/>
      <w:numFmt w:val="bullet"/>
      <w:lvlText w:val=""/>
      <w:lvlJc w:val="left"/>
      <w:pPr>
        <w:ind w:left="720" w:hanging="360"/>
      </w:pPr>
      <w:rPr>
        <w:rFonts w:ascii="Symbol" w:hAnsi="Symbol"/>
      </w:rPr>
    </w:lvl>
    <w:lvl w:ilvl="5" w:tplc="382A0880">
      <w:start w:val="1"/>
      <w:numFmt w:val="bullet"/>
      <w:lvlText w:val=""/>
      <w:lvlJc w:val="left"/>
      <w:pPr>
        <w:ind w:left="720" w:hanging="360"/>
      </w:pPr>
      <w:rPr>
        <w:rFonts w:ascii="Symbol" w:hAnsi="Symbol"/>
      </w:rPr>
    </w:lvl>
    <w:lvl w:ilvl="6" w:tplc="63C620D2">
      <w:start w:val="1"/>
      <w:numFmt w:val="bullet"/>
      <w:lvlText w:val=""/>
      <w:lvlJc w:val="left"/>
      <w:pPr>
        <w:ind w:left="720" w:hanging="360"/>
      </w:pPr>
      <w:rPr>
        <w:rFonts w:ascii="Symbol" w:hAnsi="Symbol"/>
      </w:rPr>
    </w:lvl>
    <w:lvl w:ilvl="7" w:tplc="8D5A4DA6">
      <w:start w:val="1"/>
      <w:numFmt w:val="bullet"/>
      <w:lvlText w:val=""/>
      <w:lvlJc w:val="left"/>
      <w:pPr>
        <w:ind w:left="720" w:hanging="360"/>
      </w:pPr>
      <w:rPr>
        <w:rFonts w:ascii="Symbol" w:hAnsi="Symbol"/>
      </w:rPr>
    </w:lvl>
    <w:lvl w:ilvl="8" w:tplc="35069114">
      <w:start w:val="1"/>
      <w:numFmt w:val="bullet"/>
      <w:lvlText w:val=""/>
      <w:lvlJc w:val="left"/>
      <w:pPr>
        <w:ind w:left="720" w:hanging="360"/>
      </w:pPr>
      <w:rPr>
        <w:rFonts w:ascii="Symbol" w:hAnsi="Symbol"/>
      </w:rPr>
    </w:lvl>
  </w:abstractNum>
  <w:abstractNum w:abstractNumId="11" w15:restartNumberingAfterBreak="0">
    <w:nsid w:val="04E26F84"/>
    <w:multiLevelType w:val="hybridMultilevel"/>
    <w:tmpl w:val="FAA2A942"/>
    <w:lvl w:ilvl="0" w:tplc="ED440E12">
      <w:start w:val="1"/>
      <w:numFmt w:val="bullet"/>
      <w:lvlText w:val=""/>
      <w:lvlJc w:val="left"/>
      <w:pPr>
        <w:ind w:left="720" w:hanging="360"/>
      </w:pPr>
      <w:rPr>
        <w:rFonts w:ascii="Symbol" w:hAnsi="Symbol"/>
      </w:rPr>
    </w:lvl>
    <w:lvl w:ilvl="1" w:tplc="49665ED4">
      <w:start w:val="1"/>
      <w:numFmt w:val="bullet"/>
      <w:lvlText w:val=""/>
      <w:lvlJc w:val="left"/>
      <w:pPr>
        <w:ind w:left="720" w:hanging="360"/>
      </w:pPr>
      <w:rPr>
        <w:rFonts w:ascii="Symbol" w:hAnsi="Symbol"/>
      </w:rPr>
    </w:lvl>
    <w:lvl w:ilvl="2" w:tplc="6FAA54E2">
      <w:start w:val="1"/>
      <w:numFmt w:val="bullet"/>
      <w:lvlText w:val=""/>
      <w:lvlJc w:val="left"/>
      <w:pPr>
        <w:ind w:left="720" w:hanging="360"/>
      </w:pPr>
      <w:rPr>
        <w:rFonts w:ascii="Symbol" w:hAnsi="Symbol"/>
      </w:rPr>
    </w:lvl>
    <w:lvl w:ilvl="3" w:tplc="DA3AA18C">
      <w:start w:val="1"/>
      <w:numFmt w:val="bullet"/>
      <w:lvlText w:val=""/>
      <w:lvlJc w:val="left"/>
      <w:pPr>
        <w:ind w:left="720" w:hanging="360"/>
      </w:pPr>
      <w:rPr>
        <w:rFonts w:ascii="Symbol" w:hAnsi="Symbol"/>
      </w:rPr>
    </w:lvl>
    <w:lvl w:ilvl="4" w:tplc="06D8D6E0">
      <w:start w:val="1"/>
      <w:numFmt w:val="bullet"/>
      <w:lvlText w:val=""/>
      <w:lvlJc w:val="left"/>
      <w:pPr>
        <w:ind w:left="720" w:hanging="360"/>
      </w:pPr>
      <w:rPr>
        <w:rFonts w:ascii="Symbol" w:hAnsi="Symbol"/>
      </w:rPr>
    </w:lvl>
    <w:lvl w:ilvl="5" w:tplc="D2C09D20">
      <w:start w:val="1"/>
      <w:numFmt w:val="bullet"/>
      <w:lvlText w:val=""/>
      <w:lvlJc w:val="left"/>
      <w:pPr>
        <w:ind w:left="720" w:hanging="360"/>
      </w:pPr>
      <w:rPr>
        <w:rFonts w:ascii="Symbol" w:hAnsi="Symbol"/>
      </w:rPr>
    </w:lvl>
    <w:lvl w:ilvl="6" w:tplc="5D98E562">
      <w:start w:val="1"/>
      <w:numFmt w:val="bullet"/>
      <w:lvlText w:val=""/>
      <w:lvlJc w:val="left"/>
      <w:pPr>
        <w:ind w:left="720" w:hanging="360"/>
      </w:pPr>
      <w:rPr>
        <w:rFonts w:ascii="Symbol" w:hAnsi="Symbol"/>
      </w:rPr>
    </w:lvl>
    <w:lvl w:ilvl="7" w:tplc="95CC1EA2">
      <w:start w:val="1"/>
      <w:numFmt w:val="bullet"/>
      <w:lvlText w:val=""/>
      <w:lvlJc w:val="left"/>
      <w:pPr>
        <w:ind w:left="720" w:hanging="360"/>
      </w:pPr>
      <w:rPr>
        <w:rFonts w:ascii="Symbol" w:hAnsi="Symbol"/>
      </w:rPr>
    </w:lvl>
    <w:lvl w:ilvl="8" w:tplc="B31A9214">
      <w:start w:val="1"/>
      <w:numFmt w:val="bullet"/>
      <w:lvlText w:val=""/>
      <w:lvlJc w:val="left"/>
      <w:pPr>
        <w:ind w:left="720" w:hanging="360"/>
      </w:pPr>
      <w:rPr>
        <w:rFonts w:ascii="Symbol" w:hAnsi="Symbol"/>
      </w:rPr>
    </w:lvl>
  </w:abstractNum>
  <w:abstractNum w:abstractNumId="12" w15:restartNumberingAfterBreak="0">
    <w:nsid w:val="05BD64E8"/>
    <w:multiLevelType w:val="hybridMultilevel"/>
    <w:tmpl w:val="AAD2DD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C7F250D"/>
    <w:multiLevelType w:val="hybridMultilevel"/>
    <w:tmpl w:val="55C873E4"/>
    <w:lvl w:ilvl="0" w:tplc="8F0C2C04">
      <w:start w:val="1"/>
      <w:numFmt w:val="bullet"/>
      <w:lvlText w:val=""/>
      <w:lvlJc w:val="left"/>
      <w:pPr>
        <w:ind w:left="720" w:hanging="360"/>
      </w:pPr>
      <w:rPr>
        <w:rFonts w:ascii="Symbol" w:hAnsi="Symbol"/>
      </w:rPr>
    </w:lvl>
    <w:lvl w:ilvl="1" w:tplc="1FD20BA0">
      <w:start w:val="1"/>
      <w:numFmt w:val="bullet"/>
      <w:lvlText w:val=""/>
      <w:lvlJc w:val="left"/>
      <w:pPr>
        <w:ind w:left="720" w:hanging="360"/>
      </w:pPr>
      <w:rPr>
        <w:rFonts w:ascii="Symbol" w:hAnsi="Symbol"/>
      </w:rPr>
    </w:lvl>
    <w:lvl w:ilvl="2" w:tplc="472CF3C0">
      <w:start w:val="1"/>
      <w:numFmt w:val="bullet"/>
      <w:lvlText w:val=""/>
      <w:lvlJc w:val="left"/>
      <w:pPr>
        <w:ind w:left="720" w:hanging="360"/>
      </w:pPr>
      <w:rPr>
        <w:rFonts w:ascii="Symbol" w:hAnsi="Symbol"/>
      </w:rPr>
    </w:lvl>
    <w:lvl w:ilvl="3" w:tplc="914CB3D6">
      <w:start w:val="1"/>
      <w:numFmt w:val="bullet"/>
      <w:lvlText w:val=""/>
      <w:lvlJc w:val="left"/>
      <w:pPr>
        <w:ind w:left="720" w:hanging="360"/>
      </w:pPr>
      <w:rPr>
        <w:rFonts w:ascii="Symbol" w:hAnsi="Symbol"/>
      </w:rPr>
    </w:lvl>
    <w:lvl w:ilvl="4" w:tplc="8D4AD31E">
      <w:start w:val="1"/>
      <w:numFmt w:val="bullet"/>
      <w:lvlText w:val=""/>
      <w:lvlJc w:val="left"/>
      <w:pPr>
        <w:ind w:left="720" w:hanging="360"/>
      </w:pPr>
      <w:rPr>
        <w:rFonts w:ascii="Symbol" w:hAnsi="Symbol"/>
      </w:rPr>
    </w:lvl>
    <w:lvl w:ilvl="5" w:tplc="B214397C">
      <w:start w:val="1"/>
      <w:numFmt w:val="bullet"/>
      <w:lvlText w:val=""/>
      <w:lvlJc w:val="left"/>
      <w:pPr>
        <w:ind w:left="720" w:hanging="360"/>
      </w:pPr>
      <w:rPr>
        <w:rFonts w:ascii="Symbol" w:hAnsi="Symbol"/>
      </w:rPr>
    </w:lvl>
    <w:lvl w:ilvl="6" w:tplc="A238E6C6">
      <w:start w:val="1"/>
      <w:numFmt w:val="bullet"/>
      <w:lvlText w:val=""/>
      <w:lvlJc w:val="left"/>
      <w:pPr>
        <w:ind w:left="720" w:hanging="360"/>
      </w:pPr>
      <w:rPr>
        <w:rFonts w:ascii="Symbol" w:hAnsi="Symbol"/>
      </w:rPr>
    </w:lvl>
    <w:lvl w:ilvl="7" w:tplc="EACC3484">
      <w:start w:val="1"/>
      <w:numFmt w:val="bullet"/>
      <w:lvlText w:val=""/>
      <w:lvlJc w:val="left"/>
      <w:pPr>
        <w:ind w:left="720" w:hanging="360"/>
      </w:pPr>
      <w:rPr>
        <w:rFonts w:ascii="Symbol" w:hAnsi="Symbol"/>
      </w:rPr>
    </w:lvl>
    <w:lvl w:ilvl="8" w:tplc="F98656AA">
      <w:start w:val="1"/>
      <w:numFmt w:val="bullet"/>
      <w:lvlText w:val=""/>
      <w:lvlJc w:val="left"/>
      <w:pPr>
        <w:ind w:left="720" w:hanging="360"/>
      </w:pPr>
      <w:rPr>
        <w:rFonts w:ascii="Symbol" w:hAnsi="Symbol"/>
      </w:rPr>
    </w:lvl>
  </w:abstractNum>
  <w:abstractNum w:abstractNumId="14" w15:restartNumberingAfterBreak="0">
    <w:nsid w:val="0FA733F9"/>
    <w:multiLevelType w:val="hybridMultilevel"/>
    <w:tmpl w:val="287465D6"/>
    <w:lvl w:ilvl="0" w:tplc="62C24760">
      <w:start w:val="1"/>
      <w:numFmt w:val="bullet"/>
      <w:lvlText w:val=""/>
      <w:lvlJc w:val="left"/>
      <w:pPr>
        <w:ind w:left="720" w:hanging="360"/>
      </w:pPr>
      <w:rPr>
        <w:rFonts w:ascii="Symbol" w:hAnsi="Symbol"/>
      </w:rPr>
    </w:lvl>
    <w:lvl w:ilvl="1" w:tplc="A928FAAC">
      <w:start w:val="1"/>
      <w:numFmt w:val="bullet"/>
      <w:lvlText w:val=""/>
      <w:lvlJc w:val="left"/>
      <w:pPr>
        <w:ind w:left="720" w:hanging="360"/>
      </w:pPr>
      <w:rPr>
        <w:rFonts w:ascii="Symbol" w:hAnsi="Symbol"/>
      </w:rPr>
    </w:lvl>
    <w:lvl w:ilvl="2" w:tplc="3768E6DE">
      <w:start w:val="1"/>
      <w:numFmt w:val="bullet"/>
      <w:lvlText w:val=""/>
      <w:lvlJc w:val="left"/>
      <w:pPr>
        <w:ind w:left="720" w:hanging="360"/>
      </w:pPr>
      <w:rPr>
        <w:rFonts w:ascii="Symbol" w:hAnsi="Symbol"/>
      </w:rPr>
    </w:lvl>
    <w:lvl w:ilvl="3" w:tplc="82A8F504">
      <w:start w:val="1"/>
      <w:numFmt w:val="bullet"/>
      <w:lvlText w:val=""/>
      <w:lvlJc w:val="left"/>
      <w:pPr>
        <w:ind w:left="720" w:hanging="360"/>
      </w:pPr>
      <w:rPr>
        <w:rFonts w:ascii="Symbol" w:hAnsi="Symbol"/>
      </w:rPr>
    </w:lvl>
    <w:lvl w:ilvl="4" w:tplc="36A0FBE6">
      <w:start w:val="1"/>
      <w:numFmt w:val="bullet"/>
      <w:lvlText w:val=""/>
      <w:lvlJc w:val="left"/>
      <w:pPr>
        <w:ind w:left="720" w:hanging="360"/>
      </w:pPr>
      <w:rPr>
        <w:rFonts w:ascii="Symbol" w:hAnsi="Symbol"/>
      </w:rPr>
    </w:lvl>
    <w:lvl w:ilvl="5" w:tplc="2FAC6230">
      <w:start w:val="1"/>
      <w:numFmt w:val="bullet"/>
      <w:lvlText w:val=""/>
      <w:lvlJc w:val="left"/>
      <w:pPr>
        <w:ind w:left="720" w:hanging="360"/>
      </w:pPr>
      <w:rPr>
        <w:rFonts w:ascii="Symbol" w:hAnsi="Symbol"/>
      </w:rPr>
    </w:lvl>
    <w:lvl w:ilvl="6" w:tplc="245EA3D2">
      <w:start w:val="1"/>
      <w:numFmt w:val="bullet"/>
      <w:lvlText w:val=""/>
      <w:lvlJc w:val="left"/>
      <w:pPr>
        <w:ind w:left="720" w:hanging="360"/>
      </w:pPr>
      <w:rPr>
        <w:rFonts w:ascii="Symbol" w:hAnsi="Symbol"/>
      </w:rPr>
    </w:lvl>
    <w:lvl w:ilvl="7" w:tplc="43CC7406">
      <w:start w:val="1"/>
      <w:numFmt w:val="bullet"/>
      <w:lvlText w:val=""/>
      <w:lvlJc w:val="left"/>
      <w:pPr>
        <w:ind w:left="720" w:hanging="360"/>
      </w:pPr>
      <w:rPr>
        <w:rFonts w:ascii="Symbol" w:hAnsi="Symbol"/>
      </w:rPr>
    </w:lvl>
    <w:lvl w:ilvl="8" w:tplc="98B251E8">
      <w:start w:val="1"/>
      <w:numFmt w:val="bullet"/>
      <w:lvlText w:val=""/>
      <w:lvlJc w:val="left"/>
      <w:pPr>
        <w:ind w:left="720" w:hanging="360"/>
      </w:pPr>
      <w:rPr>
        <w:rFonts w:ascii="Symbol" w:hAnsi="Symbol"/>
      </w:rPr>
    </w:lvl>
  </w:abstractNum>
  <w:abstractNum w:abstractNumId="15" w15:restartNumberingAfterBreak="0">
    <w:nsid w:val="122A0BD7"/>
    <w:multiLevelType w:val="hybridMultilevel"/>
    <w:tmpl w:val="DA36C964"/>
    <w:lvl w:ilvl="0" w:tplc="75DC0AF2">
      <w:start w:val="1"/>
      <w:numFmt w:val="bullet"/>
      <w:lvlText w:val=""/>
      <w:lvlJc w:val="left"/>
      <w:pPr>
        <w:ind w:left="720" w:hanging="360"/>
      </w:pPr>
      <w:rPr>
        <w:rFonts w:ascii="Symbol" w:hAnsi="Symbol"/>
      </w:rPr>
    </w:lvl>
    <w:lvl w:ilvl="1" w:tplc="24F2D8E4">
      <w:start w:val="1"/>
      <w:numFmt w:val="bullet"/>
      <w:lvlText w:val=""/>
      <w:lvlJc w:val="left"/>
      <w:pPr>
        <w:ind w:left="720" w:hanging="360"/>
      </w:pPr>
      <w:rPr>
        <w:rFonts w:ascii="Symbol" w:hAnsi="Symbol"/>
      </w:rPr>
    </w:lvl>
    <w:lvl w:ilvl="2" w:tplc="1B5AAC56">
      <w:start w:val="1"/>
      <w:numFmt w:val="bullet"/>
      <w:lvlText w:val=""/>
      <w:lvlJc w:val="left"/>
      <w:pPr>
        <w:ind w:left="720" w:hanging="360"/>
      </w:pPr>
      <w:rPr>
        <w:rFonts w:ascii="Symbol" w:hAnsi="Symbol"/>
      </w:rPr>
    </w:lvl>
    <w:lvl w:ilvl="3" w:tplc="CE6A5126">
      <w:start w:val="1"/>
      <w:numFmt w:val="bullet"/>
      <w:lvlText w:val=""/>
      <w:lvlJc w:val="left"/>
      <w:pPr>
        <w:ind w:left="720" w:hanging="360"/>
      </w:pPr>
      <w:rPr>
        <w:rFonts w:ascii="Symbol" w:hAnsi="Symbol"/>
      </w:rPr>
    </w:lvl>
    <w:lvl w:ilvl="4" w:tplc="84E01F94">
      <w:start w:val="1"/>
      <w:numFmt w:val="bullet"/>
      <w:lvlText w:val=""/>
      <w:lvlJc w:val="left"/>
      <w:pPr>
        <w:ind w:left="720" w:hanging="360"/>
      </w:pPr>
      <w:rPr>
        <w:rFonts w:ascii="Symbol" w:hAnsi="Symbol"/>
      </w:rPr>
    </w:lvl>
    <w:lvl w:ilvl="5" w:tplc="B07025FE">
      <w:start w:val="1"/>
      <w:numFmt w:val="bullet"/>
      <w:lvlText w:val=""/>
      <w:lvlJc w:val="left"/>
      <w:pPr>
        <w:ind w:left="720" w:hanging="360"/>
      </w:pPr>
      <w:rPr>
        <w:rFonts w:ascii="Symbol" w:hAnsi="Symbol"/>
      </w:rPr>
    </w:lvl>
    <w:lvl w:ilvl="6" w:tplc="C302DDA2">
      <w:start w:val="1"/>
      <w:numFmt w:val="bullet"/>
      <w:lvlText w:val=""/>
      <w:lvlJc w:val="left"/>
      <w:pPr>
        <w:ind w:left="720" w:hanging="360"/>
      </w:pPr>
      <w:rPr>
        <w:rFonts w:ascii="Symbol" w:hAnsi="Symbol"/>
      </w:rPr>
    </w:lvl>
    <w:lvl w:ilvl="7" w:tplc="3A3C7DE6">
      <w:start w:val="1"/>
      <w:numFmt w:val="bullet"/>
      <w:lvlText w:val=""/>
      <w:lvlJc w:val="left"/>
      <w:pPr>
        <w:ind w:left="720" w:hanging="360"/>
      </w:pPr>
      <w:rPr>
        <w:rFonts w:ascii="Symbol" w:hAnsi="Symbol"/>
      </w:rPr>
    </w:lvl>
    <w:lvl w:ilvl="8" w:tplc="77A69DDA">
      <w:start w:val="1"/>
      <w:numFmt w:val="bullet"/>
      <w:lvlText w:val=""/>
      <w:lvlJc w:val="left"/>
      <w:pPr>
        <w:ind w:left="720" w:hanging="360"/>
      </w:pPr>
      <w:rPr>
        <w:rFonts w:ascii="Symbol" w:hAnsi="Symbol"/>
      </w:rPr>
    </w:lvl>
  </w:abstractNum>
  <w:abstractNum w:abstractNumId="16" w15:restartNumberingAfterBreak="0">
    <w:nsid w:val="160D1F0C"/>
    <w:multiLevelType w:val="hybridMultilevel"/>
    <w:tmpl w:val="7A6ADA52"/>
    <w:lvl w:ilvl="0" w:tplc="FD7AD33C">
      <w:start w:val="1"/>
      <w:numFmt w:val="bullet"/>
      <w:lvlText w:val=""/>
      <w:lvlJc w:val="left"/>
      <w:pPr>
        <w:ind w:left="720" w:hanging="360"/>
      </w:pPr>
      <w:rPr>
        <w:rFonts w:ascii="Symbol" w:hAnsi="Symbol"/>
      </w:rPr>
    </w:lvl>
    <w:lvl w:ilvl="1" w:tplc="3F46C612">
      <w:start w:val="1"/>
      <w:numFmt w:val="bullet"/>
      <w:lvlText w:val=""/>
      <w:lvlJc w:val="left"/>
      <w:pPr>
        <w:ind w:left="720" w:hanging="360"/>
      </w:pPr>
      <w:rPr>
        <w:rFonts w:ascii="Symbol" w:hAnsi="Symbol"/>
      </w:rPr>
    </w:lvl>
    <w:lvl w:ilvl="2" w:tplc="464E7E32">
      <w:start w:val="1"/>
      <w:numFmt w:val="bullet"/>
      <w:lvlText w:val=""/>
      <w:lvlJc w:val="left"/>
      <w:pPr>
        <w:ind w:left="720" w:hanging="360"/>
      </w:pPr>
      <w:rPr>
        <w:rFonts w:ascii="Symbol" w:hAnsi="Symbol"/>
      </w:rPr>
    </w:lvl>
    <w:lvl w:ilvl="3" w:tplc="DBDE9774">
      <w:start w:val="1"/>
      <w:numFmt w:val="bullet"/>
      <w:lvlText w:val=""/>
      <w:lvlJc w:val="left"/>
      <w:pPr>
        <w:ind w:left="720" w:hanging="360"/>
      </w:pPr>
      <w:rPr>
        <w:rFonts w:ascii="Symbol" w:hAnsi="Symbol"/>
      </w:rPr>
    </w:lvl>
    <w:lvl w:ilvl="4" w:tplc="EB58330C">
      <w:start w:val="1"/>
      <w:numFmt w:val="bullet"/>
      <w:lvlText w:val=""/>
      <w:lvlJc w:val="left"/>
      <w:pPr>
        <w:ind w:left="720" w:hanging="360"/>
      </w:pPr>
      <w:rPr>
        <w:rFonts w:ascii="Symbol" w:hAnsi="Symbol"/>
      </w:rPr>
    </w:lvl>
    <w:lvl w:ilvl="5" w:tplc="CF7C63F4">
      <w:start w:val="1"/>
      <w:numFmt w:val="bullet"/>
      <w:lvlText w:val=""/>
      <w:lvlJc w:val="left"/>
      <w:pPr>
        <w:ind w:left="720" w:hanging="360"/>
      </w:pPr>
      <w:rPr>
        <w:rFonts w:ascii="Symbol" w:hAnsi="Symbol"/>
      </w:rPr>
    </w:lvl>
    <w:lvl w:ilvl="6" w:tplc="1BD8976C">
      <w:start w:val="1"/>
      <w:numFmt w:val="bullet"/>
      <w:lvlText w:val=""/>
      <w:lvlJc w:val="left"/>
      <w:pPr>
        <w:ind w:left="720" w:hanging="360"/>
      </w:pPr>
      <w:rPr>
        <w:rFonts w:ascii="Symbol" w:hAnsi="Symbol"/>
      </w:rPr>
    </w:lvl>
    <w:lvl w:ilvl="7" w:tplc="B9C2BCE6">
      <w:start w:val="1"/>
      <w:numFmt w:val="bullet"/>
      <w:lvlText w:val=""/>
      <w:lvlJc w:val="left"/>
      <w:pPr>
        <w:ind w:left="720" w:hanging="360"/>
      </w:pPr>
      <w:rPr>
        <w:rFonts w:ascii="Symbol" w:hAnsi="Symbol"/>
      </w:rPr>
    </w:lvl>
    <w:lvl w:ilvl="8" w:tplc="5B04468C">
      <w:start w:val="1"/>
      <w:numFmt w:val="bullet"/>
      <w:lvlText w:val=""/>
      <w:lvlJc w:val="left"/>
      <w:pPr>
        <w:ind w:left="720" w:hanging="360"/>
      </w:pPr>
      <w:rPr>
        <w:rFonts w:ascii="Symbol" w:hAnsi="Symbol"/>
      </w:rPr>
    </w:lvl>
  </w:abstractNum>
  <w:abstractNum w:abstractNumId="17" w15:restartNumberingAfterBreak="0">
    <w:nsid w:val="187D1F20"/>
    <w:multiLevelType w:val="hybridMultilevel"/>
    <w:tmpl w:val="9DC86ECC"/>
    <w:lvl w:ilvl="0" w:tplc="FCE8E1B4">
      <w:start w:val="1"/>
      <w:numFmt w:val="bullet"/>
      <w:lvlText w:val=""/>
      <w:lvlJc w:val="left"/>
      <w:pPr>
        <w:ind w:left="720" w:hanging="360"/>
      </w:pPr>
      <w:rPr>
        <w:rFonts w:ascii="Symbol" w:hAnsi="Symbol"/>
      </w:rPr>
    </w:lvl>
    <w:lvl w:ilvl="1" w:tplc="48402FFE">
      <w:start w:val="1"/>
      <w:numFmt w:val="bullet"/>
      <w:lvlText w:val=""/>
      <w:lvlJc w:val="left"/>
      <w:pPr>
        <w:ind w:left="720" w:hanging="360"/>
      </w:pPr>
      <w:rPr>
        <w:rFonts w:ascii="Symbol" w:hAnsi="Symbol"/>
      </w:rPr>
    </w:lvl>
    <w:lvl w:ilvl="2" w:tplc="A47840A4">
      <w:start w:val="1"/>
      <w:numFmt w:val="bullet"/>
      <w:lvlText w:val=""/>
      <w:lvlJc w:val="left"/>
      <w:pPr>
        <w:ind w:left="720" w:hanging="360"/>
      </w:pPr>
      <w:rPr>
        <w:rFonts w:ascii="Symbol" w:hAnsi="Symbol"/>
      </w:rPr>
    </w:lvl>
    <w:lvl w:ilvl="3" w:tplc="66207310">
      <w:start w:val="1"/>
      <w:numFmt w:val="bullet"/>
      <w:lvlText w:val=""/>
      <w:lvlJc w:val="left"/>
      <w:pPr>
        <w:ind w:left="720" w:hanging="360"/>
      </w:pPr>
      <w:rPr>
        <w:rFonts w:ascii="Symbol" w:hAnsi="Symbol"/>
      </w:rPr>
    </w:lvl>
    <w:lvl w:ilvl="4" w:tplc="B38219B6">
      <w:start w:val="1"/>
      <w:numFmt w:val="bullet"/>
      <w:lvlText w:val=""/>
      <w:lvlJc w:val="left"/>
      <w:pPr>
        <w:ind w:left="720" w:hanging="360"/>
      </w:pPr>
      <w:rPr>
        <w:rFonts w:ascii="Symbol" w:hAnsi="Symbol"/>
      </w:rPr>
    </w:lvl>
    <w:lvl w:ilvl="5" w:tplc="9EFCAE02">
      <w:start w:val="1"/>
      <w:numFmt w:val="bullet"/>
      <w:lvlText w:val=""/>
      <w:lvlJc w:val="left"/>
      <w:pPr>
        <w:ind w:left="720" w:hanging="360"/>
      </w:pPr>
      <w:rPr>
        <w:rFonts w:ascii="Symbol" w:hAnsi="Symbol"/>
      </w:rPr>
    </w:lvl>
    <w:lvl w:ilvl="6" w:tplc="2D8A50BE">
      <w:start w:val="1"/>
      <w:numFmt w:val="bullet"/>
      <w:lvlText w:val=""/>
      <w:lvlJc w:val="left"/>
      <w:pPr>
        <w:ind w:left="720" w:hanging="360"/>
      </w:pPr>
      <w:rPr>
        <w:rFonts w:ascii="Symbol" w:hAnsi="Symbol"/>
      </w:rPr>
    </w:lvl>
    <w:lvl w:ilvl="7" w:tplc="17BA9B94">
      <w:start w:val="1"/>
      <w:numFmt w:val="bullet"/>
      <w:lvlText w:val=""/>
      <w:lvlJc w:val="left"/>
      <w:pPr>
        <w:ind w:left="720" w:hanging="360"/>
      </w:pPr>
      <w:rPr>
        <w:rFonts w:ascii="Symbol" w:hAnsi="Symbol"/>
      </w:rPr>
    </w:lvl>
    <w:lvl w:ilvl="8" w:tplc="26B07E34">
      <w:start w:val="1"/>
      <w:numFmt w:val="bullet"/>
      <w:lvlText w:val=""/>
      <w:lvlJc w:val="left"/>
      <w:pPr>
        <w:ind w:left="720" w:hanging="360"/>
      </w:pPr>
      <w:rPr>
        <w:rFonts w:ascii="Symbol" w:hAnsi="Symbol"/>
      </w:rPr>
    </w:lvl>
  </w:abstractNum>
  <w:abstractNum w:abstractNumId="18" w15:restartNumberingAfterBreak="0">
    <w:nsid w:val="1DBF5CAB"/>
    <w:multiLevelType w:val="hybridMultilevel"/>
    <w:tmpl w:val="B8BCA516"/>
    <w:lvl w:ilvl="0" w:tplc="C82273B6">
      <w:start w:val="1"/>
      <w:numFmt w:val="bullet"/>
      <w:lvlText w:val=""/>
      <w:lvlJc w:val="left"/>
      <w:pPr>
        <w:ind w:left="720" w:hanging="360"/>
      </w:pPr>
      <w:rPr>
        <w:rFonts w:ascii="Symbol" w:hAnsi="Symbol"/>
      </w:rPr>
    </w:lvl>
    <w:lvl w:ilvl="1" w:tplc="702EF856">
      <w:start w:val="1"/>
      <w:numFmt w:val="bullet"/>
      <w:lvlText w:val=""/>
      <w:lvlJc w:val="left"/>
      <w:pPr>
        <w:ind w:left="720" w:hanging="360"/>
      </w:pPr>
      <w:rPr>
        <w:rFonts w:ascii="Symbol" w:hAnsi="Symbol"/>
      </w:rPr>
    </w:lvl>
    <w:lvl w:ilvl="2" w:tplc="A350CDD6">
      <w:start w:val="1"/>
      <w:numFmt w:val="bullet"/>
      <w:lvlText w:val=""/>
      <w:lvlJc w:val="left"/>
      <w:pPr>
        <w:ind w:left="720" w:hanging="360"/>
      </w:pPr>
      <w:rPr>
        <w:rFonts w:ascii="Symbol" w:hAnsi="Symbol"/>
      </w:rPr>
    </w:lvl>
    <w:lvl w:ilvl="3" w:tplc="24AC2CE2">
      <w:start w:val="1"/>
      <w:numFmt w:val="bullet"/>
      <w:lvlText w:val=""/>
      <w:lvlJc w:val="left"/>
      <w:pPr>
        <w:ind w:left="720" w:hanging="360"/>
      </w:pPr>
      <w:rPr>
        <w:rFonts w:ascii="Symbol" w:hAnsi="Symbol"/>
      </w:rPr>
    </w:lvl>
    <w:lvl w:ilvl="4" w:tplc="634A9F2C">
      <w:start w:val="1"/>
      <w:numFmt w:val="bullet"/>
      <w:lvlText w:val=""/>
      <w:lvlJc w:val="left"/>
      <w:pPr>
        <w:ind w:left="720" w:hanging="360"/>
      </w:pPr>
      <w:rPr>
        <w:rFonts w:ascii="Symbol" w:hAnsi="Symbol"/>
      </w:rPr>
    </w:lvl>
    <w:lvl w:ilvl="5" w:tplc="EF287548">
      <w:start w:val="1"/>
      <w:numFmt w:val="bullet"/>
      <w:lvlText w:val=""/>
      <w:lvlJc w:val="left"/>
      <w:pPr>
        <w:ind w:left="720" w:hanging="360"/>
      </w:pPr>
      <w:rPr>
        <w:rFonts w:ascii="Symbol" w:hAnsi="Symbol"/>
      </w:rPr>
    </w:lvl>
    <w:lvl w:ilvl="6" w:tplc="BF84CA06">
      <w:start w:val="1"/>
      <w:numFmt w:val="bullet"/>
      <w:lvlText w:val=""/>
      <w:lvlJc w:val="left"/>
      <w:pPr>
        <w:ind w:left="720" w:hanging="360"/>
      </w:pPr>
      <w:rPr>
        <w:rFonts w:ascii="Symbol" w:hAnsi="Symbol"/>
      </w:rPr>
    </w:lvl>
    <w:lvl w:ilvl="7" w:tplc="BB40273C">
      <w:start w:val="1"/>
      <w:numFmt w:val="bullet"/>
      <w:lvlText w:val=""/>
      <w:lvlJc w:val="left"/>
      <w:pPr>
        <w:ind w:left="720" w:hanging="360"/>
      </w:pPr>
      <w:rPr>
        <w:rFonts w:ascii="Symbol" w:hAnsi="Symbol"/>
      </w:rPr>
    </w:lvl>
    <w:lvl w:ilvl="8" w:tplc="75387330">
      <w:start w:val="1"/>
      <w:numFmt w:val="bullet"/>
      <w:lvlText w:val=""/>
      <w:lvlJc w:val="left"/>
      <w:pPr>
        <w:ind w:left="720" w:hanging="360"/>
      </w:pPr>
      <w:rPr>
        <w:rFonts w:ascii="Symbol" w:hAnsi="Symbol"/>
      </w:rPr>
    </w:lvl>
  </w:abstractNum>
  <w:abstractNum w:abstractNumId="19" w15:restartNumberingAfterBreak="0">
    <w:nsid w:val="1E443E28"/>
    <w:multiLevelType w:val="hybridMultilevel"/>
    <w:tmpl w:val="760E6DDA"/>
    <w:lvl w:ilvl="0" w:tplc="9C0E4AFC">
      <w:start w:val="1"/>
      <w:numFmt w:val="bullet"/>
      <w:lvlText w:val=""/>
      <w:lvlJc w:val="left"/>
      <w:pPr>
        <w:ind w:left="720" w:hanging="360"/>
      </w:pPr>
      <w:rPr>
        <w:rFonts w:ascii="Symbol" w:hAnsi="Symbol"/>
      </w:rPr>
    </w:lvl>
    <w:lvl w:ilvl="1" w:tplc="0ED2CF8C">
      <w:start w:val="1"/>
      <w:numFmt w:val="bullet"/>
      <w:lvlText w:val=""/>
      <w:lvlJc w:val="left"/>
      <w:pPr>
        <w:ind w:left="720" w:hanging="360"/>
      </w:pPr>
      <w:rPr>
        <w:rFonts w:ascii="Symbol" w:hAnsi="Symbol"/>
      </w:rPr>
    </w:lvl>
    <w:lvl w:ilvl="2" w:tplc="E7B6E7EC">
      <w:start w:val="1"/>
      <w:numFmt w:val="bullet"/>
      <w:lvlText w:val=""/>
      <w:lvlJc w:val="left"/>
      <w:pPr>
        <w:ind w:left="720" w:hanging="360"/>
      </w:pPr>
      <w:rPr>
        <w:rFonts w:ascii="Symbol" w:hAnsi="Symbol"/>
      </w:rPr>
    </w:lvl>
    <w:lvl w:ilvl="3" w:tplc="C4743F54">
      <w:start w:val="1"/>
      <w:numFmt w:val="bullet"/>
      <w:lvlText w:val=""/>
      <w:lvlJc w:val="left"/>
      <w:pPr>
        <w:ind w:left="720" w:hanging="360"/>
      </w:pPr>
      <w:rPr>
        <w:rFonts w:ascii="Symbol" w:hAnsi="Symbol"/>
      </w:rPr>
    </w:lvl>
    <w:lvl w:ilvl="4" w:tplc="E3C6BCF4">
      <w:start w:val="1"/>
      <w:numFmt w:val="bullet"/>
      <w:lvlText w:val=""/>
      <w:lvlJc w:val="left"/>
      <w:pPr>
        <w:ind w:left="720" w:hanging="360"/>
      </w:pPr>
      <w:rPr>
        <w:rFonts w:ascii="Symbol" w:hAnsi="Symbol"/>
      </w:rPr>
    </w:lvl>
    <w:lvl w:ilvl="5" w:tplc="4BEADA40">
      <w:start w:val="1"/>
      <w:numFmt w:val="bullet"/>
      <w:lvlText w:val=""/>
      <w:lvlJc w:val="left"/>
      <w:pPr>
        <w:ind w:left="720" w:hanging="360"/>
      </w:pPr>
      <w:rPr>
        <w:rFonts w:ascii="Symbol" w:hAnsi="Symbol"/>
      </w:rPr>
    </w:lvl>
    <w:lvl w:ilvl="6" w:tplc="7CE02F1E">
      <w:start w:val="1"/>
      <w:numFmt w:val="bullet"/>
      <w:lvlText w:val=""/>
      <w:lvlJc w:val="left"/>
      <w:pPr>
        <w:ind w:left="720" w:hanging="360"/>
      </w:pPr>
      <w:rPr>
        <w:rFonts w:ascii="Symbol" w:hAnsi="Symbol"/>
      </w:rPr>
    </w:lvl>
    <w:lvl w:ilvl="7" w:tplc="ED300E8E">
      <w:start w:val="1"/>
      <w:numFmt w:val="bullet"/>
      <w:lvlText w:val=""/>
      <w:lvlJc w:val="left"/>
      <w:pPr>
        <w:ind w:left="720" w:hanging="360"/>
      </w:pPr>
      <w:rPr>
        <w:rFonts w:ascii="Symbol" w:hAnsi="Symbol"/>
      </w:rPr>
    </w:lvl>
    <w:lvl w:ilvl="8" w:tplc="AB1E092E">
      <w:start w:val="1"/>
      <w:numFmt w:val="bullet"/>
      <w:lvlText w:val=""/>
      <w:lvlJc w:val="left"/>
      <w:pPr>
        <w:ind w:left="720" w:hanging="360"/>
      </w:pPr>
      <w:rPr>
        <w:rFonts w:ascii="Symbol" w:hAnsi="Symbol"/>
      </w:rPr>
    </w:lvl>
  </w:abstractNum>
  <w:abstractNum w:abstractNumId="20" w15:restartNumberingAfterBreak="0">
    <w:nsid w:val="20615241"/>
    <w:multiLevelType w:val="hybridMultilevel"/>
    <w:tmpl w:val="7256B4EE"/>
    <w:lvl w:ilvl="0" w:tplc="B31244C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202370E"/>
    <w:multiLevelType w:val="hybridMultilevel"/>
    <w:tmpl w:val="B5AE69A2"/>
    <w:lvl w:ilvl="0" w:tplc="619041A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5041D66"/>
    <w:multiLevelType w:val="hybridMultilevel"/>
    <w:tmpl w:val="FA74EA88"/>
    <w:lvl w:ilvl="0" w:tplc="E99CA4AA">
      <w:start w:val="1"/>
      <w:numFmt w:val="bullet"/>
      <w:lvlText w:val=""/>
      <w:lvlJc w:val="left"/>
      <w:pPr>
        <w:ind w:left="720" w:hanging="360"/>
      </w:pPr>
      <w:rPr>
        <w:rFonts w:ascii="Symbol" w:hAnsi="Symbol"/>
      </w:rPr>
    </w:lvl>
    <w:lvl w:ilvl="1" w:tplc="C068E022">
      <w:start w:val="1"/>
      <w:numFmt w:val="bullet"/>
      <w:lvlText w:val=""/>
      <w:lvlJc w:val="left"/>
      <w:pPr>
        <w:ind w:left="720" w:hanging="360"/>
      </w:pPr>
      <w:rPr>
        <w:rFonts w:ascii="Symbol" w:hAnsi="Symbol"/>
      </w:rPr>
    </w:lvl>
    <w:lvl w:ilvl="2" w:tplc="F3826F4E">
      <w:start w:val="1"/>
      <w:numFmt w:val="bullet"/>
      <w:lvlText w:val=""/>
      <w:lvlJc w:val="left"/>
      <w:pPr>
        <w:ind w:left="720" w:hanging="360"/>
      </w:pPr>
      <w:rPr>
        <w:rFonts w:ascii="Symbol" w:hAnsi="Symbol"/>
      </w:rPr>
    </w:lvl>
    <w:lvl w:ilvl="3" w:tplc="688C2894">
      <w:start w:val="1"/>
      <w:numFmt w:val="bullet"/>
      <w:lvlText w:val=""/>
      <w:lvlJc w:val="left"/>
      <w:pPr>
        <w:ind w:left="720" w:hanging="360"/>
      </w:pPr>
      <w:rPr>
        <w:rFonts w:ascii="Symbol" w:hAnsi="Symbol"/>
      </w:rPr>
    </w:lvl>
    <w:lvl w:ilvl="4" w:tplc="154AF6C4">
      <w:start w:val="1"/>
      <w:numFmt w:val="bullet"/>
      <w:lvlText w:val=""/>
      <w:lvlJc w:val="left"/>
      <w:pPr>
        <w:ind w:left="720" w:hanging="360"/>
      </w:pPr>
      <w:rPr>
        <w:rFonts w:ascii="Symbol" w:hAnsi="Symbol"/>
      </w:rPr>
    </w:lvl>
    <w:lvl w:ilvl="5" w:tplc="74CE76C2">
      <w:start w:val="1"/>
      <w:numFmt w:val="bullet"/>
      <w:lvlText w:val=""/>
      <w:lvlJc w:val="left"/>
      <w:pPr>
        <w:ind w:left="720" w:hanging="360"/>
      </w:pPr>
      <w:rPr>
        <w:rFonts w:ascii="Symbol" w:hAnsi="Symbol"/>
      </w:rPr>
    </w:lvl>
    <w:lvl w:ilvl="6" w:tplc="8FFC47FE">
      <w:start w:val="1"/>
      <w:numFmt w:val="bullet"/>
      <w:lvlText w:val=""/>
      <w:lvlJc w:val="left"/>
      <w:pPr>
        <w:ind w:left="720" w:hanging="360"/>
      </w:pPr>
      <w:rPr>
        <w:rFonts w:ascii="Symbol" w:hAnsi="Symbol"/>
      </w:rPr>
    </w:lvl>
    <w:lvl w:ilvl="7" w:tplc="4F12B962">
      <w:start w:val="1"/>
      <w:numFmt w:val="bullet"/>
      <w:lvlText w:val=""/>
      <w:lvlJc w:val="left"/>
      <w:pPr>
        <w:ind w:left="720" w:hanging="360"/>
      </w:pPr>
      <w:rPr>
        <w:rFonts w:ascii="Symbol" w:hAnsi="Symbol"/>
      </w:rPr>
    </w:lvl>
    <w:lvl w:ilvl="8" w:tplc="5E80AEEC">
      <w:start w:val="1"/>
      <w:numFmt w:val="bullet"/>
      <w:lvlText w:val=""/>
      <w:lvlJc w:val="left"/>
      <w:pPr>
        <w:ind w:left="720" w:hanging="360"/>
      </w:pPr>
      <w:rPr>
        <w:rFonts w:ascii="Symbol" w:hAnsi="Symbol"/>
      </w:rPr>
    </w:lvl>
  </w:abstractNum>
  <w:abstractNum w:abstractNumId="24" w15:restartNumberingAfterBreak="0">
    <w:nsid w:val="39104D3B"/>
    <w:multiLevelType w:val="hybridMultilevel"/>
    <w:tmpl w:val="39CE05CC"/>
    <w:lvl w:ilvl="0" w:tplc="BBB0028E">
      <w:start w:val="1"/>
      <w:numFmt w:val="bullet"/>
      <w:lvlText w:val=""/>
      <w:lvlJc w:val="left"/>
      <w:pPr>
        <w:ind w:left="720" w:hanging="360"/>
      </w:pPr>
      <w:rPr>
        <w:rFonts w:ascii="Symbol" w:hAnsi="Symbol"/>
      </w:rPr>
    </w:lvl>
    <w:lvl w:ilvl="1" w:tplc="5BE4C9E0">
      <w:start w:val="1"/>
      <w:numFmt w:val="bullet"/>
      <w:lvlText w:val=""/>
      <w:lvlJc w:val="left"/>
      <w:pPr>
        <w:ind w:left="720" w:hanging="360"/>
      </w:pPr>
      <w:rPr>
        <w:rFonts w:ascii="Symbol" w:hAnsi="Symbol"/>
      </w:rPr>
    </w:lvl>
    <w:lvl w:ilvl="2" w:tplc="28B4C6C2">
      <w:start w:val="1"/>
      <w:numFmt w:val="bullet"/>
      <w:lvlText w:val=""/>
      <w:lvlJc w:val="left"/>
      <w:pPr>
        <w:ind w:left="720" w:hanging="360"/>
      </w:pPr>
      <w:rPr>
        <w:rFonts w:ascii="Symbol" w:hAnsi="Symbol"/>
      </w:rPr>
    </w:lvl>
    <w:lvl w:ilvl="3" w:tplc="7668F34E">
      <w:start w:val="1"/>
      <w:numFmt w:val="bullet"/>
      <w:lvlText w:val=""/>
      <w:lvlJc w:val="left"/>
      <w:pPr>
        <w:ind w:left="720" w:hanging="360"/>
      </w:pPr>
      <w:rPr>
        <w:rFonts w:ascii="Symbol" w:hAnsi="Symbol"/>
      </w:rPr>
    </w:lvl>
    <w:lvl w:ilvl="4" w:tplc="803E4B20">
      <w:start w:val="1"/>
      <w:numFmt w:val="bullet"/>
      <w:lvlText w:val=""/>
      <w:lvlJc w:val="left"/>
      <w:pPr>
        <w:ind w:left="720" w:hanging="360"/>
      </w:pPr>
      <w:rPr>
        <w:rFonts w:ascii="Symbol" w:hAnsi="Symbol"/>
      </w:rPr>
    </w:lvl>
    <w:lvl w:ilvl="5" w:tplc="5C9067EA">
      <w:start w:val="1"/>
      <w:numFmt w:val="bullet"/>
      <w:lvlText w:val=""/>
      <w:lvlJc w:val="left"/>
      <w:pPr>
        <w:ind w:left="720" w:hanging="360"/>
      </w:pPr>
      <w:rPr>
        <w:rFonts w:ascii="Symbol" w:hAnsi="Symbol"/>
      </w:rPr>
    </w:lvl>
    <w:lvl w:ilvl="6" w:tplc="0A907D0A">
      <w:start w:val="1"/>
      <w:numFmt w:val="bullet"/>
      <w:lvlText w:val=""/>
      <w:lvlJc w:val="left"/>
      <w:pPr>
        <w:ind w:left="720" w:hanging="360"/>
      </w:pPr>
      <w:rPr>
        <w:rFonts w:ascii="Symbol" w:hAnsi="Symbol"/>
      </w:rPr>
    </w:lvl>
    <w:lvl w:ilvl="7" w:tplc="503450D0">
      <w:start w:val="1"/>
      <w:numFmt w:val="bullet"/>
      <w:lvlText w:val=""/>
      <w:lvlJc w:val="left"/>
      <w:pPr>
        <w:ind w:left="720" w:hanging="360"/>
      </w:pPr>
      <w:rPr>
        <w:rFonts w:ascii="Symbol" w:hAnsi="Symbol"/>
      </w:rPr>
    </w:lvl>
    <w:lvl w:ilvl="8" w:tplc="C2328624">
      <w:start w:val="1"/>
      <w:numFmt w:val="bullet"/>
      <w:lvlText w:val=""/>
      <w:lvlJc w:val="left"/>
      <w:pPr>
        <w:ind w:left="720" w:hanging="360"/>
      </w:pPr>
      <w:rPr>
        <w:rFonts w:ascii="Symbol" w:hAnsi="Symbol"/>
      </w:rPr>
    </w:lvl>
  </w:abstractNum>
  <w:abstractNum w:abstractNumId="25" w15:restartNumberingAfterBreak="0">
    <w:nsid w:val="3A1A2E66"/>
    <w:multiLevelType w:val="hybridMultilevel"/>
    <w:tmpl w:val="6D40C9B4"/>
    <w:lvl w:ilvl="0" w:tplc="953A77BC">
      <w:start w:val="1"/>
      <w:numFmt w:val="bullet"/>
      <w:lvlText w:val=""/>
      <w:lvlJc w:val="left"/>
      <w:pPr>
        <w:ind w:left="720" w:hanging="360"/>
      </w:pPr>
      <w:rPr>
        <w:rFonts w:ascii="Symbol" w:hAnsi="Symbol"/>
      </w:rPr>
    </w:lvl>
    <w:lvl w:ilvl="1" w:tplc="E698D846">
      <w:start w:val="1"/>
      <w:numFmt w:val="bullet"/>
      <w:lvlText w:val=""/>
      <w:lvlJc w:val="left"/>
      <w:pPr>
        <w:ind w:left="720" w:hanging="360"/>
      </w:pPr>
      <w:rPr>
        <w:rFonts w:ascii="Symbol" w:hAnsi="Symbol"/>
      </w:rPr>
    </w:lvl>
    <w:lvl w:ilvl="2" w:tplc="71148EAE">
      <w:start w:val="1"/>
      <w:numFmt w:val="bullet"/>
      <w:lvlText w:val=""/>
      <w:lvlJc w:val="left"/>
      <w:pPr>
        <w:ind w:left="720" w:hanging="360"/>
      </w:pPr>
      <w:rPr>
        <w:rFonts w:ascii="Symbol" w:hAnsi="Symbol"/>
      </w:rPr>
    </w:lvl>
    <w:lvl w:ilvl="3" w:tplc="0C486250">
      <w:start w:val="1"/>
      <w:numFmt w:val="bullet"/>
      <w:lvlText w:val=""/>
      <w:lvlJc w:val="left"/>
      <w:pPr>
        <w:ind w:left="720" w:hanging="360"/>
      </w:pPr>
      <w:rPr>
        <w:rFonts w:ascii="Symbol" w:hAnsi="Symbol"/>
      </w:rPr>
    </w:lvl>
    <w:lvl w:ilvl="4" w:tplc="2ECA5966">
      <w:start w:val="1"/>
      <w:numFmt w:val="bullet"/>
      <w:lvlText w:val=""/>
      <w:lvlJc w:val="left"/>
      <w:pPr>
        <w:ind w:left="720" w:hanging="360"/>
      </w:pPr>
      <w:rPr>
        <w:rFonts w:ascii="Symbol" w:hAnsi="Symbol"/>
      </w:rPr>
    </w:lvl>
    <w:lvl w:ilvl="5" w:tplc="24E6CFF4">
      <w:start w:val="1"/>
      <w:numFmt w:val="bullet"/>
      <w:lvlText w:val=""/>
      <w:lvlJc w:val="left"/>
      <w:pPr>
        <w:ind w:left="720" w:hanging="360"/>
      </w:pPr>
      <w:rPr>
        <w:rFonts w:ascii="Symbol" w:hAnsi="Symbol"/>
      </w:rPr>
    </w:lvl>
    <w:lvl w:ilvl="6" w:tplc="59FCA50E">
      <w:start w:val="1"/>
      <w:numFmt w:val="bullet"/>
      <w:lvlText w:val=""/>
      <w:lvlJc w:val="left"/>
      <w:pPr>
        <w:ind w:left="720" w:hanging="360"/>
      </w:pPr>
      <w:rPr>
        <w:rFonts w:ascii="Symbol" w:hAnsi="Symbol"/>
      </w:rPr>
    </w:lvl>
    <w:lvl w:ilvl="7" w:tplc="8D7EB9A2">
      <w:start w:val="1"/>
      <w:numFmt w:val="bullet"/>
      <w:lvlText w:val=""/>
      <w:lvlJc w:val="left"/>
      <w:pPr>
        <w:ind w:left="720" w:hanging="360"/>
      </w:pPr>
      <w:rPr>
        <w:rFonts w:ascii="Symbol" w:hAnsi="Symbol"/>
      </w:rPr>
    </w:lvl>
    <w:lvl w:ilvl="8" w:tplc="0AC21078">
      <w:start w:val="1"/>
      <w:numFmt w:val="bullet"/>
      <w:lvlText w:val=""/>
      <w:lvlJc w:val="left"/>
      <w:pPr>
        <w:ind w:left="720" w:hanging="360"/>
      </w:pPr>
      <w:rPr>
        <w:rFonts w:ascii="Symbol" w:hAnsi="Symbol"/>
      </w:rPr>
    </w:lvl>
  </w:abstractNum>
  <w:abstractNum w:abstractNumId="26" w15:restartNumberingAfterBreak="0">
    <w:nsid w:val="414D7B59"/>
    <w:multiLevelType w:val="hybridMultilevel"/>
    <w:tmpl w:val="A96053C2"/>
    <w:lvl w:ilvl="0" w:tplc="9E14CC52">
      <w:start w:val="1"/>
      <w:numFmt w:val="bullet"/>
      <w:lvlText w:val=""/>
      <w:lvlJc w:val="left"/>
      <w:pPr>
        <w:ind w:left="720" w:hanging="360"/>
      </w:pPr>
      <w:rPr>
        <w:rFonts w:ascii="Symbol" w:hAnsi="Symbol"/>
      </w:rPr>
    </w:lvl>
    <w:lvl w:ilvl="1" w:tplc="0FEC1392">
      <w:start w:val="1"/>
      <w:numFmt w:val="bullet"/>
      <w:lvlText w:val=""/>
      <w:lvlJc w:val="left"/>
      <w:pPr>
        <w:ind w:left="720" w:hanging="360"/>
      </w:pPr>
      <w:rPr>
        <w:rFonts w:ascii="Symbol" w:hAnsi="Symbol"/>
      </w:rPr>
    </w:lvl>
    <w:lvl w:ilvl="2" w:tplc="354ADAAE">
      <w:start w:val="1"/>
      <w:numFmt w:val="bullet"/>
      <w:lvlText w:val=""/>
      <w:lvlJc w:val="left"/>
      <w:pPr>
        <w:ind w:left="720" w:hanging="360"/>
      </w:pPr>
      <w:rPr>
        <w:rFonts w:ascii="Symbol" w:hAnsi="Symbol"/>
      </w:rPr>
    </w:lvl>
    <w:lvl w:ilvl="3" w:tplc="FE9C4184">
      <w:start w:val="1"/>
      <w:numFmt w:val="bullet"/>
      <w:lvlText w:val=""/>
      <w:lvlJc w:val="left"/>
      <w:pPr>
        <w:ind w:left="720" w:hanging="360"/>
      </w:pPr>
      <w:rPr>
        <w:rFonts w:ascii="Symbol" w:hAnsi="Symbol"/>
      </w:rPr>
    </w:lvl>
    <w:lvl w:ilvl="4" w:tplc="CC7AFD82">
      <w:start w:val="1"/>
      <w:numFmt w:val="bullet"/>
      <w:lvlText w:val=""/>
      <w:lvlJc w:val="left"/>
      <w:pPr>
        <w:ind w:left="720" w:hanging="360"/>
      </w:pPr>
      <w:rPr>
        <w:rFonts w:ascii="Symbol" w:hAnsi="Symbol"/>
      </w:rPr>
    </w:lvl>
    <w:lvl w:ilvl="5" w:tplc="1F9E4852">
      <w:start w:val="1"/>
      <w:numFmt w:val="bullet"/>
      <w:lvlText w:val=""/>
      <w:lvlJc w:val="left"/>
      <w:pPr>
        <w:ind w:left="720" w:hanging="360"/>
      </w:pPr>
      <w:rPr>
        <w:rFonts w:ascii="Symbol" w:hAnsi="Symbol"/>
      </w:rPr>
    </w:lvl>
    <w:lvl w:ilvl="6" w:tplc="C6485578">
      <w:start w:val="1"/>
      <w:numFmt w:val="bullet"/>
      <w:lvlText w:val=""/>
      <w:lvlJc w:val="left"/>
      <w:pPr>
        <w:ind w:left="720" w:hanging="360"/>
      </w:pPr>
      <w:rPr>
        <w:rFonts w:ascii="Symbol" w:hAnsi="Symbol"/>
      </w:rPr>
    </w:lvl>
    <w:lvl w:ilvl="7" w:tplc="62CEE39A">
      <w:start w:val="1"/>
      <w:numFmt w:val="bullet"/>
      <w:lvlText w:val=""/>
      <w:lvlJc w:val="left"/>
      <w:pPr>
        <w:ind w:left="720" w:hanging="360"/>
      </w:pPr>
      <w:rPr>
        <w:rFonts w:ascii="Symbol" w:hAnsi="Symbol"/>
      </w:rPr>
    </w:lvl>
    <w:lvl w:ilvl="8" w:tplc="433EFDF2">
      <w:start w:val="1"/>
      <w:numFmt w:val="bullet"/>
      <w:lvlText w:val=""/>
      <w:lvlJc w:val="left"/>
      <w:pPr>
        <w:ind w:left="720" w:hanging="360"/>
      </w:pPr>
      <w:rPr>
        <w:rFonts w:ascii="Symbol" w:hAnsi="Symbol"/>
      </w:rPr>
    </w:lvl>
  </w:abstractNum>
  <w:abstractNum w:abstractNumId="27" w15:restartNumberingAfterBreak="0">
    <w:nsid w:val="456563BB"/>
    <w:multiLevelType w:val="hybridMultilevel"/>
    <w:tmpl w:val="A0A0B464"/>
    <w:lvl w:ilvl="0" w:tplc="ED4639B8">
      <w:start w:val="1"/>
      <w:numFmt w:val="bullet"/>
      <w:lvlText w:val=""/>
      <w:lvlJc w:val="left"/>
      <w:pPr>
        <w:ind w:left="720" w:hanging="360"/>
      </w:pPr>
      <w:rPr>
        <w:rFonts w:ascii="Symbol" w:hAnsi="Symbol"/>
      </w:rPr>
    </w:lvl>
    <w:lvl w:ilvl="1" w:tplc="9A26242C">
      <w:start w:val="1"/>
      <w:numFmt w:val="bullet"/>
      <w:lvlText w:val=""/>
      <w:lvlJc w:val="left"/>
      <w:pPr>
        <w:ind w:left="720" w:hanging="360"/>
      </w:pPr>
      <w:rPr>
        <w:rFonts w:ascii="Symbol" w:hAnsi="Symbol"/>
      </w:rPr>
    </w:lvl>
    <w:lvl w:ilvl="2" w:tplc="36666C26">
      <w:start w:val="1"/>
      <w:numFmt w:val="bullet"/>
      <w:lvlText w:val=""/>
      <w:lvlJc w:val="left"/>
      <w:pPr>
        <w:ind w:left="720" w:hanging="360"/>
      </w:pPr>
      <w:rPr>
        <w:rFonts w:ascii="Symbol" w:hAnsi="Symbol"/>
      </w:rPr>
    </w:lvl>
    <w:lvl w:ilvl="3" w:tplc="555860EE">
      <w:start w:val="1"/>
      <w:numFmt w:val="bullet"/>
      <w:lvlText w:val=""/>
      <w:lvlJc w:val="left"/>
      <w:pPr>
        <w:ind w:left="720" w:hanging="360"/>
      </w:pPr>
      <w:rPr>
        <w:rFonts w:ascii="Symbol" w:hAnsi="Symbol"/>
      </w:rPr>
    </w:lvl>
    <w:lvl w:ilvl="4" w:tplc="E1C24E32">
      <w:start w:val="1"/>
      <w:numFmt w:val="bullet"/>
      <w:lvlText w:val=""/>
      <w:lvlJc w:val="left"/>
      <w:pPr>
        <w:ind w:left="720" w:hanging="360"/>
      </w:pPr>
      <w:rPr>
        <w:rFonts w:ascii="Symbol" w:hAnsi="Symbol"/>
      </w:rPr>
    </w:lvl>
    <w:lvl w:ilvl="5" w:tplc="2EB8A878">
      <w:start w:val="1"/>
      <w:numFmt w:val="bullet"/>
      <w:lvlText w:val=""/>
      <w:lvlJc w:val="left"/>
      <w:pPr>
        <w:ind w:left="720" w:hanging="360"/>
      </w:pPr>
      <w:rPr>
        <w:rFonts w:ascii="Symbol" w:hAnsi="Symbol"/>
      </w:rPr>
    </w:lvl>
    <w:lvl w:ilvl="6" w:tplc="949003AE">
      <w:start w:val="1"/>
      <w:numFmt w:val="bullet"/>
      <w:lvlText w:val=""/>
      <w:lvlJc w:val="left"/>
      <w:pPr>
        <w:ind w:left="720" w:hanging="360"/>
      </w:pPr>
      <w:rPr>
        <w:rFonts w:ascii="Symbol" w:hAnsi="Symbol"/>
      </w:rPr>
    </w:lvl>
    <w:lvl w:ilvl="7" w:tplc="93F8F7FC">
      <w:start w:val="1"/>
      <w:numFmt w:val="bullet"/>
      <w:lvlText w:val=""/>
      <w:lvlJc w:val="left"/>
      <w:pPr>
        <w:ind w:left="720" w:hanging="360"/>
      </w:pPr>
      <w:rPr>
        <w:rFonts w:ascii="Symbol" w:hAnsi="Symbol"/>
      </w:rPr>
    </w:lvl>
    <w:lvl w:ilvl="8" w:tplc="39B0974E">
      <w:start w:val="1"/>
      <w:numFmt w:val="bullet"/>
      <w:lvlText w:val=""/>
      <w:lvlJc w:val="left"/>
      <w:pPr>
        <w:ind w:left="720" w:hanging="360"/>
      </w:pPr>
      <w:rPr>
        <w:rFonts w:ascii="Symbol" w:hAnsi="Symbol"/>
      </w:rPr>
    </w:lvl>
  </w:abstractNum>
  <w:abstractNum w:abstractNumId="28" w15:restartNumberingAfterBreak="0">
    <w:nsid w:val="48EA7183"/>
    <w:multiLevelType w:val="hybridMultilevel"/>
    <w:tmpl w:val="EEA02F7E"/>
    <w:lvl w:ilvl="0" w:tplc="58BCC17A">
      <w:start w:val="1"/>
      <w:numFmt w:val="upperLetter"/>
      <w:pStyle w:val="Titre2"/>
      <w:lvlText w:val="%1."/>
      <w:lvlJc w:val="left"/>
      <w:pPr>
        <w:ind w:left="3600" w:hanging="360"/>
      </w:pPr>
      <w:rPr>
        <w:rFonts w:hint="default"/>
      </w:rPr>
    </w:lvl>
    <w:lvl w:ilvl="1" w:tplc="0C0C0019" w:tentative="1">
      <w:start w:val="1"/>
      <w:numFmt w:val="lowerLetter"/>
      <w:lvlText w:val="%2."/>
      <w:lvlJc w:val="left"/>
      <w:pPr>
        <w:ind w:left="4320" w:hanging="360"/>
      </w:pPr>
    </w:lvl>
    <w:lvl w:ilvl="2" w:tplc="0C0C001B" w:tentative="1">
      <w:start w:val="1"/>
      <w:numFmt w:val="lowerRoman"/>
      <w:lvlText w:val="%3."/>
      <w:lvlJc w:val="right"/>
      <w:pPr>
        <w:ind w:left="5040" w:hanging="180"/>
      </w:pPr>
    </w:lvl>
    <w:lvl w:ilvl="3" w:tplc="0C0C000F" w:tentative="1">
      <w:start w:val="1"/>
      <w:numFmt w:val="decimal"/>
      <w:lvlText w:val="%4."/>
      <w:lvlJc w:val="left"/>
      <w:pPr>
        <w:ind w:left="5760" w:hanging="360"/>
      </w:pPr>
    </w:lvl>
    <w:lvl w:ilvl="4" w:tplc="0C0C0019" w:tentative="1">
      <w:start w:val="1"/>
      <w:numFmt w:val="lowerLetter"/>
      <w:lvlText w:val="%5."/>
      <w:lvlJc w:val="left"/>
      <w:pPr>
        <w:ind w:left="6480" w:hanging="360"/>
      </w:pPr>
    </w:lvl>
    <w:lvl w:ilvl="5" w:tplc="0C0C001B" w:tentative="1">
      <w:start w:val="1"/>
      <w:numFmt w:val="lowerRoman"/>
      <w:lvlText w:val="%6."/>
      <w:lvlJc w:val="right"/>
      <w:pPr>
        <w:ind w:left="7200" w:hanging="180"/>
      </w:pPr>
    </w:lvl>
    <w:lvl w:ilvl="6" w:tplc="0C0C000F" w:tentative="1">
      <w:start w:val="1"/>
      <w:numFmt w:val="decimal"/>
      <w:lvlText w:val="%7."/>
      <w:lvlJc w:val="left"/>
      <w:pPr>
        <w:ind w:left="7920" w:hanging="360"/>
      </w:pPr>
    </w:lvl>
    <w:lvl w:ilvl="7" w:tplc="0C0C0019" w:tentative="1">
      <w:start w:val="1"/>
      <w:numFmt w:val="lowerLetter"/>
      <w:lvlText w:val="%8."/>
      <w:lvlJc w:val="left"/>
      <w:pPr>
        <w:ind w:left="8640" w:hanging="360"/>
      </w:pPr>
    </w:lvl>
    <w:lvl w:ilvl="8" w:tplc="0C0C001B" w:tentative="1">
      <w:start w:val="1"/>
      <w:numFmt w:val="lowerRoman"/>
      <w:lvlText w:val="%9."/>
      <w:lvlJc w:val="right"/>
      <w:pPr>
        <w:ind w:left="9360" w:hanging="180"/>
      </w:pPr>
    </w:lvl>
  </w:abstractNum>
  <w:abstractNum w:abstractNumId="29"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03B2D91"/>
    <w:multiLevelType w:val="hybridMultilevel"/>
    <w:tmpl w:val="A75629DE"/>
    <w:lvl w:ilvl="0" w:tplc="B3766288">
      <w:start w:val="1"/>
      <w:numFmt w:val="bullet"/>
      <w:lvlText w:val=""/>
      <w:lvlJc w:val="left"/>
      <w:pPr>
        <w:ind w:left="720" w:hanging="360"/>
      </w:pPr>
      <w:rPr>
        <w:rFonts w:ascii="Symbol" w:hAnsi="Symbol"/>
      </w:rPr>
    </w:lvl>
    <w:lvl w:ilvl="1" w:tplc="8A2E7946">
      <w:start w:val="1"/>
      <w:numFmt w:val="bullet"/>
      <w:lvlText w:val=""/>
      <w:lvlJc w:val="left"/>
      <w:pPr>
        <w:ind w:left="720" w:hanging="360"/>
      </w:pPr>
      <w:rPr>
        <w:rFonts w:ascii="Symbol" w:hAnsi="Symbol"/>
      </w:rPr>
    </w:lvl>
    <w:lvl w:ilvl="2" w:tplc="050ABAD2">
      <w:start w:val="1"/>
      <w:numFmt w:val="bullet"/>
      <w:lvlText w:val=""/>
      <w:lvlJc w:val="left"/>
      <w:pPr>
        <w:ind w:left="720" w:hanging="360"/>
      </w:pPr>
      <w:rPr>
        <w:rFonts w:ascii="Symbol" w:hAnsi="Symbol"/>
      </w:rPr>
    </w:lvl>
    <w:lvl w:ilvl="3" w:tplc="C150936E">
      <w:start w:val="1"/>
      <w:numFmt w:val="bullet"/>
      <w:lvlText w:val=""/>
      <w:lvlJc w:val="left"/>
      <w:pPr>
        <w:ind w:left="720" w:hanging="360"/>
      </w:pPr>
      <w:rPr>
        <w:rFonts w:ascii="Symbol" w:hAnsi="Symbol"/>
      </w:rPr>
    </w:lvl>
    <w:lvl w:ilvl="4" w:tplc="7DEC5E96">
      <w:start w:val="1"/>
      <w:numFmt w:val="bullet"/>
      <w:lvlText w:val=""/>
      <w:lvlJc w:val="left"/>
      <w:pPr>
        <w:ind w:left="720" w:hanging="360"/>
      </w:pPr>
      <w:rPr>
        <w:rFonts w:ascii="Symbol" w:hAnsi="Symbol"/>
      </w:rPr>
    </w:lvl>
    <w:lvl w:ilvl="5" w:tplc="31D6340E">
      <w:start w:val="1"/>
      <w:numFmt w:val="bullet"/>
      <w:lvlText w:val=""/>
      <w:lvlJc w:val="left"/>
      <w:pPr>
        <w:ind w:left="720" w:hanging="360"/>
      </w:pPr>
      <w:rPr>
        <w:rFonts w:ascii="Symbol" w:hAnsi="Symbol"/>
      </w:rPr>
    </w:lvl>
    <w:lvl w:ilvl="6" w:tplc="8A5E9878">
      <w:start w:val="1"/>
      <w:numFmt w:val="bullet"/>
      <w:lvlText w:val=""/>
      <w:lvlJc w:val="left"/>
      <w:pPr>
        <w:ind w:left="720" w:hanging="360"/>
      </w:pPr>
      <w:rPr>
        <w:rFonts w:ascii="Symbol" w:hAnsi="Symbol"/>
      </w:rPr>
    </w:lvl>
    <w:lvl w:ilvl="7" w:tplc="C2665FDA">
      <w:start w:val="1"/>
      <w:numFmt w:val="bullet"/>
      <w:lvlText w:val=""/>
      <w:lvlJc w:val="left"/>
      <w:pPr>
        <w:ind w:left="720" w:hanging="360"/>
      </w:pPr>
      <w:rPr>
        <w:rFonts w:ascii="Symbol" w:hAnsi="Symbol"/>
      </w:rPr>
    </w:lvl>
    <w:lvl w:ilvl="8" w:tplc="AF3AEAD8">
      <w:start w:val="1"/>
      <w:numFmt w:val="bullet"/>
      <w:lvlText w:val=""/>
      <w:lvlJc w:val="left"/>
      <w:pPr>
        <w:ind w:left="720" w:hanging="360"/>
      </w:pPr>
      <w:rPr>
        <w:rFonts w:ascii="Symbol" w:hAnsi="Symbol"/>
      </w:rPr>
    </w:lvl>
  </w:abstractNum>
  <w:abstractNum w:abstractNumId="31" w15:restartNumberingAfterBreak="0">
    <w:nsid w:val="561D664A"/>
    <w:multiLevelType w:val="hybridMultilevel"/>
    <w:tmpl w:val="F40039BA"/>
    <w:lvl w:ilvl="0" w:tplc="1A8E29E4">
      <w:start w:val="1"/>
      <w:numFmt w:val="bullet"/>
      <w:lvlText w:val=""/>
      <w:lvlJc w:val="left"/>
      <w:pPr>
        <w:ind w:left="720" w:hanging="360"/>
      </w:pPr>
      <w:rPr>
        <w:rFonts w:ascii="Symbol" w:hAnsi="Symbol"/>
      </w:rPr>
    </w:lvl>
    <w:lvl w:ilvl="1" w:tplc="92C046A4">
      <w:start w:val="1"/>
      <w:numFmt w:val="bullet"/>
      <w:lvlText w:val=""/>
      <w:lvlJc w:val="left"/>
      <w:pPr>
        <w:ind w:left="720" w:hanging="360"/>
      </w:pPr>
      <w:rPr>
        <w:rFonts w:ascii="Symbol" w:hAnsi="Symbol"/>
      </w:rPr>
    </w:lvl>
    <w:lvl w:ilvl="2" w:tplc="933AAE02">
      <w:start w:val="1"/>
      <w:numFmt w:val="bullet"/>
      <w:lvlText w:val=""/>
      <w:lvlJc w:val="left"/>
      <w:pPr>
        <w:ind w:left="720" w:hanging="360"/>
      </w:pPr>
      <w:rPr>
        <w:rFonts w:ascii="Symbol" w:hAnsi="Symbol"/>
      </w:rPr>
    </w:lvl>
    <w:lvl w:ilvl="3" w:tplc="F1E2214C">
      <w:start w:val="1"/>
      <w:numFmt w:val="bullet"/>
      <w:lvlText w:val=""/>
      <w:lvlJc w:val="left"/>
      <w:pPr>
        <w:ind w:left="720" w:hanging="360"/>
      </w:pPr>
      <w:rPr>
        <w:rFonts w:ascii="Symbol" w:hAnsi="Symbol"/>
      </w:rPr>
    </w:lvl>
    <w:lvl w:ilvl="4" w:tplc="E64C89C6">
      <w:start w:val="1"/>
      <w:numFmt w:val="bullet"/>
      <w:lvlText w:val=""/>
      <w:lvlJc w:val="left"/>
      <w:pPr>
        <w:ind w:left="720" w:hanging="360"/>
      </w:pPr>
      <w:rPr>
        <w:rFonts w:ascii="Symbol" w:hAnsi="Symbol"/>
      </w:rPr>
    </w:lvl>
    <w:lvl w:ilvl="5" w:tplc="DC288834">
      <w:start w:val="1"/>
      <w:numFmt w:val="bullet"/>
      <w:lvlText w:val=""/>
      <w:lvlJc w:val="left"/>
      <w:pPr>
        <w:ind w:left="720" w:hanging="360"/>
      </w:pPr>
      <w:rPr>
        <w:rFonts w:ascii="Symbol" w:hAnsi="Symbol"/>
      </w:rPr>
    </w:lvl>
    <w:lvl w:ilvl="6" w:tplc="B6D6D668">
      <w:start w:val="1"/>
      <w:numFmt w:val="bullet"/>
      <w:lvlText w:val=""/>
      <w:lvlJc w:val="left"/>
      <w:pPr>
        <w:ind w:left="720" w:hanging="360"/>
      </w:pPr>
      <w:rPr>
        <w:rFonts w:ascii="Symbol" w:hAnsi="Symbol"/>
      </w:rPr>
    </w:lvl>
    <w:lvl w:ilvl="7" w:tplc="EACA1092">
      <w:start w:val="1"/>
      <w:numFmt w:val="bullet"/>
      <w:lvlText w:val=""/>
      <w:lvlJc w:val="left"/>
      <w:pPr>
        <w:ind w:left="720" w:hanging="360"/>
      </w:pPr>
      <w:rPr>
        <w:rFonts w:ascii="Symbol" w:hAnsi="Symbol"/>
      </w:rPr>
    </w:lvl>
    <w:lvl w:ilvl="8" w:tplc="252AFE2C">
      <w:start w:val="1"/>
      <w:numFmt w:val="bullet"/>
      <w:lvlText w:val=""/>
      <w:lvlJc w:val="left"/>
      <w:pPr>
        <w:ind w:left="720" w:hanging="360"/>
      </w:pPr>
      <w:rPr>
        <w:rFonts w:ascii="Symbol" w:hAnsi="Symbol"/>
      </w:rPr>
    </w:lvl>
  </w:abstractNum>
  <w:abstractNum w:abstractNumId="32" w15:restartNumberingAfterBreak="0">
    <w:nsid w:val="5FF21CA3"/>
    <w:multiLevelType w:val="hybridMultilevel"/>
    <w:tmpl w:val="A1363EC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0D50B81"/>
    <w:multiLevelType w:val="hybridMultilevel"/>
    <w:tmpl w:val="003AEA6C"/>
    <w:lvl w:ilvl="0" w:tplc="EC3AEEAE">
      <w:start w:val="1"/>
      <w:numFmt w:val="bullet"/>
      <w:lvlText w:val=""/>
      <w:lvlJc w:val="left"/>
      <w:pPr>
        <w:ind w:left="720" w:hanging="360"/>
      </w:pPr>
      <w:rPr>
        <w:rFonts w:ascii="Symbol" w:hAnsi="Symbol"/>
      </w:rPr>
    </w:lvl>
    <w:lvl w:ilvl="1" w:tplc="224E71A6">
      <w:start w:val="1"/>
      <w:numFmt w:val="bullet"/>
      <w:lvlText w:val=""/>
      <w:lvlJc w:val="left"/>
      <w:pPr>
        <w:ind w:left="720" w:hanging="360"/>
      </w:pPr>
      <w:rPr>
        <w:rFonts w:ascii="Symbol" w:hAnsi="Symbol"/>
      </w:rPr>
    </w:lvl>
    <w:lvl w:ilvl="2" w:tplc="69F09D98">
      <w:start w:val="1"/>
      <w:numFmt w:val="bullet"/>
      <w:lvlText w:val=""/>
      <w:lvlJc w:val="left"/>
      <w:pPr>
        <w:ind w:left="720" w:hanging="360"/>
      </w:pPr>
      <w:rPr>
        <w:rFonts w:ascii="Symbol" w:hAnsi="Symbol"/>
      </w:rPr>
    </w:lvl>
    <w:lvl w:ilvl="3" w:tplc="66D46E9C">
      <w:start w:val="1"/>
      <w:numFmt w:val="bullet"/>
      <w:lvlText w:val=""/>
      <w:lvlJc w:val="left"/>
      <w:pPr>
        <w:ind w:left="720" w:hanging="360"/>
      </w:pPr>
      <w:rPr>
        <w:rFonts w:ascii="Symbol" w:hAnsi="Symbol"/>
      </w:rPr>
    </w:lvl>
    <w:lvl w:ilvl="4" w:tplc="B1F209DE">
      <w:start w:val="1"/>
      <w:numFmt w:val="bullet"/>
      <w:lvlText w:val=""/>
      <w:lvlJc w:val="left"/>
      <w:pPr>
        <w:ind w:left="720" w:hanging="360"/>
      </w:pPr>
      <w:rPr>
        <w:rFonts w:ascii="Symbol" w:hAnsi="Symbol"/>
      </w:rPr>
    </w:lvl>
    <w:lvl w:ilvl="5" w:tplc="087E43BA">
      <w:start w:val="1"/>
      <w:numFmt w:val="bullet"/>
      <w:lvlText w:val=""/>
      <w:lvlJc w:val="left"/>
      <w:pPr>
        <w:ind w:left="720" w:hanging="360"/>
      </w:pPr>
      <w:rPr>
        <w:rFonts w:ascii="Symbol" w:hAnsi="Symbol"/>
      </w:rPr>
    </w:lvl>
    <w:lvl w:ilvl="6" w:tplc="CA3028A6">
      <w:start w:val="1"/>
      <w:numFmt w:val="bullet"/>
      <w:lvlText w:val=""/>
      <w:lvlJc w:val="left"/>
      <w:pPr>
        <w:ind w:left="720" w:hanging="360"/>
      </w:pPr>
      <w:rPr>
        <w:rFonts w:ascii="Symbol" w:hAnsi="Symbol"/>
      </w:rPr>
    </w:lvl>
    <w:lvl w:ilvl="7" w:tplc="E614352C">
      <w:start w:val="1"/>
      <w:numFmt w:val="bullet"/>
      <w:lvlText w:val=""/>
      <w:lvlJc w:val="left"/>
      <w:pPr>
        <w:ind w:left="720" w:hanging="360"/>
      </w:pPr>
      <w:rPr>
        <w:rFonts w:ascii="Symbol" w:hAnsi="Symbol"/>
      </w:rPr>
    </w:lvl>
    <w:lvl w:ilvl="8" w:tplc="670EE52E">
      <w:start w:val="1"/>
      <w:numFmt w:val="bullet"/>
      <w:lvlText w:val=""/>
      <w:lvlJc w:val="left"/>
      <w:pPr>
        <w:ind w:left="720" w:hanging="360"/>
      </w:pPr>
      <w:rPr>
        <w:rFonts w:ascii="Symbol" w:hAnsi="Symbol"/>
      </w:rPr>
    </w:lvl>
  </w:abstractNum>
  <w:abstractNum w:abstractNumId="35" w15:restartNumberingAfterBreak="0">
    <w:nsid w:val="662570EB"/>
    <w:multiLevelType w:val="hybridMultilevel"/>
    <w:tmpl w:val="2E583B0A"/>
    <w:lvl w:ilvl="0" w:tplc="779860DC">
      <w:start w:val="1"/>
      <w:numFmt w:val="upperRoman"/>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677A0299"/>
    <w:multiLevelType w:val="hybridMultilevel"/>
    <w:tmpl w:val="A54E2110"/>
    <w:lvl w:ilvl="0" w:tplc="B7945A3A">
      <w:start w:val="1"/>
      <w:numFmt w:val="bullet"/>
      <w:lvlText w:val=""/>
      <w:lvlJc w:val="left"/>
      <w:pPr>
        <w:ind w:left="720" w:hanging="360"/>
      </w:pPr>
      <w:rPr>
        <w:rFonts w:ascii="Symbol" w:hAnsi="Symbol"/>
      </w:rPr>
    </w:lvl>
    <w:lvl w:ilvl="1" w:tplc="BA3E916A">
      <w:start w:val="1"/>
      <w:numFmt w:val="bullet"/>
      <w:lvlText w:val=""/>
      <w:lvlJc w:val="left"/>
      <w:pPr>
        <w:ind w:left="720" w:hanging="360"/>
      </w:pPr>
      <w:rPr>
        <w:rFonts w:ascii="Symbol" w:hAnsi="Symbol"/>
      </w:rPr>
    </w:lvl>
    <w:lvl w:ilvl="2" w:tplc="387C6468">
      <w:start w:val="1"/>
      <w:numFmt w:val="bullet"/>
      <w:lvlText w:val=""/>
      <w:lvlJc w:val="left"/>
      <w:pPr>
        <w:ind w:left="720" w:hanging="360"/>
      </w:pPr>
      <w:rPr>
        <w:rFonts w:ascii="Symbol" w:hAnsi="Symbol"/>
      </w:rPr>
    </w:lvl>
    <w:lvl w:ilvl="3" w:tplc="583EBA4C">
      <w:start w:val="1"/>
      <w:numFmt w:val="bullet"/>
      <w:lvlText w:val=""/>
      <w:lvlJc w:val="left"/>
      <w:pPr>
        <w:ind w:left="720" w:hanging="360"/>
      </w:pPr>
      <w:rPr>
        <w:rFonts w:ascii="Symbol" w:hAnsi="Symbol"/>
      </w:rPr>
    </w:lvl>
    <w:lvl w:ilvl="4" w:tplc="8640E3A2">
      <w:start w:val="1"/>
      <w:numFmt w:val="bullet"/>
      <w:lvlText w:val=""/>
      <w:lvlJc w:val="left"/>
      <w:pPr>
        <w:ind w:left="720" w:hanging="360"/>
      </w:pPr>
      <w:rPr>
        <w:rFonts w:ascii="Symbol" w:hAnsi="Symbol"/>
      </w:rPr>
    </w:lvl>
    <w:lvl w:ilvl="5" w:tplc="808286E6">
      <w:start w:val="1"/>
      <w:numFmt w:val="bullet"/>
      <w:lvlText w:val=""/>
      <w:lvlJc w:val="left"/>
      <w:pPr>
        <w:ind w:left="720" w:hanging="360"/>
      </w:pPr>
      <w:rPr>
        <w:rFonts w:ascii="Symbol" w:hAnsi="Symbol"/>
      </w:rPr>
    </w:lvl>
    <w:lvl w:ilvl="6" w:tplc="B644BE2C">
      <w:start w:val="1"/>
      <w:numFmt w:val="bullet"/>
      <w:lvlText w:val=""/>
      <w:lvlJc w:val="left"/>
      <w:pPr>
        <w:ind w:left="720" w:hanging="360"/>
      </w:pPr>
      <w:rPr>
        <w:rFonts w:ascii="Symbol" w:hAnsi="Symbol"/>
      </w:rPr>
    </w:lvl>
    <w:lvl w:ilvl="7" w:tplc="1592FDA6">
      <w:start w:val="1"/>
      <w:numFmt w:val="bullet"/>
      <w:lvlText w:val=""/>
      <w:lvlJc w:val="left"/>
      <w:pPr>
        <w:ind w:left="720" w:hanging="360"/>
      </w:pPr>
      <w:rPr>
        <w:rFonts w:ascii="Symbol" w:hAnsi="Symbol"/>
      </w:rPr>
    </w:lvl>
    <w:lvl w:ilvl="8" w:tplc="56348A2A">
      <w:start w:val="1"/>
      <w:numFmt w:val="bullet"/>
      <w:lvlText w:val=""/>
      <w:lvlJc w:val="left"/>
      <w:pPr>
        <w:ind w:left="720" w:hanging="360"/>
      </w:pPr>
      <w:rPr>
        <w:rFonts w:ascii="Symbol" w:hAnsi="Symbol"/>
      </w:rPr>
    </w:lvl>
  </w:abstractNum>
  <w:abstractNum w:abstractNumId="37" w15:restartNumberingAfterBreak="0">
    <w:nsid w:val="764169DF"/>
    <w:multiLevelType w:val="hybridMultilevel"/>
    <w:tmpl w:val="D31A3D94"/>
    <w:lvl w:ilvl="0" w:tplc="E11A418C">
      <w:start w:val="1"/>
      <w:numFmt w:val="bullet"/>
      <w:lvlText w:val=""/>
      <w:lvlJc w:val="left"/>
      <w:pPr>
        <w:ind w:left="720" w:hanging="360"/>
      </w:pPr>
      <w:rPr>
        <w:rFonts w:ascii="Symbol" w:hAnsi="Symbol"/>
      </w:rPr>
    </w:lvl>
    <w:lvl w:ilvl="1" w:tplc="E674778A">
      <w:start w:val="1"/>
      <w:numFmt w:val="bullet"/>
      <w:lvlText w:val=""/>
      <w:lvlJc w:val="left"/>
      <w:pPr>
        <w:ind w:left="720" w:hanging="360"/>
      </w:pPr>
      <w:rPr>
        <w:rFonts w:ascii="Symbol" w:hAnsi="Symbol"/>
      </w:rPr>
    </w:lvl>
    <w:lvl w:ilvl="2" w:tplc="821846C0">
      <w:start w:val="1"/>
      <w:numFmt w:val="bullet"/>
      <w:lvlText w:val=""/>
      <w:lvlJc w:val="left"/>
      <w:pPr>
        <w:ind w:left="720" w:hanging="360"/>
      </w:pPr>
      <w:rPr>
        <w:rFonts w:ascii="Symbol" w:hAnsi="Symbol"/>
      </w:rPr>
    </w:lvl>
    <w:lvl w:ilvl="3" w:tplc="8E4805C2">
      <w:start w:val="1"/>
      <w:numFmt w:val="bullet"/>
      <w:lvlText w:val=""/>
      <w:lvlJc w:val="left"/>
      <w:pPr>
        <w:ind w:left="720" w:hanging="360"/>
      </w:pPr>
      <w:rPr>
        <w:rFonts w:ascii="Symbol" w:hAnsi="Symbol"/>
      </w:rPr>
    </w:lvl>
    <w:lvl w:ilvl="4" w:tplc="42E24056">
      <w:start w:val="1"/>
      <w:numFmt w:val="bullet"/>
      <w:lvlText w:val=""/>
      <w:lvlJc w:val="left"/>
      <w:pPr>
        <w:ind w:left="720" w:hanging="360"/>
      </w:pPr>
      <w:rPr>
        <w:rFonts w:ascii="Symbol" w:hAnsi="Symbol"/>
      </w:rPr>
    </w:lvl>
    <w:lvl w:ilvl="5" w:tplc="8B0A8148">
      <w:start w:val="1"/>
      <w:numFmt w:val="bullet"/>
      <w:lvlText w:val=""/>
      <w:lvlJc w:val="left"/>
      <w:pPr>
        <w:ind w:left="720" w:hanging="360"/>
      </w:pPr>
      <w:rPr>
        <w:rFonts w:ascii="Symbol" w:hAnsi="Symbol"/>
      </w:rPr>
    </w:lvl>
    <w:lvl w:ilvl="6" w:tplc="13B41D16">
      <w:start w:val="1"/>
      <w:numFmt w:val="bullet"/>
      <w:lvlText w:val=""/>
      <w:lvlJc w:val="left"/>
      <w:pPr>
        <w:ind w:left="720" w:hanging="360"/>
      </w:pPr>
      <w:rPr>
        <w:rFonts w:ascii="Symbol" w:hAnsi="Symbol"/>
      </w:rPr>
    </w:lvl>
    <w:lvl w:ilvl="7" w:tplc="3B489896">
      <w:start w:val="1"/>
      <w:numFmt w:val="bullet"/>
      <w:lvlText w:val=""/>
      <w:lvlJc w:val="left"/>
      <w:pPr>
        <w:ind w:left="720" w:hanging="360"/>
      </w:pPr>
      <w:rPr>
        <w:rFonts w:ascii="Symbol" w:hAnsi="Symbol"/>
      </w:rPr>
    </w:lvl>
    <w:lvl w:ilvl="8" w:tplc="3E70B7EA">
      <w:start w:val="1"/>
      <w:numFmt w:val="bullet"/>
      <w:lvlText w:val=""/>
      <w:lvlJc w:val="left"/>
      <w:pPr>
        <w:ind w:left="720" w:hanging="360"/>
      </w:pPr>
      <w:rPr>
        <w:rFonts w:ascii="Symbol" w:hAnsi="Symbol"/>
      </w:rPr>
    </w:lvl>
  </w:abstractNum>
  <w:abstractNum w:abstractNumId="38" w15:restartNumberingAfterBreak="0">
    <w:nsid w:val="7FE961D5"/>
    <w:multiLevelType w:val="hybridMultilevel"/>
    <w:tmpl w:val="A7C24D42"/>
    <w:lvl w:ilvl="0" w:tplc="33E4087E">
      <w:start w:val="1"/>
      <w:numFmt w:val="upperRoman"/>
      <w:pStyle w:val="Titre1"/>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520698170">
    <w:abstractNumId w:val="33"/>
  </w:num>
  <w:num w:numId="2" w16cid:durableId="260183617">
    <w:abstractNumId w:val="33"/>
  </w:num>
  <w:num w:numId="3" w16cid:durableId="539317122">
    <w:abstractNumId w:val="33"/>
  </w:num>
  <w:num w:numId="4" w16cid:durableId="986128390">
    <w:abstractNumId w:val="8"/>
  </w:num>
  <w:num w:numId="5" w16cid:durableId="1894265342">
    <w:abstractNumId w:val="3"/>
  </w:num>
  <w:num w:numId="6" w16cid:durableId="1507745427">
    <w:abstractNumId w:val="2"/>
  </w:num>
  <w:num w:numId="7" w16cid:durableId="762998340">
    <w:abstractNumId w:val="1"/>
  </w:num>
  <w:num w:numId="8" w16cid:durableId="1399594781">
    <w:abstractNumId w:val="0"/>
  </w:num>
  <w:num w:numId="9" w16cid:durableId="143737026">
    <w:abstractNumId w:val="9"/>
  </w:num>
  <w:num w:numId="10" w16cid:durableId="381709343">
    <w:abstractNumId w:val="7"/>
  </w:num>
  <w:num w:numId="11" w16cid:durableId="2013874142">
    <w:abstractNumId w:val="6"/>
  </w:num>
  <w:num w:numId="12" w16cid:durableId="310451395">
    <w:abstractNumId w:val="5"/>
  </w:num>
  <w:num w:numId="13" w16cid:durableId="765464078">
    <w:abstractNumId w:val="4"/>
  </w:num>
  <w:num w:numId="14" w16cid:durableId="1942302398">
    <w:abstractNumId w:val="33"/>
  </w:num>
  <w:num w:numId="15" w16cid:durableId="43188950">
    <w:abstractNumId w:val="33"/>
  </w:num>
  <w:num w:numId="16" w16cid:durableId="1195311980">
    <w:abstractNumId w:val="33"/>
  </w:num>
  <w:num w:numId="17" w16cid:durableId="84034041">
    <w:abstractNumId w:val="29"/>
  </w:num>
  <w:num w:numId="18" w16cid:durableId="1393963546">
    <w:abstractNumId w:val="21"/>
  </w:num>
  <w:num w:numId="19" w16cid:durableId="1621185075">
    <w:abstractNumId w:val="35"/>
  </w:num>
  <w:num w:numId="20" w16cid:durableId="953365411">
    <w:abstractNumId w:val="20"/>
  </w:num>
  <w:num w:numId="21" w16cid:durableId="930357696">
    <w:abstractNumId w:val="22"/>
  </w:num>
  <w:num w:numId="22" w16cid:durableId="1784954147">
    <w:abstractNumId w:val="38"/>
  </w:num>
  <w:num w:numId="23" w16cid:durableId="365715754">
    <w:abstractNumId w:val="32"/>
  </w:num>
  <w:num w:numId="24" w16cid:durableId="1128821784">
    <w:abstractNumId w:val="28"/>
  </w:num>
  <w:num w:numId="25" w16cid:durableId="420181779">
    <w:abstractNumId w:val="12"/>
  </w:num>
  <w:num w:numId="26" w16cid:durableId="1669793020">
    <w:abstractNumId w:val="13"/>
  </w:num>
  <w:num w:numId="27" w16cid:durableId="1419787978">
    <w:abstractNumId w:val="36"/>
  </w:num>
  <w:num w:numId="28" w16cid:durableId="56321657">
    <w:abstractNumId w:val="23"/>
  </w:num>
  <w:num w:numId="29" w16cid:durableId="1861582726">
    <w:abstractNumId w:val="26"/>
  </w:num>
  <w:num w:numId="30" w16cid:durableId="467936687">
    <w:abstractNumId w:val="31"/>
  </w:num>
  <w:num w:numId="31" w16cid:durableId="1451776983">
    <w:abstractNumId w:val="15"/>
  </w:num>
  <w:num w:numId="32" w16cid:durableId="64423576">
    <w:abstractNumId w:val="11"/>
  </w:num>
  <w:num w:numId="33" w16cid:durableId="723914411">
    <w:abstractNumId w:val="27"/>
  </w:num>
  <w:num w:numId="34" w16cid:durableId="1907377300">
    <w:abstractNumId w:val="18"/>
  </w:num>
  <w:num w:numId="35" w16cid:durableId="478690435">
    <w:abstractNumId w:val="16"/>
  </w:num>
  <w:num w:numId="36" w16cid:durableId="855772748">
    <w:abstractNumId w:val="25"/>
  </w:num>
  <w:num w:numId="37" w16cid:durableId="700280534">
    <w:abstractNumId w:val="10"/>
  </w:num>
  <w:num w:numId="38" w16cid:durableId="1308783258">
    <w:abstractNumId w:val="17"/>
  </w:num>
  <w:num w:numId="39" w16cid:durableId="1417047221">
    <w:abstractNumId w:val="24"/>
  </w:num>
  <w:num w:numId="40" w16cid:durableId="828056915">
    <w:abstractNumId w:val="30"/>
  </w:num>
  <w:num w:numId="41" w16cid:durableId="653920135">
    <w:abstractNumId w:val="19"/>
  </w:num>
  <w:num w:numId="42" w16cid:durableId="1825195014">
    <w:abstractNumId w:val="37"/>
  </w:num>
  <w:num w:numId="43" w16cid:durableId="1585912447">
    <w:abstractNumId w:val="34"/>
  </w:num>
  <w:num w:numId="44" w16cid:durableId="691758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U JUGE"/>
    <w:docVar w:name="MotifJuge2" w:val="MOTIFS DE LA JUGE"/>
    <w:docVar w:name="MotifJuge3" w:val="MOTIFS DU JUGE"/>
    <w:docVar w:name="NomFamJuge1" w:val="DOYON"/>
    <w:docVar w:name="NomFamJuge2" w:val="GAGNÉ"/>
    <w:docVar w:name="NomFamJuge3" w:val="BACHAND"/>
    <w:docVar w:name="NomFamJuge4" w:val="MAILHOT"/>
    <w:docVar w:name="NomFamJuge5" w:val="BAUDOUIN"/>
    <w:docVar w:name="QteJuge1" w:val=", J.C.A."/>
    <w:docVar w:name="QteJuge2" w:val=", J.C.A."/>
    <w:docVar w:name="QteJuge3" w:val=", J.C.A."/>
    <w:docVar w:name="stPremiereFois" w:val="Non"/>
  </w:docVars>
  <w:rsids>
    <w:rsidRoot w:val="00E3219B"/>
    <w:rsid w:val="00003F40"/>
    <w:rsid w:val="000131E1"/>
    <w:rsid w:val="000161F7"/>
    <w:rsid w:val="000267DE"/>
    <w:rsid w:val="00030078"/>
    <w:rsid w:val="0004394C"/>
    <w:rsid w:val="00043C08"/>
    <w:rsid w:val="00044DC4"/>
    <w:rsid w:val="0004504A"/>
    <w:rsid w:val="00050A6F"/>
    <w:rsid w:val="00053691"/>
    <w:rsid w:val="00054E77"/>
    <w:rsid w:val="0005552A"/>
    <w:rsid w:val="00055E83"/>
    <w:rsid w:val="00061DC0"/>
    <w:rsid w:val="000731F3"/>
    <w:rsid w:val="00074809"/>
    <w:rsid w:val="0008740C"/>
    <w:rsid w:val="000A4DC1"/>
    <w:rsid w:val="000A5955"/>
    <w:rsid w:val="000A7516"/>
    <w:rsid w:val="000A7F18"/>
    <w:rsid w:val="000B42AF"/>
    <w:rsid w:val="000C2922"/>
    <w:rsid w:val="0010165E"/>
    <w:rsid w:val="00104D11"/>
    <w:rsid w:val="00106346"/>
    <w:rsid w:val="00110B53"/>
    <w:rsid w:val="00112321"/>
    <w:rsid w:val="00116DB5"/>
    <w:rsid w:val="00117914"/>
    <w:rsid w:val="00120C49"/>
    <w:rsid w:val="0013028C"/>
    <w:rsid w:val="00136736"/>
    <w:rsid w:val="00155851"/>
    <w:rsid w:val="0015610F"/>
    <w:rsid w:val="00160B31"/>
    <w:rsid w:val="0017298E"/>
    <w:rsid w:val="00181F56"/>
    <w:rsid w:val="00185EEE"/>
    <w:rsid w:val="00190FA7"/>
    <w:rsid w:val="00196663"/>
    <w:rsid w:val="001972F2"/>
    <w:rsid w:val="001B04E5"/>
    <w:rsid w:val="001B3FD1"/>
    <w:rsid w:val="001C6DC3"/>
    <w:rsid w:val="001C71D5"/>
    <w:rsid w:val="001E3489"/>
    <w:rsid w:val="001E3C52"/>
    <w:rsid w:val="001E7A46"/>
    <w:rsid w:val="001F34EE"/>
    <w:rsid w:val="00205DC4"/>
    <w:rsid w:val="0021548E"/>
    <w:rsid w:val="002273F5"/>
    <w:rsid w:val="00242159"/>
    <w:rsid w:val="00254445"/>
    <w:rsid w:val="00271184"/>
    <w:rsid w:val="002A6A7F"/>
    <w:rsid w:val="002B4A07"/>
    <w:rsid w:val="002C4107"/>
    <w:rsid w:val="002C50B1"/>
    <w:rsid w:val="002C6A8D"/>
    <w:rsid w:val="002D0842"/>
    <w:rsid w:val="002E1F0E"/>
    <w:rsid w:val="002E229C"/>
    <w:rsid w:val="002E35B4"/>
    <w:rsid w:val="002E51F1"/>
    <w:rsid w:val="002F1350"/>
    <w:rsid w:val="002F3071"/>
    <w:rsid w:val="002F6136"/>
    <w:rsid w:val="00306A5A"/>
    <w:rsid w:val="003135B3"/>
    <w:rsid w:val="00322DE0"/>
    <w:rsid w:val="0032363D"/>
    <w:rsid w:val="0033190E"/>
    <w:rsid w:val="003560ED"/>
    <w:rsid w:val="00361325"/>
    <w:rsid w:val="00374888"/>
    <w:rsid w:val="00374E40"/>
    <w:rsid w:val="00377997"/>
    <w:rsid w:val="00395F95"/>
    <w:rsid w:val="003A2FA0"/>
    <w:rsid w:val="003C107A"/>
    <w:rsid w:val="003D487D"/>
    <w:rsid w:val="003D730F"/>
    <w:rsid w:val="003D782B"/>
    <w:rsid w:val="003E0C00"/>
    <w:rsid w:val="003E3239"/>
    <w:rsid w:val="003E3E3C"/>
    <w:rsid w:val="003F1C43"/>
    <w:rsid w:val="003F2F9E"/>
    <w:rsid w:val="004100E4"/>
    <w:rsid w:val="004118CA"/>
    <w:rsid w:val="004154F4"/>
    <w:rsid w:val="00416C73"/>
    <w:rsid w:val="00420A91"/>
    <w:rsid w:val="00423DF1"/>
    <w:rsid w:val="00430279"/>
    <w:rsid w:val="00430C58"/>
    <w:rsid w:val="004331C4"/>
    <w:rsid w:val="0043564D"/>
    <w:rsid w:val="00441C25"/>
    <w:rsid w:val="00446452"/>
    <w:rsid w:val="00472DC8"/>
    <w:rsid w:val="004802EC"/>
    <w:rsid w:val="00485A3F"/>
    <w:rsid w:val="004A29F1"/>
    <w:rsid w:val="004A6641"/>
    <w:rsid w:val="004B1E94"/>
    <w:rsid w:val="004B33FF"/>
    <w:rsid w:val="004D2F69"/>
    <w:rsid w:val="004E4FBA"/>
    <w:rsid w:val="004E6C2C"/>
    <w:rsid w:val="004F7D2E"/>
    <w:rsid w:val="00512F7B"/>
    <w:rsid w:val="005131F1"/>
    <w:rsid w:val="0051484F"/>
    <w:rsid w:val="00516B3E"/>
    <w:rsid w:val="00523AC3"/>
    <w:rsid w:val="005262C9"/>
    <w:rsid w:val="00531D70"/>
    <w:rsid w:val="00544031"/>
    <w:rsid w:val="00566BF6"/>
    <w:rsid w:val="005754A1"/>
    <w:rsid w:val="00580AE7"/>
    <w:rsid w:val="00581211"/>
    <w:rsid w:val="00583434"/>
    <w:rsid w:val="0058349F"/>
    <w:rsid w:val="0059019F"/>
    <w:rsid w:val="005A033B"/>
    <w:rsid w:val="005A336D"/>
    <w:rsid w:val="005A78BF"/>
    <w:rsid w:val="005B6B4C"/>
    <w:rsid w:val="005C0CD2"/>
    <w:rsid w:val="005C1B78"/>
    <w:rsid w:val="005C7516"/>
    <w:rsid w:val="005D1522"/>
    <w:rsid w:val="005D5338"/>
    <w:rsid w:val="005E1B84"/>
    <w:rsid w:val="005F5F5F"/>
    <w:rsid w:val="005F7E70"/>
    <w:rsid w:val="00624770"/>
    <w:rsid w:val="0064002E"/>
    <w:rsid w:val="0064250B"/>
    <w:rsid w:val="00652355"/>
    <w:rsid w:val="006826AA"/>
    <w:rsid w:val="0068356A"/>
    <w:rsid w:val="006A0DB0"/>
    <w:rsid w:val="006A6629"/>
    <w:rsid w:val="006A78E9"/>
    <w:rsid w:val="006B0D16"/>
    <w:rsid w:val="006C6FDD"/>
    <w:rsid w:val="006D4BEF"/>
    <w:rsid w:val="006E0045"/>
    <w:rsid w:val="006E00B1"/>
    <w:rsid w:val="006E44A9"/>
    <w:rsid w:val="00700A2E"/>
    <w:rsid w:val="00710943"/>
    <w:rsid w:val="00732DEE"/>
    <w:rsid w:val="00740A17"/>
    <w:rsid w:val="007462D6"/>
    <w:rsid w:val="0074738B"/>
    <w:rsid w:val="0076062E"/>
    <w:rsid w:val="00763DDE"/>
    <w:rsid w:val="0076700F"/>
    <w:rsid w:val="00772CCF"/>
    <w:rsid w:val="00782021"/>
    <w:rsid w:val="00784A26"/>
    <w:rsid w:val="007953F3"/>
    <w:rsid w:val="00796651"/>
    <w:rsid w:val="007A57D7"/>
    <w:rsid w:val="007A7803"/>
    <w:rsid w:val="007B061E"/>
    <w:rsid w:val="007B160F"/>
    <w:rsid w:val="007B48D5"/>
    <w:rsid w:val="007D087C"/>
    <w:rsid w:val="007D2E2B"/>
    <w:rsid w:val="007D5F17"/>
    <w:rsid w:val="007E33E4"/>
    <w:rsid w:val="007E4CC9"/>
    <w:rsid w:val="00800D23"/>
    <w:rsid w:val="0080443E"/>
    <w:rsid w:val="00816273"/>
    <w:rsid w:val="0082086A"/>
    <w:rsid w:val="00820D0D"/>
    <w:rsid w:val="008235F7"/>
    <w:rsid w:val="0082717B"/>
    <w:rsid w:val="00827B04"/>
    <w:rsid w:val="0083032E"/>
    <w:rsid w:val="008312CC"/>
    <w:rsid w:val="00841907"/>
    <w:rsid w:val="0084326A"/>
    <w:rsid w:val="00844751"/>
    <w:rsid w:val="00854EEF"/>
    <w:rsid w:val="0086036A"/>
    <w:rsid w:val="008653A3"/>
    <w:rsid w:val="008657A2"/>
    <w:rsid w:val="00866645"/>
    <w:rsid w:val="00870CB7"/>
    <w:rsid w:val="00873787"/>
    <w:rsid w:val="00877175"/>
    <w:rsid w:val="00882210"/>
    <w:rsid w:val="0088293E"/>
    <w:rsid w:val="00897B93"/>
    <w:rsid w:val="008A1ED6"/>
    <w:rsid w:val="008A6185"/>
    <w:rsid w:val="008C12B4"/>
    <w:rsid w:val="008C1FE9"/>
    <w:rsid w:val="008C488E"/>
    <w:rsid w:val="008C7DCE"/>
    <w:rsid w:val="008D18FC"/>
    <w:rsid w:val="008D398B"/>
    <w:rsid w:val="008D7E49"/>
    <w:rsid w:val="008E5673"/>
    <w:rsid w:val="008F364A"/>
    <w:rsid w:val="008F3F53"/>
    <w:rsid w:val="00900882"/>
    <w:rsid w:val="00913E03"/>
    <w:rsid w:val="009229E9"/>
    <w:rsid w:val="00926953"/>
    <w:rsid w:val="00932703"/>
    <w:rsid w:val="0093270D"/>
    <w:rsid w:val="00936469"/>
    <w:rsid w:val="00936B2F"/>
    <w:rsid w:val="009400B7"/>
    <w:rsid w:val="00941C64"/>
    <w:rsid w:val="00954DC2"/>
    <w:rsid w:val="00957B92"/>
    <w:rsid w:val="00970966"/>
    <w:rsid w:val="00971353"/>
    <w:rsid w:val="00973FAD"/>
    <w:rsid w:val="00974442"/>
    <w:rsid w:val="0097787D"/>
    <w:rsid w:val="009854E0"/>
    <w:rsid w:val="009C06C7"/>
    <w:rsid w:val="009C6914"/>
    <w:rsid w:val="009D09A6"/>
    <w:rsid w:val="009E5E1B"/>
    <w:rsid w:val="009F1F69"/>
    <w:rsid w:val="009F3323"/>
    <w:rsid w:val="00A071D8"/>
    <w:rsid w:val="00A23BF4"/>
    <w:rsid w:val="00A23C02"/>
    <w:rsid w:val="00A2593B"/>
    <w:rsid w:val="00A34E05"/>
    <w:rsid w:val="00A3652B"/>
    <w:rsid w:val="00A43D8B"/>
    <w:rsid w:val="00A454F1"/>
    <w:rsid w:val="00A543CC"/>
    <w:rsid w:val="00A65F74"/>
    <w:rsid w:val="00A902C7"/>
    <w:rsid w:val="00A93CFF"/>
    <w:rsid w:val="00A96DB4"/>
    <w:rsid w:val="00AB7DD2"/>
    <w:rsid w:val="00AD534D"/>
    <w:rsid w:val="00AF0C7C"/>
    <w:rsid w:val="00AF178F"/>
    <w:rsid w:val="00B01D86"/>
    <w:rsid w:val="00B07E4E"/>
    <w:rsid w:val="00B11DF7"/>
    <w:rsid w:val="00B11FD1"/>
    <w:rsid w:val="00B137E9"/>
    <w:rsid w:val="00B232D5"/>
    <w:rsid w:val="00B27525"/>
    <w:rsid w:val="00B30BFD"/>
    <w:rsid w:val="00B30EA2"/>
    <w:rsid w:val="00B31CDA"/>
    <w:rsid w:val="00B36ED3"/>
    <w:rsid w:val="00B43540"/>
    <w:rsid w:val="00B513C9"/>
    <w:rsid w:val="00B51C07"/>
    <w:rsid w:val="00B56EF4"/>
    <w:rsid w:val="00B609CE"/>
    <w:rsid w:val="00B6662C"/>
    <w:rsid w:val="00B70485"/>
    <w:rsid w:val="00B82A13"/>
    <w:rsid w:val="00BD6DA0"/>
    <w:rsid w:val="00BE5913"/>
    <w:rsid w:val="00C02AF8"/>
    <w:rsid w:val="00C06A83"/>
    <w:rsid w:val="00C17E01"/>
    <w:rsid w:val="00C31AC4"/>
    <w:rsid w:val="00C409BE"/>
    <w:rsid w:val="00C423CA"/>
    <w:rsid w:val="00C46F1D"/>
    <w:rsid w:val="00C50E2D"/>
    <w:rsid w:val="00C652ED"/>
    <w:rsid w:val="00C7793C"/>
    <w:rsid w:val="00C77B87"/>
    <w:rsid w:val="00C939A8"/>
    <w:rsid w:val="00C95326"/>
    <w:rsid w:val="00C97145"/>
    <w:rsid w:val="00CA1687"/>
    <w:rsid w:val="00CC6B2C"/>
    <w:rsid w:val="00CE39A5"/>
    <w:rsid w:val="00CE69CD"/>
    <w:rsid w:val="00CF0E5B"/>
    <w:rsid w:val="00D010FD"/>
    <w:rsid w:val="00D0128B"/>
    <w:rsid w:val="00D02812"/>
    <w:rsid w:val="00D03F00"/>
    <w:rsid w:val="00D20056"/>
    <w:rsid w:val="00D21503"/>
    <w:rsid w:val="00D62286"/>
    <w:rsid w:val="00D64E8F"/>
    <w:rsid w:val="00DB2119"/>
    <w:rsid w:val="00DB441F"/>
    <w:rsid w:val="00DC05BC"/>
    <w:rsid w:val="00DD2683"/>
    <w:rsid w:val="00DD3A24"/>
    <w:rsid w:val="00DF3516"/>
    <w:rsid w:val="00E03C07"/>
    <w:rsid w:val="00E20E3C"/>
    <w:rsid w:val="00E3219B"/>
    <w:rsid w:val="00E327CC"/>
    <w:rsid w:val="00E36290"/>
    <w:rsid w:val="00E44081"/>
    <w:rsid w:val="00E768F1"/>
    <w:rsid w:val="00E81E61"/>
    <w:rsid w:val="00E848B4"/>
    <w:rsid w:val="00E8667E"/>
    <w:rsid w:val="00E91417"/>
    <w:rsid w:val="00E94329"/>
    <w:rsid w:val="00EA28C2"/>
    <w:rsid w:val="00EB1377"/>
    <w:rsid w:val="00EB3C58"/>
    <w:rsid w:val="00EC1E33"/>
    <w:rsid w:val="00ED0456"/>
    <w:rsid w:val="00ED463F"/>
    <w:rsid w:val="00EE068B"/>
    <w:rsid w:val="00EE2405"/>
    <w:rsid w:val="00EE55BA"/>
    <w:rsid w:val="00EE7448"/>
    <w:rsid w:val="00EF0C89"/>
    <w:rsid w:val="00F04323"/>
    <w:rsid w:val="00F07022"/>
    <w:rsid w:val="00F1119E"/>
    <w:rsid w:val="00F2001E"/>
    <w:rsid w:val="00F33E30"/>
    <w:rsid w:val="00F35A34"/>
    <w:rsid w:val="00F3738F"/>
    <w:rsid w:val="00F40882"/>
    <w:rsid w:val="00F40AD1"/>
    <w:rsid w:val="00F41932"/>
    <w:rsid w:val="00F43559"/>
    <w:rsid w:val="00F44CBA"/>
    <w:rsid w:val="00F534E1"/>
    <w:rsid w:val="00F5789B"/>
    <w:rsid w:val="00F75AAB"/>
    <w:rsid w:val="00F75C76"/>
    <w:rsid w:val="00F82970"/>
    <w:rsid w:val="00FA0709"/>
    <w:rsid w:val="00FB31EA"/>
    <w:rsid w:val="00FC2DFE"/>
    <w:rsid w:val="00FC720B"/>
    <w:rsid w:val="00FD68A4"/>
    <w:rsid w:val="00FE168C"/>
    <w:rsid w:val="00FE1F52"/>
    <w:rsid w:val="00FE3401"/>
    <w:rsid w:val="00FE3FE9"/>
    <w:rsid w:val="00FE6A10"/>
    <w:rsid w:val="00FF3084"/>
    <w:rsid w:val="00FF7D0A"/>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52422"/>
  <w15:chartTrackingRefBased/>
  <w15:docId w15:val="{018B0DCA-2F28-42F8-83D4-768B94BC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rsid w:val="00CF0E5B"/>
    <w:pPr>
      <w:keepNext/>
      <w:numPr>
        <w:numId w:val="22"/>
      </w:numPr>
      <w:spacing w:before="120" w:after="120"/>
      <w:ind w:left="0" w:firstLine="0"/>
      <w:outlineLvl w:val="0"/>
    </w:pPr>
    <w:rPr>
      <w:b/>
      <w:kern w:val="28"/>
      <w:szCs w:val="24"/>
    </w:rPr>
  </w:style>
  <w:style w:type="paragraph" w:styleId="Titre2">
    <w:name w:val="heading 2"/>
    <w:basedOn w:val="Normal"/>
    <w:next w:val="Normal"/>
    <w:qFormat/>
    <w:rsid w:val="00CF0E5B"/>
    <w:pPr>
      <w:keepNext/>
      <w:numPr>
        <w:numId w:val="24"/>
      </w:numPr>
      <w:spacing w:before="120" w:after="120"/>
      <w:ind w:left="709" w:hanging="425"/>
      <w:outlineLvl w:val="1"/>
    </w:pPr>
    <w:rPr>
      <w:b/>
      <w:bCs/>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5C0CD2"/>
    <w:pPr>
      <w:numPr>
        <w:numId w:val="18"/>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Footnote Text Char2,Footnote Text Char1 Char,Footnote Text Char Char Char, Char1 Char1 Char Char, Char1 Char2 Char,Footnote Text Char Char1, Char1 Char1 Char1, Char1 Char3,fn,Char1 Char1 Char Char,Char1 Char2 Char,Char1 Char1 Char1"/>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Footnote Text Char2 Car,Footnote Text Char1 Char Car,Footnote Text Char Char Char Car, Char1 Char1 Char Char Car, Char1 Char2 Char Car,Footnote Text Char Char1 Car, Char1 Char1 Char1 Car, Char1 Char3 Car,fn Car"/>
    <w:basedOn w:val="Policepardfaut"/>
    <w:link w:val="Notedebasdepage"/>
    <w:rsid w:val="00CF0E5B"/>
    <w:rPr>
      <w:rFonts w:ascii="Arial" w:hAnsi="Arial"/>
      <w:lang w:eastAsia="fr-FR"/>
    </w:rPr>
  </w:style>
  <w:style w:type="character" w:customStyle="1" w:styleId="Corpsdutexte4Exact">
    <w:name w:val="Corps du texte (4) Exact"/>
    <w:basedOn w:val="Policepardfaut"/>
    <w:rsid w:val="00CF0E5B"/>
    <w:rPr>
      <w:rFonts w:ascii="Arial" w:eastAsia="Arial" w:hAnsi="Arial" w:cs="Arial"/>
      <w:b/>
      <w:bCs/>
      <w:i w:val="0"/>
      <w:iCs w:val="0"/>
      <w:smallCaps w:val="0"/>
      <w:strike w:val="0"/>
      <w:color w:val="242423"/>
      <w:sz w:val="17"/>
      <w:szCs w:val="17"/>
      <w:u w:val="none"/>
    </w:rPr>
  </w:style>
  <w:style w:type="character" w:customStyle="1" w:styleId="Corpsdutexte2">
    <w:name w:val="Corps du texte (2)_"/>
    <w:basedOn w:val="Policepardfaut"/>
    <w:rsid w:val="00CF0E5B"/>
    <w:rPr>
      <w:rFonts w:ascii="Arial" w:eastAsia="Arial" w:hAnsi="Arial" w:cs="Arial"/>
      <w:b w:val="0"/>
      <w:bCs w:val="0"/>
      <w:i w:val="0"/>
      <w:iCs w:val="0"/>
      <w:smallCaps w:val="0"/>
      <w:strike w:val="0"/>
      <w:sz w:val="18"/>
      <w:szCs w:val="18"/>
      <w:u w:val="none"/>
    </w:rPr>
  </w:style>
  <w:style w:type="character" w:customStyle="1" w:styleId="Corpsdutexte20">
    <w:name w:val="Corps du texte (2)"/>
    <w:basedOn w:val="Corpsdutexte2"/>
    <w:rsid w:val="00CF0E5B"/>
    <w:rPr>
      <w:rFonts w:ascii="Arial" w:eastAsia="Arial" w:hAnsi="Arial" w:cs="Arial"/>
      <w:b w:val="0"/>
      <w:bCs w:val="0"/>
      <w:i w:val="0"/>
      <w:iCs w:val="0"/>
      <w:smallCaps w:val="0"/>
      <w:strike w:val="0"/>
      <w:color w:val="242423"/>
      <w:spacing w:val="0"/>
      <w:w w:val="100"/>
      <w:position w:val="0"/>
      <w:sz w:val="18"/>
      <w:szCs w:val="18"/>
      <w:u w:val="none"/>
      <w:lang w:val="fr-FR" w:eastAsia="fr-FR" w:bidi="fr-FR"/>
    </w:rPr>
  </w:style>
  <w:style w:type="character" w:customStyle="1" w:styleId="Corpsdutexte4">
    <w:name w:val="Corps du texte (4)"/>
    <w:basedOn w:val="Policepardfaut"/>
    <w:rsid w:val="00CF0E5B"/>
    <w:rPr>
      <w:rFonts w:ascii="Arial" w:eastAsia="Arial" w:hAnsi="Arial" w:cs="Arial"/>
      <w:b/>
      <w:bCs/>
      <w:i w:val="0"/>
      <w:iCs w:val="0"/>
      <w:smallCaps w:val="0"/>
      <w:strike w:val="0"/>
      <w:color w:val="242423"/>
      <w:spacing w:val="0"/>
      <w:w w:val="100"/>
      <w:position w:val="0"/>
      <w:sz w:val="17"/>
      <w:szCs w:val="17"/>
      <w:u w:val="none"/>
      <w:lang w:val="fr-FR" w:eastAsia="fr-FR" w:bidi="fr-FR"/>
    </w:rPr>
  </w:style>
  <w:style w:type="character" w:customStyle="1" w:styleId="Lgendedutableau">
    <w:name w:val="Légende du tableau"/>
    <w:basedOn w:val="Policepardfaut"/>
    <w:rsid w:val="00CF0E5B"/>
    <w:rPr>
      <w:rFonts w:ascii="Arial" w:eastAsia="Arial" w:hAnsi="Arial" w:cs="Arial"/>
      <w:b/>
      <w:bCs/>
      <w:i w:val="0"/>
      <w:iCs w:val="0"/>
      <w:smallCaps w:val="0"/>
      <w:strike w:val="0"/>
      <w:color w:val="242423"/>
      <w:spacing w:val="0"/>
      <w:w w:val="100"/>
      <w:position w:val="0"/>
      <w:sz w:val="17"/>
      <w:szCs w:val="17"/>
      <w:u w:val="none"/>
      <w:lang w:val="fr-FR" w:eastAsia="fr-FR" w:bidi="fr-FR"/>
    </w:rPr>
  </w:style>
  <w:style w:type="character" w:customStyle="1" w:styleId="Corpsdutexte285ptGras">
    <w:name w:val="Corps du texte (2) + 8;5 pt;Gras"/>
    <w:basedOn w:val="Corpsdutexte2"/>
    <w:rsid w:val="00CF0E5B"/>
    <w:rPr>
      <w:rFonts w:ascii="Arial" w:eastAsia="Arial" w:hAnsi="Arial" w:cs="Arial"/>
      <w:b/>
      <w:bCs/>
      <w:i w:val="0"/>
      <w:iCs w:val="0"/>
      <w:smallCaps w:val="0"/>
      <w:strike w:val="0"/>
      <w:color w:val="242423"/>
      <w:spacing w:val="0"/>
      <w:w w:val="100"/>
      <w:position w:val="0"/>
      <w:sz w:val="17"/>
      <w:szCs w:val="17"/>
      <w:u w:val="none"/>
      <w:lang w:val="fr-FR" w:eastAsia="fr-FR" w:bidi="fr-FR"/>
    </w:rPr>
  </w:style>
  <w:style w:type="character" w:customStyle="1" w:styleId="Corpsdutexte40">
    <w:name w:val="Corps du texte (4)_"/>
    <w:basedOn w:val="Policepardfaut"/>
    <w:rsid w:val="00CF0E5B"/>
    <w:rPr>
      <w:rFonts w:ascii="Arial" w:eastAsia="Arial" w:hAnsi="Arial" w:cs="Arial"/>
      <w:b/>
      <w:bCs/>
      <w:sz w:val="17"/>
      <w:szCs w:val="17"/>
      <w:shd w:val="clear" w:color="auto" w:fill="FFFFFF"/>
    </w:rPr>
  </w:style>
  <w:style w:type="character" w:styleId="Hyperlien">
    <w:name w:val="Hyperlink"/>
    <w:uiPriority w:val="99"/>
    <w:rsid w:val="00CF0E5B"/>
    <w:rPr>
      <w:noProof w:val="0"/>
      <w:color w:val="0000FF"/>
      <w:u w:val="single"/>
      <w:lang w:val="fr-CA"/>
    </w:rPr>
  </w:style>
  <w:style w:type="character" w:customStyle="1" w:styleId="ParagrapheCar">
    <w:name w:val="Paragraphe Car"/>
    <w:link w:val="Paragraphe"/>
    <w:qFormat/>
    <w:rsid w:val="00CF0E5B"/>
    <w:rPr>
      <w:rFonts w:ascii="Arial" w:hAnsi="Arial"/>
      <w:kern w:val="28"/>
      <w:sz w:val="24"/>
      <w:lang w:eastAsia="fr-FR"/>
    </w:rPr>
  </w:style>
  <w:style w:type="character" w:customStyle="1" w:styleId="reflex3-missing">
    <w:name w:val="reflex3-missing"/>
    <w:basedOn w:val="Policepardfaut"/>
    <w:rsid w:val="00CF0E5B"/>
  </w:style>
  <w:style w:type="paragraph" w:styleId="Rvision">
    <w:name w:val="Revision"/>
    <w:hidden/>
    <w:uiPriority w:val="99"/>
    <w:semiHidden/>
    <w:rsid w:val="00CF0E5B"/>
    <w:rPr>
      <w:rFonts w:ascii="Arial" w:hAnsi="Arial"/>
      <w:sz w:val="24"/>
      <w:lang w:eastAsia="fr-FR"/>
    </w:rPr>
  </w:style>
  <w:style w:type="character" w:styleId="Marquedecommentaire">
    <w:name w:val="annotation reference"/>
    <w:basedOn w:val="Policepardfaut"/>
    <w:uiPriority w:val="99"/>
    <w:semiHidden/>
    <w:unhideWhenUsed/>
    <w:rsid w:val="00CF0E5B"/>
    <w:rPr>
      <w:sz w:val="16"/>
      <w:szCs w:val="16"/>
    </w:rPr>
  </w:style>
  <w:style w:type="paragraph" w:styleId="Commentaire">
    <w:name w:val="annotation text"/>
    <w:basedOn w:val="Normal"/>
    <w:link w:val="CommentaireCar"/>
    <w:uiPriority w:val="99"/>
    <w:unhideWhenUsed/>
    <w:rsid w:val="00CF0E5B"/>
    <w:pPr>
      <w:spacing w:line="240" w:lineRule="auto"/>
    </w:pPr>
    <w:rPr>
      <w:sz w:val="20"/>
    </w:rPr>
  </w:style>
  <w:style w:type="character" w:customStyle="1" w:styleId="CommentaireCar">
    <w:name w:val="Commentaire Car"/>
    <w:basedOn w:val="Policepardfaut"/>
    <w:link w:val="Commentaire"/>
    <w:uiPriority w:val="99"/>
    <w:rsid w:val="00CF0E5B"/>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CF0E5B"/>
    <w:rPr>
      <w:b/>
      <w:bCs/>
    </w:rPr>
  </w:style>
  <w:style w:type="character" w:customStyle="1" w:styleId="ObjetducommentaireCar">
    <w:name w:val="Objet du commentaire Car"/>
    <w:basedOn w:val="CommentaireCar"/>
    <w:link w:val="Objetducommentaire"/>
    <w:uiPriority w:val="99"/>
    <w:semiHidden/>
    <w:rsid w:val="00CF0E5B"/>
    <w:rPr>
      <w:rFonts w:ascii="Arial" w:hAnsi="Arial"/>
      <w:b/>
      <w:bCs/>
      <w:lang w:eastAsia="fr-FR"/>
    </w:rPr>
  </w:style>
  <w:style w:type="character" w:styleId="Lienvisit">
    <w:name w:val="FollowedHyperlink"/>
    <w:basedOn w:val="Policepardfaut"/>
    <w:uiPriority w:val="99"/>
    <w:semiHidden/>
    <w:unhideWhenUsed/>
    <w:rsid w:val="00CF0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6826</Words>
  <Characters>37543</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Lise De Bois Briand</dc:creator>
  <cp:keywords/>
  <dc:description/>
  <cp:lastModifiedBy>Gauthier, François</cp:lastModifiedBy>
  <cp:revision>4</cp:revision>
  <cp:lastPrinted>2025-01-20T16:23:00Z</cp:lastPrinted>
  <dcterms:created xsi:type="dcterms:W3CDTF">2025-02-05T20:01:00Z</dcterms:created>
  <dcterms:modified xsi:type="dcterms:W3CDTF">2025-02-06T19:41:00Z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