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6294" w14:textId="04972E8E" w:rsidR="000F209C" w:rsidRPr="004426BC" w:rsidRDefault="000F209C">
      <w:pPr>
        <w:rPr>
          <w:b/>
          <w:bCs/>
          <w:lang w:val="en-CA"/>
        </w:rPr>
      </w:pPr>
      <w:r w:rsidRPr="004426BC">
        <w:rPr>
          <w:b/>
          <w:bCs/>
          <w:lang w:val="en-CA"/>
        </w:rPr>
        <w:t>Translated from the original French</w:t>
      </w:r>
    </w:p>
    <w:tbl>
      <w:tblPr>
        <w:tblW w:w="9511" w:type="dxa"/>
        <w:tblLayout w:type="fixed"/>
        <w:tblCellMar>
          <w:left w:w="70" w:type="dxa"/>
          <w:right w:w="70" w:type="dxa"/>
        </w:tblCellMar>
        <w:tblLook w:val="0000" w:firstRow="0" w:lastRow="0" w:firstColumn="0" w:lastColumn="0" w:noHBand="0" w:noVBand="0"/>
      </w:tblPr>
      <w:tblGrid>
        <w:gridCol w:w="1063"/>
        <w:gridCol w:w="497"/>
        <w:gridCol w:w="65"/>
        <w:gridCol w:w="2344"/>
        <w:gridCol w:w="1063"/>
        <w:gridCol w:w="2053"/>
        <w:gridCol w:w="2420"/>
        <w:gridCol w:w="6"/>
      </w:tblGrid>
      <w:tr w:rsidR="002F785D" w:rsidRPr="002F6CBB" w14:paraId="17AC4378" w14:textId="77777777" w:rsidTr="00441107">
        <w:trPr>
          <w:gridAfter w:val="1"/>
          <w:wAfter w:w="6" w:type="dxa"/>
          <w:trHeight w:val="360"/>
        </w:trPr>
        <w:tc>
          <w:tcPr>
            <w:tcW w:w="7085" w:type="dxa"/>
            <w:gridSpan w:val="6"/>
          </w:tcPr>
          <w:p w14:paraId="4AD6C235" w14:textId="3D01908A" w:rsidR="002F785D" w:rsidRPr="002F6CBB" w:rsidRDefault="002F785D" w:rsidP="002F785D">
            <w:pPr>
              <w:pStyle w:val="zSoquijdatRepertorie"/>
              <w:rPr>
                <w:lang w:val="en-CA"/>
              </w:rPr>
            </w:pPr>
            <w:r>
              <w:rPr>
                <w:rFonts w:cs="Arial"/>
              </w:rPr>
              <w:t>Commission des droits de la personne et des droits de la jeunesse (Woodley) c. Ville de Laval (Service de police de la Ville de Laval)</w:t>
            </w:r>
          </w:p>
        </w:tc>
        <w:tc>
          <w:tcPr>
            <w:tcW w:w="2420" w:type="dxa"/>
          </w:tcPr>
          <w:p w14:paraId="2BE552F5" w14:textId="0012C88A" w:rsidR="002F785D" w:rsidRPr="002F6CBB" w:rsidRDefault="002F785D" w:rsidP="002F785D">
            <w:pPr>
              <w:pStyle w:val="zSoquijdatRefNeutre"/>
              <w:jc w:val="right"/>
              <w:rPr>
                <w:lang w:val="en-CA"/>
              </w:rPr>
            </w:pPr>
            <w:r w:rsidRPr="0072615E">
              <w:rPr>
                <w:rFonts w:cs="Arial"/>
              </w:rPr>
              <w:t>2024 QCTDP 6</w:t>
            </w:r>
          </w:p>
        </w:tc>
      </w:tr>
      <w:tr w:rsidR="00200D0C" w:rsidRPr="002F6CBB" w14:paraId="44904A95" w14:textId="77777777" w:rsidTr="00441107">
        <w:trPr>
          <w:gridAfter w:val="1"/>
          <w:wAfter w:w="6" w:type="dxa"/>
          <w:trHeight w:val="900"/>
        </w:trPr>
        <w:tc>
          <w:tcPr>
            <w:tcW w:w="9505" w:type="dxa"/>
            <w:gridSpan w:val="7"/>
            <w:vAlign w:val="bottom"/>
          </w:tcPr>
          <w:p w14:paraId="46A50A7D" w14:textId="08D46133" w:rsidR="00D025F2" w:rsidRPr="002F6CBB" w:rsidRDefault="000F209C">
            <w:pPr>
              <w:pStyle w:val="zSoquijlblCour"/>
              <w:rPr>
                <w:lang w:val="en-CA"/>
              </w:rPr>
            </w:pPr>
            <w:r w:rsidRPr="002F6CBB">
              <w:rPr>
                <w:lang w:val="en-CA"/>
              </w:rPr>
              <w:t>HUMAN RIGHTS TRIBUNAL</w:t>
            </w:r>
          </w:p>
        </w:tc>
      </w:tr>
      <w:tr w:rsidR="00200D0C" w:rsidRPr="002F6CBB" w14:paraId="3F90E5EA" w14:textId="77777777" w:rsidTr="00441107">
        <w:trPr>
          <w:gridAfter w:val="1"/>
          <w:wAfter w:w="6" w:type="dxa"/>
          <w:trHeight w:val="540"/>
        </w:trPr>
        <w:tc>
          <w:tcPr>
            <w:tcW w:w="9505" w:type="dxa"/>
            <w:gridSpan w:val="7"/>
          </w:tcPr>
          <w:p w14:paraId="6E8A028E" w14:textId="77777777" w:rsidR="00D025F2" w:rsidRPr="002F6CBB" w:rsidRDefault="00D025F2">
            <w:pPr>
              <w:pStyle w:val="zSoquijdatDivision"/>
              <w:rPr>
                <w:lang w:val="en-CA"/>
              </w:rPr>
            </w:pPr>
          </w:p>
        </w:tc>
      </w:tr>
      <w:tr w:rsidR="00200D0C" w:rsidRPr="002F6CBB" w14:paraId="56681705" w14:textId="77777777" w:rsidTr="00441107">
        <w:trPr>
          <w:gridAfter w:val="1"/>
          <w:wAfter w:w="6" w:type="dxa"/>
        </w:trPr>
        <w:tc>
          <w:tcPr>
            <w:tcW w:w="9505" w:type="dxa"/>
            <w:gridSpan w:val="7"/>
          </w:tcPr>
          <w:p w14:paraId="34D1243D" w14:textId="77777777" w:rsidR="00D025F2" w:rsidRPr="002F6CBB" w:rsidRDefault="00BC67BE">
            <w:pPr>
              <w:pStyle w:val="zSoquijlblPays"/>
              <w:rPr>
                <w:lang w:val="en-CA"/>
              </w:rPr>
            </w:pPr>
            <w:r w:rsidRPr="002F6CBB">
              <w:rPr>
                <w:lang w:val="en-CA"/>
              </w:rPr>
              <w:t>CANADA</w:t>
            </w:r>
          </w:p>
        </w:tc>
      </w:tr>
      <w:tr w:rsidR="00200D0C" w:rsidRPr="002F6CBB" w14:paraId="4D42658C" w14:textId="77777777" w:rsidTr="00441107">
        <w:trPr>
          <w:gridAfter w:val="1"/>
          <w:wAfter w:w="6" w:type="dxa"/>
        </w:trPr>
        <w:tc>
          <w:tcPr>
            <w:tcW w:w="9505" w:type="dxa"/>
            <w:gridSpan w:val="7"/>
          </w:tcPr>
          <w:p w14:paraId="7247F301" w14:textId="0EECA3E7" w:rsidR="00D025F2" w:rsidRPr="002F6CBB" w:rsidRDefault="000F209C">
            <w:pPr>
              <w:pStyle w:val="zSoquijlblProvince"/>
              <w:rPr>
                <w:lang w:val="en-CA"/>
              </w:rPr>
            </w:pPr>
            <w:r w:rsidRPr="002F6CBB">
              <w:rPr>
                <w:lang w:val="en-CA"/>
              </w:rPr>
              <w:t>PROVINCE OF QUEBEC</w:t>
            </w:r>
          </w:p>
        </w:tc>
      </w:tr>
      <w:tr w:rsidR="00200D0C" w:rsidRPr="002F6CBB" w14:paraId="77B021BC" w14:textId="77777777" w:rsidTr="00441107">
        <w:tblPrEx>
          <w:tblCellMar>
            <w:left w:w="0" w:type="dxa"/>
            <w:right w:w="0" w:type="dxa"/>
          </w:tblCellMar>
        </w:tblPrEx>
        <w:trPr>
          <w:gridAfter w:val="1"/>
          <w:wAfter w:w="6" w:type="dxa"/>
          <w:cantSplit/>
        </w:trPr>
        <w:tc>
          <w:tcPr>
            <w:tcW w:w="1625" w:type="dxa"/>
            <w:gridSpan w:val="3"/>
          </w:tcPr>
          <w:p w14:paraId="073E9330" w14:textId="0A869B97" w:rsidR="00D025F2" w:rsidRPr="002F6CBB" w:rsidRDefault="000F209C">
            <w:pPr>
              <w:pStyle w:val="zSoquijlblGreffe"/>
              <w:rPr>
                <w:lang w:val="en-CA"/>
              </w:rPr>
            </w:pPr>
            <w:r w:rsidRPr="002F6CBB">
              <w:rPr>
                <w:lang w:val="en-CA"/>
              </w:rPr>
              <w:t>DISTRICT OF</w:t>
            </w:r>
          </w:p>
        </w:tc>
        <w:tc>
          <w:tcPr>
            <w:tcW w:w="7880" w:type="dxa"/>
            <w:gridSpan w:val="4"/>
          </w:tcPr>
          <w:p w14:paraId="06A15E6D" w14:textId="4F881FDD" w:rsidR="00D025F2" w:rsidRPr="002F6CBB" w:rsidRDefault="00EA5CA7">
            <w:pPr>
              <w:pStyle w:val="zSoquijdatGreffe"/>
              <w:rPr>
                <w:caps/>
                <w:lang w:val="en-CA"/>
              </w:rPr>
            </w:pPr>
            <w:r>
              <w:rPr>
                <w:caps/>
                <w:lang w:val="en-CA"/>
              </w:rPr>
              <w:t>LAVAL</w:t>
            </w:r>
          </w:p>
        </w:tc>
      </w:tr>
      <w:tr w:rsidR="00200D0C" w:rsidRPr="002F6CBB" w14:paraId="3321E941" w14:textId="77777777" w:rsidTr="00441107">
        <w:trPr>
          <w:gridAfter w:val="1"/>
          <w:wAfter w:w="6" w:type="dxa"/>
          <w:cantSplit/>
          <w:trHeight w:val="235"/>
        </w:trPr>
        <w:tc>
          <w:tcPr>
            <w:tcW w:w="9505" w:type="dxa"/>
            <w:gridSpan w:val="7"/>
          </w:tcPr>
          <w:p w14:paraId="3B0B1498" w14:textId="77777777" w:rsidR="00C2246D" w:rsidRPr="002F6CBB" w:rsidRDefault="00C2246D" w:rsidP="007C6322">
            <w:pPr>
              <w:rPr>
                <w:lang w:val="en-CA"/>
              </w:rPr>
            </w:pPr>
          </w:p>
        </w:tc>
      </w:tr>
      <w:tr w:rsidR="00200D0C" w:rsidRPr="002F6CBB" w14:paraId="08D8F840" w14:textId="77777777" w:rsidTr="00441107">
        <w:trPr>
          <w:gridAfter w:val="1"/>
          <w:wAfter w:w="6" w:type="dxa"/>
        </w:trPr>
        <w:tc>
          <w:tcPr>
            <w:tcW w:w="1063" w:type="dxa"/>
          </w:tcPr>
          <w:p w14:paraId="36FE3AE1" w14:textId="5A523F74" w:rsidR="00027FB0" w:rsidRPr="002F6CBB" w:rsidRDefault="000F209C" w:rsidP="007C6322">
            <w:pPr>
              <w:pStyle w:val="zSoquijlblNoDossier"/>
              <w:rPr>
                <w:lang w:val="en-CA"/>
              </w:rPr>
            </w:pPr>
            <w:r w:rsidRPr="002F6CBB">
              <w:rPr>
                <w:lang w:val="en-CA"/>
              </w:rPr>
              <w:t>No.:</w:t>
            </w:r>
          </w:p>
        </w:tc>
        <w:tc>
          <w:tcPr>
            <w:tcW w:w="8442" w:type="dxa"/>
            <w:gridSpan w:val="6"/>
          </w:tcPr>
          <w:p w14:paraId="5225A287" w14:textId="061AFAAD" w:rsidR="00027FB0" w:rsidRPr="002F6CBB" w:rsidRDefault="00EA5CA7" w:rsidP="007C6322">
            <w:pPr>
              <w:pStyle w:val="zSoquijdatNoDossier"/>
              <w:rPr>
                <w:lang w:val="en-CA"/>
              </w:rPr>
            </w:pPr>
            <w:r w:rsidRPr="00EA5CA7">
              <w:rPr>
                <w:lang w:val="en-CA"/>
              </w:rPr>
              <w:t>540-53-000065-213</w:t>
            </w:r>
          </w:p>
        </w:tc>
      </w:tr>
      <w:tr w:rsidR="00200D0C" w:rsidRPr="002F6CBB" w14:paraId="6D84AAA6" w14:textId="77777777" w:rsidTr="00441107">
        <w:trPr>
          <w:gridAfter w:val="1"/>
          <w:wAfter w:w="6" w:type="dxa"/>
          <w:cantSplit/>
          <w:trHeight w:val="235"/>
        </w:trPr>
        <w:tc>
          <w:tcPr>
            <w:tcW w:w="9505" w:type="dxa"/>
            <w:gridSpan w:val="7"/>
          </w:tcPr>
          <w:p w14:paraId="06B8759D" w14:textId="77777777" w:rsidR="00C2246D" w:rsidRPr="002F6CBB" w:rsidRDefault="00C2246D" w:rsidP="007C6322">
            <w:pPr>
              <w:rPr>
                <w:lang w:val="en-CA"/>
              </w:rPr>
            </w:pPr>
          </w:p>
        </w:tc>
      </w:tr>
      <w:tr w:rsidR="00200D0C" w:rsidRPr="002F6CBB" w14:paraId="772C9F67" w14:textId="77777777" w:rsidTr="00441107">
        <w:trPr>
          <w:gridAfter w:val="1"/>
          <w:wAfter w:w="6" w:type="dxa"/>
        </w:trPr>
        <w:tc>
          <w:tcPr>
            <w:tcW w:w="1063" w:type="dxa"/>
          </w:tcPr>
          <w:p w14:paraId="15939F5D" w14:textId="5A87F7F2" w:rsidR="00027FB0" w:rsidRPr="002F6CBB" w:rsidRDefault="000F209C" w:rsidP="007C6322">
            <w:pPr>
              <w:pStyle w:val="zSoquijlblDateJugement"/>
              <w:rPr>
                <w:lang w:val="en-CA"/>
              </w:rPr>
            </w:pPr>
            <w:r w:rsidRPr="002F6CBB">
              <w:rPr>
                <w:lang w:val="en-CA"/>
              </w:rPr>
              <w:t>DATE:</w:t>
            </w:r>
          </w:p>
        </w:tc>
        <w:tc>
          <w:tcPr>
            <w:tcW w:w="8442" w:type="dxa"/>
            <w:gridSpan w:val="6"/>
          </w:tcPr>
          <w:p w14:paraId="5B556C67" w14:textId="09E06272" w:rsidR="00027FB0" w:rsidRPr="002F6CBB" w:rsidRDefault="000F209C" w:rsidP="007C6322">
            <w:pPr>
              <w:pStyle w:val="zSoquijdatDateJugement"/>
              <w:rPr>
                <w:lang w:val="en-CA"/>
              </w:rPr>
            </w:pPr>
            <w:r w:rsidRPr="002F6CBB">
              <w:rPr>
                <w:lang w:val="en-CA"/>
              </w:rPr>
              <w:t>April 15, 2024</w:t>
            </w:r>
          </w:p>
        </w:tc>
      </w:tr>
      <w:tr w:rsidR="00200D0C" w:rsidRPr="002F6CBB" w14:paraId="5267439C" w14:textId="77777777" w:rsidTr="00441107">
        <w:trPr>
          <w:gridAfter w:val="1"/>
          <w:wAfter w:w="6" w:type="dxa"/>
        </w:trPr>
        <w:tc>
          <w:tcPr>
            <w:tcW w:w="9505" w:type="dxa"/>
            <w:gridSpan w:val="7"/>
          </w:tcPr>
          <w:p w14:paraId="05EC3984" w14:textId="77777777" w:rsidR="00D025F2" w:rsidRPr="002F6CBB" w:rsidRDefault="00BC67BE">
            <w:pPr>
              <w:ind w:left="14" w:right="-67"/>
              <w:rPr>
                <w:lang w:val="en-CA"/>
              </w:rPr>
            </w:pPr>
            <w:r w:rsidRPr="002F6CBB">
              <w:rPr>
                <w:lang w:val="en-CA"/>
              </w:rPr>
              <w:t>______________________________________________________________________</w:t>
            </w:r>
          </w:p>
        </w:tc>
      </w:tr>
      <w:tr w:rsidR="00200D0C" w:rsidRPr="002F6CBB" w14:paraId="4616AD40" w14:textId="77777777" w:rsidTr="00441107">
        <w:trPr>
          <w:gridAfter w:val="1"/>
          <w:wAfter w:w="6" w:type="dxa"/>
        </w:trPr>
        <w:tc>
          <w:tcPr>
            <w:tcW w:w="9505" w:type="dxa"/>
            <w:gridSpan w:val="7"/>
          </w:tcPr>
          <w:p w14:paraId="5E999C86" w14:textId="77777777" w:rsidR="00D025F2" w:rsidRPr="002F6CBB" w:rsidRDefault="00D025F2">
            <w:pPr>
              <w:rPr>
                <w:lang w:val="en-CA"/>
              </w:rPr>
            </w:pPr>
          </w:p>
        </w:tc>
      </w:tr>
      <w:tr w:rsidR="00200D0C" w:rsidRPr="002F6CBB" w14:paraId="75292A66" w14:textId="77777777" w:rsidTr="000F209C">
        <w:tblPrEx>
          <w:tblCellMar>
            <w:left w:w="0" w:type="dxa"/>
            <w:right w:w="0" w:type="dxa"/>
          </w:tblCellMar>
        </w:tblPrEx>
        <w:tc>
          <w:tcPr>
            <w:tcW w:w="1560" w:type="dxa"/>
            <w:gridSpan w:val="2"/>
          </w:tcPr>
          <w:p w14:paraId="6F0151A7" w14:textId="6A2E9FDE" w:rsidR="00027FB0" w:rsidRPr="002F6CBB" w:rsidRDefault="000F209C" w:rsidP="007C6322">
            <w:pPr>
              <w:pStyle w:val="zSoquijlblJuge"/>
              <w:rPr>
                <w:lang w:val="en-CA"/>
              </w:rPr>
            </w:pPr>
            <w:r w:rsidRPr="002F6CBB">
              <w:rPr>
                <w:lang w:val="en-CA"/>
              </w:rPr>
              <w:t>PRESIDING:</w:t>
            </w:r>
          </w:p>
        </w:tc>
        <w:tc>
          <w:tcPr>
            <w:tcW w:w="2409" w:type="dxa"/>
            <w:gridSpan w:val="2"/>
          </w:tcPr>
          <w:p w14:paraId="20A678F8" w14:textId="3F692BED" w:rsidR="00027FB0" w:rsidRPr="002F6CBB" w:rsidRDefault="000F209C" w:rsidP="007C6322">
            <w:pPr>
              <w:pStyle w:val="zSoquijdatQteJuge"/>
              <w:rPr>
                <w:lang w:val="en-CA"/>
              </w:rPr>
            </w:pPr>
            <w:r w:rsidRPr="002F6CBB">
              <w:rPr>
                <w:lang w:val="en-CA"/>
              </w:rPr>
              <w:t>THE HONOURABLE</w:t>
            </w:r>
          </w:p>
        </w:tc>
        <w:tc>
          <w:tcPr>
            <w:tcW w:w="5542" w:type="dxa"/>
            <w:gridSpan w:val="4"/>
          </w:tcPr>
          <w:p w14:paraId="2D7B7AF7" w14:textId="744FCF5E" w:rsidR="00027FB0" w:rsidRPr="002F6CBB" w:rsidRDefault="00EA5CA7" w:rsidP="007C6322">
            <w:pPr>
              <w:pStyle w:val="zSoquijdatJuge"/>
              <w:rPr>
                <w:lang w:val="en-CA"/>
              </w:rPr>
            </w:pPr>
            <w:r w:rsidRPr="00EA5CA7">
              <w:rPr>
                <w:lang w:val="en-CA"/>
              </w:rPr>
              <w:t>CATHERINE PILON</w:t>
            </w:r>
          </w:p>
        </w:tc>
      </w:tr>
      <w:tr w:rsidR="00200D0C" w:rsidRPr="002F6CBB" w14:paraId="7A647EE6" w14:textId="77777777" w:rsidTr="00441107">
        <w:trPr>
          <w:gridAfter w:val="1"/>
          <w:wAfter w:w="6" w:type="dxa"/>
        </w:trPr>
        <w:tc>
          <w:tcPr>
            <w:tcW w:w="5032" w:type="dxa"/>
            <w:gridSpan w:val="5"/>
            <w:vAlign w:val="center"/>
          </w:tcPr>
          <w:p w14:paraId="474C6EA2" w14:textId="29AF19B8" w:rsidR="00D025F2" w:rsidRPr="002F6CBB" w:rsidRDefault="000F209C" w:rsidP="00441107">
            <w:pPr>
              <w:pStyle w:val="zSoquijlblAssesseurs"/>
              <w:rPr>
                <w:sz w:val="23"/>
                <w:szCs w:val="23"/>
                <w:lang w:val="en-CA"/>
              </w:rPr>
            </w:pPr>
            <w:r w:rsidRPr="002F6CBB">
              <w:rPr>
                <w:sz w:val="23"/>
                <w:szCs w:val="23"/>
                <w:lang w:val="en-CA"/>
              </w:rPr>
              <w:t>WITH THE ASSISTANCE OF ASSESSORS:</w:t>
            </w:r>
          </w:p>
        </w:tc>
        <w:tc>
          <w:tcPr>
            <w:tcW w:w="4473" w:type="dxa"/>
            <w:gridSpan w:val="2"/>
            <w:vAlign w:val="center"/>
          </w:tcPr>
          <w:p w14:paraId="5A3D2620" w14:textId="77777777" w:rsidR="003D5A07" w:rsidRPr="002F6CBB" w:rsidRDefault="003D5A07" w:rsidP="00E728B8">
            <w:pPr>
              <w:pStyle w:val="zSoquijdatAssesseurs"/>
              <w:rPr>
                <w:lang w:val="en-CA"/>
              </w:rPr>
            </w:pPr>
          </w:p>
          <w:p w14:paraId="76EC7B54" w14:textId="1D866280" w:rsidR="00E728B8" w:rsidRPr="002F6CBB" w:rsidRDefault="000F209C" w:rsidP="00E728B8">
            <w:pPr>
              <w:pStyle w:val="zSoquijdatAssesseurs"/>
              <w:rPr>
                <w:lang w:val="en-CA"/>
              </w:rPr>
            </w:pPr>
            <w:proofErr w:type="spellStart"/>
            <w:r w:rsidRPr="002F6CBB">
              <w:rPr>
                <w:lang w:val="en-CA"/>
              </w:rPr>
              <w:t>Mtre</w:t>
            </w:r>
            <w:proofErr w:type="spellEnd"/>
            <w:r w:rsidRPr="002F6CBB">
              <w:rPr>
                <w:lang w:val="en-CA"/>
              </w:rPr>
              <w:t xml:space="preserve"> Carolina </w:t>
            </w:r>
            <w:proofErr w:type="spellStart"/>
            <w:r w:rsidRPr="002F6CBB">
              <w:rPr>
                <w:lang w:val="en-CA"/>
              </w:rPr>
              <w:t>Manganelli</w:t>
            </w:r>
            <w:proofErr w:type="spellEnd"/>
          </w:p>
          <w:p w14:paraId="69444052" w14:textId="389BE2DB" w:rsidR="00E728B8" w:rsidRPr="002F6CBB" w:rsidRDefault="000F209C" w:rsidP="00241013">
            <w:pPr>
              <w:pStyle w:val="zSoquijdatAssesseurs"/>
              <w:rPr>
                <w:lang w:val="en-CA"/>
              </w:rPr>
            </w:pPr>
            <w:proofErr w:type="spellStart"/>
            <w:r w:rsidRPr="002F6CBB">
              <w:rPr>
                <w:lang w:val="en-CA"/>
              </w:rPr>
              <w:t>Mtre</w:t>
            </w:r>
            <w:proofErr w:type="spellEnd"/>
            <w:r w:rsidRPr="002F6CBB">
              <w:rPr>
                <w:lang w:val="en-CA"/>
              </w:rPr>
              <w:t xml:space="preserve"> Daniel Proulx, retired attorney</w:t>
            </w:r>
          </w:p>
        </w:tc>
      </w:tr>
      <w:tr w:rsidR="00200D0C" w:rsidRPr="002F6CBB" w14:paraId="527233A2" w14:textId="77777777" w:rsidTr="00441107">
        <w:trPr>
          <w:gridAfter w:val="1"/>
          <w:wAfter w:w="6" w:type="dxa"/>
        </w:trPr>
        <w:tc>
          <w:tcPr>
            <w:tcW w:w="9505" w:type="dxa"/>
            <w:gridSpan w:val="7"/>
          </w:tcPr>
          <w:p w14:paraId="7C653A15" w14:textId="77777777" w:rsidR="00D025F2" w:rsidRPr="002F6CBB" w:rsidRDefault="00BC67BE">
            <w:pPr>
              <w:ind w:left="14" w:right="-67"/>
              <w:rPr>
                <w:lang w:val="en-CA"/>
              </w:rPr>
            </w:pPr>
            <w:r w:rsidRPr="002F6CBB">
              <w:rPr>
                <w:lang w:val="en-CA"/>
              </w:rPr>
              <w:t>______________________________________________________________________</w:t>
            </w:r>
          </w:p>
        </w:tc>
      </w:tr>
      <w:tr w:rsidR="00200D0C" w:rsidRPr="002F6CBB" w14:paraId="16415A1C" w14:textId="77777777" w:rsidTr="00441107">
        <w:trPr>
          <w:gridAfter w:val="1"/>
          <w:wAfter w:w="6" w:type="dxa"/>
        </w:trPr>
        <w:tc>
          <w:tcPr>
            <w:tcW w:w="9505" w:type="dxa"/>
            <w:gridSpan w:val="7"/>
          </w:tcPr>
          <w:p w14:paraId="0233BF5F" w14:textId="77777777" w:rsidR="00D025F2" w:rsidRPr="002F6CBB" w:rsidRDefault="00D025F2">
            <w:pPr>
              <w:pStyle w:val="zSoquijlblTitrePartie"/>
              <w:rPr>
                <w:lang w:val="en-CA"/>
              </w:rPr>
            </w:pPr>
          </w:p>
        </w:tc>
      </w:tr>
      <w:tr w:rsidR="00200D0C" w:rsidRPr="002F6CBB" w14:paraId="5147E122" w14:textId="77777777" w:rsidTr="00441107">
        <w:trPr>
          <w:gridAfter w:val="1"/>
          <w:wAfter w:w="6" w:type="dxa"/>
        </w:trPr>
        <w:tc>
          <w:tcPr>
            <w:tcW w:w="9505" w:type="dxa"/>
            <w:gridSpan w:val="7"/>
          </w:tcPr>
          <w:p w14:paraId="642A994C" w14:textId="77777777" w:rsidR="00D025F2" w:rsidRPr="002F6CBB" w:rsidRDefault="00D025F2">
            <w:pPr>
              <w:rPr>
                <w:lang w:val="en-CA"/>
              </w:rPr>
            </w:pPr>
          </w:p>
        </w:tc>
      </w:tr>
      <w:tr w:rsidR="00200D0C" w:rsidRPr="002F6CBB" w14:paraId="5E4DC2BC" w14:textId="77777777" w:rsidTr="00441107">
        <w:trPr>
          <w:gridAfter w:val="1"/>
          <w:wAfter w:w="6" w:type="dxa"/>
        </w:trPr>
        <w:tc>
          <w:tcPr>
            <w:tcW w:w="9505" w:type="dxa"/>
            <w:gridSpan w:val="7"/>
          </w:tcPr>
          <w:p w14:paraId="4D94BE1A" w14:textId="72A57D3A" w:rsidR="00D025F2" w:rsidRPr="005A25C1" w:rsidRDefault="000F209C" w:rsidP="00916B49">
            <w:pPr>
              <w:pStyle w:val="zSoquijdatNomPartieDem"/>
              <w:jc w:val="both"/>
              <w:rPr>
                <w:b w:val="0"/>
              </w:rPr>
            </w:pPr>
            <w:r w:rsidRPr="005A25C1">
              <w:t>COMMISSION DES DROITS DE LA PERSONNE ET DES DROITS DE LA JEUNESSE</w:t>
            </w:r>
            <w:r w:rsidRPr="005A25C1">
              <w:rPr>
                <w:b w:val="0"/>
              </w:rPr>
              <w:t xml:space="preserve">, acting in the public </w:t>
            </w:r>
            <w:proofErr w:type="spellStart"/>
            <w:r w:rsidRPr="005A25C1">
              <w:rPr>
                <w:b w:val="0"/>
              </w:rPr>
              <w:t>interest</w:t>
            </w:r>
            <w:proofErr w:type="spellEnd"/>
            <w:r w:rsidRPr="005A25C1">
              <w:rPr>
                <w:b w:val="0"/>
              </w:rPr>
              <w:t xml:space="preserve"> and on </w:t>
            </w:r>
            <w:proofErr w:type="spellStart"/>
            <w:r w:rsidRPr="005A25C1">
              <w:rPr>
                <w:b w:val="0"/>
              </w:rPr>
              <w:t>behalf</w:t>
            </w:r>
            <w:proofErr w:type="spellEnd"/>
            <w:r w:rsidRPr="005A25C1">
              <w:rPr>
                <w:b w:val="0"/>
              </w:rPr>
              <w:t xml:space="preserve"> of </w:t>
            </w:r>
            <w:r w:rsidR="004426BC" w:rsidRPr="004426BC">
              <w:rPr>
                <w:b w:val="0"/>
              </w:rPr>
              <w:t>JONATHAN WOODLEY</w:t>
            </w:r>
          </w:p>
        </w:tc>
      </w:tr>
      <w:tr w:rsidR="00200D0C" w:rsidRPr="002F6CBB" w14:paraId="44A847E8" w14:textId="77777777" w:rsidTr="00441107">
        <w:trPr>
          <w:gridAfter w:val="1"/>
          <w:wAfter w:w="6" w:type="dxa"/>
        </w:trPr>
        <w:tc>
          <w:tcPr>
            <w:tcW w:w="9505" w:type="dxa"/>
            <w:gridSpan w:val="7"/>
          </w:tcPr>
          <w:p w14:paraId="68349796" w14:textId="6AAEC299" w:rsidR="00D025F2" w:rsidRPr="002F6CBB" w:rsidRDefault="000F209C">
            <w:pPr>
              <w:pStyle w:val="zSoquijdatQtePartieDem"/>
              <w:rPr>
                <w:lang w:val="en-CA"/>
              </w:rPr>
            </w:pPr>
            <w:r w:rsidRPr="002F6CBB">
              <w:rPr>
                <w:lang w:val="en-CA"/>
              </w:rPr>
              <w:t>Plaintiff</w:t>
            </w:r>
          </w:p>
        </w:tc>
      </w:tr>
      <w:tr w:rsidR="00200D0C" w:rsidRPr="002F6CBB" w14:paraId="2C7623C0" w14:textId="77777777" w:rsidTr="00441107">
        <w:trPr>
          <w:gridAfter w:val="1"/>
          <w:wAfter w:w="6" w:type="dxa"/>
        </w:trPr>
        <w:tc>
          <w:tcPr>
            <w:tcW w:w="9505" w:type="dxa"/>
            <w:gridSpan w:val="7"/>
          </w:tcPr>
          <w:p w14:paraId="06DB7723" w14:textId="4E726E42" w:rsidR="00D025F2" w:rsidRPr="002F6CBB" w:rsidRDefault="000F209C">
            <w:pPr>
              <w:pStyle w:val="zSoquijlblLienParties"/>
              <w:rPr>
                <w:lang w:val="en-CA"/>
              </w:rPr>
            </w:pPr>
            <w:r w:rsidRPr="002F6CBB">
              <w:rPr>
                <w:lang w:val="en-CA"/>
              </w:rPr>
              <w:t>v.</w:t>
            </w:r>
          </w:p>
        </w:tc>
      </w:tr>
      <w:tr w:rsidR="00200D0C" w:rsidRPr="002F6CBB" w14:paraId="63E2171F" w14:textId="77777777" w:rsidTr="00441107">
        <w:trPr>
          <w:gridAfter w:val="1"/>
          <w:wAfter w:w="6" w:type="dxa"/>
        </w:trPr>
        <w:tc>
          <w:tcPr>
            <w:tcW w:w="9505" w:type="dxa"/>
            <w:gridSpan w:val="7"/>
          </w:tcPr>
          <w:p w14:paraId="4B4652C4" w14:textId="7796539A" w:rsidR="00D025F2" w:rsidRPr="005A25C1" w:rsidRDefault="004426BC" w:rsidP="006B6A2A">
            <w:pPr>
              <w:pStyle w:val="zSoquijdatNomPartieDef"/>
              <w:jc w:val="both"/>
              <w:rPr>
                <w:caps/>
              </w:rPr>
            </w:pPr>
            <w:r w:rsidRPr="004426BC">
              <w:rPr>
                <w:caps/>
              </w:rPr>
              <w:t>VILLE DE LAVAL (SERVICE DE POLICE DE LA VILLE DE LAVAL)</w:t>
            </w:r>
          </w:p>
        </w:tc>
      </w:tr>
      <w:tr w:rsidR="00200D0C" w:rsidRPr="002F6CBB" w14:paraId="0C73EA36" w14:textId="77777777" w:rsidTr="00441107">
        <w:trPr>
          <w:gridAfter w:val="1"/>
          <w:wAfter w:w="6" w:type="dxa"/>
        </w:trPr>
        <w:tc>
          <w:tcPr>
            <w:tcW w:w="9505" w:type="dxa"/>
            <w:gridSpan w:val="7"/>
          </w:tcPr>
          <w:p w14:paraId="739DEC01" w14:textId="777CCB3E" w:rsidR="006B6A2A" w:rsidRPr="002F6CBB" w:rsidRDefault="000F209C">
            <w:pPr>
              <w:pStyle w:val="zSoquijdatNomPartieDef"/>
              <w:rPr>
                <w:b w:val="0"/>
                <w:lang w:val="en-CA"/>
              </w:rPr>
            </w:pPr>
            <w:r w:rsidRPr="002F6CBB">
              <w:rPr>
                <w:b w:val="0"/>
                <w:lang w:val="en-CA"/>
              </w:rPr>
              <w:t>and</w:t>
            </w:r>
          </w:p>
        </w:tc>
      </w:tr>
      <w:tr w:rsidR="00200D0C" w:rsidRPr="002F6CBB" w14:paraId="7A568E70" w14:textId="77777777" w:rsidTr="00441107">
        <w:trPr>
          <w:gridAfter w:val="1"/>
          <w:wAfter w:w="6" w:type="dxa"/>
        </w:trPr>
        <w:tc>
          <w:tcPr>
            <w:tcW w:w="9505" w:type="dxa"/>
            <w:gridSpan w:val="7"/>
          </w:tcPr>
          <w:p w14:paraId="55ECD93B" w14:textId="50E347D2" w:rsidR="006B6A2A" w:rsidRPr="002F6CBB" w:rsidRDefault="004426BC">
            <w:pPr>
              <w:pStyle w:val="zSoquijdatNomPartieDef"/>
              <w:rPr>
                <w:lang w:val="en-CA"/>
              </w:rPr>
            </w:pPr>
            <w:r w:rsidRPr="004426BC">
              <w:rPr>
                <w:lang w:val="en-CA"/>
              </w:rPr>
              <w:t>CAROLINE BEAULAC</w:t>
            </w:r>
          </w:p>
        </w:tc>
      </w:tr>
      <w:tr w:rsidR="00200D0C" w:rsidRPr="002F6CBB" w14:paraId="451ABDFE" w14:textId="77777777" w:rsidTr="00441107">
        <w:trPr>
          <w:gridAfter w:val="1"/>
          <w:wAfter w:w="6" w:type="dxa"/>
        </w:trPr>
        <w:tc>
          <w:tcPr>
            <w:tcW w:w="9505" w:type="dxa"/>
            <w:gridSpan w:val="7"/>
          </w:tcPr>
          <w:p w14:paraId="65A34F01" w14:textId="265D75AC" w:rsidR="00452483" w:rsidRPr="002F6CBB" w:rsidRDefault="000F209C">
            <w:pPr>
              <w:pStyle w:val="zSoquijdatNomPartieDef"/>
              <w:rPr>
                <w:caps/>
                <w:lang w:val="en-CA"/>
              </w:rPr>
            </w:pPr>
            <w:r w:rsidRPr="002F6CBB">
              <w:rPr>
                <w:b w:val="0"/>
                <w:lang w:val="en-CA"/>
              </w:rPr>
              <w:t>and</w:t>
            </w:r>
          </w:p>
        </w:tc>
      </w:tr>
      <w:tr w:rsidR="00200D0C" w:rsidRPr="002F6CBB" w14:paraId="0D8034F6" w14:textId="77777777" w:rsidTr="00441107">
        <w:trPr>
          <w:gridAfter w:val="1"/>
          <w:wAfter w:w="6" w:type="dxa"/>
        </w:trPr>
        <w:tc>
          <w:tcPr>
            <w:tcW w:w="9505" w:type="dxa"/>
            <w:gridSpan w:val="7"/>
          </w:tcPr>
          <w:p w14:paraId="2DF790F1" w14:textId="77777777" w:rsidR="00452483" w:rsidRPr="002F6CBB" w:rsidRDefault="00BC67BE">
            <w:pPr>
              <w:pStyle w:val="zSoquijdatNomPartieDef"/>
              <w:rPr>
                <w:caps/>
                <w:lang w:val="en-CA"/>
              </w:rPr>
            </w:pPr>
            <w:r w:rsidRPr="002F6CBB">
              <w:rPr>
                <w:caps/>
                <w:lang w:val="en-CA"/>
              </w:rPr>
              <w:t xml:space="preserve">JESSICA LAMOTHE </w:t>
            </w:r>
          </w:p>
        </w:tc>
      </w:tr>
      <w:tr w:rsidR="00200D0C" w:rsidRPr="002F6CBB" w14:paraId="6433AD49" w14:textId="77777777" w:rsidTr="00441107">
        <w:trPr>
          <w:gridAfter w:val="1"/>
          <w:wAfter w:w="6" w:type="dxa"/>
        </w:trPr>
        <w:tc>
          <w:tcPr>
            <w:tcW w:w="9505" w:type="dxa"/>
            <w:gridSpan w:val="7"/>
          </w:tcPr>
          <w:p w14:paraId="0A7C78D1" w14:textId="225A0BF0" w:rsidR="00D025F2" w:rsidRPr="002F6CBB" w:rsidRDefault="000F209C">
            <w:pPr>
              <w:pStyle w:val="zSoquijdatQtePartieDef"/>
              <w:rPr>
                <w:lang w:val="en-CA"/>
              </w:rPr>
            </w:pPr>
            <w:r w:rsidRPr="002F6CBB">
              <w:rPr>
                <w:lang w:val="en-CA"/>
              </w:rPr>
              <w:t>Defendants</w:t>
            </w:r>
          </w:p>
        </w:tc>
      </w:tr>
      <w:tr w:rsidR="00200D0C" w:rsidRPr="002F6CBB" w14:paraId="62B8DE90" w14:textId="77777777" w:rsidTr="00441107">
        <w:trPr>
          <w:gridAfter w:val="1"/>
          <w:wAfter w:w="6" w:type="dxa"/>
        </w:trPr>
        <w:tc>
          <w:tcPr>
            <w:tcW w:w="9505" w:type="dxa"/>
            <w:gridSpan w:val="7"/>
          </w:tcPr>
          <w:p w14:paraId="2D8BAEAD" w14:textId="186A9AF7" w:rsidR="006B6A2A" w:rsidRPr="002F6CBB" w:rsidRDefault="000F209C" w:rsidP="006B6A2A">
            <w:pPr>
              <w:pStyle w:val="zSoquijdatQtePartieDef"/>
              <w:ind w:left="0"/>
              <w:rPr>
                <w:lang w:val="en-CA"/>
              </w:rPr>
            </w:pPr>
            <w:r w:rsidRPr="002F6CBB">
              <w:rPr>
                <w:lang w:val="en-CA"/>
              </w:rPr>
              <w:t>and</w:t>
            </w:r>
          </w:p>
        </w:tc>
      </w:tr>
      <w:tr w:rsidR="00200D0C" w:rsidRPr="002F6CBB" w14:paraId="385E9B04" w14:textId="77777777" w:rsidTr="00441107">
        <w:trPr>
          <w:gridAfter w:val="1"/>
          <w:wAfter w:w="6" w:type="dxa"/>
        </w:trPr>
        <w:tc>
          <w:tcPr>
            <w:tcW w:w="9505" w:type="dxa"/>
            <w:gridSpan w:val="7"/>
          </w:tcPr>
          <w:p w14:paraId="693F3199" w14:textId="77777777" w:rsidR="006B6A2A" w:rsidRPr="002F6CBB" w:rsidRDefault="00BC67BE" w:rsidP="006B6A2A">
            <w:pPr>
              <w:pStyle w:val="zSoquijdatQtePartieDef"/>
              <w:ind w:left="0"/>
              <w:rPr>
                <w:b/>
                <w:lang w:val="en-CA"/>
              </w:rPr>
            </w:pPr>
            <w:r w:rsidRPr="002F6CBB">
              <w:rPr>
                <w:b/>
                <w:caps/>
                <w:lang w:val="en-CA"/>
              </w:rPr>
              <w:t>JONATHAN WOODLEY</w:t>
            </w:r>
          </w:p>
        </w:tc>
      </w:tr>
      <w:tr w:rsidR="00200D0C" w:rsidRPr="002F6CBB" w14:paraId="2C73380D" w14:textId="77777777" w:rsidTr="00441107">
        <w:trPr>
          <w:gridAfter w:val="1"/>
          <w:wAfter w:w="6" w:type="dxa"/>
        </w:trPr>
        <w:tc>
          <w:tcPr>
            <w:tcW w:w="9505" w:type="dxa"/>
            <w:gridSpan w:val="7"/>
          </w:tcPr>
          <w:p w14:paraId="206DB987" w14:textId="5EB63B59" w:rsidR="006B6A2A" w:rsidRPr="002F6CBB" w:rsidRDefault="000F209C" w:rsidP="006B6A2A">
            <w:pPr>
              <w:pStyle w:val="zSoquijdatQtePartieDef"/>
              <w:ind w:left="734"/>
              <w:rPr>
                <w:lang w:val="en-CA"/>
              </w:rPr>
            </w:pPr>
            <w:r w:rsidRPr="002F6CBB">
              <w:rPr>
                <w:lang w:val="en-CA"/>
              </w:rPr>
              <w:t>Alleged victim and complainant</w:t>
            </w:r>
          </w:p>
        </w:tc>
      </w:tr>
      <w:tr w:rsidR="00200D0C" w:rsidRPr="002F6CBB" w14:paraId="5E0CF757" w14:textId="77777777" w:rsidTr="00441107">
        <w:trPr>
          <w:gridAfter w:val="1"/>
          <w:wAfter w:w="6" w:type="dxa"/>
        </w:trPr>
        <w:tc>
          <w:tcPr>
            <w:tcW w:w="9505" w:type="dxa"/>
            <w:gridSpan w:val="7"/>
          </w:tcPr>
          <w:p w14:paraId="5B3A138D" w14:textId="77777777" w:rsidR="00CD02C5" w:rsidRPr="002F6CBB" w:rsidRDefault="00CD02C5" w:rsidP="00CD02C5">
            <w:pPr>
              <w:pStyle w:val="zSoquijdatQtePartieDef"/>
              <w:ind w:left="734"/>
              <w:rPr>
                <w:lang w:val="en-CA"/>
              </w:rPr>
            </w:pPr>
          </w:p>
        </w:tc>
      </w:tr>
      <w:tr w:rsidR="00200D0C" w:rsidRPr="002F6CBB" w14:paraId="00E55464" w14:textId="77777777" w:rsidTr="00110F9C">
        <w:trPr>
          <w:gridAfter w:val="1"/>
          <w:wAfter w:w="6" w:type="dxa"/>
        </w:trPr>
        <w:tc>
          <w:tcPr>
            <w:tcW w:w="9505" w:type="dxa"/>
            <w:gridSpan w:val="7"/>
            <w:tcBorders>
              <w:bottom w:val="single" w:sz="4" w:space="0" w:color="auto"/>
            </w:tcBorders>
          </w:tcPr>
          <w:p w14:paraId="3279ACC2" w14:textId="77777777" w:rsidR="00CD02C5" w:rsidRPr="002F6CBB" w:rsidRDefault="00CD02C5" w:rsidP="00CD02C5">
            <w:pPr>
              <w:jc w:val="center"/>
              <w:rPr>
                <w:lang w:val="en-CA"/>
              </w:rPr>
            </w:pPr>
          </w:p>
        </w:tc>
      </w:tr>
      <w:tr w:rsidR="00200D0C" w:rsidRPr="002F6CBB" w14:paraId="11D4D3A2" w14:textId="77777777" w:rsidTr="00203262">
        <w:trPr>
          <w:gridAfter w:val="1"/>
          <w:wAfter w:w="6" w:type="dxa"/>
        </w:trPr>
        <w:tc>
          <w:tcPr>
            <w:tcW w:w="9505" w:type="dxa"/>
            <w:gridSpan w:val="7"/>
            <w:tcBorders>
              <w:top w:val="single" w:sz="4" w:space="0" w:color="auto"/>
            </w:tcBorders>
          </w:tcPr>
          <w:p w14:paraId="78E31F7F" w14:textId="77777777" w:rsidR="00203262" w:rsidRPr="002F6CBB" w:rsidRDefault="00203262" w:rsidP="00CD02C5">
            <w:pPr>
              <w:pStyle w:val="zSoquijlblTypeDocument"/>
              <w:rPr>
                <w:lang w:val="en-CA"/>
              </w:rPr>
            </w:pPr>
          </w:p>
          <w:p w14:paraId="3C3C3A8F" w14:textId="451D4CD8" w:rsidR="00CD02C5" w:rsidRPr="002F6CBB" w:rsidRDefault="000F209C" w:rsidP="00CD02C5">
            <w:pPr>
              <w:pStyle w:val="zSoquijlblTypeDocument"/>
              <w:rPr>
                <w:b/>
                <w:bCs/>
                <w:lang w:val="en-CA"/>
              </w:rPr>
            </w:pPr>
            <w:r w:rsidRPr="002F6CBB">
              <w:rPr>
                <w:b/>
                <w:bCs/>
                <w:lang w:val="en-CA"/>
              </w:rPr>
              <w:t>JUDGMENT</w:t>
            </w:r>
          </w:p>
          <w:p w14:paraId="6D9F42DC" w14:textId="77777777" w:rsidR="00203262" w:rsidRPr="002F6CBB" w:rsidRDefault="00203262" w:rsidP="00CD02C5">
            <w:pPr>
              <w:pStyle w:val="zSoquijlblTypeDocument"/>
              <w:rPr>
                <w:lang w:val="en-CA"/>
              </w:rPr>
            </w:pPr>
          </w:p>
        </w:tc>
      </w:tr>
      <w:tr w:rsidR="00200D0C" w:rsidRPr="002F6CBB" w14:paraId="00B5EE81" w14:textId="77777777" w:rsidTr="00203262">
        <w:trPr>
          <w:gridAfter w:val="1"/>
          <w:wAfter w:w="6" w:type="dxa"/>
        </w:trPr>
        <w:tc>
          <w:tcPr>
            <w:tcW w:w="9505" w:type="dxa"/>
            <w:gridSpan w:val="7"/>
            <w:tcBorders>
              <w:bottom w:val="single" w:sz="4" w:space="0" w:color="auto"/>
            </w:tcBorders>
          </w:tcPr>
          <w:p w14:paraId="2CC79BEF" w14:textId="77777777" w:rsidR="00CD02C5" w:rsidRPr="002F6CBB" w:rsidRDefault="00CD02C5" w:rsidP="00203262">
            <w:pPr>
              <w:ind w:right="-70"/>
              <w:rPr>
                <w:lang w:val="en-CA"/>
              </w:rPr>
            </w:pPr>
          </w:p>
        </w:tc>
      </w:tr>
    </w:tbl>
    <w:p w14:paraId="26E273A5" w14:textId="77777777" w:rsidR="00DC0E81" w:rsidRPr="002F6CBB" w:rsidRDefault="00BC67BE">
      <w:pPr>
        <w:rPr>
          <w:lang w:val="en-CA"/>
        </w:rPr>
      </w:pPr>
      <w:r w:rsidRPr="002F6CBB">
        <w:rPr>
          <w:lang w:val="en-CA"/>
        </w:rPr>
        <w:br w:type="page"/>
      </w:r>
    </w:p>
    <w:sdt>
      <w:sdtPr>
        <w:rPr>
          <w:rFonts w:ascii="Arial" w:hAnsi="Arial"/>
          <w:smallCaps w:val="0"/>
          <w:color w:val="auto"/>
          <w:sz w:val="24"/>
          <w:szCs w:val="20"/>
          <w:lang w:val="en-CA" w:eastAsia="fr-FR"/>
        </w:rPr>
        <w:id w:val="1703128357"/>
        <w:docPartObj>
          <w:docPartGallery w:val="Table of Contents"/>
          <w:docPartUnique/>
        </w:docPartObj>
      </w:sdtPr>
      <w:sdtEndPr>
        <w:rPr>
          <w:b/>
          <w:bCs/>
        </w:rPr>
      </w:sdtEndPr>
      <w:sdtContent>
        <w:p w14:paraId="587B492C" w14:textId="476EC957" w:rsidR="00DC0E81" w:rsidRPr="005A25C1" w:rsidRDefault="000F209C" w:rsidP="00DC0E81">
          <w:pPr>
            <w:pStyle w:val="En-ttedetabledesmatires"/>
            <w:spacing w:after="240"/>
            <w:rPr>
              <w:lang w:val="en-CA"/>
            </w:rPr>
          </w:pPr>
          <w:r w:rsidRPr="005A25C1">
            <w:rPr>
              <w:rFonts w:ascii="Arial" w:hAnsi="Arial"/>
              <w:sz w:val="24"/>
              <w:szCs w:val="20"/>
              <w:lang w:val="en-CA" w:eastAsia="fr-FR"/>
            </w:rPr>
            <w:t>Table of Contents</w:t>
          </w:r>
        </w:p>
        <w:p w14:paraId="1CC4A4BB" w14:textId="0D152A05" w:rsidR="00EB55BF" w:rsidRDefault="00BC67BE">
          <w:pPr>
            <w:pStyle w:val="TM1"/>
            <w:rPr>
              <w:rFonts w:asciiTheme="minorHAnsi" w:eastAsiaTheme="minorEastAsia" w:hAnsiTheme="minorHAnsi" w:cstheme="minorBidi"/>
              <w:noProof/>
              <w:kern w:val="2"/>
              <w:sz w:val="22"/>
              <w:szCs w:val="22"/>
              <w:lang w:eastAsia="fr-CA"/>
              <w14:ligatures w14:val="standardContextual"/>
            </w:rPr>
          </w:pPr>
          <w:r w:rsidRPr="002F6CBB">
            <w:rPr>
              <w:lang w:val="en-CA"/>
            </w:rPr>
            <w:fldChar w:fldCharType="begin"/>
          </w:r>
          <w:r w:rsidRPr="002F6CBB">
            <w:rPr>
              <w:lang w:val="en-CA"/>
            </w:rPr>
            <w:instrText xml:space="preserve"> TOC \o "1-4" \h \z \u </w:instrText>
          </w:r>
          <w:r w:rsidRPr="002F6CBB">
            <w:rPr>
              <w:lang w:val="en-CA"/>
            </w:rPr>
            <w:fldChar w:fldCharType="separate"/>
          </w:r>
          <w:hyperlink w:anchor="_Toc183702200" w:history="1">
            <w:r w:rsidR="00EB55BF" w:rsidRPr="00671F92">
              <w:rPr>
                <w:rStyle w:val="Hyperlien"/>
                <w:noProof/>
                <w:lang w:val="en-CA"/>
              </w:rPr>
              <w:t>Issues</w:t>
            </w:r>
            <w:r w:rsidR="00EB55BF">
              <w:rPr>
                <w:noProof/>
                <w:webHidden/>
              </w:rPr>
              <w:tab/>
            </w:r>
            <w:r w:rsidR="00EB55BF">
              <w:rPr>
                <w:noProof/>
                <w:webHidden/>
              </w:rPr>
              <w:fldChar w:fldCharType="begin"/>
            </w:r>
            <w:r w:rsidR="00EB55BF">
              <w:rPr>
                <w:noProof/>
                <w:webHidden/>
              </w:rPr>
              <w:instrText xml:space="preserve"> PAGEREF _Toc183702200 \h </w:instrText>
            </w:r>
            <w:r w:rsidR="00EB55BF">
              <w:rPr>
                <w:noProof/>
                <w:webHidden/>
              </w:rPr>
            </w:r>
            <w:r w:rsidR="00EB55BF">
              <w:rPr>
                <w:noProof/>
                <w:webHidden/>
              </w:rPr>
              <w:fldChar w:fldCharType="separate"/>
            </w:r>
            <w:r w:rsidR="00EB55BF">
              <w:rPr>
                <w:noProof/>
                <w:webHidden/>
              </w:rPr>
              <w:t>3</w:t>
            </w:r>
            <w:r w:rsidR="00EB55BF">
              <w:rPr>
                <w:noProof/>
                <w:webHidden/>
              </w:rPr>
              <w:fldChar w:fldCharType="end"/>
            </w:r>
          </w:hyperlink>
        </w:p>
        <w:p w14:paraId="3EF05B45" w14:textId="1EEA0882" w:rsidR="00EB55BF" w:rsidRDefault="00000000">
          <w:pPr>
            <w:pStyle w:val="TM1"/>
            <w:rPr>
              <w:rFonts w:asciiTheme="minorHAnsi" w:eastAsiaTheme="minorEastAsia" w:hAnsiTheme="minorHAnsi" w:cstheme="minorBidi"/>
              <w:noProof/>
              <w:kern w:val="2"/>
              <w:sz w:val="22"/>
              <w:szCs w:val="22"/>
              <w:lang w:eastAsia="fr-CA"/>
              <w14:ligatures w14:val="standardContextual"/>
            </w:rPr>
          </w:pPr>
          <w:hyperlink w:anchor="_Toc183702201" w:history="1">
            <w:r w:rsidR="00EB55BF" w:rsidRPr="00671F92">
              <w:rPr>
                <w:rStyle w:val="Hyperlien"/>
                <w:noProof/>
                <w:lang w:val="en-CA"/>
              </w:rPr>
              <w:t>Background</w:t>
            </w:r>
            <w:r w:rsidR="00EB55BF">
              <w:rPr>
                <w:noProof/>
                <w:webHidden/>
              </w:rPr>
              <w:tab/>
            </w:r>
            <w:r w:rsidR="00EB55BF">
              <w:rPr>
                <w:noProof/>
                <w:webHidden/>
              </w:rPr>
              <w:fldChar w:fldCharType="begin"/>
            </w:r>
            <w:r w:rsidR="00EB55BF">
              <w:rPr>
                <w:noProof/>
                <w:webHidden/>
              </w:rPr>
              <w:instrText xml:space="preserve"> PAGEREF _Toc183702201 \h </w:instrText>
            </w:r>
            <w:r w:rsidR="00EB55BF">
              <w:rPr>
                <w:noProof/>
                <w:webHidden/>
              </w:rPr>
            </w:r>
            <w:r w:rsidR="00EB55BF">
              <w:rPr>
                <w:noProof/>
                <w:webHidden/>
              </w:rPr>
              <w:fldChar w:fldCharType="separate"/>
            </w:r>
            <w:r w:rsidR="00EB55BF">
              <w:rPr>
                <w:noProof/>
                <w:webHidden/>
              </w:rPr>
              <w:t>4</w:t>
            </w:r>
            <w:r w:rsidR="00EB55BF">
              <w:rPr>
                <w:noProof/>
                <w:webHidden/>
              </w:rPr>
              <w:fldChar w:fldCharType="end"/>
            </w:r>
          </w:hyperlink>
        </w:p>
        <w:p w14:paraId="25EA4EE5" w14:textId="3F943E59" w:rsidR="00EB55BF" w:rsidRDefault="00000000">
          <w:pPr>
            <w:pStyle w:val="TM1"/>
            <w:rPr>
              <w:rFonts w:asciiTheme="minorHAnsi" w:eastAsiaTheme="minorEastAsia" w:hAnsiTheme="minorHAnsi" w:cstheme="minorBidi"/>
              <w:noProof/>
              <w:kern w:val="2"/>
              <w:sz w:val="22"/>
              <w:szCs w:val="22"/>
              <w:lang w:eastAsia="fr-CA"/>
              <w14:ligatures w14:val="standardContextual"/>
            </w:rPr>
          </w:pPr>
          <w:hyperlink w:anchor="_Toc183702202" w:history="1">
            <w:r w:rsidR="00EB55BF" w:rsidRPr="00671F92">
              <w:rPr>
                <w:rStyle w:val="Hyperlien"/>
                <w:noProof/>
                <w:lang w:val="en-CA"/>
              </w:rPr>
              <w:t>Analysis</w:t>
            </w:r>
            <w:r w:rsidR="00EB55BF">
              <w:rPr>
                <w:noProof/>
                <w:webHidden/>
              </w:rPr>
              <w:tab/>
            </w:r>
            <w:r w:rsidR="00EB55BF">
              <w:rPr>
                <w:noProof/>
                <w:webHidden/>
              </w:rPr>
              <w:fldChar w:fldCharType="begin"/>
            </w:r>
            <w:r w:rsidR="00EB55BF">
              <w:rPr>
                <w:noProof/>
                <w:webHidden/>
              </w:rPr>
              <w:instrText xml:space="preserve"> PAGEREF _Toc183702202 \h </w:instrText>
            </w:r>
            <w:r w:rsidR="00EB55BF">
              <w:rPr>
                <w:noProof/>
                <w:webHidden/>
              </w:rPr>
            </w:r>
            <w:r w:rsidR="00EB55BF">
              <w:rPr>
                <w:noProof/>
                <w:webHidden/>
              </w:rPr>
              <w:fldChar w:fldCharType="separate"/>
            </w:r>
            <w:r w:rsidR="00EB55BF">
              <w:rPr>
                <w:noProof/>
                <w:webHidden/>
              </w:rPr>
              <w:t>6</w:t>
            </w:r>
            <w:r w:rsidR="00EB55BF">
              <w:rPr>
                <w:noProof/>
                <w:webHidden/>
              </w:rPr>
              <w:fldChar w:fldCharType="end"/>
            </w:r>
          </w:hyperlink>
        </w:p>
        <w:p w14:paraId="28E15F17" w14:textId="64120F14" w:rsidR="00EB55BF" w:rsidRDefault="00000000">
          <w:pPr>
            <w:pStyle w:val="TM2"/>
            <w:rPr>
              <w:rFonts w:asciiTheme="minorHAnsi" w:eastAsiaTheme="minorEastAsia" w:hAnsiTheme="minorHAnsi" w:cstheme="minorBidi"/>
              <w:b w:val="0"/>
              <w:bCs w:val="0"/>
              <w:kern w:val="2"/>
              <w:sz w:val="22"/>
              <w:szCs w:val="22"/>
              <w:lang w:eastAsia="fr-CA"/>
              <w14:ligatures w14:val="standardContextual"/>
            </w:rPr>
          </w:pPr>
          <w:hyperlink w:anchor="_Toc183702203" w:history="1">
            <w:r w:rsidR="00EB55BF" w:rsidRPr="00671F92">
              <w:rPr>
                <w:rStyle w:val="Hyperlien"/>
                <w:rFonts w:eastAsia="Calibri"/>
                <w:lang w:val="en-CA" w:eastAsia="en-US"/>
              </w:rPr>
              <w:t>Has the CDPDJ established that the police intervention involving Jonathan Woodley, while he was driving his wife’s car on September 19, 2018, was based, in whole or in part, on his race or colour combined with his sex and that, therefore, this intervention constituted discrimination by racial profiling?</w:t>
            </w:r>
            <w:r w:rsidR="00EB55BF">
              <w:rPr>
                <w:webHidden/>
              </w:rPr>
              <w:tab/>
            </w:r>
            <w:r w:rsidR="00EB55BF">
              <w:rPr>
                <w:webHidden/>
              </w:rPr>
              <w:fldChar w:fldCharType="begin"/>
            </w:r>
            <w:r w:rsidR="00EB55BF">
              <w:rPr>
                <w:webHidden/>
              </w:rPr>
              <w:instrText xml:space="preserve"> PAGEREF _Toc183702203 \h </w:instrText>
            </w:r>
            <w:r w:rsidR="00EB55BF">
              <w:rPr>
                <w:webHidden/>
              </w:rPr>
            </w:r>
            <w:r w:rsidR="00EB55BF">
              <w:rPr>
                <w:webHidden/>
              </w:rPr>
              <w:fldChar w:fldCharType="separate"/>
            </w:r>
            <w:r w:rsidR="00EB55BF">
              <w:rPr>
                <w:webHidden/>
              </w:rPr>
              <w:t>7</w:t>
            </w:r>
            <w:r w:rsidR="00EB55BF">
              <w:rPr>
                <w:webHidden/>
              </w:rPr>
              <w:fldChar w:fldCharType="end"/>
            </w:r>
          </w:hyperlink>
        </w:p>
        <w:p w14:paraId="6909BC29" w14:textId="4D2E7E34"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04" w:history="1">
            <w:r w:rsidR="00EB55BF" w:rsidRPr="00671F92">
              <w:rPr>
                <w:rStyle w:val="Hyperlien"/>
                <w:noProof/>
                <w:lang w:val="en-CA"/>
              </w:rPr>
              <w:t>a.</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Discrimination by racial profiling: principles and burden of proof</w:t>
            </w:r>
            <w:r w:rsidR="00EB55BF">
              <w:rPr>
                <w:noProof/>
                <w:webHidden/>
              </w:rPr>
              <w:tab/>
            </w:r>
            <w:r w:rsidR="00EB55BF">
              <w:rPr>
                <w:noProof/>
                <w:webHidden/>
              </w:rPr>
              <w:fldChar w:fldCharType="begin"/>
            </w:r>
            <w:r w:rsidR="00EB55BF">
              <w:rPr>
                <w:noProof/>
                <w:webHidden/>
              </w:rPr>
              <w:instrText xml:space="preserve"> PAGEREF _Toc183702204 \h </w:instrText>
            </w:r>
            <w:r w:rsidR="00EB55BF">
              <w:rPr>
                <w:noProof/>
                <w:webHidden/>
              </w:rPr>
            </w:r>
            <w:r w:rsidR="00EB55BF">
              <w:rPr>
                <w:noProof/>
                <w:webHidden/>
              </w:rPr>
              <w:fldChar w:fldCharType="separate"/>
            </w:r>
            <w:r w:rsidR="00EB55BF">
              <w:rPr>
                <w:noProof/>
                <w:webHidden/>
              </w:rPr>
              <w:t>7</w:t>
            </w:r>
            <w:r w:rsidR="00EB55BF">
              <w:rPr>
                <w:noProof/>
                <w:webHidden/>
              </w:rPr>
              <w:fldChar w:fldCharType="end"/>
            </w:r>
          </w:hyperlink>
        </w:p>
        <w:p w14:paraId="358463B0" w14:textId="2D18C947"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05" w:history="1">
            <w:r w:rsidR="00EB55BF" w:rsidRPr="00671F92">
              <w:rPr>
                <w:rStyle w:val="Hyperlien"/>
                <w:noProof/>
                <w:lang w:val="en-CA"/>
              </w:rPr>
              <w:t>b.</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Evidence</w:t>
            </w:r>
            <w:r w:rsidR="00EB55BF">
              <w:rPr>
                <w:noProof/>
                <w:webHidden/>
              </w:rPr>
              <w:tab/>
            </w:r>
            <w:r w:rsidR="00EB55BF">
              <w:rPr>
                <w:noProof/>
                <w:webHidden/>
              </w:rPr>
              <w:fldChar w:fldCharType="begin"/>
            </w:r>
            <w:r w:rsidR="00EB55BF">
              <w:rPr>
                <w:noProof/>
                <w:webHidden/>
              </w:rPr>
              <w:instrText xml:space="preserve"> PAGEREF _Toc183702205 \h </w:instrText>
            </w:r>
            <w:r w:rsidR="00EB55BF">
              <w:rPr>
                <w:noProof/>
                <w:webHidden/>
              </w:rPr>
            </w:r>
            <w:r w:rsidR="00EB55BF">
              <w:rPr>
                <w:noProof/>
                <w:webHidden/>
              </w:rPr>
              <w:fldChar w:fldCharType="separate"/>
            </w:r>
            <w:r w:rsidR="00EB55BF">
              <w:rPr>
                <w:noProof/>
                <w:webHidden/>
              </w:rPr>
              <w:t>14</w:t>
            </w:r>
            <w:r w:rsidR="00EB55BF">
              <w:rPr>
                <w:noProof/>
                <w:webHidden/>
              </w:rPr>
              <w:fldChar w:fldCharType="end"/>
            </w:r>
          </w:hyperlink>
        </w:p>
        <w:p w14:paraId="32F114E8" w14:textId="5A3451B1"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06" w:history="1">
            <w:r w:rsidR="00EB55BF" w:rsidRPr="00671F92">
              <w:rPr>
                <w:rStyle w:val="Hyperlien"/>
                <w:noProof/>
                <w:lang w:val="en-CA"/>
              </w:rPr>
              <w:t>c.</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Differential treatment</w:t>
            </w:r>
            <w:r w:rsidR="00EB55BF">
              <w:rPr>
                <w:noProof/>
                <w:webHidden/>
              </w:rPr>
              <w:tab/>
            </w:r>
            <w:r w:rsidR="00EB55BF">
              <w:rPr>
                <w:noProof/>
                <w:webHidden/>
              </w:rPr>
              <w:fldChar w:fldCharType="begin"/>
            </w:r>
            <w:r w:rsidR="00EB55BF">
              <w:rPr>
                <w:noProof/>
                <w:webHidden/>
              </w:rPr>
              <w:instrText xml:space="preserve"> PAGEREF _Toc183702206 \h </w:instrText>
            </w:r>
            <w:r w:rsidR="00EB55BF">
              <w:rPr>
                <w:noProof/>
                <w:webHidden/>
              </w:rPr>
            </w:r>
            <w:r w:rsidR="00EB55BF">
              <w:rPr>
                <w:noProof/>
                <w:webHidden/>
              </w:rPr>
              <w:fldChar w:fldCharType="separate"/>
            </w:r>
            <w:r w:rsidR="00EB55BF">
              <w:rPr>
                <w:noProof/>
                <w:webHidden/>
              </w:rPr>
              <w:t>15</w:t>
            </w:r>
            <w:r w:rsidR="00EB55BF">
              <w:rPr>
                <w:noProof/>
                <w:webHidden/>
              </w:rPr>
              <w:fldChar w:fldCharType="end"/>
            </w:r>
          </w:hyperlink>
        </w:p>
        <w:p w14:paraId="65BBC412" w14:textId="4D0EDD37"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07" w:history="1">
            <w:r w:rsidR="00EB55BF" w:rsidRPr="00671F92">
              <w:rPr>
                <w:rStyle w:val="Hyperlien"/>
                <w:noProof/>
                <w:lang w:val="en-CA"/>
              </w:rPr>
              <w:t>d.</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Connection to a prohibited ground of discrimination</w:t>
            </w:r>
            <w:r w:rsidR="00EB55BF">
              <w:rPr>
                <w:noProof/>
                <w:webHidden/>
              </w:rPr>
              <w:tab/>
            </w:r>
            <w:r w:rsidR="00EB55BF">
              <w:rPr>
                <w:noProof/>
                <w:webHidden/>
              </w:rPr>
              <w:fldChar w:fldCharType="begin"/>
            </w:r>
            <w:r w:rsidR="00EB55BF">
              <w:rPr>
                <w:noProof/>
                <w:webHidden/>
              </w:rPr>
              <w:instrText xml:space="preserve"> PAGEREF _Toc183702207 \h </w:instrText>
            </w:r>
            <w:r w:rsidR="00EB55BF">
              <w:rPr>
                <w:noProof/>
                <w:webHidden/>
              </w:rPr>
            </w:r>
            <w:r w:rsidR="00EB55BF">
              <w:rPr>
                <w:noProof/>
                <w:webHidden/>
              </w:rPr>
              <w:fldChar w:fldCharType="separate"/>
            </w:r>
            <w:r w:rsidR="00EB55BF">
              <w:rPr>
                <w:noProof/>
                <w:webHidden/>
              </w:rPr>
              <w:t>18</w:t>
            </w:r>
            <w:r w:rsidR="00EB55BF">
              <w:rPr>
                <w:noProof/>
                <w:webHidden/>
              </w:rPr>
              <w:fldChar w:fldCharType="end"/>
            </w:r>
          </w:hyperlink>
        </w:p>
        <w:p w14:paraId="6F5DE4CA" w14:textId="54A69E19" w:rsidR="00EB55BF" w:rsidRDefault="00000000">
          <w:pPr>
            <w:pStyle w:val="TM4"/>
            <w:tabs>
              <w:tab w:val="left" w:pos="110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08" w:history="1">
            <w:r w:rsidR="00EB55BF" w:rsidRPr="00671F92">
              <w:rPr>
                <w:rStyle w:val="Hyperlien"/>
                <w:bCs/>
                <w:noProof/>
                <w:lang w:val="en-CA"/>
              </w:rPr>
              <w:t>i.</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bCs/>
                <w:noProof/>
                <w:lang w:val="en-CA"/>
              </w:rPr>
              <w:t>Decision to investigate the complainant and change direction to intercept him</w:t>
            </w:r>
            <w:r w:rsidR="00EB55BF">
              <w:rPr>
                <w:noProof/>
                <w:webHidden/>
              </w:rPr>
              <w:tab/>
            </w:r>
            <w:r w:rsidR="00EB55BF">
              <w:rPr>
                <w:noProof/>
                <w:webHidden/>
              </w:rPr>
              <w:fldChar w:fldCharType="begin"/>
            </w:r>
            <w:r w:rsidR="00EB55BF">
              <w:rPr>
                <w:noProof/>
                <w:webHidden/>
              </w:rPr>
              <w:instrText xml:space="preserve"> PAGEREF _Toc183702208 \h </w:instrText>
            </w:r>
            <w:r w:rsidR="00EB55BF">
              <w:rPr>
                <w:noProof/>
                <w:webHidden/>
              </w:rPr>
            </w:r>
            <w:r w:rsidR="00EB55BF">
              <w:rPr>
                <w:noProof/>
                <w:webHidden/>
              </w:rPr>
              <w:fldChar w:fldCharType="separate"/>
            </w:r>
            <w:r w:rsidR="00EB55BF">
              <w:rPr>
                <w:noProof/>
                <w:webHidden/>
              </w:rPr>
              <w:t>18</w:t>
            </w:r>
            <w:r w:rsidR="00EB55BF">
              <w:rPr>
                <w:noProof/>
                <w:webHidden/>
              </w:rPr>
              <w:fldChar w:fldCharType="end"/>
            </w:r>
          </w:hyperlink>
        </w:p>
        <w:p w14:paraId="001F1C10" w14:textId="623C10BC" w:rsidR="00EB55BF" w:rsidRDefault="00000000">
          <w:pPr>
            <w:pStyle w:val="TM4"/>
            <w:tabs>
              <w:tab w:val="left" w:pos="132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09" w:history="1">
            <w:r w:rsidR="00EB55BF" w:rsidRPr="00671F92">
              <w:rPr>
                <w:rStyle w:val="Hyperlien"/>
                <w:noProof/>
                <w:lang w:val="en-CA"/>
              </w:rPr>
              <w:t>ii.</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Decision to alert the other patrol officers</w:t>
            </w:r>
            <w:r w:rsidR="00EB55BF">
              <w:rPr>
                <w:noProof/>
                <w:webHidden/>
              </w:rPr>
              <w:tab/>
            </w:r>
            <w:r w:rsidR="00EB55BF">
              <w:rPr>
                <w:noProof/>
                <w:webHidden/>
              </w:rPr>
              <w:fldChar w:fldCharType="begin"/>
            </w:r>
            <w:r w:rsidR="00EB55BF">
              <w:rPr>
                <w:noProof/>
                <w:webHidden/>
              </w:rPr>
              <w:instrText xml:space="preserve"> PAGEREF _Toc183702209 \h </w:instrText>
            </w:r>
            <w:r w:rsidR="00EB55BF">
              <w:rPr>
                <w:noProof/>
                <w:webHidden/>
              </w:rPr>
            </w:r>
            <w:r w:rsidR="00EB55BF">
              <w:rPr>
                <w:noProof/>
                <w:webHidden/>
              </w:rPr>
              <w:fldChar w:fldCharType="separate"/>
            </w:r>
            <w:r w:rsidR="00EB55BF">
              <w:rPr>
                <w:noProof/>
                <w:webHidden/>
              </w:rPr>
              <w:t>22</w:t>
            </w:r>
            <w:r w:rsidR="00EB55BF">
              <w:rPr>
                <w:noProof/>
                <w:webHidden/>
              </w:rPr>
              <w:fldChar w:fldCharType="end"/>
            </w:r>
          </w:hyperlink>
        </w:p>
        <w:p w14:paraId="44843CE5" w14:textId="6E3E0B20" w:rsidR="00EB55BF" w:rsidRDefault="00000000">
          <w:pPr>
            <w:pStyle w:val="TM4"/>
            <w:tabs>
              <w:tab w:val="left" w:pos="132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10" w:history="1">
            <w:r w:rsidR="00EB55BF" w:rsidRPr="00671F92">
              <w:rPr>
                <w:rStyle w:val="Hyperlien"/>
                <w:bCs/>
                <w:noProof/>
                <w:lang w:val="en-CA"/>
              </w:rPr>
              <w:t>iii.</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bCs/>
                <w:noProof/>
                <w:lang w:val="en-CA"/>
              </w:rPr>
              <w:t>Arbitrary detention and verification of police and criminal records</w:t>
            </w:r>
            <w:r w:rsidR="00EB55BF">
              <w:rPr>
                <w:noProof/>
                <w:webHidden/>
              </w:rPr>
              <w:tab/>
            </w:r>
            <w:r w:rsidR="00EB55BF">
              <w:rPr>
                <w:noProof/>
                <w:webHidden/>
              </w:rPr>
              <w:fldChar w:fldCharType="begin"/>
            </w:r>
            <w:r w:rsidR="00EB55BF">
              <w:rPr>
                <w:noProof/>
                <w:webHidden/>
              </w:rPr>
              <w:instrText xml:space="preserve"> PAGEREF _Toc183702210 \h </w:instrText>
            </w:r>
            <w:r w:rsidR="00EB55BF">
              <w:rPr>
                <w:noProof/>
                <w:webHidden/>
              </w:rPr>
            </w:r>
            <w:r w:rsidR="00EB55BF">
              <w:rPr>
                <w:noProof/>
                <w:webHidden/>
              </w:rPr>
              <w:fldChar w:fldCharType="separate"/>
            </w:r>
            <w:r w:rsidR="00EB55BF">
              <w:rPr>
                <w:noProof/>
                <w:webHidden/>
              </w:rPr>
              <w:t>23</w:t>
            </w:r>
            <w:r w:rsidR="00EB55BF">
              <w:rPr>
                <w:noProof/>
                <w:webHidden/>
              </w:rPr>
              <w:fldChar w:fldCharType="end"/>
            </w:r>
          </w:hyperlink>
        </w:p>
        <w:p w14:paraId="2021080B" w14:textId="14F5F4C1" w:rsidR="00EB55BF" w:rsidRDefault="00000000">
          <w:pPr>
            <w:pStyle w:val="TM4"/>
            <w:tabs>
              <w:tab w:val="left" w:pos="132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11" w:history="1">
            <w:r w:rsidR="00EB55BF" w:rsidRPr="00671F92">
              <w:rPr>
                <w:rStyle w:val="Hyperlien"/>
                <w:bCs/>
                <w:noProof/>
                <w:lang w:val="en-CA"/>
              </w:rPr>
              <w:t>iv.</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bCs/>
                <w:noProof/>
                <w:lang w:val="en-CA"/>
              </w:rPr>
              <w:t>The two statements of offence</w:t>
            </w:r>
            <w:r w:rsidR="00EB55BF">
              <w:rPr>
                <w:noProof/>
                <w:webHidden/>
              </w:rPr>
              <w:tab/>
            </w:r>
            <w:r w:rsidR="00EB55BF">
              <w:rPr>
                <w:noProof/>
                <w:webHidden/>
              </w:rPr>
              <w:fldChar w:fldCharType="begin"/>
            </w:r>
            <w:r w:rsidR="00EB55BF">
              <w:rPr>
                <w:noProof/>
                <w:webHidden/>
              </w:rPr>
              <w:instrText xml:space="preserve"> PAGEREF _Toc183702211 \h </w:instrText>
            </w:r>
            <w:r w:rsidR="00EB55BF">
              <w:rPr>
                <w:noProof/>
                <w:webHidden/>
              </w:rPr>
            </w:r>
            <w:r w:rsidR="00EB55BF">
              <w:rPr>
                <w:noProof/>
                <w:webHidden/>
              </w:rPr>
              <w:fldChar w:fldCharType="separate"/>
            </w:r>
            <w:r w:rsidR="00EB55BF">
              <w:rPr>
                <w:noProof/>
                <w:webHidden/>
              </w:rPr>
              <w:t>24</w:t>
            </w:r>
            <w:r w:rsidR="00EB55BF">
              <w:rPr>
                <w:noProof/>
                <w:webHidden/>
              </w:rPr>
              <w:fldChar w:fldCharType="end"/>
            </w:r>
          </w:hyperlink>
        </w:p>
        <w:p w14:paraId="2E3E509C" w14:textId="02936638"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12" w:history="1">
            <w:r w:rsidR="00EB55BF" w:rsidRPr="00671F92">
              <w:rPr>
                <w:rStyle w:val="Hyperlien"/>
                <w:noProof/>
                <w:lang w:val="en-CA"/>
              </w:rPr>
              <w:t>e.</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Prejudicial differential treatment in the exercise of a guaranteed right</w:t>
            </w:r>
            <w:r w:rsidR="00EB55BF">
              <w:rPr>
                <w:noProof/>
                <w:webHidden/>
              </w:rPr>
              <w:tab/>
            </w:r>
            <w:r w:rsidR="00EB55BF">
              <w:rPr>
                <w:noProof/>
                <w:webHidden/>
              </w:rPr>
              <w:fldChar w:fldCharType="begin"/>
            </w:r>
            <w:r w:rsidR="00EB55BF">
              <w:rPr>
                <w:noProof/>
                <w:webHidden/>
              </w:rPr>
              <w:instrText xml:space="preserve"> PAGEREF _Toc183702212 \h </w:instrText>
            </w:r>
            <w:r w:rsidR="00EB55BF">
              <w:rPr>
                <w:noProof/>
                <w:webHidden/>
              </w:rPr>
            </w:r>
            <w:r w:rsidR="00EB55BF">
              <w:rPr>
                <w:noProof/>
                <w:webHidden/>
              </w:rPr>
              <w:fldChar w:fldCharType="separate"/>
            </w:r>
            <w:r w:rsidR="00EB55BF">
              <w:rPr>
                <w:noProof/>
                <w:webHidden/>
              </w:rPr>
              <w:t>29</w:t>
            </w:r>
            <w:r w:rsidR="00EB55BF">
              <w:rPr>
                <w:noProof/>
                <w:webHidden/>
              </w:rPr>
              <w:fldChar w:fldCharType="end"/>
            </w:r>
          </w:hyperlink>
        </w:p>
        <w:p w14:paraId="27A73682" w14:textId="345BC2A0" w:rsidR="00EB55BF" w:rsidRDefault="00000000">
          <w:pPr>
            <w:pStyle w:val="TM4"/>
            <w:tabs>
              <w:tab w:val="left" w:pos="110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13" w:history="1">
            <w:r w:rsidR="00EB55BF" w:rsidRPr="00671F92">
              <w:rPr>
                <w:rStyle w:val="Hyperlien"/>
                <w:noProof/>
                <w:lang w:val="en-CA"/>
              </w:rPr>
              <w:t>i.</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Violation of equality and the right to the safeguard of his dignity</w:t>
            </w:r>
            <w:r w:rsidR="00EB55BF">
              <w:rPr>
                <w:noProof/>
                <w:webHidden/>
              </w:rPr>
              <w:tab/>
            </w:r>
            <w:r w:rsidR="00EB55BF">
              <w:rPr>
                <w:noProof/>
                <w:webHidden/>
              </w:rPr>
              <w:fldChar w:fldCharType="begin"/>
            </w:r>
            <w:r w:rsidR="00EB55BF">
              <w:rPr>
                <w:noProof/>
                <w:webHidden/>
              </w:rPr>
              <w:instrText xml:space="preserve"> PAGEREF _Toc183702213 \h </w:instrText>
            </w:r>
            <w:r w:rsidR="00EB55BF">
              <w:rPr>
                <w:noProof/>
                <w:webHidden/>
              </w:rPr>
            </w:r>
            <w:r w:rsidR="00EB55BF">
              <w:rPr>
                <w:noProof/>
                <w:webHidden/>
              </w:rPr>
              <w:fldChar w:fldCharType="separate"/>
            </w:r>
            <w:r w:rsidR="00EB55BF">
              <w:rPr>
                <w:noProof/>
                <w:webHidden/>
              </w:rPr>
              <w:t>30</w:t>
            </w:r>
            <w:r w:rsidR="00EB55BF">
              <w:rPr>
                <w:noProof/>
                <w:webHidden/>
              </w:rPr>
              <w:fldChar w:fldCharType="end"/>
            </w:r>
          </w:hyperlink>
        </w:p>
        <w:p w14:paraId="54E2D7CA" w14:textId="63CE1B4B" w:rsidR="00EB55BF" w:rsidRDefault="00000000">
          <w:pPr>
            <w:pStyle w:val="TM4"/>
            <w:tabs>
              <w:tab w:val="left" w:pos="132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14" w:history="1">
            <w:r w:rsidR="00EB55BF" w:rsidRPr="00671F92">
              <w:rPr>
                <w:rStyle w:val="Hyperlien"/>
                <w:bCs/>
                <w:noProof/>
                <w:lang w:val="en-CA"/>
              </w:rPr>
              <w:t>ii.</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bCs/>
                <w:noProof/>
                <w:lang w:val="en-CA"/>
              </w:rPr>
              <w:t>Violation of equality and the right to services ordinarily offered to the public without discrimination</w:t>
            </w:r>
            <w:r w:rsidR="00EB55BF">
              <w:rPr>
                <w:noProof/>
                <w:webHidden/>
              </w:rPr>
              <w:tab/>
            </w:r>
            <w:r w:rsidR="00EB55BF">
              <w:rPr>
                <w:noProof/>
                <w:webHidden/>
              </w:rPr>
              <w:fldChar w:fldCharType="begin"/>
            </w:r>
            <w:r w:rsidR="00EB55BF">
              <w:rPr>
                <w:noProof/>
                <w:webHidden/>
              </w:rPr>
              <w:instrText xml:space="preserve"> PAGEREF _Toc183702214 \h </w:instrText>
            </w:r>
            <w:r w:rsidR="00EB55BF">
              <w:rPr>
                <w:noProof/>
                <w:webHidden/>
              </w:rPr>
            </w:r>
            <w:r w:rsidR="00EB55BF">
              <w:rPr>
                <w:noProof/>
                <w:webHidden/>
              </w:rPr>
              <w:fldChar w:fldCharType="separate"/>
            </w:r>
            <w:r w:rsidR="00EB55BF">
              <w:rPr>
                <w:noProof/>
                <w:webHidden/>
              </w:rPr>
              <w:t>31</w:t>
            </w:r>
            <w:r w:rsidR="00EB55BF">
              <w:rPr>
                <w:noProof/>
                <w:webHidden/>
              </w:rPr>
              <w:fldChar w:fldCharType="end"/>
            </w:r>
          </w:hyperlink>
        </w:p>
        <w:p w14:paraId="1D7D53ED" w14:textId="625643AE" w:rsidR="00EB55BF" w:rsidRDefault="00000000">
          <w:pPr>
            <w:pStyle w:val="TM4"/>
            <w:tabs>
              <w:tab w:val="left" w:pos="132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15" w:history="1">
            <w:r w:rsidR="00EB55BF" w:rsidRPr="00671F92">
              <w:rPr>
                <w:rStyle w:val="Hyperlien"/>
                <w:bCs/>
                <w:noProof/>
                <w:lang w:val="en-CA"/>
              </w:rPr>
              <w:t>iii.</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bCs/>
                <w:noProof/>
                <w:lang w:val="en-CA"/>
              </w:rPr>
              <w:t>Violation of equality and the right not to be deprived of his liberty or his rights</w:t>
            </w:r>
            <w:r w:rsidR="00EB55BF">
              <w:rPr>
                <w:noProof/>
                <w:webHidden/>
              </w:rPr>
              <w:tab/>
            </w:r>
            <w:r w:rsidR="00EB55BF">
              <w:rPr>
                <w:noProof/>
                <w:webHidden/>
              </w:rPr>
              <w:fldChar w:fldCharType="begin"/>
            </w:r>
            <w:r w:rsidR="00EB55BF">
              <w:rPr>
                <w:noProof/>
                <w:webHidden/>
              </w:rPr>
              <w:instrText xml:space="preserve"> PAGEREF _Toc183702215 \h </w:instrText>
            </w:r>
            <w:r w:rsidR="00EB55BF">
              <w:rPr>
                <w:noProof/>
                <w:webHidden/>
              </w:rPr>
            </w:r>
            <w:r w:rsidR="00EB55BF">
              <w:rPr>
                <w:noProof/>
                <w:webHidden/>
              </w:rPr>
              <w:fldChar w:fldCharType="separate"/>
            </w:r>
            <w:r w:rsidR="00EB55BF">
              <w:rPr>
                <w:noProof/>
                <w:webHidden/>
              </w:rPr>
              <w:t>32</w:t>
            </w:r>
            <w:r w:rsidR="00EB55BF">
              <w:rPr>
                <w:noProof/>
                <w:webHidden/>
              </w:rPr>
              <w:fldChar w:fldCharType="end"/>
            </w:r>
          </w:hyperlink>
        </w:p>
        <w:p w14:paraId="6C096205" w14:textId="5D13ED94" w:rsidR="00EB55BF" w:rsidRDefault="00000000">
          <w:pPr>
            <w:pStyle w:val="TM4"/>
            <w:tabs>
              <w:tab w:val="left" w:pos="1320"/>
              <w:tab w:val="right" w:leader="dot" w:pos="9352"/>
            </w:tabs>
            <w:rPr>
              <w:rFonts w:asciiTheme="minorHAnsi" w:eastAsiaTheme="minorEastAsia" w:hAnsiTheme="minorHAnsi" w:cstheme="minorBidi"/>
              <w:noProof/>
              <w:kern w:val="2"/>
              <w:sz w:val="22"/>
              <w:szCs w:val="22"/>
              <w:lang w:eastAsia="fr-CA"/>
              <w14:ligatures w14:val="standardContextual"/>
            </w:rPr>
          </w:pPr>
          <w:hyperlink w:anchor="_Toc183702216" w:history="1">
            <w:r w:rsidR="00EB55BF" w:rsidRPr="00671F92">
              <w:rPr>
                <w:rStyle w:val="Hyperlien"/>
                <w:bCs/>
                <w:noProof/>
                <w:lang w:val="en-CA"/>
              </w:rPr>
              <w:t>iv.</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bCs/>
                <w:noProof/>
                <w:lang w:val="en-CA"/>
              </w:rPr>
              <w:t>Violation of equality and protection against unreasonable searches</w:t>
            </w:r>
            <w:r w:rsidR="00EB55BF">
              <w:rPr>
                <w:noProof/>
                <w:webHidden/>
              </w:rPr>
              <w:tab/>
            </w:r>
            <w:r w:rsidR="00EB55BF">
              <w:rPr>
                <w:noProof/>
                <w:webHidden/>
              </w:rPr>
              <w:fldChar w:fldCharType="begin"/>
            </w:r>
            <w:r w:rsidR="00EB55BF">
              <w:rPr>
                <w:noProof/>
                <w:webHidden/>
              </w:rPr>
              <w:instrText xml:space="preserve"> PAGEREF _Toc183702216 \h </w:instrText>
            </w:r>
            <w:r w:rsidR="00EB55BF">
              <w:rPr>
                <w:noProof/>
                <w:webHidden/>
              </w:rPr>
            </w:r>
            <w:r w:rsidR="00EB55BF">
              <w:rPr>
                <w:noProof/>
                <w:webHidden/>
              </w:rPr>
              <w:fldChar w:fldCharType="separate"/>
            </w:r>
            <w:r w:rsidR="00EB55BF">
              <w:rPr>
                <w:noProof/>
                <w:webHidden/>
              </w:rPr>
              <w:t>32</w:t>
            </w:r>
            <w:r w:rsidR="00EB55BF">
              <w:rPr>
                <w:noProof/>
                <w:webHidden/>
              </w:rPr>
              <w:fldChar w:fldCharType="end"/>
            </w:r>
          </w:hyperlink>
        </w:p>
        <w:p w14:paraId="3F023920" w14:textId="1CC1DFF7" w:rsidR="00EB55BF" w:rsidRDefault="00000000">
          <w:pPr>
            <w:pStyle w:val="TM2"/>
            <w:rPr>
              <w:rFonts w:asciiTheme="minorHAnsi" w:eastAsiaTheme="minorEastAsia" w:hAnsiTheme="minorHAnsi" w:cstheme="minorBidi"/>
              <w:b w:val="0"/>
              <w:bCs w:val="0"/>
              <w:kern w:val="2"/>
              <w:sz w:val="22"/>
              <w:szCs w:val="22"/>
              <w:lang w:eastAsia="fr-CA"/>
              <w14:ligatures w14:val="standardContextual"/>
            </w:rPr>
          </w:pPr>
          <w:hyperlink w:anchor="_Toc183702217" w:history="1">
            <w:r w:rsidR="00EB55BF" w:rsidRPr="00671F92">
              <w:rPr>
                <w:rStyle w:val="Hyperlien"/>
                <w:rFonts w:eastAsia="Calibri"/>
                <w:lang w:val="en-CA" w:eastAsia="en-US"/>
              </w:rPr>
              <w:t>What monetary compensation is justified and what public interest orders are required in the circumstances?</w:t>
            </w:r>
            <w:r w:rsidR="00EB55BF">
              <w:rPr>
                <w:webHidden/>
              </w:rPr>
              <w:tab/>
            </w:r>
            <w:r w:rsidR="00EB55BF">
              <w:rPr>
                <w:webHidden/>
              </w:rPr>
              <w:fldChar w:fldCharType="begin"/>
            </w:r>
            <w:r w:rsidR="00EB55BF">
              <w:rPr>
                <w:webHidden/>
              </w:rPr>
              <w:instrText xml:space="preserve"> PAGEREF _Toc183702217 \h </w:instrText>
            </w:r>
            <w:r w:rsidR="00EB55BF">
              <w:rPr>
                <w:webHidden/>
              </w:rPr>
            </w:r>
            <w:r w:rsidR="00EB55BF">
              <w:rPr>
                <w:webHidden/>
              </w:rPr>
              <w:fldChar w:fldCharType="separate"/>
            </w:r>
            <w:r w:rsidR="00EB55BF">
              <w:rPr>
                <w:webHidden/>
              </w:rPr>
              <w:t>33</w:t>
            </w:r>
            <w:r w:rsidR="00EB55BF">
              <w:rPr>
                <w:webHidden/>
              </w:rPr>
              <w:fldChar w:fldCharType="end"/>
            </w:r>
          </w:hyperlink>
        </w:p>
        <w:p w14:paraId="53565C43" w14:textId="6EA5E050"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18" w:history="1">
            <w:r w:rsidR="00EB55BF" w:rsidRPr="00671F92">
              <w:rPr>
                <w:rStyle w:val="Hyperlien"/>
                <w:noProof/>
                <w:lang w:val="en-CA"/>
              </w:rPr>
              <w:t>a.</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Moral prejudice</w:t>
            </w:r>
            <w:r w:rsidR="00EB55BF">
              <w:rPr>
                <w:noProof/>
                <w:webHidden/>
              </w:rPr>
              <w:tab/>
            </w:r>
            <w:r w:rsidR="00EB55BF">
              <w:rPr>
                <w:noProof/>
                <w:webHidden/>
              </w:rPr>
              <w:fldChar w:fldCharType="begin"/>
            </w:r>
            <w:r w:rsidR="00EB55BF">
              <w:rPr>
                <w:noProof/>
                <w:webHidden/>
              </w:rPr>
              <w:instrText xml:space="preserve"> PAGEREF _Toc183702218 \h </w:instrText>
            </w:r>
            <w:r w:rsidR="00EB55BF">
              <w:rPr>
                <w:noProof/>
                <w:webHidden/>
              </w:rPr>
            </w:r>
            <w:r w:rsidR="00EB55BF">
              <w:rPr>
                <w:noProof/>
                <w:webHidden/>
              </w:rPr>
              <w:fldChar w:fldCharType="separate"/>
            </w:r>
            <w:r w:rsidR="00EB55BF">
              <w:rPr>
                <w:noProof/>
                <w:webHidden/>
              </w:rPr>
              <w:t>33</w:t>
            </w:r>
            <w:r w:rsidR="00EB55BF">
              <w:rPr>
                <w:noProof/>
                <w:webHidden/>
              </w:rPr>
              <w:fldChar w:fldCharType="end"/>
            </w:r>
          </w:hyperlink>
        </w:p>
        <w:p w14:paraId="331E55CD" w14:textId="47378C16"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19" w:history="1">
            <w:r w:rsidR="00EB55BF" w:rsidRPr="00671F92">
              <w:rPr>
                <w:rStyle w:val="Hyperlien"/>
                <w:noProof/>
                <w:lang w:val="en-CA"/>
              </w:rPr>
              <w:t>b.</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Punitive damages</w:t>
            </w:r>
            <w:r w:rsidR="00EB55BF">
              <w:rPr>
                <w:noProof/>
                <w:webHidden/>
              </w:rPr>
              <w:tab/>
            </w:r>
            <w:r w:rsidR="00EB55BF">
              <w:rPr>
                <w:noProof/>
                <w:webHidden/>
              </w:rPr>
              <w:fldChar w:fldCharType="begin"/>
            </w:r>
            <w:r w:rsidR="00EB55BF">
              <w:rPr>
                <w:noProof/>
                <w:webHidden/>
              </w:rPr>
              <w:instrText xml:space="preserve"> PAGEREF _Toc183702219 \h </w:instrText>
            </w:r>
            <w:r w:rsidR="00EB55BF">
              <w:rPr>
                <w:noProof/>
                <w:webHidden/>
              </w:rPr>
            </w:r>
            <w:r w:rsidR="00EB55BF">
              <w:rPr>
                <w:noProof/>
                <w:webHidden/>
              </w:rPr>
              <w:fldChar w:fldCharType="separate"/>
            </w:r>
            <w:r w:rsidR="00EB55BF">
              <w:rPr>
                <w:noProof/>
                <w:webHidden/>
              </w:rPr>
              <w:t>38</w:t>
            </w:r>
            <w:r w:rsidR="00EB55BF">
              <w:rPr>
                <w:noProof/>
                <w:webHidden/>
              </w:rPr>
              <w:fldChar w:fldCharType="end"/>
            </w:r>
          </w:hyperlink>
        </w:p>
        <w:p w14:paraId="2DCE5CAF" w14:textId="70A24D46" w:rsidR="00EB55BF" w:rsidRDefault="00000000">
          <w:pPr>
            <w:pStyle w:val="TM3"/>
            <w:rPr>
              <w:rFonts w:asciiTheme="minorHAnsi" w:eastAsiaTheme="minorEastAsia" w:hAnsiTheme="minorHAnsi" w:cstheme="minorBidi"/>
              <w:noProof/>
              <w:kern w:val="2"/>
              <w:sz w:val="22"/>
              <w:szCs w:val="22"/>
              <w:lang w:eastAsia="fr-CA"/>
              <w14:ligatures w14:val="standardContextual"/>
            </w:rPr>
          </w:pPr>
          <w:hyperlink w:anchor="_Toc183702220" w:history="1">
            <w:r w:rsidR="00EB55BF" w:rsidRPr="00671F92">
              <w:rPr>
                <w:rStyle w:val="Hyperlien"/>
                <w:noProof/>
                <w:lang w:val="en-CA"/>
              </w:rPr>
              <w:t>c.</w:t>
            </w:r>
            <w:r w:rsidR="00EB55BF">
              <w:rPr>
                <w:rFonts w:asciiTheme="minorHAnsi" w:eastAsiaTheme="minorEastAsia" w:hAnsiTheme="minorHAnsi" w:cstheme="minorBidi"/>
                <w:noProof/>
                <w:kern w:val="2"/>
                <w:sz w:val="22"/>
                <w:szCs w:val="22"/>
                <w:lang w:eastAsia="fr-CA"/>
                <w14:ligatures w14:val="standardContextual"/>
              </w:rPr>
              <w:tab/>
            </w:r>
            <w:r w:rsidR="00EB55BF" w:rsidRPr="00671F92">
              <w:rPr>
                <w:rStyle w:val="Hyperlien"/>
                <w:noProof/>
                <w:lang w:val="en-CA"/>
              </w:rPr>
              <w:t>Public interest measures</w:t>
            </w:r>
            <w:r w:rsidR="00EB55BF">
              <w:rPr>
                <w:noProof/>
                <w:webHidden/>
              </w:rPr>
              <w:tab/>
            </w:r>
            <w:r w:rsidR="00EB55BF">
              <w:rPr>
                <w:noProof/>
                <w:webHidden/>
              </w:rPr>
              <w:fldChar w:fldCharType="begin"/>
            </w:r>
            <w:r w:rsidR="00EB55BF">
              <w:rPr>
                <w:noProof/>
                <w:webHidden/>
              </w:rPr>
              <w:instrText xml:space="preserve"> PAGEREF _Toc183702220 \h </w:instrText>
            </w:r>
            <w:r w:rsidR="00EB55BF">
              <w:rPr>
                <w:noProof/>
                <w:webHidden/>
              </w:rPr>
            </w:r>
            <w:r w:rsidR="00EB55BF">
              <w:rPr>
                <w:noProof/>
                <w:webHidden/>
              </w:rPr>
              <w:fldChar w:fldCharType="separate"/>
            </w:r>
            <w:r w:rsidR="00EB55BF">
              <w:rPr>
                <w:noProof/>
                <w:webHidden/>
              </w:rPr>
              <w:t>40</w:t>
            </w:r>
            <w:r w:rsidR="00EB55BF">
              <w:rPr>
                <w:noProof/>
                <w:webHidden/>
              </w:rPr>
              <w:fldChar w:fldCharType="end"/>
            </w:r>
          </w:hyperlink>
        </w:p>
        <w:p w14:paraId="3113DB11" w14:textId="6669D7DD" w:rsidR="00D42507" w:rsidRPr="002F6CBB" w:rsidRDefault="00BC67BE">
          <w:pPr>
            <w:rPr>
              <w:lang w:val="en-CA"/>
            </w:rPr>
          </w:pPr>
          <w:r w:rsidRPr="002F6CBB">
            <w:rPr>
              <w:lang w:val="en-CA"/>
            </w:rPr>
            <w:fldChar w:fldCharType="end"/>
          </w:r>
        </w:p>
        <w:p w14:paraId="61C7E594" w14:textId="71A88BCF" w:rsidR="005A25C1" w:rsidRDefault="00000000">
          <w:pPr>
            <w:rPr>
              <w:b/>
              <w:bCs/>
              <w:lang w:val="en-CA"/>
            </w:rPr>
          </w:pPr>
        </w:p>
      </w:sdtContent>
    </w:sdt>
    <w:p w14:paraId="6A087BC8" w14:textId="77777777" w:rsidR="005A25C1" w:rsidRDefault="005A25C1">
      <w:pPr>
        <w:rPr>
          <w:b/>
          <w:bCs/>
          <w:lang w:val="en-CA"/>
        </w:rPr>
      </w:pPr>
      <w:r>
        <w:rPr>
          <w:b/>
          <w:bCs/>
          <w:lang w:val="en-CA"/>
        </w:rPr>
        <w:br w:type="page"/>
      </w:r>
    </w:p>
    <w:p w14:paraId="4CBF46C4" w14:textId="19C5F3CE" w:rsidR="005648FE" w:rsidRPr="005A25C1" w:rsidRDefault="005A25C1" w:rsidP="00185A28">
      <w:pPr>
        <w:pStyle w:val="Paragraphe"/>
        <w:rPr>
          <w:lang w:val="en-CA"/>
        </w:rPr>
      </w:pPr>
      <w:r w:rsidRPr="005A25C1">
        <w:rPr>
          <w:lang w:val="en-CA"/>
        </w:rPr>
        <w:lastRenderedPageBreak/>
        <w:t xml:space="preserve">The </w:t>
      </w:r>
      <w:r w:rsidR="000F209C" w:rsidRPr="005A25C1">
        <w:rPr>
          <w:lang w:val="en-CA"/>
        </w:rPr>
        <w:t>C</w:t>
      </w:r>
      <w:r w:rsidRPr="005A25C1">
        <w:rPr>
          <w:lang w:val="en-CA"/>
        </w:rPr>
        <w:t>ommission des droits de la personne</w:t>
      </w:r>
      <w:r w:rsidR="000F209C" w:rsidRPr="005A25C1">
        <w:rPr>
          <w:lang w:val="en-CA"/>
        </w:rPr>
        <w:t xml:space="preserve"> </w:t>
      </w:r>
      <w:r w:rsidRPr="005A25C1">
        <w:rPr>
          <w:lang w:val="en-CA"/>
        </w:rPr>
        <w:t>et des droits de la jeunesse</w:t>
      </w:r>
      <w:r w:rsidR="000F209C" w:rsidRPr="005A25C1">
        <w:rPr>
          <w:lang w:val="en-CA"/>
        </w:rPr>
        <w:t xml:space="preserve"> (CDPDJ) </w:t>
      </w:r>
      <w:r w:rsidRPr="005A25C1">
        <w:rPr>
          <w:lang w:val="en-CA"/>
        </w:rPr>
        <w:t>i</w:t>
      </w:r>
      <w:r>
        <w:rPr>
          <w:lang w:val="en-CA"/>
        </w:rPr>
        <w:t xml:space="preserve">s </w:t>
      </w:r>
      <w:r w:rsidR="000F209C" w:rsidRPr="005A25C1">
        <w:rPr>
          <w:lang w:val="en-CA"/>
        </w:rPr>
        <w:t>acting in the public interest and on behalf of the alleged victim and complainant, Jonathan Woodley.</w:t>
      </w:r>
    </w:p>
    <w:p w14:paraId="610AAB89" w14:textId="659429BE" w:rsidR="005648FE" w:rsidRPr="002F6CBB" w:rsidRDefault="000F209C" w:rsidP="00185A28">
      <w:pPr>
        <w:pStyle w:val="Paragraphe"/>
        <w:rPr>
          <w:lang w:val="en-CA"/>
        </w:rPr>
      </w:pPr>
      <w:r w:rsidRPr="002F6CBB">
        <w:rPr>
          <w:lang w:val="en-CA"/>
        </w:rPr>
        <w:t xml:space="preserve">The CDPDJ argues that the defendants, Caroline </w:t>
      </w:r>
      <w:proofErr w:type="spellStart"/>
      <w:r w:rsidRPr="002F6CBB">
        <w:rPr>
          <w:lang w:val="en-CA"/>
        </w:rPr>
        <w:t>Beaulac</w:t>
      </w:r>
      <w:proofErr w:type="spellEnd"/>
      <w:r w:rsidRPr="002F6CBB">
        <w:rPr>
          <w:lang w:val="en-CA"/>
        </w:rPr>
        <w:t xml:space="preserve"> and Jessica Lamothe, police officers with the Service de police de la Ville de Laval (SPL), racially profiled Mr.</w:t>
      </w:r>
      <w:r w:rsidR="00D02E03">
        <w:rPr>
          <w:lang w:val="en-CA"/>
        </w:rPr>
        <w:t> </w:t>
      </w:r>
      <w:r w:rsidRPr="002F6CBB">
        <w:rPr>
          <w:lang w:val="en-CA"/>
        </w:rPr>
        <w:t xml:space="preserve">Woodley when they </w:t>
      </w:r>
      <w:r w:rsidR="003665C9">
        <w:rPr>
          <w:lang w:val="en-CA"/>
        </w:rPr>
        <w:t xml:space="preserve">intercepted </w:t>
      </w:r>
      <w:r w:rsidRPr="002F6CBB">
        <w:rPr>
          <w:lang w:val="en-CA"/>
        </w:rPr>
        <w:t xml:space="preserve">him on September 19, 2018, thereby </w:t>
      </w:r>
      <w:r w:rsidR="009B3001">
        <w:rPr>
          <w:lang w:val="en-CA"/>
        </w:rPr>
        <w:t>impairing</w:t>
      </w:r>
      <w:r w:rsidRPr="002F6CBB">
        <w:rPr>
          <w:lang w:val="en-CA"/>
        </w:rPr>
        <w:t xml:space="preserve"> his right to the equal exercise of his rights to the safeguard of his dignity, not </w:t>
      </w:r>
      <w:r w:rsidR="009B3001" w:rsidRPr="002F6CBB">
        <w:rPr>
          <w:lang w:val="en-CA"/>
        </w:rPr>
        <w:t xml:space="preserve">to </w:t>
      </w:r>
      <w:r w:rsidRPr="002F6CBB">
        <w:rPr>
          <w:lang w:val="en-CA"/>
        </w:rPr>
        <w:t xml:space="preserve">be deprived of his liberty, not </w:t>
      </w:r>
      <w:r w:rsidR="009B3001" w:rsidRPr="002F6CBB">
        <w:rPr>
          <w:lang w:val="en-CA"/>
        </w:rPr>
        <w:t xml:space="preserve">to </w:t>
      </w:r>
      <w:r w:rsidRPr="002F6CBB">
        <w:rPr>
          <w:lang w:val="en-CA"/>
        </w:rPr>
        <w:t>be subject to an unreasonable search</w:t>
      </w:r>
      <w:r w:rsidR="005A25C1">
        <w:rPr>
          <w:lang w:val="en-CA"/>
        </w:rPr>
        <w:t>,</w:t>
      </w:r>
      <w:r w:rsidRPr="002F6CBB">
        <w:rPr>
          <w:lang w:val="en-CA"/>
        </w:rPr>
        <w:t xml:space="preserve"> and to receive service</w:t>
      </w:r>
      <w:r w:rsidR="009B3001">
        <w:rPr>
          <w:lang w:val="en-CA"/>
        </w:rPr>
        <w:t>s</w:t>
      </w:r>
      <w:r w:rsidRPr="002F6CBB">
        <w:rPr>
          <w:lang w:val="en-CA"/>
        </w:rPr>
        <w:t xml:space="preserve"> ordinarily offered to the public without discrimination, in violation of sections 4, 10, 12, 24, and 24.1 of the </w:t>
      </w:r>
      <w:r w:rsidRPr="002F6CBB">
        <w:rPr>
          <w:i/>
          <w:lang w:val="en-CA"/>
        </w:rPr>
        <w:t>Charter of human rights and freedoms</w:t>
      </w:r>
      <w:r w:rsidRPr="002F6CBB">
        <w:rPr>
          <w:lang w:val="en-CA"/>
        </w:rPr>
        <w:t>.</w:t>
      </w:r>
      <w:r w:rsidRPr="002F6CBB">
        <w:rPr>
          <w:rStyle w:val="Appelnotedebasdep"/>
          <w:lang w:val="en-CA"/>
        </w:rPr>
        <w:footnoteReference w:id="1"/>
      </w:r>
    </w:p>
    <w:p w14:paraId="71639AE8" w14:textId="2491DA12" w:rsidR="005648FE" w:rsidRPr="002F6CBB" w:rsidRDefault="00C51CBE" w:rsidP="00185A28">
      <w:pPr>
        <w:pStyle w:val="Paragraphe"/>
        <w:rPr>
          <w:lang w:val="en-CA"/>
        </w:rPr>
      </w:pPr>
      <w:r w:rsidRPr="002F6CBB">
        <w:rPr>
          <w:lang w:val="en-CA"/>
        </w:rPr>
        <w:t>On behalf of Mr. Woodley, t</w:t>
      </w:r>
      <w:r w:rsidR="000F209C" w:rsidRPr="002F6CBB">
        <w:rPr>
          <w:lang w:val="en-CA"/>
        </w:rPr>
        <w:t>he CDPDJ claim</w:t>
      </w:r>
      <w:r w:rsidRPr="002F6CBB">
        <w:rPr>
          <w:lang w:val="en-CA"/>
        </w:rPr>
        <w:t>s</w:t>
      </w:r>
      <w:r w:rsidR="000F209C" w:rsidRPr="002F6CBB">
        <w:rPr>
          <w:lang w:val="en-CA"/>
        </w:rPr>
        <w:t xml:space="preserve"> damages for moral prejudice and asks that </w:t>
      </w:r>
      <w:r w:rsidRPr="002F6CBB">
        <w:rPr>
          <w:lang w:val="en-CA"/>
        </w:rPr>
        <w:t>O</w:t>
      </w:r>
      <w:r w:rsidR="000F209C" w:rsidRPr="002F6CBB">
        <w:rPr>
          <w:lang w:val="en-CA"/>
        </w:rPr>
        <w:t xml:space="preserve">fficers </w:t>
      </w:r>
      <w:proofErr w:type="spellStart"/>
      <w:r w:rsidR="000F209C" w:rsidRPr="002F6CBB">
        <w:rPr>
          <w:lang w:val="en-CA"/>
        </w:rPr>
        <w:t>Beaulac</w:t>
      </w:r>
      <w:proofErr w:type="spellEnd"/>
      <w:r w:rsidR="000F209C" w:rsidRPr="002F6CBB">
        <w:rPr>
          <w:lang w:val="en-CA"/>
        </w:rPr>
        <w:t xml:space="preserve"> and Lamothe each be ordered to pay him punitive damages.</w:t>
      </w:r>
    </w:p>
    <w:p w14:paraId="153AA4F4" w14:textId="08C03FD1" w:rsidR="005648FE" w:rsidRPr="002F6CBB" w:rsidRDefault="000F209C" w:rsidP="00185A28">
      <w:pPr>
        <w:pStyle w:val="Paragraphe"/>
        <w:rPr>
          <w:lang w:val="en-CA"/>
        </w:rPr>
      </w:pPr>
      <w:r w:rsidRPr="002F6CBB">
        <w:rPr>
          <w:lang w:val="en-CA"/>
        </w:rPr>
        <w:t xml:space="preserve">The CDPDJ also seeks </w:t>
      </w:r>
      <w:r w:rsidR="003A336A" w:rsidRPr="002F6CBB">
        <w:rPr>
          <w:lang w:val="en-CA"/>
        </w:rPr>
        <w:t xml:space="preserve">various orders </w:t>
      </w:r>
      <w:r w:rsidRPr="002F6CBB">
        <w:rPr>
          <w:lang w:val="en-CA"/>
        </w:rPr>
        <w:t>in the public interest, to be determined by the Tribunal.</w:t>
      </w:r>
    </w:p>
    <w:p w14:paraId="05D6E30F" w14:textId="262F9518" w:rsidR="005648FE" w:rsidRPr="002F6CBB" w:rsidRDefault="000F209C" w:rsidP="00185A28">
      <w:pPr>
        <w:pStyle w:val="Paragraphe"/>
        <w:rPr>
          <w:lang w:val="en-CA"/>
        </w:rPr>
      </w:pPr>
      <w:r w:rsidRPr="002F6CBB">
        <w:rPr>
          <w:lang w:val="en-CA"/>
        </w:rPr>
        <w:t xml:space="preserve">In defence, the </w:t>
      </w:r>
      <w:r w:rsidR="005A25C1">
        <w:rPr>
          <w:lang w:val="en-CA"/>
        </w:rPr>
        <w:t xml:space="preserve">Ville </w:t>
      </w:r>
      <w:r w:rsidRPr="002F6CBB">
        <w:rPr>
          <w:lang w:val="en-CA"/>
        </w:rPr>
        <w:t>denies that its officers’ intervention with Mr. Woodley had any</w:t>
      </w:r>
      <w:r w:rsidR="00C23F47">
        <w:rPr>
          <w:lang w:val="en-CA"/>
        </w:rPr>
        <w:t xml:space="preserve"> connection </w:t>
      </w:r>
      <w:r w:rsidRPr="002F6CBB">
        <w:rPr>
          <w:lang w:val="en-CA"/>
        </w:rPr>
        <w:t>with his race or colour.</w:t>
      </w:r>
      <w:r w:rsidR="00BC67BE" w:rsidRPr="002F6CBB">
        <w:rPr>
          <w:lang w:val="en-CA"/>
        </w:rPr>
        <w:t xml:space="preserve"> </w:t>
      </w:r>
      <w:r w:rsidRPr="002F6CBB">
        <w:rPr>
          <w:lang w:val="en-CA"/>
        </w:rPr>
        <w:t xml:space="preserve">It claims that the intervention was justified and </w:t>
      </w:r>
      <w:r w:rsidR="002D5344">
        <w:rPr>
          <w:lang w:val="en-CA"/>
        </w:rPr>
        <w:t xml:space="preserve">that </w:t>
      </w:r>
      <w:r w:rsidR="00C23F47">
        <w:rPr>
          <w:lang w:val="en-CA"/>
        </w:rPr>
        <w:t xml:space="preserve">its </w:t>
      </w:r>
      <w:r w:rsidRPr="002F6CBB">
        <w:rPr>
          <w:lang w:val="en-CA"/>
        </w:rPr>
        <w:t xml:space="preserve">sole purpose was to </w:t>
      </w:r>
      <w:r w:rsidR="00241FAB">
        <w:rPr>
          <w:lang w:val="en-CA"/>
        </w:rPr>
        <w:t>ensure</w:t>
      </w:r>
      <w:r w:rsidR="00241FAB" w:rsidRPr="002F6CBB">
        <w:rPr>
          <w:lang w:val="en-CA"/>
        </w:rPr>
        <w:t xml:space="preserve"> </w:t>
      </w:r>
      <w:r w:rsidRPr="002F6CBB">
        <w:rPr>
          <w:lang w:val="en-CA"/>
        </w:rPr>
        <w:t xml:space="preserve">public safety and compliance with the </w:t>
      </w:r>
      <w:r w:rsidRPr="002F6CBB">
        <w:rPr>
          <w:i/>
          <w:lang w:val="en-CA"/>
        </w:rPr>
        <w:t>Highway Safety Code</w:t>
      </w:r>
      <w:r w:rsidRPr="002F6CBB">
        <w:rPr>
          <w:lang w:val="en-CA"/>
        </w:rPr>
        <w:t>.</w:t>
      </w:r>
      <w:r w:rsidRPr="002F6CBB">
        <w:rPr>
          <w:rStyle w:val="Appelnotedebasdep"/>
          <w:lang w:val="en-CA"/>
        </w:rPr>
        <w:footnoteReference w:id="2"/>
      </w:r>
    </w:p>
    <w:p w14:paraId="1FD175B1" w14:textId="2679B322" w:rsidR="00EB15E4" w:rsidRPr="002F6CBB" w:rsidRDefault="000F209C" w:rsidP="00185A28">
      <w:pPr>
        <w:pStyle w:val="Titre1"/>
        <w:rPr>
          <w:lang w:val="en-CA"/>
        </w:rPr>
      </w:pPr>
      <w:bookmarkStart w:id="0" w:name="_Toc183702200"/>
      <w:r w:rsidRPr="002F6CBB">
        <w:rPr>
          <w:lang w:val="en-CA"/>
        </w:rPr>
        <w:t>Issues</w:t>
      </w:r>
      <w:bookmarkEnd w:id="0"/>
    </w:p>
    <w:p w14:paraId="419CC677" w14:textId="329088A2" w:rsidR="00BA22E5" w:rsidRPr="002F6CBB" w:rsidRDefault="000F209C" w:rsidP="00185A28">
      <w:pPr>
        <w:pStyle w:val="Paragraphe"/>
        <w:rPr>
          <w:rFonts w:cs="Arial"/>
          <w:szCs w:val="24"/>
          <w:lang w:val="en-CA"/>
        </w:rPr>
      </w:pPr>
      <w:r w:rsidRPr="002F6CBB">
        <w:rPr>
          <w:lang w:val="en-CA"/>
        </w:rPr>
        <w:t>The Tribunal must decide the following issues:</w:t>
      </w:r>
    </w:p>
    <w:p w14:paraId="3676A1CA" w14:textId="5C235D25" w:rsidR="00CD1052" w:rsidRPr="002F6CBB" w:rsidRDefault="000F209C" w:rsidP="00185A28">
      <w:pPr>
        <w:pStyle w:val="Paragraphe"/>
        <w:numPr>
          <w:ilvl w:val="0"/>
          <w:numId w:val="0"/>
        </w:numPr>
        <w:ind w:left="567"/>
        <w:rPr>
          <w:rFonts w:eastAsia="Calibri"/>
          <w:lang w:val="en-CA" w:eastAsia="en-US"/>
        </w:rPr>
      </w:pPr>
      <w:r w:rsidRPr="002F6CBB">
        <w:rPr>
          <w:rFonts w:eastAsia="Calibri"/>
          <w:lang w:val="en-CA" w:eastAsia="en-US"/>
        </w:rPr>
        <w:t xml:space="preserve">Has the CDPDJ established that the police intervention </w:t>
      </w:r>
      <w:r w:rsidR="00C23F47">
        <w:rPr>
          <w:rFonts w:eastAsia="Calibri"/>
          <w:lang w:val="en-CA" w:eastAsia="en-US"/>
        </w:rPr>
        <w:t>involving</w:t>
      </w:r>
      <w:r w:rsidRPr="002F6CBB">
        <w:rPr>
          <w:rFonts w:eastAsia="Calibri"/>
          <w:lang w:val="en-CA" w:eastAsia="en-US"/>
        </w:rPr>
        <w:t xml:space="preserve"> Jonathan Woodley</w:t>
      </w:r>
      <w:r w:rsidR="00C23F47">
        <w:rPr>
          <w:rFonts w:eastAsia="Calibri"/>
          <w:lang w:val="en-CA" w:eastAsia="en-US"/>
        </w:rPr>
        <w:t>,</w:t>
      </w:r>
      <w:r w:rsidRPr="002F6CBB">
        <w:rPr>
          <w:rFonts w:eastAsia="Calibri"/>
          <w:lang w:val="en-CA" w:eastAsia="en-US"/>
        </w:rPr>
        <w:t xml:space="preserve"> while he was driving his </w:t>
      </w:r>
      <w:r w:rsidR="00C23F47">
        <w:rPr>
          <w:rFonts w:eastAsia="Calibri"/>
          <w:lang w:val="en-CA" w:eastAsia="en-US"/>
        </w:rPr>
        <w:t>wife</w:t>
      </w:r>
      <w:r w:rsidRPr="002F6CBB">
        <w:rPr>
          <w:rFonts w:eastAsia="Calibri"/>
          <w:lang w:val="en-CA" w:eastAsia="en-US"/>
        </w:rPr>
        <w:t xml:space="preserve">’s car on September 19, 2018, was </w:t>
      </w:r>
      <w:r w:rsidR="00DF219F">
        <w:rPr>
          <w:rFonts w:eastAsia="Calibri"/>
          <w:lang w:val="en-CA" w:eastAsia="en-US"/>
        </w:rPr>
        <w:t>based</w:t>
      </w:r>
      <w:r w:rsidRPr="002F6CBB">
        <w:rPr>
          <w:rFonts w:eastAsia="Calibri"/>
          <w:lang w:val="en-CA" w:eastAsia="en-US"/>
        </w:rPr>
        <w:t xml:space="preserve">, in </w:t>
      </w:r>
      <w:r w:rsidR="00DF219F">
        <w:rPr>
          <w:rFonts w:eastAsia="Calibri"/>
          <w:lang w:val="en-CA" w:eastAsia="en-US"/>
        </w:rPr>
        <w:t>whole</w:t>
      </w:r>
      <w:r w:rsidRPr="002F6CBB">
        <w:rPr>
          <w:rFonts w:eastAsia="Calibri"/>
          <w:lang w:val="en-CA" w:eastAsia="en-US"/>
        </w:rPr>
        <w:t xml:space="preserve"> or in part, on his race or colour combined with his sex and </w:t>
      </w:r>
      <w:r w:rsidR="00C23F47">
        <w:rPr>
          <w:rFonts w:eastAsia="Calibri"/>
          <w:lang w:val="en-CA" w:eastAsia="en-US"/>
        </w:rPr>
        <w:t>that, therefore</w:t>
      </w:r>
      <w:r w:rsidRPr="002F6CBB">
        <w:rPr>
          <w:rFonts w:eastAsia="Calibri"/>
          <w:lang w:val="en-CA" w:eastAsia="en-US"/>
        </w:rPr>
        <w:t xml:space="preserve">, this intervention constituted discrimination </w:t>
      </w:r>
      <w:r w:rsidR="001E3950" w:rsidRPr="002F6CBB">
        <w:rPr>
          <w:rFonts w:eastAsia="Calibri"/>
          <w:lang w:val="en-CA" w:eastAsia="en-US"/>
        </w:rPr>
        <w:t xml:space="preserve">by </w:t>
      </w:r>
      <w:r w:rsidRPr="002F6CBB">
        <w:rPr>
          <w:rFonts w:eastAsia="Calibri"/>
          <w:lang w:val="en-CA" w:eastAsia="en-US"/>
        </w:rPr>
        <w:t>racial profiling?</w:t>
      </w:r>
    </w:p>
    <w:p w14:paraId="0029A511" w14:textId="2FEA4D4B" w:rsidR="00BA22E5" w:rsidRPr="002F6CBB" w:rsidRDefault="000F209C" w:rsidP="00185A28">
      <w:pPr>
        <w:pStyle w:val="Paragraphe"/>
        <w:numPr>
          <w:ilvl w:val="0"/>
          <w:numId w:val="0"/>
        </w:numPr>
        <w:ind w:left="567"/>
        <w:rPr>
          <w:rFonts w:eastAsia="Calibri"/>
          <w:lang w:val="en-CA" w:eastAsia="en-US"/>
        </w:rPr>
      </w:pPr>
      <w:r w:rsidRPr="002F6CBB">
        <w:rPr>
          <w:rFonts w:eastAsia="Calibri"/>
          <w:lang w:val="en-CA" w:eastAsia="en-US"/>
        </w:rPr>
        <w:t>I</w:t>
      </w:r>
      <w:r w:rsidR="00DF219F">
        <w:rPr>
          <w:rFonts w:eastAsia="Calibri"/>
          <w:lang w:val="en-CA" w:eastAsia="en-US"/>
        </w:rPr>
        <w:t>f</w:t>
      </w:r>
      <w:r w:rsidRPr="002F6CBB">
        <w:rPr>
          <w:rFonts w:eastAsia="Calibri"/>
          <w:lang w:val="en-CA" w:eastAsia="en-US"/>
        </w:rPr>
        <w:t xml:space="preserve"> </w:t>
      </w:r>
      <w:r w:rsidR="00C23F47">
        <w:rPr>
          <w:rFonts w:eastAsia="Calibri"/>
          <w:lang w:val="en-CA" w:eastAsia="en-US"/>
        </w:rPr>
        <w:t>so</w:t>
      </w:r>
      <w:r w:rsidRPr="002F6CBB">
        <w:rPr>
          <w:rFonts w:eastAsia="Calibri"/>
          <w:lang w:val="en-CA" w:eastAsia="en-US"/>
        </w:rPr>
        <w:t xml:space="preserve">, what monetary </w:t>
      </w:r>
      <w:r w:rsidR="00C23F47">
        <w:rPr>
          <w:rFonts w:eastAsia="Calibri"/>
          <w:lang w:val="en-CA" w:eastAsia="en-US"/>
        </w:rPr>
        <w:t xml:space="preserve">compensation </w:t>
      </w:r>
      <w:r w:rsidRPr="002F6CBB">
        <w:rPr>
          <w:rFonts w:eastAsia="Calibri"/>
          <w:lang w:val="en-CA" w:eastAsia="en-US"/>
        </w:rPr>
        <w:t>is justified</w:t>
      </w:r>
      <w:r w:rsidR="00DF219F">
        <w:rPr>
          <w:rFonts w:eastAsia="Calibri"/>
          <w:lang w:val="en-CA" w:eastAsia="en-US"/>
        </w:rPr>
        <w:t>,</w:t>
      </w:r>
      <w:r w:rsidRPr="002F6CBB">
        <w:rPr>
          <w:rFonts w:eastAsia="Calibri"/>
          <w:lang w:val="en-CA" w:eastAsia="en-US"/>
        </w:rPr>
        <w:t xml:space="preserve"> and what public interest orders are required in the circumstances?</w:t>
      </w:r>
    </w:p>
    <w:p w14:paraId="58AE391E" w14:textId="3351090C" w:rsidR="00BA6BB5" w:rsidRPr="002F6CBB" w:rsidRDefault="000F209C" w:rsidP="00185A28">
      <w:pPr>
        <w:pStyle w:val="Titre1"/>
        <w:rPr>
          <w:lang w:val="en-CA"/>
        </w:rPr>
      </w:pPr>
      <w:bookmarkStart w:id="1" w:name="_Toc183702201"/>
      <w:r w:rsidRPr="002F6CBB">
        <w:rPr>
          <w:lang w:val="en-CA"/>
        </w:rPr>
        <w:t>Background</w:t>
      </w:r>
      <w:bookmarkEnd w:id="1"/>
    </w:p>
    <w:p w14:paraId="2ED219BB" w14:textId="7F2DF812" w:rsidR="00BA6BB5" w:rsidRPr="002F6CBB" w:rsidRDefault="000F209C" w:rsidP="00185A28">
      <w:pPr>
        <w:pStyle w:val="Paragraphe"/>
        <w:rPr>
          <w:lang w:val="en-CA"/>
        </w:rPr>
      </w:pPr>
      <w:bookmarkStart w:id="2" w:name="_Hlk158709715"/>
      <w:r w:rsidRPr="002F6CBB">
        <w:rPr>
          <w:lang w:val="en-CA"/>
        </w:rPr>
        <w:t xml:space="preserve">Jonathan was a </w:t>
      </w:r>
      <w:r w:rsidR="00CE5B09">
        <w:rPr>
          <w:lang w:val="en-CA"/>
        </w:rPr>
        <w:t>30</w:t>
      </w:r>
      <w:r w:rsidR="00BE1637">
        <w:rPr>
          <w:lang w:val="en-CA"/>
        </w:rPr>
        <w:t>-year</w:t>
      </w:r>
      <w:r w:rsidR="00CE5B09">
        <w:rPr>
          <w:lang w:val="en-CA"/>
        </w:rPr>
        <w:t>-</w:t>
      </w:r>
      <w:r w:rsidR="00BE1637">
        <w:rPr>
          <w:lang w:val="en-CA"/>
        </w:rPr>
        <w:t>old man</w:t>
      </w:r>
      <w:r w:rsidRPr="002F6CBB">
        <w:rPr>
          <w:lang w:val="en-CA"/>
        </w:rPr>
        <w:t xml:space="preserve"> at the time of the incident in dispute.</w:t>
      </w:r>
      <w:r w:rsidR="00BC67BE" w:rsidRPr="002F6CBB">
        <w:rPr>
          <w:lang w:val="en-CA"/>
        </w:rPr>
        <w:t xml:space="preserve"> </w:t>
      </w:r>
      <w:r w:rsidRPr="002F6CBB">
        <w:rPr>
          <w:lang w:val="en-CA"/>
        </w:rPr>
        <w:t>He lives in Laval, where he owns a gym.</w:t>
      </w:r>
    </w:p>
    <w:p w14:paraId="4D31D707" w14:textId="5B61F861" w:rsidR="00D32282" w:rsidRPr="002F6CBB" w:rsidRDefault="000F209C" w:rsidP="00185A28">
      <w:pPr>
        <w:pStyle w:val="Paragraphe"/>
        <w:rPr>
          <w:lang w:val="en-CA"/>
        </w:rPr>
      </w:pPr>
      <w:r w:rsidRPr="002F6CBB">
        <w:rPr>
          <w:lang w:val="en-CA"/>
        </w:rPr>
        <w:lastRenderedPageBreak/>
        <w:t xml:space="preserve">Caroline </w:t>
      </w:r>
      <w:proofErr w:type="spellStart"/>
      <w:r w:rsidRPr="002F6CBB">
        <w:rPr>
          <w:lang w:val="en-CA"/>
        </w:rPr>
        <w:t>Beaulac</w:t>
      </w:r>
      <w:proofErr w:type="spellEnd"/>
      <w:r w:rsidRPr="002F6CBB">
        <w:rPr>
          <w:lang w:val="en-CA"/>
        </w:rPr>
        <w:t xml:space="preserve"> has been a police officer with the SPL since 2014.</w:t>
      </w:r>
      <w:r w:rsidR="00BC67BE" w:rsidRPr="002F6CBB">
        <w:rPr>
          <w:lang w:val="en-CA"/>
        </w:rPr>
        <w:t xml:space="preserve"> </w:t>
      </w:r>
      <w:r w:rsidRPr="002F6CBB">
        <w:rPr>
          <w:lang w:val="en-CA"/>
        </w:rPr>
        <w:t>In September 2018, she was working as a police patrol officer.</w:t>
      </w:r>
      <w:r w:rsidR="00BC67BE" w:rsidRPr="002F6CBB">
        <w:rPr>
          <w:lang w:val="en-CA"/>
        </w:rPr>
        <w:t xml:space="preserve"> </w:t>
      </w:r>
    </w:p>
    <w:p w14:paraId="0C12F4F3" w14:textId="33DF9CA4" w:rsidR="00D32282" w:rsidRPr="002F6CBB" w:rsidRDefault="000F209C" w:rsidP="00185A28">
      <w:pPr>
        <w:pStyle w:val="Paragraphe"/>
        <w:rPr>
          <w:lang w:val="en-CA"/>
        </w:rPr>
      </w:pPr>
      <w:r w:rsidRPr="002F6CBB">
        <w:rPr>
          <w:lang w:val="en-CA"/>
        </w:rPr>
        <w:t>Jessica Lamothe has been a police officer with the SPL since 2017.</w:t>
      </w:r>
      <w:r w:rsidR="00BC67BE" w:rsidRPr="002F6CBB">
        <w:rPr>
          <w:lang w:val="en-CA"/>
        </w:rPr>
        <w:t xml:space="preserve"> </w:t>
      </w:r>
      <w:r w:rsidRPr="002F6CBB">
        <w:rPr>
          <w:lang w:val="en-CA"/>
        </w:rPr>
        <w:t>She was also assigned to the police</w:t>
      </w:r>
      <w:r w:rsidR="00256407">
        <w:rPr>
          <w:lang w:val="en-CA"/>
        </w:rPr>
        <w:t xml:space="preserve"> force</w:t>
      </w:r>
      <w:r w:rsidRPr="002F6CBB">
        <w:rPr>
          <w:lang w:val="en-CA"/>
        </w:rPr>
        <w:t>.</w:t>
      </w:r>
      <w:r w:rsidR="00BC67BE" w:rsidRPr="002F6CBB">
        <w:rPr>
          <w:lang w:val="en-CA"/>
        </w:rPr>
        <w:t xml:space="preserve"> </w:t>
      </w:r>
      <w:r w:rsidRPr="002F6CBB">
        <w:rPr>
          <w:lang w:val="en-CA"/>
        </w:rPr>
        <w:t>She ha</w:t>
      </w:r>
      <w:r w:rsidR="002D5344">
        <w:rPr>
          <w:lang w:val="en-CA"/>
        </w:rPr>
        <w:t>d</w:t>
      </w:r>
      <w:r w:rsidRPr="002F6CBB">
        <w:rPr>
          <w:lang w:val="en-CA"/>
        </w:rPr>
        <w:t xml:space="preserve"> been working in the </w:t>
      </w:r>
      <w:proofErr w:type="spellStart"/>
      <w:r w:rsidRPr="002F6CBB">
        <w:rPr>
          <w:lang w:val="en-CA"/>
        </w:rPr>
        <w:t>Chomedey</w:t>
      </w:r>
      <w:proofErr w:type="spellEnd"/>
      <w:r w:rsidRPr="002F6CBB">
        <w:rPr>
          <w:lang w:val="en-CA"/>
        </w:rPr>
        <w:t xml:space="preserve"> sector for </w:t>
      </w:r>
      <w:r w:rsidR="002D5344">
        <w:rPr>
          <w:lang w:val="en-CA"/>
        </w:rPr>
        <w:t xml:space="preserve">approximately </w:t>
      </w:r>
      <w:r w:rsidRPr="002F6CBB">
        <w:rPr>
          <w:lang w:val="en-CA"/>
        </w:rPr>
        <w:t>seven months.</w:t>
      </w:r>
    </w:p>
    <w:p w14:paraId="4E4BB3BE" w14:textId="6A377A3B" w:rsidR="00786E73" w:rsidRPr="002F6CBB" w:rsidRDefault="000F209C" w:rsidP="00185A28">
      <w:pPr>
        <w:pStyle w:val="Paragraphe"/>
        <w:rPr>
          <w:lang w:val="en-CA"/>
        </w:rPr>
      </w:pPr>
      <w:r w:rsidRPr="002F6CBB">
        <w:rPr>
          <w:lang w:val="en-CA"/>
        </w:rPr>
        <w:t xml:space="preserve">On September 19, 2018, </w:t>
      </w:r>
      <w:r w:rsidR="00256407">
        <w:rPr>
          <w:lang w:val="en-CA"/>
        </w:rPr>
        <w:t xml:space="preserve">at </w:t>
      </w:r>
      <w:r w:rsidRPr="002F6CBB">
        <w:rPr>
          <w:lang w:val="en-CA"/>
        </w:rPr>
        <w:t xml:space="preserve">around 10:00 am, Mr. Woodley left the gym driving </w:t>
      </w:r>
      <w:r w:rsidR="002D5344">
        <w:rPr>
          <w:lang w:val="en-CA"/>
        </w:rPr>
        <w:t>a</w:t>
      </w:r>
      <w:r w:rsidRPr="002F6CBB">
        <w:rPr>
          <w:lang w:val="en-CA"/>
        </w:rPr>
        <w:t xml:space="preserve"> car registered in </w:t>
      </w:r>
      <w:r w:rsidR="002D5344">
        <w:rPr>
          <w:lang w:val="en-CA"/>
        </w:rPr>
        <w:t xml:space="preserve">the name of </w:t>
      </w:r>
      <w:r w:rsidRPr="002F6CBB">
        <w:rPr>
          <w:lang w:val="en-CA"/>
        </w:rPr>
        <w:t xml:space="preserve">his </w:t>
      </w:r>
      <w:r w:rsidR="002D5344">
        <w:rPr>
          <w:lang w:val="en-CA"/>
        </w:rPr>
        <w:t xml:space="preserve">wife, </w:t>
      </w:r>
      <w:r w:rsidRPr="002F6CBB">
        <w:rPr>
          <w:lang w:val="en-CA"/>
        </w:rPr>
        <w:t xml:space="preserve">Stéphanie </w:t>
      </w:r>
      <w:proofErr w:type="spellStart"/>
      <w:r w:rsidRPr="002F6CBB">
        <w:rPr>
          <w:lang w:val="en-CA"/>
        </w:rPr>
        <w:t>Mucci</w:t>
      </w:r>
      <w:proofErr w:type="spellEnd"/>
      <w:r w:rsidRPr="002F6CBB">
        <w:rPr>
          <w:lang w:val="en-CA"/>
        </w:rPr>
        <w:t>.</w:t>
      </w:r>
      <w:r w:rsidR="00BC67BE" w:rsidRPr="002F6CBB">
        <w:rPr>
          <w:lang w:val="en-CA"/>
        </w:rPr>
        <w:t xml:space="preserve"> </w:t>
      </w:r>
      <w:r w:rsidRPr="002F6CBB">
        <w:rPr>
          <w:lang w:val="en-CA"/>
        </w:rPr>
        <w:t>He was going to buy some things for the g</w:t>
      </w:r>
      <w:r w:rsidR="00E65ACD">
        <w:rPr>
          <w:lang w:val="en-CA"/>
        </w:rPr>
        <w:t>y</w:t>
      </w:r>
      <w:r w:rsidRPr="002F6CBB">
        <w:rPr>
          <w:lang w:val="en-CA"/>
        </w:rPr>
        <w:t>m</w:t>
      </w:r>
      <w:r w:rsidR="00D849E0">
        <w:rPr>
          <w:lang w:val="en-CA"/>
        </w:rPr>
        <w:t>,</w:t>
      </w:r>
      <w:r w:rsidRPr="002F6CBB">
        <w:rPr>
          <w:lang w:val="en-CA"/>
        </w:rPr>
        <w:t xml:space="preserve"> then </w:t>
      </w:r>
      <w:r w:rsidR="00E65ACD">
        <w:rPr>
          <w:lang w:val="en-CA"/>
        </w:rPr>
        <w:t xml:space="preserve">continue on </w:t>
      </w:r>
      <w:r w:rsidRPr="002F6CBB">
        <w:rPr>
          <w:lang w:val="en-CA"/>
        </w:rPr>
        <w:t>to the photography studio</w:t>
      </w:r>
      <w:r w:rsidR="00E65ACD">
        <w:rPr>
          <w:lang w:val="en-CA"/>
        </w:rPr>
        <w:t>,</w:t>
      </w:r>
      <w:r w:rsidRPr="002F6CBB">
        <w:rPr>
          <w:lang w:val="en-CA"/>
        </w:rPr>
        <w:t xml:space="preserve"> where he and his </w:t>
      </w:r>
      <w:r w:rsidR="00E65ACD">
        <w:rPr>
          <w:lang w:val="en-CA"/>
        </w:rPr>
        <w:t xml:space="preserve">wife </w:t>
      </w:r>
      <w:r w:rsidRPr="002F6CBB">
        <w:rPr>
          <w:lang w:val="en-CA"/>
        </w:rPr>
        <w:t xml:space="preserve">had an appointment </w:t>
      </w:r>
      <w:r w:rsidR="00E65ACD">
        <w:rPr>
          <w:lang w:val="en-CA"/>
        </w:rPr>
        <w:t xml:space="preserve">for a </w:t>
      </w:r>
      <w:r w:rsidRPr="002F6CBB">
        <w:rPr>
          <w:lang w:val="en-CA"/>
        </w:rPr>
        <w:t>photo</w:t>
      </w:r>
      <w:r w:rsidR="00E65ACD">
        <w:rPr>
          <w:lang w:val="en-CA"/>
        </w:rPr>
        <w:t xml:space="preserve"> </w:t>
      </w:r>
      <w:r w:rsidRPr="002F6CBB">
        <w:rPr>
          <w:lang w:val="en-CA"/>
        </w:rPr>
        <w:t>s</w:t>
      </w:r>
      <w:r w:rsidR="00E65ACD">
        <w:rPr>
          <w:lang w:val="en-CA"/>
        </w:rPr>
        <w:t>hoot</w:t>
      </w:r>
      <w:r w:rsidRPr="002F6CBB">
        <w:rPr>
          <w:lang w:val="en-CA"/>
        </w:rPr>
        <w:t xml:space="preserve"> with their newborn.</w:t>
      </w:r>
    </w:p>
    <w:p w14:paraId="493B52F8" w14:textId="459789AC" w:rsidR="00BA6BB5" w:rsidRPr="002F6CBB" w:rsidRDefault="000F209C" w:rsidP="00185A28">
      <w:pPr>
        <w:pStyle w:val="Paragraphe"/>
        <w:rPr>
          <w:lang w:val="en-CA"/>
        </w:rPr>
      </w:pPr>
      <w:r w:rsidRPr="002F6CBB">
        <w:rPr>
          <w:lang w:val="en-CA"/>
        </w:rPr>
        <w:t xml:space="preserve">Mr. Woodley was driving south on </w:t>
      </w:r>
      <w:proofErr w:type="spellStart"/>
      <w:r w:rsidRPr="002F6CBB">
        <w:rPr>
          <w:lang w:val="en-CA"/>
        </w:rPr>
        <w:t>Curé</w:t>
      </w:r>
      <w:proofErr w:type="spellEnd"/>
      <w:r w:rsidRPr="002F6CBB">
        <w:rPr>
          <w:lang w:val="en-CA"/>
        </w:rPr>
        <w:t>-Labelle Boulevard.</w:t>
      </w:r>
      <w:r w:rsidR="00BC67BE" w:rsidRPr="002F6CBB">
        <w:rPr>
          <w:lang w:val="en-CA"/>
        </w:rPr>
        <w:t xml:space="preserve"> </w:t>
      </w:r>
    </w:p>
    <w:p w14:paraId="03EAD0DC" w14:textId="658B3FF9" w:rsidR="00BA6BB5" w:rsidRPr="002F6CBB" w:rsidRDefault="000F209C" w:rsidP="00185A28">
      <w:pPr>
        <w:pStyle w:val="Paragraphe"/>
        <w:rPr>
          <w:lang w:val="en-CA"/>
        </w:rPr>
      </w:pPr>
      <w:r w:rsidRPr="002F6CBB">
        <w:rPr>
          <w:lang w:val="en-CA"/>
        </w:rPr>
        <w:t xml:space="preserve">Officers </w:t>
      </w:r>
      <w:proofErr w:type="spellStart"/>
      <w:r w:rsidRPr="002F6CBB">
        <w:rPr>
          <w:lang w:val="en-CA"/>
        </w:rPr>
        <w:t>Beaulac</w:t>
      </w:r>
      <w:proofErr w:type="spellEnd"/>
      <w:r w:rsidRPr="002F6CBB">
        <w:rPr>
          <w:lang w:val="en-CA"/>
        </w:rPr>
        <w:t xml:space="preserve"> and Lamothe were patrolling in the sector and were also driving south on </w:t>
      </w:r>
      <w:proofErr w:type="spellStart"/>
      <w:r w:rsidRPr="002F6CBB">
        <w:rPr>
          <w:lang w:val="en-CA"/>
        </w:rPr>
        <w:t>Curé</w:t>
      </w:r>
      <w:proofErr w:type="spellEnd"/>
      <w:r w:rsidRPr="002F6CBB">
        <w:rPr>
          <w:lang w:val="en-CA"/>
        </w:rPr>
        <w:t>-Labelle Boulevard.</w:t>
      </w:r>
      <w:r w:rsidR="00BC67BE" w:rsidRPr="002F6CBB">
        <w:rPr>
          <w:lang w:val="en-CA"/>
        </w:rPr>
        <w:t xml:space="preserve"> </w:t>
      </w:r>
      <w:r w:rsidRPr="002F6CBB">
        <w:rPr>
          <w:lang w:val="en-CA"/>
        </w:rPr>
        <w:t xml:space="preserve">Officer </w:t>
      </w:r>
      <w:proofErr w:type="spellStart"/>
      <w:r w:rsidRPr="002F6CBB">
        <w:rPr>
          <w:lang w:val="en-CA"/>
        </w:rPr>
        <w:t>Beaulac</w:t>
      </w:r>
      <w:proofErr w:type="spellEnd"/>
      <w:r w:rsidRPr="002F6CBB">
        <w:rPr>
          <w:lang w:val="en-CA"/>
        </w:rPr>
        <w:t xml:space="preserve"> was driving the patrol car</w:t>
      </w:r>
      <w:r w:rsidR="00860735">
        <w:rPr>
          <w:lang w:val="en-CA"/>
        </w:rPr>
        <w:t>,</w:t>
      </w:r>
      <w:r w:rsidRPr="002F6CBB">
        <w:rPr>
          <w:lang w:val="en-CA"/>
        </w:rPr>
        <w:t xml:space="preserve"> and Officer Lamothe was a passenger.</w:t>
      </w:r>
      <w:r w:rsidR="00BC67BE" w:rsidRPr="002F6CBB">
        <w:rPr>
          <w:lang w:val="en-CA"/>
        </w:rPr>
        <w:t xml:space="preserve"> </w:t>
      </w:r>
    </w:p>
    <w:p w14:paraId="625B3673" w14:textId="2C0787D7" w:rsidR="00BA6BB5" w:rsidRPr="002F6CBB" w:rsidRDefault="000F209C" w:rsidP="00185A28">
      <w:pPr>
        <w:pStyle w:val="Paragraphe"/>
        <w:rPr>
          <w:lang w:val="en-CA"/>
        </w:rPr>
      </w:pPr>
      <w:r w:rsidRPr="002F6CBB">
        <w:rPr>
          <w:lang w:val="en-CA"/>
        </w:rPr>
        <w:t xml:space="preserve">The officers were </w:t>
      </w:r>
      <w:r w:rsidR="00E65ACD">
        <w:rPr>
          <w:lang w:val="en-CA"/>
        </w:rPr>
        <w:t>runn</w:t>
      </w:r>
      <w:r w:rsidRPr="002F6CBB">
        <w:rPr>
          <w:lang w:val="en-CA"/>
        </w:rPr>
        <w:t>ing the licen</w:t>
      </w:r>
      <w:r w:rsidR="00E65ACD">
        <w:rPr>
          <w:lang w:val="en-CA"/>
        </w:rPr>
        <w:t>c</w:t>
      </w:r>
      <w:r w:rsidRPr="002F6CBB">
        <w:rPr>
          <w:lang w:val="en-CA"/>
        </w:rPr>
        <w:t>e plates of several cars by consulting the data</w:t>
      </w:r>
      <w:r w:rsidR="00EE21D1">
        <w:rPr>
          <w:lang w:val="en-CA"/>
        </w:rPr>
        <w:t>base</w:t>
      </w:r>
      <w:r w:rsidRPr="002F6CBB">
        <w:rPr>
          <w:lang w:val="en-CA"/>
        </w:rPr>
        <w:t xml:space="preserve"> of the </w:t>
      </w:r>
      <w:r w:rsidR="004B17FF">
        <w:rPr>
          <w:i/>
          <w:iCs/>
          <w:lang w:val="en-CA"/>
        </w:rPr>
        <w:t>Québec Police Intelligence Centre</w:t>
      </w:r>
      <w:r w:rsidR="00280C7A" w:rsidRPr="00280C7A">
        <w:rPr>
          <w:lang w:val="en-CA"/>
        </w:rPr>
        <w:t xml:space="preserve"> (</w:t>
      </w:r>
      <w:r w:rsidR="00EE21D1">
        <w:rPr>
          <w:lang w:val="en-CA"/>
        </w:rPr>
        <w:t>QPIC</w:t>
      </w:r>
      <w:r w:rsidRPr="002F6CBB">
        <w:rPr>
          <w:lang w:val="en-CA"/>
        </w:rPr>
        <w:t>)</w:t>
      </w:r>
      <w:bookmarkStart w:id="3" w:name="_Ref161750470"/>
      <w:r w:rsidRPr="002F6CBB">
        <w:rPr>
          <w:rStyle w:val="Appelnotedebasdep"/>
          <w:rFonts w:cs="Arial"/>
          <w:szCs w:val="24"/>
          <w:lang w:val="en-CA"/>
        </w:rPr>
        <w:footnoteReference w:id="3"/>
      </w:r>
      <w:bookmarkEnd w:id="3"/>
      <w:r w:rsidRPr="002F6CBB">
        <w:rPr>
          <w:rFonts w:cs="Arial"/>
          <w:szCs w:val="24"/>
          <w:lang w:val="en-CA"/>
        </w:rPr>
        <w:t xml:space="preserve"> in the </w:t>
      </w:r>
      <w:r w:rsidR="00E65ACD">
        <w:rPr>
          <w:rFonts w:cs="Arial"/>
          <w:szCs w:val="24"/>
          <w:lang w:val="en-CA"/>
        </w:rPr>
        <w:t xml:space="preserve">exercise </w:t>
      </w:r>
      <w:r w:rsidRPr="002F6CBB">
        <w:rPr>
          <w:rFonts w:cs="Arial"/>
          <w:szCs w:val="24"/>
          <w:lang w:val="en-CA"/>
        </w:rPr>
        <w:t xml:space="preserve">of their power to </w:t>
      </w:r>
      <w:r w:rsidR="00591D79">
        <w:rPr>
          <w:rFonts w:cs="Arial"/>
          <w:szCs w:val="24"/>
          <w:lang w:val="en-CA"/>
        </w:rPr>
        <w:t>intercept</w:t>
      </w:r>
      <w:r w:rsidR="00591D79" w:rsidRPr="002F6CBB">
        <w:rPr>
          <w:rFonts w:cs="Arial"/>
          <w:szCs w:val="24"/>
          <w:lang w:val="en-CA"/>
        </w:rPr>
        <w:t xml:space="preserve"> </w:t>
      </w:r>
      <w:r w:rsidRPr="002F6CBB">
        <w:rPr>
          <w:rFonts w:cs="Arial"/>
          <w:szCs w:val="24"/>
          <w:lang w:val="en-CA"/>
        </w:rPr>
        <w:t xml:space="preserve">vehicles, as provided in section 636 of the </w:t>
      </w:r>
      <w:r w:rsidRPr="002F6CBB">
        <w:rPr>
          <w:rFonts w:cs="Arial"/>
          <w:i/>
          <w:szCs w:val="24"/>
          <w:lang w:val="en-CA"/>
        </w:rPr>
        <w:t>HSC</w:t>
      </w:r>
      <w:r w:rsidRPr="002F6CBB">
        <w:rPr>
          <w:rFonts w:cs="Arial"/>
          <w:szCs w:val="24"/>
          <w:lang w:val="en-CA"/>
        </w:rPr>
        <w:t>.</w:t>
      </w:r>
      <w:r w:rsidR="00BC67BE" w:rsidRPr="002F6CBB">
        <w:rPr>
          <w:lang w:val="en-CA"/>
        </w:rPr>
        <w:t xml:space="preserve"> </w:t>
      </w:r>
      <w:r w:rsidRPr="002F6CBB">
        <w:rPr>
          <w:lang w:val="en-CA"/>
        </w:rPr>
        <w:t xml:space="preserve">The information from the </w:t>
      </w:r>
      <w:r w:rsidR="00EE21D1">
        <w:rPr>
          <w:lang w:val="en-CA"/>
        </w:rPr>
        <w:t>QPIC</w:t>
      </w:r>
      <w:r w:rsidRPr="002F6CBB">
        <w:rPr>
          <w:lang w:val="en-CA"/>
        </w:rPr>
        <w:t xml:space="preserve"> confirms </w:t>
      </w:r>
      <w:r w:rsidR="00E65ACD">
        <w:rPr>
          <w:lang w:val="en-CA"/>
        </w:rPr>
        <w:t xml:space="preserve">the </w:t>
      </w:r>
      <w:r w:rsidRPr="002F6CBB">
        <w:rPr>
          <w:lang w:val="en-CA"/>
        </w:rPr>
        <w:t>owners’ vehicle registrations and driv</w:t>
      </w:r>
      <w:r w:rsidR="00E65ACD">
        <w:rPr>
          <w:lang w:val="en-CA"/>
        </w:rPr>
        <w:t>er’s</w:t>
      </w:r>
      <w:r w:rsidRPr="002F6CBB">
        <w:rPr>
          <w:lang w:val="en-CA"/>
        </w:rPr>
        <w:t xml:space="preserve"> licen</w:t>
      </w:r>
      <w:r w:rsidR="00E65ACD">
        <w:rPr>
          <w:lang w:val="en-CA"/>
        </w:rPr>
        <w:t>c</w:t>
      </w:r>
      <w:r w:rsidRPr="002F6CBB">
        <w:rPr>
          <w:lang w:val="en-CA"/>
        </w:rPr>
        <w:t>es.</w:t>
      </w:r>
      <w:r w:rsidR="00BC67BE" w:rsidRPr="002F6CBB">
        <w:rPr>
          <w:lang w:val="en-CA"/>
        </w:rPr>
        <w:t xml:space="preserve"> </w:t>
      </w:r>
      <w:r w:rsidRPr="002F6CBB">
        <w:rPr>
          <w:lang w:val="en-CA"/>
        </w:rPr>
        <w:t xml:space="preserve">Other information is also available by </w:t>
      </w:r>
      <w:r w:rsidR="00E65ACD">
        <w:rPr>
          <w:lang w:val="en-CA"/>
        </w:rPr>
        <w:t>conduct</w:t>
      </w:r>
      <w:r w:rsidRPr="002F6CBB">
        <w:rPr>
          <w:lang w:val="en-CA"/>
        </w:rPr>
        <w:t>ing a more detailed search.</w:t>
      </w:r>
    </w:p>
    <w:p w14:paraId="6044D243" w14:textId="2ED87B59" w:rsidR="00BA6BB5" w:rsidRPr="002F6CBB" w:rsidRDefault="000F209C" w:rsidP="00185A28">
      <w:pPr>
        <w:pStyle w:val="Paragraphe"/>
        <w:rPr>
          <w:lang w:val="en-CA"/>
        </w:rPr>
      </w:pPr>
      <w:r w:rsidRPr="002F6CBB">
        <w:rPr>
          <w:lang w:val="en-CA"/>
        </w:rPr>
        <w:t xml:space="preserve">Because Officer Lamothe was the passenger, she </w:t>
      </w:r>
      <w:r w:rsidR="005F2D4E">
        <w:rPr>
          <w:lang w:val="en-CA"/>
        </w:rPr>
        <w:t xml:space="preserve">did the </w:t>
      </w:r>
      <w:r w:rsidR="00143BB1">
        <w:rPr>
          <w:lang w:val="en-CA"/>
        </w:rPr>
        <w:t>searche</w:t>
      </w:r>
      <w:r w:rsidR="005F2D4E">
        <w:rPr>
          <w:lang w:val="en-CA"/>
        </w:rPr>
        <w:t>s</w:t>
      </w:r>
      <w:r w:rsidRPr="002F6CBB">
        <w:rPr>
          <w:lang w:val="en-CA"/>
        </w:rPr>
        <w:t xml:space="preserve"> using the computer </w:t>
      </w:r>
      <w:r w:rsidR="005F2D4E">
        <w:rPr>
          <w:lang w:val="en-CA"/>
        </w:rPr>
        <w:t>in</w:t>
      </w:r>
      <w:r w:rsidRPr="002F6CBB">
        <w:rPr>
          <w:lang w:val="en-CA"/>
        </w:rPr>
        <w:t xml:space="preserve"> the patrol car</w:t>
      </w:r>
      <w:r w:rsidR="005F2D4E" w:rsidRPr="005F2D4E">
        <w:rPr>
          <w:lang w:val="en-CA"/>
        </w:rPr>
        <w:t xml:space="preserve"> </w:t>
      </w:r>
      <w:r w:rsidR="005F2D4E" w:rsidRPr="002F6CBB">
        <w:rPr>
          <w:lang w:val="en-CA"/>
        </w:rPr>
        <w:t>for this purpose</w:t>
      </w:r>
      <w:r w:rsidRPr="002F6CBB">
        <w:rPr>
          <w:lang w:val="en-CA"/>
        </w:rPr>
        <w:t>.</w:t>
      </w:r>
      <w:r w:rsidR="00BC67BE" w:rsidRPr="002F6CBB">
        <w:rPr>
          <w:lang w:val="en-CA"/>
        </w:rPr>
        <w:t xml:space="preserve"> </w:t>
      </w:r>
      <w:r w:rsidRPr="002F6CBB">
        <w:rPr>
          <w:lang w:val="en-CA"/>
        </w:rPr>
        <w:t xml:space="preserve">According to her testimony, she selected the vehicles to </w:t>
      </w:r>
      <w:r w:rsidR="00143BB1">
        <w:rPr>
          <w:lang w:val="en-CA"/>
        </w:rPr>
        <w:t xml:space="preserve">search </w:t>
      </w:r>
      <w:r w:rsidRPr="002F6CBB">
        <w:rPr>
          <w:lang w:val="en-CA"/>
        </w:rPr>
        <w:t>at random.</w:t>
      </w:r>
    </w:p>
    <w:p w14:paraId="4B43312D" w14:textId="7ABAFF7A" w:rsidR="00BA6BB5" w:rsidRPr="002F6CBB" w:rsidRDefault="000F209C" w:rsidP="00185A28">
      <w:pPr>
        <w:pStyle w:val="Paragraphe"/>
        <w:rPr>
          <w:lang w:val="en-CA"/>
        </w:rPr>
      </w:pPr>
      <w:r w:rsidRPr="009B45B1">
        <w:rPr>
          <w:lang w:val="en-CA"/>
        </w:rPr>
        <w:t>According to Mr. Woodley</w:t>
      </w:r>
      <w:r w:rsidRPr="002F6CBB">
        <w:rPr>
          <w:lang w:val="en-CA"/>
        </w:rPr>
        <w:t>, the officers were driving approximately 2.5 km ahead of him.</w:t>
      </w:r>
      <w:r w:rsidR="00BC67BE" w:rsidRPr="002F6CBB">
        <w:rPr>
          <w:lang w:val="en-CA"/>
        </w:rPr>
        <w:t xml:space="preserve"> </w:t>
      </w:r>
      <w:r w:rsidRPr="002F6CBB">
        <w:rPr>
          <w:lang w:val="en-CA"/>
        </w:rPr>
        <w:t xml:space="preserve">He </w:t>
      </w:r>
      <w:r w:rsidR="00B96202">
        <w:rPr>
          <w:lang w:val="en-CA"/>
        </w:rPr>
        <w:t>eventually</w:t>
      </w:r>
      <w:r w:rsidRPr="002F6CBB">
        <w:rPr>
          <w:lang w:val="en-CA"/>
        </w:rPr>
        <w:t xml:space="preserve"> passed them at the intersection of </w:t>
      </w:r>
      <w:proofErr w:type="spellStart"/>
      <w:r w:rsidRPr="002F6CBB">
        <w:rPr>
          <w:lang w:val="en-CA"/>
        </w:rPr>
        <w:t>Curé</w:t>
      </w:r>
      <w:proofErr w:type="spellEnd"/>
      <w:r w:rsidRPr="002F6CBB">
        <w:rPr>
          <w:lang w:val="en-CA"/>
        </w:rPr>
        <w:t>-Labelle Boulevard and Saint-Martin West Boulevard, whe</w:t>
      </w:r>
      <w:r w:rsidR="009D00DE">
        <w:rPr>
          <w:lang w:val="en-CA"/>
        </w:rPr>
        <w:t>re</w:t>
      </w:r>
      <w:r w:rsidRPr="002F6CBB">
        <w:rPr>
          <w:lang w:val="en-CA"/>
        </w:rPr>
        <w:t xml:space="preserve"> they were stopped in the left lane.</w:t>
      </w:r>
      <w:r w:rsidR="00BC67BE" w:rsidRPr="002F6CBB">
        <w:rPr>
          <w:lang w:val="en-CA"/>
        </w:rPr>
        <w:t xml:space="preserve"> </w:t>
      </w:r>
      <w:r w:rsidRPr="002F6CBB">
        <w:rPr>
          <w:lang w:val="en-CA"/>
        </w:rPr>
        <w:t>In doing</w:t>
      </w:r>
      <w:r w:rsidR="00653B04">
        <w:rPr>
          <w:lang w:val="en-CA"/>
        </w:rPr>
        <w:t xml:space="preserve"> so</w:t>
      </w:r>
      <w:r w:rsidRPr="002F6CBB">
        <w:rPr>
          <w:lang w:val="en-CA"/>
        </w:rPr>
        <w:t>, his eyes met those of Officer Lamothe.</w:t>
      </w:r>
    </w:p>
    <w:p w14:paraId="6BC26735" w14:textId="4D15A76D" w:rsidR="00BA6BB5" w:rsidRPr="002F6CBB" w:rsidRDefault="000F209C" w:rsidP="00185A28">
      <w:pPr>
        <w:pStyle w:val="Paragraphe"/>
        <w:rPr>
          <w:lang w:val="en-CA"/>
        </w:rPr>
      </w:pPr>
      <w:bookmarkStart w:id="4" w:name="_Hlk145020043"/>
      <w:r w:rsidRPr="002F6CBB">
        <w:rPr>
          <w:lang w:val="en-CA"/>
        </w:rPr>
        <w:t>According to the officers, they encountered Mr. Woodley twice.</w:t>
      </w:r>
      <w:r w:rsidR="00BC67BE" w:rsidRPr="002F6CBB">
        <w:rPr>
          <w:lang w:val="en-CA"/>
        </w:rPr>
        <w:t xml:space="preserve"> </w:t>
      </w:r>
      <w:bookmarkStart w:id="5" w:name="_Hlk145024380"/>
      <w:r w:rsidR="00DE771D" w:rsidRPr="002F6CBB">
        <w:rPr>
          <w:lang w:val="en-CA"/>
        </w:rPr>
        <w:t xml:space="preserve">They were behind Mr. Woodley </w:t>
      </w:r>
      <w:r w:rsidR="00B96202">
        <w:rPr>
          <w:lang w:val="en-CA"/>
        </w:rPr>
        <w:t>as they</w:t>
      </w:r>
      <w:r w:rsidR="00DE771D" w:rsidRPr="002F6CBB">
        <w:rPr>
          <w:lang w:val="en-CA"/>
        </w:rPr>
        <w:t xml:space="preserve"> approach</w:t>
      </w:r>
      <w:r w:rsidR="00B96202">
        <w:rPr>
          <w:lang w:val="en-CA"/>
        </w:rPr>
        <w:t>ed</w:t>
      </w:r>
      <w:r w:rsidR="00DE771D" w:rsidRPr="002F6CBB">
        <w:rPr>
          <w:lang w:val="en-CA"/>
        </w:rPr>
        <w:t xml:space="preserve"> the intersection</w:t>
      </w:r>
      <w:r w:rsidR="00B96202">
        <w:rPr>
          <w:lang w:val="en-CA"/>
        </w:rPr>
        <w:t>,</w:t>
      </w:r>
      <w:r w:rsidR="00DE771D" w:rsidRPr="002F6CBB">
        <w:rPr>
          <w:lang w:val="en-CA"/>
        </w:rPr>
        <w:t xml:space="preserve"> while Officer Lamothe was </w:t>
      </w:r>
      <w:r w:rsidR="009D00DE">
        <w:rPr>
          <w:lang w:val="en-CA"/>
        </w:rPr>
        <w:t xml:space="preserve">running </w:t>
      </w:r>
      <w:r w:rsidR="00DE771D" w:rsidRPr="002F6CBB">
        <w:rPr>
          <w:lang w:val="en-CA"/>
        </w:rPr>
        <w:t>the licence plate of the car he was driving at the same time as other vehicles around them.</w:t>
      </w:r>
      <w:r w:rsidR="00DE771D" w:rsidRPr="002F6CBB">
        <w:rPr>
          <w:rStyle w:val="Appelnotedebasdep"/>
          <w:rFonts w:cs="Arial"/>
          <w:szCs w:val="24"/>
          <w:lang w:val="en-CA"/>
        </w:rPr>
        <w:footnoteReference w:id="4"/>
      </w:r>
      <w:r w:rsidR="00BC67BE" w:rsidRPr="002F6CBB">
        <w:rPr>
          <w:lang w:val="en-CA"/>
        </w:rPr>
        <w:t xml:space="preserve"> </w:t>
      </w:r>
      <w:r w:rsidR="00DE771D" w:rsidRPr="002F6CBB">
        <w:rPr>
          <w:lang w:val="en-CA"/>
        </w:rPr>
        <w:lastRenderedPageBreak/>
        <w:t>They passed Mr. Woodley a first time when they moved into the lane to turn left on Saint-Martin Boulevard West.</w:t>
      </w:r>
      <w:r w:rsidR="00BC67BE" w:rsidRPr="002F6CBB">
        <w:rPr>
          <w:i/>
          <w:iCs/>
          <w:lang w:val="en-CA"/>
        </w:rPr>
        <w:t xml:space="preserve"> </w:t>
      </w:r>
      <w:bookmarkEnd w:id="5"/>
      <w:r w:rsidR="00653B04">
        <w:rPr>
          <w:lang w:val="en-CA"/>
        </w:rPr>
        <w:t>Subsequently</w:t>
      </w:r>
      <w:r w:rsidR="00DE771D" w:rsidRPr="002F6CBB">
        <w:rPr>
          <w:lang w:val="en-CA"/>
        </w:rPr>
        <w:t>, wh</w:t>
      </w:r>
      <w:r w:rsidR="009D00DE">
        <w:rPr>
          <w:lang w:val="en-CA"/>
        </w:rPr>
        <w:t>ile</w:t>
      </w:r>
      <w:r w:rsidR="00DE771D" w:rsidRPr="002F6CBB">
        <w:rPr>
          <w:lang w:val="en-CA"/>
        </w:rPr>
        <w:t xml:space="preserve"> </w:t>
      </w:r>
      <w:r w:rsidR="009D00DE">
        <w:rPr>
          <w:lang w:val="en-CA"/>
        </w:rPr>
        <w:t xml:space="preserve">they were </w:t>
      </w:r>
      <w:r w:rsidR="00DE771D" w:rsidRPr="002F6CBB">
        <w:rPr>
          <w:lang w:val="en-CA"/>
        </w:rPr>
        <w:t xml:space="preserve">stopped at the traffic light, Mr. Woodley passed them when </w:t>
      </w:r>
      <w:r w:rsidR="009D00DE">
        <w:rPr>
          <w:lang w:val="en-CA"/>
        </w:rPr>
        <w:t xml:space="preserve">his </w:t>
      </w:r>
      <w:r w:rsidR="00DE771D" w:rsidRPr="002F6CBB">
        <w:rPr>
          <w:lang w:val="en-CA"/>
        </w:rPr>
        <w:t>light turned green.</w:t>
      </w:r>
    </w:p>
    <w:bookmarkEnd w:id="4"/>
    <w:p w14:paraId="1BFE509F" w14:textId="39FB2A42" w:rsidR="00BA6BB5" w:rsidRPr="002F6CBB" w:rsidRDefault="00DE771D" w:rsidP="00185A28">
      <w:pPr>
        <w:pStyle w:val="Paragraphe"/>
        <w:rPr>
          <w:lang w:val="en-CA"/>
        </w:rPr>
      </w:pPr>
      <w:r w:rsidRPr="002F6CBB">
        <w:rPr>
          <w:lang w:val="en-CA"/>
        </w:rPr>
        <w:t>Mr. Woodley continued driving and turned left on Loranger St</w:t>
      </w:r>
      <w:r w:rsidR="009D00DE">
        <w:rPr>
          <w:lang w:val="en-CA"/>
        </w:rPr>
        <w:t>reet</w:t>
      </w:r>
      <w:r w:rsidRPr="002F6CBB">
        <w:rPr>
          <w:lang w:val="en-CA"/>
        </w:rPr>
        <w:t xml:space="preserve"> to go to the store and shop for his gym.</w:t>
      </w:r>
      <w:r w:rsidRPr="002F6CBB">
        <w:rPr>
          <w:rStyle w:val="Appelnotedebasdep"/>
          <w:rFonts w:cs="Arial"/>
          <w:szCs w:val="24"/>
          <w:lang w:val="en-CA"/>
        </w:rPr>
        <w:footnoteReference w:id="5"/>
      </w:r>
      <w:r w:rsidR="00F24F14" w:rsidRPr="002F6CBB">
        <w:rPr>
          <w:lang w:val="en-CA"/>
        </w:rPr>
        <w:t xml:space="preserve"> </w:t>
      </w:r>
      <w:r w:rsidRPr="002F6CBB">
        <w:rPr>
          <w:lang w:val="en-CA"/>
        </w:rPr>
        <w:t xml:space="preserve">The officers changed direction and followed him to </w:t>
      </w:r>
      <w:r w:rsidR="003665C9">
        <w:rPr>
          <w:lang w:val="en-CA"/>
        </w:rPr>
        <w:t xml:space="preserve">intercept </w:t>
      </w:r>
      <w:r w:rsidRPr="002F6CBB">
        <w:rPr>
          <w:lang w:val="en-CA"/>
        </w:rPr>
        <w:t>him. They turned on the flashing lights and, he claims, the siren as well.</w:t>
      </w:r>
      <w:r w:rsidR="00F24F14" w:rsidRPr="002F6CBB">
        <w:rPr>
          <w:lang w:val="en-CA"/>
        </w:rPr>
        <w:t xml:space="preserve"> </w:t>
      </w:r>
      <w:r w:rsidRPr="002F6CBB">
        <w:rPr>
          <w:lang w:val="en-CA"/>
        </w:rPr>
        <w:t xml:space="preserve">According to the information from the </w:t>
      </w:r>
      <w:r w:rsidR="00EE21D1">
        <w:rPr>
          <w:lang w:val="en-CA"/>
        </w:rPr>
        <w:t>QPIC</w:t>
      </w:r>
      <w:r w:rsidRPr="002F6CBB">
        <w:rPr>
          <w:lang w:val="en-CA"/>
        </w:rPr>
        <w:t>, the car Mr. Woodley was driving belonged to a woman</w:t>
      </w:r>
      <w:r w:rsidR="00B96202">
        <w:rPr>
          <w:lang w:val="en-CA"/>
        </w:rPr>
        <w:t>,</w:t>
      </w:r>
      <w:r w:rsidRPr="002F6CBB">
        <w:rPr>
          <w:lang w:val="en-CA"/>
        </w:rPr>
        <w:t xml:space="preserve"> and no man </w:t>
      </w:r>
      <w:r w:rsidR="009D00DE">
        <w:rPr>
          <w:lang w:val="en-CA"/>
        </w:rPr>
        <w:t xml:space="preserve">with </w:t>
      </w:r>
      <w:r w:rsidRPr="002F6CBB">
        <w:rPr>
          <w:lang w:val="en-CA"/>
        </w:rPr>
        <w:t xml:space="preserve">a driver’s licence </w:t>
      </w:r>
      <w:r w:rsidR="009D00DE">
        <w:rPr>
          <w:lang w:val="en-CA"/>
        </w:rPr>
        <w:t xml:space="preserve">was </w:t>
      </w:r>
      <w:r w:rsidR="009D00DE" w:rsidRPr="002F6CBB">
        <w:rPr>
          <w:lang w:val="en-CA"/>
        </w:rPr>
        <w:t xml:space="preserve">registered </w:t>
      </w:r>
      <w:r w:rsidRPr="002F6CBB">
        <w:rPr>
          <w:lang w:val="en-CA"/>
        </w:rPr>
        <w:t>at that woman’s address.</w:t>
      </w:r>
      <w:r w:rsidR="00F24F14" w:rsidRPr="002F6CBB">
        <w:rPr>
          <w:lang w:val="en-CA"/>
        </w:rPr>
        <w:t xml:space="preserve"> </w:t>
      </w:r>
    </w:p>
    <w:p w14:paraId="06679AB0" w14:textId="73745496" w:rsidR="00BA6BB5" w:rsidRPr="002F6CBB" w:rsidRDefault="00DE771D" w:rsidP="00185A28">
      <w:pPr>
        <w:pStyle w:val="Paragraphe"/>
        <w:rPr>
          <w:lang w:val="en-CA"/>
        </w:rPr>
      </w:pPr>
      <w:r w:rsidRPr="002F6CBB">
        <w:rPr>
          <w:lang w:val="en-CA"/>
        </w:rPr>
        <w:t xml:space="preserve">Mr. Woodley </w:t>
      </w:r>
      <w:r w:rsidR="00C66791">
        <w:rPr>
          <w:lang w:val="en-CA"/>
        </w:rPr>
        <w:t>compli</w:t>
      </w:r>
      <w:r w:rsidR="00E82505">
        <w:rPr>
          <w:lang w:val="en-CA"/>
        </w:rPr>
        <w:t>ed</w:t>
      </w:r>
      <w:r w:rsidRPr="002F6CBB">
        <w:rPr>
          <w:lang w:val="en-CA"/>
        </w:rPr>
        <w:t xml:space="preserve"> and </w:t>
      </w:r>
      <w:r w:rsidR="00B96202">
        <w:rPr>
          <w:lang w:val="en-CA"/>
        </w:rPr>
        <w:t>pulled</w:t>
      </w:r>
      <w:r w:rsidRPr="002F6CBB">
        <w:rPr>
          <w:lang w:val="en-CA"/>
        </w:rPr>
        <w:t xml:space="preserve"> his car</w:t>
      </w:r>
      <w:r w:rsidR="00B96202">
        <w:rPr>
          <w:lang w:val="en-CA"/>
        </w:rPr>
        <w:t xml:space="preserve"> over</w:t>
      </w:r>
      <w:r w:rsidRPr="002F6CBB">
        <w:rPr>
          <w:lang w:val="en-CA"/>
        </w:rPr>
        <w:t>.</w:t>
      </w:r>
      <w:r w:rsidR="00BC67BE" w:rsidRPr="002F6CBB">
        <w:rPr>
          <w:lang w:val="en-CA"/>
        </w:rPr>
        <w:t xml:space="preserve"> </w:t>
      </w:r>
      <w:r w:rsidRPr="002F6CBB">
        <w:rPr>
          <w:lang w:val="en-CA"/>
        </w:rPr>
        <w:t>The officers got out of the</w:t>
      </w:r>
      <w:r w:rsidR="009D00DE">
        <w:rPr>
          <w:lang w:val="en-CA"/>
        </w:rPr>
        <w:t>ir</w:t>
      </w:r>
      <w:r w:rsidRPr="002F6CBB">
        <w:rPr>
          <w:lang w:val="en-CA"/>
        </w:rPr>
        <w:t xml:space="preserve"> patrol car and moved to the side of his vehicle. Officer </w:t>
      </w:r>
      <w:proofErr w:type="spellStart"/>
      <w:r w:rsidRPr="002F6CBB">
        <w:rPr>
          <w:lang w:val="en-CA"/>
        </w:rPr>
        <w:t>Beaulac</w:t>
      </w:r>
      <w:proofErr w:type="spellEnd"/>
      <w:r w:rsidRPr="002F6CBB">
        <w:rPr>
          <w:lang w:val="en-CA"/>
        </w:rPr>
        <w:t xml:space="preserve"> was on the driver’s side</w:t>
      </w:r>
      <w:r w:rsidR="00B96202">
        <w:rPr>
          <w:lang w:val="en-CA"/>
        </w:rPr>
        <w:t>,</w:t>
      </w:r>
      <w:r w:rsidRPr="002F6CBB">
        <w:rPr>
          <w:lang w:val="en-CA"/>
        </w:rPr>
        <w:t xml:space="preserve"> and Officer Lamothe was on the passenger side.</w:t>
      </w:r>
    </w:p>
    <w:p w14:paraId="4FA60AE2" w14:textId="54BD5267" w:rsidR="00BA6BB5" w:rsidRPr="002F6CBB" w:rsidRDefault="00DE771D" w:rsidP="00185A28">
      <w:pPr>
        <w:pStyle w:val="Paragraphe"/>
        <w:rPr>
          <w:lang w:val="en-CA"/>
        </w:rPr>
      </w:pPr>
      <w:r w:rsidRPr="002F6CBB">
        <w:rPr>
          <w:lang w:val="en-CA"/>
        </w:rPr>
        <w:t xml:space="preserve">Mr. Woodley did not understand why he was being </w:t>
      </w:r>
      <w:r w:rsidR="003665C9">
        <w:rPr>
          <w:lang w:val="en-CA"/>
        </w:rPr>
        <w:t>intercept</w:t>
      </w:r>
      <w:r w:rsidR="00E82505">
        <w:rPr>
          <w:lang w:val="en-CA"/>
        </w:rPr>
        <w:t>ed</w:t>
      </w:r>
      <w:r w:rsidRPr="002F6CBB">
        <w:rPr>
          <w:lang w:val="en-CA"/>
        </w:rPr>
        <w:t>.</w:t>
      </w:r>
      <w:r w:rsidR="00BC67BE" w:rsidRPr="002F6CBB">
        <w:rPr>
          <w:lang w:val="en-CA"/>
        </w:rPr>
        <w:t xml:space="preserve"> </w:t>
      </w:r>
      <w:r w:rsidRPr="002F6CBB">
        <w:rPr>
          <w:lang w:val="en-CA"/>
        </w:rPr>
        <w:t xml:space="preserve">He was angry and </w:t>
      </w:r>
      <w:r w:rsidR="009D00DE">
        <w:rPr>
          <w:lang w:val="en-CA"/>
        </w:rPr>
        <w:t>expressed his dis</w:t>
      </w:r>
      <w:r w:rsidR="00AB5D1A">
        <w:rPr>
          <w:lang w:val="en-CA"/>
        </w:rPr>
        <w:t>pleas</w:t>
      </w:r>
      <w:r w:rsidR="0077092E">
        <w:rPr>
          <w:lang w:val="en-CA"/>
        </w:rPr>
        <w:t>ure</w:t>
      </w:r>
      <w:r w:rsidRPr="002F6CBB">
        <w:rPr>
          <w:lang w:val="en-CA"/>
        </w:rPr>
        <w:t xml:space="preserve">, all while filming the </w:t>
      </w:r>
      <w:r w:rsidR="00C35DCB">
        <w:rPr>
          <w:lang w:val="en-CA"/>
        </w:rPr>
        <w:t>interception</w:t>
      </w:r>
      <w:r w:rsidRPr="002F6CBB">
        <w:rPr>
          <w:lang w:val="en-CA"/>
        </w:rPr>
        <w:t>.</w:t>
      </w:r>
      <w:r w:rsidRPr="002F6CBB">
        <w:rPr>
          <w:rStyle w:val="Appelnotedebasdep"/>
          <w:rFonts w:cs="Arial"/>
          <w:szCs w:val="24"/>
          <w:lang w:val="en-CA"/>
        </w:rPr>
        <w:footnoteReference w:id="6"/>
      </w:r>
      <w:r w:rsidR="00BC67BE" w:rsidRPr="002F6CBB">
        <w:rPr>
          <w:lang w:val="en-CA"/>
        </w:rPr>
        <w:t xml:space="preserve"> </w:t>
      </w:r>
      <w:r w:rsidRPr="002F6CBB">
        <w:rPr>
          <w:lang w:val="en-CA"/>
        </w:rPr>
        <w:t xml:space="preserve">Officer Lamothe </w:t>
      </w:r>
      <w:r w:rsidR="00AB5D1A">
        <w:rPr>
          <w:lang w:val="en-CA"/>
        </w:rPr>
        <w:t xml:space="preserve">announced over the SPL radio </w:t>
      </w:r>
      <w:r w:rsidRPr="002F6CBB">
        <w:rPr>
          <w:lang w:val="en-CA"/>
        </w:rPr>
        <w:t xml:space="preserve">that things were </w:t>
      </w:r>
      <w:r w:rsidR="00AB5D1A">
        <w:rPr>
          <w:rFonts w:cs="Arial"/>
          <w:lang w:val="en-CA"/>
        </w:rPr>
        <w:t>[</w:t>
      </w:r>
      <w:r w:rsidR="00AB5D1A">
        <w:rPr>
          <w:rFonts w:cs="Arial"/>
          <w:smallCaps/>
          <w:lang w:val="en-CA"/>
        </w:rPr>
        <w:t>translation</w:t>
      </w:r>
      <w:r w:rsidR="00AB5D1A">
        <w:rPr>
          <w:rFonts w:cs="Arial"/>
          <w:lang w:val="en-CA"/>
        </w:rPr>
        <w:t>]</w:t>
      </w:r>
      <w:r w:rsidR="00AB5D1A">
        <w:rPr>
          <w:lang w:val="en-CA"/>
        </w:rPr>
        <w:t xml:space="preserve"> </w:t>
      </w:r>
      <w:r w:rsidRPr="002F6CBB">
        <w:rPr>
          <w:lang w:val="en-CA"/>
        </w:rPr>
        <w:t xml:space="preserve">“not </w:t>
      </w:r>
      <w:r w:rsidR="00AB5D1A">
        <w:rPr>
          <w:lang w:val="en-CA"/>
        </w:rPr>
        <w:t>really</w:t>
      </w:r>
      <w:r w:rsidRPr="002F6CBB">
        <w:rPr>
          <w:lang w:val="en-CA"/>
        </w:rPr>
        <w:t xml:space="preserve">, </w:t>
      </w:r>
      <w:r w:rsidR="00AB5D1A">
        <w:rPr>
          <w:lang w:val="en-CA"/>
        </w:rPr>
        <w:t xml:space="preserve">really </w:t>
      </w:r>
      <w:r w:rsidRPr="002F6CBB">
        <w:rPr>
          <w:lang w:val="en-CA"/>
        </w:rPr>
        <w:t>under control at the moment”.</w:t>
      </w:r>
      <w:r w:rsidRPr="002F6CBB">
        <w:rPr>
          <w:rStyle w:val="Appelnotedebasdep"/>
          <w:rFonts w:cs="Arial"/>
          <w:szCs w:val="24"/>
          <w:lang w:val="en-CA"/>
        </w:rPr>
        <w:footnoteReference w:id="7"/>
      </w:r>
    </w:p>
    <w:p w14:paraId="2FFC5BBD" w14:textId="1B2E8B45" w:rsidR="00BA6BB5" w:rsidRPr="002F6CBB" w:rsidRDefault="00DE771D" w:rsidP="00185A28">
      <w:pPr>
        <w:pStyle w:val="Paragraphe"/>
        <w:rPr>
          <w:lang w:val="en-CA"/>
        </w:rPr>
      </w:pPr>
      <w:r w:rsidRPr="002F6CBB">
        <w:rPr>
          <w:lang w:val="en-CA"/>
        </w:rPr>
        <w:t xml:space="preserve">Mr. Woodley </w:t>
      </w:r>
      <w:r w:rsidR="00AB5D1A">
        <w:rPr>
          <w:lang w:val="en-CA"/>
        </w:rPr>
        <w:t xml:space="preserve">asked </w:t>
      </w:r>
      <w:r w:rsidR="003665C9">
        <w:rPr>
          <w:lang w:val="en-CA"/>
        </w:rPr>
        <w:t>the reason for his interception</w:t>
      </w:r>
      <w:r w:rsidRPr="002F6CBB">
        <w:rPr>
          <w:lang w:val="en-CA"/>
        </w:rPr>
        <w:t>.</w:t>
      </w:r>
      <w:r w:rsidR="00BC67BE" w:rsidRPr="002F6CBB">
        <w:rPr>
          <w:lang w:val="en-CA"/>
        </w:rPr>
        <w:t xml:space="preserve"> </w:t>
      </w:r>
      <w:r w:rsidRPr="002F6CBB">
        <w:rPr>
          <w:lang w:val="en-CA"/>
        </w:rPr>
        <w:t xml:space="preserve">Officer </w:t>
      </w:r>
      <w:proofErr w:type="spellStart"/>
      <w:r w:rsidRPr="002F6CBB">
        <w:rPr>
          <w:lang w:val="en-CA"/>
        </w:rPr>
        <w:t>Beaulac</w:t>
      </w:r>
      <w:proofErr w:type="spellEnd"/>
      <w:r w:rsidRPr="002F6CBB">
        <w:rPr>
          <w:lang w:val="en-CA"/>
        </w:rPr>
        <w:t xml:space="preserve"> answered that the vehicle was registered in the name of a woman and that </w:t>
      </w:r>
      <w:r w:rsidR="00AB5D1A">
        <w:rPr>
          <w:lang w:val="en-CA"/>
        </w:rPr>
        <w:t xml:space="preserve">there was </w:t>
      </w:r>
      <w:r w:rsidRPr="002F6CBB">
        <w:rPr>
          <w:lang w:val="en-CA"/>
        </w:rPr>
        <w:t xml:space="preserve">no man living at </w:t>
      </w:r>
      <w:r w:rsidR="00AB5D1A">
        <w:rPr>
          <w:lang w:val="en-CA"/>
        </w:rPr>
        <w:t xml:space="preserve">the owner’s </w:t>
      </w:r>
      <w:r w:rsidRPr="002F6CBB">
        <w:rPr>
          <w:lang w:val="en-CA"/>
        </w:rPr>
        <w:t>address according to their information.</w:t>
      </w:r>
      <w:r w:rsidR="00BC67BE" w:rsidRPr="002F6CBB">
        <w:rPr>
          <w:lang w:val="en-CA"/>
        </w:rPr>
        <w:t xml:space="preserve"> </w:t>
      </w:r>
      <w:r w:rsidRPr="002F6CBB">
        <w:rPr>
          <w:lang w:val="en-CA"/>
        </w:rPr>
        <w:t>This explanation upset Mr. Woodley.</w:t>
      </w:r>
      <w:r w:rsidR="00BC67BE" w:rsidRPr="002F6CBB">
        <w:rPr>
          <w:lang w:val="en-CA"/>
        </w:rPr>
        <w:t xml:space="preserve"> </w:t>
      </w:r>
      <w:r w:rsidRPr="002F6CBB">
        <w:rPr>
          <w:lang w:val="en-CA"/>
        </w:rPr>
        <w:t xml:space="preserve">He </w:t>
      </w:r>
      <w:r w:rsidR="00591D79">
        <w:rPr>
          <w:lang w:val="en-CA"/>
        </w:rPr>
        <w:t>inform</w:t>
      </w:r>
      <w:r w:rsidR="008A3995">
        <w:rPr>
          <w:lang w:val="en-CA"/>
        </w:rPr>
        <w:t>ed</w:t>
      </w:r>
      <w:r w:rsidR="00591D79" w:rsidRPr="002F6CBB">
        <w:rPr>
          <w:lang w:val="en-CA"/>
        </w:rPr>
        <w:t xml:space="preserve"> </w:t>
      </w:r>
      <w:r w:rsidRPr="002F6CBB">
        <w:rPr>
          <w:lang w:val="en-CA"/>
        </w:rPr>
        <w:t xml:space="preserve">the officers that it was his </w:t>
      </w:r>
      <w:r w:rsidR="00AB5D1A">
        <w:rPr>
          <w:lang w:val="en-CA"/>
        </w:rPr>
        <w:t>wife</w:t>
      </w:r>
      <w:r w:rsidRPr="002F6CBB">
        <w:rPr>
          <w:lang w:val="en-CA"/>
        </w:rPr>
        <w:t>’s car.</w:t>
      </w:r>
    </w:p>
    <w:p w14:paraId="7F58411E" w14:textId="2E229D88" w:rsidR="00BA6BB5" w:rsidRPr="002F6CBB" w:rsidRDefault="00DE771D" w:rsidP="00185A28">
      <w:pPr>
        <w:pStyle w:val="Paragraphe"/>
        <w:rPr>
          <w:lang w:val="en-CA"/>
        </w:rPr>
      </w:pPr>
      <w:r w:rsidRPr="002F6CBB">
        <w:rPr>
          <w:lang w:val="en-CA"/>
        </w:rPr>
        <w:t xml:space="preserve">Mr. Woodley protested at least </w:t>
      </w:r>
      <w:r w:rsidR="00B9301D">
        <w:rPr>
          <w:lang w:val="en-CA"/>
        </w:rPr>
        <w:t>twice</w:t>
      </w:r>
      <w:r w:rsidRPr="002F6CBB">
        <w:rPr>
          <w:lang w:val="en-CA"/>
        </w:rPr>
        <w:t xml:space="preserve"> </w:t>
      </w:r>
      <w:r w:rsidR="00B9301D">
        <w:rPr>
          <w:lang w:val="en-CA"/>
        </w:rPr>
        <w:t>as</w:t>
      </w:r>
      <w:r w:rsidRPr="002F6CBB">
        <w:rPr>
          <w:lang w:val="en-CA"/>
        </w:rPr>
        <w:t xml:space="preserve"> he was convinced </w:t>
      </w:r>
      <w:r w:rsidR="003665C9">
        <w:rPr>
          <w:lang w:val="en-CA"/>
        </w:rPr>
        <w:t xml:space="preserve">that he </w:t>
      </w:r>
      <w:r w:rsidR="001D2841">
        <w:rPr>
          <w:lang w:val="en-CA"/>
        </w:rPr>
        <w:t>was</w:t>
      </w:r>
      <w:r w:rsidR="003665C9">
        <w:rPr>
          <w:lang w:val="en-CA"/>
        </w:rPr>
        <w:t xml:space="preserve"> being intercepted </w:t>
      </w:r>
      <w:r w:rsidRPr="002F6CBB">
        <w:rPr>
          <w:lang w:val="en-CA"/>
        </w:rPr>
        <w:t xml:space="preserve">because he </w:t>
      </w:r>
      <w:r w:rsidR="00AB5D1A">
        <w:rPr>
          <w:lang w:val="en-CA"/>
        </w:rPr>
        <w:t>i</w:t>
      </w:r>
      <w:r w:rsidRPr="002F6CBB">
        <w:rPr>
          <w:lang w:val="en-CA"/>
        </w:rPr>
        <w:t xml:space="preserve">s </w:t>
      </w:r>
      <w:r w:rsidR="00AB5D1A">
        <w:rPr>
          <w:rFonts w:cs="Arial"/>
          <w:lang w:val="en-CA"/>
        </w:rPr>
        <w:t>[</w:t>
      </w:r>
      <w:r w:rsidR="00AB5D1A">
        <w:rPr>
          <w:rFonts w:cs="Arial"/>
          <w:smallCaps/>
          <w:lang w:val="en-CA"/>
        </w:rPr>
        <w:t>translation</w:t>
      </w:r>
      <w:r w:rsidR="00AB5D1A">
        <w:rPr>
          <w:rFonts w:cs="Arial"/>
          <w:lang w:val="en-CA"/>
        </w:rPr>
        <w:t>]</w:t>
      </w:r>
      <w:r w:rsidR="00AB5D1A">
        <w:rPr>
          <w:lang w:val="en-CA"/>
        </w:rPr>
        <w:t xml:space="preserve"> </w:t>
      </w:r>
      <w:r w:rsidRPr="002F6CBB">
        <w:rPr>
          <w:lang w:val="en-CA"/>
        </w:rPr>
        <w:t>“</w:t>
      </w:r>
      <w:r w:rsidR="00C14519">
        <w:rPr>
          <w:lang w:val="en-CA"/>
        </w:rPr>
        <w:t>Black</w:t>
      </w:r>
      <w:r w:rsidRPr="002F6CBB">
        <w:rPr>
          <w:lang w:val="en-CA"/>
        </w:rPr>
        <w:t>”.</w:t>
      </w:r>
      <w:r w:rsidR="00BC67BE" w:rsidRPr="002F6CBB">
        <w:rPr>
          <w:lang w:val="en-CA"/>
        </w:rPr>
        <w:t xml:space="preserve"> </w:t>
      </w:r>
      <w:r w:rsidRPr="002F6CBB">
        <w:rPr>
          <w:lang w:val="en-CA"/>
        </w:rPr>
        <w:t xml:space="preserve">He was speaking loudly and was </w:t>
      </w:r>
      <w:r w:rsidR="00AB5D1A" w:rsidRPr="002F6CBB">
        <w:rPr>
          <w:lang w:val="en-CA"/>
        </w:rPr>
        <w:t>visibly</w:t>
      </w:r>
      <w:r w:rsidRPr="002F6CBB">
        <w:rPr>
          <w:lang w:val="en-CA"/>
        </w:rPr>
        <w:t xml:space="preserve"> angry.</w:t>
      </w:r>
      <w:r w:rsidR="00BC67BE" w:rsidRPr="002F6CBB">
        <w:rPr>
          <w:lang w:val="en-CA"/>
        </w:rPr>
        <w:t xml:space="preserve"> </w:t>
      </w:r>
      <w:r w:rsidRPr="002F6CBB">
        <w:rPr>
          <w:lang w:val="en-CA"/>
        </w:rPr>
        <w:t xml:space="preserve">He interrupted Officer </w:t>
      </w:r>
      <w:proofErr w:type="spellStart"/>
      <w:r w:rsidRPr="002F6CBB">
        <w:rPr>
          <w:lang w:val="en-CA"/>
        </w:rPr>
        <w:t>Beaulac</w:t>
      </w:r>
      <w:proofErr w:type="spellEnd"/>
      <w:r w:rsidRPr="002F6CBB">
        <w:rPr>
          <w:lang w:val="en-CA"/>
        </w:rPr>
        <w:t xml:space="preserve">, who </w:t>
      </w:r>
      <w:r w:rsidR="00AB5D1A">
        <w:rPr>
          <w:lang w:val="en-CA"/>
        </w:rPr>
        <w:t>was having</w:t>
      </w:r>
      <w:r w:rsidRPr="002F6CBB">
        <w:rPr>
          <w:lang w:val="en-CA"/>
        </w:rPr>
        <w:t xml:space="preserve"> difficulty explaining the situation to him</w:t>
      </w:r>
      <w:r w:rsidR="00B9301D">
        <w:rPr>
          <w:lang w:val="en-CA"/>
        </w:rPr>
        <w:t>,</w:t>
      </w:r>
      <w:r w:rsidRPr="002F6CBB">
        <w:rPr>
          <w:lang w:val="en-CA"/>
        </w:rPr>
        <w:t xml:space="preserve"> as the video shows.</w:t>
      </w:r>
      <w:r w:rsidR="00BC67BE" w:rsidRPr="002F6CBB">
        <w:rPr>
          <w:lang w:val="en-CA"/>
        </w:rPr>
        <w:t xml:space="preserve"> </w:t>
      </w:r>
      <w:r w:rsidRPr="002F6CBB">
        <w:rPr>
          <w:lang w:val="en-CA"/>
        </w:rPr>
        <w:t xml:space="preserve">He refused to hand over his identification papers because he </w:t>
      </w:r>
      <w:r w:rsidR="00AB5D1A">
        <w:rPr>
          <w:lang w:val="en-CA"/>
        </w:rPr>
        <w:t xml:space="preserve">considered </w:t>
      </w:r>
      <w:r w:rsidRPr="002F6CBB">
        <w:rPr>
          <w:lang w:val="en-CA"/>
        </w:rPr>
        <w:t xml:space="preserve">the </w:t>
      </w:r>
      <w:r w:rsidR="00C35DCB">
        <w:rPr>
          <w:lang w:val="en-CA"/>
        </w:rPr>
        <w:t>interception</w:t>
      </w:r>
      <w:r w:rsidR="00AB5D1A">
        <w:rPr>
          <w:lang w:val="en-CA"/>
        </w:rPr>
        <w:t xml:space="preserve"> illegal</w:t>
      </w:r>
      <w:r w:rsidRPr="002F6CBB">
        <w:rPr>
          <w:lang w:val="en-CA"/>
        </w:rPr>
        <w:t>.</w:t>
      </w:r>
      <w:r w:rsidR="00BC67BE" w:rsidRPr="002F6CBB">
        <w:rPr>
          <w:lang w:val="en-CA"/>
        </w:rPr>
        <w:t xml:space="preserve"> </w:t>
      </w:r>
      <w:r w:rsidRPr="002F6CBB">
        <w:rPr>
          <w:lang w:val="en-CA"/>
        </w:rPr>
        <w:t xml:space="preserve">Officer </w:t>
      </w:r>
      <w:proofErr w:type="spellStart"/>
      <w:r w:rsidRPr="002F6CBB">
        <w:rPr>
          <w:lang w:val="en-CA"/>
        </w:rPr>
        <w:t>Beaulac</w:t>
      </w:r>
      <w:proofErr w:type="spellEnd"/>
      <w:r w:rsidRPr="002F6CBB">
        <w:rPr>
          <w:lang w:val="en-CA"/>
        </w:rPr>
        <w:t xml:space="preserve"> informed him that he could be arrested due to his refusal.</w:t>
      </w:r>
      <w:r w:rsidR="00BC67BE" w:rsidRPr="002F6CBB">
        <w:rPr>
          <w:lang w:val="en-CA"/>
        </w:rPr>
        <w:t xml:space="preserve"> </w:t>
      </w:r>
      <w:r w:rsidR="00C35DCB">
        <w:rPr>
          <w:lang w:val="en-CA"/>
        </w:rPr>
        <w:t xml:space="preserve">There </w:t>
      </w:r>
      <w:r w:rsidR="001D2841">
        <w:rPr>
          <w:lang w:val="en-CA"/>
        </w:rPr>
        <w:t>was</w:t>
      </w:r>
      <w:r w:rsidR="00C35DCB">
        <w:rPr>
          <w:lang w:val="en-CA"/>
        </w:rPr>
        <w:t xml:space="preserve"> no response to h</w:t>
      </w:r>
      <w:r w:rsidRPr="002F6CBB">
        <w:rPr>
          <w:lang w:val="en-CA"/>
        </w:rPr>
        <w:t>is request to speak to the officers’ supervisor.</w:t>
      </w:r>
    </w:p>
    <w:p w14:paraId="77C70578" w14:textId="3F4A49F0" w:rsidR="00BA6BB5" w:rsidRPr="002F6CBB" w:rsidRDefault="00DE771D" w:rsidP="00185A28">
      <w:pPr>
        <w:pStyle w:val="Paragraphe"/>
        <w:rPr>
          <w:lang w:val="en-CA"/>
        </w:rPr>
      </w:pPr>
      <w:r w:rsidRPr="002F6CBB">
        <w:rPr>
          <w:lang w:val="en-CA"/>
        </w:rPr>
        <w:t xml:space="preserve">Officer François Gélinas, also in a patrol car, was about 50 metres </w:t>
      </w:r>
      <w:r w:rsidR="00AB5D1A" w:rsidRPr="00AB5D1A">
        <w:rPr>
          <w:lang w:val="en-CA"/>
        </w:rPr>
        <w:t>aw</w:t>
      </w:r>
      <w:r w:rsidR="00AB5D1A">
        <w:rPr>
          <w:lang w:val="en-CA"/>
        </w:rPr>
        <w:t xml:space="preserve">ay </w:t>
      </w:r>
      <w:r w:rsidRPr="002F6CBB">
        <w:rPr>
          <w:lang w:val="en-CA"/>
        </w:rPr>
        <w:t>from the intervention</w:t>
      </w:r>
      <w:r w:rsidR="00B9301D">
        <w:rPr>
          <w:lang w:val="en-CA"/>
        </w:rPr>
        <w:t>, which</w:t>
      </w:r>
      <w:r w:rsidR="00AB5D1A">
        <w:rPr>
          <w:lang w:val="en-CA"/>
        </w:rPr>
        <w:t xml:space="preserve"> </w:t>
      </w:r>
      <w:r w:rsidRPr="002F6CBB">
        <w:rPr>
          <w:lang w:val="en-CA"/>
        </w:rPr>
        <w:t xml:space="preserve">he was watching after he saw the flashing lights on the officers’ </w:t>
      </w:r>
      <w:r w:rsidR="00AB5D1A">
        <w:rPr>
          <w:lang w:val="en-CA"/>
        </w:rPr>
        <w:t xml:space="preserve">patrol </w:t>
      </w:r>
      <w:r w:rsidRPr="002F6CBB">
        <w:rPr>
          <w:lang w:val="en-CA"/>
        </w:rPr>
        <w:t>car.</w:t>
      </w:r>
      <w:r w:rsidR="00BC67BE" w:rsidRPr="002F6CBB">
        <w:rPr>
          <w:lang w:val="en-CA"/>
        </w:rPr>
        <w:t xml:space="preserve"> </w:t>
      </w:r>
      <w:r w:rsidR="00DC3E6C">
        <w:rPr>
          <w:lang w:val="en-CA"/>
        </w:rPr>
        <w:t xml:space="preserve">He found the </w:t>
      </w:r>
      <w:r w:rsidR="0034046F">
        <w:rPr>
          <w:lang w:val="en-CA"/>
        </w:rPr>
        <w:t>interception</w:t>
      </w:r>
      <w:r w:rsidR="00AB5D1A">
        <w:rPr>
          <w:lang w:val="en-CA"/>
        </w:rPr>
        <w:t xml:space="preserve"> </w:t>
      </w:r>
      <w:r w:rsidRPr="002F6CBB">
        <w:rPr>
          <w:lang w:val="en-CA"/>
        </w:rPr>
        <w:t>long.</w:t>
      </w:r>
      <w:r w:rsidR="00BC67BE" w:rsidRPr="002F6CBB">
        <w:rPr>
          <w:lang w:val="en-CA"/>
        </w:rPr>
        <w:t xml:space="preserve"> </w:t>
      </w:r>
      <w:r w:rsidRPr="002F6CBB">
        <w:rPr>
          <w:lang w:val="en-CA"/>
        </w:rPr>
        <w:t xml:space="preserve">He decided to </w:t>
      </w:r>
      <w:r w:rsidR="00AB5D1A">
        <w:rPr>
          <w:lang w:val="en-CA"/>
        </w:rPr>
        <w:t xml:space="preserve">provide backup for </w:t>
      </w:r>
      <w:r w:rsidRPr="002F6CBB">
        <w:rPr>
          <w:lang w:val="en-CA"/>
        </w:rPr>
        <w:t xml:space="preserve">his colleagues and </w:t>
      </w:r>
      <w:r w:rsidRPr="002F6CBB">
        <w:rPr>
          <w:lang w:val="en-CA"/>
        </w:rPr>
        <w:lastRenderedPageBreak/>
        <w:t xml:space="preserve">approached </w:t>
      </w:r>
      <w:r w:rsidR="00CE5B09">
        <w:rPr>
          <w:lang w:val="en-CA"/>
        </w:rPr>
        <w:t>in</w:t>
      </w:r>
      <w:r w:rsidRPr="002F6CBB">
        <w:rPr>
          <w:lang w:val="en-CA"/>
        </w:rPr>
        <w:t xml:space="preserve"> his patrol car, with the flashing lights on.</w:t>
      </w:r>
      <w:r w:rsidR="00BC67BE" w:rsidRPr="002F6CBB">
        <w:rPr>
          <w:lang w:val="en-CA"/>
        </w:rPr>
        <w:t xml:space="preserve"> </w:t>
      </w:r>
      <w:r w:rsidRPr="002F6CBB">
        <w:rPr>
          <w:lang w:val="en-CA"/>
        </w:rPr>
        <w:t xml:space="preserve">He did not intervene but </w:t>
      </w:r>
      <w:r w:rsidR="00AB5D1A">
        <w:rPr>
          <w:lang w:val="en-CA"/>
        </w:rPr>
        <w:t xml:space="preserve">stayed </w:t>
      </w:r>
      <w:r w:rsidR="00AE7F19">
        <w:rPr>
          <w:lang w:val="en-CA"/>
        </w:rPr>
        <w:t>b</w:t>
      </w:r>
      <w:r w:rsidR="00CE5B09">
        <w:rPr>
          <w:lang w:val="en-CA"/>
        </w:rPr>
        <w:t>ehind</w:t>
      </w:r>
      <w:r w:rsidR="00AB5D1A">
        <w:rPr>
          <w:lang w:val="en-CA"/>
        </w:rPr>
        <w:t xml:space="preserve"> </w:t>
      </w:r>
      <w:r w:rsidRPr="002F6CBB">
        <w:rPr>
          <w:lang w:val="en-CA"/>
        </w:rPr>
        <w:t xml:space="preserve">and redirected traffic to protect </w:t>
      </w:r>
      <w:r w:rsidR="00AB5D1A">
        <w:rPr>
          <w:lang w:val="en-CA"/>
        </w:rPr>
        <w:t>everyone involved</w:t>
      </w:r>
      <w:r w:rsidRPr="002F6CBB">
        <w:rPr>
          <w:lang w:val="en-CA"/>
        </w:rPr>
        <w:t>.</w:t>
      </w:r>
    </w:p>
    <w:p w14:paraId="2929CA40" w14:textId="1C827F6B" w:rsidR="00BA6BB5" w:rsidRPr="002F6CBB" w:rsidRDefault="00DE771D" w:rsidP="00185A28">
      <w:pPr>
        <w:pStyle w:val="Paragraphe"/>
        <w:rPr>
          <w:lang w:val="en-CA"/>
        </w:rPr>
      </w:pPr>
      <w:r w:rsidRPr="002F6CBB">
        <w:rPr>
          <w:lang w:val="en-CA"/>
        </w:rPr>
        <w:t xml:space="preserve">Officers Charles Paradis and Marc-Antoine </w:t>
      </w:r>
      <w:proofErr w:type="spellStart"/>
      <w:r w:rsidRPr="002F6CBB">
        <w:rPr>
          <w:lang w:val="en-CA"/>
        </w:rPr>
        <w:t>Duchaine</w:t>
      </w:r>
      <w:proofErr w:type="spellEnd"/>
      <w:r w:rsidRPr="002F6CBB">
        <w:rPr>
          <w:lang w:val="en-CA"/>
        </w:rPr>
        <w:t xml:space="preserve"> heard Officer Lamothe’s call over the radio.</w:t>
      </w:r>
      <w:r w:rsidR="00BC67BE" w:rsidRPr="002F6CBB">
        <w:rPr>
          <w:lang w:val="en-CA"/>
        </w:rPr>
        <w:t xml:space="preserve"> </w:t>
      </w:r>
      <w:r w:rsidRPr="002F6CBB">
        <w:rPr>
          <w:lang w:val="en-CA"/>
        </w:rPr>
        <w:t xml:space="preserve">They were close by and decided to </w:t>
      </w:r>
      <w:r w:rsidR="00AB5D1A">
        <w:rPr>
          <w:lang w:val="en-CA"/>
        </w:rPr>
        <w:t>provide backup</w:t>
      </w:r>
      <w:r w:rsidRPr="002F6CBB">
        <w:rPr>
          <w:lang w:val="en-CA"/>
        </w:rPr>
        <w:t>.</w:t>
      </w:r>
      <w:r w:rsidR="00BC67BE" w:rsidRPr="002F6CBB">
        <w:rPr>
          <w:lang w:val="en-CA"/>
        </w:rPr>
        <w:t xml:space="preserve"> </w:t>
      </w:r>
      <w:r w:rsidRPr="002F6CBB">
        <w:rPr>
          <w:lang w:val="en-CA"/>
        </w:rPr>
        <w:t>They arrived with their flashing</w:t>
      </w:r>
      <w:r w:rsidR="0034046F">
        <w:rPr>
          <w:lang w:val="en-CA"/>
        </w:rPr>
        <w:t xml:space="preserve"> lights on</w:t>
      </w:r>
      <w:r w:rsidRPr="002F6CBB">
        <w:rPr>
          <w:lang w:val="en-CA"/>
        </w:rPr>
        <w:t xml:space="preserve"> and placed their car diagonally in front of Mr. Woodley’s car, </w:t>
      </w:r>
      <w:r w:rsidR="00AB5D1A">
        <w:rPr>
          <w:lang w:val="en-CA"/>
        </w:rPr>
        <w:t xml:space="preserve">thus </w:t>
      </w:r>
      <w:r w:rsidRPr="002F6CBB">
        <w:rPr>
          <w:lang w:val="en-CA"/>
        </w:rPr>
        <w:t>preventing him from leaving the scene.</w:t>
      </w:r>
    </w:p>
    <w:p w14:paraId="4340C441" w14:textId="4A591EF6" w:rsidR="00BA6BB5" w:rsidRPr="002F6CBB" w:rsidRDefault="00DE771D" w:rsidP="00185A28">
      <w:pPr>
        <w:pStyle w:val="Paragraphe"/>
        <w:rPr>
          <w:lang w:val="en-CA"/>
        </w:rPr>
      </w:pPr>
      <w:r w:rsidRPr="002F6CBB">
        <w:rPr>
          <w:lang w:val="en-CA"/>
        </w:rPr>
        <w:t xml:space="preserve">According to Officers </w:t>
      </w:r>
      <w:proofErr w:type="spellStart"/>
      <w:r w:rsidRPr="002F6CBB">
        <w:rPr>
          <w:lang w:val="en-CA"/>
        </w:rPr>
        <w:t>Beaulac</w:t>
      </w:r>
      <w:proofErr w:type="spellEnd"/>
      <w:r w:rsidRPr="002F6CBB">
        <w:rPr>
          <w:lang w:val="en-CA"/>
        </w:rPr>
        <w:t xml:space="preserve"> and Lamothe, Mr. Woodley insult</w:t>
      </w:r>
      <w:r w:rsidR="00AE7F19">
        <w:rPr>
          <w:lang w:val="en-CA"/>
        </w:rPr>
        <w:t>ed</w:t>
      </w:r>
      <w:r w:rsidRPr="002F6CBB">
        <w:rPr>
          <w:lang w:val="en-CA"/>
        </w:rPr>
        <w:t xml:space="preserve"> them, call</w:t>
      </w:r>
      <w:r w:rsidR="00AE7F19">
        <w:rPr>
          <w:lang w:val="en-CA"/>
        </w:rPr>
        <w:t>ed</w:t>
      </w:r>
      <w:r w:rsidRPr="002F6CBB">
        <w:rPr>
          <w:lang w:val="en-CA"/>
        </w:rPr>
        <w:t xml:space="preserve"> them “fucking cops”</w:t>
      </w:r>
      <w:r w:rsidR="00AE7F19">
        <w:rPr>
          <w:lang w:val="en-CA"/>
        </w:rPr>
        <w:t>,</w:t>
      </w:r>
      <w:r w:rsidRPr="002F6CBB">
        <w:rPr>
          <w:lang w:val="en-CA"/>
        </w:rPr>
        <w:t xml:space="preserve"> and said “fuck you” when he saw the other officers arrive.</w:t>
      </w:r>
    </w:p>
    <w:p w14:paraId="26B5C4A3" w14:textId="2F61D3D2" w:rsidR="00BA6BB5" w:rsidRPr="002F6CBB" w:rsidRDefault="00DE771D" w:rsidP="00185A28">
      <w:pPr>
        <w:pStyle w:val="Paragraphe"/>
        <w:rPr>
          <w:lang w:val="en-CA"/>
        </w:rPr>
      </w:pPr>
      <w:r w:rsidRPr="002F6CBB">
        <w:rPr>
          <w:lang w:val="en-CA"/>
        </w:rPr>
        <w:t xml:space="preserve">Officer </w:t>
      </w:r>
      <w:proofErr w:type="spellStart"/>
      <w:r w:rsidRPr="002F6CBB">
        <w:rPr>
          <w:lang w:val="en-CA"/>
        </w:rPr>
        <w:t>Duchaine</w:t>
      </w:r>
      <w:proofErr w:type="spellEnd"/>
      <w:r w:rsidRPr="002F6CBB">
        <w:rPr>
          <w:lang w:val="en-CA"/>
        </w:rPr>
        <w:t xml:space="preserve"> approached Mr. Woodley’s car and saw the officers on the driver’s side.</w:t>
      </w:r>
      <w:r w:rsidR="00BC67BE" w:rsidRPr="002F6CBB">
        <w:rPr>
          <w:lang w:val="en-CA"/>
        </w:rPr>
        <w:t xml:space="preserve"> </w:t>
      </w:r>
      <w:r w:rsidRPr="002F6CBB">
        <w:rPr>
          <w:lang w:val="en-CA"/>
        </w:rPr>
        <w:t xml:space="preserve">He </w:t>
      </w:r>
      <w:r w:rsidR="00EA6002">
        <w:rPr>
          <w:lang w:val="en-CA"/>
        </w:rPr>
        <w:t>moved t</w:t>
      </w:r>
      <w:r w:rsidRPr="002F6CBB">
        <w:rPr>
          <w:lang w:val="en-CA"/>
        </w:rPr>
        <w:t>o the passenger side.</w:t>
      </w:r>
      <w:r w:rsidR="00BC67BE" w:rsidRPr="002F6CBB">
        <w:rPr>
          <w:lang w:val="en-CA"/>
        </w:rPr>
        <w:t xml:space="preserve"> </w:t>
      </w:r>
      <w:r w:rsidRPr="002F6CBB">
        <w:rPr>
          <w:lang w:val="en-CA"/>
        </w:rPr>
        <w:t>He grasped from the situation and from</w:t>
      </w:r>
      <w:r w:rsidR="00C66791">
        <w:rPr>
          <w:lang w:val="en-CA"/>
        </w:rPr>
        <w:t xml:space="preserve"> the look on</w:t>
      </w:r>
      <w:r w:rsidRPr="002F6CBB">
        <w:rPr>
          <w:lang w:val="en-CA"/>
        </w:rPr>
        <w:t xml:space="preserve"> Officer </w:t>
      </w:r>
      <w:proofErr w:type="spellStart"/>
      <w:r w:rsidRPr="002F6CBB">
        <w:rPr>
          <w:lang w:val="en-CA"/>
        </w:rPr>
        <w:t>Beaulac’s</w:t>
      </w:r>
      <w:proofErr w:type="spellEnd"/>
      <w:r w:rsidRPr="002F6CBB">
        <w:rPr>
          <w:lang w:val="en-CA"/>
        </w:rPr>
        <w:t xml:space="preserve"> face that the officers were about to arrest Mr. Woodley </w:t>
      </w:r>
      <w:r w:rsidR="00C66791">
        <w:rPr>
          <w:lang w:val="en-CA"/>
        </w:rPr>
        <w:t>for</w:t>
      </w:r>
      <w:r w:rsidR="005955A0">
        <w:rPr>
          <w:lang w:val="en-CA"/>
        </w:rPr>
        <w:t xml:space="preserve"> </w:t>
      </w:r>
      <w:r w:rsidRPr="002F6CBB">
        <w:rPr>
          <w:lang w:val="en-CA"/>
        </w:rPr>
        <w:t>refus</w:t>
      </w:r>
      <w:r w:rsidR="005955A0">
        <w:rPr>
          <w:lang w:val="en-CA"/>
        </w:rPr>
        <w:t>ing</w:t>
      </w:r>
      <w:r w:rsidRPr="002F6CBB">
        <w:rPr>
          <w:lang w:val="en-CA"/>
        </w:rPr>
        <w:t xml:space="preserve"> to identify himself and hand over his identification papers. Mr. Woodley finally </w:t>
      </w:r>
      <w:r w:rsidR="00C66791">
        <w:rPr>
          <w:lang w:val="en-CA"/>
        </w:rPr>
        <w:t>complied</w:t>
      </w:r>
      <w:r w:rsidRPr="002F6CBB">
        <w:rPr>
          <w:lang w:val="en-CA"/>
        </w:rPr>
        <w:t xml:space="preserve">, handed over his papers, and identified himself to Officer </w:t>
      </w:r>
      <w:proofErr w:type="spellStart"/>
      <w:r w:rsidRPr="002F6CBB">
        <w:rPr>
          <w:lang w:val="en-CA"/>
        </w:rPr>
        <w:t>Beaulac</w:t>
      </w:r>
      <w:proofErr w:type="spellEnd"/>
      <w:r w:rsidRPr="002F6CBB">
        <w:rPr>
          <w:lang w:val="en-CA"/>
        </w:rPr>
        <w:t xml:space="preserve">. </w:t>
      </w:r>
    </w:p>
    <w:p w14:paraId="26455E95" w14:textId="19DE6D60" w:rsidR="00154827" w:rsidRPr="002F6CBB" w:rsidRDefault="00D72350" w:rsidP="00185A28">
      <w:pPr>
        <w:pStyle w:val="Paragraphe"/>
        <w:rPr>
          <w:lang w:val="en-CA"/>
        </w:rPr>
      </w:pPr>
      <w:r w:rsidRPr="002F6CBB">
        <w:rPr>
          <w:lang w:val="en-CA"/>
        </w:rPr>
        <w:t xml:space="preserve">The officers </w:t>
      </w:r>
      <w:r w:rsidR="006F7F2F">
        <w:rPr>
          <w:lang w:val="en-CA"/>
        </w:rPr>
        <w:t xml:space="preserve">checked </w:t>
      </w:r>
      <w:r w:rsidRPr="002F6CBB">
        <w:rPr>
          <w:lang w:val="en-CA"/>
        </w:rPr>
        <w:t xml:space="preserve">and </w:t>
      </w:r>
      <w:r w:rsidR="00433995" w:rsidRPr="002F6CBB">
        <w:rPr>
          <w:lang w:val="en-CA"/>
        </w:rPr>
        <w:t>discovered</w:t>
      </w:r>
      <w:r w:rsidRPr="002F6CBB">
        <w:rPr>
          <w:lang w:val="en-CA"/>
        </w:rPr>
        <w:t xml:space="preserve"> that the registration certificate had expired. Mr.</w:t>
      </w:r>
      <w:r w:rsidR="00AE7F19">
        <w:rPr>
          <w:lang w:val="en-CA"/>
        </w:rPr>
        <w:t> </w:t>
      </w:r>
      <w:r w:rsidRPr="002F6CBB">
        <w:rPr>
          <w:lang w:val="en-CA"/>
        </w:rPr>
        <w:t xml:space="preserve">Woodley explained that everything was in order but that he probably did not have the most recent document because his family had recently moved and that could explain why </w:t>
      </w:r>
      <w:r w:rsidR="00D30D84">
        <w:rPr>
          <w:lang w:val="en-CA"/>
        </w:rPr>
        <w:t>it was misplaced</w:t>
      </w:r>
      <w:r w:rsidRPr="002F6CBB">
        <w:rPr>
          <w:lang w:val="en-CA"/>
        </w:rPr>
        <w:t>.</w:t>
      </w:r>
      <w:r w:rsidR="00BC67BE" w:rsidRPr="002F6CBB">
        <w:rPr>
          <w:lang w:val="en-CA"/>
        </w:rPr>
        <w:t xml:space="preserve"> </w:t>
      </w:r>
      <w:r w:rsidRPr="002F6CBB">
        <w:rPr>
          <w:lang w:val="en-CA"/>
        </w:rPr>
        <w:t xml:space="preserve">He called his </w:t>
      </w:r>
      <w:r w:rsidR="005955A0">
        <w:rPr>
          <w:lang w:val="en-CA"/>
        </w:rPr>
        <w:t xml:space="preserve">wife, </w:t>
      </w:r>
      <w:r w:rsidRPr="002F6CBB">
        <w:rPr>
          <w:lang w:val="en-CA"/>
        </w:rPr>
        <w:t xml:space="preserve">and she told Officer </w:t>
      </w:r>
      <w:proofErr w:type="spellStart"/>
      <w:r w:rsidRPr="002F6CBB">
        <w:rPr>
          <w:lang w:val="en-CA"/>
        </w:rPr>
        <w:t>Beaulac</w:t>
      </w:r>
      <w:proofErr w:type="spellEnd"/>
      <w:r w:rsidRPr="002F6CBB">
        <w:rPr>
          <w:lang w:val="en-CA"/>
        </w:rPr>
        <w:t xml:space="preserve"> the same thing.</w:t>
      </w:r>
      <w:r w:rsidR="00BC67BE" w:rsidRPr="002F6CBB">
        <w:rPr>
          <w:lang w:val="en-CA"/>
        </w:rPr>
        <w:t xml:space="preserve"> </w:t>
      </w:r>
    </w:p>
    <w:bookmarkEnd w:id="2"/>
    <w:p w14:paraId="4E4A4AE7" w14:textId="20A17EB1" w:rsidR="004077DF" w:rsidRPr="002F6CBB" w:rsidRDefault="00D72350" w:rsidP="00F53FAA">
      <w:pPr>
        <w:pStyle w:val="Paragraphe"/>
        <w:rPr>
          <w:lang w:val="en-CA"/>
        </w:rPr>
      </w:pPr>
      <w:r w:rsidRPr="002F6CBB">
        <w:rPr>
          <w:lang w:val="en-CA"/>
        </w:rPr>
        <w:t xml:space="preserve">Officer </w:t>
      </w:r>
      <w:proofErr w:type="spellStart"/>
      <w:r w:rsidRPr="002F6CBB">
        <w:rPr>
          <w:lang w:val="en-CA"/>
        </w:rPr>
        <w:t>Beaulac</w:t>
      </w:r>
      <w:proofErr w:type="spellEnd"/>
      <w:r w:rsidRPr="002F6CBB">
        <w:rPr>
          <w:lang w:val="en-CA"/>
        </w:rPr>
        <w:t xml:space="preserve"> issued Mr. Woodley a statement of offence for driving a vehicle without having the registration certificate with him.</w:t>
      </w:r>
      <w:r w:rsidRPr="002F6CBB">
        <w:rPr>
          <w:rStyle w:val="Appelnotedebasdep"/>
          <w:rFonts w:cs="Arial"/>
          <w:szCs w:val="24"/>
          <w:lang w:val="en-CA"/>
        </w:rPr>
        <w:footnoteReference w:id="8"/>
      </w:r>
      <w:r w:rsidRPr="002F6CBB">
        <w:rPr>
          <w:rFonts w:cs="Arial"/>
          <w:szCs w:val="24"/>
          <w:lang w:val="en-CA"/>
        </w:rPr>
        <w:t xml:space="preserve"> Mr. Woodley was acquitted of this charge.</w:t>
      </w:r>
      <w:bookmarkStart w:id="6" w:name="_Ref161847324"/>
      <w:r w:rsidRPr="002F6CBB">
        <w:rPr>
          <w:rStyle w:val="Appelnotedebasdep"/>
          <w:rFonts w:cs="Arial"/>
          <w:szCs w:val="24"/>
          <w:lang w:val="en-CA"/>
        </w:rPr>
        <w:footnoteReference w:id="9"/>
      </w:r>
      <w:bookmarkEnd w:id="6"/>
      <w:r w:rsidR="00EB15E4" w:rsidRPr="002F6CBB">
        <w:rPr>
          <w:lang w:val="en-CA"/>
        </w:rPr>
        <w:t xml:space="preserve"> </w:t>
      </w:r>
      <w:r w:rsidRPr="002F6CBB">
        <w:rPr>
          <w:lang w:val="en-CA"/>
        </w:rPr>
        <w:t xml:space="preserve">He was also issued a statement of offence for insulting a peace officer in the </w:t>
      </w:r>
      <w:r w:rsidR="005955A0">
        <w:rPr>
          <w:lang w:val="en-CA"/>
        </w:rPr>
        <w:t xml:space="preserve">performance </w:t>
      </w:r>
      <w:r w:rsidRPr="002F6CBB">
        <w:rPr>
          <w:lang w:val="en-CA"/>
        </w:rPr>
        <w:t xml:space="preserve">of </w:t>
      </w:r>
      <w:r w:rsidR="007A067E">
        <w:rPr>
          <w:lang w:val="en-CA"/>
        </w:rPr>
        <w:t>their</w:t>
      </w:r>
      <w:r w:rsidRPr="002F6CBB">
        <w:rPr>
          <w:lang w:val="en-CA"/>
        </w:rPr>
        <w:t xml:space="preserve"> duties.</w:t>
      </w:r>
      <w:r w:rsidRPr="002F6CBB">
        <w:rPr>
          <w:rStyle w:val="Appelnotedebasdep"/>
          <w:rFonts w:cs="Arial"/>
          <w:szCs w:val="24"/>
          <w:lang w:val="en-CA"/>
        </w:rPr>
        <w:footnoteReference w:id="10"/>
      </w:r>
      <w:r w:rsidR="00EB15E4" w:rsidRPr="002F6CBB">
        <w:rPr>
          <w:lang w:val="en-CA"/>
        </w:rPr>
        <w:t xml:space="preserve"> </w:t>
      </w:r>
      <w:r w:rsidRPr="002F6CBB">
        <w:rPr>
          <w:lang w:val="en-CA"/>
        </w:rPr>
        <w:t>He was also eventually acquitted of this charge.</w:t>
      </w:r>
      <w:bookmarkStart w:id="8" w:name="_Ref161847299"/>
      <w:r w:rsidRPr="002F6CBB">
        <w:rPr>
          <w:rStyle w:val="Appelnotedebasdep"/>
          <w:rFonts w:cs="Arial"/>
          <w:szCs w:val="24"/>
          <w:lang w:val="en-CA"/>
        </w:rPr>
        <w:footnoteReference w:id="11"/>
      </w:r>
      <w:bookmarkEnd w:id="8"/>
    </w:p>
    <w:p w14:paraId="1328526B" w14:textId="01359640" w:rsidR="00CE5500" w:rsidRPr="002F6CBB" w:rsidRDefault="00D72350" w:rsidP="00247F51">
      <w:pPr>
        <w:pStyle w:val="Titre1"/>
        <w:rPr>
          <w:lang w:val="en-CA"/>
        </w:rPr>
      </w:pPr>
      <w:bookmarkStart w:id="9" w:name="_Toc183702202"/>
      <w:r w:rsidRPr="002F6CBB">
        <w:rPr>
          <w:lang w:val="en-CA"/>
        </w:rPr>
        <w:t>Analysis</w:t>
      </w:r>
      <w:bookmarkEnd w:id="9"/>
    </w:p>
    <w:p w14:paraId="0CEE85D3" w14:textId="72FE3494" w:rsidR="00245E3A" w:rsidRPr="002F6CBB" w:rsidRDefault="00D72350" w:rsidP="00185A28">
      <w:pPr>
        <w:pStyle w:val="Paragraphe"/>
        <w:rPr>
          <w:lang w:val="en-CA"/>
        </w:rPr>
      </w:pPr>
      <w:r w:rsidRPr="002F6CBB">
        <w:rPr>
          <w:lang w:val="en-CA"/>
        </w:rPr>
        <w:t>The CDPDJ</w:t>
      </w:r>
      <w:r w:rsidR="00EA6002">
        <w:rPr>
          <w:lang w:val="en-CA"/>
        </w:rPr>
        <w:t>’s</w:t>
      </w:r>
      <w:r w:rsidRPr="002F6CBB">
        <w:rPr>
          <w:lang w:val="en-CA"/>
        </w:rPr>
        <w:t xml:space="preserve"> action </w:t>
      </w:r>
      <w:r w:rsidR="00EA6002">
        <w:rPr>
          <w:lang w:val="en-CA"/>
        </w:rPr>
        <w:t xml:space="preserve">is based </w:t>
      </w:r>
      <w:r w:rsidRPr="002F6CBB">
        <w:rPr>
          <w:lang w:val="en-CA"/>
        </w:rPr>
        <w:t xml:space="preserve">on the following sections of the </w:t>
      </w:r>
      <w:r w:rsidRPr="002F6CBB">
        <w:rPr>
          <w:i/>
          <w:lang w:val="en-CA"/>
        </w:rPr>
        <w:t>Charter</w:t>
      </w:r>
      <w:r w:rsidRPr="002F6CBB">
        <w:rPr>
          <w:lang w:val="en-CA"/>
        </w:rPr>
        <w:t>:</w:t>
      </w:r>
    </w:p>
    <w:p w14:paraId="3590B6E9" w14:textId="3561B12C" w:rsidR="000C45BA" w:rsidRPr="002F6CBB" w:rsidRDefault="00BC67BE" w:rsidP="000C45BA">
      <w:pPr>
        <w:pStyle w:val="Citationenretrait"/>
        <w:ind w:left="562"/>
        <w:rPr>
          <w:lang w:val="en-CA" w:eastAsia="fr-CA"/>
        </w:rPr>
      </w:pPr>
      <w:r w:rsidRPr="002F6CBB">
        <w:rPr>
          <w:b/>
          <w:bCs/>
          <w:szCs w:val="24"/>
          <w:lang w:val="en-CA" w:eastAsia="fr-CA"/>
        </w:rPr>
        <w:t>4.</w:t>
      </w:r>
      <w:r w:rsidRPr="002F6CBB">
        <w:rPr>
          <w:lang w:val="en-CA" w:eastAsia="fr-CA"/>
        </w:rPr>
        <w:t> </w:t>
      </w:r>
      <w:r w:rsidR="00D72350" w:rsidRPr="002F6CBB">
        <w:rPr>
          <w:lang w:val="en-CA" w:eastAsia="fr-CA"/>
        </w:rPr>
        <w:t>Every person has a right to the safeguard of his dignity, honour and reputation.</w:t>
      </w:r>
    </w:p>
    <w:p w14:paraId="0BC5D886" w14:textId="1CE37D5B" w:rsidR="000C45BA" w:rsidRPr="002F6CBB" w:rsidRDefault="00BC67BE" w:rsidP="000C45BA">
      <w:pPr>
        <w:pStyle w:val="Citationenretrait"/>
        <w:ind w:left="562"/>
        <w:rPr>
          <w:lang w:val="en-CA" w:eastAsia="fr-CA"/>
        </w:rPr>
      </w:pPr>
      <w:r w:rsidRPr="002F6CBB">
        <w:rPr>
          <w:b/>
          <w:bCs/>
          <w:szCs w:val="24"/>
          <w:lang w:val="en-CA" w:eastAsia="fr-CA"/>
        </w:rPr>
        <w:t>10.</w:t>
      </w:r>
      <w:r w:rsidRPr="002F6CBB">
        <w:rPr>
          <w:lang w:val="en-CA" w:eastAsia="fr-CA"/>
        </w:rPr>
        <w:t> </w:t>
      </w:r>
      <w:r w:rsidR="00D72350" w:rsidRPr="002F6CBB">
        <w:rPr>
          <w:lang w:val="en-CA" w:eastAsia="fr-CA"/>
        </w:rPr>
        <w:t xml:space="preserve">Every person has a right to full and equal recognition and exercise of his human rights and freedoms, without distinction, exclusion or preference based on race, colour, sex, gender identity or expression, pregnancy, sexual orientation, civil status, age except as provided by law, religion, political convictions, language, ethnic or </w:t>
      </w:r>
      <w:r w:rsidR="00D72350" w:rsidRPr="002F6CBB">
        <w:rPr>
          <w:lang w:val="en-CA" w:eastAsia="fr-CA"/>
        </w:rPr>
        <w:lastRenderedPageBreak/>
        <w:t>national origin, social condition, a handicap or the use of any means to palliate a handicap.</w:t>
      </w:r>
    </w:p>
    <w:p w14:paraId="401031EB" w14:textId="1D19A93D" w:rsidR="000C45BA" w:rsidRPr="002F6CBB" w:rsidRDefault="00D72350" w:rsidP="000C45BA">
      <w:pPr>
        <w:pStyle w:val="Citationenretrait"/>
        <w:ind w:left="562"/>
        <w:rPr>
          <w:lang w:val="en-CA" w:eastAsia="fr-CA"/>
        </w:rPr>
      </w:pPr>
      <w:r w:rsidRPr="002F6CBB">
        <w:rPr>
          <w:lang w:val="en-CA" w:eastAsia="fr-CA"/>
        </w:rPr>
        <w:t>Discrimination exists where such a distinction, exclusion or preference has the effect of nullifying or impairing such right.</w:t>
      </w:r>
    </w:p>
    <w:p w14:paraId="4857E8C6" w14:textId="6CE84894" w:rsidR="000C45BA" w:rsidRPr="002F6CBB" w:rsidRDefault="00BC67BE" w:rsidP="000C45BA">
      <w:pPr>
        <w:pStyle w:val="Citationenretrait"/>
        <w:ind w:left="562"/>
        <w:rPr>
          <w:lang w:val="en-CA" w:eastAsia="fr-CA"/>
        </w:rPr>
      </w:pPr>
      <w:r w:rsidRPr="002F6CBB">
        <w:rPr>
          <w:b/>
          <w:bCs/>
          <w:szCs w:val="24"/>
          <w:lang w:val="en-CA" w:eastAsia="fr-CA"/>
        </w:rPr>
        <w:t>12.</w:t>
      </w:r>
      <w:r w:rsidRPr="002F6CBB">
        <w:rPr>
          <w:lang w:val="en-CA" w:eastAsia="fr-CA"/>
        </w:rPr>
        <w:t> </w:t>
      </w:r>
      <w:r w:rsidR="00D72350" w:rsidRPr="002F6CBB">
        <w:rPr>
          <w:lang w:val="en-CA" w:eastAsia="fr-CA"/>
        </w:rPr>
        <w:t>No one may, through discrimination, refuse to make a juridical act concerning goods or services ordinarily offered to the public.</w:t>
      </w:r>
    </w:p>
    <w:p w14:paraId="6F89DD0D" w14:textId="0DB532D8" w:rsidR="000C45BA" w:rsidRPr="002F6CBB" w:rsidRDefault="00BC67BE" w:rsidP="000C45BA">
      <w:pPr>
        <w:pStyle w:val="Citationenretrait"/>
        <w:ind w:left="562"/>
        <w:rPr>
          <w:lang w:val="en-CA" w:eastAsia="fr-CA"/>
        </w:rPr>
      </w:pPr>
      <w:r w:rsidRPr="002F6CBB">
        <w:rPr>
          <w:b/>
          <w:bCs/>
          <w:szCs w:val="24"/>
          <w:lang w:val="en-CA" w:eastAsia="fr-CA"/>
        </w:rPr>
        <w:t>24.</w:t>
      </w:r>
      <w:r w:rsidRPr="002F6CBB">
        <w:rPr>
          <w:lang w:val="en-CA" w:eastAsia="fr-CA"/>
        </w:rPr>
        <w:t> </w:t>
      </w:r>
      <w:r w:rsidR="00D72350" w:rsidRPr="002F6CBB">
        <w:rPr>
          <w:lang w:val="en-CA" w:eastAsia="fr-CA"/>
        </w:rPr>
        <w:t>No one may be deprived of his liberty or of his rights except on grounds provided by law and in accordance with prescribed procedure.</w:t>
      </w:r>
    </w:p>
    <w:p w14:paraId="16F235DC" w14:textId="5364291F" w:rsidR="000C45BA" w:rsidRPr="002F6CBB" w:rsidRDefault="00BC67BE" w:rsidP="000C45BA">
      <w:pPr>
        <w:pStyle w:val="Citationenretrait"/>
        <w:ind w:left="562"/>
        <w:rPr>
          <w:lang w:val="en-CA" w:eastAsia="fr-CA"/>
        </w:rPr>
      </w:pPr>
      <w:r w:rsidRPr="002F6CBB">
        <w:rPr>
          <w:b/>
          <w:bCs/>
          <w:lang w:val="en-CA" w:eastAsia="fr-CA"/>
        </w:rPr>
        <w:t>24.1</w:t>
      </w:r>
      <w:r w:rsidRPr="002F6CBB">
        <w:rPr>
          <w:lang w:val="en-CA" w:eastAsia="fr-CA"/>
        </w:rPr>
        <w:t xml:space="preserve"> </w:t>
      </w:r>
      <w:r w:rsidR="00D72350" w:rsidRPr="002F6CBB">
        <w:rPr>
          <w:lang w:val="en-CA" w:eastAsia="fr-CA"/>
        </w:rPr>
        <w:t>No one may be subjected to unreasonable search or seizure.</w:t>
      </w:r>
    </w:p>
    <w:p w14:paraId="6508EF65" w14:textId="614C0940" w:rsidR="000C45BA" w:rsidRPr="002F6CBB" w:rsidRDefault="00BC67BE" w:rsidP="000C45BA">
      <w:pPr>
        <w:pStyle w:val="Citationenretrait"/>
        <w:ind w:left="562"/>
        <w:rPr>
          <w:lang w:val="en-CA" w:eastAsia="fr-CA"/>
        </w:rPr>
      </w:pPr>
      <w:r w:rsidRPr="002F6CBB">
        <w:rPr>
          <w:b/>
          <w:bCs/>
          <w:szCs w:val="24"/>
          <w:lang w:val="en-CA" w:eastAsia="fr-CA"/>
        </w:rPr>
        <w:t>49.</w:t>
      </w:r>
      <w:r w:rsidR="00377126" w:rsidRPr="002F6CBB">
        <w:rPr>
          <w:lang w:val="en-CA" w:eastAsia="fr-CA"/>
        </w:rPr>
        <w:t> </w:t>
      </w:r>
      <w:r w:rsidR="00D72350" w:rsidRPr="002F6CBB">
        <w:rPr>
          <w:lang w:val="en-CA" w:eastAsia="fr-CA"/>
        </w:rPr>
        <w:t xml:space="preserve">Any unlawful interference with any right or freedom recognized by this </w:t>
      </w:r>
      <w:r w:rsidR="00D72350" w:rsidRPr="005955A0">
        <w:rPr>
          <w:i/>
          <w:iCs/>
          <w:lang w:val="en-CA" w:eastAsia="fr-CA"/>
        </w:rPr>
        <w:t xml:space="preserve">Charter </w:t>
      </w:r>
      <w:r w:rsidR="00D72350" w:rsidRPr="002F6CBB">
        <w:rPr>
          <w:lang w:val="en-CA" w:eastAsia="fr-CA"/>
        </w:rPr>
        <w:t>entitles the victim to obtain the cessation of such interference and compensation for the moral or material prejudice resulting therefrom.</w:t>
      </w:r>
    </w:p>
    <w:p w14:paraId="22D4D18E" w14:textId="6219C34E" w:rsidR="000C45BA" w:rsidRPr="002F6CBB" w:rsidRDefault="00D72350" w:rsidP="000C45BA">
      <w:pPr>
        <w:pStyle w:val="Citationenretrait"/>
        <w:ind w:left="562"/>
        <w:rPr>
          <w:lang w:val="en-CA" w:eastAsia="fr-CA"/>
        </w:rPr>
      </w:pPr>
      <w:r w:rsidRPr="002F6CBB">
        <w:rPr>
          <w:lang w:val="en-CA" w:eastAsia="fr-CA"/>
        </w:rPr>
        <w:t>In case of unlawful and intentional interference, the tribunal may, in addition, condemn the person guilty of it to punitive damages.</w:t>
      </w:r>
    </w:p>
    <w:p w14:paraId="59780296" w14:textId="78BD135F" w:rsidR="000C45BA" w:rsidRPr="002F6CBB" w:rsidRDefault="00BC67BE" w:rsidP="000C45BA">
      <w:pPr>
        <w:pStyle w:val="Citationenretrait"/>
        <w:ind w:left="562"/>
        <w:rPr>
          <w:lang w:val="en-CA" w:eastAsia="fr-CA"/>
        </w:rPr>
      </w:pPr>
      <w:r w:rsidRPr="002F6CBB">
        <w:rPr>
          <w:b/>
          <w:lang w:val="en-CA" w:eastAsia="fr-CA"/>
        </w:rPr>
        <w:t>80.</w:t>
      </w:r>
      <w:r w:rsidRPr="002F6CBB">
        <w:rPr>
          <w:lang w:val="en-CA" w:eastAsia="fr-CA"/>
        </w:rPr>
        <w:t xml:space="preserve"> </w:t>
      </w:r>
      <w:r w:rsidR="00D72350" w:rsidRPr="002F6CBB">
        <w:rPr>
          <w:lang w:val="en-CA" w:eastAsia="fr-CA"/>
        </w:rPr>
        <w:t>Where the parties will not agree to negotiation of a settlement or to arbitration of the dispute or where the proposal of the commission has not been implemented to its satisfaction within the allotted time, the commission may apply to a tribunal to obtain, where consistent with the public interest, any appropriate measure against the person at fault or to demand, in favour of the victim, any measure of redress it considers appropriate at that time.</w:t>
      </w:r>
    </w:p>
    <w:p w14:paraId="6C0811B3" w14:textId="34669A1F" w:rsidR="00375010" w:rsidRPr="002F6CBB" w:rsidRDefault="000F209C" w:rsidP="00FE23A4">
      <w:pPr>
        <w:pStyle w:val="Titre2"/>
        <w:keepLines/>
        <w:rPr>
          <w:lang w:val="en-CA" w:eastAsia="fr-CA"/>
        </w:rPr>
      </w:pPr>
      <w:bookmarkStart w:id="10" w:name="_Toc183702203"/>
      <w:r w:rsidRPr="002F6CBB">
        <w:rPr>
          <w:rFonts w:eastAsia="Calibri"/>
          <w:lang w:val="en-CA" w:eastAsia="en-US"/>
        </w:rPr>
        <w:t xml:space="preserve">Has the CDPDJ established that the police intervention </w:t>
      </w:r>
      <w:r w:rsidR="005955A0">
        <w:rPr>
          <w:rFonts w:eastAsia="Calibri"/>
          <w:lang w:val="en-CA" w:eastAsia="en-US"/>
        </w:rPr>
        <w:t xml:space="preserve">involving </w:t>
      </w:r>
      <w:r w:rsidRPr="002F6CBB">
        <w:rPr>
          <w:rFonts w:eastAsia="Calibri"/>
          <w:lang w:val="en-CA" w:eastAsia="en-US"/>
        </w:rPr>
        <w:t>Jonathan Woodley</w:t>
      </w:r>
      <w:r w:rsidR="009F56D9">
        <w:rPr>
          <w:rFonts w:eastAsia="Calibri"/>
          <w:lang w:val="en-CA" w:eastAsia="en-US"/>
        </w:rPr>
        <w:t>,</w:t>
      </w:r>
      <w:r w:rsidRPr="002F6CBB">
        <w:rPr>
          <w:rFonts w:eastAsia="Calibri"/>
          <w:lang w:val="en-CA" w:eastAsia="en-US"/>
        </w:rPr>
        <w:t xml:space="preserve"> while he was driving his </w:t>
      </w:r>
      <w:r w:rsidR="005955A0">
        <w:rPr>
          <w:rFonts w:eastAsia="Calibri"/>
          <w:lang w:val="en-CA" w:eastAsia="en-US"/>
        </w:rPr>
        <w:t>wife</w:t>
      </w:r>
      <w:r w:rsidRPr="002F6CBB">
        <w:rPr>
          <w:rFonts w:eastAsia="Calibri"/>
          <w:lang w:val="en-CA" w:eastAsia="en-US"/>
        </w:rPr>
        <w:t xml:space="preserve">’s car on September 19, 2018, was </w:t>
      </w:r>
      <w:r w:rsidR="009F56D9">
        <w:rPr>
          <w:rFonts w:eastAsia="Calibri"/>
          <w:lang w:val="en-CA" w:eastAsia="en-US"/>
        </w:rPr>
        <w:t>based</w:t>
      </w:r>
      <w:r w:rsidRPr="002F6CBB">
        <w:rPr>
          <w:rFonts w:eastAsia="Calibri"/>
          <w:lang w:val="en-CA" w:eastAsia="en-US"/>
        </w:rPr>
        <w:t xml:space="preserve">, in </w:t>
      </w:r>
      <w:r w:rsidR="009F56D9">
        <w:rPr>
          <w:rFonts w:eastAsia="Calibri"/>
          <w:lang w:val="en-CA" w:eastAsia="en-US"/>
        </w:rPr>
        <w:t>whole</w:t>
      </w:r>
      <w:r w:rsidRPr="002F6CBB">
        <w:rPr>
          <w:rFonts w:eastAsia="Calibri"/>
          <w:lang w:val="en-CA" w:eastAsia="en-US"/>
        </w:rPr>
        <w:t xml:space="preserve"> or in part, on his race or colour combined with his sex and that, </w:t>
      </w:r>
      <w:r w:rsidR="005955A0">
        <w:rPr>
          <w:rFonts w:eastAsia="Calibri"/>
          <w:lang w:val="en-CA" w:eastAsia="en-US"/>
        </w:rPr>
        <w:t>therefore</w:t>
      </w:r>
      <w:r w:rsidRPr="002F6CBB">
        <w:rPr>
          <w:rFonts w:eastAsia="Calibri"/>
          <w:lang w:val="en-CA" w:eastAsia="en-US"/>
        </w:rPr>
        <w:t xml:space="preserve">, this intervention constituted discrimination </w:t>
      </w:r>
      <w:r w:rsidR="001E3950" w:rsidRPr="002F6CBB">
        <w:rPr>
          <w:rFonts w:eastAsia="Calibri"/>
          <w:lang w:val="en-CA" w:eastAsia="en-US"/>
        </w:rPr>
        <w:t>by</w:t>
      </w:r>
      <w:r w:rsidRPr="002F6CBB">
        <w:rPr>
          <w:rFonts w:eastAsia="Calibri"/>
          <w:lang w:val="en-CA" w:eastAsia="en-US"/>
        </w:rPr>
        <w:t xml:space="preserve"> racial profiling?</w:t>
      </w:r>
      <w:bookmarkEnd w:id="10"/>
    </w:p>
    <w:p w14:paraId="0C9BFEBC" w14:textId="25FDAF00" w:rsidR="000C0364" w:rsidRPr="002F6CBB" w:rsidRDefault="001E3950" w:rsidP="00472A9A">
      <w:pPr>
        <w:pStyle w:val="Titre3"/>
        <w:rPr>
          <w:lang w:val="en-CA"/>
        </w:rPr>
      </w:pPr>
      <w:bookmarkStart w:id="11" w:name="_Toc183702204"/>
      <w:r w:rsidRPr="002F6CBB">
        <w:rPr>
          <w:lang w:val="en-CA"/>
        </w:rPr>
        <w:t>Discrimination by racial profiling: principles and burden of proof</w:t>
      </w:r>
      <w:bookmarkEnd w:id="11"/>
    </w:p>
    <w:p w14:paraId="57882BC4" w14:textId="6BB2C5A7" w:rsidR="000C0364" w:rsidRPr="002F6CBB" w:rsidRDefault="001E3950" w:rsidP="00185A28">
      <w:pPr>
        <w:pStyle w:val="Paragraphe"/>
        <w:rPr>
          <w:lang w:val="en-CA"/>
        </w:rPr>
      </w:pPr>
      <w:r w:rsidRPr="002F6CBB">
        <w:rPr>
          <w:lang w:val="en-CA"/>
        </w:rPr>
        <w:t xml:space="preserve">Racial profiling is a form of discrimination prohibited by section 10 of the </w:t>
      </w:r>
      <w:r w:rsidRPr="002F6CBB">
        <w:rPr>
          <w:i/>
          <w:lang w:val="en-CA"/>
        </w:rPr>
        <w:t>Charter</w:t>
      </w:r>
      <w:r w:rsidRPr="002F6CBB">
        <w:rPr>
          <w:lang w:val="en-CA"/>
        </w:rPr>
        <w:t>.</w:t>
      </w:r>
    </w:p>
    <w:p w14:paraId="1E03E442" w14:textId="38E9789E" w:rsidR="000C0364" w:rsidRPr="002F6CBB" w:rsidRDefault="001E3950" w:rsidP="00185A28">
      <w:pPr>
        <w:pStyle w:val="Paragraphe"/>
        <w:rPr>
          <w:lang w:val="en-CA"/>
        </w:rPr>
      </w:pPr>
      <w:r w:rsidRPr="002F6CBB">
        <w:rPr>
          <w:lang w:val="en-CA"/>
        </w:rPr>
        <w:t xml:space="preserve">In 2015, in </w:t>
      </w:r>
      <w:r w:rsidRPr="002F6CBB">
        <w:rPr>
          <w:i/>
          <w:lang w:val="en-CA"/>
        </w:rPr>
        <w:t>Bombardier</w:t>
      </w:r>
      <w:bookmarkStart w:id="12" w:name="_Ref128649879"/>
      <w:r w:rsidRPr="002F6CBB">
        <w:rPr>
          <w:rStyle w:val="Appelnotedebasdep"/>
          <w:lang w:val="en-CA"/>
        </w:rPr>
        <w:footnoteReference w:id="12"/>
      </w:r>
      <w:bookmarkEnd w:id="12"/>
      <w:r w:rsidR="005C415D">
        <w:rPr>
          <w:lang w:val="en-CA"/>
        </w:rPr>
        <w:t>,</w:t>
      </w:r>
      <w:r w:rsidRPr="002F6CBB">
        <w:rPr>
          <w:lang w:val="en-CA"/>
        </w:rPr>
        <w:t xml:space="preserve"> the Supreme Court of Canada adopted the definition of racial profiling proposed </w:t>
      </w:r>
      <w:r w:rsidR="005955A0">
        <w:rPr>
          <w:lang w:val="en-CA"/>
        </w:rPr>
        <w:t xml:space="preserve">at the time </w:t>
      </w:r>
      <w:r w:rsidRPr="002F6CBB">
        <w:rPr>
          <w:lang w:val="en-CA"/>
        </w:rPr>
        <w:t>by the CDPDJ:</w:t>
      </w:r>
    </w:p>
    <w:p w14:paraId="16587A97" w14:textId="0B0B2E97" w:rsidR="000C0364" w:rsidRPr="002F6CBB" w:rsidRDefault="001E3950" w:rsidP="008D7EA5">
      <w:pPr>
        <w:pStyle w:val="Citationenretrait"/>
        <w:rPr>
          <w:rFonts w:ascii="Times New Roman" w:hAnsi="Times New Roman"/>
          <w:lang w:val="en-CA" w:eastAsia="fr-CA"/>
        </w:rPr>
      </w:pPr>
      <w:r w:rsidRPr="002F6CBB">
        <w:rPr>
          <w:lang w:val="en-CA"/>
        </w:rPr>
        <w:t>[33] The Commission submits that in the case at bar, Mr. Latif was a victim of racial profiling.</w:t>
      </w:r>
      <w:r w:rsidR="00BC67BE" w:rsidRPr="002F6CBB">
        <w:rPr>
          <w:lang w:val="en-CA"/>
        </w:rPr>
        <w:t xml:space="preserve"> </w:t>
      </w:r>
      <w:r w:rsidRPr="002F6CBB">
        <w:rPr>
          <w:lang w:val="en-CA"/>
        </w:rPr>
        <w:t>The concept of racial profiling was originally developed in the context of proceedings brought against the police for abuse of power, but it has since been extended to other situations:</w:t>
      </w:r>
    </w:p>
    <w:p w14:paraId="5B63B8B0" w14:textId="5CC9D7EA" w:rsidR="000C0364" w:rsidRPr="002F6CBB" w:rsidRDefault="001E3950" w:rsidP="008D7EA5">
      <w:pPr>
        <w:pStyle w:val="Citationdansunecitation"/>
        <w:rPr>
          <w:lang w:val="en-CA"/>
        </w:rPr>
      </w:pPr>
      <w:r w:rsidRPr="002F6CBB">
        <w:rPr>
          <w:lang w:val="en-CA"/>
        </w:rPr>
        <w:lastRenderedPageBreak/>
        <w:t>Racial profiling is any action taken by one or more people in authority with respect to a person or group of persons, for reasons of safety, security or public order, that is based on actual or presumed membership in a group defined by race, colour, ethnic or national origin or religion, without factual grounds or reasonable suspicion, that results in the person or group being exposed to differential treatment or scrutiny.</w:t>
      </w:r>
    </w:p>
    <w:p w14:paraId="1BB11CDE" w14:textId="39D4A851" w:rsidR="000C0364" w:rsidRPr="002F6CBB" w:rsidRDefault="001E3950" w:rsidP="008D7EA5">
      <w:pPr>
        <w:pStyle w:val="Citationdansunecitation"/>
        <w:rPr>
          <w:lang w:val="en-CA"/>
        </w:rPr>
      </w:pPr>
      <w:bookmarkStart w:id="13" w:name="8r10jppx2vr1"/>
      <w:bookmarkEnd w:id="13"/>
      <w:r w:rsidRPr="002F6CBB">
        <w:rPr>
          <w:lang w:val="en-CA"/>
        </w:rPr>
        <w:t>Racial profiling includes any action by a person in a situation of authority who applies a measure in a disproportionate way to certain segments of the population on the basis, in particular, of their racial, ethnic, national or religious background, whether actual or presumed.</w:t>
      </w:r>
    </w:p>
    <w:p w14:paraId="3529A4F0" w14:textId="5F3CF2BE" w:rsidR="00960F64" w:rsidRPr="002F6CBB" w:rsidRDefault="00201ACE" w:rsidP="008D7EA5">
      <w:pPr>
        <w:pStyle w:val="Citationenretrait"/>
        <w:jc w:val="right"/>
        <w:rPr>
          <w:sz w:val="20"/>
          <w:szCs w:val="18"/>
          <w:lang w:val="en-CA"/>
        </w:rPr>
      </w:pPr>
      <w:r w:rsidRPr="002F6CBB">
        <w:rPr>
          <w:rFonts w:cs="Arial"/>
          <w:sz w:val="20"/>
          <w:szCs w:val="18"/>
          <w:lang w:val="en-CA"/>
        </w:rPr>
        <w:t xml:space="preserve"> </w:t>
      </w:r>
      <w:r w:rsidR="00901192" w:rsidRPr="002F6CBB">
        <w:rPr>
          <w:rFonts w:cs="Arial"/>
          <w:sz w:val="20"/>
          <w:szCs w:val="18"/>
          <w:lang w:val="en-CA"/>
        </w:rPr>
        <w:t>[</w:t>
      </w:r>
      <w:r w:rsidR="001E3950" w:rsidRPr="002F6CBB">
        <w:rPr>
          <w:sz w:val="20"/>
          <w:szCs w:val="18"/>
          <w:lang w:val="en-CA"/>
        </w:rPr>
        <w:t>Underlining omitted</w:t>
      </w:r>
      <w:r w:rsidR="00DE4ADF">
        <w:rPr>
          <w:sz w:val="20"/>
          <w:szCs w:val="18"/>
          <w:lang w:val="en-CA"/>
        </w:rPr>
        <w:t>.</w:t>
      </w:r>
      <w:r w:rsidR="00901192" w:rsidRPr="002F6CBB">
        <w:rPr>
          <w:rFonts w:cs="Arial"/>
          <w:sz w:val="20"/>
          <w:szCs w:val="18"/>
          <w:lang w:val="en-CA"/>
        </w:rPr>
        <w:t>]</w:t>
      </w:r>
    </w:p>
    <w:p w14:paraId="19A96A93" w14:textId="51C620D8" w:rsidR="000C0364" w:rsidRPr="002F6CBB" w:rsidRDefault="00531CBF" w:rsidP="00185A28">
      <w:pPr>
        <w:pStyle w:val="Paragraphe"/>
        <w:rPr>
          <w:lang w:val="en-CA"/>
        </w:rPr>
      </w:pPr>
      <w:r>
        <w:rPr>
          <w:lang w:val="en-CA"/>
        </w:rPr>
        <w:t xml:space="preserve">According to </w:t>
      </w:r>
      <w:r w:rsidR="00A17A18" w:rsidRPr="002F6CBB">
        <w:rPr>
          <w:lang w:val="en-CA"/>
        </w:rPr>
        <w:t>the definition of racial profiling adopted by the Supreme Court</w:t>
      </w:r>
      <w:r>
        <w:rPr>
          <w:lang w:val="en-CA"/>
        </w:rPr>
        <w:t xml:space="preserve">, </w:t>
      </w:r>
      <w:r w:rsidR="00A17A18" w:rsidRPr="002F6CBB">
        <w:rPr>
          <w:lang w:val="en-CA"/>
        </w:rPr>
        <w:t xml:space="preserve">the essential characteristic of this discriminatory practice is </w:t>
      </w:r>
      <w:r>
        <w:rPr>
          <w:lang w:val="en-CA"/>
        </w:rPr>
        <w:t>that</w:t>
      </w:r>
      <w:r w:rsidR="00A17A18" w:rsidRPr="002F6CBB">
        <w:rPr>
          <w:lang w:val="en-CA"/>
        </w:rPr>
        <w:t xml:space="preserve"> </w:t>
      </w:r>
      <w:r w:rsidR="00F31AF4">
        <w:rPr>
          <w:lang w:val="en-CA"/>
        </w:rPr>
        <w:t>it</w:t>
      </w:r>
      <w:r w:rsidR="008A3995">
        <w:rPr>
          <w:lang w:val="en-CA"/>
        </w:rPr>
        <w:t xml:space="preserve"> i</w:t>
      </w:r>
      <w:r w:rsidR="00F31AF4">
        <w:rPr>
          <w:lang w:val="en-CA"/>
        </w:rPr>
        <w:t>s carried out by</w:t>
      </w:r>
      <w:r w:rsidR="00A17A18" w:rsidRPr="002F6CBB">
        <w:rPr>
          <w:lang w:val="en-CA"/>
        </w:rPr>
        <w:t xml:space="preserve"> “person</w:t>
      </w:r>
      <w:r w:rsidR="00F31AF4">
        <w:rPr>
          <w:lang w:val="en-CA"/>
        </w:rPr>
        <w:t>s</w:t>
      </w:r>
      <w:r w:rsidR="00A17A18" w:rsidRPr="002F6CBB">
        <w:rPr>
          <w:lang w:val="en-CA"/>
        </w:rPr>
        <w:t xml:space="preserve"> in a situation of authority”</w:t>
      </w:r>
      <w:bookmarkStart w:id="14" w:name="_Ref161753688"/>
      <w:r w:rsidR="00A17A18" w:rsidRPr="002F6CBB">
        <w:rPr>
          <w:vertAlign w:val="superscript"/>
          <w:lang w:val="en-CA"/>
        </w:rPr>
        <w:footnoteReference w:id="13"/>
      </w:r>
      <w:bookmarkEnd w:id="14"/>
      <w:r w:rsidR="005C415D">
        <w:rPr>
          <w:lang w:val="en-CA"/>
        </w:rPr>
        <w:t>,</w:t>
      </w:r>
      <w:r w:rsidR="00A17A18" w:rsidRPr="002F6CBB">
        <w:rPr>
          <w:lang w:val="en-CA"/>
        </w:rPr>
        <w:t xml:space="preserve"> </w:t>
      </w:r>
      <w:r w:rsidR="00F31AF4">
        <w:rPr>
          <w:lang w:val="en-CA"/>
        </w:rPr>
        <w:t>in particular</w:t>
      </w:r>
      <w:r w:rsidR="00F31AF4" w:rsidRPr="002F6CBB">
        <w:rPr>
          <w:lang w:val="en-CA"/>
        </w:rPr>
        <w:t xml:space="preserve"> </w:t>
      </w:r>
      <w:r w:rsidR="00A17A18" w:rsidRPr="002F6CBB">
        <w:rPr>
          <w:lang w:val="en-CA"/>
        </w:rPr>
        <w:t xml:space="preserve"> police</w:t>
      </w:r>
      <w:r w:rsidR="00F31AF4">
        <w:rPr>
          <w:lang w:val="en-CA"/>
        </w:rPr>
        <w:t xml:space="preserve"> forces</w:t>
      </w:r>
      <w:r w:rsidR="00A17A18" w:rsidRPr="002F6CBB">
        <w:rPr>
          <w:lang w:val="en-CA"/>
        </w:rPr>
        <w:t>, act</w:t>
      </w:r>
      <w:r w:rsidR="00F31AF4">
        <w:rPr>
          <w:lang w:val="en-CA"/>
        </w:rPr>
        <w:t>ing</w:t>
      </w:r>
      <w:r w:rsidR="00A17A18" w:rsidRPr="002F6CBB">
        <w:rPr>
          <w:lang w:val="en-CA"/>
        </w:rPr>
        <w:t xml:space="preserve"> for reasons of safety, security, or public </w:t>
      </w:r>
      <w:r w:rsidR="00F31AF4">
        <w:rPr>
          <w:lang w:val="en-CA"/>
        </w:rPr>
        <w:t>protection</w:t>
      </w:r>
      <w:r w:rsidR="00A17A18" w:rsidRPr="002F6CBB">
        <w:rPr>
          <w:lang w:val="en-CA"/>
        </w:rPr>
        <w:t xml:space="preserve">. </w:t>
      </w:r>
      <w:r w:rsidR="00BC67BE" w:rsidRPr="002F6CBB">
        <w:rPr>
          <w:lang w:val="en-CA"/>
        </w:rPr>
        <w:t xml:space="preserve"> </w:t>
      </w:r>
    </w:p>
    <w:p w14:paraId="136A45A6" w14:textId="3260CF9F" w:rsidR="000C0364" w:rsidRPr="002F6CBB" w:rsidRDefault="00A17A18" w:rsidP="00185A28">
      <w:pPr>
        <w:pStyle w:val="Paragraphe"/>
        <w:rPr>
          <w:lang w:val="en-CA"/>
        </w:rPr>
      </w:pPr>
      <w:r w:rsidRPr="002F6CBB">
        <w:rPr>
          <w:lang w:val="en-CA"/>
        </w:rPr>
        <w:t xml:space="preserve">This definition has two </w:t>
      </w:r>
      <w:r w:rsidR="006C1C42">
        <w:rPr>
          <w:lang w:val="en-CA"/>
        </w:rPr>
        <w:t>branches</w:t>
      </w:r>
      <w:r w:rsidRPr="002F6CBB">
        <w:rPr>
          <w:lang w:val="en-CA"/>
        </w:rPr>
        <w:t>.</w:t>
      </w:r>
      <w:r w:rsidR="00BC67BE" w:rsidRPr="002F6CBB">
        <w:rPr>
          <w:lang w:val="en-CA"/>
        </w:rPr>
        <w:t xml:space="preserve"> </w:t>
      </w:r>
      <w:r w:rsidRPr="002F6CBB">
        <w:rPr>
          <w:lang w:val="en-CA"/>
        </w:rPr>
        <w:t xml:space="preserve">The first </w:t>
      </w:r>
      <w:r w:rsidR="006C1C42">
        <w:rPr>
          <w:lang w:val="en-CA"/>
        </w:rPr>
        <w:t>branch</w:t>
      </w:r>
      <w:r w:rsidRPr="002F6CBB">
        <w:rPr>
          <w:lang w:val="en-CA"/>
        </w:rPr>
        <w:t xml:space="preserve"> deals with </w:t>
      </w:r>
      <w:r w:rsidRPr="00531CBF">
        <w:rPr>
          <w:i/>
          <w:iCs/>
          <w:lang w:val="en-CA"/>
        </w:rPr>
        <w:t>individual</w:t>
      </w:r>
      <w:r w:rsidRPr="002F6CBB">
        <w:rPr>
          <w:lang w:val="en-CA"/>
        </w:rPr>
        <w:t xml:space="preserve"> racial profiling, that is, an action by a person in a situation of authority, a police officer for example, that targets and treats a person differently due to their actual or presumed rac</w:t>
      </w:r>
      <w:r w:rsidR="00E659CD">
        <w:rPr>
          <w:lang w:val="en-CA"/>
        </w:rPr>
        <w:t>ial background</w:t>
      </w:r>
      <w:r w:rsidRPr="002F6CBB">
        <w:rPr>
          <w:lang w:val="en-CA"/>
        </w:rPr>
        <w:t>.</w:t>
      </w:r>
      <w:r w:rsidR="00BC67BE" w:rsidRPr="002F6CBB">
        <w:rPr>
          <w:lang w:val="en-CA"/>
        </w:rPr>
        <w:t xml:space="preserve"> </w:t>
      </w:r>
      <w:r w:rsidRPr="002F6CBB">
        <w:rPr>
          <w:lang w:val="en-CA"/>
        </w:rPr>
        <w:t xml:space="preserve">The second </w:t>
      </w:r>
      <w:r w:rsidR="00C640AE">
        <w:rPr>
          <w:lang w:val="en-CA"/>
        </w:rPr>
        <w:t>branch</w:t>
      </w:r>
      <w:r w:rsidRPr="002F6CBB">
        <w:rPr>
          <w:lang w:val="en-CA"/>
        </w:rPr>
        <w:t xml:space="preserve"> of profiling is the disproportionate application of measures to racialized segments of the population and </w:t>
      </w:r>
      <w:r w:rsidR="00F31AF4">
        <w:rPr>
          <w:lang w:val="en-CA"/>
        </w:rPr>
        <w:t xml:space="preserve">it </w:t>
      </w:r>
      <w:r w:rsidRPr="002F6CBB">
        <w:rPr>
          <w:lang w:val="en-CA"/>
        </w:rPr>
        <w:t>recalls that racial profiling also has a systemic element, particularly in the context of law enforcement</w:t>
      </w:r>
      <w:bookmarkStart w:id="15" w:name="_Ref161821529"/>
      <w:r w:rsidRPr="002F6CBB">
        <w:rPr>
          <w:rStyle w:val="Appelnotedebasdep"/>
          <w:lang w:val="en-CA"/>
        </w:rPr>
        <w:footnoteReference w:id="14"/>
      </w:r>
      <w:bookmarkEnd w:id="15"/>
      <w:r w:rsidR="005C415D">
        <w:rPr>
          <w:lang w:val="en-CA"/>
        </w:rPr>
        <w:t>,</w:t>
      </w:r>
      <w:r w:rsidRPr="002F6CBB">
        <w:rPr>
          <w:lang w:val="en-CA"/>
        </w:rPr>
        <w:t xml:space="preserve"> as the Tribunal</w:t>
      </w:r>
      <w:r w:rsidR="00BA58A4" w:rsidRPr="002F6CBB">
        <w:rPr>
          <w:lang w:val="en-CA"/>
        </w:rPr>
        <w:t xml:space="preserve"> </w:t>
      </w:r>
      <w:r w:rsidRPr="002F6CBB">
        <w:rPr>
          <w:lang w:val="en-CA"/>
        </w:rPr>
        <w:t xml:space="preserve">noted in </w:t>
      </w:r>
      <w:r w:rsidRPr="002F6CBB">
        <w:rPr>
          <w:i/>
          <w:lang w:val="en-CA"/>
        </w:rPr>
        <w:t>Dagobert</w:t>
      </w:r>
      <w:r w:rsidRPr="002F6CBB">
        <w:rPr>
          <w:lang w:val="en-CA"/>
        </w:rPr>
        <w:t>:</w:t>
      </w:r>
      <w:r w:rsidRPr="002F6CBB">
        <w:rPr>
          <w:rStyle w:val="Appelnotedebasdep"/>
          <w:lang w:val="en-CA"/>
        </w:rPr>
        <w:footnoteReference w:id="15"/>
      </w:r>
      <w:r w:rsidR="00BC67BE" w:rsidRPr="002F6CBB">
        <w:rPr>
          <w:lang w:val="en-CA"/>
        </w:rPr>
        <w:t xml:space="preserve"> </w:t>
      </w:r>
    </w:p>
    <w:p w14:paraId="6FAF9424" w14:textId="337C9CB0" w:rsidR="00E659CD" w:rsidRDefault="00E659CD" w:rsidP="000C0364">
      <w:pPr>
        <w:pStyle w:val="Citationenretrait"/>
        <w:rPr>
          <w:lang w:val="en-CA"/>
        </w:rPr>
      </w:pPr>
      <w:r>
        <w:rPr>
          <w:rFonts w:cs="Arial"/>
          <w:lang w:val="en-CA"/>
        </w:rPr>
        <w:t>[</w:t>
      </w:r>
      <w:r>
        <w:rPr>
          <w:rFonts w:cs="Arial"/>
          <w:smallCaps/>
          <w:lang w:val="en-CA"/>
        </w:rPr>
        <w:t>translation</w:t>
      </w:r>
      <w:r>
        <w:rPr>
          <w:rFonts w:cs="Arial"/>
          <w:lang w:val="en-CA"/>
        </w:rPr>
        <w:t>]</w:t>
      </w:r>
    </w:p>
    <w:p w14:paraId="6EFEA647" w14:textId="66278FC7" w:rsidR="000C0364" w:rsidRPr="002F6CBB" w:rsidRDefault="00A17A18" w:rsidP="000C0364">
      <w:pPr>
        <w:pStyle w:val="Citationenretrait"/>
        <w:rPr>
          <w:lang w:val="en-CA"/>
        </w:rPr>
      </w:pPr>
      <w:r w:rsidRPr="002F6CBB">
        <w:rPr>
          <w:lang w:val="en-CA"/>
        </w:rPr>
        <w:t xml:space="preserve">[119] Racial profiling may also be systemic in nature when it is based on the dynamic interaction between measures or decisions and attitudes tainted by prejudice </w:t>
      </w:r>
      <w:r w:rsidR="00F31AF4">
        <w:rPr>
          <w:lang w:val="en-CA"/>
        </w:rPr>
        <w:t>and</w:t>
      </w:r>
      <w:r w:rsidRPr="002F6CBB">
        <w:rPr>
          <w:lang w:val="en-CA"/>
        </w:rPr>
        <w:t xml:space="preserve"> on organizational structures and institutional practices that have the effect of disproportionately penalizing certain persons or groups of persons protected by the </w:t>
      </w:r>
      <w:r w:rsidRPr="002F6CBB">
        <w:rPr>
          <w:i/>
          <w:lang w:val="en-CA"/>
        </w:rPr>
        <w:t>Charter</w:t>
      </w:r>
      <w:r w:rsidRPr="002F6CBB">
        <w:rPr>
          <w:lang w:val="en-CA"/>
        </w:rPr>
        <w:t>, in particular on the basis of race or ethnic origin.</w:t>
      </w:r>
    </w:p>
    <w:p w14:paraId="3A3DDBBE" w14:textId="6377EDBA" w:rsidR="000C0364" w:rsidRPr="002F6CBB" w:rsidRDefault="00A17A18" w:rsidP="00185A28">
      <w:pPr>
        <w:pStyle w:val="Paragraphe"/>
        <w:rPr>
          <w:lang w:val="en-CA" w:eastAsia="fr-CA"/>
        </w:rPr>
      </w:pPr>
      <w:r w:rsidRPr="002F6CBB">
        <w:rPr>
          <w:lang w:val="en-CA" w:eastAsia="fr-CA"/>
        </w:rPr>
        <w:t>This application concerns an allegation of isolated or individual racial profiling that</w:t>
      </w:r>
      <w:r w:rsidR="00C640AE" w:rsidRPr="002F6CBB">
        <w:rPr>
          <w:lang w:val="en-CA" w:eastAsia="fr-CA"/>
        </w:rPr>
        <w:t>, according to the CDPDJ,</w:t>
      </w:r>
      <w:r w:rsidRPr="002F6CBB">
        <w:rPr>
          <w:lang w:val="en-CA" w:eastAsia="fr-CA"/>
        </w:rPr>
        <w:t xml:space="preserve"> nevertheless </w:t>
      </w:r>
      <w:r w:rsidR="00E659CD">
        <w:rPr>
          <w:lang w:val="en-CA" w:eastAsia="fr-CA"/>
        </w:rPr>
        <w:t>falls within</w:t>
      </w:r>
      <w:r w:rsidRPr="002F6CBB">
        <w:rPr>
          <w:lang w:val="en-CA" w:eastAsia="fr-CA"/>
        </w:rPr>
        <w:t xml:space="preserve"> the broader context of institutionalized or systemic racial profiling within the police.</w:t>
      </w:r>
    </w:p>
    <w:p w14:paraId="7223DBDE" w14:textId="1A43586D" w:rsidR="000C0364" w:rsidRPr="002F6CBB" w:rsidRDefault="00A17A18" w:rsidP="00185A28">
      <w:pPr>
        <w:pStyle w:val="Paragraphe"/>
        <w:rPr>
          <w:lang w:val="en-CA"/>
        </w:rPr>
      </w:pPr>
      <w:r w:rsidRPr="002F6CBB">
        <w:rPr>
          <w:lang w:val="en-CA"/>
        </w:rPr>
        <w:lastRenderedPageBreak/>
        <w:t xml:space="preserve">As it is a form of discrimination prohibited by section 10 of the </w:t>
      </w:r>
      <w:r w:rsidRPr="002F6CBB">
        <w:rPr>
          <w:i/>
          <w:lang w:val="en-CA"/>
        </w:rPr>
        <w:t>Charter</w:t>
      </w:r>
      <w:r w:rsidRPr="002F6CBB">
        <w:rPr>
          <w:lang w:val="en-CA"/>
        </w:rPr>
        <w:t xml:space="preserve">, it must be legally dealt with using the analytical framework developed by the case law for this </w:t>
      </w:r>
      <w:r w:rsidR="00E659CD">
        <w:rPr>
          <w:lang w:val="en-CA"/>
        </w:rPr>
        <w:t>provision</w:t>
      </w:r>
      <w:r w:rsidRPr="002F6CBB">
        <w:rPr>
          <w:lang w:val="en-CA"/>
        </w:rPr>
        <w:t>.</w:t>
      </w:r>
      <w:r w:rsidR="00BC67BE" w:rsidRPr="002F6CBB">
        <w:rPr>
          <w:lang w:val="en-CA"/>
        </w:rPr>
        <w:t xml:space="preserve"> </w:t>
      </w:r>
      <w:r w:rsidR="00E659CD">
        <w:rPr>
          <w:lang w:val="en-CA"/>
        </w:rPr>
        <w:t>There is d</w:t>
      </w:r>
      <w:r w:rsidRPr="002F6CBB">
        <w:rPr>
          <w:kern w:val="0"/>
          <w:lang w:val="en-CA"/>
        </w:rPr>
        <w:t xml:space="preserve">iscrimination, by profiling or otherwise, </w:t>
      </w:r>
      <w:r w:rsidR="00B05C29">
        <w:rPr>
          <w:kern w:val="0"/>
          <w:lang w:val="en-CA"/>
        </w:rPr>
        <w:t>in the presence of</w:t>
      </w:r>
      <w:r w:rsidRPr="002F6CBB">
        <w:rPr>
          <w:kern w:val="0"/>
          <w:lang w:val="en-CA"/>
        </w:rPr>
        <w:t xml:space="preserve"> three factors</w:t>
      </w:r>
      <w:r w:rsidR="00B05C29">
        <w:rPr>
          <w:kern w:val="0"/>
          <w:lang w:val="en-CA"/>
        </w:rPr>
        <w:t>,</w:t>
      </w:r>
      <w:r w:rsidRPr="002F6CBB">
        <w:rPr>
          <w:kern w:val="0"/>
          <w:lang w:val="en-CA"/>
        </w:rPr>
        <w:t xml:space="preserve"> which the plaintiff must prove, that is: (</w:t>
      </w:r>
      <w:proofErr w:type="spellStart"/>
      <w:r w:rsidRPr="002F6CBB">
        <w:rPr>
          <w:kern w:val="0"/>
          <w:lang w:val="en-CA"/>
        </w:rPr>
        <w:t>i</w:t>
      </w:r>
      <w:proofErr w:type="spellEnd"/>
      <w:r w:rsidRPr="002F6CBB">
        <w:rPr>
          <w:kern w:val="0"/>
          <w:lang w:val="en-CA"/>
        </w:rPr>
        <w:t xml:space="preserve">) differential treatment; (ii) based on one of the personal characteristics listed in the first paragraph of that </w:t>
      </w:r>
      <w:r w:rsidR="00E659CD">
        <w:rPr>
          <w:kern w:val="0"/>
          <w:lang w:val="en-CA"/>
        </w:rPr>
        <w:t>provision</w:t>
      </w:r>
      <w:r w:rsidRPr="002F6CBB">
        <w:rPr>
          <w:kern w:val="0"/>
          <w:lang w:val="en-CA"/>
        </w:rPr>
        <w:t xml:space="preserve">, and (iii) </w:t>
      </w:r>
      <w:r w:rsidR="00112FB9">
        <w:rPr>
          <w:kern w:val="0"/>
          <w:lang w:val="en-CA"/>
        </w:rPr>
        <w:t xml:space="preserve">which has the effect of impairing or </w:t>
      </w:r>
      <w:r w:rsidRPr="002F6CBB">
        <w:rPr>
          <w:kern w:val="0"/>
          <w:lang w:val="en-CA"/>
        </w:rPr>
        <w:t>nullif</w:t>
      </w:r>
      <w:r w:rsidR="00112FB9">
        <w:rPr>
          <w:kern w:val="0"/>
          <w:lang w:val="en-CA"/>
        </w:rPr>
        <w:t xml:space="preserve">ying </w:t>
      </w:r>
      <w:r w:rsidRPr="002F6CBB">
        <w:rPr>
          <w:kern w:val="0"/>
          <w:lang w:val="en-CA"/>
        </w:rPr>
        <w:t>the right to equal recognition and exercise of a human right or freedom.</w:t>
      </w:r>
      <w:bookmarkStart w:id="16" w:name="_Ref161824332"/>
      <w:r w:rsidRPr="002F6CBB">
        <w:rPr>
          <w:kern w:val="0"/>
          <w:vertAlign w:val="superscript"/>
          <w:lang w:val="en-CA"/>
        </w:rPr>
        <w:footnoteReference w:id="16"/>
      </w:r>
      <w:bookmarkEnd w:id="16"/>
      <w:r w:rsidR="00BC67BE" w:rsidRPr="002F6CBB">
        <w:rPr>
          <w:kern w:val="0"/>
          <w:lang w:val="en-CA"/>
        </w:rPr>
        <w:t xml:space="preserve"> </w:t>
      </w:r>
    </w:p>
    <w:p w14:paraId="64B6B74D" w14:textId="66014C11" w:rsidR="000C0364" w:rsidRPr="002F6CBB" w:rsidRDefault="00112FB9" w:rsidP="00185A28">
      <w:pPr>
        <w:pStyle w:val="Paragraphe"/>
        <w:rPr>
          <w:lang w:val="en-CA"/>
        </w:rPr>
      </w:pPr>
      <w:r>
        <w:rPr>
          <w:lang w:val="en-CA"/>
        </w:rPr>
        <w:t>With respect to</w:t>
      </w:r>
      <w:r w:rsidR="00A17A18" w:rsidRPr="002F6CBB">
        <w:rPr>
          <w:lang w:val="en-CA"/>
        </w:rPr>
        <w:t xml:space="preserve"> differential treatment, the party alleging racial profiling must prove that the treatment to which they were subjected by a person in authority </w:t>
      </w:r>
      <w:r w:rsidR="00666309">
        <w:rPr>
          <w:lang w:val="en-CA"/>
        </w:rPr>
        <w:t>is un</w:t>
      </w:r>
      <w:r w:rsidR="00A17A18" w:rsidRPr="002F6CBB">
        <w:rPr>
          <w:lang w:val="en-CA"/>
        </w:rPr>
        <w:t>usual.</w:t>
      </w:r>
      <w:r w:rsidR="00BC67BE" w:rsidRPr="002F6CBB">
        <w:rPr>
          <w:lang w:val="en-CA"/>
        </w:rPr>
        <w:t xml:space="preserve"> </w:t>
      </w:r>
      <w:r w:rsidR="00A17A18" w:rsidRPr="002F6CBB">
        <w:rPr>
          <w:lang w:val="en-CA"/>
        </w:rPr>
        <w:t>In other words, was there, according to the generally circumstantial evidence available, improper behaviour by a police officer as compared with usual practices in similar circumstances?</w:t>
      </w:r>
      <w:bookmarkStart w:id="17" w:name="_Ref161821961"/>
      <w:r w:rsidR="00A17A18" w:rsidRPr="002F6CBB">
        <w:rPr>
          <w:vertAlign w:val="superscript"/>
          <w:lang w:val="en-CA"/>
        </w:rPr>
        <w:footnoteReference w:id="17"/>
      </w:r>
      <w:bookmarkEnd w:id="17"/>
      <w:r w:rsidR="002A60BD" w:rsidRPr="002F6CBB">
        <w:rPr>
          <w:lang w:val="en-CA"/>
        </w:rPr>
        <w:t xml:space="preserve"> </w:t>
      </w:r>
      <w:r w:rsidR="00A17A18" w:rsidRPr="002F6CBB">
        <w:rPr>
          <w:lang w:val="en-CA"/>
        </w:rPr>
        <w:t xml:space="preserve">Would </w:t>
      </w:r>
      <w:r w:rsidR="00666309">
        <w:rPr>
          <w:lang w:val="en-CA"/>
        </w:rPr>
        <w:t>the officer</w:t>
      </w:r>
      <w:r w:rsidR="00A17A18" w:rsidRPr="002F6CBB">
        <w:rPr>
          <w:lang w:val="en-CA"/>
        </w:rPr>
        <w:t xml:space="preserve"> have acted differently </w:t>
      </w:r>
      <w:r>
        <w:rPr>
          <w:lang w:val="en-CA"/>
        </w:rPr>
        <w:t xml:space="preserve">if </w:t>
      </w:r>
      <w:r w:rsidR="00A17A18" w:rsidRPr="002F6CBB">
        <w:rPr>
          <w:lang w:val="en-CA"/>
        </w:rPr>
        <w:t xml:space="preserve">the complainant </w:t>
      </w:r>
      <w:r>
        <w:rPr>
          <w:lang w:val="en-CA"/>
        </w:rPr>
        <w:t xml:space="preserve">had </w:t>
      </w:r>
      <w:r w:rsidR="00A17A18" w:rsidRPr="002F6CBB">
        <w:rPr>
          <w:lang w:val="en-CA"/>
        </w:rPr>
        <w:t xml:space="preserve">not been a member, or a presumed member, of a group protected by the </w:t>
      </w:r>
      <w:r w:rsidR="00A17A18" w:rsidRPr="002F6CBB">
        <w:rPr>
          <w:i/>
          <w:lang w:val="en-CA"/>
        </w:rPr>
        <w:t>Charter</w:t>
      </w:r>
      <w:r w:rsidR="00A17A18" w:rsidRPr="002F6CBB">
        <w:rPr>
          <w:lang w:val="en-CA"/>
        </w:rPr>
        <w:t>?</w:t>
      </w:r>
      <w:bookmarkStart w:id="18" w:name="_Ref161823995"/>
      <w:r w:rsidR="00A17A18" w:rsidRPr="002F6CBB">
        <w:rPr>
          <w:vertAlign w:val="superscript"/>
          <w:lang w:val="en-CA"/>
        </w:rPr>
        <w:footnoteReference w:id="18"/>
      </w:r>
      <w:bookmarkEnd w:id="18"/>
      <w:r w:rsidR="00BC67BE" w:rsidRPr="002F6CBB">
        <w:rPr>
          <w:lang w:val="en-CA"/>
        </w:rPr>
        <w:t xml:space="preserve"> </w:t>
      </w:r>
    </w:p>
    <w:p w14:paraId="50A2F54A" w14:textId="42BFF3D6" w:rsidR="000C0364" w:rsidRPr="002F6CBB" w:rsidRDefault="00932F09" w:rsidP="00185A28">
      <w:pPr>
        <w:pStyle w:val="Paragraphe"/>
        <w:rPr>
          <w:lang w:val="en-CA"/>
        </w:rPr>
      </w:pPr>
      <w:r w:rsidRPr="002F6CBB">
        <w:rPr>
          <w:lang w:val="en-CA"/>
        </w:rPr>
        <w:t>The c</w:t>
      </w:r>
      <w:r w:rsidR="00A17A18" w:rsidRPr="002F6CBB">
        <w:rPr>
          <w:lang w:val="en-CA"/>
        </w:rPr>
        <w:t xml:space="preserve">ase law has recognized that police interventions conducted without reasonable grounds or conducted in an excessive manner </w:t>
      </w:r>
      <w:r w:rsidR="008F303A">
        <w:rPr>
          <w:lang w:val="en-CA"/>
        </w:rPr>
        <w:t xml:space="preserve">met the criterion for </w:t>
      </w:r>
      <w:r w:rsidR="00A17A18" w:rsidRPr="002F6CBB">
        <w:rPr>
          <w:lang w:val="en-CA"/>
        </w:rPr>
        <w:t>differential treatment.</w:t>
      </w:r>
      <w:r w:rsidR="00A17A18" w:rsidRPr="002F6CBB">
        <w:rPr>
          <w:vertAlign w:val="superscript"/>
          <w:lang w:val="en-CA"/>
        </w:rPr>
        <w:footnoteReference w:id="19"/>
      </w:r>
      <w:r w:rsidR="00BC67BE" w:rsidRPr="002F6CBB">
        <w:rPr>
          <w:lang w:val="en-CA"/>
        </w:rPr>
        <w:t xml:space="preserve"> </w:t>
      </w:r>
      <w:r w:rsidR="00A17A18" w:rsidRPr="002F6CBB">
        <w:rPr>
          <w:lang w:val="en-CA"/>
        </w:rPr>
        <w:t xml:space="preserve">The same is true with respect to questions that are inappropriate or asked without valid reason, unusual decisions that differ from normal practices, such as abuse of right or power, unjustified searches, irrelevant inquiries into </w:t>
      </w:r>
      <w:r w:rsidR="008F303A">
        <w:rPr>
          <w:lang w:val="en-CA"/>
        </w:rPr>
        <w:t>a</w:t>
      </w:r>
      <w:r w:rsidR="00A17A18" w:rsidRPr="002F6CBB">
        <w:rPr>
          <w:lang w:val="en-CA"/>
        </w:rPr>
        <w:t xml:space="preserve"> driver’s record, and dubious organizational practices by </w:t>
      </w:r>
      <w:r w:rsidR="008F303A">
        <w:rPr>
          <w:lang w:val="en-CA"/>
        </w:rPr>
        <w:t>law enforcement</w:t>
      </w:r>
      <w:r w:rsidR="00A17A18" w:rsidRPr="002F6CBB">
        <w:rPr>
          <w:lang w:val="en-CA"/>
        </w:rPr>
        <w:t>.</w:t>
      </w:r>
      <w:r w:rsidR="00A17A18" w:rsidRPr="002F6CBB">
        <w:rPr>
          <w:vertAlign w:val="superscript"/>
          <w:lang w:val="en-CA"/>
        </w:rPr>
        <w:footnoteReference w:id="20"/>
      </w:r>
    </w:p>
    <w:p w14:paraId="16A8FC70" w14:textId="48DB68BE" w:rsidR="000C0364" w:rsidRPr="002F6CBB" w:rsidRDefault="00A17A18" w:rsidP="00185A28">
      <w:pPr>
        <w:pStyle w:val="Paragraphe"/>
        <w:rPr>
          <w:lang w:val="en-CA"/>
        </w:rPr>
      </w:pPr>
      <w:r w:rsidRPr="002F6CBB">
        <w:rPr>
          <w:lang w:val="en-CA"/>
        </w:rPr>
        <w:t xml:space="preserve">It is important to note, however, that in racial profiling cases, the Tribunal </w:t>
      </w:r>
      <w:r w:rsidR="00D441C1">
        <w:rPr>
          <w:lang w:val="en-CA"/>
        </w:rPr>
        <w:t>does</w:t>
      </w:r>
      <w:r w:rsidRPr="002F6CBB">
        <w:rPr>
          <w:lang w:val="en-CA"/>
        </w:rPr>
        <w:t xml:space="preserve"> not </w:t>
      </w:r>
      <w:r w:rsidR="00D441C1">
        <w:rPr>
          <w:lang w:val="en-CA"/>
        </w:rPr>
        <w:t xml:space="preserve">have to </w:t>
      </w:r>
      <w:r w:rsidRPr="002F6CBB">
        <w:rPr>
          <w:lang w:val="en-CA"/>
        </w:rPr>
        <w:t xml:space="preserve">determine whether the police intervention was reasonable or appropriate in the </w:t>
      </w:r>
      <w:r w:rsidRPr="002F6CBB">
        <w:rPr>
          <w:lang w:val="en-CA"/>
        </w:rPr>
        <w:lastRenderedPageBreak/>
        <w:t xml:space="preserve">circumstances, but rather if it impaired the victim’s right to equality by its discriminatory nature within the meaning of the </w:t>
      </w:r>
      <w:r w:rsidRPr="002F6CBB">
        <w:rPr>
          <w:i/>
          <w:lang w:val="en-CA"/>
        </w:rPr>
        <w:t>Charter</w:t>
      </w:r>
      <w:r w:rsidRPr="002F6CBB">
        <w:rPr>
          <w:lang w:val="en-CA"/>
        </w:rPr>
        <w:t>.</w:t>
      </w:r>
      <w:bookmarkStart w:id="19" w:name="_Ref161824050"/>
      <w:r w:rsidRPr="002F6CBB">
        <w:rPr>
          <w:vertAlign w:val="superscript"/>
          <w:lang w:val="en-CA"/>
        </w:rPr>
        <w:footnoteReference w:id="21"/>
      </w:r>
      <w:bookmarkEnd w:id="19"/>
      <w:r w:rsidR="00BC67BE" w:rsidRPr="002F6CBB">
        <w:rPr>
          <w:lang w:val="en-CA"/>
        </w:rPr>
        <w:t xml:space="preserve"> </w:t>
      </w:r>
    </w:p>
    <w:p w14:paraId="6BE92562" w14:textId="11B90EEC" w:rsidR="000C0364" w:rsidRPr="002F6CBB" w:rsidRDefault="00A17A18" w:rsidP="00185A28">
      <w:pPr>
        <w:pStyle w:val="Paragraphe"/>
        <w:rPr>
          <w:lang w:val="en-CA"/>
        </w:rPr>
      </w:pPr>
      <w:r w:rsidRPr="002F6CBB">
        <w:rPr>
          <w:lang w:val="en-CA"/>
        </w:rPr>
        <w:t xml:space="preserve">The second constituent factor of discrimination is the connection between the contested decision or action and a personal characteristic </w:t>
      </w:r>
      <w:r w:rsidR="00C61E41" w:rsidRPr="002F6CBB">
        <w:rPr>
          <w:lang w:val="en-CA"/>
        </w:rPr>
        <w:t xml:space="preserve">listed </w:t>
      </w:r>
      <w:r w:rsidRPr="002F6CBB">
        <w:rPr>
          <w:lang w:val="en-CA"/>
        </w:rPr>
        <w:t xml:space="preserve">in section 10 of the </w:t>
      </w:r>
      <w:r w:rsidRPr="002F6CBB">
        <w:rPr>
          <w:i/>
          <w:lang w:val="en-CA"/>
        </w:rPr>
        <w:t>Charter</w:t>
      </w:r>
      <w:r w:rsidRPr="002F6CBB">
        <w:rPr>
          <w:lang w:val="en-CA"/>
        </w:rPr>
        <w:t>.</w:t>
      </w:r>
      <w:r w:rsidR="00BC67BE" w:rsidRPr="002F6CBB">
        <w:rPr>
          <w:lang w:val="en-CA"/>
        </w:rPr>
        <w:t xml:space="preserve"> </w:t>
      </w:r>
      <w:r w:rsidRPr="002F6CBB">
        <w:rPr>
          <w:lang w:val="en-CA"/>
        </w:rPr>
        <w:t xml:space="preserve">It goes without saying that in racial profiling cases, the victim must be identifiable by </w:t>
      </w:r>
      <w:r w:rsidR="007A067E">
        <w:rPr>
          <w:lang w:val="en-CA"/>
        </w:rPr>
        <w:t>their</w:t>
      </w:r>
      <w:r w:rsidRPr="002F6CBB">
        <w:rPr>
          <w:lang w:val="en-CA"/>
        </w:rPr>
        <w:t xml:space="preserve"> race, colour, ethnic origin, or religion. However, because of stereotypical social representation, it is sufficient for the police officer to subjectively perceive the victim as being of such race or colour to establish a connection with that ground.</w:t>
      </w:r>
      <w:r w:rsidRPr="002F6CBB">
        <w:rPr>
          <w:vertAlign w:val="superscript"/>
          <w:lang w:val="en-CA"/>
        </w:rPr>
        <w:footnoteReference w:id="22"/>
      </w:r>
      <w:r w:rsidR="00BC67BE" w:rsidRPr="002F6CBB">
        <w:rPr>
          <w:lang w:val="en-CA"/>
        </w:rPr>
        <w:t xml:space="preserve"> </w:t>
      </w:r>
    </w:p>
    <w:p w14:paraId="6A4C127E" w14:textId="284512A0" w:rsidR="000C0364" w:rsidRPr="002F6CBB" w:rsidRDefault="00A17A18" w:rsidP="00185A28">
      <w:pPr>
        <w:pStyle w:val="Paragraphe"/>
        <w:rPr>
          <w:lang w:val="en-CA"/>
        </w:rPr>
      </w:pPr>
      <w:r w:rsidRPr="002F6CBB">
        <w:rPr>
          <w:lang w:val="en-CA"/>
        </w:rPr>
        <w:t xml:space="preserve">The connection required between the </w:t>
      </w:r>
      <w:r w:rsidR="00797115">
        <w:rPr>
          <w:lang w:val="en-CA"/>
        </w:rPr>
        <w:t>conduct</w:t>
      </w:r>
      <w:r w:rsidR="00CE5B09">
        <w:rPr>
          <w:lang w:val="en-CA"/>
        </w:rPr>
        <w:t xml:space="preserve"> complained of</w:t>
      </w:r>
      <w:r w:rsidRPr="002F6CBB">
        <w:rPr>
          <w:lang w:val="en-CA"/>
        </w:rPr>
        <w:t xml:space="preserve"> and a ground of discrimination </w:t>
      </w:r>
      <w:r w:rsidR="000E4494" w:rsidRPr="002F6CBB">
        <w:rPr>
          <w:lang w:val="en-CA"/>
        </w:rPr>
        <w:t xml:space="preserve">listed </w:t>
      </w:r>
      <w:r w:rsidRPr="002F6CBB">
        <w:rPr>
          <w:lang w:val="en-CA"/>
        </w:rPr>
        <w:t xml:space="preserve">in section 10 of the </w:t>
      </w:r>
      <w:r w:rsidRPr="002F6CBB">
        <w:rPr>
          <w:i/>
          <w:lang w:val="en-CA"/>
        </w:rPr>
        <w:t>Charter</w:t>
      </w:r>
      <w:r w:rsidRPr="002F6CBB">
        <w:rPr>
          <w:lang w:val="en-CA"/>
        </w:rPr>
        <w:t xml:space="preserve"> </w:t>
      </w:r>
      <w:r w:rsidR="000E4494">
        <w:rPr>
          <w:lang w:val="en-CA"/>
        </w:rPr>
        <w:t xml:space="preserve">is </w:t>
      </w:r>
      <w:r w:rsidRPr="002F6CBB">
        <w:rPr>
          <w:lang w:val="en-CA"/>
        </w:rPr>
        <w:t xml:space="preserve">not </w:t>
      </w:r>
      <w:r w:rsidR="000E4494">
        <w:rPr>
          <w:lang w:val="en-CA"/>
        </w:rPr>
        <w:t>the</w:t>
      </w:r>
      <w:r w:rsidRPr="002F6CBB">
        <w:rPr>
          <w:lang w:val="en-CA"/>
        </w:rPr>
        <w:t xml:space="preserve"> causal relationship in civil liability, that is, a logical, direct</w:t>
      </w:r>
      <w:r w:rsidR="00797115">
        <w:rPr>
          <w:lang w:val="en-CA"/>
        </w:rPr>
        <w:t>,</w:t>
      </w:r>
      <w:r w:rsidRPr="002F6CBB">
        <w:rPr>
          <w:lang w:val="en-CA"/>
        </w:rPr>
        <w:t xml:space="preserve"> and immediate consequence between the </w:t>
      </w:r>
      <w:r w:rsidR="00797115">
        <w:rPr>
          <w:lang w:val="en-CA"/>
        </w:rPr>
        <w:t>conduct</w:t>
      </w:r>
      <w:r w:rsidRPr="002F6CBB">
        <w:rPr>
          <w:lang w:val="en-CA"/>
        </w:rPr>
        <w:t xml:space="preserve"> and its </w:t>
      </w:r>
      <w:r w:rsidR="000E4494">
        <w:rPr>
          <w:lang w:val="en-CA"/>
        </w:rPr>
        <w:t>result</w:t>
      </w:r>
      <w:r w:rsidRPr="002F6CBB">
        <w:rPr>
          <w:lang w:val="en-CA"/>
        </w:rPr>
        <w:t>.</w:t>
      </w:r>
      <w:r w:rsidR="00BC67BE" w:rsidRPr="002F6CBB">
        <w:rPr>
          <w:lang w:val="en-CA"/>
        </w:rPr>
        <w:t xml:space="preserve"> </w:t>
      </w:r>
      <w:r w:rsidRPr="002F6CBB">
        <w:rPr>
          <w:lang w:val="en-CA"/>
        </w:rPr>
        <w:t xml:space="preserve">It suffices that the prohibited ground </w:t>
      </w:r>
      <w:r w:rsidR="000E4494">
        <w:rPr>
          <w:lang w:val="en-CA"/>
        </w:rPr>
        <w:t>be</w:t>
      </w:r>
      <w:r w:rsidRPr="002F6CBB">
        <w:rPr>
          <w:lang w:val="en-CA"/>
        </w:rPr>
        <w:t xml:space="preserve"> a factor that contributed to the differential treatment</w:t>
      </w:r>
      <w:r w:rsidR="000E4494">
        <w:rPr>
          <w:lang w:val="en-CA"/>
        </w:rPr>
        <w:t xml:space="preserve">, that </w:t>
      </w:r>
      <w:r w:rsidRPr="002F6CBB">
        <w:rPr>
          <w:lang w:val="en-CA"/>
        </w:rPr>
        <w:t xml:space="preserve">consciously or subconsciously influenced the officer’s decision at any step of the intervention, to </w:t>
      </w:r>
      <w:r w:rsidR="000E4494">
        <w:rPr>
          <w:lang w:val="en-CA"/>
        </w:rPr>
        <w:t xml:space="preserve">somehow </w:t>
      </w:r>
      <w:r w:rsidRPr="002F6CBB">
        <w:rPr>
          <w:rFonts w:cs="Arial"/>
          <w:lang w:val="en-CA"/>
        </w:rPr>
        <w:t>[</w:t>
      </w:r>
      <w:r w:rsidRPr="002F6CBB">
        <w:rPr>
          <w:rFonts w:cs="Arial"/>
          <w:smallCaps/>
          <w:lang w:val="en-CA"/>
        </w:rPr>
        <w:t>translation</w:t>
      </w:r>
      <w:r w:rsidRPr="002F6CBB">
        <w:rPr>
          <w:rFonts w:cs="Arial"/>
          <w:lang w:val="en-CA"/>
        </w:rPr>
        <w:t>]</w:t>
      </w:r>
      <w:r w:rsidRPr="002F6CBB">
        <w:rPr>
          <w:lang w:val="en-CA"/>
        </w:rPr>
        <w:t xml:space="preserve"> “contaminate” the police act</w:t>
      </w:r>
      <w:r w:rsidR="000E4494">
        <w:rPr>
          <w:lang w:val="en-CA"/>
        </w:rPr>
        <w:t>ion</w:t>
      </w:r>
      <w:r w:rsidRPr="002F6CBB">
        <w:rPr>
          <w:lang w:val="en-CA"/>
        </w:rPr>
        <w:t xml:space="preserve"> </w:t>
      </w:r>
      <w:r w:rsidR="000E4494">
        <w:rPr>
          <w:lang w:val="en-CA"/>
        </w:rPr>
        <w:t xml:space="preserve">and conclude that there was </w:t>
      </w:r>
      <w:r w:rsidRPr="002F6CBB">
        <w:rPr>
          <w:lang w:val="en-CA"/>
        </w:rPr>
        <w:t>discrimination by profiling.</w:t>
      </w:r>
      <w:r w:rsidRPr="002F6CBB">
        <w:rPr>
          <w:rStyle w:val="Appelnotedebasdep"/>
          <w:lang w:val="en-CA"/>
        </w:rPr>
        <w:footnoteReference w:id="23"/>
      </w:r>
      <w:r w:rsidR="00BC67BE" w:rsidRPr="002F6CBB">
        <w:rPr>
          <w:lang w:val="en-CA"/>
        </w:rPr>
        <w:t xml:space="preserve"> </w:t>
      </w:r>
    </w:p>
    <w:p w14:paraId="036E4937" w14:textId="1F9BDB20" w:rsidR="000C0364" w:rsidRPr="002F6CBB" w:rsidRDefault="00A17A18" w:rsidP="00185A28">
      <w:pPr>
        <w:pStyle w:val="Paragraphe"/>
        <w:rPr>
          <w:lang w:val="en-CA" w:eastAsia="fr-CA"/>
        </w:rPr>
      </w:pPr>
      <w:r w:rsidRPr="007A067E">
        <w:rPr>
          <w:lang w:val="en-CA" w:eastAsia="fr-CA"/>
        </w:rPr>
        <w:t>In addition</w:t>
      </w:r>
      <w:r w:rsidRPr="002F6CBB">
        <w:rPr>
          <w:lang w:val="en-CA" w:eastAsia="fr-CA"/>
        </w:rPr>
        <w:t xml:space="preserve">, because discriminatory intent or </w:t>
      </w:r>
      <w:r w:rsidR="00094C96">
        <w:rPr>
          <w:lang w:val="en-CA" w:eastAsia="fr-CA"/>
        </w:rPr>
        <w:t xml:space="preserve">a </w:t>
      </w:r>
      <w:r w:rsidRPr="002F6CBB">
        <w:rPr>
          <w:lang w:val="en-CA" w:eastAsia="fr-CA"/>
        </w:rPr>
        <w:t>racis</w:t>
      </w:r>
      <w:r w:rsidR="007869C1">
        <w:rPr>
          <w:lang w:val="en-CA" w:eastAsia="fr-CA"/>
        </w:rPr>
        <w:t xml:space="preserve">t </w:t>
      </w:r>
      <w:r w:rsidR="00094C96">
        <w:rPr>
          <w:lang w:val="en-CA" w:eastAsia="fr-CA"/>
        </w:rPr>
        <w:t>mind</w:t>
      </w:r>
      <w:r w:rsidR="00BC7197">
        <w:rPr>
          <w:lang w:val="en-CA" w:eastAsia="fr-CA"/>
        </w:rPr>
        <w:t>set</w:t>
      </w:r>
      <w:r w:rsidR="00094C96">
        <w:rPr>
          <w:lang w:val="en-CA" w:eastAsia="fr-CA"/>
        </w:rPr>
        <w:t xml:space="preserve"> </w:t>
      </w:r>
      <w:r w:rsidRPr="002F6CBB">
        <w:rPr>
          <w:lang w:val="en-CA" w:eastAsia="fr-CA"/>
        </w:rPr>
        <w:t xml:space="preserve">by the </w:t>
      </w:r>
      <w:r w:rsidR="007869C1">
        <w:rPr>
          <w:lang w:val="en-CA" w:eastAsia="fr-CA"/>
        </w:rPr>
        <w:t xml:space="preserve">police </w:t>
      </w:r>
      <w:r w:rsidRPr="002F6CBB">
        <w:rPr>
          <w:lang w:val="en-CA" w:eastAsia="fr-CA"/>
        </w:rPr>
        <w:t xml:space="preserve">is not required to establish discrimination, it is now recognized that racial profiling may very well </w:t>
      </w:r>
      <w:r w:rsidR="00094C96">
        <w:rPr>
          <w:lang w:val="en-CA" w:eastAsia="fr-CA"/>
        </w:rPr>
        <w:t>be the result of</w:t>
      </w:r>
      <w:r w:rsidR="007869C1">
        <w:rPr>
          <w:lang w:val="en-CA" w:eastAsia="fr-CA"/>
        </w:rPr>
        <w:t xml:space="preserve"> </w:t>
      </w:r>
      <w:r w:rsidRPr="002F6CBB">
        <w:rPr>
          <w:lang w:val="en-CA" w:eastAsia="fr-CA"/>
        </w:rPr>
        <w:t>unconscious prejudice.</w:t>
      </w:r>
      <w:r w:rsidRPr="002F6CBB">
        <w:rPr>
          <w:vertAlign w:val="superscript"/>
          <w:lang w:val="en-CA" w:eastAsia="fr-CA"/>
        </w:rPr>
        <w:footnoteReference w:id="24"/>
      </w:r>
      <w:r w:rsidR="00BC67BE" w:rsidRPr="002F6CBB">
        <w:rPr>
          <w:lang w:val="en-CA" w:eastAsia="fr-CA"/>
        </w:rPr>
        <w:t xml:space="preserve"> </w:t>
      </w:r>
    </w:p>
    <w:p w14:paraId="38FB6380" w14:textId="27D30A91" w:rsidR="000C0364" w:rsidRPr="002F6CBB" w:rsidRDefault="00A17A18" w:rsidP="00185A28">
      <w:pPr>
        <w:pStyle w:val="Paragraphe"/>
        <w:rPr>
          <w:lang w:val="en-CA" w:eastAsia="fr-CA"/>
        </w:rPr>
      </w:pPr>
      <w:r w:rsidRPr="002F6CBB">
        <w:rPr>
          <w:lang w:val="en-CA" w:eastAsia="fr-CA"/>
        </w:rPr>
        <w:t>The third element to establish in cases of discrimination by racial profiling is prejudice or prejudicial effect.</w:t>
      </w:r>
      <w:r w:rsidR="002A60BD" w:rsidRPr="002F6CBB">
        <w:rPr>
          <w:lang w:val="en-CA" w:eastAsia="fr-CA"/>
        </w:rPr>
        <w:t xml:space="preserve"> </w:t>
      </w:r>
      <w:r w:rsidRPr="002F6CBB">
        <w:rPr>
          <w:lang w:val="en-CA" w:eastAsia="fr-CA"/>
        </w:rPr>
        <w:t xml:space="preserve">The question is whether differential treatment based on race or skin colour </w:t>
      </w:r>
      <w:r w:rsidR="00932F09" w:rsidRPr="002F6CBB">
        <w:rPr>
          <w:lang w:val="en-CA" w:eastAsia="fr-CA"/>
        </w:rPr>
        <w:t>“</w:t>
      </w:r>
      <w:r w:rsidRPr="002F6CBB">
        <w:rPr>
          <w:lang w:val="en-CA" w:eastAsia="fr-CA"/>
        </w:rPr>
        <w:t xml:space="preserve">affects the full and equal exercise of a right or freedom guaranteed to him or her by the </w:t>
      </w:r>
      <w:r w:rsidRPr="002F6CBB">
        <w:rPr>
          <w:i/>
          <w:lang w:val="en-CA" w:eastAsia="fr-CA"/>
        </w:rPr>
        <w:t>Charter</w:t>
      </w:r>
      <w:r w:rsidRPr="002F6CBB">
        <w:rPr>
          <w:lang w:val="en-CA" w:eastAsia="fr-CA"/>
        </w:rPr>
        <w:t>”.</w:t>
      </w:r>
      <w:r w:rsidRPr="002F6CBB">
        <w:rPr>
          <w:rStyle w:val="Appelnotedebasdep"/>
          <w:lang w:val="en-CA" w:eastAsia="fr-CA"/>
        </w:rPr>
        <w:footnoteReference w:id="25"/>
      </w:r>
      <w:r w:rsidR="00BC67BE" w:rsidRPr="002F6CBB">
        <w:rPr>
          <w:lang w:val="en-CA" w:eastAsia="fr-CA"/>
        </w:rPr>
        <w:t xml:space="preserve"> </w:t>
      </w:r>
    </w:p>
    <w:p w14:paraId="1F24F8E6" w14:textId="0F812895" w:rsidR="000C0364" w:rsidRPr="002F6CBB" w:rsidRDefault="00A17A18" w:rsidP="00185A28">
      <w:pPr>
        <w:pStyle w:val="Paragraphe"/>
        <w:rPr>
          <w:lang w:val="en-CA" w:eastAsia="fr-CA"/>
        </w:rPr>
      </w:pPr>
      <w:r w:rsidRPr="002F6CBB">
        <w:rPr>
          <w:lang w:val="en-CA" w:eastAsia="fr-CA"/>
        </w:rPr>
        <w:lastRenderedPageBreak/>
        <w:t xml:space="preserve">As the Supreme Court recalled in </w:t>
      </w:r>
      <w:r w:rsidRPr="002F6CBB">
        <w:rPr>
          <w:i/>
          <w:lang w:val="en-CA" w:eastAsia="fr-CA"/>
        </w:rPr>
        <w:t>Bombardier</w:t>
      </w:r>
      <w:r w:rsidRPr="002F6CBB">
        <w:rPr>
          <w:lang w:val="en-CA" w:eastAsia="fr-CA"/>
        </w:rPr>
        <w:t>, the third element of discrimination does not require proof of a “double violation” of rights.</w:t>
      </w:r>
      <w:r w:rsidRPr="002F6CBB">
        <w:rPr>
          <w:rStyle w:val="Appelnotedebasdep"/>
          <w:lang w:val="en-CA" w:eastAsia="fr-CA"/>
        </w:rPr>
        <w:footnoteReference w:id="26"/>
      </w:r>
      <w:r w:rsidR="002A60BD" w:rsidRPr="002F6CBB">
        <w:rPr>
          <w:lang w:val="en-CA" w:eastAsia="fr-CA"/>
        </w:rPr>
        <w:t xml:space="preserve"> </w:t>
      </w:r>
      <w:r w:rsidR="002A2678" w:rsidRPr="002F6CBB">
        <w:rPr>
          <w:lang w:val="en-CA" w:eastAsia="fr-CA"/>
        </w:rPr>
        <w:t xml:space="preserve">The party alleging racial </w:t>
      </w:r>
      <w:r w:rsidR="00932F09" w:rsidRPr="002F6CBB">
        <w:rPr>
          <w:lang w:val="en-CA" w:eastAsia="fr-CA"/>
        </w:rPr>
        <w:t>profiling</w:t>
      </w:r>
      <w:r w:rsidR="002A2678" w:rsidRPr="002F6CBB">
        <w:rPr>
          <w:lang w:val="en-CA" w:eastAsia="fr-CA"/>
        </w:rPr>
        <w:t xml:space="preserve"> therefore need not establish </w:t>
      </w:r>
      <w:r w:rsidR="001313A6">
        <w:rPr>
          <w:lang w:val="en-CA" w:eastAsia="fr-CA"/>
        </w:rPr>
        <w:t xml:space="preserve">an </w:t>
      </w:r>
      <w:r w:rsidR="002A2678" w:rsidRPr="002F6CBB">
        <w:rPr>
          <w:lang w:val="en-CA" w:eastAsia="fr-CA"/>
        </w:rPr>
        <w:t xml:space="preserve">unlawful interference with another </w:t>
      </w:r>
      <w:r w:rsidR="001313A6" w:rsidRPr="002F6CBB">
        <w:rPr>
          <w:i/>
          <w:lang w:val="en-CA" w:eastAsia="fr-CA"/>
        </w:rPr>
        <w:t>Charter</w:t>
      </w:r>
      <w:r w:rsidR="001313A6" w:rsidRPr="002F6CBB">
        <w:rPr>
          <w:lang w:val="en-CA" w:eastAsia="fr-CA"/>
        </w:rPr>
        <w:t xml:space="preserve"> </w:t>
      </w:r>
      <w:r w:rsidR="002A2678" w:rsidRPr="002F6CBB">
        <w:rPr>
          <w:lang w:val="en-CA" w:eastAsia="fr-CA"/>
        </w:rPr>
        <w:t>right or freedom.</w:t>
      </w:r>
      <w:r w:rsidR="002A60BD" w:rsidRPr="002F6CBB">
        <w:rPr>
          <w:lang w:val="en-CA" w:eastAsia="fr-CA"/>
        </w:rPr>
        <w:t xml:space="preserve"> </w:t>
      </w:r>
      <w:r w:rsidR="002A2678" w:rsidRPr="002F6CBB">
        <w:rPr>
          <w:lang w:val="en-CA" w:eastAsia="fr-CA"/>
        </w:rPr>
        <w:t xml:space="preserve">Nevertheless, double violation of rights often occurs and </w:t>
      </w:r>
      <w:r w:rsidR="001313A6">
        <w:rPr>
          <w:lang w:val="en-CA" w:eastAsia="fr-CA"/>
        </w:rPr>
        <w:t xml:space="preserve">reveals </w:t>
      </w:r>
      <w:r w:rsidR="002A2678" w:rsidRPr="002F6CBB">
        <w:rPr>
          <w:lang w:val="en-CA" w:eastAsia="fr-CA"/>
        </w:rPr>
        <w:t>the simultaneous existence of discriminat</w:t>
      </w:r>
      <w:r w:rsidR="009652E7">
        <w:rPr>
          <w:lang w:val="en-CA" w:eastAsia="fr-CA"/>
        </w:rPr>
        <w:t xml:space="preserve">ory interference with </w:t>
      </w:r>
      <w:r w:rsidR="002A2678" w:rsidRPr="002F6CBB">
        <w:rPr>
          <w:lang w:val="en-CA" w:eastAsia="fr-CA"/>
        </w:rPr>
        <w:t xml:space="preserve">another </w:t>
      </w:r>
      <w:r w:rsidR="001313A6" w:rsidRPr="002F6CBB">
        <w:rPr>
          <w:i/>
          <w:lang w:val="en-CA" w:eastAsia="fr-CA"/>
        </w:rPr>
        <w:t>Charter</w:t>
      </w:r>
      <w:r w:rsidR="001313A6" w:rsidRPr="002F6CBB">
        <w:rPr>
          <w:lang w:val="en-CA" w:eastAsia="fr-CA"/>
        </w:rPr>
        <w:t xml:space="preserve"> </w:t>
      </w:r>
      <w:r w:rsidR="002A2678" w:rsidRPr="002F6CBB">
        <w:rPr>
          <w:lang w:val="en-CA" w:eastAsia="fr-CA"/>
        </w:rPr>
        <w:t>right or freedom.</w:t>
      </w:r>
    </w:p>
    <w:p w14:paraId="686D4966" w14:textId="47D58C28" w:rsidR="000C0364" w:rsidRPr="002F6CBB" w:rsidRDefault="002A2678" w:rsidP="00185A28">
      <w:pPr>
        <w:pStyle w:val="Paragraphe"/>
        <w:rPr>
          <w:lang w:val="en-CA" w:eastAsia="fr-CA"/>
        </w:rPr>
      </w:pPr>
      <w:r w:rsidRPr="002F6CBB">
        <w:rPr>
          <w:lang w:val="en-CA" w:eastAsia="fr-CA"/>
        </w:rPr>
        <w:t xml:space="preserve">That said, </w:t>
      </w:r>
      <w:r w:rsidR="00E60CFE">
        <w:rPr>
          <w:lang w:val="en-CA" w:eastAsia="fr-CA"/>
        </w:rPr>
        <w:t xml:space="preserve">since </w:t>
      </w:r>
      <w:r w:rsidR="001313A6">
        <w:rPr>
          <w:lang w:val="en-CA" w:eastAsia="fr-CA"/>
        </w:rPr>
        <w:t>proof</w:t>
      </w:r>
      <w:r w:rsidRPr="002F6CBB">
        <w:rPr>
          <w:lang w:val="en-CA" w:eastAsia="fr-CA"/>
        </w:rPr>
        <w:t xml:space="preserve"> of a double </w:t>
      </w:r>
      <w:r w:rsidR="00932F09" w:rsidRPr="002F6CBB">
        <w:rPr>
          <w:lang w:val="en-CA" w:eastAsia="fr-CA"/>
        </w:rPr>
        <w:t>violation</w:t>
      </w:r>
      <w:r w:rsidRPr="002F6CBB">
        <w:rPr>
          <w:lang w:val="en-CA" w:eastAsia="fr-CA"/>
        </w:rPr>
        <w:t xml:space="preserve"> of rights is not required, it </w:t>
      </w:r>
      <w:r w:rsidR="000B3943">
        <w:rPr>
          <w:lang w:val="en-CA" w:eastAsia="fr-CA"/>
        </w:rPr>
        <w:t xml:space="preserve">is </w:t>
      </w:r>
      <w:r w:rsidRPr="002F6CBB">
        <w:rPr>
          <w:lang w:val="en-CA" w:eastAsia="fr-CA"/>
        </w:rPr>
        <w:t>therefore suffic</w:t>
      </w:r>
      <w:r w:rsidR="000B3943">
        <w:rPr>
          <w:lang w:val="en-CA" w:eastAsia="fr-CA"/>
        </w:rPr>
        <w:t>ient</w:t>
      </w:r>
      <w:r w:rsidRPr="002F6CBB">
        <w:rPr>
          <w:lang w:val="en-CA" w:eastAsia="fr-CA"/>
        </w:rPr>
        <w:t xml:space="preserve"> to establish that the complainant’s right to equality was violated.</w:t>
      </w:r>
      <w:r w:rsidR="00BC67BE" w:rsidRPr="002F6CBB">
        <w:rPr>
          <w:lang w:val="en-CA" w:eastAsia="fr-CA"/>
        </w:rPr>
        <w:t xml:space="preserve"> </w:t>
      </w:r>
      <w:r w:rsidRPr="002F6CBB">
        <w:rPr>
          <w:lang w:val="en-CA" w:eastAsia="fr-CA"/>
        </w:rPr>
        <w:t xml:space="preserve">In </w:t>
      </w:r>
      <w:r w:rsidR="000B3943">
        <w:rPr>
          <w:lang w:val="en-CA" w:eastAsia="fr-CA"/>
        </w:rPr>
        <w:t xml:space="preserve">cases of </w:t>
      </w:r>
      <w:r w:rsidRPr="002F6CBB">
        <w:rPr>
          <w:lang w:val="en-CA" w:eastAsia="fr-CA"/>
        </w:rPr>
        <w:t xml:space="preserve">racial profiling, </w:t>
      </w:r>
      <w:r w:rsidR="000B3943">
        <w:rPr>
          <w:lang w:val="en-CA" w:eastAsia="fr-CA"/>
        </w:rPr>
        <w:t xml:space="preserve">it must be shown </w:t>
      </w:r>
      <w:r w:rsidRPr="002F6CBB">
        <w:rPr>
          <w:lang w:val="en-CA" w:eastAsia="fr-CA"/>
        </w:rPr>
        <w:t xml:space="preserve">that the </w:t>
      </w:r>
      <w:r w:rsidR="00E60CFE">
        <w:rPr>
          <w:lang w:val="en-CA" w:eastAsia="fr-CA"/>
        </w:rPr>
        <w:t xml:space="preserve">officer’s </w:t>
      </w:r>
      <w:r w:rsidRPr="002F6CBB">
        <w:rPr>
          <w:lang w:val="en-CA" w:eastAsia="fr-CA"/>
        </w:rPr>
        <w:t xml:space="preserve">decision or </w:t>
      </w:r>
      <w:r w:rsidR="007A067E">
        <w:rPr>
          <w:lang w:val="en-CA" w:eastAsia="fr-CA"/>
        </w:rPr>
        <w:t>conduct</w:t>
      </w:r>
      <w:r w:rsidRPr="002F6CBB">
        <w:rPr>
          <w:lang w:val="en-CA" w:eastAsia="fr-CA"/>
        </w:rPr>
        <w:t xml:space="preserve"> </w:t>
      </w:r>
      <w:r w:rsidR="00E60CFE">
        <w:rPr>
          <w:lang w:val="en-CA" w:eastAsia="fr-CA"/>
        </w:rPr>
        <w:t xml:space="preserve">prejudiced </w:t>
      </w:r>
      <w:r w:rsidRPr="002F6CBB">
        <w:rPr>
          <w:lang w:val="en-CA" w:eastAsia="fr-CA"/>
        </w:rPr>
        <w:t>the complainant by making the exercise of one of the</w:t>
      </w:r>
      <w:r w:rsidR="00E60CFE">
        <w:rPr>
          <w:lang w:val="en-CA" w:eastAsia="fr-CA"/>
        </w:rPr>
        <w:t>ir</w:t>
      </w:r>
      <w:r w:rsidRPr="002F6CBB">
        <w:rPr>
          <w:lang w:val="en-CA" w:eastAsia="fr-CA"/>
        </w:rPr>
        <w:t xml:space="preserve"> rights or freedoms more difficult or less favourable due to </w:t>
      </w:r>
      <w:r w:rsidR="00E60CFE">
        <w:rPr>
          <w:lang w:val="en-CA" w:eastAsia="fr-CA"/>
        </w:rPr>
        <w:t xml:space="preserve">their </w:t>
      </w:r>
      <w:r w:rsidRPr="002F6CBB">
        <w:rPr>
          <w:lang w:val="en-CA" w:eastAsia="fr-CA"/>
        </w:rPr>
        <w:t xml:space="preserve">actual or presumed racial </w:t>
      </w:r>
      <w:r w:rsidR="00E60CFE">
        <w:rPr>
          <w:lang w:val="en-CA" w:eastAsia="fr-CA"/>
        </w:rPr>
        <w:t>background</w:t>
      </w:r>
      <w:r w:rsidRPr="002F6CBB">
        <w:rPr>
          <w:lang w:val="en-CA" w:eastAsia="fr-CA"/>
        </w:rPr>
        <w:t>.</w:t>
      </w:r>
    </w:p>
    <w:p w14:paraId="43A5B096" w14:textId="027CA1E3" w:rsidR="00A81A2A" w:rsidRPr="002F6CBB" w:rsidRDefault="002A2678" w:rsidP="00A81A2A">
      <w:pPr>
        <w:pStyle w:val="Paragraphe"/>
        <w:rPr>
          <w:lang w:val="en-CA"/>
        </w:rPr>
      </w:pPr>
      <w:r w:rsidRPr="002F6CBB">
        <w:rPr>
          <w:lang w:val="en-CA"/>
        </w:rPr>
        <w:t xml:space="preserve">To counter the </w:t>
      </w:r>
      <w:r w:rsidRPr="002F6CBB">
        <w:rPr>
          <w:i/>
          <w:lang w:val="en-CA"/>
        </w:rPr>
        <w:t>prima facie</w:t>
      </w:r>
      <w:r w:rsidRPr="002F6CBB">
        <w:rPr>
          <w:vertAlign w:val="superscript"/>
          <w:lang w:val="en-CA"/>
        </w:rPr>
        <w:footnoteReference w:id="27"/>
      </w:r>
      <w:r w:rsidRPr="002F6CBB">
        <w:rPr>
          <w:lang w:val="en-CA"/>
        </w:rPr>
        <w:t xml:space="preserve"> </w:t>
      </w:r>
      <w:r w:rsidR="003046A8">
        <w:rPr>
          <w:lang w:val="en-CA"/>
        </w:rPr>
        <w:t xml:space="preserve">proof </w:t>
      </w:r>
      <w:r w:rsidRPr="002F6CBB">
        <w:rPr>
          <w:lang w:val="en-CA"/>
        </w:rPr>
        <w:t>of profiling</w:t>
      </w:r>
      <w:r w:rsidR="00E60CFE">
        <w:rPr>
          <w:lang w:val="en-CA"/>
        </w:rPr>
        <w:t xml:space="preserve"> incumbent upon the plaintiff</w:t>
      </w:r>
      <w:r w:rsidRPr="002F6CBB">
        <w:rPr>
          <w:lang w:val="en-CA"/>
        </w:rPr>
        <w:t>, the defendant has two options: refute, i.e., deny, the allegations of discrimination</w:t>
      </w:r>
      <w:r w:rsidR="00C752C6">
        <w:rPr>
          <w:lang w:val="en-CA"/>
        </w:rPr>
        <w:t>,</w:t>
      </w:r>
      <w:r w:rsidRPr="002F6CBB">
        <w:rPr>
          <w:lang w:val="en-CA"/>
        </w:rPr>
        <w:t xml:space="preserve"> or try to justify the discrimination</w:t>
      </w:r>
      <w:r w:rsidR="00214580">
        <w:rPr>
          <w:lang w:val="en-CA"/>
        </w:rPr>
        <w:t xml:space="preserve"> established</w:t>
      </w:r>
      <w:r w:rsidR="003046A8">
        <w:rPr>
          <w:lang w:val="en-CA"/>
        </w:rPr>
        <w:t xml:space="preserve"> at first sight</w:t>
      </w:r>
      <w:r w:rsidRPr="002F6CBB">
        <w:rPr>
          <w:lang w:val="en-CA"/>
        </w:rPr>
        <w:t>.</w:t>
      </w:r>
      <w:r w:rsidR="00BC67BE" w:rsidRPr="002F6CBB">
        <w:rPr>
          <w:lang w:val="en-CA"/>
        </w:rPr>
        <w:t xml:space="preserve"> </w:t>
      </w:r>
      <w:r w:rsidRPr="002F6CBB">
        <w:rPr>
          <w:lang w:val="en-CA"/>
        </w:rPr>
        <w:t>To do so successfully using either of these options, the applicable standard</w:t>
      </w:r>
      <w:r w:rsidR="00214580">
        <w:rPr>
          <w:lang w:val="en-CA"/>
        </w:rPr>
        <w:t xml:space="preserve"> of proof</w:t>
      </w:r>
      <w:r w:rsidRPr="002F6CBB">
        <w:rPr>
          <w:lang w:val="en-CA"/>
        </w:rPr>
        <w:t xml:space="preserve"> is </w:t>
      </w:r>
      <w:r w:rsidR="005E6772">
        <w:rPr>
          <w:lang w:val="en-CA"/>
        </w:rPr>
        <w:t>the</w:t>
      </w:r>
      <w:r w:rsidRPr="002F6CBB">
        <w:rPr>
          <w:lang w:val="en-CA"/>
        </w:rPr>
        <w:t xml:space="preserve"> balance of probabilities.</w:t>
      </w:r>
      <w:r w:rsidRPr="002F6CBB">
        <w:rPr>
          <w:vertAlign w:val="superscript"/>
          <w:lang w:val="en-CA"/>
        </w:rPr>
        <w:footnoteReference w:id="28"/>
      </w:r>
    </w:p>
    <w:p w14:paraId="46743EDD" w14:textId="2AEA6C3B" w:rsidR="00A81A2A" w:rsidRPr="002F6CBB" w:rsidRDefault="002A2678" w:rsidP="00A81A2A">
      <w:pPr>
        <w:pStyle w:val="Paragraphe"/>
        <w:rPr>
          <w:lang w:val="en-CA"/>
        </w:rPr>
      </w:pPr>
      <w:r w:rsidRPr="002F6CBB">
        <w:rPr>
          <w:lang w:val="en-CA"/>
        </w:rPr>
        <w:t xml:space="preserve">If the defendant </w:t>
      </w:r>
      <w:r w:rsidR="00AA43CE">
        <w:rPr>
          <w:lang w:val="en-CA"/>
        </w:rPr>
        <w:t>intend</w:t>
      </w:r>
      <w:r w:rsidRPr="002F6CBB">
        <w:rPr>
          <w:lang w:val="en-CA"/>
        </w:rPr>
        <w:t xml:space="preserve">s to </w:t>
      </w:r>
      <w:r w:rsidRPr="002F6CBB">
        <w:rPr>
          <w:u w:val="single"/>
          <w:lang w:val="en-CA"/>
        </w:rPr>
        <w:t>refute</w:t>
      </w:r>
      <w:r w:rsidRPr="002F6CBB">
        <w:rPr>
          <w:lang w:val="en-CA"/>
        </w:rPr>
        <w:t xml:space="preserve"> the</w:t>
      </w:r>
      <w:r w:rsidR="00214580">
        <w:rPr>
          <w:lang w:val="en-CA"/>
        </w:rPr>
        <w:t xml:space="preserve"> evidence presented by the</w:t>
      </w:r>
      <w:r w:rsidRPr="002F6CBB">
        <w:rPr>
          <w:lang w:val="en-CA"/>
        </w:rPr>
        <w:t xml:space="preserve"> </w:t>
      </w:r>
      <w:r w:rsidR="00AA43CE">
        <w:rPr>
          <w:lang w:val="en-CA"/>
        </w:rPr>
        <w:t>plaintiff</w:t>
      </w:r>
      <w:r w:rsidRPr="002F6CBB">
        <w:rPr>
          <w:lang w:val="en-CA"/>
        </w:rPr>
        <w:t>, the defendant must prove that at each step of the police intervention</w:t>
      </w:r>
      <w:r w:rsidR="00AA43CE">
        <w:rPr>
          <w:lang w:val="en-CA"/>
        </w:rPr>
        <w:t>,</w:t>
      </w:r>
      <w:r w:rsidRPr="002F6CBB">
        <w:rPr>
          <w:lang w:val="en-CA"/>
        </w:rPr>
        <w:t xml:space="preserve"> the complainant was </w:t>
      </w:r>
      <w:r w:rsidR="004B7CC6">
        <w:rPr>
          <w:lang w:val="en-CA"/>
        </w:rPr>
        <w:t>not treated worse</w:t>
      </w:r>
      <w:r w:rsidRPr="002F6CBB">
        <w:rPr>
          <w:lang w:val="en-CA"/>
        </w:rPr>
        <w:t xml:space="preserve"> than any other citizen and that </w:t>
      </w:r>
      <w:r w:rsidR="00AA43CE">
        <w:rPr>
          <w:lang w:val="en-CA"/>
        </w:rPr>
        <w:t xml:space="preserve">their </w:t>
      </w:r>
      <w:r w:rsidRPr="002F6CBB">
        <w:rPr>
          <w:lang w:val="en-CA"/>
        </w:rPr>
        <w:t xml:space="preserve">racial </w:t>
      </w:r>
      <w:r w:rsidR="00AA43CE">
        <w:rPr>
          <w:lang w:val="en-CA"/>
        </w:rPr>
        <w:t>background</w:t>
      </w:r>
      <w:r w:rsidRPr="002F6CBB">
        <w:rPr>
          <w:lang w:val="en-CA"/>
        </w:rPr>
        <w:t xml:space="preserve">, or any other prohibited ground listed in section 10 of the </w:t>
      </w:r>
      <w:r w:rsidRPr="002F6CBB">
        <w:rPr>
          <w:i/>
          <w:iCs/>
          <w:lang w:val="en-CA"/>
        </w:rPr>
        <w:t>Charter</w:t>
      </w:r>
      <w:r w:rsidRPr="002F6CBB">
        <w:rPr>
          <w:lang w:val="en-CA"/>
        </w:rPr>
        <w:t xml:space="preserve">, </w:t>
      </w:r>
      <w:r w:rsidR="00AA43CE">
        <w:rPr>
          <w:lang w:val="en-CA"/>
        </w:rPr>
        <w:t xml:space="preserve">did not </w:t>
      </w:r>
      <w:r w:rsidRPr="002F6CBB">
        <w:rPr>
          <w:lang w:val="en-CA"/>
        </w:rPr>
        <w:t xml:space="preserve">play </w:t>
      </w:r>
      <w:r w:rsidR="00AA43CE">
        <w:rPr>
          <w:lang w:val="en-CA"/>
        </w:rPr>
        <w:t>a</w:t>
      </w:r>
      <w:r w:rsidRPr="002F6CBB">
        <w:rPr>
          <w:lang w:val="en-CA"/>
        </w:rPr>
        <w:t xml:space="preserve"> role in the officers’ decisions or conduct.</w:t>
      </w:r>
      <w:r w:rsidR="00BC67BE" w:rsidRPr="002F6CBB">
        <w:rPr>
          <w:lang w:val="en-CA"/>
        </w:rPr>
        <w:t xml:space="preserve"> </w:t>
      </w:r>
    </w:p>
    <w:p w14:paraId="749C6BFD" w14:textId="02844EBA" w:rsidR="00A81A2A" w:rsidRPr="002F6CBB" w:rsidRDefault="002A2678" w:rsidP="00A81A2A">
      <w:pPr>
        <w:pStyle w:val="Paragraphe"/>
        <w:rPr>
          <w:lang w:val="en-CA"/>
        </w:rPr>
      </w:pPr>
      <w:r w:rsidRPr="002F6CBB">
        <w:rPr>
          <w:lang w:val="en-CA"/>
        </w:rPr>
        <w:t xml:space="preserve">In general, the defendant will succeed by proving that the police intervention was based </w:t>
      </w:r>
      <w:r w:rsidRPr="002F6CBB">
        <w:rPr>
          <w:u w:val="single"/>
          <w:lang w:val="en-CA"/>
        </w:rPr>
        <w:t>solely</w:t>
      </w:r>
      <w:r w:rsidRPr="002F6CBB">
        <w:rPr>
          <w:lang w:val="en-CA"/>
        </w:rPr>
        <w:t xml:space="preserve"> on objective, reasonable, credible, and lawful grounds such as the commission of an offence in progress or a random </w:t>
      </w:r>
      <w:r w:rsidR="003665C9">
        <w:rPr>
          <w:lang w:val="en-CA"/>
        </w:rPr>
        <w:t>interception</w:t>
      </w:r>
      <w:r w:rsidR="003665C9" w:rsidRPr="002F6CBB">
        <w:rPr>
          <w:lang w:val="en-CA"/>
        </w:rPr>
        <w:t xml:space="preserve"> </w:t>
      </w:r>
      <w:r w:rsidRPr="002F6CBB">
        <w:rPr>
          <w:lang w:val="en-CA"/>
        </w:rPr>
        <w:t xml:space="preserve">to control drunk driving for example, without </w:t>
      </w:r>
      <w:r w:rsidR="00AA43CE" w:rsidRPr="002F6CBB">
        <w:rPr>
          <w:lang w:val="en-CA"/>
        </w:rPr>
        <w:t xml:space="preserve">the intervention </w:t>
      </w:r>
      <w:r w:rsidR="00AA43CE">
        <w:rPr>
          <w:lang w:val="en-CA"/>
        </w:rPr>
        <w:t xml:space="preserve">having been influenced by </w:t>
      </w:r>
      <w:r w:rsidRPr="002F6CBB">
        <w:rPr>
          <w:lang w:val="en-CA"/>
        </w:rPr>
        <w:t xml:space="preserve">race or another </w:t>
      </w:r>
      <w:r w:rsidR="00AA43CE">
        <w:rPr>
          <w:lang w:val="en-CA"/>
        </w:rPr>
        <w:t xml:space="preserve">prohibited </w:t>
      </w:r>
      <w:r w:rsidRPr="002F6CBB">
        <w:rPr>
          <w:lang w:val="en-CA"/>
        </w:rPr>
        <w:t>ground.</w:t>
      </w:r>
      <w:r w:rsidRPr="002F6CBB">
        <w:rPr>
          <w:rStyle w:val="Appelnotedebasdep"/>
          <w:lang w:val="en-CA"/>
        </w:rPr>
        <w:footnoteReference w:id="29"/>
      </w:r>
    </w:p>
    <w:p w14:paraId="2FE7C298" w14:textId="0D95A4A0" w:rsidR="00A81A2A" w:rsidRPr="002F6CBB" w:rsidRDefault="00AA43CE" w:rsidP="00A81A2A">
      <w:pPr>
        <w:pStyle w:val="Paragraphe"/>
        <w:rPr>
          <w:lang w:val="en-CA"/>
        </w:rPr>
      </w:pPr>
      <w:r>
        <w:rPr>
          <w:lang w:val="en-CA"/>
        </w:rPr>
        <w:t>However, e</w:t>
      </w:r>
      <w:r w:rsidR="00147465" w:rsidRPr="002F6CBB">
        <w:rPr>
          <w:lang w:val="en-CA"/>
        </w:rPr>
        <w:t>vidence of reasonable grounds is not required at the re</w:t>
      </w:r>
      <w:r>
        <w:rPr>
          <w:lang w:val="en-CA"/>
        </w:rPr>
        <w:t>buttal</w:t>
      </w:r>
      <w:r w:rsidR="00147465" w:rsidRPr="002F6CBB">
        <w:rPr>
          <w:lang w:val="en-CA"/>
        </w:rPr>
        <w:t xml:space="preserve"> </w:t>
      </w:r>
      <w:r w:rsidR="0005120F" w:rsidRPr="002F6CBB">
        <w:rPr>
          <w:lang w:val="en-CA"/>
        </w:rPr>
        <w:t xml:space="preserve">stage </w:t>
      </w:r>
      <w:r w:rsidR="00147465" w:rsidRPr="002F6CBB">
        <w:rPr>
          <w:lang w:val="en-CA"/>
        </w:rPr>
        <w:t xml:space="preserve">because, as </w:t>
      </w:r>
      <w:r w:rsidR="0005120F">
        <w:rPr>
          <w:lang w:val="en-CA"/>
        </w:rPr>
        <w:t>not</w:t>
      </w:r>
      <w:r w:rsidR="00147465" w:rsidRPr="002F6CBB">
        <w:rPr>
          <w:lang w:val="en-CA"/>
        </w:rPr>
        <w:t>ed</w:t>
      </w:r>
      <w:r w:rsidR="004B7CC6">
        <w:rPr>
          <w:lang w:val="en-CA"/>
        </w:rPr>
        <w:t xml:space="preserve"> above</w:t>
      </w:r>
      <w:r w:rsidR="00147465" w:rsidRPr="002F6CBB">
        <w:rPr>
          <w:lang w:val="en-CA"/>
        </w:rPr>
        <w:t xml:space="preserve">, the analysis based on section 10 of the </w:t>
      </w:r>
      <w:r w:rsidR="00147465" w:rsidRPr="002F6CBB">
        <w:rPr>
          <w:i/>
          <w:lang w:val="en-CA"/>
        </w:rPr>
        <w:t>Charter</w:t>
      </w:r>
      <w:r w:rsidR="00147465" w:rsidRPr="002F6CBB">
        <w:rPr>
          <w:lang w:val="en-CA"/>
        </w:rPr>
        <w:t xml:space="preserve"> does not </w:t>
      </w:r>
      <w:r w:rsidR="00F87751">
        <w:rPr>
          <w:lang w:val="en-CA"/>
        </w:rPr>
        <w:t xml:space="preserve">focus </w:t>
      </w:r>
      <w:r w:rsidR="00F87751">
        <w:rPr>
          <w:lang w:val="en-CA"/>
        </w:rPr>
        <w:lastRenderedPageBreak/>
        <w:t>on</w:t>
      </w:r>
      <w:r w:rsidR="00F87751" w:rsidRPr="002F6CBB">
        <w:rPr>
          <w:lang w:val="en-CA"/>
        </w:rPr>
        <w:t xml:space="preserve"> </w:t>
      </w:r>
      <w:r w:rsidR="00147465" w:rsidRPr="002F6CBB">
        <w:rPr>
          <w:lang w:val="en-CA"/>
        </w:rPr>
        <w:t xml:space="preserve">the appropriateness or reasonableness of the police intervention itself, but </w:t>
      </w:r>
      <w:r w:rsidR="00F87751">
        <w:rPr>
          <w:lang w:val="en-CA"/>
        </w:rPr>
        <w:t xml:space="preserve">on </w:t>
      </w:r>
      <w:r w:rsidR="00147465" w:rsidRPr="002F6CBB">
        <w:rPr>
          <w:lang w:val="en-CA"/>
        </w:rPr>
        <w:t>its discriminatory nature.</w:t>
      </w:r>
    </w:p>
    <w:p w14:paraId="69211A75" w14:textId="2A8706EA" w:rsidR="00A81A2A" w:rsidRPr="002F6CBB" w:rsidRDefault="00147465" w:rsidP="00A81A2A">
      <w:pPr>
        <w:pStyle w:val="Paragraphe"/>
        <w:tabs>
          <w:tab w:val="clear" w:pos="2203"/>
        </w:tabs>
        <w:rPr>
          <w:lang w:val="en-CA"/>
        </w:rPr>
      </w:pPr>
      <w:r w:rsidRPr="002F6CBB">
        <w:rPr>
          <w:lang w:val="en-CA"/>
        </w:rPr>
        <w:t xml:space="preserve">If the defendant cannot refute the </w:t>
      </w:r>
      <w:r w:rsidR="0005120F">
        <w:rPr>
          <w:lang w:val="en-CA"/>
        </w:rPr>
        <w:t xml:space="preserve">plaintiff’s </w:t>
      </w:r>
      <w:r w:rsidRPr="002F6CBB">
        <w:rPr>
          <w:i/>
          <w:iCs/>
          <w:lang w:val="en-CA"/>
        </w:rPr>
        <w:t>prima facie</w:t>
      </w:r>
      <w:r w:rsidRPr="002F6CBB">
        <w:rPr>
          <w:lang w:val="en-CA"/>
        </w:rPr>
        <w:t xml:space="preserve"> </w:t>
      </w:r>
      <w:r w:rsidR="0005120F">
        <w:rPr>
          <w:lang w:val="en-CA"/>
        </w:rPr>
        <w:t xml:space="preserve">case of </w:t>
      </w:r>
      <w:r w:rsidRPr="002F6CBB">
        <w:rPr>
          <w:lang w:val="en-CA"/>
        </w:rPr>
        <w:t>discrimination, the Tribunal must conclude that there was discrimination by profiling.</w:t>
      </w:r>
      <w:r w:rsidR="00BC67BE" w:rsidRPr="002F6CBB">
        <w:rPr>
          <w:lang w:val="en-CA"/>
        </w:rPr>
        <w:t xml:space="preserve"> </w:t>
      </w:r>
      <w:r w:rsidRPr="002F6CBB">
        <w:rPr>
          <w:lang w:val="en-CA"/>
        </w:rPr>
        <w:t xml:space="preserve">The defendant may then </w:t>
      </w:r>
      <w:r w:rsidR="00941138">
        <w:rPr>
          <w:lang w:val="en-CA"/>
        </w:rPr>
        <w:t>attempt</w:t>
      </w:r>
      <w:r w:rsidRPr="002F6CBB">
        <w:rPr>
          <w:lang w:val="en-CA"/>
        </w:rPr>
        <w:t xml:space="preserve"> to </w:t>
      </w:r>
      <w:r w:rsidRPr="002F6CBB">
        <w:rPr>
          <w:u w:val="single"/>
          <w:lang w:val="en-CA"/>
        </w:rPr>
        <w:t>justify</w:t>
      </w:r>
      <w:r w:rsidRPr="002F6CBB">
        <w:rPr>
          <w:lang w:val="en-CA"/>
        </w:rPr>
        <w:t xml:space="preserve"> the discriminat</w:t>
      </w:r>
      <w:r w:rsidR="00941138">
        <w:rPr>
          <w:lang w:val="en-CA"/>
        </w:rPr>
        <w:t>ory action at first sight of the police</w:t>
      </w:r>
      <w:r w:rsidRPr="002F6CBB">
        <w:rPr>
          <w:lang w:val="en-CA"/>
        </w:rPr>
        <w:t xml:space="preserve"> by </w:t>
      </w:r>
      <w:r w:rsidR="00941138">
        <w:rPr>
          <w:lang w:val="en-CA"/>
        </w:rPr>
        <w:t>invoking</w:t>
      </w:r>
      <w:r w:rsidR="00941138" w:rsidRPr="002F6CBB">
        <w:rPr>
          <w:lang w:val="en-CA"/>
        </w:rPr>
        <w:t xml:space="preserve"> </w:t>
      </w:r>
      <w:r w:rsidR="00941138">
        <w:rPr>
          <w:lang w:val="en-CA"/>
        </w:rPr>
        <w:t>the</w:t>
      </w:r>
      <w:r w:rsidRPr="002F6CBB">
        <w:rPr>
          <w:lang w:val="en-CA"/>
        </w:rPr>
        <w:t xml:space="preserve"> exemptions</w:t>
      </w:r>
      <w:r w:rsidR="00941138">
        <w:rPr>
          <w:lang w:val="en-CA"/>
        </w:rPr>
        <w:t xml:space="preserve"> provided by</w:t>
      </w:r>
      <w:r w:rsidRPr="002F6CBB">
        <w:rPr>
          <w:lang w:val="en-CA"/>
        </w:rPr>
        <w:t xml:space="preserve"> the </w:t>
      </w:r>
      <w:r w:rsidRPr="002F6CBB">
        <w:rPr>
          <w:i/>
          <w:lang w:val="en-CA"/>
        </w:rPr>
        <w:t>Charter</w:t>
      </w:r>
      <w:r w:rsidRPr="002F6CBB">
        <w:rPr>
          <w:lang w:val="en-CA"/>
        </w:rPr>
        <w:t xml:space="preserve"> or those developed by the case law.</w:t>
      </w:r>
      <w:r w:rsidRPr="002F6CBB">
        <w:rPr>
          <w:rStyle w:val="Appelnotedebasdep"/>
          <w:lang w:val="en-CA"/>
        </w:rPr>
        <w:footnoteReference w:id="30"/>
      </w:r>
    </w:p>
    <w:p w14:paraId="3600E128" w14:textId="6A29FBA7" w:rsidR="000C0364" w:rsidRPr="002F6CBB" w:rsidRDefault="00147465" w:rsidP="00185A28">
      <w:pPr>
        <w:pStyle w:val="Paragraphe"/>
        <w:rPr>
          <w:lang w:val="en-CA" w:eastAsia="fr-CA"/>
        </w:rPr>
      </w:pPr>
      <w:r w:rsidRPr="002F6CBB">
        <w:rPr>
          <w:lang w:val="en-CA" w:eastAsia="fr-CA"/>
        </w:rPr>
        <w:t xml:space="preserve">The </w:t>
      </w:r>
      <w:r w:rsidR="008D2CCF">
        <w:rPr>
          <w:lang w:val="en-CA" w:eastAsia="fr-CA"/>
        </w:rPr>
        <w:t>test</w:t>
      </w:r>
      <w:r w:rsidRPr="002F6CBB">
        <w:rPr>
          <w:lang w:val="en-CA" w:eastAsia="fr-CA"/>
        </w:rPr>
        <w:t xml:space="preserve"> applicable to </w:t>
      </w:r>
      <w:r w:rsidR="0005120F">
        <w:rPr>
          <w:lang w:val="en-CA" w:eastAsia="fr-CA"/>
        </w:rPr>
        <w:t xml:space="preserve">evidence </w:t>
      </w:r>
      <w:r w:rsidRPr="002F6CBB">
        <w:rPr>
          <w:lang w:val="en-CA" w:eastAsia="fr-CA"/>
        </w:rPr>
        <w:t xml:space="preserve">of racial profiling on a balance of probabilities is described as: </w:t>
      </w:r>
      <w:r w:rsidR="00BC67BE" w:rsidRPr="002F6CBB">
        <w:rPr>
          <w:lang w:val="en-CA" w:eastAsia="fr-CA"/>
        </w:rPr>
        <w:t xml:space="preserve"> </w:t>
      </w:r>
    </w:p>
    <w:p w14:paraId="2327C886" w14:textId="4FF007EE" w:rsidR="00932F09" w:rsidRPr="002F6CBB" w:rsidRDefault="00932F09" w:rsidP="000C0364">
      <w:pPr>
        <w:pStyle w:val="Citationenretrait"/>
        <w:rPr>
          <w:lang w:val="en-CA" w:eastAsia="fr-CA"/>
        </w:rPr>
      </w:pPr>
      <w:r w:rsidRPr="002F6CBB">
        <w:rPr>
          <w:rFonts w:cs="Arial"/>
          <w:lang w:val="en-CA" w:eastAsia="fr-CA"/>
        </w:rPr>
        <w:t>[</w:t>
      </w:r>
      <w:r w:rsidRPr="002F6CBB">
        <w:rPr>
          <w:rFonts w:cs="Arial"/>
          <w:smallCaps/>
          <w:lang w:val="en-CA" w:eastAsia="fr-CA"/>
        </w:rPr>
        <w:t>translation</w:t>
      </w:r>
      <w:r w:rsidRPr="002F6CBB">
        <w:rPr>
          <w:rFonts w:cs="Arial"/>
          <w:lang w:val="en-CA" w:eastAsia="fr-CA"/>
        </w:rPr>
        <w:t>]</w:t>
      </w:r>
    </w:p>
    <w:p w14:paraId="5ACA8F86" w14:textId="2AEB9BA4" w:rsidR="000C0364" w:rsidRPr="002F6CBB" w:rsidRDefault="00147465" w:rsidP="000C0364">
      <w:pPr>
        <w:pStyle w:val="Citationenretrait"/>
        <w:rPr>
          <w:lang w:val="en-CA" w:eastAsia="fr-CA"/>
        </w:rPr>
      </w:pPr>
      <w:r w:rsidRPr="002F6CBB">
        <w:rPr>
          <w:lang w:val="en-CA" w:eastAsia="fr-CA"/>
        </w:rPr>
        <w:t xml:space="preserve">The Tribunal’s assessment of the evidence must </w:t>
      </w:r>
      <w:r w:rsidR="00B41265">
        <w:rPr>
          <w:lang w:val="en-CA" w:eastAsia="fr-CA"/>
        </w:rPr>
        <w:t xml:space="preserve">allow </w:t>
      </w:r>
      <w:r w:rsidRPr="002F6CBB">
        <w:rPr>
          <w:lang w:val="en-CA" w:eastAsia="fr-CA"/>
        </w:rPr>
        <w:t xml:space="preserve">it to conclude that the most </w:t>
      </w:r>
      <w:r w:rsidR="00B41265">
        <w:rPr>
          <w:lang w:val="en-CA" w:eastAsia="fr-CA"/>
        </w:rPr>
        <w:t xml:space="preserve">rational </w:t>
      </w:r>
      <w:r w:rsidRPr="002F6CBB">
        <w:rPr>
          <w:lang w:val="en-CA" w:eastAsia="fr-CA"/>
        </w:rPr>
        <w:t>or likely explanation for the person in authority</w:t>
      </w:r>
      <w:r w:rsidR="00B41265">
        <w:rPr>
          <w:lang w:val="en-CA" w:eastAsia="fr-CA"/>
        </w:rPr>
        <w:t>’s conduct</w:t>
      </w:r>
      <w:r w:rsidRPr="002F6CBB">
        <w:rPr>
          <w:lang w:val="en-CA" w:eastAsia="fr-CA"/>
        </w:rPr>
        <w:t xml:space="preserve"> is related to one or </w:t>
      </w:r>
      <w:r w:rsidR="00B41265">
        <w:rPr>
          <w:lang w:val="en-CA" w:eastAsia="fr-CA"/>
        </w:rPr>
        <w:t xml:space="preserve">several </w:t>
      </w:r>
      <w:r w:rsidRPr="002F6CBB">
        <w:rPr>
          <w:lang w:val="en-CA" w:eastAsia="fr-CA"/>
        </w:rPr>
        <w:t xml:space="preserve">of the prohibited grounds of discrimination set out in section 10 of the </w:t>
      </w:r>
      <w:r w:rsidRPr="002F6CBB">
        <w:rPr>
          <w:i/>
          <w:lang w:val="en-CA" w:eastAsia="fr-CA"/>
        </w:rPr>
        <w:t>Charter</w:t>
      </w:r>
      <w:r w:rsidRPr="002F6CBB">
        <w:rPr>
          <w:lang w:val="en-CA" w:eastAsia="fr-CA"/>
        </w:rPr>
        <w:t>.</w:t>
      </w:r>
      <w:r w:rsidRPr="002F6CBB">
        <w:rPr>
          <w:vertAlign w:val="superscript"/>
          <w:lang w:val="en-CA" w:eastAsia="fr-CA"/>
        </w:rPr>
        <w:footnoteReference w:id="31"/>
      </w:r>
    </w:p>
    <w:p w14:paraId="27F0F946" w14:textId="3ACA2E50" w:rsidR="000C0364" w:rsidRPr="002F6CBB" w:rsidRDefault="00147465" w:rsidP="00185A28">
      <w:pPr>
        <w:pStyle w:val="Paragraphe"/>
        <w:rPr>
          <w:lang w:val="en-CA" w:eastAsia="fr-CA"/>
        </w:rPr>
      </w:pPr>
      <w:r w:rsidRPr="00351D75">
        <w:rPr>
          <w:lang w:val="en-CA" w:eastAsia="fr-CA"/>
        </w:rPr>
        <w:t>Of course</w:t>
      </w:r>
      <w:r w:rsidRPr="002F6CBB">
        <w:rPr>
          <w:lang w:val="en-CA" w:eastAsia="fr-CA"/>
        </w:rPr>
        <w:t xml:space="preserve">, the alleged victim’s subjective perception that </w:t>
      </w:r>
      <w:r w:rsidR="00B41265" w:rsidRPr="00B41265">
        <w:rPr>
          <w:lang w:val="en-CA" w:eastAsia="fr-CA"/>
        </w:rPr>
        <w:t>t</w:t>
      </w:r>
      <w:r w:rsidRPr="002F6CBB">
        <w:rPr>
          <w:lang w:val="en-CA" w:eastAsia="fr-CA"/>
        </w:rPr>
        <w:t>he</w:t>
      </w:r>
      <w:r w:rsidR="00B41265">
        <w:rPr>
          <w:lang w:val="en-CA" w:eastAsia="fr-CA"/>
        </w:rPr>
        <w:t>y</w:t>
      </w:r>
      <w:r w:rsidRPr="002F6CBB">
        <w:rPr>
          <w:lang w:val="en-CA" w:eastAsia="fr-CA"/>
        </w:rPr>
        <w:t xml:space="preserve"> w</w:t>
      </w:r>
      <w:r w:rsidR="00B41265">
        <w:rPr>
          <w:lang w:val="en-CA" w:eastAsia="fr-CA"/>
        </w:rPr>
        <w:t>ere</w:t>
      </w:r>
      <w:r w:rsidRPr="002F6CBB">
        <w:rPr>
          <w:lang w:val="en-CA" w:eastAsia="fr-CA"/>
        </w:rPr>
        <w:t xml:space="preserve"> stopped by </w:t>
      </w:r>
      <w:r w:rsidR="00B41265">
        <w:rPr>
          <w:lang w:val="en-CA" w:eastAsia="fr-CA"/>
        </w:rPr>
        <w:t xml:space="preserve">the </w:t>
      </w:r>
      <w:r w:rsidRPr="002F6CBB">
        <w:rPr>
          <w:lang w:val="en-CA" w:eastAsia="fr-CA"/>
        </w:rPr>
        <w:t xml:space="preserve">police because of </w:t>
      </w:r>
      <w:r w:rsidR="00B41265">
        <w:rPr>
          <w:lang w:val="en-CA" w:eastAsia="fr-CA"/>
        </w:rPr>
        <w:t>their</w:t>
      </w:r>
      <w:r w:rsidRPr="002F6CBB">
        <w:rPr>
          <w:lang w:val="en-CA" w:eastAsia="fr-CA"/>
        </w:rPr>
        <w:t xml:space="preserve"> colour or race cannot</w:t>
      </w:r>
      <w:r w:rsidR="00B41265">
        <w:rPr>
          <w:lang w:val="en-CA" w:eastAsia="fr-CA"/>
        </w:rPr>
        <w:t xml:space="preserve"> alone</w:t>
      </w:r>
      <w:r w:rsidR="00B41265" w:rsidRPr="002F6CBB">
        <w:rPr>
          <w:lang w:val="en-CA" w:eastAsia="fr-CA"/>
        </w:rPr>
        <w:t xml:space="preserve"> </w:t>
      </w:r>
      <w:r w:rsidRPr="002F6CBB">
        <w:rPr>
          <w:lang w:val="en-CA" w:eastAsia="fr-CA"/>
        </w:rPr>
        <w:t>justify a finding of racial profiling.</w:t>
      </w:r>
      <w:r w:rsidR="002A60BD" w:rsidRPr="002F6CBB">
        <w:rPr>
          <w:lang w:val="en-CA" w:eastAsia="fr-CA"/>
        </w:rPr>
        <w:t xml:space="preserve"> </w:t>
      </w:r>
      <w:r w:rsidRPr="002F6CBB">
        <w:rPr>
          <w:lang w:val="en-CA" w:eastAsia="fr-CA"/>
        </w:rPr>
        <w:t xml:space="preserve">However, the perception </w:t>
      </w:r>
      <w:r w:rsidR="001A59D6">
        <w:rPr>
          <w:lang w:val="en-CA" w:eastAsia="fr-CA"/>
        </w:rPr>
        <w:t>that</w:t>
      </w:r>
      <w:r w:rsidRPr="002F6CBB">
        <w:rPr>
          <w:lang w:val="en-CA" w:eastAsia="fr-CA"/>
        </w:rPr>
        <w:t xml:space="preserve"> a reasonable person </w:t>
      </w:r>
      <w:r w:rsidR="001A59D6">
        <w:rPr>
          <w:lang w:val="en-CA" w:eastAsia="fr-CA"/>
        </w:rPr>
        <w:t xml:space="preserve">and </w:t>
      </w:r>
      <w:r w:rsidRPr="002F6CBB">
        <w:rPr>
          <w:lang w:val="en-CA" w:eastAsia="fr-CA"/>
        </w:rPr>
        <w:t xml:space="preserve">member of the group protected by the </w:t>
      </w:r>
      <w:r w:rsidRPr="002F6CBB">
        <w:rPr>
          <w:i/>
          <w:lang w:val="en-CA" w:eastAsia="fr-CA"/>
        </w:rPr>
        <w:t>Charter</w:t>
      </w:r>
      <w:r w:rsidRPr="002F6CBB">
        <w:rPr>
          <w:lang w:val="en-CA" w:eastAsia="fr-CA"/>
        </w:rPr>
        <w:t xml:space="preserve"> against discrimination </w:t>
      </w:r>
      <w:r w:rsidR="001A59D6">
        <w:rPr>
          <w:lang w:val="en-CA" w:eastAsia="fr-CA"/>
        </w:rPr>
        <w:t xml:space="preserve">would have </w:t>
      </w:r>
      <w:r w:rsidR="00B41265">
        <w:rPr>
          <w:lang w:val="en-CA" w:eastAsia="fr-CA"/>
        </w:rPr>
        <w:t xml:space="preserve">in </w:t>
      </w:r>
      <w:r w:rsidRPr="002F6CBB">
        <w:rPr>
          <w:lang w:val="en-CA" w:eastAsia="fr-CA"/>
        </w:rPr>
        <w:t xml:space="preserve">the same circumstances must be </w:t>
      </w:r>
      <w:r w:rsidR="00936AA2" w:rsidRPr="002F6CBB">
        <w:rPr>
          <w:lang w:val="en-CA" w:eastAsia="fr-CA"/>
        </w:rPr>
        <w:t>considered</w:t>
      </w:r>
      <w:r w:rsidRPr="002F6CBB">
        <w:rPr>
          <w:lang w:val="en-CA" w:eastAsia="fr-CA"/>
        </w:rPr>
        <w:t xml:space="preserve"> in the analysis.</w:t>
      </w:r>
      <w:r w:rsidRPr="002F6CBB">
        <w:rPr>
          <w:rStyle w:val="Appelnotedebasdep"/>
          <w:lang w:val="en-CA" w:eastAsia="fr-CA"/>
        </w:rPr>
        <w:footnoteReference w:id="32"/>
      </w:r>
      <w:r w:rsidR="00BC67BE" w:rsidRPr="002F6CBB">
        <w:rPr>
          <w:lang w:val="en-CA" w:eastAsia="fr-CA"/>
        </w:rPr>
        <w:t xml:space="preserve"> </w:t>
      </w:r>
      <w:r w:rsidRPr="002F6CBB">
        <w:rPr>
          <w:lang w:val="en-CA" w:eastAsia="fr-CA"/>
        </w:rPr>
        <w:t xml:space="preserve">To completely </w:t>
      </w:r>
      <w:r w:rsidR="001A59D6">
        <w:rPr>
          <w:lang w:val="en-CA" w:eastAsia="fr-CA"/>
        </w:rPr>
        <w:t>reject</w:t>
      </w:r>
      <w:r w:rsidRPr="002F6CBB">
        <w:rPr>
          <w:lang w:val="en-CA" w:eastAsia="fr-CA"/>
        </w:rPr>
        <w:t xml:space="preserve"> the </w:t>
      </w:r>
      <w:r w:rsidR="00B41265">
        <w:rPr>
          <w:lang w:val="en-CA" w:eastAsia="fr-CA"/>
        </w:rPr>
        <w:t xml:space="preserve">perception of </w:t>
      </w:r>
      <w:r w:rsidR="001A59D6">
        <w:rPr>
          <w:lang w:val="en-CA" w:eastAsia="fr-CA"/>
        </w:rPr>
        <w:t xml:space="preserve">a </w:t>
      </w:r>
      <w:r w:rsidRPr="002F6CBB">
        <w:rPr>
          <w:lang w:val="en-CA" w:eastAsia="fr-CA"/>
        </w:rPr>
        <w:t xml:space="preserve">reasonable racialized person would </w:t>
      </w:r>
      <w:r w:rsidR="001A59D6">
        <w:rPr>
          <w:lang w:val="en-CA" w:eastAsia="fr-CA"/>
        </w:rPr>
        <w:t>contribute to</w:t>
      </w:r>
      <w:r w:rsidRPr="002F6CBB">
        <w:rPr>
          <w:lang w:val="en-CA" w:eastAsia="fr-CA"/>
        </w:rPr>
        <w:t xml:space="preserve"> systemic discrimination.</w:t>
      </w:r>
      <w:r w:rsidRPr="002F6CBB">
        <w:rPr>
          <w:rStyle w:val="Appelnotedebasdep"/>
          <w:lang w:val="en-CA" w:eastAsia="fr-CA"/>
        </w:rPr>
        <w:footnoteReference w:id="33"/>
      </w:r>
      <w:r w:rsidR="00BC67BE" w:rsidRPr="002F6CBB">
        <w:rPr>
          <w:lang w:val="en-CA" w:eastAsia="fr-CA"/>
        </w:rPr>
        <w:t xml:space="preserve"> </w:t>
      </w:r>
    </w:p>
    <w:p w14:paraId="6297B3FD" w14:textId="04A749B8" w:rsidR="000C0364" w:rsidRPr="002F6CBB" w:rsidRDefault="00147465" w:rsidP="00185A28">
      <w:pPr>
        <w:pStyle w:val="Paragraphe"/>
        <w:rPr>
          <w:lang w:val="en-CA" w:eastAsia="fr-CA"/>
        </w:rPr>
      </w:pPr>
      <w:r w:rsidRPr="002F6CBB">
        <w:rPr>
          <w:lang w:val="en-CA" w:eastAsia="fr-CA"/>
        </w:rPr>
        <w:t xml:space="preserve">As </w:t>
      </w:r>
      <w:r w:rsidR="001A59D6">
        <w:rPr>
          <w:lang w:val="en-CA" w:eastAsia="fr-CA"/>
        </w:rPr>
        <w:t>evidence</w:t>
      </w:r>
      <w:r w:rsidRPr="002F6CBB">
        <w:rPr>
          <w:lang w:val="en-CA" w:eastAsia="fr-CA"/>
        </w:rPr>
        <w:t xml:space="preserve"> of racial profiling is difficult to make primarily because it is often based on subconscious </w:t>
      </w:r>
      <w:r w:rsidR="001202FD">
        <w:rPr>
          <w:lang w:val="en-CA" w:eastAsia="fr-CA"/>
        </w:rPr>
        <w:t>prejudices</w:t>
      </w:r>
      <w:r w:rsidRPr="002F6CBB">
        <w:rPr>
          <w:lang w:val="en-CA" w:eastAsia="fr-CA"/>
        </w:rPr>
        <w:t xml:space="preserve"> or stereotypes and is rarely direct, the Tribunal described the appropriate approach in </w:t>
      </w:r>
      <w:proofErr w:type="spellStart"/>
      <w:r w:rsidRPr="002F6CBB">
        <w:rPr>
          <w:i/>
          <w:lang w:val="en-CA" w:eastAsia="fr-CA"/>
        </w:rPr>
        <w:t>Nyembwe</w:t>
      </w:r>
      <w:proofErr w:type="spellEnd"/>
      <w:r w:rsidRPr="002F6CBB">
        <w:rPr>
          <w:rStyle w:val="Appelnotedebasdep"/>
          <w:lang w:val="en-CA" w:eastAsia="fr-CA"/>
        </w:rPr>
        <w:footnoteReference w:id="34"/>
      </w:r>
      <w:r w:rsidR="003B3142">
        <w:rPr>
          <w:lang w:val="en-CA" w:eastAsia="fr-CA"/>
        </w:rPr>
        <w:t>:</w:t>
      </w:r>
      <w:r w:rsidR="00BC67BE" w:rsidRPr="002F6CBB">
        <w:rPr>
          <w:lang w:val="en-CA" w:eastAsia="fr-CA"/>
        </w:rPr>
        <w:t xml:space="preserve"> </w:t>
      </w:r>
    </w:p>
    <w:p w14:paraId="62D9363B" w14:textId="7BEECE7C" w:rsidR="00147465" w:rsidRPr="002F6CBB" w:rsidRDefault="00147465" w:rsidP="00EB15E4">
      <w:pPr>
        <w:pStyle w:val="Citationenretrait"/>
        <w:rPr>
          <w:lang w:val="en-CA" w:eastAsia="fr-CA"/>
        </w:rPr>
      </w:pPr>
      <w:r w:rsidRPr="002F6CBB">
        <w:rPr>
          <w:rFonts w:cs="Arial"/>
          <w:lang w:val="en-CA" w:eastAsia="fr-CA"/>
        </w:rPr>
        <w:t>[</w:t>
      </w:r>
      <w:r w:rsidRPr="002F6CBB">
        <w:rPr>
          <w:rFonts w:cs="Arial"/>
          <w:smallCaps/>
          <w:lang w:val="en-CA" w:eastAsia="fr-CA"/>
        </w:rPr>
        <w:t>translation</w:t>
      </w:r>
      <w:r w:rsidRPr="002F6CBB">
        <w:rPr>
          <w:rFonts w:cs="Arial"/>
          <w:lang w:val="en-CA" w:eastAsia="fr-CA"/>
        </w:rPr>
        <w:t>]</w:t>
      </w:r>
    </w:p>
    <w:p w14:paraId="70E0EEA3" w14:textId="7B6EDE5E" w:rsidR="000C0364" w:rsidRPr="002F6CBB" w:rsidRDefault="00147465" w:rsidP="00EB15E4">
      <w:pPr>
        <w:pStyle w:val="Citationenretrait"/>
        <w:rPr>
          <w:lang w:val="en-CA" w:eastAsia="fr-CA"/>
        </w:rPr>
      </w:pPr>
      <w:r w:rsidRPr="002F6CBB">
        <w:rPr>
          <w:lang w:val="en-CA" w:eastAsia="fr-CA"/>
        </w:rPr>
        <w:t>[310] To decide whether racial profiling played a role in a police intervention, the Tribunal must take all of the circumstances into consideration and draw the reasonable inferences from the general portrait revealed by the circumstantial evidence, in light of judicial notice of the existence of the phenomenon and the expert evidence that may be presented to it.</w:t>
      </w:r>
      <w:r w:rsidR="004E2C03" w:rsidRPr="002F6CBB">
        <w:rPr>
          <w:lang w:val="en-CA" w:eastAsia="fr-CA"/>
        </w:rPr>
        <w:t xml:space="preserve"> </w:t>
      </w:r>
      <w:r w:rsidRPr="002F6CBB">
        <w:rPr>
          <w:lang w:val="en-CA" w:eastAsia="fr-CA"/>
        </w:rPr>
        <w:t>Circumstantial evidence must not be isolated or compartmentalized.</w:t>
      </w:r>
      <w:r w:rsidR="004E2C03" w:rsidRPr="002F6CBB">
        <w:rPr>
          <w:lang w:val="en-CA" w:eastAsia="fr-CA"/>
        </w:rPr>
        <w:t xml:space="preserve"> </w:t>
      </w:r>
      <w:r w:rsidRPr="002F6CBB">
        <w:rPr>
          <w:lang w:val="en-CA" w:eastAsia="fr-CA"/>
        </w:rPr>
        <w:t xml:space="preserve">The meaning of each item of evidence is necessarily </w:t>
      </w:r>
      <w:r w:rsidRPr="002F6CBB">
        <w:rPr>
          <w:lang w:val="en-CA" w:eastAsia="fr-CA"/>
        </w:rPr>
        <w:lastRenderedPageBreak/>
        <w:t>shaped by the others.</w:t>
      </w:r>
      <w:r w:rsidR="004E2C03" w:rsidRPr="002F6CBB">
        <w:rPr>
          <w:lang w:val="en-CA" w:eastAsia="fr-CA"/>
        </w:rPr>
        <w:t xml:space="preserve"> </w:t>
      </w:r>
      <w:r w:rsidRPr="002F6CBB">
        <w:rPr>
          <w:lang w:val="en-CA" w:eastAsia="fr-CA"/>
        </w:rPr>
        <w:t>Each piece of evidence constitutes only part of the picture, and it is only when seen as a whole that the evidence can reliably support a conclusion that racial profiling played a role in a given situation.</w:t>
      </w:r>
    </w:p>
    <w:p w14:paraId="002FDB7B" w14:textId="52A5E367" w:rsidR="000C0364" w:rsidRPr="002F6CBB" w:rsidRDefault="00932F09" w:rsidP="00185A28">
      <w:pPr>
        <w:pStyle w:val="Paragraphe"/>
        <w:rPr>
          <w:lang w:val="en-CA"/>
        </w:rPr>
      </w:pPr>
      <w:r w:rsidRPr="002F6CBB">
        <w:rPr>
          <w:lang w:val="en-CA"/>
        </w:rPr>
        <w:t xml:space="preserve">The courts must therefore, while observing the standard of </w:t>
      </w:r>
      <w:r w:rsidR="00BB1A3E">
        <w:rPr>
          <w:lang w:val="en-CA"/>
        </w:rPr>
        <w:t xml:space="preserve">the </w:t>
      </w:r>
      <w:r w:rsidRPr="002F6CBB">
        <w:rPr>
          <w:lang w:val="en-CA"/>
        </w:rPr>
        <w:t xml:space="preserve">balance of probabilities, </w:t>
      </w:r>
      <w:r w:rsidR="001A59D6">
        <w:rPr>
          <w:lang w:val="en-CA"/>
        </w:rPr>
        <w:t xml:space="preserve">consider </w:t>
      </w:r>
      <w:r w:rsidRPr="002F6CBB">
        <w:rPr>
          <w:lang w:val="en-CA"/>
        </w:rPr>
        <w:t xml:space="preserve">all the circumstances and the context to determine whether a prohibited ground, in this </w:t>
      </w:r>
      <w:r w:rsidR="00BB1A3E">
        <w:rPr>
          <w:lang w:val="en-CA"/>
        </w:rPr>
        <w:t>case</w:t>
      </w:r>
      <w:r w:rsidRPr="002F6CBB">
        <w:rPr>
          <w:lang w:val="en-CA"/>
        </w:rPr>
        <w:t xml:space="preserve"> race or colour</w:t>
      </w:r>
      <w:r w:rsidR="00BB1A3E">
        <w:rPr>
          <w:lang w:val="en-CA"/>
        </w:rPr>
        <w:t>,</w:t>
      </w:r>
      <w:r w:rsidRPr="002F6CBB">
        <w:rPr>
          <w:lang w:val="en-CA"/>
        </w:rPr>
        <w:t xml:space="preserve"> whether </w:t>
      </w:r>
      <w:r w:rsidR="00BB1A3E">
        <w:rPr>
          <w:lang w:val="en-CA"/>
        </w:rPr>
        <w:t xml:space="preserve">or not </w:t>
      </w:r>
      <w:r w:rsidRPr="002F6CBB">
        <w:rPr>
          <w:lang w:val="en-CA"/>
        </w:rPr>
        <w:t>combined with another characteristic such as sex, consciously or unconsciously played a role during the police intervention.</w:t>
      </w:r>
    </w:p>
    <w:p w14:paraId="47039F54" w14:textId="7C2C5076" w:rsidR="000C0364" w:rsidRPr="002F6CBB" w:rsidRDefault="00932F09" w:rsidP="00185A28">
      <w:pPr>
        <w:pStyle w:val="Paragraphe"/>
        <w:rPr>
          <w:lang w:val="en-CA" w:eastAsia="fr-CA"/>
        </w:rPr>
      </w:pPr>
      <w:r w:rsidRPr="002F6CBB">
        <w:rPr>
          <w:lang w:val="en-CA" w:eastAsia="fr-CA"/>
        </w:rPr>
        <w:t xml:space="preserve">Among the circumstantial evidence the </w:t>
      </w:r>
      <w:r w:rsidR="001A59D6">
        <w:rPr>
          <w:lang w:val="en-CA" w:eastAsia="fr-CA"/>
        </w:rPr>
        <w:t xml:space="preserve">Tribunal </w:t>
      </w:r>
      <w:r w:rsidRPr="002F6CBB">
        <w:rPr>
          <w:lang w:val="en-CA" w:eastAsia="fr-CA"/>
        </w:rPr>
        <w:t>must consider, social context is unavoidable.</w:t>
      </w:r>
      <w:r w:rsidR="00BC67BE" w:rsidRPr="002F6CBB">
        <w:rPr>
          <w:lang w:val="en-CA" w:eastAsia="fr-CA"/>
        </w:rPr>
        <w:t xml:space="preserve"> </w:t>
      </w:r>
      <w:r w:rsidRPr="002F6CBB">
        <w:rPr>
          <w:lang w:val="en-CA" w:eastAsia="fr-CA"/>
        </w:rPr>
        <w:t>Given the quantity of research documenting the disproportionate policing of racialized persons over the past 40 years, the Supreme Court ruled that racial profiling by police in this country is well known and of judicial notice.</w:t>
      </w:r>
      <w:bookmarkStart w:id="23" w:name="_Ref161837171"/>
      <w:r w:rsidRPr="002F6CBB">
        <w:rPr>
          <w:rStyle w:val="Appelnotedebasdep"/>
          <w:lang w:val="en-CA" w:eastAsia="fr-CA"/>
        </w:rPr>
        <w:footnoteReference w:id="35"/>
      </w:r>
      <w:bookmarkEnd w:id="23"/>
    </w:p>
    <w:p w14:paraId="71042258" w14:textId="1EA395CF" w:rsidR="000C0364" w:rsidRPr="002F6CBB" w:rsidRDefault="00932F09" w:rsidP="00185A28">
      <w:pPr>
        <w:pStyle w:val="Paragraphe"/>
        <w:rPr>
          <w:lang w:val="en-CA"/>
        </w:rPr>
      </w:pPr>
      <w:r w:rsidRPr="002F6CBB">
        <w:rPr>
          <w:lang w:val="en-CA"/>
        </w:rPr>
        <w:t xml:space="preserve">The documentary evidence </w:t>
      </w:r>
      <w:r w:rsidR="003810BF">
        <w:rPr>
          <w:lang w:val="en-CA"/>
        </w:rPr>
        <w:t xml:space="preserve">on </w:t>
      </w:r>
      <w:r w:rsidRPr="002F6CBB">
        <w:rPr>
          <w:lang w:val="en-CA"/>
        </w:rPr>
        <w:t xml:space="preserve">social context cannot </w:t>
      </w:r>
      <w:r w:rsidR="003810BF">
        <w:rPr>
          <w:lang w:val="en-CA"/>
        </w:rPr>
        <w:t xml:space="preserve">alone </w:t>
      </w:r>
      <w:r w:rsidRPr="002F6CBB">
        <w:rPr>
          <w:lang w:val="en-CA"/>
        </w:rPr>
        <w:t xml:space="preserve">constitute evidence on a balance of probabilities that a </w:t>
      </w:r>
      <w:r w:rsidR="003810BF">
        <w:rPr>
          <w:lang w:val="en-CA"/>
        </w:rPr>
        <w:t xml:space="preserve">given </w:t>
      </w:r>
      <w:r w:rsidRPr="002F6CBB">
        <w:rPr>
          <w:lang w:val="en-CA"/>
        </w:rPr>
        <w:t xml:space="preserve">officer in a </w:t>
      </w:r>
      <w:r w:rsidR="003810BF">
        <w:rPr>
          <w:lang w:val="en-CA"/>
        </w:rPr>
        <w:t xml:space="preserve">given </w:t>
      </w:r>
      <w:r w:rsidRPr="002F6CBB">
        <w:rPr>
          <w:lang w:val="en-CA"/>
        </w:rPr>
        <w:t xml:space="preserve">situation committed an act of racial profiling, that is, that </w:t>
      </w:r>
      <w:r w:rsidR="00F3299C">
        <w:rPr>
          <w:lang w:val="en-CA"/>
        </w:rPr>
        <w:t>the officer</w:t>
      </w:r>
      <w:r w:rsidRPr="002F6CBB">
        <w:rPr>
          <w:lang w:val="en-CA"/>
        </w:rPr>
        <w:t xml:space="preserve"> </w:t>
      </w:r>
      <w:r w:rsidR="000E705D" w:rsidRPr="002F6CBB">
        <w:rPr>
          <w:lang w:val="en-CA"/>
        </w:rPr>
        <w:t xml:space="preserve">intercepted </w:t>
      </w:r>
      <w:r w:rsidR="000E705D">
        <w:rPr>
          <w:lang w:val="en-CA"/>
        </w:rPr>
        <w:t xml:space="preserve">or </w:t>
      </w:r>
      <w:r w:rsidRPr="002F6CBB">
        <w:rPr>
          <w:lang w:val="en-CA"/>
        </w:rPr>
        <w:t xml:space="preserve">stopped a citizen because of </w:t>
      </w:r>
      <w:r w:rsidR="003810BF">
        <w:rPr>
          <w:lang w:val="en-CA"/>
        </w:rPr>
        <w:t xml:space="preserve">their </w:t>
      </w:r>
      <w:r w:rsidRPr="002F6CBB">
        <w:rPr>
          <w:lang w:val="en-CA"/>
        </w:rPr>
        <w:t>race or colour.</w:t>
      </w:r>
      <w:r w:rsidRPr="002F6CBB">
        <w:rPr>
          <w:vertAlign w:val="superscript"/>
          <w:lang w:val="en-CA"/>
        </w:rPr>
        <w:footnoteReference w:id="36"/>
      </w:r>
      <w:r w:rsidR="00490F69" w:rsidRPr="002F6CBB">
        <w:rPr>
          <w:lang w:val="en-CA"/>
        </w:rPr>
        <w:t xml:space="preserve"> </w:t>
      </w:r>
      <w:r w:rsidRPr="002F6CBB">
        <w:rPr>
          <w:lang w:val="en-CA"/>
        </w:rPr>
        <w:t xml:space="preserve">It does, however, establish the </w:t>
      </w:r>
      <w:r w:rsidRPr="002F6CBB">
        <w:rPr>
          <w:rFonts w:cs="Arial"/>
          <w:lang w:val="en-CA"/>
        </w:rPr>
        <w:t>[</w:t>
      </w:r>
      <w:r w:rsidRPr="002F6CBB">
        <w:rPr>
          <w:rFonts w:cs="Arial"/>
          <w:smallCaps/>
          <w:lang w:val="en-CA"/>
        </w:rPr>
        <w:t>translation</w:t>
      </w:r>
      <w:r w:rsidRPr="002F6CBB">
        <w:rPr>
          <w:rFonts w:cs="Arial"/>
          <w:lang w:val="en-CA"/>
        </w:rPr>
        <w:t>]</w:t>
      </w:r>
      <w:r w:rsidRPr="002F6CBB">
        <w:rPr>
          <w:lang w:val="en-CA"/>
        </w:rPr>
        <w:t xml:space="preserve"> “background”</w:t>
      </w:r>
      <w:r w:rsidRPr="002F6CBB">
        <w:rPr>
          <w:vertAlign w:val="superscript"/>
          <w:lang w:val="en-CA"/>
        </w:rPr>
        <w:footnoteReference w:id="37"/>
      </w:r>
      <w:r w:rsidRPr="002F6CBB">
        <w:rPr>
          <w:lang w:val="en-CA"/>
        </w:rPr>
        <w:t xml:space="preserve"> or </w:t>
      </w:r>
      <w:r w:rsidRPr="002F6CBB">
        <w:rPr>
          <w:rFonts w:cs="Arial"/>
          <w:lang w:val="en-CA"/>
        </w:rPr>
        <w:t>[</w:t>
      </w:r>
      <w:r w:rsidRPr="002F6CBB">
        <w:rPr>
          <w:rFonts w:cs="Arial"/>
          <w:smallCaps/>
          <w:lang w:val="en-CA"/>
        </w:rPr>
        <w:t>translation</w:t>
      </w:r>
      <w:r w:rsidRPr="002F6CBB">
        <w:rPr>
          <w:rFonts w:cs="Arial"/>
          <w:lang w:val="en-CA"/>
        </w:rPr>
        <w:t>]</w:t>
      </w:r>
      <w:r w:rsidRPr="002F6CBB">
        <w:rPr>
          <w:lang w:val="en-CA"/>
        </w:rPr>
        <w:t xml:space="preserve"> “context”</w:t>
      </w:r>
      <w:r w:rsidRPr="002F6CBB">
        <w:rPr>
          <w:vertAlign w:val="superscript"/>
          <w:lang w:val="en-CA"/>
        </w:rPr>
        <w:footnoteReference w:id="38"/>
      </w:r>
      <w:r w:rsidRPr="002F6CBB">
        <w:rPr>
          <w:lang w:val="en-CA"/>
        </w:rPr>
        <w:t xml:space="preserve"> of the analysis, particularly the systemic </w:t>
      </w:r>
      <w:r w:rsidR="00F3299C">
        <w:rPr>
          <w:lang w:val="en-CA"/>
        </w:rPr>
        <w:t xml:space="preserve">nature of </w:t>
      </w:r>
      <w:r w:rsidRPr="002F6CBB">
        <w:rPr>
          <w:lang w:val="en-CA"/>
        </w:rPr>
        <w:t>racial profiling by law enforcement.</w:t>
      </w:r>
      <w:r w:rsidR="00BC67BE" w:rsidRPr="002F6CBB">
        <w:rPr>
          <w:lang w:val="en-CA"/>
        </w:rPr>
        <w:t xml:space="preserve"> </w:t>
      </w:r>
      <w:r w:rsidRPr="002F6CBB">
        <w:rPr>
          <w:lang w:val="en-CA"/>
        </w:rPr>
        <w:t xml:space="preserve">The </w:t>
      </w:r>
      <w:r w:rsidR="003810BF" w:rsidRPr="002F6CBB">
        <w:rPr>
          <w:lang w:val="en-CA"/>
        </w:rPr>
        <w:t xml:space="preserve">well-documented </w:t>
      </w:r>
      <w:r w:rsidRPr="002F6CBB">
        <w:rPr>
          <w:lang w:val="en-CA"/>
        </w:rPr>
        <w:t xml:space="preserve">context of racial profiling that prevails in police practices is therefore a relevant and useful element among all the circumstantial evidence and may even help </w:t>
      </w:r>
      <w:r w:rsidR="003810BF">
        <w:rPr>
          <w:lang w:val="en-CA"/>
        </w:rPr>
        <w:t xml:space="preserve">to </w:t>
      </w:r>
      <w:r w:rsidRPr="002F6CBB">
        <w:rPr>
          <w:lang w:val="en-CA"/>
        </w:rPr>
        <w:t>explain aspects of the evidence.</w:t>
      </w:r>
      <w:r w:rsidRPr="002F6CBB">
        <w:rPr>
          <w:vertAlign w:val="superscript"/>
          <w:lang w:val="en-CA"/>
        </w:rPr>
        <w:footnoteReference w:id="39"/>
      </w:r>
      <w:r w:rsidR="00BC67BE" w:rsidRPr="002F6CBB">
        <w:rPr>
          <w:lang w:val="en-CA"/>
        </w:rPr>
        <w:t xml:space="preserve"> </w:t>
      </w:r>
      <w:r w:rsidRPr="002F6CBB">
        <w:rPr>
          <w:lang w:val="en-CA"/>
        </w:rPr>
        <w:t xml:space="preserve">It may enlighten the Tribunal on the meaning and scope of the facts in dispute and help it </w:t>
      </w:r>
      <w:r w:rsidR="003810BF">
        <w:rPr>
          <w:lang w:val="en-CA"/>
        </w:rPr>
        <w:t xml:space="preserve">to </w:t>
      </w:r>
      <w:r w:rsidRPr="002F6CBB">
        <w:rPr>
          <w:lang w:val="en-CA"/>
        </w:rPr>
        <w:t>draw proper conclusions</w:t>
      </w:r>
      <w:r w:rsidRPr="002F6CBB">
        <w:rPr>
          <w:vertAlign w:val="superscript"/>
          <w:lang w:val="en-CA"/>
        </w:rPr>
        <w:footnoteReference w:id="40"/>
      </w:r>
      <w:r w:rsidR="005C415D">
        <w:rPr>
          <w:lang w:val="en-CA"/>
        </w:rPr>
        <w:t>,</w:t>
      </w:r>
      <w:r w:rsidRPr="002F6CBB">
        <w:rPr>
          <w:lang w:val="en-CA"/>
        </w:rPr>
        <w:t xml:space="preserve"> in particular </w:t>
      </w:r>
      <w:r w:rsidR="003810BF">
        <w:rPr>
          <w:lang w:val="en-CA"/>
        </w:rPr>
        <w:t xml:space="preserve">on </w:t>
      </w:r>
      <w:r w:rsidRPr="002F6CBB">
        <w:rPr>
          <w:lang w:val="en-CA"/>
        </w:rPr>
        <w:t xml:space="preserve">the </w:t>
      </w:r>
      <w:r w:rsidR="00124B55">
        <w:rPr>
          <w:lang w:val="en-CA"/>
        </w:rPr>
        <w:t>plausibility</w:t>
      </w:r>
      <w:r w:rsidRPr="002F6CBB">
        <w:rPr>
          <w:lang w:val="en-CA"/>
        </w:rPr>
        <w:t xml:space="preserve"> of the plaintiff’s allegations and the </w:t>
      </w:r>
      <w:r w:rsidR="003810BF">
        <w:rPr>
          <w:lang w:val="en-CA"/>
        </w:rPr>
        <w:t xml:space="preserve">defendants’ </w:t>
      </w:r>
      <w:r w:rsidRPr="002F6CBB">
        <w:rPr>
          <w:lang w:val="en-CA"/>
        </w:rPr>
        <w:t>explanations.</w:t>
      </w:r>
      <w:r w:rsidR="00BC67BE" w:rsidRPr="002F6CBB">
        <w:rPr>
          <w:lang w:val="en-CA"/>
        </w:rPr>
        <w:t xml:space="preserve"> </w:t>
      </w:r>
    </w:p>
    <w:p w14:paraId="46A68779" w14:textId="11F13E0A" w:rsidR="005E52E8" w:rsidRPr="002F6CBB" w:rsidRDefault="00932F09" w:rsidP="00185A28">
      <w:pPr>
        <w:pStyle w:val="Paragraphe"/>
        <w:rPr>
          <w:rFonts w:cs="Arial"/>
          <w:szCs w:val="24"/>
          <w:lang w:val="en-CA"/>
        </w:rPr>
      </w:pPr>
      <w:r w:rsidRPr="002F6CBB">
        <w:rPr>
          <w:lang w:val="en-CA"/>
        </w:rPr>
        <w:t xml:space="preserve">In this case, the CDPDJ filed a detailed expert report on racial profiling prepared by researchers Marie </w:t>
      </w:r>
      <w:proofErr w:type="spellStart"/>
      <w:r w:rsidRPr="002F6CBB">
        <w:rPr>
          <w:lang w:val="en-CA"/>
        </w:rPr>
        <w:t>Meudec</w:t>
      </w:r>
      <w:proofErr w:type="spellEnd"/>
      <w:r w:rsidRPr="002F6CBB">
        <w:rPr>
          <w:lang w:val="en-CA"/>
        </w:rPr>
        <w:t>, Anne-Marie Livingstone, and Lourdes Stéphane Alix.</w:t>
      </w:r>
      <w:bookmarkStart w:id="24" w:name="_Ref161847437"/>
      <w:r w:rsidRPr="002F6CBB">
        <w:rPr>
          <w:rStyle w:val="Appelnotedebasdep"/>
          <w:lang w:val="en-CA"/>
        </w:rPr>
        <w:footnoteReference w:id="41"/>
      </w:r>
      <w:bookmarkEnd w:id="24"/>
      <w:r w:rsidR="00490F69" w:rsidRPr="002F6CBB">
        <w:rPr>
          <w:lang w:val="en-CA"/>
        </w:rPr>
        <w:t xml:space="preserve"> </w:t>
      </w:r>
      <w:r w:rsidRPr="002F6CBB">
        <w:rPr>
          <w:lang w:val="en-CA"/>
        </w:rPr>
        <w:t xml:space="preserve">This </w:t>
      </w:r>
      <w:r w:rsidRPr="002F6CBB">
        <w:rPr>
          <w:lang w:val="en-CA"/>
        </w:rPr>
        <w:lastRenderedPageBreak/>
        <w:t xml:space="preserve">study addresses racial profiling </w:t>
      </w:r>
      <w:r w:rsidR="003810BF">
        <w:rPr>
          <w:lang w:val="en-CA"/>
        </w:rPr>
        <w:t xml:space="preserve">both </w:t>
      </w:r>
      <w:r w:rsidRPr="002F6CBB">
        <w:rPr>
          <w:lang w:val="en-CA"/>
        </w:rPr>
        <w:t>in Quebec and elsewhere in Canada and the United</w:t>
      </w:r>
      <w:r w:rsidR="003810BF">
        <w:rPr>
          <w:lang w:val="en-CA"/>
        </w:rPr>
        <w:t xml:space="preserve"> </w:t>
      </w:r>
      <w:r w:rsidRPr="002F6CBB">
        <w:rPr>
          <w:lang w:val="en-CA"/>
        </w:rPr>
        <w:t>States, and, as we will see, “enlighten[s] the court” in its decision-making.</w:t>
      </w:r>
      <w:r w:rsidR="00BC67BE" w:rsidRPr="002F6CBB">
        <w:rPr>
          <w:rStyle w:val="Appelnotedebasdep"/>
          <w:lang w:val="en-CA"/>
        </w:rPr>
        <w:footnoteReference w:id="42"/>
      </w:r>
      <w:r w:rsidR="00490F69" w:rsidRPr="002F6CBB">
        <w:rPr>
          <w:lang w:val="en-CA"/>
        </w:rPr>
        <w:t xml:space="preserve"> </w:t>
      </w:r>
    </w:p>
    <w:p w14:paraId="7DA81062" w14:textId="04C9462D" w:rsidR="002A60BD" w:rsidRPr="002F6CBB" w:rsidRDefault="00932F09" w:rsidP="00472A9A">
      <w:pPr>
        <w:pStyle w:val="Titre3"/>
        <w:rPr>
          <w:lang w:val="en-CA"/>
        </w:rPr>
      </w:pPr>
      <w:bookmarkStart w:id="25" w:name="_Toc183702205"/>
      <w:r w:rsidRPr="002F6CBB">
        <w:rPr>
          <w:lang w:val="en-CA"/>
        </w:rPr>
        <w:t>Evidence</w:t>
      </w:r>
      <w:bookmarkEnd w:id="25"/>
    </w:p>
    <w:p w14:paraId="3389813B" w14:textId="35DA3DFD" w:rsidR="00810CE6" w:rsidRPr="002F6CBB" w:rsidRDefault="00BB6FC7" w:rsidP="00185A28">
      <w:pPr>
        <w:pStyle w:val="Paragraphe"/>
        <w:rPr>
          <w:lang w:val="en-CA" w:eastAsia="fr-CA"/>
        </w:rPr>
      </w:pPr>
      <w:r w:rsidRPr="002F6CBB">
        <w:rPr>
          <w:lang w:val="en-CA" w:eastAsia="fr-CA"/>
        </w:rPr>
        <w:t xml:space="preserve">The Tribunal must first determine whether, on September 19, 2018, the decisions taken by Officers </w:t>
      </w:r>
      <w:proofErr w:type="spellStart"/>
      <w:r w:rsidRPr="002F6CBB">
        <w:rPr>
          <w:lang w:val="en-CA" w:eastAsia="fr-CA"/>
        </w:rPr>
        <w:t>Beaulac</w:t>
      </w:r>
      <w:proofErr w:type="spellEnd"/>
      <w:r w:rsidRPr="002F6CBB">
        <w:rPr>
          <w:lang w:val="en-CA" w:eastAsia="fr-CA"/>
        </w:rPr>
        <w:t xml:space="preserve"> and Lamothe </w:t>
      </w:r>
      <w:r w:rsidR="007A428A">
        <w:rPr>
          <w:lang w:val="en-CA" w:eastAsia="fr-CA"/>
        </w:rPr>
        <w:t>during the interception of</w:t>
      </w:r>
      <w:r w:rsidR="00815E80">
        <w:rPr>
          <w:lang w:val="en-CA" w:eastAsia="fr-CA"/>
        </w:rPr>
        <w:t xml:space="preserve"> </w:t>
      </w:r>
      <w:r w:rsidRPr="002F6CBB">
        <w:rPr>
          <w:lang w:val="en-CA" w:eastAsia="fr-CA"/>
        </w:rPr>
        <w:t xml:space="preserve">Mr. Woodley constitute discrimination by racial profiling prohibited by section 10 of the </w:t>
      </w:r>
      <w:r w:rsidRPr="002F6CBB">
        <w:rPr>
          <w:i/>
          <w:lang w:val="en-CA" w:eastAsia="fr-CA"/>
        </w:rPr>
        <w:t>Charter</w:t>
      </w:r>
      <w:r w:rsidRPr="002F6CBB">
        <w:rPr>
          <w:lang w:val="en-CA" w:eastAsia="fr-CA"/>
        </w:rPr>
        <w:t>.</w:t>
      </w:r>
    </w:p>
    <w:p w14:paraId="3D2F7133" w14:textId="2465D40B" w:rsidR="00810CE6" w:rsidRPr="002F6CBB" w:rsidRDefault="00BB6FC7" w:rsidP="00185A28">
      <w:pPr>
        <w:pStyle w:val="Paragraphe"/>
        <w:rPr>
          <w:lang w:val="en-CA" w:eastAsia="fr-CA"/>
        </w:rPr>
      </w:pPr>
      <w:r w:rsidRPr="002F6CBB">
        <w:rPr>
          <w:lang w:val="en-CA" w:eastAsia="fr-CA"/>
        </w:rPr>
        <w:t xml:space="preserve">To do this, the Tribunal must </w:t>
      </w:r>
      <w:r w:rsidR="006F69AF">
        <w:rPr>
          <w:lang w:val="en-CA" w:eastAsia="fr-CA"/>
        </w:rPr>
        <w:t>address</w:t>
      </w:r>
      <w:r w:rsidRPr="002F6CBB">
        <w:rPr>
          <w:lang w:val="en-CA" w:eastAsia="fr-CA"/>
        </w:rPr>
        <w:t xml:space="preserve"> the contradictory versions of the same events, that of the complainant </w:t>
      </w:r>
      <w:r w:rsidR="006F69AF">
        <w:rPr>
          <w:lang w:val="en-CA" w:eastAsia="fr-CA"/>
        </w:rPr>
        <w:t xml:space="preserve">compared to those </w:t>
      </w:r>
      <w:r w:rsidRPr="002F6CBB">
        <w:rPr>
          <w:lang w:val="en-CA" w:eastAsia="fr-CA"/>
        </w:rPr>
        <w:t xml:space="preserve">of Officers </w:t>
      </w:r>
      <w:proofErr w:type="spellStart"/>
      <w:r w:rsidRPr="002F6CBB">
        <w:rPr>
          <w:lang w:val="en-CA" w:eastAsia="fr-CA"/>
        </w:rPr>
        <w:t>Beaulac</w:t>
      </w:r>
      <w:proofErr w:type="spellEnd"/>
      <w:r w:rsidRPr="002F6CBB">
        <w:rPr>
          <w:lang w:val="en-CA" w:eastAsia="fr-CA"/>
        </w:rPr>
        <w:t xml:space="preserve"> and Lamothe on </w:t>
      </w:r>
      <w:r w:rsidR="006F69AF">
        <w:rPr>
          <w:lang w:val="en-CA" w:eastAsia="fr-CA"/>
        </w:rPr>
        <w:t>several</w:t>
      </w:r>
      <w:r w:rsidRPr="002F6CBB">
        <w:rPr>
          <w:lang w:val="en-CA" w:eastAsia="fr-CA"/>
        </w:rPr>
        <w:t xml:space="preserve"> critical elements.</w:t>
      </w:r>
      <w:r w:rsidR="00BC67BE" w:rsidRPr="002F6CBB">
        <w:rPr>
          <w:lang w:val="en-CA" w:eastAsia="fr-CA"/>
        </w:rPr>
        <w:t xml:space="preserve"> </w:t>
      </w:r>
      <w:r w:rsidRPr="002F6CBB">
        <w:rPr>
          <w:lang w:val="en-CA" w:eastAsia="fr-CA"/>
        </w:rPr>
        <w:t xml:space="preserve">It must seek the truth by assessing the credibility of the witnesses and, </w:t>
      </w:r>
      <w:r w:rsidR="006F69AF">
        <w:rPr>
          <w:lang w:val="en-CA" w:eastAsia="fr-CA"/>
        </w:rPr>
        <w:t>most importantly</w:t>
      </w:r>
      <w:r w:rsidRPr="002F6CBB">
        <w:rPr>
          <w:lang w:val="en-CA" w:eastAsia="fr-CA"/>
        </w:rPr>
        <w:t xml:space="preserve">, the reliability of their testimony, using logic and objectivity </w:t>
      </w:r>
      <w:r w:rsidR="006F69AF">
        <w:rPr>
          <w:lang w:val="en-CA" w:eastAsia="fr-CA"/>
        </w:rPr>
        <w:t>based on</w:t>
      </w:r>
      <w:r w:rsidRPr="002F6CBB">
        <w:rPr>
          <w:lang w:val="en-CA" w:eastAsia="fr-CA"/>
        </w:rPr>
        <w:t xml:space="preserve"> the plausibility of the remarks made and their consistency with the facts.</w:t>
      </w:r>
      <w:r w:rsidRPr="002F6CBB">
        <w:rPr>
          <w:rStyle w:val="Appelnotedebasdep"/>
          <w:lang w:val="en-CA" w:eastAsia="fr-CA"/>
        </w:rPr>
        <w:footnoteReference w:id="43"/>
      </w:r>
      <w:r w:rsidR="00BC67BE" w:rsidRPr="002F6CBB">
        <w:rPr>
          <w:lang w:val="en-CA" w:eastAsia="fr-CA"/>
        </w:rPr>
        <w:t xml:space="preserve"> </w:t>
      </w:r>
    </w:p>
    <w:p w14:paraId="60169747" w14:textId="3FE92E89" w:rsidR="00810CE6" w:rsidRPr="002F6CBB" w:rsidRDefault="00F922E4" w:rsidP="00185A28">
      <w:pPr>
        <w:pStyle w:val="Paragraphe"/>
        <w:rPr>
          <w:lang w:val="en-CA" w:eastAsia="fr-CA"/>
        </w:rPr>
      </w:pPr>
      <w:r w:rsidRPr="002F6CBB">
        <w:rPr>
          <w:lang w:val="en-CA" w:eastAsia="fr-CA"/>
        </w:rPr>
        <w:t xml:space="preserve">In this regard, the </w:t>
      </w:r>
      <w:r w:rsidR="006F69AF">
        <w:rPr>
          <w:lang w:val="en-CA" w:eastAsia="fr-CA"/>
        </w:rPr>
        <w:t xml:space="preserve">officers’ </w:t>
      </w:r>
      <w:r w:rsidRPr="002F6CBB">
        <w:rPr>
          <w:lang w:val="en-CA" w:eastAsia="fr-CA"/>
        </w:rPr>
        <w:t xml:space="preserve">conduct before, during, and after </w:t>
      </w:r>
      <w:r w:rsidR="00E809C4">
        <w:rPr>
          <w:lang w:val="en-CA" w:eastAsia="fr-CA"/>
        </w:rPr>
        <w:t xml:space="preserve">the interception of </w:t>
      </w:r>
      <w:r w:rsidRPr="002F6CBB">
        <w:rPr>
          <w:lang w:val="en-CA" w:eastAsia="fr-CA"/>
        </w:rPr>
        <w:t>Mr. Woodley, the</w:t>
      </w:r>
      <w:r w:rsidR="006F69AF">
        <w:rPr>
          <w:lang w:val="en-CA" w:eastAsia="fr-CA"/>
        </w:rPr>
        <w:t>ir</w:t>
      </w:r>
      <w:r w:rsidRPr="002F6CBB">
        <w:rPr>
          <w:lang w:val="en-CA" w:eastAsia="fr-CA"/>
        </w:rPr>
        <w:t xml:space="preserve"> </w:t>
      </w:r>
      <w:r w:rsidR="00045DE1">
        <w:rPr>
          <w:lang w:val="en-CA" w:eastAsia="fr-CA"/>
        </w:rPr>
        <w:t xml:space="preserve">reasons </w:t>
      </w:r>
      <w:r w:rsidRPr="002F6CBB">
        <w:rPr>
          <w:lang w:val="en-CA" w:eastAsia="fr-CA"/>
        </w:rPr>
        <w:t xml:space="preserve">for </w:t>
      </w:r>
      <w:r w:rsidR="005C0FCA">
        <w:rPr>
          <w:lang w:val="en-CA" w:eastAsia="fr-CA"/>
        </w:rPr>
        <w:t xml:space="preserve">intercepting </w:t>
      </w:r>
      <w:r w:rsidR="006F69AF">
        <w:rPr>
          <w:lang w:val="en-CA" w:eastAsia="fr-CA"/>
        </w:rPr>
        <w:t>him</w:t>
      </w:r>
      <w:r w:rsidRPr="002F6CBB">
        <w:rPr>
          <w:lang w:val="en-CA" w:eastAsia="fr-CA"/>
        </w:rPr>
        <w:t xml:space="preserve">, and the </w:t>
      </w:r>
      <w:r w:rsidR="006F69AF">
        <w:rPr>
          <w:lang w:val="en-CA" w:eastAsia="fr-CA"/>
        </w:rPr>
        <w:t>consistency between</w:t>
      </w:r>
      <w:r w:rsidRPr="002F6CBB">
        <w:rPr>
          <w:lang w:val="en-CA" w:eastAsia="fr-CA"/>
        </w:rPr>
        <w:t xml:space="preserve"> these reasons and their act</w:t>
      </w:r>
      <w:r w:rsidR="006F69AF">
        <w:rPr>
          <w:lang w:val="en-CA" w:eastAsia="fr-CA"/>
        </w:rPr>
        <w:t>ion</w:t>
      </w:r>
      <w:r w:rsidRPr="002F6CBB">
        <w:rPr>
          <w:lang w:val="en-CA" w:eastAsia="fr-CA"/>
        </w:rPr>
        <w:t xml:space="preserve">s are </w:t>
      </w:r>
      <w:r w:rsidR="006F69AF">
        <w:rPr>
          <w:lang w:val="en-CA" w:eastAsia="fr-CA"/>
        </w:rPr>
        <w:t xml:space="preserve">also </w:t>
      </w:r>
      <w:r w:rsidRPr="002F6CBB">
        <w:rPr>
          <w:lang w:val="en-CA" w:eastAsia="fr-CA"/>
        </w:rPr>
        <w:t xml:space="preserve">evidence that may allow the Tribunal to assess whether race or colour, </w:t>
      </w:r>
      <w:r w:rsidR="006F69AF">
        <w:rPr>
          <w:lang w:val="en-CA" w:eastAsia="fr-CA"/>
        </w:rPr>
        <w:t xml:space="preserve">combined </w:t>
      </w:r>
      <w:r w:rsidRPr="002F6CBB">
        <w:rPr>
          <w:lang w:val="en-CA" w:eastAsia="fr-CA"/>
        </w:rPr>
        <w:t xml:space="preserve">with sex, was likely a factor in the decision to </w:t>
      </w:r>
      <w:r w:rsidR="00405432">
        <w:rPr>
          <w:lang w:val="en-CA" w:eastAsia="fr-CA"/>
        </w:rPr>
        <w:t>intercept</w:t>
      </w:r>
      <w:r w:rsidR="006F69AF">
        <w:rPr>
          <w:lang w:val="en-CA" w:eastAsia="fr-CA"/>
        </w:rPr>
        <w:t xml:space="preserve"> him</w:t>
      </w:r>
      <w:r w:rsidRPr="002F6CBB">
        <w:rPr>
          <w:lang w:val="en-CA" w:eastAsia="fr-CA"/>
        </w:rPr>
        <w:t xml:space="preserve">, as well as in the decisions, facts, and actions that followed the </w:t>
      </w:r>
      <w:r w:rsidR="00E809C4">
        <w:rPr>
          <w:lang w:val="en-CA" w:eastAsia="fr-CA"/>
        </w:rPr>
        <w:t>interception</w:t>
      </w:r>
      <w:r w:rsidRPr="002F6CBB">
        <w:rPr>
          <w:lang w:val="en-CA" w:eastAsia="fr-CA"/>
        </w:rPr>
        <w:t>.</w:t>
      </w:r>
      <w:r w:rsidR="00BC67BE" w:rsidRPr="002F6CBB">
        <w:rPr>
          <w:lang w:val="en-CA" w:eastAsia="fr-CA"/>
        </w:rPr>
        <w:t xml:space="preserve"> </w:t>
      </w:r>
      <w:r w:rsidRPr="002F6CBB">
        <w:rPr>
          <w:lang w:val="en-CA" w:eastAsia="fr-CA"/>
        </w:rPr>
        <w:t xml:space="preserve">In this context, implausible or contradictory explanations may be </w:t>
      </w:r>
      <w:r w:rsidR="00E308A2">
        <w:rPr>
          <w:lang w:val="en-CA" w:eastAsia="fr-CA"/>
        </w:rPr>
        <w:t xml:space="preserve">highly </w:t>
      </w:r>
      <w:r w:rsidRPr="002F6CBB">
        <w:rPr>
          <w:lang w:val="en-CA" w:eastAsia="fr-CA"/>
        </w:rPr>
        <w:t>significan</w:t>
      </w:r>
      <w:r w:rsidR="00E308A2">
        <w:rPr>
          <w:lang w:val="en-CA" w:eastAsia="fr-CA"/>
        </w:rPr>
        <w:t>t</w:t>
      </w:r>
      <w:r w:rsidRPr="002F6CBB">
        <w:rPr>
          <w:lang w:val="en-CA" w:eastAsia="fr-CA"/>
        </w:rPr>
        <w:t>.</w:t>
      </w:r>
      <w:bookmarkStart w:id="26" w:name="_Ref161832790"/>
      <w:r w:rsidRPr="002F6CBB">
        <w:rPr>
          <w:vertAlign w:val="superscript"/>
          <w:lang w:val="en-CA" w:eastAsia="fr-CA"/>
        </w:rPr>
        <w:footnoteReference w:id="44"/>
      </w:r>
      <w:bookmarkEnd w:id="26"/>
    </w:p>
    <w:p w14:paraId="5DB67242" w14:textId="52F479D5" w:rsidR="00810CE6" w:rsidRPr="002F6CBB" w:rsidRDefault="00F922E4" w:rsidP="00185A28">
      <w:pPr>
        <w:pStyle w:val="Paragraphe"/>
        <w:rPr>
          <w:lang w:val="en-CA" w:eastAsia="fr-CA"/>
        </w:rPr>
      </w:pPr>
      <w:r w:rsidRPr="002F6CBB">
        <w:rPr>
          <w:lang w:val="en-CA" w:eastAsia="fr-CA"/>
        </w:rPr>
        <w:t xml:space="preserve">It should </w:t>
      </w:r>
      <w:r w:rsidR="00E308A2">
        <w:rPr>
          <w:lang w:val="en-CA" w:eastAsia="fr-CA"/>
        </w:rPr>
        <w:t>also</w:t>
      </w:r>
      <w:r w:rsidRPr="002F6CBB">
        <w:rPr>
          <w:lang w:val="en-CA" w:eastAsia="fr-CA"/>
        </w:rPr>
        <w:t xml:space="preserve"> be recalled that “the </w:t>
      </w:r>
      <w:r w:rsidR="00E308A2">
        <w:rPr>
          <w:lang w:val="en-CA" w:eastAsia="fr-CA"/>
        </w:rPr>
        <w:t>c</w:t>
      </w:r>
      <w:r w:rsidRPr="002F6CBB">
        <w:rPr>
          <w:lang w:val="en-CA" w:eastAsia="fr-CA"/>
        </w:rPr>
        <w:t>ourt may believe a witness’s testimony in whole, in part, or not at all”.</w:t>
      </w:r>
      <w:r w:rsidRPr="002F6CBB">
        <w:rPr>
          <w:rStyle w:val="Appelnotedebasdep"/>
          <w:lang w:val="en-CA" w:eastAsia="fr-CA"/>
        </w:rPr>
        <w:footnoteReference w:id="45"/>
      </w:r>
    </w:p>
    <w:p w14:paraId="3B4A244B" w14:textId="43972F84" w:rsidR="00810CE6" w:rsidRPr="002F6CBB" w:rsidRDefault="00F922E4" w:rsidP="00185A28">
      <w:pPr>
        <w:pStyle w:val="Paragraphe"/>
        <w:rPr>
          <w:lang w:val="en-CA"/>
        </w:rPr>
      </w:pPr>
      <w:r w:rsidRPr="002F6CBB">
        <w:rPr>
          <w:lang w:val="en-CA"/>
        </w:rPr>
        <w:t xml:space="preserve">To answer the question of whether the police intervention </w:t>
      </w:r>
      <w:r w:rsidR="00E308A2">
        <w:rPr>
          <w:lang w:val="en-CA"/>
        </w:rPr>
        <w:t xml:space="preserve">involving </w:t>
      </w:r>
      <w:r w:rsidRPr="002F6CBB">
        <w:rPr>
          <w:lang w:val="en-CA"/>
        </w:rPr>
        <w:t>Jonathan Woodley</w:t>
      </w:r>
      <w:r w:rsidR="00045DE1">
        <w:rPr>
          <w:lang w:val="en-CA"/>
        </w:rPr>
        <w:t>,</w:t>
      </w:r>
      <w:r w:rsidRPr="002F6CBB">
        <w:rPr>
          <w:lang w:val="en-CA"/>
        </w:rPr>
        <w:t xml:space="preserve"> while he was driving his </w:t>
      </w:r>
      <w:r w:rsidR="00E308A2">
        <w:rPr>
          <w:lang w:val="en-CA"/>
        </w:rPr>
        <w:t>wife</w:t>
      </w:r>
      <w:r w:rsidRPr="002F6CBB">
        <w:rPr>
          <w:lang w:val="en-CA"/>
        </w:rPr>
        <w:t>’s car on the morning of September 19, 2018, was racial profiling</w:t>
      </w:r>
      <w:r w:rsidR="0091420C">
        <w:rPr>
          <w:lang w:val="en-CA"/>
        </w:rPr>
        <w:t xml:space="preserve"> at first sight</w:t>
      </w:r>
      <w:r w:rsidRPr="002F6CBB">
        <w:rPr>
          <w:lang w:val="en-CA"/>
        </w:rPr>
        <w:t xml:space="preserve">, three elements must be verified using the analytical </w:t>
      </w:r>
      <w:r w:rsidR="00045DE1">
        <w:rPr>
          <w:lang w:val="en-CA"/>
        </w:rPr>
        <w:t>framework</w:t>
      </w:r>
      <w:r w:rsidRPr="002F6CBB">
        <w:rPr>
          <w:lang w:val="en-CA"/>
        </w:rPr>
        <w:t xml:space="preserve"> applicable to discrimination </w:t>
      </w:r>
      <w:r w:rsidR="00E308A2">
        <w:rPr>
          <w:lang w:val="en-CA"/>
        </w:rPr>
        <w:t xml:space="preserve">under </w:t>
      </w:r>
      <w:r w:rsidRPr="002F6CBB">
        <w:rPr>
          <w:lang w:val="en-CA"/>
        </w:rPr>
        <w:t xml:space="preserve">section 10 of the </w:t>
      </w:r>
      <w:r w:rsidRPr="002F6CBB">
        <w:rPr>
          <w:i/>
          <w:lang w:val="en-CA"/>
        </w:rPr>
        <w:t>Charter</w:t>
      </w:r>
      <w:r w:rsidRPr="002F6CBB">
        <w:rPr>
          <w:lang w:val="en-CA"/>
        </w:rPr>
        <w:t>.</w:t>
      </w:r>
      <w:r w:rsidRPr="002F6CBB">
        <w:rPr>
          <w:rStyle w:val="Appelnotedebasdep"/>
          <w:iCs/>
          <w:lang w:val="en-CA"/>
        </w:rPr>
        <w:footnoteReference w:id="46"/>
      </w:r>
      <w:r w:rsidR="00BC67BE" w:rsidRPr="002F6CBB">
        <w:rPr>
          <w:lang w:val="en-CA"/>
        </w:rPr>
        <w:t xml:space="preserve"> </w:t>
      </w:r>
      <w:r w:rsidRPr="002F6CBB">
        <w:rPr>
          <w:lang w:val="en-CA"/>
        </w:rPr>
        <w:t>Has the CDPDJ proved</w:t>
      </w:r>
      <w:r w:rsidR="00E308A2">
        <w:rPr>
          <w:lang w:val="en-CA"/>
        </w:rPr>
        <w:t xml:space="preserve"> that</w:t>
      </w:r>
      <w:r w:rsidRPr="002F6CBB">
        <w:rPr>
          <w:lang w:val="en-CA"/>
        </w:rPr>
        <w:t xml:space="preserve"> </w:t>
      </w:r>
      <w:r w:rsidR="00BA58A4" w:rsidRPr="002F6CBB">
        <w:rPr>
          <w:lang w:val="en-CA"/>
        </w:rPr>
        <w:t>(</w:t>
      </w:r>
      <w:r w:rsidRPr="002F6CBB">
        <w:rPr>
          <w:lang w:val="en-CA"/>
        </w:rPr>
        <w:t xml:space="preserve">1) the complainant was treated differently from other citizens, </w:t>
      </w:r>
      <w:r w:rsidR="00BA58A4" w:rsidRPr="002F6CBB">
        <w:rPr>
          <w:lang w:val="en-CA"/>
        </w:rPr>
        <w:t>(</w:t>
      </w:r>
      <w:r w:rsidRPr="002F6CBB">
        <w:rPr>
          <w:lang w:val="en-CA"/>
        </w:rPr>
        <w:t>2) this different</w:t>
      </w:r>
      <w:r w:rsidR="00E308A2">
        <w:rPr>
          <w:lang w:val="en-CA"/>
        </w:rPr>
        <w:t>ial</w:t>
      </w:r>
      <w:r w:rsidRPr="002F6CBB">
        <w:rPr>
          <w:lang w:val="en-CA"/>
        </w:rPr>
        <w:t xml:space="preserve"> treatment was </w:t>
      </w:r>
      <w:r w:rsidR="00E308A2">
        <w:rPr>
          <w:lang w:val="en-CA"/>
        </w:rPr>
        <w:t xml:space="preserve">connected </w:t>
      </w:r>
      <w:r w:rsidRPr="002F6CBB">
        <w:rPr>
          <w:lang w:val="en-CA"/>
        </w:rPr>
        <w:t xml:space="preserve">to his race or colour </w:t>
      </w:r>
      <w:r w:rsidR="00E308A2">
        <w:rPr>
          <w:lang w:val="en-CA"/>
        </w:rPr>
        <w:t xml:space="preserve">combined with </w:t>
      </w:r>
      <w:r w:rsidRPr="002F6CBB">
        <w:rPr>
          <w:lang w:val="en-CA"/>
        </w:rPr>
        <w:t xml:space="preserve">his sex, that is, the fact that </w:t>
      </w:r>
      <w:r w:rsidRPr="002F6CBB">
        <w:rPr>
          <w:lang w:val="en-CA"/>
        </w:rPr>
        <w:lastRenderedPageBreak/>
        <w:t xml:space="preserve">he is a </w:t>
      </w:r>
      <w:r w:rsidR="00C14519">
        <w:rPr>
          <w:lang w:val="en-CA"/>
        </w:rPr>
        <w:t>Black</w:t>
      </w:r>
      <w:r w:rsidRPr="002F6CBB">
        <w:rPr>
          <w:lang w:val="en-CA"/>
        </w:rPr>
        <w:t xml:space="preserve"> man</w:t>
      </w:r>
      <w:r w:rsidR="00180C49">
        <w:rPr>
          <w:lang w:val="en-CA"/>
        </w:rPr>
        <w:t>,</w:t>
      </w:r>
      <w:r w:rsidRPr="002F6CBB">
        <w:rPr>
          <w:lang w:val="en-CA"/>
        </w:rPr>
        <w:t xml:space="preserve"> and </w:t>
      </w:r>
      <w:r w:rsidR="00BA58A4" w:rsidRPr="002F6CBB">
        <w:rPr>
          <w:lang w:val="en-CA"/>
        </w:rPr>
        <w:t>(</w:t>
      </w:r>
      <w:r w:rsidRPr="002F6CBB">
        <w:rPr>
          <w:lang w:val="en-CA"/>
        </w:rPr>
        <w:t>3) this di</w:t>
      </w:r>
      <w:r w:rsidR="00E06675">
        <w:rPr>
          <w:lang w:val="en-CA"/>
        </w:rPr>
        <w:t>fferential</w:t>
      </w:r>
      <w:r w:rsidRPr="002F6CBB">
        <w:rPr>
          <w:lang w:val="en-CA"/>
        </w:rPr>
        <w:t xml:space="preserve"> treatment </w:t>
      </w:r>
      <w:r w:rsidR="00E308A2">
        <w:rPr>
          <w:lang w:val="en-CA"/>
        </w:rPr>
        <w:t>had the effect of impairing or nullifying</w:t>
      </w:r>
      <w:r w:rsidRPr="002F6CBB">
        <w:rPr>
          <w:lang w:val="en-CA"/>
        </w:rPr>
        <w:t xml:space="preserve"> his right to the recognition or exercise of a right or freedom guaranteed by the </w:t>
      </w:r>
      <w:r w:rsidRPr="002F6CBB">
        <w:rPr>
          <w:i/>
          <w:lang w:val="en-CA"/>
        </w:rPr>
        <w:t>Charter</w:t>
      </w:r>
      <w:r w:rsidRPr="002F6CBB">
        <w:rPr>
          <w:lang w:val="en-CA"/>
        </w:rPr>
        <w:t>?</w:t>
      </w:r>
    </w:p>
    <w:p w14:paraId="265F34AE" w14:textId="67948AD8" w:rsidR="00810CE6" w:rsidRPr="002F6CBB" w:rsidRDefault="00F922E4" w:rsidP="00472A9A">
      <w:pPr>
        <w:pStyle w:val="Titre3"/>
        <w:rPr>
          <w:lang w:val="en-CA"/>
        </w:rPr>
      </w:pPr>
      <w:bookmarkStart w:id="27" w:name="_Toc183702206"/>
      <w:r w:rsidRPr="002F6CBB">
        <w:rPr>
          <w:lang w:val="en-CA"/>
        </w:rPr>
        <w:t>Differential treatment</w:t>
      </w:r>
      <w:bookmarkEnd w:id="27"/>
    </w:p>
    <w:p w14:paraId="2D74AC1D" w14:textId="4F3E6C5E" w:rsidR="00810CE6" w:rsidRPr="002F6CBB" w:rsidRDefault="00F922E4" w:rsidP="00185A28">
      <w:pPr>
        <w:pStyle w:val="Paragraphe"/>
        <w:rPr>
          <w:lang w:val="en-CA"/>
        </w:rPr>
      </w:pPr>
      <w:r w:rsidRPr="002F6CBB">
        <w:rPr>
          <w:lang w:val="en-CA"/>
        </w:rPr>
        <w:t xml:space="preserve">The CDPDJ </w:t>
      </w:r>
      <w:r w:rsidR="00B55B7D">
        <w:rPr>
          <w:lang w:val="en-CA"/>
        </w:rPr>
        <w:t>submits</w:t>
      </w:r>
      <w:r w:rsidR="00B55B7D" w:rsidRPr="002F6CBB">
        <w:rPr>
          <w:lang w:val="en-CA"/>
        </w:rPr>
        <w:t xml:space="preserve"> </w:t>
      </w:r>
      <w:r w:rsidRPr="002F6CBB">
        <w:rPr>
          <w:lang w:val="en-CA"/>
        </w:rPr>
        <w:t xml:space="preserve">that the following actions by Officers </w:t>
      </w:r>
      <w:proofErr w:type="spellStart"/>
      <w:r w:rsidRPr="002F6CBB">
        <w:rPr>
          <w:lang w:val="en-CA"/>
        </w:rPr>
        <w:t>Beaulac</w:t>
      </w:r>
      <w:proofErr w:type="spellEnd"/>
      <w:r w:rsidRPr="002F6CBB">
        <w:rPr>
          <w:lang w:val="en-CA"/>
        </w:rPr>
        <w:t xml:space="preserve"> and Lamothe constitute </w:t>
      </w:r>
      <w:r w:rsidR="006141DB">
        <w:rPr>
          <w:lang w:val="en-CA"/>
        </w:rPr>
        <w:t>a</w:t>
      </w:r>
      <w:r w:rsidR="0037532C">
        <w:rPr>
          <w:lang w:val="en-CA"/>
        </w:rPr>
        <w:t xml:space="preserve"> </w:t>
      </w:r>
      <w:r w:rsidRPr="002F6CBB">
        <w:rPr>
          <w:lang w:val="en-CA"/>
        </w:rPr>
        <w:t>differential treatment of Mr. Woodley:</w:t>
      </w:r>
    </w:p>
    <w:p w14:paraId="6FFB9126" w14:textId="371050A8"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 xml:space="preserve">heightened surveillance </w:t>
      </w:r>
      <w:r w:rsidR="00E06675">
        <w:rPr>
          <w:sz w:val="24"/>
          <w:szCs w:val="24"/>
          <w:lang w:val="en-CA"/>
        </w:rPr>
        <w:t xml:space="preserve">in the form of running the </w:t>
      </w:r>
      <w:r w:rsidRPr="002F6CBB">
        <w:rPr>
          <w:sz w:val="24"/>
          <w:szCs w:val="24"/>
          <w:lang w:val="en-CA"/>
        </w:rPr>
        <w:t xml:space="preserve">licence plate </w:t>
      </w:r>
      <w:r w:rsidR="00E06675">
        <w:rPr>
          <w:sz w:val="24"/>
          <w:szCs w:val="24"/>
          <w:lang w:val="en-CA"/>
        </w:rPr>
        <w:t>of</w:t>
      </w:r>
      <w:r w:rsidRPr="002F6CBB">
        <w:rPr>
          <w:sz w:val="24"/>
          <w:szCs w:val="24"/>
          <w:lang w:val="en-CA"/>
        </w:rPr>
        <w:t xml:space="preserve"> the car he was driving</w:t>
      </w:r>
      <w:r w:rsidR="00B55B7D">
        <w:rPr>
          <w:sz w:val="24"/>
          <w:szCs w:val="24"/>
          <w:lang w:val="en-CA"/>
        </w:rPr>
        <w:t xml:space="preserve"> followed by a change of direction by</w:t>
      </w:r>
      <w:r w:rsidRPr="002F6CBB">
        <w:rPr>
          <w:sz w:val="24"/>
          <w:szCs w:val="24"/>
          <w:lang w:val="en-CA"/>
        </w:rPr>
        <w:t xml:space="preserve"> the police;</w:t>
      </w:r>
    </w:p>
    <w:p w14:paraId="20FC5CFC" w14:textId="55A6BD11" w:rsidR="00810CE6" w:rsidRPr="002F6CBB" w:rsidRDefault="00B55B7D" w:rsidP="00F13BD4">
      <w:pPr>
        <w:pStyle w:val="Citationenretrait"/>
        <w:numPr>
          <w:ilvl w:val="0"/>
          <w:numId w:val="5"/>
        </w:numPr>
        <w:tabs>
          <w:tab w:val="left" w:pos="851"/>
        </w:tabs>
        <w:ind w:left="851" w:hanging="284"/>
        <w:rPr>
          <w:sz w:val="24"/>
          <w:szCs w:val="24"/>
          <w:lang w:val="en-CA"/>
        </w:rPr>
      </w:pPr>
      <w:r>
        <w:rPr>
          <w:sz w:val="24"/>
          <w:szCs w:val="24"/>
          <w:lang w:val="en-CA"/>
        </w:rPr>
        <w:t xml:space="preserve">the interception of </w:t>
      </w:r>
      <w:r w:rsidR="00F922E4" w:rsidRPr="002F6CBB">
        <w:rPr>
          <w:sz w:val="24"/>
          <w:szCs w:val="24"/>
          <w:lang w:val="en-CA"/>
        </w:rPr>
        <w:t>Mr. Woodley</w:t>
      </w:r>
      <w:r w:rsidR="00DC3E6C">
        <w:rPr>
          <w:sz w:val="24"/>
          <w:szCs w:val="24"/>
          <w:lang w:val="en-CA"/>
        </w:rPr>
        <w:t xml:space="preserve">’s </w:t>
      </w:r>
      <w:r w:rsidR="00F922E4" w:rsidRPr="002F6CBB">
        <w:rPr>
          <w:sz w:val="24"/>
          <w:szCs w:val="24"/>
          <w:lang w:val="en-CA"/>
        </w:rPr>
        <w:t xml:space="preserve">even though he </w:t>
      </w:r>
      <w:r w:rsidR="00E06675">
        <w:rPr>
          <w:sz w:val="24"/>
          <w:szCs w:val="24"/>
          <w:lang w:val="en-CA"/>
        </w:rPr>
        <w:t xml:space="preserve">had </w:t>
      </w:r>
      <w:r w:rsidR="00F922E4" w:rsidRPr="002F6CBB">
        <w:rPr>
          <w:sz w:val="24"/>
          <w:szCs w:val="24"/>
          <w:lang w:val="en-CA"/>
        </w:rPr>
        <w:t>committed no offence;</w:t>
      </w:r>
    </w:p>
    <w:p w14:paraId="0C8804E5" w14:textId="092A21C5"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the complainant’s arbitrary detention, including a visual search of the in</w:t>
      </w:r>
      <w:r w:rsidR="00E06675">
        <w:rPr>
          <w:sz w:val="24"/>
          <w:szCs w:val="24"/>
          <w:lang w:val="en-CA"/>
        </w:rPr>
        <w:t>terior</w:t>
      </w:r>
      <w:r w:rsidRPr="002F6CBB">
        <w:rPr>
          <w:sz w:val="24"/>
          <w:szCs w:val="24"/>
          <w:lang w:val="en-CA"/>
        </w:rPr>
        <w:t xml:space="preserve"> of the </w:t>
      </w:r>
      <w:r w:rsidR="00E06675">
        <w:rPr>
          <w:sz w:val="24"/>
          <w:szCs w:val="24"/>
          <w:lang w:val="en-CA"/>
        </w:rPr>
        <w:t xml:space="preserve">vehicle </w:t>
      </w:r>
      <w:r w:rsidRPr="002F6CBB">
        <w:rPr>
          <w:sz w:val="24"/>
          <w:szCs w:val="24"/>
          <w:lang w:val="en-CA"/>
        </w:rPr>
        <w:t>he was driving;</w:t>
      </w:r>
    </w:p>
    <w:p w14:paraId="59307465" w14:textId="3FB01426"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 xml:space="preserve">Officer </w:t>
      </w:r>
      <w:proofErr w:type="spellStart"/>
      <w:r w:rsidRPr="002F6CBB">
        <w:rPr>
          <w:sz w:val="24"/>
          <w:szCs w:val="24"/>
          <w:lang w:val="en-CA"/>
        </w:rPr>
        <w:t>Beaulac</w:t>
      </w:r>
      <w:r w:rsidR="00E06675">
        <w:rPr>
          <w:sz w:val="24"/>
          <w:szCs w:val="24"/>
          <w:lang w:val="en-CA"/>
        </w:rPr>
        <w:t>’s</w:t>
      </w:r>
      <w:proofErr w:type="spellEnd"/>
      <w:r w:rsidR="00E06675">
        <w:rPr>
          <w:sz w:val="24"/>
          <w:szCs w:val="24"/>
          <w:lang w:val="en-CA"/>
        </w:rPr>
        <w:t xml:space="preserve"> refusal</w:t>
      </w:r>
      <w:r w:rsidRPr="002F6CBB">
        <w:rPr>
          <w:sz w:val="24"/>
          <w:szCs w:val="24"/>
          <w:lang w:val="en-CA"/>
        </w:rPr>
        <w:t xml:space="preserve"> to provide her badge number or reply to his request to speak with a supervisor;</w:t>
      </w:r>
    </w:p>
    <w:p w14:paraId="32EE312A" w14:textId="1E623BC7"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the call for backup;</w:t>
      </w:r>
    </w:p>
    <w:p w14:paraId="76E0F65D" w14:textId="399C0448"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 xml:space="preserve">increased control of Mr. Woodley </w:t>
      </w:r>
      <w:r w:rsidR="00E06675">
        <w:rPr>
          <w:sz w:val="24"/>
          <w:szCs w:val="24"/>
          <w:lang w:val="en-CA"/>
        </w:rPr>
        <w:t xml:space="preserve">by diagonally parking </w:t>
      </w:r>
      <w:r w:rsidRPr="002F6CBB">
        <w:rPr>
          <w:sz w:val="24"/>
          <w:szCs w:val="24"/>
          <w:lang w:val="en-CA"/>
        </w:rPr>
        <w:t xml:space="preserve">a patrol car </w:t>
      </w:r>
      <w:r w:rsidR="00E06675">
        <w:rPr>
          <w:sz w:val="24"/>
          <w:szCs w:val="24"/>
          <w:lang w:val="en-CA"/>
        </w:rPr>
        <w:t xml:space="preserve">that had arrived as backup </w:t>
      </w:r>
      <w:r w:rsidRPr="002F6CBB">
        <w:rPr>
          <w:sz w:val="24"/>
          <w:szCs w:val="24"/>
          <w:lang w:val="en-CA"/>
        </w:rPr>
        <w:t xml:space="preserve">in front of him and </w:t>
      </w:r>
      <w:r w:rsidR="00E06675">
        <w:rPr>
          <w:sz w:val="24"/>
          <w:szCs w:val="24"/>
          <w:lang w:val="en-CA"/>
        </w:rPr>
        <w:t xml:space="preserve">by </w:t>
      </w:r>
      <w:r w:rsidRPr="002F6CBB">
        <w:rPr>
          <w:sz w:val="24"/>
          <w:szCs w:val="24"/>
          <w:lang w:val="en-CA"/>
        </w:rPr>
        <w:t>open</w:t>
      </w:r>
      <w:r w:rsidR="00E06675">
        <w:rPr>
          <w:sz w:val="24"/>
          <w:szCs w:val="24"/>
          <w:lang w:val="en-CA"/>
        </w:rPr>
        <w:t>ing</w:t>
      </w:r>
      <w:r w:rsidRPr="002F6CBB">
        <w:rPr>
          <w:sz w:val="24"/>
          <w:szCs w:val="24"/>
          <w:lang w:val="en-CA"/>
        </w:rPr>
        <w:t xml:space="preserve"> </w:t>
      </w:r>
      <w:r w:rsidR="00E06675">
        <w:rPr>
          <w:sz w:val="24"/>
          <w:szCs w:val="24"/>
          <w:lang w:val="en-CA"/>
        </w:rPr>
        <w:t>his</w:t>
      </w:r>
      <w:r w:rsidRPr="002F6CBB">
        <w:rPr>
          <w:sz w:val="24"/>
          <w:szCs w:val="24"/>
          <w:lang w:val="en-CA"/>
        </w:rPr>
        <w:t xml:space="preserve"> door;</w:t>
      </w:r>
    </w:p>
    <w:p w14:paraId="2F585362" w14:textId="16157201"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 xml:space="preserve">checking Mr. Woodley’s criminal record </w:t>
      </w:r>
      <w:r w:rsidR="00E06675">
        <w:rPr>
          <w:sz w:val="24"/>
          <w:szCs w:val="24"/>
          <w:lang w:val="en-CA"/>
        </w:rPr>
        <w:t xml:space="preserve">even </w:t>
      </w:r>
      <w:r w:rsidRPr="002F6CBB">
        <w:rPr>
          <w:sz w:val="24"/>
          <w:szCs w:val="24"/>
          <w:lang w:val="en-CA"/>
        </w:rPr>
        <w:t xml:space="preserve">before checking his driver’s licence; </w:t>
      </w:r>
      <w:r w:rsidR="0037532C">
        <w:rPr>
          <w:sz w:val="24"/>
          <w:szCs w:val="24"/>
          <w:lang w:val="en-CA"/>
        </w:rPr>
        <w:t>and</w:t>
      </w:r>
    </w:p>
    <w:p w14:paraId="6A83AB58" w14:textId="5CD86579" w:rsidR="00810CE6" w:rsidRPr="002F6CBB" w:rsidRDefault="00F922E4" w:rsidP="00F13BD4">
      <w:pPr>
        <w:pStyle w:val="Citationenretrait"/>
        <w:numPr>
          <w:ilvl w:val="0"/>
          <w:numId w:val="5"/>
        </w:numPr>
        <w:tabs>
          <w:tab w:val="left" w:pos="851"/>
        </w:tabs>
        <w:ind w:left="851" w:hanging="284"/>
        <w:rPr>
          <w:sz w:val="24"/>
          <w:szCs w:val="24"/>
          <w:lang w:val="en-CA"/>
        </w:rPr>
      </w:pPr>
      <w:r w:rsidRPr="002F6CBB">
        <w:rPr>
          <w:sz w:val="24"/>
          <w:szCs w:val="24"/>
          <w:lang w:val="en-CA"/>
        </w:rPr>
        <w:t>issuing statements of offence.</w:t>
      </w:r>
    </w:p>
    <w:p w14:paraId="58513984" w14:textId="7D56BF8F" w:rsidR="00810CE6" w:rsidRPr="002F6CBB" w:rsidRDefault="00F922E4" w:rsidP="00185A28">
      <w:pPr>
        <w:pStyle w:val="Paragraphe"/>
        <w:rPr>
          <w:lang w:val="en-CA"/>
        </w:rPr>
      </w:pPr>
      <w:r w:rsidRPr="002F6CBB">
        <w:rPr>
          <w:lang w:val="en-CA"/>
        </w:rPr>
        <w:t xml:space="preserve">All these factual elements were adduced in evidence by the CDPDJ and admitted by Officers </w:t>
      </w:r>
      <w:proofErr w:type="spellStart"/>
      <w:r w:rsidRPr="002F6CBB">
        <w:rPr>
          <w:lang w:val="en-CA"/>
        </w:rPr>
        <w:t>Beaulac</w:t>
      </w:r>
      <w:proofErr w:type="spellEnd"/>
      <w:r w:rsidRPr="002F6CBB">
        <w:rPr>
          <w:lang w:val="en-CA"/>
        </w:rPr>
        <w:t xml:space="preserve"> and Lamothe during their testimony before the Tribunal, except for the </w:t>
      </w:r>
      <w:r w:rsidR="00E06675">
        <w:rPr>
          <w:lang w:val="en-CA"/>
        </w:rPr>
        <w:t xml:space="preserve">call for </w:t>
      </w:r>
      <w:r w:rsidRPr="002F6CBB">
        <w:rPr>
          <w:lang w:val="en-CA"/>
        </w:rPr>
        <w:t xml:space="preserve">backup, the interpretation of which is contested. In fact, Officer Lamothe acknowledges that she radioed </w:t>
      </w:r>
      <w:r w:rsidR="00E06675">
        <w:rPr>
          <w:lang w:val="en-CA"/>
        </w:rPr>
        <w:t xml:space="preserve">in </w:t>
      </w:r>
      <w:r w:rsidR="00D849E0" w:rsidRPr="002F6CBB">
        <w:rPr>
          <w:lang w:val="en-CA"/>
        </w:rPr>
        <w:t>to s</w:t>
      </w:r>
      <w:r w:rsidR="00D849E0">
        <w:rPr>
          <w:lang w:val="en-CA"/>
        </w:rPr>
        <w:t>tate</w:t>
      </w:r>
      <w:r w:rsidR="00D849E0" w:rsidRPr="002F6CBB">
        <w:rPr>
          <w:lang w:val="en-CA"/>
        </w:rPr>
        <w:t xml:space="preserve"> </w:t>
      </w:r>
      <w:r w:rsidRPr="002F6CBB">
        <w:rPr>
          <w:lang w:val="en-CA"/>
        </w:rPr>
        <w:t xml:space="preserve">her position </w:t>
      </w:r>
      <w:r w:rsidR="0033655E">
        <w:rPr>
          <w:lang w:val="en-CA"/>
        </w:rPr>
        <w:t xml:space="preserve">and to indicate </w:t>
      </w:r>
      <w:r w:rsidRPr="002F6CBB">
        <w:rPr>
          <w:lang w:val="en-CA"/>
        </w:rPr>
        <w:t xml:space="preserve">that they had </w:t>
      </w:r>
      <w:r w:rsidR="005C0FCA">
        <w:rPr>
          <w:lang w:val="en-CA"/>
        </w:rPr>
        <w:t xml:space="preserve">intercepted </w:t>
      </w:r>
      <w:r w:rsidRPr="002F6CBB">
        <w:rPr>
          <w:lang w:val="en-CA"/>
        </w:rPr>
        <w:t>a vehicle and that the situation was not under control.</w:t>
      </w:r>
      <w:r w:rsidR="00BC67BE" w:rsidRPr="002F6CBB">
        <w:rPr>
          <w:lang w:val="en-CA"/>
        </w:rPr>
        <w:t xml:space="preserve"> </w:t>
      </w:r>
      <w:r w:rsidR="006141DB">
        <w:rPr>
          <w:lang w:val="en-CA"/>
        </w:rPr>
        <w:t>However, s</w:t>
      </w:r>
      <w:r w:rsidRPr="002F6CBB">
        <w:rPr>
          <w:lang w:val="en-CA"/>
        </w:rPr>
        <w:t xml:space="preserve">he contests that it was a </w:t>
      </w:r>
      <w:r w:rsidR="00D849E0">
        <w:rPr>
          <w:lang w:val="en-CA"/>
        </w:rPr>
        <w:t xml:space="preserve">formal </w:t>
      </w:r>
      <w:r w:rsidRPr="002F6CBB">
        <w:rPr>
          <w:lang w:val="en-CA"/>
        </w:rPr>
        <w:t>call for backup.</w:t>
      </w:r>
    </w:p>
    <w:p w14:paraId="3F186208" w14:textId="102B6E37" w:rsidR="00810CE6" w:rsidRPr="002F6CBB" w:rsidRDefault="00F922E4" w:rsidP="00185A28">
      <w:pPr>
        <w:pStyle w:val="Paragraphe"/>
        <w:rPr>
          <w:lang w:val="en-CA"/>
        </w:rPr>
      </w:pPr>
      <w:r w:rsidRPr="002F6CBB">
        <w:rPr>
          <w:lang w:val="en-CA"/>
        </w:rPr>
        <w:t xml:space="preserve">In any event, it is clear to the Tribunal that a citizen driving his </w:t>
      </w:r>
      <w:r w:rsidR="00D849E0">
        <w:rPr>
          <w:lang w:val="en-CA"/>
        </w:rPr>
        <w:t>wife</w:t>
      </w:r>
      <w:r w:rsidRPr="002F6CBB">
        <w:rPr>
          <w:lang w:val="en-CA"/>
        </w:rPr>
        <w:t xml:space="preserve">’s car on a Wednesday morning to go shopping </w:t>
      </w:r>
      <w:r w:rsidR="0033655E">
        <w:rPr>
          <w:lang w:val="en-CA"/>
        </w:rPr>
        <w:t xml:space="preserve">and </w:t>
      </w:r>
      <w:r w:rsidRPr="002F6CBB">
        <w:rPr>
          <w:lang w:val="en-CA"/>
        </w:rPr>
        <w:t xml:space="preserve">who is </w:t>
      </w:r>
      <w:r w:rsidR="006141DB">
        <w:rPr>
          <w:lang w:val="en-CA"/>
        </w:rPr>
        <w:t>obeying</w:t>
      </w:r>
      <w:r w:rsidR="006141DB" w:rsidRPr="002F6CBB">
        <w:rPr>
          <w:lang w:val="en-CA"/>
        </w:rPr>
        <w:t xml:space="preserve"> </w:t>
      </w:r>
      <w:r w:rsidRPr="002F6CBB">
        <w:rPr>
          <w:lang w:val="en-CA"/>
        </w:rPr>
        <w:t xml:space="preserve">all the traffic laws is treated differently and unusually by the police if he is </w:t>
      </w:r>
      <w:r w:rsidR="005C0FCA">
        <w:rPr>
          <w:lang w:val="en-CA"/>
        </w:rPr>
        <w:t>being intercept</w:t>
      </w:r>
      <w:r w:rsidR="000C7005">
        <w:rPr>
          <w:lang w:val="en-CA"/>
        </w:rPr>
        <w:t>ed by the police</w:t>
      </w:r>
      <w:r w:rsidRPr="002F6CBB">
        <w:rPr>
          <w:lang w:val="en-CA"/>
        </w:rPr>
        <w:t>.</w:t>
      </w:r>
    </w:p>
    <w:p w14:paraId="2575A805" w14:textId="0CDDA12E" w:rsidR="00810CE6" w:rsidRPr="002F6CBB" w:rsidRDefault="005C0FCA" w:rsidP="00185A28">
      <w:pPr>
        <w:pStyle w:val="Paragraphe"/>
        <w:rPr>
          <w:lang w:val="en-CA"/>
        </w:rPr>
      </w:pPr>
      <w:r>
        <w:rPr>
          <w:lang w:val="en-CA"/>
        </w:rPr>
        <w:t>Regarding</w:t>
      </w:r>
      <w:r w:rsidR="00A157B1" w:rsidRPr="002F6CBB">
        <w:rPr>
          <w:lang w:val="en-CA"/>
        </w:rPr>
        <w:t xml:space="preserve"> </w:t>
      </w:r>
      <w:r w:rsidR="00672E30">
        <w:rPr>
          <w:lang w:val="en-CA"/>
        </w:rPr>
        <w:t xml:space="preserve">the interception of </w:t>
      </w:r>
      <w:r w:rsidR="00A157B1" w:rsidRPr="002F6CBB">
        <w:rPr>
          <w:lang w:val="en-CA"/>
        </w:rPr>
        <w:t xml:space="preserve">Mr. Woodley’s, the police argue that he was treated </w:t>
      </w:r>
      <w:r w:rsidR="00D849E0">
        <w:rPr>
          <w:lang w:val="en-CA"/>
        </w:rPr>
        <w:t xml:space="preserve">the same as </w:t>
      </w:r>
      <w:r w:rsidR="00A157B1" w:rsidRPr="002F6CBB">
        <w:rPr>
          <w:lang w:val="en-CA"/>
        </w:rPr>
        <w:t xml:space="preserve">every other citizen driving a car owned by someone else and whose characteristics (age, sex, or family name) do not match those of the vehicle owner, </w:t>
      </w:r>
      <w:r w:rsidR="00A157B1" w:rsidRPr="002F6CBB">
        <w:rPr>
          <w:lang w:val="en-CA"/>
        </w:rPr>
        <w:lastRenderedPageBreak/>
        <w:t xml:space="preserve">especially if the </w:t>
      </w:r>
      <w:r w:rsidR="00143BB1">
        <w:rPr>
          <w:lang w:val="en-CA"/>
        </w:rPr>
        <w:t>search</w:t>
      </w:r>
      <w:r w:rsidR="00A157B1" w:rsidRPr="002F6CBB">
        <w:rPr>
          <w:lang w:val="en-CA"/>
        </w:rPr>
        <w:t xml:space="preserve"> reveals that the driver does not live at the same address as the vehicle owner.</w:t>
      </w:r>
    </w:p>
    <w:p w14:paraId="2DBB9CDD" w14:textId="7A00CDF2" w:rsidR="00810CE6" w:rsidRPr="002F6CBB" w:rsidRDefault="00A157B1" w:rsidP="00185A28">
      <w:pPr>
        <w:pStyle w:val="Paragraphe"/>
        <w:rPr>
          <w:lang w:val="en-CA"/>
        </w:rPr>
      </w:pPr>
      <w:r w:rsidRPr="002F6CBB">
        <w:rPr>
          <w:lang w:val="en-CA"/>
        </w:rPr>
        <w:t xml:space="preserve">The perfectly legal practice of lending your car to a friend or relative is so </w:t>
      </w:r>
      <w:r w:rsidR="00D849E0">
        <w:rPr>
          <w:lang w:val="en-CA"/>
        </w:rPr>
        <w:t>widespread</w:t>
      </w:r>
      <w:r w:rsidRPr="002F6CBB">
        <w:rPr>
          <w:lang w:val="en-CA"/>
        </w:rPr>
        <w:t xml:space="preserve"> that the Tribunal cannot conceive </w:t>
      </w:r>
      <w:r w:rsidR="00332B65">
        <w:rPr>
          <w:lang w:val="en-CA"/>
        </w:rPr>
        <w:t>that</w:t>
      </w:r>
      <w:r w:rsidR="00332B65" w:rsidRPr="002F6CBB">
        <w:rPr>
          <w:lang w:val="en-CA"/>
        </w:rPr>
        <w:t xml:space="preserve"> </w:t>
      </w:r>
      <w:r w:rsidRPr="002F6CBB">
        <w:rPr>
          <w:lang w:val="en-CA"/>
        </w:rPr>
        <w:t xml:space="preserve">the police persist in systematically </w:t>
      </w:r>
      <w:r w:rsidR="000F1485">
        <w:rPr>
          <w:lang w:val="en-CA"/>
        </w:rPr>
        <w:t xml:space="preserve">intercepting </w:t>
      </w:r>
      <w:r w:rsidRPr="002F6CBB">
        <w:rPr>
          <w:lang w:val="en-CA"/>
        </w:rPr>
        <w:t xml:space="preserve">drivers who do not live at the same address as the vehicle owner and are not the same age </w:t>
      </w:r>
      <w:r w:rsidR="007D10EE">
        <w:rPr>
          <w:lang w:val="en-CA"/>
        </w:rPr>
        <w:t xml:space="preserve">or </w:t>
      </w:r>
      <w:r w:rsidRPr="002F6CBB">
        <w:rPr>
          <w:lang w:val="en-CA"/>
        </w:rPr>
        <w:t>same sex or have the same family name.</w:t>
      </w:r>
      <w:r w:rsidR="00BC67BE" w:rsidRPr="002F6CBB">
        <w:rPr>
          <w:lang w:val="en-CA"/>
        </w:rPr>
        <w:t xml:space="preserve"> </w:t>
      </w:r>
      <w:r w:rsidRPr="002F6CBB">
        <w:rPr>
          <w:lang w:val="en-CA"/>
        </w:rPr>
        <w:t>This is as unreasonable as it is discriminatory and</w:t>
      </w:r>
      <w:r w:rsidR="00D849E0">
        <w:rPr>
          <w:lang w:val="en-CA"/>
        </w:rPr>
        <w:t>,</w:t>
      </w:r>
      <w:r w:rsidRPr="002F6CBB">
        <w:rPr>
          <w:lang w:val="en-CA"/>
        </w:rPr>
        <w:t xml:space="preserve"> </w:t>
      </w:r>
      <w:r w:rsidR="00D849E0">
        <w:rPr>
          <w:lang w:val="en-CA"/>
        </w:rPr>
        <w:t xml:space="preserve">moreover, </w:t>
      </w:r>
      <w:r w:rsidRPr="002F6CBB">
        <w:rPr>
          <w:lang w:val="en-CA"/>
        </w:rPr>
        <w:t>has been repeatedly criticized by the courts.</w:t>
      </w:r>
      <w:r w:rsidRPr="002F6CBB">
        <w:rPr>
          <w:rStyle w:val="Appelnotedebasdep"/>
          <w:lang w:val="en-CA"/>
        </w:rPr>
        <w:footnoteReference w:id="47"/>
      </w:r>
    </w:p>
    <w:p w14:paraId="117D83FC" w14:textId="52D6E7DD" w:rsidR="00810CE6" w:rsidRPr="002F6CBB" w:rsidRDefault="00A157B1" w:rsidP="00185A28">
      <w:pPr>
        <w:pStyle w:val="Paragraphe"/>
        <w:rPr>
          <w:lang w:val="en-CA"/>
        </w:rPr>
      </w:pPr>
      <w:r w:rsidRPr="002F6CBB">
        <w:rPr>
          <w:lang w:val="en-CA"/>
        </w:rPr>
        <w:t xml:space="preserve">As they themselves stated, when they randomly </w:t>
      </w:r>
      <w:r w:rsidR="006141DB">
        <w:rPr>
          <w:lang w:val="en-CA"/>
        </w:rPr>
        <w:t>run</w:t>
      </w:r>
      <w:r w:rsidR="006141DB" w:rsidRPr="002F6CBB">
        <w:rPr>
          <w:lang w:val="en-CA"/>
        </w:rPr>
        <w:t xml:space="preserve"> </w:t>
      </w:r>
      <w:r w:rsidRPr="002F6CBB">
        <w:rPr>
          <w:lang w:val="en-CA"/>
        </w:rPr>
        <w:t xml:space="preserve">licence plates, </w:t>
      </w:r>
      <w:r w:rsidR="00D849E0" w:rsidRPr="002F6CBB">
        <w:rPr>
          <w:lang w:val="en-CA"/>
        </w:rPr>
        <w:t xml:space="preserve">Officers </w:t>
      </w:r>
      <w:proofErr w:type="spellStart"/>
      <w:r w:rsidR="00D849E0" w:rsidRPr="002F6CBB">
        <w:rPr>
          <w:lang w:val="en-CA"/>
        </w:rPr>
        <w:t>Beaulac</w:t>
      </w:r>
      <w:proofErr w:type="spellEnd"/>
      <w:r w:rsidR="00D849E0" w:rsidRPr="002F6CBB">
        <w:rPr>
          <w:lang w:val="en-CA"/>
        </w:rPr>
        <w:t xml:space="preserve"> and Lamothe want to confirm </w:t>
      </w:r>
      <w:r w:rsidRPr="002F6CBB">
        <w:rPr>
          <w:lang w:val="en-CA"/>
        </w:rPr>
        <w:t xml:space="preserve">whether the car is </w:t>
      </w:r>
      <w:r w:rsidR="007D10EE">
        <w:rPr>
          <w:lang w:val="en-CA"/>
        </w:rPr>
        <w:t>authorized</w:t>
      </w:r>
      <w:r w:rsidRPr="002F6CBB">
        <w:rPr>
          <w:lang w:val="en-CA"/>
        </w:rPr>
        <w:t xml:space="preserve"> to be on the road, </w:t>
      </w:r>
      <w:r w:rsidR="00D849E0">
        <w:rPr>
          <w:lang w:val="en-CA"/>
        </w:rPr>
        <w:t>that is,</w:t>
      </w:r>
      <w:r w:rsidRPr="002F6CBB">
        <w:rPr>
          <w:lang w:val="en-CA"/>
        </w:rPr>
        <w:t xml:space="preserve"> </w:t>
      </w:r>
      <w:r w:rsidR="00D849E0">
        <w:rPr>
          <w:lang w:val="en-CA"/>
        </w:rPr>
        <w:t xml:space="preserve">if </w:t>
      </w:r>
      <w:r w:rsidRPr="002F6CBB">
        <w:rPr>
          <w:lang w:val="en-CA"/>
        </w:rPr>
        <w:t xml:space="preserve">everything </w:t>
      </w:r>
      <w:r w:rsidR="00D849E0">
        <w:rPr>
          <w:lang w:val="en-CA"/>
        </w:rPr>
        <w:t xml:space="preserve">is </w:t>
      </w:r>
      <w:r w:rsidRPr="002F6CBB">
        <w:rPr>
          <w:lang w:val="en-CA"/>
        </w:rPr>
        <w:t xml:space="preserve">in order: </w:t>
      </w:r>
      <w:r w:rsidR="00007A3C">
        <w:rPr>
          <w:lang w:val="en-CA"/>
        </w:rPr>
        <w:t xml:space="preserve">whether </w:t>
      </w:r>
      <w:r w:rsidR="00D849E0">
        <w:rPr>
          <w:lang w:val="en-CA"/>
        </w:rPr>
        <w:t xml:space="preserve">the </w:t>
      </w:r>
      <w:r w:rsidRPr="002F6CBB">
        <w:rPr>
          <w:lang w:val="en-CA"/>
        </w:rPr>
        <w:t xml:space="preserve">registration </w:t>
      </w:r>
      <w:r w:rsidR="00007A3C">
        <w:rPr>
          <w:lang w:val="en-CA"/>
        </w:rPr>
        <w:t xml:space="preserve">has </w:t>
      </w:r>
      <w:r w:rsidR="00D849E0">
        <w:rPr>
          <w:lang w:val="en-CA"/>
        </w:rPr>
        <w:t xml:space="preserve">been </w:t>
      </w:r>
      <w:r w:rsidRPr="002F6CBB">
        <w:rPr>
          <w:lang w:val="en-CA"/>
        </w:rPr>
        <w:t xml:space="preserve">paid and </w:t>
      </w:r>
      <w:r w:rsidR="00D849E0">
        <w:rPr>
          <w:lang w:val="en-CA"/>
        </w:rPr>
        <w:t xml:space="preserve">the </w:t>
      </w:r>
      <w:r w:rsidRPr="002F6CBB">
        <w:rPr>
          <w:lang w:val="en-CA"/>
        </w:rPr>
        <w:t xml:space="preserve">driver’s licence </w:t>
      </w:r>
      <w:r w:rsidR="00007A3C">
        <w:rPr>
          <w:lang w:val="en-CA"/>
        </w:rPr>
        <w:t xml:space="preserve">is </w:t>
      </w:r>
      <w:r w:rsidRPr="002F6CBB">
        <w:rPr>
          <w:lang w:val="en-CA"/>
        </w:rPr>
        <w:t>not suspended.</w:t>
      </w:r>
      <w:r w:rsidR="00BC67BE" w:rsidRPr="002F6CBB">
        <w:rPr>
          <w:lang w:val="en-CA"/>
        </w:rPr>
        <w:t xml:space="preserve"> </w:t>
      </w:r>
      <w:r w:rsidRPr="002F6CBB">
        <w:rPr>
          <w:lang w:val="en-CA"/>
        </w:rPr>
        <w:t>Any</w:t>
      </w:r>
      <w:r w:rsidR="000F1485">
        <w:rPr>
          <w:lang w:val="en-CA"/>
        </w:rPr>
        <w:t xml:space="preserve"> interception</w:t>
      </w:r>
      <w:r w:rsidRPr="002F6CBB">
        <w:rPr>
          <w:lang w:val="en-CA"/>
        </w:rPr>
        <w:t xml:space="preserve"> based on the driver’s age</w:t>
      </w:r>
      <w:r w:rsidRPr="002F6CBB">
        <w:rPr>
          <w:rStyle w:val="Appelnotedebasdep"/>
          <w:lang w:val="en-CA"/>
        </w:rPr>
        <w:footnoteReference w:id="48"/>
      </w:r>
      <w:r w:rsidRPr="002F6CBB">
        <w:rPr>
          <w:lang w:val="en-CA"/>
        </w:rPr>
        <w:t xml:space="preserve"> </w:t>
      </w:r>
      <w:r w:rsidR="006141DB">
        <w:rPr>
          <w:lang w:val="en-CA"/>
        </w:rPr>
        <w:t>or</w:t>
      </w:r>
      <w:r w:rsidR="006141DB" w:rsidRPr="002F6CBB">
        <w:rPr>
          <w:lang w:val="en-CA"/>
        </w:rPr>
        <w:t xml:space="preserve"> </w:t>
      </w:r>
      <w:r w:rsidRPr="002F6CBB">
        <w:rPr>
          <w:lang w:val="en-CA"/>
        </w:rPr>
        <w:t xml:space="preserve">sex is discriminatory under section 10 of the </w:t>
      </w:r>
      <w:r w:rsidRPr="002F6CBB">
        <w:rPr>
          <w:i/>
          <w:lang w:val="en-CA"/>
        </w:rPr>
        <w:t>Charter</w:t>
      </w:r>
      <w:r w:rsidRPr="002F6CBB">
        <w:rPr>
          <w:lang w:val="en-CA"/>
        </w:rPr>
        <w:t xml:space="preserve"> and </w:t>
      </w:r>
      <w:r w:rsidR="00007A3C">
        <w:rPr>
          <w:lang w:val="en-CA"/>
        </w:rPr>
        <w:t xml:space="preserve">thus not </w:t>
      </w:r>
      <w:r w:rsidRPr="002F6CBB">
        <w:rPr>
          <w:lang w:val="en-CA"/>
        </w:rPr>
        <w:t xml:space="preserve">a valid reason to </w:t>
      </w:r>
      <w:r w:rsidR="000F1485">
        <w:rPr>
          <w:lang w:val="en-CA"/>
        </w:rPr>
        <w:t>intercept</w:t>
      </w:r>
      <w:r w:rsidRPr="002F6CBB">
        <w:rPr>
          <w:lang w:val="en-CA"/>
        </w:rPr>
        <w:t xml:space="preserve">, </w:t>
      </w:r>
      <w:r w:rsidR="00B00231">
        <w:rPr>
          <w:lang w:val="en-CA"/>
        </w:rPr>
        <w:t xml:space="preserve">and </w:t>
      </w:r>
      <w:r w:rsidRPr="002F6CBB">
        <w:rPr>
          <w:lang w:val="en-CA"/>
        </w:rPr>
        <w:t>even less a police standard.</w:t>
      </w:r>
    </w:p>
    <w:p w14:paraId="173D08C8" w14:textId="584D1A7B" w:rsidR="00810CE6" w:rsidRPr="002F6CBB" w:rsidRDefault="00007A3C" w:rsidP="00185A28">
      <w:pPr>
        <w:pStyle w:val="Paragraphe"/>
        <w:rPr>
          <w:lang w:val="en-CA"/>
        </w:rPr>
      </w:pPr>
      <w:r>
        <w:rPr>
          <w:lang w:val="en-CA"/>
        </w:rPr>
        <w:t>Consequently</w:t>
      </w:r>
      <w:r w:rsidR="00A157B1" w:rsidRPr="002F6CBB">
        <w:rPr>
          <w:lang w:val="en-CA"/>
        </w:rPr>
        <w:t xml:space="preserve">, the Tribunal finds that Mr. Woodley was treated differently compared to </w:t>
      </w:r>
      <w:r>
        <w:rPr>
          <w:lang w:val="en-CA"/>
        </w:rPr>
        <w:t xml:space="preserve">acceptable </w:t>
      </w:r>
      <w:r w:rsidR="00A157B1" w:rsidRPr="002F6CBB">
        <w:rPr>
          <w:lang w:val="en-CA"/>
        </w:rPr>
        <w:t>usual practice</w:t>
      </w:r>
      <w:r>
        <w:rPr>
          <w:lang w:val="en-CA"/>
        </w:rPr>
        <w:t>s</w:t>
      </w:r>
      <w:r w:rsidR="00A157B1" w:rsidRPr="002F6CBB">
        <w:rPr>
          <w:lang w:val="en-CA"/>
        </w:rPr>
        <w:t xml:space="preserve"> in similar circumstances when Officers </w:t>
      </w:r>
      <w:proofErr w:type="spellStart"/>
      <w:r w:rsidR="00A157B1" w:rsidRPr="002F6CBB">
        <w:rPr>
          <w:lang w:val="en-CA"/>
        </w:rPr>
        <w:t>Beaulac</w:t>
      </w:r>
      <w:proofErr w:type="spellEnd"/>
      <w:r w:rsidR="00A157B1" w:rsidRPr="002F6CBB">
        <w:rPr>
          <w:lang w:val="en-CA"/>
        </w:rPr>
        <w:t xml:space="preserve"> and Lamothe changed direction to </w:t>
      </w:r>
      <w:r w:rsidR="000F1485">
        <w:rPr>
          <w:lang w:val="en-CA"/>
        </w:rPr>
        <w:t>intercept</w:t>
      </w:r>
      <w:r>
        <w:rPr>
          <w:lang w:val="en-CA"/>
        </w:rPr>
        <w:t xml:space="preserve"> </w:t>
      </w:r>
      <w:r w:rsidR="00A157B1" w:rsidRPr="002F6CBB">
        <w:rPr>
          <w:lang w:val="en-CA"/>
        </w:rPr>
        <w:t xml:space="preserve">him on the morning of September 19, 2018, even though he was </w:t>
      </w:r>
      <w:r>
        <w:rPr>
          <w:lang w:val="en-CA"/>
        </w:rPr>
        <w:t>obeying</w:t>
      </w:r>
      <w:r w:rsidR="00A157B1" w:rsidRPr="002F6CBB">
        <w:rPr>
          <w:lang w:val="en-CA"/>
        </w:rPr>
        <w:t xml:space="preserve"> the traffic laws </w:t>
      </w:r>
      <w:r>
        <w:rPr>
          <w:lang w:val="en-CA"/>
        </w:rPr>
        <w:t xml:space="preserve">at the wheel of </w:t>
      </w:r>
      <w:r w:rsidR="00A157B1" w:rsidRPr="002F6CBB">
        <w:rPr>
          <w:lang w:val="en-CA"/>
        </w:rPr>
        <w:t>a vehicle that, moreover, was never reported stolen.</w:t>
      </w:r>
      <w:r w:rsidR="00BC67BE" w:rsidRPr="002F6CBB">
        <w:rPr>
          <w:lang w:val="en-CA"/>
        </w:rPr>
        <w:t xml:space="preserve"> </w:t>
      </w:r>
    </w:p>
    <w:p w14:paraId="1B8696E8" w14:textId="3A7CB445" w:rsidR="00810CE6" w:rsidRPr="002F6CBB" w:rsidRDefault="00A157B1" w:rsidP="00185A28">
      <w:pPr>
        <w:pStyle w:val="Paragraphe"/>
        <w:rPr>
          <w:b/>
          <w:bCs/>
          <w:lang w:val="en-CA"/>
        </w:rPr>
      </w:pPr>
      <w:r w:rsidRPr="002F6CBB">
        <w:rPr>
          <w:lang w:val="en-CA"/>
        </w:rPr>
        <w:t>The other factual elements admitted by the police (visual search of the vehicle, failure to provide badge number, radio call telling other patrol officers that the situation was not under control, arrival of additional patrol office</w:t>
      </w:r>
      <w:r w:rsidR="00007A3C">
        <w:rPr>
          <w:lang w:val="en-CA"/>
        </w:rPr>
        <w:t>r</w:t>
      </w:r>
      <w:r w:rsidRPr="002F6CBB">
        <w:rPr>
          <w:lang w:val="en-CA"/>
        </w:rPr>
        <w:t>s blocking the complainant’s car, opening the passenger door, checking his criminal record,</w:t>
      </w:r>
      <w:r w:rsidR="003017ED">
        <w:rPr>
          <w:lang w:val="en-CA"/>
        </w:rPr>
        <w:t xml:space="preserve"> and</w:t>
      </w:r>
      <w:r w:rsidRPr="002F6CBB">
        <w:rPr>
          <w:lang w:val="en-CA"/>
        </w:rPr>
        <w:t xml:space="preserve"> issuing statements of offence unrelated to the ground for </w:t>
      </w:r>
      <w:r w:rsidR="00007A3C">
        <w:rPr>
          <w:lang w:val="en-CA"/>
        </w:rPr>
        <w:t xml:space="preserve">the </w:t>
      </w:r>
      <w:r w:rsidR="00395567">
        <w:rPr>
          <w:lang w:val="en-CA"/>
        </w:rPr>
        <w:t>interception</w:t>
      </w:r>
      <w:r w:rsidRPr="002F6CBB">
        <w:rPr>
          <w:lang w:val="en-CA"/>
        </w:rPr>
        <w:t xml:space="preserve">) are clearly differential and unusual treatment because it is neither normal nor conceivable that citizens who have committed no offence suffer this kind of </w:t>
      </w:r>
      <w:r w:rsidR="00007A3C">
        <w:rPr>
          <w:lang w:val="en-CA"/>
        </w:rPr>
        <w:t>insulting</w:t>
      </w:r>
      <w:r w:rsidRPr="002F6CBB">
        <w:rPr>
          <w:lang w:val="en-CA"/>
        </w:rPr>
        <w:t xml:space="preserve"> treatment when </w:t>
      </w:r>
      <w:r w:rsidR="000F1485">
        <w:rPr>
          <w:lang w:val="en-CA"/>
        </w:rPr>
        <w:t xml:space="preserve">intercepted </w:t>
      </w:r>
      <w:r w:rsidRPr="002F6CBB">
        <w:rPr>
          <w:lang w:val="en-CA"/>
        </w:rPr>
        <w:t>by the police for a mere routine check.</w:t>
      </w:r>
    </w:p>
    <w:p w14:paraId="1558093E" w14:textId="2553ED75" w:rsidR="009C1038" w:rsidRPr="002F6CBB" w:rsidRDefault="00A157B1" w:rsidP="00185A28">
      <w:pPr>
        <w:pStyle w:val="Paragraphe"/>
        <w:rPr>
          <w:lang w:val="en-CA"/>
        </w:rPr>
      </w:pPr>
      <w:r w:rsidRPr="002F6CBB">
        <w:rPr>
          <w:lang w:val="en-CA"/>
        </w:rPr>
        <w:t xml:space="preserve">To refute the allegations of racial profiling, the police </w:t>
      </w:r>
      <w:r w:rsidR="00007A3C">
        <w:rPr>
          <w:lang w:val="en-CA"/>
        </w:rPr>
        <w:t>affirm</w:t>
      </w:r>
      <w:r w:rsidRPr="002F6CBB">
        <w:rPr>
          <w:lang w:val="en-CA"/>
        </w:rPr>
        <w:t xml:space="preserve"> that their actions had nothing to do with the colour of Mr. Woodley’s skin but everything to do with his </w:t>
      </w:r>
      <w:r w:rsidRPr="002F6CBB">
        <w:rPr>
          <w:lang w:val="en-CA"/>
        </w:rPr>
        <w:lastRenderedPageBreak/>
        <w:t xml:space="preserve">aggressiveness </w:t>
      </w:r>
      <w:r w:rsidR="00395567">
        <w:rPr>
          <w:lang w:val="en-CA"/>
        </w:rPr>
        <w:t>during his interception.</w:t>
      </w:r>
      <w:r w:rsidR="00810CE6" w:rsidRPr="002F6CBB">
        <w:rPr>
          <w:lang w:val="en-CA"/>
        </w:rPr>
        <w:t xml:space="preserve"> </w:t>
      </w:r>
      <w:r w:rsidRPr="002F6CBB">
        <w:rPr>
          <w:lang w:val="en-CA"/>
        </w:rPr>
        <w:t xml:space="preserve">The evidence instead </w:t>
      </w:r>
      <w:r w:rsidR="00007A3C">
        <w:rPr>
          <w:lang w:val="en-CA"/>
        </w:rPr>
        <w:t xml:space="preserve">shows </w:t>
      </w:r>
      <w:r w:rsidRPr="002F6CBB">
        <w:rPr>
          <w:lang w:val="en-CA"/>
        </w:rPr>
        <w:t xml:space="preserve">that he </w:t>
      </w:r>
      <w:r w:rsidR="00007A3C">
        <w:rPr>
          <w:lang w:val="en-CA"/>
        </w:rPr>
        <w:t xml:space="preserve">was </w:t>
      </w:r>
      <w:r w:rsidRPr="002F6CBB">
        <w:rPr>
          <w:lang w:val="en-CA"/>
        </w:rPr>
        <w:t>vigorously protest</w:t>
      </w:r>
      <w:r w:rsidR="00007A3C">
        <w:rPr>
          <w:lang w:val="en-CA"/>
        </w:rPr>
        <w:t>ing</w:t>
      </w:r>
      <w:r w:rsidRPr="002F6CBB">
        <w:rPr>
          <w:lang w:val="en-CA"/>
        </w:rPr>
        <w:t xml:space="preserve"> because he disagreed with </w:t>
      </w:r>
      <w:r w:rsidR="00007A3C">
        <w:rPr>
          <w:lang w:val="en-CA"/>
        </w:rPr>
        <w:t>being</w:t>
      </w:r>
      <w:r w:rsidR="002C18A6">
        <w:rPr>
          <w:lang w:val="en-CA"/>
        </w:rPr>
        <w:t xml:space="preserve"> intercept</w:t>
      </w:r>
      <w:r w:rsidR="007765F1">
        <w:rPr>
          <w:lang w:val="en-CA"/>
        </w:rPr>
        <w:t>ed</w:t>
      </w:r>
      <w:r w:rsidRPr="002F6CBB">
        <w:rPr>
          <w:lang w:val="en-CA"/>
        </w:rPr>
        <w:t>.</w:t>
      </w:r>
      <w:r w:rsidR="00810CE6" w:rsidRPr="002F6CBB">
        <w:rPr>
          <w:lang w:val="en-CA"/>
        </w:rPr>
        <w:t xml:space="preserve"> </w:t>
      </w:r>
      <w:r w:rsidRPr="002F6CBB">
        <w:rPr>
          <w:lang w:val="en-CA"/>
        </w:rPr>
        <w:t>In general, ordinary citizens do not and should not be issued statements of offence because they bec</w:t>
      </w:r>
      <w:r w:rsidR="00007A3C">
        <w:rPr>
          <w:lang w:val="en-CA"/>
        </w:rPr>
        <w:t>a</w:t>
      </w:r>
      <w:r w:rsidRPr="002F6CBB">
        <w:rPr>
          <w:lang w:val="en-CA"/>
        </w:rPr>
        <w:t xml:space="preserve">me angry and perhaps </w:t>
      </w:r>
      <w:r w:rsidR="00395567">
        <w:rPr>
          <w:lang w:val="en-CA"/>
        </w:rPr>
        <w:t>said bad words to</w:t>
      </w:r>
      <w:r w:rsidR="00395567" w:rsidRPr="002F6CBB">
        <w:rPr>
          <w:lang w:val="en-CA"/>
        </w:rPr>
        <w:t xml:space="preserve"> </w:t>
      </w:r>
      <w:r w:rsidRPr="002F6CBB">
        <w:rPr>
          <w:lang w:val="en-CA"/>
        </w:rPr>
        <w:t xml:space="preserve">the officers who </w:t>
      </w:r>
      <w:r w:rsidR="00007A3C">
        <w:rPr>
          <w:lang w:val="en-CA"/>
        </w:rPr>
        <w:t>issued</w:t>
      </w:r>
      <w:r w:rsidRPr="002F6CBB">
        <w:rPr>
          <w:lang w:val="en-CA"/>
        </w:rPr>
        <w:t xml:space="preserve"> them. Incivility is certainly not desirable behaviour, but in a free country where freedom of expression and of opinion is protected by the </w:t>
      </w:r>
      <w:r w:rsidR="00DB287E">
        <w:rPr>
          <w:lang w:val="en-CA"/>
        </w:rPr>
        <w:t>C</w:t>
      </w:r>
      <w:r w:rsidRPr="002F6CBB">
        <w:rPr>
          <w:lang w:val="en-CA"/>
        </w:rPr>
        <w:t>harters, it is inconceivable that mere insults can result in statements of offence.</w:t>
      </w:r>
      <w:r w:rsidRPr="002F6CBB">
        <w:rPr>
          <w:rStyle w:val="Appelnotedebasdep"/>
          <w:lang w:val="en-CA"/>
        </w:rPr>
        <w:footnoteReference w:id="49"/>
      </w:r>
    </w:p>
    <w:p w14:paraId="6D674385" w14:textId="1FBDAFB4" w:rsidR="00810CE6" w:rsidRPr="002F6CBB" w:rsidRDefault="00A157B1" w:rsidP="00185A28">
      <w:pPr>
        <w:pStyle w:val="Paragraphe"/>
        <w:rPr>
          <w:lang w:val="en-CA"/>
        </w:rPr>
      </w:pPr>
      <w:r w:rsidRPr="002F6CBB">
        <w:rPr>
          <w:lang w:val="en-CA"/>
        </w:rPr>
        <w:t xml:space="preserve">The statement by Officers </w:t>
      </w:r>
      <w:proofErr w:type="spellStart"/>
      <w:r w:rsidRPr="002F6CBB">
        <w:rPr>
          <w:lang w:val="en-CA"/>
        </w:rPr>
        <w:t>Beaulac</w:t>
      </w:r>
      <w:proofErr w:type="spellEnd"/>
      <w:r w:rsidRPr="002F6CBB">
        <w:rPr>
          <w:lang w:val="en-CA"/>
        </w:rPr>
        <w:t xml:space="preserve"> and Lamothe that they </w:t>
      </w:r>
      <w:r w:rsidR="002C18A6">
        <w:rPr>
          <w:lang w:val="en-CA"/>
        </w:rPr>
        <w:t>intercept</w:t>
      </w:r>
      <w:r w:rsidR="002C18A6" w:rsidRPr="002F6CBB">
        <w:rPr>
          <w:lang w:val="en-CA"/>
        </w:rPr>
        <w:t xml:space="preserve"> </w:t>
      </w:r>
      <w:r w:rsidRPr="002F6CBB">
        <w:rPr>
          <w:lang w:val="en-CA"/>
        </w:rPr>
        <w:t xml:space="preserve">drivers who </w:t>
      </w:r>
      <w:r w:rsidR="003120F1">
        <w:rPr>
          <w:lang w:val="en-CA"/>
        </w:rPr>
        <w:t xml:space="preserve">have </w:t>
      </w:r>
      <w:r w:rsidRPr="002F6CBB">
        <w:rPr>
          <w:lang w:val="en-CA"/>
        </w:rPr>
        <w:t>commit</w:t>
      </w:r>
      <w:r w:rsidR="003120F1">
        <w:rPr>
          <w:lang w:val="en-CA"/>
        </w:rPr>
        <w:t>ted</w:t>
      </w:r>
      <w:r w:rsidRPr="002F6CBB">
        <w:rPr>
          <w:lang w:val="en-CA"/>
        </w:rPr>
        <w:t xml:space="preserve"> no offence </w:t>
      </w:r>
      <w:r w:rsidR="00BA58A4" w:rsidRPr="002F6CBB">
        <w:rPr>
          <w:rFonts w:cs="Arial"/>
          <w:lang w:val="en-CA"/>
        </w:rPr>
        <w:t>[</w:t>
      </w:r>
      <w:r w:rsidR="00BA58A4" w:rsidRPr="002F6CBB">
        <w:rPr>
          <w:rFonts w:cs="Arial"/>
          <w:smallCaps/>
          <w:lang w:val="en-CA"/>
        </w:rPr>
        <w:t>translation</w:t>
      </w:r>
      <w:r w:rsidR="00BA58A4" w:rsidRPr="002F6CBB">
        <w:rPr>
          <w:rFonts w:cs="Arial"/>
          <w:lang w:val="en-CA"/>
        </w:rPr>
        <w:t>]</w:t>
      </w:r>
      <w:r w:rsidR="00BA58A4" w:rsidRPr="002F6CBB">
        <w:rPr>
          <w:lang w:val="en-CA"/>
        </w:rPr>
        <w:t xml:space="preserve"> </w:t>
      </w:r>
      <w:r w:rsidRPr="002F6CBB">
        <w:rPr>
          <w:lang w:val="en-CA"/>
        </w:rPr>
        <w:t>“</w:t>
      </w:r>
      <w:r w:rsidR="003120F1">
        <w:rPr>
          <w:lang w:val="en-CA"/>
        </w:rPr>
        <w:t>several</w:t>
      </w:r>
      <w:r w:rsidRPr="002F6CBB">
        <w:rPr>
          <w:lang w:val="en-CA"/>
        </w:rPr>
        <w:t xml:space="preserve"> times </w:t>
      </w:r>
      <w:r w:rsidR="003120F1">
        <w:rPr>
          <w:lang w:val="en-CA"/>
        </w:rPr>
        <w:t>in the same</w:t>
      </w:r>
      <w:r w:rsidRPr="002F6CBB">
        <w:rPr>
          <w:lang w:val="en-CA"/>
        </w:rPr>
        <w:t xml:space="preserve"> day” proves that they enforce the law proactively.</w:t>
      </w:r>
      <w:r w:rsidR="00BC67BE" w:rsidRPr="002F6CBB">
        <w:rPr>
          <w:lang w:val="en-CA"/>
        </w:rPr>
        <w:t xml:space="preserve"> </w:t>
      </w:r>
      <w:r w:rsidRPr="002F6CBB">
        <w:rPr>
          <w:lang w:val="en-CA"/>
        </w:rPr>
        <w:t xml:space="preserve">This </w:t>
      </w:r>
      <w:r w:rsidR="003120F1">
        <w:rPr>
          <w:lang w:val="en-CA"/>
        </w:rPr>
        <w:t xml:space="preserve">is </w:t>
      </w:r>
      <w:r w:rsidRPr="002F6CBB">
        <w:rPr>
          <w:lang w:val="en-CA"/>
        </w:rPr>
        <w:t>not problem</w:t>
      </w:r>
      <w:r w:rsidR="003120F1">
        <w:rPr>
          <w:lang w:val="en-CA"/>
        </w:rPr>
        <w:t>atic</w:t>
      </w:r>
      <w:r w:rsidRPr="002F6CBB">
        <w:rPr>
          <w:lang w:val="en-CA"/>
        </w:rPr>
        <w:t xml:space="preserve"> from the perspective of protection </w:t>
      </w:r>
      <w:r w:rsidR="009E2FDC">
        <w:rPr>
          <w:lang w:val="en-CA"/>
        </w:rPr>
        <w:t>against</w:t>
      </w:r>
      <w:r w:rsidRPr="002F6CBB">
        <w:rPr>
          <w:lang w:val="en-CA"/>
        </w:rPr>
        <w:t xml:space="preserve"> discrimination guaranteed by section 10 of the </w:t>
      </w:r>
      <w:r w:rsidRPr="002F6CBB">
        <w:rPr>
          <w:i/>
          <w:lang w:val="en-CA"/>
        </w:rPr>
        <w:t>Charter</w:t>
      </w:r>
      <w:r w:rsidRPr="002F6CBB">
        <w:rPr>
          <w:lang w:val="en-CA"/>
        </w:rPr>
        <w:t xml:space="preserve"> </w:t>
      </w:r>
      <w:r w:rsidR="003120F1">
        <w:rPr>
          <w:lang w:val="en-CA"/>
        </w:rPr>
        <w:t xml:space="preserve">if </w:t>
      </w:r>
      <w:r w:rsidRPr="002F6CBB">
        <w:rPr>
          <w:lang w:val="en-CA"/>
        </w:rPr>
        <w:t xml:space="preserve">these </w:t>
      </w:r>
      <w:r w:rsidR="00915ED7">
        <w:rPr>
          <w:lang w:val="en-CA"/>
        </w:rPr>
        <w:t>interceptions</w:t>
      </w:r>
      <w:r w:rsidR="00DB287E">
        <w:rPr>
          <w:lang w:val="en-CA"/>
        </w:rPr>
        <w:t xml:space="preserve"> </w:t>
      </w:r>
      <w:r w:rsidRPr="002F6CBB">
        <w:rPr>
          <w:lang w:val="en-CA"/>
        </w:rPr>
        <w:t xml:space="preserve">are truly random and not based on </w:t>
      </w:r>
      <w:r w:rsidR="003120F1">
        <w:rPr>
          <w:lang w:val="en-CA"/>
        </w:rPr>
        <w:t xml:space="preserve">prohibited grounds </w:t>
      </w:r>
      <w:r w:rsidRPr="002F6CBB">
        <w:rPr>
          <w:lang w:val="en-CA"/>
        </w:rPr>
        <w:t>of distinction such as colour, age, or sex.</w:t>
      </w:r>
    </w:p>
    <w:p w14:paraId="2D9647C5" w14:textId="685A062B" w:rsidR="00810CE6" w:rsidRPr="002F6CBB" w:rsidRDefault="00A157B1" w:rsidP="00185A28">
      <w:pPr>
        <w:pStyle w:val="Paragraphe"/>
        <w:rPr>
          <w:lang w:val="en-CA"/>
        </w:rPr>
      </w:pPr>
      <w:r w:rsidRPr="002F6CBB">
        <w:rPr>
          <w:lang w:val="en-CA"/>
        </w:rPr>
        <w:t xml:space="preserve">The </w:t>
      </w:r>
      <w:r w:rsidR="00D849E0">
        <w:rPr>
          <w:lang w:val="en-CA"/>
        </w:rPr>
        <w:t>Ville</w:t>
      </w:r>
      <w:r w:rsidRPr="002F6CBB">
        <w:rPr>
          <w:rStyle w:val="Appelnotedebasdep"/>
          <w:lang w:val="en-CA"/>
        </w:rPr>
        <w:footnoteReference w:id="50"/>
      </w:r>
      <w:r w:rsidRPr="002F6CBB">
        <w:rPr>
          <w:lang w:val="en-CA"/>
        </w:rPr>
        <w:t xml:space="preserve"> submitted documentary evidence of two other </w:t>
      </w:r>
      <w:r w:rsidR="002F085E">
        <w:rPr>
          <w:lang w:val="en-CA"/>
        </w:rPr>
        <w:t>interceptions</w:t>
      </w:r>
      <w:r w:rsidRPr="002F6CBB">
        <w:rPr>
          <w:lang w:val="en-CA"/>
        </w:rPr>
        <w:t xml:space="preserve"> by the two officers on September 19, 2018, based on </w:t>
      </w:r>
      <w:r w:rsidR="003120F1">
        <w:rPr>
          <w:lang w:val="en-CA"/>
        </w:rPr>
        <w:t>the</w:t>
      </w:r>
      <w:r w:rsidRPr="002F6CBB">
        <w:rPr>
          <w:lang w:val="en-CA"/>
        </w:rPr>
        <w:t xml:space="preserve"> large age </w:t>
      </w:r>
      <w:r w:rsidR="003120F1">
        <w:rPr>
          <w:lang w:val="en-CA"/>
        </w:rPr>
        <w:t xml:space="preserve">gap </w:t>
      </w:r>
      <w:r w:rsidRPr="002F6CBB">
        <w:rPr>
          <w:lang w:val="en-CA"/>
        </w:rPr>
        <w:t xml:space="preserve">between the driver </w:t>
      </w:r>
      <w:r w:rsidR="009E2FDC">
        <w:rPr>
          <w:lang w:val="en-CA"/>
        </w:rPr>
        <w:t xml:space="preserve">of the car </w:t>
      </w:r>
      <w:r w:rsidRPr="002F6CBB">
        <w:rPr>
          <w:lang w:val="en-CA"/>
        </w:rPr>
        <w:t xml:space="preserve">and its owner, followed by </w:t>
      </w:r>
      <w:r w:rsidR="009E2FDC">
        <w:rPr>
          <w:lang w:val="en-CA"/>
        </w:rPr>
        <w:t xml:space="preserve">the issue of </w:t>
      </w:r>
      <w:r w:rsidRPr="002F6CBB">
        <w:rPr>
          <w:lang w:val="en-CA"/>
        </w:rPr>
        <w:t xml:space="preserve">statements of offence </w:t>
      </w:r>
      <w:r w:rsidR="003120F1">
        <w:rPr>
          <w:lang w:val="en-CA"/>
        </w:rPr>
        <w:t xml:space="preserve">because </w:t>
      </w:r>
      <w:r w:rsidRPr="002F6CBB">
        <w:rPr>
          <w:lang w:val="en-CA"/>
        </w:rPr>
        <w:t>these young drivers had no driver’s licence.</w:t>
      </w:r>
      <w:r w:rsidR="00BC67BE" w:rsidRPr="002F6CBB">
        <w:rPr>
          <w:lang w:val="en-CA"/>
        </w:rPr>
        <w:t xml:space="preserve"> </w:t>
      </w:r>
      <w:r w:rsidRPr="002F6CBB">
        <w:rPr>
          <w:lang w:val="en-CA"/>
        </w:rPr>
        <w:t>The Tribunal finds that at best, this is very anecdotal evidence of a few arbitrary</w:t>
      </w:r>
      <w:r w:rsidR="003120F1">
        <w:rPr>
          <w:lang w:val="en-CA"/>
        </w:rPr>
        <w:t>,</w:t>
      </w:r>
      <w:r w:rsidR="003120F1" w:rsidRPr="003120F1">
        <w:rPr>
          <w:lang w:val="en-CA"/>
        </w:rPr>
        <w:t xml:space="preserve"> </w:t>
      </w:r>
      <w:r w:rsidR="003120F1" w:rsidRPr="002F6CBB">
        <w:rPr>
          <w:lang w:val="en-CA"/>
        </w:rPr>
        <w:t>even discriminatory</w:t>
      </w:r>
      <w:r w:rsidR="003120F1">
        <w:rPr>
          <w:lang w:val="en-CA"/>
        </w:rPr>
        <w:t>,</w:t>
      </w:r>
      <w:r w:rsidRPr="002F6CBB">
        <w:rPr>
          <w:lang w:val="en-CA"/>
        </w:rPr>
        <w:t xml:space="preserve"> </w:t>
      </w:r>
      <w:r w:rsidR="002F085E">
        <w:rPr>
          <w:lang w:val="en-CA"/>
        </w:rPr>
        <w:t>interception</w:t>
      </w:r>
      <w:r w:rsidRPr="002F6CBB">
        <w:rPr>
          <w:lang w:val="en-CA"/>
        </w:rPr>
        <w:t xml:space="preserve">s that do not establish a </w:t>
      </w:r>
      <w:r w:rsidR="003120F1">
        <w:rPr>
          <w:lang w:val="en-CA"/>
        </w:rPr>
        <w:t>us</w:t>
      </w:r>
      <w:r w:rsidRPr="002F6CBB">
        <w:rPr>
          <w:lang w:val="en-CA"/>
        </w:rPr>
        <w:t>ual or general practice by the police or the defendants.</w:t>
      </w:r>
    </w:p>
    <w:p w14:paraId="794C0D2E" w14:textId="77464E53" w:rsidR="00810CE6" w:rsidRPr="002F6CBB" w:rsidRDefault="00A157B1" w:rsidP="00472A9A">
      <w:pPr>
        <w:pStyle w:val="Titre3"/>
        <w:rPr>
          <w:lang w:val="en-CA"/>
        </w:rPr>
      </w:pPr>
      <w:bookmarkStart w:id="28" w:name="_Toc183702207"/>
      <w:r w:rsidRPr="002F6CBB">
        <w:rPr>
          <w:lang w:val="en-CA"/>
        </w:rPr>
        <w:t xml:space="preserve">Connection to a </w:t>
      </w:r>
      <w:r w:rsidR="008C1DAB">
        <w:rPr>
          <w:lang w:val="en-CA"/>
        </w:rPr>
        <w:t>prohibited</w:t>
      </w:r>
      <w:r w:rsidRPr="002F6CBB">
        <w:rPr>
          <w:lang w:val="en-CA"/>
        </w:rPr>
        <w:t xml:space="preserve"> ground of discrimination</w:t>
      </w:r>
      <w:bookmarkEnd w:id="28"/>
    </w:p>
    <w:p w14:paraId="75A29BE3" w14:textId="01AE1DFC" w:rsidR="00810CE6" w:rsidRPr="002F6CBB" w:rsidRDefault="00975236" w:rsidP="00185A28">
      <w:pPr>
        <w:pStyle w:val="Paragraphe"/>
        <w:rPr>
          <w:lang w:val="en-CA"/>
        </w:rPr>
      </w:pPr>
      <w:r w:rsidRPr="002F6CBB">
        <w:rPr>
          <w:lang w:val="en-CA"/>
        </w:rPr>
        <w:t xml:space="preserve">The question the Tribunal must decide is not whether the officers made a poor decision when they </w:t>
      </w:r>
      <w:r w:rsidR="002C18A6">
        <w:rPr>
          <w:lang w:val="en-CA"/>
        </w:rPr>
        <w:t>intercepted</w:t>
      </w:r>
      <w:r w:rsidR="002C18A6" w:rsidRPr="002F6CBB">
        <w:rPr>
          <w:lang w:val="en-CA"/>
        </w:rPr>
        <w:t xml:space="preserve"> </w:t>
      </w:r>
      <w:r w:rsidRPr="002F6CBB">
        <w:rPr>
          <w:lang w:val="en-CA"/>
        </w:rPr>
        <w:t xml:space="preserve">Mr. Woodley, but whether they discriminated against him within the meaning of section 10 of the </w:t>
      </w:r>
      <w:r w:rsidRPr="002F6CBB">
        <w:rPr>
          <w:i/>
          <w:lang w:val="en-CA"/>
        </w:rPr>
        <w:t>Charter</w:t>
      </w:r>
      <w:r w:rsidRPr="002F6CBB">
        <w:rPr>
          <w:lang w:val="en-CA"/>
        </w:rPr>
        <w:t>.</w:t>
      </w:r>
      <w:r w:rsidR="00BC67BE" w:rsidRPr="002F6CBB">
        <w:rPr>
          <w:lang w:val="en-CA"/>
        </w:rPr>
        <w:t xml:space="preserve"> </w:t>
      </w:r>
      <w:r w:rsidRPr="002F6CBB">
        <w:rPr>
          <w:lang w:val="en-CA"/>
        </w:rPr>
        <w:t xml:space="preserve">In other words, did they target the complainant because of the colour of his skin and his sex, </w:t>
      </w:r>
      <w:r w:rsidR="005B05E3">
        <w:rPr>
          <w:lang w:val="en-CA"/>
        </w:rPr>
        <w:t>that is,</w:t>
      </w:r>
      <w:r w:rsidRPr="002F6CBB">
        <w:rPr>
          <w:lang w:val="en-CA"/>
        </w:rPr>
        <w:t xml:space="preserve"> because he is a </w:t>
      </w:r>
      <w:r w:rsidR="00C14519">
        <w:rPr>
          <w:lang w:val="en-CA"/>
        </w:rPr>
        <w:t>Black</w:t>
      </w:r>
      <w:r w:rsidRPr="002F6CBB">
        <w:rPr>
          <w:lang w:val="en-CA"/>
        </w:rPr>
        <w:t xml:space="preserve"> man?</w:t>
      </w:r>
      <w:r w:rsidR="00BC67BE" w:rsidRPr="002F6CBB">
        <w:rPr>
          <w:lang w:val="en-CA"/>
        </w:rPr>
        <w:t xml:space="preserve"> </w:t>
      </w:r>
      <w:r w:rsidRPr="002F6CBB">
        <w:rPr>
          <w:lang w:val="en-CA"/>
        </w:rPr>
        <w:t>Evidence of the connection, which falls to the CDPDJ, between the</w:t>
      </w:r>
      <w:r w:rsidR="005B05E3">
        <w:rPr>
          <w:lang w:val="en-CA"/>
        </w:rPr>
        <w:t>se</w:t>
      </w:r>
      <w:r w:rsidRPr="002F6CBB">
        <w:rPr>
          <w:lang w:val="en-CA"/>
        </w:rPr>
        <w:t xml:space="preserve"> personal </w:t>
      </w:r>
      <w:r w:rsidR="00BA58A4" w:rsidRPr="002F6CBB">
        <w:rPr>
          <w:lang w:val="en-CA"/>
        </w:rPr>
        <w:t>characteristics</w:t>
      </w:r>
      <w:r w:rsidRPr="002F6CBB">
        <w:rPr>
          <w:lang w:val="en-CA"/>
        </w:rPr>
        <w:t xml:space="preserve"> </w:t>
      </w:r>
      <w:r w:rsidR="005B05E3">
        <w:rPr>
          <w:lang w:val="en-CA"/>
        </w:rPr>
        <w:t xml:space="preserve">of the complainant </w:t>
      </w:r>
      <w:r w:rsidRPr="002F6CBB">
        <w:rPr>
          <w:lang w:val="en-CA"/>
        </w:rPr>
        <w:t xml:space="preserve">and the officers’ </w:t>
      </w:r>
      <w:r w:rsidR="005B05E3">
        <w:rPr>
          <w:lang w:val="en-CA"/>
        </w:rPr>
        <w:t xml:space="preserve">conduct </w:t>
      </w:r>
      <w:r w:rsidRPr="002F6CBB">
        <w:rPr>
          <w:lang w:val="en-CA"/>
        </w:rPr>
        <w:t>is therefore essential</w:t>
      </w:r>
      <w:r w:rsidR="00FC53EA">
        <w:rPr>
          <w:lang w:val="en-CA"/>
        </w:rPr>
        <w:t>,</w:t>
      </w:r>
      <w:r w:rsidRPr="002F6CBB">
        <w:rPr>
          <w:lang w:val="en-CA"/>
        </w:rPr>
        <w:t xml:space="preserve"> and each step in the intervention must be </w:t>
      </w:r>
      <w:r w:rsidR="005B05E3">
        <w:rPr>
          <w:lang w:val="en-CA"/>
        </w:rPr>
        <w:t xml:space="preserve">scrutinized </w:t>
      </w:r>
      <w:r w:rsidRPr="002F6CBB">
        <w:rPr>
          <w:lang w:val="en-CA"/>
        </w:rPr>
        <w:t xml:space="preserve">to verify whether conscious or unconscious </w:t>
      </w:r>
      <w:r w:rsidR="00FC53EA">
        <w:rPr>
          <w:lang w:val="en-CA"/>
        </w:rPr>
        <w:t>prejudice</w:t>
      </w:r>
      <w:r w:rsidRPr="002F6CBB">
        <w:rPr>
          <w:lang w:val="en-CA"/>
        </w:rPr>
        <w:t xml:space="preserve"> might have played a role in the decisions and actions of Officers </w:t>
      </w:r>
      <w:proofErr w:type="spellStart"/>
      <w:r w:rsidRPr="002F6CBB">
        <w:rPr>
          <w:lang w:val="en-CA"/>
        </w:rPr>
        <w:t>Beaulac</w:t>
      </w:r>
      <w:proofErr w:type="spellEnd"/>
      <w:r w:rsidRPr="002F6CBB">
        <w:rPr>
          <w:lang w:val="en-CA"/>
        </w:rPr>
        <w:t xml:space="preserve"> and Lamothe on the morning of September 19, 2018.</w:t>
      </w:r>
    </w:p>
    <w:p w14:paraId="7A434F2B" w14:textId="66983E30" w:rsidR="00810CE6" w:rsidRPr="002F6CBB" w:rsidRDefault="00975236" w:rsidP="005A4E16">
      <w:pPr>
        <w:pStyle w:val="Titre4"/>
        <w:ind w:left="851" w:hanging="284"/>
        <w:rPr>
          <w:bCs/>
          <w:lang w:val="en-CA"/>
        </w:rPr>
      </w:pPr>
      <w:bookmarkStart w:id="29" w:name="_Toc183702208"/>
      <w:r w:rsidRPr="002F6CBB">
        <w:rPr>
          <w:bCs/>
          <w:lang w:val="en-CA"/>
        </w:rPr>
        <w:lastRenderedPageBreak/>
        <w:t xml:space="preserve">Decision to </w:t>
      </w:r>
      <w:r w:rsidR="00D248B7">
        <w:rPr>
          <w:bCs/>
          <w:lang w:val="en-CA"/>
        </w:rPr>
        <w:t>investigate</w:t>
      </w:r>
      <w:r w:rsidR="00143BB1">
        <w:rPr>
          <w:bCs/>
          <w:lang w:val="en-CA"/>
        </w:rPr>
        <w:t xml:space="preserve"> </w:t>
      </w:r>
      <w:r w:rsidRPr="002F6CBB">
        <w:rPr>
          <w:bCs/>
          <w:lang w:val="en-CA"/>
        </w:rPr>
        <w:t xml:space="preserve">the complainant and change direction to </w:t>
      </w:r>
      <w:r w:rsidR="002C18A6">
        <w:rPr>
          <w:bCs/>
          <w:lang w:val="en-CA"/>
        </w:rPr>
        <w:t>intercept</w:t>
      </w:r>
      <w:r w:rsidRPr="002F6CBB">
        <w:rPr>
          <w:bCs/>
          <w:lang w:val="en-CA"/>
        </w:rPr>
        <w:t xml:space="preserve"> him</w:t>
      </w:r>
      <w:bookmarkEnd w:id="29"/>
    </w:p>
    <w:p w14:paraId="034120A2" w14:textId="11EB3D36" w:rsidR="00810CE6" w:rsidRPr="002F6CBB" w:rsidRDefault="00975236" w:rsidP="00185A28">
      <w:pPr>
        <w:pStyle w:val="Paragraphe"/>
        <w:rPr>
          <w:lang w:val="en-CA"/>
        </w:rPr>
      </w:pPr>
      <w:r w:rsidRPr="00537531">
        <w:rPr>
          <w:lang w:val="en-CA"/>
        </w:rPr>
        <w:t>While driving</w:t>
      </w:r>
      <w:r w:rsidRPr="002F6CBB">
        <w:rPr>
          <w:lang w:val="en-CA"/>
        </w:rPr>
        <w:t xml:space="preserve"> south on </w:t>
      </w:r>
      <w:proofErr w:type="spellStart"/>
      <w:r w:rsidRPr="002F6CBB">
        <w:rPr>
          <w:lang w:val="en-CA"/>
        </w:rPr>
        <w:t>Curé</w:t>
      </w:r>
      <w:proofErr w:type="spellEnd"/>
      <w:r w:rsidRPr="002F6CBB">
        <w:rPr>
          <w:lang w:val="en-CA"/>
        </w:rPr>
        <w:t xml:space="preserve">-Labelle Boulevard, Officers </w:t>
      </w:r>
      <w:proofErr w:type="spellStart"/>
      <w:r w:rsidRPr="002F6CBB">
        <w:rPr>
          <w:lang w:val="en-CA"/>
        </w:rPr>
        <w:t>Beaulac</w:t>
      </w:r>
      <w:proofErr w:type="spellEnd"/>
      <w:r w:rsidRPr="002F6CBB">
        <w:rPr>
          <w:lang w:val="en-CA"/>
        </w:rPr>
        <w:t xml:space="preserve"> and Lamothe </w:t>
      </w:r>
      <w:r w:rsidR="008C1DAB">
        <w:rPr>
          <w:lang w:val="en-CA"/>
        </w:rPr>
        <w:t>ran</w:t>
      </w:r>
      <w:r w:rsidRPr="002F6CBB">
        <w:rPr>
          <w:lang w:val="en-CA"/>
        </w:rPr>
        <w:t xml:space="preserve"> the plate of the car Mr. Woodley </w:t>
      </w:r>
      <w:r w:rsidR="008C4E82">
        <w:rPr>
          <w:lang w:val="en-CA"/>
        </w:rPr>
        <w:t xml:space="preserve">was driving </w:t>
      </w:r>
      <w:r w:rsidR="005B05E3">
        <w:rPr>
          <w:lang w:val="en-CA"/>
        </w:rPr>
        <w:t xml:space="preserve">at </w:t>
      </w:r>
      <w:r w:rsidR="005B05E3" w:rsidRPr="005B05E3">
        <w:rPr>
          <w:lang w:val="en-CA"/>
        </w:rPr>
        <w:t>10</w:t>
      </w:r>
      <w:r w:rsidR="005B05E3">
        <w:rPr>
          <w:lang w:val="en-CA"/>
        </w:rPr>
        <w:t>:</w:t>
      </w:r>
      <w:r w:rsidR="005B05E3" w:rsidRPr="005B05E3">
        <w:rPr>
          <w:lang w:val="en-CA"/>
        </w:rPr>
        <w:t xml:space="preserve">32:17 </w:t>
      </w:r>
      <w:r w:rsidR="005B05E3">
        <w:rPr>
          <w:lang w:val="en-CA"/>
        </w:rPr>
        <w:t xml:space="preserve">a.m., </w:t>
      </w:r>
      <w:r w:rsidRPr="002F6CBB">
        <w:rPr>
          <w:lang w:val="en-CA"/>
        </w:rPr>
        <w:t xml:space="preserve">followed six seconds later by a second more thorough </w:t>
      </w:r>
      <w:r w:rsidR="00143BB1">
        <w:rPr>
          <w:lang w:val="en-CA"/>
        </w:rPr>
        <w:t xml:space="preserve">search by </w:t>
      </w:r>
      <w:r w:rsidRPr="002F6CBB">
        <w:rPr>
          <w:lang w:val="en-CA"/>
        </w:rPr>
        <w:t>address and name.</w:t>
      </w:r>
      <w:r w:rsidR="00BC67BE" w:rsidRPr="002F6CBB">
        <w:rPr>
          <w:lang w:val="en-CA"/>
        </w:rPr>
        <w:t xml:space="preserve"> </w:t>
      </w:r>
      <w:r w:rsidR="005B05E3">
        <w:rPr>
          <w:lang w:val="en-CA"/>
        </w:rPr>
        <w:t>At that point, t</w:t>
      </w:r>
      <w:r w:rsidRPr="002F6CBB">
        <w:rPr>
          <w:lang w:val="en-CA"/>
        </w:rPr>
        <w:t xml:space="preserve">hey </w:t>
      </w:r>
      <w:r w:rsidR="005B05E3">
        <w:rPr>
          <w:lang w:val="en-CA"/>
        </w:rPr>
        <w:t xml:space="preserve">were at </w:t>
      </w:r>
      <w:r w:rsidRPr="002F6CBB">
        <w:rPr>
          <w:lang w:val="en-CA"/>
        </w:rPr>
        <w:t xml:space="preserve">the intersection of </w:t>
      </w:r>
      <w:proofErr w:type="spellStart"/>
      <w:r w:rsidRPr="002F6CBB">
        <w:rPr>
          <w:lang w:val="en-CA"/>
        </w:rPr>
        <w:t>Curé</w:t>
      </w:r>
      <w:proofErr w:type="spellEnd"/>
      <w:r w:rsidRPr="002F6CBB">
        <w:rPr>
          <w:lang w:val="en-CA"/>
        </w:rPr>
        <w:t>-Labelle and Saint-Martin Boulevard</w:t>
      </w:r>
      <w:r w:rsidR="005B05E3">
        <w:rPr>
          <w:lang w:val="en-CA"/>
        </w:rPr>
        <w:t>s</w:t>
      </w:r>
      <w:r w:rsidRPr="002F6CBB">
        <w:rPr>
          <w:lang w:val="en-CA"/>
        </w:rPr>
        <w:t>.</w:t>
      </w:r>
    </w:p>
    <w:p w14:paraId="748D8BA3" w14:textId="5CDD9D2E" w:rsidR="00810CE6" w:rsidRPr="002F6CBB" w:rsidRDefault="00975236" w:rsidP="00185A28">
      <w:pPr>
        <w:pStyle w:val="Paragraphe"/>
        <w:rPr>
          <w:lang w:val="en-CA"/>
        </w:rPr>
      </w:pPr>
      <w:r w:rsidRPr="002F6CBB">
        <w:rPr>
          <w:lang w:val="en-CA"/>
        </w:rPr>
        <w:t xml:space="preserve">Two questions arise here: first, did the officers see the complainant </w:t>
      </w:r>
      <w:r w:rsidRPr="002F6CBB">
        <w:rPr>
          <w:i/>
          <w:lang w:val="en-CA"/>
        </w:rPr>
        <w:t>before</w:t>
      </w:r>
      <w:r w:rsidRPr="002F6CBB">
        <w:rPr>
          <w:lang w:val="en-CA"/>
        </w:rPr>
        <w:t xml:space="preserve"> they decided to </w:t>
      </w:r>
      <w:r w:rsidR="005B05E3">
        <w:rPr>
          <w:lang w:val="en-CA"/>
        </w:rPr>
        <w:t xml:space="preserve">look </w:t>
      </w:r>
      <w:r w:rsidRPr="002F6CBB">
        <w:rPr>
          <w:lang w:val="en-CA"/>
        </w:rPr>
        <w:t xml:space="preserve">him </w:t>
      </w:r>
      <w:r w:rsidR="005B05E3">
        <w:rPr>
          <w:lang w:val="en-CA"/>
        </w:rPr>
        <w:t xml:space="preserve">up </w:t>
      </w:r>
      <w:r w:rsidRPr="002F6CBB">
        <w:rPr>
          <w:lang w:val="en-CA"/>
        </w:rPr>
        <w:t xml:space="preserve">or, on the contrary, did they see him </w:t>
      </w:r>
      <w:r w:rsidRPr="002F6CBB">
        <w:rPr>
          <w:i/>
          <w:lang w:val="en-CA"/>
        </w:rPr>
        <w:t>after</w:t>
      </w:r>
      <w:r w:rsidRPr="002F6CBB">
        <w:rPr>
          <w:lang w:val="en-CA"/>
        </w:rPr>
        <w:t xml:space="preserve"> they decided to make these </w:t>
      </w:r>
      <w:r w:rsidR="00143BB1">
        <w:rPr>
          <w:lang w:val="en-CA"/>
        </w:rPr>
        <w:t>searches</w:t>
      </w:r>
      <w:r w:rsidRPr="002F6CBB">
        <w:rPr>
          <w:lang w:val="en-CA"/>
        </w:rPr>
        <w:t xml:space="preserve">? If they saw him before </w:t>
      </w:r>
      <w:r w:rsidR="00143BB1">
        <w:rPr>
          <w:lang w:val="en-CA"/>
        </w:rPr>
        <w:t>doing the search</w:t>
      </w:r>
      <w:r w:rsidRPr="002F6CBB">
        <w:rPr>
          <w:lang w:val="en-CA"/>
        </w:rPr>
        <w:t xml:space="preserve">, </w:t>
      </w:r>
      <w:r w:rsidR="005B05E3">
        <w:rPr>
          <w:lang w:val="en-CA"/>
        </w:rPr>
        <w:t xml:space="preserve">evidence </w:t>
      </w:r>
      <w:r w:rsidRPr="002F6CBB">
        <w:rPr>
          <w:lang w:val="en-CA"/>
        </w:rPr>
        <w:t xml:space="preserve">of the connection between the colour of his skin and his sex is possible, but if they did not see him before </w:t>
      </w:r>
      <w:r w:rsidR="00143BB1">
        <w:rPr>
          <w:lang w:val="en-CA"/>
        </w:rPr>
        <w:t xml:space="preserve">the search </w:t>
      </w:r>
      <w:r w:rsidRPr="002F6CBB">
        <w:rPr>
          <w:lang w:val="en-CA"/>
        </w:rPr>
        <w:t xml:space="preserve">because they </w:t>
      </w:r>
      <w:r w:rsidR="005B05E3">
        <w:rPr>
          <w:lang w:val="en-CA"/>
        </w:rPr>
        <w:t xml:space="preserve">were running the </w:t>
      </w:r>
      <w:r w:rsidRPr="002F6CBB">
        <w:rPr>
          <w:lang w:val="en-CA"/>
        </w:rPr>
        <w:t>plates at random, his rac</w:t>
      </w:r>
      <w:r w:rsidR="005B05E3">
        <w:rPr>
          <w:lang w:val="en-CA"/>
        </w:rPr>
        <w:t>ial background</w:t>
      </w:r>
      <w:r w:rsidRPr="002F6CBB">
        <w:rPr>
          <w:lang w:val="en-CA"/>
        </w:rPr>
        <w:t xml:space="preserve"> cannot have </w:t>
      </w:r>
      <w:r w:rsidR="005B05E3">
        <w:rPr>
          <w:lang w:val="en-CA"/>
        </w:rPr>
        <w:t xml:space="preserve">been a factor that </w:t>
      </w:r>
      <w:r w:rsidRPr="002F6CBB">
        <w:rPr>
          <w:lang w:val="en-CA"/>
        </w:rPr>
        <w:t>influenced their action at this stage.</w:t>
      </w:r>
    </w:p>
    <w:p w14:paraId="7532F389" w14:textId="15D5D7B0" w:rsidR="00810CE6" w:rsidRPr="002F6CBB" w:rsidRDefault="00975236" w:rsidP="00185A28">
      <w:pPr>
        <w:pStyle w:val="Paragraphe"/>
        <w:rPr>
          <w:lang w:val="en-CA"/>
        </w:rPr>
      </w:pPr>
      <w:r w:rsidRPr="002F6CBB">
        <w:rPr>
          <w:lang w:val="en-CA"/>
        </w:rPr>
        <w:t xml:space="preserve">Next, the second question: </w:t>
      </w:r>
      <w:r w:rsidR="005B05E3">
        <w:rPr>
          <w:lang w:val="en-CA"/>
        </w:rPr>
        <w:t>since</w:t>
      </w:r>
      <w:r w:rsidRPr="002F6CBB">
        <w:rPr>
          <w:lang w:val="en-CA"/>
        </w:rPr>
        <w:t xml:space="preserve"> the officers admit that they saw the complainant before they decided to </w:t>
      </w:r>
      <w:r w:rsidR="002C18A6">
        <w:rPr>
          <w:lang w:val="en-CA"/>
        </w:rPr>
        <w:t>intercept</w:t>
      </w:r>
      <w:r w:rsidR="005B05E3">
        <w:rPr>
          <w:lang w:val="en-CA"/>
        </w:rPr>
        <w:t xml:space="preserve"> </w:t>
      </w:r>
      <w:r w:rsidRPr="002F6CBB">
        <w:rPr>
          <w:lang w:val="en-CA"/>
        </w:rPr>
        <w:t>him, does this establish that the colour of his skin and his sex played a role in their decision to chase and stop him?</w:t>
      </w:r>
      <w:r w:rsidR="00BC67BE" w:rsidRPr="002F6CBB">
        <w:rPr>
          <w:lang w:val="en-CA"/>
        </w:rPr>
        <w:t xml:space="preserve"> </w:t>
      </w:r>
    </w:p>
    <w:p w14:paraId="3EB5C156" w14:textId="064402B9" w:rsidR="00810CE6" w:rsidRPr="002F6CBB" w:rsidRDefault="00387F85" w:rsidP="00185A28">
      <w:pPr>
        <w:pStyle w:val="Paragraphe"/>
        <w:rPr>
          <w:lang w:val="en-CA"/>
        </w:rPr>
      </w:pPr>
      <w:r>
        <w:rPr>
          <w:lang w:val="en-CA"/>
        </w:rPr>
        <w:t>On these two questions, t</w:t>
      </w:r>
      <w:r w:rsidR="00975236" w:rsidRPr="002F6CBB">
        <w:rPr>
          <w:lang w:val="en-CA"/>
        </w:rPr>
        <w:t xml:space="preserve">he parties’ </w:t>
      </w:r>
      <w:r w:rsidR="005B05E3">
        <w:rPr>
          <w:lang w:val="en-CA"/>
        </w:rPr>
        <w:t xml:space="preserve">versions </w:t>
      </w:r>
      <w:r w:rsidR="00975236" w:rsidRPr="002F6CBB">
        <w:rPr>
          <w:lang w:val="en-CA"/>
        </w:rPr>
        <w:t>are contradictory</w:t>
      </w:r>
      <w:r>
        <w:rPr>
          <w:lang w:val="en-CA"/>
        </w:rPr>
        <w:t>,</w:t>
      </w:r>
      <w:r w:rsidR="00975236" w:rsidRPr="002F6CBB">
        <w:rPr>
          <w:lang w:val="en-CA"/>
        </w:rPr>
        <w:t xml:space="preserve"> and the Tribunal </w:t>
      </w:r>
      <w:r>
        <w:rPr>
          <w:lang w:val="en-CA"/>
        </w:rPr>
        <w:t>must</w:t>
      </w:r>
      <w:r w:rsidR="00975236" w:rsidRPr="002F6CBB">
        <w:rPr>
          <w:lang w:val="en-CA"/>
        </w:rPr>
        <w:t xml:space="preserve"> determine whether the complainant’s version is more probable because it is more rational and plausible than the officers’ version.</w:t>
      </w:r>
      <w:r w:rsidR="00BC67BE" w:rsidRPr="002F6CBB">
        <w:rPr>
          <w:lang w:val="en-CA"/>
        </w:rPr>
        <w:t xml:space="preserve"> </w:t>
      </w:r>
      <w:r w:rsidR="00975236" w:rsidRPr="002F6CBB">
        <w:rPr>
          <w:lang w:val="en-CA"/>
        </w:rPr>
        <w:t xml:space="preserve">If not, the CDPDJ will have failed to establish a connection between the officers’ actions and the colour of the complainant’s skin </w:t>
      </w:r>
      <w:r>
        <w:rPr>
          <w:lang w:val="en-CA"/>
        </w:rPr>
        <w:t>combined with</w:t>
      </w:r>
      <w:r w:rsidR="00975236" w:rsidRPr="002F6CBB">
        <w:rPr>
          <w:lang w:val="en-CA"/>
        </w:rPr>
        <w:t xml:space="preserve"> his sex. </w:t>
      </w:r>
    </w:p>
    <w:p w14:paraId="5DC6CFBD" w14:textId="12330E03" w:rsidR="00810CE6" w:rsidRPr="002F6CBB" w:rsidRDefault="00975236" w:rsidP="00185A28">
      <w:pPr>
        <w:pStyle w:val="Paragraphe"/>
        <w:rPr>
          <w:lang w:val="en-CA"/>
        </w:rPr>
      </w:pPr>
      <w:r w:rsidRPr="002F6CBB">
        <w:rPr>
          <w:lang w:val="en-CA"/>
        </w:rPr>
        <w:t>The complainant testified as follows.</w:t>
      </w:r>
      <w:r w:rsidR="00BC67BE" w:rsidRPr="002F6CBB">
        <w:rPr>
          <w:lang w:val="en-CA"/>
        </w:rPr>
        <w:t xml:space="preserve"> </w:t>
      </w:r>
      <w:r w:rsidRPr="002F6CBB">
        <w:rPr>
          <w:lang w:val="en-CA"/>
        </w:rPr>
        <w:t xml:space="preserve">On the morning of September 19, 2018, between 10:15 a.m. and 10:30 a.m., he was driving a white Acura south on </w:t>
      </w:r>
      <w:proofErr w:type="spellStart"/>
      <w:r w:rsidRPr="002F6CBB">
        <w:rPr>
          <w:lang w:val="en-CA"/>
        </w:rPr>
        <w:t>Curé</w:t>
      </w:r>
      <w:proofErr w:type="spellEnd"/>
      <w:r w:rsidRPr="002F6CBB">
        <w:rPr>
          <w:lang w:val="en-CA"/>
        </w:rPr>
        <w:t xml:space="preserve">-Labelle Boulevard to </w:t>
      </w:r>
      <w:r w:rsidR="00F97532">
        <w:rPr>
          <w:lang w:val="en-CA"/>
        </w:rPr>
        <w:t>run errands</w:t>
      </w:r>
      <w:r w:rsidRPr="002F6CBB">
        <w:rPr>
          <w:lang w:val="en-CA"/>
        </w:rPr>
        <w:t>.</w:t>
      </w:r>
      <w:r w:rsidR="00BC67BE" w:rsidRPr="002F6CBB">
        <w:rPr>
          <w:lang w:val="en-CA"/>
        </w:rPr>
        <w:t xml:space="preserve"> </w:t>
      </w:r>
      <w:r w:rsidRPr="002F6CBB">
        <w:rPr>
          <w:lang w:val="en-CA"/>
        </w:rPr>
        <w:t xml:space="preserve">At the intersection </w:t>
      </w:r>
      <w:r w:rsidR="00B4255A">
        <w:rPr>
          <w:lang w:val="en-CA"/>
        </w:rPr>
        <w:t>with</w:t>
      </w:r>
      <w:r w:rsidRPr="002F6CBB">
        <w:rPr>
          <w:lang w:val="en-CA"/>
        </w:rPr>
        <w:t xml:space="preserve"> Highway 440, he noticed a patrol car a few cars ahead of him.</w:t>
      </w:r>
      <w:r w:rsidR="00BC67BE" w:rsidRPr="002F6CBB">
        <w:rPr>
          <w:lang w:val="en-CA"/>
        </w:rPr>
        <w:t xml:space="preserve"> </w:t>
      </w:r>
      <w:r w:rsidRPr="002F6CBB">
        <w:rPr>
          <w:lang w:val="en-CA"/>
        </w:rPr>
        <w:t xml:space="preserve">He </w:t>
      </w:r>
      <w:r w:rsidR="00B4255A">
        <w:rPr>
          <w:lang w:val="en-CA"/>
        </w:rPr>
        <w:t xml:space="preserve">was </w:t>
      </w:r>
      <w:r w:rsidRPr="002F6CBB">
        <w:rPr>
          <w:lang w:val="en-CA"/>
        </w:rPr>
        <w:t xml:space="preserve">therefore </w:t>
      </w:r>
      <w:r w:rsidR="00B4255A">
        <w:rPr>
          <w:lang w:val="en-CA"/>
        </w:rPr>
        <w:t xml:space="preserve">driving </w:t>
      </w:r>
      <w:r w:rsidRPr="002F6CBB">
        <w:rPr>
          <w:lang w:val="en-CA"/>
        </w:rPr>
        <w:t xml:space="preserve">behind the patrol car driven by the defendants until the intersection of </w:t>
      </w:r>
      <w:proofErr w:type="spellStart"/>
      <w:r w:rsidRPr="002F6CBB">
        <w:rPr>
          <w:lang w:val="en-CA"/>
        </w:rPr>
        <w:t>Curé</w:t>
      </w:r>
      <w:proofErr w:type="spellEnd"/>
      <w:r w:rsidRPr="002F6CBB">
        <w:rPr>
          <w:lang w:val="en-CA"/>
        </w:rPr>
        <w:t>-Labelle and Saint-Martin, that is, for about 2.5 kms.</w:t>
      </w:r>
    </w:p>
    <w:p w14:paraId="2F1C7B26" w14:textId="7E15E84D" w:rsidR="00810CE6" w:rsidRPr="002F6CBB" w:rsidRDefault="00975236" w:rsidP="00185A28">
      <w:pPr>
        <w:pStyle w:val="Paragraphe"/>
        <w:rPr>
          <w:lang w:val="en-CA"/>
        </w:rPr>
      </w:pPr>
      <w:r w:rsidRPr="002F6CBB">
        <w:rPr>
          <w:lang w:val="en-CA"/>
        </w:rPr>
        <w:t xml:space="preserve">At Saint-Martin Boulevard, while he was still a few cars behind the patrol car, Mr. Woodley noticed that it moved into the far left-hand lane for cars that </w:t>
      </w:r>
      <w:r w:rsidR="00DF077A">
        <w:rPr>
          <w:lang w:val="en-CA"/>
        </w:rPr>
        <w:t xml:space="preserve">must </w:t>
      </w:r>
      <w:r w:rsidRPr="002F6CBB">
        <w:rPr>
          <w:lang w:val="en-CA"/>
        </w:rPr>
        <w:t>turn left.</w:t>
      </w:r>
      <w:r w:rsidR="00BC67BE" w:rsidRPr="002F6CBB">
        <w:rPr>
          <w:lang w:val="en-CA"/>
        </w:rPr>
        <w:t xml:space="preserve"> </w:t>
      </w:r>
      <w:r w:rsidRPr="002F6CBB">
        <w:rPr>
          <w:lang w:val="en-CA"/>
        </w:rPr>
        <w:t>The traffic light to turn left was red</w:t>
      </w:r>
      <w:r w:rsidR="00160597">
        <w:rPr>
          <w:lang w:val="en-CA"/>
        </w:rPr>
        <w:t>,</w:t>
      </w:r>
      <w:r w:rsidRPr="002F6CBB">
        <w:rPr>
          <w:lang w:val="en-CA"/>
        </w:rPr>
        <w:t xml:space="preserve"> and the patrol car </w:t>
      </w:r>
      <w:r w:rsidR="00B4255A">
        <w:rPr>
          <w:lang w:val="en-CA"/>
        </w:rPr>
        <w:t>was not moving</w:t>
      </w:r>
      <w:r w:rsidRPr="002F6CBB">
        <w:rPr>
          <w:lang w:val="en-CA"/>
        </w:rPr>
        <w:t>.</w:t>
      </w:r>
      <w:r w:rsidR="00BC67BE" w:rsidRPr="002F6CBB">
        <w:rPr>
          <w:lang w:val="en-CA"/>
        </w:rPr>
        <w:t xml:space="preserve"> </w:t>
      </w:r>
      <w:r w:rsidRPr="002F6CBB">
        <w:rPr>
          <w:lang w:val="en-CA"/>
        </w:rPr>
        <w:t>Because the light to go straight turned green, Mr. Woodley advanced slowly</w:t>
      </w:r>
      <w:r w:rsidR="00160597">
        <w:rPr>
          <w:lang w:val="en-CA"/>
        </w:rPr>
        <w:t>;</w:t>
      </w:r>
      <w:r w:rsidRPr="002F6CBB">
        <w:rPr>
          <w:lang w:val="en-CA"/>
        </w:rPr>
        <w:t xml:space="preserve"> several cars were ahead of him. He then </w:t>
      </w:r>
      <w:r w:rsidR="00B4255A">
        <w:rPr>
          <w:lang w:val="en-CA"/>
        </w:rPr>
        <w:t xml:space="preserve">passed </w:t>
      </w:r>
      <w:r w:rsidRPr="002F6CBB">
        <w:rPr>
          <w:lang w:val="en-CA"/>
        </w:rPr>
        <w:t>just next to the patrol car</w:t>
      </w:r>
      <w:r w:rsidR="00B4255A">
        <w:rPr>
          <w:lang w:val="en-CA"/>
        </w:rPr>
        <w:t>.</w:t>
      </w:r>
      <w:r w:rsidRPr="002F6CBB">
        <w:rPr>
          <w:lang w:val="en-CA"/>
        </w:rPr>
        <w:t xml:space="preserve"> </w:t>
      </w:r>
      <w:r w:rsidR="00B4255A">
        <w:rPr>
          <w:lang w:val="en-CA"/>
        </w:rPr>
        <w:t xml:space="preserve">He saw </w:t>
      </w:r>
      <w:r w:rsidRPr="002F6CBB">
        <w:rPr>
          <w:lang w:val="en-CA"/>
        </w:rPr>
        <w:t>the officers and their eyes met.</w:t>
      </w:r>
      <w:r w:rsidR="00BC67BE" w:rsidRPr="002F6CBB">
        <w:rPr>
          <w:lang w:val="en-CA"/>
        </w:rPr>
        <w:t xml:space="preserve"> </w:t>
      </w:r>
      <w:r w:rsidR="00B4255A">
        <w:rPr>
          <w:lang w:val="en-CA"/>
        </w:rPr>
        <w:t>Then, j</w:t>
      </w:r>
      <w:r w:rsidRPr="002F6CBB">
        <w:rPr>
          <w:lang w:val="en-CA"/>
        </w:rPr>
        <w:t>ust after he crossed Saint-Martin Boulevard, in his rearview mirror he saw the patrol car change directions, turn on its flashing lights, and start to chase him.</w:t>
      </w:r>
      <w:r w:rsidR="00BC67BE" w:rsidRPr="002F6CBB">
        <w:rPr>
          <w:lang w:val="en-CA"/>
        </w:rPr>
        <w:t xml:space="preserve"> </w:t>
      </w:r>
      <w:r w:rsidRPr="002F6CBB">
        <w:rPr>
          <w:lang w:val="en-CA"/>
        </w:rPr>
        <w:t xml:space="preserve">He </w:t>
      </w:r>
      <w:r w:rsidR="00B4255A">
        <w:rPr>
          <w:lang w:val="en-CA"/>
        </w:rPr>
        <w:t xml:space="preserve">pulled </w:t>
      </w:r>
      <w:r w:rsidRPr="002F6CBB">
        <w:rPr>
          <w:lang w:val="en-CA"/>
        </w:rPr>
        <w:t xml:space="preserve">his car </w:t>
      </w:r>
      <w:r w:rsidR="00B4255A">
        <w:rPr>
          <w:lang w:val="en-CA"/>
        </w:rPr>
        <w:t xml:space="preserve">over some </w:t>
      </w:r>
      <w:r w:rsidRPr="002F6CBB">
        <w:rPr>
          <w:lang w:val="en-CA"/>
        </w:rPr>
        <w:t xml:space="preserve">30 metres </w:t>
      </w:r>
      <w:r w:rsidR="00B4255A">
        <w:rPr>
          <w:lang w:val="en-CA"/>
        </w:rPr>
        <w:t xml:space="preserve">ahead </w:t>
      </w:r>
      <w:r w:rsidRPr="002F6CBB">
        <w:rPr>
          <w:lang w:val="en-CA"/>
        </w:rPr>
        <w:t>on Loranger Street.</w:t>
      </w:r>
    </w:p>
    <w:p w14:paraId="72AD3373" w14:textId="4EF0A24D" w:rsidR="00810CE6" w:rsidRPr="002F6CBB" w:rsidRDefault="00975236" w:rsidP="00185A28">
      <w:pPr>
        <w:pStyle w:val="Paragraphe"/>
        <w:rPr>
          <w:lang w:val="en-CA"/>
        </w:rPr>
      </w:pPr>
      <w:r w:rsidRPr="002F6CBB">
        <w:rPr>
          <w:lang w:val="en-CA"/>
        </w:rPr>
        <w:lastRenderedPageBreak/>
        <w:t>Be it in his ethics complaint</w:t>
      </w:r>
      <w:r w:rsidRPr="002F6CBB">
        <w:rPr>
          <w:rStyle w:val="Appelnotedebasdep"/>
          <w:lang w:val="en-CA"/>
        </w:rPr>
        <w:footnoteReference w:id="51"/>
      </w:r>
      <w:r w:rsidR="005C415D">
        <w:rPr>
          <w:lang w:val="en-CA"/>
        </w:rPr>
        <w:t>,</w:t>
      </w:r>
      <w:r w:rsidRPr="002F6CBB">
        <w:rPr>
          <w:lang w:val="en-CA"/>
        </w:rPr>
        <w:t xml:space="preserve"> pre-trial examination, discussion recorded with Officer </w:t>
      </w:r>
      <w:proofErr w:type="spellStart"/>
      <w:r w:rsidRPr="002F6CBB">
        <w:rPr>
          <w:lang w:val="en-CA"/>
        </w:rPr>
        <w:t>Beaulac</w:t>
      </w:r>
      <w:proofErr w:type="spellEnd"/>
      <w:r w:rsidRPr="002F6CBB">
        <w:rPr>
          <w:lang w:val="en-CA"/>
        </w:rPr>
        <w:t xml:space="preserve"> on Loranger Street, or before the Tribunal, Mr. Woodley unhesitatingly stated that from Highway 440 to Saint-Martin Boulevard, the police car was always a few cars ahead of him.</w:t>
      </w:r>
      <w:r w:rsidR="00BC67BE" w:rsidRPr="002F6CBB">
        <w:rPr>
          <w:lang w:val="en-CA"/>
        </w:rPr>
        <w:t xml:space="preserve"> </w:t>
      </w:r>
      <w:r w:rsidR="002C18A6">
        <w:rPr>
          <w:lang w:val="en-CA"/>
        </w:rPr>
        <w:t>Having already been the subject of police</w:t>
      </w:r>
      <w:r w:rsidR="006943D4">
        <w:rPr>
          <w:lang w:val="en-CA"/>
        </w:rPr>
        <w:t xml:space="preserve"> </w:t>
      </w:r>
      <w:r w:rsidR="002C18A6">
        <w:rPr>
          <w:lang w:val="en-CA"/>
        </w:rPr>
        <w:t xml:space="preserve">interceptions, he asserts </w:t>
      </w:r>
      <w:r w:rsidRPr="002F6CBB">
        <w:rPr>
          <w:lang w:val="en-CA"/>
        </w:rPr>
        <w:t xml:space="preserve">that he </w:t>
      </w:r>
      <w:r w:rsidR="00B4255A">
        <w:rPr>
          <w:lang w:val="en-CA"/>
        </w:rPr>
        <w:t>checks his surroundings</w:t>
      </w:r>
      <w:r w:rsidRPr="002F6CBB">
        <w:rPr>
          <w:lang w:val="en-CA"/>
        </w:rPr>
        <w:t xml:space="preserve">, especially when he sees a police car, and that he was absolutely certain of his position in relation to the patrol car driven by Officer </w:t>
      </w:r>
      <w:proofErr w:type="spellStart"/>
      <w:r w:rsidRPr="002F6CBB">
        <w:rPr>
          <w:lang w:val="en-CA"/>
        </w:rPr>
        <w:t>Beaulac</w:t>
      </w:r>
      <w:proofErr w:type="spellEnd"/>
      <w:r w:rsidRPr="002F6CBB">
        <w:rPr>
          <w:lang w:val="en-CA"/>
        </w:rPr>
        <w:t>.</w:t>
      </w:r>
    </w:p>
    <w:p w14:paraId="799BAA06" w14:textId="72267B04" w:rsidR="00810CE6" w:rsidRPr="002F6CBB" w:rsidRDefault="00975236" w:rsidP="00185A28">
      <w:pPr>
        <w:pStyle w:val="Paragraphe"/>
        <w:rPr>
          <w:lang w:val="en-CA"/>
        </w:rPr>
      </w:pPr>
      <w:r w:rsidRPr="002F6CBB">
        <w:rPr>
          <w:lang w:val="en-CA"/>
        </w:rPr>
        <w:t xml:space="preserve">Officers </w:t>
      </w:r>
      <w:proofErr w:type="spellStart"/>
      <w:r w:rsidRPr="002F6CBB">
        <w:rPr>
          <w:lang w:val="en-CA"/>
        </w:rPr>
        <w:t>Beaulac</w:t>
      </w:r>
      <w:proofErr w:type="spellEnd"/>
      <w:r w:rsidRPr="002F6CBB">
        <w:rPr>
          <w:lang w:val="en-CA"/>
        </w:rPr>
        <w:t xml:space="preserve"> and Lamothe state</w:t>
      </w:r>
      <w:r w:rsidR="00FD2D0B">
        <w:rPr>
          <w:lang w:val="en-CA"/>
        </w:rPr>
        <w:t>d</w:t>
      </w:r>
      <w:r w:rsidRPr="002F6CBB">
        <w:rPr>
          <w:lang w:val="en-CA"/>
        </w:rPr>
        <w:t xml:space="preserve"> that they were a few cars </w:t>
      </w:r>
      <w:r w:rsidRPr="002F6CBB">
        <w:rPr>
          <w:i/>
          <w:lang w:val="en-CA"/>
        </w:rPr>
        <w:t>behind</w:t>
      </w:r>
      <w:r w:rsidRPr="002F6CBB">
        <w:rPr>
          <w:lang w:val="en-CA"/>
        </w:rPr>
        <w:t xml:space="preserve"> the Acura driven by the complainant when they neared the intersection of </w:t>
      </w:r>
      <w:proofErr w:type="spellStart"/>
      <w:r w:rsidRPr="002F6CBB">
        <w:rPr>
          <w:lang w:val="en-CA"/>
        </w:rPr>
        <w:t>Curé</w:t>
      </w:r>
      <w:proofErr w:type="spellEnd"/>
      <w:r w:rsidRPr="002F6CBB">
        <w:rPr>
          <w:lang w:val="en-CA"/>
        </w:rPr>
        <w:t>-Labelle and Saint-Martin.</w:t>
      </w:r>
      <w:r w:rsidR="00BC67BE" w:rsidRPr="002F6CBB">
        <w:rPr>
          <w:lang w:val="en-CA"/>
        </w:rPr>
        <w:t xml:space="preserve"> </w:t>
      </w:r>
      <w:r w:rsidRPr="002F6CBB">
        <w:rPr>
          <w:lang w:val="en-CA"/>
        </w:rPr>
        <w:t xml:space="preserve">According to Officer </w:t>
      </w:r>
      <w:proofErr w:type="spellStart"/>
      <w:r w:rsidRPr="002F6CBB">
        <w:rPr>
          <w:lang w:val="en-CA"/>
        </w:rPr>
        <w:t>Beaulac</w:t>
      </w:r>
      <w:proofErr w:type="spellEnd"/>
      <w:r w:rsidRPr="002F6CBB">
        <w:rPr>
          <w:lang w:val="en-CA"/>
        </w:rPr>
        <w:t xml:space="preserve">, they were </w:t>
      </w:r>
      <w:r w:rsidR="00FD2D0B">
        <w:rPr>
          <w:lang w:val="en-CA"/>
        </w:rPr>
        <w:t xml:space="preserve">following </w:t>
      </w:r>
      <w:r w:rsidRPr="002F6CBB">
        <w:rPr>
          <w:lang w:val="en-CA"/>
        </w:rPr>
        <w:t>the complainant</w:t>
      </w:r>
      <w:r w:rsidR="00FD2D0B" w:rsidRPr="00FD2D0B">
        <w:rPr>
          <w:lang w:val="en-CA"/>
        </w:rPr>
        <w:t xml:space="preserve"> </w:t>
      </w:r>
      <w:r w:rsidR="00FD2D0B" w:rsidRPr="002F6CBB">
        <w:rPr>
          <w:lang w:val="en-CA"/>
        </w:rPr>
        <w:t>in the same lane</w:t>
      </w:r>
      <w:r w:rsidR="00160597">
        <w:rPr>
          <w:lang w:val="en-CA"/>
        </w:rPr>
        <w:t xml:space="preserve"> –</w:t>
      </w:r>
      <w:r w:rsidRPr="002F6CBB">
        <w:rPr>
          <w:lang w:val="en-CA"/>
        </w:rPr>
        <w:t xml:space="preserve"> the centre-left lane to </w:t>
      </w:r>
      <w:r w:rsidR="00FD2D0B">
        <w:rPr>
          <w:lang w:val="en-CA"/>
        </w:rPr>
        <w:t xml:space="preserve">continue driving </w:t>
      </w:r>
      <w:r w:rsidRPr="002F6CBB">
        <w:rPr>
          <w:lang w:val="en-CA"/>
        </w:rPr>
        <w:t>straight</w:t>
      </w:r>
      <w:r w:rsidR="00160597">
        <w:rPr>
          <w:lang w:val="en-CA"/>
        </w:rPr>
        <w:t xml:space="preserve"> –</w:t>
      </w:r>
      <w:r w:rsidRPr="002F6CBB">
        <w:rPr>
          <w:lang w:val="en-CA"/>
        </w:rPr>
        <w:t xml:space="preserve"> whereas </w:t>
      </w:r>
      <w:r w:rsidR="00FD2D0B">
        <w:rPr>
          <w:lang w:val="en-CA"/>
        </w:rPr>
        <w:t xml:space="preserve">the memory of </w:t>
      </w:r>
      <w:r w:rsidRPr="002F6CBB">
        <w:rPr>
          <w:lang w:val="en-CA"/>
        </w:rPr>
        <w:t>her colleague Officer Lamothe is less precise.</w:t>
      </w:r>
      <w:r w:rsidR="00BC67BE" w:rsidRPr="002F6CBB">
        <w:rPr>
          <w:lang w:val="en-CA"/>
        </w:rPr>
        <w:t xml:space="preserve"> </w:t>
      </w:r>
      <w:r w:rsidRPr="002F6CBB">
        <w:rPr>
          <w:lang w:val="en-CA"/>
        </w:rPr>
        <w:t xml:space="preserve">According to Officer Lamothe, the patrol car was in the same lane as the complainant or in the centre-right lane, to </w:t>
      </w:r>
      <w:r w:rsidR="00FD2D0B">
        <w:rPr>
          <w:lang w:val="en-CA"/>
        </w:rPr>
        <w:t xml:space="preserve">continue driving </w:t>
      </w:r>
      <w:r w:rsidRPr="002F6CBB">
        <w:rPr>
          <w:lang w:val="en-CA"/>
        </w:rPr>
        <w:t>straight, but she recalls there being several vehicles between the white Acura driven by Mr. Woodley and the patrol car.</w:t>
      </w:r>
    </w:p>
    <w:p w14:paraId="63D6B412" w14:textId="268E4CDB" w:rsidR="00810CE6" w:rsidRPr="002F6CBB" w:rsidRDefault="00975236" w:rsidP="00185A28">
      <w:pPr>
        <w:pStyle w:val="Paragraphe"/>
        <w:rPr>
          <w:lang w:val="en-CA"/>
        </w:rPr>
      </w:pPr>
      <w:r w:rsidRPr="002F6CBB">
        <w:rPr>
          <w:lang w:val="en-CA"/>
        </w:rPr>
        <w:t xml:space="preserve">Officer Lamothe </w:t>
      </w:r>
      <w:r w:rsidR="00143BB1">
        <w:rPr>
          <w:lang w:val="en-CA"/>
        </w:rPr>
        <w:t xml:space="preserve">conducted a </w:t>
      </w:r>
      <w:r w:rsidR="00EE21D1">
        <w:rPr>
          <w:lang w:val="en-CA"/>
        </w:rPr>
        <w:t>QPIC</w:t>
      </w:r>
      <w:r w:rsidR="00143BB1">
        <w:rPr>
          <w:lang w:val="en-CA"/>
        </w:rPr>
        <w:t xml:space="preserve"> search</w:t>
      </w:r>
      <w:r w:rsidRPr="002F6CBB">
        <w:rPr>
          <w:lang w:val="en-CA"/>
        </w:rPr>
        <w:t xml:space="preserve"> wh</w:t>
      </w:r>
      <w:r w:rsidR="00143BB1">
        <w:rPr>
          <w:lang w:val="en-CA"/>
        </w:rPr>
        <w:t>il</w:t>
      </w:r>
      <w:r w:rsidR="00FD2D0B">
        <w:rPr>
          <w:lang w:val="en-CA"/>
        </w:rPr>
        <w:t>e</w:t>
      </w:r>
      <w:r w:rsidRPr="002F6CBB">
        <w:rPr>
          <w:lang w:val="en-CA"/>
        </w:rPr>
        <w:t xml:space="preserve"> Officer </w:t>
      </w:r>
      <w:proofErr w:type="spellStart"/>
      <w:r w:rsidRPr="002F6CBB">
        <w:rPr>
          <w:lang w:val="en-CA"/>
        </w:rPr>
        <w:t>Beaulac</w:t>
      </w:r>
      <w:proofErr w:type="spellEnd"/>
      <w:r w:rsidRPr="002F6CBB">
        <w:rPr>
          <w:lang w:val="en-CA"/>
        </w:rPr>
        <w:t xml:space="preserve"> was driving.</w:t>
      </w:r>
      <w:r w:rsidR="00BC67BE" w:rsidRPr="002F6CBB">
        <w:rPr>
          <w:lang w:val="en-CA"/>
        </w:rPr>
        <w:t xml:space="preserve"> </w:t>
      </w:r>
      <w:r w:rsidRPr="002F6CBB">
        <w:rPr>
          <w:lang w:val="en-CA"/>
        </w:rPr>
        <w:t xml:space="preserve">Officer Lamothe </w:t>
      </w:r>
      <w:r w:rsidR="00DF077A">
        <w:rPr>
          <w:lang w:val="en-CA"/>
        </w:rPr>
        <w:t xml:space="preserve">no longer </w:t>
      </w:r>
      <w:r w:rsidRPr="002F6CBB">
        <w:rPr>
          <w:lang w:val="en-CA"/>
        </w:rPr>
        <w:t>re</w:t>
      </w:r>
      <w:r w:rsidR="00DF077A">
        <w:rPr>
          <w:lang w:val="en-CA"/>
        </w:rPr>
        <w:t>calls</w:t>
      </w:r>
      <w:r w:rsidRPr="002F6CBB">
        <w:rPr>
          <w:lang w:val="en-CA"/>
        </w:rPr>
        <w:t xml:space="preserve"> </w:t>
      </w:r>
      <w:r w:rsidR="00FF618C">
        <w:rPr>
          <w:lang w:val="en-CA"/>
        </w:rPr>
        <w:t>the situation</w:t>
      </w:r>
      <w:r w:rsidR="00FD2D0B">
        <w:rPr>
          <w:lang w:val="en-CA"/>
        </w:rPr>
        <w:t xml:space="preserve"> with certainty </w:t>
      </w:r>
      <w:r w:rsidRPr="002F6CBB">
        <w:rPr>
          <w:lang w:val="en-CA"/>
        </w:rPr>
        <w:t xml:space="preserve">and </w:t>
      </w:r>
      <w:r w:rsidR="00FD2D0B">
        <w:rPr>
          <w:lang w:val="en-CA"/>
        </w:rPr>
        <w:t xml:space="preserve">raised </w:t>
      </w:r>
      <w:r w:rsidRPr="002F6CBB">
        <w:rPr>
          <w:lang w:val="en-CA"/>
        </w:rPr>
        <w:t xml:space="preserve">two possible scenarios: either she </w:t>
      </w:r>
      <w:r w:rsidR="00FD2D0B">
        <w:rPr>
          <w:lang w:val="en-CA"/>
        </w:rPr>
        <w:t xml:space="preserve">ran </w:t>
      </w:r>
      <w:r w:rsidRPr="002F6CBB">
        <w:rPr>
          <w:lang w:val="en-CA"/>
        </w:rPr>
        <w:t xml:space="preserve">the </w:t>
      </w:r>
      <w:r w:rsidR="00FD2D0B">
        <w:rPr>
          <w:lang w:val="en-CA"/>
        </w:rPr>
        <w:t xml:space="preserve">plate of the </w:t>
      </w:r>
      <w:r w:rsidRPr="002F6CBB">
        <w:rPr>
          <w:lang w:val="en-CA"/>
        </w:rPr>
        <w:t>white Acura</w:t>
      </w:r>
      <w:r w:rsidR="00FD2D0B">
        <w:rPr>
          <w:lang w:val="en-CA"/>
        </w:rPr>
        <w:t xml:space="preserve"> </w:t>
      </w:r>
      <w:r w:rsidR="00AB4CE4">
        <w:rPr>
          <w:lang w:val="en-CA"/>
        </w:rPr>
        <w:t>diagonally next to the patrol car</w:t>
      </w:r>
      <w:r w:rsidR="00FD2D0B">
        <w:rPr>
          <w:lang w:val="en-CA"/>
        </w:rPr>
        <w:t xml:space="preserve"> </w:t>
      </w:r>
      <w:r w:rsidRPr="002F6CBB">
        <w:rPr>
          <w:lang w:val="en-CA"/>
        </w:rPr>
        <w:t>or she did so while they were in the same lane.</w:t>
      </w:r>
      <w:r w:rsidR="00BC67BE" w:rsidRPr="002F6CBB">
        <w:rPr>
          <w:lang w:val="en-CA"/>
        </w:rPr>
        <w:t xml:space="preserve"> </w:t>
      </w:r>
      <w:r w:rsidRPr="002F6CBB">
        <w:rPr>
          <w:lang w:val="en-CA"/>
        </w:rPr>
        <w:t>This was a random check because the Acura’s rear window was tinted</w:t>
      </w:r>
      <w:r w:rsidR="00FF618C">
        <w:rPr>
          <w:lang w:val="en-CA"/>
        </w:rPr>
        <w:t>,</w:t>
      </w:r>
      <w:r w:rsidRPr="002F6CBB">
        <w:rPr>
          <w:lang w:val="en-CA"/>
        </w:rPr>
        <w:t xml:space="preserve"> and she could not see who was inside the car.</w:t>
      </w:r>
    </w:p>
    <w:p w14:paraId="3EC6F52D" w14:textId="0D10E155" w:rsidR="00810CE6" w:rsidRPr="002F6CBB" w:rsidRDefault="00975236" w:rsidP="00185A28">
      <w:pPr>
        <w:pStyle w:val="Paragraphe"/>
        <w:rPr>
          <w:lang w:val="en-CA"/>
        </w:rPr>
      </w:pPr>
      <w:r w:rsidRPr="002F6CBB">
        <w:rPr>
          <w:lang w:val="en-CA"/>
        </w:rPr>
        <w:t xml:space="preserve">The </w:t>
      </w:r>
      <w:r w:rsidR="00143BB1">
        <w:rPr>
          <w:lang w:val="en-CA"/>
        </w:rPr>
        <w:t>search</w:t>
      </w:r>
      <w:r w:rsidRPr="002F6CBB">
        <w:rPr>
          <w:lang w:val="en-CA"/>
        </w:rPr>
        <w:t xml:space="preserve"> revealed that the Acura </w:t>
      </w:r>
      <w:r w:rsidR="00AB4CE4">
        <w:rPr>
          <w:lang w:val="en-CA"/>
        </w:rPr>
        <w:t xml:space="preserve">was owned by a woman with </w:t>
      </w:r>
      <w:r w:rsidRPr="002F6CBB">
        <w:rPr>
          <w:lang w:val="en-CA"/>
        </w:rPr>
        <w:t>a valid driver’s licence.</w:t>
      </w:r>
      <w:r w:rsidR="00BC67BE" w:rsidRPr="002F6CBB">
        <w:rPr>
          <w:lang w:val="en-CA"/>
        </w:rPr>
        <w:t xml:space="preserve"> </w:t>
      </w:r>
      <w:r w:rsidR="000A5AAF" w:rsidRPr="002F6CBB">
        <w:rPr>
          <w:lang w:val="en-CA"/>
        </w:rPr>
        <w:t xml:space="preserve">Everything was </w:t>
      </w:r>
      <w:r w:rsidR="00AB4CE4">
        <w:rPr>
          <w:lang w:val="en-CA"/>
        </w:rPr>
        <w:t>in order</w:t>
      </w:r>
      <w:r w:rsidR="00FF618C">
        <w:rPr>
          <w:lang w:val="en-CA"/>
        </w:rPr>
        <w:t>,</w:t>
      </w:r>
      <w:r w:rsidR="00AB4CE4">
        <w:rPr>
          <w:lang w:val="en-CA"/>
        </w:rPr>
        <w:t xml:space="preserve"> and</w:t>
      </w:r>
      <w:r w:rsidR="000A5AAF" w:rsidRPr="002F6CBB">
        <w:rPr>
          <w:lang w:val="en-CA"/>
        </w:rPr>
        <w:t xml:space="preserve"> the officers changed </w:t>
      </w:r>
      <w:r w:rsidR="00AB4CE4">
        <w:rPr>
          <w:lang w:val="en-CA"/>
        </w:rPr>
        <w:t>lanes</w:t>
      </w:r>
      <w:r w:rsidR="000A5AAF" w:rsidRPr="002F6CBB">
        <w:rPr>
          <w:lang w:val="en-CA"/>
        </w:rPr>
        <w:t>, crossing one or two lanes according to the scenario</w:t>
      </w:r>
      <w:r w:rsidR="00AB4CE4">
        <w:rPr>
          <w:lang w:val="en-CA"/>
        </w:rPr>
        <w:t xml:space="preserve"> proposed</w:t>
      </w:r>
      <w:r w:rsidR="000A5AAF" w:rsidRPr="002F6CBB">
        <w:rPr>
          <w:lang w:val="en-CA"/>
        </w:rPr>
        <w:t>, so that they could turn left on Saint-Martin.</w:t>
      </w:r>
      <w:r w:rsidR="00BC67BE" w:rsidRPr="002F6CBB">
        <w:rPr>
          <w:lang w:val="en-CA"/>
        </w:rPr>
        <w:t xml:space="preserve"> </w:t>
      </w:r>
      <w:r w:rsidR="00AB4CE4">
        <w:rPr>
          <w:lang w:val="en-CA"/>
        </w:rPr>
        <w:t>B</w:t>
      </w:r>
      <w:r w:rsidR="00AB4CE4" w:rsidRPr="002F6CBB">
        <w:rPr>
          <w:lang w:val="en-CA"/>
        </w:rPr>
        <w:t>efore they stopped at the red light,</w:t>
      </w:r>
      <w:r w:rsidR="00AB4CE4">
        <w:rPr>
          <w:lang w:val="en-CA"/>
        </w:rPr>
        <w:t xml:space="preserve"> </w:t>
      </w:r>
      <w:r w:rsidR="000A5AAF" w:rsidRPr="002F6CBB">
        <w:rPr>
          <w:lang w:val="en-CA"/>
        </w:rPr>
        <w:t xml:space="preserve">they passed the Acura and </w:t>
      </w:r>
      <w:r w:rsidR="00AB4CE4">
        <w:rPr>
          <w:lang w:val="en-CA"/>
        </w:rPr>
        <w:t xml:space="preserve">they </w:t>
      </w:r>
      <w:r w:rsidR="000A5AAF" w:rsidRPr="002F6CBB">
        <w:rPr>
          <w:lang w:val="en-CA"/>
        </w:rPr>
        <w:t>both saw that a man was driving the car.</w:t>
      </w:r>
    </w:p>
    <w:p w14:paraId="71B882A1" w14:textId="22B923B5" w:rsidR="00810CE6" w:rsidRPr="002F6CBB" w:rsidRDefault="000A5AAF" w:rsidP="00185A28">
      <w:pPr>
        <w:pStyle w:val="Paragraphe"/>
        <w:rPr>
          <w:lang w:val="en-CA"/>
        </w:rPr>
      </w:pPr>
      <w:r w:rsidRPr="002F6CBB">
        <w:rPr>
          <w:lang w:val="en-CA"/>
        </w:rPr>
        <w:t>Officer Lamothe noticed that the driver was wearing a cap, had a goatee</w:t>
      </w:r>
      <w:r w:rsidR="00AB4CE4">
        <w:rPr>
          <w:lang w:val="en-CA"/>
        </w:rPr>
        <w:t>,</w:t>
      </w:r>
      <w:r w:rsidRPr="002F6CBB">
        <w:rPr>
          <w:lang w:val="en-CA"/>
        </w:rPr>
        <w:t xml:space="preserve"> and </w:t>
      </w:r>
      <w:r w:rsidR="00AB4CE4">
        <w:rPr>
          <w:lang w:val="en-CA"/>
        </w:rPr>
        <w:t xml:space="preserve">appeared </w:t>
      </w:r>
      <w:r w:rsidRPr="002F6CBB">
        <w:rPr>
          <w:lang w:val="en-CA"/>
        </w:rPr>
        <w:t>to be between 30 and 40 years old.</w:t>
      </w:r>
      <w:r w:rsidR="00BC67BE" w:rsidRPr="002F6CBB">
        <w:rPr>
          <w:lang w:val="en-CA"/>
        </w:rPr>
        <w:t xml:space="preserve"> </w:t>
      </w:r>
      <w:r w:rsidR="00E748CC">
        <w:rPr>
          <w:lang w:val="en-CA"/>
        </w:rPr>
        <w:t>However, s</w:t>
      </w:r>
      <w:r w:rsidRPr="002F6CBB">
        <w:rPr>
          <w:lang w:val="en-CA"/>
        </w:rPr>
        <w:t>he does not know whether she noticed at th</w:t>
      </w:r>
      <w:r w:rsidR="00AB4CE4">
        <w:rPr>
          <w:lang w:val="en-CA"/>
        </w:rPr>
        <w:t>at</w:t>
      </w:r>
      <w:r w:rsidRPr="002F6CBB">
        <w:rPr>
          <w:lang w:val="en-CA"/>
        </w:rPr>
        <w:t xml:space="preserve"> </w:t>
      </w:r>
      <w:r w:rsidR="00AB4CE4">
        <w:rPr>
          <w:lang w:val="en-CA"/>
        </w:rPr>
        <w:t xml:space="preserve">moment </w:t>
      </w:r>
      <w:r w:rsidRPr="002F6CBB">
        <w:rPr>
          <w:lang w:val="en-CA"/>
        </w:rPr>
        <w:t>that he was</w:t>
      </w:r>
      <w:r w:rsidR="00332B65">
        <w:rPr>
          <w:lang w:val="en-CA"/>
        </w:rPr>
        <w:t xml:space="preserve"> a</w:t>
      </w:r>
      <w:r w:rsidRPr="002F6CBB">
        <w:rPr>
          <w:lang w:val="en-CA"/>
        </w:rPr>
        <w:t xml:space="preserve"> </w:t>
      </w:r>
      <w:r w:rsidR="00C14519">
        <w:rPr>
          <w:lang w:val="en-CA"/>
        </w:rPr>
        <w:t>Black</w:t>
      </w:r>
      <w:r w:rsidR="00846FBD">
        <w:rPr>
          <w:lang w:val="en-CA"/>
        </w:rPr>
        <w:t xml:space="preserve"> man</w:t>
      </w:r>
      <w:r w:rsidRPr="002F6CBB">
        <w:rPr>
          <w:lang w:val="en-CA"/>
        </w:rPr>
        <w:t>.</w:t>
      </w:r>
      <w:r w:rsidR="00BC67BE" w:rsidRPr="002F6CBB">
        <w:rPr>
          <w:lang w:val="en-CA"/>
        </w:rPr>
        <w:t xml:space="preserve"> </w:t>
      </w:r>
      <w:r w:rsidRPr="002F6CBB">
        <w:rPr>
          <w:lang w:val="en-CA"/>
        </w:rPr>
        <w:t xml:space="preserve">Her colleague </w:t>
      </w:r>
      <w:proofErr w:type="spellStart"/>
      <w:r w:rsidRPr="002F6CBB">
        <w:rPr>
          <w:lang w:val="en-CA"/>
        </w:rPr>
        <w:t>Beaulac</w:t>
      </w:r>
      <w:proofErr w:type="spellEnd"/>
      <w:r w:rsidRPr="002F6CBB">
        <w:rPr>
          <w:lang w:val="en-CA"/>
        </w:rPr>
        <w:t xml:space="preserve"> said that she realized he was a </w:t>
      </w:r>
      <w:r w:rsidR="00C14519">
        <w:rPr>
          <w:lang w:val="en-CA"/>
        </w:rPr>
        <w:t>Black</w:t>
      </w:r>
      <w:r w:rsidRPr="002F6CBB">
        <w:rPr>
          <w:lang w:val="en-CA"/>
        </w:rPr>
        <w:t xml:space="preserve"> man only after they </w:t>
      </w:r>
      <w:r w:rsidR="00A75075">
        <w:rPr>
          <w:lang w:val="en-CA"/>
        </w:rPr>
        <w:t xml:space="preserve">intercepted </w:t>
      </w:r>
      <w:r w:rsidRPr="002F6CBB">
        <w:rPr>
          <w:lang w:val="en-CA"/>
        </w:rPr>
        <w:t>him on Loranger Street.</w:t>
      </w:r>
      <w:r w:rsidR="00BC67BE" w:rsidRPr="002F6CBB">
        <w:rPr>
          <w:lang w:val="en-CA"/>
        </w:rPr>
        <w:t xml:space="preserve"> </w:t>
      </w:r>
      <w:r w:rsidRPr="002F6CBB">
        <w:rPr>
          <w:lang w:val="en-CA"/>
        </w:rPr>
        <w:t xml:space="preserve">Officer Lamothe </w:t>
      </w:r>
      <w:r w:rsidR="00AB4CE4">
        <w:rPr>
          <w:lang w:val="en-CA"/>
        </w:rPr>
        <w:t>conducted a</w:t>
      </w:r>
      <w:r w:rsidR="00143BB1">
        <w:rPr>
          <w:lang w:val="en-CA"/>
        </w:rPr>
        <w:t xml:space="preserve"> second</w:t>
      </w:r>
      <w:r w:rsidR="00AB4CE4">
        <w:rPr>
          <w:lang w:val="en-CA"/>
        </w:rPr>
        <w:t xml:space="preserve"> </w:t>
      </w:r>
      <w:r w:rsidR="00143BB1">
        <w:rPr>
          <w:lang w:val="en-CA"/>
        </w:rPr>
        <w:t>search</w:t>
      </w:r>
      <w:r w:rsidRPr="002F6CBB">
        <w:rPr>
          <w:lang w:val="en-CA"/>
        </w:rPr>
        <w:t xml:space="preserve"> to confirm </w:t>
      </w:r>
      <w:r w:rsidR="00AB4CE4">
        <w:rPr>
          <w:lang w:val="en-CA"/>
        </w:rPr>
        <w:t xml:space="preserve">who </w:t>
      </w:r>
      <w:r w:rsidRPr="002F6CBB">
        <w:rPr>
          <w:lang w:val="en-CA"/>
        </w:rPr>
        <w:t>owne</w:t>
      </w:r>
      <w:r w:rsidR="00AB4CE4">
        <w:rPr>
          <w:lang w:val="en-CA"/>
        </w:rPr>
        <w:t>d</w:t>
      </w:r>
      <w:r w:rsidRPr="002F6CBB">
        <w:rPr>
          <w:lang w:val="en-CA"/>
        </w:rPr>
        <w:t xml:space="preserve"> the white Acura and saw that no man was </w:t>
      </w:r>
      <w:r w:rsidR="00AB4CE4">
        <w:rPr>
          <w:lang w:val="en-CA"/>
        </w:rPr>
        <w:t xml:space="preserve">registered </w:t>
      </w:r>
      <w:r w:rsidRPr="002F6CBB">
        <w:rPr>
          <w:lang w:val="en-CA"/>
        </w:rPr>
        <w:t>at the owner’s address.</w:t>
      </w:r>
      <w:r w:rsidR="00BC67BE" w:rsidRPr="002F6CBB">
        <w:rPr>
          <w:lang w:val="en-CA"/>
        </w:rPr>
        <w:t xml:space="preserve"> </w:t>
      </w:r>
      <w:r w:rsidRPr="002F6CBB">
        <w:rPr>
          <w:lang w:val="en-CA"/>
        </w:rPr>
        <w:t xml:space="preserve">She then informed her colleague </w:t>
      </w:r>
      <w:proofErr w:type="spellStart"/>
      <w:r w:rsidRPr="002F6CBB">
        <w:rPr>
          <w:lang w:val="en-CA"/>
        </w:rPr>
        <w:t>Beaulac</w:t>
      </w:r>
      <w:proofErr w:type="spellEnd"/>
      <w:r w:rsidRPr="002F6CBB">
        <w:rPr>
          <w:lang w:val="en-CA"/>
        </w:rPr>
        <w:t xml:space="preserve"> that they had to </w:t>
      </w:r>
      <w:r w:rsidR="00A75075">
        <w:rPr>
          <w:lang w:val="en-CA"/>
        </w:rPr>
        <w:t xml:space="preserve">intercept </w:t>
      </w:r>
      <w:r w:rsidRPr="002F6CBB">
        <w:rPr>
          <w:lang w:val="en-CA"/>
        </w:rPr>
        <w:t>that car to check the driver’s papers.</w:t>
      </w:r>
      <w:r w:rsidR="00BC67BE" w:rsidRPr="002F6CBB">
        <w:rPr>
          <w:lang w:val="en-CA"/>
        </w:rPr>
        <w:t xml:space="preserve"> </w:t>
      </w:r>
    </w:p>
    <w:p w14:paraId="4E785F09" w14:textId="0BC398D9" w:rsidR="00810CE6" w:rsidRPr="002F6CBB" w:rsidRDefault="000A5AAF" w:rsidP="00185A28">
      <w:pPr>
        <w:pStyle w:val="Paragraphe"/>
        <w:rPr>
          <w:lang w:val="en-CA"/>
        </w:rPr>
      </w:pPr>
      <w:r w:rsidRPr="002F6CBB">
        <w:rPr>
          <w:lang w:val="en-CA"/>
        </w:rPr>
        <w:lastRenderedPageBreak/>
        <w:t xml:space="preserve">The Tribunal believes the complainant and accepts his testimony because it </w:t>
      </w:r>
      <w:r w:rsidR="00AB4CE4">
        <w:rPr>
          <w:lang w:val="en-CA"/>
        </w:rPr>
        <w:t>i</w:t>
      </w:r>
      <w:r w:rsidRPr="002F6CBB">
        <w:rPr>
          <w:lang w:val="en-CA"/>
        </w:rPr>
        <w:t xml:space="preserve">s </w:t>
      </w:r>
      <w:r w:rsidR="00AB4CE4">
        <w:rPr>
          <w:lang w:val="en-CA"/>
        </w:rPr>
        <w:t>coherent</w:t>
      </w:r>
      <w:r w:rsidRPr="002F6CBB">
        <w:rPr>
          <w:lang w:val="en-CA"/>
        </w:rPr>
        <w:t xml:space="preserve">, unequivocal, uncontradicted, plausible, and consistent with the evidence adduced and the testimony </w:t>
      </w:r>
      <w:r w:rsidR="00AB4CE4">
        <w:rPr>
          <w:lang w:val="en-CA"/>
        </w:rPr>
        <w:t xml:space="preserve">given </w:t>
      </w:r>
      <w:r w:rsidRPr="002F6CBB">
        <w:rPr>
          <w:lang w:val="en-CA"/>
        </w:rPr>
        <w:t>at the pre-trial examinations.</w:t>
      </w:r>
    </w:p>
    <w:p w14:paraId="7AE2C28B" w14:textId="7E0BAC27" w:rsidR="00154827" w:rsidRPr="002F6CBB" w:rsidRDefault="000A5AAF" w:rsidP="00185A28">
      <w:pPr>
        <w:pStyle w:val="Paragraphe"/>
        <w:rPr>
          <w:lang w:val="en-CA"/>
        </w:rPr>
      </w:pPr>
      <w:r w:rsidRPr="002F6CBB">
        <w:rPr>
          <w:lang w:val="en-CA"/>
        </w:rPr>
        <w:t xml:space="preserve">The </w:t>
      </w:r>
      <w:r w:rsidR="00AB4CE4" w:rsidRPr="002F6CBB">
        <w:rPr>
          <w:lang w:val="en-CA"/>
        </w:rPr>
        <w:t>defendants</w:t>
      </w:r>
      <w:r w:rsidR="00AB4CE4">
        <w:rPr>
          <w:lang w:val="en-CA"/>
        </w:rPr>
        <w:t>’</w:t>
      </w:r>
      <w:r w:rsidR="00AB4CE4" w:rsidRPr="002F6CBB">
        <w:rPr>
          <w:lang w:val="en-CA"/>
        </w:rPr>
        <w:t xml:space="preserve"> </w:t>
      </w:r>
      <w:r w:rsidRPr="002F6CBB">
        <w:rPr>
          <w:lang w:val="en-CA"/>
        </w:rPr>
        <w:t xml:space="preserve">position, on the other hand, is less logical and more implausible. </w:t>
      </w:r>
    </w:p>
    <w:p w14:paraId="684E4C60" w14:textId="257CF4E8" w:rsidR="00810CE6" w:rsidRPr="002F6CBB" w:rsidRDefault="000A5AAF" w:rsidP="00185A28">
      <w:pPr>
        <w:pStyle w:val="Paragraphe"/>
        <w:rPr>
          <w:lang w:val="en-CA"/>
        </w:rPr>
      </w:pPr>
      <w:r w:rsidRPr="002F6CBB">
        <w:rPr>
          <w:lang w:val="en-CA"/>
        </w:rPr>
        <w:t xml:space="preserve">They claim that they were behind the Acura driven by the complainant at the intersection of </w:t>
      </w:r>
      <w:proofErr w:type="spellStart"/>
      <w:r w:rsidRPr="002F6CBB">
        <w:rPr>
          <w:lang w:val="en-CA"/>
        </w:rPr>
        <w:t>Curé</w:t>
      </w:r>
      <w:proofErr w:type="spellEnd"/>
      <w:r w:rsidRPr="002F6CBB">
        <w:rPr>
          <w:lang w:val="en-CA"/>
        </w:rPr>
        <w:t xml:space="preserve">-Labelle and Saint-Martin Boulevards but </w:t>
      </w:r>
      <w:r w:rsidR="00E748CC">
        <w:rPr>
          <w:lang w:val="en-CA"/>
        </w:rPr>
        <w:t xml:space="preserve">do </w:t>
      </w:r>
      <w:r w:rsidRPr="002F6CBB">
        <w:rPr>
          <w:lang w:val="en-CA"/>
        </w:rPr>
        <w:t>not agree on which lane they were in.</w:t>
      </w:r>
      <w:r w:rsidR="009A2493" w:rsidRPr="002F6CBB">
        <w:rPr>
          <w:lang w:val="en-CA"/>
        </w:rPr>
        <w:t xml:space="preserve"> </w:t>
      </w:r>
      <w:r w:rsidRPr="002F6CBB">
        <w:rPr>
          <w:lang w:val="en-CA"/>
        </w:rPr>
        <w:t xml:space="preserve">This element alone </w:t>
      </w:r>
      <w:r w:rsidR="00B00461">
        <w:rPr>
          <w:lang w:val="en-CA"/>
        </w:rPr>
        <w:t xml:space="preserve">would </w:t>
      </w:r>
      <w:r w:rsidRPr="002F6CBB">
        <w:rPr>
          <w:lang w:val="en-CA"/>
        </w:rPr>
        <w:t>not necessarily suffice to discredit the officers’ testimony.</w:t>
      </w:r>
      <w:r w:rsidR="009A2493" w:rsidRPr="002F6CBB">
        <w:rPr>
          <w:lang w:val="en-CA"/>
        </w:rPr>
        <w:t xml:space="preserve"> </w:t>
      </w:r>
      <w:r w:rsidRPr="002F6CBB">
        <w:rPr>
          <w:lang w:val="en-CA"/>
        </w:rPr>
        <w:t xml:space="preserve">Considering the number of </w:t>
      </w:r>
      <w:r w:rsidR="00A75075">
        <w:rPr>
          <w:lang w:val="en-CA"/>
        </w:rPr>
        <w:t>interceptions</w:t>
      </w:r>
      <w:r w:rsidRPr="002F6CBB">
        <w:rPr>
          <w:lang w:val="en-CA"/>
        </w:rPr>
        <w:t xml:space="preserve"> that may occur in one day and the time </w:t>
      </w:r>
      <w:r w:rsidR="00B00461">
        <w:rPr>
          <w:lang w:val="en-CA"/>
        </w:rPr>
        <w:t>that has passed</w:t>
      </w:r>
      <w:r w:rsidRPr="002F6CBB">
        <w:rPr>
          <w:lang w:val="en-CA"/>
        </w:rPr>
        <w:t xml:space="preserve"> between the incident and the trial, it is difficult to fault them for </w:t>
      </w:r>
      <w:r w:rsidR="00B00461">
        <w:rPr>
          <w:lang w:val="en-CA"/>
        </w:rPr>
        <w:t xml:space="preserve">imprecision </w:t>
      </w:r>
      <w:r w:rsidRPr="002F6CBB">
        <w:rPr>
          <w:lang w:val="en-CA"/>
        </w:rPr>
        <w:t>o</w:t>
      </w:r>
      <w:r w:rsidR="00B00461">
        <w:rPr>
          <w:lang w:val="en-CA"/>
        </w:rPr>
        <w:t>n</w:t>
      </w:r>
      <w:r w:rsidRPr="002F6CBB">
        <w:rPr>
          <w:lang w:val="en-CA"/>
        </w:rPr>
        <w:t xml:space="preserve"> this detail.</w:t>
      </w:r>
      <w:r w:rsidR="009A2493" w:rsidRPr="002F6CBB">
        <w:rPr>
          <w:lang w:val="en-CA"/>
        </w:rPr>
        <w:t xml:space="preserve"> </w:t>
      </w:r>
      <w:r w:rsidRPr="002F6CBB">
        <w:rPr>
          <w:lang w:val="en-CA"/>
        </w:rPr>
        <w:t>It must be combined, however, with other elements.</w:t>
      </w:r>
    </w:p>
    <w:p w14:paraId="1ED4DEB6" w14:textId="17579FB8" w:rsidR="00810CE6" w:rsidRPr="002F6CBB" w:rsidRDefault="000A5AAF" w:rsidP="00185A28">
      <w:pPr>
        <w:pStyle w:val="Paragraphe"/>
        <w:rPr>
          <w:lang w:val="en-CA"/>
        </w:rPr>
      </w:pPr>
      <w:r w:rsidRPr="002F6CBB">
        <w:rPr>
          <w:lang w:val="en-CA"/>
        </w:rPr>
        <w:t xml:space="preserve">The officers stated that they </w:t>
      </w:r>
      <w:r w:rsidR="00B00461">
        <w:rPr>
          <w:lang w:val="en-CA"/>
        </w:rPr>
        <w:t xml:space="preserve">ran </w:t>
      </w:r>
      <w:r w:rsidRPr="002F6CBB">
        <w:rPr>
          <w:lang w:val="en-CA"/>
        </w:rPr>
        <w:t xml:space="preserve">the plate before they reached the intersection </w:t>
      </w:r>
      <w:r w:rsidR="00B00461">
        <w:rPr>
          <w:lang w:val="en-CA"/>
        </w:rPr>
        <w:t>even though</w:t>
      </w:r>
      <w:r w:rsidRPr="002F6CBB">
        <w:rPr>
          <w:lang w:val="en-CA"/>
        </w:rPr>
        <w:t>, as they admitted, there were several cars between the patrol car and the Acura.</w:t>
      </w:r>
      <w:r w:rsidR="00BC67BE" w:rsidRPr="002F6CBB">
        <w:rPr>
          <w:lang w:val="en-CA"/>
        </w:rPr>
        <w:t xml:space="preserve"> </w:t>
      </w:r>
      <w:r w:rsidRPr="002F6CBB">
        <w:rPr>
          <w:lang w:val="en-CA"/>
        </w:rPr>
        <w:t xml:space="preserve">Unless they can see through cars, this </w:t>
      </w:r>
      <w:r w:rsidR="00B00461">
        <w:rPr>
          <w:lang w:val="en-CA"/>
        </w:rPr>
        <w:t>seem</w:t>
      </w:r>
      <w:r w:rsidRPr="002F6CBB">
        <w:rPr>
          <w:lang w:val="en-CA"/>
        </w:rPr>
        <w:t>s impossible.</w:t>
      </w:r>
      <w:r w:rsidR="00BC67BE" w:rsidRPr="002F6CBB">
        <w:rPr>
          <w:lang w:val="en-CA"/>
        </w:rPr>
        <w:t xml:space="preserve"> </w:t>
      </w:r>
    </w:p>
    <w:p w14:paraId="6770ABCE" w14:textId="38152D1D" w:rsidR="00810CE6" w:rsidRPr="002F6CBB" w:rsidRDefault="000A5AAF" w:rsidP="00185A28">
      <w:pPr>
        <w:pStyle w:val="Paragraphe"/>
        <w:rPr>
          <w:lang w:val="en-CA"/>
        </w:rPr>
      </w:pPr>
      <w:r w:rsidRPr="002F6CBB">
        <w:rPr>
          <w:lang w:val="en-CA"/>
        </w:rPr>
        <w:t xml:space="preserve">The officers maintain that they did a first blind plate </w:t>
      </w:r>
      <w:r w:rsidR="00143BB1">
        <w:rPr>
          <w:lang w:val="en-CA"/>
        </w:rPr>
        <w:t xml:space="preserve">search </w:t>
      </w:r>
      <w:r w:rsidRPr="002F6CBB">
        <w:rPr>
          <w:lang w:val="en-CA"/>
        </w:rPr>
        <w:t>before chang</w:t>
      </w:r>
      <w:r w:rsidR="00B00461">
        <w:rPr>
          <w:lang w:val="en-CA"/>
        </w:rPr>
        <w:t>ing</w:t>
      </w:r>
      <w:r w:rsidRPr="002F6CBB">
        <w:rPr>
          <w:lang w:val="en-CA"/>
        </w:rPr>
        <w:t xml:space="preserve"> lanes and </w:t>
      </w:r>
      <w:r w:rsidR="00B00461">
        <w:rPr>
          <w:lang w:val="en-CA"/>
        </w:rPr>
        <w:t xml:space="preserve">finding themselves </w:t>
      </w:r>
      <w:r w:rsidRPr="002F6CBB">
        <w:rPr>
          <w:lang w:val="en-CA"/>
        </w:rPr>
        <w:t xml:space="preserve">next to the complainant, </w:t>
      </w:r>
      <w:r w:rsidR="00B00461">
        <w:rPr>
          <w:lang w:val="en-CA"/>
        </w:rPr>
        <w:t xml:space="preserve">observing </w:t>
      </w:r>
      <w:r w:rsidRPr="002F6CBB">
        <w:rPr>
          <w:lang w:val="en-CA"/>
        </w:rPr>
        <w:t xml:space="preserve">him, and </w:t>
      </w:r>
      <w:r w:rsidR="00B00461">
        <w:rPr>
          <w:lang w:val="en-CA"/>
        </w:rPr>
        <w:t xml:space="preserve">doing </w:t>
      </w:r>
      <w:r w:rsidRPr="002F6CBB">
        <w:rPr>
          <w:lang w:val="en-CA"/>
        </w:rPr>
        <w:t xml:space="preserve">a second more in-depth </w:t>
      </w:r>
      <w:r w:rsidR="00143BB1">
        <w:rPr>
          <w:lang w:val="en-CA"/>
        </w:rPr>
        <w:t>search</w:t>
      </w:r>
      <w:r w:rsidRPr="002F6CBB">
        <w:rPr>
          <w:lang w:val="en-CA"/>
        </w:rPr>
        <w:t xml:space="preserve">, </w:t>
      </w:r>
      <w:r w:rsidR="00B00461">
        <w:rPr>
          <w:lang w:val="en-CA"/>
        </w:rPr>
        <w:t xml:space="preserve">the whole </w:t>
      </w:r>
      <w:r w:rsidRPr="002F6CBB">
        <w:rPr>
          <w:lang w:val="en-CA"/>
        </w:rPr>
        <w:t>barely six seconds later.</w:t>
      </w:r>
      <w:r w:rsidRPr="002F6CBB">
        <w:rPr>
          <w:rStyle w:val="Appelnotedebasdep"/>
          <w:lang w:val="en-CA"/>
        </w:rPr>
        <w:footnoteReference w:id="52"/>
      </w:r>
      <w:r w:rsidR="00BC67BE" w:rsidRPr="002F6CBB">
        <w:rPr>
          <w:lang w:val="en-CA"/>
        </w:rPr>
        <w:t xml:space="preserve"> </w:t>
      </w:r>
      <w:r w:rsidR="00B00461">
        <w:rPr>
          <w:lang w:val="en-CA"/>
        </w:rPr>
        <w:t xml:space="preserve">Since </w:t>
      </w:r>
      <w:r w:rsidRPr="002F6CBB">
        <w:rPr>
          <w:lang w:val="en-CA"/>
        </w:rPr>
        <w:t xml:space="preserve">the intersection was busy and there were several cars between the patrol car and the Acura, and </w:t>
      </w:r>
      <w:r w:rsidR="00B00461">
        <w:rPr>
          <w:lang w:val="en-CA"/>
        </w:rPr>
        <w:t xml:space="preserve">since </w:t>
      </w:r>
      <w:r w:rsidRPr="002F6CBB">
        <w:rPr>
          <w:lang w:val="en-CA"/>
        </w:rPr>
        <w:t xml:space="preserve">the officers had to </w:t>
      </w:r>
      <w:r w:rsidR="00B00461">
        <w:rPr>
          <w:lang w:val="en-CA"/>
        </w:rPr>
        <w:t xml:space="preserve">cross one </w:t>
      </w:r>
      <w:r w:rsidRPr="002F6CBB">
        <w:rPr>
          <w:lang w:val="en-CA"/>
        </w:rPr>
        <w:t xml:space="preserve">lane, according to Officer </w:t>
      </w:r>
      <w:proofErr w:type="spellStart"/>
      <w:r w:rsidRPr="002F6CBB">
        <w:rPr>
          <w:lang w:val="en-CA"/>
        </w:rPr>
        <w:t>Beaulac</w:t>
      </w:r>
      <w:proofErr w:type="spellEnd"/>
      <w:r w:rsidRPr="002F6CBB">
        <w:rPr>
          <w:lang w:val="en-CA"/>
        </w:rPr>
        <w:t xml:space="preserve"> if not </w:t>
      </w:r>
      <w:r w:rsidR="00B00461">
        <w:rPr>
          <w:lang w:val="en-CA"/>
        </w:rPr>
        <w:t>two</w:t>
      </w:r>
      <w:r w:rsidRPr="002F6CBB">
        <w:rPr>
          <w:lang w:val="en-CA"/>
        </w:rPr>
        <w:t xml:space="preserve">, according to one of the scenarios posited by Officer Lamothe, it is unlikely that the second </w:t>
      </w:r>
      <w:r w:rsidR="00143BB1">
        <w:rPr>
          <w:lang w:val="en-CA"/>
        </w:rPr>
        <w:t>search</w:t>
      </w:r>
      <w:r w:rsidR="00B00461">
        <w:rPr>
          <w:lang w:val="en-CA"/>
        </w:rPr>
        <w:t xml:space="preserve"> </w:t>
      </w:r>
      <w:r w:rsidRPr="002F6CBB">
        <w:rPr>
          <w:lang w:val="en-CA"/>
        </w:rPr>
        <w:t>could have been conducted only six seconds after the first.</w:t>
      </w:r>
      <w:r w:rsidR="00BC67BE" w:rsidRPr="002F6CBB">
        <w:rPr>
          <w:lang w:val="en-CA"/>
        </w:rPr>
        <w:t xml:space="preserve"> </w:t>
      </w:r>
    </w:p>
    <w:p w14:paraId="687BE6CF" w14:textId="6A4A3ECB" w:rsidR="00810CE6" w:rsidRPr="002F6CBB" w:rsidRDefault="00096364" w:rsidP="00185A28">
      <w:pPr>
        <w:pStyle w:val="Paragraphe"/>
        <w:rPr>
          <w:lang w:val="en-CA"/>
        </w:rPr>
      </w:pPr>
      <w:r>
        <w:rPr>
          <w:lang w:val="en-CA"/>
        </w:rPr>
        <w:t>Furthermore</w:t>
      </w:r>
      <w:r w:rsidR="000A5AAF" w:rsidRPr="002F6CBB">
        <w:rPr>
          <w:lang w:val="en-CA"/>
        </w:rPr>
        <w:t>, both officers stated that they did not notice the complainant’s race or colour when they were next to him before they stopped at the red light. At the very least, Officer Lamothe testified that she was not certain that she noticed it.</w:t>
      </w:r>
      <w:r w:rsidR="00BC67BE" w:rsidRPr="002F6CBB">
        <w:rPr>
          <w:lang w:val="en-CA"/>
        </w:rPr>
        <w:t xml:space="preserve"> </w:t>
      </w:r>
      <w:r w:rsidR="000A5AAF" w:rsidRPr="002F6CBB">
        <w:rPr>
          <w:lang w:val="en-CA"/>
        </w:rPr>
        <w:t xml:space="preserve">This version is </w:t>
      </w:r>
      <w:r w:rsidR="00DF077A">
        <w:rPr>
          <w:lang w:val="en-CA"/>
        </w:rPr>
        <w:t>implausible</w:t>
      </w:r>
      <w:r w:rsidR="000A5AAF" w:rsidRPr="002F6CBB">
        <w:rPr>
          <w:lang w:val="en-CA"/>
        </w:rPr>
        <w:t>.</w:t>
      </w:r>
      <w:r w:rsidR="00BC67BE" w:rsidRPr="002F6CBB">
        <w:rPr>
          <w:lang w:val="en-CA"/>
        </w:rPr>
        <w:t xml:space="preserve"> </w:t>
      </w:r>
      <w:r w:rsidR="000A5AAF" w:rsidRPr="002F6CBB">
        <w:rPr>
          <w:lang w:val="en-CA"/>
        </w:rPr>
        <w:t xml:space="preserve">They admit that they saw him briefly, but long enough to note that he was wearing a cap and had a small beard </w:t>
      </w:r>
      <w:r w:rsidR="004A0257">
        <w:rPr>
          <w:lang w:val="en-CA"/>
        </w:rPr>
        <w:t xml:space="preserve">and </w:t>
      </w:r>
      <w:r w:rsidR="000A5AAF" w:rsidRPr="002F6CBB">
        <w:rPr>
          <w:lang w:val="en-CA"/>
        </w:rPr>
        <w:t xml:space="preserve">short hair and </w:t>
      </w:r>
      <w:r w:rsidR="004A0257">
        <w:rPr>
          <w:lang w:val="en-CA"/>
        </w:rPr>
        <w:t xml:space="preserve">that he </w:t>
      </w:r>
      <w:r w:rsidR="000A5AAF" w:rsidRPr="002F6CBB">
        <w:rPr>
          <w:lang w:val="en-CA"/>
        </w:rPr>
        <w:t>was a man in his thirties.</w:t>
      </w:r>
    </w:p>
    <w:p w14:paraId="74527F65" w14:textId="59891B8C" w:rsidR="00810CE6" w:rsidRPr="002F6CBB" w:rsidRDefault="000A5AAF" w:rsidP="00185A28">
      <w:pPr>
        <w:pStyle w:val="Paragraphe"/>
        <w:rPr>
          <w:lang w:val="en-CA"/>
        </w:rPr>
      </w:pPr>
      <w:r w:rsidRPr="002F6CBB">
        <w:rPr>
          <w:lang w:val="en-CA"/>
        </w:rPr>
        <w:t>In fact, the complainant was fully visible.</w:t>
      </w:r>
      <w:r w:rsidR="00580E2F" w:rsidRPr="002F6CBB">
        <w:rPr>
          <w:lang w:val="en-CA"/>
        </w:rPr>
        <w:t xml:space="preserve"> </w:t>
      </w:r>
      <w:r w:rsidRPr="002F6CBB">
        <w:rPr>
          <w:lang w:val="en-CA"/>
        </w:rPr>
        <w:t>Even if the Tribunal reject</w:t>
      </w:r>
      <w:r w:rsidR="004A0257">
        <w:rPr>
          <w:lang w:val="en-CA"/>
        </w:rPr>
        <w:t>ed</w:t>
      </w:r>
      <w:r w:rsidRPr="002F6CBB">
        <w:rPr>
          <w:lang w:val="en-CA"/>
        </w:rPr>
        <w:t xml:space="preserve"> the complainant’s version that his window was open, the uncontradicted evidence shows that the Acura’s front windows</w:t>
      </w:r>
      <w:r w:rsidR="007B3330" w:rsidRPr="007B3330">
        <w:rPr>
          <w:lang w:val="en-CA"/>
        </w:rPr>
        <w:t xml:space="preserve"> </w:t>
      </w:r>
      <w:r w:rsidR="007B3330" w:rsidRPr="002F6CBB">
        <w:rPr>
          <w:lang w:val="en-CA"/>
        </w:rPr>
        <w:t>were not tinted</w:t>
      </w:r>
      <w:r w:rsidRPr="002F6CBB">
        <w:rPr>
          <w:rStyle w:val="Appelnotedebasdep"/>
          <w:lang w:val="en-CA"/>
        </w:rPr>
        <w:footnoteReference w:id="53"/>
      </w:r>
      <w:r w:rsidRPr="002F6CBB">
        <w:rPr>
          <w:lang w:val="en-CA"/>
        </w:rPr>
        <w:t xml:space="preserve"> and that nothing </w:t>
      </w:r>
      <w:r w:rsidR="00096364">
        <w:rPr>
          <w:lang w:val="en-CA"/>
        </w:rPr>
        <w:t xml:space="preserve">prevented </w:t>
      </w:r>
      <w:r w:rsidR="007B3330">
        <w:rPr>
          <w:lang w:val="en-CA"/>
        </w:rPr>
        <w:t>the officers</w:t>
      </w:r>
      <w:r w:rsidR="00096364">
        <w:rPr>
          <w:lang w:val="en-CA"/>
        </w:rPr>
        <w:t xml:space="preserve"> from seeing </w:t>
      </w:r>
      <w:r w:rsidRPr="002F6CBB">
        <w:rPr>
          <w:lang w:val="en-CA"/>
        </w:rPr>
        <w:t>the driver inside.</w:t>
      </w:r>
      <w:r w:rsidR="00BC67BE" w:rsidRPr="002F6CBB">
        <w:rPr>
          <w:lang w:val="en-CA"/>
        </w:rPr>
        <w:t xml:space="preserve"> </w:t>
      </w:r>
      <w:r w:rsidRPr="002F6CBB">
        <w:rPr>
          <w:lang w:val="en-CA"/>
        </w:rPr>
        <w:t xml:space="preserve">The Tribunal can see </w:t>
      </w:r>
      <w:r w:rsidR="00096364">
        <w:rPr>
          <w:lang w:val="en-CA"/>
        </w:rPr>
        <w:t xml:space="preserve">for itself </w:t>
      </w:r>
      <w:r w:rsidRPr="002F6CBB">
        <w:rPr>
          <w:lang w:val="en-CA"/>
        </w:rPr>
        <w:t xml:space="preserve">that there can be no confusion </w:t>
      </w:r>
      <w:r w:rsidRPr="002F6CBB">
        <w:rPr>
          <w:lang w:val="en-CA"/>
        </w:rPr>
        <w:lastRenderedPageBreak/>
        <w:t xml:space="preserve">about the complainant’s colour: </w:t>
      </w:r>
      <w:r w:rsidR="00096364">
        <w:rPr>
          <w:lang w:val="en-CA"/>
        </w:rPr>
        <w:t xml:space="preserve">the </w:t>
      </w:r>
      <w:r w:rsidRPr="002F6CBB">
        <w:rPr>
          <w:lang w:val="en-CA"/>
        </w:rPr>
        <w:t xml:space="preserve">colour </w:t>
      </w:r>
      <w:r w:rsidR="00096364">
        <w:rPr>
          <w:lang w:val="en-CA"/>
        </w:rPr>
        <w:t xml:space="preserve">of his skin </w:t>
      </w:r>
      <w:r w:rsidRPr="002F6CBB">
        <w:rPr>
          <w:lang w:val="en-CA"/>
        </w:rPr>
        <w:t xml:space="preserve">is clearly that of a </w:t>
      </w:r>
      <w:r w:rsidR="00C14519">
        <w:rPr>
          <w:lang w:val="en-CA"/>
        </w:rPr>
        <w:t>Black</w:t>
      </w:r>
      <w:r w:rsidRPr="002F6CBB">
        <w:rPr>
          <w:lang w:val="en-CA"/>
        </w:rPr>
        <w:t xml:space="preserve"> man.</w:t>
      </w:r>
      <w:r w:rsidR="00BC67BE" w:rsidRPr="002F6CBB">
        <w:rPr>
          <w:lang w:val="en-CA"/>
        </w:rPr>
        <w:t xml:space="preserve"> </w:t>
      </w:r>
      <w:r w:rsidRPr="002F6CBB">
        <w:rPr>
          <w:lang w:val="en-CA"/>
        </w:rPr>
        <w:t>There is therefore no doubt or confusion possible about his rac</w:t>
      </w:r>
      <w:r w:rsidR="00096364">
        <w:rPr>
          <w:lang w:val="en-CA"/>
        </w:rPr>
        <w:t>ial background</w:t>
      </w:r>
      <w:r w:rsidRPr="002F6CBB">
        <w:rPr>
          <w:lang w:val="en-CA"/>
        </w:rPr>
        <w:t>.</w:t>
      </w:r>
    </w:p>
    <w:p w14:paraId="1BEE2A9F" w14:textId="450D3320" w:rsidR="00810CE6" w:rsidRPr="002F6CBB" w:rsidRDefault="000A5AAF" w:rsidP="00185A28">
      <w:pPr>
        <w:pStyle w:val="Paragraphe"/>
        <w:rPr>
          <w:lang w:val="en-CA"/>
        </w:rPr>
      </w:pPr>
      <w:r w:rsidRPr="002F6CBB">
        <w:rPr>
          <w:lang w:val="en-CA"/>
        </w:rPr>
        <w:t xml:space="preserve">In this case, as in </w:t>
      </w:r>
      <w:r w:rsidRPr="002F6CBB">
        <w:rPr>
          <w:i/>
          <w:lang w:val="en-CA"/>
        </w:rPr>
        <w:t>Baptiste</w:t>
      </w:r>
      <w:r w:rsidRPr="002F6CBB">
        <w:rPr>
          <w:rStyle w:val="Appelnotedebasdep"/>
          <w:lang w:val="en-CA"/>
        </w:rPr>
        <w:footnoteReference w:id="54"/>
      </w:r>
      <w:r w:rsidR="005C415D">
        <w:rPr>
          <w:lang w:val="en-CA"/>
        </w:rPr>
        <w:t>,</w:t>
      </w:r>
      <w:r w:rsidRPr="002F6CBB">
        <w:rPr>
          <w:lang w:val="en-CA"/>
        </w:rPr>
        <w:t xml:space="preserve"> where the police claimed that they noticed the sex, but not the colour, of the vehicle’s occupants, the Tribunal </w:t>
      </w:r>
      <w:r w:rsidR="00CF2D70">
        <w:rPr>
          <w:lang w:val="en-CA"/>
        </w:rPr>
        <w:t>can</w:t>
      </w:r>
      <w:r w:rsidRPr="002F6CBB">
        <w:rPr>
          <w:lang w:val="en-CA"/>
        </w:rPr>
        <w:t>not believe the officers because it is improbable.</w:t>
      </w:r>
    </w:p>
    <w:p w14:paraId="1AE5E304" w14:textId="6AC4CA92" w:rsidR="00810CE6" w:rsidRPr="002F6CBB" w:rsidRDefault="000A5AAF" w:rsidP="00185A28">
      <w:pPr>
        <w:pStyle w:val="Paragraphe"/>
        <w:rPr>
          <w:lang w:val="en-CA"/>
        </w:rPr>
      </w:pPr>
      <w:r w:rsidRPr="002F6CBB">
        <w:rPr>
          <w:lang w:val="en-CA"/>
        </w:rPr>
        <w:t>The complainant’s version, however, must be accepted because it is realistic, plausible, and consistent with the evidence.</w:t>
      </w:r>
    </w:p>
    <w:p w14:paraId="0042CE59" w14:textId="398359D6" w:rsidR="00810CE6" w:rsidRPr="002F6CBB" w:rsidRDefault="000A5AAF" w:rsidP="00185A28">
      <w:pPr>
        <w:pStyle w:val="Paragraphe"/>
        <w:rPr>
          <w:lang w:val="en-CA"/>
        </w:rPr>
      </w:pPr>
      <w:r w:rsidRPr="002F6CBB">
        <w:rPr>
          <w:lang w:val="en-CA"/>
        </w:rPr>
        <w:t xml:space="preserve">The Tribunal therefore accepts that Officers </w:t>
      </w:r>
      <w:proofErr w:type="spellStart"/>
      <w:r w:rsidRPr="002F6CBB">
        <w:rPr>
          <w:lang w:val="en-CA"/>
        </w:rPr>
        <w:t>Beaulac</w:t>
      </w:r>
      <w:proofErr w:type="spellEnd"/>
      <w:r w:rsidRPr="002F6CBB">
        <w:rPr>
          <w:lang w:val="en-CA"/>
        </w:rPr>
        <w:t xml:space="preserve"> and Lamothe were always in front of the Acura driven by the complainant on </w:t>
      </w:r>
      <w:proofErr w:type="spellStart"/>
      <w:r w:rsidRPr="002F6CBB">
        <w:rPr>
          <w:lang w:val="en-CA"/>
        </w:rPr>
        <w:t>Curé</w:t>
      </w:r>
      <w:proofErr w:type="spellEnd"/>
      <w:r w:rsidRPr="002F6CBB">
        <w:rPr>
          <w:lang w:val="en-CA"/>
        </w:rPr>
        <w:t xml:space="preserve">-Labelle Boulevard until he passed them slowly at the intersection of </w:t>
      </w:r>
      <w:proofErr w:type="spellStart"/>
      <w:r w:rsidRPr="002F6CBB">
        <w:rPr>
          <w:lang w:val="en-CA"/>
        </w:rPr>
        <w:t>Curé</w:t>
      </w:r>
      <w:proofErr w:type="spellEnd"/>
      <w:r w:rsidRPr="002F6CBB">
        <w:rPr>
          <w:lang w:val="en-CA"/>
        </w:rPr>
        <w:t>-Labelle and Saint-Martin Boulevards while they were waiting for the green light to turn left on Saint-Martin. The Acura was advancing slowly</w:t>
      </w:r>
      <w:r w:rsidR="00CF2D70">
        <w:rPr>
          <w:lang w:val="en-CA"/>
        </w:rPr>
        <w:t>,</w:t>
      </w:r>
      <w:r w:rsidRPr="002F6CBB">
        <w:rPr>
          <w:lang w:val="en-CA"/>
        </w:rPr>
        <w:t xml:space="preserve"> and the two officers </w:t>
      </w:r>
      <w:r w:rsidR="00CF2D70">
        <w:rPr>
          <w:lang w:val="en-CA"/>
        </w:rPr>
        <w:t xml:space="preserve">noticed </w:t>
      </w:r>
      <w:r w:rsidRPr="002F6CBB">
        <w:rPr>
          <w:lang w:val="en-CA"/>
        </w:rPr>
        <w:t xml:space="preserve">it and could clearly see that it was being driven by a </w:t>
      </w:r>
      <w:r w:rsidR="00C14519">
        <w:rPr>
          <w:lang w:val="en-CA"/>
        </w:rPr>
        <w:t>Black</w:t>
      </w:r>
      <w:r w:rsidRPr="002F6CBB">
        <w:rPr>
          <w:lang w:val="en-CA"/>
        </w:rPr>
        <w:t xml:space="preserve"> man in his thirties.</w:t>
      </w:r>
      <w:r w:rsidR="00BC67BE" w:rsidRPr="002F6CBB">
        <w:rPr>
          <w:lang w:val="en-CA"/>
        </w:rPr>
        <w:t xml:space="preserve"> </w:t>
      </w:r>
    </w:p>
    <w:p w14:paraId="1DF2E129" w14:textId="013E0D05" w:rsidR="00961B7B" w:rsidRPr="002F6CBB" w:rsidRDefault="000A5AAF" w:rsidP="00185A28">
      <w:pPr>
        <w:pStyle w:val="Paragraphe"/>
        <w:rPr>
          <w:lang w:val="en-CA"/>
        </w:rPr>
      </w:pPr>
      <w:r w:rsidRPr="002F6CBB">
        <w:rPr>
          <w:lang w:val="en-CA"/>
        </w:rPr>
        <w:t xml:space="preserve">Officer Lamothe then </w:t>
      </w:r>
      <w:r w:rsidR="00CF2D70">
        <w:rPr>
          <w:lang w:val="en-CA"/>
        </w:rPr>
        <w:t>wrote</w:t>
      </w:r>
      <w:r w:rsidRPr="002F6CBB">
        <w:rPr>
          <w:lang w:val="en-CA"/>
        </w:rPr>
        <w:t xml:space="preserve"> </w:t>
      </w:r>
      <w:r w:rsidR="00CF2D70">
        <w:rPr>
          <w:lang w:val="en-CA"/>
        </w:rPr>
        <w:t xml:space="preserve">down </w:t>
      </w:r>
      <w:r w:rsidRPr="002F6CBB">
        <w:rPr>
          <w:lang w:val="en-CA"/>
        </w:rPr>
        <w:t xml:space="preserve">his plate </w:t>
      </w:r>
      <w:r w:rsidR="00CF2D70">
        <w:rPr>
          <w:lang w:val="en-CA"/>
        </w:rPr>
        <w:t xml:space="preserve">number to run </w:t>
      </w:r>
      <w:r w:rsidRPr="002F6CBB">
        <w:rPr>
          <w:lang w:val="en-CA"/>
        </w:rPr>
        <w:t xml:space="preserve">two </w:t>
      </w:r>
      <w:r w:rsidR="00CF2D70">
        <w:rPr>
          <w:lang w:val="en-CA"/>
        </w:rPr>
        <w:t xml:space="preserve">successive </w:t>
      </w:r>
      <w:r w:rsidR="00EE21D1">
        <w:rPr>
          <w:lang w:val="en-CA"/>
        </w:rPr>
        <w:t>QPIC</w:t>
      </w:r>
      <w:r w:rsidR="00143BB1" w:rsidRPr="002F6CBB">
        <w:rPr>
          <w:lang w:val="en-CA"/>
        </w:rPr>
        <w:t xml:space="preserve"> </w:t>
      </w:r>
      <w:r w:rsidRPr="002F6CBB">
        <w:rPr>
          <w:lang w:val="en-CA"/>
        </w:rPr>
        <w:t xml:space="preserve">searches: </w:t>
      </w:r>
      <w:r w:rsidR="00BA58A4" w:rsidRPr="002F6CBB">
        <w:rPr>
          <w:lang w:val="en-CA"/>
        </w:rPr>
        <w:t>(</w:t>
      </w:r>
      <w:r w:rsidRPr="002F6CBB">
        <w:rPr>
          <w:lang w:val="en-CA"/>
        </w:rPr>
        <w:t xml:space="preserve">1) a SAAQ plate search (DBQ-1) at 10:32:17 </w:t>
      </w:r>
      <w:r w:rsidR="00CF2D70">
        <w:rPr>
          <w:lang w:val="en-CA"/>
        </w:rPr>
        <w:t xml:space="preserve">a.m. </w:t>
      </w:r>
      <w:r w:rsidRPr="002F6CBB">
        <w:rPr>
          <w:lang w:val="en-CA"/>
        </w:rPr>
        <w:t xml:space="preserve">for the name of the </w:t>
      </w:r>
      <w:r w:rsidR="00CF2D70">
        <w:rPr>
          <w:lang w:val="en-CA"/>
        </w:rPr>
        <w:t xml:space="preserve">vehicle </w:t>
      </w:r>
      <w:r w:rsidRPr="002F6CBB">
        <w:rPr>
          <w:lang w:val="en-CA"/>
        </w:rPr>
        <w:t xml:space="preserve">owner and </w:t>
      </w:r>
      <w:r w:rsidR="00CF2D70">
        <w:rPr>
          <w:lang w:val="en-CA"/>
        </w:rPr>
        <w:t xml:space="preserve">the </w:t>
      </w:r>
      <w:r w:rsidRPr="002F6CBB">
        <w:rPr>
          <w:lang w:val="en-CA"/>
        </w:rPr>
        <w:t xml:space="preserve">status of </w:t>
      </w:r>
      <w:r w:rsidR="007B3330">
        <w:rPr>
          <w:lang w:val="en-CA"/>
        </w:rPr>
        <w:t>the owner’s</w:t>
      </w:r>
      <w:r w:rsidRPr="002F6CBB">
        <w:rPr>
          <w:lang w:val="en-CA"/>
        </w:rPr>
        <w:t xml:space="preserve"> driver’s licence, and </w:t>
      </w:r>
      <w:r w:rsidR="00BA58A4" w:rsidRPr="002F6CBB">
        <w:rPr>
          <w:lang w:val="en-CA"/>
        </w:rPr>
        <w:t>(</w:t>
      </w:r>
      <w:r w:rsidRPr="002F6CBB">
        <w:rPr>
          <w:lang w:val="en-CA"/>
        </w:rPr>
        <w:t>2) an additional two-step RAI search at 10:32:23</w:t>
      </w:r>
      <w:r w:rsidR="00CF2D70">
        <w:rPr>
          <w:lang w:val="en-CA"/>
        </w:rPr>
        <w:t xml:space="preserve"> a.m.</w:t>
      </w:r>
      <w:r w:rsidR="007B3330">
        <w:rPr>
          <w:lang w:val="en-CA"/>
        </w:rPr>
        <w:t>, that is,</w:t>
      </w:r>
      <w:r w:rsidRPr="002F6CBB">
        <w:rPr>
          <w:lang w:val="en-CA"/>
        </w:rPr>
        <w:t xml:space="preserve"> an SAAQ search by address (DBQ-9) revealing that no other person with a driver’s licence was </w:t>
      </w:r>
      <w:r w:rsidR="00CF2D70">
        <w:rPr>
          <w:lang w:val="en-CA"/>
        </w:rPr>
        <w:t xml:space="preserve">registered </w:t>
      </w:r>
      <w:r w:rsidRPr="002F6CBB">
        <w:rPr>
          <w:lang w:val="en-CA"/>
        </w:rPr>
        <w:t xml:space="preserve">at the owner’s address, and a </w:t>
      </w:r>
      <w:r w:rsidR="00CF2D70">
        <w:rPr>
          <w:lang w:val="en-CA"/>
        </w:rPr>
        <w:t>C</w:t>
      </w:r>
      <w:r w:rsidR="00143BB1">
        <w:rPr>
          <w:lang w:val="en-CA"/>
        </w:rPr>
        <w:t>P</w:t>
      </w:r>
      <w:r w:rsidR="00CF2D70">
        <w:rPr>
          <w:lang w:val="en-CA"/>
        </w:rPr>
        <w:t>IC</w:t>
      </w:r>
      <w:r w:rsidRPr="002F6CBB">
        <w:rPr>
          <w:lang w:val="en-CA"/>
        </w:rPr>
        <w:t xml:space="preserve"> search by name that provided information on the police and criminal record</w:t>
      </w:r>
      <w:r w:rsidR="00CF2D70">
        <w:rPr>
          <w:lang w:val="en-CA"/>
        </w:rPr>
        <w:t xml:space="preserve"> of the person with the driver’s licence</w:t>
      </w:r>
      <w:r w:rsidRPr="002F6CBB">
        <w:rPr>
          <w:lang w:val="en-CA"/>
        </w:rPr>
        <w:t>.</w:t>
      </w:r>
      <w:r w:rsidR="00BC67BE" w:rsidRPr="002F6CBB">
        <w:rPr>
          <w:lang w:val="en-CA"/>
        </w:rPr>
        <w:t xml:space="preserve"> </w:t>
      </w:r>
    </w:p>
    <w:p w14:paraId="09B4978C" w14:textId="6B874A1A" w:rsidR="00810CE6" w:rsidRPr="002F6CBB" w:rsidRDefault="000A5AAF" w:rsidP="00185A28">
      <w:pPr>
        <w:pStyle w:val="Paragraphe"/>
        <w:rPr>
          <w:lang w:val="en-CA"/>
        </w:rPr>
      </w:pPr>
      <w:r w:rsidRPr="002F6CBB">
        <w:rPr>
          <w:lang w:val="en-CA"/>
        </w:rPr>
        <w:t xml:space="preserve">The evidence on a balance of probabilities shows that the officers indeed saw that the person driving the Acura was a </w:t>
      </w:r>
      <w:r w:rsidR="00C14519">
        <w:rPr>
          <w:lang w:val="en-CA"/>
        </w:rPr>
        <w:t>Black</w:t>
      </w:r>
      <w:r w:rsidRPr="002F6CBB">
        <w:rPr>
          <w:lang w:val="en-CA"/>
        </w:rPr>
        <w:t xml:space="preserve"> man before they </w:t>
      </w:r>
      <w:r w:rsidR="00AE7D5F">
        <w:rPr>
          <w:lang w:val="en-CA"/>
        </w:rPr>
        <w:t xml:space="preserve">ran two searches on </w:t>
      </w:r>
      <w:r w:rsidR="00DF077A">
        <w:rPr>
          <w:lang w:val="en-CA"/>
        </w:rPr>
        <w:t xml:space="preserve">him based on </w:t>
      </w:r>
      <w:r w:rsidRPr="002F6CBB">
        <w:rPr>
          <w:lang w:val="en-CA"/>
        </w:rPr>
        <w:t>the plate of the car he was driving.</w:t>
      </w:r>
      <w:r w:rsidR="00BC67BE" w:rsidRPr="002F6CBB">
        <w:rPr>
          <w:lang w:val="en-CA"/>
        </w:rPr>
        <w:t xml:space="preserve"> </w:t>
      </w:r>
      <w:r w:rsidRPr="002F6CBB">
        <w:rPr>
          <w:lang w:val="en-CA"/>
        </w:rPr>
        <w:t>Since the complainant was obeying the traffic laws, no element other than the colour of Mr. Woodley’s skin and his sex can explain why the defendants decided to do a search.</w:t>
      </w:r>
      <w:r w:rsidR="00BC67BE" w:rsidRPr="002F6CBB">
        <w:rPr>
          <w:strike/>
          <w:lang w:val="en-CA"/>
        </w:rPr>
        <w:t xml:space="preserve"> </w:t>
      </w:r>
    </w:p>
    <w:p w14:paraId="702699D1" w14:textId="5FB3382D" w:rsidR="009C1038" w:rsidRPr="002F6CBB" w:rsidRDefault="000A5AAF" w:rsidP="00BD554D">
      <w:pPr>
        <w:pStyle w:val="Paragraphe"/>
        <w:rPr>
          <w:lang w:val="en-CA"/>
        </w:rPr>
      </w:pPr>
      <w:r w:rsidRPr="002F6CBB">
        <w:rPr>
          <w:lang w:val="en-CA"/>
        </w:rPr>
        <w:t>The very fact that they deny having seen the complainant’s colour and gave implausible testimony affects their credibility and supports the evidence on a balance of probabilities that Mr. Woodley’s rac</w:t>
      </w:r>
      <w:r w:rsidR="00EA6BA1">
        <w:rPr>
          <w:lang w:val="en-CA"/>
        </w:rPr>
        <w:t>ial background</w:t>
      </w:r>
      <w:r w:rsidRPr="002F6CBB">
        <w:rPr>
          <w:lang w:val="en-CA"/>
        </w:rPr>
        <w:t xml:space="preserve"> consciously or unconsciously played a role in their decision to chase and </w:t>
      </w:r>
      <w:r w:rsidR="00924BC5">
        <w:rPr>
          <w:lang w:val="en-CA"/>
        </w:rPr>
        <w:t>intercept</w:t>
      </w:r>
      <w:r w:rsidRPr="002F6CBB">
        <w:rPr>
          <w:lang w:val="en-CA"/>
        </w:rPr>
        <w:t xml:space="preserve"> him.</w:t>
      </w:r>
      <w:r w:rsidR="00BC67BE" w:rsidRPr="002F6CBB">
        <w:rPr>
          <w:lang w:val="en-CA"/>
        </w:rPr>
        <w:t xml:space="preserve"> </w:t>
      </w:r>
      <w:r w:rsidRPr="002F6CBB">
        <w:rPr>
          <w:lang w:val="en-CA"/>
        </w:rPr>
        <w:t xml:space="preserve">There is no other rational and plausible </w:t>
      </w:r>
      <w:r w:rsidR="00BA58A4" w:rsidRPr="002F6CBB">
        <w:rPr>
          <w:lang w:val="en-CA"/>
        </w:rPr>
        <w:t>explanation</w:t>
      </w:r>
      <w:r w:rsidRPr="002F6CBB">
        <w:rPr>
          <w:lang w:val="en-CA"/>
        </w:rPr>
        <w:t>.</w:t>
      </w:r>
    </w:p>
    <w:p w14:paraId="13E7DD77" w14:textId="33D86D9E" w:rsidR="00810CE6" w:rsidRPr="002F6CBB" w:rsidRDefault="00BC67BE" w:rsidP="00144B72">
      <w:pPr>
        <w:pStyle w:val="Titre4"/>
        <w:ind w:left="851" w:hanging="284"/>
        <w:rPr>
          <w:lang w:val="en-CA"/>
        </w:rPr>
      </w:pPr>
      <w:r w:rsidRPr="002F6CBB">
        <w:rPr>
          <w:lang w:val="en-CA"/>
        </w:rPr>
        <w:lastRenderedPageBreak/>
        <w:t xml:space="preserve"> </w:t>
      </w:r>
      <w:bookmarkStart w:id="30" w:name="_Toc183702209"/>
      <w:r w:rsidR="00CB074C" w:rsidRPr="002F6CBB">
        <w:rPr>
          <w:lang w:val="en-CA"/>
        </w:rPr>
        <w:t xml:space="preserve">Decision to alert the other patrol </w:t>
      </w:r>
      <w:r w:rsidR="00342A54" w:rsidRPr="002F6CBB">
        <w:rPr>
          <w:lang w:val="en-CA"/>
        </w:rPr>
        <w:t>officers</w:t>
      </w:r>
      <w:bookmarkEnd w:id="30"/>
    </w:p>
    <w:p w14:paraId="4127DF7E" w14:textId="11F6C43C" w:rsidR="00810CE6" w:rsidRPr="002F6CBB" w:rsidRDefault="00E74265" w:rsidP="00185A28">
      <w:pPr>
        <w:pStyle w:val="Paragraphe"/>
        <w:rPr>
          <w:lang w:val="en-CA"/>
        </w:rPr>
      </w:pPr>
      <w:r>
        <w:rPr>
          <w:lang w:val="en-CA"/>
        </w:rPr>
        <w:t>During her testimony before</w:t>
      </w:r>
      <w:r w:rsidR="00CB074C" w:rsidRPr="002F6CBB">
        <w:rPr>
          <w:lang w:val="en-CA"/>
        </w:rPr>
        <w:t xml:space="preserve"> the Tribunal, Officer Lamothe said that when she arrived at the scene of the </w:t>
      </w:r>
      <w:r w:rsidR="006F2F7A">
        <w:rPr>
          <w:lang w:val="en-CA"/>
        </w:rPr>
        <w:t xml:space="preserve">interception </w:t>
      </w:r>
      <w:r w:rsidR="00E57792">
        <w:rPr>
          <w:lang w:val="en-CA"/>
        </w:rPr>
        <w:t>on</w:t>
      </w:r>
      <w:r w:rsidR="00CB074C" w:rsidRPr="002F6CBB">
        <w:rPr>
          <w:lang w:val="en-CA"/>
        </w:rPr>
        <w:t xml:space="preserve"> Loranger Street, she decided, </w:t>
      </w:r>
      <w:r>
        <w:rPr>
          <w:lang w:val="en-CA"/>
        </w:rPr>
        <w:t xml:space="preserve">given </w:t>
      </w:r>
      <w:r w:rsidR="00CB074C" w:rsidRPr="002F6CBB">
        <w:rPr>
          <w:lang w:val="en-CA"/>
        </w:rPr>
        <w:t xml:space="preserve">that the driver was aggressive, to radio in their position, the vehicle licence plate number, and the message that the situation was not </w:t>
      </w:r>
      <w:r w:rsidR="00BA58A4" w:rsidRPr="002F6CBB">
        <w:rPr>
          <w:rFonts w:cs="Arial"/>
          <w:lang w:val="en-CA"/>
        </w:rPr>
        <w:t>[</w:t>
      </w:r>
      <w:r w:rsidR="00BA58A4" w:rsidRPr="002F6CBB">
        <w:rPr>
          <w:rFonts w:cs="Arial"/>
          <w:smallCaps/>
          <w:lang w:val="en-CA"/>
        </w:rPr>
        <w:t>translation</w:t>
      </w:r>
      <w:r w:rsidR="00BA58A4" w:rsidRPr="002F6CBB">
        <w:rPr>
          <w:rFonts w:cs="Arial"/>
          <w:lang w:val="en-CA"/>
        </w:rPr>
        <w:t>]</w:t>
      </w:r>
      <w:r w:rsidR="00BA58A4" w:rsidRPr="002F6CBB">
        <w:rPr>
          <w:lang w:val="en-CA"/>
        </w:rPr>
        <w:t xml:space="preserve"> </w:t>
      </w:r>
      <w:r w:rsidR="00CB074C" w:rsidRPr="002F6CBB">
        <w:rPr>
          <w:lang w:val="en-CA"/>
        </w:rPr>
        <w:t>“</w:t>
      </w:r>
      <w:r w:rsidR="00BA58A4" w:rsidRPr="002F6CBB">
        <w:rPr>
          <w:lang w:val="en-CA"/>
        </w:rPr>
        <w:t>under</w:t>
      </w:r>
      <w:r w:rsidR="00CB074C" w:rsidRPr="002F6CBB">
        <w:rPr>
          <w:lang w:val="en-CA"/>
        </w:rPr>
        <w:t xml:space="preserve"> control”.</w:t>
      </w:r>
      <w:r w:rsidR="00BC67BE" w:rsidRPr="002F6CBB">
        <w:rPr>
          <w:lang w:val="en-CA"/>
        </w:rPr>
        <w:t xml:space="preserve"> </w:t>
      </w:r>
    </w:p>
    <w:p w14:paraId="31B5C6A2" w14:textId="64FAA1E5" w:rsidR="00810CE6" w:rsidRPr="002F6CBB" w:rsidRDefault="00E74265" w:rsidP="00185A28">
      <w:pPr>
        <w:pStyle w:val="Paragraphe"/>
        <w:rPr>
          <w:lang w:val="en-CA"/>
        </w:rPr>
      </w:pPr>
      <w:r>
        <w:rPr>
          <w:lang w:val="en-CA"/>
        </w:rPr>
        <w:t xml:space="preserve">Although </w:t>
      </w:r>
      <w:r w:rsidR="00CB074C" w:rsidRPr="002F6CBB">
        <w:rPr>
          <w:lang w:val="en-CA"/>
        </w:rPr>
        <w:t xml:space="preserve">Officer Lamothe denies that she asked for backup </w:t>
      </w:r>
      <w:r w:rsidR="006F2F7A">
        <w:rPr>
          <w:lang w:val="en-CA"/>
        </w:rPr>
        <w:t>during  the interception of</w:t>
      </w:r>
      <w:r>
        <w:rPr>
          <w:lang w:val="en-CA"/>
        </w:rPr>
        <w:t xml:space="preserve"> </w:t>
      </w:r>
      <w:r w:rsidR="00CB074C" w:rsidRPr="002F6CBB">
        <w:rPr>
          <w:lang w:val="en-CA"/>
        </w:rPr>
        <w:t xml:space="preserve">Mr. Woodley on Loranger Street, it seems that her radio call </w:t>
      </w:r>
      <w:r>
        <w:rPr>
          <w:lang w:val="en-CA"/>
        </w:rPr>
        <w:t>wa</w:t>
      </w:r>
      <w:r w:rsidR="00CB074C" w:rsidRPr="002F6CBB">
        <w:rPr>
          <w:lang w:val="en-CA"/>
        </w:rPr>
        <w:t xml:space="preserve">s </w:t>
      </w:r>
      <w:r>
        <w:rPr>
          <w:lang w:val="en-CA"/>
        </w:rPr>
        <w:t xml:space="preserve">a </w:t>
      </w:r>
      <w:r w:rsidR="00CB074C" w:rsidRPr="002F6CBB">
        <w:rPr>
          <w:i/>
          <w:lang w:val="en-CA"/>
        </w:rPr>
        <w:t>de facto</w:t>
      </w:r>
      <w:r w:rsidR="00CB074C" w:rsidRPr="002F6CBB">
        <w:rPr>
          <w:lang w:val="en-CA"/>
        </w:rPr>
        <w:t xml:space="preserve"> call for backup.</w:t>
      </w:r>
      <w:r w:rsidR="009F34E5" w:rsidRPr="002F6CBB">
        <w:rPr>
          <w:lang w:val="en-CA"/>
        </w:rPr>
        <w:t xml:space="preserve"> </w:t>
      </w:r>
      <w:r w:rsidR="00E57792">
        <w:rPr>
          <w:lang w:val="en-CA"/>
        </w:rPr>
        <w:t>Moreover</w:t>
      </w:r>
      <w:r w:rsidR="00BC00C9" w:rsidRPr="002F6CBB">
        <w:rPr>
          <w:lang w:val="en-CA"/>
        </w:rPr>
        <w:t xml:space="preserve">, that is how the </w:t>
      </w:r>
      <w:r w:rsidR="002F6CBB">
        <w:rPr>
          <w:lang w:val="en-CA"/>
        </w:rPr>
        <w:t>Ville</w:t>
      </w:r>
      <w:r w:rsidR="00BC00C9" w:rsidRPr="002F6CBB">
        <w:rPr>
          <w:lang w:val="en-CA"/>
        </w:rPr>
        <w:t xml:space="preserve"> itself interpreted Officer Lamothe’s call because the defendants’ brief clearly states that </w:t>
      </w:r>
      <w:r w:rsidR="00BA58A4" w:rsidRPr="002F6CBB">
        <w:rPr>
          <w:rFonts w:cs="Arial"/>
          <w:lang w:val="en-CA"/>
        </w:rPr>
        <w:t>[</w:t>
      </w:r>
      <w:r w:rsidR="00BA58A4" w:rsidRPr="002F6CBB">
        <w:rPr>
          <w:rFonts w:cs="Arial"/>
          <w:smallCaps/>
          <w:lang w:val="en-CA"/>
        </w:rPr>
        <w:t>translation</w:t>
      </w:r>
      <w:r w:rsidR="00BA58A4" w:rsidRPr="002F6CBB">
        <w:rPr>
          <w:rFonts w:cs="Arial"/>
          <w:lang w:val="en-CA"/>
        </w:rPr>
        <w:t>]</w:t>
      </w:r>
      <w:r w:rsidR="00BA58A4" w:rsidRPr="002F6CBB">
        <w:rPr>
          <w:lang w:val="en-CA"/>
        </w:rPr>
        <w:t xml:space="preserve"> </w:t>
      </w:r>
      <w:r w:rsidR="00BC00C9" w:rsidRPr="002F6CBB">
        <w:rPr>
          <w:lang w:val="en-CA"/>
        </w:rPr>
        <w:t xml:space="preserve">“Officers </w:t>
      </w:r>
      <w:proofErr w:type="spellStart"/>
      <w:r w:rsidR="00BC00C9" w:rsidRPr="002F6CBB">
        <w:rPr>
          <w:lang w:val="en-CA"/>
        </w:rPr>
        <w:t>Beaulac</w:t>
      </w:r>
      <w:proofErr w:type="spellEnd"/>
      <w:r w:rsidR="00BC00C9" w:rsidRPr="002F6CBB">
        <w:rPr>
          <w:lang w:val="en-CA"/>
        </w:rPr>
        <w:t xml:space="preserve"> and Lamothe radioed their position so that a patrol car could approach”.</w:t>
      </w:r>
      <w:r w:rsidR="00BC00C9" w:rsidRPr="002F6CBB">
        <w:rPr>
          <w:rStyle w:val="Appelnotedebasdep"/>
          <w:lang w:val="en-CA"/>
        </w:rPr>
        <w:footnoteReference w:id="55"/>
      </w:r>
    </w:p>
    <w:p w14:paraId="2591F0DF" w14:textId="0699E8EF" w:rsidR="00810CE6" w:rsidRPr="002F6CBB" w:rsidRDefault="00DF077A" w:rsidP="00185A28">
      <w:pPr>
        <w:pStyle w:val="Paragraphe"/>
        <w:rPr>
          <w:lang w:val="en-CA"/>
        </w:rPr>
      </w:pPr>
      <w:r>
        <w:rPr>
          <w:lang w:val="en-CA"/>
        </w:rPr>
        <w:t>Furthermore</w:t>
      </w:r>
      <w:r w:rsidR="00BC00C9" w:rsidRPr="002F6CBB">
        <w:rPr>
          <w:lang w:val="en-CA"/>
        </w:rPr>
        <w:t xml:space="preserve">, Officer </w:t>
      </w:r>
      <w:proofErr w:type="spellStart"/>
      <w:r w:rsidR="00BC00C9" w:rsidRPr="002F6CBB">
        <w:rPr>
          <w:lang w:val="en-CA"/>
        </w:rPr>
        <w:t>Duchaine</w:t>
      </w:r>
      <w:proofErr w:type="spellEnd"/>
      <w:r w:rsidR="00BC00C9" w:rsidRPr="002F6CBB">
        <w:rPr>
          <w:lang w:val="en-CA"/>
        </w:rPr>
        <w:t xml:space="preserve">, who arrived on the scene one or two minutes after Officer Lamothe’s call, told the Tribunal that a reasonable police officer who </w:t>
      </w:r>
      <w:r w:rsidR="00E74265">
        <w:rPr>
          <w:lang w:val="en-CA"/>
        </w:rPr>
        <w:t>i</w:t>
      </w:r>
      <w:r w:rsidR="00BC00C9" w:rsidRPr="002F6CBB">
        <w:rPr>
          <w:lang w:val="en-CA"/>
        </w:rPr>
        <w:t>s nearby and hear</w:t>
      </w:r>
      <w:r w:rsidR="00E74265">
        <w:rPr>
          <w:lang w:val="en-CA"/>
        </w:rPr>
        <w:t>s</w:t>
      </w:r>
      <w:r w:rsidR="00BC00C9" w:rsidRPr="002F6CBB">
        <w:rPr>
          <w:lang w:val="en-CA"/>
        </w:rPr>
        <w:t xml:space="preserve"> a patrol officer provide the location of </w:t>
      </w:r>
      <w:r w:rsidR="006F2F7A">
        <w:rPr>
          <w:lang w:val="en-CA"/>
        </w:rPr>
        <w:t>an interception</w:t>
      </w:r>
      <w:r w:rsidR="00E74265">
        <w:rPr>
          <w:lang w:val="en-CA"/>
        </w:rPr>
        <w:t xml:space="preserve"> </w:t>
      </w:r>
      <w:r w:rsidR="00BC00C9" w:rsidRPr="002F6CBB">
        <w:rPr>
          <w:lang w:val="en-CA"/>
        </w:rPr>
        <w:t xml:space="preserve">underway and radio that the situation </w:t>
      </w:r>
      <w:r w:rsidR="006A70CE">
        <w:rPr>
          <w:lang w:val="en-CA"/>
        </w:rPr>
        <w:t>is</w:t>
      </w:r>
      <w:r w:rsidR="00BC00C9" w:rsidRPr="002F6CBB">
        <w:rPr>
          <w:lang w:val="en-CA"/>
        </w:rPr>
        <w:t xml:space="preserve"> not under control immediately understand</w:t>
      </w:r>
      <w:r w:rsidR="00E74265">
        <w:rPr>
          <w:lang w:val="en-CA"/>
        </w:rPr>
        <w:t>s</w:t>
      </w:r>
      <w:r w:rsidR="00BC00C9" w:rsidRPr="002F6CBB">
        <w:rPr>
          <w:lang w:val="en-CA"/>
        </w:rPr>
        <w:t xml:space="preserve"> that </w:t>
      </w:r>
      <w:r w:rsidR="006A70CE">
        <w:rPr>
          <w:lang w:val="en-CA"/>
        </w:rPr>
        <w:t>they have</w:t>
      </w:r>
      <w:r w:rsidR="00BC00C9" w:rsidRPr="002F6CBB">
        <w:rPr>
          <w:lang w:val="en-CA"/>
        </w:rPr>
        <w:t xml:space="preserve"> to provide backup.</w:t>
      </w:r>
      <w:r w:rsidR="00BC00C9" w:rsidRPr="002F6CBB">
        <w:rPr>
          <w:rStyle w:val="Appelnotedebasdep"/>
          <w:lang w:val="en-CA"/>
        </w:rPr>
        <w:footnoteReference w:id="56"/>
      </w:r>
    </w:p>
    <w:p w14:paraId="6AD26171" w14:textId="0FAEBF11" w:rsidR="00810CE6" w:rsidRPr="002F6CBB" w:rsidRDefault="00BC00C9" w:rsidP="00BA5B05">
      <w:pPr>
        <w:pStyle w:val="Paragraphe"/>
        <w:tabs>
          <w:tab w:val="clear" w:pos="567"/>
          <w:tab w:val="num" w:pos="709"/>
        </w:tabs>
        <w:rPr>
          <w:lang w:val="en-CA"/>
        </w:rPr>
      </w:pPr>
      <w:r w:rsidRPr="002F6CBB">
        <w:rPr>
          <w:lang w:val="en-CA"/>
        </w:rPr>
        <w:t xml:space="preserve">Was the decision to call for backup in this case objectively related to a genuine threat to safety or, on the contrary, to the </w:t>
      </w:r>
      <w:r w:rsidR="001202FD">
        <w:rPr>
          <w:lang w:val="en-CA"/>
        </w:rPr>
        <w:t>prejudices</w:t>
      </w:r>
      <w:r w:rsidRPr="002F6CBB">
        <w:rPr>
          <w:lang w:val="en-CA"/>
        </w:rPr>
        <w:t xml:space="preserve"> and stereotypes of dangerousness held by Officer Lamothe against a </w:t>
      </w:r>
      <w:r w:rsidR="00C14519">
        <w:rPr>
          <w:lang w:val="en-CA"/>
        </w:rPr>
        <w:t>Black</w:t>
      </w:r>
      <w:r w:rsidRPr="002F6CBB">
        <w:rPr>
          <w:lang w:val="en-CA"/>
        </w:rPr>
        <w:t xml:space="preserve"> man? </w:t>
      </w:r>
    </w:p>
    <w:p w14:paraId="23F1225D" w14:textId="47CD5013" w:rsidR="00810CE6" w:rsidRPr="002F6CBB" w:rsidRDefault="00BC00C9" w:rsidP="00BA5B05">
      <w:pPr>
        <w:pStyle w:val="Paragraphe"/>
        <w:tabs>
          <w:tab w:val="clear" w:pos="567"/>
          <w:tab w:val="num" w:pos="709"/>
        </w:tabs>
        <w:rPr>
          <w:lang w:val="en-CA"/>
        </w:rPr>
      </w:pPr>
      <w:r w:rsidRPr="002F6CBB">
        <w:rPr>
          <w:lang w:val="en-CA"/>
        </w:rPr>
        <w:t xml:space="preserve">The uncontradicted evidence shows that Mr. Woodley </w:t>
      </w:r>
      <w:r w:rsidR="00E74265">
        <w:rPr>
          <w:lang w:val="en-CA"/>
        </w:rPr>
        <w:t>was v</w:t>
      </w:r>
      <w:r w:rsidRPr="002F6CBB">
        <w:rPr>
          <w:lang w:val="en-CA"/>
        </w:rPr>
        <w:t>igorously protest</w:t>
      </w:r>
      <w:r w:rsidR="00E74265">
        <w:rPr>
          <w:lang w:val="en-CA"/>
        </w:rPr>
        <w:t>ing</w:t>
      </w:r>
      <w:r w:rsidRPr="002F6CBB">
        <w:rPr>
          <w:lang w:val="en-CA"/>
        </w:rPr>
        <w:t xml:space="preserve"> </w:t>
      </w:r>
      <w:r w:rsidR="00924BC5">
        <w:rPr>
          <w:lang w:val="en-CA"/>
        </w:rPr>
        <w:t>during his interception</w:t>
      </w:r>
      <w:r w:rsidRPr="002F6CBB">
        <w:rPr>
          <w:lang w:val="en-CA"/>
        </w:rPr>
        <w:t xml:space="preserve">, </w:t>
      </w:r>
      <w:r w:rsidR="006A70CE">
        <w:rPr>
          <w:lang w:val="en-CA"/>
        </w:rPr>
        <w:t xml:space="preserve">that he </w:t>
      </w:r>
      <w:r w:rsidRPr="002F6CBB">
        <w:rPr>
          <w:lang w:val="en-CA"/>
        </w:rPr>
        <w:t xml:space="preserve">was speaking loudly because he was outraged, </w:t>
      </w:r>
      <w:r w:rsidR="00E74265">
        <w:rPr>
          <w:lang w:val="en-CA"/>
        </w:rPr>
        <w:t xml:space="preserve">and </w:t>
      </w:r>
      <w:r w:rsidR="006A70CE">
        <w:rPr>
          <w:lang w:val="en-CA"/>
        </w:rPr>
        <w:t xml:space="preserve">that he </w:t>
      </w:r>
      <w:r w:rsidR="00E74265">
        <w:rPr>
          <w:lang w:val="en-CA"/>
        </w:rPr>
        <w:t xml:space="preserve">was </w:t>
      </w:r>
      <w:r w:rsidRPr="002F6CBB">
        <w:rPr>
          <w:lang w:val="en-CA"/>
        </w:rPr>
        <w:t>constantly interrupt</w:t>
      </w:r>
      <w:r w:rsidR="00E74265">
        <w:rPr>
          <w:lang w:val="en-CA"/>
        </w:rPr>
        <w:t>ing</w:t>
      </w:r>
      <w:r w:rsidRPr="002F6CBB">
        <w:rPr>
          <w:lang w:val="en-CA"/>
        </w:rPr>
        <w:t xml:space="preserve"> Officer </w:t>
      </w:r>
      <w:proofErr w:type="spellStart"/>
      <w:r w:rsidRPr="002F6CBB">
        <w:rPr>
          <w:lang w:val="en-CA"/>
        </w:rPr>
        <w:t>Beaulac</w:t>
      </w:r>
      <w:proofErr w:type="spellEnd"/>
      <w:r w:rsidRPr="002F6CBB">
        <w:rPr>
          <w:lang w:val="en-CA"/>
        </w:rPr>
        <w:t xml:space="preserve"> because he was convinced that he was being racially profiled </w:t>
      </w:r>
      <w:r w:rsidR="00E74265">
        <w:rPr>
          <w:lang w:val="en-CA"/>
        </w:rPr>
        <w:t xml:space="preserve">since </w:t>
      </w:r>
      <w:r w:rsidRPr="002F6CBB">
        <w:rPr>
          <w:lang w:val="en-CA"/>
        </w:rPr>
        <w:t xml:space="preserve">he had committed no offence. </w:t>
      </w:r>
      <w:r w:rsidR="00BC67BE" w:rsidRPr="002F6CBB">
        <w:rPr>
          <w:lang w:val="en-CA"/>
        </w:rPr>
        <w:t xml:space="preserve"> </w:t>
      </w:r>
    </w:p>
    <w:p w14:paraId="74C01C6E" w14:textId="55786FFE" w:rsidR="00810CE6" w:rsidRPr="002F6CBB" w:rsidRDefault="00BC00C9" w:rsidP="00BA5B05">
      <w:pPr>
        <w:pStyle w:val="Paragraphe"/>
        <w:tabs>
          <w:tab w:val="clear" w:pos="567"/>
          <w:tab w:val="num" w:pos="709"/>
        </w:tabs>
        <w:rPr>
          <w:lang w:val="en-CA"/>
        </w:rPr>
      </w:pPr>
      <w:r w:rsidRPr="002F6CBB">
        <w:rPr>
          <w:lang w:val="en-CA"/>
        </w:rPr>
        <w:t xml:space="preserve">According to the officers present, five in total, his remarks and attitude were uncivil, but the evidence shows that </w:t>
      </w:r>
      <w:r w:rsidR="00E74265">
        <w:rPr>
          <w:lang w:val="en-CA"/>
        </w:rPr>
        <w:t xml:space="preserve">at no time did </w:t>
      </w:r>
      <w:r w:rsidRPr="002F6CBB">
        <w:rPr>
          <w:lang w:val="en-CA"/>
        </w:rPr>
        <w:t>he threaten them.</w:t>
      </w:r>
      <w:r w:rsidR="00BC67BE" w:rsidRPr="002F6CBB">
        <w:rPr>
          <w:lang w:val="en-CA"/>
        </w:rPr>
        <w:t xml:space="preserve"> </w:t>
      </w:r>
      <w:r w:rsidRPr="002F6CBB">
        <w:rPr>
          <w:lang w:val="en-CA"/>
        </w:rPr>
        <w:t>He did not take out a weapon or point a dangerous object at them</w:t>
      </w:r>
      <w:r w:rsidR="004E46EA">
        <w:rPr>
          <w:lang w:val="en-CA"/>
        </w:rPr>
        <w:t>;</w:t>
      </w:r>
      <w:r w:rsidRPr="002F6CBB">
        <w:rPr>
          <w:lang w:val="en-CA"/>
        </w:rPr>
        <w:t xml:space="preserve"> he did not raise his fist and never even got out of his </w:t>
      </w:r>
      <w:r w:rsidR="00B268AD">
        <w:rPr>
          <w:lang w:val="en-CA"/>
        </w:rPr>
        <w:t>vehicle</w:t>
      </w:r>
      <w:r w:rsidRPr="002F6CBB">
        <w:rPr>
          <w:lang w:val="en-CA"/>
        </w:rPr>
        <w:t>. In short, he merely express</w:t>
      </w:r>
      <w:r w:rsidR="00B268AD">
        <w:rPr>
          <w:lang w:val="en-CA"/>
        </w:rPr>
        <w:t>ed</w:t>
      </w:r>
      <w:r w:rsidRPr="002F6CBB">
        <w:rPr>
          <w:lang w:val="en-CA"/>
        </w:rPr>
        <w:t xml:space="preserve"> his discontent loudly and clearly by refusing, in the beginning, to provide his papers, </w:t>
      </w:r>
      <w:r w:rsidR="00B268AD">
        <w:rPr>
          <w:lang w:val="en-CA"/>
        </w:rPr>
        <w:t xml:space="preserve">then </w:t>
      </w:r>
      <w:r w:rsidRPr="002F6CBB">
        <w:rPr>
          <w:lang w:val="en-CA"/>
        </w:rPr>
        <w:t>begrudgingly agree</w:t>
      </w:r>
      <w:r w:rsidR="004E46EA">
        <w:rPr>
          <w:lang w:val="en-CA"/>
        </w:rPr>
        <w:t>ing</w:t>
      </w:r>
      <w:r w:rsidRPr="002F6CBB">
        <w:rPr>
          <w:lang w:val="en-CA"/>
        </w:rPr>
        <w:t xml:space="preserve"> to provide them after Officer </w:t>
      </w:r>
      <w:proofErr w:type="spellStart"/>
      <w:r w:rsidRPr="002F6CBB">
        <w:rPr>
          <w:lang w:val="en-CA"/>
        </w:rPr>
        <w:t>Beaulac</w:t>
      </w:r>
      <w:proofErr w:type="spellEnd"/>
      <w:r w:rsidRPr="002F6CBB">
        <w:rPr>
          <w:lang w:val="en-CA"/>
        </w:rPr>
        <w:t xml:space="preserve"> warned him that he would receive a statement of offence for obstructing the police if he refused.</w:t>
      </w:r>
    </w:p>
    <w:p w14:paraId="090F8F37" w14:textId="091739EF" w:rsidR="009461BC" w:rsidRPr="002F6CBB" w:rsidRDefault="00BC00C9" w:rsidP="00BA5B05">
      <w:pPr>
        <w:pStyle w:val="Paragraphe"/>
        <w:tabs>
          <w:tab w:val="clear" w:pos="567"/>
          <w:tab w:val="num" w:pos="709"/>
        </w:tabs>
        <w:rPr>
          <w:lang w:val="en-CA"/>
        </w:rPr>
      </w:pPr>
      <w:r w:rsidRPr="002F6CBB">
        <w:rPr>
          <w:lang w:val="en-CA"/>
        </w:rPr>
        <w:lastRenderedPageBreak/>
        <w:t xml:space="preserve">The Tribunal notes in passing that Officer </w:t>
      </w:r>
      <w:proofErr w:type="spellStart"/>
      <w:r w:rsidRPr="002F6CBB">
        <w:rPr>
          <w:lang w:val="en-CA"/>
        </w:rPr>
        <w:t>Beaulac</w:t>
      </w:r>
      <w:proofErr w:type="spellEnd"/>
      <w:r w:rsidRPr="002F6CBB">
        <w:rPr>
          <w:lang w:val="en-CA"/>
        </w:rPr>
        <w:t xml:space="preserve"> tried to </w:t>
      </w:r>
      <w:r w:rsidR="00766EF3">
        <w:rPr>
          <w:lang w:val="en-CA"/>
        </w:rPr>
        <w:t>trivial</w:t>
      </w:r>
      <w:r w:rsidRPr="002F6CBB">
        <w:rPr>
          <w:lang w:val="en-CA"/>
        </w:rPr>
        <w:t xml:space="preserve">ize, if not ridicule, Mr. Woodley’s reaction throughout the intervention by telling him more than once that he was </w:t>
      </w:r>
      <w:r w:rsidR="00B268AD">
        <w:rPr>
          <w:lang w:val="en-CA"/>
        </w:rPr>
        <w:t>putting on a show</w:t>
      </w:r>
      <w:r w:rsidRPr="002F6CBB">
        <w:rPr>
          <w:lang w:val="en-CA"/>
        </w:rPr>
        <w:t>.</w:t>
      </w:r>
    </w:p>
    <w:p w14:paraId="34F5F025" w14:textId="03786594" w:rsidR="00580E2F" w:rsidRPr="002F6CBB" w:rsidRDefault="00BC00C9" w:rsidP="00BA5B05">
      <w:pPr>
        <w:pStyle w:val="Paragraphe"/>
        <w:tabs>
          <w:tab w:val="clear" w:pos="567"/>
          <w:tab w:val="num" w:pos="709"/>
        </w:tabs>
        <w:rPr>
          <w:lang w:val="en-CA"/>
        </w:rPr>
      </w:pPr>
      <w:r w:rsidRPr="002F6CBB">
        <w:rPr>
          <w:lang w:val="en-CA"/>
        </w:rPr>
        <w:t xml:space="preserve">In the circumstances, aside from the fear </w:t>
      </w:r>
      <w:r w:rsidR="00B268AD">
        <w:rPr>
          <w:lang w:val="en-CA"/>
        </w:rPr>
        <w:t xml:space="preserve">caused by </w:t>
      </w:r>
      <w:r w:rsidR="001202FD">
        <w:rPr>
          <w:lang w:val="en-CA"/>
        </w:rPr>
        <w:t>prejudices</w:t>
      </w:r>
      <w:r w:rsidRPr="002F6CBB">
        <w:rPr>
          <w:lang w:val="en-CA"/>
        </w:rPr>
        <w:t xml:space="preserve"> and stereotypes on the so-called dangerousness of </w:t>
      </w:r>
      <w:r w:rsidR="00C14519">
        <w:rPr>
          <w:lang w:val="en-CA"/>
        </w:rPr>
        <w:t>Black</w:t>
      </w:r>
      <w:r w:rsidRPr="002F6CBB">
        <w:rPr>
          <w:lang w:val="en-CA"/>
        </w:rPr>
        <w:t xml:space="preserve"> men, nothing explains </w:t>
      </w:r>
      <w:r w:rsidR="00B268AD" w:rsidRPr="002F6CBB">
        <w:rPr>
          <w:lang w:val="en-CA"/>
        </w:rPr>
        <w:t>Officer Lamothe</w:t>
      </w:r>
      <w:r w:rsidR="00B268AD">
        <w:rPr>
          <w:lang w:val="en-CA"/>
        </w:rPr>
        <w:t>’s</w:t>
      </w:r>
      <w:r w:rsidR="00B268AD" w:rsidRPr="002F6CBB">
        <w:rPr>
          <w:lang w:val="en-CA"/>
        </w:rPr>
        <w:t xml:space="preserve"> </w:t>
      </w:r>
      <w:r w:rsidR="00B268AD">
        <w:rPr>
          <w:lang w:val="en-CA"/>
        </w:rPr>
        <w:t xml:space="preserve">virtually </w:t>
      </w:r>
      <w:r w:rsidRPr="002F6CBB">
        <w:rPr>
          <w:lang w:val="en-CA"/>
        </w:rPr>
        <w:t>immediate call for backup.</w:t>
      </w:r>
      <w:r w:rsidR="00960FE3" w:rsidRPr="002F6CBB">
        <w:rPr>
          <w:lang w:val="en-CA"/>
        </w:rPr>
        <w:t xml:space="preserve"> </w:t>
      </w:r>
      <w:r w:rsidRPr="002F6CBB">
        <w:rPr>
          <w:lang w:val="en-CA"/>
        </w:rPr>
        <w:t xml:space="preserve">Indeed, by stating before the Tribunal that she called for backup </w:t>
      </w:r>
      <w:r w:rsidR="00B268AD">
        <w:rPr>
          <w:lang w:val="en-CA"/>
        </w:rPr>
        <w:t xml:space="preserve">as soon as </w:t>
      </w:r>
      <w:r w:rsidRPr="002F6CBB">
        <w:rPr>
          <w:lang w:val="en-CA"/>
        </w:rPr>
        <w:t xml:space="preserve">she arrived on the scene because she </w:t>
      </w:r>
      <w:r w:rsidR="00BA58A4" w:rsidRPr="002F6CBB">
        <w:rPr>
          <w:rFonts w:cs="Arial"/>
          <w:lang w:val="en-CA"/>
        </w:rPr>
        <w:t>[</w:t>
      </w:r>
      <w:r w:rsidR="00BA58A4" w:rsidRPr="002F6CBB">
        <w:rPr>
          <w:rFonts w:cs="Arial"/>
          <w:smallCaps/>
          <w:lang w:val="en-CA"/>
        </w:rPr>
        <w:t>translation</w:t>
      </w:r>
      <w:r w:rsidR="00BA58A4" w:rsidRPr="002F6CBB">
        <w:rPr>
          <w:rFonts w:cs="Arial"/>
          <w:lang w:val="en-CA"/>
        </w:rPr>
        <w:t>]</w:t>
      </w:r>
      <w:r w:rsidR="00BA58A4" w:rsidRPr="002F6CBB">
        <w:rPr>
          <w:lang w:val="en-CA"/>
        </w:rPr>
        <w:t xml:space="preserve"> </w:t>
      </w:r>
      <w:r w:rsidRPr="002F6CBB">
        <w:rPr>
          <w:lang w:val="en-CA"/>
        </w:rPr>
        <w:t xml:space="preserve">“thought it might </w:t>
      </w:r>
      <w:r w:rsidR="00FD078D">
        <w:rPr>
          <w:lang w:val="en-CA"/>
        </w:rPr>
        <w:t>degenerate</w:t>
      </w:r>
      <w:r w:rsidRPr="002F6CBB">
        <w:rPr>
          <w:lang w:val="en-CA"/>
        </w:rPr>
        <w:t xml:space="preserve">”, </w:t>
      </w:r>
      <w:r w:rsidR="00FD078D">
        <w:rPr>
          <w:lang w:val="en-CA"/>
        </w:rPr>
        <w:t>she did not</w:t>
      </w:r>
      <w:r w:rsidR="00B268AD">
        <w:rPr>
          <w:lang w:val="en-CA"/>
        </w:rPr>
        <w:t xml:space="preserve"> </w:t>
      </w:r>
      <w:r w:rsidRPr="002F6CBB">
        <w:rPr>
          <w:lang w:val="en-CA"/>
        </w:rPr>
        <w:t>provid</w:t>
      </w:r>
      <w:r w:rsidR="00FD078D">
        <w:rPr>
          <w:lang w:val="en-CA"/>
        </w:rPr>
        <w:t>e</w:t>
      </w:r>
      <w:r w:rsidRPr="002F6CBB">
        <w:rPr>
          <w:lang w:val="en-CA"/>
        </w:rPr>
        <w:t xml:space="preserve"> a legitimate excuse for her call for backup </w:t>
      </w:r>
      <w:r w:rsidR="00FD078D">
        <w:rPr>
          <w:lang w:val="en-CA"/>
        </w:rPr>
        <w:t>but instead</w:t>
      </w:r>
      <w:r w:rsidR="00B268AD">
        <w:rPr>
          <w:lang w:val="en-CA"/>
        </w:rPr>
        <w:t xml:space="preserve"> </w:t>
      </w:r>
      <w:r w:rsidRPr="002F6CBB">
        <w:rPr>
          <w:lang w:val="en-CA"/>
        </w:rPr>
        <w:t xml:space="preserve">confirmed her </w:t>
      </w:r>
      <w:r w:rsidR="00B268AD">
        <w:rPr>
          <w:lang w:val="en-CA"/>
        </w:rPr>
        <w:t xml:space="preserve">prejudices </w:t>
      </w:r>
      <w:r w:rsidRPr="002F6CBB">
        <w:rPr>
          <w:lang w:val="en-CA"/>
        </w:rPr>
        <w:t xml:space="preserve">about </w:t>
      </w:r>
      <w:r w:rsidR="00C14519">
        <w:rPr>
          <w:lang w:val="en-CA"/>
        </w:rPr>
        <w:t>Black</w:t>
      </w:r>
      <w:r w:rsidRPr="002F6CBB">
        <w:rPr>
          <w:lang w:val="en-CA"/>
        </w:rPr>
        <w:t xml:space="preserve"> men. </w:t>
      </w:r>
      <w:r w:rsidR="00B268AD">
        <w:rPr>
          <w:lang w:val="en-CA"/>
        </w:rPr>
        <w:t>It should be r</w:t>
      </w:r>
      <w:r w:rsidRPr="002F6CBB">
        <w:rPr>
          <w:lang w:val="en-CA"/>
        </w:rPr>
        <w:t>ecall</w:t>
      </w:r>
      <w:r w:rsidR="00B268AD">
        <w:rPr>
          <w:lang w:val="en-CA"/>
        </w:rPr>
        <w:t>ed</w:t>
      </w:r>
      <w:r w:rsidRPr="002F6CBB">
        <w:rPr>
          <w:lang w:val="en-CA"/>
        </w:rPr>
        <w:t xml:space="preserve"> that </w:t>
      </w:r>
      <w:r w:rsidR="00BA58A4" w:rsidRPr="002F6CBB">
        <w:rPr>
          <w:lang w:val="en-CA"/>
        </w:rPr>
        <w:t xml:space="preserve">this </w:t>
      </w:r>
      <w:r w:rsidRPr="002F6CBB">
        <w:rPr>
          <w:lang w:val="en-CA"/>
        </w:rPr>
        <w:t>happened in broad daylight in a busy public place.</w:t>
      </w:r>
    </w:p>
    <w:p w14:paraId="5A0A9A00" w14:textId="043C495C" w:rsidR="00810CE6" w:rsidRPr="002F6CBB" w:rsidRDefault="00BC00C9" w:rsidP="00BA5B05">
      <w:pPr>
        <w:pStyle w:val="Paragraphe"/>
        <w:tabs>
          <w:tab w:val="clear" w:pos="567"/>
          <w:tab w:val="num" w:pos="709"/>
        </w:tabs>
        <w:rPr>
          <w:lang w:val="en-CA"/>
        </w:rPr>
      </w:pPr>
      <w:r w:rsidRPr="002F6CBB">
        <w:rPr>
          <w:lang w:val="en-CA"/>
        </w:rPr>
        <w:t xml:space="preserve">Moreover, the way Officers </w:t>
      </w:r>
      <w:proofErr w:type="spellStart"/>
      <w:r w:rsidRPr="002F6CBB">
        <w:rPr>
          <w:lang w:val="en-CA"/>
        </w:rPr>
        <w:t>Duchaine</w:t>
      </w:r>
      <w:proofErr w:type="spellEnd"/>
      <w:r w:rsidRPr="002F6CBB">
        <w:rPr>
          <w:lang w:val="en-CA"/>
        </w:rPr>
        <w:t xml:space="preserve"> and Paradis placed their patrol car, diagonally in front of Mr. Woodley’s car so that he </w:t>
      </w:r>
      <w:r w:rsidR="00B268AD">
        <w:rPr>
          <w:lang w:val="en-CA"/>
        </w:rPr>
        <w:t>was blocked in</w:t>
      </w:r>
      <w:r w:rsidRPr="002F6CBB">
        <w:rPr>
          <w:lang w:val="en-CA"/>
        </w:rPr>
        <w:t>, whe</w:t>
      </w:r>
      <w:r w:rsidR="00B268AD">
        <w:rPr>
          <w:lang w:val="en-CA"/>
        </w:rPr>
        <w:t>n</w:t>
      </w:r>
      <w:r w:rsidRPr="002F6CBB">
        <w:rPr>
          <w:lang w:val="en-CA"/>
        </w:rPr>
        <w:t xml:space="preserve"> they could see that he is a </w:t>
      </w:r>
      <w:r w:rsidR="00C14519">
        <w:rPr>
          <w:lang w:val="en-CA"/>
        </w:rPr>
        <w:t>Black</w:t>
      </w:r>
      <w:r w:rsidRPr="002F6CBB">
        <w:rPr>
          <w:lang w:val="en-CA"/>
        </w:rPr>
        <w:t xml:space="preserve"> man, confirms that they perceived him as potentially dangerous when all he was doing was protesting </w:t>
      </w:r>
      <w:r w:rsidR="00FD078D">
        <w:rPr>
          <w:lang w:val="en-CA"/>
        </w:rPr>
        <w:t xml:space="preserve">against </w:t>
      </w:r>
      <w:r w:rsidR="00B268AD">
        <w:rPr>
          <w:lang w:val="en-CA"/>
        </w:rPr>
        <w:t xml:space="preserve">what he believed was an </w:t>
      </w:r>
      <w:r w:rsidRPr="002F6CBB">
        <w:rPr>
          <w:lang w:val="en-CA"/>
        </w:rPr>
        <w:t>unfair and discriminatory</w:t>
      </w:r>
      <w:r w:rsidR="00B268AD">
        <w:rPr>
          <w:lang w:val="en-CA"/>
        </w:rPr>
        <w:t xml:space="preserve"> </w:t>
      </w:r>
      <w:r w:rsidR="0014200E">
        <w:rPr>
          <w:lang w:val="en-CA"/>
        </w:rPr>
        <w:t>police intervention</w:t>
      </w:r>
      <w:r w:rsidRPr="002F6CBB">
        <w:rPr>
          <w:lang w:val="en-CA"/>
        </w:rPr>
        <w:t>.</w:t>
      </w:r>
      <w:r w:rsidR="00BC67BE" w:rsidRPr="002F6CBB">
        <w:rPr>
          <w:lang w:val="en-CA"/>
        </w:rPr>
        <w:t xml:space="preserve"> </w:t>
      </w:r>
    </w:p>
    <w:p w14:paraId="63C2D4AE" w14:textId="513A6E54" w:rsidR="00810CE6" w:rsidRPr="002F6CBB" w:rsidRDefault="00BA58A4" w:rsidP="00BA5B05">
      <w:pPr>
        <w:pStyle w:val="Paragraphe"/>
        <w:tabs>
          <w:tab w:val="clear" w:pos="567"/>
          <w:tab w:val="num" w:pos="709"/>
        </w:tabs>
        <w:rPr>
          <w:lang w:val="en-CA"/>
        </w:rPr>
      </w:pPr>
      <w:r w:rsidRPr="002F6CBB">
        <w:rPr>
          <w:lang w:val="en-CA"/>
        </w:rPr>
        <w:t xml:space="preserve">The Tribunal therefore concludes that the call quickly placed by Officer Lamothe was indeed a call for backup motivated by her fears and </w:t>
      </w:r>
      <w:r w:rsidR="001202FD">
        <w:rPr>
          <w:lang w:val="en-CA"/>
        </w:rPr>
        <w:t xml:space="preserve">prejudices </w:t>
      </w:r>
      <w:r w:rsidRPr="002F6CBB">
        <w:rPr>
          <w:lang w:val="en-CA"/>
        </w:rPr>
        <w:t>based on Mr. Woodley’s rac</w:t>
      </w:r>
      <w:r w:rsidR="00B268AD">
        <w:rPr>
          <w:lang w:val="en-CA"/>
        </w:rPr>
        <w:t>ial background</w:t>
      </w:r>
      <w:r w:rsidRPr="002F6CBB">
        <w:rPr>
          <w:lang w:val="en-CA"/>
        </w:rPr>
        <w:t>.</w:t>
      </w:r>
    </w:p>
    <w:p w14:paraId="4465F984" w14:textId="7CC90E31" w:rsidR="00810CE6" w:rsidRPr="002F6CBB" w:rsidRDefault="00BA58A4" w:rsidP="009C1038">
      <w:pPr>
        <w:pStyle w:val="Titre4"/>
        <w:ind w:left="851" w:hanging="284"/>
        <w:rPr>
          <w:bCs/>
          <w:lang w:val="en-CA"/>
        </w:rPr>
      </w:pPr>
      <w:bookmarkStart w:id="31" w:name="_Toc183702210"/>
      <w:r w:rsidRPr="002F6CBB">
        <w:rPr>
          <w:bCs/>
          <w:lang w:val="en-CA"/>
        </w:rPr>
        <w:t>Arbitrary detention and verification of police and criminal records</w:t>
      </w:r>
      <w:bookmarkEnd w:id="31"/>
    </w:p>
    <w:p w14:paraId="172222C9" w14:textId="1399986E" w:rsidR="00810CE6" w:rsidRPr="002F6CBB" w:rsidRDefault="009E7AEC" w:rsidP="00BA5B05">
      <w:pPr>
        <w:pStyle w:val="Paragraphe"/>
        <w:tabs>
          <w:tab w:val="clear" w:pos="567"/>
          <w:tab w:val="num" w:pos="709"/>
        </w:tabs>
        <w:rPr>
          <w:lang w:val="en-CA"/>
        </w:rPr>
      </w:pPr>
      <w:r w:rsidRPr="002F6CBB">
        <w:rPr>
          <w:lang w:val="en-CA"/>
        </w:rPr>
        <w:t xml:space="preserve">According to </w:t>
      </w:r>
      <w:r w:rsidRPr="002F6CBB">
        <w:rPr>
          <w:i/>
          <w:lang w:val="en-CA"/>
        </w:rPr>
        <w:t>Grant</w:t>
      </w:r>
      <w:r w:rsidRPr="002F6CBB">
        <w:rPr>
          <w:rStyle w:val="Appelnotedebasdep"/>
          <w:lang w:val="en-CA"/>
        </w:rPr>
        <w:footnoteReference w:id="57"/>
      </w:r>
      <w:r w:rsidR="008B585A">
        <w:rPr>
          <w:lang w:val="en-CA"/>
        </w:rPr>
        <w:t>,</w:t>
      </w:r>
      <w:r w:rsidRPr="002F6CBB">
        <w:rPr>
          <w:lang w:val="en-CA"/>
        </w:rPr>
        <w:t xml:space="preserve"> a driver </w:t>
      </w:r>
      <w:r w:rsidR="0014200E">
        <w:rPr>
          <w:lang w:val="en-CA"/>
        </w:rPr>
        <w:t>intercepted</w:t>
      </w:r>
      <w:r w:rsidR="0014200E" w:rsidRPr="002F6CBB">
        <w:rPr>
          <w:lang w:val="en-CA"/>
        </w:rPr>
        <w:t xml:space="preserve"> </w:t>
      </w:r>
      <w:r w:rsidRPr="002F6CBB">
        <w:rPr>
          <w:lang w:val="en-CA"/>
        </w:rPr>
        <w:t xml:space="preserve">by the police on the </w:t>
      </w:r>
      <w:r w:rsidR="00971CC8">
        <w:rPr>
          <w:lang w:val="en-CA"/>
        </w:rPr>
        <w:t xml:space="preserve">highway </w:t>
      </w:r>
      <w:r w:rsidRPr="002F6CBB">
        <w:rPr>
          <w:lang w:val="en-CA"/>
        </w:rPr>
        <w:t>is detained because the driver cannot leave the scene or refuse to answer questions by the police concerning highway safety.</w:t>
      </w:r>
      <w:r w:rsidR="00BC67BE" w:rsidRPr="002F6CBB">
        <w:rPr>
          <w:lang w:val="en-CA"/>
        </w:rPr>
        <w:t xml:space="preserve"> </w:t>
      </w:r>
    </w:p>
    <w:p w14:paraId="139D26BB" w14:textId="01E56006" w:rsidR="00810CE6" w:rsidRPr="002F6CBB" w:rsidRDefault="009E7AEC" w:rsidP="00BA5B05">
      <w:pPr>
        <w:pStyle w:val="Paragraphe"/>
        <w:tabs>
          <w:tab w:val="clear" w:pos="567"/>
          <w:tab w:val="num" w:pos="709"/>
        </w:tabs>
        <w:rPr>
          <w:lang w:val="en-CA"/>
        </w:rPr>
      </w:pPr>
      <w:r w:rsidRPr="002F6CBB">
        <w:rPr>
          <w:i/>
          <w:lang w:val="en-CA"/>
        </w:rPr>
        <w:t>Ladouceur</w:t>
      </w:r>
      <w:r w:rsidRPr="002F6CBB">
        <w:rPr>
          <w:rStyle w:val="Appelnotedebasdep"/>
          <w:lang w:val="en-CA"/>
        </w:rPr>
        <w:footnoteReference w:id="58"/>
      </w:r>
      <w:r w:rsidRPr="002F6CBB">
        <w:rPr>
          <w:lang w:val="en-CA"/>
        </w:rPr>
        <w:t xml:space="preserve"> stated that random </w:t>
      </w:r>
      <w:r w:rsidR="0014200E">
        <w:rPr>
          <w:lang w:val="en-CA"/>
        </w:rPr>
        <w:t>interceptions</w:t>
      </w:r>
      <w:r w:rsidR="0014200E" w:rsidRPr="002F6CBB">
        <w:rPr>
          <w:lang w:val="en-CA"/>
        </w:rPr>
        <w:t xml:space="preserve"> </w:t>
      </w:r>
      <w:r w:rsidRPr="002F6CBB">
        <w:rPr>
          <w:lang w:val="en-CA"/>
        </w:rPr>
        <w:t xml:space="preserve">of drivers </w:t>
      </w:r>
      <w:r w:rsidR="00426075">
        <w:rPr>
          <w:lang w:val="en-CA"/>
        </w:rPr>
        <w:t>are</w:t>
      </w:r>
      <w:r w:rsidRPr="002F6CBB">
        <w:rPr>
          <w:lang w:val="en-CA"/>
        </w:rPr>
        <w:t xml:space="preserve"> arbitrary detention</w:t>
      </w:r>
      <w:r w:rsidR="00426075">
        <w:rPr>
          <w:lang w:val="en-CA"/>
        </w:rPr>
        <w:t>s</w:t>
      </w:r>
      <w:r w:rsidRPr="002F6CBB">
        <w:rPr>
          <w:lang w:val="en-CA"/>
        </w:rPr>
        <w:t xml:space="preserve"> and that the legal authorization to conduct such random checks is justified under section 1 of the </w:t>
      </w:r>
      <w:r w:rsidRPr="002F6CBB">
        <w:rPr>
          <w:i/>
          <w:lang w:val="en-CA"/>
        </w:rPr>
        <w:t>Canadian Charter</w:t>
      </w:r>
      <w:r w:rsidRPr="002F6CBB">
        <w:rPr>
          <w:lang w:val="en-CA"/>
        </w:rPr>
        <w:t xml:space="preserve"> </w:t>
      </w:r>
      <w:r w:rsidR="007C4ABE" w:rsidRPr="002F6CBB">
        <w:rPr>
          <w:lang w:val="en-CA"/>
        </w:rPr>
        <w:t xml:space="preserve">only </w:t>
      </w:r>
      <w:r w:rsidRPr="002F6CBB">
        <w:rPr>
          <w:lang w:val="en-CA"/>
        </w:rPr>
        <w:t xml:space="preserve">if the stops are </w:t>
      </w:r>
      <w:r w:rsidR="00426075">
        <w:rPr>
          <w:lang w:val="en-CA"/>
        </w:rPr>
        <w:t>actually</w:t>
      </w:r>
      <w:r w:rsidRPr="002F6CBB">
        <w:rPr>
          <w:lang w:val="en-CA"/>
        </w:rPr>
        <w:t xml:space="preserve"> made for reasons of highway safety.</w:t>
      </w:r>
    </w:p>
    <w:p w14:paraId="0EE37FC5" w14:textId="4E50A5EB" w:rsidR="00810CE6" w:rsidRPr="002F6CBB" w:rsidRDefault="009E7AEC" w:rsidP="00BA5B05">
      <w:pPr>
        <w:pStyle w:val="Paragraphe"/>
        <w:tabs>
          <w:tab w:val="clear" w:pos="567"/>
          <w:tab w:val="num" w:pos="709"/>
        </w:tabs>
        <w:rPr>
          <w:lang w:val="en-CA"/>
        </w:rPr>
      </w:pPr>
      <w:r w:rsidRPr="002F6CBB">
        <w:rPr>
          <w:lang w:val="en-CA"/>
        </w:rPr>
        <w:t xml:space="preserve">It follows that if a car is not </w:t>
      </w:r>
      <w:r w:rsidR="00602E78" w:rsidRPr="002F6CBB">
        <w:rPr>
          <w:lang w:val="en-CA"/>
        </w:rPr>
        <w:t xml:space="preserve">randomly </w:t>
      </w:r>
      <w:r w:rsidR="0014200E">
        <w:rPr>
          <w:lang w:val="en-CA"/>
        </w:rPr>
        <w:t>intercepted</w:t>
      </w:r>
      <w:r w:rsidR="0014200E" w:rsidRPr="002F6CBB">
        <w:rPr>
          <w:lang w:val="en-CA"/>
        </w:rPr>
        <w:t xml:space="preserve"> </w:t>
      </w:r>
      <w:r w:rsidRPr="002F6CBB">
        <w:rPr>
          <w:lang w:val="en-CA"/>
        </w:rPr>
        <w:t>but</w:t>
      </w:r>
      <w:r w:rsidR="00426075">
        <w:rPr>
          <w:lang w:val="en-CA"/>
        </w:rPr>
        <w:t>,</w:t>
      </w:r>
      <w:r w:rsidRPr="002F6CBB">
        <w:rPr>
          <w:lang w:val="en-CA"/>
        </w:rPr>
        <w:t xml:space="preserve"> </w:t>
      </w:r>
      <w:r w:rsidR="00426075">
        <w:rPr>
          <w:lang w:val="en-CA"/>
        </w:rPr>
        <w:t xml:space="preserve">on the contrary, </w:t>
      </w:r>
      <w:r w:rsidR="00602E78" w:rsidRPr="002F6CBB">
        <w:rPr>
          <w:lang w:val="en-CA"/>
        </w:rPr>
        <w:t xml:space="preserve">the </w:t>
      </w:r>
      <w:r w:rsidR="0014200E">
        <w:rPr>
          <w:lang w:val="en-CA"/>
        </w:rPr>
        <w:t>interception</w:t>
      </w:r>
      <w:r w:rsidR="0014200E" w:rsidRPr="002F6CBB">
        <w:rPr>
          <w:lang w:val="en-CA"/>
        </w:rPr>
        <w:t xml:space="preserve"> </w:t>
      </w:r>
      <w:r w:rsidRPr="002F6CBB">
        <w:rPr>
          <w:lang w:val="en-CA"/>
        </w:rPr>
        <w:t xml:space="preserve">is based in </w:t>
      </w:r>
      <w:r w:rsidR="00426075">
        <w:rPr>
          <w:lang w:val="en-CA"/>
        </w:rPr>
        <w:t xml:space="preserve">whole </w:t>
      </w:r>
      <w:r w:rsidRPr="002F6CBB">
        <w:rPr>
          <w:lang w:val="en-CA"/>
        </w:rPr>
        <w:t xml:space="preserve">or in part on the driver’s race or colour, it is </w:t>
      </w:r>
      <w:r w:rsidR="00426075" w:rsidRPr="002F6CBB">
        <w:rPr>
          <w:lang w:val="en-CA"/>
        </w:rPr>
        <w:t xml:space="preserve">a discriminatory </w:t>
      </w:r>
      <w:r w:rsidR="00426075" w:rsidRPr="002F6CBB">
        <w:rPr>
          <w:lang w:val="en-CA"/>
        </w:rPr>
        <w:lastRenderedPageBreak/>
        <w:t xml:space="preserve">act </w:t>
      </w:r>
      <w:r w:rsidR="00426075">
        <w:rPr>
          <w:lang w:val="en-CA"/>
        </w:rPr>
        <w:t xml:space="preserve">of </w:t>
      </w:r>
      <w:r w:rsidRPr="002F6CBB">
        <w:rPr>
          <w:lang w:val="en-CA"/>
        </w:rPr>
        <w:t xml:space="preserve">racial profiling within the meaning of section 10 of the </w:t>
      </w:r>
      <w:r w:rsidRPr="002F6CBB">
        <w:rPr>
          <w:i/>
          <w:lang w:val="en-CA"/>
        </w:rPr>
        <w:t>Charter</w:t>
      </w:r>
      <w:r w:rsidRPr="002F6CBB">
        <w:rPr>
          <w:lang w:val="en-CA"/>
        </w:rPr>
        <w:t xml:space="preserve"> that is not authorized by </w:t>
      </w:r>
      <w:r w:rsidRPr="002F6CBB">
        <w:rPr>
          <w:i/>
          <w:lang w:val="en-CA"/>
        </w:rPr>
        <w:t>Ladouceur</w:t>
      </w:r>
      <w:r w:rsidRPr="002F6CBB">
        <w:rPr>
          <w:lang w:val="en-CA"/>
        </w:rPr>
        <w:t xml:space="preserve"> or by section 636 </w:t>
      </w:r>
      <w:r w:rsidRPr="002F6CBB">
        <w:rPr>
          <w:i/>
          <w:lang w:val="en-CA"/>
        </w:rPr>
        <w:t>HSC</w:t>
      </w:r>
      <w:r w:rsidRPr="002F6CBB">
        <w:rPr>
          <w:lang w:val="en-CA"/>
        </w:rPr>
        <w:t>.</w:t>
      </w:r>
      <w:r w:rsidRPr="002F6CBB">
        <w:rPr>
          <w:rStyle w:val="Appelnotedebasdep"/>
          <w:lang w:val="en-CA"/>
        </w:rPr>
        <w:footnoteReference w:id="59"/>
      </w:r>
    </w:p>
    <w:p w14:paraId="48A96602" w14:textId="5963A2BC" w:rsidR="00810CE6" w:rsidRPr="002F6CBB" w:rsidRDefault="009E7AEC" w:rsidP="00BA5B05">
      <w:pPr>
        <w:pStyle w:val="Paragraphe"/>
        <w:tabs>
          <w:tab w:val="clear" w:pos="567"/>
          <w:tab w:val="num" w:pos="709"/>
        </w:tabs>
        <w:rPr>
          <w:lang w:val="en-CA"/>
        </w:rPr>
      </w:pPr>
      <w:r w:rsidRPr="002F6CBB">
        <w:rPr>
          <w:lang w:val="en-CA"/>
        </w:rPr>
        <w:t xml:space="preserve">The Tribunal has already found that the decision to </w:t>
      </w:r>
      <w:r w:rsidR="0014200E">
        <w:rPr>
          <w:lang w:val="en-CA"/>
        </w:rPr>
        <w:t>intercept</w:t>
      </w:r>
      <w:r w:rsidRPr="002F6CBB">
        <w:rPr>
          <w:lang w:val="en-CA"/>
        </w:rPr>
        <w:t xml:space="preserve"> Mr. Woodley’s </w:t>
      </w:r>
      <w:r w:rsidR="00426075">
        <w:rPr>
          <w:lang w:val="en-CA"/>
        </w:rPr>
        <w:t xml:space="preserve">vehicle </w:t>
      </w:r>
      <w:r w:rsidRPr="002F6CBB">
        <w:rPr>
          <w:lang w:val="en-CA"/>
        </w:rPr>
        <w:t>was based on the fact that he is a</w:t>
      </w:r>
      <w:r w:rsidR="00CF2D70">
        <w:rPr>
          <w:lang w:val="en-CA"/>
        </w:rPr>
        <w:t xml:space="preserve"> </w:t>
      </w:r>
      <w:r w:rsidR="00C14519">
        <w:rPr>
          <w:lang w:val="en-CA"/>
        </w:rPr>
        <w:t>Black</w:t>
      </w:r>
      <w:r w:rsidRPr="002F6CBB">
        <w:rPr>
          <w:lang w:val="en-CA"/>
        </w:rPr>
        <w:t xml:space="preserve"> man and </w:t>
      </w:r>
      <w:r w:rsidR="007C4ABE">
        <w:rPr>
          <w:lang w:val="en-CA"/>
        </w:rPr>
        <w:t xml:space="preserve">that it </w:t>
      </w:r>
      <w:r w:rsidRPr="002F6CBB">
        <w:rPr>
          <w:lang w:val="en-CA"/>
        </w:rPr>
        <w:t xml:space="preserve">was not a random </w:t>
      </w:r>
      <w:r w:rsidR="006F2F7A">
        <w:rPr>
          <w:lang w:val="en-CA"/>
        </w:rPr>
        <w:t>interception</w:t>
      </w:r>
      <w:r w:rsidRPr="002F6CBB">
        <w:rPr>
          <w:lang w:val="en-CA"/>
        </w:rPr>
        <w:t>.</w:t>
      </w:r>
    </w:p>
    <w:p w14:paraId="25BB3278" w14:textId="04A3FB9D" w:rsidR="00810CE6" w:rsidRPr="002F6CBB" w:rsidRDefault="00426075" w:rsidP="00BA5B05">
      <w:pPr>
        <w:pStyle w:val="Paragraphe"/>
        <w:tabs>
          <w:tab w:val="clear" w:pos="567"/>
          <w:tab w:val="num" w:pos="709"/>
        </w:tabs>
        <w:rPr>
          <w:lang w:val="en-CA"/>
        </w:rPr>
      </w:pPr>
      <w:r>
        <w:rPr>
          <w:lang w:val="en-CA"/>
        </w:rPr>
        <w:t>Moreover, t</w:t>
      </w:r>
      <w:r w:rsidR="009E7AEC" w:rsidRPr="002F6CBB">
        <w:rPr>
          <w:lang w:val="en-CA"/>
        </w:rPr>
        <w:t xml:space="preserve">he evidence reveals that after Officers </w:t>
      </w:r>
      <w:proofErr w:type="spellStart"/>
      <w:r w:rsidR="009E7AEC" w:rsidRPr="002F6CBB">
        <w:rPr>
          <w:lang w:val="en-CA"/>
        </w:rPr>
        <w:t>Beaulac</w:t>
      </w:r>
      <w:proofErr w:type="spellEnd"/>
      <w:r w:rsidR="009E7AEC" w:rsidRPr="002F6CBB">
        <w:rPr>
          <w:lang w:val="en-CA"/>
        </w:rPr>
        <w:t xml:space="preserve"> and Lamothe obtained Mr. Woodley’s driver’s licence, registration</w:t>
      </w:r>
      <w:r>
        <w:rPr>
          <w:lang w:val="en-CA"/>
        </w:rPr>
        <w:t xml:space="preserve"> certificate</w:t>
      </w:r>
      <w:r w:rsidR="009E7AEC" w:rsidRPr="002F6CBB">
        <w:rPr>
          <w:lang w:val="en-CA"/>
        </w:rPr>
        <w:t xml:space="preserve">, and insurance </w:t>
      </w:r>
      <w:r>
        <w:rPr>
          <w:lang w:val="en-CA"/>
        </w:rPr>
        <w:t>documents</w:t>
      </w:r>
      <w:r w:rsidR="009E7AEC" w:rsidRPr="002F6CBB">
        <w:rPr>
          <w:lang w:val="en-CA"/>
        </w:rPr>
        <w:t xml:space="preserve">, even before they checked his Ontario driver’s licence, </w:t>
      </w:r>
      <w:r w:rsidR="00ED7FDF">
        <w:rPr>
          <w:lang w:val="en-CA"/>
        </w:rPr>
        <w:t xml:space="preserve">they </w:t>
      </w:r>
      <w:r w:rsidR="009E7AEC" w:rsidRPr="002F6CBB">
        <w:rPr>
          <w:lang w:val="en-CA"/>
        </w:rPr>
        <w:t>searched Mr. Woodley’s police and criminal record</w:t>
      </w:r>
      <w:r>
        <w:rPr>
          <w:lang w:val="en-CA"/>
        </w:rPr>
        <w:t>s</w:t>
      </w:r>
      <w:r w:rsidR="009E7AEC" w:rsidRPr="002F6CBB">
        <w:rPr>
          <w:lang w:val="en-CA"/>
        </w:rPr>
        <w:t xml:space="preserve"> by consulting the CP</w:t>
      </w:r>
      <w:r>
        <w:rPr>
          <w:lang w:val="en-CA"/>
        </w:rPr>
        <w:t>I</w:t>
      </w:r>
      <w:r w:rsidR="009E7AEC" w:rsidRPr="002F6CBB">
        <w:rPr>
          <w:lang w:val="en-CA"/>
        </w:rPr>
        <w:t>C and IG-MIP databases by name.</w:t>
      </w:r>
      <w:r w:rsidR="009E7AEC" w:rsidRPr="002F6CBB">
        <w:rPr>
          <w:rStyle w:val="Appelnotedebasdep"/>
          <w:lang w:val="en-CA"/>
        </w:rPr>
        <w:footnoteReference w:id="60"/>
      </w:r>
      <w:r w:rsidR="00BC67BE" w:rsidRPr="002F6CBB">
        <w:rPr>
          <w:lang w:val="en-CA"/>
        </w:rPr>
        <w:t xml:space="preserve"> </w:t>
      </w:r>
      <w:r w:rsidR="009E7AEC" w:rsidRPr="002F6CBB">
        <w:rPr>
          <w:lang w:val="en-CA"/>
        </w:rPr>
        <w:t xml:space="preserve">They explained that they wanted to know </w:t>
      </w:r>
      <w:r w:rsidR="00602E78" w:rsidRPr="002F6CBB">
        <w:rPr>
          <w:rFonts w:cs="Arial"/>
          <w:lang w:val="en-CA"/>
        </w:rPr>
        <w:t>[</w:t>
      </w:r>
      <w:r w:rsidR="00602E78" w:rsidRPr="002F6CBB">
        <w:rPr>
          <w:rFonts w:cs="Arial"/>
          <w:smallCaps/>
          <w:lang w:val="en-CA"/>
        </w:rPr>
        <w:t>translation</w:t>
      </w:r>
      <w:r w:rsidR="00602E78" w:rsidRPr="002F6CBB">
        <w:rPr>
          <w:rFonts w:cs="Arial"/>
          <w:lang w:val="en-CA"/>
        </w:rPr>
        <w:t>]</w:t>
      </w:r>
      <w:r w:rsidR="00602E78" w:rsidRPr="002F6CBB">
        <w:rPr>
          <w:lang w:val="en-CA"/>
        </w:rPr>
        <w:t xml:space="preserve"> </w:t>
      </w:r>
      <w:r w:rsidR="009E7AEC" w:rsidRPr="002F6CBB">
        <w:rPr>
          <w:lang w:val="en-CA"/>
        </w:rPr>
        <w:t>“who they were dealing with”.</w:t>
      </w:r>
    </w:p>
    <w:p w14:paraId="198BF3F9" w14:textId="4ECEEF48" w:rsidR="00810CE6" w:rsidRPr="002F6CBB" w:rsidRDefault="009E7AEC" w:rsidP="00BA5B05">
      <w:pPr>
        <w:pStyle w:val="Paragraphe"/>
        <w:tabs>
          <w:tab w:val="clear" w:pos="567"/>
          <w:tab w:val="num" w:pos="709"/>
        </w:tabs>
        <w:rPr>
          <w:lang w:val="en-CA"/>
        </w:rPr>
      </w:pPr>
      <w:r w:rsidRPr="002F6CBB">
        <w:rPr>
          <w:lang w:val="en-CA"/>
        </w:rPr>
        <w:t xml:space="preserve">Since there was no reason to suspect any criminal activity by Mr. Woodley, the </w:t>
      </w:r>
      <w:r w:rsidR="00426075">
        <w:rPr>
          <w:lang w:val="en-CA"/>
        </w:rPr>
        <w:t xml:space="preserve">only possible rational </w:t>
      </w:r>
      <w:r w:rsidRPr="002F6CBB">
        <w:rPr>
          <w:lang w:val="en-CA"/>
        </w:rPr>
        <w:t xml:space="preserve">and plausible explanation is that this criminal check during a routine road stop </w:t>
      </w:r>
      <w:r w:rsidR="00D34CC2">
        <w:rPr>
          <w:lang w:val="en-CA"/>
        </w:rPr>
        <w:t>was</w:t>
      </w:r>
      <w:r w:rsidRPr="002F6CBB">
        <w:rPr>
          <w:lang w:val="en-CA"/>
        </w:rPr>
        <w:t xml:space="preserve"> based </w:t>
      </w:r>
      <w:r w:rsidR="00D34CC2">
        <w:rPr>
          <w:lang w:val="en-CA"/>
        </w:rPr>
        <w:t xml:space="preserve">only </w:t>
      </w:r>
      <w:r w:rsidRPr="002F6CBB">
        <w:rPr>
          <w:lang w:val="en-CA"/>
        </w:rPr>
        <w:t xml:space="preserve">on </w:t>
      </w:r>
      <w:r w:rsidR="00D34CC2">
        <w:rPr>
          <w:lang w:val="en-CA"/>
        </w:rPr>
        <w:t xml:space="preserve">the </w:t>
      </w:r>
      <w:r w:rsidRPr="002F6CBB">
        <w:rPr>
          <w:lang w:val="en-CA"/>
        </w:rPr>
        <w:t xml:space="preserve">prejudices and stereotypes of dangerousness associated with </w:t>
      </w:r>
      <w:r w:rsidR="00C14519">
        <w:rPr>
          <w:lang w:val="en-CA"/>
        </w:rPr>
        <w:t>Black</w:t>
      </w:r>
      <w:r w:rsidRPr="002F6CBB">
        <w:rPr>
          <w:lang w:val="en-CA"/>
        </w:rPr>
        <w:t xml:space="preserve"> men.</w:t>
      </w:r>
      <w:r w:rsidRPr="002F6CBB">
        <w:rPr>
          <w:rStyle w:val="Appelnotedebasdep"/>
          <w:lang w:val="en-CA"/>
        </w:rPr>
        <w:footnoteReference w:id="61"/>
      </w:r>
      <w:r w:rsidR="00BC67BE" w:rsidRPr="002F6CBB">
        <w:rPr>
          <w:lang w:val="en-CA"/>
        </w:rPr>
        <w:t xml:space="preserve"> </w:t>
      </w:r>
    </w:p>
    <w:p w14:paraId="291B4AC9" w14:textId="7253C38B" w:rsidR="00810CE6" w:rsidRPr="002F6CBB" w:rsidRDefault="009E7AEC" w:rsidP="00BA5B05">
      <w:pPr>
        <w:pStyle w:val="Paragraphe"/>
        <w:tabs>
          <w:tab w:val="clear" w:pos="567"/>
          <w:tab w:val="num" w:pos="709"/>
        </w:tabs>
        <w:rPr>
          <w:lang w:val="en-CA"/>
        </w:rPr>
      </w:pPr>
      <w:r w:rsidRPr="002F6CBB">
        <w:rPr>
          <w:lang w:val="en-CA"/>
        </w:rPr>
        <w:t>The same is true for the other unusual act</w:t>
      </w:r>
      <w:r w:rsidR="00D34CC2">
        <w:rPr>
          <w:lang w:val="en-CA"/>
        </w:rPr>
        <w:t>ion</w:t>
      </w:r>
      <w:r w:rsidRPr="002F6CBB">
        <w:rPr>
          <w:lang w:val="en-CA"/>
        </w:rPr>
        <w:t xml:space="preserve">s </w:t>
      </w:r>
      <w:r w:rsidR="00D34CC2">
        <w:rPr>
          <w:lang w:val="en-CA"/>
        </w:rPr>
        <w:t xml:space="preserve">that marked </w:t>
      </w:r>
      <w:r w:rsidRPr="002F6CBB">
        <w:rPr>
          <w:lang w:val="en-CA"/>
        </w:rPr>
        <w:t xml:space="preserve">the differential treatment of the complainant </w:t>
      </w:r>
      <w:r w:rsidR="00247AB8">
        <w:rPr>
          <w:lang w:val="en-CA"/>
        </w:rPr>
        <w:t xml:space="preserve">during the time </w:t>
      </w:r>
      <w:r w:rsidR="00D34CC2">
        <w:rPr>
          <w:lang w:val="en-CA"/>
        </w:rPr>
        <w:t xml:space="preserve">he was </w:t>
      </w:r>
      <w:r w:rsidR="002135E7">
        <w:rPr>
          <w:lang w:val="en-CA"/>
        </w:rPr>
        <w:t>being intercepted</w:t>
      </w:r>
      <w:r w:rsidRPr="002F6CBB">
        <w:rPr>
          <w:lang w:val="en-CA"/>
        </w:rPr>
        <w:t xml:space="preserve">: visual search of </w:t>
      </w:r>
      <w:r w:rsidR="00D34CC2">
        <w:rPr>
          <w:lang w:val="en-CA"/>
        </w:rPr>
        <w:t>his vehicle’s interior</w:t>
      </w:r>
      <w:r w:rsidRPr="002F6CBB">
        <w:rPr>
          <w:lang w:val="en-CA"/>
        </w:rPr>
        <w:t xml:space="preserve">, failure to provide the badge number, refusal to contact the supervisor, and </w:t>
      </w:r>
      <w:r w:rsidR="00D34CC2" w:rsidRPr="002F6CBB">
        <w:rPr>
          <w:lang w:val="en-CA"/>
        </w:rPr>
        <w:t xml:space="preserve">the passenger door </w:t>
      </w:r>
      <w:r w:rsidR="00D34CC2">
        <w:rPr>
          <w:lang w:val="en-CA"/>
        </w:rPr>
        <w:t xml:space="preserve">being opened by </w:t>
      </w:r>
      <w:r w:rsidRPr="002F6CBB">
        <w:rPr>
          <w:lang w:val="en-CA"/>
        </w:rPr>
        <w:t xml:space="preserve">Officer </w:t>
      </w:r>
      <w:proofErr w:type="spellStart"/>
      <w:r w:rsidRPr="002F6CBB">
        <w:rPr>
          <w:lang w:val="en-CA"/>
        </w:rPr>
        <w:t>Duchaine</w:t>
      </w:r>
      <w:proofErr w:type="spellEnd"/>
      <w:r w:rsidRPr="002F6CBB">
        <w:rPr>
          <w:lang w:val="en-CA"/>
        </w:rPr>
        <w:t>.</w:t>
      </w:r>
      <w:r w:rsidR="00BC67BE" w:rsidRPr="002F6CBB">
        <w:rPr>
          <w:lang w:val="en-CA"/>
        </w:rPr>
        <w:t xml:space="preserve"> </w:t>
      </w:r>
      <w:r w:rsidRPr="002F6CBB">
        <w:rPr>
          <w:lang w:val="en-CA"/>
        </w:rPr>
        <w:t>All these act</w:t>
      </w:r>
      <w:r w:rsidR="00D34CC2">
        <w:rPr>
          <w:lang w:val="en-CA"/>
        </w:rPr>
        <w:t>ion</w:t>
      </w:r>
      <w:r w:rsidRPr="002F6CBB">
        <w:rPr>
          <w:lang w:val="en-CA"/>
        </w:rPr>
        <w:t>s fall within the continuum of racial profiling suffered by Mr. Woodley on the morning of September 19, 2018.</w:t>
      </w:r>
      <w:r w:rsidR="00BC67BE" w:rsidRPr="002F6CBB">
        <w:rPr>
          <w:lang w:val="en-CA"/>
        </w:rPr>
        <w:t xml:space="preserve"> </w:t>
      </w:r>
    </w:p>
    <w:p w14:paraId="1710C4C2" w14:textId="1DA3254A" w:rsidR="00810CE6" w:rsidRPr="002F6CBB" w:rsidRDefault="00BC67BE" w:rsidP="00144B72">
      <w:pPr>
        <w:pStyle w:val="Titre4"/>
        <w:ind w:left="851" w:hanging="284"/>
        <w:rPr>
          <w:bCs/>
          <w:lang w:val="en-CA"/>
        </w:rPr>
      </w:pPr>
      <w:r w:rsidRPr="002F6CBB">
        <w:rPr>
          <w:bCs/>
          <w:lang w:val="en-CA"/>
        </w:rPr>
        <w:t xml:space="preserve"> </w:t>
      </w:r>
      <w:bookmarkStart w:id="32" w:name="_Toc183702211"/>
      <w:r w:rsidR="009E7AEC" w:rsidRPr="002F6CBB">
        <w:rPr>
          <w:bCs/>
          <w:lang w:val="en-CA"/>
        </w:rPr>
        <w:t>The two statements of offence</w:t>
      </w:r>
      <w:bookmarkEnd w:id="32"/>
    </w:p>
    <w:p w14:paraId="795901BE" w14:textId="3D76BA76" w:rsidR="00810CE6" w:rsidRPr="00525535" w:rsidRDefault="00D34CC2" w:rsidP="005E7C4B">
      <w:pPr>
        <w:pStyle w:val="Paragraphe"/>
        <w:tabs>
          <w:tab w:val="clear" w:pos="567"/>
          <w:tab w:val="num" w:pos="709"/>
        </w:tabs>
        <w:rPr>
          <w:lang w:val="en-CA"/>
        </w:rPr>
      </w:pPr>
      <w:r>
        <w:rPr>
          <w:lang w:val="en-CA"/>
        </w:rPr>
        <w:t>Even though</w:t>
      </w:r>
      <w:r w:rsidR="009E7AEC" w:rsidRPr="002F6CBB">
        <w:rPr>
          <w:lang w:val="en-CA"/>
        </w:rPr>
        <w:t xml:space="preserve"> </w:t>
      </w:r>
      <w:r w:rsidR="009E7AEC" w:rsidRPr="00525535">
        <w:rPr>
          <w:lang w:val="en-CA"/>
        </w:rPr>
        <w:t xml:space="preserve">Officers </w:t>
      </w:r>
      <w:proofErr w:type="spellStart"/>
      <w:r w:rsidR="009E7AEC" w:rsidRPr="00525535">
        <w:rPr>
          <w:lang w:val="en-CA"/>
        </w:rPr>
        <w:t>Beaulac</w:t>
      </w:r>
      <w:proofErr w:type="spellEnd"/>
      <w:r w:rsidR="009E7AEC" w:rsidRPr="00525535">
        <w:rPr>
          <w:lang w:val="en-CA"/>
        </w:rPr>
        <w:t xml:space="preserve"> and Lamothe testified that they </w:t>
      </w:r>
      <w:r w:rsidR="0014200E">
        <w:rPr>
          <w:lang w:val="en-CA"/>
        </w:rPr>
        <w:t>intercepted</w:t>
      </w:r>
      <w:r w:rsidR="0014200E" w:rsidRPr="00525535">
        <w:rPr>
          <w:lang w:val="en-CA"/>
        </w:rPr>
        <w:t xml:space="preserve"> </w:t>
      </w:r>
      <w:r w:rsidR="009E7AEC" w:rsidRPr="00525535">
        <w:rPr>
          <w:lang w:val="en-CA"/>
        </w:rPr>
        <w:t>Mr.</w:t>
      </w:r>
      <w:r w:rsidR="00ED7FDF">
        <w:rPr>
          <w:lang w:val="en-CA"/>
        </w:rPr>
        <w:t> </w:t>
      </w:r>
      <w:r w:rsidR="009E7AEC" w:rsidRPr="00525535">
        <w:rPr>
          <w:lang w:val="en-CA"/>
        </w:rPr>
        <w:t xml:space="preserve">Woodley to check </w:t>
      </w:r>
      <w:r w:rsidRPr="00525535">
        <w:rPr>
          <w:lang w:val="en-CA"/>
        </w:rPr>
        <w:t xml:space="preserve">whether </w:t>
      </w:r>
      <w:r w:rsidR="009E7AEC" w:rsidRPr="00525535">
        <w:rPr>
          <w:lang w:val="en-CA"/>
        </w:rPr>
        <w:t xml:space="preserve">he had a valid licence and was authorized to drive the Acura registered in his </w:t>
      </w:r>
      <w:r w:rsidR="00D849E0" w:rsidRPr="00525535">
        <w:rPr>
          <w:lang w:val="en-CA"/>
        </w:rPr>
        <w:t>wife</w:t>
      </w:r>
      <w:r w:rsidR="009E7AEC" w:rsidRPr="00525535">
        <w:rPr>
          <w:lang w:val="en-CA"/>
        </w:rPr>
        <w:t>’s name, they nonetheless gave him two statements of offence, one for insult</w:t>
      </w:r>
      <w:r w:rsidRPr="00525535">
        <w:rPr>
          <w:lang w:val="en-CA"/>
        </w:rPr>
        <w:t>ing</w:t>
      </w:r>
      <w:r w:rsidR="009E7AEC" w:rsidRPr="00525535">
        <w:rPr>
          <w:lang w:val="en-CA"/>
        </w:rPr>
        <w:t xml:space="preserve"> a peace officer and another for not having a valid registration certificate in his possession.</w:t>
      </w:r>
    </w:p>
    <w:p w14:paraId="66A4C9DC" w14:textId="7A61D66E" w:rsidR="00810CE6" w:rsidRPr="00525535" w:rsidRDefault="00D34CC2" w:rsidP="005E7C4B">
      <w:pPr>
        <w:pStyle w:val="Paragraphe"/>
        <w:tabs>
          <w:tab w:val="clear" w:pos="567"/>
          <w:tab w:val="num" w:pos="709"/>
        </w:tabs>
        <w:rPr>
          <w:lang w:val="en-CA"/>
        </w:rPr>
      </w:pPr>
      <w:r w:rsidRPr="00525535">
        <w:rPr>
          <w:lang w:val="en-CA"/>
        </w:rPr>
        <w:t xml:space="preserve">Issuing </w:t>
      </w:r>
      <w:r w:rsidR="009E7AEC" w:rsidRPr="00525535">
        <w:rPr>
          <w:lang w:val="en-CA"/>
        </w:rPr>
        <w:t xml:space="preserve">statements for minor offences that have little or nothing to do with the reason raised by the officers to </w:t>
      </w:r>
      <w:r w:rsidR="00E166E0">
        <w:rPr>
          <w:lang w:val="en-CA"/>
        </w:rPr>
        <w:t>stop</w:t>
      </w:r>
      <w:r w:rsidRPr="00525535">
        <w:rPr>
          <w:lang w:val="en-CA"/>
        </w:rPr>
        <w:t xml:space="preserve"> </w:t>
      </w:r>
      <w:r w:rsidR="009E7AEC" w:rsidRPr="00525535">
        <w:rPr>
          <w:lang w:val="en-CA"/>
        </w:rPr>
        <w:t xml:space="preserve">racialized people is a well-known and documented </w:t>
      </w:r>
      <w:r w:rsidR="009E7AEC" w:rsidRPr="00525535">
        <w:rPr>
          <w:lang w:val="en-CA"/>
        </w:rPr>
        <w:lastRenderedPageBreak/>
        <w:t>racial profiling practice.</w:t>
      </w:r>
      <w:r w:rsidR="00BC67BE" w:rsidRPr="00525535">
        <w:rPr>
          <w:lang w:val="en-CA"/>
        </w:rPr>
        <w:t xml:space="preserve"> </w:t>
      </w:r>
      <w:r w:rsidR="009E7AEC" w:rsidRPr="00525535">
        <w:rPr>
          <w:lang w:val="en-CA"/>
        </w:rPr>
        <w:t xml:space="preserve">Here is what the Tribunal stated </w:t>
      </w:r>
      <w:r w:rsidRPr="00525535">
        <w:rPr>
          <w:lang w:val="en-CA"/>
        </w:rPr>
        <w:t xml:space="preserve">in this regard </w:t>
      </w:r>
      <w:r w:rsidR="009E7AEC" w:rsidRPr="00525535">
        <w:rPr>
          <w:lang w:val="en-CA"/>
        </w:rPr>
        <w:t xml:space="preserve">in </w:t>
      </w:r>
      <w:proofErr w:type="spellStart"/>
      <w:r w:rsidR="009E7AEC" w:rsidRPr="00525535">
        <w:rPr>
          <w:i/>
          <w:lang w:val="en-CA"/>
        </w:rPr>
        <w:t>Nyembwe</w:t>
      </w:r>
      <w:proofErr w:type="spellEnd"/>
      <w:r w:rsidR="009E7AEC" w:rsidRPr="00525535">
        <w:rPr>
          <w:rStyle w:val="Appelnotedebasdep"/>
          <w:lang w:val="en-CA"/>
        </w:rPr>
        <w:footnoteReference w:id="62"/>
      </w:r>
      <w:r w:rsidR="008B585A">
        <w:rPr>
          <w:lang w:val="en-CA"/>
        </w:rPr>
        <w:t>,</w:t>
      </w:r>
      <w:r w:rsidR="009E7AEC" w:rsidRPr="00525535">
        <w:rPr>
          <w:lang w:val="en-CA"/>
        </w:rPr>
        <w:t xml:space="preserve"> which is relevant </w:t>
      </w:r>
      <w:r w:rsidRPr="00525535">
        <w:rPr>
          <w:lang w:val="en-CA"/>
        </w:rPr>
        <w:t>even though it involved</w:t>
      </w:r>
      <w:r w:rsidR="009E7AEC" w:rsidRPr="00525535">
        <w:rPr>
          <w:lang w:val="en-CA"/>
        </w:rPr>
        <w:t xml:space="preserve"> </w:t>
      </w:r>
      <w:r w:rsidR="00F35853">
        <w:rPr>
          <w:lang w:val="en-CA"/>
        </w:rPr>
        <w:t>an informational</w:t>
      </w:r>
      <w:r w:rsidR="00247AB8" w:rsidRPr="00525535">
        <w:rPr>
          <w:lang w:val="en-CA"/>
        </w:rPr>
        <w:t xml:space="preserve"> </w:t>
      </w:r>
      <w:r w:rsidR="000E705D" w:rsidRPr="00525535">
        <w:rPr>
          <w:lang w:val="en-CA"/>
        </w:rPr>
        <w:t>stop,</w:t>
      </w:r>
      <w:r w:rsidR="009E7AEC" w:rsidRPr="00525535">
        <w:rPr>
          <w:lang w:val="en-CA"/>
        </w:rPr>
        <w:t xml:space="preserve"> not </w:t>
      </w:r>
      <w:r w:rsidR="000E705D" w:rsidRPr="00525535">
        <w:rPr>
          <w:lang w:val="en-CA"/>
        </w:rPr>
        <w:t>a</w:t>
      </w:r>
      <w:r w:rsidR="00A15334">
        <w:rPr>
          <w:lang w:val="en-CA"/>
        </w:rPr>
        <w:t>n interception</w:t>
      </w:r>
      <w:r w:rsidR="009E7AEC" w:rsidRPr="00525535">
        <w:rPr>
          <w:lang w:val="en-CA"/>
        </w:rPr>
        <w:t>:</w:t>
      </w:r>
    </w:p>
    <w:p w14:paraId="181CEA8A" w14:textId="53CF9293" w:rsidR="00BC67BE" w:rsidRPr="002F6CBB" w:rsidRDefault="00BC67BE" w:rsidP="00810CE6">
      <w:pPr>
        <w:pStyle w:val="Citationenretrait"/>
        <w:rPr>
          <w:lang w:val="en-CA"/>
        </w:rPr>
      </w:pPr>
      <w:r w:rsidRPr="002F6CBB">
        <w:rPr>
          <w:rFonts w:cs="Arial"/>
          <w:lang w:val="en-CA"/>
        </w:rPr>
        <w:t>[</w:t>
      </w:r>
      <w:r w:rsidRPr="002F6CBB">
        <w:rPr>
          <w:rFonts w:cs="Arial"/>
          <w:smallCaps/>
          <w:lang w:val="en-CA"/>
        </w:rPr>
        <w:t>translation</w:t>
      </w:r>
      <w:r w:rsidRPr="002F6CBB">
        <w:rPr>
          <w:rFonts w:cs="Arial"/>
          <w:lang w:val="en-CA"/>
        </w:rPr>
        <w:t>]</w:t>
      </w:r>
    </w:p>
    <w:p w14:paraId="5AE0F63B" w14:textId="25FE090E" w:rsidR="00810CE6" w:rsidRPr="002F6CBB" w:rsidRDefault="00BC67BE" w:rsidP="00810CE6">
      <w:pPr>
        <w:pStyle w:val="Citationenretrait"/>
        <w:rPr>
          <w:lang w:val="en-CA"/>
        </w:rPr>
      </w:pPr>
      <w:r w:rsidRPr="002F6CBB">
        <w:rPr>
          <w:lang w:val="en-CA"/>
        </w:rPr>
        <w:t xml:space="preserve">[480] </w:t>
      </w:r>
      <w:r w:rsidR="00087FFE" w:rsidRPr="002F6CBB">
        <w:rPr>
          <w:rFonts w:cs="Arial"/>
          <w:color w:val="000000"/>
          <w:lang w:val="en-CA"/>
        </w:rPr>
        <w:t>The expert explained that the use of municipal by-laws at the end of a mistaken or unlawful stop under the pretext of punishing what the police officers characterize as incivility, is intended to punish the manhandled person for denouncing the discriminatory treatment of which he or she is the victim. This denotes a flagrant lack of respect for the rights of this person and adds to the humiliation that he or she has already suffered by reaffirming his or her powerlessness to be respected.</w:t>
      </w:r>
    </w:p>
    <w:p w14:paraId="03531233" w14:textId="18706734" w:rsidR="00810CE6" w:rsidRPr="002F6CBB" w:rsidRDefault="00BC67BE" w:rsidP="00810CE6">
      <w:pPr>
        <w:pStyle w:val="Citationenretrait"/>
        <w:rPr>
          <w:lang w:val="en-CA"/>
        </w:rPr>
      </w:pPr>
      <w:bookmarkStart w:id="33" w:name="_Hlk159420904"/>
      <w:r w:rsidRPr="002F6CBB">
        <w:rPr>
          <w:lang w:val="en-CA"/>
        </w:rPr>
        <w:t xml:space="preserve">[481] </w:t>
      </w:r>
      <w:bookmarkEnd w:id="33"/>
      <w:r w:rsidRPr="002F6CBB">
        <w:rPr>
          <w:lang w:val="en-CA"/>
        </w:rPr>
        <w:t xml:space="preserve">… </w:t>
      </w:r>
      <w:r w:rsidR="00087FFE" w:rsidRPr="002F6CBB">
        <w:rPr>
          <w:rFonts w:cs="Arial"/>
          <w:color w:val="000000"/>
          <w:lang w:val="en-CA"/>
        </w:rPr>
        <w:t>This is part of racial profiling and contributes to the wrongs that the phenomenon causes its victims</w:t>
      </w:r>
      <w:r w:rsidRPr="002F6CBB">
        <w:rPr>
          <w:lang w:val="en-CA"/>
        </w:rPr>
        <w:t>.</w:t>
      </w:r>
    </w:p>
    <w:p w14:paraId="24EDDD0F" w14:textId="3866174F" w:rsidR="00FB6A24" w:rsidRPr="002F6CBB" w:rsidRDefault="00201ACE" w:rsidP="00810CE6">
      <w:pPr>
        <w:pStyle w:val="Citationenretrait"/>
        <w:rPr>
          <w:lang w:val="en-CA"/>
        </w:rPr>
      </w:pPr>
      <w:r w:rsidRPr="002F6CBB">
        <w:rPr>
          <w:lang w:val="en-CA"/>
        </w:rPr>
        <w:t>...</w:t>
      </w:r>
    </w:p>
    <w:p w14:paraId="54465A92" w14:textId="2EBD5525" w:rsidR="00810CE6" w:rsidRPr="002F6CBB" w:rsidRDefault="00BC67BE" w:rsidP="00810CE6">
      <w:pPr>
        <w:pStyle w:val="Citationenretrait"/>
        <w:rPr>
          <w:lang w:val="en-CA"/>
        </w:rPr>
      </w:pPr>
      <w:r w:rsidRPr="002F6CBB">
        <w:rPr>
          <w:lang w:val="en-CA"/>
        </w:rPr>
        <w:t>[506] [</w:t>
      </w:r>
      <w:r w:rsidR="00087FFE" w:rsidRPr="002F6CBB">
        <w:rPr>
          <w:lang w:val="en-CA"/>
        </w:rPr>
        <w:t>This</w:t>
      </w:r>
      <w:r w:rsidRPr="002F6CBB">
        <w:rPr>
          <w:lang w:val="en-CA"/>
        </w:rPr>
        <w:t xml:space="preserve">] </w:t>
      </w:r>
      <w:r w:rsidR="00087FFE" w:rsidRPr="002F6CBB">
        <w:rPr>
          <w:rFonts w:cs="Arial"/>
          <w:color w:val="000000"/>
          <w:lang w:val="en-CA"/>
        </w:rPr>
        <w:t>is consistent with the statistics reported by the expert Livingstone regarding the disproportionate use of municipal by-laws against racialized persons for trivial infractions</w:t>
      </w:r>
      <w:r w:rsidRPr="002F6CBB">
        <w:rPr>
          <w:lang w:val="en-CA"/>
        </w:rPr>
        <w:t>.</w:t>
      </w:r>
    </w:p>
    <w:p w14:paraId="2A0D86E1" w14:textId="554F04B8" w:rsidR="00810CE6" w:rsidRPr="002F6CBB" w:rsidRDefault="009E7AEC" w:rsidP="005E7C4B">
      <w:pPr>
        <w:pStyle w:val="Paragraphe"/>
        <w:tabs>
          <w:tab w:val="clear" w:pos="567"/>
          <w:tab w:val="num" w:pos="709"/>
        </w:tabs>
        <w:rPr>
          <w:lang w:val="en-CA"/>
        </w:rPr>
      </w:pPr>
      <w:r w:rsidRPr="002F6CBB">
        <w:rPr>
          <w:lang w:val="en-CA"/>
        </w:rPr>
        <w:t xml:space="preserve">Since Officers </w:t>
      </w:r>
      <w:proofErr w:type="spellStart"/>
      <w:r w:rsidRPr="002F6CBB">
        <w:rPr>
          <w:lang w:val="en-CA"/>
        </w:rPr>
        <w:t>Beaulac</w:t>
      </w:r>
      <w:proofErr w:type="spellEnd"/>
      <w:r w:rsidRPr="002F6CBB">
        <w:rPr>
          <w:lang w:val="en-CA"/>
        </w:rPr>
        <w:t xml:space="preserve"> and Lamothe admitted before the Tribunal that, to give </w:t>
      </w:r>
      <w:r w:rsidR="00D34CC2">
        <w:rPr>
          <w:lang w:val="en-CA"/>
        </w:rPr>
        <w:t>a</w:t>
      </w:r>
      <w:r w:rsidR="0014200E">
        <w:rPr>
          <w:lang w:val="en-CA"/>
        </w:rPr>
        <w:t>n intercepted</w:t>
      </w:r>
      <w:r w:rsidR="00D34CC2">
        <w:rPr>
          <w:lang w:val="en-CA"/>
        </w:rPr>
        <w:t xml:space="preserve"> person </w:t>
      </w:r>
      <w:r w:rsidRPr="002F6CBB">
        <w:rPr>
          <w:lang w:val="en-CA"/>
        </w:rPr>
        <w:t xml:space="preserve">a second chance, they sometimes </w:t>
      </w:r>
      <w:r w:rsidR="00D34CC2">
        <w:rPr>
          <w:lang w:val="en-CA"/>
        </w:rPr>
        <w:t xml:space="preserve">exercise </w:t>
      </w:r>
      <w:r w:rsidRPr="002F6CBB">
        <w:rPr>
          <w:lang w:val="en-CA"/>
        </w:rPr>
        <w:t xml:space="preserve">their discretion and decide not to issue statements of offence even when they are warranted, such as </w:t>
      </w:r>
      <w:r w:rsidR="00D34CC2">
        <w:rPr>
          <w:lang w:val="en-CA"/>
        </w:rPr>
        <w:t xml:space="preserve">running </w:t>
      </w:r>
      <w:r w:rsidRPr="002F6CBB">
        <w:rPr>
          <w:lang w:val="en-CA"/>
        </w:rPr>
        <w:t xml:space="preserve">a red light, it is clear that they wanted to punish Mr. Woodley </w:t>
      </w:r>
      <w:r w:rsidR="00D34CC2">
        <w:rPr>
          <w:lang w:val="en-CA"/>
        </w:rPr>
        <w:t xml:space="preserve">when </w:t>
      </w:r>
      <w:r w:rsidRPr="002F6CBB">
        <w:rPr>
          <w:lang w:val="en-CA"/>
        </w:rPr>
        <w:t xml:space="preserve">he had committed </w:t>
      </w:r>
      <w:r w:rsidR="00D34CC2">
        <w:rPr>
          <w:lang w:val="en-CA"/>
        </w:rPr>
        <w:t>no</w:t>
      </w:r>
      <w:r w:rsidRPr="002F6CBB">
        <w:rPr>
          <w:lang w:val="en-CA"/>
        </w:rPr>
        <w:t xml:space="preserve"> offence and that the offences for which he was ticketed had nothing to do with </w:t>
      </w:r>
      <w:r w:rsidR="00C41495">
        <w:rPr>
          <w:lang w:val="en-CA"/>
        </w:rPr>
        <w:t xml:space="preserve">the reason </w:t>
      </w:r>
      <w:r w:rsidRPr="002F6CBB">
        <w:rPr>
          <w:lang w:val="en-CA"/>
        </w:rPr>
        <w:t>they decided to stop him.</w:t>
      </w:r>
    </w:p>
    <w:p w14:paraId="63FC3888" w14:textId="21F033CD" w:rsidR="00810CE6" w:rsidRPr="002F6CBB" w:rsidRDefault="009E7AEC" w:rsidP="005E7C4B">
      <w:pPr>
        <w:pStyle w:val="Paragraphe"/>
        <w:tabs>
          <w:tab w:val="clear" w:pos="567"/>
          <w:tab w:val="num" w:pos="709"/>
        </w:tabs>
        <w:rPr>
          <w:lang w:val="en-CA"/>
        </w:rPr>
      </w:pPr>
      <w:r w:rsidRPr="002F6CBB">
        <w:rPr>
          <w:lang w:val="en-CA"/>
        </w:rPr>
        <w:t xml:space="preserve">The offence of insulting a police officer is also </w:t>
      </w:r>
      <w:r w:rsidR="00C41495">
        <w:rPr>
          <w:lang w:val="en-CA"/>
        </w:rPr>
        <w:t xml:space="preserve">an offence </w:t>
      </w:r>
      <w:r w:rsidRPr="002F6CBB">
        <w:rPr>
          <w:lang w:val="en-CA"/>
        </w:rPr>
        <w:t>inconsistent with the fundamental right of every person to freely express their opinions</w:t>
      </w:r>
      <w:r w:rsidRPr="002F6CBB">
        <w:rPr>
          <w:rStyle w:val="Appelnotedebasdep"/>
          <w:lang w:val="en-CA"/>
        </w:rPr>
        <w:footnoteReference w:id="63"/>
      </w:r>
      <w:r w:rsidR="008B585A">
        <w:rPr>
          <w:lang w:val="en-CA"/>
        </w:rPr>
        <w:t>,</w:t>
      </w:r>
      <w:r w:rsidRPr="002F6CBB">
        <w:rPr>
          <w:lang w:val="en-CA"/>
        </w:rPr>
        <w:t xml:space="preserve"> as Lewis J. on behalf of the Tribunal</w:t>
      </w:r>
      <w:r w:rsidR="00C41495">
        <w:rPr>
          <w:lang w:val="en-CA"/>
        </w:rPr>
        <w:t>,</w:t>
      </w:r>
      <w:r w:rsidRPr="002F6CBB">
        <w:rPr>
          <w:lang w:val="en-CA"/>
        </w:rPr>
        <w:t xml:space="preserve"> rightly recalled in </w:t>
      </w:r>
      <w:proofErr w:type="spellStart"/>
      <w:r w:rsidRPr="002F6CBB">
        <w:rPr>
          <w:i/>
          <w:lang w:val="en-CA"/>
        </w:rPr>
        <w:t>Nyembwe</w:t>
      </w:r>
      <w:proofErr w:type="spellEnd"/>
      <w:r w:rsidRPr="002F6CBB">
        <w:rPr>
          <w:rStyle w:val="Appelnotedebasdep"/>
          <w:lang w:val="en-CA"/>
        </w:rPr>
        <w:footnoteReference w:id="64"/>
      </w:r>
      <w:r w:rsidR="00332B65">
        <w:rPr>
          <w:lang w:val="en-CA"/>
        </w:rPr>
        <w:t>,</w:t>
      </w:r>
      <w:r w:rsidRPr="002F6CBB">
        <w:rPr>
          <w:lang w:val="en-CA"/>
        </w:rPr>
        <w:t xml:space="preserve"> as follows:</w:t>
      </w:r>
    </w:p>
    <w:p w14:paraId="18951E9E" w14:textId="2BC44753" w:rsidR="00BC67BE" w:rsidRPr="002F6CBB" w:rsidRDefault="00BC67BE" w:rsidP="00810CE6">
      <w:pPr>
        <w:pStyle w:val="Citationenretrait"/>
        <w:rPr>
          <w:lang w:val="en-CA"/>
        </w:rPr>
      </w:pPr>
      <w:r w:rsidRPr="002F6CBB">
        <w:rPr>
          <w:rFonts w:cs="Arial"/>
          <w:lang w:val="en-CA"/>
        </w:rPr>
        <w:t>[</w:t>
      </w:r>
      <w:r w:rsidRPr="002F6CBB">
        <w:rPr>
          <w:rFonts w:cs="Arial"/>
          <w:smallCaps/>
          <w:lang w:val="en-CA"/>
        </w:rPr>
        <w:t>translation</w:t>
      </w:r>
      <w:r w:rsidRPr="002F6CBB">
        <w:rPr>
          <w:rFonts w:cs="Arial"/>
          <w:lang w:val="en-CA"/>
        </w:rPr>
        <w:t>]</w:t>
      </w:r>
    </w:p>
    <w:p w14:paraId="5E11AE98" w14:textId="66B9E60C" w:rsidR="00810CE6" w:rsidRPr="002F6CBB" w:rsidRDefault="00BC67BE" w:rsidP="00810CE6">
      <w:pPr>
        <w:pStyle w:val="Citationenretrait"/>
        <w:rPr>
          <w:lang w:val="en-CA"/>
        </w:rPr>
      </w:pPr>
      <w:r w:rsidRPr="002F6CBB">
        <w:rPr>
          <w:lang w:val="en-CA"/>
        </w:rPr>
        <w:t xml:space="preserve">[479] </w:t>
      </w:r>
      <w:r w:rsidR="00087FFE" w:rsidRPr="002F6CBB">
        <w:rPr>
          <w:rFonts w:cs="Arial"/>
          <w:color w:val="000000"/>
          <w:lang w:val="en-CA"/>
        </w:rPr>
        <w:t>Denouncing the injustice of which one is victim is the last bastion remaining when one’s rights have been violated. It is indeed not uncommon for persons who believe that they are victims of racial profiling to strongly, nay aggressively, denounce the police conduct</w:t>
      </w:r>
      <w:r w:rsidR="00087FFE" w:rsidRPr="002F6CBB">
        <w:rPr>
          <w:rFonts w:cs="Arial"/>
          <w:lang w:val="en-CA"/>
        </w:rPr>
        <w:t>. </w:t>
      </w:r>
      <w:bookmarkStart w:id="34" w:name="_Ref57729418"/>
      <w:r w:rsidR="00087FFE" w:rsidRPr="002F6CBB">
        <w:rPr>
          <w:rFonts w:cs="Arial"/>
          <w:color w:val="000000"/>
          <w:lang w:val="en-CA"/>
        </w:rPr>
        <w:t>The expression of a person who denounces a police arrest he or she deems illegitimate is indeed protected by </w:t>
      </w:r>
      <w:bookmarkEnd w:id="34"/>
      <w:r w:rsidR="00087FFE" w:rsidRPr="002F6CBB">
        <w:rPr>
          <w:rFonts w:cs="Arial"/>
          <w:color w:val="000000"/>
          <w:lang w:val="en-CA"/>
        </w:rPr>
        <w:t>s. 2(</w:t>
      </w:r>
      <w:r w:rsidR="00087FFE" w:rsidRPr="002F6CBB">
        <w:rPr>
          <w:rFonts w:cs="Arial"/>
          <w:i/>
          <w:iCs/>
          <w:color w:val="000000"/>
          <w:lang w:val="en-CA"/>
        </w:rPr>
        <w:t>b</w:t>
      </w:r>
      <w:r w:rsidR="00087FFE" w:rsidRPr="002F6CBB">
        <w:rPr>
          <w:rFonts w:cs="Arial"/>
          <w:color w:val="000000"/>
          <w:lang w:val="en-CA"/>
        </w:rPr>
        <w:t>) of the </w:t>
      </w:r>
      <w:r w:rsidR="00087FFE" w:rsidRPr="002F6CBB">
        <w:rPr>
          <w:rFonts w:cs="Arial"/>
          <w:i/>
          <w:iCs/>
          <w:color w:val="000000"/>
          <w:lang w:val="en-CA"/>
        </w:rPr>
        <w:t>Canadian Charter of Rights and Freedoms</w:t>
      </w:r>
      <w:r w:rsidR="00087FFE" w:rsidRPr="002F6CBB">
        <w:rPr>
          <w:rFonts w:cs="Arial"/>
          <w:i/>
          <w:iCs/>
          <w:lang w:val="en-CA"/>
        </w:rPr>
        <w:t> </w:t>
      </w:r>
      <w:r w:rsidR="00087FFE" w:rsidRPr="002F6CBB">
        <w:rPr>
          <w:rFonts w:cs="Arial"/>
          <w:color w:val="000000"/>
          <w:lang w:val="en-CA"/>
        </w:rPr>
        <w:t>and s. 3 of the </w:t>
      </w:r>
      <w:r w:rsidR="00087FFE" w:rsidRPr="002F6CBB">
        <w:rPr>
          <w:rFonts w:cs="Arial"/>
          <w:i/>
          <w:iCs/>
          <w:color w:val="000000"/>
          <w:lang w:val="en-CA"/>
        </w:rPr>
        <w:t>Quebec Charter</w:t>
      </w:r>
      <w:r w:rsidR="00DE54C9" w:rsidRPr="002F6CBB">
        <w:rPr>
          <w:lang w:val="en-CA"/>
        </w:rPr>
        <w:t>.</w:t>
      </w:r>
    </w:p>
    <w:p w14:paraId="6763DA5A" w14:textId="7EAF1AF0" w:rsidR="00810CE6" w:rsidRPr="002F6CBB" w:rsidRDefault="00C51CBE" w:rsidP="007F752D">
      <w:pPr>
        <w:pStyle w:val="Paragraphe"/>
        <w:tabs>
          <w:tab w:val="clear" w:pos="567"/>
          <w:tab w:val="num" w:pos="709"/>
        </w:tabs>
        <w:rPr>
          <w:lang w:val="en-CA"/>
        </w:rPr>
      </w:pPr>
      <w:r w:rsidRPr="002F6CBB">
        <w:rPr>
          <w:lang w:val="en-CA"/>
        </w:rPr>
        <w:lastRenderedPageBreak/>
        <w:t xml:space="preserve">As </w:t>
      </w:r>
      <w:r w:rsidR="0048734D">
        <w:rPr>
          <w:lang w:val="en-CA"/>
        </w:rPr>
        <w:t>for</w:t>
      </w:r>
      <w:r w:rsidRPr="002F6CBB">
        <w:rPr>
          <w:lang w:val="en-CA"/>
        </w:rPr>
        <w:t xml:space="preserve"> the late </w:t>
      </w:r>
      <w:r w:rsidR="00C41495" w:rsidRPr="002F6CBB">
        <w:rPr>
          <w:lang w:val="en-CA"/>
        </w:rPr>
        <w:t xml:space="preserve">payment </w:t>
      </w:r>
      <w:r w:rsidR="0048734D">
        <w:rPr>
          <w:lang w:val="en-CA"/>
        </w:rPr>
        <w:t>of</w:t>
      </w:r>
      <w:r w:rsidR="00C41495">
        <w:rPr>
          <w:lang w:val="en-CA"/>
        </w:rPr>
        <w:t xml:space="preserve"> the </w:t>
      </w:r>
      <w:r w:rsidRPr="002F6CBB">
        <w:rPr>
          <w:lang w:val="en-CA"/>
        </w:rPr>
        <w:t xml:space="preserve">registration certificate, this technical offence </w:t>
      </w:r>
      <w:r w:rsidR="00C54003">
        <w:rPr>
          <w:lang w:val="en-CA"/>
        </w:rPr>
        <w:t xml:space="preserve">was </w:t>
      </w:r>
      <w:r w:rsidR="0048734D">
        <w:rPr>
          <w:lang w:val="en-CA"/>
        </w:rPr>
        <w:t xml:space="preserve">not </w:t>
      </w:r>
      <w:r w:rsidR="00C41495">
        <w:rPr>
          <w:lang w:val="en-CA"/>
        </w:rPr>
        <w:t xml:space="preserve">due to the </w:t>
      </w:r>
      <w:r w:rsidRPr="002F6CBB">
        <w:rPr>
          <w:lang w:val="en-CA"/>
        </w:rPr>
        <w:t>complainant himself</w:t>
      </w:r>
      <w:r w:rsidR="00C41495">
        <w:rPr>
          <w:lang w:val="en-CA"/>
        </w:rPr>
        <w:t>,</w:t>
      </w:r>
      <w:r w:rsidRPr="002F6CBB">
        <w:rPr>
          <w:lang w:val="en-CA"/>
        </w:rPr>
        <w:t xml:space="preserve"> but </w:t>
      </w:r>
      <w:r w:rsidR="00C41495">
        <w:rPr>
          <w:lang w:val="en-CA"/>
        </w:rPr>
        <w:t>t</w:t>
      </w:r>
      <w:r w:rsidRPr="002F6CBB">
        <w:rPr>
          <w:lang w:val="en-CA"/>
        </w:rPr>
        <w:t xml:space="preserve">o his </w:t>
      </w:r>
      <w:r w:rsidR="00C41495">
        <w:rPr>
          <w:lang w:val="en-CA"/>
        </w:rPr>
        <w:t xml:space="preserve">wife </w:t>
      </w:r>
      <w:r w:rsidRPr="002F6CBB">
        <w:rPr>
          <w:lang w:val="en-CA"/>
        </w:rPr>
        <w:t>because it is her car.</w:t>
      </w:r>
      <w:r w:rsidR="00BC67BE" w:rsidRPr="002F6CBB">
        <w:rPr>
          <w:lang w:val="en-CA"/>
        </w:rPr>
        <w:t xml:space="preserve"> </w:t>
      </w:r>
      <w:r w:rsidRPr="002F6CBB">
        <w:rPr>
          <w:lang w:val="en-CA"/>
        </w:rPr>
        <w:t xml:space="preserve">She explained to the officers over the phone, </w:t>
      </w:r>
      <w:r w:rsidR="0014200E">
        <w:rPr>
          <w:lang w:val="en-CA"/>
        </w:rPr>
        <w:t xml:space="preserve">during </w:t>
      </w:r>
      <w:r w:rsidRPr="002F6CBB">
        <w:rPr>
          <w:lang w:val="en-CA"/>
        </w:rPr>
        <w:t>Mr. Woodley</w:t>
      </w:r>
      <w:r w:rsidR="0014200E">
        <w:rPr>
          <w:lang w:val="en-CA"/>
        </w:rPr>
        <w:t>’s interception</w:t>
      </w:r>
      <w:r w:rsidRPr="002F6CBB">
        <w:rPr>
          <w:lang w:val="en-CA"/>
        </w:rPr>
        <w:t xml:space="preserve">, that she had already paid the registration fees but had not yet received the new certificate in the mail, </w:t>
      </w:r>
      <w:r w:rsidR="0072388E">
        <w:rPr>
          <w:lang w:val="en-CA"/>
        </w:rPr>
        <w:t>no doubt</w:t>
      </w:r>
      <w:r w:rsidR="0072388E" w:rsidRPr="002F6CBB">
        <w:rPr>
          <w:lang w:val="en-CA"/>
        </w:rPr>
        <w:t xml:space="preserve"> </w:t>
      </w:r>
      <w:r w:rsidRPr="002F6CBB">
        <w:rPr>
          <w:lang w:val="en-CA"/>
        </w:rPr>
        <w:t>because of their recent move.</w:t>
      </w:r>
    </w:p>
    <w:p w14:paraId="7CBCA66D" w14:textId="375E8536" w:rsidR="00810CE6" w:rsidRPr="002F6CBB" w:rsidRDefault="00C51CBE" w:rsidP="00A43F65">
      <w:pPr>
        <w:pStyle w:val="Paragraphe"/>
        <w:tabs>
          <w:tab w:val="clear" w:pos="567"/>
          <w:tab w:val="num" w:pos="709"/>
        </w:tabs>
        <w:rPr>
          <w:lang w:val="en-CA"/>
        </w:rPr>
      </w:pPr>
      <w:r w:rsidRPr="002F6CBB">
        <w:rPr>
          <w:lang w:val="en-CA"/>
        </w:rPr>
        <w:t>In any event, Mr. Woodley was acquitted of the two statements of offence by the municipal court</w:t>
      </w:r>
      <w:r w:rsidRPr="002F6CBB">
        <w:rPr>
          <w:rStyle w:val="Appelnotedebasdep"/>
          <w:lang w:val="en-CA"/>
        </w:rPr>
        <w:footnoteReference w:id="65"/>
      </w:r>
      <w:r w:rsidR="008B585A">
        <w:rPr>
          <w:lang w:val="en-CA"/>
        </w:rPr>
        <w:t>,</w:t>
      </w:r>
      <w:r w:rsidRPr="002F6CBB">
        <w:rPr>
          <w:lang w:val="en-CA"/>
        </w:rPr>
        <w:t xml:space="preserve"> which confirms that they were </w:t>
      </w:r>
      <w:r w:rsidR="0072388E">
        <w:rPr>
          <w:lang w:val="en-CA"/>
        </w:rPr>
        <w:t>unfounded</w:t>
      </w:r>
      <w:r w:rsidRPr="002F6CBB">
        <w:rPr>
          <w:lang w:val="en-CA"/>
        </w:rPr>
        <w:t>.</w:t>
      </w:r>
    </w:p>
    <w:p w14:paraId="6C49ADD7" w14:textId="613801F5" w:rsidR="00810CE6" w:rsidRPr="002F6CBB" w:rsidRDefault="00C51CBE" w:rsidP="00A43F65">
      <w:pPr>
        <w:pStyle w:val="Paragraphe"/>
        <w:tabs>
          <w:tab w:val="clear" w:pos="567"/>
          <w:tab w:val="num" w:pos="709"/>
        </w:tabs>
        <w:rPr>
          <w:lang w:val="en-CA"/>
        </w:rPr>
      </w:pPr>
      <w:r w:rsidRPr="002F6CBB">
        <w:rPr>
          <w:lang w:val="en-CA"/>
        </w:rPr>
        <w:t xml:space="preserve">The evidence </w:t>
      </w:r>
      <w:r w:rsidR="0072388E">
        <w:rPr>
          <w:lang w:val="en-CA"/>
        </w:rPr>
        <w:t xml:space="preserve">preponderantly </w:t>
      </w:r>
      <w:r w:rsidRPr="002F6CBB">
        <w:rPr>
          <w:lang w:val="en-CA"/>
        </w:rPr>
        <w:t>establishes that the abusive issu</w:t>
      </w:r>
      <w:r w:rsidR="0072388E">
        <w:rPr>
          <w:lang w:val="en-CA"/>
        </w:rPr>
        <w:t>anc</w:t>
      </w:r>
      <w:r w:rsidR="0048734D">
        <w:rPr>
          <w:lang w:val="en-CA"/>
        </w:rPr>
        <w:t>e</w:t>
      </w:r>
      <w:r w:rsidRPr="002F6CBB">
        <w:rPr>
          <w:lang w:val="en-CA"/>
        </w:rPr>
        <w:t xml:space="preserve"> of the</w:t>
      </w:r>
      <w:r w:rsidR="00C41495">
        <w:rPr>
          <w:lang w:val="en-CA"/>
        </w:rPr>
        <w:t>se</w:t>
      </w:r>
      <w:r w:rsidRPr="002F6CBB">
        <w:rPr>
          <w:lang w:val="en-CA"/>
        </w:rPr>
        <w:t xml:space="preserve"> statements of offence</w:t>
      </w:r>
      <w:r w:rsidR="0072388E">
        <w:rPr>
          <w:lang w:val="en-CA"/>
        </w:rPr>
        <w:t>,</w:t>
      </w:r>
      <w:r w:rsidRPr="002F6CBB">
        <w:rPr>
          <w:lang w:val="en-CA"/>
        </w:rPr>
        <w:t xml:space="preserve"> without </w:t>
      </w:r>
      <w:r w:rsidR="0072388E">
        <w:rPr>
          <w:lang w:val="en-CA"/>
        </w:rPr>
        <w:t xml:space="preserve">any </w:t>
      </w:r>
      <w:r w:rsidRPr="002F6CBB">
        <w:rPr>
          <w:lang w:val="en-CA"/>
        </w:rPr>
        <w:t xml:space="preserve">regard for the </w:t>
      </w:r>
      <w:r w:rsidR="0072388E">
        <w:rPr>
          <w:lang w:val="en-CA"/>
        </w:rPr>
        <w:t xml:space="preserve">state of </w:t>
      </w:r>
      <w:r w:rsidRPr="002F6CBB">
        <w:rPr>
          <w:lang w:val="en-CA"/>
        </w:rPr>
        <w:t>frustrat</w:t>
      </w:r>
      <w:r w:rsidR="00C41495">
        <w:rPr>
          <w:lang w:val="en-CA"/>
        </w:rPr>
        <w:t>ion</w:t>
      </w:r>
      <w:r w:rsidRPr="002F6CBB">
        <w:rPr>
          <w:lang w:val="en-CA"/>
        </w:rPr>
        <w:t xml:space="preserve"> </w:t>
      </w:r>
      <w:r w:rsidR="0072388E">
        <w:rPr>
          <w:lang w:val="en-CA"/>
        </w:rPr>
        <w:t xml:space="preserve">in which </w:t>
      </w:r>
      <w:r w:rsidRPr="002F6CBB">
        <w:rPr>
          <w:lang w:val="en-CA"/>
        </w:rPr>
        <w:t xml:space="preserve">a person </w:t>
      </w:r>
      <w:r w:rsidR="00AA10FD">
        <w:rPr>
          <w:lang w:val="en-CA"/>
        </w:rPr>
        <w:t>o</w:t>
      </w:r>
      <w:r w:rsidR="0048734D">
        <w:rPr>
          <w:lang w:val="en-CA"/>
        </w:rPr>
        <w:t xml:space="preserve">f colour </w:t>
      </w:r>
      <w:r w:rsidR="00C41495">
        <w:rPr>
          <w:lang w:val="en-CA"/>
        </w:rPr>
        <w:t xml:space="preserve">stopped </w:t>
      </w:r>
      <w:r w:rsidRPr="002F6CBB">
        <w:rPr>
          <w:lang w:val="en-CA"/>
        </w:rPr>
        <w:t xml:space="preserve">without </w:t>
      </w:r>
      <w:r w:rsidR="0072388E">
        <w:rPr>
          <w:lang w:val="en-CA"/>
        </w:rPr>
        <w:t>any real reasons finds himself,</w:t>
      </w:r>
      <w:r w:rsidRPr="002F6CBB">
        <w:rPr>
          <w:lang w:val="en-CA"/>
        </w:rPr>
        <w:t xml:space="preserve"> is </w:t>
      </w:r>
      <w:r w:rsidR="0072388E">
        <w:rPr>
          <w:lang w:val="en-CA"/>
        </w:rPr>
        <w:t>linked</w:t>
      </w:r>
      <w:r w:rsidR="0072388E" w:rsidRPr="002F6CBB">
        <w:rPr>
          <w:lang w:val="en-CA"/>
        </w:rPr>
        <w:t xml:space="preserve"> </w:t>
      </w:r>
      <w:r w:rsidRPr="002F6CBB">
        <w:rPr>
          <w:lang w:val="en-CA"/>
        </w:rPr>
        <w:t xml:space="preserve">to the officers’ decision to </w:t>
      </w:r>
      <w:r w:rsidR="0014200E">
        <w:rPr>
          <w:lang w:val="en-CA"/>
        </w:rPr>
        <w:t>intercept</w:t>
      </w:r>
      <w:r w:rsidR="00C41495">
        <w:rPr>
          <w:lang w:val="en-CA"/>
        </w:rPr>
        <w:t xml:space="preserve"> </w:t>
      </w:r>
      <w:r w:rsidRPr="002F6CBB">
        <w:rPr>
          <w:lang w:val="en-CA"/>
        </w:rPr>
        <w:t>Mr.</w:t>
      </w:r>
      <w:r w:rsidR="0048734D">
        <w:rPr>
          <w:lang w:val="en-CA"/>
        </w:rPr>
        <w:t> </w:t>
      </w:r>
      <w:r w:rsidRPr="002F6CBB">
        <w:rPr>
          <w:lang w:val="en-CA"/>
        </w:rPr>
        <w:t xml:space="preserve">Woodley due to their conscious or unconscious prejudices and stereotypes of dangerousness about </w:t>
      </w:r>
      <w:r w:rsidR="00C14519">
        <w:rPr>
          <w:lang w:val="en-CA"/>
        </w:rPr>
        <w:t>Black</w:t>
      </w:r>
      <w:r w:rsidRPr="002F6CBB">
        <w:rPr>
          <w:lang w:val="en-CA"/>
        </w:rPr>
        <w:t xml:space="preserve"> men.</w:t>
      </w:r>
    </w:p>
    <w:p w14:paraId="619EEFE3" w14:textId="77777777" w:rsidR="00810CE6" w:rsidRPr="002F6CBB" w:rsidRDefault="00BC67BE" w:rsidP="00D676FB">
      <w:pPr>
        <w:tabs>
          <w:tab w:val="left" w:pos="567"/>
        </w:tabs>
        <w:jc w:val="center"/>
        <w:rPr>
          <w:lang w:val="en-CA"/>
        </w:rPr>
      </w:pPr>
      <w:r w:rsidRPr="002F6CBB">
        <w:rPr>
          <w:lang w:val="en-CA"/>
        </w:rPr>
        <w:t>* * *</w:t>
      </w:r>
    </w:p>
    <w:p w14:paraId="2965CF21" w14:textId="20A6A4E6" w:rsidR="00810CE6" w:rsidRPr="002F6CBB" w:rsidRDefault="00071370" w:rsidP="00A43F65">
      <w:pPr>
        <w:pStyle w:val="Paragraphe"/>
        <w:tabs>
          <w:tab w:val="clear" w:pos="567"/>
          <w:tab w:val="num" w:pos="709"/>
        </w:tabs>
        <w:rPr>
          <w:lang w:val="en-CA"/>
        </w:rPr>
      </w:pPr>
      <w:r w:rsidRPr="002F6CBB">
        <w:rPr>
          <w:lang w:val="en-CA"/>
        </w:rPr>
        <w:t xml:space="preserve">Racial profiling by the police </w:t>
      </w:r>
      <w:r w:rsidR="000637C2">
        <w:rPr>
          <w:lang w:val="en-CA"/>
        </w:rPr>
        <w:t>of</w:t>
      </w:r>
      <w:r w:rsidRPr="002F6CBB">
        <w:rPr>
          <w:lang w:val="en-CA"/>
        </w:rPr>
        <w:t xml:space="preserve"> </w:t>
      </w:r>
      <w:r w:rsidR="00C14519">
        <w:rPr>
          <w:lang w:val="en-CA"/>
        </w:rPr>
        <w:t>Black</w:t>
      </w:r>
      <w:r w:rsidRPr="002F6CBB">
        <w:rPr>
          <w:lang w:val="en-CA"/>
        </w:rPr>
        <w:t xml:space="preserve"> men, particularly those driving luxury cars, is well documented</w:t>
      </w:r>
      <w:r w:rsidR="00AB7CE4">
        <w:rPr>
          <w:lang w:val="en-CA"/>
        </w:rPr>
        <w:t>,</w:t>
      </w:r>
      <w:r w:rsidRPr="002F6CBB">
        <w:rPr>
          <w:lang w:val="en-CA"/>
        </w:rPr>
        <w:t xml:space="preserve"> and the CDPDJ itself has conducted significant research on the subject.</w:t>
      </w:r>
      <w:r w:rsidRPr="002F6CBB">
        <w:rPr>
          <w:vertAlign w:val="superscript"/>
          <w:lang w:val="en-CA"/>
        </w:rPr>
        <w:footnoteReference w:id="66"/>
      </w:r>
      <w:r w:rsidR="00BC67BE" w:rsidRPr="002F6CBB">
        <w:rPr>
          <w:lang w:val="en-CA"/>
        </w:rPr>
        <w:t xml:space="preserve"> </w:t>
      </w:r>
      <w:r w:rsidRPr="002F6CBB">
        <w:rPr>
          <w:lang w:val="en-CA"/>
        </w:rPr>
        <w:t>In this case, it also filed an expert report signed by three experts in racial profiling.</w:t>
      </w:r>
      <w:r w:rsidRPr="002F6CBB">
        <w:rPr>
          <w:vertAlign w:val="superscript"/>
          <w:lang w:val="en-CA"/>
        </w:rPr>
        <w:footnoteReference w:id="67"/>
      </w:r>
    </w:p>
    <w:p w14:paraId="41C7DB89" w14:textId="4A480D0B" w:rsidR="00810CE6" w:rsidRPr="002F6CBB" w:rsidRDefault="00071370" w:rsidP="00581DCE">
      <w:pPr>
        <w:pStyle w:val="Paragraphe"/>
        <w:tabs>
          <w:tab w:val="clear" w:pos="567"/>
          <w:tab w:val="num" w:pos="709"/>
        </w:tabs>
        <w:rPr>
          <w:lang w:val="en-CA"/>
        </w:rPr>
      </w:pPr>
      <w:r w:rsidRPr="002F6CBB">
        <w:rPr>
          <w:lang w:val="en-CA"/>
        </w:rPr>
        <w:t xml:space="preserve">The highlights of this report, which </w:t>
      </w:r>
      <w:r w:rsidR="00686E6C">
        <w:rPr>
          <w:lang w:val="en-CA"/>
        </w:rPr>
        <w:t>reveals</w:t>
      </w:r>
      <w:r w:rsidRPr="002F6CBB">
        <w:rPr>
          <w:lang w:val="en-CA"/>
        </w:rPr>
        <w:t xml:space="preserve"> an established pattern </w:t>
      </w:r>
      <w:r w:rsidR="002E6408">
        <w:rPr>
          <w:lang w:val="en-CA"/>
        </w:rPr>
        <w:t xml:space="preserve">of racial profiling </w:t>
      </w:r>
      <w:r w:rsidRPr="002F6CBB">
        <w:rPr>
          <w:lang w:val="en-CA"/>
        </w:rPr>
        <w:t xml:space="preserve">in Quebec, Canada, and elsewhere, were presented to the Tribunal by one of its authors, Marie </w:t>
      </w:r>
      <w:proofErr w:type="spellStart"/>
      <w:r w:rsidRPr="002F6CBB">
        <w:rPr>
          <w:lang w:val="en-CA"/>
        </w:rPr>
        <w:t>Meudec</w:t>
      </w:r>
      <w:proofErr w:type="spellEnd"/>
      <w:r w:rsidRPr="002F6CBB">
        <w:rPr>
          <w:lang w:val="en-CA"/>
        </w:rPr>
        <w:t>.</w:t>
      </w:r>
      <w:r w:rsidR="00BC67BE" w:rsidRPr="002F6CBB">
        <w:rPr>
          <w:lang w:val="en-CA"/>
        </w:rPr>
        <w:t xml:space="preserve"> </w:t>
      </w:r>
      <w:r w:rsidRPr="002F6CBB">
        <w:rPr>
          <w:lang w:val="en-CA"/>
        </w:rPr>
        <w:t xml:space="preserve">The Tribunal </w:t>
      </w:r>
      <w:r w:rsidR="00686E6C">
        <w:rPr>
          <w:lang w:val="en-CA"/>
        </w:rPr>
        <w:t>deems</w:t>
      </w:r>
      <w:r w:rsidRPr="002F6CBB">
        <w:rPr>
          <w:lang w:val="en-CA"/>
        </w:rPr>
        <w:t xml:space="preserve"> it important to cite certain particularly relevant passages from the expert report of authors </w:t>
      </w:r>
      <w:proofErr w:type="spellStart"/>
      <w:r w:rsidRPr="002F6CBB">
        <w:rPr>
          <w:lang w:val="en-CA"/>
        </w:rPr>
        <w:t>Meudec</w:t>
      </w:r>
      <w:proofErr w:type="spellEnd"/>
      <w:r w:rsidRPr="002F6CBB">
        <w:rPr>
          <w:lang w:val="en-CA"/>
        </w:rPr>
        <w:t>, Livingston, and Alix</w:t>
      </w:r>
      <w:r w:rsidRPr="002F6CBB">
        <w:rPr>
          <w:rStyle w:val="Appelnotedebasdep"/>
          <w:lang w:val="en-CA"/>
        </w:rPr>
        <w:footnoteReference w:id="68"/>
      </w:r>
      <w:r w:rsidR="008B585A">
        <w:rPr>
          <w:lang w:val="en-CA"/>
        </w:rPr>
        <w:t>:</w:t>
      </w:r>
    </w:p>
    <w:p w14:paraId="337F2937" w14:textId="3B38C717" w:rsidR="00686E6C" w:rsidRDefault="00686E6C" w:rsidP="002E64BD">
      <w:pPr>
        <w:pStyle w:val="Citationenretrait"/>
        <w:rPr>
          <w:lang w:val="en-CA"/>
        </w:rPr>
      </w:pPr>
      <w:r>
        <w:rPr>
          <w:rFonts w:cs="Arial"/>
          <w:lang w:val="en-CA"/>
        </w:rPr>
        <w:t>[</w:t>
      </w:r>
      <w:r>
        <w:rPr>
          <w:rFonts w:cs="Arial"/>
          <w:smallCaps/>
          <w:lang w:val="en-CA"/>
        </w:rPr>
        <w:t>translation</w:t>
      </w:r>
      <w:r>
        <w:rPr>
          <w:rFonts w:cs="Arial"/>
          <w:lang w:val="en-CA"/>
        </w:rPr>
        <w:t>]</w:t>
      </w:r>
    </w:p>
    <w:p w14:paraId="2B3DF99A" w14:textId="41337809" w:rsidR="00810CE6" w:rsidRPr="002F6CBB" w:rsidRDefault="00071370" w:rsidP="002E64BD">
      <w:pPr>
        <w:pStyle w:val="Citationenretrait"/>
        <w:rPr>
          <w:lang w:val="en-CA"/>
        </w:rPr>
      </w:pPr>
      <w:r w:rsidRPr="002F6CBB">
        <w:rPr>
          <w:lang w:val="en-CA"/>
        </w:rPr>
        <w:t>In the greater Montreal area, the police tend to conduct more frequent, extensive, and abusive interventions with racialized persons.</w:t>
      </w:r>
      <w:r w:rsidR="00BC67BE" w:rsidRPr="002F6CBB">
        <w:rPr>
          <w:lang w:val="en-CA"/>
        </w:rPr>
        <w:t xml:space="preserve"> </w:t>
      </w:r>
      <w:r w:rsidRPr="002F6CBB">
        <w:rPr>
          <w:lang w:val="en-CA"/>
        </w:rPr>
        <w:t xml:space="preserve">Racial discrimination appears in every step of the police </w:t>
      </w:r>
      <w:r w:rsidR="000E705D">
        <w:rPr>
          <w:lang w:val="en-CA"/>
        </w:rPr>
        <w:t>stop</w:t>
      </w:r>
      <w:r w:rsidRPr="002F6CBB">
        <w:rPr>
          <w:lang w:val="en-CA"/>
        </w:rPr>
        <w:t>.</w:t>
      </w:r>
      <w:r w:rsidR="00BC67BE" w:rsidRPr="002F6CBB">
        <w:rPr>
          <w:lang w:val="en-CA"/>
        </w:rPr>
        <w:t xml:space="preserve"> </w:t>
      </w:r>
      <w:r w:rsidRPr="002F6CBB">
        <w:rPr>
          <w:lang w:val="en-CA"/>
        </w:rPr>
        <w:t xml:space="preserve">... Racialized men are more likely to be </w:t>
      </w:r>
      <w:r w:rsidR="0014200E">
        <w:rPr>
          <w:lang w:val="en-CA"/>
        </w:rPr>
        <w:t>intercepted</w:t>
      </w:r>
      <w:r w:rsidRPr="002F6CBB">
        <w:rPr>
          <w:lang w:val="en-CA"/>
        </w:rPr>
        <w:t>, as well as searched and treated violently.</w:t>
      </w:r>
      <w:r w:rsidR="00BC67BE" w:rsidRPr="002F6CBB">
        <w:rPr>
          <w:lang w:val="en-CA"/>
        </w:rPr>
        <w:t> (</w:t>
      </w:r>
      <w:r w:rsidR="00686E6C">
        <w:rPr>
          <w:lang w:val="en-CA"/>
        </w:rPr>
        <w:t>at</w:t>
      </w:r>
      <w:r w:rsidR="00BC67BE" w:rsidRPr="002F6CBB">
        <w:rPr>
          <w:lang w:val="en-CA"/>
        </w:rPr>
        <w:t> 5)</w:t>
      </w:r>
    </w:p>
    <w:p w14:paraId="039D52D4" w14:textId="2C346BFE" w:rsidR="00810CE6" w:rsidRPr="002F6CBB" w:rsidRDefault="00920B4E" w:rsidP="00054BD0">
      <w:pPr>
        <w:pStyle w:val="Citationenretrait"/>
        <w:rPr>
          <w:lang w:val="en-CA"/>
        </w:rPr>
      </w:pPr>
      <w:r>
        <w:rPr>
          <w:lang w:val="en-CA"/>
        </w:rPr>
        <w:t>A r</w:t>
      </w:r>
      <w:r w:rsidR="0057733D" w:rsidRPr="002F6CBB">
        <w:rPr>
          <w:lang w:val="en-CA"/>
        </w:rPr>
        <w:t xml:space="preserve">ecent report by researchers </w:t>
      </w:r>
      <w:proofErr w:type="spellStart"/>
      <w:r w:rsidR="00BC67BE" w:rsidRPr="002F6CBB">
        <w:rPr>
          <w:lang w:val="en-CA"/>
        </w:rPr>
        <w:t>Armony</w:t>
      </w:r>
      <w:proofErr w:type="spellEnd"/>
      <w:r w:rsidR="00BC67BE" w:rsidRPr="002F6CBB">
        <w:rPr>
          <w:lang w:val="en-CA"/>
        </w:rPr>
        <w:t xml:space="preserve">, </w:t>
      </w:r>
      <w:proofErr w:type="spellStart"/>
      <w:r w:rsidR="00BC67BE" w:rsidRPr="002F6CBB">
        <w:rPr>
          <w:lang w:val="en-CA"/>
        </w:rPr>
        <w:t>Hassaoui</w:t>
      </w:r>
      <w:proofErr w:type="spellEnd"/>
      <w:r w:rsidR="00427DDB">
        <w:rPr>
          <w:lang w:val="en-CA"/>
        </w:rPr>
        <w:t>,</w:t>
      </w:r>
      <w:r w:rsidR="00BC67BE" w:rsidRPr="002F6CBB">
        <w:rPr>
          <w:lang w:val="en-CA"/>
        </w:rPr>
        <w:t xml:space="preserve"> </w:t>
      </w:r>
      <w:r w:rsidR="0057733D" w:rsidRPr="002F6CBB">
        <w:rPr>
          <w:lang w:val="en-CA"/>
        </w:rPr>
        <w:t>and</w:t>
      </w:r>
      <w:r w:rsidR="00BC67BE" w:rsidRPr="002F6CBB">
        <w:rPr>
          <w:lang w:val="en-CA"/>
        </w:rPr>
        <w:t xml:space="preserve"> </w:t>
      </w:r>
      <w:proofErr w:type="spellStart"/>
      <w:r w:rsidR="00BC67BE" w:rsidRPr="002F6CBB">
        <w:rPr>
          <w:lang w:val="en-CA"/>
        </w:rPr>
        <w:t>Mulone</w:t>
      </w:r>
      <w:proofErr w:type="spellEnd"/>
      <w:r w:rsidR="00BC67BE" w:rsidRPr="002F6CBB">
        <w:rPr>
          <w:lang w:val="en-CA"/>
        </w:rPr>
        <w:t xml:space="preserve"> (2019) … </w:t>
      </w:r>
      <w:r w:rsidR="0057733D" w:rsidRPr="002F6CBB">
        <w:rPr>
          <w:lang w:val="en-CA"/>
        </w:rPr>
        <w:t>reveal</w:t>
      </w:r>
      <w:r>
        <w:rPr>
          <w:lang w:val="en-CA"/>
        </w:rPr>
        <w:t>s</w:t>
      </w:r>
      <w:r w:rsidR="0057733D" w:rsidRPr="002F6CBB">
        <w:rPr>
          <w:lang w:val="en-CA"/>
        </w:rPr>
        <w:t xml:space="preserve"> that </w:t>
      </w:r>
      <w:r w:rsidR="0057733D" w:rsidRPr="002F6CBB">
        <w:rPr>
          <w:rFonts w:cs="Arial"/>
          <w:b/>
          <w:bCs/>
          <w:color w:val="000000"/>
          <w:szCs w:val="22"/>
          <w:shd w:val="clear" w:color="auto" w:fill="FFFFFF"/>
          <w:lang w:val="en-CA"/>
        </w:rPr>
        <w:t xml:space="preserve">Indigenous and </w:t>
      </w:r>
      <w:r w:rsidR="00C14519">
        <w:rPr>
          <w:rFonts w:cs="Arial"/>
          <w:b/>
          <w:bCs/>
          <w:color w:val="000000"/>
          <w:szCs w:val="22"/>
          <w:shd w:val="clear" w:color="auto" w:fill="FFFFFF"/>
          <w:lang w:val="en-CA"/>
        </w:rPr>
        <w:t>Black</w:t>
      </w:r>
      <w:r w:rsidR="0057733D" w:rsidRPr="002F6CBB">
        <w:rPr>
          <w:rFonts w:cs="Arial"/>
          <w:b/>
          <w:bCs/>
          <w:color w:val="000000"/>
          <w:szCs w:val="22"/>
          <w:shd w:val="clear" w:color="auto" w:fill="FFFFFF"/>
          <w:lang w:val="en-CA"/>
        </w:rPr>
        <w:t xml:space="preserve"> people are four to five times more likely to be stopped than White people</w:t>
      </w:r>
      <w:r w:rsidR="00BC67BE" w:rsidRPr="002F6CBB">
        <w:rPr>
          <w:lang w:val="en-CA"/>
        </w:rPr>
        <w:t xml:space="preserve"> …. (</w:t>
      </w:r>
      <w:r w:rsidR="0057733D" w:rsidRPr="002F6CBB">
        <w:rPr>
          <w:lang w:val="en-CA"/>
        </w:rPr>
        <w:t>at</w:t>
      </w:r>
      <w:r w:rsidR="00BC67BE" w:rsidRPr="002F6CBB">
        <w:rPr>
          <w:lang w:val="en-CA"/>
        </w:rPr>
        <w:t xml:space="preserve"> 5)</w:t>
      </w:r>
    </w:p>
    <w:p w14:paraId="457F463D" w14:textId="7766B63C" w:rsidR="00810CE6" w:rsidRPr="002F6CBB" w:rsidRDefault="00071370" w:rsidP="00054BD0">
      <w:pPr>
        <w:pStyle w:val="Citationenretrait"/>
        <w:rPr>
          <w:lang w:val="en-CA"/>
        </w:rPr>
      </w:pPr>
      <w:r w:rsidRPr="002F6CBB">
        <w:rPr>
          <w:lang w:val="en-CA"/>
        </w:rPr>
        <w:lastRenderedPageBreak/>
        <w:t xml:space="preserve">Racial profiling is expressed through indirect </w:t>
      </w:r>
      <w:r w:rsidR="00920B4E">
        <w:rPr>
          <w:lang w:val="en-CA"/>
        </w:rPr>
        <w:t xml:space="preserve">forms of </w:t>
      </w:r>
      <w:r w:rsidRPr="002F6CBB">
        <w:rPr>
          <w:lang w:val="en-CA"/>
        </w:rPr>
        <w:t>racial discrimination, including arbitrary stops, differential treatment, and the use of force ...</w:t>
      </w:r>
      <w:r w:rsidR="00BC67BE" w:rsidRPr="002F6CBB">
        <w:rPr>
          <w:lang w:val="en-CA"/>
        </w:rPr>
        <w:t xml:space="preserve"> </w:t>
      </w:r>
      <w:r w:rsidRPr="002F6CBB">
        <w:rPr>
          <w:lang w:val="en-CA"/>
        </w:rPr>
        <w:t>(</w:t>
      </w:r>
      <w:r w:rsidR="00686E6C">
        <w:rPr>
          <w:lang w:val="en-CA"/>
        </w:rPr>
        <w:t>at</w:t>
      </w:r>
      <w:r w:rsidRPr="002F6CBB">
        <w:rPr>
          <w:lang w:val="en-CA"/>
        </w:rPr>
        <w:t xml:space="preserve"> 8)</w:t>
      </w:r>
    </w:p>
    <w:p w14:paraId="3EB666FB" w14:textId="3280EFEC" w:rsidR="00810CE6" w:rsidRPr="002F6CBB" w:rsidRDefault="00071370" w:rsidP="00054BD0">
      <w:pPr>
        <w:pStyle w:val="Citationenretrait"/>
        <w:rPr>
          <w:lang w:val="en-CA"/>
        </w:rPr>
      </w:pPr>
      <w:r w:rsidRPr="002F6CBB">
        <w:rPr>
          <w:lang w:val="en-CA"/>
        </w:rPr>
        <w:t xml:space="preserve">According to the Commission des droits de la personne </w:t>
      </w:r>
      <w:r w:rsidR="004C5DD6">
        <w:rPr>
          <w:lang w:val="en-CA"/>
        </w:rPr>
        <w:t>et</w:t>
      </w:r>
      <w:r w:rsidR="004C5DD6" w:rsidRPr="002F6CBB">
        <w:rPr>
          <w:lang w:val="en-CA"/>
        </w:rPr>
        <w:t xml:space="preserve"> </w:t>
      </w:r>
      <w:r w:rsidRPr="002F6CBB">
        <w:rPr>
          <w:lang w:val="en-CA"/>
        </w:rPr>
        <w:t xml:space="preserve">des droits de la jeunesse, racial profiling complaints </w:t>
      </w:r>
      <w:r w:rsidR="00920B4E">
        <w:rPr>
          <w:lang w:val="en-CA"/>
        </w:rPr>
        <w:t xml:space="preserve">have </w:t>
      </w:r>
      <w:r w:rsidRPr="002F6CBB">
        <w:rPr>
          <w:lang w:val="en-CA"/>
        </w:rPr>
        <w:t>increas</w:t>
      </w:r>
      <w:r w:rsidR="00920B4E">
        <w:rPr>
          <w:lang w:val="en-CA"/>
        </w:rPr>
        <w:t>ed</w:t>
      </w:r>
      <w:r w:rsidRPr="002F6CBB">
        <w:rPr>
          <w:lang w:val="en-CA"/>
        </w:rPr>
        <w:t xml:space="preserve"> in recent years, particularly in Montreal and Laval: the number of complaints increased from 24 in 2015 to 35 in 2019, even though the year is not </w:t>
      </w:r>
      <w:r w:rsidR="00920B4E">
        <w:rPr>
          <w:lang w:val="en-CA"/>
        </w:rPr>
        <w:t>yet finished</w:t>
      </w:r>
      <w:r w:rsidRPr="002F6CBB">
        <w:rPr>
          <w:lang w:val="en-CA"/>
        </w:rPr>
        <w:t>.</w:t>
      </w:r>
      <w:r w:rsidR="00BC67BE" w:rsidRPr="002F6CBB">
        <w:rPr>
          <w:lang w:val="en-CA"/>
        </w:rPr>
        <w:t xml:space="preserve"> (</w:t>
      </w:r>
      <w:r w:rsidR="00686E6C">
        <w:rPr>
          <w:lang w:val="en-CA"/>
        </w:rPr>
        <w:t>at</w:t>
      </w:r>
      <w:r w:rsidR="00BC67BE" w:rsidRPr="002F6CBB">
        <w:rPr>
          <w:lang w:val="en-CA"/>
        </w:rPr>
        <w:t xml:space="preserve"> 12)</w:t>
      </w:r>
    </w:p>
    <w:p w14:paraId="76997655" w14:textId="2DC0F957" w:rsidR="00810CE6" w:rsidRPr="002F6CBB" w:rsidRDefault="004C5DD6" w:rsidP="00054BD0">
      <w:pPr>
        <w:pStyle w:val="Citationenretrait"/>
        <w:rPr>
          <w:lang w:val="en-CA"/>
        </w:rPr>
      </w:pPr>
      <w:r>
        <w:rPr>
          <w:lang w:val="en-CA"/>
        </w:rPr>
        <w:t>We see r</w:t>
      </w:r>
      <w:r w:rsidR="00071370" w:rsidRPr="002F6CBB">
        <w:rPr>
          <w:lang w:val="en-CA"/>
        </w:rPr>
        <w:t>acial profiling as</w:t>
      </w:r>
      <w:r>
        <w:rPr>
          <w:lang w:val="en-CA"/>
        </w:rPr>
        <w:t xml:space="preserve"> a</w:t>
      </w:r>
      <w:r w:rsidR="00071370" w:rsidRPr="002F6CBB">
        <w:rPr>
          <w:lang w:val="en-CA"/>
        </w:rPr>
        <w:t xml:space="preserve"> </w:t>
      </w:r>
      <w:r w:rsidR="00071370" w:rsidRPr="002F6CBB">
        <w:rPr>
          <w:b/>
          <w:lang w:val="en-CA"/>
        </w:rPr>
        <w:t>systemic</w:t>
      </w:r>
      <w:r>
        <w:rPr>
          <w:b/>
          <w:lang w:val="en-CA"/>
        </w:rPr>
        <w:t xml:space="preserve"> phenomenon</w:t>
      </w:r>
      <w:r w:rsidR="00071370" w:rsidRPr="002F6CBB">
        <w:rPr>
          <w:lang w:val="en-CA"/>
        </w:rPr>
        <w:t xml:space="preserve"> </w:t>
      </w:r>
      <w:r w:rsidR="00920B4E">
        <w:rPr>
          <w:lang w:val="en-CA"/>
        </w:rPr>
        <w:t xml:space="preserve">– </w:t>
      </w:r>
      <w:r w:rsidR="00071370" w:rsidRPr="002F6CBB">
        <w:rPr>
          <w:lang w:val="en-CA"/>
        </w:rPr>
        <w:t xml:space="preserve">not </w:t>
      </w:r>
      <w:r>
        <w:rPr>
          <w:lang w:val="en-CA"/>
        </w:rPr>
        <w:t>just</w:t>
      </w:r>
      <w:r w:rsidR="00920B4E">
        <w:rPr>
          <w:lang w:val="en-CA"/>
        </w:rPr>
        <w:t xml:space="preserve"> </w:t>
      </w:r>
      <w:r w:rsidR="00071370" w:rsidRPr="002F6CBB">
        <w:rPr>
          <w:lang w:val="en-CA"/>
        </w:rPr>
        <w:t xml:space="preserve">a practice </w:t>
      </w:r>
      <w:r w:rsidR="00427DDB">
        <w:rPr>
          <w:lang w:val="en-CA"/>
        </w:rPr>
        <w:t>resulting from</w:t>
      </w:r>
      <w:r w:rsidR="00071370" w:rsidRPr="002F6CBB">
        <w:rPr>
          <w:lang w:val="en-CA"/>
        </w:rPr>
        <w:t xml:space="preserve"> individual behaviour or anecdotal events. </w:t>
      </w:r>
      <w:bookmarkStart w:id="35" w:name="_Hlk159421074"/>
      <w:r w:rsidR="00071370" w:rsidRPr="002F6CBB">
        <w:rPr>
          <w:lang w:val="en-CA"/>
        </w:rPr>
        <w:t xml:space="preserve">While racial profiling </w:t>
      </w:r>
      <w:r w:rsidR="00920B4E">
        <w:rPr>
          <w:lang w:val="en-CA"/>
        </w:rPr>
        <w:t>is apparent in</w:t>
      </w:r>
      <w:r w:rsidR="00071370" w:rsidRPr="002F6CBB">
        <w:rPr>
          <w:lang w:val="en-CA"/>
        </w:rPr>
        <w:t xml:space="preserve"> the behaviour of certain police officers, it is also made possible and perpetuated by other factors: </w:t>
      </w:r>
      <w:r w:rsidR="00071370" w:rsidRPr="002F6CBB">
        <w:rPr>
          <w:b/>
          <w:lang w:val="en-CA"/>
        </w:rPr>
        <w:t>stereotypes</w:t>
      </w:r>
      <w:r w:rsidR="00071370" w:rsidRPr="002F6CBB">
        <w:rPr>
          <w:lang w:val="en-CA"/>
        </w:rPr>
        <w:t xml:space="preserve"> associating </w:t>
      </w:r>
      <w:r w:rsidR="00C14519">
        <w:rPr>
          <w:lang w:val="en-CA"/>
        </w:rPr>
        <w:t>Black</w:t>
      </w:r>
      <w:r w:rsidR="00071370" w:rsidRPr="002F6CBB">
        <w:rPr>
          <w:lang w:val="en-CA"/>
        </w:rPr>
        <w:t xml:space="preserve"> </w:t>
      </w:r>
      <w:r w:rsidR="00427DDB">
        <w:rPr>
          <w:lang w:val="en-CA"/>
        </w:rPr>
        <w:t xml:space="preserve">people </w:t>
      </w:r>
      <w:r w:rsidR="00071370" w:rsidRPr="002F6CBB">
        <w:rPr>
          <w:lang w:val="en-CA"/>
        </w:rPr>
        <w:t>with criminality ...</w:t>
      </w:r>
      <w:r w:rsidR="00BC67BE" w:rsidRPr="002F6CBB">
        <w:rPr>
          <w:lang w:val="en-CA"/>
        </w:rPr>
        <w:t xml:space="preserve"> </w:t>
      </w:r>
      <w:bookmarkEnd w:id="35"/>
      <w:r w:rsidR="00BC67BE" w:rsidRPr="002F6CBB">
        <w:rPr>
          <w:lang w:val="en-CA"/>
        </w:rPr>
        <w:t>(</w:t>
      </w:r>
      <w:r w:rsidR="00686E6C">
        <w:rPr>
          <w:lang w:val="en-CA"/>
        </w:rPr>
        <w:t>at</w:t>
      </w:r>
      <w:r w:rsidR="00BC67BE" w:rsidRPr="002F6CBB">
        <w:rPr>
          <w:lang w:val="en-CA"/>
        </w:rPr>
        <w:t xml:space="preserve"> 13)</w:t>
      </w:r>
    </w:p>
    <w:p w14:paraId="785DA232" w14:textId="3EF44E1B" w:rsidR="00810CE6" w:rsidRPr="002F6CBB" w:rsidRDefault="00071370" w:rsidP="00054BD0">
      <w:pPr>
        <w:pStyle w:val="Citationenretrait"/>
        <w:rPr>
          <w:lang w:val="en-CA"/>
        </w:rPr>
      </w:pPr>
      <w:r w:rsidRPr="002F6CBB">
        <w:rPr>
          <w:lang w:val="en-CA"/>
        </w:rPr>
        <w:t xml:space="preserve">All of the studies convincingly illustrate the fact that </w:t>
      </w:r>
      <w:r w:rsidRPr="002F6CBB">
        <w:rPr>
          <w:b/>
          <w:lang w:val="en-CA"/>
        </w:rPr>
        <w:t>racial profiling is widespread in Canada</w:t>
      </w:r>
      <w:r w:rsidRPr="002F6CBB">
        <w:rPr>
          <w:lang w:val="en-CA"/>
        </w:rPr>
        <w:t xml:space="preserve"> and </w:t>
      </w:r>
      <w:r w:rsidR="00920B4E">
        <w:rPr>
          <w:lang w:val="en-CA"/>
        </w:rPr>
        <w:t xml:space="preserve">happens </w:t>
      </w:r>
      <w:r w:rsidRPr="002F6CBB">
        <w:rPr>
          <w:lang w:val="en-CA"/>
        </w:rPr>
        <w:t xml:space="preserve">in </w:t>
      </w:r>
      <w:r w:rsidR="00920B4E">
        <w:rPr>
          <w:lang w:val="en-CA"/>
        </w:rPr>
        <w:t xml:space="preserve">big and small </w:t>
      </w:r>
      <w:r w:rsidRPr="002F6CBB">
        <w:rPr>
          <w:lang w:val="en-CA"/>
        </w:rPr>
        <w:t>cities.</w:t>
      </w:r>
      <w:r w:rsidR="00BC67BE" w:rsidRPr="002F6CBB">
        <w:rPr>
          <w:lang w:val="en-CA"/>
        </w:rPr>
        <w:t xml:space="preserve"> </w:t>
      </w:r>
      <w:r w:rsidRPr="002F6CBB">
        <w:rPr>
          <w:lang w:val="en-CA"/>
        </w:rPr>
        <w:t xml:space="preserve">Certain trends are also </w:t>
      </w:r>
      <w:r w:rsidR="00920B4E">
        <w:rPr>
          <w:lang w:val="en-CA"/>
        </w:rPr>
        <w:t xml:space="preserve">clear throughout the </w:t>
      </w:r>
      <w:r w:rsidRPr="002F6CBB">
        <w:rPr>
          <w:lang w:val="en-CA"/>
        </w:rPr>
        <w:t>various contexts and resemble the results found in Quebec.</w:t>
      </w:r>
      <w:r w:rsidR="00BC67BE" w:rsidRPr="002F6CBB">
        <w:rPr>
          <w:lang w:val="en-CA"/>
        </w:rPr>
        <w:t xml:space="preserve"> </w:t>
      </w:r>
      <w:r w:rsidRPr="002F6CBB">
        <w:rPr>
          <w:lang w:val="en-CA"/>
        </w:rPr>
        <w:t xml:space="preserve">In summary, the research confirms the following trends: (1) </w:t>
      </w:r>
      <w:r w:rsidR="00C14519">
        <w:rPr>
          <w:lang w:val="en-CA"/>
        </w:rPr>
        <w:t>Black</w:t>
      </w:r>
      <w:r w:rsidRPr="002F6CBB">
        <w:rPr>
          <w:lang w:val="en-CA"/>
        </w:rPr>
        <w:t xml:space="preserve"> people, </w:t>
      </w:r>
      <w:r w:rsidR="000637C2">
        <w:rPr>
          <w:lang w:val="en-CA"/>
        </w:rPr>
        <w:t>more specifically</w:t>
      </w:r>
      <w:r w:rsidRPr="002F6CBB">
        <w:rPr>
          <w:lang w:val="en-CA"/>
        </w:rPr>
        <w:t xml:space="preserve"> </w:t>
      </w:r>
      <w:r w:rsidR="00C14519">
        <w:rPr>
          <w:b/>
          <w:lang w:val="en-CA"/>
        </w:rPr>
        <w:t>Black</w:t>
      </w:r>
      <w:r w:rsidRPr="002F6CBB">
        <w:rPr>
          <w:b/>
          <w:lang w:val="en-CA"/>
        </w:rPr>
        <w:t xml:space="preserve"> men, are </w:t>
      </w:r>
      <w:r w:rsidR="000637C2">
        <w:rPr>
          <w:b/>
          <w:lang w:val="en-CA"/>
        </w:rPr>
        <w:t xml:space="preserve">arbitrarily </w:t>
      </w:r>
      <w:r w:rsidRPr="002F6CBB">
        <w:rPr>
          <w:b/>
          <w:lang w:val="en-CA"/>
        </w:rPr>
        <w:t xml:space="preserve">stopped by the police </w:t>
      </w:r>
      <w:r w:rsidR="000637C2" w:rsidRPr="002F6CBB">
        <w:rPr>
          <w:b/>
          <w:lang w:val="en-CA"/>
        </w:rPr>
        <w:t xml:space="preserve">more often </w:t>
      </w:r>
      <w:r w:rsidRPr="002F6CBB">
        <w:rPr>
          <w:b/>
          <w:lang w:val="en-CA"/>
        </w:rPr>
        <w:t>even though they have done nothing</w:t>
      </w:r>
      <w:r w:rsidRPr="002F6CBB">
        <w:rPr>
          <w:lang w:val="en-CA"/>
        </w:rPr>
        <w:t xml:space="preserve"> ...</w:t>
      </w:r>
      <w:r w:rsidR="00BC67BE" w:rsidRPr="002F6CBB">
        <w:rPr>
          <w:lang w:val="en-CA"/>
        </w:rPr>
        <w:t xml:space="preserve"> (</w:t>
      </w:r>
      <w:r w:rsidR="00686E6C">
        <w:rPr>
          <w:lang w:val="en-CA"/>
        </w:rPr>
        <w:t>at</w:t>
      </w:r>
      <w:r w:rsidR="00BC67BE" w:rsidRPr="002F6CBB">
        <w:rPr>
          <w:lang w:val="en-CA"/>
        </w:rPr>
        <w:t xml:space="preserve"> 17)</w:t>
      </w:r>
    </w:p>
    <w:p w14:paraId="3B245A2A" w14:textId="7297A618" w:rsidR="00810CE6" w:rsidRPr="002F6CBB" w:rsidRDefault="00071370" w:rsidP="00054BD0">
      <w:pPr>
        <w:pStyle w:val="Citationenretrait"/>
        <w:rPr>
          <w:lang w:val="en-CA"/>
        </w:rPr>
      </w:pPr>
      <w:r w:rsidRPr="002F6CBB">
        <w:rPr>
          <w:lang w:val="en-CA"/>
        </w:rPr>
        <w:t xml:space="preserve">Racial profiling </w:t>
      </w:r>
      <w:r w:rsidR="000637C2">
        <w:rPr>
          <w:lang w:val="en-CA"/>
        </w:rPr>
        <w:t>of</w:t>
      </w:r>
      <w:r w:rsidRPr="002F6CBB">
        <w:rPr>
          <w:lang w:val="en-CA"/>
        </w:rPr>
        <w:t xml:space="preserve"> </w:t>
      </w:r>
      <w:r w:rsidR="00C14519">
        <w:rPr>
          <w:lang w:val="en-CA"/>
        </w:rPr>
        <w:t>Black</w:t>
      </w:r>
      <w:r w:rsidRPr="002F6CBB">
        <w:rPr>
          <w:lang w:val="en-CA"/>
        </w:rPr>
        <w:t xml:space="preserve"> men is influenced by </w:t>
      </w:r>
      <w:r w:rsidR="000637C2">
        <w:rPr>
          <w:lang w:val="en-CA"/>
        </w:rPr>
        <w:t>the</w:t>
      </w:r>
      <w:r w:rsidRPr="002F6CBB">
        <w:rPr>
          <w:lang w:val="en-CA"/>
        </w:rPr>
        <w:t xml:space="preserve"> </w:t>
      </w:r>
      <w:r w:rsidRPr="002F6CBB">
        <w:rPr>
          <w:b/>
          <w:lang w:val="en-CA"/>
        </w:rPr>
        <w:t>stereotype</w:t>
      </w:r>
      <w:r w:rsidRPr="002F6CBB">
        <w:rPr>
          <w:lang w:val="en-CA"/>
        </w:rPr>
        <w:t xml:space="preserve"> </w:t>
      </w:r>
      <w:r w:rsidR="00365C29">
        <w:rPr>
          <w:lang w:val="en-CA"/>
        </w:rPr>
        <w:t>root</w:t>
      </w:r>
      <w:r w:rsidRPr="002F6CBB">
        <w:rPr>
          <w:lang w:val="en-CA"/>
        </w:rPr>
        <w:t xml:space="preserve">ed in the history of Canada and the United States that they are inherently criminal and more </w:t>
      </w:r>
      <w:r w:rsidRPr="002F6CBB">
        <w:rPr>
          <w:b/>
          <w:lang w:val="en-CA"/>
        </w:rPr>
        <w:t>inclined to commit crimes</w:t>
      </w:r>
      <w:r w:rsidRPr="002F6CBB">
        <w:rPr>
          <w:lang w:val="en-CA"/>
        </w:rPr>
        <w:t xml:space="preserve"> than White people.</w:t>
      </w:r>
      <w:r w:rsidR="00BC67BE" w:rsidRPr="002F6CBB">
        <w:rPr>
          <w:lang w:val="en-CA"/>
        </w:rPr>
        <w:t xml:space="preserve"> </w:t>
      </w:r>
      <w:r w:rsidRPr="002F6CBB">
        <w:rPr>
          <w:lang w:val="en-CA"/>
        </w:rPr>
        <w:t xml:space="preserve">This stereotype is reinforced by a series of racist prejudices that </w:t>
      </w:r>
      <w:r w:rsidR="008C1963">
        <w:rPr>
          <w:lang w:val="en-CA"/>
        </w:rPr>
        <w:t>portray</w:t>
      </w:r>
      <w:r w:rsidRPr="002F6CBB">
        <w:rPr>
          <w:lang w:val="en-CA"/>
        </w:rPr>
        <w:t xml:space="preserve"> </w:t>
      </w:r>
      <w:r w:rsidR="00C14519">
        <w:rPr>
          <w:lang w:val="en-CA"/>
        </w:rPr>
        <w:t>Black</w:t>
      </w:r>
      <w:r w:rsidRPr="002F6CBB">
        <w:rPr>
          <w:lang w:val="en-CA"/>
        </w:rPr>
        <w:t xml:space="preserve"> men as physically stronger, more violent, more aggressive, more threatening, and less intelligent than White </w:t>
      </w:r>
      <w:r w:rsidR="00365C29">
        <w:rPr>
          <w:lang w:val="en-CA"/>
        </w:rPr>
        <w:t>men</w:t>
      </w:r>
      <w:r w:rsidRPr="002F6CBB">
        <w:rPr>
          <w:lang w:val="en-CA"/>
        </w:rPr>
        <w:t>.</w:t>
      </w:r>
      <w:r w:rsidR="00BC67BE" w:rsidRPr="002F6CBB">
        <w:rPr>
          <w:lang w:val="en-CA"/>
        </w:rPr>
        <w:t xml:space="preserve"> </w:t>
      </w:r>
      <w:r w:rsidRPr="002F6CBB">
        <w:rPr>
          <w:lang w:val="en-CA"/>
        </w:rPr>
        <w:t xml:space="preserve">These stereotypes </w:t>
      </w:r>
      <w:r w:rsidRPr="002F6CBB">
        <w:rPr>
          <w:b/>
          <w:lang w:val="en-CA"/>
        </w:rPr>
        <w:t xml:space="preserve">mean that the police will automatically and more quickly suspect </w:t>
      </w:r>
      <w:r w:rsidR="00C14519">
        <w:rPr>
          <w:b/>
          <w:lang w:val="en-CA"/>
        </w:rPr>
        <w:t>Black</w:t>
      </w:r>
      <w:r w:rsidRPr="002F6CBB">
        <w:rPr>
          <w:b/>
          <w:lang w:val="en-CA"/>
        </w:rPr>
        <w:t xml:space="preserve"> men of </w:t>
      </w:r>
      <w:r w:rsidR="008C1963">
        <w:rPr>
          <w:b/>
          <w:lang w:val="en-CA"/>
        </w:rPr>
        <w:t xml:space="preserve">being involved </w:t>
      </w:r>
      <w:r w:rsidRPr="002F6CBB">
        <w:rPr>
          <w:b/>
          <w:lang w:val="en-CA"/>
        </w:rPr>
        <w:t>in criminal activity</w:t>
      </w:r>
      <w:r w:rsidRPr="002F6CBB">
        <w:rPr>
          <w:lang w:val="en-CA"/>
        </w:rPr>
        <w:t xml:space="preserve"> ... Study after study has shown that the highe</w:t>
      </w:r>
      <w:r w:rsidR="00365C29">
        <w:rPr>
          <w:lang w:val="en-CA"/>
        </w:rPr>
        <w:t>r</w:t>
      </w:r>
      <w:r w:rsidR="008C1963">
        <w:rPr>
          <w:lang w:val="en-CA"/>
        </w:rPr>
        <w:t xml:space="preserve"> rates of</w:t>
      </w:r>
      <w:r w:rsidRPr="002F6CBB">
        <w:rPr>
          <w:lang w:val="en-CA"/>
        </w:rPr>
        <w:t xml:space="preserve"> </w:t>
      </w:r>
      <w:r w:rsidR="00365C29">
        <w:rPr>
          <w:lang w:val="en-CA"/>
        </w:rPr>
        <w:t xml:space="preserve">stopping </w:t>
      </w:r>
      <w:r w:rsidR="008C1963">
        <w:rPr>
          <w:lang w:val="en-CA"/>
        </w:rPr>
        <w:t xml:space="preserve">and </w:t>
      </w:r>
      <w:r w:rsidR="0014200E">
        <w:rPr>
          <w:lang w:val="en-CA"/>
        </w:rPr>
        <w:t>intercepting</w:t>
      </w:r>
      <w:r w:rsidR="0014200E" w:rsidRPr="002F6CBB">
        <w:rPr>
          <w:lang w:val="en-CA"/>
        </w:rPr>
        <w:t xml:space="preserve"> </w:t>
      </w:r>
      <w:r w:rsidR="00C14519">
        <w:rPr>
          <w:lang w:val="en-CA"/>
        </w:rPr>
        <w:t>Black</w:t>
      </w:r>
      <w:r w:rsidRPr="002F6CBB">
        <w:rPr>
          <w:lang w:val="en-CA"/>
        </w:rPr>
        <w:t xml:space="preserve"> men </w:t>
      </w:r>
      <w:r w:rsidR="00365C29">
        <w:rPr>
          <w:lang w:val="en-CA"/>
        </w:rPr>
        <w:t xml:space="preserve">– </w:t>
      </w:r>
      <w:r w:rsidR="008C1963">
        <w:rPr>
          <w:lang w:val="en-CA"/>
        </w:rPr>
        <w:t xml:space="preserve">as compared to </w:t>
      </w:r>
      <w:r w:rsidRPr="002F6CBB">
        <w:rPr>
          <w:lang w:val="en-CA"/>
        </w:rPr>
        <w:t>White men</w:t>
      </w:r>
      <w:r w:rsidR="00365C29">
        <w:rPr>
          <w:lang w:val="en-CA"/>
        </w:rPr>
        <w:t xml:space="preserve"> – </w:t>
      </w:r>
      <w:r w:rsidRPr="002F6CBB">
        <w:rPr>
          <w:lang w:val="en-CA"/>
        </w:rPr>
        <w:t xml:space="preserve">cannot be attributed to </w:t>
      </w:r>
      <w:r w:rsidR="008C1963">
        <w:rPr>
          <w:lang w:val="en-CA"/>
        </w:rPr>
        <w:t xml:space="preserve">the </w:t>
      </w:r>
      <w:r w:rsidRPr="002F6CBB">
        <w:rPr>
          <w:lang w:val="en-CA"/>
        </w:rPr>
        <w:t xml:space="preserve">behaviour </w:t>
      </w:r>
      <w:r w:rsidR="008C1963">
        <w:rPr>
          <w:lang w:val="en-CA"/>
        </w:rPr>
        <w:t>of those groups o</w:t>
      </w:r>
      <w:r w:rsidRPr="002F6CBB">
        <w:rPr>
          <w:lang w:val="en-CA"/>
        </w:rPr>
        <w:t xml:space="preserve">r their </w:t>
      </w:r>
      <w:r w:rsidR="00365C29">
        <w:rPr>
          <w:lang w:val="en-CA"/>
        </w:rPr>
        <w:t xml:space="preserve">crime </w:t>
      </w:r>
      <w:r w:rsidRPr="002F6CBB">
        <w:rPr>
          <w:lang w:val="en-CA"/>
        </w:rPr>
        <w:t>rates.</w:t>
      </w:r>
      <w:r w:rsidR="00BC67BE" w:rsidRPr="002F6CBB">
        <w:rPr>
          <w:lang w:val="en-CA"/>
        </w:rPr>
        <w:t xml:space="preserve"> (</w:t>
      </w:r>
      <w:r w:rsidR="00686E6C">
        <w:rPr>
          <w:lang w:val="en-CA"/>
        </w:rPr>
        <w:t>at</w:t>
      </w:r>
      <w:r w:rsidR="00BC67BE" w:rsidRPr="002F6CBB">
        <w:rPr>
          <w:lang w:val="en-CA"/>
        </w:rPr>
        <w:t xml:space="preserve"> 19)</w:t>
      </w:r>
    </w:p>
    <w:p w14:paraId="7CA3DCCA" w14:textId="3383727F" w:rsidR="00810CE6" w:rsidRPr="002F6CBB" w:rsidRDefault="00071370" w:rsidP="00054BD0">
      <w:pPr>
        <w:pStyle w:val="Citationenretrait"/>
        <w:rPr>
          <w:lang w:val="en-CA"/>
        </w:rPr>
      </w:pPr>
      <w:r w:rsidRPr="002F6CBB">
        <w:rPr>
          <w:lang w:val="en-CA"/>
        </w:rPr>
        <w:t xml:space="preserve">In Quebec, one of the most common criminal </w:t>
      </w:r>
      <w:r w:rsidRPr="002F6CBB">
        <w:rPr>
          <w:b/>
          <w:lang w:val="en-CA"/>
        </w:rPr>
        <w:t>stereotypes</w:t>
      </w:r>
      <w:r w:rsidRPr="002F6CBB">
        <w:rPr>
          <w:lang w:val="en-CA"/>
        </w:rPr>
        <w:t xml:space="preserve"> concerning </w:t>
      </w:r>
      <w:r w:rsidR="00C14519">
        <w:rPr>
          <w:lang w:val="en-CA"/>
        </w:rPr>
        <w:t>Black</w:t>
      </w:r>
      <w:r w:rsidRPr="002F6CBB">
        <w:rPr>
          <w:lang w:val="en-CA"/>
        </w:rPr>
        <w:t xml:space="preserve"> men is that they are involved in </w:t>
      </w:r>
      <w:r w:rsidR="00365C29">
        <w:rPr>
          <w:rFonts w:cs="Arial"/>
          <w:lang w:val="en-CA"/>
        </w:rPr>
        <w:t>[</w:t>
      </w:r>
      <w:r w:rsidR="00365C29">
        <w:rPr>
          <w:rFonts w:cs="Arial"/>
          <w:smallCaps/>
          <w:lang w:val="en-CA"/>
        </w:rPr>
        <w:t>translation</w:t>
      </w:r>
      <w:r w:rsidR="00365C29">
        <w:rPr>
          <w:rFonts w:cs="Arial"/>
          <w:lang w:val="en-CA"/>
        </w:rPr>
        <w:t>]</w:t>
      </w:r>
      <w:r w:rsidR="00365C29">
        <w:rPr>
          <w:lang w:val="en-CA"/>
        </w:rPr>
        <w:t xml:space="preserve"> </w:t>
      </w:r>
      <w:r w:rsidRPr="002F6CBB">
        <w:rPr>
          <w:lang w:val="en-CA"/>
        </w:rPr>
        <w:t>“</w:t>
      </w:r>
      <w:r w:rsidRPr="002F6CBB">
        <w:rPr>
          <w:b/>
          <w:lang w:val="en-CA"/>
        </w:rPr>
        <w:t>street gangs</w:t>
      </w:r>
      <w:r w:rsidRPr="002F6CBB">
        <w:rPr>
          <w:lang w:val="en-CA"/>
        </w:rPr>
        <w:t xml:space="preserve">” and </w:t>
      </w:r>
      <w:r w:rsidR="00365C29">
        <w:rPr>
          <w:lang w:val="en-CA"/>
        </w:rPr>
        <w:t xml:space="preserve">are </w:t>
      </w:r>
      <w:r w:rsidRPr="002F6CBB">
        <w:rPr>
          <w:lang w:val="en-CA"/>
        </w:rPr>
        <w:t>more associated with pimping than other groups.</w:t>
      </w:r>
      <w:r w:rsidR="00BC67BE" w:rsidRPr="002F6CBB">
        <w:rPr>
          <w:lang w:val="en-CA"/>
        </w:rPr>
        <w:t xml:space="preserve"> (</w:t>
      </w:r>
      <w:r w:rsidR="00686E6C">
        <w:rPr>
          <w:lang w:val="en-CA"/>
        </w:rPr>
        <w:t>at</w:t>
      </w:r>
      <w:r w:rsidR="00BC67BE" w:rsidRPr="002F6CBB">
        <w:rPr>
          <w:lang w:val="en-CA"/>
        </w:rPr>
        <w:t xml:space="preserve"> 20)</w:t>
      </w:r>
    </w:p>
    <w:p w14:paraId="355A21ED" w14:textId="14FD1892" w:rsidR="00810CE6" w:rsidRPr="002F6CBB" w:rsidRDefault="00071370" w:rsidP="00054BD0">
      <w:pPr>
        <w:pStyle w:val="Citationenretrait"/>
        <w:rPr>
          <w:lang w:val="en-CA"/>
        </w:rPr>
      </w:pPr>
      <w:r w:rsidRPr="002F6CBB">
        <w:rPr>
          <w:lang w:val="en-CA"/>
        </w:rPr>
        <w:t xml:space="preserve">Despite stereotypes associating “street gangs” with racialized persons, </w:t>
      </w:r>
      <w:r w:rsidRPr="002F6CBB">
        <w:rPr>
          <w:b/>
          <w:lang w:val="en-CA"/>
        </w:rPr>
        <w:t>no scientific research to date has conclusively established</w:t>
      </w:r>
      <w:r w:rsidRPr="002F6CBB">
        <w:rPr>
          <w:lang w:val="en-CA"/>
        </w:rPr>
        <w:t xml:space="preserve"> that this occurs more </w:t>
      </w:r>
      <w:r w:rsidR="00365C29">
        <w:rPr>
          <w:lang w:val="en-CA"/>
        </w:rPr>
        <w:t xml:space="preserve">frequently </w:t>
      </w:r>
      <w:r w:rsidRPr="002F6CBB">
        <w:rPr>
          <w:lang w:val="en-CA"/>
        </w:rPr>
        <w:t>among racialized persons in Montreal ...</w:t>
      </w:r>
      <w:r w:rsidR="00BC67BE" w:rsidRPr="002F6CBB">
        <w:rPr>
          <w:lang w:val="en-CA"/>
        </w:rPr>
        <w:t xml:space="preserve"> (</w:t>
      </w:r>
      <w:r w:rsidR="00686E6C">
        <w:rPr>
          <w:lang w:val="en-CA"/>
        </w:rPr>
        <w:t>at</w:t>
      </w:r>
      <w:r w:rsidR="00BC67BE" w:rsidRPr="002F6CBB">
        <w:rPr>
          <w:lang w:val="en-CA"/>
        </w:rPr>
        <w:t xml:space="preserve"> 21)</w:t>
      </w:r>
    </w:p>
    <w:p w14:paraId="5DD45457" w14:textId="65B86913" w:rsidR="00810CE6" w:rsidRPr="002F6CBB" w:rsidRDefault="00071370" w:rsidP="00054BD0">
      <w:pPr>
        <w:pStyle w:val="Citationenretrait"/>
        <w:rPr>
          <w:lang w:val="en-CA"/>
        </w:rPr>
      </w:pPr>
      <w:r w:rsidRPr="002F6CBB">
        <w:rPr>
          <w:lang w:val="en-CA"/>
        </w:rPr>
        <w:t xml:space="preserve">The arrival of </w:t>
      </w:r>
      <w:r w:rsidRPr="002F6CBB">
        <w:rPr>
          <w:b/>
          <w:lang w:val="en-CA"/>
        </w:rPr>
        <w:t>“proactive” law enforcement</w:t>
      </w:r>
      <w:r w:rsidRPr="002F6CBB">
        <w:rPr>
          <w:lang w:val="en-CA"/>
        </w:rPr>
        <w:t xml:space="preserve"> since the 1990s and 2000s in Canada, the United States, and Europe has aggravated racial profiling because </w:t>
      </w:r>
      <w:r w:rsidR="00CA5956">
        <w:rPr>
          <w:lang w:val="en-CA"/>
        </w:rPr>
        <w:t xml:space="preserve">intercepting </w:t>
      </w:r>
      <w:r w:rsidRPr="002F6CBB">
        <w:rPr>
          <w:lang w:val="en-CA"/>
        </w:rPr>
        <w:t xml:space="preserve">racialized persons is now justified by policies that </w:t>
      </w:r>
      <w:r w:rsidR="00766EF3">
        <w:rPr>
          <w:lang w:val="en-CA"/>
        </w:rPr>
        <w:t xml:space="preserve">seek </w:t>
      </w:r>
      <w:r w:rsidRPr="002F6CBB">
        <w:rPr>
          <w:lang w:val="en-CA"/>
        </w:rPr>
        <w:t xml:space="preserve">not only to stop crimes when they </w:t>
      </w:r>
      <w:r w:rsidR="00766EF3">
        <w:rPr>
          <w:lang w:val="en-CA"/>
        </w:rPr>
        <w:t>happen</w:t>
      </w:r>
      <w:r w:rsidRPr="002F6CBB">
        <w:rPr>
          <w:lang w:val="en-CA"/>
        </w:rPr>
        <w:t>, but also to “prevent” future offences.</w:t>
      </w:r>
      <w:r w:rsidR="00BC67BE" w:rsidRPr="002F6CBB">
        <w:rPr>
          <w:lang w:val="en-CA"/>
        </w:rPr>
        <w:t xml:space="preserve"> </w:t>
      </w:r>
      <w:r w:rsidRPr="002F6CBB">
        <w:rPr>
          <w:lang w:val="en-CA"/>
        </w:rPr>
        <w:t xml:space="preserve">Research across the world reveals that racial disparities in </w:t>
      </w:r>
      <w:r w:rsidR="00553950">
        <w:rPr>
          <w:b/>
          <w:lang w:val="en-CA"/>
        </w:rPr>
        <w:t>stops</w:t>
      </w:r>
      <w:r w:rsidRPr="002F6CBB">
        <w:rPr>
          <w:lang w:val="en-CA"/>
        </w:rPr>
        <w:t xml:space="preserve"> of </w:t>
      </w:r>
      <w:r w:rsidR="00C14519">
        <w:rPr>
          <w:lang w:val="en-CA"/>
        </w:rPr>
        <w:t>Black</w:t>
      </w:r>
      <w:r w:rsidRPr="002F6CBB">
        <w:rPr>
          <w:lang w:val="en-CA"/>
        </w:rPr>
        <w:t xml:space="preserve"> and White people are </w:t>
      </w:r>
      <w:r w:rsidRPr="002F6CBB">
        <w:rPr>
          <w:b/>
          <w:lang w:val="en-CA"/>
        </w:rPr>
        <w:t>highest for these so-called “preventive” activities</w:t>
      </w:r>
      <w:r w:rsidRPr="002F6CBB">
        <w:rPr>
          <w:lang w:val="en-CA"/>
        </w:rPr>
        <w:t>.</w:t>
      </w:r>
      <w:r w:rsidR="00BC67BE" w:rsidRPr="002F6CBB">
        <w:rPr>
          <w:lang w:val="en-CA"/>
        </w:rPr>
        <w:t xml:space="preserve"> </w:t>
      </w:r>
      <w:r w:rsidRPr="002F6CBB">
        <w:rPr>
          <w:lang w:val="en-CA"/>
        </w:rPr>
        <w:t xml:space="preserve">Included among these activities are </w:t>
      </w:r>
      <w:r w:rsidRPr="002F6CBB">
        <w:rPr>
          <w:b/>
          <w:lang w:val="en-CA"/>
        </w:rPr>
        <w:lastRenderedPageBreak/>
        <w:t>identity checks</w:t>
      </w:r>
      <w:r w:rsidRPr="002F6CBB">
        <w:rPr>
          <w:lang w:val="en-CA"/>
        </w:rPr>
        <w:t xml:space="preserve"> and arbitrary </w:t>
      </w:r>
      <w:r w:rsidR="00553950">
        <w:rPr>
          <w:lang w:val="en-CA"/>
        </w:rPr>
        <w:t xml:space="preserve">stops </w:t>
      </w:r>
      <w:r w:rsidRPr="002F6CBB">
        <w:rPr>
          <w:lang w:val="en-CA"/>
        </w:rPr>
        <w:t xml:space="preserve">by the police </w:t>
      </w:r>
      <w:r w:rsidR="00766EF3">
        <w:rPr>
          <w:b/>
          <w:lang w:val="en-CA"/>
        </w:rPr>
        <w:t>i</w:t>
      </w:r>
      <w:r w:rsidRPr="002F6CBB">
        <w:rPr>
          <w:b/>
          <w:lang w:val="en-CA"/>
        </w:rPr>
        <w:t>n the street and on the roads</w:t>
      </w:r>
      <w:r w:rsidRPr="002F6CBB">
        <w:rPr>
          <w:lang w:val="en-CA"/>
        </w:rPr>
        <w:t xml:space="preserve">. </w:t>
      </w:r>
      <w:r w:rsidR="00BC67BE" w:rsidRPr="002F6CBB">
        <w:rPr>
          <w:lang w:val="en-CA"/>
        </w:rPr>
        <w:t>(</w:t>
      </w:r>
      <w:r w:rsidR="00686E6C">
        <w:rPr>
          <w:lang w:val="en-CA"/>
        </w:rPr>
        <w:t>at</w:t>
      </w:r>
      <w:r w:rsidR="00BC67BE" w:rsidRPr="002F6CBB">
        <w:rPr>
          <w:lang w:val="en-CA"/>
        </w:rPr>
        <w:t xml:space="preserve"> 24</w:t>
      </w:r>
      <w:r w:rsidR="00686E6C">
        <w:rPr>
          <w:lang w:val="en-CA"/>
        </w:rPr>
        <w:t>–</w:t>
      </w:r>
      <w:r w:rsidR="00BC67BE" w:rsidRPr="002F6CBB">
        <w:rPr>
          <w:lang w:val="en-CA"/>
        </w:rPr>
        <w:t>25)</w:t>
      </w:r>
    </w:p>
    <w:p w14:paraId="35B4863E" w14:textId="1EE910BE" w:rsidR="00810CE6" w:rsidRPr="002F6CBB" w:rsidRDefault="00071370" w:rsidP="00054BD0">
      <w:pPr>
        <w:pStyle w:val="Citationenretrait"/>
        <w:rPr>
          <w:lang w:val="en-CA"/>
        </w:rPr>
      </w:pPr>
      <w:r w:rsidRPr="002F6CBB">
        <w:rPr>
          <w:lang w:val="en-CA"/>
        </w:rPr>
        <w:t xml:space="preserve">... researchers </w:t>
      </w:r>
      <w:proofErr w:type="spellStart"/>
      <w:r w:rsidRPr="002F6CBB">
        <w:rPr>
          <w:lang w:val="en-CA"/>
        </w:rPr>
        <w:t>Armony</w:t>
      </w:r>
      <w:proofErr w:type="spellEnd"/>
      <w:r w:rsidRPr="002F6CBB">
        <w:rPr>
          <w:lang w:val="en-CA"/>
        </w:rPr>
        <w:t xml:space="preserve"> </w:t>
      </w:r>
      <w:r w:rsidRPr="002F6CBB">
        <w:rPr>
          <w:i/>
          <w:lang w:val="en-CA"/>
        </w:rPr>
        <w:t>et al</w:t>
      </w:r>
      <w:r w:rsidRPr="002F6CBB">
        <w:rPr>
          <w:lang w:val="en-CA"/>
        </w:rPr>
        <w:t>.</w:t>
      </w:r>
      <w:r w:rsidR="00BC67BE" w:rsidRPr="002F6CBB">
        <w:rPr>
          <w:lang w:val="en-CA"/>
        </w:rPr>
        <w:t xml:space="preserve"> </w:t>
      </w:r>
      <w:r w:rsidRPr="002F6CBB">
        <w:rPr>
          <w:lang w:val="en-CA"/>
        </w:rPr>
        <w:t xml:space="preserve">(2019) </w:t>
      </w:r>
      <w:r w:rsidR="008C1963">
        <w:rPr>
          <w:lang w:val="en-CA"/>
        </w:rPr>
        <w:t>foun</w:t>
      </w:r>
      <w:r w:rsidRPr="002F6CBB">
        <w:rPr>
          <w:lang w:val="en-CA"/>
        </w:rPr>
        <w:t xml:space="preserve">d that </w:t>
      </w:r>
      <w:r w:rsidR="00C14519">
        <w:rPr>
          <w:lang w:val="en-CA"/>
        </w:rPr>
        <w:t>Black</w:t>
      </w:r>
      <w:r w:rsidRPr="002F6CBB">
        <w:rPr>
          <w:lang w:val="en-CA"/>
        </w:rPr>
        <w:t xml:space="preserve"> people in Montreal are </w:t>
      </w:r>
      <w:r w:rsidR="008C1963">
        <w:rPr>
          <w:lang w:val="en-CA"/>
        </w:rPr>
        <w:t xml:space="preserve">stopped </w:t>
      </w:r>
      <w:r w:rsidRPr="002F6CBB">
        <w:rPr>
          <w:lang w:val="en-CA"/>
        </w:rPr>
        <w:t xml:space="preserve">more often for information </w:t>
      </w:r>
      <w:r w:rsidR="008C1963">
        <w:rPr>
          <w:lang w:val="en-CA"/>
        </w:rPr>
        <w:t xml:space="preserve">rather </w:t>
      </w:r>
      <w:r w:rsidRPr="002F6CBB">
        <w:rPr>
          <w:lang w:val="en-CA"/>
        </w:rPr>
        <w:t xml:space="preserve">than on evidence of an offence. </w:t>
      </w:r>
      <w:r w:rsidR="00BC67BE" w:rsidRPr="002F6CBB">
        <w:rPr>
          <w:lang w:val="en-CA"/>
        </w:rPr>
        <w:t>(</w:t>
      </w:r>
      <w:r w:rsidR="00686E6C">
        <w:rPr>
          <w:lang w:val="en-CA"/>
        </w:rPr>
        <w:t>at</w:t>
      </w:r>
      <w:r w:rsidR="00BC67BE" w:rsidRPr="002F6CBB">
        <w:rPr>
          <w:lang w:val="en-CA"/>
        </w:rPr>
        <w:t xml:space="preserve"> 25)</w:t>
      </w:r>
    </w:p>
    <w:p w14:paraId="698EBCEE" w14:textId="73F56C16" w:rsidR="00810CE6" w:rsidRPr="002F6CBB" w:rsidRDefault="00071370" w:rsidP="00054BD0">
      <w:pPr>
        <w:pStyle w:val="Citationenretrait"/>
        <w:rPr>
          <w:lang w:val="en-CA"/>
        </w:rPr>
      </w:pPr>
      <w:r w:rsidRPr="002F6CBB">
        <w:rPr>
          <w:lang w:val="en-CA"/>
        </w:rPr>
        <w:t xml:space="preserve">... studies on racial profiling in the greater Montreal area show that racialized people are </w:t>
      </w:r>
      <w:r w:rsidR="0014200E">
        <w:rPr>
          <w:lang w:val="en-CA"/>
        </w:rPr>
        <w:t>intercepted</w:t>
      </w:r>
      <w:r w:rsidR="0014200E" w:rsidRPr="002F6CBB">
        <w:rPr>
          <w:lang w:val="en-CA"/>
        </w:rPr>
        <w:t xml:space="preserve"> </w:t>
      </w:r>
      <w:r w:rsidRPr="002F6CBB">
        <w:rPr>
          <w:lang w:val="en-CA"/>
        </w:rPr>
        <w:t xml:space="preserve">more </w:t>
      </w:r>
      <w:r w:rsidR="00766EF3">
        <w:rPr>
          <w:lang w:val="en-CA"/>
        </w:rPr>
        <w:t>frequently</w:t>
      </w:r>
      <w:r w:rsidRPr="002F6CBB">
        <w:rPr>
          <w:lang w:val="en-CA"/>
        </w:rPr>
        <w:t xml:space="preserve"> because the</w:t>
      </w:r>
      <w:r w:rsidR="00766EF3">
        <w:rPr>
          <w:lang w:val="en-CA"/>
        </w:rPr>
        <w:t>y</w:t>
      </w:r>
      <w:r w:rsidRPr="002F6CBB">
        <w:rPr>
          <w:lang w:val="en-CA"/>
        </w:rPr>
        <w:t xml:space="preserve"> are </w:t>
      </w:r>
      <w:r w:rsidR="00766EF3">
        <w:rPr>
          <w:lang w:val="en-CA"/>
        </w:rPr>
        <w:t xml:space="preserve">more often </w:t>
      </w:r>
      <w:r w:rsidRPr="002F6CBB">
        <w:rPr>
          <w:lang w:val="en-CA"/>
        </w:rPr>
        <w:t xml:space="preserve">motivated by unfounded or weak grounds compared to </w:t>
      </w:r>
      <w:r w:rsidR="009E1432">
        <w:rPr>
          <w:lang w:val="en-CA"/>
        </w:rPr>
        <w:t>the interceptions</w:t>
      </w:r>
      <w:r w:rsidR="009E1432" w:rsidRPr="002F6CBB">
        <w:rPr>
          <w:lang w:val="en-CA"/>
        </w:rPr>
        <w:t xml:space="preserve"> </w:t>
      </w:r>
      <w:r w:rsidRPr="002F6CBB">
        <w:rPr>
          <w:lang w:val="en-CA"/>
        </w:rPr>
        <w:t>of White people.</w:t>
      </w:r>
      <w:r w:rsidR="00BC67BE" w:rsidRPr="002F6CBB">
        <w:rPr>
          <w:lang w:val="en-CA"/>
        </w:rPr>
        <w:t xml:space="preserve"> </w:t>
      </w:r>
      <w:r w:rsidRPr="002F6CBB">
        <w:rPr>
          <w:b/>
          <w:bCs/>
          <w:lang w:val="en-CA"/>
        </w:rPr>
        <w:t xml:space="preserve">The stereotype of innate criminality associated with </w:t>
      </w:r>
      <w:r w:rsidR="00C14519">
        <w:rPr>
          <w:b/>
          <w:bCs/>
          <w:lang w:val="en-CA"/>
        </w:rPr>
        <w:t>Black</w:t>
      </w:r>
      <w:r w:rsidRPr="002F6CBB">
        <w:rPr>
          <w:b/>
          <w:bCs/>
          <w:lang w:val="en-CA"/>
        </w:rPr>
        <w:t xml:space="preserve"> men incites the police to monitor them more closely, to </w:t>
      </w:r>
      <w:r w:rsidR="009E1432">
        <w:rPr>
          <w:b/>
          <w:bCs/>
          <w:lang w:val="en-CA"/>
        </w:rPr>
        <w:t>intercept</w:t>
      </w:r>
      <w:r w:rsidRPr="002F6CBB">
        <w:rPr>
          <w:b/>
          <w:bCs/>
          <w:lang w:val="en-CA"/>
        </w:rPr>
        <w:t xml:space="preserve"> them more often</w:t>
      </w:r>
      <w:r w:rsidRPr="002F6CBB">
        <w:rPr>
          <w:bCs/>
          <w:lang w:val="en-CA"/>
        </w:rPr>
        <w:t>, and to treat them differently and more harshly.</w:t>
      </w:r>
      <w:r w:rsidR="00BC67BE" w:rsidRPr="002F6CBB">
        <w:rPr>
          <w:lang w:val="en-CA"/>
        </w:rPr>
        <w:t xml:space="preserve"> (</w:t>
      </w:r>
      <w:r w:rsidR="00686E6C">
        <w:rPr>
          <w:lang w:val="en-CA"/>
        </w:rPr>
        <w:t>at</w:t>
      </w:r>
      <w:r w:rsidR="00BC67BE" w:rsidRPr="002F6CBB">
        <w:rPr>
          <w:lang w:val="en-CA"/>
        </w:rPr>
        <w:t xml:space="preserve"> 25)</w:t>
      </w:r>
    </w:p>
    <w:p w14:paraId="23F2F072" w14:textId="638D6EBA" w:rsidR="00810CE6" w:rsidRPr="002F6CBB" w:rsidRDefault="00071370" w:rsidP="00054BD0">
      <w:pPr>
        <w:pStyle w:val="Citationenretrait"/>
        <w:rPr>
          <w:lang w:val="en-CA"/>
        </w:rPr>
      </w:pPr>
      <w:r w:rsidRPr="002F6CBB">
        <w:rPr>
          <w:lang w:val="en-CA"/>
        </w:rPr>
        <w:t xml:space="preserve">A study by Epp </w:t>
      </w:r>
      <w:r w:rsidRPr="002F6CBB">
        <w:rPr>
          <w:i/>
          <w:lang w:val="en-CA"/>
        </w:rPr>
        <w:t>et al</w:t>
      </w:r>
      <w:r w:rsidRPr="002F6CBB">
        <w:rPr>
          <w:lang w:val="en-CA"/>
        </w:rPr>
        <w:t>.</w:t>
      </w:r>
      <w:r w:rsidR="00BC67BE" w:rsidRPr="002F6CBB">
        <w:rPr>
          <w:lang w:val="en-CA"/>
        </w:rPr>
        <w:t xml:space="preserve"> </w:t>
      </w:r>
      <w:r w:rsidRPr="002F6CBB">
        <w:rPr>
          <w:lang w:val="en-CA"/>
        </w:rPr>
        <w:t xml:space="preserve">(2014) found that </w:t>
      </w:r>
      <w:r w:rsidRPr="002F6CBB">
        <w:rPr>
          <w:b/>
          <w:lang w:val="en-CA"/>
        </w:rPr>
        <w:t>profiling happens more often during investigative stops, where the driver has not committed an actual offence.</w:t>
      </w:r>
      <w:r w:rsidR="00BC67BE" w:rsidRPr="002F6CBB">
        <w:rPr>
          <w:lang w:val="en-CA"/>
        </w:rPr>
        <w:t xml:space="preserve"> </w:t>
      </w:r>
      <w:r w:rsidRPr="002F6CBB">
        <w:rPr>
          <w:lang w:val="en-CA"/>
        </w:rPr>
        <w:t>The authors explain th</w:t>
      </w:r>
      <w:r w:rsidR="00766EF3">
        <w:rPr>
          <w:lang w:val="en-CA"/>
        </w:rPr>
        <w:t>at</w:t>
      </w:r>
      <w:r w:rsidRPr="002F6CBB">
        <w:rPr>
          <w:lang w:val="en-CA"/>
        </w:rPr>
        <w:t xml:space="preserve"> investigative stops ... are </w:t>
      </w:r>
      <w:r w:rsidRPr="002F6CBB">
        <w:rPr>
          <w:b/>
          <w:lang w:val="en-CA"/>
        </w:rPr>
        <w:t>motivated almost exclusively by the drivers’ characteristics (e</w:t>
      </w:r>
      <w:r w:rsidR="00553950">
        <w:rPr>
          <w:b/>
          <w:lang w:val="en-CA"/>
        </w:rPr>
        <w:t>.</w:t>
      </w:r>
      <w:r w:rsidRPr="002F6CBB">
        <w:rPr>
          <w:b/>
          <w:lang w:val="en-CA"/>
        </w:rPr>
        <w:t>g., race, gender, age).</w:t>
      </w:r>
      <w:r w:rsidR="00BC67BE" w:rsidRPr="002F6CBB">
        <w:rPr>
          <w:lang w:val="en-CA"/>
        </w:rPr>
        <w:t xml:space="preserve"> </w:t>
      </w:r>
      <w:r w:rsidRPr="002F6CBB">
        <w:rPr>
          <w:lang w:val="en-CA"/>
        </w:rPr>
        <w:t xml:space="preserve">Because of stereotypes associated with criminality, young </w:t>
      </w:r>
      <w:r w:rsidR="00C14519">
        <w:rPr>
          <w:lang w:val="en-CA"/>
        </w:rPr>
        <w:t>Black</w:t>
      </w:r>
      <w:r w:rsidRPr="002F6CBB">
        <w:rPr>
          <w:lang w:val="en-CA"/>
        </w:rPr>
        <w:t xml:space="preserve"> men are </w:t>
      </w:r>
      <w:r w:rsidR="00766EF3">
        <w:rPr>
          <w:lang w:val="en-CA"/>
        </w:rPr>
        <w:t xml:space="preserve">more often </w:t>
      </w:r>
      <w:r w:rsidR="006268CD">
        <w:rPr>
          <w:lang w:val="en-CA"/>
        </w:rPr>
        <w:t xml:space="preserve">targeted </w:t>
      </w:r>
      <w:r w:rsidR="00766EF3">
        <w:rPr>
          <w:lang w:val="en-CA"/>
        </w:rPr>
        <w:t xml:space="preserve">for this type of </w:t>
      </w:r>
      <w:r w:rsidRPr="002F6CBB">
        <w:rPr>
          <w:lang w:val="en-CA"/>
        </w:rPr>
        <w:t xml:space="preserve">baseless </w:t>
      </w:r>
      <w:r w:rsidR="00553950">
        <w:rPr>
          <w:lang w:val="en-CA"/>
        </w:rPr>
        <w:t>stop</w:t>
      </w:r>
      <w:r w:rsidRPr="002F6CBB">
        <w:rPr>
          <w:lang w:val="en-CA"/>
        </w:rPr>
        <w:t>.</w:t>
      </w:r>
      <w:r w:rsidR="00BC67BE" w:rsidRPr="002F6CBB">
        <w:rPr>
          <w:lang w:val="en-CA"/>
        </w:rPr>
        <w:t xml:space="preserve"> </w:t>
      </w:r>
      <w:r w:rsidRPr="002F6CBB">
        <w:rPr>
          <w:lang w:val="en-CA"/>
        </w:rPr>
        <w:t xml:space="preserve">… Epp </w:t>
      </w:r>
      <w:r w:rsidRPr="002F6CBB">
        <w:rPr>
          <w:i/>
          <w:lang w:val="en-CA"/>
        </w:rPr>
        <w:t>et al</w:t>
      </w:r>
      <w:r w:rsidRPr="002F6CBB">
        <w:rPr>
          <w:lang w:val="en-CA"/>
        </w:rPr>
        <w:t>.</w:t>
      </w:r>
      <w:r w:rsidR="00BC67BE" w:rsidRPr="002F6CBB">
        <w:rPr>
          <w:lang w:val="en-CA"/>
        </w:rPr>
        <w:t xml:space="preserve"> </w:t>
      </w:r>
      <w:r w:rsidRPr="002F6CBB">
        <w:rPr>
          <w:lang w:val="en-CA"/>
        </w:rPr>
        <w:t xml:space="preserve">(2017) describe police checks for </w:t>
      </w:r>
      <w:r w:rsidRPr="002F6CBB">
        <w:rPr>
          <w:b/>
          <w:lang w:val="en-CA"/>
        </w:rPr>
        <w:t>verification purposes as an “institutionalized practice” at the root of racial disparities in police stops.</w:t>
      </w:r>
      <w:r w:rsidR="00BC67BE" w:rsidRPr="002F6CBB">
        <w:rPr>
          <w:lang w:val="en-CA"/>
        </w:rPr>
        <w:t xml:space="preserve"> (</w:t>
      </w:r>
      <w:r w:rsidR="00686E6C">
        <w:rPr>
          <w:lang w:val="en-CA"/>
        </w:rPr>
        <w:t>at</w:t>
      </w:r>
      <w:r w:rsidR="00BC67BE" w:rsidRPr="002F6CBB">
        <w:rPr>
          <w:lang w:val="en-CA"/>
        </w:rPr>
        <w:t xml:space="preserve"> 27)</w:t>
      </w:r>
    </w:p>
    <w:p w14:paraId="39FF142A" w14:textId="477659D3" w:rsidR="00810CE6" w:rsidRPr="002F6CBB" w:rsidRDefault="00766EF3" w:rsidP="00054BD0">
      <w:pPr>
        <w:pStyle w:val="Citationenretrait"/>
        <w:rPr>
          <w:lang w:val="en-CA"/>
        </w:rPr>
      </w:pPr>
      <w:r>
        <w:rPr>
          <w:lang w:val="en-CA"/>
        </w:rPr>
        <w:t>While</w:t>
      </w:r>
      <w:r w:rsidR="00071370" w:rsidRPr="002F6CBB">
        <w:rPr>
          <w:lang w:val="en-CA"/>
        </w:rPr>
        <w:t xml:space="preserve"> racial profiling is not simply denied, it is </w:t>
      </w:r>
      <w:r>
        <w:rPr>
          <w:lang w:val="en-CA"/>
        </w:rPr>
        <w:t xml:space="preserve">trivialized </w:t>
      </w:r>
      <w:r w:rsidR="00071370" w:rsidRPr="002F6CBB">
        <w:rPr>
          <w:lang w:val="en-CA"/>
        </w:rPr>
        <w:t>or described as anecdotal.</w:t>
      </w:r>
      <w:r w:rsidR="00BC67BE" w:rsidRPr="002F6CBB">
        <w:rPr>
          <w:lang w:val="en-CA"/>
        </w:rPr>
        <w:t xml:space="preserve"> </w:t>
      </w:r>
      <w:r w:rsidR="00071370" w:rsidRPr="002F6CBB">
        <w:rPr>
          <w:lang w:val="en-CA"/>
        </w:rPr>
        <w:t xml:space="preserve">... When asked if discrimination against </w:t>
      </w:r>
      <w:r w:rsidRPr="002F6CBB">
        <w:rPr>
          <w:lang w:val="en-CA"/>
        </w:rPr>
        <w:t>visible</w:t>
      </w:r>
      <w:r w:rsidR="00071370" w:rsidRPr="002F6CBB">
        <w:rPr>
          <w:lang w:val="en-CA"/>
        </w:rPr>
        <w:t xml:space="preserve"> minorities is a problem in Quebec, they (the police) have a </w:t>
      </w:r>
      <w:r w:rsidR="00124B55">
        <w:rPr>
          <w:lang w:val="en-CA"/>
        </w:rPr>
        <w:t xml:space="preserve">wide </w:t>
      </w:r>
      <w:r w:rsidR="00071370" w:rsidRPr="002F6CBB">
        <w:rPr>
          <w:lang w:val="en-CA"/>
        </w:rPr>
        <w:t xml:space="preserve">variety of answers and most of them tend to deny or at least </w:t>
      </w:r>
      <w:r>
        <w:rPr>
          <w:lang w:val="en-CA"/>
        </w:rPr>
        <w:t>trivial</w:t>
      </w:r>
      <w:r w:rsidR="00071370" w:rsidRPr="002F6CBB">
        <w:rPr>
          <w:lang w:val="en-CA"/>
        </w:rPr>
        <w:t>ize the problem of racism and discrimination.</w:t>
      </w:r>
      <w:r w:rsidR="00BC67BE" w:rsidRPr="002F6CBB">
        <w:rPr>
          <w:lang w:val="en-CA"/>
        </w:rPr>
        <w:t xml:space="preserve"> (</w:t>
      </w:r>
      <w:r w:rsidR="00686E6C">
        <w:rPr>
          <w:lang w:val="en-CA"/>
        </w:rPr>
        <w:t>at</w:t>
      </w:r>
      <w:r w:rsidR="00BC67BE" w:rsidRPr="002F6CBB">
        <w:rPr>
          <w:lang w:val="en-CA"/>
        </w:rPr>
        <w:t xml:space="preserve"> 35</w:t>
      </w:r>
      <w:r w:rsidR="00686E6C">
        <w:rPr>
          <w:lang w:val="en-CA"/>
        </w:rPr>
        <w:t>–</w:t>
      </w:r>
      <w:r w:rsidR="00BC67BE" w:rsidRPr="002F6CBB">
        <w:rPr>
          <w:lang w:val="en-CA"/>
        </w:rPr>
        <w:t>36)</w:t>
      </w:r>
    </w:p>
    <w:p w14:paraId="09B5656E" w14:textId="0B95D8C2" w:rsidR="00690598" w:rsidRPr="00124B55" w:rsidRDefault="00071370" w:rsidP="00690598">
      <w:pPr>
        <w:pStyle w:val="Citationenretrait"/>
        <w:jc w:val="right"/>
        <w:rPr>
          <w:lang w:val="en-CA"/>
        </w:rPr>
      </w:pPr>
      <w:r w:rsidRPr="00124B55">
        <w:rPr>
          <w:lang w:val="en-CA"/>
        </w:rPr>
        <w:t>[Emphasis added.]</w:t>
      </w:r>
    </w:p>
    <w:p w14:paraId="0F00DC18" w14:textId="2C51A4D2" w:rsidR="00810CE6" w:rsidRPr="002F6CBB" w:rsidRDefault="00071370" w:rsidP="00581DCE">
      <w:pPr>
        <w:pStyle w:val="Paragraphe"/>
        <w:tabs>
          <w:tab w:val="clear" w:pos="567"/>
          <w:tab w:val="num" w:pos="709"/>
        </w:tabs>
        <w:rPr>
          <w:lang w:val="en-CA"/>
        </w:rPr>
      </w:pPr>
      <w:r w:rsidRPr="002F6CBB">
        <w:rPr>
          <w:lang w:val="en-CA"/>
        </w:rPr>
        <w:t>It is important to re</w:t>
      </w:r>
      <w:r w:rsidR="00124B55">
        <w:rPr>
          <w:lang w:val="en-CA"/>
        </w:rPr>
        <w:t>call</w:t>
      </w:r>
      <w:r w:rsidRPr="002F6CBB">
        <w:rPr>
          <w:lang w:val="en-CA"/>
        </w:rPr>
        <w:t xml:space="preserve"> that an expert report </w:t>
      </w:r>
      <w:r w:rsidR="00686E6C">
        <w:rPr>
          <w:lang w:val="en-CA"/>
        </w:rPr>
        <w:t xml:space="preserve">alone </w:t>
      </w:r>
      <w:r w:rsidRPr="002F6CBB">
        <w:rPr>
          <w:lang w:val="en-CA"/>
        </w:rPr>
        <w:t>is not sufficient to support a finding of differential treatment based on race or colour in a given situation.</w:t>
      </w:r>
      <w:r w:rsidR="00690598" w:rsidRPr="002F6CBB">
        <w:rPr>
          <w:lang w:val="en-CA"/>
        </w:rPr>
        <w:t xml:space="preserve"> </w:t>
      </w:r>
      <w:r w:rsidR="00124B55">
        <w:rPr>
          <w:lang w:val="en-CA"/>
        </w:rPr>
        <w:t xml:space="preserve">This </w:t>
      </w:r>
      <w:r w:rsidRPr="002F6CBB">
        <w:rPr>
          <w:lang w:val="en-CA"/>
        </w:rPr>
        <w:t>report, however, is extrinsic evidence that helps to situate police action in its social context “to enlighten the court”</w:t>
      </w:r>
      <w:r w:rsidRPr="002F6CBB">
        <w:rPr>
          <w:rStyle w:val="Appelnotedebasdep"/>
          <w:lang w:val="en-CA"/>
        </w:rPr>
        <w:footnoteReference w:id="69"/>
      </w:r>
      <w:r w:rsidRPr="002F6CBB">
        <w:rPr>
          <w:lang w:val="en-CA"/>
        </w:rPr>
        <w:t xml:space="preserve"> and to confirm the </w:t>
      </w:r>
      <w:r w:rsidR="001E588D">
        <w:rPr>
          <w:lang w:val="en-CA"/>
        </w:rPr>
        <w:t>plausibility</w:t>
      </w:r>
      <w:r w:rsidRPr="002F6CBB">
        <w:rPr>
          <w:lang w:val="en-CA"/>
        </w:rPr>
        <w:t xml:space="preserve"> and probab</w:t>
      </w:r>
      <w:r w:rsidR="00124B55">
        <w:rPr>
          <w:lang w:val="en-CA"/>
        </w:rPr>
        <w:t>ility</w:t>
      </w:r>
      <w:r w:rsidRPr="002F6CBB">
        <w:rPr>
          <w:lang w:val="en-CA"/>
        </w:rPr>
        <w:t xml:space="preserve"> of the circumstantial evidence presented by the CDPDJ.</w:t>
      </w:r>
    </w:p>
    <w:p w14:paraId="2F0841DD" w14:textId="61BE088E" w:rsidR="00391FD3" w:rsidRPr="002F6CBB" w:rsidRDefault="003F1267" w:rsidP="00391FD3">
      <w:pPr>
        <w:pStyle w:val="Paragraphe"/>
        <w:numPr>
          <w:ilvl w:val="0"/>
          <w:numId w:val="0"/>
        </w:numPr>
        <w:rPr>
          <w:lang w:val="en-CA"/>
        </w:rPr>
      </w:pPr>
      <w:r w:rsidRPr="002F6CBB">
        <w:rPr>
          <w:lang w:val="en-CA"/>
        </w:rPr>
        <w:t xml:space="preserve">[124] In this case, the following evidence </w:t>
      </w:r>
      <w:r w:rsidR="001E588D">
        <w:rPr>
          <w:lang w:val="en-CA"/>
        </w:rPr>
        <w:t>is consistent with</w:t>
      </w:r>
      <w:r w:rsidRPr="002F6CBB">
        <w:rPr>
          <w:lang w:val="en-CA"/>
        </w:rPr>
        <w:t xml:space="preserve"> the </w:t>
      </w:r>
      <w:r w:rsidR="001E588D" w:rsidRPr="00525535">
        <w:rPr>
          <w:lang w:val="en-CA"/>
        </w:rPr>
        <w:t xml:space="preserve">long-standing </w:t>
      </w:r>
      <w:r w:rsidRPr="00525535">
        <w:rPr>
          <w:lang w:val="en-CA"/>
        </w:rPr>
        <w:t>systemic</w:t>
      </w:r>
      <w:r w:rsidRPr="002F6CBB">
        <w:rPr>
          <w:lang w:val="en-CA"/>
        </w:rPr>
        <w:t xml:space="preserve"> tendenc</w:t>
      </w:r>
      <w:r w:rsidR="001E588D">
        <w:rPr>
          <w:lang w:val="en-CA"/>
        </w:rPr>
        <w:t>ies</w:t>
      </w:r>
      <w:r w:rsidRPr="002F6CBB">
        <w:rPr>
          <w:lang w:val="en-CA"/>
        </w:rPr>
        <w:t xml:space="preserve"> observed by the experts in police practice and lead the Tribunal to conclude that Officers </w:t>
      </w:r>
      <w:proofErr w:type="spellStart"/>
      <w:r w:rsidRPr="002F6CBB">
        <w:rPr>
          <w:lang w:val="en-CA"/>
        </w:rPr>
        <w:t>Beaulac</w:t>
      </w:r>
      <w:proofErr w:type="spellEnd"/>
      <w:r w:rsidRPr="002F6CBB">
        <w:rPr>
          <w:lang w:val="en-CA"/>
        </w:rPr>
        <w:t xml:space="preserve"> and Lamothe racial</w:t>
      </w:r>
      <w:r w:rsidR="001E588D">
        <w:rPr>
          <w:lang w:val="en-CA"/>
        </w:rPr>
        <w:t>ly</w:t>
      </w:r>
      <w:r w:rsidRPr="002F6CBB">
        <w:rPr>
          <w:lang w:val="en-CA"/>
        </w:rPr>
        <w:t xml:space="preserve"> profil</w:t>
      </w:r>
      <w:r w:rsidR="001E588D">
        <w:rPr>
          <w:lang w:val="en-CA"/>
        </w:rPr>
        <w:t>ed</w:t>
      </w:r>
      <w:r w:rsidRPr="002F6CBB">
        <w:rPr>
          <w:lang w:val="en-CA"/>
        </w:rPr>
        <w:t xml:space="preserve"> the complainant:</w:t>
      </w:r>
    </w:p>
    <w:p w14:paraId="6AD37727" w14:textId="025B10B0" w:rsidR="00391FD3" w:rsidRPr="002F6CBB" w:rsidRDefault="003F1267" w:rsidP="00C506D0">
      <w:pPr>
        <w:numPr>
          <w:ilvl w:val="0"/>
          <w:numId w:val="10"/>
        </w:numPr>
        <w:tabs>
          <w:tab w:val="left" w:pos="851"/>
        </w:tabs>
        <w:spacing w:before="120"/>
        <w:ind w:left="851" w:hanging="284"/>
        <w:jc w:val="both"/>
        <w:rPr>
          <w:lang w:val="en-CA"/>
        </w:rPr>
      </w:pPr>
      <w:r w:rsidRPr="002F6CBB">
        <w:rPr>
          <w:lang w:val="en-CA"/>
        </w:rPr>
        <w:t xml:space="preserve">their </w:t>
      </w:r>
      <w:r w:rsidR="00F65F0E">
        <w:rPr>
          <w:lang w:val="en-CA"/>
        </w:rPr>
        <w:t>implausible</w:t>
      </w:r>
      <w:r w:rsidRPr="002F6CBB">
        <w:rPr>
          <w:lang w:val="en-CA"/>
        </w:rPr>
        <w:t xml:space="preserve"> explanations, including the statement that they did not notice the complainant’s rac</w:t>
      </w:r>
      <w:r w:rsidR="00971CC8">
        <w:rPr>
          <w:lang w:val="en-CA"/>
        </w:rPr>
        <w:t>ial background</w:t>
      </w:r>
      <w:r w:rsidRPr="002F6CBB">
        <w:rPr>
          <w:lang w:val="en-CA"/>
        </w:rPr>
        <w:t xml:space="preserve"> even though they were less than three metres from him;</w:t>
      </w:r>
    </w:p>
    <w:p w14:paraId="4D8EF207" w14:textId="097BBAB1" w:rsidR="00391FD3" w:rsidRPr="002F6CBB" w:rsidRDefault="003F1267" w:rsidP="00C506D0">
      <w:pPr>
        <w:numPr>
          <w:ilvl w:val="0"/>
          <w:numId w:val="10"/>
        </w:numPr>
        <w:tabs>
          <w:tab w:val="left" w:pos="851"/>
        </w:tabs>
        <w:spacing w:before="120"/>
        <w:ind w:left="851" w:hanging="284"/>
        <w:jc w:val="both"/>
        <w:rPr>
          <w:lang w:val="en-CA"/>
        </w:rPr>
      </w:pPr>
      <w:r w:rsidRPr="002F6CBB">
        <w:rPr>
          <w:lang w:val="en-CA"/>
        </w:rPr>
        <w:lastRenderedPageBreak/>
        <w:t xml:space="preserve">the admission that they frequently relied on discriminatory grounds such as sex </w:t>
      </w:r>
      <w:r w:rsidR="00C1083D">
        <w:rPr>
          <w:lang w:val="en-CA"/>
        </w:rPr>
        <w:t>and</w:t>
      </w:r>
      <w:r w:rsidR="00C1083D" w:rsidRPr="002F6CBB">
        <w:rPr>
          <w:lang w:val="en-CA"/>
        </w:rPr>
        <w:t xml:space="preserve"> </w:t>
      </w:r>
      <w:r w:rsidRPr="002F6CBB">
        <w:rPr>
          <w:lang w:val="en-CA"/>
        </w:rPr>
        <w:t xml:space="preserve">age to </w:t>
      </w:r>
      <w:r w:rsidR="009E1432">
        <w:rPr>
          <w:lang w:val="en-CA"/>
        </w:rPr>
        <w:t>intercept</w:t>
      </w:r>
      <w:r w:rsidRPr="002F6CBB">
        <w:rPr>
          <w:lang w:val="en-CA"/>
        </w:rPr>
        <w:t xml:space="preserve"> drivers for checks;</w:t>
      </w:r>
    </w:p>
    <w:p w14:paraId="7FE7CEE1" w14:textId="5BA45707" w:rsidR="00391FD3" w:rsidRPr="002F6CBB" w:rsidRDefault="003F1267" w:rsidP="00C506D0">
      <w:pPr>
        <w:numPr>
          <w:ilvl w:val="0"/>
          <w:numId w:val="10"/>
        </w:numPr>
        <w:tabs>
          <w:tab w:val="left" w:pos="851"/>
        </w:tabs>
        <w:spacing w:before="120"/>
        <w:ind w:left="851" w:hanging="284"/>
        <w:jc w:val="both"/>
        <w:rPr>
          <w:lang w:val="en-CA"/>
        </w:rPr>
      </w:pPr>
      <w:r w:rsidRPr="002F6CBB">
        <w:rPr>
          <w:lang w:val="en-CA"/>
        </w:rPr>
        <w:t xml:space="preserve">the fact that they enforce the law proactively, which results in </w:t>
      </w:r>
      <w:r w:rsidR="009E1432">
        <w:rPr>
          <w:lang w:val="en-CA"/>
        </w:rPr>
        <w:t>interceptions</w:t>
      </w:r>
      <w:r w:rsidRPr="002F6CBB">
        <w:rPr>
          <w:lang w:val="en-CA"/>
        </w:rPr>
        <w:t xml:space="preserve"> based not on reasonable and probable grounds of </w:t>
      </w:r>
      <w:r w:rsidR="00E45C03">
        <w:rPr>
          <w:lang w:val="en-CA"/>
        </w:rPr>
        <w:t>unlawful</w:t>
      </w:r>
      <w:r w:rsidRPr="002F6CBB">
        <w:rPr>
          <w:lang w:val="en-CA"/>
        </w:rPr>
        <w:t xml:space="preserve"> </w:t>
      </w:r>
      <w:r w:rsidR="00E45C03">
        <w:rPr>
          <w:lang w:val="en-CA"/>
        </w:rPr>
        <w:t>conduct</w:t>
      </w:r>
      <w:r w:rsidRPr="002F6CBB">
        <w:rPr>
          <w:lang w:val="en-CA"/>
        </w:rPr>
        <w:t xml:space="preserve">, but on mere suspicions </w:t>
      </w:r>
      <w:r w:rsidR="00F65F0E">
        <w:rPr>
          <w:lang w:val="en-CA"/>
        </w:rPr>
        <w:t>induced</w:t>
      </w:r>
      <w:r w:rsidRPr="002F6CBB">
        <w:rPr>
          <w:lang w:val="en-CA"/>
        </w:rPr>
        <w:t xml:space="preserve"> by their prejudices connected to the drivers’ personal characteristics;</w:t>
      </w:r>
    </w:p>
    <w:p w14:paraId="7AF893DB" w14:textId="3E4D58F3" w:rsidR="00391FD3" w:rsidRPr="002F6CBB" w:rsidRDefault="003F1267" w:rsidP="00C506D0">
      <w:pPr>
        <w:numPr>
          <w:ilvl w:val="0"/>
          <w:numId w:val="10"/>
        </w:numPr>
        <w:tabs>
          <w:tab w:val="left" w:pos="851"/>
        </w:tabs>
        <w:spacing w:before="120"/>
        <w:ind w:left="851" w:hanging="284"/>
        <w:jc w:val="both"/>
        <w:rPr>
          <w:lang w:val="en-CA"/>
        </w:rPr>
      </w:pPr>
      <w:r w:rsidRPr="002F6CBB">
        <w:rPr>
          <w:lang w:val="en-CA"/>
        </w:rPr>
        <w:t xml:space="preserve">use of an excessive means such as a call for backup during a simple identity check solely because the complainant expressed his frustration at being unfairly </w:t>
      </w:r>
      <w:r w:rsidR="00F65F0E">
        <w:rPr>
          <w:lang w:val="en-CA"/>
        </w:rPr>
        <w:t>and discriminatorily stopp</w:t>
      </w:r>
      <w:r w:rsidRPr="002F6CBB">
        <w:rPr>
          <w:lang w:val="en-CA"/>
        </w:rPr>
        <w:t>ed;</w:t>
      </w:r>
      <w:r w:rsidR="00E45C03">
        <w:rPr>
          <w:lang w:val="en-CA"/>
        </w:rPr>
        <w:t xml:space="preserve"> and</w:t>
      </w:r>
    </w:p>
    <w:p w14:paraId="2D4D3E28" w14:textId="55EB1B87" w:rsidR="00391FD3" w:rsidRPr="002F6CBB" w:rsidRDefault="003F1267" w:rsidP="00C506D0">
      <w:pPr>
        <w:numPr>
          <w:ilvl w:val="0"/>
          <w:numId w:val="10"/>
        </w:numPr>
        <w:tabs>
          <w:tab w:val="left" w:pos="851"/>
        </w:tabs>
        <w:spacing w:before="120"/>
        <w:ind w:left="851" w:hanging="284"/>
        <w:jc w:val="both"/>
        <w:rPr>
          <w:lang w:val="en-CA"/>
        </w:rPr>
      </w:pPr>
      <w:r w:rsidRPr="002F6CBB">
        <w:rPr>
          <w:lang w:val="en-CA"/>
        </w:rPr>
        <w:t>the fact that they issued Mr. Woodley two statements of offence for minor offences that had nothing to do with highway safety or the reason he was</w:t>
      </w:r>
      <w:r w:rsidR="009E1432">
        <w:rPr>
          <w:lang w:val="en-CA"/>
        </w:rPr>
        <w:t xml:space="preserve"> intercepted</w:t>
      </w:r>
      <w:r w:rsidRPr="002F6CBB">
        <w:rPr>
          <w:lang w:val="en-CA"/>
        </w:rPr>
        <w:t>.</w:t>
      </w:r>
    </w:p>
    <w:p w14:paraId="07565947" w14:textId="7F9A2396" w:rsidR="00810CE6" w:rsidRPr="002F6CBB" w:rsidRDefault="003F1267" w:rsidP="00581DCE">
      <w:pPr>
        <w:pStyle w:val="Paragraphe"/>
        <w:tabs>
          <w:tab w:val="clear" w:pos="567"/>
          <w:tab w:val="num" w:pos="709"/>
        </w:tabs>
        <w:rPr>
          <w:i/>
          <w:iCs/>
          <w:lang w:val="en-CA"/>
        </w:rPr>
      </w:pPr>
      <w:r w:rsidRPr="002F6CBB">
        <w:rPr>
          <w:lang w:val="en-CA"/>
        </w:rPr>
        <w:t xml:space="preserve">The Tribunal is </w:t>
      </w:r>
      <w:r w:rsidR="00F65F0E">
        <w:rPr>
          <w:lang w:val="en-CA"/>
        </w:rPr>
        <w:t xml:space="preserve">also </w:t>
      </w:r>
      <w:r w:rsidR="00984377" w:rsidRPr="002F6CBB">
        <w:rPr>
          <w:lang w:val="en-CA"/>
        </w:rPr>
        <w:t>surpris</w:t>
      </w:r>
      <w:r w:rsidRPr="002F6CBB">
        <w:rPr>
          <w:lang w:val="en-CA"/>
        </w:rPr>
        <w:t xml:space="preserve">ed that the </w:t>
      </w:r>
      <w:r w:rsidR="00686E6C">
        <w:rPr>
          <w:lang w:val="en-CA"/>
        </w:rPr>
        <w:t>Ville</w:t>
      </w:r>
      <w:r w:rsidRPr="002F6CBB">
        <w:rPr>
          <w:lang w:val="en-CA"/>
        </w:rPr>
        <w:t xml:space="preserve"> </w:t>
      </w:r>
      <w:r w:rsidR="00F65F0E">
        <w:rPr>
          <w:lang w:val="en-CA"/>
        </w:rPr>
        <w:t>had</w:t>
      </w:r>
      <w:r w:rsidRPr="002F6CBB">
        <w:rPr>
          <w:lang w:val="en-CA"/>
        </w:rPr>
        <w:t xml:space="preserve"> </w:t>
      </w:r>
      <w:r w:rsidR="00984377" w:rsidRPr="002F6CBB">
        <w:rPr>
          <w:lang w:val="en-CA"/>
        </w:rPr>
        <w:t xml:space="preserve">a </w:t>
      </w:r>
      <w:r w:rsidRPr="002F6CBB">
        <w:rPr>
          <w:lang w:val="en-CA"/>
        </w:rPr>
        <w:t xml:space="preserve">sociologist testify at length </w:t>
      </w:r>
      <w:r w:rsidR="00D352D4">
        <w:rPr>
          <w:lang w:val="en-CA"/>
        </w:rPr>
        <w:t>when her expertise was not in racial profiling as such, but in</w:t>
      </w:r>
      <w:r w:rsidRPr="002F6CBB">
        <w:rPr>
          <w:lang w:val="en-CA"/>
        </w:rPr>
        <w:t xml:space="preserve"> </w:t>
      </w:r>
      <w:r w:rsidR="00BF5810" w:rsidRPr="002F6CBB">
        <w:rPr>
          <w:lang w:val="en-CA"/>
        </w:rPr>
        <w:t>street gangs</w:t>
      </w:r>
      <w:r w:rsidRPr="002F6CBB">
        <w:rPr>
          <w:lang w:val="en-CA"/>
        </w:rPr>
        <w:t>.</w:t>
      </w:r>
      <w:r w:rsidR="00BC67BE" w:rsidRPr="002F6CBB">
        <w:rPr>
          <w:lang w:val="en-CA"/>
        </w:rPr>
        <w:t xml:space="preserve"> </w:t>
      </w:r>
      <w:r w:rsidR="00984377" w:rsidRPr="002F6CBB">
        <w:rPr>
          <w:lang w:val="en-CA"/>
        </w:rPr>
        <w:t xml:space="preserve">The relationship she tried to </w:t>
      </w:r>
      <w:r w:rsidR="00BF5810">
        <w:rPr>
          <w:lang w:val="en-CA"/>
        </w:rPr>
        <w:t>establish</w:t>
      </w:r>
      <w:r w:rsidR="00984377" w:rsidRPr="002F6CBB">
        <w:rPr>
          <w:lang w:val="en-CA"/>
        </w:rPr>
        <w:t xml:space="preserve"> between </w:t>
      </w:r>
      <w:r w:rsidR="00C14519">
        <w:rPr>
          <w:lang w:val="en-CA"/>
        </w:rPr>
        <w:t>Black</w:t>
      </w:r>
      <w:r w:rsidR="00984377" w:rsidRPr="002F6CBB">
        <w:rPr>
          <w:lang w:val="en-CA"/>
        </w:rPr>
        <w:t xml:space="preserve"> people and street gangs, far from justifying discriminatory </w:t>
      </w:r>
      <w:r w:rsidR="009E1432">
        <w:rPr>
          <w:lang w:val="en-CA"/>
        </w:rPr>
        <w:t xml:space="preserve">interceptions </w:t>
      </w:r>
      <w:r w:rsidR="00BF5810">
        <w:rPr>
          <w:lang w:val="en-CA"/>
        </w:rPr>
        <w:t xml:space="preserve">by </w:t>
      </w:r>
      <w:r w:rsidR="00BF5810" w:rsidRPr="002F6CBB">
        <w:rPr>
          <w:lang w:val="en-CA"/>
        </w:rPr>
        <w:t>SPL officers</w:t>
      </w:r>
      <w:r w:rsidR="00984377" w:rsidRPr="002F6CBB">
        <w:rPr>
          <w:lang w:val="en-CA"/>
        </w:rPr>
        <w:t>, instead supported the prejudices and stereotypes prevail</w:t>
      </w:r>
      <w:r w:rsidR="00BF5810">
        <w:rPr>
          <w:lang w:val="en-CA"/>
        </w:rPr>
        <w:t>ing</w:t>
      </w:r>
      <w:r w:rsidR="00984377" w:rsidRPr="002F6CBB">
        <w:rPr>
          <w:lang w:val="en-CA"/>
        </w:rPr>
        <w:t xml:space="preserve"> </w:t>
      </w:r>
      <w:r w:rsidR="00BF5810">
        <w:rPr>
          <w:lang w:val="en-CA"/>
        </w:rPr>
        <w:t xml:space="preserve">in </w:t>
      </w:r>
      <w:r w:rsidR="00984377" w:rsidRPr="002F6CBB">
        <w:rPr>
          <w:lang w:val="en-CA"/>
        </w:rPr>
        <w:t xml:space="preserve">the public and the police </w:t>
      </w:r>
      <w:r w:rsidR="00BF5810">
        <w:rPr>
          <w:lang w:val="en-CA"/>
        </w:rPr>
        <w:t xml:space="preserve">that </w:t>
      </w:r>
      <w:r w:rsidR="00984377" w:rsidRPr="002F6CBB">
        <w:rPr>
          <w:lang w:val="en-CA"/>
        </w:rPr>
        <w:t xml:space="preserve">young </w:t>
      </w:r>
      <w:r w:rsidR="00C14519">
        <w:rPr>
          <w:lang w:val="en-CA"/>
        </w:rPr>
        <w:t>Black</w:t>
      </w:r>
      <w:r w:rsidR="00984377" w:rsidRPr="002F6CBB">
        <w:rPr>
          <w:lang w:val="en-CA"/>
        </w:rPr>
        <w:t xml:space="preserve"> men are more involved in street gangs than any other group because of their </w:t>
      </w:r>
      <w:r w:rsidR="00BF5810">
        <w:rPr>
          <w:lang w:val="en-CA"/>
        </w:rPr>
        <w:t xml:space="preserve">so-called </w:t>
      </w:r>
      <w:r w:rsidR="00984377" w:rsidRPr="002F6CBB">
        <w:rPr>
          <w:lang w:val="en-CA"/>
        </w:rPr>
        <w:t>innate propensity for crime.</w:t>
      </w:r>
      <w:r w:rsidR="00BC67BE" w:rsidRPr="002F6CBB">
        <w:rPr>
          <w:lang w:val="en-CA"/>
        </w:rPr>
        <w:t xml:space="preserve"> </w:t>
      </w:r>
      <w:r w:rsidR="00984377" w:rsidRPr="002F6CBB">
        <w:rPr>
          <w:lang w:val="en-CA"/>
        </w:rPr>
        <w:t xml:space="preserve">As </w:t>
      </w:r>
      <w:proofErr w:type="spellStart"/>
      <w:r w:rsidR="00984377" w:rsidRPr="002F6CBB">
        <w:rPr>
          <w:lang w:val="en-CA"/>
        </w:rPr>
        <w:t>Meudeu</w:t>
      </w:r>
      <w:proofErr w:type="spellEnd"/>
      <w:r w:rsidR="00984377" w:rsidRPr="002F6CBB">
        <w:rPr>
          <w:lang w:val="en-CA"/>
        </w:rPr>
        <w:t xml:space="preserve">-Livingstone-Alix’s report indicates, no scientific research to date has conclusively </w:t>
      </w:r>
      <w:r w:rsidR="00BF5810">
        <w:rPr>
          <w:lang w:val="en-CA"/>
        </w:rPr>
        <w:t>established</w:t>
      </w:r>
      <w:r w:rsidR="00984377" w:rsidRPr="002F6CBB">
        <w:rPr>
          <w:lang w:val="en-CA"/>
        </w:rPr>
        <w:t xml:space="preserve"> that </w:t>
      </w:r>
      <w:r w:rsidR="00BF5810">
        <w:rPr>
          <w:lang w:val="en-CA"/>
        </w:rPr>
        <w:t xml:space="preserve">there are more </w:t>
      </w:r>
      <w:r w:rsidR="00984377" w:rsidRPr="002F6CBB">
        <w:rPr>
          <w:lang w:val="en-CA"/>
        </w:rPr>
        <w:t>racialized people in street gangs in the greater Montreal area than other groups.</w:t>
      </w:r>
    </w:p>
    <w:p w14:paraId="16ABBCFB" w14:textId="7FC14FB2" w:rsidR="00810CE6" w:rsidRPr="002F6CBB" w:rsidRDefault="00984377" w:rsidP="009A0CF0">
      <w:pPr>
        <w:pStyle w:val="Paragraphe"/>
        <w:tabs>
          <w:tab w:val="clear" w:pos="567"/>
          <w:tab w:val="num" w:pos="709"/>
        </w:tabs>
        <w:rPr>
          <w:i/>
          <w:iCs/>
          <w:lang w:val="en-CA"/>
        </w:rPr>
      </w:pPr>
      <w:r w:rsidRPr="002F6CBB">
        <w:rPr>
          <w:lang w:val="en-CA"/>
        </w:rPr>
        <w:t xml:space="preserve">In conclusion, the social context marked by racial profiling within </w:t>
      </w:r>
      <w:r w:rsidR="00BF5810">
        <w:rPr>
          <w:lang w:val="en-CA"/>
        </w:rPr>
        <w:t xml:space="preserve">the </w:t>
      </w:r>
      <w:r w:rsidRPr="002F6CBB">
        <w:rPr>
          <w:lang w:val="en-CA"/>
        </w:rPr>
        <w:t xml:space="preserve">police in general and the SPL in particular supports the Tribunal’s conclusions, </w:t>
      </w:r>
      <w:r w:rsidR="00BF5810">
        <w:rPr>
          <w:lang w:val="en-CA"/>
        </w:rPr>
        <w:t xml:space="preserve">established </w:t>
      </w:r>
      <w:r w:rsidRPr="002F6CBB">
        <w:rPr>
          <w:lang w:val="en-CA"/>
        </w:rPr>
        <w:t xml:space="preserve">on the balance of probabilities, that </w:t>
      </w:r>
      <w:r w:rsidR="0073565A">
        <w:rPr>
          <w:lang w:val="en-CA"/>
        </w:rPr>
        <w:t xml:space="preserve">the complainant’s </w:t>
      </w:r>
      <w:r w:rsidRPr="002F6CBB">
        <w:rPr>
          <w:lang w:val="en-CA"/>
        </w:rPr>
        <w:t>rac</w:t>
      </w:r>
      <w:r w:rsidR="00BF5810">
        <w:rPr>
          <w:lang w:val="en-CA"/>
        </w:rPr>
        <w:t>ial background</w:t>
      </w:r>
      <w:r w:rsidRPr="002F6CBB">
        <w:rPr>
          <w:lang w:val="en-CA"/>
        </w:rPr>
        <w:t xml:space="preserve"> and skin colour, combined with </w:t>
      </w:r>
      <w:r w:rsidR="0073565A">
        <w:rPr>
          <w:lang w:val="en-CA"/>
        </w:rPr>
        <w:t>his</w:t>
      </w:r>
      <w:r w:rsidRPr="002F6CBB">
        <w:rPr>
          <w:lang w:val="en-CA"/>
        </w:rPr>
        <w:t xml:space="preserve"> sex, were a factor, if not the </w:t>
      </w:r>
      <w:r w:rsidR="00BF5810">
        <w:rPr>
          <w:lang w:val="en-CA"/>
        </w:rPr>
        <w:t>primary</w:t>
      </w:r>
      <w:r w:rsidRPr="002F6CBB">
        <w:rPr>
          <w:lang w:val="en-CA"/>
        </w:rPr>
        <w:t xml:space="preserve"> factor, that led Officers </w:t>
      </w:r>
      <w:proofErr w:type="spellStart"/>
      <w:r w:rsidRPr="002F6CBB">
        <w:rPr>
          <w:lang w:val="en-CA"/>
        </w:rPr>
        <w:t>Beaulac</w:t>
      </w:r>
      <w:proofErr w:type="spellEnd"/>
      <w:r w:rsidRPr="002F6CBB">
        <w:rPr>
          <w:lang w:val="en-CA"/>
        </w:rPr>
        <w:t xml:space="preserve"> and Lamothe to </w:t>
      </w:r>
      <w:r w:rsidR="009E1432">
        <w:rPr>
          <w:lang w:val="en-CA"/>
        </w:rPr>
        <w:t>intercept</w:t>
      </w:r>
      <w:r w:rsidRPr="002F6CBB">
        <w:rPr>
          <w:lang w:val="en-CA"/>
        </w:rPr>
        <w:t xml:space="preserve"> </w:t>
      </w:r>
      <w:r w:rsidR="00BF5810">
        <w:rPr>
          <w:lang w:val="en-CA"/>
        </w:rPr>
        <w:t xml:space="preserve">him </w:t>
      </w:r>
      <w:r w:rsidRPr="002F6CBB">
        <w:rPr>
          <w:lang w:val="en-CA"/>
        </w:rPr>
        <w:t>and treat him differently on September 19, 2018.</w:t>
      </w:r>
    </w:p>
    <w:p w14:paraId="557DA7E6" w14:textId="1474F35F" w:rsidR="00810CE6" w:rsidRPr="002F6CBB" w:rsidRDefault="00984377" w:rsidP="00472A9A">
      <w:pPr>
        <w:pStyle w:val="Titre3"/>
        <w:rPr>
          <w:lang w:val="en-CA"/>
        </w:rPr>
      </w:pPr>
      <w:bookmarkStart w:id="36" w:name="_Toc183702212"/>
      <w:r w:rsidRPr="002F6CBB">
        <w:rPr>
          <w:lang w:val="en-CA"/>
        </w:rPr>
        <w:t>Prejudicial differential treatment in the exercise of a guaranteed right</w:t>
      </w:r>
      <w:bookmarkEnd w:id="36"/>
    </w:p>
    <w:p w14:paraId="509EFDAB" w14:textId="3B501130" w:rsidR="00810CE6" w:rsidRPr="002F6CBB" w:rsidRDefault="00984377" w:rsidP="000C7F70">
      <w:pPr>
        <w:pStyle w:val="Paragraphe"/>
        <w:tabs>
          <w:tab w:val="clear" w:pos="567"/>
          <w:tab w:val="num" w:pos="709"/>
        </w:tabs>
        <w:rPr>
          <w:lang w:val="en-CA"/>
        </w:rPr>
      </w:pPr>
      <w:r w:rsidRPr="001136AD">
        <w:rPr>
          <w:lang w:val="en-CA"/>
        </w:rPr>
        <w:t>To find</w:t>
      </w:r>
      <w:r w:rsidRPr="002F6CBB">
        <w:rPr>
          <w:lang w:val="en-CA"/>
        </w:rPr>
        <w:t xml:space="preserve"> that there was discriminatory racial profiling, </w:t>
      </w:r>
      <w:r w:rsidR="00B8623D">
        <w:rPr>
          <w:lang w:val="en-CA"/>
        </w:rPr>
        <w:t xml:space="preserve">the CDPDJ must also show that the differential treatment suffered by a person was not only based on </w:t>
      </w:r>
      <w:r w:rsidR="00B8623D">
        <w:rPr>
          <w:lang w:val="en-CA"/>
        </w:rPr>
        <w:br/>
      </w:r>
      <w:r w:rsidRPr="002F6CBB">
        <w:rPr>
          <w:lang w:val="en-CA"/>
        </w:rPr>
        <w:t xml:space="preserve">their ethnic or racial characteristics, </w:t>
      </w:r>
      <w:r w:rsidR="00B8623D">
        <w:rPr>
          <w:lang w:val="en-CA"/>
        </w:rPr>
        <w:t xml:space="preserve">but also had the effect of causing them </w:t>
      </w:r>
      <w:r w:rsidRPr="002F6CBB">
        <w:rPr>
          <w:lang w:val="en-CA"/>
        </w:rPr>
        <w:t xml:space="preserve">prejudice in the recognition or exercise of a </w:t>
      </w:r>
      <w:r w:rsidRPr="002F6CBB">
        <w:rPr>
          <w:i/>
          <w:lang w:val="en-CA"/>
        </w:rPr>
        <w:t>Charter</w:t>
      </w:r>
      <w:r w:rsidRPr="002F6CBB">
        <w:rPr>
          <w:lang w:val="en-CA"/>
        </w:rPr>
        <w:t xml:space="preserve"> right or freedom.</w:t>
      </w:r>
    </w:p>
    <w:p w14:paraId="7E765E29" w14:textId="65EB779B" w:rsidR="00810CE6" w:rsidRPr="002F6CBB" w:rsidRDefault="00984377" w:rsidP="000C7F70">
      <w:pPr>
        <w:pStyle w:val="Paragraphe"/>
        <w:tabs>
          <w:tab w:val="clear" w:pos="567"/>
          <w:tab w:val="num" w:pos="709"/>
        </w:tabs>
        <w:rPr>
          <w:lang w:val="en-CA"/>
        </w:rPr>
      </w:pPr>
      <w:r w:rsidRPr="002F6CBB">
        <w:rPr>
          <w:lang w:val="en-CA"/>
        </w:rPr>
        <w:t xml:space="preserve">This prejudice may arise from </w:t>
      </w:r>
      <w:r w:rsidR="0073565A">
        <w:rPr>
          <w:lang w:val="en-CA"/>
        </w:rPr>
        <w:t xml:space="preserve">the </w:t>
      </w:r>
      <w:r w:rsidRPr="002F6CBB">
        <w:rPr>
          <w:lang w:val="en-CA"/>
        </w:rPr>
        <w:t xml:space="preserve">denial, i.e., the </w:t>
      </w:r>
      <w:r w:rsidR="0073565A">
        <w:rPr>
          <w:lang w:val="en-CA"/>
        </w:rPr>
        <w:t>non-</w:t>
      </w:r>
      <w:r w:rsidRPr="002F6CBB">
        <w:rPr>
          <w:lang w:val="en-CA"/>
        </w:rPr>
        <w:t>recogni</w:t>
      </w:r>
      <w:r w:rsidR="0073565A">
        <w:rPr>
          <w:lang w:val="en-CA"/>
        </w:rPr>
        <w:t>tion of</w:t>
      </w:r>
      <w:r w:rsidRPr="002F6CBB">
        <w:rPr>
          <w:lang w:val="en-CA"/>
        </w:rPr>
        <w:t xml:space="preserve"> another </w:t>
      </w:r>
      <w:r w:rsidRPr="002F6CBB">
        <w:rPr>
          <w:i/>
          <w:lang w:val="en-CA"/>
        </w:rPr>
        <w:t>Charter</w:t>
      </w:r>
      <w:r w:rsidRPr="002F6CBB">
        <w:rPr>
          <w:lang w:val="en-CA"/>
        </w:rPr>
        <w:t xml:space="preserve"> right.</w:t>
      </w:r>
      <w:r w:rsidR="00BC67BE" w:rsidRPr="002F6CBB">
        <w:rPr>
          <w:lang w:val="en-CA"/>
        </w:rPr>
        <w:t xml:space="preserve"> </w:t>
      </w:r>
      <w:r w:rsidRPr="002F6CBB">
        <w:rPr>
          <w:lang w:val="en-CA"/>
        </w:rPr>
        <w:t xml:space="preserve">It may also take the form of an unfavourable condition </w:t>
      </w:r>
      <w:r w:rsidR="001136AD">
        <w:rPr>
          <w:lang w:val="en-CA"/>
        </w:rPr>
        <w:t>of</w:t>
      </w:r>
      <w:r w:rsidRPr="002F6CBB">
        <w:rPr>
          <w:lang w:val="en-CA"/>
        </w:rPr>
        <w:t xml:space="preserve"> exercise </w:t>
      </w:r>
      <w:r w:rsidR="001136AD">
        <w:rPr>
          <w:lang w:val="en-CA"/>
        </w:rPr>
        <w:t xml:space="preserve">of </w:t>
      </w:r>
      <w:r w:rsidRPr="002F6CBB">
        <w:rPr>
          <w:lang w:val="en-CA"/>
        </w:rPr>
        <w:t xml:space="preserve">another </w:t>
      </w:r>
      <w:r w:rsidRPr="002F6CBB">
        <w:rPr>
          <w:i/>
          <w:lang w:val="en-CA"/>
        </w:rPr>
        <w:t>Charter</w:t>
      </w:r>
      <w:r w:rsidRPr="002F6CBB">
        <w:rPr>
          <w:lang w:val="en-CA"/>
        </w:rPr>
        <w:t xml:space="preserve"> right, without that other right having been denied or violated as such. </w:t>
      </w:r>
    </w:p>
    <w:p w14:paraId="1E075151" w14:textId="7A451C1B" w:rsidR="00810CE6" w:rsidRPr="002F6CBB" w:rsidRDefault="00984377" w:rsidP="000C7F70">
      <w:pPr>
        <w:pStyle w:val="Paragraphe"/>
        <w:tabs>
          <w:tab w:val="clear" w:pos="567"/>
          <w:tab w:val="num" w:pos="709"/>
        </w:tabs>
        <w:rPr>
          <w:lang w:val="en-CA"/>
        </w:rPr>
      </w:pPr>
      <w:r w:rsidRPr="002F6CBB">
        <w:rPr>
          <w:lang w:val="en-CA"/>
        </w:rPr>
        <w:lastRenderedPageBreak/>
        <w:t xml:space="preserve">In this case, the CDPDJ argues that Officers </w:t>
      </w:r>
      <w:proofErr w:type="spellStart"/>
      <w:r w:rsidRPr="002F6CBB">
        <w:rPr>
          <w:lang w:val="en-CA"/>
        </w:rPr>
        <w:t>Beaulac</w:t>
      </w:r>
      <w:proofErr w:type="spellEnd"/>
      <w:r w:rsidRPr="002F6CBB">
        <w:rPr>
          <w:lang w:val="en-CA"/>
        </w:rPr>
        <w:t xml:space="preserve"> and Lamothe </w:t>
      </w:r>
      <w:r w:rsidR="00B5615D">
        <w:rPr>
          <w:lang w:val="en-CA"/>
        </w:rPr>
        <w:t xml:space="preserve">impaired </w:t>
      </w:r>
      <w:r w:rsidRPr="002F6CBB">
        <w:rPr>
          <w:lang w:val="en-CA"/>
        </w:rPr>
        <w:t xml:space="preserve">the complainant’s right to the equal exercise or recognition </w:t>
      </w:r>
      <w:r w:rsidR="007B0328" w:rsidRPr="002F6CBB">
        <w:rPr>
          <w:lang w:val="en-CA"/>
        </w:rPr>
        <w:t xml:space="preserve">guaranteed by section 10 of the </w:t>
      </w:r>
      <w:r w:rsidR="007B0328" w:rsidRPr="002F6CBB">
        <w:rPr>
          <w:i/>
          <w:lang w:val="en-CA"/>
        </w:rPr>
        <w:t>Charter</w:t>
      </w:r>
      <w:r w:rsidR="007B0328" w:rsidRPr="002F6CBB">
        <w:rPr>
          <w:lang w:val="en-CA"/>
        </w:rPr>
        <w:t xml:space="preserve"> </w:t>
      </w:r>
      <w:r w:rsidRPr="002F6CBB">
        <w:rPr>
          <w:lang w:val="en-CA"/>
        </w:rPr>
        <w:t>of the following rights and freedoms: the right to the safeguard of his dignity (s</w:t>
      </w:r>
      <w:r w:rsidR="007B0328">
        <w:rPr>
          <w:lang w:val="en-CA"/>
        </w:rPr>
        <w:t>ection</w:t>
      </w:r>
      <w:r w:rsidR="00BC67BE" w:rsidRPr="002F6CBB">
        <w:rPr>
          <w:lang w:val="en-CA"/>
        </w:rPr>
        <w:t xml:space="preserve"> </w:t>
      </w:r>
      <w:r w:rsidRPr="002F6CBB">
        <w:rPr>
          <w:lang w:val="en-CA"/>
        </w:rPr>
        <w:t>4), the right to receive police services without discrimination (s</w:t>
      </w:r>
      <w:r w:rsidR="007B0328">
        <w:rPr>
          <w:lang w:val="en-CA"/>
        </w:rPr>
        <w:t>ection</w:t>
      </w:r>
      <w:r w:rsidRPr="002F6CBB">
        <w:rPr>
          <w:lang w:val="en-CA"/>
        </w:rPr>
        <w:t xml:space="preserve"> 12), the right not to be deprived of his liberty or of his rights (s</w:t>
      </w:r>
      <w:r w:rsidR="007B0328">
        <w:rPr>
          <w:lang w:val="en-CA"/>
        </w:rPr>
        <w:t>ection</w:t>
      </w:r>
      <w:r w:rsidR="00BC67BE" w:rsidRPr="002F6CBB">
        <w:rPr>
          <w:lang w:val="en-CA"/>
        </w:rPr>
        <w:t xml:space="preserve"> </w:t>
      </w:r>
      <w:r w:rsidRPr="002F6CBB">
        <w:rPr>
          <w:lang w:val="en-CA"/>
        </w:rPr>
        <w:t>24), and the right not be subjected to unreasonable searches (s</w:t>
      </w:r>
      <w:r w:rsidR="007B0328">
        <w:rPr>
          <w:lang w:val="en-CA"/>
        </w:rPr>
        <w:t>ection</w:t>
      </w:r>
      <w:r w:rsidR="00BC67BE" w:rsidRPr="002F6CBB">
        <w:rPr>
          <w:lang w:val="en-CA"/>
        </w:rPr>
        <w:t xml:space="preserve"> </w:t>
      </w:r>
      <w:r w:rsidRPr="002F6CBB">
        <w:rPr>
          <w:lang w:val="en-CA"/>
        </w:rPr>
        <w:t>24.1).</w:t>
      </w:r>
    </w:p>
    <w:p w14:paraId="19C7652C" w14:textId="3A899879" w:rsidR="00810CE6" w:rsidRPr="002F6CBB" w:rsidRDefault="00B5615D" w:rsidP="00F13BD4">
      <w:pPr>
        <w:pStyle w:val="Titre4"/>
        <w:numPr>
          <w:ilvl w:val="0"/>
          <w:numId w:val="9"/>
        </w:numPr>
        <w:ind w:left="851" w:hanging="284"/>
        <w:rPr>
          <w:lang w:val="en-CA"/>
        </w:rPr>
      </w:pPr>
      <w:bookmarkStart w:id="37" w:name="_Toc183702213"/>
      <w:r>
        <w:rPr>
          <w:lang w:val="en-CA"/>
        </w:rPr>
        <w:t>Violation of</w:t>
      </w:r>
      <w:r w:rsidR="00984377" w:rsidRPr="002F6CBB">
        <w:rPr>
          <w:lang w:val="en-CA"/>
        </w:rPr>
        <w:t xml:space="preserve"> equality and the right to the safeguard of his dignity</w:t>
      </w:r>
      <w:bookmarkEnd w:id="37"/>
    </w:p>
    <w:p w14:paraId="11810D2C" w14:textId="322AE3AA" w:rsidR="00510EC3" w:rsidRPr="002F6CBB" w:rsidRDefault="00984377" w:rsidP="00510EC3">
      <w:pPr>
        <w:pStyle w:val="Paragraphe"/>
        <w:tabs>
          <w:tab w:val="clear" w:pos="567"/>
          <w:tab w:val="num" w:pos="709"/>
        </w:tabs>
        <w:rPr>
          <w:lang w:val="en-CA"/>
        </w:rPr>
      </w:pPr>
      <w:r w:rsidRPr="002F6CBB">
        <w:rPr>
          <w:lang w:val="en-CA"/>
        </w:rPr>
        <w:t>The Tribunal has ruled on several occasions</w:t>
      </w:r>
      <w:r w:rsidRPr="002F6CBB">
        <w:rPr>
          <w:vertAlign w:val="superscript"/>
          <w:lang w:val="en-CA"/>
        </w:rPr>
        <w:footnoteReference w:id="70"/>
      </w:r>
      <w:r w:rsidRPr="002F6CBB">
        <w:rPr>
          <w:lang w:val="en-CA"/>
        </w:rPr>
        <w:t xml:space="preserve"> that </w:t>
      </w:r>
      <w:r w:rsidR="009E1432">
        <w:rPr>
          <w:lang w:val="en-CA"/>
        </w:rPr>
        <w:t>intercepting</w:t>
      </w:r>
      <w:r w:rsidR="009E1432" w:rsidRPr="002F6CBB">
        <w:rPr>
          <w:lang w:val="en-CA"/>
        </w:rPr>
        <w:t xml:space="preserve"> </w:t>
      </w:r>
      <w:r w:rsidRPr="002F6CBB">
        <w:rPr>
          <w:lang w:val="en-CA"/>
        </w:rPr>
        <w:t>a citizen driving a car bas</w:t>
      </w:r>
      <w:r w:rsidR="00B5615D">
        <w:rPr>
          <w:lang w:val="en-CA"/>
        </w:rPr>
        <w:t>ed</w:t>
      </w:r>
      <w:r w:rsidRPr="002F6CBB">
        <w:rPr>
          <w:lang w:val="en-CA"/>
        </w:rPr>
        <w:t xml:space="preserve"> </w:t>
      </w:r>
      <w:r w:rsidR="00B5615D">
        <w:rPr>
          <w:lang w:val="en-CA"/>
        </w:rPr>
        <w:t xml:space="preserve">on </w:t>
      </w:r>
      <w:r w:rsidRPr="002F6CBB">
        <w:rPr>
          <w:lang w:val="en-CA"/>
        </w:rPr>
        <w:t>rac</w:t>
      </w:r>
      <w:r w:rsidR="00B5615D">
        <w:rPr>
          <w:lang w:val="en-CA"/>
        </w:rPr>
        <w:t>ial background</w:t>
      </w:r>
      <w:r w:rsidRPr="002F6CBB">
        <w:rPr>
          <w:lang w:val="en-CA"/>
        </w:rPr>
        <w:t xml:space="preserve"> is inconsistent with the respect owed to all humans and the equal consideration they deserve</w:t>
      </w:r>
      <w:r w:rsidR="004E429B">
        <w:rPr>
          <w:lang w:val="en-CA"/>
        </w:rPr>
        <w:t xml:space="preserve"> –</w:t>
      </w:r>
      <w:r w:rsidRPr="002F6CBB">
        <w:rPr>
          <w:lang w:val="en-CA"/>
        </w:rPr>
        <w:t xml:space="preserve"> </w:t>
      </w:r>
      <w:r w:rsidR="00B5615D">
        <w:rPr>
          <w:lang w:val="en-CA"/>
        </w:rPr>
        <w:t xml:space="preserve">values </w:t>
      </w:r>
      <w:r w:rsidR="004E429B">
        <w:rPr>
          <w:lang w:val="en-CA"/>
        </w:rPr>
        <w:t xml:space="preserve">that lie </w:t>
      </w:r>
      <w:r w:rsidRPr="002F6CBB">
        <w:rPr>
          <w:lang w:val="en-CA"/>
        </w:rPr>
        <w:t>at the heart of both the right to equality and the right to the safeguard of one’s dignity.</w:t>
      </w:r>
      <w:r w:rsidRPr="002F6CBB">
        <w:rPr>
          <w:vertAlign w:val="superscript"/>
          <w:lang w:val="en-CA"/>
        </w:rPr>
        <w:t xml:space="preserve"> </w:t>
      </w:r>
    </w:p>
    <w:p w14:paraId="1EE30FB4" w14:textId="406CA57F" w:rsidR="009C1038" w:rsidRPr="002F6CBB" w:rsidRDefault="00984377" w:rsidP="00510EC3">
      <w:pPr>
        <w:pStyle w:val="Paragraphe"/>
        <w:tabs>
          <w:tab w:val="clear" w:pos="567"/>
          <w:tab w:val="num" w:pos="709"/>
        </w:tabs>
        <w:rPr>
          <w:lang w:val="en-CA"/>
        </w:rPr>
      </w:pPr>
      <w:r w:rsidRPr="002F6CBB">
        <w:rPr>
          <w:lang w:val="en-CA"/>
        </w:rPr>
        <w:t xml:space="preserve">In </w:t>
      </w:r>
      <w:r w:rsidRPr="002F6CBB">
        <w:rPr>
          <w:i/>
          <w:lang w:val="en-CA"/>
        </w:rPr>
        <w:t>Ward</w:t>
      </w:r>
      <w:r w:rsidRPr="002F6CBB">
        <w:rPr>
          <w:rStyle w:val="Appelnotedebasdep"/>
          <w:iCs/>
          <w:lang w:val="en-CA"/>
        </w:rPr>
        <w:footnoteReference w:id="71"/>
      </w:r>
      <w:r w:rsidR="008B585A">
        <w:rPr>
          <w:lang w:val="en-CA"/>
        </w:rPr>
        <w:t>,</w:t>
      </w:r>
      <w:r w:rsidRPr="002F6CBB">
        <w:rPr>
          <w:iCs/>
          <w:lang w:val="en-CA"/>
        </w:rPr>
        <w:t xml:space="preserve"> the Supreme Court defined the </w:t>
      </w:r>
      <w:r w:rsidR="000A4C1B">
        <w:rPr>
          <w:iCs/>
          <w:lang w:val="en-CA"/>
        </w:rPr>
        <w:t xml:space="preserve">contours </w:t>
      </w:r>
      <w:r w:rsidRPr="002F6CBB">
        <w:rPr>
          <w:iCs/>
          <w:lang w:val="en-CA"/>
        </w:rPr>
        <w:t>of the right to the safeguard of dignity.</w:t>
      </w:r>
      <w:r w:rsidR="00BC67BE" w:rsidRPr="002F6CBB">
        <w:rPr>
          <w:lang w:val="en-CA"/>
        </w:rPr>
        <w:t xml:space="preserve"> </w:t>
      </w:r>
      <w:r w:rsidRPr="002F6CBB">
        <w:rPr>
          <w:lang w:val="en-CA"/>
        </w:rPr>
        <w:t xml:space="preserve">It described the circumstances and conditions </w:t>
      </w:r>
      <w:r w:rsidR="00880160">
        <w:rPr>
          <w:lang w:val="en-CA"/>
        </w:rPr>
        <w:t>under which</w:t>
      </w:r>
      <w:r w:rsidRPr="002F6CBB">
        <w:rPr>
          <w:lang w:val="en-CA"/>
        </w:rPr>
        <w:t xml:space="preserve"> this right </w:t>
      </w:r>
      <w:r w:rsidR="00880160">
        <w:rPr>
          <w:lang w:val="en-CA"/>
        </w:rPr>
        <w:t>may</w:t>
      </w:r>
      <w:r w:rsidRPr="002F6CBB">
        <w:rPr>
          <w:lang w:val="en-CA"/>
        </w:rPr>
        <w:t xml:space="preserve"> be violated.</w:t>
      </w:r>
    </w:p>
    <w:p w14:paraId="07DE2125" w14:textId="592EE96E" w:rsidR="00510EC3" w:rsidRPr="002F6CBB" w:rsidRDefault="00984377" w:rsidP="00AA10FD">
      <w:pPr>
        <w:pStyle w:val="Paragraphe"/>
        <w:keepNext/>
        <w:tabs>
          <w:tab w:val="clear" w:pos="567"/>
          <w:tab w:val="num" w:pos="709"/>
        </w:tabs>
        <w:rPr>
          <w:lang w:val="en-CA"/>
        </w:rPr>
      </w:pPr>
      <w:r w:rsidRPr="002F6CBB">
        <w:rPr>
          <w:lang w:val="en-CA"/>
        </w:rPr>
        <w:t>In a recent judgment</w:t>
      </w:r>
      <w:r w:rsidRPr="002F6CBB">
        <w:rPr>
          <w:rStyle w:val="Appelnotedebasdep"/>
          <w:lang w:val="en-CA"/>
        </w:rPr>
        <w:footnoteReference w:id="72"/>
      </w:r>
      <w:r w:rsidR="008B585A">
        <w:rPr>
          <w:lang w:val="en-CA"/>
        </w:rPr>
        <w:t>,</w:t>
      </w:r>
      <w:r w:rsidRPr="002F6CBB">
        <w:rPr>
          <w:lang w:val="en-CA"/>
        </w:rPr>
        <w:t xml:space="preserve"> the Court of Appeal of Quebec recalled these conditions:</w:t>
      </w:r>
    </w:p>
    <w:p w14:paraId="59E1544D" w14:textId="2C6CD5E8" w:rsidR="00686E6C" w:rsidRDefault="00686E6C" w:rsidP="00880160">
      <w:pPr>
        <w:pStyle w:val="Paragraphe"/>
        <w:keepNext/>
        <w:numPr>
          <w:ilvl w:val="0"/>
          <w:numId w:val="0"/>
        </w:numPr>
        <w:ind w:left="709" w:right="278"/>
        <w:rPr>
          <w:sz w:val="22"/>
          <w:szCs w:val="22"/>
          <w:lang w:val="en-CA"/>
        </w:rPr>
      </w:pPr>
      <w:r>
        <w:rPr>
          <w:rFonts w:cs="Arial"/>
          <w:sz w:val="22"/>
          <w:szCs w:val="22"/>
          <w:lang w:val="en-CA"/>
        </w:rPr>
        <w:t>[</w:t>
      </w:r>
      <w:r>
        <w:rPr>
          <w:rFonts w:cs="Arial"/>
          <w:smallCaps/>
          <w:sz w:val="22"/>
          <w:szCs w:val="22"/>
          <w:lang w:val="en-CA"/>
        </w:rPr>
        <w:t>translation</w:t>
      </w:r>
      <w:r>
        <w:rPr>
          <w:rFonts w:cs="Arial"/>
          <w:sz w:val="22"/>
          <w:szCs w:val="22"/>
          <w:lang w:val="en-CA"/>
        </w:rPr>
        <w:t>]</w:t>
      </w:r>
    </w:p>
    <w:p w14:paraId="6FAA371F" w14:textId="30E658E4" w:rsidR="00510EC3" w:rsidRPr="002F6CBB" w:rsidRDefault="00BC67BE" w:rsidP="00880160">
      <w:pPr>
        <w:pStyle w:val="Paragraphe"/>
        <w:keepNext/>
        <w:numPr>
          <w:ilvl w:val="0"/>
          <w:numId w:val="0"/>
        </w:numPr>
        <w:ind w:left="709" w:right="278"/>
        <w:rPr>
          <w:sz w:val="22"/>
          <w:szCs w:val="22"/>
          <w:lang w:val="en-CA"/>
        </w:rPr>
      </w:pPr>
      <w:r w:rsidRPr="002F6CBB">
        <w:rPr>
          <w:sz w:val="22"/>
          <w:szCs w:val="22"/>
          <w:lang w:val="en-CA"/>
        </w:rPr>
        <w:t>[</w:t>
      </w:r>
      <w:bookmarkStart w:id="38" w:name="par127"/>
      <w:r w:rsidRPr="002F6CBB">
        <w:rPr>
          <w:sz w:val="22"/>
          <w:szCs w:val="22"/>
          <w:lang w:val="en-CA"/>
        </w:rPr>
        <w:t>127</w:t>
      </w:r>
      <w:bookmarkEnd w:id="38"/>
      <w:r w:rsidRPr="002F6CBB">
        <w:rPr>
          <w:sz w:val="22"/>
          <w:szCs w:val="22"/>
          <w:lang w:val="en-CA"/>
        </w:rPr>
        <w:t xml:space="preserve">] </w:t>
      </w:r>
      <w:r w:rsidR="00087FFE" w:rsidRPr="002F6CBB">
        <w:rPr>
          <w:rFonts w:cs="Arial"/>
          <w:color w:val="000000"/>
          <w:sz w:val="22"/>
          <w:szCs w:val="22"/>
          <w:lang w:val="en-CA"/>
        </w:rPr>
        <w:t>The Supreme Court discussed the scope of that right in </w:t>
      </w:r>
      <w:r w:rsidR="00087FFE" w:rsidRPr="002F6CBB">
        <w:rPr>
          <w:rFonts w:cs="Arial"/>
          <w:i/>
          <w:iCs/>
          <w:color w:val="000000"/>
          <w:sz w:val="22"/>
          <w:szCs w:val="22"/>
          <w:lang w:val="en-CA"/>
        </w:rPr>
        <w:t>Ward</w:t>
      </w:r>
      <w:r w:rsidR="00087FFE" w:rsidRPr="002F6CBB">
        <w:rPr>
          <w:rFonts w:cs="Arial"/>
          <w:sz w:val="22"/>
          <w:szCs w:val="22"/>
          <w:lang w:val="en-CA"/>
        </w:rPr>
        <w:t>.</w:t>
      </w:r>
      <w:bookmarkStart w:id="39" w:name="_Ref157505212"/>
      <w:bookmarkEnd w:id="39"/>
      <w:r w:rsidR="00087FFE" w:rsidRPr="002F6CBB">
        <w:rPr>
          <w:rFonts w:cs="Arial"/>
          <w:sz w:val="22"/>
          <w:szCs w:val="22"/>
          <w:lang w:val="en-CA"/>
        </w:rPr>
        <w:t> </w:t>
      </w:r>
      <w:r w:rsidR="00087FFE" w:rsidRPr="002F6CBB">
        <w:rPr>
          <w:rFonts w:cs="Arial"/>
          <w:color w:val="000000"/>
          <w:sz w:val="22"/>
          <w:szCs w:val="22"/>
          <w:lang w:val="en-CA"/>
        </w:rPr>
        <w:t>Wagner, C.J. and Côté, J., for the majority, noted that such right to the safeguard of dignity protects the humanity of every person in its most fundamental attributes</w:t>
      </w:r>
      <w:r w:rsidR="00087FFE" w:rsidRPr="002F6CBB">
        <w:rPr>
          <w:rFonts w:cs="Arial"/>
          <w:sz w:val="22"/>
          <w:szCs w:val="22"/>
          <w:lang w:val="en-CA"/>
        </w:rPr>
        <w:t>. </w:t>
      </w:r>
      <w:r w:rsidR="00087FFE" w:rsidRPr="002F6CBB">
        <w:rPr>
          <w:rFonts w:cs="Arial"/>
          <w:color w:val="000000"/>
          <w:sz w:val="22"/>
          <w:szCs w:val="22"/>
          <w:lang w:val="en-CA"/>
        </w:rPr>
        <w:t>It allows a person to claim “protection from the denial of their worth as a human being</w:t>
      </w:r>
      <w:r w:rsidR="00087FFE" w:rsidRPr="002F6CBB">
        <w:rPr>
          <w:rFonts w:cs="Arial"/>
          <w:sz w:val="22"/>
          <w:szCs w:val="22"/>
          <w:lang w:val="en-CA"/>
        </w:rPr>
        <w:t>.” </w:t>
      </w:r>
      <w:r w:rsidR="00087FFE" w:rsidRPr="002F6CBB">
        <w:rPr>
          <w:rFonts w:cs="Arial"/>
          <w:color w:val="000000"/>
          <w:sz w:val="22"/>
          <w:szCs w:val="22"/>
          <w:lang w:val="en-CA"/>
        </w:rPr>
        <w:t>That being so, to be contrary to section 4 of the </w:t>
      </w:r>
      <w:r w:rsidR="00087FFE" w:rsidRPr="002F6CBB">
        <w:rPr>
          <w:rFonts w:cs="Arial"/>
          <w:i/>
          <w:iCs/>
          <w:color w:val="000000"/>
          <w:sz w:val="22"/>
          <w:szCs w:val="22"/>
          <w:lang w:val="en-CA"/>
        </w:rPr>
        <w:t>Quebec Charter</w:t>
      </w:r>
      <w:r w:rsidR="00087FFE" w:rsidRPr="002F6CBB">
        <w:rPr>
          <w:rFonts w:cs="Arial"/>
          <w:color w:val="000000"/>
          <w:sz w:val="22"/>
          <w:szCs w:val="22"/>
          <w:lang w:val="en-CA"/>
        </w:rPr>
        <w:t>, conduct must reach a high level of gravity that does not trivialize the concept of dignity. In finding such conduct, an objective analysis is required. Ultimately, it must be shown that “a person is stripped of their humanity by being subjected to treatment that debases, subjugates, objectifies, humiliates or degrades them, there is no question that their dignity is violated. In this sense, the right to the safeguard of dignity is a shield against this type of interference that does no less than outrage the conscience of society”</w:t>
      </w:r>
      <w:r w:rsidRPr="002F6CBB">
        <w:rPr>
          <w:sz w:val="22"/>
          <w:szCs w:val="22"/>
          <w:lang w:val="en-CA"/>
        </w:rPr>
        <w:t>.</w:t>
      </w:r>
    </w:p>
    <w:p w14:paraId="70118051" w14:textId="48C650AA" w:rsidR="00510EC3" w:rsidRPr="002F6CBB" w:rsidRDefault="00984377" w:rsidP="00510EC3">
      <w:pPr>
        <w:pStyle w:val="Paragraphe"/>
        <w:tabs>
          <w:tab w:val="clear" w:pos="567"/>
          <w:tab w:val="num" w:pos="709"/>
        </w:tabs>
        <w:rPr>
          <w:lang w:val="en-CA"/>
        </w:rPr>
      </w:pPr>
      <w:r w:rsidRPr="002F6CBB">
        <w:rPr>
          <w:lang w:val="en-CA"/>
        </w:rPr>
        <w:t xml:space="preserve">In application of these teachings, the Court of Appeal </w:t>
      </w:r>
      <w:r w:rsidR="00B661FA">
        <w:rPr>
          <w:lang w:val="en-CA"/>
        </w:rPr>
        <w:t>recognized</w:t>
      </w:r>
      <w:r w:rsidR="00B661FA" w:rsidRPr="002F6CBB">
        <w:rPr>
          <w:lang w:val="en-CA"/>
        </w:rPr>
        <w:t xml:space="preserve"> </w:t>
      </w:r>
      <w:r w:rsidRPr="002F6CBB">
        <w:rPr>
          <w:lang w:val="en-CA"/>
        </w:rPr>
        <w:t>that a regulatory provision requir</w:t>
      </w:r>
      <w:r w:rsidR="006F4F73">
        <w:rPr>
          <w:lang w:val="en-CA"/>
        </w:rPr>
        <w:t>ing</w:t>
      </w:r>
      <w:r w:rsidRPr="002F6CBB">
        <w:rPr>
          <w:lang w:val="en-CA"/>
        </w:rPr>
        <w:t xml:space="preserve"> any transgender or non-binary minor to provide a letter from a health </w:t>
      </w:r>
      <w:r w:rsidR="00B661FA">
        <w:rPr>
          <w:lang w:val="en-CA"/>
        </w:rPr>
        <w:lastRenderedPageBreak/>
        <w:t xml:space="preserve">care </w:t>
      </w:r>
      <w:r w:rsidRPr="002F6CBB">
        <w:rPr>
          <w:lang w:val="en-CA"/>
        </w:rPr>
        <w:t xml:space="preserve">professional confirming the appropriateness of their application to change the designation of their sex on their act of birth </w:t>
      </w:r>
      <w:r w:rsidR="005E7DFD">
        <w:rPr>
          <w:lang w:val="en-CA"/>
        </w:rPr>
        <w:t xml:space="preserve">violates </w:t>
      </w:r>
      <w:r w:rsidRPr="002F6CBB">
        <w:rPr>
          <w:lang w:val="en-CA"/>
        </w:rPr>
        <w:t>the safeguard of their dignity.</w:t>
      </w:r>
      <w:r w:rsidRPr="002F6CBB">
        <w:rPr>
          <w:rStyle w:val="Appelnotedebasdep"/>
          <w:lang w:val="en-CA"/>
        </w:rPr>
        <w:footnoteReference w:id="73"/>
      </w:r>
    </w:p>
    <w:p w14:paraId="6A749E88" w14:textId="1671F3E3" w:rsidR="00510EC3" w:rsidRPr="002F6CBB" w:rsidRDefault="00984377" w:rsidP="00510EC3">
      <w:pPr>
        <w:pStyle w:val="Paragraphe"/>
        <w:tabs>
          <w:tab w:val="clear" w:pos="567"/>
          <w:tab w:val="num" w:pos="709"/>
        </w:tabs>
        <w:rPr>
          <w:lang w:val="en-CA"/>
        </w:rPr>
      </w:pPr>
      <w:r w:rsidRPr="002F6CBB">
        <w:rPr>
          <w:lang w:val="en-CA"/>
        </w:rPr>
        <w:t xml:space="preserve">The Court noted in particular that these </w:t>
      </w:r>
      <w:r w:rsidR="00A41356">
        <w:rPr>
          <w:lang w:val="en-CA"/>
        </w:rPr>
        <w:t xml:space="preserve">people experience </w:t>
      </w:r>
      <w:r w:rsidRPr="002F6CBB">
        <w:rPr>
          <w:lang w:val="en-CA"/>
        </w:rPr>
        <w:t>stigmatiz</w:t>
      </w:r>
      <w:r w:rsidR="00A41356">
        <w:rPr>
          <w:lang w:val="en-CA"/>
        </w:rPr>
        <w:t>ation</w:t>
      </w:r>
      <w:r w:rsidRPr="002F6CBB">
        <w:rPr>
          <w:lang w:val="en-CA"/>
        </w:rPr>
        <w:t xml:space="preserve"> and discriminat</w:t>
      </w:r>
      <w:r w:rsidR="00A41356">
        <w:rPr>
          <w:lang w:val="en-CA"/>
        </w:rPr>
        <w:t xml:space="preserve">ion </w:t>
      </w:r>
      <w:r w:rsidRPr="002F6CBB">
        <w:rPr>
          <w:lang w:val="en-CA"/>
        </w:rPr>
        <w:t xml:space="preserve">and that the non-concordance between the designations that appeared in their documents of civil status and their true identity </w:t>
      </w:r>
      <w:r w:rsidR="00A41356">
        <w:rPr>
          <w:lang w:val="en-CA"/>
        </w:rPr>
        <w:t>hinders</w:t>
      </w:r>
      <w:r w:rsidRPr="002F6CBB">
        <w:rPr>
          <w:lang w:val="en-CA"/>
        </w:rPr>
        <w:t xml:space="preserve"> their everyday lives and often le</w:t>
      </w:r>
      <w:r w:rsidR="002A198A">
        <w:rPr>
          <w:lang w:val="en-CA"/>
        </w:rPr>
        <w:t>a</w:t>
      </w:r>
      <w:r w:rsidRPr="002F6CBB">
        <w:rPr>
          <w:lang w:val="en-CA"/>
        </w:rPr>
        <w:t>d</w:t>
      </w:r>
      <w:r w:rsidR="002A198A">
        <w:rPr>
          <w:lang w:val="en-CA"/>
        </w:rPr>
        <w:t>s</w:t>
      </w:r>
      <w:r w:rsidRPr="002F6CBB">
        <w:rPr>
          <w:lang w:val="en-CA"/>
        </w:rPr>
        <w:t xml:space="preserve"> them “to withdraw from many aspects of daily life in order to avoid these hardships”</w:t>
      </w:r>
      <w:r w:rsidRPr="002F6CBB">
        <w:rPr>
          <w:rStyle w:val="Appelnotedebasdep"/>
          <w:lang w:val="en-CA"/>
        </w:rPr>
        <w:footnoteReference w:id="74"/>
      </w:r>
      <w:r w:rsidR="008B585A">
        <w:rPr>
          <w:lang w:val="en-CA"/>
        </w:rPr>
        <w:t>,</w:t>
      </w:r>
      <w:r w:rsidRPr="002F6CBB">
        <w:rPr>
          <w:lang w:val="en-CA"/>
        </w:rPr>
        <w:t xml:space="preserve"> which compromises their right “to participate fully in society”.</w:t>
      </w:r>
      <w:r w:rsidRPr="002F6CBB">
        <w:rPr>
          <w:rStyle w:val="Appelnotedebasdep"/>
          <w:lang w:val="en-CA"/>
        </w:rPr>
        <w:footnoteReference w:id="75"/>
      </w:r>
    </w:p>
    <w:p w14:paraId="16F2B208" w14:textId="53748B8A" w:rsidR="00510EC3" w:rsidRPr="002F6CBB" w:rsidRDefault="00984377" w:rsidP="00510EC3">
      <w:pPr>
        <w:pStyle w:val="Paragraphe"/>
        <w:tabs>
          <w:tab w:val="clear" w:pos="567"/>
          <w:tab w:val="num" w:pos="709"/>
        </w:tabs>
        <w:rPr>
          <w:lang w:val="en-CA"/>
        </w:rPr>
      </w:pPr>
      <w:r w:rsidRPr="002F6CBB">
        <w:rPr>
          <w:lang w:val="en-CA"/>
        </w:rPr>
        <w:t>Rac</w:t>
      </w:r>
      <w:r w:rsidR="00A41356">
        <w:rPr>
          <w:lang w:val="en-CA"/>
        </w:rPr>
        <w:t>ial background</w:t>
      </w:r>
      <w:r w:rsidRPr="002F6CBB">
        <w:rPr>
          <w:lang w:val="en-CA"/>
        </w:rPr>
        <w:t xml:space="preserve"> </w:t>
      </w:r>
      <w:r w:rsidR="000A4C1B">
        <w:rPr>
          <w:lang w:val="en-CA"/>
        </w:rPr>
        <w:t>lie</w:t>
      </w:r>
      <w:r w:rsidRPr="002F6CBB">
        <w:rPr>
          <w:lang w:val="en-CA"/>
        </w:rPr>
        <w:t>s at the heart of a person’s identity.</w:t>
      </w:r>
      <w:r w:rsidR="00BC67BE" w:rsidRPr="002F6CBB">
        <w:rPr>
          <w:lang w:val="en-CA"/>
        </w:rPr>
        <w:t xml:space="preserve"> </w:t>
      </w:r>
      <w:r w:rsidRPr="002F6CBB">
        <w:rPr>
          <w:lang w:val="en-CA"/>
        </w:rPr>
        <w:t xml:space="preserve">When the police use skin colour as a pretext to stop someone, </w:t>
      </w:r>
      <w:r w:rsidR="00A41356">
        <w:rPr>
          <w:lang w:val="en-CA"/>
        </w:rPr>
        <w:t>i</w:t>
      </w:r>
      <w:r w:rsidRPr="002F6CBB">
        <w:rPr>
          <w:lang w:val="en-CA"/>
        </w:rPr>
        <w:t xml:space="preserve">t contributes to their stigmatization and </w:t>
      </w:r>
      <w:r w:rsidR="00A41356">
        <w:rPr>
          <w:lang w:val="en-CA"/>
        </w:rPr>
        <w:t xml:space="preserve">impairs </w:t>
      </w:r>
      <w:r w:rsidRPr="002F6CBB">
        <w:rPr>
          <w:lang w:val="en-CA"/>
        </w:rPr>
        <w:t xml:space="preserve">their ability to </w:t>
      </w:r>
      <w:r w:rsidR="00A41356">
        <w:rPr>
          <w:lang w:val="en-CA"/>
        </w:rPr>
        <w:t xml:space="preserve">move about freely while </w:t>
      </w:r>
      <w:r w:rsidRPr="002F6CBB">
        <w:rPr>
          <w:lang w:val="en-CA"/>
        </w:rPr>
        <w:t>driv</w:t>
      </w:r>
      <w:r w:rsidR="00A41356">
        <w:rPr>
          <w:lang w:val="en-CA"/>
        </w:rPr>
        <w:t>ing</w:t>
      </w:r>
      <w:r w:rsidRPr="002F6CBB">
        <w:rPr>
          <w:lang w:val="en-CA"/>
        </w:rPr>
        <w:t xml:space="preserve"> a car, which might cause them to reduce their movements and even decide not to participate in certain activities of everyday life.</w:t>
      </w:r>
    </w:p>
    <w:p w14:paraId="77A4A296" w14:textId="17E1C9F0" w:rsidR="00510EC3" w:rsidRPr="002F6CBB" w:rsidRDefault="00984377" w:rsidP="00510EC3">
      <w:pPr>
        <w:pStyle w:val="Paragraphe"/>
        <w:tabs>
          <w:tab w:val="clear" w:pos="567"/>
          <w:tab w:val="num" w:pos="709"/>
        </w:tabs>
        <w:rPr>
          <w:lang w:val="en-CA"/>
        </w:rPr>
      </w:pPr>
      <w:r w:rsidRPr="002F6CBB">
        <w:rPr>
          <w:lang w:val="en-CA"/>
        </w:rPr>
        <w:t xml:space="preserve">In this sense, the </w:t>
      </w:r>
      <w:r w:rsidR="00A41356">
        <w:rPr>
          <w:lang w:val="en-CA"/>
        </w:rPr>
        <w:t>conduct</w:t>
      </w:r>
      <w:r w:rsidRPr="002F6CBB">
        <w:rPr>
          <w:lang w:val="en-CA"/>
        </w:rPr>
        <w:t xml:space="preserve"> of defendants </w:t>
      </w:r>
      <w:proofErr w:type="spellStart"/>
      <w:r w:rsidRPr="002F6CBB">
        <w:rPr>
          <w:lang w:val="en-CA"/>
        </w:rPr>
        <w:t>Beaulac</w:t>
      </w:r>
      <w:proofErr w:type="spellEnd"/>
      <w:r w:rsidRPr="002F6CBB">
        <w:rPr>
          <w:lang w:val="en-CA"/>
        </w:rPr>
        <w:t xml:space="preserve"> and Lamothe and the humiliation </w:t>
      </w:r>
      <w:r w:rsidR="00A41356">
        <w:rPr>
          <w:lang w:val="en-CA"/>
        </w:rPr>
        <w:t>it</w:t>
      </w:r>
      <w:r w:rsidRPr="002F6CBB">
        <w:rPr>
          <w:lang w:val="en-CA"/>
        </w:rPr>
        <w:t xml:space="preserve"> caused meet</w:t>
      </w:r>
      <w:r w:rsidR="00A41356">
        <w:rPr>
          <w:lang w:val="en-CA"/>
        </w:rPr>
        <w:t>s</w:t>
      </w:r>
      <w:r w:rsidRPr="002F6CBB">
        <w:rPr>
          <w:lang w:val="en-CA"/>
        </w:rPr>
        <w:t xml:space="preserve"> the conditions set out in </w:t>
      </w:r>
      <w:r w:rsidRPr="002F6CBB">
        <w:rPr>
          <w:i/>
          <w:lang w:val="en-CA"/>
        </w:rPr>
        <w:t>Ward</w:t>
      </w:r>
      <w:r w:rsidRPr="002F6CBB">
        <w:rPr>
          <w:lang w:val="en-CA"/>
        </w:rPr>
        <w:t>.</w:t>
      </w:r>
      <w:r w:rsidRPr="002F6CBB">
        <w:rPr>
          <w:vertAlign w:val="superscript"/>
          <w:lang w:val="en-CA"/>
        </w:rPr>
        <w:footnoteReference w:id="76"/>
      </w:r>
      <w:r w:rsidR="00BC67BE" w:rsidRPr="002F6CBB">
        <w:rPr>
          <w:lang w:val="en-CA"/>
        </w:rPr>
        <w:t xml:space="preserve"> </w:t>
      </w:r>
    </w:p>
    <w:p w14:paraId="01FE51DA" w14:textId="6FC07A32" w:rsidR="00510EC3" w:rsidRPr="002F6CBB" w:rsidRDefault="00984377" w:rsidP="00510EC3">
      <w:pPr>
        <w:pStyle w:val="Paragraphe"/>
        <w:tabs>
          <w:tab w:val="clear" w:pos="567"/>
          <w:tab w:val="num" w:pos="709"/>
        </w:tabs>
        <w:rPr>
          <w:lang w:val="en-CA"/>
        </w:rPr>
      </w:pPr>
      <w:r w:rsidRPr="002F6CBB">
        <w:rPr>
          <w:lang w:val="en-CA"/>
        </w:rPr>
        <w:t xml:space="preserve">That said, as the Supreme Court stated in </w:t>
      </w:r>
      <w:r w:rsidRPr="002F6CBB">
        <w:rPr>
          <w:i/>
          <w:lang w:val="en-CA"/>
        </w:rPr>
        <w:t>Bombardier</w:t>
      </w:r>
      <w:r w:rsidRPr="002F6CBB">
        <w:rPr>
          <w:vertAlign w:val="superscript"/>
          <w:lang w:val="en-CA"/>
        </w:rPr>
        <w:footnoteReference w:id="77"/>
      </w:r>
      <w:r w:rsidR="008B585A">
        <w:rPr>
          <w:lang w:val="en-CA"/>
        </w:rPr>
        <w:t>,</w:t>
      </w:r>
      <w:r w:rsidRPr="002F6CBB">
        <w:rPr>
          <w:lang w:val="en-CA"/>
        </w:rPr>
        <w:t xml:space="preserve"> section 10 of the </w:t>
      </w:r>
      <w:r w:rsidRPr="002F6CBB">
        <w:rPr>
          <w:i/>
          <w:lang w:val="en-CA"/>
        </w:rPr>
        <w:t>Charter</w:t>
      </w:r>
      <w:r w:rsidRPr="002F6CBB">
        <w:rPr>
          <w:lang w:val="en-CA"/>
        </w:rPr>
        <w:t xml:space="preserve"> does not require the violation of another </w:t>
      </w:r>
      <w:r w:rsidRPr="002F6CBB">
        <w:rPr>
          <w:i/>
          <w:lang w:val="en-CA"/>
        </w:rPr>
        <w:t>Charter</w:t>
      </w:r>
      <w:r w:rsidRPr="002F6CBB">
        <w:rPr>
          <w:lang w:val="en-CA"/>
        </w:rPr>
        <w:t xml:space="preserve"> right as such, but the violation of the right to the equal recognition or exercise of another </w:t>
      </w:r>
      <w:r w:rsidRPr="002F6CBB">
        <w:rPr>
          <w:i/>
          <w:lang w:val="en-CA"/>
        </w:rPr>
        <w:t>Charter</w:t>
      </w:r>
      <w:r w:rsidRPr="002F6CBB">
        <w:rPr>
          <w:lang w:val="en-CA"/>
        </w:rPr>
        <w:t xml:space="preserve"> right or freedom.</w:t>
      </w:r>
      <w:r w:rsidR="00BC67BE" w:rsidRPr="002F6CBB">
        <w:rPr>
          <w:lang w:val="en-CA"/>
        </w:rPr>
        <w:t xml:space="preserve"> </w:t>
      </w:r>
    </w:p>
    <w:p w14:paraId="1496C754" w14:textId="093F6A73" w:rsidR="00510EC3" w:rsidRPr="002F6CBB" w:rsidRDefault="005B2B35" w:rsidP="00510EC3">
      <w:pPr>
        <w:pStyle w:val="Paragraphe"/>
        <w:tabs>
          <w:tab w:val="clear" w:pos="567"/>
          <w:tab w:val="num" w:pos="709"/>
        </w:tabs>
        <w:rPr>
          <w:lang w:val="en-CA"/>
        </w:rPr>
      </w:pPr>
      <w:r w:rsidRPr="002F6CBB">
        <w:rPr>
          <w:lang w:val="en-CA"/>
        </w:rPr>
        <w:t xml:space="preserve">The situation in which the </w:t>
      </w:r>
      <w:r w:rsidR="00C8417F">
        <w:rPr>
          <w:lang w:val="en-CA"/>
        </w:rPr>
        <w:t xml:space="preserve">officers </w:t>
      </w:r>
      <w:r w:rsidRPr="002F6CBB">
        <w:rPr>
          <w:lang w:val="en-CA"/>
        </w:rPr>
        <w:t xml:space="preserve">placed Mr. Woodley falls within the sphere of recognition of the safeguard of dignity recognized by the </w:t>
      </w:r>
      <w:r w:rsidRPr="002F6CBB">
        <w:rPr>
          <w:i/>
          <w:lang w:val="en-CA"/>
        </w:rPr>
        <w:t>Charter</w:t>
      </w:r>
      <w:r w:rsidRPr="002F6CBB">
        <w:rPr>
          <w:lang w:val="en-CA"/>
        </w:rPr>
        <w:t>.</w:t>
      </w:r>
    </w:p>
    <w:p w14:paraId="77699EA8" w14:textId="13D034B0" w:rsidR="00810CE6" w:rsidRPr="002F6CBB" w:rsidRDefault="005B2B35" w:rsidP="00510EC3">
      <w:pPr>
        <w:pStyle w:val="Paragraphe"/>
        <w:tabs>
          <w:tab w:val="clear" w:pos="567"/>
          <w:tab w:val="num" w:pos="709"/>
        </w:tabs>
        <w:rPr>
          <w:lang w:val="en-CA"/>
        </w:rPr>
      </w:pPr>
      <w:r w:rsidRPr="002F6CBB">
        <w:rPr>
          <w:lang w:val="en-CA"/>
        </w:rPr>
        <w:t xml:space="preserve">Consequently, his </w:t>
      </w:r>
      <w:r w:rsidR="00051CFE">
        <w:rPr>
          <w:lang w:val="en-CA"/>
        </w:rPr>
        <w:t>stop</w:t>
      </w:r>
      <w:r w:rsidRPr="002F6CBB">
        <w:rPr>
          <w:lang w:val="en-CA"/>
        </w:rPr>
        <w:t xml:space="preserve"> based on prejudices related to his skin colour and race violate</w:t>
      </w:r>
      <w:r w:rsidR="00D87EE6">
        <w:rPr>
          <w:lang w:val="en-CA"/>
        </w:rPr>
        <w:t>s</w:t>
      </w:r>
      <w:r w:rsidRPr="002F6CBB">
        <w:rPr>
          <w:lang w:val="en-CA"/>
        </w:rPr>
        <w:t xml:space="preserve"> his right to equal treatment</w:t>
      </w:r>
      <w:r w:rsidR="00051CFE">
        <w:rPr>
          <w:lang w:val="en-CA"/>
        </w:rPr>
        <w:t>,</w:t>
      </w:r>
      <w:r w:rsidRPr="002F6CBB">
        <w:rPr>
          <w:lang w:val="en-CA"/>
        </w:rPr>
        <w:t xml:space="preserve"> and as required by section 10 of the </w:t>
      </w:r>
      <w:r w:rsidRPr="002F6CBB">
        <w:rPr>
          <w:i/>
          <w:lang w:val="en-CA"/>
        </w:rPr>
        <w:t>Charter</w:t>
      </w:r>
      <w:r w:rsidRPr="002F6CBB">
        <w:rPr>
          <w:lang w:val="en-CA"/>
        </w:rPr>
        <w:t xml:space="preserve">, </w:t>
      </w:r>
      <w:r w:rsidR="00051CFE" w:rsidRPr="002F6CBB">
        <w:rPr>
          <w:lang w:val="en-CA"/>
        </w:rPr>
        <w:t>this violation f</w:t>
      </w:r>
      <w:r w:rsidR="00051CFE">
        <w:rPr>
          <w:lang w:val="en-CA"/>
        </w:rPr>
        <w:t>a</w:t>
      </w:r>
      <w:r w:rsidR="00051CFE" w:rsidRPr="002F6CBB">
        <w:rPr>
          <w:lang w:val="en-CA"/>
        </w:rPr>
        <w:t>ll</w:t>
      </w:r>
      <w:r w:rsidR="00051CFE">
        <w:rPr>
          <w:lang w:val="en-CA"/>
        </w:rPr>
        <w:t>s</w:t>
      </w:r>
      <w:r w:rsidR="00051CFE" w:rsidRPr="002F6CBB">
        <w:rPr>
          <w:lang w:val="en-CA"/>
        </w:rPr>
        <w:t xml:space="preserve"> within</w:t>
      </w:r>
      <w:r w:rsidR="00051CFE">
        <w:rPr>
          <w:lang w:val="en-CA"/>
        </w:rPr>
        <w:t xml:space="preserve"> </w:t>
      </w:r>
      <w:r w:rsidRPr="002F6CBB">
        <w:rPr>
          <w:lang w:val="en-CA"/>
        </w:rPr>
        <w:t xml:space="preserve">the recognition or exercise of his right to </w:t>
      </w:r>
      <w:r w:rsidR="00D87EE6">
        <w:rPr>
          <w:lang w:val="en-CA"/>
        </w:rPr>
        <w:t xml:space="preserve">the </w:t>
      </w:r>
      <w:r w:rsidRPr="002F6CBB">
        <w:rPr>
          <w:lang w:val="en-CA"/>
        </w:rPr>
        <w:t xml:space="preserve">respect he is owed as a human being that </w:t>
      </w:r>
      <w:r w:rsidR="000A4C1B">
        <w:rPr>
          <w:lang w:val="en-CA"/>
        </w:rPr>
        <w:t>lie</w:t>
      </w:r>
      <w:r w:rsidRPr="002F6CBB">
        <w:rPr>
          <w:lang w:val="en-CA"/>
        </w:rPr>
        <w:t xml:space="preserve">s at the </w:t>
      </w:r>
      <w:r w:rsidR="000A4C1B">
        <w:rPr>
          <w:lang w:val="en-CA"/>
        </w:rPr>
        <w:t xml:space="preserve">heart </w:t>
      </w:r>
      <w:r w:rsidRPr="002F6CBB">
        <w:rPr>
          <w:lang w:val="en-CA"/>
        </w:rPr>
        <w:t xml:space="preserve">of the right protected by section 4 of the </w:t>
      </w:r>
      <w:r w:rsidRPr="002F6CBB">
        <w:rPr>
          <w:i/>
          <w:lang w:val="en-CA"/>
        </w:rPr>
        <w:t>Charter</w:t>
      </w:r>
      <w:r w:rsidRPr="002F6CBB">
        <w:rPr>
          <w:lang w:val="en-CA"/>
        </w:rPr>
        <w:t>.</w:t>
      </w:r>
      <w:r w:rsidRPr="002F6CBB">
        <w:rPr>
          <w:vertAlign w:val="superscript"/>
          <w:lang w:val="en-CA"/>
        </w:rPr>
        <w:footnoteReference w:id="78"/>
      </w:r>
    </w:p>
    <w:p w14:paraId="29F88C44" w14:textId="417B3F42" w:rsidR="00810CE6" w:rsidRPr="002F6CBB" w:rsidRDefault="00D87EE6" w:rsidP="009C1038">
      <w:pPr>
        <w:pStyle w:val="Titre4"/>
        <w:ind w:left="851" w:hanging="284"/>
        <w:rPr>
          <w:bCs/>
          <w:lang w:val="en-CA"/>
        </w:rPr>
      </w:pPr>
      <w:bookmarkStart w:id="40" w:name="_Toc183702214"/>
      <w:r>
        <w:rPr>
          <w:bCs/>
          <w:lang w:val="en-CA"/>
        </w:rPr>
        <w:t xml:space="preserve">Violation of </w:t>
      </w:r>
      <w:r w:rsidR="005B2B35" w:rsidRPr="002F6CBB">
        <w:rPr>
          <w:bCs/>
          <w:lang w:val="en-CA"/>
        </w:rPr>
        <w:t>equality and the right to services ordinarily offered to the public without discrimination</w:t>
      </w:r>
      <w:bookmarkEnd w:id="40"/>
    </w:p>
    <w:p w14:paraId="3F29E2A5" w14:textId="0BF27177" w:rsidR="00810CE6" w:rsidRPr="001A5045" w:rsidRDefault="001A5045" w:rsidP="0036651C">
      <w:pPr>
        <w:pStyle w:val="Paragraphe"/>
        <w:tabs>
          <w:tab w:val="clear" w:pos="567"/>
          <w:tab w:val="num" w:pos="709"/>
        </w:tabs>
        <w:rPr>
          <w:lang w:val="en-CA"/>
        </w:rPr>
      </w:pPr>
      <w:r w:rsidRPr="001A5045">
        <w:rPr>
          <w:lang w:val="en-CA"/>
        </w:rPr>
        <w:t xml:space="preserve">In </w:t>
      </w:r>
      <w:proofErr w:type="spellStart"/>
      <w:r w:rsidRPr="001A5045">
        <w:rPr>
          <w:i/>
          <w:lang w:val="en-CA"/>
        </w:rPr>
        <w:t>Mastropaolo</w:t>
      </w:r>
      <w:proofErr w:type="spellEnd"/>
      <w:r w:rsidRPr="001A5045">
        <w:rPr>
          <w:i/>
          <w:lang w:val="en-CA"/>
        </w:rPr>
        <w:t>,</w:t>
      </w:r>
      <w:r w:rsidRPr="001A5045">
        <w:rPr>
          <w:lang w:val="en-CA"/>
        </w:rPr>
        <w:t xml:space="preserve"> t</w:t>
      </w:r>
      <w:r w:rsidR="005B2B35" w:rsidRPr="001A5045">
        <w:rPr>
          <w:lang w:val="en-CA"/>
        </w:rPr>
        <w:t xml:space="preserve">he Tribunal </w:t>
      </w:r>
      <w:r w:rsidR="00D87EE6" w:rsidRPr="001A5045">
        <w:rPr>
          <w:lang w:val="en-CA"/>
        </w:rPr>
        <w:t xml:space="preserve">gave </w:t>
      </w:r>
      <w:r w:rsidR="005B2B35" w:rsidRPr="001A5045">
        <w:rPr>
          <w:lang w:val="en-CA"/>
        </w:rPr>
        <w:t xml:space="preserve">section 12 </w:t>
      </w:r>
      <w:r w:rsidR="00D87EE6" w:rsidRPr="001A5045">
        <w:rPr>
          <w:lang w:val="en-CA"/>
        </w:rPr>
        <w:t xml:space="preserve">a </w:t>
      </w:r>
      <w:r w:rsidRPr="001A5045">
        <w:rPr>
          <w:lang w:val="en-CA"/>
        </w:rPr>
        <w:t xml:space="preserve">broad </w:t>
      </w:r>
      <w:r w:rsidR="005B2B35" w:rsidRPr="001A5045">
        <w:rPr>
          <w:lang w:val="en-CA"/>
        </w:rPr>
        <w:t>and liberal</w:t>
      </w:r>
      <w:r w:rsidR="00D87EE6" w:rsidRPr="001A5045">
        <w:rPr>
          <w:lang w:val="en-CA"/>
        </w:rPr>
        <w:t xml:space="preserve"> interpretation</w:t>
      </w:r>
      <w:r w:rsidR="005B2B35" w:rsidRPr="001A5045">
        <w:rPr>
          <w:lang w:val="en-CA"/>
        </w:rPr>
        <w:t xml:space="preserve"> </w:t>
      </w:r>
      <w:r w:rsidRPr="001A5045">
        <w:rPr>
          <w:lang w:val="en-CA"/>
        </w:rPr>
        <w:t xml:space="preserve">that furthers </w:t>
      </w:r>
      <w:r w:rsidR="00D87EE6" w:rsidRPr="001A5045">
        <w:rPr>
          <w:lang w:val="en-CA"/>
        </w:rPr>
        <w:t xml:space="preserve">the </w:t>
      </w:r>
      <w:r w:rsidRPr="001A5045">
        <w:rPr>
          <w:lang w:val="en-CA"/>
        </w:rPr>
        <w:t xml:space="preserve">objectives </w:t>
      </w:r>
      <w:r w:rsidR="00D87EE6" w:rsidRPr="001A5045">
        <w:rPr>
          <w:lang w:val="en-CA"/>
        </w:rPr>
        <w:t>of</w:t>
      </w:r>
      <w:r w:rsidR="005B2B35" w:rsidRPr="001A5045">
        <w:rPr>
          <w:lang w:val="en-CA"/>
        </w:rPr>
        <w:t xml:space="preserve"> the </w:t>
      </w:r>
      <w:r w:rsidR="00D87EE6" w:rsidRPr="001A5045">
        <w:rPr>
          <w:i/>
          <w:lang w:val="en-CA"/>
        </w:rPr>
        <w:t>Charter</w:t>
      </w:r>
      <w:r w:rsidR="00D87EE6" w:rsidRPr="001A5045">
        <w:rPr>
          <w:lang w:val="en-CA"/>
        </w:rPr>
        <w:t xml:space="preserve"> </w:t>
      </w:r>
      <w:r w:rsidR="005B2B35" w:rsidRPr="001A5045">
        <w:rPr>
          <w:lang w:val="en-CA"/>
        </w:rPr>
        <w:t xml:space="preserve">in matters of equality and </w:t>
      </w:r>
      <w:r w:rsidR="00D87EE6" w:rsidRPr="001A5045">
        <w:rPr>
          <w:lang w:val="en-CA"/>
        </w:rPr>
        <w:t xml:space="preserve">the </w:t>
      </w:r>
      <w:r w:rsidR="005B2B35" w:rsidRPr="001A5045">
        <w:rPr>
          <w:lang w:val="en-CA"/>
        </w:rPr>
        <w:t>protection of rights and freedoms</w:t>
      </w:r>
      <w:r w:rsidRPr="001A5045">
        <w:rPr>
          <w:lang w:val="en-CA"/>
        </w:rPr>
        <w:t>.</w:t>
      </w:r>
      <w:r w:rsidR="005B2B35" w:rsidRPr="001A5045">
        <w:rPr>
          <w:lang w:val="en-CA"/>
        </w:rPr>
        <w:t xml:space="preserve"> </w:t>
      </w:r>
      <w:r w:rsidRPr="001A5045">
        <w:rPr>
          <w:lang w:val="en-CA"/>
        </w:rPr>
        <w:t xml:space="preserve">It </w:t>
      </w:r>
      <w:r w:rsidR="00D87EE6" w:rsidRPr="001A5045">
        <w:rPr>
          <w:lang w:val="en-CA"/>
        </w:rPr>
        <w:t xml:space="preserve">ruled </w:t>
      </w:r>
      <w:r w:rsidR="005B2B35" w:rsidRPr="001A5045">
        <w:rPr>
          <w:lang w:val="en-CA"/>
        </w:rPr>
        <w:t xml:space="preserve">that the concept of juridical act must </w:t>
      </w:r>
      <w:r w:rsidRPr="001A5045">
        <w:rPr>
          <w:lang w:val="en-CA"/>
        </w:rPr>
        <w:t xml:space="preserve">receive a </w:t>
      </w:r>
      <w:r w:rsidR="005B2B35" w:rsidRPr="001A5045">
        <w:rPr>
          <w:lang w:val="en-CA"/>
        </w:rPr>
        <w:t xml:space="preserve">contextual </w:t>
      </w:r>
      <w:r w:rsidR="005B2B35" w:rsidRPr="001A5045">
        <w:rPr>
          <w:lang w:val="en-CA"/>
        </w:rPr>
        <w:lastRenderedPageBreak/>
        <w:t>interpre</w:t>
      </w:r>
      <w:r w:rsidR="00D87EE6" w:rsidRPr="001A5045">
        <w:rPr>
          <w:lang w:val="en-CA"/>
        </w:rPr>
        <w:t>t</w:t>
      </w:r>
      <w:r w:rsidRPr="001A5045">
        <w:rPr>
          <w:lang w:val="en-CA"/>
        </w:rPr>
        <w:t>ation</w:t>
      </w:r>
      <w:r w:rsidR="005B2B35" w:rsidRPr="001A5045">
        <w:rPr>
          <w:lang w:val="en-CA"/>
        </w:rPr>
        <w:t xml:space="preserve"> </w:t>
      </w:r>
      <w:r w:rsidR="00D87EE6" w:rsidRPr="001A5045">
        <w:rPr>
          <w:lang w:val="en-CA"/>
        </w:rPr>
        <w:t xml:space="preserve">that </w:t>
      </w:r>
      <w:r w:rsidRPr="001A5045">
        <w:rPr>
          <w:lang w:val="en-CA"/>
        </w:rPr>
        <w:t>cann</w:t>
      </w:r>
      <w:r w:rsidR="00D87EE6" w:rsidRPr="001A5045">
        <w:rPr>
          <w:lang w:val="en-CA"/>
        </w:rPr>
        <w:t>ot</w:t>
      </w:r>
      <w:r w:rsidR="005B2B35" w:rsidRPr="001A5045">
        <w:rPr>
          <w:lang w:val="en-CA"/>
        </w:rPr>
        <w:t xml:space="preserve"> </w:t>
      </w:r>
      <w:r w:rsidRPr="001A5045">
        <w:rPr>
          <w:lang w:val="en-CA"/>
        </w:rPr>
        <w:t xml:space="preserve">be </w:t>
      </w:r>
      <w:r w:rsidR="005B2B35" w:rsidRPr="001A5045">
        <w:rPr>
          <w:lang w:val="en-CA"/>
        </w:rPr>
        <w:t xml:space="preserve">limited to </w:t>
      </w:r>
      <w:r w:rsidRPr="001A5045">
        <w:rPr>
          <w:lang w:val="en-CA"/>
        </w:rPr>
        <w:t>a</w:t>
      </w:r>
      <w:r w:rsidR="005B2B35" w:rsidRPr="001A5045">
        <w:rPr>
          <w:lang w:val="en-CA"/>
        </w:rPr>
        <w:t xml:space="preserve"> contractual</w:t>
      </w:r>
      <w:r w:rsidR="0068716C">
        <w:rPr>
          <w:lang w:val="en-CA"/>
        </w:rPr>
        <w:t xml:space="preserve"> and</w:t>
      </w:r>
      <w:r w:rsidR="005B2B35" w:rsidRPr="001A5045">
        <w:rPr>
          <w:lang w:val="en-CA"/>
        </w:rPr>
        <w:t xml:space="preserve"> bilateral concept </w:t>
      </w:r>
      <w:r>
        <w:rPr>
          <w:lang w:val="en-CA"/>
        </w:rPr>
        <w:t>as</w:t>
      </w:r>
      <w:r w:rsidR="005B2B35" w:rsidRPr="001A5045">
        <w:rPr>
          <w:lang w:val="en-CA"/>
        </w:rPr>
        <w:t xml:space="preserve"> traditionally understood in civil law.</w:t>
      </w:r>
      <w:r w:rsidR="005B2B35" w:rsidRPr="001A5045">
        <w:rPr>
          <w:rStyle w:val="Appelnotedebasdep"/>
          <w:lang w:val="en-CA"/>
        </w:rPr>
        <w:footnoteReference w:id="79"/>
      </w:r>
    </w:p>
    <w:p w14:paraId="44E8BAE5" w14:textId="62D06FA7" w:rsidR="0036651C" w:rsidRPr="002F6CBB" w:rsidRDefault="005B2B35" w:rsidP="00B65C0D">
      <w:pPr>
        <w:pStyle w:val="Paragraphe"/>
        <w:tabs>
          <w:tab w:val="clear" w:pos="567"/>
          <w:tab w:val="num" w:pos="709"/>
        </w:tabs>
        <w:rPr>
          <w:lang w:val="en-CA"/>
        </w:rPr>
      </w:pPr>
      <w:r w:rsidRPr="002F6CBB">
        <w:rPr>
          <w:lang w:val="en-CA"/>
        </w:rPr>
        <w:t xml:space="preserve">The Tribunal </w:t>
      </w:r>
      <w:r w:rsidR="00387C65">
        <w:rPr>
          <w:lang w:val="en-CA"/>
        </w:rPr>
        <w:t xml:space="preserve">has </w:t>
      </w:r>
      <w:r w:rsidRPr="002F6CBB">
        <w:rPr>
          <w:lang w:val="en-CA"/>
        </w:rPr>
        <w:t xml:space="preserve">previously </w:t>
      </w:r>
      <w:r w:rsidR="00387C65">
        <w:rPr>
          <w:lang w:val="en-CA"/>
        </w:rPr>
        <w:t xml:space="preserve">held </w:t>
      </w:r>
      <w:r w:rsidRPr="002F6CBB">
        <w:rPr>
          <w:lang w:val="en-CA"/>
        </w:rPr>
        <w:t xml:space="preserve">that at the municipal level, police services are a service ordinarily offered to the public within the meaning of section 12 of the </w:t>
      </w:r>
      <w:r w:rsidRPr="002F6CBB">
        <w:rPr>
          <w:i/>
          <w:lang w:val="en-CA"/>
        </w:rPr>
        <w:t>Charter</w:t>
      </w:r>
      <w:r w:rsidRPr="002F6CBB">
        <w:rPr>
          <w:lang w:val="en-CA"/>
        </w:rPr>
        <w:t>.</w:t>
      </w:r>
    </w:p>
    <w:p w14:paraId="2F56ACB3" w14:textId="41EDF153" w:rsidR="00810CE6" w:rsidRPr="002F6CBB" w:rsidRDefault="00C01F29" w:rsidP="0036651C">
      <w:pPr>
        <w:pStyle w:val="Paragraphe"/>
        <w:tabs>
          <w:tab w:val="clear" w:pos="567"/>
          <w:tab w:val="num" w:pos="709"/>
        </w:tabs>
        <w:rPr>
          <w:lang w:val="en-CA"/>
        </w:rPr>
      </w:pPr>
      <w:r w:rsidRPr="002F6CBB">
        <w:rPr>
          <w:lang w:val="en-CA"/>
        </w:rPr>
        <w:t xml:space="preserve">When they provide their services to the public, particularly when they patrol the </w:t>
      </w:r>
      <w:r w:rsidR="0035089F">
        <w:rPr>
          <w:lang w:val="en-CA"/>
        </w:rPr>
        <w:t>roads</w:t>
      </w:r>
      <w:r w:rsidRPr="002F6CBB">
        <w:rPr>
          <w:lang w:val="en-CA"/>
        </w:rPr>
        <w:t xml:space="preserve"> to protect public safety, the police must comply with sections 10 and 12 of the </w:t>
      </w:r>
      <w:r w:rsidRPr="002F6CBB">
        <w:rPr>
          <w:i/>
          <w:lang w:val="en-CA"/>
        </w:rPr>
        <w:t>Charter</w:t>
      </w:r>
      <w:r w:rsidRPr="002F6CBB">
        <w:rPr>
          <w:lang w:val="en-CA"/>
        </w:rPr>
        <w:t xml:space="preserve"> and ensure that their interventions are free of discrimination </w:t>
      </w:r>
      <w:r w:rsidR="00C60090">
        <w:rPr>
          <w:lang w:val="en-CA"/>
        </w:rPr>
        <w:t>in the form of</w:t>
      </w:r>
      <w:r w:rsidRPr="002F6CBB">
        <w:rPr>
          <w:lang w:val="en-CA"/>
        </w:rPr>
        <w:t xml:space="preserve"> racial profiling or otherwise.</w:t>
      </w:r>
    </w:p>
    <w:p w14:paraId="2B2C09C6" w14:textId="3567A4D7" w:rsidR="00810CE6" w:rsidRPr="002F6CBB" w:rsidRDefault="00C01F29" w:rsidP="0036651C">
      <w:pPr>
        <w:pStyle w:val="Paragraphe"/>
        <w:tabs>
          <w:tab w:val="clear" w:pos="567"/>
          <w:tab w:val="num" w:pos="709"/>
        </w:tabs>
        <w:rPr>
          <w:lang w:val="en-CA"/>
        </w:rPr>
      </w:pPr>
      <w:r w:rsidRPr="002F6CBB">
        <w:rPr>
          <w:lang w:val="en-CA"/>
        </w:rPr>
        <w:t xml:space="preserve">In this case, the Tribunal is of the view that the defendant officers discriminated against the complainant and therefore violated his right to equality and his right to public services without racial discrimination when they </w:t>
      </w:r>
      <w:r w:rsidR="00EB55BF">
        <w:rPr>
          <w:lang w:val="en-CA"/>
        </w:rPr>
        <w:t>intercepted</w:t>
      </w:r>
      <w:r w:rsidR="00EB55BF" w:rsidRPr="002F6CBB">
        <w:rPr>
          <w:lang w:val="en-CA"/>
        </w:rPr>
        <w:t xml:space="preserve"> </w:t>
      </w:r>
      <w:r w:rsidRPr="002F6CBB">
        <w:rPr>
          <w:lang w:val="en-CA"/>
        </w:rPr>
        <w:t xml:space="preserve">him without </w:t>
      </w:r>
      <w:r w:rsidR="00C60090">
        <w:rPr>
          <w:lang w:val="en-CA"/>
        </w:rPr>
        <w:t>cause</w:t>
      </w:r>
      <w:r w:rsidRPr="002F6CBB">
        <w:rPr>
          <w:lang w:val="en-CA"/>
        </w:rPr>
        <w:t xml:space="preserve"> wh</w:t>
      </w:r>
      <w:r w:rsidR="00C60090">
        <w:rPr>
          <w:lang w:val="en-CA"/>
        </w:rPr>
        <w:t>ile</w:t>
      </w:r>
      <w:r w:rsidRPr="002F6CBB">
        <w:rPr>
          <w:lang w:val="en-CA"/>
        </w:rPr>
        <w:t xml:space="preserve"> he was driving his </w:t>
      </w:r>
      <w:r w:rsidR="00387C65">
        <w:rPr>
          <w:lang w:val="en-CA"/>
        </w:rPr>
        <w:t>wife</w:t>
      </w:r>
      <w:r w:rsidRPr="002F6CBB">
        <w:rPr>
          <w:lang w:val="en-CA"/>
        </w:rPr>
        <w:t>’s car on September 19, 2018.</w:t>
      </w:r>
    </w:p>
    <w:p w14:paraId="537FB3FD" w14:textId="75BB242E" w:rsidR="00810CE6" w:rsidRPr="002F6CBB" w:rsidRDefault="00387C65" w:rsidP="009C1038">
      <w:pPr>
        <w:pStyle w:val="Titre4"/>
        <w:ind w:left="851" w:hanging="284"/>
        <w:rPr>
          <w:bCs/>
          <w:lang w:val="en-CA"/>
        </w:rPr>
      </w:pPr>
      <w:bookmarkStart w:id="41" w:name="_Toc183702215"/>
      <w:r>
        <w:rPr>
          <w:bCs/>
          <w:lang w:val="en-CA"/>
        </w:rPr>
        <w:t>Violation of</w:t>
      </w:r>
      <w:r w:rsidR="00C01F29" w:rsidRPr="002F6CBB">
        <w:rPr>
          <w:bCs/>
          <w:lang w:val="en-CA"/>
        </w:rPr>
        <w:t xml:space="preserve"> equality and the right not to be deprived of his liberty or his rights</w:t>
      </w:r>
      <w:bookmarkEnd w:id="41"/>
    </w:p>
    <w:p w14:paraId="6528E08D" w14:textId="6AEBF0D9" w:rsidR="00810CE6" w:rsidRPr="002F6CBB" w:rsidRDefault="00C01F29" w:rsidP="006D305A">
      <w:pPr>
        <w:pStyle w:val="Paragraphe"/>
        <w:tabs>
          <w:tab w:val="clear" w:pos="567"/>
          <w:tab w:val="num" w:pos="709"/>
        </w:tabs>
        <w:rPr>
          <w:lang w:val="en-CA"/>
        </w:rPr>
      </w:pPr>
      <w:r w:rsidRPr="002F6CBB">
        <w:rPr>
          <w:lang w:val="en-CA"/>
        </w:rPr>
        <w:t xml:space="preserve">The </w:t>
      </w:r>
      <w:r w:rsidR="009768E5">
        <w:rPr>
          <w:lang w:val="en-CA"/>
        </w:rPr>
        <w:t>preponderant evidence</w:t>
      </w:r>
      <w:r w:rsidRPr="002F6CBB">
        <w:rPr>
          <w:lang w:val="en-CA"/>
        </w:rPr>
        <w:t xml:space="preserve"> </w:t>
      </w:r>
      <w:r w:rsidR="00C60090">
        <w:rPr>
          <w:lang w:val="en-CA"/>
        </w:rPr>
        <w:t xml:space="preserve">establishes </w:t>
      </w:r>
      <w:r w:rsidRPr="002F6CBB">
        <w:rPr>
          <w:lang w:val="en-CA"/>
        </w:rPr>
        <w:t xml:space="preserve">that the complainant was detained within the meaning of </w:t>
      </w:r>
      <w:r w:rsidRPr="002F6CBB">
        <w:rPr>
          <w:i/>
          <w:lang w:val="en-CA"/>
        </w:rPr>
        <w:t>Grant</w:t>
      </w:r>
      <w:r w:rsidRPr="002F6CBB">
        <w:rPr>
          <w:lang w:val="en-CA"/>
        </w:rPr>
        <w:t xml:space="preserve"> and that this detention </w:t>
      </w:r>
      <w:r w:rsidR="004607EF">
        <w:rPr>
          <w:lang w:val="en-CA"/>
        </w:rPr>
        <w:t xml:space="preserve">was </w:t>
      </w:r>
      <w:r w:rsidR="00C60090">
        <w:rPr>
          <w:lang w:val="en-CA"/>
        </w:rPr>
        <w:t xml:space="preserve">not </w:t>
      </w:r>
      <w:r w:rsidR="004607EF">
        <w:rPr>
          <w:lang w:val="en-CA"/>
        </w:rPr>
        <w:t>connected to a</w:t>
      </w:r>
      <w:r w:rsidRPr="002F6CBB">
        <w:rPr>
          <w:lang w:val="en-CA"/>
        </w:rPr>
        <w:t xml:space="preserve"> random check but instead to the fact that the complainant is a </w:t>
      </w:r>
      <w:r w:rsidR="00C14519">
        <w:rPr>
          <w:lang w:val="en-CA"/>
        </w:rPr>
        <w:t>Black</w:t>
      </w:r>
      <w:r w:rsidRPr="002F6CBB">
        <w:rPr>
          <w:lang w:val="en-CA"/>
        </w:rPr>
        <w:t xml:space="preserve"> man.</w:t>
      </w:r>
    </w:p>
    <w:p w14:paraId="6C3B73C9" w14:textId="4089ED94" w:rsidR="00810CE6" w:rsidRPr="002F6CBB" w:rsidRDefault="00C01F29" w:rsidP="006D305A">
      <w:pPr>
        <w:pStyle w:val="Paragraphe"/>
        <w:tabs>
          <w:tab w:val="clear" w:pos="567"/>
          <w:tab w:val="num" w:pos="709"/>
        </w:tabs>
        <w:rPr>
          <w:lang w:val="en-CA"/>
        </w:rPr>
      </w:pPr>
      <w:r w:rsidRPr="002F6CBB">
        <w:rPr>
          <w:lang w:val="en-CA"/>
        </w:rPr>
        <w:t xml:space="preserve">The complainant’s right to equality was therefore violated in the exercise of his right </w:t>
      </w:r>
      <w:r w:rsidR="00C60090">
        <w:rPr>
          <w:lang w:val="en-CA"/>
        </w:rPr>
        <w:t>guarante</w:t>
      </w:r>
      <w:r w:rsidR="00C60090" w:rsidRPr="002F6CBB">
        <w:rPr>
          <w:lang w:val="en-CA"/>
        </w:rPr>
        <w:t>ed</w:t>
      </w:r>
      <w:r w:rsidRPr="002F6CBB">
        <w:rPr>
          <w:lang w:val="en-CA"/>
        </w:rPr>
        <w:t xml:space="preserve"> by section 24 of the </w:t>
      </w:r>
      <w:r w:rsidRPr="002F6CBB">
        <w:rPr>
          <w:i/>
          <w:lang w:val="en-CA"/>
        </w:rPr>
        <w:t>Charter</w:t>
      </w:r>
      <w:r w:rsidRPr="002F6CBB">
        <w:rPr>
          <w:lang w:val="en-CA"/>
        </w:rPr>
        <w:t xml:space="preserve"> not to be deprived of his liberty except on grounds provi</w:t>
      </w:r>
      <w:r w:rsidR="00C60090">
        <w:rPr>
          <w:lang w:val="en-CA"/>
        </w:rPr>
        <w:t>d</w:t>
      </w:r>
      <w:r w:rsidRPr="002F6CBB">
        <w:rPr>
          <w:lang w:val="en-CA"/>
        </w:rPr>
        <w:t>ed by law and in accordance with the prescribed procedure.</w:t>
      </w:r>
      <w:r w:rsidR="00BC67BE" w:rsidRPr="002F6CBB">
        <w:rPr>
          <w:lang w:val="en-CA"/>
        </w:rPr>
        <w:t xml:space="preserve"> </w:t>
      </w:r>
    </w:p>
    <w:p w14:paraId="3FD5DBCF" w14:textId="04FBDDAE" w:rsidR="00810CE6" w:rsidRPr="002F6CBB" w:rsidRDefault="002433A5" w:rsidP="006D305A">
      <w:pPr>
        <w:pStyle w:val="Paragraphe"/>
        <w:tabs>
          <w:tab w:val="clear" w:pos="567"/>
          <w:tab w:val="num" w:pos="709"/>
        </w:tabs>
        <w:rPr>
          <w:lang w:val="en-CA"/>
        </w:rPr>
      </w:pPr>
      <w:r w:rsidRPr="002F6CBB">
        <w:rPr>
          <w:lang w:val="en-CA"/>
        </w:rPr>
        <w:t xml:space="preserve">While section 636 </w:t>
      </w:r>
      <w:r w:rsidRPr="002F6CBB">
        <w:rPr>
          <w:i/>
          <w:lang w:val="en-CA"/>
        </w:rPr>
        <w:t>HSC</w:t>
      </w:r>
      <w:r w:rsidRPr="002F6CBB">
        <w:rPr>
          <w:lang w:val="en-CA"/>
        </w:rPr>
        <w:t xml:space="preserve"> authorizes the police to </w:t>
      </w:r>
      <w:r w:rsidR="00EB55BF">
        <w:rPr>
          <w:lang w:val="en-CA"/>
        </w:rPr>
        <w:t>intercept</w:t>
      </w:r>
      <w:r w:rsidR="00EB55BF" w:rsidRPr="002F6CBB">
        <w:rPr>
          <w:lang w:val="en-CA"/>
        </w:rPr>
        <w:t xml:space="preserve"> </w:t>
      </w:r>
      <w:r w:rsidRPr="002F6CBB">
        <w:rPr>
          <w:lang w:val="en-CA"/>
        </w:rPr>
        <w:t xml:space="preserve">drivers on the </w:t>
      </w:r>
      <w:r w:rsidR="00C60090">
        <w:rPr>
          <w:lang w:val="en-CA"/>
        </w:rPr>
        <w:t xml:space="preserve">road </w:t>
      </w:r>
      <w:r w:rsidRPr="002F6CBB">
        <w:rPr>
          <w:lang w:val="en-CA"/>
        </w:rPr>
        <w:t xml:space="preserve">without grounds other than to </w:t>
      </w:r>
      <w:r w:rsidR="009768E5">
        <w:rPr>
          <w:lang w:val="en-CA"/>
        </w:rPr>
        <w:t xml:space="preserve">ensure </w:t>
      </w:r>
      <w:r w:rsidRPr="002F6CBB">
        <w:rPr>
          <w:lang w:val="en-CA"/>
        </w:rPr>
        <w:t xml:space="preserve">public safety, it goes without saying that this provision can never be interpreted as allowing the police to violate the </w:t>
      </w:r>
      <w:r w:rsidRPr="002F6CBB">
        <w:rPr>
          <w:i/>
          <w:lang w:val="en-CA"/>
        </w:rPr>
        <w:t>Charter</w:t>
      </w:r>
      <w:r w:rsidR="00E46310">
        <w:rPr>
          <w:iCs/>
          <w:lang w:val="en-CA"/>
        </w:rPr>
        <w:t>,</w:t>
      </w:r>
      <w:r w:rsidRPr="002F6CBB">
        <w:rPr>
          <w:lang w:val="en-CA"/>
        </w:rPr>
        <w:t xml:space="preserve"> which, it should be recalled, </w:t>
      </w:r>
      <w:r w:rsidR="009768E5">
        <w:rPr>
          <w:lang w:val="en-CA"/>
        </w:rPr>
        <w:t xml:space="preserve">is situated above the </w:t>
      </w:r>
      <w:r w:rsidR="009768E5" w:rsidRPr="0063498F">
        <w:rPr>
          <w:i/>
          <w:iCs/>
          <w:lang w:val="en-CA"/>
        </w:rPr>
        <w:t>HSC</w:t>
      </w:r>
      <w:r w:rsidR="009768E5">
        <w:rPr>
          <w:lang w:val="en-CA"/>
        </w:rPr>
        <w:t xml:space="preserve"> and </w:t>
      </w:r>
      <w:r w:rsidRPr="002F6CBB">
        <w:rPr>
          <w:lang w:val="en-CA"/>
        </w:rPr>
        <w:t xml:space="preserve">prevails over </w:t>
      </w:r>
      <w:r w:rsidR="009768E5">
        <w:rPr>
          <w:lang w:val="en-CA"/>
        </w:rPr>
        <w:t>it</w:t>
      </w:r>
      <w:r w:rsidRPr="002F6CBB">
        <w:rPr>
          <w:lang w:val="en-CA"/>
        </w:rPr>
        <w:t>.</w:t>
      </w:r>
      <w:r w:rsidRPr="002F6CBB">
        <w:rPr>
          <w:rStyle w:val="Appelnotedebasdep"/>
          <w:lang w:val="en-CA"/>
        </w:rPr>
        <w:footnoteReference w:id="80"/>
      </w:r>
      <w:r w:rsidRPr="002F6CBB">
        <w:rPr>
          <w:lang w:val="en-CA"/>
        </w:rPr>
        <w:t xml:space="preserve"> </w:t>
      </w:r>
    </w:p>
    <w:p w14:paraId="0A5E5C5C" w14:textId="4CC34323" w:rsidR="00810CE6" w:rsidRPr="002F6CBB" w:rsidRDefault="00C60090" w:rsidP="00D629A7">
      <w:pPr>
        <w:pStyle w:val="Titre4"/>
        <w:rPr>
          <w:bCs/>
          <w:lang w:val="en-CA"/>
        </w:rPr>
      </w:pPr>
      <w:bookmarkStart w:id="42" w:name="_Toc183702216"/>
      <w:r>
        <w:rPr>
          <w:bCs/>
          <w:lang w:val="en-CA"/>
        </w:rPr>
        <w:t xml:space="preserve">Violation of </w:t>
      </w:r>
      <w:r w:rsidR="002433A5" w:rsidRPr="002F6CBB">
        <w:rPr>
          <w:bCs/>
          <w:lang w:val="en-CA"/>
        </w:rPr>
        <w:t>equality and protection against unreasonable searches</w:t>
      </w:r>
      <w:bookmarkEnd w:id="42"/>
    </w:p>
    <w:p w14:paraId="6109E5D3" w14:textId="7D019C0C" w:rsidR="00810CE6" w:rsidRPr="002F6CBB" w:rsidRDefault="002433A5" w:rsidP="006D305A">
      <w:pPr>
        <w:pStyle w:val="Paragraphe"/>
        <w:tabs>
          <w:tab w:val="clear" w:pos="567"/>
          <w:tab w:val="num" w:pos="709"/>
        </w:tabs>
        <w:rPr>
          <w:lang w:val="en-CA"/>
        </w:rPr>
      </w:pPr>
      <w:r w:rsidRPr="002F6CBB">
        <w:rPr>
          <w:lang w:val="en-CA"/>
        </w:rPr>
        <w:t>The CDPDJ submit</w:t>
      </w:r>
      <w:r w:rsidR="00C60090">
        <w:rPr>
          <w:lang w:val="en-CA"/>
        </w:rPr>
        <w:t>s</w:t>
      </w:r>
      <w:r w:rsidRPr="002F6CBB">
        <w:rPr>
          <w:lang w:val="en-CA"/>
        </w:rPr>
        <w:t xml:space="preserve"> that the defendant Lamothe unreasonably and discriminatorily visually </w:t>
      </w:r>
      <w:r w:rsidR="00DB3691" w:rsidRPr="002F6CBB">
        <w:rPr>
          <w:lang w:val="en-CA"/>
        </w:rPr>
        <w:t>searched</w:t>
      </w:r>
      <w:r w:rsidRPr="002F6CBB">
        <w:rPr>
          <w:lang w:val="en-CA"/>
        </w:rPr>
        <w:t xml:space="preserve"> the </w:t>
      </w:r>
      <w:r w:rsidR="00C60090">
        <w:rPr>
          <w:lang w:val="en-CA"/>
        </w:rPr>
        <w:t>interior</w:t>
      </w:r>
      <w:r w:rsidRPr="002F6CBB">
        <w:rPr>
          <w:lang w:val="en-CA"/>
        </w:rPr>
        <w:t xml:space="preserve"> of the car driven by Mr. Woodley.</w:t>
      </w:r>
      <w:r w:rsidR="00BC67BE" w:rsidRPr="002F6CBB">
        <w:rPr>
          <w:lang w:val="en-CA"/>
        </w:rPr>
        <w:t xml:space="preserve"> </w:t>
      </w:r>
    </w:p>
    <w:p w14:paraId="53C2B687" w14:textId="150F1112" w:rsidR="00810CE6" w:rsidRPr="002F6CBB" w:rsidRDefault="002433A5" w:rsidP="006D305A">
      <w:pPr>
        <w:pStyle w:val="Paragraphe"/>
        <w:tabs>
          <w:tab w:val="clear" w:pos="567"/>
          <w:tab w:val="num" w:pos="709"/>
        </w:tabs>
        <w:rPr>
          <w:lang w:val="en-CA"/>
        </w:rPr>
      </w:pPr>
      <w:r w:rsidRPr="002F6CBB">
        <w:rPr>
          <w:lang w:val="en-CA"/>
        </w:rPr>
        <w:lastRenderedPageBreak/>
        <w:t xml:space="preserve">Section 24.1 of the </w:t>
      </w:r>
      <w:r w:rsidRPr="002F6CBB">
        <w:rPr>
          <w:i/>
          <w:lang w:val="en-CA"/>
        </w:rPr>
        <w:t>Charter</w:t>
      </w:r>
      <w:r w:rsidRPr="002F6CBB">
        <w:rPr>
          <w:lang w:val="en-CA"/>
        </w:rPr>
        <w:t xml:space="preserve"> protects every person against</w:t>
      </w:r>
      <w:r w:rsidR="00836848">
        <w:rPr>
          <w:lang w:val="en-CA"/>
        </w:rPr>
        <w:t>, notably</w:t>
      </w:r>
      <w:r w:rsidR="00A5105B">
        <w:rPr>
          <w:lang w:val="en-CA"/>
        </w:rPr>
        <w:t>,</w:t>
      </w:r>
      <w:r w:rsidRPr="002F6CBB">
        <w:rPr>
          <w:lang w:val="en-CA"/>
        </w:rPr>
        <w:t xml:space="preserve"> unreasonable searches. </w:t>
      </w:r>
      <w:r w:rsidR="00BC67BE" w:rsidRPr="002F6CBB">
        <w:rPr>
          <w:lang w:val="en-CA"/>
        </w:rPr>
        <w:t xml:space="preserve"> </w:t>
      </w:r>
    </w:p>
    <w:p w14:paraId="6FE141F1" w14:textId="486693C1" w:rsidR="00810CE6" w:rsidRPr="002F6CBB" w:rsidRDefault="002433A5" w:rsidP="006D305A">
      <w:pPr>
        <w:pStyle w:val="Paragraphe"/>
        <w:tabs>
          <w:tab w:val="clear" w:pos="567"/>
          <w:tab w:val="num" w:pos="709"/>
        </w:tabs>
        <w:rPr>
          <w:lang w:val="en-CA"/>
        </w:rPr>
      </w:pPr>
      <w:r w:rsidRPr="002F6CBB">
        <w:rPr>
          <w:lang w:val="en-CA"/>
        </w:rPr>
        <w:t xml:space="preserve">As there is no doubt that a search based on prejudices and stereotypes motivated by personal characteristics such as the driver’s race, colour, or sex </w:t>
      </w:r>
      <w:r w:rsidR="009652E7">
        <w:rPr>
          <w:lang w:val="en-CA"/>
        </w:rPr>
        <w:t>constitutes</w:t>
      </w:r>
      <w:r w:rsidRPr="002F6CBB">
        <w:rPr>
          <w:lang w:val="en-CA"/>
        </w:rPr>
        <w:t xml:space="preserve"> an unreasonable search, the </w:t>
      </w:r>
      <w:r w:rsidR="009652E7">
        <w:rPr>
          <w:lang w:val="en-CA"/>
        </w:rPr>
        <w:t xml:space="preserve">necessary </w:t>
      </w:r>
      <w:r w:rsidRPr="002F6CBB">
        <w:rPr>
          <w:lang w:val="en-CA"/>
        </w:rPr>
        <w:t>conclu</w:t>
      </w:r>
      <w:r w:rsidR="009652E7">
        <w:rPr>
          <w:lang w:val="en-CA"/>
        </w:rPr>
        <w:t>sion is</w:t>
      </w:r>
      <w:r w:rsidRPr="002F6CBB">
        <w:rPr>
          <w:lang w:val="en-CA"/>
        </w:rPr>
        <w:t xml:space="preserve"> that </w:t>
      </w:r>
      <w:r w:rsidR="00DE753C">
        <w:rPr>
          <w:lang w:val="en-CA"/>
        </w:rPr>
        <w:t xml:space="preserve">the complainant was the victim of a </w:t>
      </w:r>
      <w:r w:rsidR="009652E7">
        <w:rPr>
          <w:lang w:val="en-CA"/>
        </w:rPr>
        <w:t>discriminatory interference</w:t>
      </w:r>
      <w:r w:rsidR="00DE753C">
        <w:rPr>
          <w:lang w:val="en-CA"/>
        </w:rPr>
        <w:t xml:space="preserve"> of the right guaranteed to him by</w:t>
      </w:r>
      <w:r w:rsidRPr="002F6CBB">
        <w:rPr>
          <w:lang w:val="en-CA"/>
        </w:rPr>
        <w:t xml:space="preserve"> section 24.1 </w:t>
      </w:r>
      <w:r w:rsidR="00DE753C">
        <w:rPr>
          <w:lang w:val="en-CA"/>
        </w:rPr>
        <w:t xml:space="preserve">of the </w:t>
      </w:r>
      <w:r w:rsidRPr="002F6CBB">
        <w:rPr>
          <w:i/>
          <w:lang w:val="en-CA"/>
        </w:rPr>
        <w:t>Charter</w:t>
      </w:r>
      <w:r w:rsidRPr="002F6CBB">
        <w:rPr>
          <w:lang w:val="en-CA"/>
        </w:rPr>
        <w:t xml:space="preserve">.  </w:t>
      </w:r>
    </w:p>
    <w:p w14:paraId="2FAB9FC8" w14:textId="6A539957" w:rsidR="00810CE6" w:rsidRPr="002F6CBB" w:rsidRDefault="002433A5" w:rsidP="006D305A">
      <w:pPr>
        <w:pStyle w:val="Paragraphe"/>
        <w:tabs>
          <w:tab w:val="clear" w:pos="567"/>
          <w:tab w:val="num" w:pos="709"/>
        </w:tabs>
        <w:rPr>
          <w:lang w:val="en-CA"/>
        </w:rPr>
      </w:pPr>
      <w:r w:rsidRPr="002F6CBB">
        <w:rPr>
          <w:lang w:val="en-CA"/>
        </w:rPr>
        <w:t xml:space="preserve">Given that the defendants have no persuasive evidence to refute or justify the allegations of racial profiling, the Tribunal finds that the CDPDJ has </w:t>
      </w:r>
      <w:r w:rsidR="002E1D27">
        <w:rPr>
          <w:lang w:val="en-CA"/>
        </w:rPr>
        <w:t xml:space="preserve">met </w:t>
      </w:r>
      <w:r w:rsidRPr="002F6CBB">
        <w:rPr>
          <w:lang w:val="en-CA"/>
        </w:rPr>
        <w:t xml:space="preserve">its burden of proving on a balance of probabilities that Mr. Woodley was the victim of discrimination </w:t>
      </w:r>
      <w:r w:rsidR="00F70460">
        <w:rPr>
          <w:lang w:val="en-CA"/>
        </w:rPr>
        <w:t>in the form of</w:t>
      </w:r>
      <w:r w:rsidRPr="002F6CBB">
        <w:rPr>
          <w:lang w:val="en-CA"/>
        </w:rPr>
        <w:t xml:space="preserve"> racial profiling on September 19, 2018, when he was </w:t>
      </w:r>
      <w:r w:rsidR="00AF01DB">
        <w:rPr>
          <w:lang w:val="en-CA"/>
        </w:rPr>
        <w:t>intercepted</w:t>
      </w:r>
      <w:r w:rsidR="00AF01DB" w:rsidRPr="002F6CBB">
        <w:rPr>
          <w:lang w:val="en-CA"/>
        </w:rPr>
        <w:t xml:space="preserve"> </w:t>
      </w:r>
      <w:r w:rsidRPr="002F6CBB">
        <w:rPr>
          <w:lang w:val="en-CA"/>
        </w:rPr>
        <w:t xml:space="preserve">at the corner of Loranger Street and </w:t>
      </w:r>
      <w:proofErr w:type="spellStart"/>
      <w:r w:rsidRPr="002F6CBB">
        <w:rPr>
          <w:lang w:val="en-CA"/>
        </w:rPr>
        <w:t>Curé</w:t>
      </w:r>
      <w:proofErr w:type="spellEnd"/>
      <w:r w:rsidRPr="002F6CBB">
        <w:rPr>
          <w:lang w:val="en-CA"/>
        </w:rPr>
        <w:t xml:space="preserve">-Labelle Boulevard in Laval by Officers </w:t>
      </w:r>
      <w:proofErr w:type="spellStart"/>
      <w:r w:rsidRPr="002F6CBB">
        <w:rPr>
          <w:lang w:val="en-CA"/>
        </w:rPr>
        <w:t>Beaulac</w:t>
      </w:r>
      <w:proofErr w:type="spellEnd"/>
      <w:r w:rsidRPr="002F6CBB">
        <w:rPr>
          <w:lang w:val="en-CA"/>
        </w:rPr>
        <w:t xml:space="preserve"> and Lamothe, in violation of section 10 of the </w:t>
      </w:r>
      <w:r w:rsidRPr="002F6CBB">
        <w:rPr>
          <w:i/>
          <w:lang w:val="en-CA"/>
        </w:rPr>
        <w:t>Charter</w:t>
      </w:r>
      <w:r w:rsidRPr="002F6CBB">
        <w:rPr>
          <w:lang w:val="en-CA"/>
        </w:rPr>
        <w:t>.</w:t>
      </w:r>
    </w:p>
    <w:p w14:paraId="661D7E6A" w14:textId="57AD0468" w:rsidR="00375010" w:rsidRPr="002F6CBB" w:rsidRDefault="002433A5" w:rsidP="00DD2CAC">
      <w:pPr>
        <w:pStyle w:val="Titre2"/>
        <w:rPr>
          <w:rFonts w:eastAsia="Calibri"/>
          <w:lang w:val="en-CA" w:eastAsia="en-US"/>
        </w:rPr>
      </w:pPr>
      <w:bookmarkStart w:id="43" w:name="_Toc183702217"/>
      <w:r w:rsidRPr="002F6CBB">
        <w:rPr>
          <w:rFonts w:eastAsia="Calibri"/>
          <w:lang w:val="en-CA" w:eastAsia="en-US"/>
        </w:rPr>
        <w:t xml:space="preserve">What monetary </w:t>
      </w:r>
      <w:r w:rsidR="00352864">
        <w:rPr>
          <w:rFonts w:eastAsia="Calibri"/>
          <w:lang w:val="en-CA" w:eastAsia="en-US"/>
        </w:rPr>
        <w:t>compensation</w:t>
      </w:r>
      <w:r w:rsidRPr="002F6CBB">
        <w:rPr>
          <w:rFonts w:eastAsia="Calibri"/>
          <w:lang w:val="en-CA" w:eastAsia="en-US"/>
        </w:rPr>
        <w:t xml:space="preserve"> is justified and what public interest orders are required in the circumstances?</w:t>
      </w:r>
      <w:bookmarkEnd w:id="43"/>
    </w:p>
    <w:p w14:paraId="1487A2A5" w14:textId="63CDD521" w:rsidR="00375010" w:rsidRPr="002F6CBB" w:rsidRDefault="002433A5" w:rsidP="001D31CF">
      <w:pPr>
        <w:pStyle w:val="Paragraphe"/>
        <w:tabs>
          <w:tab w:val="clear" w:pos="567"/>
          <w:tab w:val="num" w:pos="709"/>
        </w:tabs>
        <w:rPr>
          <w:lang w:val="en-CA"/>
        </w:rPr>
      </w:pPr>
      <w:r w:rsidRPr="002F6CBB">
        <w:rPr>
          <w:lang w:val="en-CA"/>
        </w:rPr>
        <w:t xml:space="preserve">The CDPDJ asks that the defendants </w:t>
      </w:r>
      <w:r w:rsidR="004607EF">
        <w:rPr>
          <w:lang w:val="en-CA"/>
        </w:rPr>
        <w:t xml:space="preserve">be condemned </w:t>
      </w:r>
      <w:proofErr w:type="spellStart"/>
      <w:r w:rsidRPr="002F6CBB">
        <w:rPr>
          <w:lang w:val="en-CA"/>
        </w:rPr>
        <w:t>solidarily</w:t>
      </w:r>
      <w:proofErr w:type="spellEnd"/>
      <w:r w:rsidRPr="002F6CBB">
        <w:rPr>
          <w:lang w:val="en-CA"/>
        </w:rPr>
        <w:t xml:space="preserve"> </w:t>
      </w:r>
      <w:r w:rsidR="004607EF">
        <w:rPr>
          <w:lang w:val="en-CA"/>
        </w:rPr>
        <w:t xml:space="preserve">to </w:t>
      </w:r>
      <w:r w:rsidRPr="002F6CBB">
        <w:rPr>
          <w:lang w:val="en-CA"/>
        </w:rPr>
        <w:t xml:space="preserve">pay Mr. Woodley $20,000 </w:t>
      </w:r>
      <w:r w:rsidR="006A7FE6">
        <w:rPr>
          <w:lang w:val="en-CA"/>
        </w:rPr>
        <w:t>in</w:t>
      </w:r>
      <w:r w:rsidRPr="002F6CBB">
        <w:rPr>
          <w:lang w:val="en-CA"/>
        </w:rPr>
        <w:t xml:space="preserve"> damages for moral prejudice and that each officer </w:t>
      </w:r>
      <w:r w:rsidR="00B72091">
        <w:rPr>
          <w:lang w:val="en-CA"/>
        </w:rPr>
        <w:t xml:space="preserve">be condemned to </w:t>
      </w:r>
      <w:r w:rsidRPr="002F6CBB">
        <w:rPr>
          <w:lang w:val="en-CA"/>
        </w:rPr>
        <w:t xml:space="preserve">pay $2,000 </w:t>
      </w:r>
      <w:r w:rsidR="006A7FE6">
        <w:rPr>
          <w:lang w:val="en-CA"/>
        </w:rPr>
        <w:t>in</w:t>
      </w:r>
      <w:r w:rsidRPr="002F6CBB">
        <w:rPr>
          <w:lang w:val="en-CA"/>
        </w:rPr>
        <w:t xml:space="preserve"> punitive damages.</w:t>
      </w:r>
    </w:p>
    <w:p w14:paraId="32774A44" w14:textId="285641FD" w:rsidR="00375010" w:rsidRPr="002F6CBB" w:rsidRDefault="002433A5" w:rsidP="001D31CF">
      <w:pPr>
        <w:pStyle w:val="Paragraphe"/>
        <w:tabs>
          <w:tab w:val="clear" w:pos="567"/>
          <w:tab w:val="num" w:pos="709"/>
        </w:tabs>
        <w:rPr>
          <w:lang w:val="en-CA"/>
        </w:rPr>
      </w:pPr>
      <w:r w:rsidRPr="002F6CBB">
        <w:rPr>
          <w:lang w:val="en-CA"/>
        </w:rPr>
        <w:t xml:space="preserve">The various orders requested as </w:t>
      </w:r>
      <w:r w:rsidR="006A7FE6">
        <w:rPr>
          <w:lang w:val="en-CA"/>
        </w:rPr>
        <w:t xml:space="preserve">measures of </w:t>
      </w:r>
      <w:r w:rsidRPr="002F6CBB">
        <w:rPr>
          <w:lang w:val="en-CA"/>
        </w:rPr>
        <w:t>re</w:t>
      </w:r>
      <w:r w:rsidR="006A7FE6">
        <w:rPr>
          <w:lang w:val="en-CA"/>
        </w:rPr>
        <w:t>dress</w:t>
      </w:r>
      <w:r w:rsidRPr="002F6CBB">
        <w:rPr>
          <w:lang w:val="en-CA"/>
        </w:rPr>
        <w:t xml:space="preserve"> seek primarily to compel the Ville de Laval to adopt a policy to combat racial profiling, to train its officers to counter discrimination in the form of racial profiling, and to collect and publish anonym</w:t>
      </w:r>
      <w:r w:rsidR="00DA63A2">
        <w:rPr>
          <w:lang w:val="en-CA"/>
        </w:rPr>
        <w:t>ized</w:t>
      </w:r>
      <w:r w:rsidRPr="002F6CBB">
        <w:rPr>
          <w:lang w:val="en-CA"/>
        </w:rPr>
        <w:t xml:space="preserve"> data </w:t>
      </w:r>
      <w:r w:rsidR="00E73724">
        <w:rPr>
          <w:lang w:val="en-CA"/>
        </w:rPr>
        <w:t>on</w:t>
      </w:r>
      <w:r w:rsidRPr="002F6CBB">
        <w:rPr>
          <w:lang w:val="en-CA"/>
        </w:rPr>
        <w:t xml:space="preserve"> </w:t>
      </w:r>
      <w:r w:rsidR="00E73724">
        <w:rPr>
          <w:lang w:val="en-CA"/>
        </w:rPr>
        <w:t xml:space="preserve">the </w:t>
      </w:r>
      <w:r w:rsidRPr="002F6CBB">
        <w:rPr>
          <w:lang w:val="en-CA"/>
        </w:rPr>
        <w:t xml:space="preserve">perceived or presumed </w:t>
      </w:r>
      <w:r w:rsidR="00E73724">
        <w:rPr>
          <w:lang w:val="en-CA"/>
        </w:rPr>
        <w:t xml:space="preserve">racial background </w:t>
      </w:r>
      <w:r w:rsidRPr="002F6CBB">
        <w:rPr>
          <w:lang w:val="en-CA"/>
        </w:rPr>
        <w:t xml:space="preserve">of individuals who have been </w:t>
      </w:r>
      <w:r w:rsidR="003F6D5A">
        <w:rPr>
          <w:lang w:val="en-CA"/>
        </w:rPr>
        <w:t>intercepted</w:t>
      </w:r>
      <w:r w:rsidR="00247AB8">
        <w:rPr>
          <w:lang w:val="en-CA"/>
        </w:rPr>
        <w:t xml:space="preserve"> </w:t>
      </w:r>
      <w:r w:rsidRPr="002F6CBB">
        <w:rPr>
          <w:lang w:val="en-CA"/>
        </w:rPr>
        <w:t>by the police to document racial profiling.</w:t>
      </w:r>
    </w:p>
    <w:p w14:paraId="2568E0A1" w14:textId="093F99E2" w:rsidR="00375010" w:rsidRPr="00472A9A" w:rsidRDefault="002433A5" w:rsidP="00472A9A">
      <w:pPr>
        <w:pStyle w:val="Titre3"/>
        <w:numPr>
          <w:ilvl w:val="0"/>
          <w:numId w:val="11"/>
        </w:numPr>
        <w:rPr>
          <w:lang w:val="en-CA"/>
        </w:rPr>
      </w:pPr>
      <w:bookmarkStart w:id="44" w:name="_Toc183702218"/>
      <w:r w:rsidRPr="00472A9A">
        <w:rPr>
          <w:lang w:val="en-CA"/>
        </w:rPr>
        <w:t>Moral prejudice</w:t>
      </w:r>
      <w:bookmarkEnd w:id="44"/>
    </w:p>
    <w:p w14:paraId="437E56BB" w14:textId="102E59C9" w:rsidR="00375010" w:rsidRPr="002F6CBB" w:rsidRDefault="00E73724" w:rsidP="001D31CF">
      <w:pPr>
        <w:pStyle w:val="Paragraphe"/>
        <w:tabs>
          <w:tab w:val="clear" w:pos="567"/>
          <w:tab w:val="num" w:pos="709"/>
        </w:tabs>
        <w:rPr>
          <w:lang w:val="en-CA"/>
        </w:rPr>
      </w:pPr>
      <w:r>
        <w:rPr>
          <w:lang w:val="en-CA"/>
        </w:rPr>
        <w:t>To start</w:t>
      </w:r>
      <w:r w:rsidR="002433A5" w:rsidRPr="002F6CBB">
        <w:rPr>
          <w:lang w:val="en-CA"/>
        </w:rPr>
        <w:t xml:space="preserve">, the Tribunal notes that the obligation to make reparation for injury caused to another through the fault of </w:t>
      </w:r>
      <w:r>
        <w:rPr>
          <w:lang w:val="en-CA"/>
        </w:rPr>
        <w:t xml:space="preserve">more than </w:t>
      </w:r>
      <w:r w:rsidR="002433A5" w:rsidRPr="002F6CBB">
        <w:rPr>
          <w:lang w:val="en-CA"/>
        </w:rPr>
        <w:t xml:space="preserve">one person is solidary in extracontractual matters. Officers </w:t>
      </w:r>
      <w:proofErr w:type="spellStart"/>
      <w:r w:rsidR="002433A5" w:rsidRPr="002F6CBB">
        <w:rPr>
          <w:lang w:val="en-CA"/>
        </w:rPr>
        <w:t>Beaulac</w:t>
      </w:r>
      <w:proofErr w:type="spellEnd"/>
      <w:r w:rsidR="002433A5" w:rsidRPr="002F6CBB">
        <w:rPr>
          <w:lang w:val="en-CA"/>
        </w:rPr>
        <w:t xml:space="preserve"> and Lamothe are th</w:t>
      </w:r>
      <w:r>
        <w:rPr>
          <w:lang w:val="en-CA"/>
        </w:rPr>
        <w:t>erefore</w:t>
      </w:r>
      <w:r w:rsidR="002433A5" w:rsidRPr="002F6CBB">
        <w:rPr>
          <w:lang w:val="en-CA"/>
        </w:rPr>
        <w:t xml:space="preserve"> </w:t>
      </w:r>
      <w:proofErr w:type="spellStart"/>
      <w:r w:rsidR="002433A5" w:rsidRPr="002F6CBB">
        <w:rPr>
          <w:lang w:val="en-CA"/>
        </w:rPr>
        <w:t>solidarily</w:t>
      </w:r>
      <w:proofErr w:type="spellEnd"/>
      <w:r w:rsidR="002433A5" w:rsidRPr="002F6CBB">
        <w:rPr>
          <w:lang w:val="en-CA"/>
        </w:rPr>
        <w:t xml:space="preserve"> liable for </w:t>
      </w:r>
      <w:r>
        <w:rPr>
          <w:lang w:val="en-CA"/>
        </w:rPr>
        <w:t xml:space="preserve">the </w:t>
      </w:r>
      <w:r w:rsidR="003F6D5A">
        <w:rPr>
          <w:lang w:val="en-CA"/>
        </w:rPr>
        <w:t xml:space="preserve">prejudice </w:t>
      </w:r>
      <w:r w:rsidR="00DA63A2">
        <w:rPr>
          <w:lang w:val="en-CA"/>
        </w:rPr>
        <w:t>suffered by</w:t>
      </w:r>
      <w:r>
        <w:rPr>
          <w:lang w:val="en-CA"/>
        </w:rPr>
        <w:t xml:space="preserve"> </w:t>
      </w:r>
      <w:r w:rsidRPr="002F6CBB">
        <w:rPr>
          <w:lang w:val="en-CA"/>
        </w:rPr>
        <w:t>Mr. Woodley</w:t>
      </w:r>
      <w:r w:rsidR="002433A5" w:rsidRPr="002F6CBB">
        <w:rPr>
          <w:lang w:val="en-CA"/>
        </w:rPr>
        <w:t>.</w:t>
      </w:r>
      <w:r w:rsidR="002433A5" w:rsidRPr="002F6CBB">
        <w:rPr>
          <w:rStyle w:val="Appelnotedebasdep"/>
          <w:rFonts w:cs="Arial"/>
          <w:szCs w:val="24"/>
          <w:lang w:val="en-CA"/>
        </w:rPr>
        <w:footnoteReference w:id="81"/>
      </w:r>
    </w:p>
    <w:p w14:paraId="60D22065" w14:textId="2757CBCB" w:rsidR="00375010" w:rsidRPr="002F6CBB" w:rsidRDefault="002433A5" w:rsidP="001D31CF">
      <w:pPr>
        <w:pStyle w:val="Paragraphe"/>
        <w:tabs>
          <w:tab w:val="clear" w:pos="567"/>
          <w:tab w:val="num" w:pos="709"/>
        </w:tabs>
        <w:rPr>
          <w:lang w:val="en-CA"/>
        </w:rPr>
      </w:pPr>
      <w:r w:rsidRPr="002F6CBB">
        <w:rPr>
          <w:lang w:val="en-CA"/>
        </w:rPr>
        <w:lastRenderedPageBreak/>
        <w:t xml:space="preserve">The Ville de Laval, as employer and therefore principal of the </w:t>
      </w:r>
      <w:r w:rsidR="009A4494">
        <w:rPr>
          <w:lang w:val="en-CA"/>
        </w:rPr>
        <w:t>officers</w:t>
      </w:r>
      <w:r w:rsidRPr="002F6CBB">
        <w:rPr>
          <w:lang w:val="en-CA"/>
        </w:rPr>
        <w:t>, is also bound to make reparation for</w:t>
      </w:r>
      <w:r w:rsidR="003F6D5A">
        <w:rPr>
          <w:lang w:val="en-CA"/>
        </w:rPr>
        <w:t xml:space="preserve"> the</w:t>
      </w:r>
      <w:r w:rsidRPr="002F6CBB">
        <w:rPr>
          <w:lang w:val="en-CA"/>
        </w:rPr>
        <w:t xml:space="preserve"> </w:t>
      </w:r>
      <w:r w:rsidR="003F6D5A">
        <w:rPr>
          <w:lang w:val="en-CA"/>
        </w:rPr>
        <w:t>prejudice</w:t>
      </w:r>
      <w:r w:rsidR="003F6D5A" w:rsidRPr="002F6CBB">
        <w:rPr>
          <w:lang w:val="en-CA"/>
        </w:rPr>
        <w:t xml:space="preserve"> </w:t>
      </w:r>
      <w:r w:rsidR="003F6D5A">
        <w:rPr>
          <w:lang w:val="en-CA"/>
        </w:rPr>
        <w:t xml:space="preserve">caused </w:t>
      </w:r>
      <w:r w:rsidRPr="002F6CBB">
        <w:rPr>
          <w:lang w:val="en-CA"/>
        </w:rPr>
        <w:t>to Mr. Woodley by their fault in the performance of their duties.</w:t>
      </w:r>
      <w:r w:rsidRPr="002F6CBB">
        <w:rPr>
          <w:rStyle w:val="Appelnotedebasdep"/>
          <w:rFonts w:cs="Arial"/>
          <w:szCs w:val="24"/>
          <w:lang w:val="en-CA"/>
        </w:rPr>
        <w:footnoteReference w:id="82"/>
      </w:r>
    </w:p>
    <w:p w14:paraId="7831A212" w14:textId="15913BEE" w:rsidR="00375010" w:rsidRPr="002F6CBB" w:rsidRDefault="00DB3691" w:rsidP="001D31CF">
      <w:pPr>
        <w:pStyle w:val="Paragraphe"/>
        <w:tabs>
          <w:tab w:val="clear" w:pos="567"/>
          <w:tab w:val="num" w:pos="709"/>
        </w:tabs>
        <w:rPr>
          <w:lang w:val="en-CA"/>
        </w:rPr>
      </w:pPr>
      <w:r w:rsidRPr="002F6CBB">
        <w:rPr>
          <w:lang w:val="en-CA"/>
        </w:rPr>
        <w:t>Having stated these principles, the Tribunal must assess the moral prejudice.</w:t>
      </w:r>
      <w:r w:rsidR="00BC67BE" w:rsidRPr="002F6CBB">
        <w:rPr>
          <w:lang w:val="en-CA"/>
        </w:rPr>
        <w:t xml:space="preserve"> </w:t>
      </w:r>
      <w:r w:rsidRPr="002F6CBB">
        <w:rPr>
          <w:lang w:val="en-CA"/>
        </w:rPr>
        <w:t>Th</w:t>
      </w:r>
      <w:r w:rsidR="00907CBE">
        <w:rPr>
          <w:lang w:val="en-CA"/>
        </w:rPr>
        <w:t xml:space="preserve">e </w:t>
      </w:r>
      <w:r w:rsidRPr="002F6CBB">
        <w:rPr>
          <w:lang w:val="en-CA"/>
        </w:rPr>
        <w:t>Court of Appeal stated</w:t>
      </w:r>
      <w:r w:rsidR="00907CBE">
        <w:rPr>
          <w:lang w:val="en-CA"/>
        </w:rPr>
        <w:t xml:space="preserve"> that this exercise</w:t>
      </w:r>
      <w:r w:rsidRPr="002F6CBB">
        <w:rPr>
          <w:lang w:val="en-CA"/>
        </w:rPr>
        <w:t xml:space="preserve"> is delicate and discretionary in several respects:</w:t>
      </w:r>
    </w:p>
    <w:p w14:paraId="064D7393" w14:textId="6457815A" w:rsidR="00DB3691" w:rsidRPr="002F6CBB" w:rsidRDefault="00DB3691" w:rsidP="008D7EA5">
      <w:pPr>
        <w:pStyle w:val="Citationenretrait"/>
        <w:rPr>
          <w:lang w:val="en-CA"/>
        </w:rPr>
      </w:pPr>
      <w:r w:rsidRPr="002F6CBB">
        <w:rPr>
          <w:rFonts w:cs="Arial"/>
          <w:lang w:val="en-CA"/>
        </w:rPr>
        <w:t>[</w:t>
      </w:r>
      <w:r w:rsidRPr="002F6CBB">
        <w:rPr>
          <w:rFonts w:cs="Arial"/>
          <w:smallCaps/>
          <w:lang w:val="en-CA"/>
        </w:rPr>
        <w:t>translation</w:t>
      </w:r>
      <w:r w:rsidRPr="002F6CBB">
        <w:rPr>
          <w:rFonts w:cs="Arial"/>
          <w:lang w:val="en-CA"/>
        </w:rPr>
        <w:t>]</w:t>
      </w:r>
    </w:p>
    <w:p w14:paraId="23239583" w14:textId="2A9A8E2F" w:rsidR="00375010" w:rsidRPr="002F6CBB" w:rsidRDefault="00DB3691" w:rsidP="008D7EA5">
      <w:pPr>
        <w:pStyle w:val="Citationenretrait"/>
        <w:rPr>
          <w:lang w:val="en-CA"/>
        </w:rPr>
      </w:pPr>
      <w:r w:rsidRPr="002F6CBB">
        <w:rPr>
          <w:lang w:val="en-CA"/>
        </w:rPr>
        <w:t>Translating moral prejudice into damages, that is, into monetary terms, is always delicate.</w:t>
      </w:r>
      <w:r w:rsidR="00BC67BE" w:rsidRPr="002F6CBB">
        <w:rPr>
          <w:lang w:val="en-CA"/>
        </w:rPr>
        <w:t xml:space="preserve"> </w:t>
      </w:r>
      <w:r w:rsidRPr="002F6CBB">
        <w:rPr>
          <w:lang w:val="en-CA"/>
        </w:rPr>
        <w:t xml:space="preserve">As </w:t>
      </w:r>
      <w:proofErr w:type="spellStart"/>
      <w:r w:rsidRPr="002F6CBB">
        <w:rPr>
          <w:lang w:val="en-CA"/>
        </w:rPr>
        <w:t>Vézina</w:t>
      </w:r>
      <w:proofErr w:type="spellEnd"/>
      <w:r w:rsidRPr="002F6CBB">
        <w:rPr>
          <w:lang w:val="en-CA"/>
        </w:rPr>
        <w:t xml:space="preserve"> J.A. wrote in </w:t>
      </w:r>
      <w:proofErr w:type="spellStart"/>
      <w:r w:rsidRPr="002F6CBB">
        <w:rPr>
          <w:i/>
          <w:color w:val="000000"/>
          <w:lang w:val="en-CA"/>
        </w:rPr>
        <w:t>Calego</w:t>
      </w:r>
      <w:proofErr w:type="spellEnd"/>
      <w:r w:rsidRPr="002F6CBB">
        <w:rPr>
          <w:i/>
          <w:color w:val="000000"/>
          <w:lang w:val="en-CA"/>
        </w:rPr>
        <w:t xml:space="preserve"> International inc. c. Commission des droits de la personne et des droits de la jeunesse</w:t>
      </w:r>
      <w:r w:rsidRPr="002F6CBB">
        <w:rPr>
          <w:color w:val="000000"/>
          <w:lang w:val="en-CA"/>
        </w:rPr>
        <w:t>, [</w:t>
      </w:r>
      <w:r w:rsidRPr="002F6CBB">
        <w:rPr>
          <w:smallCaps/>
          <w:color w:val="000000"/>
          <w:lang w:val="en-CA"/>
        </w:rPr>
        <w:t>translation</w:t>
      </w:r>
      <w:r w:rsidRPr="002F6CBB">
        <w:rPr>
          <w:color w:val="000000"/>
          <w:lang w:val="en-CA"/>
        </w:rPr>
        <w:t>] “measuring moral damages and the resulting compensation is a delicate task that is necessarily discretionary”, and, we would be tempted to add, almost arbitrary.</w:t>
      </w:r>
      <w:r w:rsidR="00BC67BE" w:rsidRPr="002F6CBB">
        <w:rPr>
          <w:rStyle w:val="Appelnotedebasdep"/>
          <w:rFonts w:cs="Arial"/>
          <w:color w:val="000000"/>
          <w:szCs w:val="22"/>
          <w:lang w:val="en-CA"/>
        </w:rPr>
        <w:footnoteReference w:id="83"/>
      </w:r>
    </w:p>
    <w:p w14:paraId="4996B943" w14:textId="6E31FC7E" w:rsidR="00EA471C" w:rsidRPr="002F6CBB" w:rsidRDefault="00DB3691" w:rsidP="001D31CF">
      <w:pPr>
        <w:pStyle w:val="Paragraphe"/>
        <w:tabs>
          <w:tab w:val="clear" w:pos="567"/>
          <w:tab w:val="num" w:pos="709"/>
        </w:tabs>
        <w:rPr>
          <w:lang w:val="en-CA"/>
        </w:rPr>
      </w:pPr>
      <w:r w:rsidRPr="002F6CBB">
        <w:rPr>
          <w:lang w:val="en-CA"/>
        </w:rPr>
        <w:t xml:space="preserve">That said, as Brunelle J. stated on behalf of the Tribunal in </w:t>
      </w:r>
      <w:proofErr w:type="spellStart"/>
      <w:r w:rsidRPr="002F6CBB">
        <w:rPr>
          <w:i/>
          <w:lang w:val="en-CA"/>
        </w:rPr>
        <w:t>DeBellefeuille</w:t>
      </w:r>
      <w:proofErr w:type="spellEnd"/>
      <w:r w:rsidRPr="002F6CBB">
        <w:rPr>
          <w:rStyle w:val="Appelnotedebasdep"/>
          <w:rFonts w:cs="Arial"/>
          <w:color w:val="000000"/>
          <w:szCs w:val="22"/>
          <w:lang w:val="en-CA"/>
        </w:rPr>
        <w:footnoteReference w:id="84"/>
      </w:r>
      <w:r w:rsidR="003C02CD">
        <w:rPr>
          <w:lang w:val="en-CA"/>
        </w:rPr>
        <w:t>,</w:t>
      </w:r>
      <w:r w:rsidRPr="002F6CBB">
        <w:rPr>
          <w:rFonts w:cs="Arial"/>
          <w:szCs w:val="22"/>
          <w:lang w:val="en-CA"/>
        </w:rPr>
        <w:t xml:space="preserve"> this exercise may be guided by judgments rendered in similar cases:</w:t>
      </w:r>
    </w:p>
    <w:p w14:paraId="015EBE4E" w14:textId="2AB75B94" w:rsidR="00DB3691" w:rsidRPr="002F6CBB" w:rsidRDefault="00DB3691" w:rsidP="008D7EA5">
      <w:pPr>
        <w:pStyle w:val="Citationenretrait"/>
        <w:rPr>
          <w:lang w:val="en-CA"/>
        </w:rPr>
      </w:pPr>
      <w:r w:rsidRPr="002F6CBB">
        <w:rPr>
          <w:rFonts w:cs="Arial"/>
          <w:lang w:val="en-CA"/>
        </w:rPr>
        <w:t>[</w:t>
      </w:r>
      <w:r w:rsidRPr="002F6CBB">
        <w:rPr>
          <w:rFonts w:cs="Arial"/>
          <w:smallCaps/>
          <w:lang w:val="en-CA"/>
        </w:rPr>
        <w:t>translation</w:t>
      </w:r>
      <w:r w:rsidRPr="002F6CBB">
        <w:rPr>
          <w:rFonts w:cs="Arial"/>
          <w:lang w:val="en-CA"/>
        </w:rPr>
        <w:t>]</w:t>
      </w:r>
    </w:p>
    <w:p w14:paraId="364E1309" w14:textId="0C0A4752" w:rsidR="00375010" w:rsidRPr="002F6CBB" w:rsidRDefault="00DB3691" w:rsidP="008D7EA5">
      <w:pPr>
        <w:pStyle w:val="Citationenretrait"/>
        <w:rPr>
          <w:lang w:val="en-CA"/>
        </w:rPr>
      </w:pPr>
      <w:r w:rsidRPr="002F6CBB">
        <w:rPr>
          <w:lang w:val="en-CA"/>
        </w:rPr>
        <w:t>[225] To alleviate some of the uncertainty inherent in the assessment of moral injury, the higher courts teach us to compare the case at hand “to other analogous cases in which non-pecuniary damages were awarded”.</w:t>
      </w:r>
    </w:p>
    <w:p w14:paraId="6C3D15FC" w14:textId="0EB04E22" w:rsidR="00375010" w:rsidRPr="002F6CBB" w:rsidRDefault="00DB3691" w:rsidP="007561C3">
      <w:pPr>
        <w:pStyle w:val="Citationenretrait"/>
        <w:jc w:val="right"/>
        <w:rPr>
          <w:sz w:val="20"/>
          <w:szCs w:val="18"/>
          <w:lang w:val="en-CA"/>
        </w:rPr>
      </w:pPr>
      <w:r w:rsidRPr="002F6CBB">
        <w:rPr>
          <w:sz w:val="20"/>
          <w:szCs w:val="18"/>
          <w:lang w:val="en-CA"/>
        </w:rPr>
        <w:t>[</w:t>
      </w:r>
      <w:r w:rsidR="009E1F25">
        <w:rPr>
          <w:sz w:val="20"/>
          <w:szCs w:val="18"/>
          <w:lang w:val="en-CA"/>
        </w:rPr>
        <w:t>References</w:t>
      </w:r>
      <w:r w:rsidRPr="002F6CBB">
        <w:rPr>
          <w:sz w:val="20"/>
          <w:szCs w:val="18"/>
          <w:lang w:val="en-CA"/>
        </w:rPr>
        <w:t xml:space="preserve"> omitted.]</w:t>
      </w:r>
    </w:p>
    <w:p w14:paraId="7E815CF4" w14:textId="327F77AD" w:rsidR="00375010" w:rsidRPr="002F6CBB" w:rsidRDefault="00BF6063" w:rsidP="00666B45">
      <w:pPr>
        <w:pStyle w:val="Paragraphe"/>
        <w:tabs>
          <w:tab w:val="clear" w:pos="567"/>
          <w:tab w:val="num" w:pos="709"/>
        </w:tabs>
        <w:rPr>
          <w:lang w:val="en-CA"/>
        </w:rPr>
      </w:pPr>
      <w:r w:rsidRPr="002F6CBB">
        <w:rPr>
          <w:lang w:val="en-CA"/>
        </w:rPr>
        <w:t xml:space="preserve">The Tribunal therefore </w:t>
      </w:r>
      <w:r w:rsidR="00907CBE">
        <w:rPr>
          <w:lang w:val="en-CA"/>
        </w:rPr>
        <w:t>considers</w:t>
      </w:r>
      <w:r w:rsidRPr="002F6CBB">
        <w:rPr>
          <w:lang w:val="en-CA"/>
        </w:rPr>
        <w:t xml:space="preserve"> it useful to repeat the summaries of a few recent decisions of the Human Rights Tribunal on racial profiling by the police to try </w:t>
      </w:r>
      <w:r w:rsidR="00907CBE">
        <w:rPr>
          <w:lang w:val="en-CA"/>
        </w:rPr>
        <w:t xml:space="preserve">to identify </w:t>
      </w:r>
      <w:r w:rsidRPr="002F6CBB">
        <w:rPr>
          <w:lang w:val="en-CA"/>
        </w:rPr>
        <w:t>a trend.</w:t>
      </w:r>
    </w:p>
    <w:p w14:paraId="43D7F8F2" w14:textId="5E88D3D0" w:rsidR="00375010" w:rsidRPr="002F6CBB" w:rsidRDefault="00BF6063" w:rsidP="00666B45">
      <w:pPr>
        <w:pStyle w:val="Paragraphe"/>
        <w:tabs>
          <w:tab w:val="clear" w:pos="567"/>
          <w:tab w:val="num" w:pos="709"/>
        </w:tabs>
        <w:rPr>
          <w:lang w:val="en-CA"/>
        </w:rPr>
      </w:pPr>
      <w:r w:rsidRPr="002F6CBB">
        <w:rPr>
          <w:lang w:val="en-CA"/>
        </w:rPr>
        <w:t xml:space="preserve">In </w:t>
      </w:r>
      <w:proofErr w:type="spellStart"/>
      <w:r w:rsidR="009652E7" w:rsidRPr="009652E7">
        <w:rPr>
          <w:i/>
          <w:iCs/>
          <w:lang w:val="en-CA"/>
        </w:rPr>
        <w:t>De</w:t>
      </w:r>
      <w:r w:rsidRPr="002F6CBB">
        <w:rPr>
          <w:i/>
          <w:lang w:val="en-CA"/>
        </w:rPr>
        <w:t>Bellefeuille</w:t>
      </w:r>
      <w:proofErr w:type="spellEnd"/>
      <w:r w:rsidRPr="002F6CBB">
        <w:rPr>
          <w:rStyle w:val="Appelnotedebasdep"/>
          <w:szCs w:val="24"/>
          <w:lang w:val="en-CA"/>
        </w:rPr>
        <w:footnoteReference w:id="85"/>
      </w:r>
      <w:r w:rsidRPr="002F6CBB">
        <w:rPr>
          <w:lang w:val="en-CA"/>
        </w:rPr>
        <w:t xml:space="preserve"> in 2020, the Tribunal summarized </w:t>
      </w:r>
      <w:r w:rsidR="004712D4">
        <w:rPr>
          <w:lang w:val="en-CA"/>
        </w:rPr>
        <w:t xml:space="preserve">the 2012 judgment in </w:t>
      </w:r>
      <w:r w:rsidRPr="00686E6C">
        <w:rPr>
          <w:i/>
          <w:iCs/>
          <w:lang w:val="en-CA"/>
        </w:rPr>
        <w:t>Rezko</w:t>
      </w:r>
      <w:r w:rsidRPr="002F6CBB">
        <w:rPr>
          <w:lang w:val="en-CA"/>
        </w:rPr>
        <w:t xml:space="preserve"> </w:t>
      </w:r>
      <w:r w:rsidR="00907CBE">
        <w:rPr>
          <w:lang w:val="en-CA"/>
        </w:rPr>
        <w:t xml:space="preserve">with respect to the </w:t>
      </w:r>
      <w:r w:rsidRPr="002F6CBB">
        <w:rPr>
          <w:lang w:val="en-CA"/>
        </w:rPr>
        <w:t>moral damages awarded:</w:t>
      </w:r>
    </w:p>
    <w:p w14:paraId="708E05A6" w14:textId="1B8F1805" w:rsidR="00BF6063" w:rsidRPr="002F6CBB" w:rsidRDefault="00BF6063" w:rsidP="00BF6063">
      <w:pPr>
        <w:pStyle w:val="Citationenretrait"/>
        <w:keepNext/>
        <w:rPr>
          <w:lang w:val="en-CA"/>
        </w:rPr>
      </w:pPr>
      <w:r w:rsidRPr="002F6CBB">
        <w:rPr>
          <w:rFonts w:cs="Arial"/>
          <w:lang w:val="en-CA"/>
        </w:rPr>
        <w:lastRenderedPageBreak/>
        <w:t>[</w:t>
      </w:r>
      <w:r w:rsidRPr="002F6CBB">
        <w:rPr>
          <w:rFonts w:cs="Arial"/>
          <w:smallCaps/>
          <w:lang w:val="en-CA"/>
        </w:rPr>
        <w:t>translation</w:t>
      </w:r>
      <w:r w:rsidRPr="002F6CBB">
        <w:rPr>
          <w:rFonts w:cs="Arial"/>
          <w:lang w:val="en-CA"/>
        </w:rPr>
        <w:t>]</w:t>
      </w:r>
    </w:p>
    <w:p w14:paraId="4F7642F1" w14:textId="70E71282" w:rsidR="00375010" w:rsidRPr="002F6CBB" w:rsidRDefault="00BF6063" w:rsidP="00BF6063">
      <w:pPr>
        <w:pStyle w:val="Citationenretrait"/>
        <w:keepNext/>
        <w:rPr>
          <w:lang w:val="en-CA"/>
        </w:rPr>
      </w:pPr>
      <w:r w:rsidRPr="002F6CBB">
        <w:rPr>
          <w:lang w:val="en-CA"/>
        </w:rPr>
        <w:t xml:space="preserve">[232] </w:t>
      </w:r>
      <w:r w:rsidRPr="002F6CBB">
        <w:rPr>
          <w:i/>
          <w:lang w:val="en-CA"/>
        </w:rPr>
        <w:t>Rezko</w:t>
      </w:r>
      <w:r w:rsidRPr="002F6CBB">
        <w:rPr>
          <w:lang w:val="en-CA"/>
        </w:rPr>
        <w:t xml:space="preserve"> concerned an intervention, during which a police officer made discriminatory remarks to the victim related to his ethnicity and multiplied the steps necessary to verify his criminal record, bordering on harassment and abuse.</w:t>
      </w:r>
    </w:p>
    <w:p w14:paraId="06F2E807" w14:textId="1107C59F" w:rsidR="00375010" w:rsidRPr="002F6CBB" w:rsidRDefault="00BF6063" w:rsidP="00D8052C">
      <w:pPr>
        <w:pStyle w:val="Citationenretrait"/>
        <w:rPr>
          <w:lang w:val="en-CA"/>
        </w:rPr>
      </w:pPr>
      <w:r w:rsidRPr="002F6CBB">
        <w:rPr>
          <w:lang w:val="en-CA"/>
        </w:rPr>
        <w:t>[233] Before the Tribunal, Mr. Rezko testified about the state of shock and the anger, humiliation, and feeling of powerlessness that the police intervention initially caused him, as well as the fear and loss of confidence he continues to have in regard to the police several years later.</w:t>
      </w:r>
    </w:p>
    <w:p w14:paraId="2FBC0B2B" w14:textId="380D954F" w:rsidR="00375010" w:rsidRPr="002F6CBB" w:rsidRDefault="00BF6063" w:rsidP="00D8052C">
      <w:pPr>
        <w:pStyle w:val="Citationenretrait"/>
        <w:rPr>
          <w:lang w:val="en-CA"/>
        </w:rPr>
      </w:pPr>
      <w:r w:rsidRPr="002F6CBB">
        <w:rPr>
          <w:lang w:val="en-CA"/>
        </w:rPr>
        <w:t xml:space="preserve">[234] The Tribunal found that the racist insults, the resulting discriminatory interference with his dignity, and the deprivation of liberty that Mr. Rezko suffered as a result of police practices marked by racial profiling justified monetary compensation of </w:t>
      </w:r>
      <w:r w:rsidRPr="00547AE6">
        <w:rPr>
          <w:b/>
          <w:bCs/>
          <w:lang w:val="en-CA"/>
        </w:rPr>
        <w:t>$10,000</w:t>
      </w:r>
      <w:r w:rsidRPr="002F6CBB">
        <w:rPr>
          <w:lang w:val="en-CA"/>
        </w:rPr>
        <w:t>.</w:t>
      </w:r>
    </w:p>
    <w:p w14:paraId="4EAAE935" w14:textId="1CB2389C" w:rsidR="00375010" w:rsidRPr="002F6CBB" w:rsidRDefault="00DB3691" w:rsidP="007561C3">
      <w:pPr>
        <w:pStyle w:val="Citationenretrait"/>
        <w:jc w:val="right"/>
        <w:rPr>
          <w:rFonts w:cs="Arial"/>
          <w:color w:val="000000"/>
          <w:sz w:val="20"/>
          <w:lang w:val="en-CA"/>
        </w:rPr>
      </w:pPr>
      <w:r w:rsidRPr="002F6CBB">
        <w:rPr>
          <w:rFonts w:cs="Arial"/>
          <w:color w:val="000000"/>
          <w:sz w:val="20"/>
          <w:lang w:val="en-CA"/>
        </w:rPr>
        <w:t>[</w:t>
      </w:r>
      <w:r w:rsidR="009E1F25">
        <w:rPr>
          <w:rFonts w:cs="Arial"/>
          <w:color w:val="000000"/>
          <w:sz w:val="20"/>
          <w:lang w:val="en-CA"/>
        </w:rPr>
        <w:t>Reference</w:t>
      </w:r>
      <w:r w:rsidRPr="002F6CBB">
        <w:rPr>
          <w:rFonts w:cs="Arial"/>
          <w:color w:val="000000"/>
          <w:sz w:val="20"/>
          <w:lang w:val="en-CA"/>
        </w:rPr>
        <w:t>s omitted</w:t>
      </w:r>
      <w:r w:rsidR="004712D4">
        <w:rPr>
          <w:rFonts w:cs="Arial"/>
          <w:color w:val="000000"/>
          <w:sz w:val="20"/>
          <w:lang w:val="en-CA"/>
        </w:rPr>
        <w:t>; e</w:t>
      </w:r>
      <w:r w:rsidR="00BF6063" w:rsidRPr="002F6CBB">
        <w:rPr>
          <w:rFonts w:cs="Arial"/>
          <w:color w:val="000000"/>
          <w:sz w:val="20"/>
          <w:lang w:val="en-CA"/>
        </w:rPr>
        <w:t>mphasis added.]</w:t>
      </w:r>
    </w:p>
    <w:p w14:paraId="0DC17438" w14:textId="7C326C5E" w:rsidR="00375010" w:rsidRPr="002F6CBB" w:rsidRDefault="00BF6063" w:rsidP="00AA10FD">
      <w:pPr>
        <w:pStyle w:val="Paragraphe"/>
        <w:keepNext/>
        <w:tabs>
          <w:tab w:val="clear" w:pos="567"/>
          <w:tab w:val="num" w:pos="709"/>
        </w:tabs>
        <w:rPr>
          <w:lang w:val="en-CA"/>
        </w:rPr>
      </w:pPr>
      <w:r w:rsidRPr="002F6CBB">
        <w:rPr>
          <w:lang w:val="en-CA"/>
        </w:rPr>
        <w:t xml:space="preserve">In </w:t>
      </w:r>
      <w:proofErr w:type="spellStart"/>
      <w:r w:rsidRPr="002F6CBB">
        <w:rPr>
          <w:i/>
          <w:lang w:val="en-CA"/>
        </w:rPr>
        <w:t>Nkamba</w:t>
      </w:r>
      <w:proofErr w:type="spellEnd"/>
      <w:r w:rsidRPr="002F6CBB">
        <w:rPr>
          <w:rStyle w:val="Appelnotedebasdep"/>
          <w:szCs w:val="24"/>
          <w:lang w:val="en-CA"/>
        </w:rPr>
        <w:footnoteReference w:id="86"/>
      </w:r>
      <w:r w:rsidR="003C02CD">
        <w:rPr>
          <w:lang w:val="en-CA"/>
        </w:rPr>
        <w:t>,</w:t>
      </w:r>
      <w:r w:rsidRPr="002F6CBB">
        <w:rPr>
          <w:szCs w:val="24"/>
          <w:lang w:val="en-CA"/>
        </w:rPr>
        <w:t xml:space="preserve"> rendered in 2023 </w:t>
      </w:r>
      <w:r w:rsidR="00CF50DF">
        <w:rPr>
          <w:szCs w:val="24"/>
          <w:lang w:val="en-CA"/>
        </w:rPr>
        <w:t>in connection with</w:t>
      </w:r>
      <w:r w:rsidRPr="002F6CBB">
        <w:rPr>
          <w:szCs w:val="24"/>
          <w:lang w:val="en-CA"/>
        </w:rPr>
        <w:t xml:space="preserve"> an incident </w:t>
      </w:r>
      <w:r w:rsidR="004712D4">
        <w:rPr>
          <w:szCs w:val="24"/>
          <w:lang w:val="en-CA"/>
        </w:rPr>
        <w:t xml:space="preserve">that occurred </w:t>
      </w:r>
      <w:r w:rsidRPr="002F6CBB">
        <w:rPr>
          <w:szCs w:val="24"/>
          <w:lang w:val="en-CA"/>
        </w:rPr>
        <w:t>on February</w:t>
      </w:r>
      <w:r w:rsidR="00CF50DF">
        <w:rPr>
          <w:szCs w:val="24"/>
          <w:lang w:val="en-CA"/>
        </w:rPr>
        <w:t> </w:t>
      </w:r>
      <w:r w:rsidRPr="002F6CBB">
        <w:rPr>
          <w:szCs w:val="24"/>
          <w:lang w:val="en-CA"/>
        </w:rPr>
        <w:t>16,</w:t>
      </w:r>
      <w:r w:rsidR="00CF50DF">
        <w:rPr>
          <w:szCs w:val="24"/>
          <w:lang w:val="en-CA"/>
        </w:rPr>
        <w:t> </w:t>
      </w:r>
      <w:r w:rsidRPr="002F6CBB">
        <w:rPr>
          <w:szCs w:val="24"/>
          <w:lang w:val="en-CA"/>
        </w:rPr>
        <w:t xml:space="preserve">2018, Lapierre J., on behalf of the Tribunal, </w:t>
      </w:r>
      <w:r w:rsidR="000A4C1B">
        <w:rPr>
          <w:szCs w:val="24"/>
          <w:lang w:val="en-CA"/>
        </w:rPr>
        <w:t xml:space="preserve">discussed </w:t>
      </w:r>
      <w:r w:rsidRPr="002F6CBB">
        <w:rPr>
          <w:szCs w:val="24"/>
          <w:lang w:val="en-CA"/>
        </w:rPr>
        <w:t xml:space="preserve">the amounts awarded in </w:t>
      </w:r>
      <w:r w:rsidRPr="002F6CBB">
        <w:rPr>
          <w:i/>
          <w:szCs w:val="24"/>
          <w:lang w:val="en-CA"/>
        </w:rPr>
        <w:t>Mensah</w:t>
      </w:r>
      <w:r w:rsidRPr="002F6CBB">
        <w:rPr>
          <w:rStyle w:val="Appelnotedebasdep"/>
          <w:lang w:val="en-CA"/>
        </w:rPr>
        <w:footnoteReference w:id="87"/>
      </w:r>
      <w:r w:rsidRPr="002F6CBB">
        <w:rPr>
          <w:szCs w:val="24"/>
          <w:lang w:val="en-CA"/>
        </w:rPr>
        <w:t xml:space="preserve"> in 2018, </w:t>
      </w:r>
      <w:proofErr w:type="spellStart"/>
      <w:r w:rsidRPr="002F6CBB">
        <w:rPr>
          <w:i/>
          <w:szCs w:val="24"/>
          <w:lang w:val="en-CA"/>
        </w:rPr>
        <w:t>DeBellefeuille</w:t>
      </w:r>
      <w:proofErr w:type="spellEnd"/>
      <w:r w:rsidRPr="002F6CBB">
        <w:rPr>
          <w:rStyle w:val="Appelnotedebasdep"/>
          <w:lang w:val="en-CA"/>
        </w:rPr>
        <w:footnoteReference w:id="88"/>
      </w:r>
      <w:r w:rsidRPr="002F6CBB">
        <w:rPr>
          <w:szCs w:val="24"/>
          <w:lang w:val="en-CA"/>
        </w:rPr>
        <w:t xml:space="preserve"> in 2020, and in </w:t>
      </w:r>
      <w:proofErr w:type="spellStart"/>
      <w:r w:rsidRPr="002F6CBB">
        <w:rPr>
          <w:i/>
          <w:szCs w:val="24"/>
          <w:lang w:val="en-CA"/>
        </w:rPr>
        <w:t>Nyembwe</w:t>
      </w:r>
      <w:proofErr w:type="spellEnd"/>
      <w:r w:rsidRPr="002F6CBB">
        <w:rPr>
          <w:rStyle w:val="Appelnotedebasdep"/>
          <w:lang w:val="en-CA"/>
        </w:rPr>
        <w:footnoteReference w:id="89"/>
      </w:r>
      <w:r w:rsidRPr="002F6CBB">
        <w:rPr>
          <w:szCs w:val="24"/>
          <w:lang w:val="en-CA"/>
        </w:rPr>
        <w:t xml:space="preserve"> in 2021:</w:t>
      </w:r>
    </w:p>
    <w:p w14:paraId="1BDB74D2" w14:textId="5EFDE2EF" w:rsidR="00BF6063" w:rsidRPr="002F6CBB" w:rsidRDefault="00BF6063" w:rsidP="00AA10FD">
      <w:pPr>
        <w:pStyle w:val="Citationenretrait"/>
        <w:keepNext/>
        <w:rPr>
          <w:lang w:val="en-CA"/>
        </w:rPr>
      </w:pPr>
      <w:r w:rsidRPr="002F6CBB">
        <w:rPr>
          <w:rFonts w:cs="Arial"/>
          <w:lang w:val="en-CA"/>
        </w:rPr>
        <w:t>[</w:t>
      </w:r>
      <w:r w:rsidRPr="002F6CBB">
        <w:rPr>
          <w:rFonts w:cs="Arial"/>
          <w:smallCaps/>
          <w:lang w:val="en-CA"/>
        </w:rPr>
        <w:t>translation</w:t>
      </w:r>
      <w:r w:rsidRPr="002F6CBB">
        <w:rPr>
          <w:rFonts w:cs="Arial"/>
          <w:lang w:val="en-CA"/>
        </w:rPr>
        <w:t>]</w:t>
      </w:r>
    </w:p>
    <w:p w14:paraId="51943347" w14:textId="7CFC3C10" w:rsidR="00375010" w:rsidRPr="002F6CBB" w:rsidRDefault="00BF6063" w:rsidP="00220AE4">
      <w:pPr>
        <w:pStyle w:val="Citationenretrait"/>
        <w:rPr>
          <w:lang w:val="en-CA"/>
        </w:rPr>
      </w:pPr>
      <w:r w:rsidRPr="002F6CBB">
        <w:rPr>
          <w:lang w:val="en-CA"/>
        </w:rPr>
        <w:t>[114] Recent case</w:t>
      </w:r>
      <w:r w:rsidR="00CF50DF">
        <w:rPr>
          <w:lang w:val="en-CA"/>
        </w:rPr>
        <w:t xml:space="preserve"> law include</w:t>
      </w:r>
      <w:r w:rsidRPr="002F6CBB">
        <w:rPr>
          <w:lang w:val="en-CA"/>
        </w:rPr>
        <w:t xml:space="preserve">s many instances </w:t>
      </w:r>
      <w:r w:rsidR="00CF50DF">
        <w:rPr>
          <w:lang w:val="en-CA"/>
        </w:rPr>
        <w:t>where</w:t>
      </w:r>
      <w:r w:rsidRPr="002F6CBB">
        <w:rPr>
          <w:lang w:val="en-CA"/>
        </w:rPr>
        <w:t xml:space="preserve"> damages </w:t>
      </w:r>
      <w:r w:rsidR="002517C1">
        <w:rPr>
          <w:lang w:val="en-CA"/>
        </w:rPr>
        <w:t xml:space="preserve">for moral prejudice </w:t>
      </w:r>
      <w:r w:rsidR="00CF50DF">
        <w:rPr>
          <w:lang w:val="en-CA"/>
        </w:rPr>
        <w:t>were awarded for violation</w:t>
      </w:r>
      <w:r w:rsidR="00220AE4">
        <w:rPr>
          <w:lang w:val="en-CA"/>
        </w:rPr>
        <w:t>s</w:t>
      </w:r>
      <w:r w:rsidR="00CF50DF">
        <w:rPr>
          <w:lang w:val="en-CA"/>
        </w:rPr>
        <w:t xml:space="preserve"> of </w:t>
      </w:r>
      <w:r w:rsidRPr="002F6CBB">
        <w:rPr>
          <w:lang w:val="en-CA"/>
        </w:rPr>
        <w:t>fundamental rights during police stops in the context of racial profiling.</w:t>
      </w:r>
      <w:r w:rsidR="00BC67BE" w:rsidRPr="002F6CBB">
        <w:rPr>
          <w:lang w:val="en-CA"/>
        </w:rPr>
        <w:t xml:space="preserve"> </w:t>
      </w:r>
      <w:r w:rsidRPr="002F6CBB">
        <w:rPr>
          <w:lang w:val="en-CA"/>
        </w:rPr>
        <w:t xml:space="preserve">The Tribunal will discuss three recent </w:t>
      </w:r>
      <w:r w:rsidR="00CF50DF">
        <w:rPr>
          <w:lang w:val="en-CA"/>
        </w:rPr>
        <w:t>files</w:t>
      </w:r>
      <w:r w:rsidRPr="002F6CBB">
        <w:rPr>
          <w:lang w:val="en-CA"/>
        </w:rPr>
        <w:t xml:space="preserve"> </w:t>
      </w:r>
      <w:r w:rsidR="00220AE4">
        <w:rPr>
          <w:lang w:val="en-CA"/>
        </w:rPr>
        <w:t>that</w:t>
      </w:r>
      <w:r w:rsidRPr="002F6CBB">
        <w:rPr>
          <w:lang w:val="en-CA"/>
        </w:rPr>
        <w:t xml:space="preserve"> analyze the case law to set the appropriate amount of damages</w:t>
      </w:r>
      <w:r w:rsidR="000A4C1B">
        <w:rPr>
          <w:lang w:val="en-CA"/>
        </w:rPr>
        <w:t xml:space="preserve"> for moral prejudice</w:t>
      </w:r>
      <w:r w:rsidRPr="002F6CBB">
        <w:rPr>
          <w:lang w:val="en-CA"/>
        </w:rPr>
        <w:t>.</w:t>
      </w:r>
    </w:p>
    <w:p w14:paraId="3D8007B4" w14:textId="4C70C275" w:rsidR="00375010" w:rsidRPr="002F6CBB" w:rsidRDefault="00BF6063" w:rsidP="008D7EA5">
      <w:pPr>
        <w:pStyle w:val="Citationenretrait"/>
        <w:rPr>
          <w:lang w:val="en-CA"/>
        </w:rPr>
      </w:pPr>
      <w:r w:rsidRPr="002F6CBB">
        <w:rPr>
          <w:lang w:val="en-CA"/>
        </w:rPr>
        <w:t xml:space="preserve">[115] </w:t>
      </w:r>
      <w:r w:rsidR="00CF50DF">
        <w:rPr>
          <w:lang w:val="en-CA"/>
        </w:rPr>
        <w:t xml:space="preserve">In </w:t>
      </w:r>
      <w:r w:rsidRPr="002F6CBB">
        <w:rPr>
          <w:i/>
          <w:lang w:val="en-CA"/>
        </w:rPr>
        <w:t>Mensah</w:t>
      </w:r>
      <w:r w:rsidRPr="002F6CBB">
        <w:rPr>
          <w:lang w:val="en-CA"/>
        </w:rPr>
        <w:t xml:space="preserve"> in 2018</w:t>
      </w:r>
      <w:r w:rsidR="00CF50DF">
        <w:rPr>
          <w:lang w:val="en-CA"/>
        </w:rPr>
        <w:t>,</w:t>
      </w:r>
      <w:r w:rsidRPr="002F6CBB">
        <w:rPr>
          <w:lang w:val="en-CA"/>
        </w:rPr>
        <w:t xml:space="preserve"> a </w:t>
      </w:r>
      <w:r w:rsidR="00C14519">
        <w:rPr>
          <w:lang w:val="en-CA"/>
        </w:rPr>
        <w:t>Black</w:t>
      </w:r>
      <w:r w:rsidRPr="002F6CBB">
        <w:rPr>
          <w:lang w:val="en-CA"/>
        </w:rPr>
        <w:t xml:space="preserve"> man </w:t>
      </w:r>
      <w:r w:rsidR="00CF50DF">
        <w:rPr>
          <w:lang w:val="en-CA"/>
        </w:rPr>
        <w:t xml:space="preserve">was </w:t>
      </w:r>
      <w:r w:rsidR="00EB55BF">
        <w:rPr>
          <w:lang w:val="en-CA"/>
        </w:rPr>
        <w:t>subject to an interception</w:t>
      </w:r>
      <w:r w:rsidR="00EB55BF" w:rsidRPr="002F6CBB">
        <w:rPr>
          <w:lang w:val="en-CA"/>
        </w:rPr>
        <w:t xml:space="preserve"> </w:t>
      </w:r>
      <w:r w:rsidRPr="002F6CBB">
        <w:rPr>
          <w:lang w:val="en-CA"/>
        </w:rPr>
        <w:t xml:space="preserve">while driving his </w:t>
      </w:r>
      <w:r w:rsidR="00CF50DF">
        <w:rPr>
          <w:lang w:val="en-CA"/>
        </w:rPr>
        <w:t>vehicle</w:t>
      </w:r>
      <w:r w:rsidRPr="002F6CBB">
        <w:rPr>
          <w:lang w:val="en-CA"/>
        </w:rPr>
        <w:t>. The police noted irregularities in his driving record.</w:t>
      </w:r>
      <w:r w:rsidR="00BC67BE" w:rsidRPr="002F6CBB">
        <w:rPr>
          <w:lang w:val="en-CA"/>
        </w:rPr>
        <w:t xml:space="preserve"> </w:t>
      </w:r>
      <w:r w:rsidRPr="002F6CBB">
        <w:rPr>
          <w:lang w:val="en-CA"/>
        </w:rPr>
        <w:t xml:space="preserve">Things </w:t>
      </w:r>
      <w:r w:rsidR="00220AE4">
        <w:rPr>
          <w:lang w:val="en-CA"/>
        </w:rPr>
        <w:t>degenerated,</w:t>
      </w:r>
      <w:r w:rsidRPr="002F6CBB">
        <w:rPr>
          <w:lang w:val="en-CA"/>
        </w:rPr>
        <w:t xml:space="preserve"> and the victim was arrested, handcuffed, searched, and detained for </w:t>
      </w:r>
      <w:r w:rsidR="00DE08CB">
        <w:rPr>
          <w:lang w:val="en-CA"/>
        </w:rPr>
        <w:t>some</w:t>
      </w:r>
      <w:r w:rsidRPr="002F6CBB">
        <w:rPr>
          <w:lang w:val="en-CA"/>
        </w:rPr>
        <w:t xml:space="preserve"> time in the patrol car. The Tribunal awarded the victim </w:t>
      </w:r>
      <w:r w:rsidRPr="002F6CBB">
        <w:rPr>
          <w:b/>
          <w:lang w:val="en-CA"/>
        </w:rPr>
        <w:t>$8,000</w:t>
      </w:r>
      <w:r w:rsidRPr="002F6CBB">
        <w:rPr>
          <w:lang w:val="en-CA"/>
        </w:rPr>
        <w:t>.</w:t>
      </w:r>
    </w:p>
    <w:p w14:paraId="73B46738" w14:textId="1CE0D8D3" w:rsidR="00375010" w:rsidRPr="002F6CBB" w:rsidRDefault="00BF6063" w:rsidP="008D7EA5">
      <w:pPr>
        <w:pStyle w:val="Citationenretrait"/>
        <w:rPr>
          <w:lang w:val="en-CA"/>
        </w:rPr>
      </w:pPr>
      <w:r w:rsidRPr="002F6CBB">
        <w:rPr>
          <w:lang w:val="en-CA"/>
        </w:rPr>
        <w:t xml:space="preserve">[116] In </w:t>
      </w:r>
      <w:proofErr w:type="spellStart"/>
      <w:r w:rsidRPr="00CF50DF">
        <w:rPr>
          <w:i/>
          <w:iCs/>
          <w:lang w:val="en-CA"/>
        </w:rPr>
        <w:t>DeBellefeuille</w:t>
      </w:r>
      <w:proofErr w:type="spellEnd"/>
      <w:r w:rsidRPr="002F6CBB">
        <w:rPr>
          <w:lang w:val="en-CA"/>
        </w:rPr>
        <w:t xml:space="preserve"> in 2020, a </w:t>
      </w:r>
      <w:r w:rsidR="00C14519">
        <w:rPr>
          <w:lang w:val="en-CA"/>
        </w:rPr>
        <w:t>Black</w:t>
      </w:r>
      <w:r w:rsidRPr="002F6CBB">
        <w:rPr>
          <w:lang w:val="en-CA"/>
        </w:rPr>
        <w:t xml:space="preserve"> man was </w:t>
      </w:r>
      <w:r w:rsidR="00EB55BF">
        <w:rPr>
          <w:lang w:val="en-CA"/>
        </w:rPr>
        <w:t>intercepted</w:t>
      </w:r>
      <w:r w:rsidR="00EB55BF" w:rsidRPr="002F6CBB">
        <w:rPr>
          <w:lang w:val="en-CA"/>
        </w:rPr>
        <w:t xml:space="preserve"> </w:t>
      </w:r>
      <w:r w:rsidRPr="002F6CBB">
        <w:rPr>
          <w:lang w:val="en-CA"/>
        </w:rPr>
        <w:t>at the wheel of a luxury car in front of his young son’s daycare.</w:t>
      </w:r>
      <w:r w:rsidR="00BC67BE" w:rsidRPr="002F6CBB">
        <w:rPr>
          <w:lang w:val="en-CA"/>
        </w:rPr>
        <w:t xml:space="preserve"> </w:t>
      </w:r>
      <w:r w:rsidRPr="002F6CBB">
        <w:rPr>
          <w:lang w:val="en-CA"/>
        </w:rPr>
        <w:t xml:space="preserve">The police checked his identity and </w:t>
      </w:r>
      <w:r w:rsidR="00CF50DF">
        <w:rPr>
          <w:lang w:val="en-CA"/>
        </w:rPr>
        <w:t xml:space="preserve">released </w:t>
      </w:r>
      <w:r w:rsidRPr="002F6CBB">
        <w:rPr>
          <w:lang w:val="en-CA"/>
        </w:rPr>
        <w:t>him.</w:t>
      </w:r>
      <w:r w:rsidR="00BC67BE" w:rsidRPr="002F6CBB">
        <w:rPr>
          <w:lang w:val="en-CA"/>
        </w:rPr>
        <w:t xml:space="preserve"> </w:t>
      </w:r>
      <w:r w:rsidRPr="002F6CBB">
        <w:rPr>
          <w:lang w:val="en-CA"/>
        </w:rPr>
        <w:t xml:space="preserve">The Tribunal awarded the victim </w:t>
      </w:r>
      <w:r w:rsidRPr="002F6CBB">
        <w:rPr>
          <w:b/>
          <w:lang w:val="en-CA"/>
        </w:rPr>
        <w:t>$10,000.</w:t>
      </w:r>
    </w:p>
    <w:p w14:paraId="6AE8BF96" w14:textId="343B8FF1" w:rsidR="00375010" w:rsidRPr="002F6CBB" w:rsidRDefault="00BF6063" w:rsidP="008D7EA5">
      <w:pPr>
        <w:pStyle w:val="Citationenretrait"/>
        <w:rPr>
          <w:lang w:val="en-CA"/>
        </w:rPr>
      </w:pPr>
      <w:r w:rsidRPr="002F6CBB">
        <w:rPr>
          <w:lang w:val="en-CA"/>
        </w:rPr>
        <w:t xml:space="preserve">[117] In </w:t>
      </w:r>
      <w:proofErr w:type="spellStart"/>
      <w:r w:rsidRPr="002F6CBB">
        <w:rPr>
          <w:i/>
          <w:lang w:val="en-CA"/>
        </w:rPr>
        <w:t>Nyembwe</w:t>
      </w:r>
      <w:proofErr w:type="spellEnd"/>
      <w:r w:rsidRPr="002F6CBB">
        <w:rPr>
          <w:lang w:val="en-CA"/>
        </w:rPr>
        <w:t xml:space="preserve"> in 2021, </w:t>
      </w:r>
      <w:r w:rsidR="00DE08CB">
        <w:rPr>
          <w:lang w:val="en-CA"/>
        </w:rPr>
        <w:t xml:space="preserve">following a report made by a victim of </w:t>
      </w:r>
      <w:r w:rsidRPr="002F6CBB">
        <w:rPr>
          <w:lang w:val="en-CA"/>
        </w:rPr>
        <w:t xml:space="preserve">domestic violence, a </w:t>
      </w:r>
      <w:r w:rsidR="00C14519">
        <w:rPr>
          <w:lang w:val="en-CA"/>
        </w:rPr>
        <w:t>Black</w:t>
      </w:r>
      <w:r w:rsidRPr="002F6CBB">
        <w:rPr>
          <w:lang w:val="en-CA"/>
        </w:rPr>
        <w:t xml:space="preserve"> man was arrested, handcuffed, searched, and detained in the patrol car, even though he did not match the description provided by the person who made the report.</w:t>
      </w:r>
      <w:r w:rsidR="00BC67BE" w:rsidRPr="002F6CBB">
        <w:rPr>
          <w:lang w:val="en-CA"/>
        </w:rPr>
        <w:t xml:space="preserve"> </w:t>
      </w:r>
      <w:r w:rsidRPr="002F6CBB">
        <w:rPr>
          <w:lang w:val="en-CA"/>
        </w:rPr>
        <w:t xml:space="preserve">The </w:t>
      </w:r>
      <w:r w:rsidR="0013284E">
        <w:rPr>
          <w:lang w:val="en-CA"/>
        </w:rPr>
        <w:t>Tribunal</w:t>
      </w:r>
      <w:r w:rsidRPr="002F6CBB">
        <w:rPr>
          <w:lang w:val="en-CA"/>
        </w:rPr>
        <w:t xml:space="preserve"> awarded him </w:t>
      </w:r>
      <w:r w:rsidRPr="002F6CBB">
        <w:rPr>
          <w:b/>
          <w:lang w:val="en-CA"/>
        </w:rPr>
        <w:t>$15,000.</w:t>
      </w:r>
    </w:p>
    <w:p w14:paraId="7CBD82E6" w14:textId="68EF1DA6" w:rsidR="00375010" w:rsidRPr="002F6CBB" w:rsidRDefault="00DB3691" w:rsidP="007561C3">
      <w:pPr>
        <w:pStyle w:val="Citationenretrait"/>
        <w:jc w:val="right"/>
        <w:rPr>
          <w:sz w:val="20"/>
          <w:szCs w:val="18"/>
          <w:lang w:val="en-CA"/>
        </w:rPr>
      </w:pPr>
      <w:r w:rsidRPr="002F6CBB">
        <w:rPr>
          <w:sz w:val="20"/>
          <w:szCs w:val="18"/>
          <w:lang w:val="en-CA"/>
        </w:rPr>
        <w:t>[</w:t>
      </w:r>
      <w:r w:rsidR="009E1F25">
        <w:rPr>
          <w:sz w:val="20"/>
          <w:szCs w:val="18"/>
          <w:lang w:val="en-CA"/>
        </w:rPr>
        <w:t>References</w:t>
      </w:r>
      <w:r w:rsidR="009E1F25" w:rsidRPr="002F6CBB">
        <w:rPr>
          <w:sz w:val="20"/>
          <w:szCs w:val="18"/>
          <w:lang w:val="en-CA"/>
        </w:rPr>
        <w:t xml:space="preserve"> </w:t>
      </w:r>
      <w:r w:rsidRPr="002F6CBB">
        <w:rPr>
          <w:sz w:val="20"/>
          <w:szCs w:val="18"/>
          <w:lang w:val="en-CA"/>
        </w:rPr>
        <w:t>omitted</w:t>
      </w:r>
      <w:r w:rsidR="0013284E">
        <w:rPr>
          <w:sz w:val="20"/>
          <w:szCs w:val="18"/>
          <w:lang w:val="en-CA"/>
        </w:rPr>
        <w:t>; e</w:t>
      </w:r>
      <w:r w:rsidR="00071370" w:rsidRPr="002F6CBB">
        <w:rPr>
          <w:sz w:val="20"/>
          <w:szCs w:val="18"/>
          <w:lang w:val="en-CA"/>
        </w:rPr>
        <w:t>mphasis added.]</w:t>
      </w:r>
    </w:p>
    <w:p w14:paraId="0D53A1E0" w14:textId="38516610" w:rsidR="00375010" w:rsidRPr="002F6CBB" w:rsidRDefault="00CF50DF" w:rsidP="00AA10FD">
      <w:pPr>
        <w:pStyle w:val="Paragraphe"/>
        <w:keepNext/>
        <w:tabs>
          <w:tab w:val="clear" w:pos="567"/>
          <w:tab w:val="num" w:pos="709"/>
        </w:tabs>
        <w:rPr>
          <w:lang w:val="en-CA"/>
        </w:rPr>
      </w:pPr>
      <w:r>
        <w:rPr>
          <w:lang w:val="en-CA"/>
        </w:rPr>
        <w:lastRenderedPageBreak/>
        <w:t>Also i</w:t>
      </w:r>
      <w:r w:rsidR="00BF6063" w:rsidRPr="002F6CBB">
        <w:rPr>
          <w:lang w:val="en-CA"/>
        </w:rPr>
        <w:t xml:space="preserve">n </w:t>
      </w:r>
      <w:proofErr w:type="spellStart"/>
      <w:r w:rsidR="00BF6063" w:rsidRPr="002F6CBB">
        <w:rPr>
          <w:i/>
          <w:lang w:val="en-CA"/>
        </w:rPr>
        <w:t>Nkamba</w:t>
      </w:r>
      <w:proofErr w:type="spellEnd"/>
      <w:r w:rsidR="00BF6063" w:rsidRPr="002F6CBB">
        <w:rPr>
          <w:lang w:val="en-CA"/>
        </w:rPr>
        <w:t xml:space="preserve">, the Tribunal referred to </w:t>
      </w:r>
      <w:r>
        <w:rPr>
          <w:lang w:val="en-CA"/>
        </w:rPr>
        <w:t>a</w:t>
      </w:r>
      <w:r w:rsidR="00BF6063" w:rsidRPr="002F6CBB">
        <w:rPr>
          <w:lang w:val="en-CA"/>
        </w:rPr>
        <w:t xml:space="preserve"> </w:t>
      </w:r>
      <w:r w:rsidR="00353F9B" w:rsidRPr="002F6CBB">
        <w:rPr>
          <w:lang w:val="en-CA"/>
        </w:rPr>
        <w:t>judgment</w:t>
      </w:r>
      <w:r w:rsidR="00BF6063" w:rsidRPr="002F6CBB">
        <w:rPr>
          <w:lang w:val="en-CA"/>
        </w:rPr>
        <w:t xml:space="preserve"> rendered concerning the same complainant </w:t>
      </w:r>
      <w:r>
        <w:rPr>
          <w:lang w:val="en-CA"/>
        </w:rPr>
        <w:t xml:space="preserve">regarding </w:t>
      </w:r>
      <w:r w:rsidR="00BF6063" w:rsidRPr="002F6CBB">
        <w:rPr>
          <w:lang w:val="en-CA"/>
        </w:rPr>
        <w:t>an incident on November 30, 2017, involving the same police force</w:t>
      </w:r>
      <w:r w:rsidR="00BF6063" w:rsidRPr="002F6CBB">
        <w:rPr>
          <w:rStyle w:val="Appelnotedebasdep"/>
          <w:szCs w:val="24"/>
          <w:lang w:val="en-CA"/>
        </w:rPr>
        <w:footnoteReference w:id="90"/>
      </w:r>
      <w:r w:rsidR="00C754A3">
        <w:rPr>
          <w:lang w:val="en-CA"/>
        </w:rPr>
        <w:t>:</w:t>
      </w:r>
    </w:p>
    <w:p w14:paraId="5D8F6D1A" w14:textId="4CF7D48C" w:rsidR="00BF6063" w:rsidRPr="002F6CBB" w:rsidRDefault="00BF6063" w:rsidP="00AA10FD">
      <w:pPr>
        <w:pStyle w:val="Citationenretrait"/>
        <w:keepNext/>
        <w:rPr>
          <w:lang w:val="en-CA"/>
        </w:rPr>
      </w:pPr>
      <w:r w:rsidRPr="002F6CBB">
        <w:rPr>
          <w:rFonts w:cs="Arial"/>
          <w:lang w:val="en-CA"/>
        </w:rPr>
        <w:t>[</w:t>
      </w:r>
      <w:r w:rsidRPr="002F6CBB">
        <w:rPr>
          <w:rFonts w:cs="Arial"/>
          <w:smallCaps/>
          <w:lang w:val="en-CA"/>
        </w:rPr>
        <w:t>translation</w:t>
      </w:r>
      <w:r w:rsidRPr="002F6CBB">
        <w:rPr>
          <w:rFonts w:cs="Arial"/>
          <w:lang w:val="en-CA"/>
        </w:rPr>
        <w:t>]</w:t>
      </w:r>
    </w:p>
    <w:p w14:paraId="5C75CCA4" w14:textId="25C537D9" w:rsidR="00375010" w:rsidRPr="002F6CBB" w:rsidRDefault="00BF6063" w:rsidP="00AA10FD">
      <w:pPr>
        <w:pStyle w:val="Citationenretrait"/>
        <w:keepNext/>
        <w:rPr>
          <w:lang w:val="en-CA"/>
        </w:rPr>
      </w:pPr>
      <w:r w:rsidRPr="002F6CBB">
        <w:rPr>
          <w:lang w:val="en-CA"/>
        </w:rPr>
        <w:t xml:space="preserve">[119] This is the second such incident in two and a half months for Mr. </w:t>
      </w:r>
      <w:proofErr w:type="spellStart"/>
      <w:r w:rsidRPr="002F6CBB">
        <w:rPr>
          <w:lang w:val="en-CA"/>
        </w:rPr>
        <w:t>Nkamba</w:t>
      </w:r>
      <w:proofErr w:type="spellEnd"/>
      <w:r w:rsidRPr="002F6CBB">
        <w:rPr>
          <w:lang w:val="en-CA"/>
        </w:rPr>
        <w:t>.</w:t>
      </w:r>
      <w:r w:rsidR="00BC67BE" w:rsidRPr="002F6CBB">
        <w:rPr>
          <w:lang w:val="en-CA"/>
        </w:rPr>
        <w:t xml:space="preserve"> </w:t>
      </w:r>
      <w:r w:rsidRPr="002F6CBB">
        <w:rPr>
          <w:lang w:val="en-CA"/>
        </w:rPr>
        <w:t xml:space="preserve">On November 30, 2017, the Uber in which Mr. </w:t>
      </w:r>
      <w:proofErr w:type="spellStart"/>
      <w:r w:rsidRPr="002F6CBB">
        <w:rPr>
          <w:lang w:val="en-CA"/>
        </w:rPr>
        <w:t>Nkamba</w:t>
      </w:r>
      <w:proofErr w:type="spellEnd"/>
      <w:r w:rsidRPr="002F6CBB">
        <w:rPr>
          <w:lang w:val="en-CA"/>
        </w:rPr>
        <w:t xml:space="preserve"> was a passenger was </w:t>
      </w:r>
      <w:r w:rsidR="00EB55BF">
        <w:rPr>
          <w:lang w:val="en-CA"/>
        </w:rPr>
        <w:t>intercepted</w:t>
      </w:r>
      <w:r w:rsidR="00EB55BF" w:rsidRPr="002F6CBB">
        <w:rPr>
          <w:lang w:val="en-CA"/>
        </w:rPr>
        <w:t xml:space="preserve"> </w:t>
      </w:r>
      <w:r w:rsidRPr="002F6CBB">
        <w:rPr>
          <w:lang w:val="en-CA"/>
        </w:rPr>
        <w:t>in front of his home.</w:t>
      </w:r>
      <w:r w:rsidR="00BC67BE" w:rsidRPr="002F6CBB">
        <w:rPr>
          <w:lang w:val="en-CA"/>
        </w:rPr>
        <w:t xml:space="preserve"> </w:t>
      </w:r>
      <w:r w:rsidRPr="002F6CBB">
        <w:rPr>
          <w:lang w:val="en-CA"/>
        </w:rPr>
        <w:t xml:space="preserve">Officers with the Gatineau police force (SPVG) asked him to identify himself without </w:t>
      </w:r>
      <w:r w:rsidR="00CF50DF">
        <w:rPr>
          <w:lang w:val="en-CA"/>
        </w:rPr>
        <w:t xml:space="preserve">cause </w:t>
      </w:r>
      <w:r w:rsidRPr="002F6CBB">
        <w:rPr>
          <w:lang w:val="en-CA"/>
        </w:rPr>
        <w:t>and he refused.</w:t>
      </w:r>
      <w:r w:rsidR="00BC67BE" w:rsidRPr="002F6CBB">
        <w:rPr>
          <w:lang w:val="en-CA"/>
        </w:rPr>
        <w:t xml:space="preserve"> </w:t>
      </w:r>
      <w:r w:rsidRPr="002F6CBB">
        <w:rPr>
          <w:lang w:val="en-CA"/>
        </w:rPr>
        <w:t xml:space="preserve">The situation </w:t>
      </w:r>
      <w:r w:rsidR="0013284E">
        <w:rPr>
          <w:lang w:val="en-CA"/>
        </w:rPr>
        <w:t>degenerated</w:t>
      </w:r>
      <w:r w:rsidRPr="002F6CBB">
        <w:rPr>
          <w:lang w:val="en-CA"/>
        </w:rPr>
        <w:t xml:space="preserve">. Mr. </w:t>
      </w:r>
      <w:proofErr w:type="spellStart"/>
      <w:r w:rsidRPr="002F6CBB">
        <w:rPr>
          <w:lang w:val="en-CA"/>
        </w:rPr>
        <w:t>Nkamba</w:t>
      </w:r>
      <w:proofErr w:type="spellEnd"/>
      <w:r w:rsidRPr="002F6CBB">
        <w:rPr>
          <w:lang w:val="en-CA"/>
        </w:rPr>
        <w:t xml:space="preserve"> was arrested, handcuffed, searched, and issued two statements of offence.</w:t>
      </w:r>
      <w:r w:rsidR="00BC67BE" w:rsidRPr="002F6CBB">
        <w:rPr>
          <w:lang w:val="en-CA"/>
        </w:rPr>
        <w:t xml:space="preserve"> </w:t>
      </w:r>
      <w:r w:rsidRPr="002F6CBB">
        <w:rPr>
          <w:lang w:val="en-CA"/>
        </w:rPr>
        <w:t xml:space="preserve">This Tribunal held that he was the victim of racial profiling and awarded him </w:t>
      </w:r>
      <w:r w:rsidRPr="002F6CBB">
        <w:rPr>
          <w:b/>
          <w:lang w:val="en-CA"/>
        </w:rPr>
        <w:t>$10,000</w:t>
      </w:r>
      <w:r w:rsidRPr="002F6CBB">
        <w:rPr>
          <w:lang w:val="en-CA"/>
        </w:rPr>
        <w:t xml:space="preserve"> </w:t>
      </w:r>
      <w:r w:rsidR="00CA2C1C">
        <w:rPr>
          <w:lang w:val="en-CA"/>
        </w:rPr>
        <w:t>in</w:t>
      </w:r>
      <w:r w:rsidRPr="002F6CBB">
        <w:rPr>
          <w:lang w:val="en-CA"/>
        </w:rPr>
        <w:t xml:space="preserve"> damages</w:t>
      </w:r>
      <w:r w:rsidR="000A4C1B">
        <w:rPr>
          <w:lang w:val="en-CA"/>
        </w:rPr>
        <w:t xml:space="preserve"> for moral prejudice</w:t>
      </w:r>
      <w:r w:rsidRPr="002F6CBB">
        <w:rPr>
          <w:lang w:val="en-CA"/>
        </w:rPr>
        <w:t>.</w:t>
      </w:r>
    </w:p>
    <w:p w14:paraId="49A9434B" w14:textId="19FC56FA" w:rsidR="00375010" w:rsidRPr="002F6CBB" w:rsidRDefault="00CE4B29" w:rsidP="00AA10FD">
      <w:pPr>
        <w:pStyle w:val="Citationenretrait"/>
        <w:keepNext/>
        <w:jc w:val="right"/>
        <w:rPr>
          <w:sz w:val="20"/>
          <w:szCs w:val="18"/>
          <w:lang w:val="en-CA"/>
        </w:rPr>
      </w:pPr>
      <w:r>
        <w:rPr>
          <w:sz w:val="20"/>
          <w:szCs w:val="18"/>
          <w:lang w:val="en-CA"/>
        </w:rPr>
        <w:t>[</w:t>
      </w:r>
      <w:r w:rsidR="009E1F25">
        <w:rPr>
          <w:sz w:val="20"/>
          <w:szCs w:val="18"/>
          <w:lang w:val="en-CA"/>
        </w:rPr>
        <w:t>References</w:t>
      </w:r>
      <w:r w:rsidR="00DB3691" w:rsidRPr="002F6CBB">
        <w:rPr>
          <w:sz w:val="20"/>
          <w:szCs w:val="18"/>
          <w:lang w:val="en-CA"/>
        </w:rPr>
        <w:t xml:space="preserve"> omitted</w:t>
      </w:r>
      <w:r w:rsidR="0013284E">
        <w:rPr>
          <w:sz w:val="20"/>
          <w:szCs w:val="18"/>
          <w:lang w:val="en-CA"/>
        </w:rPr>
        <w:t>; e</w:t>
      </w:r>
      <w:r w:rsidR="00BF6063" w:rsidRPr="002F6CBB">
        <w:rPr>
          <w:sz w:val="20"/>
          <w:szCs w:val="18"/>
          <w:lang w:val="en-CA"/>
        </w:rPr>
        <w:t>mphasis added.</w:t>
      </w:r>
      <w:r w:rsidR="00BF6063" w:rsidRPr="002F6CBB">
        <w:rPr>
          <w:rFonts w:cs="Arial"/>
          <w:sz w:val="20"/>
          <w:szCs w:val="18"/>
          <w:lang w:val="en-CA"/>
        </w:rPr>
        <w:t>]</w:t>
      </w:r>
    </w:p>
    <w:p w14:paraId="7D87720E" w14:textId="58FB1448" w:rsidR="00375010" w:rsidRPr="002F6CBB" w:rsidRDefault="00BF6063" w:rsidP="000C60F3">
      <w:pPr>
        <w:pStyle w:val="Paragraphe"/>
        <w:tabs>
          <w:tab w:val="clear" w:pos="567"/>
          <w:tab w:val="num" w:pos="709"/>
        </w:tabs>
        <w:rPr>
          <w:lang w:val="en-CA"/>
        </w:rPr>
      </w:pPr>
      <w:r w:rsidRPr="002F6CBB">
        <w:rPr>
          <w:lang w:val="en-CA"/>
        </w:rPr>
        <w:t xml:space="preserve">The Tribunal rendered judgment the same day on the second incident </w:t>
      </w:r>
      <w:r w:rsidR="002517C1">
        <w:rPr>
          <w:lang w:val="en-CA"/>
        </w:rPr>
        <w:t xml:space="preserve">that occurred </w:t>
      </w:r>
      <w:r w:rsidRPr="002F6CBB">
        <w:rPr>
          <w:lang w:val="en-CA"/>
        </w:rPr>
        <w:t>on February</w:t>
      </w:r>
      <w:r w:rsidR="00CA2C1C">
        <w:rPr>
          <w:lang w:val="en-CA"/>
        </w:rPr>
        <w:t> </w:t>
      </w:r>
      <w:r w:rsidRPr="002F6CBB">
        <w:rPr>
          <w:lang w:val="en-CA"/>
        </w:rPr>
        <w:t xml:space="preserve">16, 2018, and awarded Mr. </w:t>
      </w:r>
      <w:proofErr w:type="spellStart"/>
      <w:r w:rsidRPr="002F6CBB">
        <w:rPr>
          <w:lang w:val="en-CA"/>
        </w:rPr>
        <w:t>Nkamba</w:t>
      </w:r>
      <w:proofErr w:type="spellEnd"/>
      <w:r w:rsidRPr="002F6CBB">
        <w:rPr>
          <w:lang w:val="en-CA"/>
        </w:rPr>
        <w:t xml:space="preserve"> </w:t>
      </w:r>
      <w:r w:rsidRPr="002F6CBB">
        <w:rPr>
          <w:b/>
          <w:lang w:val="en-CA"/>
        </w:rPr>
        <w:t>$7,500</w:t>
      </w:r>
      <w:r w:rsidRPr="002F6CBB">
        <w:rPr>
          <w:lang w:val="en-CA"/>
        </w:rPr>
        <w:t xml:space="preserve"> in compensation for moral </w:t>
      </w:r>
      <w:r w:rsidR="00CA2C1C">
        <w:rPr>
          <w:lang w:val="en-CA"/>
        </w:rPr>
        <w:t xml:space="preserve">prejudice </w:t>
      </w:r>
      <w:r w:rsidRPr="002F6CBB">
        <w:rPr>
          <w:lang w:val="en-CA"/>
        </w:rPr>
        <w:t>due to racial profiling.</w:t>
      </w:r>
      <w:r w:rsidRPr="002F6CBB">
        <w:rPr>
          <w:rStyle w:val="Appelnotedebasdep"/>
          <w:szCs w:val="24"/>
          <w:lang w:val="en-CA"/>
        </w:rPr>
        <w:footnoteReference w:id="91"/>
      </w:r>
      <w:r w:rsidRPr="002F6CBB">
        <w:rPr>
          <w:szCs w:val="24"/>
          <w:lang w:val="en-CA"/>
        </w:rPr>
        <w:t xml:space="preserve"> Mr. </w:t>
      </w:r>
      <w:proofErr w:type="spellStart"/>
      <w:r w:rsidRPr="002F6CBB">
        <w:rPr>
          <w:szCs w:val="24"/>
          <w:lang w:val="en-CA"/>
        </w:rPr>
        <w:t>Nkamba</w:t>
      </w:r>
      <w:proofErr w:type="spellEnd"/>
      <w:r w:rsidRPr="002F6CBB">
        <w:rPr>
          <w:szCs w:val="24"/>
          <w:lang w:val="en-CA"/>
        </w:rPr>
        <w:t xml:space="preserve"> </w:t>
      </w:r>
      <w:r w:rsidR="00BC352E">
        <w:rPr>
          <w:szCs w:val="24"/>
          <w:lang w:val="en-CA"/>
        </w:rPr>
        <w:t>was</w:t>
      </w:r>
      <w:r w:rsidRPr="002F6CBB">
        <w:rPr>
          <w:szCs w:val="24"/>
          <w:lang w:val="en-CA"/>
        </w:rPr>
        <w:t xml:space="preserve"> arrested in front of his home, while sitting in a taxi, because he was not wearing his seatbelt.</w:t>
      </w:r>
      <w:r w:rsidR="00BC67BE" w:rsidRPr="002F6CBB">
        <w:rPr>
          <w:lang w:val="en-CA"/>
        </w:rPr>
        <w:t xml:space="preserve"> </w:t>
      </w:r>
      <w:r w:rsidRPr="002F6CBB">
        <w:rPr>
          <w:lang w:val="en-CA"/>
        </w:rPr>
        <w:t>He was arrested, searched, and handcuffed because he refused to identify himself.</w:t>
      </w:r>
      <w:r w:rsidR="00BC67BE" w:rsidRPr="002F6CBB">
        <w:rPr>
          <w:lang w:val="en-CA"/>
        </w:rPr>
        <w:t xml:space="preserve"> </w:t>
      </w:r>
      <w:r w:rsidRPr="002F6CBB">
        <w:rPr>
          <w:lang w:val="en-CA"/>
        </w:rPr>
        <w:t xml:space="preserve">The slightly lower amount awarded for this second incident was </w:t>
      </w:r>
      <w:r w:rsidR="00CA2C1C">
        <w:rPr>
          <w:lang w:val="en-CA"/>
        </w:rPr>
        <w:t xml:space="preserve">justified by the fact that </w:t>
      </w:r>
      <w:r w:rsidRPr="002F6CBB">
        <w:rPr>
          <w:lang w:val="en-CA"/>
        </w:rPr>
        <w:t xml:space="preserve">his psychological state was </w:t>
      </w:r>
      <w:r w:rsidR="00CA2C1C">
        <w:rPr>
          <w:lang w:val="en-CA"/>
        </w:rPr>
        <w:t xml:space="preserve">less </w:t>
      </w:r>
      <w:r w:rsidRPr="002F6CBB">
        <w:rPr>
          <w:lang w:val="en-CA"/>
        </w:rPr>
        <w:t xml:space="preserve">affected </w:t>
      </w:r>
      <w:r w:rsidR="00CA2C1C">
        <w:rPr>
          <w:lang w:val="en-CA"/>
        </w:rPr>
        <w:t>than during</w:t>
      </w:r>
      <w:r w:rsidRPr="002F6CBB">
        <w:rPr>
          <w:lang w:val="en-CA"/>
        </w:rPr>
        <w:t xml:space="preserve"> the first incident.</w:t>
      </w:r>
    </w:p>
    <w:p w14:paraId="502F6CCF" w14:textId="4E6C8008" w:rsidR="00375010" w:rsidRPr="002F6CBB" w:rsidRDefault="00BF6063" w:rsidP="000C60F3">
      <w:pPr>
        <w:pStyle w:val="Paragraphe"/>
        <w:tabs>
          <w:tab w:val="clear" w:pos="567"/>
          <w:tab w:val="num" w:pos="709"/>
        </w:tabs>
        <w:rPr>
          <w:color w:val="000000"/>
          <w:lang w:val="en-CA" w:eastAsia="fr-CA"/>
        </w:rPr>
      </w:pPr>
      <w:r w:rsidRPr="002F6CBB">
        <w:rPr>
          <w:lang w:val="en-CA"/>
        </w:rPr>
        <w:t>To these decisions</w:t>
      </w:r>
      <w:r w:rsidR="00BC352E">
        <w:rPr>
          <w:lang w:val="en-CA"/>
        </w:rPr>
        <w:t>,</w:t>
      </w:r>
      <w:r w:rsidRPr="002F6CBB">
        <w:rPr>
          <w:lang w:val="en-CA"/>
        </w:rPr>
        <w:t xml:space="preserve"> the Tribunal adds </w:t>
      </w:r>
      <w:r w:rsidRPr="002F6CBB">
        <w:rPr>
          <w:i/>
          <w:lang w:val="en-CA"/>
        </w:rPr>
        <w:t>Janvier</w:t>
      </w:r>
      <w:r w:rsidRPr="002F6CBB">
        <w:rPr>
          <w:rStyle w:val="Appelnotedebasdep"/>
          <w:szCs w:val="24"/>
          <w:lang w:val="en-CA"/>
        </w:rPr>
        <w:footnoteReference w:id="92"/>
      </w:r>
      <w:r w:rsidR="00C754A3">
        <w:rPr>
          <w:lang w:val="en-CA"/>
        </w:rPr>
        <w:t>,</w:t>
      </w:r>
      <w:r w:rsidRPr="002F6CBB">
        <w:rPr>
          <w:szCs w:val="24"/>
          <w:lang w:val="en-CA"/>
        </w:rPr>
        <w:t xml:space="preserve"> rendered in 2023, a few months after the two </w:t>
      </w:r>
      <w:proofErr w:type="spellStart"/>
      <w:r w:rsidRPr="002F6CBB">
        <w:rPr>
          <w:i/>
          <w:szCs w:val="24"/>
          <w:lang w:val="en-CA"/>
        </w:rPr>
        <w:t>Nkamba</w:t>
      </w:r>
      <w:proofErr w:type="spellEnd"/>
      <w:r w:rsidRPr="002F6CBB">
        <w:rPr>
          <w:szCs w:val="24"/>
          <w:lang w:val="en-CA"/>
        </w:rPr>
        <w:t xml:space="preserve"> judgments. </w:t>
      </w:r>
      <w:r w:rsidRPr="002F6CBB">
        <w:rPr>
          <w:lang w:val="en-CA"/>
        </w:rPr>
        <w:t xml:space="preserve">The complainants, Mr. Janvier and his </w:t>
      </w:r>
      <w:r w:rsidR="00D849E0">
        <w:rPr>
          <w:lang w:val="en-CA"/>
        </w:rPr>
        <w:t>wife</w:t>
      </w:r>
      <w:r w:rsidRPr="002F6CBB">
        <w:rPr>
          <w:lang w:val="en-CA"/>
        </w:rPr>
        <w:t>, Ms.</w:t>
      </w:r>
      <w:r w:rsidR="00BC352E">
        <w:rPr>
          <w:lang w:val="en-CA"/>
        </w:rPr>
        <w:t> </w:t>
      </w:r>
      <w:r w:rsidRPr="002F6CBB">
        <w:rPr>
          <w:lang w:val="en-CA"/>
        </w:rPr>
        <w:t xml:space="preserve">Estimable, who are </w:t>
      </w:r>
      <w:r w:rsidR="00C14519">
        <w:rPr>
          <w:lang w:val="en-CA"/>
        </w:rPr>
        <w:t>Black</w:t>
      </w:r>
      <w:r w:rsidRPr="002F6CBB">
        <w:rPr>
          <w:lang w:val="en-CA"/>
        </w:rPr>
        <w:t xml:space="preserve">, claimed that they </w:t>
      </w:r>
      <w:r w:rsidR="00CA2C1C">
        <w:rPr>
          <w:lang w:val="en-CA"/>
        </w:rPr>
        <w:t xml:space="preserve">were </w:t>
      </w:r>
      <w:r w:rsidR="00BC352E">
        <w:rPr>
          <w:lang w:val="en-CA"/>
        </w:rPr>
        <w:t>victims of a</w:t>
      </w:r>
      <w:r w:rsidR="00846FBD">
        <w:rPr>
          <w:lang w:val="en-CA"/>
        </w:rPr>
        <w:t>n interception</w:t>
      </w:r>
      <w:r w:rsidR="00C64672">
        <w:rPr>
          <w:lang w:val="en-CA"/>
        </w:rPr>
        <w:t xml:space="preserve"> </w:t>
      </w:r>
      <w:r w:rsidR="00BC352E">
        <w:rPr>
          <w:lang w:val="en-CA"/>
        </w:rPr>
        <w:t>motivated by</w:t>
      </w:r>
      <w:r w:rsidRPr="002F6CBB">
        <w:rPr>
          <w:lang w:val="en-CA"/>
        </w:rPr>
        <w:t xml:space="preserve"> racial profiling.</w:t>
      </w:r>
      <w:r w:rsidR="00BC67BE" w:rsidRPr="002F6CBB">
        <w:rPr>
          <w:lang w:val="en-CA"/>
        </w:rPr>
        <w:t xml:space="preserve"> </w:t>
      </w:r>
      <w:r w:rsidRPr="002F6CBB">
        <w:rPr>
          <w:lang w:val="en-CA"/>
        </w:rPr>
        <w:t xml:space="preserve">The officer </w:t>
      </w:r>
      <w:r w:rsidR="00DA33DC">
        <w:rPr>
          <w:lang w:val="en-CA"/>
        </w:rPr>
        <w:t>in question</w:t>
      </w:r>
      <w:r w:rsidR="00DA33DC" w:rsidRPr="002F6CBB">
        <w:rPr>
          <w:lang w:val="en-CA"/>
        </w:rPr>
        <w:t xml:space="preserve"> </w:t>
      </w:r>
      <w:r w:rsidR="000A4C1B">
        <w:rPr>
          <w:lang w:val="en-CA"/>
        </w:rPr>
        <w:t xml:space="preserve">had </w:t>
      </w:r>
      <w:r w:rsidRPr="002F6CBB">
        <w:rPr>
          <w:lang w:val="en-CA"/>
        </w:rPr>
        <w:t xml:space="preserve">also </w:t>
      </w:r>
      <w:r w:rsidR="00CA2C1C">
        <w:rPr>
          <w:lang w:val="en-CA"/>
        </w:rPr>
        <w:t xml:space="preserve">prolonged </w:t>
      </w:r>
      <w:r w:rsidRPr="002F6CBB">
        <w:rPr>
          <w:lang w:val="en-CA"/>
        </w:rPr>
        <w:t xml:space="preserve">the detention and </w:t>
      </w:r>
      <w:r w:rsidR="00CA2C1C">
        <w:rPr>
          <w:lang w:val="en-CA"/>
        </w:rPr>
        <w:t>check</w:t>
      </w:r>
      <w:r w:rsidRPr="002F6CBB">
        <w:rPr>
          <w:lang w:val="en-CA"/>
        </w:rPr>
        <w:t xml:space="preserve"> because she doubted Mr. Janvier’s identity.</w:t>
      </w:r>
      <w:r w:rsidR="00BC67BE" w:rsidRPr="002F6CBB">
        <w:rPr>
          <w:lang w:val="en-CA"/>
        </w:rPr>
        <w:t xml:space="preserve"> </w:t>
      </w:r>
      <w:r w:rsidRPr="002F6CBB">
        <w:rPr>
          <w:lang w:val="en-CA"/>
        </w:rPr>
        <w:t>Lewis J. awarded Mr.</w:t>
      </w:r>
      <w:r w:rsidR="00CA2C1C">
        <w:rPr>
          <w:lang w:val="en-CA"/>
        </w:rPr>
        <w:t> </w:t>
      </w:r>
      <w:r w:rsidRPr="002F6CBB">
        <w:rPr>
          <w:lang w:val="en-CA"/>
        </w:rPr>
        <w:t xml:space="preserve">Janvier </w:t>
      </w:r>
      <w:r w:rsidRPr="002F6CBB">
        <w:rPr>
          <w:b/>
          <w:color w:val="000000"/>
          <w:lang w:val="en-CA"/>
        </w:rPr>
        <w:t>$6,000</w:t>
      </w:r>
      <w:r w:rsidRPr="002F6CBB">
        <w:rPr>
          <w:color w:val="000000"/>
          <w:lang w:val="en-CA"/>
        </w:rPr>
        <w:t xml:space="preserve"> in compensation for </w:t>
      </w:r>
      <w:r w:rsidR="000A4C1B">
        <w:rPr>
          <w:color w:val="000000"/>
          <w:lang w:val="en-CA"/>
        </w:rPr>
        <w:t xml:space="preserve">the </w:t>
      </w:r>
      <w:r w:rsidRPr="002F6CBB">
        <w:rPr>
          <w:color w:val="000000"/>
          <w:lang w:val="en-CA"/>
        </w:rPr>
        <w:t xml:space="preserve">moral </w:t>
      </w:r>
      <w:r w:rsidR="004F0A69">
        <w:rPr>
          <w:color w:val="000000"/>
          <w:lang w:val="en-CA"/>
        </w:rPr>
        <w:t>prejudice,</w:t>
      </w:r>
      <w:r w:rsidRPr="002F6CBB">
        <w:rPr>
          <w:color w:val="000000"/>
          <w:lang w:val="en-CA"/>
        </w:rPr>
        <w:t xml:space="preserve"> not</w:t>
      </w:r>
      <w:r w:rsidR="004F0A69">
        <w:rPr>
          <w:color w:val="000000"/>
          <w:lang w:val="en-CA"/>
        </w:rPr>
        <w:t>ing</w:t>
      </w:r>
      <w:r w:rsidRPr="002F6CBB">
        <w:rPr>
          <w:color w:val="000000"/>
          <w:lang w:val="en-CA"/>
        </w:rPr>
        <w:t xml:space="preserve"> that the officer had not </w:t>
      </w:r>
      <w:r w:rsidR="00CA2C1C">
        <w:rPr>
          <w:color w:val="000000"/>
          <w:lang w:val="en-CA"/>
        </w:rPr>
        <w:t xml:space="preserve">allowed </w:t>
      </w:r>
      <w:r w:rsidRPr="002F6CBB">
        <w:rPr>
          <w:color w:val="000000"/>
          <w:lang w:val="en-CA"/>
        </w:rPr>
        <w:t xml:space="preserve">the situation </w:t>
      </w:r>
      <w:r w:rsidR="00CA2C1C">
        <w:rPr>
          <w:color w:val="000000"/>
          <w:lang w:val="en-CA"/>
        </w:rPr>
        <w:t xml:space="preserve">to </w:t>
      </w:r>
      <w:r w:rsidRPr="002F6CBB">
        <w:rPr>
          <w:color w:val="000000"/>
          <w:lang w:val="en-CA"/>
        </w:rPr>
        <w:t>escalate and stopped acting when she realized that her intervention was perceived as racial profiling.</w:t>
      </w:r>
      <w:r w:rsidR="00BC67BE" w:rsidRPr="002F6CBB">
        <w:rPr>
          <w:color w:val="000000"/>
          <w:lang w:val="en-CA" w:eastAsia="fr-CA"/>
        </w:rPr>
        <w:t xml:space="preserve"> </w:t>
      </w:r>
      <w:r w:rsidR="00CA2C1C">
        <w:rPr>
          <w:color w:val="000000"/>
          <w:lang w:val="en-CA" w:eastAsia="fr-CA"/>
        </w:rPr>
        <w:t xml:space="preserve">The judge </w:t>
      </w:r>
      <w:r w:rsidRPr="002F6CBB">
        <w:rPr>
          <w:color w:val="000000"/>
          <w:lang w:val="en-CA" w:eastAsia="fr-CA"/>
        </w:rPr>
        <w:t>also noted that he was not arrested</w:t>
      </w:r>
      <w:r w:rsidR="00702FF1">
        <w:rPr>
          <w:color w:val="000000"/>
          <w:lang w:val="en-CA" w:eastAsia="fr-CA"/>
        </w:rPr>
        <w:t>,</w:t>
      </w:r>
      <w:r w:rsidRPr="002F6CBB">
        <w:rPr>
          <w:color w:val="000000"/>
          <w:lang w:val="en-CA" w:eastAsia="fr-CA"/>
        </w:rPr>
        <w:t xml:space="preserve"> handcuffed</w:t>
      </w:r>
      <w:r w:rsidR="00702FF1">
        <w:rPr>
          <w:color w:val="000000"/>
          <w:lang w:val="en-CA" w:eastAsia="fr-CA"/>
        </w:rPr>
        <w:t>,</w:t>
      </w:r>
      <w:r w:rsidRPr="002F6CBB">
        <w:rPr>
          <w:color w:val="000000"/>
          <w:lang w:val="en-CA" w:eastAsia="fr-CA"/>
        </w:rPr>
        <w:t xml:space="preserve"> </w:t>
      </w:r>
      <w:r w:rsidR="00702FF1">
        <w:rPr>
          <w:color w:val="000000"/>
          <w:lang w:val="en-CA" w:eastAsia="fr-CA"/>
        </w:rPr>
        <w:t xml:space="preserve">or </w:t>
      </w:r>
      <w:r w:rsidRPr="002F6CBB">
        <w:rPr>
          <w:color w:val="000000"/>
          <w:lang w:val="en-CA" w:eastAsia="fr-CA"/>
        </w:rPr>
        <w:t>issued a statement of offence.</w:t>
      </w:r>
      <w:r w:rsidR="00BC67BE" w:rsidRPr="002F6CBB">
        <w:rPr>
          <w:color w:val="000000"/>
          <w:lang w:val="en-CA" w:eastAsia="fr-CA"/>
        </w:rPr>
        <w:t xml:space="preserve"> </w:t>
      </w:r>
      <w:r w:rsidRPr="002F6CBB">
        <w:rPr>
          <w:color w:val="000000"/>
          <w:lang w:val="en-CA" w:eastAsia="fr-CA"/>
        </w:rPr>
        <w:t>The Tribunal awarded Ms.</w:t>
      </w:r>
      <w:r w:rsidR="00702FF1">
        <w:rPr>
          <w:color w:val="000000"/>
          <w:lang w:val="en-CA" w:eastAsia="fr-CA"/>
        </w:rPr>
        <w:t> </w:t>
      </w:r>
      <w:r w:rsidRPr="002F6CBB">
        <w:rPr>
          <w:color w:val="000000"/>
          <w:lang w:val="en-CA" w:eastAsia="fr-CA"/>
        </w:rPr>
        <w:t xml:space="preserve">Estimable, who </w:t>
      </w:r>
      <w:r w:rsidR="00DA33DC">
        <w:rPr>
          <w:color w:val="000000"/>
          <w:lang w:val="en-CA" w:eastAsia="fr-CA"/>
        </w:rPr>
        <w:t xml:space="preserve">was disturbed by the </w:t>
      </w:r>
      <w:r w:rsidRPr="002F6CBB">
        <w:rPr>
          <w:color w:val="000000"/>
          <w:lang w:val="en-CA" w:eastAsia="fr-CA"/>
        </w:rPr>
        <w:t xml:space="preserve">incident, $4,000. </w:t>
      </w:r>
    </w:p>
    <w:p w14:paraId="466E266D" w14:textId="39B0DD61" w:rsidR="00375010" w:rsidRPr="002F6CBB" w:rsidRDefault="00BF6063" w:rsidP="000C60F3">
      <w:pPr>
        <w:pStyle w:val="Paragraphe"/>
        <w:tabs>
          <w:tab w:val="clear" w:pos="567"/>
          <w:tab w:val="num" w:pos="709"/>
        </w:tabs>
        <w:rPr>
          <w:lang w:val="en-CA" w:eastAsia="fr-CA"/>
        </w:rPr>
      </w:pPr>
      <w:r w:rsidRPr="002F6CBB">
        <w:rPr>
          <w:lang w:val="en-CA" w:eastAsia="fr-CA"/>
        </w:rPr>
        <w:t xml:space="preserve">In light of these decisions that offer guidance, the Tribunal must conduct an individualized analysis of the impact of </w:t>
      </w:r>
      <w:r w:rsidR="00415C74">
        <w:rPr>
          <w:lang w:val="en-CA" w:eastAsia="fr-CA"/>
        </w:rPr>
        <w:t xml:space="preserve">the </w:t>
      </w:r>
      <w:r w:rsidRPr="002F6CBB">
        <w:rPr>
          <w:lang w:val="en-CA" w:eastAsia="fr-CA"/>
        </w:rPr>
        <w:t xml:space="preserve">intervention </w:t>
      </w:r>
      <w:r w:rsidR="00415C74">
        <w:rPr>
          <w:lang w:val="en-CA" w:eastAsia="fr-CA"/>
        </w:rPr>
        <w:t xml:space="preserve">experienced by </w:t>
      </w:r>
      <w:r w:rsidR="00415C74" w:rsidRPr="002F6CBB">
        <w:rPr>
          <w:lang w:val="en-CA" w:eastAsia="fr-CA"/>
        </w:rPr>
        <w:t xml:space="preserve">Mr. Woodley </w:t>
      </w:r>
      <w:r w:rsidRPr="002F6CBB">
        <w:rPr>
          <w:lang w:val="en-CA" w:eastAsia="fr-CA"/>
        </w:rPr>
        <w:t>on September 19, 2018.</w:t>
      </w:r>
    </w:p>
    <w:p w14:paraId="0AC50CA7" w14:textId="7A19C11F" w:rsidR="00375010" w:rsidRPr="002F6CBB" w:rsidRDefault="00BF6063" w:rsidP="00E43606">
      <w:pPr>
        <w:pStyle w:val="Paragraphe"/>
        <w:tabs>
          <w:tab w:val="clear" w:pos="567"/>
          <w:tab w:val="num" w:pos="709"/>
        </w:tabs>
        <w:rPr>
          <w:lang w:val="en-CA" w:eastAsia="fr-CA"/>
        </w:rPr>
      </w:pPr>
      <w:r w:rsidRPr="002F6CBB">
        <w:rPr>
          <w:lang w:val="en-CA" w:eastAsia="fr-CA"/>
        </w:rPr>
        <w:lastRenderedPageBreak/>
        <w:t>First, the circumstances of the intervention.</w:t>
      </w:r>
    </w:p>
    <w:p w14:paraId="4483091B" w14:textId="34CD3543" w:rsidR="00375010" w:rsidRPr="002F6CBB" w:rsidRDefault="00754CFC" w:rsidP="00E43606">
      <w:pPr>
        <w:pStyle w:val="Paragraphe"/>
        <w:tabs>
          <w:tab w:val="clear" w:pos="567"/>
          <w:tab w:val="num" w:pos="709"/>
        </w:tabs>
        <w:rPr>
          <w:lang w:val="en-CA" w:eastAsia="fr-CA"/>
        </w:rPr>
      </w:pPr>
      <w:r w:rsidRPr="002F6CBB">
        <w:rPr>
          <w:lang w:val="en-CA" w:eastAsia="fr-CA"/>
        </w:rPr>
        <w:t xml:space="preserve">Mr. Woodley had not committed any offence at the time he was </w:t>
      </w:r>
      <w:r w:rsidR="00EB55BF">
        <w:rPr>
          <w:lang w:val="en-CA" w:eastAsia="fr-CA"/>
        </w:rPr>
        <w:t>intercepted</w:t>
      </w:r>
      <w:r w:rsidRPr="002F6CBB">
        <w:rPr>
          <w:lang w:val="en-CA" w:eastAsia="fr-CA"/>
        </w:rPr>
        <w:t>.</w:t>
      </w:r>
      <w:r w:rsidR="00BC67BE" w:rsidRPr="002F6CBB">
        <w:rPr>
          <w:lang w:val="en-CA" w:eastAsia="fr-CA"/>
        </w:rPr>
        <w:t xml:space="preserve"> </w:t>
      </w:r>
      <w:r w:rsidRPr="002F6CBB">
        <w:rPr>
          <w:lang w:val="en-CA" w:eastAsia="fr-CA"/>
        </w:rPr>
        <w:t xml:space="preserve">He was surprised, but quickly suspected that it was because he is a </w:t>
      </w:r>
      <w:r w:rsidR="00C14519">
        <w:rPr>
          <w:lang w:val="en-CA" w:eastAsia="fr-CA"/>
        </w:rPr>
        <w:t>Black</w:t>
      </w:r>
      <w:r w:rsidRPr="002F6CBB">
        <w:rPr>
          <w:lang w:val="en-CA" w:eastAsia="fr-CA"/>
        </w:rPr>
        <w:t xml:space="preserve"> man.</w:t>
      </w:r>
      <w:r w:rsidR="00BC67BE" w:rsidRPr="002F6CBB">
        <w:rPr>
          <w:lang w:val="en-CA" w:eastAsia="fr-CA"/>
        </w:rPr>
        <w:t xml:space="preserve"> </w:t>
      </w:r>
      <w:r w:rsidRPr="002F6CBB">
        <w:rPr>
          <w:lang w:val="en-CA" w:eastAsia="fr-CA"/>
        </w:rPr>
        <w:t xml:space="preserve">He was offended that </w:t>
      </w:r>
      <w:r w:rsidR="00415C74">
        <w:rPr>
          <w:lang w:val="en-CA" w:eastAsia="fr-CA"/>
        </w:rPr>
        <w:t xml:space="preserve">he was being </w:t>
      </w:r>
      <w:r w:rsidRPr="002F6CBB">
        <w:rPr>
          <w:lang w:val="en-CA" w:eastAsia="fr-CA"/>
        </w:rPr>
        <w:t xml:space="preserve">faulted for driving a car owned by a woman and did not understand why it </w:t>
      </w:r>
      <w:r w:rsidR="00415C74">
        <w:rPr>
          <w:lang w:val="en-CA" w:eastAsia="fr-CA"/>
        </w:rPr>
        <w:t xml:space="preserve">was </w:t>
      </w:r>
      <w:r w:rsidRPr="002F6CBB">
        <w:rPr>
          <w:lang w:val="en-CA" w:eastAsia="fr-CA"/>
        </w:rPr>
        <w:t>a problem.</w:t>
      </w:r>
      <w:r w:rsidR="00BC67BE" w:rsidRPr="002F6CBB">
        <w:rPr>
          <w:lang w:val="en-CA" w:eastAsia="fr-CA"/>
        </w:rPr>
        <w:t xml:space="preserve"> </w:t>
      </w:r>
      <w:r w:rsidRPr="002F6CBB">
        <w:rPr>
          <w:lang w:val="en-CA" w:eastAsia="fr-CA"/>
        </w:rPr>
        <w:t xml:space="preserve">The video shows that he was agitated and </w:t>
      </w:r>
      <w:r w:rsidR="000A4C1B">
        <w:rPr>
          <w:lang w:val="en-CA" w:eastAsia="fr-CA"/>
        </w:rPr>
        <w:t>indignant</w:t>
      </w:r>
      <w:r w:rsidRPr="002F6CBB">
        <w:rPr>
          <w:lang w:val="en-CA" w:eastAsia="fr-CA"/>
        </w:rPr>
        <w:t>.</w:t>
      </w:r>
      <w:r w:rsidR="00BC67BE" w:rsidRPr="002F6CBB">
        <w:rPr>
          <w:lang w:val="en-CA" w:eastAsia="fr-CA"/>
        </w:rPr>
        <w:t xml:space="preserve"> </w:t>
      </w:r>
      <w:r w:rsidRPr="002F6CBB">
        <w:rPr>
          <w:lang w:val="en-CA" w:eastAsia="fr-CA"/>
        </w:rPr>
        <w:t>He explained at the hearing that it was not the first time he ha</w:t>
      </w:r>
      <w:r w:rsidR="004F0A69">
        <w:rPr>
          <w:lang w:val="en-CA" w:eastAsia="fr-CA"/>
        </w:rPr>
        <w:t>d</w:t>
      </w:r>
      <w:r w:rsidRPr="002F6CBB">
        <w:rPr>
          <w:lang w:val="en-CA" w:eastAsia="fr-CA"/>
        </w:rPr>
        <w:t xml:space="preserve"> been </w:t>
      </w:r>
      <w:r w:rsidR="00EB55BF">
        <w:rPr>
          <w:lang w:val="en-CA" w:eastAsia="fr-CA"/>
        </w:rPr>
        <w:t>intercepted</w:t>
      </w:r>
      <w:r w:rsidR="00EB55BF" w:rsidRPr="002F6CBB">
        <w:rPr>
          <w:lang w:val="en-CA" w:eastAsia="fr-CA"/>
        </w:rPr>
        <w:t xml:space="preserve"> </w:t>
      </w:r>
      <w:r w:rsidRPr="002F6CBB">
        <w:rPr>
          <w:lang w:val="en-CA" w:eastAsia="fr-CA"/>
        </w:rPr>
        <w:t xml:space="preserve">this way </w:t>
      </w:r>
      <w:r w:rsidR="004F0A69">
        <w:rPr>
          <w:lang w:val="en-CA" w:eastAsia="fr-CA"/>
        </w:rPr>
        <w:t>without having committed any</w:t>
      </w:r>
      <w:r w:rsidR="00415C74">
        <w:rPr>
          <w:lang w:val="en-CA" w:eastAsia="fr-CA"/>
        </w:rPr>
        <w:t xml:space="preserve"> </w:t>
      </w:r>
      <w:r w:rsidRPr="002F6CBB">
        <w:rPr>
          <w:lang w:val="en-CA" w:eastAsia="fr-CA"/>
        </w:rPr>
        <w:t>offence.</w:t>
      </w:r>
    </w:p>
    <w:p w14:paraId="7201319D" w14:textId="5FBE4674" w:rsidR="00375010" w:rsidRPr="002F6CBB" w:rsidRDefault="00754CFC" w:rsidP="00E43606">
      <w:pPr>
        <w:pStyle w:val="Paragraphe"/>
        <w:tabs>
          <w:tab w:val="clear" w:pos="567"/>
          <w:tab w:val="num" w:pos="709"/>
        </w:tabs>
        <w:rPr>
          <w:lang w:val="en-CA" w:eastAsia="fr-CA"/>
        </w:rPr>
      </w:pPr>
      <w:r w:rsidRPr="002F6CBB">
        <w:rPr>
          <w:lang w:val="en-CA" w:eastAsia="fr-CA"/>
        </w:rPr>
        <w:t xml:space="preserve">Three other officers joined Officers </w:t>
      </w:r>
      <w:proofErr w:type="spellStart"/>
      <w:r w:rsidRPr="002F6CBB">
        <w:rPr>
          <w:lang w:val="en-CA" w:eastAsia="fr-CA"/>
        </w:rPr>
        <w:t>Beaulac</w:t>
      </w:r>
      <w:proofErr w:type="spellEnd"/>
      <w:r w:rsidRPr="002F6CBB">
        <w:rPr>
          <w:lang w:val="en-CA" w:eastAsia="fr-CA"/>
        </w:rPr>
        <w:t xml:space="preserve"> and Lamothe</w:t>
      </w:r>
      <w:r w:rsidR="008A5DBB">
        <w:rPr>
          <w:lang w:val="en-CA" w:eastAsia="fr-CA"/>
        </w:rPr>
        <w:t>;</w:t>
      </w:r>
      <w:r w:rsidRPr="002F6CBB">
        <w:rPr>
          <w:lang w:val="en-CA" w:eastAsia="fr-CA"/>
        </w:rPr>
        <w:t xml:space="preserve"> five officers in total were present.</w:t>
      </w:r>
      <w:r w:rsidR="00BC67BE" w:rsidRPr="002F6CBB">
        <w:rPr>
          <w:lang w:val="en-CA" w:eastAsia="fr-CA"/>
        </w:rPr>
        <w:t xml:space="preserve"> </w:t>
      </w:r>
      <w:r w:rsidRPr="002F6CBB">
        <w:rPr>
          <w:lang w:val="en-CA" w:eastAsia="fr-CA"/>
        </w:rPr>
        <w:t xml:space="preserve">He was surrounded by three police cars </w:t>
      </w:r>
      <w:r w:rsidR="008A5DBB">
        <w:rPr>
          <w:lang w:val="en-CA" w:eastAsia="fr-CA"/>
        </w:rPr>
        <w:t xml:space="preserve">with their </w:t>
      </w:r>
      <w:r w:rsidRPr="002F6CBB">
        <w:rPr>
          <w:lang w:val="en-CA" w:eastAsia="fr-CA"/>
        </w:rPr>
        <w:t xml:space="preserve">lights flashing, one of which was placed diagonally to </w:t>
      </w:r>
      <w:r w:rsidR="00182C01">
        <w:rPr>
          <w:lang w:val="en-CA" w:eastAsia="fr-CA"/>
        </w:rPr>
        <w:t>impede</w:t>
      </w:r>
      <w:r w:rsidRPr="002F6CBB">
        <w:rPr>
          <w:lang w:val="en-CA" w:eastAsia="fr-CA"/>
        </w:rPr>
        <w:t xml:space="preserve"> his vehicle, even though he had done nothing to suggest to the police that he planned to flee.</w:t>
      </w:r>
      <w:r w:rsidR="00BC67BE" w:rsidRPr="002F6CBB">
        <w:rPr>
          <w:lang w:val="en-CA" w:eastAsia="fr-CA"/>
        </w:rPr>
        <w:t xml:space="preserve"> </w:t>
      </w:r>
      <w:r w:rsidRPr="002F6CBB">
        <w:rPr>
          <w:lang w:val="en-CA" w:eastAsia="fr-CA"/>
        </w:rPr>
        <w:t xml:space="preserve">He </w:t>
      </w:r>
      <w:r w:rsidR="008A5DBB">
        <w:rPr>
          <w:lang w:val="en-CA" w:eastAsia="fr-CA"/>
        </w:rPr>
        <w:t xml:space="preserve">did not </w:t>
      </w:r>
      <w:r w:rsidR="00182C01">
        <w:rPr>
          <w:lang w:val="en-CA" w:eastAsia="fr-CA"/>
        </w:rPr>
        <w:t>brandish</w:t>
      </w:r>
      <w:r w:rsidRPr="002F6CBB">
        <w:rPr>
          <w:lang w:val="en-CA" w:eastAsia="fr-CA"/>
        </w:rPr>
        <w:t xml:space="preserve"> </w:t>
      </w:r>
      <w:r w:rsidR="008A5DBB">
        <w:rPr>
          <w:lang w:val="en-CA" w:eastAsia="fr-CA"/>
        </w:rPr>
        <w:t>a</w:t>
      </w:r>
      <w:r w:rsidRPr="002F6CBB">
        <w:rPr>
          <w:lang w:val="en-CA" w:eastAsia="fr-CA"/>
        </w:rPr>
        <w:t xml:space="preserve"> weapon </w:t>
      </w:r>
      <w:r w:rsidR="00182C01">
        <w:rPr>
          <w:lang w:val="en-CA" w:eastAsia="fr-CA"/>
        </w:rPr>
        <w:t xml:space="preserve">or </w:t>
      </w:r>
      <w:r w:rsidRPr="002F6CBB">
        <w:rPr>
          <w:lang w:val="en-CA" w:eastAsia="fr-CA"/>
        </w:rPr>
        <w:t>utter any physical threats.</w:t>
      </w:r>
    </w:p>
    <w:p w14:paraId="32D947F3" w14:textId="01392448" w:rsidR="00375010" w:rsidRPr="002F6CBB" w:rsidRDefault="00754CFC" w:rsidP="00E43606">
      <w:pPr>
        <w:pStyle w:val="Paragraphe"/>
        <w:tabs>
          <w:tab w:val="clear" w:pos="567"/>
          <w:tab w:val="num" w:pos="709"/>
        </w:tabs>
        <w:rPr>
          <w:lang w:val="en-CA"/>
        </w:rPr>
      </w:pPr>
      <w:r w:rsidRPr="002F6CBB">
        <w:rPr>
          <w:lang w:val="en-CA"/>
        </w:rPr>
        <w:t xml:space="preserve">Officer Lamothe </w:t>
      </w:r>
      <w:r w:rsidR="00AE0DDE">
        <w:rPr>
          <w:lang w:val="en-CA"/>
        </w:rPr>
        <w:t xml:space="preserve">placed </w:t>
      </w:r>
      <w:r w:rsidRPr="002F6CBB">
        <w:rPr>
          <w:lang w:val="en-CA"/>
        </w:rPr>
        <w:t xml:space="preserve">her hand </w:t>
      </w:r>
      <w:r w:rsidR="00AE0DDE">
        <w:rPr>
          <w:lang w:val="en-CA"/>
        </w:rPr>
        <w:t xml:space="preserve">inside </w:t>
      </w:r>
      <w:r w:rsidRPr="002F6CBB">
        <w:rPr>
          <w:lang w:val="en-CA"/>
        </w:rPr>
        <w:t>his vehicle to unlock the door.</w:t>
      </w:r>
      <w:r w:rsidR="00BC67BE" w:rsidRPr="002F6CBB">
        <w:rPr>
          <w:lang w:val="en-CA"/>
        </w:rPr>
        <w:t xml:space="preserve"> </w:t>
      </w:r>
      <w:r w:rsidRPr="002F6CBB">
        <w:rPr>
          <w:lang w:val="en-CA"/>
        </w:rPr>
        <w:t xml:space="preserve">Officer </w:t>
      </w:r>
      <w:proofErr w:type="spellStart"/>
      <w:r w:rsidRPr="002F6CBB">
        <w:rPr>
          <w:lang w:val="en-CA"/>
        </w:rPr>
        <w:t>Duchaine</w:t>
      </w:r>
      <w:proofErr w:type="spellEnd"/>
      <w:r w:rsidRPr="002F6CBB">
        <w:rPr>
          <w:lang w:val="en-CA"/>
        </w:rPr>
        <w:t xml:space="preserve"> opened the door and inspected </w:t>
      </w:r>
      <w:r w:rsidR="00AE0DDE">
        <w:rPr>
          <w:lang w:val="en-CA"/>
        </w:rPr>
        <w:t>the interior</w:t>
      </w:r>
      <w:r w:rsidRPr="002F6CBB">
        <w:rPr>
          <w:lang w:val="en-CA"/>
        </w:rPr>
        <w:t>.</w:t>
      </w:r>
      <w:r w:rsidR="00BC67BE" w:rsidRPr="002F6CBB">
        <w:rPr>
          <w:lang w:val="en-CA"/>
        </w:rPr>
        <w:t xml:space="preserve"> </w:t>
      </w:r>
      <w:r w:rsidRPr="002F6CBB">
        <w:rPr>
          <w:lang w:val="en-CA"/>
        </w:rPr>
        <w:t>He was issued two statements of offence.</w:t>
      </w:r>
    </w:p>
    <w:p w14:paraId="54AA0F1E" w14:textId="1A135CED" w:rsidR="00375010" w:rsidRPr="002F6CBB" w:rsidRDefault="00754CFC" w:rsidP="00E43606">
      <w:pPr>
        <w:pStyle w:val="Paragraphe"/>
        <w:tabs>
          <w:tab w:val="clear" w:pos="567"/>
          <w:tab w:val="num" w:pos="709"/>
        </w:tabs>
        <w:rPr>
          <w:lang w:val="en-CA"/>
        </w:rPr>
      </w:pPr>
      <w:r w:rsidRPr="002F6CBB">
        <w:rPr>
          <w:lang w:val="en-CA"/>
        </w:rPr>
        <w:t>Unfortunately, the situation escalated.</w:t>
      </w:r>
    </w:p>
    <w:p w14:paraId="1B12C393" w14:textId="7EAAB469" w:rsidR="00375010" w:rsidRPr="002F6CBB" w:rsidRDefault="00754CFC" w:rsidP="00E43606">
      <w:pPr>
        <w:pStyle w:val="Paragraphe"/>
        <w:tabs>
          <w:tab w:val="clear" w:pos="567"/>
          <w:tab w:val="num" w:pos="709"/>
        </w:tabs>
        <w:rPr>
          <w:lang w:val="en-CA"/>
        </w:rPr>
      </w:pPr>
      <w:r w:rsidRPr="002F6CBB">
        <w:rPr>
          <w:lang w:val="en-CA"/>
        </w:rPr>
        <w:t>Mr. Woodley testified that he was afraid of being seen, which is understandable.</w:t>
      </w:r>
      <w:r w:rsidR="00EA471C" w:rsidRPr="002F6CBB">
        <w:rPr>
          <w:lang w:val="en-CA"/>
        </w:rPr>
        <w:t xml:space="preserve"> </w:t>
      </w:r>
      <w:r w:rsidRPr="002F6CBB">
        <w:rPr>
          <w:lang w:val="en-CA"/>
        </w:rPr>
        <w:t xml:space="preserve">A witness seeing the </w:t>
      </w:r>
      <w:r w:rsidR="00AE0DDE">
        <w:rPr>
          <w:lang w:val="en-CA"/>
        </w:rPr>
        <w:t>extent</w:t>
      </w:r>
      <w:r w:rsidRPr="002F6CBB">
        <w:rPr>
          <w:lang w:val="en-CA"/>
        </w:rPr>
        <w:t xml:space="preserve"> of the scene could </w:t>
      </w:r>
      <w:r w:rsidR="00AE0DDE">
        <w:rPr>
          <w:lang w:val="en-CA"/>
        </w:rPr>
        <w:t xml:space="preserve">have </w:t>
      </w:r>
      <w:r w:rsidRPr="002F6CBB">
        <w:rPr>
          <w:lang w:val="en-CA"/>
        </w:rPr>
        <w:t xml:space="preserve">easily concluded that the police were intercepting a major </w:t>
      </w:r>
      <w:r w:rsidR="004C53C3">
        <w:rPr>
          <w:lang w:val="en-CA"/>
        </w:rPr>
        <w:t>criminal</w:t>
      </w:r>
      <w:r w:rsidR="00AE0DDE">
        <w:rPr>
          <w:lang w:val="en-CA"/>
        </w:rPr>
        <w:t>, which</w:t>
      </w:r>
      <w:r w:rsidR="00EA471C" w:rsidRPr="002F6CBB">
        <w:rPr>
          <w:lang w:val="en-CA"/>
        </w:rPr>
        <w:t xml:space="preserve"> </w:t>
      </w:r>
      <w:r w:rsidRPr="002F6CBB">
        <w:rPr>
          <w:lang w:val="en-CA"/>
        </w:rPr>
        <w:t xml:space="preserve">Mr. Woodley is not. </w:t>
      </w:r>
    </w:p>
    <w:p w14:paraId="39E5916E" w14:textId="6D78EE2E" w:rsidR="00375010" w:rsidRPr="002F6CBB" w:rsidRDefault="00754CFC" w:rsidP="00E43606">
      <w:pPr>
        <w:pStyle w:val="Paragraphe"/>
        <w:tabs>
          <w:tab w:val="clear" w:pos="567"/>
          <w:tab w:val="num" w:pos="709"/>
        </w:tabs>
        <w:rPr>
          <w:lang w:val="en-CA"/>
        </w:rPr>
      </w:pPr>
      <w:r w:rsidRPr="002F6CBB">
        <w:rPr>
          <w:lang w:val="en-CA"/>
        </w:rPr>
        <w:t>Mr. Woodley was shaken by the incident.</w:t>
      </w:r>
      <w:r w:rsidR="00BC67BE" w:rsidRPr="002F6CBB">
        <w:rPr>
          <w:lang w:val="en-CA"/>
        </w:rPr>
        <w:t xml:space="preserve"> </w:t>
      </w:r>
      <w:r w:rsidRPr="002F6CBB">
        <w:rPr>
          <w:lang w:val="en-CA"/>
        </w:rPr>
        <w:t>He was anxious and frustrated.</w:t>
      </w:r>
      <w:r w:rsidR="00BC67BE" w:rsidRPr="002F6CBB">
        <w:rPr>
          <w:lang w:val="en-CA"/>
        </w:rPr>
        <w:t xml:space="preserve"> </w:t>
      </w:r>
      <w:r w:rsidRPr="002F6CBB">
        <w:rPr>
          <w:lang w:val="en-CA"/>
        </w:rPr>
        <w:t xml:space="preserve">His </w:t>
      </w:r>
      <w:r w:rsidR="00D849E0">
        <w:rPr>
          <w:lang w:val="en-CA"/>
        </w:rPr>
        <w:t>wife</w:t>
      </w:r>
      <w:r w:rsidRPr="002F6CBB">
        <w:rPr>
          <w:lang w:val="en-CA"/>
        </w:rPr>
        <w:t xml:space="preserve"> testified that he was </w:t>
      </w:r>
      <w:r w:rsidR="00696E5A">
        <w:rPr>
          <w:lang w:val="en-CA"/>
        </w:rPr>
        <w:t>overwhelmed</w:t>
      </w:r>
      <w:r w:rsidRPr="002F6CBB">
        <w:rPr>
          <w:lang w:val="en-CA"/>
        </w:rPr>
        <w:t xml:space="preserve"> by what </w:t>
      </w:r>
      <w:r w:rsidR="00696E5A">
        <w:rPr>
          <w:lang w:val="en-CA"/>
        </w:rPr>
        <w:t xml:space="preserve">had </w:t>
      </w:r>
      <w:r w:rsidRPr="002F6CBB">
        <w:rPr>
          <w:lang w:val="en-CA"/>
        </w:rPr>
        <w:t>happened.</w:t>
      </w:r>
      <w:r w:rsidR="00BC67BE" w:rsidRPr="002F6CBB">
        <w:rPr>
          <w:lang w:val="en-CA"/>
        </w:rPr>
        <w:t xml:space="preserve"> </w:t>
      </w:r>
      <w:r w:rsidRPr="002F6CBB">
        <w:rPr>
          <w:lang w:val="en-CA"/>
        </w:rPr>
        <w:t xml:space="preserve">He felt like a criminal for </w:t>
      </w:r>
      <w:r w:rsidR="00AE0DDE">
        <w:rPr>
          <w:lang w:val="en-CA"/>
        </w:rPr>
        <w:t xml:space="preserve">having </w:t>
      </w:r>
      <w:r w:rsidRPr="002F6CBB">
        <w:rPr>
          <w:lang w:val="en-CA"/>
        </w:rPr>
        <w:t>driv</w:t>
      </w:r>
      <w:r w:rsidR="00AE0DDE">
        <w:rPr>
          <w:lang w:val="en-CA"/>
        </w:rPr>
        <w:t>en</w:t>
      </w:r>
      <w:r w:rsidRPr="002F6CBB">
        <w:rPr>
          <w:lang w:val="en-CA"/>
        </w:rPr>
        <w:t xml:space="preserve"> his </w:t>
      </w:r>
      <w:r w:rsidR="00D849E0">
        <w:rPr>
          <w:lang w:val="en-CA"/>
        </w:rPr>
        <w:t>wife</w:t>
      </w:r>
      <w:r w:rsidRPr="002F6CBB">
        <w:rPr>
          <w:lang w:val="en-CA"/>
        </w:rPr>
        <w:t>’s car.</w:t>
      </w:r>
      <w:r w:rsidR="00BC67BE" w:rsidRPr="002F6CBB">
        <w:rPr>
          <w:lang w:val="en-CA"/>
        </w:rPr>
        <w:t xml:space="preserve"> </w:t>
      </w:r>
      <w:r w:rsidRPr="002F6CBB">
        <w:rPr>
          <w:lang w:val="en-CA"/>
        </w:rPr>
        <w:t>He was humiliated and kept repeating the story.</w:t>
      </w:r>
      <w:r w:rsidR="00BC67BE" w:rsidRPr="002F6CBB">
        <w:rPr>
          <w:lang w:val="en-CA"/>
        </w:rPr>
        <w:t xml:space="preserve"> </w:t>
      </w:r>
      <w:r w:rsidRPr="002F6CBB">
        <w:rPr>
          <w:lang w:val="en-CA"/>
        </w:rPr>
        <w:t xml:space="preserve">She had to drive to the photographer for </w:t>
      </w:r>
      <w:r w:rsidR="00AE0DDE">
        <w:rPr>
          <w:lang w:val="en-CA"/>
        </w:rPr>
        <w:t xml:space="preserve">the photo shoot </w:t>
      </w:r>
      <w:r w:rsidRPr="002F6CBB">
        <w:rPr>
          <w:lang w:val="en-CA"/>
        </w:rPr>
        <w:t xml:space="preserve">with their newborn because he was too </w:t>
      </w:r>
      <w:r w:rsidR="00AE0DDE">
        <w:rPr>
          <w:lang w:val="en-CA"/>
        </w:rPr>
        <w:t>shaken</w:t>
      </w:r>
      <w:r w:rsidRPr="002F6CBB">
        <w:rPr>
          <w:lang w:val="en-CA"/>
        </w:rPr>
        <w:t>.</w:t>
      </w:r>
      <w:r w:rsidR="00BC67BE" w:rsidRPr="002F6CBB">
        <w:rPr>
          <w:lang w:val="en-CA"/>
        </w:rPr>
        <w:t xml:space="preserve"> </w:t>
      </w:r>
      <w:r w:rsidRPr="002F6CBB">
        <w:rPr>
          <w:lang w:val="en-CA"/>
        </w:rPr>
        <w:t xml:space="preserve">Even though this </w:t>
      </w:r>
      <w:r w:rsidR="00AE0DDE">
        <w:rPr>
          <w:lang w:val="en-CA"/>
        </w:rPr>
        <w:t>phot</w:t>
      </w:r>
      <w:r w:rsidR="00696E5A">
        <w:rPr>
          <w:lang w:val="en-CA"/>
        </w:rPr>
        <w:t>o</w:t>
      </w:r>
      <w:r w:rsidR="00AE0DDE">
        <w:rPr>
          <w:lang w:val="en-CA"/>
        </w:rPr>
        <w:t xml:space="preserve"> shoot </w:t>
      </w:r>
      <w:r w:rsidRPr="002F6CBB">
        <w:rPr>
          <w:lang w:val="en-CA"/>
        </w:rPr>
        <w:t>still took place, he could not smile for the photos and what was supposed to be a happy family moment was ruined.</w:t>
      </w:r>
    </w:p>
    <w:p w14:paraId="3708F730" w14:textId="09133DD0" w:rsidR="00375010" w:rsidRPr="002F6CBB" w:rsidRDefault="00754CFC" w:rsidP="00E43606">
      <w:pPr>
        <w:pStyle w:val="Paragraphe"/>
        <w:tabs>
          <w:tab w:val="clear" w:pos="567"/>
          <w:tab w:val="num" w:pos="709"/>
        </w:tabs>
        <w:rPr>
          <w:lang w:val="en-CA"/>
        </w:rPr>
      </w:pPr>
      <w:r w:rsidRPr="002F6CBB">
        <w:rPr>
          <w:lang w:val="en-CA"/>
        </w:rPr>
        <w:t xml:space="preserve">Mr. Woodley consulted a psychologist but </w:t>
      </w:r>
      <w:r w:rsidR="00AE0DDE">
        <w:rPr>
          <w:lang w:val="en-CA"/>
        </w:rPr>
        <w:t>could</w:t>
      </w:r>
      <w:r w:rsidRPr="002F6CBB">
        <w:rPr>
          <w:lang w:val="en-CA"/>
        </w:rPr>
        <w:t xml:space="preserve"> not continue the sessions because of the cost.</w:t>
      </w:r>
    </w:p>
    <w:p w14:paraId="6DFFB830" w14:textId="13433697" w:rsidR="00375010" w:rsidRPr="002F6CBB" w:rsidRDefault="00AE0DDE" w:rsidP="00E43606">
      <w:pPr>
        <w:pStyle w:val="Paragraphe"/>
        <w:tabs>
          <w:tab w:val="clear" w:pos="567"/>
          <w:tab w:val="num" w:pos="709"/>
        </w:tabs>
        <w:rPr>
          <w:lang w:val="en-CA"/>
        </w:rPr>
      </w:pPr>
      <w:r>
        <w:rPr>
          <w:lang w:val="en-CA"/>
        </w:rPr>
        <w:t>Overall</w:t>
      </w:r>
      <w:r w:rsidR="00754CFC" w:rsidRPr="002F6CBB">
        <w:rPr>
          <w:lang w:val="en-CA"/>
        </w:rPr>
        <w:t xml:space="preserve">, he is more </w:t>
      </w:r>
      <w:r>
        <w:rPr>
          <w:lang w:val="en-CA"/>
        </w:rPr>
        <w:t xml:space="preserve">suspicious </w:t>
      </w:r>
      <w:r w:rsidR="00754CFC" w:rsidRPr="002F6CBB">
        <w:rPr>
          <w:lang w:val="en-CA"/>
        </w:rPr>
        <w:t xml:space="preserve">of the police and </w:t>
      </w:r>
      <w:r>
        <w:rPr>
          <w:lang w:val="en-CA"/>
        </w:rPr>
        <w:t xml:space="preserve">fears </w:t>
      </w:r>
      <w:r w:rsidR="00754CFC" w:rsidRPr="002F6CBB">
        <w:rPr>
          <w:lang w:val="en-CA"/>
        </w:rPr>
        <w:t>more for his safety.</w:t>
      </w:r>
    </w:p>
    <w:p w14:paraId="0649FBC8" w14:textId="529835EF" w:rsidR="00375010" w:rsidRPr="002F6CBB" w:rsidRDefault="00754CFC" w:rsidP="004F6E15">
      <w:pPr>
        <w:pStyle w:val="Paragraphe"/>
        <w:tabs>
          <w:tab w:val="clear" w:pos="567"/>
          <w:tab w:val="num" w:pos="709"/>
        </w:tabs>
        <w:rPr>
          <w:lang w:val="en-CA"/>
        </w:rPr>
      </w:pPr>
      <w:r w:rsidRPr="002F6CBB">
        <w:rPr>
          <w:lang w:val="en-CA"/>
        </w:rPr>
        <w:t xml:space="preserve">The Court of Appeal recalled in </w:t>
      </w:r>
      <w:r w:rsidRPr="002F6CBB">
        <w:rPr>
          <w:i/>
          <w:lang w:val="en-CA"/>
        </w:rPr>
        <w:t xml:space="preserve">Bou </w:t>
      </w:r>
      <w:proofErr w:type="spellStart"/>
      <w:r w:rsidRPr="002F6CBB">
        <w:rPr>
          <w:i/>
          <w:lang w:val="en-CA"/>
        </w:rPr>
        <w:t>Malhab</w:t>
      </w:r>
      <w:proofErr w:type="spellEnd"/>
      <w:r w:rsidRPr="002F6CBB">
        <w:rPr>
          <w:rStyle w:val="Appelnotedebasdep"/>
          <w:szCs w:val="24"/>
          <w:lang w:val="en-CA"/>
        </w:rPr>
        <w:footnoteReference w:id="93"/>
      </w:r>
      <w:r w:rsidRPr="002F6CBB">
        <w:rPr>
          <w:lang w:val="en-CA"/>
        </w:rPr>
        <w:t xml:space="preserve"> that the consequences of interfering with fundamental rights may be pernicious and genuine:</w:t>
      </w:r>
    </w:p>
    <w:p w14:paraId="19D75222" w14:textId="77777777" w:rsidR="00974CC1" w:rsidRPr="002F6CBB" w:rsidRDefault="00754CFC" w:rsidP="00375010">
      <w:pPr>
        <w:pStyle w:val="Citationenretrait"/>
        <w:rPr>
          <w:lang w:val="en-CA"/>
        </w:rPr>
      </w:pPr>
      <w:r w:rsidRPr="002F6CBB">
        <w:rPr>
          <w:lang w:val="en-CA"/>
        </w:rPr>
        <w:lastRenderedPageBreak/>
        <w:t>[</w:t>
      </w:r>
      <w:r w:rsidRPr="002F6CBB">
        <w:rPr>
          <w:smallCaps/>
          <w:lang w:val="en-CA"/>
        </w:rPr>
        <w:t>translation</w:t>
      </w:r>
      <w:r w:rsidRPr="002F6CBB">
        <w:rPr>
          <w:lang w:val="en-CA"/>
        </w:rPr>
        <w:t xml:space="preserve">] </w:t>
      </w:r>
    </w:p>
    <w:p w14:paraId="5F4CE253" w14:textId="55C24B80" w:rsidR="00375010" w:rsidRPr="002F6CBB" w:rsidRDefault="00754CFC" w:rsidP="00375010">
      <w:pPr>
        <w:pStyle w:val="Citationenretrait"/>
        <w:rPr>
          <w:lang w:val="en-CA"/>
        </w:rPr>
      </w:pPr>
      <w:r w:rsidRPr="002F6CBB">
        <w:rPr>
          <w:lang w:val="en-CA"/>
        </w:rPr>
        <w:t xml:space="preserve">[63] </w:t>
      </w:r>
      <w:r w:rsidRPr="002F6CBB">
        <w:rPr>
          <w:u w:val="single"/>
          <w:lang w:val="en-CA"/>
        </w:rPr>
        <w:t>The fact that moral prejudice is more difficult to identify in no way diminishes the injury it constitutes</w:t>
      </w:r>
      <w:r w:rsidRPr="002F6CBB">
        <w:rPr>
          <w:lang w:val="en-CA"/>
        </w:rPr>
        <w:t>.</w:t>
      </w:r>
      <w:r w:rsidR="00BC67BE" w:rsidRPr="002F6CBB">
        <w:rPr>
          <w:lang w:val="en-CA"/>
        </w:rPr>
        <w:t xml:space="preserve"> </w:t>
      </w:r>
      <w:r w:rsidRPr="002F6CBB">
        <w:rPr>
          <w:lang w:val="en-CA"/>
        </w:rPr>
        <w:t>I would even go so far as to say that moral prejudice is all the more pernicious because it is not apparent.</w:t>
      </w:r>
      <w:r w:rsidR="00BC67BE" w:rsidRPr="002F6CBB">
        <w:rPr>
          <w:lang w:val="en-CA"/>
        </w:rPr>
        <w:t xml:space="preserve"> </w:t>
      </w:r>
      <w:r w:rsidRPr="002F6CBB">
        <w:rPr>
          <w:u w:val="single"/>
          <w:lang w:val="en-CA"/>
        </w:rPr>
        <w:t>It affects human beings to their very core, has ramifications on their private selves, and destroys the serenity to which they aspire. It attacks their dignity</w:t>
      </w:r>
      <w:r w:rsidRPr="002F6CBB">
        <w:rPr>
          <w:lang w:val="en-CA"/>
        </w:rPr>
        <w:t xml:space="preserve"> and leaves individuals shaken and alone to combat the effects of an injury they carry within themselves rather than on their person or in their property.</w:t>
      </w:r>
    </w:p>
    <w:p w14:paraId="23936C9C" w14:textId="063FDBE6" w:rsidR="00375010" w:rsidRPr="002F6CBB" w:rsidRDefault="00754CFC" w:rsidP="00375010">
      <w:pPr>
        <w:pStyle w:val="Citationenretrait"/>
        <w:jc w:val="right"/>
        <w:rPr>
          <w:sz w:val="20"/>
          <w:lang w:val="en-CA"/>
        </w:rPr>
      </w:pPr>
      <w:r w:rsidRPr="002F6CBB">
        <w:rPr>
          <w:rFonts w:cs="Arial"/>
          <w:sz w:val="20"/>
          <w:lang w:val="en-CA"/>
        </w:rPr>
        <w:t>[Emphasis added.]</w:t>
      </w:r>
    </w:p>
    <w:p w14:paraId="69BA6A12" w14:textId="3F812DB9" w:rsidR="00375010" w:rsidRPr="002F6CBB" w:rsidRDefault="00754CFC" w:rsidP="004F6E15">
      <w:pPr>
        <w:pStyle w:val="Paragraphe"/>
        <w:tabs>
          <w:tab w:val="clear" w:pos="567"/>
          <w:tab w:val="num" w:pos="709"/>
        </w:tabs>
        <w:rPr>
          <w:lang w:val="en-CA"/>
        </w:rPr>
      </w:pPr>
      <w:r w:rsidRPr="002F6CBB">
        <w:rPr>
          <w:lang w:val="en-CA"/>
        </w:rPr>
        <w:t xml:space="preserve">It would be easy to affirm that being </w:t>
      </w:r>
      <w:r w:rsidR="00EB55BF">
        <w:rPr>
          <w:lang w:val="en-CA"/>
        </w:rPr>
        <w:t>the subject of an interception in order</w:t>
      </w:r>
      <w:r w:rsidR="00EB55BF" w:rsidRPr="002F6CBB">
        <w:rPr>
          <w:lang w:val="en-CA"/>
        </w:rPr>
        <w:t xml:space="preserve"> </w:t>
      </w:r>
      <w:r w:rsidRPr="002F6CBB">
        <w:rPr>
          <w:lang w:val="en-CA"/>
        </w:rPr>
        <w:t>to check your driv</w:t>
      </w:r>
      <w:r w:rsidR="00AE0DDE">
        <w:rPr>
          <w:lang w:val="en-CA"/>
        </w:rPr>
        <w:t>er’s</w:t>
      </w:r>
      <w:r w:rsidRPr="002F6CBB">
        <w:rPr>
          <w:lang w:val="en-CA"/>
        </w:rPr>
        <w:t xml:space="preserve"> licence and registration certificate is not </w:t>
      </w:r>
      <w:r w:rsidR="00AE0DDE">
        <w:rPr>
          <w:lang w:val="en-CA"/>
        </w:rPr>
        <w:t>so</w:t>
      </w:r>
      <w:r w:rsidRPr="002F6CBB">
        <w:rPr>
          <w:lang w:val="en-CA"/>
        </w:rPr>
        <w:t xml:space="preserve"> serious, that Mr. Woodley </w:t>
      </w:r>
      <w:r w:rsidR="00AE0DDE">
        <w:rPr>
          <w:lang w:val="en-CA"/>
        </w:rPr>
        <w:t xml:space="preserve">was </w:t>
      </w:r>
      <w:r w:rsidRPr="002F6CBB">
        <w:rPr>
          <w:lang w:val="en-CA"/>
        </w:rPr>
        <w:t xml:space="preserve">upset </w:t>
      </w:r>
      <w:r w:rsidR="00AE0DDE">
        <w:rPr>
          <w:lang w:val="en-CA"/>
        </w:rPr>
        <w:t xml:space="preserve">for </w:t>
      </w:r>
      <w:r w:rsidRPr="002F6CBB">
        <w:rPr>
          <w:lang w:val="en-CA"/>
        </w:rPr>
        <w:t xml:space="preserve">nothing, that he should have </w:t>
      </w:r>
      <w:r w:rsidR="00696E5A" w:rsidRPr="002F6CBB">
        <w:rPr>
          <w:lang w:val="en-CA"/>
        </w:rPr>
        <w:t>simply</w:t>
      </w:r>
      <w:r w:rsidR="00696E5A">
        <w:rPr>
          <w:lang w:val="en-CA"/>
        </w:rPr>
        <w:t xml:space="preserve"> </w:t>
      </w:r>
      <w:r w:rsidR="00AE0DDE">
        <w:rPr>
          <w:lang w:val="en-CA"/>
        </w:rPr>
        <w:t xml:space="preserve">shown </w:t>
      </w:r>
      <w:r w:rsidRPr="002F6CBB">
        <w:rPr>
          <w:lang w:val="en-CA"/>
        </w:rPr>
        <w:t xml:space="preserve">his documents without protesting, and </w:t>
      </w:r>
      <w:r w:rsidR="00AE0DDE">
        <w:rPr>
          <w:lang w:val="en-CA"/>
        </w:rPr>
        <w:t xml:space="preserve">everything </w:t>
      </w:r>
      <w:r w:rsidRPr="002F6CBB">
        <w:rPr>
          <w:lang w:val="en-CA"/>
        </w:rPr>
        <w:t>would have been over quickly.</w:t>
      </w:r>
      <w:r w:rsidR="00BC67BE" w:rsidRPr="002F6CBB">
        <w:rPr>
          <w:lang w:val="en-CA"/>
        </w:rPr>
        <w:t xml:space="preserve"> </w:t>
      </w:r>
      <w:r w:rsidR="00AE0DDE">
        <w:rPr>
          <w:lang w:val="en-CA"/>
        </w:rPr>
        <w:t>However, t</w:t>
      </w:r>
      <w:r w:rsidRPr="002F6CBB">
        <w:rPr>
          <w:lang w:val="en-CA"/>
        </w:rPr>
        <w:t xml:space="preserve">his would trivialize racial profiling and </w:t>
      </w:r>
      <w:r w:rsidR="006568A6">
        <w:rPr>
          <w:lang w:val="en-CA"/>
        </w:rPr>
        <w:t xml:space="preserve">its </w:t>
      </w:r>
      <w:r w:rsidRPr="002F6CBB">
        <w:rPr>
          <w:lang w:val="en-CA"/>
        </w:rPr>
        <w:t xml:space="preserve">impact on </w:t>
      </w:r>
      <w:r w:rsidR="006568A6">
        <w:rPr>
          <w:lang w:val="en-CA"/>
        </w:rPr>
        <w:t>those affected</w:t>
      </w:r>
      <w:r w:rsidR="00696E5A">
        <w:rPr>
          <w:lang w:val="en-CA"/>
        </w:rPr>
        <w:t xml:space="preserve"> by it</w:t>
      </w:r>
      <w:r w:rsidRPr="002F6CBB">
        <w:rPr>
          <w:lang w:val="en-CA"/>
        </w:rPr>
        <w:t xml:space="preserve">. </w:t>
      </w:r>
      <w:r w:rsidR="008E6BAA">
        <w:rPr>
          <w:lang w:val="en-CA"/>
        </w:rPr>
        <w:t xml:space="preserve">Care must be taken to </w:t>
      </w:r>
      <w:r w:rsidR="00FB45CB">
        <w:rPr>
          <w:lang w:val="en-CA"/>
        </w:rPr>
        <w:t xml:space="preserve">avoid </w:t>
      </w:r>
      <w:r w:rsidR="008E6BAA">
        <w:rPr>
          <w:lang w:val="en-CA"/>
        </w:rPr>
        <w:t>do</w:t>
      </w:r>
      <w:r w:rsidR="00FB45CB">
        <w:rPr>
          <w:lang w:val="en-CA"/>
        </w:rPr>
        <w:t>ing</w:t>
      </w:r>
      <w:r w:rsidRPr="002F6CBB">
        <w:rPr>
          <w:lang w:val="en-CA"/>
        </w:rPr>
        <w:t xml:space="preserve"> so without having experienced </w:t>
      </w:r>
      <w:r w:rsidR="006568A6">
        <w:rPr>
          <w:lang w:val="en-CA"/>
        </w:rPr>
        <w:t xml:space="preserve">the </w:t>
      </w:r>
      <w:r w:rsidRPr="002F6CBB">
        <w:rPr>
          <w:lang w:val="en-CA"/>
        </w:rPr>
        <w:t>prejudice</w:t>
      </w:r>
      <w:r w:rsidR="006568A6">
        <w:rPr>
          <w:lang w:val="en-CA"/>
        </w:rPr>
        <w:t>s</w:t>
      </w:r>
      <w:r w:rsidRPr="002F6CBB">
        <w:rPr>
          <w:lang w:val="en-CA"/>
        </w:rPr>
        <w:t xml:space="preserve"> related to one’s skin colour.</w:t>
      </w:r>
    </w:p>
    <w:p w14:paraId="2F8426BB" w14:textId="0D16307A" w:rsidR="00375010" w:rsidRPr="002F6CBB" w:rsidRDefault="00754CFC" w:rsidP="004F6E15">
      <w:pPr>
        <w:pStyle w:val="Paragraphe"/>
        <w:tabs>
          <w:tab w:val="clear" w:pos="567"/>
          <w:tab w:val="num" w:pos="709"/>
        </w:tabs>
        <w:rPr>
          <w:lang w:val="en-CA"/>
        </w:rPr>
      </w:pPr>
      <w:r w:rsidRPr="002F6CBB">
        <w:rPr>
          <w:lang w:val="en-CA"/>
        </w:rPr>
        <w:t xml:space="preserve">Mr. Woodley’s </w:t>
      </w:r>
      <w:r w:rsidR="006568A6">
        <w:rPr>
          <w:lang w:val="en-CA"/>
        </w:rPr>
        <w:t>wife</w:t>
      </w:r>
      <w:r w:rsidRPr="002F6CBB">
        <w:rPr>
          <w:lang w:val="en-CA"/>
        </w:rPr>
        <w:t xml:space="preserve"> </w:t>
      </w:r>
      <w:r w:rsidR="006568A6">
        <w:rPr>
          <w:lang w:val="en-CA"/>
        </w:rPr>
        <w:t xml:space="preserve">also </w:t>
      </w:r>
      <w:r w:rsidRPr="002F6CBB">
        <w:rPr>
          <w:lang w:val="en-CA"/>
        </w:rPr>
        <w:t xml:space="preserve">noted in her testimony that as a </w:t>
      </w:r>
      <w:r w:rsidR="006568A6">
        <w:rPr>
          <w:lang w:val="en-CA"/>
        </w:rPr>
        <w:t>W</w:t>
      </w:r>
      <w:r w:rsidRPr="002F6CBB">
        <w:rPr>
          <w:lang w:val="en-CA"/>
        </w:rPr>
        <w:t xml:space="preserve">hite woman, her husband’s reaction was difficult to understand, but that after careful consideration, her brother or father often drove her mother’s car and never </w:t>
      </w:r>
      <w:r w:rsidR="006568A6">
        <w:rPr>
          <w:lang w:val="en-CA"/>
        </w:rPr>
        <w:t>experienced this type of</w:t>
      </w:r>
      <w:r w:rsidRPr="002F6CBB">
        <w:rPr>
          <w:lang w:val="en-CA"/>
        </w:rPr>
        <w:t xml:space="preserve"> check. </w:t>
      </w:r>
      <w:r w:rsidR="00BC67BE" w:rsidRPr="002F6CBB">
        <w:rPr>
          <w:lang w:val="en-CA"/>
        </w:rPr>
        <w:t xml:space="preserve"> </w:t>
      </w:r>
      <w:r w:rsidRPr="002F6CBB">
        <w:rPr>
          <w:lang w:val="en-CA"/>
        </w:rPr>
        <w:t>This comment is rather revealing.</w:t>
      </w:r>
    </w:p>
    <w:p w14:paraId="7BCEA6E0" w14:textId="66C5E9E1" w:rsidR="00375010" w:rsidRPr="002F6CBB" w:rsidRDefault="00754CFC" w:rsidP="004F6E15">
      <w:pPr>
        <w:pStyle w:val="Paragraphe"/>
        <w:tabs>
          <w:tab w:val="clear" w:pos="567"/>
          <w:tab w:val="num" w:pos="709"/>
        </w:tabs>
        <w:rPr>
          <w:lang w:val="en-CA"/>
        </w:rPr>
      </w:pPr>
      <w:r w:rsidRPr="002F6CBB">
        <w:rPr>
          <w:lang w:val="en-CA"/>
        </w:rPr>
        <w:t>In the circumstances, the Tribunal finds that $15,000 is appropriate and in line with the case law to compensate Mr. Woodley’s moral prejudice.</w:t>
      </w:r>
    </w:p>
    <w:p w14:paraId="41E4E280" w14:textId="0DED900C" w:rsidR="00375010" w:rsidRPr="002F6CBB" w:rsidRDefault="00754CFC" w:rsidP="00472A9A">
      <w:pPr>
        <w:pStyle w:val="Titre3"/>
        <w:rPr>
          <w:lang w:val="en-CA"/>
        </w:rPr>
      </w:pPr>
      <w:bookmarkStart w:id="45" w:name="_Toc183702219"/>
      <w:r w:rsidRPr="002F6CBB">
        <w:rPr>
          <w:lang w:val="en-CA"/>
        </w:rPr>
        <w:t>Punitive damages</w:t>
      </w:r>
      <w:bookmarkEnd w:id="45"/>
    </w:p>
    <w:p w14:paraId="04D21D8C" w14:textId="6F0F5A3E" w:rsidR="00375010" w:rsidRPr="002F6CBB" w:rsidRDefault="00145834" w:rsidP="004F6E15">
      <w:pPr>
        <w:pStyle w:val="Paragraphe"/>
        <w:tabs>
          <w:tab w:val="clear" w:pos="567"/>
          <w:tab w:val="num" w:pos="709"/>
        </w:tabs>
        <w:rPr>
          <w:lang w:val="en-CA"/>
        </w:rPr>
      </w:pPr>
      <w:r w:rsidRPr="001A4936">
        <w:rPr>
          <w:lang w:val="en-CA"/>
        </w:rPr>
        <w:t>Section 49</w:t>
      </w:r>
      <w:r w:rsidRPr="002F6CBB">
        <w:rPr>
          <w:lang w:val="en-CA"/>
        </w:rPr>
        <w:t xml:space="preserve"> of the </w:t>
      </w:r>
      <w:r w:rsidRPr="002F6CBB">
        <w:rPr>
          <w:i/>
          <w:lang w:val="en-CA"/>
        </w:rPr>
        <w:t>Charter</w:t>
      </w:r>
      <w:r w:rsidRPr="002F6CBB">
        <w:rPr>
          <w:lang w:val="en-CA"/>
        </w:rPr>
        <w:t xml:space="preserve"> provides that in </w:t>
      </w:r>
      <w:r w:rsidR="001A1D70">
        <w:rPr>
          <w:lang w:val="en-CA"/>
        </w:rPr>
        <w:t xml:space="preserve">the </w:t>
      </w:r>
      <w:r w:rsidRPr="002F6CBB">
        <w:rPr>
          <w:lang w:val="en-CA"/>
        </w:rPr>
        <w:t xml:space="preserve">case of unlawful and intentional interference with a </w:t>
      </w:r>
      <w:r w:rsidRPr="002F6CBB">
        <w:rPr>
          <w:i/>
          <w:lang w:val="en-CA"/>
        </w:rPr>
        <w:t>Charter</w:t>
      </w:r>
      <w:r w:rsidRPr="002F6CBB">
        <w:rPr>
          <w:lang w:val="en-CA"/>
        </w:rPr>
        <w:t xml:space="preserve"> right or freedom, the victim is entitled to punitive damages.</w:t>
      </w:r>
    </w:p>
    <w:p w14:paraId="0BC43D8F" w14:textId="59C3D8A3" w:rsidR="00375010" w:rsidRPr="002F6CBB" w:rsidRDefault="00145834" w:rsidP="004F6E15">
      <w:pPr>
        <w:pStyle w:val="Paragraphe"/>
        <w:tabs>
          <w:tab w:val="clear" w:pos="567"/>
          <w:tab w:val="num" w:pos="709"/>
        </w:tabs>
        <w:rPr>
          <w:lang w:val="en-CA"/>
        </w:rPr>
      </w:pPr>
      <w:r w:rsidRPr="002F6CBB">
        <w:rPr>
          <w:lang w:val="en-CA"/>
        </w:rPr>
        <w:t xml:space="preserve">Unlawful and intentional interference occurs when </w:t>
      </w:r>
      <w:r w:rsidR="00B71D3F" w:rsidRPr="00B71D3F">
        <w:rPr>
          <w:rStyle w:val="CitationenretraitCar"/>
          <w:sz w:val="24"/>
          <w:szCs w:val="24"/>
          <w:lang w:val="en-CA"/>
        </w:rPr>
        <w:t xml:space="preserve">the person who commits the </w:t>
      </w:r>
      <w:r w:rsidR="007568A3">
        <w:rPr>
          <w:rStyle w:val="CitationenretraitCar"/>
          <w:sz w:val="24"/>
          <w:szCs w:val="24"/>
          <w:lang w:val="en-CA"/>
        </w:rPr>
        <w:t>interference</w:t>
      </w:r>
      <w:r w:rsidR="00B71D3F" w:rsidRPr="002F6CBB">
        <w:rPr>
          <w:rStyle w:val="CitationenretraitCar"/>
          <w:szCs w:val="22"/>
          <w:lang w:val="en-CA"/>
        </w:rPr>
        <w:t xml:space="preserve"> </w:t>
      </w:r>
      <w:r w:rsidRPr="002F6CBB">
        <w:rPr>
          <w:lang w:val="en-CA"/>
        </w:rPr>
        <w:t xml:space="preserve">desires the consequences or a reasonable person in the same situation could have foreseen </w:t>
      </w:r>
      <w:r w:rsidR="00B71D3F">
        <w:rPr>
          <w:lang w:val="en-CA"/>
        </w:rPr>
        <w:t xml:space="preserve">that </w:t>
      </w:r>
      <w:r w:rsidRPr="002F6CBB">
        <w:rPr>
          <w:lang w:val="en-CA"/>
        </w:rPr>
        <w:t xml:space="preserve">these consequences </w:t>
      </w:r>
      <w:r w:rsidR="00B71D3F">
        <w:rPr>
          <w:lang w:val="en-CA"/>
        </w:rPr>
        <w:t xml:space="preserve">were extremely probable </w:t>
      </w:r>
      <w:r w:rsidRPr="002F6CBB">
        <w:rPr>
          <w:lang w:val="en-CA"/>
        </w:rPr>
        <w:t>for the victim.</w:t>
      </w:r>
      <w:r w:rsidR="00BC67BE" w:rsidRPr="002F6CBB">
        <w:rPr>
          <w:lang w:val="en-CA"/>
        </w:rPr>
        <w:t xml:space="preserve"> </w:t>
      </w:r>
      <w:r w:rsidRPr="002F6CBB">
        <w:rPr>
          <w:lang w:val="en-CA"/>
        </w:rPr>
        <w:t xml:space="preserve">In </w:t>
      </w:r>
      <w:r w:rsidRPr="002F6CBB">
        <w:rPr>
          <w:i/>
          <w:lang w:val="en-CA"/>
        </w:rPr>
        <w:t>St-Ferdinand</w:t>
      </w:r>
      <w:r w:rsidRPr="002F6CBB">
        <w:rPr>
          <w:rStyle w:val="Appelnotedebasdep"/>
          <w:szCs w:val="24"/>
          <w:lang w:val="en-CA"/>
        </w:rPr>
        <w:footnoteReference w:id="94"/>
      </w:r>
      <w:r w:rsidR="00C754A3">
        <w:rPr>
          <w:lang w:val="en-CA"/>
        </w:rPr>
        <w:t>,</w:t>
      </w:r>
      <w:r w:rsidRPr="002F6CBB">
        <w:rPr>
          <w:szCs w:val="24"/>
          <w:lang w:val="en-CA"/>
        </w:rPr>
        <w:t xml:space="preserve"> the Supreme Court stated:</w:t>
      </w:r>
    </w:p>
    <w:p w14:paraId="027A452F" w14:textId="2A4A6986" w:rsidR="00375010" w:rsidRPr="002F6CBB" w:rsidRDefault="00145834" w:rsidP="00375010">
      <w:pPr>
        <w:pStyle w:val="Citationenretrait"/>
        <w:rPr>
          <w:szCs w:val="22"/>
          <w:lang w:val="en-CA"/>
        </w:rPr>
      </w:pPr>
      <w:r w:rsidRPr="002F6CBB">
        <w:rPr>
          <w:szCs w:val="22"/>
          <w:lang w:val="en-CA"/>
        </w:rPr>
        <w:t>[121] Consequently, there will be unlawful and intentional interference within the meaning of the second paragraph of s.</w:t>
      </w:r>
      <w:r w:rsidR="00BC67BE" w:rsidRPr="002F6CBB">
        <w:rPr>
          <w:rStyle w:val="CitationenretraitCar"/>
          <w:szCs w:val="22"/>
          <w:lang w:val="en-CA"/>
        </w:rPr>
        <w:t xml:space="preserve"> </w:t>
      </w:r>
      <w:r w:rsidRPr="002F6CBB">
        <w:rPr>
          <w:rStyle w:val="CitationenretraitCar"/>
          <w:szCs w:val="22"/>
          <w:lang w:val="en-CA"/>
        </w:rPr>
        <w:t xml:space="preserve">49 of the </w:t>
      </w:r>
      <w:r w:rsidRPr="002F6CBB">
        <w:rPr>
          <w:rStyle w:val="CitationenretraitCar"/>
          <w:i/>
          <w:szCs w:val="22"/>
          <w:lang w:val="en-CA"/>
        </w:rPr>
        <w:t>Charter</w:t>
      </w:r>
      <w:r w:rsidRPr="002F6CBB">
        <w:rPr>
          <w:rStyle w:val="CitationenretraitCar"/>
          <w:szCs w:val="22"/>
          <w:lang w:val="en-CA"/>
        </w:rPr>
        <w:t xml:space="preserve"> when the person who commits the unlawful interference has a state of mind that implies a desire or intent to cause the consequences of his or her wrongful conduct, or when that person acts </w:t>
      </w:r>
      <w:r w:rsidRPr="002F6CBB">
        <w:rPr>
          <w:rStyle w:val="CitationenretraitCar"/>
          <w:szCs w:val="22"/>
          <w:lang w:val="en-CA"/>
        </w:rPr>
        <w:lastRenderedPageBreak/>
        <w:t>with full knowledge of the immediate and natural or at least extremely probable consequences that his or her conduct will cause.</w:t>
      </w:r>
    </w:p>
    <w:p w14:paraId="27BCD253" w14:textId="495ADB87" w:rsidR="00375010" w:rsidRPr="002F6CBB" w:rsidRDefault="00CE4B29" w:rsidP="00375010">
      <w:pPr>
        <w:pStyle w:val="Citationenretrait"/>
        <w:jc w:val="right"/>
        <w:rPr>
          <w:sz w:val="20"/>
          <w:lang w:val="en-CA"/>
        </w:rPr>
      </w:pPr>
      <w:r>
        <w:rPr>
          <w:sz w:val="20"/>
          <w:lang w:val="en-CA"/>
        </w:rPr>
        <w:t>[</w:t>
      </w:r>
      <w:r w:rsidR="009E1F25">
        <w:rPr>
          <w:sz w:val="20"/>
          <w:lang w:val="en-CA"/>
        </w:rPr>
        <w:t>References</w:t>
      </w:r>
      <w:r w:rsidR="00DB3691" w:rsidRPr="002F6CBB">
        <w:rPr>
          <w:sz w:val="20"/>
          <w:lang w:val="en-CA"/>
        </w:rPr>
        <w:t xml:space="preserve"> omitted.]</w:t>
      </w:r>
    </w:p>
    <w:p w14:paraId="11DD811D" w14:textId="3DA49C9D" w:rsidR="00375010" w:rsidRPr="002F6CBB" w:rsidRDefault="00145834" w:rsidP="004F6E15">
      <w:pPr>
        <w:pStyle w:val="Paragraphe"/>
        <w:tabs>
          <w:tab w:val="clear" w:pos="567"/>
          <w:tab w:val="num" w:pos="709"/>
        </w:tabs>
        <w:rPr>
          <w:lang w:val="en-CA"/>
        </w:rPr>
      </w:pPr>
      <w:r w:rsidRPr="002F6CBB">
        <w:rPr>
          <w:szCs w:val="24"/>
          <w:lang w:val="en-CA"/>
        </w:rPr>
        <w:t xml:space="preserve">In </w:t>
      </w:r>
      <w:r w:rsidR="0077321E">
        <w:rPr>
          <w:i/>
          <w:szCs w:val="24"/>
          <w:lang w:val="en-CA"/>
        </w:rPr>
        <w:t>d</w:t>
      </w:r>
      <w:r w:rsidRPr="002F6CBB">
        <w:rPr>
          <w:i/>
          <w:szCs w:val="24"/>
          <w:lang w:val="en-CA"/>
        </w:rPr>
        <w:t>e</w:t>
      </w:r>
      <w:r w:rsidR="0077321E">
        <w:rPr>
          <w:i/>
          <w:szCs w:val="24"/>
          <w:lang w:val="en-CA"/>
        </w:rPr>
        <w:t xml:space="preserve"> </w:t>
      </w:r>
      <w:proofErr w:type="spellStart"/>
      <w:r w:rsidRPr="002F6CBB">
        <w:rPr>
          <w:i/>
          <w:szCs w:val="24"/>
          <w:lang w:val="en-CA"/>
        </w:rPr>
        <w:t>Montigny</w:t>
      </w:r>
      <w:proofErr w:type="spellEnd"/>
      <w:r w:rsidRPr="002F6CBB">
        <w:rPr>
          <w:rStyle w:val="Appelnotedebasdep"/>
          <w:szCs w:val="24"/>
          <w:lang w:val="en-CA"/>
        </w:rPr>
        <w:footnoteReference w:id="95"/>
      </w:r>
      <w:r w:rsidR="00C754A3">
        <w:rPr>
          <w:szCs w:val="24"/>
          <w:lang w:val="en-CA"/>
        </w:rPr>
        <w:t>,</w:t>
      </w:r>
      <w:r w:rsidRPr="002F6CBB">
        <w:rPr>
          <w:szCs w:val="24"/>
          <w:lang w:val="en-CA"/>
        </w:rPr>
        <w:t xml:space="preserve"> the Supreme Court </w:t>
      </w:r>
      <w:r w:rsidR="00B71D3F">
        <w:rPr>
          <w:szCs w:val="24"/>
          <w:lang w:val="en-CA"/>
        </w:rPr>
        <w:t>stated</w:t>
      </w:r>
      <w:r w:rsidRPr="002F6CBB">
        <w:rPr>
          <w:szCs w:val="24"/>
          <w:lang w:val="en-CA"/>
        </w:rPr>
        <w:t xml:space="preserve"> that “</w:t>
      </w:r>
      <w:r w:rsidRPr="002F6CBB">
        <w:rPr>
          <w:rFonts w:cs="Arial"/>
          <w:szCs w:val="24"/>
          <w:lang w:val="en-CA"/>
        </w:rPr>
        <w:t>[</w:t>
      </w:r>
      <w:r w:rsidRPr="002F6CBB">
        <w:rPr>
          <w:szCs w:val="24"/>
          <w:lang w:val="en-CA"/>
        </w:rPr>
        <w:t>a</w:t>
      </w:r>
      <w:r w:rsidRPr="002F6CBB">
        <w:rPr>
          <w:rFonts w:cs="Arial"/>
          <w:szCs w:val="24"/>
          <w:lang w:val="en-CA"/>
        </w:rPr>
        <w:t>]</w:t>
      </w:r>
      <w:r w:rsidRPr="002F6CBB">
        <w:rPr>
          <w:szCs w:val="24"/>
          <w:lang w:val="en-CA"/>
        </w:rPr>
        <w:t>t this stage, intentionality refers not to the intent to commit the fault but rather to the intent to cause the result thereof”.</w:t>
      </w:r>
    </w:p>
    <w:p w14:paraId="79AF0089" w14:textId="6F191351" w:rsidR="00375010" w:rsidRPr="002F6CBB" w:rsidRDefault="00145834" w:rsidP="004F6E15">
      <w:pPr>
        <w:pStyle w:val="Paragraphe"/>
        <w:tabs>
          <w:tab w:val="clear" w:pos="567"/>
          <w:tab w:val="num" w:pos="709"/>
        </w:tabs>
        <w:rPr>
          <w:lang w:val="en-CA"/>
        </w:rPr>
      </w:pPr>
      <w:r w:rsidRPr="002F6CBB">
        <w:rPr>
          <w:rStyle w:val="Accentuation"/>
          <w:rFonts w:cs="Arial"/>
          <w:i w:val="0"/>
          <w:iCs w:val="0"/>
          <w:lang w:val="en-CA"/>
        </w:rPr>
        <w:t xml:space="preserve">In </w:t>
      </w:r>
      <w:r w:rsidRPr="002F6CBB">
        <w:rPr>
          <w:rStyle w:val="Accentuation"/>
          <w:rFonts w:cs="Arial"/>
          <w:iCs w:val="0"/>
          <w:lang w:val="en-CA"/>
        </w:rPr>
        <w:t xml:space="preserve">Imperial Tobacco Canada </w:t>
      </w:r>
      <w:proofErr w:type="spellStart"/>
      <w:r w:rsidRPr="002F6CBB">
        <w:rPr>
          <w:rStyle w:val="Accentuation"/>
          <w:rFonts w:cs="Arial"/>
          <w:iCs w:val="0"/>
          <w:lang w:val="en-CA"/>
        </w:rPr>
        <w:t>ltée</w:t>
      </w:r>
      <w:proofErr w:type="spellEnd"/>
      <w:r w:rsidRPr="002F6CBB">
        <w:rPr>
          <w:rStyle w:val="Accentuation"/>
          <w:rFonts w:cs="Arial"/>
          <w:iCs w:val="0"/>
          <w:lang w:val="en-CA"/>
        </w:rPr>
        <w:t xml:space="preserve"> c. Conseil </w:t>
      </w:r>
      <w:proofErr w:type="spellStart"/>
      <w:r w:rsidRPr="002F6CBB">
        <w:rPr>
          <w:rStyle w:val="Accentuation"/>
          <w:rFonts w:cs="Arial"/>
          <w:iCs w:val="0"/>
          <w:lang w:val="en-CA"/>
        </w:rPr>
        <w:t>québécois</w:t>
      </w:r>
      <w:proofErr w:type="spellEnd"/>
      <w:r w:rsidRPr="002F6CBB">
        <w:rPr>
          <w:rStyle w:val="Accentuation"/>
          <w:rFonts w:cs="Arial"/>
          <w:iCs w:val="0"/>
          <w:lang w:val="en-CA"/>
        </w:rPr>
        <w:t xml:space="preserve"> sur le </w:t>
      </w:r>
      <w:proofErr w:type="spellStart"/>
      <w:r w:rsidRPr="002F6CBB">
        <w:rPr>
          <w:rStyle w:val="Accentuation"/>
          <w:rFonts w:cs="Arial"/>
          <w:iCs w:val="0"/>
          <w:lang w:val="en-CA"/>
        </w:rPr>
        <w:t>tabac</w:t>
      </w:r>
      <w:proofErr w:type="spellEnd"/>
      <w:r w:rsidRPr="002F6CBB">
        <w:rPr>
          <w:rStyle w:val="Accentuation"/>
          <w:rFonts w:cs="Arial"/>
          <w:iCs w:val="0"/>
          <w:lang w:val="en-CA"/>
        </w:rPr>
        <w:t xml:space="preserve"> et la santé</w:t>
      </w:r>
      <w:r w:rsidRPr="002F6CBB">
        <w:rPr>
          <w:rStyle w:val="Appelnotedebasdep"/>
          <w:rFonts w:cs="Arial"/>
          <w:color w:val="000000"/>
          <w:lang w:val="en-CA"/>
        </w:rPr>
        <w:footnoteReference w:id="96"/>
      </w:r>
      <w:r w:rsidR="00846FBD">
        <w:rPr>
          <w:rStyle w:val="Accentuation"/>
          <w:rFonts w:cs="Arial"/>
          <w:i w:val="0"/>
          <w:iCs w:val="0"/>
          <w:lang w:val="en-CA"/>
        </w:rPr>
        <w:t>,</w:t>
      </w:r>
      <w:r w:rsidRPr="002F6CBB">
        <w:rPr>
          <w:rFonts w:cs="Arial"/>
          <w:lang w:val="en-CA"/>
        </w:rPr>
        <w:t xml:space="preserve"> the Court of Appeal stated that intent </w:t>
      </w:r>
      <w:r w:rsidR="007568A3">
        <w:rPr>
          <w:rFonts w:cs="Arial"/>
          <w:lang w:val="en-CA"/>
        </w:rPr>
        <w:t xml:space="preserve">focuses on </w:t>
      </w:r>
      <w:r w:rsidRPr="002F6CBB">
        <w:rPr>
          <w:rFonts w:cs="Arial"/>
          <w:lang w:val="en-CA"/>
        </w:rPr>
        <w:t xml:space="preserve">the consequences of the conduct, not </w:t>
      </w:r>
      <w:r w:rsidR="007568A3">
        <w:rPr>
          <w:rFonts w:cs="Arial"/>
          <w:lang w:val="en-CA"/>
        </w:rPr>
        <w:t xml:space="preserve">on </w:t>
      </w:r>
      <w:r w:rsidRPr="002F6CBB">
        <w:rPr>
          <w:rFonts w:cs="Arial"/>
          <w:lang w:val="en-CA"/>
        </w:rPr>
        <w:t>the conduct itself:</w:t>
      </w:r>
    </w:p>
    <w:p w14:paraId="09628379" w14:textId="2F5C7538" w:rsidR="00686E6C" w:rsidRDefault="00686E6C" w:rsidP="008D7EA5">
      <w:pPr>
        <w:pStyle w:val="Citationenretrait"/>
        <w:rPr>
          <w:lang w:val="en-CA"/>
        </w:rPr>
      </w:pPr>
      <w:r>
        <w:rPr>
          <w:rFonts w:cs="Arial"/>
          <w:lang w:val="en-CA"/>
        </w:rPr>
        <w:t>[</w:t>
      </w:r>
      <w:r>
        <w:rPr>
          <w:rFonts w:cs="Arial"/>
          <w:smallCaps/>
          <w:lang w:val="en-CA"/>
        </w:rPr>
        <w:t>translation</w:t>
      </w:r>
      <w:r>
        <w:rPr>
          <w:rFonts w:cs="Arial"/>
          <w:lang w:val="en-CA"/>
        </w:rPr>
        <w:t>]</w:t>
      </w:r>
    </w:p>
    <w:p w14:paraId="49B48127" w14:textId="2A869DDA" w:rsidR="00375010" w:rsidRPr="002F6CBB" w:rsidRDefault="00145834" w:rsidP="008D7EA5">
      <w:pPr>
        <w:pStyle w:val="Citationenretrait"/>
        <w:rPr>
          <w:lang w:val="en-CA"/>
        </w:rPr>
      </w:pPr>
      <w:r w:rsidRPr="002F6CBB">
        <w:rPr>
          <w:lang w:val="en-CA"/>
        </w:rPr>
        <w:t>[1000] It was settled during the hearing that the analysis of intent should focus on the consequences of the injurious misconduct and not on the conduct itself.</w:t>
      </w:r>
      <w:r w:rsidR="00BC67BE" w:rsidRPr="002F6CBB">
        <w:rPr>
          <w:lang w:val="en-CA"/>
        </w:rPr>
        <w:t xml:space="preserve"> </w:t>
      </w:r>
      <w:r w:rsidRPr="002F6CBB">
        <w:rPr>
          <w:lang w:val="en-CA"/>
        </w:rPr>
        <w:t>The case law requires proof (</w:t>
      </w:r>
      <w:proofErr w:type="spellStart"/>
      <w:r w:rsidRPr="002F6CBB">
        <w:rPr>
          <w:lang w:val="en-CA"/>
        </w:rPr>
        <w:t>i</w:t>
      </w:r>
      <w:proofErr w:type="spellEnd"/>
      <w:r w:rsidRPr="002F6CBB">
        <w:rPr>
          <w:lang w:val="en-CA"/>
        </w:rPr>
        <w:t>) that the author of the interference wished to cause the consequences of the wrongful interference or (ii) that he or she was aware of the immediate and natural or extremely probable consequences of his or her misconduct.</w:t>
      </w:r>
    </w:p>
    <w:p w14:paraId="2CCB98E6" w14:textId="56A13500" w:rsidR="00375010" w:rsidRPr="002F6CBB" w:rsidRDefault="00145834" w:rsidP="003118BD">
      <w:pPr>
        <w:pStyle w:val="Paragraphe"/>
        <w:tabs>
          <w:tab w:val="clear" w:pos="567"/>
          <w:tab w:val="num" w:pos="709"/>
        </w:tabs>
        <w:rPr>
          <w:rStyle w:val="Accentuation"/>
          <w:i w:val="0"/>
          <w:iCs w:val="0"/>
          <w:color w:val="000000"/>
          <w:szCs w:val="24"/>
          <w:lang w:val="en-CA"/>
        </w:rPr>
      </w:pPr>
      <w:r w:rsidRPr="002F6CBB">
        <w:rPr>
          <w:rStyle w:val="Accentuation"/>
          <w:i w:val="0"/>
          <w:color w:val="000000"/>
          <w:szCs w:val="24"/>
          <w:lang w:val="en-CA"/>
        </w:rPr>
        <w:t xml:space="preserve">The analysis of intent to cause the consequences, or </w:t>
      </w:r>
      <w:r w:rsidR="00C14519">
        <w:rPr>
          <w:rStyle w:val="Accentuation"/>
          <w:i w:val="0"/>
          <w:color w:val="000000"/>
          <w:szCs w:val="24"/>
          <w:lang w:val="en-CA"/>
        </w:rPr>
        <w:t>knowledge</w:t>
      </w:r>
      <w:r w:rsidRPr="002F6CBB">
        <w:rPr>
          <w:rStyle w:val="Accentuation"/>
          <w:i w:val="0"/>
          <w:color w:val="000000"/>
          <w:szCs w:val="24"/>
          <w:lang w:val="en-CA"/>
        </w:rPr>
        <w:t xml:space="preserve"> of the probable consequences, is a two-step </w:t>
      </w:r>
      <w:r w:rsidR="00C14519">
        <w:rPr>
          <w:rStyle w:val="Accentuation"/>
          <w:i w:val="0"/>
          <w:color w:val="000000"/>
          <w:szCs w:val="24"/>
          <w:lang w:val="en-CA"/>
        </w:rPr>
        <w:t>test</w:t>
      </w:r>
      <w:r w:rsidRPr="002F6CBB">
        <w:rPr>
          <w:rStyle w:val="Accentuation"/>
          <w:i w:val="0"/>
          <w:color w:val="000000"/>
          <w:szCs w:val="24"/>
          <w:lang w:val="en-CA"/>
        </w:rPr>
        <w:t xml:space="preserve"> as contemplated by the Court of Appeal in </w:t>
      </w:r>
      <w:proofErr w:type="spellStart"/>
      <w:r w:rsidRPr="002F6CBB">
        <w:rPr>
          <w:rStyle w:val="Accentuation"/>
          <w:color w:val="000000"/>
          <w:szCs w:val="24"/>
          <w:lang w:val="en-CA"/>
        </w:rPr>
        <w:t>Spieser</w:t>
      </w:r>
      <w:proofErr w:type="spellEnd"/>
      <w:r w:rsidRPr="002F6CBB">
        <w:rPr>
          <w:rStyle w:val="Accentuation"/>
          <w:color w:val="000000"/>
          <w:szCs w:val="24"/>
          <w:lang w:val="en-CA"/>
        </w:rPr>
        <w:t xml:space="preserve"> c. Procureur </w:t>
      </w:r>
      <w:proofErr w:type="spellStart"/>
      <w:r w:rsidRPr="002F6CBB">
        <w:rPr>
          <w:rStyle w:val="Accentuation"/>
          <w:color w:val="000000"/>
          <w:szCs w:val="24"/>
          <w:lang w:val="en-CA"/>
        </w:rPr>
        <w:t>général</w:t>
      </w:r>
      <w:proofErr w:type="spellEnd"/>
      <w:r w:rsidRPr="002F6CBB">
        <w:rPr>
          <w:rStyle w:val="Accentuation"/>
          <w:color w:val="000000"/>
          <w:szCs w:val="24"/>
          <w:lang w:val="en-CA"/>
        </w:rPr>
        <w:t xml:space="preserve"> du Canada</w:t>
      </w:r>
      <w:r w:rsidRPr="002F6CBB">
        <w:rPr>
          <w:rStyle w:val="Accentuation"/>
          <w:i w:val="0"/>
          <w:color w:val="000000"/>
          <w:szCs w:val="24"/>
          <w:lang w:val="en-CA"/>
        </w:rPr>
        <w:t>.</w:t>
      </w:r>
      <w:r w:rsidRPr="002F6CBB">
        <w:rPr>
          <w:rStyle w:val="Appelnotedebasdep"/>
          <w:color w:val="000000"/>
          <w:szCs w:val="24"/>
          <w:lang w:val="en-CA"/>
        </w:rPr>
        <w:footnoteReference w:id="97"/>
      </w:r>
    </w:p>
    <w:p w14:paraId="19B58054" w14:textId="3006F3ED" w:rsidR="00375010" w:rsidRPr="002F6CBB" w:rsidRDefault="00145834" w:rsidP="003118BD">
      <w:pPr>
        <w:pStyle w:val="Paragraphe"/>
        <w:tabs>
          <w:tab w:val="clear" w:pos="567"/>
          <w:tab w:val="num" w:pos="709"/>
        </w:tabs>
        <w:rPr>
          <w:lang w:val="en-CA"/>
        </w:rPr>
      </w:pPr>
      <w:r w:rsidRPr="002F6CBB">
        <w:rPr>
          <w:lang w:val="en-CA"/>
        </w:rPr>
        <w:t xml:space="preserve">In </w:t>
      </w:r>
      <w:proofErr w:type="spellStart"/>
      <w:r w:rsidRPr="002F6CBB">
        <w:rPr>
          <w:i/>
          <w:lang w:val="en-CA"/>
        </w:rPr>
        <w:t>DeBellefeuille</w:t>
      </w:r>
      <w:proofErr w:type="spellEnd"/>
      <w:r w:rsidRPr="002F6CBB">
        <w:rPr>
          <w:rStyle w:val="Appelnotedebasdep"/>
          <w:szCs w:val="24"/>
          <w:lang w:val="en-CA"/>
        </w:rPr>
        <w:footnoteReference w:id="98"/>
      </w:r>
      <w:r w:rsidR="00C754A3">
        <w:rPr>
          <w:lang w:val="en-CA"/>
        </w:rPr>
        <w:t>,</w:t>
      </w:r>
      <w:r w:rsidRPr="002F6CBB">
        <w:rPr>
          <w:szCs w:val="24"/>
          <w:lang w:val="en-CA"/>
        </w:rPr>
        <w:t xml:space="preserve"> the Tribunal noted that the analysis of whether the unlawful interference is intentional has both a subjective and an objective aspect.</w:t>
      </w:r>
      <w:r w:rsidR="00BC67BE" w:rsidRPr="002F6CBB">
        <w:rPr>
          <w:lang w:val="en-CA"/>
        </w:rPr>
        <w:t xml:space="preserve"> </w:t>
      </w:r>
      <w:r w:rsidRPr="002F6CBB">
        <w:rPr>
          <w:lang w:val="en-CA"/>
        </w:rPr>
        <w:t xml:space="preserve">The subjective aspect </w:t>
      </w:r>
      <w:r w:rsidR="00397E56">
        <w:rPr>
          <w:lang w:val="en-CA"/>
        </w:rPr>
        <w:t xml:space="preserve">determines </w:t>
      </w:r>
      <w:r w:rsidRPr="002F6CBB">
        <w:rPr>
          <w:lang w:val="en-CA"/>
        </w:rPr>
        <w:t xml:space="preserve">whether the </w:t>
      </w:r>
      <w:r w:rsidR="00397E56">
        <w:rPr>
          <w:lang w:val="en-CA"/>
        </w:rPr>
        <w:t xml:space="preserve">perpetrator of </w:t>
      </w:r>
      <w:r w:rsidRPr="002F6CBB">
        <w:rPr>
          <w:lang w:val="en-CA"/>
        </w:rPr>
        <w:t xml:space="preserve">the violation intended the consequences, whereas the objective aspect </w:t>
      </w:r>
      <w:r w:rsidR="00397E56">
        <w:rPr>
          <w:lang w:val="en-CA"/>
        </w:rPr>
        <w:t xml:space="preserve">determines </w:t>
      </w:r>
      <w:r w:rsidRPr="002F6CBB">
        <w:rPr>
          <w:lang w:val="en-CA"/>
        </w:rPr>
        <w:t>whether a reasonable person in the same situation could have foreseen the consequences to the victim.</w:t>
      </w:r>
    </w:p>
    <w:p w14:paraId="6308E903" w14:textId="15C89B59" w:rsidR="00375010" w:rsidRPr="002F6CBB" w:rsidRDefault="00145834" w:rsidP="003118BD">
      <w:pPr>
        <w:pStyle w:val="Paragraphe"/>
        <w:tabs>
          <w:tab w:val="clear" w:pos="567"/>
          <w:tab w:val="num" w:pos="709"/>
        </w:tabs>
        <w:rPr>
          <w:lang w:val="en-CA"/>
        </w:rPr>
      </w:pPr>
      <w:r w:rsidRPr="002F6CBB">
        <w:rPr>
          <w:lang w:val="en-CA"/>
        </w:rPr>
        <w:t xml:space="preserve">As in </w:t>
      </w:r>
      <w:proofErr w:type="spellStart"/>
      <w:r w:rsidRPr="002F6CBB">
        <w:rPr>
          <w:i/>
          <w:lang w:val="en-CA"/>
        </w:rPr>
        <w:t>DeBellefeuille</w:t>
      </w:r>
      <w:proofErr w:type="spellEnd"/>
      <w:r w:rsidRPr="002F6CBB">
        <w:rPr>
          <w:rStyle w:val="Appelnotedebasdep"/>
          <w:szCs w:val="24"/>
          <w:lang w:val="en-CA"/>
        </w:rPr>
        <w:footnoteReference w:id="99"/>
      </w:r>
      <w:r w:rsidR="00C754A3">
        <w:rPr>
          <w:lang w:val="en-CA"/>
        </w:rPr>
        <w:t>,</w:t>
      </w:r>
      <w:r w:rsidRPr="002F6CBB">
        <w:rPr>
          <w:szCs w:val="24"/>
          <w:lang w:val="en-CA"/>
        </w:rPr>
        <w:t xml:space="preserve"> the Tribunal cannot find that the officers </w:t>
      </w:r>
      <w:r w:rsidR="00397E56">
        <w:rPr>
          <w:szCs w:val="24"/>
          <w:lang w:val="en-CA"/>
        </w:rPr>
        <w:t xml:space="preserve">here </w:t>
      </w:r>
      <w:r w:rsidRPr="002F6CBB">
        <w:rPr>
          <w:szCs w:val="24"/>
          <w:lang w:val="en-CA"/>
        </w:rPr>
        <w:t xml:space="preserve">intended </w:t>
      </w:r>
      <w:r w:rsidR="00397E56">
        <w:rPr>
          <w:szCs w:val="24"/>
          <w:lang w:val="en-CA"/>
        </w:rPr>
        <w:t xml:space="preserve">to cause </w:t>
      </w:r>
      <w:r w:rsidRPr="002F6CBB">
        <w:rPr>
          <w:szCs w:val="24"/>
          <w:lang w:val="en-CA"/>
        </w:rPr>
        <w:t>the consequences of the</w:t>
      </w:r>
      <w:r w:rsidR="00397E56">
        <w:rPr>
          <w:szCs w:val="24"/>
          <w:lang w:val="en-CA"/>
        </w:rPr>
        <w:t>ir</w:t>
      </w:r>
      <w:r w:rsidRPr="002F6CBB">
        <w:rPr>
          <w:szCs w:val="24"/>
          <w:lang w:val="en-CA"/>
        </w:rPr>
        <w:t xml:space="preserve"> intervention </w:t>
      </w:r>
      <w:r w:rsidR="00145F78">
        <w:rPr>
          <w:szCs w:val="24"/>
          <w:lang w:val="en-CA"/>
        </w:rPr>
        <w:t>to</w:t>
      </w:r>
      <w:r w:rsidR="00145F78" w:rsidRPr="002F6CBB">
        <w:rPr>
          <w:szCs w:val="24"/>
          <w:lang w:val="en-CA"/>
        </w:rPr>
        <w:t xml:space="preserve"> Mr. Woodley </w:t>
      </w:r>
      <w:r w:rsidRPr="002F6CBB">
        <w:rPr>
          <w:szCs w:val="24"/>
          <w:lang w:val="en-CA"/>
        </w:rPr>
        <w:t xml:space="preserve">or </w:t>
      </w:r>
      <w:r w:rsidR="00145F78">
        <w:rPr>
          <w:szCs w:val="24"/>
          <w:lang w:val="en-CA"/>
        </w:rPr>
        <w:t>the</w:t>
      </w:r>
      <w:r w:rsidRPr="002F6CBB">
        <w:rPr>
          <w:szCs w:val="24"/>
          <w:lang w:val="en-CA"/>
        </w:rPr>
        <w:t xml:space="preserve"> moral </w:t>
      </w:r>
      <w:r w:rsidR="00397E56">
        <w:rPr>
          <w:szCs w:val="24"/>
          <w:lang w:val="en-CA"/>
        </w:rPr>
        <w:t>prejudice</w:t>
      </w:r>
      <w:r w:rsidR="00145F78">
        <w:rPr>
          <w:szCs w:val="24"/>
          <w:lang w:val="en-CA"/>
        </w:rPr>
        <w:t xml:space="preserve"> he suffered</w:t>
      </w:r>
      <w:r w:rsidRPr="002F6CBB">
        <w:rPr>
          <w:szCs w:val="24"/>
          <w:lang w:val="en-CA"/>
        </w:rPr>
        <w:t>.</w:t>
      </w:r>
      <w:r w:rsidR="00BC67BE" w:rsidRPr="002F6CBB">
        <w:rPr>
          <w:lang w:val="en-CA"/>
        </w:rPr>
        <w:t xml:space="preserve"> </w:t>
      </w:r>
      <w:r w:rsidRPr="002F6CBB">
        <w:rPr>
          <w:lang w:val="en-CA"/>
        </w:rPr>
        <w:t xml:space="preserve">The question is whether, when </w:t>
      </w:r>
      <w:r w:rsidR="00457902">
        <w:rPr>
          <w:lang w:val="en-CA"/>
        </w:rPr>
        <w:t xml:space="preserve">assessing </w:t>
      </w:r>
      <w:r w:rsidRPr="002F6CBB">
        <w:rPr>
          <w:lang w:val="en-CA"/>
        </w:rPr>
        <w:t xml:space="preserve">the objective aspect, a reasonable person in the same situation could have foreseen the negative consequences of the intervention </w:t>
      </w:r>
      <w:r w:rsidR="00457902">
        <w:rPr>
          <w:lang w:val="en-CA"/>
        </w:rPr>
        <w:t>to</w:t>
      </w:r>
      <w:r w:rsidRPr="002F6CBB">
        <w:rPr>
          <w:lang w:val="en-CA"/>
        </w:rPr>
        <w:t xml:space="preserve"> Mr. Woodley.</w:t>
      </w:r>
      <w:r w:rsidR="00BC67BE" w:rsidRPr="002F6CBB">
        <w:rPr>
          <w:lang w:val="en-CA"/>
        </w:rPr>
        <w:t xml:space="preserve"> </w:t>
      </w:r>
      <w:r w:rsidRPr="002F6CBB">
        <w:rPr>
          <w:lang w:val="en-CA"/>
        </w:rPr>
        <w:t>The Tribunal must answer this question in the affirmative.</w:t>
      </w:r>
    </w:p>
    <w:p w14:paraId="67DFF167" w14:textId="2DFE4B4F" w:rsidR="00375010" w:rsidRPr="002F6CBB" w:rsidRDefault="00145834" w:rsidP="003118BD">
      <w:pPr>
        <w:pStyle w:val="Paragraphe"/>
        <w:tabs>
          <w:tab w:val="clear" w:pos="567"/>
          <w:tab w:val="num" w:pos="709"/>
        </w:tabs>
        <w:rPr>
          <w:lang w:val="en-CA"/>
        </w:rPr>
      </w:pPr>
      <w:r w:rsidRPr="002F6CBB">
        <w:rPr>
          <w:lang w:val="en-CA"/>
        </w:rPr>
        <w:lastRenderedPageBreak/>
        <w:t xml:space="preserve">Mr. Woodley was </w:t>
      </w:r>
      <w:r w:rsidR="00EB55BF">
        <w:rPr>
          <w:lang w:val="en-CA"/>
        </w:rPr>
        <w:t>intercepted</w:t>
      </w:r>
      <w:r w:rsidR="00EB55BF" w:rsidRPr="002F6CBB">
        <w:rPr>
          <w:lang w:val="en-CA"/>
        </w:rPr>
        <w:t xml:space="preserve"> </w:t>
      </w:r>
      <w:r w:rsidRPr="002F6CBB">
        <w:rPr>
          <w:lang w:val="en-CA"/>
        </w:rPr>
        <w:t xml:space="preserve">because of his skin colour </w:t>
      </w:r>
      <w:r w:rsidR="00457902">
        <w:rPr>
          <w:lang w:val="en-CA"/>
        </w:rPr>
        <w:t xml:space="preserve">even </w:t>
      </w:r>
      <w:r w:rsidRPr="002F6CBB">
        <w:rPr>
          <w:lang w:val="en-CA"/>
        </w:rPr>
        <w:t xml:space="preserve">though he </w:t>
      </w:r>
      <w:r w:rsidR="00457902">
        <w:rPr>
          <w:lang w:val="en-CA"/>
        </w:rPr>
        <w:t xml:space="preserve">had </w:t>
      </w:r>
      <w:r w:rsidRPr="002F6CBB">
        <w:rPr>
          <w:lang w:val="en-CA"/>
        </w:rPr>
        <w:t>not commit</w:t>
      </w:r>
      <w:r w:rsidR="00457902">
        <w:rPr>
          <w:lang w:val="en-CA"/>
        </w:rPr>
        <w:t>ted</w:t>
      </w:r>
      <w:r w:rsidRPr="002F6CBB">
        <w:rPr>
          <w:lang w:val="en-CA"/>
        </w:rPr>
        <w:t xml:space="preserve"> any offence.</w:t>
      </w:r>
      <w:r w:rsidR="00BC67BE" w:rsidRPr="002F6CBB">
        <w:rPr>
          <w:lang w:val="en-CA"/>
        </w:rPr>
        <w:t xml:space="preserve"> </w:t>
      </w:r>
      <w:r w:rsidRPr="002F6CBB">
        <w:rPr>
          <w:lang w:val="en-CA"/>
        </w:rPr>
        <w:t>Right away, an objective reasonable person informed of the circumstances would easily understand the vex</w:t>
      </w:r>
      <w:r w:rsidR="00457902">
        <w:rPr>
          <w:lang w:val="en-CA"/>
        </w:rPr>
        <w:t>atious</w:t>
      </w:r>
      <w:r w:rsidRPr="002F6CBB">
        <w:rPr>
          <w:lang w:val="en-CA"/>
        </w:rPr>
        <w:t xml:space="preserve"> nature of the </w:t>
      </w:r>
      <w:r w:rsidR="00D256EC">
        <w:rPr>
          <w:lang w:val="en-CA"/>
        </w:rPr>
        <w:t xml:space="preserve">interception </w:t>
      </w:r>
      <w:r w:rsidRPr="002F6CBB">
        <w:rPr>
          <w:lang w:val="en-CA"/>
        </w:rPr>
        <w:t xml:space="preserve">for the person </w:t>
      </w:r>
      <w:r w:rsidR="00145F78">
        <w:rPr>
          <w:lang w:val="en-CA"/>
        </w:rPr>
        <w:t>concerned</w:t>
      </w:r>
      <w:r w:rsidRPr="002F6CBB">
        <w:rPr>
          <w:lang w:val="en-CA"/>
        </w:rPr>
        <w:t>.</w:t>
      </w:r>
      <w:r w:rsidR="00BC67BE" w:rsidRPr="002F6CBB">
        <w:rPr>
          <w:lang w:val="en-CA"/>
        </w:rPr>
        <w:t xml:space="preserve"> </w:t>
      </w:r>
      <w:r w:rsidRPr="002F6CBB">
        <w:rPr>
          <w:lang w:val="en-CA"/>
        </w:rPr>
        <w:t>A reasonable person would view it as an interference with their dignity and freedom</w:t>
      </w:r>
      <w:r w:rsidR="00145F78">
        <w:rPr>
          <w:lang w:val="en-CA"/>
        </w:rPr>
        <w:t>,</w:t>
      </w:r>
      <w:r w:rsidRPr="002F6CBB">
        <w:rPr>
          <w:lang w:val="en-CA"/>
        </w:rPr>
        <w:t xml:space="preserve"> with the </w:t>
      </w:r>
      <w:r w:rsidR="00457902">
        <w:rPr>
          <w:lang w:val="en-CA"/>
        </w:rPr>
        <w:t xml:space="preserve">ensuing </w:t>
      </w:r>
      <w:r w:rsidRPr="002F6CBB">
        <w:rPr>
          <w:lang w:val="en-CA"/>
        </w:rPr>
        <w:t>consequences.</w:t>
      </w:r>
    </w:p>
    <w:p w14:paraId="153CEA0A" w14:textId="0F9BDA56" w:rsidR="00375010" w:rsidRPr="002F6CBB" w:rsidRDefault="00457902" w:rsidP="003118BD">
      <w:pPr>
        <w:pStyle w:val="Paragraphe"/>
        <w:tabs>
          <w:tab w:val="clear" w:pos="567"/>
          <w:tab w:val="num" w:pos="709"/>
        </w:tabs>
        <w:rPr>
          <w:lang w:val="en-CA"/>
        </w:rPr>
      </w:pPr>
      <w:r>
        <w:rPr>
          <w:lang w:val="en-CA"/>
        </w:rPr>
        <w:t>Added t</w:t>
      </w:r>
      <w:r w:rsidR="00145834" w:rsidRPr="002F6CBB">
        <w:rPr>
          <w:lang w:val="en-CA"/>
        </w:rPr>
        <w:t xml:space="preserve">o this is all the circumstances of this </w:t>
      </w:r>
      <w:r w:rsidR="00EB55BF">
        <w:rPr>
          <w:lang w:val="en-CA"/>
        </w:rPr>
        <w:t>interception</w:t>
      </w:r>
      <w:r w:rsidR="00145834" w:rsidRPr="002F6CBB">
        <w:rPr>
          <w:lang w:val="en-CA"/>
        </w:rPr>
        <w:t>.</w:t>
      </w:r>
      <w:r w:rsidR="00BC67BE" w:rsidRPr="002F6CBB">
        <w:rPr>
          <w:lang w:val="en-CA"/>
        </w:rPr>
        <w:t xml:space="preserve"> </w:t>
      </w:r>
      <w:r w:rsidR="00145834" w:rsidRPr="002F6CBB">
        <w:rPr>
          <w:lang w:val="en-CA"/>
        </w:rPr>
        <w:t xml:space="preserve">The </w:t>
      </w:r>
      <w:r>
        <w:rPr>
          <w:lang w:val="en-CA"/>
        </w:rPr>
        <w:t xml:space="preserve">officers’ </w:t>
      </w:r>
      <w:r w:rsidR="00145834" w:rsidRPr="002F6CBB">
        <w:rPr>
          <w:lang w:val="en-CA"/>
        </w:rPr>
        <w:t>call for backup increased Mr. Woodley’s humiliation and anger because it could give the impression that the police were intercepting a criminal.</w:t>
      </w:r>
    </w:p>
    <w:p w14:paraId="5CEB5181" w14:textId="38BE0FEA" w:rsidR="00375010" w:rsidRPr="002F6CBB" w:rsidRDefault="00145834" w:rsidP="003118BD">
      <w:pPr>
        <w:pStyle w:val="Paragraphe"/>
        <w:tabs>
          <w:tab w:val="clear" w:pos="567"/>
          <w:tab w:val="num" w:pos="709"/>
        </w:tabs>
        <w:rPr>
          <w:lang w:val="en-CA"/>
        </w:rPr>
      </w:pPr>
      <w:r w:rsidRPr="002F6CBB">
        <w:rPr>
          <w:lang w:val="en-CA"/>
        </w:rPr>
        <w:t xml:space="preserve">It was more than probable that Mr. Woodley felt he was </w:t>
      </w:r>
      <w:r w:rsidR="00457902">
        <w:rPr>
          <w:lang w:val="en-CA"/>
        </w:rPr>
        <w:t xml:space="preserve">being </w:t>
      </w:r>
      <w:r w:rsidRPr="002F6CBB">
        <w:rPr>
          <w:lang w:val="en-CA"/>
        </w:rPr>
        <w:t>profil</w:t>
      </w:r>
      <w:r w:rsidR="00457902">
        <w:rPr>
          <w:lang w:val="en-CA"/>
        </w:rPr>
        <w:t>ed</w:t>
      </w:r>
      <w:r w:rsidRPr="002F6CBB">
        <w:rPr>
          <w:lang w:val="en-CA"/>
        </w:rPr>
        <w:t xml:space="preserve">, which moreover was </w:t>
      </w:r>
      <w:r w:rsidR="00457902">
        <w:rPr>
          <w:lang w:val="en-CA"/>
        </w:rPr>
        <w:t xml:space="preserve">what </w:t>
      </w:r>
      <w:r w:rsidRPr="002F6CBB">
        <w:rPr>
          <w:lang w:val="en-CA"/>
        </w:rPr>
        <w:t>h</w:t>
      </w:r>
      <w:r w:rsidR="00457902">
        <w:rPr>
          <w:lang w:val="en-CA"/>
        </w:rPr>
        <w:t>e</w:t>
      </w:r>
      <w:r w:rsidRPr="002F6CBB">
        <w:rPr>
          <w:lang w:val="en-CA"/>
        </w:rPr>
        <w:t xml:space="preserve"> spontaneous</w:t>
      </w:r>
      <w:r w:rsidR="00457902">
        <w:rPr>
          <w:lang w:val="en-CA"/>
        </w:rPr>
        <w:t>ly said</w:t>
      </w:r>
      <w:r w:rsidRPr="002F6CBB">
        <w:rPr>
          <w:lang w:val="en-CA"/>
        </w:rPr>
        <w:t xml:space="preserve"> when the </w:t>
      </w:r>
      <w:r w:rsidR="00457902">
        <w:rPr>
          <w:lang w:val="en-CA"/>
        </w:rPr>
        <w:t xml:space="preserve">officers </w:t>
      </w:r>
      <w:r w:rsidR="00B22D89">
        <w:rPr>
          <w:lang w:val="en-CA"/>
        </w:rPr>
        <w:t>approached</w:t>
      </w:r>
      <w:r w:rsidR="00B22D89" w:rsidRPr="002F6CBB">
        <w:rPr>
          <w:lang w:val="en-CA"/>
        </w:rPr>
        <w:t xml:space="preserve"> </w:t>
      </w:r>
      <w:r w:rsidR="00B22D89">
        <w:rPr>
          <w:lang w:val="en-CA"/>
        </w:rPr>
        <w:t>him</w:t>
      </w:r>
      <w:r w:rsidRPr="002F6CBB">
        <w:rPr>
          <w:lang w:val="en-CA"/>
        </w:rPr>
        <w:t>.</w:t>
      </w:r>
      <w:r w:rsidR="00BC67BE" w:rsidRPr="002F6CBB">
        <w:rPr>
          <w:lang w:val="en-CA"/>
        </w:rPr>
        <w:t xml:space="preserve"> </w:t>
      </w:r>
      <w:r w:rsidRPr="002F6CBB">
        <w:rPr>
          <w:lang w:val="en-CA"/>
        </w:rPr>
        <w:t>They should have know</w:t>
      </w:r>
      <w:r w:rsidR="002E6408">
        <w:rPr>
          <w:lang w:val="en-CA"/>
        </w:rPr>
        <w:t>n</w:t>
      </w:r>
      <w:r w:rsidRPr="002F6CBB">
        <w:rPr>
          <w:lang w:val="en-CA"/>
        </w:rPr>
        <w:t xml:space="preserve"> that their </w:t>
      </w:r>
      <w:r w:rsidR="00B22D89">
        <w:rPr>
          <w:lang w:val="en-CA"/>
        </w:rPr>
        <w:t xml:space="preserve">interception </w:t>
      </w:r>
      <w:r w:rsidRPr="002F6CBB">
        <w:rPr>
          <w:lang w:val="en-CA"/>
        </w:rPr>
        <w:t xml:space="preserve">would cause him </w:t>
      </w:r>
      <w:r w:rsidR="00B214F0">
        <w:rPr>
          <w:lang w:val="en-CA"/>
        </w:rPr>
        <w:t>prejudice</w:t>
      </w:r>
      <w:r w:rsidRPr="002F6CBB">
        <w:rPr>
          <w:lang w:val="en-CA"/>
        </w:rPr>
        <w:t>.</w:t>
      </w:r>
    </w:p>
    <w:p w14:paraId="4AA2B3D4" w14:textId="45A0A3BB" w:rsidR="00375010" w:rsidRPr="002F6CBB" w:rsidRDefault="00145834" w:rsidP="003118BD">
      <w:pPr>
        <w:pStyle w:val="Paragraphe"/>
        <w:tabs>
          <w:tab w:val="clear" w:pos="567"/>
          <w:tab w:val="num" w:pos="709"/>
        </w:tabs>
        <w:rPr>
          <w:lang w:val="en-CA"/>
        </w:rPr>
      </w:pPr>
      <w:r w:rsidRPr="002F6CBB">
        <w:rPr>
          <w:lang w:val="en-CA"/>
        </w:rPr>
        <w:t xml:space="preserve">The Tribunal therefore concludes that the </w:t>
      </w:r>
      <w:r w:rsidR="00457902" w:rsidRPr="002F6CBB">
        <w:rPr>
          <w:lang w:val="en-CA"/>
        </w:rPr>
        <w:t>officers</w:t>
      </w:r>
      <w:r w:rsidR="00457902">
        <w:rPr>
          <w:lang w:val="en-CA"/>
        </w:rPr>
        <w:t>’</w:t>
      </w:r>
      <w:r w:rsidR="00457902" w:rsidRPr="002F6CBB">
        <w:rPr>
          <w:lang w:val="en-CA"/>
        </w:rPr>
        <w:t xml:space="preserve"> </w:t>
      </w:r>
      <w:r w:rsidRPr="002F6CBB">
        <w:rPr>
          <w:lang w:val="en-CA"/>
        </w:rPr>
        <w:t xml:space="preserve">interference with Mr. Woodley’s right to equality was intentional within the meaning of section 49 of the </w:t>
      </w:r>
      <w:r w:rsidRPr="002F6CBB">
        <w:rPr>
          <w:i/>
          <w:lang w:val="en-CA"/>
        </w:rPr>
        <w:t>Charter</w:t>
      </w:r>
      <w:r w:rsidRPr="002F6CBB">
        <w:rPr>
          <w:lang w:val="en-CA"/>
        </w:rPr>
        <w:t xml:space="preserve"> and gives rise to punitive damages.</w:t>
      </w:r>
    </w:p>
    <w:p w14:paraId="5ED9B06B" w14:textId="49AF44AE" w:rsidR="00375010" w:rsidRPr="002F6CBB" w:rsidRDefault="00145834" w:rsidP="003118BD">
      <w:pPr>
        <w:pStyle w:val="Paragraphe"/>
        <w:tabs>
          <w:tab w:val="clear" w:pos="567"/>
          <w:tab w:val="num" w:pos="709"/>
        </w:tabs>
        <w:rPr>
          <w:lang w:val="en-CA"/>
        </w:rPr>
      </w:pPr>
      <w:r w:rsidRPr="002F6CBB">
        <w:rPr>
          <w:lang w:val="en-CA"/>
        </w:rPr>
        <w:t xml:space="preserve">The CDPDJ </w:t>
      </w:r>
      <w:r w:rsidR="00457902">
        <w:rPr>
          <w:lang w:val="en-CA"/>
        </w:rPr>
        <w:t xml:space="preserve">seeks </w:t>
      </w:r>
      <w:r w:rsidRPr="002F6CBB">
        <w:rPr>
          <w:lang w:val="en-CA"/>
        </w:rPr>
        <w:t>$2,000 from each officer under this count.</w:t>
      </w:r>
      <w:r w:rsidR="00BC67BE" w:rsidRPr="002F6CBB">
        <w:rPr>
          <w:lang w:val="en-CA"/>
        </w:rPr>
        <w:t xml:space="preserve"> </w:t>
      </w:r>
      <w:r w:rsidRPr="002F6CBB">
        <w:rPr>
          <w:lang w:val="en-CA"/>
        </w:rPr>
        <w:t xml:space="preserve">This amount is justified </w:t>
      </w:r>
      <w:r w:rsidR="00457902">
        <w:rPr>
          <w:lang w:val="en-CA"/>
        </w:rPr>
        <w:t>based on</w:t>
      </w:r>
      <w:r w:rsidRPr="002F6CBB">
        <w:rPr>
          <w:lang w:val="en-CA"/>
        </w:rPr>
        <w:t xml:space="preserve"> the criteria set out in article 1621 of the </w:t>
      </w:r>
      <w:r w:rsidRPr="002F6CBB">
        <w:rPr>
          <w:i/>
          <w:lang w:val="en-CA"/>
        </w:rPr>
        <w:t>Civil Code of Québec</w:t>
      </w:r>
      <w:r w:rsidRPr="002F6CBB">
        <w:rPr>
          <w:lang w:val="en-CA"/>
        </w:rPr>
        <w:t>.</w:t>
      </w:r>
      <w:r w:rsidRPr="002F6CBB">
        <w:rPr>
          <w:rStyle w:val="Appelnotedebasdep"/>
          <w:lang w:val="en-CA"/>
        </w:rPr>
        <w:footnoteReference w:id="100"/>
      </w:r>
    </w:p>
    <w:p w14:paraId="6051E1FE" w14:textId="3C08C937" w:rsidR="00375010" w:rsidRPr="002F6CBB" w:rsidRDefault="00145834" w:rsidP="00472A9A">
      <w:pPr>
        <w:pStyle w:val="Titre3"/>
        <w:rPr>
          <w:lang w:val="en-CA"/>
        </w:rPr>
      </w:pPr>
      <w:bookmarkStart w:id="46" w:name="_Toc183702220"/>
      <w:r w:rsidRPr="002F6CBB">
        <w:rPr>
          <w:lang w:val="en-CA"/>
        </w:rPr>
        <w:t>Public interest measures</w:t>
      </w:r>
      <w:bookmarkEnd w:id="46"/>
    </w:p>
    <w:p w14:paraId="4057C768" w14:textId="211816E2" w:rsidR="00375010" w:rsidRPr="002F6CBB" w:rsidRDefault="00145834" w:rsidP="003118BD">
      <w:pPr>
        <w:pStyle w:val="Paragraphe"/>
        <w:tabs>
          <w:tab w:val="clear" w:pos="567"/>
          <w:tab w:val="num" w:pos="709"/>
        </w:tabs>
        <w:rPr>
          <w:lang w:val="en-CA"/>
        </w:rPr>
      </w:pPr>
      <w:r w:rsidRPr="002F6CBB">
        <w:rPr>
          <w:lang w:val="en-CA"/>
        </w:rPr>
        <w:t xml:space="preserve">In accordance with section 80 of the </w:t>
      </w:r>
      <w:r w:rsidRPr="002F6CBB">
        <w:rPr>
          <w:i/>
          <w:lang w:val="en-CA"/>
        </w:rPr>
        <w:t>Charter</w:t>
      </w:r>
      <w:r w:rsidRPr="002F6CBB">
        <w:rPr>
          <w:lang w:val="en-CA"/>
        </w:rPr>
        <w:t>, the CDPDJ seeks the following measures of redress in the public interest:</w:t>
      </w:r>
    </w:p>
    <w:p w14:paraId="2E46A940" w14:textId="1FB41BA3" w:rsidR="00B214F0" w:rsidRPr="00CD5AEA" w:rsidRDefault="00B214F0" w:rsidP="00EA471C">
      <w:pPr>
        <w:ind w:left="734"/>
        <w:jc w:val="both"/>
        <w:rPr>
          <w:rFonts w:cs="Arial"/>
          <w:sz w:val="22"/>
          <w:szCs w:val="22"/>
          <w:lang w:val="en-CA"/>
        </w:rPr>
      </w:pPr>
      <w:r>
        <w:rPr>
          <w:rFonts w:cs="Arial"/>
          <w:sz w:val="22"/>
          <w:szCs w:val="22"/>
          <w:lang w:val="en-CA"/>
        </w:rPr>
        <w:t>[</w:t>
      </w:r>
      <w:r>
        <w:rPr>
          <w:rFonts w:cs="Arial"/>
          <w:smallCaps/>
          <w:sz w:val="22"/>
          <w:szCs w:val="22"/>
          <w:lang w:val="en-CA"/>
        </w:rPr>
        <w:t>translation</w:t>
      </w:r>
      <w:r>
        <w:rPr>
          <w:rFonts w:cs="Arial"/>
          <w:sz w:val="22"/>
          <w:szCs w:val="22"/>
          <w:lang w:val="en-CA"/>
        </w:rPr>
        <w:t>]</w:t>
      </w:r>
    </w:p>
    <w:p w14:paraId="38D0F58B" w14:textId="77777777" w:rsidR="00B214F0" w:rsidRDefault="00B214F0" w:rsidP="00EA471C">
      <w:pPr>
        <w:ind w:left="734"/>
        <w:jc w:val="both"/>
        <w:rPr>
          <w:rFonts w:cs="Arial"/>
          <w:b/>
          <w:bCs/>
          <w:sz w:val="22"/>
          <w:szCs w:val="22"/>
          <w:lang w:val="en-CA"/>
        </w:rPr>
      </w:pPr>
    </w:p>
    <w:p w14:paraId="0289BD79" w14:textId="0180338F" w:rsidR="00375010" w:rsidRPr="002F6CBB" w:rsidRDefault="00145834" w:rsidP="00EA471C">
      <w:pPr>
        <w:ind w:left="734"/>
        <w:jc w:val="both"/>
        <w:rPr>
          <w:rFonts w:cs="Arial"/>
          <w:sz w:val="22"/>
          <w:szCs w:val="22"/>
          <w:lang w:val="en-CA"/>
        </w:rPr>
      </w:pPr>
      <w:r w:rsidRPr="002F6CBB">
        <w:rPr>
          <w:rFonts w:cs="Arial"/>
          <w:b/>
          <w:bCs/>
          <w:sz w:val="22"/>
          <w:szCs w:val="22"/>
          <w:lang w:val="en-CA"/>
        </w:rPr>
        <w:t>ORDER</w:t>
      </w:r>
      <w:r w:rsidRPr="002F6CBB">
        <w:rPr>
          <w:rFonts w:cs="Arial"/>
          <w:bCs/>
          <w:sz w:val="22"/>
          <w:szCs w:val="22"/>
          <w:lang w:val="en-CA"/>
        </w:rPr>
        <w:t xml:space="preserve"> the defendant SPL:</w:t>
      </w:r>
    </w:p>
    <w:p w14:paraId="79367284" w14:textId="77777777" w:rsidR="00EA471C" w:rsidRPr="002F6CBB" w:rsidRDefault="00EA471C" w:rsidP="00EA471C">
      <w:pPr>
        <w:ind w:left="734"/>
        <w:jc w:val="both"/>
        <w:rPr>
          <w:rFonts w:cs="Arial"/>
          <w:sz w:val="22"/>
          <w:szCs w:val="22"/>
          <w:lang w:val="en-CA"/>
        </w:rPr>
      </w:pPr>
    </w:p>
    <w:p w14:paraId="38D42E90" w14:textId="3AC4EC5E" w:rsidR="00375010" w:rsidRPr="002F6CBB" w:rsidRDefault="00145834" w:rsidP="00EA471C">
      <w:pPr>
        <w:ind w:left="734"/>
        <w:jc w:val="both"/>
        <w:rPr>
          <w:rFonts w:cs="Arial"/>
          <w:sz w:val="22"/>
          <w:szCs w:val="22"/>
          <w:lang w:val="en-CA"/>
        </w:rPr>
      </w:pPr>
      <w:r w:rsidRPr="002F6CBB">
        <w:rPr>
          <w:rFonts w:cs="Arial"/>
          <w:b/>
          <w:bCs/>
          <w:sz w:val="22"/>
          <w:szCs w:val="22"/>
          <w:lang w:val="en-CA"/>
        </w:rPr>
        <w:t>TO ADOPT</w:t>
      </w:r>
      <w:r w:rsidRPr="002F6CBB">
        <w:rPr>
          <w:rFonts w:cs="Arial"/>
          <w:bCs/>
          <w:sz w:val="22"/>
          <w:szCs w:val="22"/>
          <w:lang w:val="en-CA"/>
        </w:rPr>
        <w:t xml:space="preserve"> a policy </w:t>
      </w:r>
      <w:r w:rsidR="00B214F0">
        <w:rPr>
          <w:rFonts w:cs="Arial"/>
          <w:bCs/>
          <w:sz w:val="22"/>
          <w:szCs w:val="22"/>
          <w:lang w:val="en-CA"/>
        </w:rPr>
        <w:t xml:space="preserve">specifically intended </w:t>
      </w:r>
      <w:r w:rsidR="002F5A13">
        <w:rPr>
          <w:rFonts w:cs="Arial"/>
          <w:bCs/>
          <w:sz w:val="22"/>
          <w:szCs w:val="22"/>
          <w:lang w:val="en-CA"/>
        </w:rPr>
        <w:t>t</w:t>
      </w:r>
      <w:r w:rsidRPr="002F6CBB">
        <w:rPr>
          <w:rFonts w:cs="Arial"/>
          <w:bCs/>
          <w:sz w:val="22"/>
          <w:szCs w:val="22"/>
          <w:lang w:val="en-CA"/>
        </w:rPr>
        <w:t>o combat racial profiling;</w:t>
      </w:r>
    </w:p>
    <w:p w14:paraId="3F0B176A" w14:textId="77777777" w:rsidR="00EA471C" w:rsidRPr="002F6CBB" w:rsidRDefault="00EA471C" w:rsidP="00EA471C">
      <w:pPr>
        <w:ind w:left="734"/>
        <w:jc w:val="both"/>
        <w:rPr>
          <w:rFonts w:cs="Arial"/>
          <w:sz w:val="22"/>
          <w:szCs w:val="22"/>
          <w:lang w:val="en-CA"/>
        </w:rPr>
      </w:pPr>
    </w:p>
    <w:p w14:paraId="278E13D4" w14:textId="25BE9B24" w:rsidR="00375010" w:rsidRPr="002F6CBB" w:rsidRDefault="00433F62" w:rsidP="00EA471C">
      <w:pPr>
        <w:ind w:left="734"/>
        <w:jc w:val="both"/>
        <w:rPr>
          <w:rFonts w:cs="Arial"/>
          <w:sz w:val="22"/>
          <w:szCs w:val="22"/>
          <w:lang w:val="en-CA"/>
        </w:rPr>
      </w:pPr>
      <w:r>
        <w:rPr>
          <w:rFonts w:cs="Arial"/>
          <w:b/>
          <w:bCs/>
          <w:sz w:val="22"/>
          <w:szCs w:val="22"/>
          <w:lang w:val="en-CA"/>
        </w:rPr>
        <w:t xml:space="preserve">TO </w:t>
      </w:r>
      <w:r w:rsidR="00145834" w:rsidRPr="002F6CBB">
        <w:rPr>
          <w:rFonts w:cs="Arial"/>
          <w:b/>
          <w:bCs/>
          <w:sz w:val="22"/>
          <w:szCs w:val="22"/>
          <w:lang w:val="en-CA"/>
        </w:rPr>
        <w:t>INCLUDE</w:t>
      </w:r>
      <w:r w:rsidR="00145834" w:rsidRPr="002F6CBB">
        <w:rPr>
          <w:rFonts w:cs="Arial"/>
          <w:bCs/>
          <w:sz w:val="22"/>
          <w:szCs w:val="22"/>
          <w:lang w:val="en-CA"/>
        </w:rPr>
        <w:t xml:space="preserve"> </w:t>
      </w:r>
      <w:r>
        <w:rPr>
          <w:rFonts w:cs="Arial"/>
          <w:bCs/>
          <w:sz w:val="22"/>
          <w:szCs w:val="22"/>
          <w:lang w:val="en-CA"/>
        </w:rPr>
        <w:t xml:space="preserve">the following </w:t>
      </w:r>
      <w:r w:rsidR="00145834" w:rsidRPr="002F6CBB">
        <w:rPr>
          <w:rFonts w:cs="Arial"/>
          <w:bCs/>
          <w:sz w:val="22"/>
          <w:szCs w:val="22"/>
          <w:lang w:val="en-CA"/>
        </w:rPr>
        <w:t>in the policy:</w:t>
      </w:r>
    </w:p>
    <w:p w14:paraId="109B6916" w14:textId="3E50F019" w:rsidR="00375010" w:rsidRPr="002F6CBB" w:rsidRDefault="002F5A13" w:rsidP="00F13BD4">
      <w:pPr>
        <w:pStyle w:val="Paragraphedeliste"/>
        <w:numPr>
          <w:ilvl w:val="0"/>
          <w:numId w:val="6"/>
        </w:numPr>
        <w:spacing w:before="160" w:line="276" w:lineRule="auto"/>
        <w:ind w:left="1446" w:hanging="357"/>
        <w:jc w:val="both"/>
        <w:rPr>
          <w:rFonts w:ascii="Arial" w:hAnsi="Arial" w:cs="Arial"/>
          <w:lang w:val="en-CA"/>
        </w:rPr>
      </w:pPr>
      <w:r>
        <w:rPr>
          <w:rFonts w:ascii="Arial" w:hAnsi="Arial" w:cs="Arial"/>
          <w:lang w:val="en-CA"/>
        </w:rPr>
        <w:t>A statement that</w:t>
      </w:r>
      <w:r w:rsidR="00145834" w:rsidRPr="002F6CBB">
        <w:rPr>
          <w:rFonts w:ascii="Arial" w:hAnsi="Arial" w:cs="Arial"/>
          <w:lang w:val="en-CA"/>
        </w:rPr>
        <w:t xml:space="preserve"> racial profiling </w:t>
      </w:r>
      <w:r>
        <w:rPr>
          <w:rFonts w:ascii="Arial" w:hAnsi="Arial" w:cs="Arial"/>
          <w:lang w:val="en-CA"/>
        </w:rPr>
        <w:t xml:space="preserve">is present </w:t>
      </w:r>
      <w:r w:rsidR="00145834" w:rsidRPr="002F6CBB">
        <w:rPr>
          <w:rFonts w:ascii="Arial" w:hAnsi="Arial" w:cs="Arial"/>
          <w:lang w:val="en-CA"/>
        </w:rPr>
        <w:t xml:space="preserve">in police interventions </w:t>
      </w:r>
      <w:r>
        <w:rPr>
          <w:rFonts w:ascii="Arial" w:hAnsi="Arial" w:cs="Arial"/>
          <w:lang w:val="en-CA"/>
        </w:rPr>
        <w:t xml:space="preserve">as well as possible </w:t>
      </w:r>
      <w:r w:rsidR="00145834" w:rsidRPr="002F6CBB">
        <w:rPr>
          <w:rFonts w:ascii="Arial" w:hAnsi="Arial" w:cs="Arial"/>
          <w:lang w:val="en-CA"/>
        </w:rPr>
        <w:t>conscious or unconscious prejudice</w:t>
      </w:r>
      <w:r>
        <w:rPr>
          <w:rFonts w:ascii="Arial" w:hAnsi="Arial" w:cs="Arial"/>
          <w:lang w:val="en-CA"/>
        </w:rPr>
        <w:t>s</w:t>
      </w:r>
      <w:r w:rsidR="00145834" w:rsidRPr="002F6CBB">
        <w:rPr>
          <w:rFonts w:ascii="Arial" w:hAnsi="Arial" w:cs="Arial"/>
          <w:lang w:val="en-CA"/>
        </w:rPr>
        <w:t xml:space="preserve"> during such interventions;</w:t>
      </w:r>
    </w:p>
    <w:p w14:paraId="351B25E4" w14:textId="03FD1C19" w:rsidR="00375010" w:rsidRPr="002F6CBB" w:rsidRDefault="00145834" w:rsidP="00F13BD4">
      <w:pPr>
        <w:pStyle w:val="Paragraphedeliste"/>
        <w:numPr>
          <w:ilvl w:val="0"/>
          <w:numId w:val="6"/>
        </w:numPr>
        <w:spacing w:before="160" w:line="276" w:lineRule="auto"/>
        <w:ind w:left="1448" w:hanging="357"/>
        <w:jc w:val="both"/>
        <w:rPr>
          <w:rFonts w:ascii="Arial" w:hAnsi="Arial" w:cs="Arial"/>
          <w:lang w:val="en-CA"/>
        </w:rPr>
      </w:pPr>
      <w:r w:rsidRPr="002F6CBB">
        <w:rPr>
          <w:rFonts w:ascii="Arial" w:hAnsi="Arial" w:cs="Arial"/>
          <w:lang w:val="en-CA"/>
        </w:rPr>
        <w:t xml:space="preserve">The </w:t>
      </w:r>
      <w:r w:rsidR="002F5A13">
        <w:rPr>
          <w:rFonts w:ascii="Arial" w:hAnsi="Arial" w:cs="Arial"/>
          <w:lang w:val="en-CA"/>
        </w:rPr>
        <w:t xml:space="preserve">main </w:t>
      </w:r>
      <w:r w:rsidRPr="002F6CBB">
        <w:rPr>
          <w:rFonts w:ascii="Arial" w:hAnsi="Arial" w:cs="Arial"/>
          <w:lang w:val="en-CA"/>
        </w:rPr>
        <w:t>prejudice</w:t>
      </w:r>
      <w:r w:rsidR="002F5A13">
        <w:rPr>
          <w:rFonts w:ascii="Arial" w:hAnsi="Arial" w:cs="Arial"/>
          <w:lang w:val="en-CA"/>
        </w:rPr>
        <w:t>s</w:t>
      </w:r>
      <w:r w:rsidRPr="002F6CBB">
        <w:rPr>
          <w:rFonts w:ascii="Arial" w:hAnsi="Arial" w:cs="Arial"/>
          <w:lang w:val="en-CA"/>
        </w:rPr>
        <w:t xml:space="preserve"> associated with various racialized groups, including </w:t>
      </w:r>
      <w:r w:rsidR="002F5A13" w:rsidRPr="002F6CBB">
        <w:rPr>
          <w:rFonts w:ascii="Arial" w:hAnsi="Arial" w:cs="Arial"/>
          <w:lang w:val="en-CA"/>
        </w:rPr>
        <w:t>in particular</w:t>
      </w:r>
      <w:r w:rsidR="002F5A13">
        <w:rPr>
          <w:rFonts w:ascii="Arial" w:hAnsi="Arial" w:cs="Arial"/>
          <w:lang w:val="en-CA"/>
        </w:rPr>
        <w:t xml:space="preserve"> </w:t>
      </w:r>
      <w:r w:rsidR="00C14519">
        <w:rPr>
          <w:rFonts w:ascii="Arial" w:hAnsi="Arial" w:cs="Arial"/>
          <w:lang w:val="en-CA"/>
        </w:rPr>
        <w:t>Black</w:t>
      </w:r>
      <w:r w:rsidRPr="002F6CBB">
        <w:rPr>
          <w:rFonts w:ascii="Arial" w:hAnsi="Arial" w:cs="Arial"/>
          <w:lang w:val="en-CA"/>
        </w:rPr>
        <w:t xml:space="preserve"> people;</w:t>
      </w:r>
    </w:p>
    <w:p w14:paraId="6D897ECE" w14:textId="71C161F8" w:rsidR="00375010" w:rsidRPr="002F6CBB" w:rsidRDefault="00145834" w:rsidP="00F13BD4">
      <w:pPr>
        <w:pStyle w:val="Paragraphedeliste"/>
        <w:numPr>
          <w:ilvl w:val="0"/>
          <w:numId w:val="6"/>
        </w:numPr>
        <w:spacing w:before="160" w:line="276" w:lineRule="auto"/>
        <w:ind w:left="1448" w:hanging="357"/>
        <w:jc w:val="both"/>
        <w:rPr>
          <w:rFonts w:ascii="Arial" w:hAnsi="Arial" w:cs="Arial"/>
          <w:lang w:val="en-CA"/>
        </w:rPr>
      </w:pPr>
      <w:r w:rsidRPr="002F6CBB">
        <w:rPr>
          <w:rFonts w:ascii="Arial" w:hAnsi="Arial" w:cs="Arial"/>
          <w:lang w:val="en-CA"/>
        </w:rPr>
        <w:t xml:space="preserve">The </w:t>
      </w:r>
      <w:r w:rsidR="002F5A13">
        <w:rPr>
          <w:rFonts w:ascii="Arial" w:hAnsi="Arial" w:cs="Arial"/>
          <w:lang w:val="en-CA"/>
        </w:rPr>
        <w:t xml:space="preserve">main </w:t>
      </w:r>
      <w:r w:rsidRPr="002F6CBB">
        <w:rPr>
          <w:rFonts w:ascii="Arial" w:hAnsi="Arial" w:cs="Arial"/>
          <w:lang w:val="en-CA"/>
        </w:rPr>
        <w:t xml:space="preserve">signs of differential </w:t>
      </w:r>
      <w:r w:rsidR="002F5A13" w:rsidRPr="002F6CBB">
        <w:rPr>
          <w:rFonts w:ascii="Arial" w:hAnsi="Arial" w:cs="Arial"/>
          <w:lang w:val="en-CA"/>
        </w:rPr>
        <w:t xml:space="preserve">or unusual </w:t>
      </w:r>
      <w:r w:rsidRPr="002F6CBB">
        <w:rPr>
          <w:rFonts w:ascii="Arial" w:hAnsi="Arial" w:cs="Arial"/>
          <w:lang w:val="en-CA"/>
        </w:rPr>
        <w:t xml:space="preserve">treatment that are characteristic of racial profiling </w:t>
      </w:r>
      <w:r w:rsidR="002F5A13">
        <w:rPr>
          <w:rFonts w:ascii="Arial" w:hAnsi="Arial" w:cs="Arial"/>
          <w:lang w:val="en-CA"/>
        </w:rPr>
        <w:t>during</w:t>
      </w:r>
      <w:r w:rsidRPr="002F6CBB">
        <w:rPr>
          <w:rFonts w:ascii="Arial" w:hAnsi="Arial" w:cs="Arial"/>
          <w:lang w:val="en-CA"/>
        </w:rPr>
        <w:t xml:space="preserve"> police interventions;</w:t>
      </w:r>
    </w:p>
    <w:p w14:paraId="4ED2A304" w14:textId="50CD87A7" w:rsidR="00375010" w:rsidRPr="002F6CBB" w:rsidRDefault="00145834" w:rsidP="00F13BD4">
      <w:pPr>
        <w:pStyle w:val="Paragraphedeliste"/>
        <w:numPr>
          <w:ilvl w:val="0"/>
          <w:numId w:val="6"/>
        </w:numPr>
        <w:spacing w:before="160" w:line="276" w:lineRule="auto"/>
        <w:ind w:left="1448" w:hanging="357"/>
        <w:jc w:val="both"/>
        <w:rPr>
          <w:rFonts w:ascii="Arial" w:hAnsi="Arial" w:cs="Arial"/>
          <w:lang w:val="en-CA"/>
        </w:rPr>
      </w:pPr>
      <w:r w:rsidRPr="002F6CBB">
        <w:rPr>
          <w:rFonts w:ascii="Arial" w:hAnsi="Arial" w:cs="Arial"/>
          <w:lang w:val="en-CA"/>
        </w:rPr>
        <w:t xml:space="preserve">The most effective measures to counter racial profiling </w:t>
      </w:r>
      <w:r w:rsidR="002F5A13">
        <w:rPr>
          <w:rFonts w:ascii="Arial" w:hAnsi="Arial" w:cs="Arial"/>
          <w:lang w:val="en-CA"/>
        </w:rPr>
        <w:t xml:space="preserve">during </w:t>
      </w:r>
      <w:r w:rsidRPr="002F6CBB">
        <w:rPr>
          <w:rFonts w:ascii="Arial" w:hAnsi="Arial" w:cs="Arial"/>
          <w:lang w:val="en-CA"/>
        </w:rPr>
        <w:t>police interventions; and</w:t>
      </w:r>
    </w:p>
    <w:p w14:paraId="01C4A5CD" w14:textId="36F1BBE0" w:rsidR="00375010" w:rsidRPr="002F6CBB" w:rsidRDefault="00145834" w:rsidP="00F13BD4">
      <w:pPr>
        <w:pStyle w:val="Paragraphedeliste"/>
        <w:numPr>
          <w:ilvl w:val="0"/>
          <w:numId w:val="6"/>
        </w:numPr>
        <w:spacing w:before="160" w:line="276" w:lineRule="auto"/>
        <w:ind w:left="1448" w:hanging="357"/>
        <w:jc w:val="both"/>
        <w:rPr>
          <w:rFonts w:ascii="Arial" w:hAnsi="Arial" w:cs="Arial"/>
          <w:lang w:val="en-CA"/>
        </w:rPr>
      </w:pPr>
      <w:r w:rsidRPr="002F6CBB">
        <w:rPr>
          <w:rFonts w:ascii="Arial" w:hAnsi="Arial" w:cs="Arial"/>
          <w:lang w:val="en-CA"/>
        </w:rPr>
        <w:lastRenderedPageBreak/>
        <w:t>The consequences of racial profiling on racialized persons and groups.</w:t>
      </w:r>
    </w:p>
    <w:p w14:paraId="701958AD" w14:textId="3978A1B7" w:rsidR="00375010" w:rsidRPr="002F6CBB" w:rsidRDefault="00433F62" w:rsidP="00EA471C">
      <w:pPr>
        <w:ind w:left="734"/>
        <w:jc w:val="both"/>
        <w:rPr>
          <w:rFonts w:cs="Arial"/>
          <w:sz w:val="22"/>
          <w:szCs w:val="22"/>
          <w:lang w:val="en-CA"/>
        </w:rPr>
      </w:pPr>
      <w:r>
        <w:rPr>
          <w:rFonts w:cs="Arial"/>
          <w:b/>
          <w:bCs/>
          <w:sz w:val="22"/>
          <w:szCs w:val="22"/>
          <w:lang w:val="en-CA"/>
        </w:rPr>
        <w:t xml:space="preserve">TO </w:t>
      </w:r>
      <w:r w:rsidR="00145834" w:rsidRPr="002F6CBB">
        <w:rPr>
          <w:rFonts w:cs="Arial"/>
          <w:b/>
          <w:bCs/>
          <w:sz w:val="22"/>
          <w:szCs w:val="22"/>
          <w:lang w:val="en-CA"/>
        </w:rPr>
        <w:t>CIRCULATE</w:t>
      </w:r>
      <w:r w:rsidR="00145834" w:rsidRPr="002F6CBB">
        <w:rPr>
          <w:rFonts w:cs="Arial"/>
          <w:bCs/>
          <w:sz w:val="22"/>
          <w:szCs w:val="22"/>
          <w:lang w:val="en-CA"/>
        </w:rPr>
        <w:t xml:space="preserve"> the policy to all police officers, supervisors, and managers currently </w:t>
      </w:r>
      <w:r>
        <w:rPr>
          <w:rFonts w:cs="Arial"/>
          <w:bCs/>
          <w:sz w:val="22"/>
          <w:szCs w:val="22"/>
          <w:lang w:val="en-CA"/>
        </w:rPr>
        <w:t xml:space="preserve">employed by </w:t>
      </w:r>
      <w:r w:rsidR="00145834" w:rsidRPr="002F6CBB">
        <w:rPr>
          <w:rFonts w:cs="Arial"/>
          <w:bCs/>
          <w:sz w:val="22"/>
          <w:szCs w:val="22"/>
          <w:lang w:val="en-CA"/>
        </w:rPr>
        <w:t xml:space="preserve">its </w:t>
      </w:r>
      <w:r>
        <w:rPr>
          <w:rFonts w:cs="Arial"/>
          <w:bCs/>
          <w:sz w:val="22"/>
          <w:szCs w:val="22"/>
          <w:lang w:val="en-CA"/>
        </w:rPr>
        <w:t xml:space="preserve">police force </w:t>
      </w:r>
      <w:r w:rsidR="00145834" w:rsidRPr="002F6CBB">
        <w:rPr>
          <w:rFonts w:cs="Arial"/>
          <w:bCs/>
          <w:sz w:val="22"/>
          <w:szCs w:val="22"/>
          <w:lang w:val="en-CA"/>
        </w:rPr>
        <w:t xml:space="preserve">as well as </w:t>
      </w:r>
      <w:r>
        <w:rPr>
          <w:rFonts w:cs="Arial"/>
          <w:bCs/>
          <w:sz w:val="22"/>
          <w:szCs w:val="22"/>
          <w:lang w:val="en-CA"/>
        </w:rPr>
        <w:t xml:space="preserve">to employees </w:t>
      </w:r>
      <w:r w:rsidR="00145834" w:rsidRPr="002F6CBB">
        <w:rPr>
          <w:rFonts w:cs="Arial"/>
          <w:bCs/>
          <w:sz w:val="22"/>
          <w:szCs w:val="22"/>
          <w:lang w:val="en-CA"/>
        </w:rPr>
        <w:t>to be hired in the future, and to forward a copy to the Commission, the whole within one year of the judgment to be rendered or on the date of hir</w:t>
      </w:r>
      <w:r w:rsidR="00444286">
        <w:rPr>
          <w:rFonts w:cs="Arial"/>
          <w:bCs/>
          <w:sz w:val="22"/>
          <w:szCs w:val="22"/>
          <w:lang w:val="en-CA"/>
        </w:rPr>
        <w:t>e</w:t>
      </w:r>
      <w:r w:rsidR="00145834" w:rsidRPr="002F6CBB">
        <w:rPr>
          <w:rFonts w:cs="Arial"/>
          <w:bCs/>
          <w:sz w:val="22"/>
          <w:szCs w:val="22"/>
          <w:lang w:val="en-CA"/>
        </w:rPr>
        <w:t>, as the case may be;</w:t>
      </w:r>
    </w:p>
    <w:p w14:paraId="176BCF53" w14:textId="77777777" w:rsidR="00146E01" w:rsidRPr="002F6CBB" w:rsidRDefault="00146E01" w:rsidP="00EA471C">
      <w:pPr>
        <w:ind w:left="734"/>
        <w:jc w:val="both"/>
        <w:rPr>
          <w:rFonts w:cs="Arial"/>
          <w:sz w:val="22"/>
          <w:szCs w:val="22"/>
          <w:lang w:val="en-CA"/>
        </w:rPr>
      </w:pPr>
    </w:p>
    <w:p w14:paraId="1DFD71E8" w14:textId="08850458" w:rsidR="00375010" w:rsidRPr="002F6CBB" w:rsidRDefault="00433F62" w:rsidP="00EA471C">
      <w:pPr>
        <w:ind w:left="734"/>
        <w:jc w:val="both"/>
        <w:rPr>
          <w:rFonts w:cs="Arial"/>
          <w:sz w:val="22"/>
          <w:szCs w:val="22"/>
          <w:lang w:val="en-CA"/>
        </w:rPr>
      </w:pPr>
      <w:r>
        <w:rPr>
          <w:rFonts w:cs="Arial"/>
          <w:b/>
          <w:bCs/>
          <w:sz w:val="22"/>
          <w:szCs w:val="22"/>
          <w:lang w:val="en-CA"/>
        </w:rPr>
        <w:t xml:space="preserve">TO </w:t>
      </w:r>
      <w:r w:rsidR="00145834" w:rsidRPr="002F6CBB">
        <w:rPr>
          <w:rFonts w:cs="Arial"/>
          <w:b/>
          <w:bCs/>
          <w:sz w:val="22"/>
          <w:szCs w:val="22"/>
          <w:lang w:val="en-CA"/>
        </w:rPr>
        <w:t>PROVIDE</w:t>
      </w:r>
      <w:r w:rsidR="00145834" w:rsidRPr="002F6CBB">
        <w:rPr>
          <w:rFonts w:cs="Arial"/>
          <w:bCs/>
          <w:sz w:val="22"/>
          <w:szCs w:val="22"/>
          <w:lang w:val="en-CA"/>
        </w:rPr>
        <w:t xml:space="preserve"> training by a </w:t>
      </w:r>
      <w:r w:rsidR="00444286" w:rsidRPr="002F6CBB">
        <w:rPr>
          <w:rFonts w:cs="Arial"/>
          <w:bCs/>
          <w:sz w:val="22"/>
          <w:szCs w:val="22"/>
          <w:lang w:val="en-CA"/>
        </w:rPr>
        <w:t xml:space="preserve">racial profiling </w:t>
      </w:r>
      <w:r w:rsidR="00145834" w:rsidRPr="002F6CBB">
        <w:rPr>
          <w:rFonts w:cs="Arial"/>
          <w:bCs/>
          <w:sz w:val="22"/>
          <w:szCs w:val="22"/>
          <w:lang w:val="en-CA"/>
        </w:rPr>
        <w:t xml:space="preserve">expert to counter discrimination </w:t>
      </w:r>
      <w:r w:rsidR="00444286">
        <w:rPr>
          <w:rFonts w:cs="Arial"/>
          <w:bCs/>
          <w:sz w:val="22"/>
          <w:szCs w:val="22"/>
          <w:lang w:val="en-CA"/>
        </w:rPr>
        <w:t xml:space="preserve">in the form of </w:t>
      </w:r>
      <w:r w:rsidR="00145834" w:rsidRPr="002F6CBB">
        <w:rPr>
          <w:rFonts w:cs="Arial"/>
          <w:bCs/>
          <w:sz w:val="22"/>
          <w:szCs w:val="22"/>
          <w:lang w:val="en-CA"/>
        </w:rPr>
        <w:t>profiling</w:t>
      </w:r>
      <w:r w:rsidR="00D22592">
        <w:rPr>
          <w:rFonts w:cs="Arial"/>
          <w:bCs/>
          <w:sz w:val="22"/>
          <w:szCs w:val="22"/>
          <w:lang w:val="en-CA"/>
        </w:rPr>
        <w:t>,</w:t>
      </w:r>
      <w:r w:rsidR="00145834" w:rsidRPr="002F6CBB">
        <w:rPr>
          <w:rFonts w:cs="Arial"/>
          <w:bCs/>
          <w:sz w:val="22"/>
          <w:szCs w:val="22"/>
          <w:lang w:val="en-CA"/>
        </w:rPr>
        <w:t xml:space="preserve"> with a formal assessment of learning outcomes, to police officers currently in its employment as well as those to be hired in the future, including supervisors and managers, the whole within one year of the judgment or within three months of the date of hir</w:t>
      </w:r>
      <w:r w:rsidR="00444286">
        <w:rPr>
          <w:rFonts w:cs="Arial"/>
          <w:bCs/>
          <w:sz w:val="22"/>
          <w:szCs w:val="22"/>
          <w:lang w:val="en-CA"/>
        </w:rPr>
        <w:t>e</w:t>
      </w:r>
      <w:r w:rsidR="00145834" w:rsidRPr="002F6CBB">
        <w:rPr>
          <w:rFonts w:cs="Arial"/>
          <w:bCs/>
          <w:sz w:val="22"/>
          <w:szCs w:val="22"/>
          <w:lang w:val="en-CA"/>
        </w:rPr>
        <w:t xml:space="preserve">, as the case may be, such training to include </w:t>
      </w:r>
      <w:r w:rsidR="00444286">
        <w:rPr>
          <w:rFonts w:cs="Arial"/>
          <w:bCs/>
          <w:sz w:val="22"/>
          <w:szCs w:val="22"/>
          <w:lang w:val="en-CA"/>
        </w:rPr>
        <w:t xml:space="preserve">at least </w:t>
      </w:r>
      <w:r w:rsidR="00145834" w:rsidRPr="002F6CBB">
        <w:rPr>
          <w:rFonts w:cs="Arial"/>
          <w:bCs/>
          <w:sz w:val="22"/>
          <w:szCs w:val="22"/>
          <w:lang w:val="en-CA"/>
        </w:rPr>
        <w:t>the following:</w:t>
      </w:r>
    </w:p>
    <w:p w14:paraId="1F078116" w14:textId="0697EA2D" w:rsidR="00375010" w:rsidRPr="002F6CBB" w:rsidRDefault="00145834"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 xml:space="preserve">The definition of racial profiling </w:t>
      </w:r>
      <w:r w:rsidR="00444286">
        <w:rPr>
          <w:rFonts w:ascii="Arial" w:hAnsi="Arial" w:cs="Arial"/>
          <w:lang w:val="en-CA"/>
        </w:rPr>
        <w:t xml:space="preserve">as </w:t>
      </w:r>
      <w:r w:rsidRPr="002F6CBB">
        <w:rPr>
          <w:rFonts w:ascii="Arial" w:hAnsi="Arial" w:cs="Arial"/>
          <w:lang w:val="en-CA"/>
        </w:rPr>
        <w:t xml:space="preserve">recognized by the Supreme Court of Canada in </w:t>
      </w:r>
      <w:r w:rsidRPr="002F6CBB">
        <w:rPr>
          <w:rFonts w:ascii="Arial" w:hAnsi="Arial" w:cs="Arial"/>
          <w:i/>
          <w:lang w:val="en-CA"/>
        </w:rPr>
        <w:t>Bombardier</w:t>
      </w:r>
      <w:r w:rsidR="00D22592">
        <w:rPr>
          <w:rFonts w:ascii="Arial" w:hAnsi="Arial" w:cs="Arial"/>
          <w:iCs/>
          <w:lang w:val="en-CA"/>
        </w:rPr>
        <w:t>,</w:t>
      </w:r>
      <w:r w:rsidRPr="002F6CBB">
        <w:rPr>
          <w:rFonts w:ascii="Arial" w:hAnsi="Arial" w:cs="Arial"/>
          <w:lang w:val="en-CA"/>
        </w:rPr>
        <w:t xml:space="preserve"> [2015] 2 SCR 789;</w:t>
      </w:r>
      <w:r w:rsidR="00BC67BE" w:rsidRPr="002F6CBB">
        <w:rPr>
          <w:rFonts w:ascii="Arial" w:hAnsi="Arial" w:cs="Arial"/>
          <w:lang w:val="en-CA"/>
        </w:rPr>
        <w:t xml:space="preserve"> </w:t>
      </w:r>
    </w:p>
    <w:p w14:paraId="7DEFFE7B" w14:textId="7BE70991" w:rsidR="00375010" w:rsidRPr="002F6CBB" w:rsidRDefault="00E13DC3"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 xml:space="preserve">A </w:t>
      </w:r>
      <w:r w:rsidR="00444286">
        <w:rPr>
          <w:rFonts w:ascii="Arial" w:hAnsi="Arial" w:cs="Arial"/>
          <w:lang w:val="en-CA"/>
        </w:rPr>
        <w:t>review</w:t>
      </w:r>
      <w:r w:rsidRPr="002F6CBB">
        <w:rPr>
          <w:rFonts w:ascii="Arial" w:hAnsi="Arial" w:cs="Arial"/>
          <w:lang w:val="en-CA"/>
        </w:rPr>
        <w:t xml:space="preserve"> of the current case law on racial profiling;</w:t>
      </w:r>
    </w:p>
    <w:p w14:paraId="7B02BE8C" w14:textId="45893F77" w:rsidR="00375010" w:rsidRPr="002F6CBB" w:rsidRDefault="00E13DC3"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 xml:space="preserve">A </w:t>
      </w:r>
      <w:r w:rsidR="00444286">
        <w:rPr>
          <w:rFonts w:ascii="Arial" w:hAnsi="Arial" w:cs="Arial"/>
          <w:lang w:val="en-CA"/>
        </w:rPr>
        <w:t xml:space="preserve">review </w:t>
      </w:r>
      <w:r w:rsidRPr="002F6CBB">
        <w:rPr>
          <w:rFonts w:ascii="Arial" w:hAnsi="Arial" w:cs="Arial"/>
          <w:lang w:val="en-CA"/>
        </w:rPr>
        <w:t xml:space="preserve">of the literature on the social context </w:t>
      </w:r>
      <w:r w:rsidR="00444286">
        <w:rPr>
          <w:rFonts w:ascii="Arial" w:hAnsi="Arial" w:cs="Arial"/>
          <w:lang w:val="en-CA"/>
        </w:rPr>
        <w:t xml:space="preserve">related to </w:t>
      </w:r>
      <w:r w:rsidRPr="002F6CBB">
        <w:rPr>
          <w:rFonts w:ascii="Arial" w:hAnsi="Arial" w:cs="Arial"/>
          <w:lang w:val="en-CA"/>
        </w:rPr>
        <w:t xml:space="preserve">racial profiling </w:t>
      </w:r>
      <w:r w:rsidR="00444286">
        <w:rPr>
          <w:rFonts w:ascii="Arial" w:hAnsi="Arial" w:cs="Arial"/>
          <w:lang w:val="en-CA"/>
        </w:rPr>
        <w:t xml:space="preserve">during </w:t>
      </w:r>
      <w:r w:rsidRPr="002F6CBB">
        <w:rPr>
          <w:rFonts w:ascii="Arial" w:hAnsi="Arial" w:cs="Arial"/>
          <w:lang w:val="en-CA"/>
        </w:rPr>
        <w:t>police interventions;</w:t>
      </w:r>
    </w:p>
    <w:p w14:paraId="33550974" w14:textId="7103C583" w:rsidR="00375010" w:rsidRPr="002F6CBB" w:rsidRDefault="00444286" w:rsidP="00F13BD4">
      <w:pPr>
        <w:pStyle w:val="Paragraphedeliste"/>
        <w:numPr>
          <w:ilvl w:val="0"/>
          <w:numId w:val="7"/>
        </w:numPr>
        <w:spacing w:before="160" w:line="276" w:lineRule="auto"/>
        <w:ind w:left="1446" w:hanging="357"/>
        <w:jc w:val="both"/>
        <w:rPr>
          <w:rFonts w:ascii="Arial" w:hAnsi="Arial" w:cs="Arial"/>
          <w:lang w:val="en-CA"/>
        </w:rPr>
      </w:pPr>
      <w:r>
        <w:rPr>
          <w:rFonts w:ascii="Arial" w:hAnsi="Arial" w:cs="Arial"/>
          <w:lang w:val="en-CA"/>
        </w:rPr>
        <w:t>A statement that</w:t>
      </w:r>
      <w:r w:rsidRPr="002F6CBB">
        <w:rPr>
          <w:rFonts w:ascii="Arial" w:hAnsi="Arial" w:cs="Arial"/>
          <w:lang w:val="en-CA"/>
        </w:rPr>
        <w:t xml:space="preserve"> racial profiling </w:t>
      </w:r>
      <w:r>
        <w:rPr>
          <w:rFonts w:ascii="Arial" w:hAnsi="Arial" w:cs="Arial"/>
          <w:lang w:val="en-CA"/>
        </w:rPr>
        <w:t xml:space="preserve">is present </w:t>
      </w:r>
      <w:r w:rsidRPr="002F6CBB">
        <w:rPr>
          <w:rFonts w:ascii="Arial" w:hAnsi="Arial" w:cs="Arial"/>
          <w:lang w:val="en-CA"/>
        </w:rPr>
        <w:t xml:space="preserve">in police interventions </w:t>
      </w:r>
      <w:r>
        <w:rPr>
          <w:rFonts w:ascii="Arial" w:hAnsi="Arial" w:cs="Arial"/>
          <w:lang w:val="en-CA"/>
        </w:rPr>
        <w:t xml:space="preserve">as well as possible </w:t>
      </w:r>
      <w:r w:rsidRPr="002F6CBB">
        <w:rPr>
          <w:rFonts w:ascii="Arial" w:hAnsi="Arial" w:cs="Arial"/>
          <w:lang w:val="en-CA"/>
        </w:rPr>
        <w:t>conscious or unconscious prejudice</w:t>
      </w:r>
      <w:r>
        <w:rPr>
          <w:rFonts w:ascii="Arial" w:hAnsi="Arial" w:cs="Arial"/>
          <w:lang w:val="en-CA"/>
        </w:rPr>
        <w:t>s</w:t>
      </w:r>
      <w:r w:rsidRPr="002F6CBB">
        <w:rPr>
          <w:rFonts w:ascii="Arial" w:hAnsi="Arial" w:cs="Arial"/>
          <w:lang w:val="en-CA"/>
        </w:rPr>
        <w:t xml:space="preserve"> during such interventions</w:t>
      </w:r>
      <w:r w:rsidR="00145834" w:rsidRPr="002F6CBB">
        <w:rPr>
          <w:rFonts w:ascii="Arial" w:hAnsi="Arial" w:cs="Arial"/>
          <w:lang w:val="en-CA"/>
        </w:rPr>
        <w:t>;</w:t>
      </w:r>
    </w:p>
    <w:p w14:paraId="60588613" w14:textId="363C88FA" w:rsidR="00375010" w:rsidRPr="002F6CBB" w:rsidRDefault="00444286"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 xml:space="preserve">The </w:t>
      </w:r>
      <w:r>
        <w:rPr>
          <w:rFonts w:ascii="Arial" w:hAnsi="Arial" w:cs="Arial"/>
          <w:lang w:val="en-CA"/>
        </w:rPr>
        <w:t xml:space="preserve">main </w:t>
      </w:r>
      <w:r w:rsidRPr="002F6CBB">
        <w:rPr>
          <w:rFonts w:ascii="Arial" w:hAnsi="Arial" w:cs="Arial"/>
          <w:lang w:val="en-CA"/>
        </w:rPr>
        <w:t>prejudice</w:t>
      </w:r>
      <w:r>
        <w:rPr>
          <w:rFonts w:ascii="Arial" w:hAnsi="Arial" w:cs="Arial"/>
          <w:lang w:val="en-CA"/>
        </w:rPr>
        <w:t>s</w:t>
      </w:r>
      <w:r w:rsidRPr="002F6CBB">
        <w:rPr>
          <w:rFonts w:ascii="Arial" w:hAnsi="Arial" w:cs="Arial"/>
          <w:lang w:val="en-CA"/>
        </w:rPr>
        <w:t xml:space="preserve"> associated with various racialized groups, including in particular</w:t>
      </w:r>
      <w:r>
        <w:rPr>
          <w:rFonts w:ascii="Arial" w:hAnsi="Arial" w:cs="Arial"/>
          <w:lang w:val="en-CA"/>
        </w:rPr>
        <w:t xml:space="preserve"> Black</w:t>
      </w:r>
      <w:r w:rsidRPr="002F6CBB">
        <w:rPr>
          <w:rFonts w:ascii="Arial" w:hAnsi="Arial" w:cs="Arial"/>
          <w:lang w:val="en-CA"/>
        </w:rPr>
        <w:t xml:space="preserve"> people</w:t>
      </w:r>
      <w:r w:rsidR="00145834" w:rsidRPr="002F6CBB">
        <w:rPr>
          <w:rFonts w:ascii="Arial" w:hAnsi="Arial" w:cs="Arial"/>
          <w:lang w:val="en-CA"/>
        </w:rPr>
        <w:t>;</w:t>
      </w:r>
      <w:r w:rsidR="00BC67BE" w:rsidRPr="002F6CBB">
        <w:rPr>
          <w:rFonts w:ascii="Arial" w:hAnsi="Arial" w:cs="Arial"/>
          <w:lang w:val="en-CA"/>
        </w:rPr>
        <w:t xml:space="preserve"> </w:t>
      </w:r>
    </w:p>
    <w:p w14:paraId="3F1C6610" w14:textId="63C528B1" w:rsidR="00375010" w:rsidRPr="002F6CBB" w:rsidRDefault="00444286"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 xml:space="preserve">The </w:t>
      </w:r>
      <w:r>
        <w:rPr>
          <w:rFonts w:ascii="Arial" w:hAnsi="Arial" w:cs="Arial"/>
          <w:lang w:val="en-CA"/>
        </w:rPr>
        <w:t>main indicators</w:t>
      </w:r>
      <w:r w:rsidRPr="002F6CBB">
        <w:rPr>
          <w:rFonts w:ascii="Arial" w:hAnsi="Arial" w:cs="Arial"/>
          <w:lang w:val="en-CA"/>
        </w:rPr>
        <w:t xml:space="preserve"> of differential or unusual treatment that are characteristic of racial profiling </w:t>
      </w:r>
      <w:r>
        <w:rPr>
          <w:rFonts w:ascii="Arial" w:hAnsi="Arial" w:cs="Arial"/>
          <w:lang w:val="en-CA"/>
        </w:rPr>
        <w:t>during</w:t>
      </w:r>
      <w:r w:rsidRPr="002F6CBB">
        <w:rPr>
          <w:rFonts w:ascii="Arial" w:hAnsi="Arial" w:cs="Arial"/>
          <w:lang w:val="en-CA"/>
        </w:rPr>
        <w:t xml:space="preserve"> police interventions</w:t>
      </w:r>
      <w:r w:rsidR="00E13DC3" w:rsidRPr="002F6CBB">
        <w:rPr>
          <w:rFonts w:ascii="Arial" w:hAnsi="Arial" w:cs="Arial"/>
          <w:lang w:val="en-CA"/>
        </w:rPr>
        <w:t>;</w:t>
      </w:r>
    </w:p>
    <w:p w14:paraId="3F844183" w14:textId="00E58EA5" w:rsidR="00375010" w:rsidRPr="002F6CBB" w:rsidRDefault="00145834"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 xml:space="preserve">The most effective measures to counter racial profiling </w:t>
      </w:r>
      <w:r w:rsidR="00444286">
        <w:rPr>
          <w:rFonts w:ascii="Arial" w:hAnsi="Arial" w:cs="Arial"/>
          <w:lang w:val="en-CA"/>
        </w:rPr>
        <w:t>during</w:t>
      </w:r>
      <w:r w:rsidRPr="002F6CBB">
        <w:rPr>
          <w:rFonts w:ascii="Arial" w:hAnsi="Arial" w:cs="Arial"/>
          <w:lang w:val="en-CA"/>
        </w:rPr>
        <w:t xml:space="preserve"> police interventions; and</w:t>
      </w:r>
    </w:p>
    <w:p w14:paraId="4FD2264A" w14:textId="055CF1FB" w:rsidR="00375010" w:rsidRPr="002F6CBB" w:rsidRDefault="00E13DC3" w:rsidP="00F13BD4">
      <w:pPr>
        <w:pStyle w:val="Paragraphedeliste"/>
        <w:numPr>
          <w:ilvl w:val="0"/>
          <w:numId w:val="7"/>
        </w:numPr>
        <w:spacing w:before="160" w:line="276" w:lineRule="auto"/>
        <w:ind w:left="1446" w:hanging="357"/>
        <w:jc w:val="both"/>
        <w:rPr>
          <w:rFonts w:ascii="Arial" w:hAnsi="Arial" w:cs="Arial"/>
          <w:lang w:val="en-CA"/>
        </w:rPr>
      </w:pPr>
      <w:r w:rsidRPr="002F6CBB">
        <w:rPr>
          <w:rFonts w:ascii="Arial" w:hAnsi="Arial" w:cs="Arial"/>
          <w:lang w:val="en-CA"/>
        </w:rPr>
        <w:t>The consequences of racial profiling on racialized persons and groups.</w:t>
      </w:r>
    </w:p>
    <w:p w14:paraId="4C13CDB5" w14:textId="69C7742B" w:rsidR="00375010" w:rsidRPr="002F6CBB" w:rsidRDefault="00444286" w:rsidP="00EA471C">
      <w:pPr>
        <w:ind w:left="734"/>
        <w:jc w:val="both"/>
        <w:rPr>
          <w:rFonts w:cs="Arial"/>
          <w:sz w:val="22"/>
          <w:szCs w:val="22"/>
          <w:lang w:val="en-CA"/>
        </w:rPr>
      </w:pPr>
      <w:r>
        <w:rPr>
          <w:rFonts w:cs="Arial"/>
          <w:b/>
          <w:bCs/>
          <w:sz w:val="22"/>
          <w:szCs w:val="22"/>
          <w:lang w:val="en-CA"/>
        </w:rPr>
        <w:t xml:space="preserve">TO </w:t>
      </w:r>
      <w:r w:rsidR="00E13DC3" w:rsidRPr="002F6CBB">
        <w:rPr>
          <w:rFonts w:cs="Arial"/>
          <w:b/>
          <w:bCs/>
          <w:sz w:val="22"/>
          <w:szCs w:val="22"/>
          <w:lang w:val="en-CA"/>
        </w:rPr>
        <w:t>ENSURE</w:t>
      </w:r>
      <w:r w:rsidR="00E13DC3" w:rsidRPr="002F6CBB">
        <w:rPr>
          <w:rFonts w:cs="Arial"/>
          <w:bCs/>
          <w:sz w:val="22"/>
          <w:szCs w:val="22"/>
          <w:lang w:val="en-CA"/>
        </w:rPr>
        <w:t xml:space="preserve"> that the training is revised and/or adapted, as needed, so that it is provided </w:t>
      </w:r>
      <w:r w:rsidRPr="002F6CBB">
        <w:rPr>
          <w:rFonts w:cs="Arial"/>
          <w:bCs/>
          <w:sz w:val="22"/>
          <w:szCs w:val="22"/>
          <w:lang w:val="en-CA"/>
        </w:rPr>
        <w:t xml:space="preserve">at least every five years </w:t>
      </w:r>
      <w:r w:rsidR="00E13DC3" w:rsidRPr="002F6CBB">
        <w:rPr>
          <w:rFonts w:cs="Arial"/>
          <w:bCs/>
          <w:sz w:val="22"/>
          <w:szCs w:val="22"/>
          <w:lang w:val="en-CA"/>
        </w:rPr>
        <w:t xml:space="preserve">to all police officers, supervisors, and managers currently in its employment as well as to employees to be hired. </w:t>
      </w:r>
    </w:p>
    <w:p w14:paraId="2EC77704" w14:textId="77777777" w:rsidR="00146E01" w:rsidRPr="002F6CBB" w:rsidRDefault="00146E01" w:rsidP="00EA471C">
      <w:pPr>
        <w:ind w:left="734"/>
        <w:jc w:val="both"/>
        <w:rPr>
          <w:rFonts w:cs="Arial"/>
          <w:sz w:val="22"/>
          <w:szCs w:val="22"/>
          <w:lang w:val="en-CA"/>
        </w:rPr>
      </w:pPr>
    </w:p>
    <w:p w14:paraId="352D9B43" w14:textId="6E754EEF" w:rsidR="00375010" w:rsidRPr="002F6CBB" w:rsidRDefault="00444286" w:rsidP="00EA471C">
      <w:pPr>
        <w:ind w:left="734"/>
        <w:jc w:val="both"/>
        <w:rPr>
          <w:rFonts w:cs="Arial"/>
          <w:sz w:val="22"/>
          <w:szCs w:val="22"/>
          <w:lang w:val="en-CA"/>
        </w:rPr>
      </w:pPr>
      <w:r w:rsidRPr="00444286">
        <w:rPr>
          <w:rFonts w:cs="Arial"/>
          <w:b/>
          <w:sz w:val="22"/>
          <w:szCs w:val="22"/>
          <w:lang w:val="en-CA"/>
        </w:rPr>
        <w:t>TO</w:t>
      </w:r>
      <w:r>
        <w:rPr>
          <w:rFonts w:cs="Arial"/>
          <w:bCs/>
          <w:sz w:val="22"/>
          <w:szCs w:val="22"/>
          <w:lang w:val="en-CA"/>
        </w:rPr>
        <w:t xml:space="preserve"> s</w:t>
      </w:r>
      <w:r w:rsidR="00E13DC3" w:rsidRPr="002F6CBB">
        <w:rPr>
          <w:rFonts w:cs="Arial"/>
          <w:bCs/>
          <w:sz w:val="22"/>
          <w:szCs w:val="22"/>
          <w:lang w:val="en-CA"/>
        </w:rPr>
        <w:t>ystematically</w:t>
      </w:r>
      <w:r w:rsidR="00E13DC3" w:rsidRPr="002F6CBB">
        <w:rPr>
          <w:rFonts w:cs="Arial"/>
          <w:b/>
          <w:bCs/>
          <w:sz w:val="22"/>
          <w:szCs w:val="22"/>
          <w:lang w:val="en-CA"/>
        </w:rPr>
        <w:t xml:space="preserve"> COLLECT AND PUBLISH</w:t>
      </w:r>
      <w:r w:rsidR="00E13DC3" w:rsidRPr="002F6CBB">
        <w:rPr>
          <w:rFonts w:cs="Arial"/>
          <w:bCs/>
          <w:sz w:val="22"/>
          <w:szCs w:val="22"/>
          <w:lang w:val="en-CA"/>
        </w:rPr>
        <w:t xml:space="preserve"> </w:t>
      </w:r>
      <w:r>
        <w:rPr>
          <w:rFonts w:cs="Arial"/>
          <w:bCs/>
          <w:sz w:val="22"/>
          <w:szCs w:val="22"/>
          <w:lang w:val="en-CA"/>
        </w:rPr>
        <w:t xml:space="preserve">the </w:t>
      </w:r>
      <w:r w:rsidR="00E13DC3" w:rsidRPr="002F6CBB">
        <w:rPr>
          <w:rFonts w:cs="Arial"/>
          <w:bCs/>
          <w:sz w:val="22"/>
          <w:szCs w:val="22"/>
          <w:lang w:val="en-CA"/>
        </w:rPr>
        <w:t>anonym</w:t>
      </w:r>
      <w:r w:rsidR="00701CA0">
        <w:rPr>
          <w:rFonts w:cs="Arial"/>
          <w:bCs/>
          <w:sz w:val="22"/>
          <w:szCs w:val="22"/>
          <w:lang w:val="en-CA"/>
        </w:rPr>
        <w:t>ized</w:t>
      </w:r>
      <w:r w:rsidR="00E13DC3" w:rsidRPr="002F6CBB">
        <w:rPr>
          <w:rFonts w:cs="Arial"/>
          <w:bCs/>
          <w:sz w:val="22"/>
          <w:szCs w:val="22"/>
          <w:lang w:val="en-CA"/>
        </w:rPr>
        <w:t xml:space="preserve"> data on </w:t>
      </w:r>
      <w:r>
        <w:rPr>
          <w:rFonts w:cs="Arial"/>
          <w:bCs/>
          <w:sz w:val="22"/>
          <w:szCs w:val="22"/>
          <w:lang w:val="en-CA"/>
        </w:rPr>
        <w:t xml:space="preserve">the </w:t>
      </w:r>
      <w:r w:rsidR="00E13DC3" w:rsidRPr="002F6CBB">
        <w:rPr>
          <w:rFonts w:cs="Arial"/>
          <w:bCs/>
          <w:sz w:val="22"/>
          <w:szCs w:val="22"/>
          <w:lang w:val="en-CA"/>
        </w:rPr>
        <w:t xml:space="preserve">perceived and/or presumed racial </w:t>
      </w:r>
      <w:r>
        <w:rPr>
          <w:rFonts w:cs="Arial"/>
          <w:bCs/>
          <w:sz w:val="22"/>
          <w:szCs w:val="22"/>
          <w:lang w:val="en-CA"/>
        </w:rPr>
        <w:t xml:space="preserve">background </w:t>
      </w:r>
      <w:r w:rsidR="00E13DC3" w:rsidRPr="002F6CBB">
        <w:rPr>
          <w:rFonts w:cs="Arial"/>
          <w:bCs/>
          <w:sz w:val="22"/>
          <w:szCs w:val="22"/>
          <w:lang w:val="en-CA"/>
        </w:rPr>
        <w:t xml:space="preserve">of individuals who have been </w:t>
      </w:r>
      <w:r w:rsidR="00247AB8">
        <w:rPr>
          <w:rFonts w:cs="Arial"/>
          <w:bCs/>
          <w:sz w:val="22"/>
          <w:szCs w:val="22"/>
          <w:lang w:val="en-CA"/>
        </w:rPr>
        <w:t xml:space="preserve">subject to </w:t>
      </w:r>
      <w:r>
        <w:rPr>
          <w:rFonts w:cs="Arial"/>
          <w:bCs/>
          <w:sz w:val="22"/>
          <w:szCs w:val="22"/>
          <w:lang w:val="en-CA"/>
        </w:rPr>
        <w:t xml:space="preserve">any </w:t>
      </w:r>
      <w:r w:rsidR="00247AB8">
        <w:rPr>
          <w:rFonts w:cs="Arial"/>
          <w:bCs/>
          <w:sz w:val="22"/>
          <w:szCs w:val="22"/>
          <w:lang w:val="en-CA"/>
        </w:rPr>
        <w:t xml:space="preserve">type of </w:t>
      </w:r>
      <w:r w:rsidR="00B22D89">
        <w:rPr>
          <w:rFonts w:cs="Arial"/>
          <w:bCs/>
          <w:sz w:val="22"/>
          <w:szCs w:val="22"/>
          <w:lang w:val="en-CA"/>
        </w:rPr>
        <w:t>interce</w:t>
      </w:r>
      <w:r w:rsidR="00EB55BF">
        <w:rPr>
          <w:rFonts w:cs="Arial"/>
          <w:bCs/>
          <w:sz w:val="22"/>
          <w:szCs w:val="22"/>
          <w:lang w:val="en-CA"/>
        </w:rPr>
        <w:t>p</w:t>
      </w:r>
      <w:r w:rsidR="00B22D89">
        <w:rPr>
          <w:rFonts w:cs="Arial"/>
          <w:bCs/>
          <w:sz w:val="22"/>
          <w:szCs w:val="22"/>
          <w:lang w:val="en-CA"/>
        </w:rPr>
        <w:t>tion</w:t>
      </w:r>
      <w:r w:rsidR="00247AB8">
        <w:rPr>
          <w:rFonts w:cs="Arial"/>
          <w:bCs/>
          <w:sz w:val="22"/>
          <w:szCs w:val="22"/>
          <w:lang w:val="en-CA"/>
        </w:rPr>
        <w:t xml:space="preserve"> </w:t>
      </w:r>
      <w:r w:rsidR="00E13DC3" w:rsidRPr="002F6CBB">
        <w:rPr>
          <w:rFonts w:cs="Arial"/>
          <w:bCs/>
          <w:sz w:val="22"/>
          <w:szCs w:val="22"/>
          <w:lang w:val="en-CA"/>
        </w:rPr>
        <w:t xml:space="preserve">by the police to document racial profiling, the whole, in respect of the rights and freedoms guaranteed by the </w:t>
      </w:r>
      <w:r w:rsidR="00E13DC3" w:rsidRPr="002F6CBB">
        <w:rPr>
          <w:rFonts w:cs="Arial"/>
          <w:bCs/>
          <w:i/>
          <w:sz w:val="22"/>
          <w:szCs w:val="22"/>
          <w:lang w:val="en-CA"/>
        </w:rPr>
        <w:t>Charter</w:t>
      </w:r>
      <w:r w:rsidR="00E13DC3" w:rsidRPr="002F6CBB">
        <w:rPr>
          <w:rFonts w:cs="Arial"/>
          <w:bCs/>
          <w:sz w:val="22"/>
          <w:szCs w:val="22"/>
          <w:lang w:val="en-CA"/>
        </w:rPr>
        <w:t xml:space="preserve">, including the right to a private life, </w:t>
      </w:r>
      <w:r>
        <w:rPr>
          <w:rFonts w:cs="Arial"/>
          <w:bCs/>
          <w:sz w:val="22"/>
          <w:szCs w:val="22"/>
          <w:lang w:val="en-CA"/>
        </w:rPr>
        <w:t xml:space="preserve">in </w:t>
      </w:r>
      <w:r w:rsidR="00E13DC3" w:rsidRPr="002F6CBB">
        <w:rPr>
          <w:rFonts w:cs="Arial"/>
          <w:bCs/>
          <w:sz w:val="22"/>
          <w:szCs w:val="22"/>
          <w:lang w:val="en-CA"/>
        </w:rPr>
        <w:t xml:space="preserve">a </w:t>
      </w:r>
      <w:r>
        <w:rPr>
          <w:rFonts w:cs="Arial"/>
          <w:bCs/>
          <w:sz w:val="22"/>
          <w:szCs w:val="22"/>
          <w:lang w:val="en-CA"/>
        </w:rPr>
        <w:t xml:space="preserve">separate </w:t>
      </w:r>
      <w:r w:rsidR="00E13DC3" w:rsidRPr="002F6CBB">
        <w:rPr>
          <w:rFonts w:cs="Arial"/>
          <w:bCs/>
          <w:sz w:val="22"/>
          <w:szCs w:val="22"/>
          <w:lang w:val="en-CA"/>
        </w:rPr>
        <w:t xml:space="preserve">database </w:t>
      </w:r>
      <w:r>
        <w:rPr>
          <w:rFonts w:cs="Arial"/>
          <w:bCs/>
          <w:sz w:val="22"/>
          <w:szCs w:val="22"/>
          <w:lang w:val="en-CA"/>
        </w:rPr>
        <w:t xml:space="preserve">strictly </w:t>
      </w:r>
      <w:r w:rsidR="00E13DC3" w:rsidRPr="002F6CBB">
        <w:rPr>
          <w:rFonts w:cs="Arial"/>
          <w:bCs/>
          <w:sz w:val="22"/>
          <w:szCs w:val="22"/>
          <w:lang w:val="en-CA"/>
        </w:rPr>
        <w:t>for administrative purposes.</w:t>
      </w:r>
    </w:p>
    <w:p w14:paraId="31AA25C5" w14:textId="1F2E1CA6" w:rsidR="00375010" w:rsidRPr="002F6CBB" w:rsidRDefault="00E13DC3" w:rsidP="003118BD">
      <w:pPr>
        <w:pStyle w:val="Paragraphe"/>
        <w:tabs>
          <w:tab w:val="clear" w:pos="567"/>
          <w:tab w:val="num" w:pos="709"/>
        </w:tabs>
        <w:rPr>
          <w:lang w:val="en-CA"/>
        </w:rPr>
      </w:pPr>
      <w:r w:rsidRPr="002F6CBB">
        <w:rPr>
          <w:lang w:val="en-CA"/>
        </w:rPr>
        <w:t>The measures sought by the CDPDJ can be divided into three groups:</w:t>
      </w:r>
    </w:p>
    <w:p w14:paraId="6777B488" w14:textId="30CAF3A0" w:rsidR="00375010" w:rsidRPr="002F6CBB" w:rsidRDefault="00E13DC3" w:rsidP="00F13BD4">
      <w:pPr>
        <w:numPr>
          <w:ilvl w:val="0"/>
          <w:numId w:val="10"/>
        </w:numPr>
        <w:tabs>
          <w:tab w:val="left" w:pos="851"/>
        </w:tabs>
        <w:spacing w:before="120"/>
        <w:ind w:left="851" w:hanging="284"/>
        <w:rPr>
          <w:lang w:val="en-CA"/>
        </w:rPr>
      </w:pPr>
      <w:r w:rsidRPr="002F6CBB">
        <w:rPr>
          <w:lang w:val="en-CA"/>
        </w:rPr>
        <w:t xml:space="preserve">implement a policy </w:t>
      </w:r>
      <w:r w:rsidR="00433F62">
        <w:rPr>
          <w:lang w:val="en-CA"/>
        </w:rPr>
        <w:t>t</w:t>
      </w:r>
      <w:r w:rsidRPr="002F6CBB">
        <w:rPr>
          <w:lang w:val="en-CA"/>
        </w:rPr>
        <w:t>o combat racial profiling;</w:t>
      </w:r>
    </w:p>
    <w:p w14:paraId="7655A78F" w14:textId="1CEBF0EA" w:rsidR="00375010" w:rsidRPr="002F6CBB" w:rsidRDefault="00433F62" w:rsidP="00F13BD4">
      <w:pPr>
        <w:numPr>
          <w:ilvl w:val="0"/>
          <w:numId w:val="10"/>
        </w:numPr>
        <w:tabs>
          <w:tab w:val="left" w:pos="851"/>
        </w:tabs>
        <w:spacing w:before="120"/>
        <w:ind w:left="851" w:hanging="284"/>
        <w:rPr>
          <w:lang w:val="en-CA"/>
        </w:rPr>
      </w:pPr>
      <w:r>
        <w:rPr>
          <w:lang w:val="en-CA"/>
        </w:rPr>
        <w:t xml:space="preserve">train the </w:t>
      </w:r>
      <w:r w:rsidR="00E13DC3" w:rsidRPr="002F6CBB">
        <w:rPr>
          <w:lang w:val="en-CA"/>
        </w:rPr>
        <w:t>police on racial profiling;</w:t>
      </w:r>
      <w:r w:rsidR="00701CA0">
        <w:rPr>
          <w:lang w:val="en-CA"/>
        </w:rPr>
        <w:t xml:space="preserve"> and</w:t>
      </w:r>
    </w:p>
    <w:p w14:paraId="4F0A1734" w14:textId="2562193E" w:rsidR="00375010" w:rsidRPr="002F6CBB" w:rsidRDefault="00E13DC3" w:rsidP="00F13BD4">
      <w:pPr>
        <w:numPr>
          <w:ilvl w:val="0"/>
          <w:numId w:val="10"/>
        </w:numPr>
        <w:tabs>
          <w:tab w:val="left" w:pos="851"/>
        </w:tabs>
        <w:spacing w:before="120" w:after="120"/>
        <w:ind w:left="851" w:hanging="284"/>
        <w:rPr>
          <w:lang w:val="en-CA"/>
        </w:rPr>
      </w:pPr>
      <w:r w:rsidRPr="002F6CBB">
        <w:rPr>
          <w:lang w:val="en-CA"/>
        </w:rPr>
        <w:t>collect data on the rac</w:t>
      </w:r>
      <w:r w:rsidR="00444286">
        <w:rPr>
          <w:lang w:val="en-CA"/>
        </w:rPr>
        <w:t>ial background</w:t>
      </w:r>
      <w:r w:rsidRPr="002F6CBB">
        <w:rPr>
          <w:lang w:val="en-CA"/>
        </w:rPr>
        <w:t xml:space="preserve"> of individuals who have been </w:t>
      </w:r>
      <w:r w:rsidR="00EB55BF">
        <w:rPr>
          <w:lang w:val="en-CA"/>
        </w:rPr>
        <w:t>intercepted</w:t>
      </w:r>
      <w:r w:rsidRPr="002F6CBB">
        <w:rPr>
          <w:lang w:val="en-CA"/>
        </w:rPr>
        <w:t>.</w:t>
      </w:r>
    </w:p>
    <w:p w14:paraId="51290247" w14:textId="07E72E4D" w:rsidR="00375010" w:rsidRPr="002F6CBB" w:rsidRDefault="00E13DC3" w:rsidP="003118BD">
      <w:pPr>
        <w:pStyle w:val="Paragraphe"/>
        <w:tabs>
          <w:tab w:val="clear" w:pos="567"/>
          <w:tab w:val="num" w:pos="709"/>
        </w:tabs>
        <w:rPr>
          <w:lang w:val="en-CA"/>
        </w:rPr>
      </w:pPr>
      <w:r w:rsidRPr="002F6CBB">
        <w:rPr>
          <w:lang w:val="en-CA"/>
        </w:rPr>
        <w:lastRenderedPageBreak/>
        <w:t xml:space="preserve">The Ville considers that the measures sought are not necessary because it has already implemented an action plan to counter racial profiling and improve relations between its officers and racialized persons. </w:t>
      </w:r>
    </w:p>
    <w:p w14:paraId="2D493636" w14:textId="2555205C" w:rsidR="00375010" w:rsidRPr="002F6CBB" w:rsidRDefault="00201ACE" w:rsidP="003118BD">
      <w:pPr>
        <w:pStyle w:val="Paragraphe"/>
        <w:tabs>
          <w:tab w:val="clear" w:pos="567"/>
          <w:tab w:val="num" w:pos="709"/>
        </w:tabs>
        <w:rPr>
          <w:lang w:val="en-CA"/>
        </w:rPr>
      </w:pPr>
      <w:r w:rsidRPr="006A1E77">
        <w:t xml:space="preserve">In June 2020, the Ville </w:t>
      </w:r>
      <w:proofErr w:type="spellStart"/>
      <w:r w:rsidRPr="006A1E77">
        <w:t>published</w:t>
      </w:r>
      <w:proofErr w:type="spellEnd"/>
      <w:r w:rsidRPr="006A1E77">
        <w:t xml:space="preserve"> a document </w:t>
      </w:r>
      <w:proofErr w:type="spellStart"/>
      <w:r w:rsidRPr="006A1E77">
        <w:t>titled</w:t>
      </w:r>
      <w:proofErr w:type="spellEnd"/>
      <w:r w:rsidRPr="006A1E77">
        <w:t xml:space="preserve"> </w:t>
      </w:r>
      <w:r w:rsidR="006A1E77" w:rsidRPr="00955C18">
        <w:rPr>
          <w:i/>
          <w:iCs/>
        </w:rPr>
        <w:t>Nouveau regard sur le Service de police de Laval – Comment offrir un service de proximité de qualité à l’ensemble des citoyens, sans distinction à l’égard de leurs origines ethniques ou statut social</w:t>
      </w:r>
      <w:r w:rsidR="006A1E77" w:rsidRPr="006A1E77">
        <w:rPr>
          <w:rFonts w:cs="Arial"/>
          <w:smallCaps/>
        </w:rPr>
        <w:t xml:space="preserve"> </w:t>
      </w:r>
      <w:r w:rsidR="006A1E77">
        <w:rPr>
          <w:rFonts w:cs="Arial"/>
          <w:smallCaps/>
        </w:rPr>
        <w:t>([</w:t>
      </w:r>
      <w:r w:rsidRPr="006A1E77">
        <w:rPr>
          <w:rFonts w:cs="Arial"/>
          <w:smallCaps/>
        </w:rPr>
        <w:t>translation</w:t>
      </w:r>
      <w:r w:rsidRPr="006A1E77">
        <w:rPr>
          <w:rFonts w:cs="Arial"/>
        </w:rPr>
        <w:t>]</w:t>
      </w:r>
      <w:r w:rsidRPr="006A1E77">
        <w:t xml:space="preserve"> </w:t>
      </w:r>
      <w:proofErr w:type="spellStart"/>
      <w:r w:rsidR="009D1ACC" w:rsidRPr="00CD5AEA">
        <w:rPr>
          <w:i/>
          <w:iCs/>
        </w:rPr>
        <w:t>Fresh</w:t>
      </w:r>
      <w:proofErr w:type="spellEnd"/>
      <w:r w:rsidRPr="00CD5AEA">
        <w:rPr>
          <w:i/>
          <w:iCs/>
        </w:rPr>
        <w:t xml:space="preserve"> look </w:t>
      </w:r>
      <w:r w:rsidR="009D1ACC" w:rsidRPr="00CD5AEA">
        <w:rPr>
          <w:i/>
          <w:iCs/>
        </w:rPr>
        <w:t>at</w:t>
      </w:r>
      <w:r w:rsidRPr="00CD5AEA">
        <w:rPr>
          <w:i/>
          <w:iCs/>
        </w:rPr>
        <w:t xml:space="preserve"> the </w:t>
      </w:r>
      <w:r w:rsidR="009D1ACC" w:rsidRPr="00CD5AEA">
        <w:rPr>
          <w:i/>
          <w:iCs/>
        </w:rPr>
        <w:t xml:space="preserve">Service de police de </w:t>
      </w:r>
      <w:r w:rsidRPr="00CD5AEA">
        <w:rPr>
          <w:i/>
          <w:iCs/>
        </w:rPr>
        <w:t xml:space="preserve">Laval </w:t>
      </w:r>
      <w:r w:rsidR="00FA5610" w:rsidRPr="00FA5610">
        <w:rPr>
          <w:i/>
          <w:iCs/>
        </w:rPr>
        <w:t>–</w:t>
      </w:r>
      <w:r w:rsidRPr="00CD5AEA">
        <w:rPr>
          <w:i/>
          <w:iCs/>
        </w:rPr>
        <w:t xml:space="preserve"> How to </w:t>
      </w:r>
      <w:proofErr w:type="spellStart"/>
      <w:r w:rsidRPr="00CD5AEA">
        <w:rPr>
          <w:i/>
          <w:iCs/>
        </w:rPr>
        <w:t>provide</w:t>
      </w:r>
      <w:proofErr w:type="spellEnd"/>
      <w:r w:rsidRPr="00CD5AEA">
        <w:rPr>
          <w:i/>
          <w:iCs/>
        </w:rPr>
        <w:t xml:space="preserve"> </w:t>
      </w:r>
      <w:proofErr w:type="spellStart"/>
      <w:r w:rsidRPr="00CD5AEA">
        <w:rPr>
          <w:i/>
          <w:iCs/>
        </w:rPr>
        <w:t>quality</w:t>
      </w:r>
      <w:proofErr w:type="spellEnd"/>
      <w:r w:rsidRPr="00CD5AEA">
        <w:rPr>
          <w:i/>
          <w:iCs/>
        </w:rPr>
        <w:t xml:space="preserve"> local service to all </w:t>
      </w:r>
      <w:proofErr w:type="spellStart"/>
      <w:r w:rsidRPr="00CD5AEA">
        <w:rPr>
          <w:i/>
          <w:iCs/>
        </w:rPr>
        <w:t>citizens</w:t>
      </w:r>
      <w:proofErr w:type="spellEnd"/>
      <w:r w:rsidRPr="00CD5AEA">
        <w:rPr>
          <w:i/>
          <w:iCs/>
        </w:rPr>
        <w:t xml:space="preserve"> </w:t>
      </w:r>
      <w:proofErr w:type="spellStart"/>
      <w:r w:rsidRPr="00CD5AEA">
        <w:rPr>
          <w:i/>
          <w:iCs/>
        </w:rPr>
        <w:t>regard</w:t>
      </w:r>
      <w:r w:rsidR="006D01F9" w:rsidRPr="00CD5AEA">
        <w:rPr>
          <w:i/>
          <w:iCs/>
        </w:rPr>
        <w:t>less</w:t>
      </w:r>
      <w:proofErr w:type="spellEnd"/>
      <w:r w:rsidR="006D01F9" w:rsidRPr="00CD5AEA">
        <w:rPr>
          <w:i/>
          <w:iCs/>
        </w:rPr>
        <w:t xml:space="preserve"> of</w:t>
      </w:r>
      <w:r w:rsidRPr="00CD5AEA">
        <w:rPr>
          <w:i/>
          <w:iCs/>
        </w:rPr>
        <w:t xml:space="preserve"> </w:t>
      </w:r>
      <w:proofErr w:type="spellStart"/>
      <w:r w:rsidRPr="00CD5AEA">
        <w:rPr>
          <w:i/>
          <w:iCs/>
        </w:rPr>
        <w:t>ethic</w:t>
      </w:r>
      <w:proofErr w:type="spellEnd"/>
      <w:r w:rsidRPr="00CD5AEA">
        <w:rPr>
          <w:i/>
          <w:iCs/>
        </w:rPr>
        <w:t xml:space="preserve"> </w:t>
      </w:r>
      <w:proofErr w:type="spellStart"/>
      <w:r w:rsidRPr="00CD5AEA">
        <w:rPr>
          <w:i/>
          <w:iCs/>
        </w:rPr>
        <w:t>origin</w:t>
      </w:r>
      <w:proofErr w:type="spellEnd"/>
      <w:r w:rsidRPr="00CD5AEA">
        <w:rPr>
          <w:i/>
          <w:iCs/>
        </w:rPr>
        <w:t xml:space="preserve"> or social </w:t>
      </w:r>
      <w:proofErr w:type="spellStart"/>
      <w:r w:rsidRPr="00CD5AEA">
        <w:rPr>
          <w:i/>
          <w:iCs/>
        </w:rPr>
        <w:t>status</w:t>
      </w:r>
      <w:proofErr w:type="spellEnd"/>
      <w:r w:rsidR="006A1E77">
        <w:t>)</w:t>
      </w:r>
      <w:r w:rsidRPr="006A1E77">
        <w:t>.</w:t>
      </w:r>
      <w:r w:rsidRPr="002F6CBB">
        <w:rPr>
          <w:rStyle w:val="Appelnotedebasdep"/>
          <w:szCs w:val="24"/>
          <w:lang w:val="en-CA"/>
        </w:rPr>
        <w:footnoteReference w:id="101"/>
      </w:r>
      <w:r w:rsidR="00BC67BE" w:rsidRPr="006A1E77">
        <w:t xml:space="preserve"> </w:t>
      </w:r>
      <w:r w:rsidRPr="002F6CBB">
        <w:rPr>
          <w:lang w:val="en-CA"/>
        </w:rPr>
        <w:t xml:space="preserve">It acknowledges </w:t>
      </w:r>
      <w:r w:rsidR="009D1ACC">
        <w:rPr>
          <w:lang w:val="en-CA"/>
        </w:rPr>
        <w:t xml:space="preserve">the existence of </w:t>
      </w:r>
      <w:r w:rsidRPr="002F6CBB">
        <w:rPr>
          <w:lang w:val="en-CA"/>
        </w:rPr>
        <w:t>racial profiling, its negative consequences</w:t>
      </w:r>
      <w:r w:rsidR="009D1ACC">
        <w:rPr>
          <w:lang w:val="en-CA"/>
        </w:rPr>
        <w:t>,</w:t>
      </w:r>
      <w:r w:rsidRPr="002F6CBB">
        <w:rPr>
          <w:lang w:val="en-CA"/>
        </w:rPr>
        <w:t xml:space="preserve"> and the disproportionate number of </w:t>
      </w:r>
      <w:r w:rsidR="00DE73DA">
        <w:rPr>
          <w:lang w:val="en-CA"/>
        </w:rPr>
        <w:t>interception</w:t>
      </w:r>
      <w:r w:rsidR="009D1ACC">
        <w:rPr>
          <w:lang w:val="en-CA"/>
        </w:rPr>
        <w:t xml:space="preserve"> </w:t>
      </w:r>
      <w:r w:rsidRPr="002F6CBB">
        <w:rPr>
          <w:lang w:val="en-CA"/>
        </w:rPr>
        <w:t>of people from minority groups.</w:t>
      </w:r>
      <w:r w:rsidR="00BC67BE" w:rsidRPr="002F6CBB">
        <w:rPr>
          <w:lang w:val="en-CA"/>
        </w:rPr>
        <w:t xml:space="preserve"> </w:t>
      </w:r>
      <w:r w:rsidRPr="002F6CBB">
        <w:rPr>
          <w:lang w:val="en-CA"/>
        </w:rPr>
        <w:t>It is basically a statement of principles and measures that the Ville wishes to implement.</w:t>
      </w:r>
    </w:p>
    <w:p w14:paraId="6CB175FA" w14:textId="64B5E4EE" w:rsidR="00375010" w:rsidRPr="002F6CBB" w:rsidRDefault="009D1ACC" w:rsidP="003118BD">
      <w:pPr>
        <w:pStyle w:val="Paragraphe"/>
        <w:tabs>
          <w:tab w:val="clear" w:pos="567"/>
          <w:tab w:val="num" w:pos="709"/>
        </w:tabs>
        <w:rPr>
          <w:lang w:val="en-CA"/>
        </w:rPr>
      </w:pPr>
      <w:r>
        <w:rPr>
          <w:lang w:val="en-CA"/>
        </w:rPr>
        <w:t>I</w:t>
      </w:r>
      <w:r w:rsidR="00201ACE" w:rsidRPr="002F6CBB">
        <w:rPr>
          <w:lang w:val="en-CA"/>
        </w:rPr>
        <w:t xml:space="preserve">n July 2020, the Ville launched the </w:t>
      </w:r>
      <w:r w:rsidR="007956A9">
        <w:rPr>
          <w:lang w:val="en-CA"/>
        </w:rPr>
        <w:t>“</w:t>
      </w:r>
      <w:r w:rsidR="006D01F9" w:rsidRPr="00AA10FD">
        <w:rPr>
          <w:lang w:val="en-CA"/>
        </w:rPr>
        <w:t>Grand dialogue</w:t>
      </w:r>
      <w:r w:rsidR="007956A9">
        <w:rPr>
          <w:lang w:val="en-CA"/>
        </w:rPr>
        <w:t>”</w:t>
      </w:r>
      <w:r w:rsidR="006D01F9" w:rsidRPr="002F6CBB">
        <w:rPr>
          <w:lang w:val="en-CA"/>
        </w:rPr>
        <w:t xml:space="preserve"> </w:t>
      </w:r>
      <w:r w:rsidR="006D01F9" w:rsidRPr="006A1E77">
        <w:rPr>
          <w:rFonts w:cs="Arial"/>
          <w:smallCaps/>
          <w:lang w:val="en-CA"/>
        </w:rPr>
        <w:t>([translation</w:t>
      </w:r>
      <w:r w:rsidR="006D01F9" w:rsidRPr="006A1E77">
        <w:rPr>
          <w:rFonts w:cs="Arial"/>
          <w:lang w:val="en-CA"/>
        </w:rPr>
        <w:t>]</w:t>
      </w:r>
      <w:r w:rsidR="006D01F9">
        <w:rPr>
          <w:rFonts w:cs="Arial"/>
          <w:lang w:val="en-CA"/>
        </w:rPr>
        <w:t xml:space="preserve"> “</w:t>
      </w:r>
      <w:r w:rsidR="00201ACE" w:rsidRPr="002F6CBB">
        <w:rPr>
          <w:lang w:val="en-CA"/>
        </w:rPr>
        <w:t>Great Dialogue</w:t>
      </w:r>
      <w:r w:rsidR="006D01F9">
        <w:rPr>
          <w:lang w:val="en-CA"/>
        </w:rPr>
        <w:t>”)</w:t>
      </w:r>
      <w:r w:rsidR="00201ACE" w:rsidRPr="002F6CBB">
        <w:rPr>
          <w:lang w:val="en-CA"/>
        </w:rPr>
        <w:t>, a series of citizen consultations.</w:t>
      </w:r>
      <w:r w:rsidR="00BC67BE" w:rsidRPr="002F6CBB">
        <w:rPr>
          <w:lang w:val="en-CA"/>
        </w:rPr>
        <w:t xml:space="preserve"> </w:t>
      </w:r>
      <w:r w:rsidR="00201ACE" w:rsidRPr="002F6CBB">
        <w:rPr>
          <w:lang w:val="en-CA"/>
        </w:rPr>
        <w:t xml:space="preserve">Its purpose </w:t>
      </w:r>
      <w:r>
        <w:rPr>
          <w:lang w:val="en-CA"/>
        </w:rPr>
        <w:t>wa</w:t>
      </w:r>
      <w:r w:rsidR="00201ACE" w:rsidRPr="002F6CBB">
        <w:rPr>
          <w:lang w:val="en-CA"/>
        </w:rPr>
        <w:t>s to open a dialogue with citizens to diagnose the relations</w:t>
      </w:r>
      <w:r>
        <w:rPr>
          <w:lang w:val="en-CA"/>
        </w:rPr>
        <w:t>hip</w:t>
      </w:r>
      <w:r w:rsidR="00201ACE" w:rsidRPr="002F6CBB">
        <w:rPr>
          <w:lang w:val="en-CA"/>
        </w:rPr>
        <w:t xml:space="preserve"> between the police and citizens, more specifically those from ethnocultural minorities.</w:t>
      </w:r>
    </w:p>
    <w:p w14:paraId="6F07F925" w14:textId="45F7E07E" w:rsidR="00375010" w:rsidRPr="002F6CBB" w:rsidRDefault="00201ACE" w:rsidP="003118BD">
      <w:pPr>
        <w:pStyle w:val="Paragraphe"/>
        <w:tabs>
          <w:tab w:val="clear" w:pos="567"/>
          <w:tab w:val="num" w:pos="709"/>
        </w:tabs>
        <w:rPr>
          <w:lang w:val="en-CA"/>
        </w:rPr>
      </w:pPr>
      <w:r w:rsidRPr="002F6CBB">
        <w:rPr>
          <w:lang w:val="en-CA"/>
        </w:rPr>
        <w:t>The report on this consultation with over 3,000 people was published in July</w:t>
      </w:r>
      <w:r w:rsidR="009D1ACC">
        <w:rPr>
          <w:lang w:val="en-CA"/>
        </w:rPr>
        <w:t> </w:t>
      </w:r>
      <w:r w:rsidRPr="002F6CBB">
        <w:rPr>
          <w:lang w:val="en-CA"/>
        </w:rPr>
        <w:t>2021.</w:t>
      </w:r>
      <w:r w:rsidRPr="002F6CBB">
        <w:rPr>
          <w:rStyle w:val="Appelnotedebasdep"/>
          <w:szCs w:val="24"/>
          <w:lang w:val="en-CA"/>
        </w:rPr>
        <w:footnoteReference w:id="102"/>
      </w:r>
      <w:r w:rsidR="00BC67BE" w:rsidRPr="002F6CBB">
        <w:rPr>
          <w:lang w:val="en-CA"/>
        </w:rPr>
        <w:t xml:space="preserve"> </w:t>
      </w:r>
      <w:r w:rsidRPr="002F6CBB">
        <w:rPr>
          <w:lang w:val="en-CA"/>
        </w:rPr>
        <w:t xml:space="preserve">It </w:t>
      </w:r>
      <w:r w:rsidR="009D1ACC">
        <w:rPr>
          <w:lang w:val="en-CA"/>
        </w:rPr>
        <w:t>gave rise to</w:t>
      </w:r>
      <w:r w:rsidRPr="002F6CBB">
        <w:rPr>
          <w:lang w:val="en-CA"/>
        </w:rPr>
        <w:t xml:space="preserve"> a plan to combat racial and social discrimination</w:t>
      </w:r>
      <w:r w:rsidR="009D1ACC">
        <w:rPr>
          <w:lang w:val="en-CA"/>
        </w:rPr>
        <w:t xml:space="preserve"> called</w:t>
      </w:r>
      <w:r w:rsidRPr="002F6CBB">
        <w:rPr>
          <w:lang w:val="en-CA"/>
        </w:rPr>
        <w:t xml:space="preserve"> </w:t>
      </w:r>
      <w:r w:rsidRPr="006A1E77">
        <w:rPr>
          <w:i/>
          <w:iCs/>
          <w:lang w:val="en-CA"/>
        </w:rPr>
        <w:t xml:space="preserve">Justice </w:t>
      </w:r>
      <w:r w:rsidR="009D1ACC" w:rsidRPr="006A1E77">
        <w:rPr>
          <w:i/>
          <w:iCs/>
          <w:lang w:val="en-CA"/>
        </w:rPr>
        <w:t xml:space="preserve">et </w:t>
      </w:r>
      <w:proofErr w:type="spellStart"/>
      <w:r w:rsidR="009D1ACC" w:rsidRPr="006A1E77">
        <w:rPr>
          <w:i/>
          <w:iCs/>
          <w:lang w:val="en-CA"/>
        </w:rPr>
        <w:t>équité</w:t>
      </w:r>
      <w:proofErr w:type="spellEnd"/>
      <w:r w:rsidR="006A1E77">
        <w:rPr>
          <w:i/>
          <w:iCs/>
          <w:lang w:val="en-CA"/>
        </w:rPr>
        <w:t xml:space="preserve"> </w:t>
      </w:r>
      <w:r w:rsidR="006A1E77" w:rsidRPr="006A1E77">
        <w:rPr>
          <w:rFonts w:cs="Arial"/>
          <w:smallCaps/>
          <w:lang w:val="en-CA"/>
        </w:rPr>
        <w:t>([translation</w:t>
      </w:r>
      <w:r w:rsidR="006A1E77" w:rsidRPr="006A1E77">
        <w:rPr>
          <w:rFonts w:cs="Arial"/>
          <w:lang w:val="en-CA"/>
        </w:rPr>
        <w:t>]</w:t>
      </w:r>
      <w:r w:rsidR="006A1E77">
        <w:rPr>
          <w:rFonts w:cs="Arial"/>
          <w:lang w:val="en-CA"/>
        </w:rPr>
        <w:t xml:space="preserve"> </w:t>
      </w:r>
      <w:r w:rsidR="006A1E77" w:rsidRPr="00AA10FD">
        <w:rPr>
          <w:rFonts w:cs="Arial"/>
          <w:i/>
          <w:iCs/>
          <w:lang w:val="en-CA"/>
        </w:rPr>
        <w:t>Justice and fairness</w:t>
      </w:r>
      <w:r w:rsidR="006A1E77">
        <w:rPr>
          <w:rFonts w:cs="Arial"/>
          <w:lang w:val="en-CA"/>
        </w:rPr>
        <w:t>)</w:t>
      </w:r>
      <w:r w:rsidRPr="002F6CBB">
        <w:rPr>
          <w:lang w:val="en-CA"/>
        </w:rPr>
        <w:t>, published in March 2022.</w:t>
      </w:r>
      <w:r w:rsidRPr="002F6CBB">
        <w:rPr>
          <w:rStyle w:val="Appelnotedebasdep"/>
          <w:szCs w:val="24"/>
          <w:lang w:val="en-CA"/>
        </w:rPr>
        <w:footnoteReference w:id="103"/>
      </w:r>
      <w:r w:rsidR="00BC67BE" w:rsidRPr="002F6CBB">
        <w:rPr>
          <w:lang w:val="en-CA"/>
        </w:rPr>
        <w:t xml:space="preserve"> </w:t>
      </w:r>
      <w:r w:rsidRPr="002F6CBB">
        <w:rPr>
          <w:lang w:val="en-CA"/>
        </w:rPr>
        <w:t xml:space="preserve">This plan contains an undertaking not to discriminate and is built around seven </w:t>
      </w:r>
      <w:r w:rsidR="009D1ACC">
        <w:rPr>
          <w:lang w:val="en-CA"/>
        </w:rPr>
        <w:t>measures</w:t>
      </w:r>
      <w:r w:rsidRPr="002F6CBB">
        <w:rPr>
          <w:lang w:val="en-CA"/>
        </w:rPr>
        <w:t xml:space="preserve">, including </w:t>
      </w:r>
      <w:r w:rsidR="007956A9">
        <w:rPr>
          <w:lang w:val="en-CA"/>
        </w:rPr>
        <w:t>the</w:t>
      </w:r>
      <w:r w:rsidR="009D1ACC">
        <w:rPr>
          <w:lang w:val="en-CA"/>
        </w:rPr>
        <w:t xml:space="preserve"> develop</w:t>
      </w:r>
      <w:r w:rsidR="007956A9">
        <w:rPr>
          <w:lang w:val="en-CA"/>
        </w:rPr>
        <w:t>ment</w:t>
      </w:r>
      <w:r w:rsidR="009D1ACC">
        <w:rPr>
          <w:lang w:val="en-CA"/>
        </w:rPr>
        <w:t xml:space="preserve"> </w:t>
      </w:r>
      <w:r w:rsidR="007956A9">
        <w:rPr>
          <w:lang w:val="en-CA"/>
        </w:rPr>
        <w:t xml:space="preserve">of </w:t>
      </w:r>
      <w:r w:rsidRPr="002F6CBB">
        <w:rPr>
          <w:lang w:val="en-CA"/>
        </w:rPr>
        <w:t xml:space="preserve">a directive to </w:t>
      </w:r>
      <w:r w:rsidR="009D1ACC">
        <w:rPr>
          <w:lang w:val="en-CA"/>
        </w:rPr>
        <w:t>guide</w:t>
      </w:r>
      <w:r w:rsidRPr="002F6CBB">
        <w:rPr>
          <w:lang w:val="en-CA"/>
        </w:rPr>
        <w:t xml:space="preserve"> police </w:t>
      </w:r>
      <w:r w:rsidR="00553950">
        <w:rPr>
          <w:lang w:val="en-CA"/>
        </w:rPr>
        <w:t>stop</w:t>
      </w:r>
      <w:r w:rsidRPr="002F6CBB">
        <w:rPr>
          <w:lang w:val="en-CA"/>
        </w:rPr>
        <w:t>s and train</w:t>
      </w:r>
      <w:r w:rsidR="00DE73DA">
        <w:rPr>
          <w:lang w:val="en-CA"/>
        </w:rPr>
        <w:t>ing for</w:t>
      </w:r>
      <w:r w:rsidRPr="002F6CBB">
        <w:rPr>
          <w:lang w:val="en-CA"/>
        </w:rPr>
        <w:t xml:space="preserve"> SPL staff on how to intervene and interact with the </w:t>
      </w:r>
      <w:r w:rsidR="009D1ACC">
        <w:rPr>
          <w:lang w:val="en-CA"/>
        </w:rPr>
        <w:t>different</w:t>
      </w:r>
      <w:r w:rsidRPr="002F6CBB">
        <w:rPr>
          <w:lang w:val="en-CA"/>
        </w:rPr>
        <w:t xml:space="preserve"> cultural communities.</w:t>
      </w:r>
    </w:p>
    <w:p w14:paraId="1FEDEE10" w14:textId="50C20945" w:rsidR="00375010" w:rsidRPr="002F6CBB" w:rsidRDefault="00201ACE" w:rsidP="003118BD">
      <w:pPr>
        <w:pStyle w:val="Paragraphe"/>
        <w:tabs>
          <w:tab w:val="clear" w:pos="567"/>
          <w:tab w:val="num" w:pos="709"/>
        </w:tabs>
        <w:rPr>
          <w:lang w:val="en-CA"/>
        </w:rPr>
      </w:pPr>
      <w:r w:rsidRPr="002F6CBB">
        <w:rPr>
          <w:lang w:val="en-CA"/>
        </w:rPr>
        <w:t xml:space="preserve">In accordance with the </w:t>
      </w:r>
      <w:r w:rsidR="009D1ACC" w:rsidRPr="009D1ACC">
        <w:rPr>
          <w:i/>
          <w:iCs/>
          <w:lang w:val="en-CA"/>
        </w:rPr>
        <w:t xml:space="preserve">Justice et </w:t>
      </w:r>
      <w:proofErr w:type="spellStart"/>
      <w:r w:rsidR="009D1ACC" w:rsidRPr="009D1ACC">
        <w:rPr>
          <w:i/>
          <w:iCs/>
          <w:lang w:val="en-CA"/>
        </w:rPr>
        <w:t>équité</w:t>
      </w:r>
      <w:proofErr w:type="spellEnd"/>
      <w:r w:rsidR="009D1ACC" w:rsidRPr="002F6CBB">
        <w:rPr>
          <w:lang w:val="en-CA"/>
        </w:rPr>
        <w:t xml:space="preserve"> </w:t>
      </w:r>
      <w:r w:rsidRPr="002F6CBB">
        <w:rPr>
          <w:lang w:val="en-CA"/>
        </w:rPr>
        <w:t xml:space="preserve">plan, a directive titled </w:t>
      </w:r>
      <w:r w:rsidR="009D1ACC" w:rsidRPr="006A1E77">
        <w:rPr>
          <w:i/>
          <w:iCs/>
          <w:lang w:val="en-CA"/>
        </w:rPr>
        <w:t xml:space="preserve">Interpellation </w:t>
      </w:r>
      <w:proofErr w:type="spellStart"/>
      <w:r w:rsidR="009D1ACC" w:rsidRPr="006A1E77">
        <w:rPr>
          <w:i/>
          <w:iCs/>
          <w:lang w:val="en-CA"/>
        </w:rPr>
        <w:t>policière</w:t>
      </w:r>
      <w:proofErr w:type="spellEnd"/>
      <w:r w:rsidR="009D1ACC" w:rsidRPr="006A1E77">
        <w:rPr>
          <w:i/>
          <w:iCs/>
          <w:lang w:val="en-CA"/>
        </w:rPr>
        <w:t xml:space="preserve"> et </w:t>
      </w:r>
      <w:proofErr w:type="spellStart"/>
      <w:r w:rsidR="009D1ACC" w:rsidRPr="006A1E77">
        <w:rPr>
          <w:i/>
          <w:iCs/>
          <w:lang w:val="en-CA"/>
        </w:rPr>
        <w:t>profilage</w:t>
      </w:r>
      <w:proofErr w:type="spellEnd"/>
      <w:r w:rsidRPr="002F6CBB">
        <w:rPr>
          <w:lang w:val="en-CA"/>
        </w:rPr>
        <w:t xml:space="preserve"> </w:t>
      </w:r>
      <w:r w:rsidR="006A1E77" w:rsidRPr="006A1E77">
        <w:rPr>
          <w:rFonts w:cs="Arial"/>
          <w:smallCaps/>
          <w:lang w:val="en-CA"/>
        </w:rPr>
        <w:t>([translation</w:t>
      </w:r>
      <w:r w:rsidR="006A1E77" w:rsidRPr="006A1E77">
        <w:rPr>
          <w:rFonts w:cs="Arial"/>
          <w:lang w:val="en-CA"/>
        </w:rPr>
        <w:t xml:space="preserve">] </w:t>
      </w:r>
      <w:r w:rsidR="006A1E77" w:rsidRPr="00AA10FD">
        <w:rPr>
          <w:rFonts w:cs="Arial"/>
          <w:i/>
          <w:iCs/>
          <w:lang w:val="en-CA"/>
        </w:rPr>
        <w:t>Police stops and profiling</w:t>
      </w:r>
      <w:r w:rsidR="006A1E77">
        <w:rPr>
          <w:rFonts w:cs="Arial"/>
          <w:lang w:val="en-CA"/>
        </w:rPr>
        <w:t xml:space="preserve">) </w:t>
      </w:r>
      <w:r w:rsidRPr="002F6CBB">
        <w:rPr>
          <w:lang w:val="en-CA"/>
        </w:rPr>
        <w:t>was issued in December 2022.</w:t>
      </w:r>
      <w:r w:rsidRPr="002F6CBB">
        <w:rPr>
          <w:rStyle w:val="Appelnotedebasdep"/>
          <w:szCs w:val="24"/>
          <w:lang w:val="en-CA"/>
        </w:rPr>
        <w:footnoteReference w:id="104"/>
      </w:r>
      <w:r w:rsidR="00BC67BE" w:rsidRPr="002F6CBB">
        <w:rPr>
          <w:lang w:val="en-CA"/>
        </w:rPr>
        <w:t xml:space="preserve"> </w:t>
      </w:r>
      <w:r w:rsidRPr="002F6CBB">
        <w:rPr>
          <w:lang w:val="en-CA"/>
        </w:rPr>
        <w:t xml:space="preserve">It applies to all SPL staff and </w:t>
      </w:r>
      <w:r w:rsidR="009D1ACC">
        <w:rPr>
          <w:lang w:val="en-CA"/>
        </w:rPr>
        <w:t xml:space="preserve">identifies </w:t>
      </w:r>
      <w:r w:rsidRPr="002F6CBB">
        <w:rPr>
          <w:lang w:val="en-CA"/>
        </w:rPr>
        <w:t xml:space="preserve">the difference between criminal profiling and discriminatory profiling and describes </w:t>
      </w:r>
      <w:r w:rsidR="009801B1" w:rsidRPr="002F6CBB">
        <w:rPr>
          <w:lang w:val="en-CA"/>
        </w:rPr>
        <w:t>unlawful</w:t>
      </w:r>
      <w:r w:rsidRPr="002F6CBB">
        <w:rPr>
          <w:lang w:val="en-CA"/>
        </w:rPr>
        <w:t xml:space="preserve"> profiling, in particular whe</w:t>
      </w:r>
      <w:r w:rsidR="009D1ACC">
        <w:rPr>
          <w:lang w:val="en-CA"/>
        </w:rPr>
        <w:t>re</w:t>
      </w:r>
      <w:r w:rsidRPr="002F6CBB">
        <w:rPr>
          <w:lang w:val="en-CA"/>
        </w:rPr>
        <w:t xml:space="preserve"> profiling is based on rac</w:t>
      </w:r>
      <w:r w:rsidR="009D1ACC">
        <w:rPr>
          <w:lang w:val="en-CA"/>
        </w:rPr>
        <w:t>ial background</w:t>
      </w:r>
      <w:r w:rsidRPr="002F6CBB">
        <w:rPr>
          <w:lang w:val="en-CA"/>
        </w:rPr>
        <w:t xml:space="preserve"> and ethnic, cultural, </w:t>
      </w:r>
      <w:r w:rsidR="00F35ADA">
        <w:rPr>
          <w:lang w:val="en-CA"/>
        </w:rPr>
        <w:t>or</w:t>
      </w:r>
      <w:r w:rsidRPr="002F6CBB">
        <w:rPr>
          <w:lang w:val="en-CA"/>
        </w:rPr>
        <w:t xml:space="preserve"> national origin.</w:t>
      </w:r>
      <w:r w:rsidR="00BC67BE" w:rsidRPr="002F6CBB">
        <w:rPr>
          <w:lang w:val="en-CA"/>
        </w:rPr>
        <w:t xml:space="preserve"> </w:t>
      </w:r>
      <w:r w:rsidRPr="002F6CBB">
        <w:rPr>
          <w:lang w:val="en-CA"/>
        </w:rPr>
        <w:t xml:space="preserve">It includes a </w:t>
      </w:r>
      <w:r w:rsidR="009801B1">
        <w:rPr>
          <w:lang w:val="en-CA"/>
        </w:rPr>
        <w:t xml:space="preserve">procedure </w:t>
      </w:r>
      <w:r w:rsidRPr="002F6CBB">
        <w:rPr>
          <w:lang w:val="en-CA"/>
        </w:rPr>
        <w:t>to systematically collect data on police stops.</w:t>
      </w:r>
      <w:r w:rsidR="00BC67BE" w:rsidRPr="002F6CBB">
        <w:rPr>
          <w:lang w:val="en-CA"/>
        </w:rPr>
        <w:t xml:space="preserve"> </w:t>
      </w:r>
      <w:r w:rsidRPr="002F6CBB">
        <w:rPr>
          <w:lang w:val="en-CA"/>
        </w:rPr>
        <w:t xml:space="preserve">The scope of application states that there should not be any </w:t>
      </w:r>
      <w:r w:rsidR="009801B1" w:rsidRPr="002F6CBB">
        <w:rPr>
          <w:lang w:val="en-CA"/>
        </w:rPr>
        <w:t>unlawful</w:t>
      </w:r>
      <w:r w:rsidR="009801B1">
        <w:rPr>
          <w:lang w:val="en-CA"/>
        </w:rPr>
        <w:t xml:space="preserve"> </w:t>
      </w:r>
      <w:r w:rsidRPr="002F6CBB">
        <w:rPr>
          <w:lang w:val="en-CA"/>
        </w:rPr>
        <w:t xml:space="preserve">profiling when a person is </w:t>
      </w:r>
      <w:r w:rsidR="00247AB8">
        <w:rPr>
          <w:lang w:val="en-CA"/>
        </w:rPr>
        <w:t>stopped on the road</w:t>
      </w:r>
      <w:r w:rsidRPr="002F6CBB">
        <w:rPr>
          <w:lang w:val="en-CA"/>
        </w:rPr>
        <w:t xml:space="preserve"> or </w:t>
      </w:r>
      <w:r w:rsidR="00DE73DA">
        <w:rPr>
          <w:lang w:val="en-CA"/>
        </w:rPr>
        <w:t>intercepted</w:t>
      </w:r>
      <w:r w:rsidRPr="002F6CBB">
        <w:rPr>
          <w:lang w:val="en-CA"/>
        </w:rPr>
        <w:t>.</w:t>
      </w:r>
      <w:r w:rsidR="00BC67BE" w:rsidRPr="002F6CBB">
        <w:rPr>
          <w:lang w:val="en-CA"/>
        </w:rPr>
        <w:t xml:space="preserve"> </w:t>
      </w:r>
      <w:r w:rsidRPr="002F6CBB">
        <w:rPr>
          <w:lang w:val="en-CA"/>
        </w:rPr>
        <w:t xml:space="preserve">However, the </w:t>
      </w:r>
      <w:r w:rsidR="00553950">
        <w:rPr>
          <w:lang w:val="en-CA"/>
        </w:rPr>
        <w:t xml:space="preserve">entire </w:t>
      </w:r>
      <w:r w:rsidRPr="002F6CBB">
        <w:rPr>
          <w:lang w:val="en-CA"/>
        </w:rPr>
        <w:t xml:space="preserve">directive, </w:t>
      </w:r>
      <w:r w:rsidR="009801B1">
        <w:rPr>
          <w:lang w:val="en-CA"/>
        </w:rPr>
        <w:t xml:space="preserve">whether </w:t>
      </w:r>
      <w:r w:rsidRPr="002F6CBB">
        <w:rPr>
          <w:lang w:val="en-CA"/>
        </w:rPr>
        <w:t xml:space="preserve">in its guiding principles or practices, </w:t>
      </w:r>
      <w:r w:rsidRPr="002F6CBB">
        <w:rPr>
          <w:lang w:val="en-CA"/>
        </w:rPr>
        <w:lastRenderedPageBreak/>
        <w:t>mention</w:t>
      </w:r>
      <w:r w:rsidR="00553950">
        <w:rPr>
          <w:lang w:val="en-CA"/>
        </w:rPr>
        <w:t>s</w:t>
      </w:r>
      <w:r w:rsidRPr="002F6CBB">
        <w:rPr>
          <w:lang w:val="en-CA"/>
        </w:rPr>
        <w:t xml:space="preserve"> </w:t>
      </w:r>
      <w:r w:rsidR="00207295">
        <w:rPr>
          <w:lang w:val="en-CA"/>
        </w:rPr>
        <w:t xml:space="preserve">only </w:t>
      </w:r>
      <w:r w:rsidR="00AA10FD">
        <w:rPr>
          <w:lang w:val="en-CA"/>
        </w:rPr>
        <w:t xml:space="preserve">informational </w:t>
      </w:r>
      <w:r w:rsidR="002E6408">
        <w:rPr>
          <w:lang w:val="en-CA"/>
        </w:rPr>
        <w:t>stops</w:t>
      </w:r>
      <w:r w:rsidRPr="002F6CBB">
        <w:rPr>
          <w:lang w:val="en-CA"/>
        </w:rPr>
        <w:t>.</w:t>
      </w:r>
      <w:r w:rsidR="00BC67BE" w:rsidRPr="002F6CBB">
        <w:rPr>
          <w:lang w:val="en-CA"/>
        </w:rPr>
        <w:t xml:space="preserve"> </w:t>
      </w:r>
      <w:r w:rsidRPr="002F6CBB">
        <w:rPr>
          <w:lang w:val="en-CA"/>
        </w:rPr>
        <w:t xml:space="preserve">It should be noted that it replaced a </w:t>
      </w:r>
      <w:r w:rsidR="009801B1">
        <w:rPr>
          <w:lang w:val="en-CA"/>
        </w:rPr>
        <w:t xml:space="preserve">2008 </w:t>
      </w:r>
      <w:r w:rsidRPr="002F6CBB">
        <w:rPr>
          <w:lang w:val="en-CA"/>
        </w:rPr>
        <w:t>intervention policy on the subject.</w:t>
      </w:r>
      <w:r w:rsidRPr="002F6CBB">
        <w:rPr>
          <w:rStyle w:val="Appelnotedebasdep"/>
          <w:szCs w:val="24"/>
          <w:lang w:val="en-CA"/>
        </w:rPr>
        <w:footnoteReference w:id="105"/>
      </w:r>
    </w:p>
    <w:p w14:paraId="05D2ABC4" w14:textId="49883EE5" w:rsidR="00375010" w:rsidRPr="002F6CBB" w:rsidRDefault="00201ACE" w:rsidP="003118BD">
      <w:pPr>
        <w:pStyle w:val="Paragraphe"/>
        <w:tabs>
          <w:tab w:val="clear" w:pos="567"/>
          <w:tab w:val="num" w:pos="709"/>
        </w:tabs>
        <w:rPr>
          <w:lang w:val="en-CA"/>
        </w:rPr>
      </w:pPr>
      <w:r w:rsidRPr="002F6CBB">
        <w:rPr>
          <w:lang w:val="en-CA"/>
        </w:rPr>
        <w:t xml:space="preserve">Since April 2022, a four-hour training on the </w:t>
      </w:r>
      <w:proofErr w:type="spellStart"/>
      <w:r w:rsidR="006A1E77" w:rsidRPr="006A1E77">
        <w:rPr>
          <w:i/>
          <w:iCs/>
          <w:lang w:val="en-CA"/>
        </w:rPr>
        <w:t>Chartes</w:t>
      </w:r>
      <w:proofErr w:type="spellEnd"/>
      <w:r w:rsidR="006A1E77" w:rsidRPr="006A1E77">
        <w:rPr>
          <w:i/>
          <w:iCs/>
          <w:lang w:val="en-CA"/>
        </w:rPr>
        <w:t xml:space="preserve"> des droits et </w:t>
      </w:r>
      <w:proofErr w:type="spellStart"/>
      <w:r w:rsidR="006A1E77" w:rsidRPr="006A1E77">
        <w:rPr>
          <w:i/>
          <w:iCs/>
          <w:lang w:val="en-CA"/>
        </w:rPr>
        <w:t>libertés</w:t>
      </w:r>
      <w:proofErr w:type="spellEnd"/>
      <w:r w:rsidR="006A1E77" w:rsidRPr="006A1E77">
        <w:rPr>
          <w:i/>
          <w:iCs/>
          <w:lang w:val="en-CA"/>
        </w:rPr>
        <w:t xml:space="preserve"> de la personne et travail </w:t>
      </w:r>
      <w:proofErr w:type="spellStart"/>
      <w:r w:rsidR="006A1E77" w:rsidRPr="006A1E77">
        <w:rPr>
          <w:i/>
          <w:iCs/>
          <w:lang w:val="en-CA"/>
        </w:rPr>
        <w:t>policier</w:t>
      </w:r>
      <w:proofErr w:type="spellEnd"/>
      <w:r w:rsidR="006A1E77" w:rsidRPr="006A1E77">
        <w:rPr>
          <w:lang w:val="en-CA"/>
        </w:rPr>
        <w:t xml:space="preserve"> </w:t>
      </w:r>
      <w:r w:rsidR="006A1E77">
        <w:rPr>
          <w:lang w:val="en-CA"/>
        </w:rPr>
        <w:t>(</w:t>
      </w:r>
      <w:r w:rsidR="00B85DC7">
        <w:rPr>
          <w:rFonts w:cs="Arial"/>
          <w:lang w:val="en-CA"/>
        </w:rPr>
        <w:t>[</w:t>
      </w:r>
      <w:r w:rsidR="00B85DC7">
        <w:rPr>
          <w:rFonts w:cs="Arial"/>
          <w:smallCaps/>
          <w:lang w:val="en-CA"/>
        </w:rPr>
        <w:t>translation</w:t>
      </w:r>
      <w:r w:rsidR="00B85DC7">
        <w:rPr>
          <w:rFonts w:cs="Arial"/>
          <w:lang w:val="en-CA"/>
        </w:rPr>
        <w:t xml:space="preserve">] </w:t>
      </w:r>
      <w:r w:rsidRPr="006A1E77">
        <w:rPr>
          <w:i/>
          <w:lang w:val="en-CA"/>
        </w:rPr>
        <w:t>Charter</w:t>
      </w:r>
      <w:r w:rsidR="00CE5B09">
        <w:rPr>
          <w:i/>
          <w:lang w:val="en-CA"/>
        </w:rPr>
        <w:t>s</w:t>
      </w:r>
      <w:r w:rsidRPr="006A1E77">
        <w:rPr>
          <w:i/>
          <w:lang w:val="en-CA"/>
        </w:rPr>
        <w:t xml:space="preserve"> of human rights and freedoms and police work</w:t>
      </w:r>
      <w:r w:rsidR="006A1E77" w:rsidRPr="006A1E77">
        <w:rPr>
          <w:iCs/>
          <w:lang w:val="en-CA"/>
        </w:rPr>
        <w:t>)</w:t>
      </w:r>
      <w:r w:rsidRPr="002F6CBB">
        <w:rPr>
          <w:lang w:val="en-CA"/>
        </w:rPr>
        <w:t xml:space="preserve"> is </w:t>
      </w:r>
      <w:r w:rsidR="009801B1">
        <w:rPr>
          <w:lang w:val="en-CA"/>
        </w:rPr>
        <w:t xml:space="preserve">being offered </w:t>
      </w:r>
      <w:r w:rsidRPr="002F6CBB">
        <w:rPr>
          <w:lang w:val="en-CA"/>
        </w:rPr>
        <w:t>by the Ville’s legal affairs department.</w:t>
      </w:r>
      <w:r w:rsidR="00BC67BE" w:rsidRPr="002F6CBB">
        <w:rPr>
          <w:lang w:val="en-CA"/>
        </w:rPr>
        <w:t xml:space="preserve"> </w:t>
      </w:r>
      <w:r w:rsidRPr="002F6CBB">
        <w:rPr>
          <w:lang w:val="en-CA"/>
        </w:rPr>
        <w:t xml:space="preserve">Every </w:t>
      </w:r>
      <w:r w:rsidR="009801B1">
        <w:rPr>
          <w:lang w:val="en-CA"/>
        </w:rPr>
        <w:t xml:space="preserve">employed </w:t>
      </w:r>
      <w:r w:rsidRPr="002F6CBB">
        <w:rPr>
          <w:lang w:val="en-CA"/>
        </w:rPr>
        <w:t>officer ha</w:t>
      </w:r>
      <w:r w:rsidR="009801B1">
        <w:rPr>
          <w:lang w:val="en-CA"/>
        </w:rPr>
        <w:t>d</w:t>
      </w:r>
      <w:r w:rsidRPr="002F6CBB">
        <w:rPr>
          <w:lang w:val="en-CA"/>
        </w:rPr>
        <w:t xml:space="preserve"> to take it</w:t>
      </w:r>
      <w:r w:rsidR="00FB45CB">
        <w:rPr>
          <w:lang w:val="en-CA"/>
        </w:rPr>
        <w:t>,</w:t>
      </w:r>
      <w:r w:rsidRPr="002F6CBB">
        <w:rPr>
          <w:lang w:val="en-CA"/>
        </w:rPr>
        <w:t xml:space="preserve"> as </w:t>
      </w:r>
      <w:r w:rsidR="00FB45CB">
        <w:rPr>
          <w:lang w:val="en-CA"/>
        </w:rPr>
        <w:t xml:space="preserve">will </w:t>
      </w:r>
      <w:r w:rsidRPr="002F6CBB">
        <w:rPr>
          <w:lang w:val="en-CA"/>
        </w:rPr>
        <w:t>each new recruit.</w:t>
      </w:r>
    </w:p>
    <w:p w14:paraId="7E142A68" w14:textId="0C82A205" w:rsidR="00375010" w:rsidRPr="002F6CBB" w:rsidRDefault="00201ACE" w:rsidP="003118BD">
      <w:pPr>
        <w:pStyle w:val="Paragraphe"/>
        <w:tabs>
          <w:tab w:val="clear" w:pos="567"/>
          <w:tab w:val="num" w:pos="709"/>
        </w:tabs>
        <w:rPr>
          <w:lang w:val="en-CA"/>
        </w:rPr>
      </w:pPr>
      <w:r w:rsidRPr="002F6CBB">
        <w:rPr>
          <w:lang w:val="en-CA"/>
        </w:rPr>
        <w:t>The Ville is also working with other organizations to develop video</w:t>
      </w:r>
      <w:r w:rsidR="009801B1">
        <w:rPr>
          <w:lang w:val="en-CA"/>
        </w:rPr>
        <w:t>s</w:t>
      </w:r>
      <w:r w:rsidRPr="002F6CBB">
        <w:rPr>
          <w:lang w:val="en-CA"/>
        </w:rPr>
        <w:t xml:space="preserve"> on unlawful profiling.</w:t>
      </w:r>
      <w:r w:rsidR="00BC67BE" w:rsidRPr="002F6CBB">
        <w:rPr>
          <w:lang w:val="en-CA"/>
        </w:rPr>
        <w:t xml:space="preserve"> </w:t>
      </w:r>
      <w:r w:rsidRPr="002F6CBB">
        <w:rPr>
          <w:lang w:val="en-CA"/>
        </w:rPr>
        <w:t>Th</w:t>
      </w:r>
      <w:r w:rsidR="009801B1">
        <w:rPr>
          <w:lang w:val="en-CA"/>
        </w:rPr>
        <w:t>e</w:t>
      </w:r>
      <w:r w:rsidRPr="002F6CBB">
        <w:rPr>
          <w:lang w:val="en-CA"/>
        </w:rPr>
        <w:t xml:space="preserve"> </w:t>
      </w:r>
      <w:r w:rsidR="009801B1">
        <w:rPr>
          <w:lang w:val="en-CA"/>
        </w:rPr>
        <w:t xml:space="preserve">videos </w:t>
      </w:r>
      <w:r w:rsidRPr="002F6CBB">
        <w:rPr>
          <w:lang w:val="en-CA"/>
        </w:rPr>
        <w:t>will be available in approximately two years.</w:t>
      </w:r>
    </w:p>
    <w:p w14:paraId="66ABDE6D" w14:textId="0C6FE5FE" w:rsidR="00375010" w:rsidRPr="002F6CBB" w:rsidRDefault="00201ACE" w:rsidP="003118BD">
      <w:pPr>
        <w:pStyle w:val="Paragraphe"/>
        <w:tabs>
          <w:tab w:val="clear" w:pos="567"/>
          <w:tab w:val="num" w:pos="709"/>
        </w:tabs>
        <w:rPr>
          <w:lang w:val="en-CA"/>
        </w:rPr>
      </w:pPr>
      <w:r w:rsidRPr="002F6CBB">
        <w:rPr>
          <w:lang w:val="en-CA"/>
        </w:rPr>
        <w:t xml:space="preserve">From all of the above, the Tribunal </w:t>
      </w:r>
      <w:r w:rsidR="009801B1">
        <w:rPr>
          <w:lang w:val="en-CA"/>
        </w:rPr>
        <w:t xml:space="preserve">finds </w:t>
      </w:r>
      <w:r w:rsidRPr="002F6CBB">
        <w:rPr>
          <w:lang w:val="en-CA"/>
        </w:rPr>
        <w:t>that the Ville acknowledges the seriousness of racial profiling in police interventions and has taken reasonable steps to counter it.</w:t>
      </w:r>
    </w:p>
    <w:p w14:paraId="6A80E52B" w14:textId="1190698F" w:rsidR="00375010" w:rsidRPr="002F6CBB" w:rsidRDefault="00201ACE" w:rsidP="003118BD">
      <w:pPr>
        <w:pStyle w:val="Paragraphe"/>
        <w:tabs>
          <w:tab w:val="clear" w:pos="567"/>
          <w:tab w:val="num" w:pos="709"/>
        </w:tabs>
        <w:rPr>
          <w:lang w:val="en-CA"/>
        </w:rPr>
      </w:pPr>
      <w:r w:rsidRPr="002F6CBB">
        <w:rPr>
          <w:lang w:val="en-CA"/>
        </w:rPr>
        <w:t>By examining the measures taken by the Ville and those sought by the CDPDJ</w:t>
      </w:r>
      <w:r w:rsidR="00B85DC7" w:rsidRPr="00B85DC7">
        <w:rPr>
          <w:lang w:val="en-CA"/>
        </w:rPr>
        <w:t xml:space="preserve"> </w:t>
      </w:r>
      <w:r w:rsidR="00B85DC7" w:rsidRPr="002F6CBB">
        <w:rPr>
          <w:lang w:val="en-CA"/>
        </w:rPr>
        <w:t>side by side</w:t>
      </w:r>
      <w:r w:rsidRPr="002F6CBB">
        <w:rPr>
          <w:lang w:val="en-CA"/>
        </w:rPr>
        <w:t xml:space="preserve">, the Tribunal observes that they are not all </w:t>
      </w:r>
      <w:r w:rsidR="009801B1">
        <w:rPr>
          <w:lang w:val="en-CA"/>
        </w:rPr>
        <w:t xml:space="preserve">the same </w:t>
      </w:r>
      <w:r w:rsidRPr="002F6CBB">
        <w:rPr>
          <w:lang w:val="en-CA"/>
        </w:rPr>
        <w:t xml:space="preserve">and that it is necessary and justified to render certain orders as </w:t>
      </w:r>
      <w:r w:rsidR="00B85DC7" w:rsidRPr="002F6CBB">
        <w:rPr>
          <w:lang w:val="en-CA"/>
        </w:rPr>
        <w:t xml:space="preserve">measures </w:t>
      </w:r>
      <w:r w:rsidR="00B85DC7">
        <w:rPr>
          <w:lang w:val="en-CA"/>
        </w:rPr>
        <w:t xml:space="preserve">of </w:t>
      </w:r>
      <w:r w:rsidRPr="002F6CBB">
        <w:rPr>
          <w:lang w:val="en-CA"/>
        </w:rPr>
        <w:t>redress.</w:t>
      </w:r>
    </w:p>
    <w:p w14:paraId="6DE4A033" w14:textId="031B3A0E" w:rsidR="00375010" w:rsidRPr="002F6CBB" w:rsidRDefault="00201ACE" w:rsidP="006F0FD9">
      <w:pPr>
        <w:pStyle w:val="Paragraphe"/>
        <w:tabs>
          <w:tab w:val="clear" w:pos="567"/>
          <w:tab w:val="num" w:pos="709"/>
        </w:tabs>
        <w:rPr>
          <w:lang w:val="en-CA"/>
        </w:rPr>
      </w:pPr>
      <w:r w:rsidRPr="002F6CBB">
        <w:rPr>
          <w:lang w:val="en-CA"/>
        </w:rPr>
        <w:t xml:space="preserve">First, with respect to the request to </w:t>
      </w:r>
      <w:r w:rsidR="00B85DC7">
        <w:rPr>
          <w:lang w:val="en-CA"/>
        </w:rPr>
        <w:t>draft</w:t>
      </w:r>
      <w:r w:rsidRPr="002F6CBB">
        <w:rPr>
          <w:lang w:val="en-CA"/>
        </w:rPr>
        <w:t xml:space="preserve"> a policy, the Tribunal </w:t>
      </w:r>
      <w:r w:rsidR="00B85DC7">
        <w:rPr>
          <w:lang w:val="en-CA"/>
        </w:rPr>
        <w:t xml:space="preserve">finds </w:t>
      </w:r>
      <w:r w:rsidRPr="002F6CBB">
        <w:rPr>
          <w:lang w:val="en-CA"/>
        </w:rPr>
        <w:t>that the directive</w:t>
      </w:r>
      <w:r w:rsidR="00B85DC7" w:rsidRPr="00B85DC7">
        <w:rPr>
          <w:i/>
          <w:iCs/>
          <w:lang w:val="en-CA"/>
        </w:rPr>
        <w:t xml:space="preserve"> </w:t>
      </w:r>
      <w:r w:rsidR="00B85DC7" w:rsidRPr="006A1E77">
        <w:rPr>
          <w:i/>
          <w:iCs/>
          <w:lang w:val="en-CA"/>
        </w:rPr>
        <w:t xml:space="preserve">Interpellation </w:t>
      </w:r>
      <w:proofErr w:type="spellStart"/>
      <w:r w:rsidR="00B85DC7" w:rsidRPr="006A1E77">
        <w:rPr>
          <w:i/>
          <w:iCs/>
          <w:lang w:val="en-CA"/>
        </w:rPr>
        <w:t>policière</w:t>
      </w:r>
      <w:proofErr w:type="spellEnd"/>
      <w:r w:rsidR="00B85DC7" w:rsidRPr="006A1E77">
        <w:rPr>
          <w:i/>
          <w:iCs/>
          <w:lang w:val="en-CA"/>
        </w:rPr>
        <w:t xml:space="preserve"> et </w:t>
      </w:r>
      <w:proofErr w:type="spellStart"/>
      <w:r w:rsidR="00B85DC7" w:rsidRPr="006A1E77">
        <w:rPr>
          <w:i/>
          <w:iCs/>
          <w:lang w:val="en-CA"/>
        </w:rPr>
        <w:t>profilage</w:t>
      </w:r>
      <w:proofErr w:type="spellEnd"/>
      <w:r w:rsidRPr="002F6CBB">
        <w:rPr>
          <w:lang w:val="en-CA"/>
        </w:rPr>
        <w:t xml:space="preserve">, which can be characterized as a policy, </w:t>
      </w:r>
      <w:r w:rsidR="00553950">
        <w:rPr>
          <w:lang w:val="en-CA"/>
        </w:rPr>
        <w:t xml:space="preserve">concerns </w:t>
      </w:r>
      <w:r w:rsidRPr="002F6CBB">
        <w:rPr>
          <w:lang w:val="en-CA"/>
        </w:rPr>
        <w:t xml:space="preserve">only </w:t>
      </w:r>
      <w:r w:rsidR="00247AB8">
        <w:rPr>
          <w:lang w:val="en-CA"/>
        </w:rPr>
        <w:t xml:space="preserve">informational </w:t>
      </w:r>
      <w:r w:rsidR="00553950">
        <w:rPr>
          <w:lang w:val="en-CA"/>
        </w:rPr>
        <w:t>stops</w:t>
      </w:r>
      <w:r w:rsidR="00B85DC7">
        <w:rPr>
          <w:lang w:val="en-CA"/>
        </w:rPr>
        <w:t xml:space="preserve">, not </w:t>
      </w:r>
      <w:r w:rsidR="00DE73DA">
        <w:rPr>
          <w:lang w:val="en-CA"/>
        </w:rPr>
        <w:t>interception</w:t>
      </w:r>
      <w:r w:rsidRPr="002F6CBB">
        <w:rPr>
          <w:lang w:val="en-CA"/>
        </w:rPr>
        <w:t xml:space="preserve">, two different concepts from </w:t>
      </w:r>
      <w:r w:rsidR="00B85DC7" w:rsidRPr="002F6CBB">
        <w:rPr>
          <w:lang w:val="en-CA"/>
        </w:rPr>
        <w:t xml:space="preserve">both </w:t>
      </w:r>
      <w:r w:rsidRPr="002F6CBB">
        <w:rPr>
          <w:lang w:val="en-CA"/>
        </w:rPr>
        <w:t>a legal and a factual perspective.</w:t>
      </w:r>
      <w:r w:rsidR="00BC67BE" w:rsidRPr="002F6CBB">
        <w:rPr>
          <w:lang w:val="en-CA"/>
        </w:rPr>
        <w:t xml:space="preserve"> </w:t>
      </w:r>
      <w:r w:rsidRPr="002F6CBB">
        <w:rPr>
          <w:lang w:val="en-CA"/>
        </w:rPr>
        <w:t>Thus, the directive does not apply to the case of Mr.</w:t>
      </w:r>
      <w:r w:rsidR="00837B9F">
        <w:rPr>
          <w:lang w:val="en-CA"/>
        </w:rPr>
        <w:t> </w:t>
      </w:r>
      <w:r w:rsidRPr="002F6CBB">
        <w:rPr>
          <w:lang w:val="en-CA"/>
        </w:rPr>
        <w:t xml:space="preserve">Woodley, who was </w:t>
      </w:r>
      <w:r w:rsidR="00EB55BF">
        <w:rPr>
          <w:lang w:val="en-CA"/>
        </w:rPr>
        <w:t>intercepted</w:t>
      </w:r>
      <w:r w:rsidRPr="002F6CBB">
        <w:rPr>
          <w:lang w:val="en-CA"/>
        </w:rPr>
        <w:t>.</w:t>
      </w:r>
      <w:r w:rsidR="00BC67BE" w:rsidRPr="002F6CBB">
        <w:rPr>
          <w:lang w:val="en-CA"/>
        </w:rPr>
        <w:t xml:space="preserve"> </w:t>
      </w:r>
      <w:r w:rsidRPr="002F6CBB">
        <w:rPr>
          <w:lang w:val="en-CA"/>
        </w:rPr>
        <w:t xml:space="preserve">As discussed above, </w:t>
      </w:r>
      <w:r w:rsidR="00DE73DA">
        <w:rPr>
          <w:lang w:val="en-CA"/>
        </w:rPr>
        <w:t xml:space="preserve">interceptions </w:t>
      </w:r>
      <w:r w:rsidRPr="002F6CBB">
        <w:rPr>
          <w:lang w:val="en-CA"/>
        </w:rPr>
        <w:t>are an intrinsic part of racial profiling.</w:t>
      </w:r>
      <w:r w:rsidR="00BC67BE" w:rsidRPr="002F6CBB">
        <w:rPr>
          <w:lang w:val="en-CA"/>
        </w:rPr>
        <w:t xml:space="preserve"> </w:t>
      </w:r>
      <w:r w:rsidRPr="002F6CBB">
        <w:rPr>
          <w:lang w:val="en-CA"/>
        </w:rPr>
        <w:t xml:space="preserve">This directive should be revised to also apply to </w:t>
      </w:r>
      <w:r w:rsidR="00DE73DA">
        <w:rPr>
          <w:lang w:val="en-CA"/>
        </w:rPr>
        <w:t>interceptions</w:t>
      </w:r>
      <w:r w:rsidRPr="002F6CBB">
        <w:rPr>
          <w:lang w:val="en-CA"/>
        </w:rPr>
        <w:t>.</w:t>
      </w:r>
    </w:p>
    <w:p w14:paraId="76E2AED9" w14:textId="046304C9" w:rsidR="00375010" w:rsidRPr="002F6CBB" w:rsidRDefault="00201ACE" w:rsidP="006F0FD9">
      <w:pPr>
        <w:pStyle w:val="Paragraphe"/>
        <w:tabs>
          <w:tab w:val="clear" w:pos="567"/>
          <w:tab w:val="num" w:pos="709"/>
        </w:tabs>
        <w:rPr>
          <w:lang w:val="en-CA"/>
        </w:rPr>
      </w:pPr>
      <w:r w:rsidRPr="00215E00">
        <w:rPr>
          <w:lang w:val="en-CA"/>
        </w:rPr>
        <w:t>Next</w:t>
      </w:r>
      <w:r w:rsidRPr="002F6CBB">
        <w:rPr>
          <w:lang w:val="en-CA"/>
        </w:rPr>
        <w:t xml:space="preserve">, </w:t>
      </w:r>
      <w:r w:rsidR="00AA10FD">
        <w:rPr>
          <w:lang w:val="en-CA"/>
        </w:rPr>
        <w:t xml:space="preserve">with respect to training, </w:t>
      </w:r>
      <w:r w:rsidRPr="002F6CBB">
        <w:rPr>
          <w:lang w:val="en-CA"/>
        </w:rPr>
        <w:t xml:space="preserve">after reading the presentation </w:t>
      </w:r>
      <w:proofErr w:type="spellStart"/>
      <w:r w:rsidR="006A1E77" w:rsidRPr="006A1E77">
        <w:rPr>
          <w:i/>
          <w:iCs/>
          <w:lang w:val="en-CA"/>
        </w:rPr>
        <w:t>Chartes</w:t>
      </w:r>
      <w:proofErr w:type="spellEnd"/>
      <w:r w:rsidR="006A1E77" w:rsidRPr="006A1E77">
        <w:rPr>
          <w:i/>
          <w:iCs/>
          <w:lang w:val="en-CA"/>
        </w:rPr>
        <w:t xml:space="preserve"> des droits et </w:t>
      </w:r>
      <w:proofErr w:type="spellStart"/>
      <w:r w:rsidR="006A1E77" w:rsidRPr="006A1E77">
        <w:rPr>
          <w:i/>
          <w:iCs/>
          <w:lang w:val="en-CA"/>
        </w:rPr>
        <w:t>libertés</w:t>
      </w:r>
      <w:proofErr w:type="spellEnd"/>
      <w:r w:rsidR="006A1E77" w:rsidRPr="006A1E77">
        <w:rPr>
          <w:i/>
          <w:iCs/>
          <w:lang w:val="en-CA"/>
        </w:rPr>
        <w:t xml:space="preserve"> de la personne et travail </w:t>
      </w:r>
      <w:proofErr w:type="spellStart"/>
      <w:r w:rsidR="006A1E77" w:rsidRPr="006A1E77">
        <w:rPr>
          <w:i/>
          <w:iCs/>
          <w:lang w:val="en-CA"/>
        </w:rPr>
        <w:t>policier</w:t>
      </w:r>
      <w:proofErr w:type="spellEnd"/>
      <w:r w:rsidRPr="002F6CBB">
        <w:rPr>
          <w:lang w:val="en-CA"/>
        </w:rPr>
        <w:t xml:space="preserve">, the Tribunal notes that its content </w:t>
      </w:r>
      <w:r w:rsidR="00B85DC7">
        <w:rPr>
          <w:lang w:val="en-CA"/>
        </w:rPr>
        <w:t>corresponds to</w:t>
      </w:r>
      <w:r w:rsidRPr="002F6CBB">
        <w:rPr>
          <w:lang w:val="en-CA"/>
        </w:rPr>
        <w:t xml:space="preserve"> what the CDPDJ is asking</w:t>
      </w:r>
      <w:r w:rsidR="00215E00">
        <w:rPr>
          <w:lang w:val="en-CA"/>
        </w:rPr>
        <w:t xml:space="preserve"> for</w:t>
      </w:r>
      <w:r w:rsidRPr="002F6CBB">
        <w:rPr>
          <w:lang w:val="en-CA"/>
        </w:rPr>
        <w:t xml:space="preserve">. Its content is appropriate and consistent with the </w:t>
      </w:r>
      <w:r w:rsidR="00B85DC7">
        <w:rPr>
          <w:lang w:val="en-CA"/>
        </w:rPr>
        <w:t xml:space="preserve">teachings in the </w:t>
      </w:r>
      <w:r w:rsidRPr="002F6CBB">
        <w:rPr>
          <w:lang w:val="en-CA"/>
        </w:rPr>
        <w:t>case law.</w:t>
      </w:r>
      <w:r w:rsidR="00BC67BE" w:rsidRPr="002F6CBB">
        <w:rPr>
          <w:lang w:val="en-CA"/>
        </w:rPr>
        <w:t xml:space="preserve"> </w:t>
      </w:r>
      <w:r w:rsidRPr="002F6CBB">
        <w:rPr>
          <w:lang w:val="en-CA"/>
        </w:rPr>
        <w:t xml:space="preserve">However, this training is not repeated once it has been </w:t>
      </w:r>
      <w:r w:rsidR="00B85DC7">
        <w:rPr>
          <w:lang w:val="en-CA"/>
        </w:rPr>
        <w:t>completed</w:t>
      </w:r>
      <w:r w:rsidRPr="002F6CBB">
        <w:rPr>
          <w:lang w:val="en-CA"/>
        </w:rPr>
        <w:t>.</w:t>
      </w:r>
      <w:r w:rsidR="00BC67BE" w:rsidRPr="002F6CBB">
        <w:rPr>
          <w:lang w:val="en-CA"/>
        </w:rPr>
        <w:t xml:space="preserve"> </w:t>
      </w:r>
      <w:r w:rsidRPr="002F6CBB">
        <w:rPr>
          <w:lang w:val="en-CA"/>
        </w:rPr>
        <w:t xml:space="preserve">This is important because Officers </w:t>
      </w:r>
      <w:proofErr w:type="spellStart"/>
      <w:r w:rsidRPr="002F6CBB">
        <w:rPr>
          <w:lang w:val="en-CA"/>
        </w:rPr>
        <w:t>Beaulac</w:t>
      </w:r>
      <w:proofErr w:type="spellEnd"/>
      <w:r w:rsidRPr="002F6CBB">
        <w:rPr>
          <w:lang w:val="en-CA"/>
        </w:rPr>
        <w:t xml:space="preserve"> and Lamothe both </w:t>
      </w:r>
      <w:r w:rsidR="00B85DC7">
        <w:rPr>
          <w:lang w:val="en-CA"/>
        </w:rPr>
        <w:t xml:space="preserve">completed </w:t>
      </w:r>
      <w:r w:rsidRPr="002F6CBB">
        <w:rPr>
          <w:lang w:val="en-CA"/>
        </w:rPr>
        <w:t xml:space="preserve">this training, but Officer </w:t>
      </w:r>
      <w:proofErr w:type="spellStart"/>
      <w:r w:rsidRPr="002F6CBB">
        <w:rPr>
          <w:lang w:val="en-CA"/>
        </w:rPr>
        <w:t>Beaulac</w:t>
      </w:r>
      <w:proofErr w:type="spellEnd"/>
      <w:r w:rsidRPr="002F6CBB">
        <w:rPr>
          <w:lang w:val="en-CA"/>
        </w:rPr>
        <w:t xml:space="preserve"> testified that she ha</w:t>
      </w:r>
      <w:r w:rsidR="00B85DC7">
        <w:rPr>
          <w:lang w:val="en-CA"/>
        </w:rPr>
        <w:t>s</w:t>
      </w:r>
      <w:r w:rsidRPr="002F6CBB">
        <w:rPr>
          <w:lang w:val="en-CA"/>
        </w:rPr>
        <w:t xml:space="preserve"> no particular memory of it.</w:t>
      </w:r>
      <w:r w:rsidR="00BC67BE" w:rsidRPr="002F6CBB">
        <w:rPr>
          <w:lang w:val="en-CA"/>
        </w:rPr>
        <w:t xml:space="preserve"> </w:t>
      </w:r>
      <w:r w:rsidRPr="002F6CBB">
        <w:rPr>
          <w:lang w:val="en-CA"/>
        </w:rPr>
        <w:t xml:space="preserve">Officers should redo </w:t>
      </w:r>
      <w:r w:rsidR="00B85DC7">
        <w:rPr>
          <w:lang w:val="en-CA"/>
        </w:rPr>
        <w:t>an updated</w:t>
      </w:r>
      <w:r w:rsidRPr="002F6CBB">
        <w:rPr>
          <w:lang w:val="en-CA"/>
        </w:rPr>
        <w:t xml:space="preserve"> training on a regular basis. The CDPDJ asks that it be every five years, which is reasonable.</w:t>
      </w:r>
    </w:p>
    <w:p w14:paraId="715AB171" w14:textId="6F176D5A" w:rsidR="00375010" w:rsidRPr="002F6CBB" w:rsidRDefault="00201ACE" w:rsidP="00082128">
      <w:pPr>
        <w:pStyle w:val="Paragraphe"/>
        <w:tabs>
          <w:tab w:val="clear" w:pos="567"/>
          <w:tab w:val="num" w:pos="709"/>
        </w:tabs>
        <w:rPr>
          <w:lang w:val="en-CA"/>
        </w:rPr>
      </w:pPr>
      <w:r w:rsidRPr="002F6CBB">
        <w:rPr>
          <w:lang w:val="en-CA"/>
        </w:rPr>
        <w:t xml:space="preserve">Last, </w:t>
      </w:r>
      <w:r w:rsidR="00AA10FD">
        <w:rPr>
          <w:lang w:val="en-CA"/>
        </w:rPr>
        <w:t xml:space="preserve">with respect to data collection, </w:t>
      </w:r>
      <w:r w:rsidRPr="002F6CBB">
        <w:rPr>
          <w:lang w:val="en-CA"/>
        </w:rPr>
        <w:t xml:space="preserve">the Ville acknowledges </w:t>
      </w:r>
      <w:r w:rsidR="00AA10FD">
        <w:rPr>
          <w:lang w:val="en-CA"/>
        </w:rPr>
        <w:t>its</w:t>
      </w:r>
      <w:r w:rsidR="00AA10FD" w:rsidRPr="002F6CBB">
        <w:rPr>
          <w:lang w:val="en-CA"/>
        </w:rPr>
        <w:t xml:space="preserve"> </w:t>
      </w:r>
      <w:r w:rsidRPr="002F6CBB">
        <w:rPr>
          <w:lang w:val="en-CA"/>
        </w:rPr>
        <w:t xml:space="preserve">need and usefulness because it is part of the directive </w:t>
      </w:r>
      <w:r w:rsidR="00B85DC7" w:rsidRPr="006D01F9">
        <w:rPr>
          <w:i/>
          <w:iCs/>
          <w:lang w:val="en-CA"/>
        </w:rPr>
        <w:t xml:space="preserve">Interpellation </w:t>
      </w:r>
      <w:proofErr w:type="spellStart"/>
      <w:r w:rsidR="00B85DC7" w:rsidRPr="006D01F9">
        <w:rPr>
          <w:i/>
          <w:iCs/>
          <w:lang w:val="en-CA"/>
        </w:rPr>
        <w:t>policière</w:t>
      </w:r>
      <w:proofErr w:type="spellEnd"/>
      <w:r w:rsidR="00B85DC7" w:rsidRPr="006D01F9">
        <w:rPr>
          <w:i/>
          <w:iCs/>
          <w:lang w:val="en-CA"/>
        </w:rPr>
        <w:t xml:space="preserve"> et </w:t>
      </w:r>
      <w:proofErr w:type="spellStart"/>
      <w:r w:rsidR="00B85DC7" w:rsidRPr="006D01F9">
        <w:rPr>
          <w:i/>
          <w:iCs/>
          <w:lang w:val="en-CA"/>
        </w:rPr>
        <w:t>profilage</w:t>
      </w:r>
      <w:proofErr w:type="spellEnd"/>
      <w:r w:rsidRPr="002F6CBB">
        <w:rPr>
          <w:lang w:val="en-CA"/>
        </w:rPr>
        <w:t xml:space="preserve">. This collection should also include </w:t>
      </w:r>
      <w:r w:rsidR="001A017E">
        <w:rPr>
          <w:lang w:val="en-CA"/>
        </w:rPr>
        <w:t>interception</w:t>
      </w:r>
      <w:r w:rsidRPr="002F6CBB">
        <w:rPr>
          <w:lang w:val="en-CA"/>
        </w:rPr>
        <w:t xml:space="preserve">, not merely </w:t>
      </w:r>
      <w:r w:rsidR="00553950">
        <w:rPr>
          <w:lang w:val="en-CA"/>
        </w:rPr>
        <w:t>informational stops</w:t>
      </w:r>
      <w:r w:rsidRPr="002F6CBB">
        <w:rPr>
          <w:lang w:val="en-CA"/>
        </w:rPr>
        <w:t>.</w:t>
      </w:r>
      <w:r w:rsidR="00BC67BE" w:rsidRPr="002F6CBB">
        <w:rPr>
          <w:lang w:val="en-CA"/>
        </w:rPr>
        <w:t xml:space="preserve"> </w:t>
      </w:r>
      <w:r w:rsidR="00B85DC7">
        <w:rPr>
          <w:lang w:val="en-CA"/>
        </w:rPr>
        <w:t xml:space="preserve">Insofar as </w:t>
      </w:r>
      <w:r w:rsidRPr="002F6CBB">
        <w:rPr>
          <w:lang w:val="en-CA"/>
        </w:rPr>
        <w:t xml:space="preserve">this </w:t>
      </w:r>
      <w:r w:rsidRPr="002F6CBB">
        <w:rPr>
          <w:lang w:val="en-CA"/>
        </w:rPr>
        <w:lastRenderedPageBreak/>
        <w:t xml:space="preserve">is already being done for </w:t>
      </w:r>
      <w:r w:rsidR="00553950">
        <w:rPr>
          <w:lang w:val="en-CA"/>
        </w:rPr>
        <w:t>informational stops</w:t>
      </w:r>
      <w:r w:rsidRPr="002F6CBB">
        <w:rPr>
          <w:lang w:val="en-CA"/>
        </w:rPr>
        <w:t xml:space="preserve">, it </w:t>
      </w:r>
      <w:r w:rsidR="00553950">
        <w:rPr>
          <w:lang w:val="en-CA"/>
        </w:rPr>
        <w:t xml:space="preserve">would be easy </w:t>
      </w:r>
      <w:r w:rsidRPr="002F6CBB">
        <w:rPr>
          <w:lang w:val="en-CA"/>
        </w:rPr>
        <w:t>for the SPL to e</w:t>
      </w:r>
      <w:r w:rsidR="00B85DC7">
        <w:rPr>
          <w:lang w:val="en-CA"/>
        </w:rPr>
        <w:t>xpand</w:t>
      </w:r>
      <w:r w:rsidRPr="002F6CBB">
        <w:rPr>
          <w:lang w:val="en-CA"/>
        </w:rPr>
        <w:t xml:space="preserve"> its scope.</w:t>
      </w:r>
    </w:p>
    <w:p w14:paraId="3F562A92" w14:textId="6A225291" w:rsidR="00375010" w:rsidRPr="002F6CBB" w:rsidRDefault="00201ACE" w:rsidP="00082128">
      <w:pPr>
        <w:pStyle w:val="Paragraphe"/>
        <w:tabs>
          <w:tab w:val="clear" w:pos="567"/>
          <w:tab w:val="num" w:pos="709"/>
        </w:tabs>
        <w:rPr>
          <w:lang w:val="en-CA"/>
        </w:rPr>
      </w:pPr>
      <w:r w:rsidRPr="002F6CBB">
        <w:rPr>
          <w:lang w:val="en-CA"/>
        </w:rPr>
        <w:t xml:space="preserve">The Tribunal adds and concludes its judgment </w:t>
      </w:r>
      <w:r w:rsidR="00B85DC7">
        <w:rPr>
          <w:lang w:val="en-CA"/>
        </w:rPr>
        <w:t>on</w:t>
      </w:r>
      <w:r w:rsidRPr="002F6CBB">
        <w:rPr>
          <w:lang w:val="en-CA"/>
        </w:rPr>
        <w:t xml:space="preserve"> the importan</w:t>
      </w:r>
      <w:r w:rsidR="00B85DC7">
        <w:rPr>
          <w:lang w:val="en-CA"/>
        </w:rPr>
        <w:t>ce</w:t>
      </w:r>
      <w:r w:rsidRPr="002F6CBB">
        <w:rPr>
          <w:lang w:val="en-CA"/>
        </w:rPr>
        <w:t xml:space="preserve"> of collecting data on actual or presumed </w:t>
      </w:r>
      <w:r w:rsidR="00B85DC7">
        <w:rPr>
          <w:lang w:val="en-CA"/>
        </w:rPr>
        <w:t xml:space="preserve">racial background </w:t>
      </w:r>
      <w:r w:rsidRPr="002F6CBB">
        <w:rPr>
          <w:lang w:val="en-CA"/>
        </w:rPr>
        <w:t xml:space="preserve">to document the extent of racial profiling within the police as the Tribunal also </w:t>
      </w:r>
      <w:r w:rsidR="002E6408" w:rsidRPr="002F6CBB">
        <w:rPr>
          <w:lang w:val="en-CA"/>
        </w:rPr>
        <w:t>acknowledged</w:t>
      </w:r>
      <w:r w:rsidRPr="002F6CBB">
        <w:rPr>
          <w:lang w:val="en-CA"/>
        </w:rPr>
        <w:t xml:space="preserve"> in </w:t>
      </w:r>
      <w:proofErr w:type="spellStart"/>
      <w:r w:rsidRPr="002F6CBB">
        <w:rPr>
          <w:i/>
          <w:lang w:val="en-CA"/>
        </w:rPr>
        <w:t>DeBellefeuille</w:t>
      </w:r>
      <w:proofErr w:type="spellEnd"/>
      <w:r w:rsidRPr="002F6CBB">
        <w:rPr>
          <w:lang w:val="en-CA"/>
        </w:rPr>
        <w:t>.</w:t>
      </w:r>
      <w:r w:rsidRPr="002F6CBB">
        <w:rPr>
          <w:rStyle w:val="Appelnotedebasdep"/>
          <w:szCs w:val="24"/>
          <w:lang w:val="en-CA"/>
        </w:rPr>
        <w:footnoteReference w:id="106"/>
      </w:r>
    </w:p>
    <w:p w14:paraId="67ABF9E1" w14:textId="77777777" w:rsidR="00D818A4" w:rsidRPr="002F6CBB" w:rsidRDefault="00BC67BE" w:rsidP="00D818A4">
      <w:pPr>
        <w:pStyle w:val="Paragraphe"/>
        <w:numPr>
          <w:ilvl w:val="0"/>
          <w:numId w:val="0"/>
        </w:numPr>
        <w:jc w:val="center"/>
        <w:rPr>
          <w:lang w:val="en-CA"/>
        </w:rPr>
      </w:pPr>
      <w:r w:rsidRPr="002F6CBB">
        <w:rPr>
          <w:lang w:val="en-CA"/>
        </w:rPr>
        <w:t>* * *</w:t>
      </w:r>
    </w:p>
    <w:p w14:paraId="4B9E1A95" w14:textId="4C939582" w:rsidR="00C353DC" w:rsidRPr="002F6CBB" w:rsidRDefault="00201ACE" w:rsidP="00082128">
      <w:pPr>
        <w:pStyle w:val="Paragraphe"/>
        <w:tabs>
          <w:tab w:val="clear" w:pos="567"/>
          <w:tab w:val="num" w:pos="709"/>
        </w:tabs>
        <w:rPr>
          <w:lang w:val="en-CA"/>
        </w:rPr>
      </w:pPr>
      <w:r w:rsidRPr="002F6CBB">
        <w:rPr>
          <w:lang w:val="en-CA"/>
        </w:rPr>
        <w:t xml:space="preserve">Throughout this judgment, the Tribunal has used the expression </w:t>
      </w:r>
      <w:r w:rsidR="00B85DC7">
        <w:rPr>
          <w:rFonts w:cs="Arial"/>
          <w:lang w:val="en-CA"/>
        </w:rPr>
        <w:t>[</w:t>
      </w:r>
      <w:r w:rsidR="00B85DC7">
        <w:rPr>
          <w:rFonts w:cs="Arial"/>
          <w:smallCaps/>
          <w:lang w:val="en-CA"/>
        </w:rPr>
        <w:t>translation</w:t>
      </w:r>
      <w:r w:rsidR="00B85DC7">
        <w:rPr>
          <w:rFonts w:cs="Arial"/>
          <w:lang w:val="en-CA"/>
        </w:rPr>
        <w:t>]</w:t>
      </w:r>
      <w:r w:rsidR="00B85DC7" w:rsidRPr="002F6CBB">
        <w:rPr>
          <w:lang w:val="en-CA"/>
        </w:rPr>
        <w:t xml:space="preserve"> </w:t>
      </w:r>
      <w:r w:rsidRPr="002F6CBB">
        <w:rPr>
          <w:lang w:val="en-CA"/>
        </w:rPr>
        <w:t xml:space="preserve">“race” because it is the word used in section 10 of the </w:t>
      </w:r>
      <w:r w:rsidRPr="002F6CBB">
        <w:rPr>
          <w:i/>
          <w:lang w:val="en-CA"/>
        </w:rPr>
        <w:t>Charter</w:t>
      </w:r>
      <w:r w:rsidRPr="002F6CBB">
        <w:rPr>
          <w:lang w:val="en-CA"/>
        </w:rPr>
        <w:t xml:space="preserve"> as a prohibited ground of discrimination.</w:t>
      </w:r>
    </w:p>
    <w:p w14:paraId="0B6EAAE9" w14:textId="4EC58530" w:rsidR="00D818A4" w:rsidRPr="002F6CBB" w:rsidRDefault="00201ACE" w:rsidP="00082128">
      <w:pPr>
        <w:pStyle w:val="Paragraphe"/>
        <w:tabs>
          <w:tab w:val="clear" w:pos="567"/>
          <w:tab w:val="num" w:pos="709"/>
        </w:tabs>
        <w:rPr>
          <w:lang w:val="en-CA"/>
        </w:rPr>
      </w:pPr>
      <w:r w:rsidRPr="002F6CBB">
        <w:rPr>
          <w:lang w:val="en-CA"/>
        </w:rPr>
        <w:t>The Tribunal would nonetheless like to note that this expression is outdated and inconsistent with the modern French language.</w:t>
      </w:r>
      <w:r w:rsidR="00BC67BE" w:rsidRPr="002F6CBB">
        <w:rPr>
          <w:lang w:val="en-CA"/>
        </w:rPr>
        <w:t xml:space="preserve"> </w:t>
      </w:r>
      <w:r w:rsidRPr="002F6CBB">
        <w:rPr>
          <w:lang w:val="en-CA"/>
        </w:rPr>
        <w:t>Moreover, the Larousse Dictionary acknowledges this in its definition of the word race:</w:t>
      </w:r>
    </w:p>
    <w:p w14:paraId="2F9F6BE3" w14:textId="1E52F120" w:rsidR="00E456B6" w:rsidRDefault="002E6408" w:rsidP="00C353DC">
      <w:pPr>
        <w:pStyle w:val="Paragraphe"/>
        <w:numPr>
          <w:ilvl w:val="0"/>
          <w:numId w:val="0"/>
        </w:numPr>
        <w:ind w:left="734"/>
        <w:rPr>
          <w:rStyle w:val="numdef"/>
          <w:rFonts w:cs="Arial"/>
          <w:sz w:val="22"/>
          <w:szCs w:val="22"/>
          <w:lang w:val="en-CA"/>
        </w:rPr>
      </w:pPr>
      <w:r>
        <w:rPr>
          <w:rStyle w:val="numdef"/>
          <w:rFonts w:cs="Arial"/>
          <w:sz w:val="22"/>
          <w:szCs w:val="22"/>
          <w:lang w:val="en-CA"/>
        </w:rPr>
        <w:t>[</w:t>
      </w:r>
      <w:r>
        <w:rPr>
          <w:rStyle w:val="numdef"/>
          <w:rFonts w:cs="Arial"/>
          <w:smallCaps/>
          <w:sz w:val="22"/>
          <w:szCs w:val="22"/>
          <w:lang w:val="en-CA"/>
        </w:rPr>
        <w:t>translation</w:t>
      </w:r>
      <w:r>
        <w:rPr>
          <w:rStyle w:val="numdef"/>
          <w:rFonts w:cs="Arial"/>
          <w:sz w:val="22"/>
          <w:szCs w:val="22"/>
          <w:lang w:val="en-CA"/>
        </w:rPr>
        <w:t>]</w:t>
      </w:r>
    </w:p>
    <w:p w14:paraId="10EB7AF1" w14:textId="215B750E" w:rsidR="00C754A3" w:rsidRPr="002F6CBB" w:rsidRDefault="00C754A3" w:rsidP="00C353DC">
      <w:pPr>
        <w:pStyle w:val="Paragraphe"/>
        <w:numPr>
          <w:ilvl w:val="0"/>
          <w:numId w:val="0"/>
        </w:numPr>
        <w:ind w:left="734"/>
        <w:rPr>
          <w:rStyle w:val="numdef"/>
          <w:rFonts w:cs="Arial"/>
          <w:sz w:val="22"/>
          <w:szCs w:val="22"/>
          <w:lang w:val="en-CA"/>
        </w:rPr>
      </w:pPr>
      <w:r>
        <w:rPr>
          <w:rStyle w:val="numdef"/>
          <w:rFonts w:cs="Arial"/>
          <w:sz w:val="22"/>
          <w:szCs w:val="22"/>
          <w:lang w:val="en-CA"/>
        </w:rPr>
        <w:t>…</w:t>
      </w:r>
    </w:p>
    <w:p w14:paraId="23D7EBE9" w14:textId="77777777" w:rsidR="00C754A3" w:rsidRDefault="00BC67BE" w:rsidP="00C353DC">
      <w:pPr>
        <w:pStyle w:val="Paragraphe"/>
        <w:numPr>
          <w:ilvl w:val="0"/>
          <w:numId w:val="0"/>
        </w:numPr>
        <w:ind w:left="734"/>
        <w:rPr>
          <w:rFonts w:cs="Arial"/>
          <w:sz w:val="22"/>
          <w:szCs w:val="22"/>
          <w:lang w:val="en-CA"/>
        </w:rPr>
      </w:pPr>
      <w:r w:rsidRPr="002F6CBB">
        <w:rPr>
          <w:rStyle w:val="numdef"/>
          <w:rFonts w:cs="Arial"/>
          <w:b/>
          <w:bCs/>
          <w:sz w:val="22"/>
          <w:szCs w:val="22"/>
          <w:lang w:val="en-CA"/>
        </w:rPr>
        <w:t xml:space="preserve">2. </w:t>
      </w:r>
      <w:r w:rsidR="00201ACE" w:rsidRPr="002F6CBB">
        <w:rPr>
          <w:rFonts w:cs="Arial"/>
          <w:sz w:val="22"/>
          <w:szCs w:val="22"/>
          <w:lang w:val="en-CA"/>
        </w:rPr>
        <w:t xml:space="preserve">Former classification of the human </w:t>
      </w:r>
      <w:r w:rsidR="0045476C">
        <w:rPr>
          <w:rFonts w:cs="Arial"/>
          <w:sz w:val="22"/>
          <w:szCs w:val="22"/>
          <w:lang w:val="en-CA"/>
        </w:rPr>
        <w:t>species</w:t>
      </w:r>
      <w:r w:rsidR="00201ACE" w:rsidRPr="002F6CBB">
        <w:rPr>
          <w:rFonts w:cs="Arial"/>
          <w:sz w:val="22"/>
          <w:szCs w:val="22"/>
          <w:lang w:val="en-CA"/>
        </w:rPr>
        <w:t xml:space="preserve"> according to morphological or cultural criteria, without any scientific basis, the use of which is at the root of various racisms and their practices.</w:t>
      </w:r>
      <w:r w:rsidR="001B288D" w:rsidRPr="002F6CBB">
        <w:rPr>
          <w:rFonts w:cs="Arial"/>
          <w:sz w:val="22"/>
          <w:szCs w:val="22"/>
          <w:lang w:val="en-CA"/>
        </w:rPr>
        <w:t xml:space="preserve"> </w:t>
      </w:r>
      <w:r w:rsidR="00201ACE" w:rsidRPr="002F6CBB">
        <w:rPr>
          <w:rFonts w:cs="Arial"/>
          <w:sz w:val="22"/>
          <w:szCs w:val="22"/>
          <w:lang w:val="en-CA"/>
        </w:rPr>
        <w:t xml:space="preserve">(Faced with human diversity, classification according to the most </w:t>
      </w:r>
      <w:r w:rsidR="00A275CB">
        <w:rPr>
          <w:rFonts w:cs="Arial"/>
          <w:sz w:val="22"/>
          <w:szCs w:val="22"/>
          <w:lang w:val="en-CA"/>
        </w:rPr>
        <w:t xml:space="preserve">obviously </w:t>
      </w:r>
      <w:r w:rsidR="00201ACE" w:rsidRPr="002F6CBB">
        <w:rPr>
          <w:rFonts w:cs="Arial"/>
          <w:sz w:val="22"/>
          <w:szCs w:val="22"/>
          <w:lang w:val="en-CA"/>
        </w:rPr>
        <w:t>apparent criteria [especially skin colour] was introduced and prevailed throughout the 19th century.</w:t>
      </w:r>
      <w:r w:rsidRPr="002F6CBB">
        <w:rPr>
          <w:rFonts w:cs="Arial"/>
          <w:sz w:val="22"/>
          <w:szCs w:val="22"/>
          <w:lang w:val="en-CA"/>
        </w:rPr>
        <w:t xml:space="preserve"> </w:t>
      </w:r>
      <w:r w:rsidR="00201ACE" w:rsidRPr="002F6CBB">
        <w:rPr>
          <w:rFonts w:cs="Arial"/>
          <w:sz w:val="22"/>
          <w:szCs w:val="22"/>
          <w:lang w:val="en-CA"/>
        </w:rPr>
        <w:t xml:space="preserve">Due to progress in genetics, any attempt to classify human beings by race is </w:t>
      </w:r>
      <w:r w:rsidR="00A275CB">
        <w:rPr>
          <w:rFonts w:cs="Arial"/>
          <w:sz w:val="22"/>
          <w:szCs w:val="22"/>
          <w:lang w:val="en-CA"/>
        </w:rPr>
        <w:t>now</w:t>
      </w:r>
      <w:r w:rsidR="00201ACE" w:rsidRPr="002F6CBB">
        <w:rPr>
          <w:rFonts w:cs="Arial"/>
          <w:sz w:val="22"/>
          <w:szCs w:val="22"/>
          <w:lang w:val="en-CA"/>
        </w:rPr>
        <w:t xml:space="preserve"> rejected.)</w:t>
      </w:r>
    </w:p>
    <w:p w14:paraId="573DD90C" w14:textId="5190F20F" w:rsidR="00C353DC" w:rsidRPr="002F6CBB" w:rsidRDefault="00C754A3" w:rsidP="00C353DC">
      <w:pPr>
        <w:pStyle w:val="Paragraphe"/>
        <w:numPr>
          <w:ilvl w:val="0"/>
          <w:numId w:val="0"/>
        </w:numPr>
        <w:ind w:left="734"/>
        <w:rPr>
          <w:rFonts w:cs="Arial"/>
          <w:sz w:val="22"/>
          <w:szCs w:val="22"/>
          <w:lang w:val="en-CA" w:eastAsia="fr-CA"/>
        </w:rPr>
      </w:pPr>
      <w:r>
        <w:rPr>
          <w:rStyle w:val="numdef"/>
          <w:rFonts w:cs="Arial"/>
          <w:b/>
          <w:bCs/>
          <w:sz w:val="22"/>
          <w:szCs w:val="22"/>
          <w:lang w:val="en-CA"/>
        </w:rPr>
        <w:t>…</w:t>
      </w:r>
      <w:r w:rsidR="00BC67BE" w:rsidRPr="002F6CBB">
        <w:rPr>
          <w:rStyle w:val="Appelnotedebasdep"/>
          <w:rFonts w:cs="Arial"/>
          <w:sz w:val="22"/>
          <w:szCs w:val="22"/>
          <w:lang w:val="en-CA"/>
        </w:rPr>
        <w:footnoteReference w:id="107"/>
      </w:r>
    </w:p>
    <w:p w14:paraId="7ABC8409" w14:textId="2510889B" w:rsidR="00C353DC" w:rsidRPr="002F6CBB" w:rsidRDefault="00201ACE" w:rsidP="00C353DC">
      <w:pPr>
        <w:pStyle w:val="Paragraphe"/>
        <w:tabs>
          <w:tab w:val="clear" w:pos="567"/>
          <w:tab w:val="num" w:pos="709"/>
        </w:tabs>
        <w:rPr>
          <w:lang w:val="en-CA"/>
        </w:rPr>
      </w:pPr>
      <w:r w:rsidRPr="002F6CBB">
        <w:rPr>
          <w:lang w:val="en-CA"/>
        </w:rPr>
        <w:t xml:space="preserve">In the Tribunal’s </w:t>
      </w:r>
      <w:r w:rsidR="00A275CB">
        <w:rPr>
          <w:lang w:val="en-CA"/>
        </w:rPr>
        <w:t>view</w:t>
      </w:r>
      <w:r w:rsidRPr="002F6CBB">
        <w:rPr>
          <w:lang w:val="en-CA"/>
        </w:rPr>
        <w:t>, the word race is undesirable when referring to skin colour.</w:t>
      </w:r>
      <w:r w:rsidR="00E456B6" w:rsidRPr="002F6CBB">
        <w:rPr>
          <w:lang w:val="en-CA"/>
        </w:rPr>
        <w:t xml:space="preserve"> </w:t>
      </w:r>
      <w:r w:rsidR="00C14519">
        <w:rPr>
          <w:lang w:val="en-CA"/>
        </w:rPr>
        <w:t>Black</w:t>
      </w:r>
      <w:r w:rsidRPr="002F6CBB">
        <w:rPr>
          <w:lang w:val="en-CA"/>
        </w:rPr>
        <w:t xml:space="preserve"> people, like </w:t>
      </w:r>
      <w:r w:rsidR="00A275CB">
        <w:rPr>
          <w:lang w:val="en-CA"/>
        </w:rPr>
        <w:t>W</w:t>
      </w:r>
      <w:r w:rsidRPr="002F6CBB">
        <w:rPr>
          <w:lang w:val="en-CA"/>
        </w:rPr>
        <w:t>hite people or any other person to whom a skin colour is attributed, are part of one and the same race, the human race.</w:t>
      </w:r>
      <w:r w:rsidR="00E456B6" w:rsidRPr="002F6CBB">
        <w:rPr>
          <w:lang w:val="en-CA"/>
        </w:rPr>
        <w:t xml:space="preserve"> </w:t>
      </w:r>
      <w:r w:rsidRPr="002F6CBB">
        <w:rPr>
          <w:lang w:val="en-CA"/>
        </w:rPr>
        <w:t xml:space="preserve">While it is necessary to protect </w:t>
      </w:r>
      <w:r w:rsidR="00C14519">
        <w:rPr>
          <w:lang w:val="en-CA"/>
        </w:rPr>
        <w:t>Black</w:t>
      </w:r>
      <w:r w:rsidRPr="002F6CBB">
        <w:rPr>
          <w:lang w:val="en-CA"/>
        </w:rPr>
        <w:t xml:space="preserve"> people, or anyone who is a visible minority, </w:t>
      </w:r>
      <w:r w:rsidR="00A275CB">
        <w:rPr>
          <w:lang w:val="en-CA"/>
        </w:rPr>
        <w:t xml:space="preserve">from </w:t>
      </w:r>
      <w:r w:rsidRPr="002F6CBB">
        <w:rPr>
          <w:lang w:val="en-CA"/>
        </w:rPr>
        <w:t xml:space="preserve">discrimination based on their skin colour, it is regrettable to use a word that should instead </w:t>
      </w:r>
      <w:r w:rsidR="00A275CB">
        <w:rPr>
          <w:lang w:val="en-CA"/>
        </w:rPr>
        <w:t xml:space="preserve">signify </w:t>
      </w:r>
      <w:r w:rsidRPr="002F6CBB">
        <w:rPr>
          <w:lang w:val="en-CA"/>
        </w:rPr>
        <w:t>the difference between the human race and the animal race.</w:t>
      </w:r>
    </w:p>
    <w:p w14:paraId="2D2255F1" w14:textId="0E762520" w:rsidR="001B288D" w:rsidRPr="002F6CBB" w:rsidRDefault="00201ACE" w:rsidP="001B288D">
      <w:pPr>
        <w:pStyle w:val="Paragraphe"/>
        <w:tabs>
          <w:tab w:val="clear" w:pos="567"/>
          <w:tab w:val="num" w:pos="709"/>
        </w:tabs>
        <w:rPr>
          <w:lang w:val="en-CA"/>
        </w:rPr>
      </w:pPr>
      <w:r w:rsidRPr="002F6CBB">
        <w:rPr>
          <w:lang w:val="en-CA"/>
        </w:rPr>
        <w:lastRenderedPageBreak/>
        <w:t>As Gilles Vigneault so aptly s</w:t>
      </w:r>
      <w:r w:rsidR="00D30D84">
        <w:rPr>
          <w:lang w:val="en-CA"/>
        </w:rPr>
        <w:t>a</w:t>
      </w:r>
      <w:r w:rsidRPr="002F6CBB">
        <w:rPr>
          <w:lang w:val="en-CA"/>
        </w:rPr>
        <w:t xml:space="preserve">ng in </w:t>
      </w:r>
      <w:r w:rsidRPr="002F6CBB">
        <w:rPr>
          <w:i/>
          <w:lang w:val="en-CA"/>
        </w:rPr>
        <w:t>Mon pays</w:t>
      </w:r>
      <w:r w:rsidRPr="002F6CBB">
        <w:rPr>
          <w:lang w:val="en-CA"/>
        </w:rPr>
        <w:t xml:space="preserve">: </w:t>
      </w:r>
      <w:r w:rsidR="002E6408">
        <w:rPr>
          <w:rStyle w:val="numdef"/>
          <w:rFonts w:cs="Arial"/>
          <w:sz w:val="22"/>
          <w:szCs w:val="22"/>
          <w:lang w:val="en-CA"/>
        </w:rPr>
        <w:t>[</w:t>
      </w:r>
      <w:r w:rsidR="002E6408">
        <w:rPr>
          <w:rStyle w:val="numdef"/>
          <w:rFonts w:cs="Arial"/>
          <w:smallCaps/>
          <w:sz w:val="22"/>
          <w:szCs w:val="22"/>
          <w:lang w:val="en-CA"/>
        </w:rPr>
        <w:t>translation</w:t>
      </w:r>
      <w:r w:rsidR="002E6408">
        <w:rPr>
          <w:rStyle w:val="numdef"/>
          <w:rFonts w:cs="Arial"/>
          <w:sz w:val="22"/>
          <w:szCs w:val="22"/>
          <w:lang w:val="en-CA"/>
        </w:rPr>
        <w:t>]</w:t>
      </w:r>
      <w:r w:rsidR="002E6408" w:rsidRPr="002F6CBB">
        <w:rPr>
          <w:lang w:val="en-CA"/>
        </w:rPr>
        <w:t xml:space="preserve"> </w:t>
      </w:r>
      <w:r w:rsidRPr="002F6CBB">
        <w:rPr>
          <w:lang w:val="en-CA"/>
        </w:rPr>
        <w:t>“</w:t>
      </w:r>
      <w:r w:rsidR="00A275CB">
        <w:rPr>
          <w:lang w:val="en-CA"/>
        </w:rPr>
        <w:t>H</w:t>
      </w:r>
      <w:r w:rsidRPr="002F6CBB">
        <w:rPr>
          <w:lang w:val="en-CA"/>
        </w:rPr>
        <w:t>uman</w:t>
      </w:r>
      <w:r w:rsidR="00A275CB">
        <w:rPr>
          <w:lang w:val="en-CA"/>
        </w:rPr>
        <w:t>s</w:t>
      </w:r>
      <w:r w:rsidRPr="002F6CBB">
        <w:rPr>
          <w:lang w:val="en-CA"/>
        </w:rPr>
        <w:t xml:space="preserve"> are my race”.</w:t>
      </w:r>
    </w:p>
    <w:p w14:paraId="1947BE05" w14:textId="1F9AEA21" w:rsidR="00375010" w:rsidRPr="002F6CBB" w:rsidRDefault="00397B3A" w:rsidP="00D629A7">
      <w:pPr>
        <w:spacing w:before="120" w:after="120"/>
        <w:rPr>
          <w:b/>
          <w:bCs/>
          <w:lang w:val="en-CA"/>
        </w:rPr>
      </w:pPr>
      <w:r w:rsidRPr="002F6CBB">
        <w:rPr>
          <w:b/>
          <w:bCs/>
          <w:lang w:val="en-CA"/>
        </w:rPr>
        <w:t xml:space="preserve">FOR THESE REASONS, THE </w:t>
      </w:r>
      <w:r w:rsidR="005B2B35" w:rsidRPr="002F6CBB">
        <w:rPr>
          <w:b/>
          <w:bCs/>
          <w:lang w:val="en-CA"/>
        </w:rPr>
        <w:t>TRIBUNAL</w:t>
      </w:r>
      <w:r w:rsidR="00BC67BE" w:rsidRPr="002F6CBB">
        <w:rPr>
          <w:b/>
          <w:bCs/>
          <w:lang w:val="en-CA"/>
        </w:rPr>
        <w:t>:</w:t>
      </w:r>
    </w:p>
    <w:p w14:paraId="70517385" w14:textId="553EA5E7" w:rsidR="00375010" w:rsidRPr="002F6CBB" w:rsidRDefault="00397B3A" w:rsidP="00082128">
      <w:pPr>
        <w:pStyle w:val="Paragraphe"/>
        <w:tabs>
          <w:tab w:val="clear" w:pos="567"/>
          <w:tab w:val="num" w:pos="709"/>
        </w:tabs>
        <w:rPr>
          <w:lang w:val="en-CA"/>
        </w:rPr>
      </w:pPr>
      <w:r w:rsidRPr="002F6CBB">
        <w:rPr>
          <w:b/>
          <w:bCs/>
          <w:lang w:val="en-CA"/>
        </w:rPr>
        <w:t>GRANTS</w:t>
      </w:r>
      <w:r w:rsidR="00BC67BE" w:rsidRPr="002F6CBB">
        <w:rPr>
          <w:lang w:val="en-CA"/>
        </w:rPr>
        <w:t xml:space="preserve"> </w:t>
      </w:r>
      <w:r w:rsidRPr="002F6CBB">
        <w:rPr>
          <w:lang w:val="en-CA"/>
        </w:rPr>
        <w:t>the plaintiff’s application in part</w:t>
      </w:r>
      <w:r w:rsidR="00BC67BE" w:rsidRPr="002F6CBB">
        <w:rPr>
          <w:lang w:val="en-CA"/>
        </w:rPr>
        <w:t>;</w:t>
      </w:r>
    </w:p>
    <w:p w14:paraId="7FC9ADDF" w14:textId="31410E1B" w:rsidR="00375010" w:rsidRPr="002F6CBB" w:rsidRDefault="00BC67BE" w:rsidP="00082128">
      <w:pPr>
        <w:pStyle w:val="Paragraphe"/>
        <w:tabs>
          <w:tab w:val="clear" w:pos="567"/>
          <w:tab w:val="num" w:pos="709"/>
        </w:tabs>
        <w:rPr>
          <w:lang w:val="en-CA"/>
        </w:rPr>
      </w:pPr>
      <w:r w:rsidRPr="002F6CBB">
        <w:rPr>
          <w:b/>
          <w:bCs/>
          <w:lang w:val="en-CA"/>
        </w:rPr>
        <w:t>COND</w:t>
      </w:r>
      <w:r w:rsidR="00397B3A" w:rsidRPr="002F6CBB">
        <w:rPr>
          <w:b/>
          <w:bCs/>
          <w:lang w:val="en-CA"/>
        </w:rPr>
        <w:t>E</w:t>
      </w:r>
      <w:r w:rsidRPr="002F6CBB">
        <w:rPr>
          <w:b/>
          <w:bCs/>
          <w:lang w:val="en-CA"/>
        </w:rPr>
        <w:t>MN</w:t>
      </w:r>
      <w:r w:rsidR="00397B3A" w:rsidRPr="002F6CBB">
        <w:rPr>
          <w:b/>
          <w:bCs/>
          <w:lang w:val="en-CA"/>
        </w:rPr>
        <w:t>S</w:t>
      </w:r>
      <w:r w:rsidRPr="002F6CBB">
        <w:rPr>
          <w:lang w:val="en-CA"/>
        </w:rPr>
        <w:t xml:space="preserve"> </w:t>
      </w:r>
      <w:r w:rsidR="00397B3A" w:rsidRPr="002F6CBB">
        <w:rPr>
          <w:lang w:val="en-CA"/>
        </w:rPr>
        <w:t xml:space="preserve">the defendants </w:t>
      </w:r>
      <w:proofErr w:type="spellStart"/>
      <w:r w:rsidR="00984377" w:rsidRPr="002F6CBB">
        <w:rPr>
          <w:lang w:val="en-CA"/>
        </w:rPr>
        <w:t>solidarily</w:t>
      </w:r>
      <w:proofErr w:type="spellEnd"/>
      <w:r w:rsidR="00984377" w:rsidRPr="002F6CBB">
        <w:rPr>
          <w:lang w:val="en-CA"/>
        </w:rPr>
        <w:t xml:space="preserve"> </w:t>
      </w:r>
      <w:r w:rsidR="00397B3A" w:rsidRPr="002F6CBB">
        <w:rPr>
          <w:lang w:val="en-CA"/>
        </w:rPr>
        <w:t xml:space="preserve">to pay </w:t>
      </w:r>
      <w:r w:rsidRPr="002F6CBB">
        <w:rPr>
          <w:lang w:val="en-CA"/>
        </w:rPr>
        <w:t xml:space="preserve">Jonathan Woodley </w:t>
      </w:r>
      <w:r w:rsidR="00397B3A" w:rsidRPr="002F6CBB">
        <w:rPr>
          <w:lang w:val="en-CA"/>
        </w:rPr>
        <w:t>moral damages of $</w:t>
      </w:r>
      <w:r w:rsidRPr="002F6CBB">
        <w:rPr>
          <w:lang w:val="en-CA"/>
        </w:rPr>
        <w:t>15</w:t>
      </w:r>
      <w:r w:rsidR="00397B3A" w:rsidRPr="002F6CBB">
        <w:rPr>
          <w:lang w:val="en-CA"/>
        </w:rPr>
        <w:t>,</w:t>
      </w:r>
      <w:r w:rsidRPr="002F6CBB">
        <w:rPr>
          <w:lang w:val="en-CA"/>
        </w:rPr>
        <w:t>000;</w:t>
      </w:r>
    </w:p>
    <w:p w14:paraId="77204E40" w14:textId="046D8E3B" w:rsidR="00375010" w:rsidRPr="002F6CBB" w:rsidRDefault="00BC67BE" w:rsidP="00082128">
      <w:pPr>
        <w:pStyle w:val="Paragraphe"/>
        <w:tabs>
          <w:tab w:val="clear" w:pos="567"/>
          <w:tab w:val="num" w:pos="709"/>
        </w:tabs>
        <w:rPr>
          <w:lang w:val="en-CA"/>
        </w:rPr>
      </w:pPr>
      <w:r w:rsidRPr="002F6CBB">
        <w:rPr>
          <w:b/>
          <w:bCs/>
          <w:lang w:val="en-CA"/>
        </w:rPr>
        <w:t>COND</w:t>
      </w:r>
      <w:r w:rsidR="00397B3A" w:rsidRPr="002F6CBB">
        <w:rPr>
          <w:b/>
          <w:bCs/>
          <w:lang w:val="en-CA"/>
        </w:rPr>
        <w:t>E</w:t>
      </w:r>
      <w:r w:rsidRPr="002F6CBB">
        <w:rPr>
          <w:b/>
          <w:bCs/>
          <w:lang w:val="en-CA"/>
        </w:rPr>
        <w:t>MN</w:t>
      </w:r>
      <w:r w:rsidR="00397B3A" w:rsidRPr="002F6CBB">
        <w:rPr>
          <w:b/>
          <w:bCs/>
          <w:lang w:val="en-CA"/>
        </w:rPr>
        <w:t>S</w:t>
      </w:r>
      <w:r w:rsidRPr="002F6CBB">
        <w:rPr>
          <w:lang w:val="en-CA"/>
        </w:rPr>
        <w:t xml:space="preserve"> </w:t>
      </w:r>
      <w:r w:rsidR="00397B3A" w:rsidRPr="002F6CBB">
        <w:rPr>
          <w:lang w:val="en-CA"/>
        </w:rPr>
        <w:t>the defendant</w:t>
      </w:r>
      <w:r w:rsidRPr="002F6CBB">
        <w:rPr>
          <w:lang w:val="en-CA"/>
        </w:rPr>
        <w:t xml:space="preserve"> Caroline </w:t>
      </w:r>
      <w:proofErr w:type="spellStart"/>
      <w:r w:rsidRPr="002F6CBB">
        <w:rPr>
          <w:lang w:val="en-CA"/>
        </w:rPr>
        <w:t>Beaulac</w:t>
      </w:r>
      <w:proofErr w:type="spellEnd"/>
      <w:r w:rsidRPr="002F6CBB">
        <w:rPr>
          <w:lang w:val="en-CA"/>
        </w:rPr>
        <w:t xml:space="preserve"> </w:t>
      </w:r>
      <w:r w:rsidR="00397B3A" w:rsidRPr="002F6CBB">
        <w:rPr>
          <w:lang w:val="en-CA"/>
        </w:rPr>
        <w:t>to pay Jonathan Woodley punitive damages of $2,000</w:t>
      </w:r>
      <w:r w:rsidRPr="002F6CBB">
        <w:rPr>
          <w:lang w:val="en-CA"/>
        </w:rPr>
        <w:t>;</w:t>
      </w:r>
    </w:p>
    <w:p w14:paraId="2D66F266" w14:textId="572C2532" w:rsidR="00375010" w:rsidRPr="002F6CBB" w:rsidRDefault="00BC67BE" w:rsidP="00082128">
      <w:pPr>
        <w:pStyle w:val="Paragraphe"/>
        <w:tabs>
          <w:tab w:val="clear" w:pos="567"/>
          <w:tab w:val="num" w:pos="709"/>
        </w:tabs>
        <w:rPr>
          <w:lang w:val="en-CA"/>
        </w:rPr>
      </w:pPr>
      <w:r w:rsidRPr="002F6CBB">
        <w:rPr>
          <w:b/>
          <w:bCs/>
          <w:lang w:val="en-CA"/>
        </w:rPr>
        <w:t>COND</w:t>
      </w:r>
      <w:r w:rsidR="00397B3A" w:rsidRPr="002F6CBB">
        <w:rPr>
          <w:b/>
          <w:bCs/>
          <w:lang w:val="en-CA"/>
        </w:rPr>
        <w:t>E</w:t>
      </w:r>
      <w:r w:rsidRPr="002F6CBB">
        <w:rPr>
          <w:b/>
          <w:bCs/>
          <w:lang w:val="en-CA"/>
        </w:rPr>
        <w:t>MN</w:t>
      </w:r>
      <w:r w:rsidR="00397B3A" w:rsidRPr="002F6CBB">
        <w:rPr>
          <w:b/>
          <w:bCs/>
          <w:lang w:val="en-CA"/>
        </w:rPr>
        <w:t>S</w:t>
      </w:r>
      <w:r w:rsidRPr="002F6CBB">
        <w:rPr>
          <w:lang w:val="en-CA"/>
        </w:rPr>
        <w:t xml:space="preserve"> </w:t>
      </w:r>
      <w:r w:rsidR="00397B3A" w:rsidRPr="002F6CBB">
        <w:rPr>
          <w:lang w:val="en-CA"/>
        </w:rPr>
        <w:t xml:space="preserve">the defendant </w:t>
      </w:r>
      <w:r w:rsidRPr="002F6CBB">
        <w:rPr>
          <w:lang w:val="en-CA"/>
        </w:rPr>
        <w:t xml:space="preserve">Jessica Lamothe </w:t>
      </w:r>
      <w:r w:rsidR="00397B3A" w:rsidRPr="002F6CBB">
        <w:rPr>
          <w:lang w:val="en-CA"/>
        </w:rPr>
        <w:t xml:space="preserve">to pay </w:t>
      </w:r>
      <w:r w:rsidRPr="002F6CBB">
        <w:rPr>
          <w:lang w:val="en-CA"/>
        </w:rPr>
        <w:t xml:space="preserve">Jonathan Woodley </w:t>
      </w:r>
      <w:r w:rsidR="00397B3A" w:rsidRPr="002F6CBB">
        <w:rPr>
          <w:lang w:val="en-CA"/>
        </w:rPr>
        <w:t>punitive damages of $</w:t>
      </w:r>
      <w:r w:rsidRPr="002F6CBB">
        <w:rPr>
          <w:lang w:val="en-CA"/>
        </w:rPr>
        <w:t>2</w:t>
      </w:r>
      <w:r w:rsidR="00397B3A" w:rsidRPr="002F6CBB">
        <w:rPr>
          <w:lang w:val="en-CA"/>
        </w:rPr>
        <w:t>,</w:t>
      </w:r>
      <w:r w:rsidRPr="002F6CBB">
        <w:rPr>
          <w:lang w:val="en-CA"/>
        </w:rPr>
        <w:t>000;</w:t>
      </w:r>
    </w:p>
    <w:p w14:paraId="616E045A" w14:textId="62436D09" w:rsidR="00375010" w:rsidRPr="002F6CBB" w:rsidRDefault="00397B3A" w:rsidP="00082128">
      <w:pPr>
        <w:pStyle w:val="Paragraphe"/>
        <w:tabs>
          <w:tab w:val="clear" w:pos="567"/>
          <w:tab w:val="num" w:pos="709"/>
        </w:tabs>
        <w:rPr>
          <w:lang w:val="en-CA"/>
        </w:rPr>
      </w:pPr>
      <w:r w:rsidRPr="002F6CBB">
        <w:rPr>
          <w:b/>
          <w:bCs/>
          <w:lang w:val="en-CA"/>
        </w:rPr>
        <w:t>ORDERS</w:t>
      </w:r>
      <w:r w:rsidRPr="002F6CBB">
        <w:rPr>
          <w:lang w:val="en-CA"/>
        </w:rPr>
        <w:t xml:space="preserve"> the defendant </w:t>
      </w:r>
      <w:r w:rsidR="00D05E6F" w:rsidRPr="002F6CBB">
        <w:rPr>
          <w:lang w:val="en-CA"/>
        </w:rPr>
        <w:t>Ville de</w:t>
      </w:r>
      <w:r w:rsidRPr="002F6CBB">
        <w:rPr>
          <w:lang w:val="en-CA"/>
        </w:rPr>
        <w:t xml:space="preserve"> Laval </w:t>
      </w:r>
      <w:r w:rsidR="00BC67BE" w:rsidRPr="002F6CBB">
        <w:rPr>
          <w:lang w:val="en-CA"/>
        </w:rPr>
        <w:t xml:space="preserve">(Service de police de la Ville de Laval) </w:t>
      </w:r>
      <w:r w:rsidRPr="002F6CBB">
        <w:rPr>
          <w:lang w:val="en-CA"/>
        </w:rPr>
        <w:t xml:space="preserve">to revise its </w:t>
      </w:r>
      <w:r w:rsidR="00BC67BE" w:rsidRPr="002F6CBB">
        <w:rPr>
          <w:lang w:val="en-CA"/>
        </w:rPr>
        <w:t xml:space="preserve">directive </w:t>
      </w:r>
      <w:r w:rsidR="00A275CB" w:rsidRPr="006D01F9">
        <w:rPr>
          <w:i/>
          <w:iCs/>
          <w:lang w:val="en-CA"/>
        </w:rPr>
        <w:t xml:space="preserve">Interpellation </w:t>
      </w:r>
      <w:proofErr w:type="spellStart"/>
      <w:r w:rsidR="00A275CB" w:rsidRPr="006D01F9">
        <w:rPr>
          <w:i/>
          <w:iCs/>
          <w:lang w:val="en-CA"/>
        </w:rPr>
        <w:t>policière</w:t>
      </w:r>
      <w:proofErr w:type="spellEnd"/>
      <w:r w:rsidR="00A275CB" w:rsidRPr="006D01F9">
        <w:rPr>
          <w:i/>
          <w:iCs/>
          <w:lang w:val="en-CA"/>
        </w:rPr>
        <w:t xml:space="preserve"> et </w:t>
      </w:r>
      <w:proofErr w:type="spellStart"/>
      <w:r w:rsidR="00A275CB" w:rsidRPr="006D01F9">
        <w:rPr>
          <w:i/>
          <w:iCs/>
          <w:lang w:val="en-CA"/>
        </w:rPr>
        <w:t>profilage</w:t>
      </w:r>
      <w:proofErr w:type="spellEnd"/>
      <w:r w:rsidRPr="006D01F9">
        <w:rPr>
          <w:lang w:val="en-CA"/>
        </w:rPr>
        <w:t xml:space="preserve"> to</w:t>
      </w:r>
      <w:r w:rsidRPr="002F6CBB">
        <w:rPr>
          <w:lang w:val="en-CA"/>
        </w:rPr>
        <w:t xml:space="preserve"> also include police </w:t>
      </w:r>
      <w:r w:rsidR="001A017E">
        <w:rPr>
          <w:lang w:val="en-CA"/>
        </w:rPr>
        <w:t>interceptions</w:t>
      </w:r>
      <w:r w:rsidRPr="002F6CBB">
        <w:rPr>
          <w:lang w:val="en-CA"/>
        </w:rPr>
        <w:t xml:space="preserve">, </w:t>
      </w:r>
      <w:r w:rsidR="00A275CB">
        <w:rPr>
          <w:lang w:val="en-CA"/>
        </w:rPr>
        <w:t xml:space="preserve">in particular </w:t>
      </w:r>
      <w:r w:rsidRPr="002F6CBB">
        <w:rPr>
          <w:lang w:val="en-CA"/>
        </w:rPr>
        <w:t xml:space="preserve">to collect </w:t>
      </w:r>
      <w:r w:rsidR="00A275CB">
        <w:rPr>
          <w:lang w:val="en-CA"/>
        </w:rPr>
        <w:t xml:space="preserve">data </w:t>
      </w:r>
      <w:r w:rsidRPr="002F6CBB">
        <w:rPr>
          <w:lang w:val="en-CA"/>
        </w:rPr>
        <w:t xml:space="preserve">on actual or presumed racial </w:t>
      </w:r>
      <w:r w:rsidR="00A275CB">
        <w:rPr>
          <w:lang w:val="en-CA"/>
        </w:rPr>
        <w:t xml:space="preserve">background </w:t>
      </w:r>
      <w:r w:rsidRPr="002F6CBB">
        <w:rPr>
          <w:lang w:val="en-CA"/>
        </w:rPr>
        <w:t xml:space="preserve">during police </w:t>
      </w:r>
      <w:r w:rsidR="001A017E">
        <w:rPr>
          <w:lang w:val="en-CA"/>
        </w:rPr>
        <w:t>interceptions</w:t>
      </w:r>
      <w:r w:rsidR="00BC67BE" w:rsidRPr="002F6CBB">
        <w:rPr>
          <w:lang w:val="en-CA"/>
        </w:rPr>
        <w:t>;</w:t>
      </w:r>
    </w:p>
    <w:p w14:paraId="54A9CD9B" w14:textId="210E90F1" w:rsidR="00375010" w:rsidRPr="002F6CBB" w:rsidRDefault="00397B3A" w:rsidP="00082128">
      <w:pPr>
        <w:pStyle w:val="Paragraphe"/>
        <w:tabs>
          <w:tab w:val="clear" w:pos="567"/>
          <w:tab w:val="num" w:pos="709"/>
        </w:tabs>
        <w:rPr>
          <w:lang w:val="en-CA"/>
        </w:rPr>
      </w:pPr>
      <w:r w:rsidRPr="002F6CBB">
        <w:rPr>
          <w:b/>
          <w:bCs/>
          <w:lang w:val="en-CA"/>
        </w:rPr>
        <w:t>ORDERS</w:t>
      </w:r>
      <w:r w:rsidRPr="002F6CBB">
        <w:rPr>
          <w:lang w:val="en-CA"/>
        </w:rPr>
        <w:t xml:space="preserve"> the defendant </w:t>
      </w:r>
      <w:r w:rsidR="00D05E6F" w:rsidRPr="002F6CBB">
        <w:rPr>
          <w:lang w:val="en-CA"/>
        </w:rPr>
        <w:t xml:space="preserve">Ville de </w:t>
      </w:r>
      <w:r w:rsidRPr="002F6CBB">
        <w:rPr>
          <w:lang w:val="en-CA"/>
        </w:rPr>
        <w:t xml:space="preserve">Laval </w:t>
      </w:r>
      <w:r w:rsidR="00BC67BE" w:rsidRPr="002F6CBB">
        <w:rPr>
          <w:lang w:val="en-CA"/>
        </w:rPr>
        <w:t xml:space="preserve">(Service de police de la Ville de Laval) </w:t>
      </w:r>
      <w:r w:rsidRPr="002F6CBB">
        <w:rPr>
          <w:lang w:val="en-CA"/>
        </w:rPr>
        <w:t>to distribute to every person employed by its police force, within one year of this judgment,</w:t>
      </w:r>
      <w:r w:rsidR="00BC67BE" w:rsidRPr="002F6CBB">
        <w:rPr>
          <w:lang w:val="en-CA"/>
        </w:rPr>
        <w:t xml:space="preserve"> </w:t>
      </w:r>
      <w:r w:rsidRPr="002F6CBB">
        <w:rPr>
          <w:lang w:val="en-CA"/>
        </w:rPr>
        <w:t xml:space="preserve">its </w:t>
      </w:r>
      <w:r w:rsidR="00BC67BE" w:rsidRPr="002F6CBB">
        <w:rPr>
          <w:lang w:val="en-CA"/>
        </w:rPr>
        <w:t xml:space="preserve">directive </w:t>
      </w:r>
      <w:r w:rsidR="00A275CB" w:rsidRPr="006D01F9">
        <w:rPr>
          <w:i/>
          <w:iCs/>
          <w:lang w:val="en-CA"/>
        </w:rPr>
        <w:t xml:space="preserve">Interpellation </w:t>
      </w:r>
      <w:proofErr w:type="spellStart"/>
      <w:r w:rsidR="00A275CB" w:rsidRPr="006D01F9">
        <w:rPr>
          <w:i/>
          <w:iCs/>
          <w:lang w:val="en-CA"/>
        </w:rPr>
        <w:t>policière</w:t>
      </w:r>
      <w:proofErr w:type="spellEnd"/>
      <w:r w:rsidR="00A275CB" w:rsidRPr="006D01F9">
        <w:rPr>
          <w:i/>
          <w:iCs/>
          <w:lang w:val="en-CA"/>
        </w:rPr>
        <w:t xml:space="preserve"> et </w:t>
      </w:r>
      <w:proofErr w:type="spellStart"/>
      <w:r w:rsidR="00A275CB" w:rsidRPr="006D01F9">
        <w:rPr>
          <w:i/>
          <w:iCs/>
          <w:lang w:val="en-CA"/>
        </w:rPr>
        <w:t>profilage</w:t>
      </w:r>
      <w:proofErr w:type="spellEnd"/>
      <w:r w:rsidR="0045476C">
        <w:rPr>
          <w:lang w:val="en-CA"/>
        </w:rPr>
        <w:t>,</w:t>
      </w:r>
      <w:r w:rsidR="00BC67BE" w:rsidRPr="002F6CBB">
        <w:rPr>
          <w:lang w:val="en-CA"/>
        </w:rPr>
        <w:t xml:space="preserve"> </w:t>
      </w:r>
      <w:r w:rsidRPr="002F6CBB">
        <w:rPr>
          <w:lang w:val="en-CA"/>
        </w:rPr>
        <w:t xml:space="preserve">revised to include police </w:t>
      </w:r>
      <w:r w:rsidR="001A017E">
        <w:rPr>
          <w:lang w:val="en-CA"/>
        </w:rPr>
        <w:t>interception</w:t>
      </w:r>
      <w:r w:rsidR="0045476C">
        <w:rPr>
          <w:lang w:val="en-CA"/>
        </w:rPr>
        <w:t>,</w:t>
      </w:r>
      <w:r w:rsidR="00A275CB">
        <w:rPr>
          <w:lang w:val="en-CA"/>
        </w:rPr>
        <w:t xml:space="preserve"> </w:t>
      </w:r>
      <w:r w:rsidRPr="002F6CBB">
        <w:rPr>
          <w:lang w:val="en-CA"/>
        </w:rPr>
        <w:t>or upon hiring</w:t>
      </w:r>
      <w:r w:rsidR="00BC67BE" w:rsidRPr="002F6CBB">
        <w:rPr>
          <w:lang w:val="en-CA"/>
        </w:rPr>
        <w:t xml:space="preserve">, </w:t>
      </w:r>
      <w:r w:rsidR="00A275CB">
        <w:rPr>
          <w:lang w:val="en-CA"/>
        </w:rPr>
        <w:t>as the case may be</w:t>
      </w:r>
      <w:r w:rsidR="00BC67BE" w:rsidRPr="002F6CBB">
        <w:rPr>
          <w:lang w:val="en-CA"/>
        </w:rPr>
        <w:t>;</w:t>
      </w:r>
    </w:p>
    <w:p w14:paraId="11419624" w14:textId="25AC512C" w:rsidR="00375010" w:rsidRPr="002F6CBB" w:rsidRDefault="00BC67BE" w:rsidP="00082128">
      <w:pPr>
        <w:pStyle w:val="Paragraphe"/>
        <w:tabs>
          <w:tab w:val="clear" w:pos="567"/>
          <w:tab w:val="num" w:pos="709"/>
        </w:tabs>
        <w:rPr>
          <w:lang w:val="en-CA"/>
        </w:rPr>
      </w:pPr>
      <w:r w:rsidRPr="002F6CBB">
        <w:rPr>
          <w:b/>
          <w:bCs/>
          <w:lang w:val="en-CA"/>
        </w:rPr>
        <w:t>ORD</w:t>
      </w:r>
      <w:r w:rsidR="00397B3A" w:rsidRPr="002F6CBB">
        <w:rPr>
          <w:b/>
          <w:bCs/>
          <w:lang w:val="en-CA"/>
        </w:rPr>
        <w:t>ERS</w:t>
      </w:r>
      <w:r w:rsidRPr="002F6CBB">
        <w:rPr>
          <w:lang w:val="en-CA"/>
        </w:rPr>
        <w:t xml:space="preserve"> </w:t>
      </w:r>
      <w:r w:rsidR="00397B3A" w:rsidRPr="002F6CBB">
        <w:rPr>
          <w:lang w:val="en-CA"/>
        </w:rPr>
        <w:t xml:space="preserve">the defendant </w:t>
      </w:r>
      <w:r w:rsidR="00D05E6F" w:rsidRPr="002F6CBB">
        <w:rPr>
          <w:lang w:val="en-CA"/>
        </w:rPr>
        <w:t>Ville</w:t>
      </w:r>
      <w:r w:rsidR="00397B3A" w:rsidRPr="002F6CBB">
        <w:rPr>
          <w:lang w:val="en-CA"/>
        </w:rPr>
        <w:t xml:space="preserve"> </w:t>
      </w:r>
      <w:r w:rsidR="00D05E6F" w:rsidRPr="002F6CBB">
        <w:rPr>
          <w:lang w:val="en-CA"/>
        </w:rPr>
        <w:t>de</w:t>
      </w:r>
      <w:r w:rsidRPr="002F6CBB">
        <w:rPr>
          <w:lang w:val="en-CA"/>
        </w:rPr>
        <w:t xml:space="preserve"> Laval (Service de police de la Ville de Laval) </w:t>
      </w:r>
      <w:r w:rsidR="00397B3A" w:rsidRPr="002F6CBB">
        <w:rPr>
          <w:lang w:val="en-CA"/>
        </w:rPr>
        <w:t xml:space="preserve">to ensure that its training on the </w:t>
      </w:r>
      <w:proofErr w:type="spellStart"/>
      <w:r w:rsidR="00831ABA" w:rsidRPr="00CE5B09">
        <w:rPr>
          <w:i/>
          <w:iCs/>
          <w:lang w:val="en-CA"/>
        </w:rPr>
        <w:t>Chartes</w:t>
      </w:r>
      <w:proofErr w:type="spellEnd"/>
      <w:r w:rsidR="00831ABA" w:rsidRPr="00CE5B09">
        <w:rPr>
          <w:i/>
          <w:iCs/>
          <w:lang w:val="en-CA"/>
        </w:rPr>
        <w:t xml:space="preserve"> des droits et </w:t>
      </w:r>
      <w:proofErr w:type="spellStart"/>
      <w:r w:rsidR="00831ABA" w:rsidRPr="00CE5B09">
        <w:rPr>
          <w:i/>
          <w:iCs/>
          <w:lang w:val="en-CA"/>
        </w:rPr>
        <w:t>libertés</w:t>
      </w:r>
      <w:proofErr w:type="spellEnd"/>
      <w:r w:rsidR="00831ABA" w:rsidRPr="00CE5B09">
        <w:rPr>
          <w:i/>
          <w:iCs/>
          <w:lang w:val="en-CA"/>
        </w:rPr>
        <w:t xml:space="preserve"> de la personne et travail </w:t>
      </w:r>
      <w:proofErr w:type="spellStart"/>
      <w:r w:rsidR="00831ABA" w:rsidRPr="00CE5B09">
        <w:rPr>
          <w:i/>
          <w:iCs/>
          <w:lang w:val="en-CA"/>
        </w:rPr>
        <w:t>policier</w:t>
      </w:r>
      <w:proofErr w:type="spellEnd"/>
      <w:r w:rsidRPr="002F6CBB">
        <w:rPr>
          <w:lang w:val="en-CA"/>
        </w:rPr>
        <w:t xml:space="preserve"> </w:t>
      </w:r>
      <w:r w:rsidR="00397B3A" w:rsidRPr="002F6CBB">
        <w:rPr>
          <w:lang w:val="en-CA"/>
        </w:rPr>
        <w:t xml:space="preserve">be updated annually and that every person employed </w:t>
      </w:r>
      <w:r w:rsidR="00831ABA">
        <w:rPr>
          <w:lang w:val="en-CA"/>
        </w:rPr>
        <w:t>by</w:t>
      </w:r>
      <w:r w:rsidR="00397B3A" w:rsidRPr="002F6CBB">
        <w:rPr>
          <w:lang w:val="en-CA"/>
        </w:rPr>
        <w:t xml:space="preserve"> its police force receive this training within three months of being hired and every five years thereafter</w:t>
      </w:r>
      <w:r w:rsidRPr="002F6CBB">
        <w:rPr>
          <w:lang w:val="en-CA"/>
        </w:rPr>
        <w:t>;</w:t>
      </w:r>
    </w:p>
    <w:p w14:paraId="1C29ACF6" w14:textId="0C36154D" w:rsidR="00375010" w:rsidRPr="002F6CBB" w:rsidRDefault="00397B3A" w:rsidP="00082128">
      <w:pPr>
        <w:pStyle w:val="Paragraphe"/>
        <w:tabs>
          <w:tab w:val="clear" w:pos="567"/>
          <w:tab w:val="num" w:pos="709"/>
        </w:tabs>
        <w:rPr>
          <w:lang w:val="en-CA"/>
        </w:rPr>
      </w:pPr>
      <w:r w:rsidRPr="002F6CBB">
        <w:rPr>
          <w:b/>
          <w:bCs/>
          <w:lang w:val="en-CA"/>
        </w:rPr>
        <w:t>THE WHOLE</w:t>
      </w:r>
      <w:r w:rsidR="00BC67BE" w:rsidRPr="002F6CBB">
        <w:rPr>
          <w:lang w:val="en-CA"/>
        </w:rPr>
        <w:t xml:space="preserve"> </w:t>
      </w:r>
      <w:r w:rsidRPr="002F6CBB">
        <w:rPr>
          <w:lang w:val="en-CA"/>
        </w:rPr>
        <w:t xml:space="preserve">with interest at the legal rate and the additional indemnity under </w:t>
      </w:r>
      <w:r w:rsidR="00BC67BE" w:rsidRPr="002F6CBB">
        <w:rPr>
          <w:lang w:val="en-CA"/>
        </w:rPr>
        <w:t>article 1619 C</w:t>
      </w:r>
      <w:r w:rsidRPr="002F6CBB">
        <w:rPr>
          <w:lang w:val="en-CA"/>
        </w:rPr>
        <w:t>C</w:t>
      </w:r>
      <w:r w:rsidR="00BC67BE" w:rsidRPr="002F6CBB">
        <w:rPr>
          <w:lang w:val="en-CA"/>
        </w:rPr>
        <w:t xml:space="preserve">Q </w:t>
      </w:r>
      <w:r w:rsidR="00CE5B09">
        <w:rPr>
          <w:lang w:val="en-CA"/>
        </w:rPr>
        <w:t>as of</w:t>
      </w:r>
      <w:r w:rsidR="00831ABA">
        <w:rPr>
          <w:lang w:val="en-CA"/>
        </w:rPr>
        <w:t xml:space="preserve"> the date of</w:t>
      </w:r>
      <w:r w:rsidRPr="002F6CBB">
        <w:rPr>
          <w:lang w:val="en-CA"/>
        </w:rPr>
        <w:t xml:space="preserve"> </w:t>
      </w:r>
      <w:r w:rsidR="00CE2BA6">
        <w:rPr>
          <w:lang w:val="en-CA"/>
        </w:rPr>
        <w:t xml:space="preserve">service of </w:t>
      </w:r>
      <w:r w:rsidRPr="002F6CBB">
        <w:rPr>
          <w:lang w:val="en-CA"/>
        </w:rPr>
        <w:t xml:space="preserve">the </w:t>
      </w:r>
      <w:r w:rsidR="00CE2BA6">
        <w:rPr>
          <w:lang w:val="en-CA"/>
        </w:rPr>
        <w:t xml:space="preserve">proposed </w:t>
      </w:r>
      <w:r w:rsidRPr="002F6CBB">
        <w:rPr>
          <w:lang w:val="en-CA"/>
        </w:rPr>
        <w:t xml:space="preserve">measures </w:t>
      </w:r>
      <w:r w:rsidR="00CE2BA6">
        <w:rPr>
          <w:lang w:val="en-CA"/>
        </w:rPr>
        <w:t xml:space="preserve">of redress </w:t>
      </w:r>
      <w:r w:rsidRPr="002F6CBB">
        <w:rPr>
          <w:lang w:val="en-CA"/>
        </w:rPr>
        <w:t>for moral damages and as of the date of the judgment for punitive damages, as well as legal costs, including any expert fees</w:t>
      </w:r>
      <w:r w:rsidR="00BC67BE" w:rsidRPr="002F6CBB">
        <w:rPr>
          <w:lang w:val="en-CA"/>
        </w:rPr>
        <w:t>.</w:t>
      </w:r>
    </w:p>
    <w:p w14:paraId="05DD1098" w14:textId="77777777" w:rsidR="000C0364" w:rsidRPr="002F6CBB" w:rsidRDefault="000C0364" w:rsidP="00185A28">
      <w:pPr>
        <w:pStyle w:val="Paragraphe"/>
        <w:numPr>
          <w:ilvl w:val="0"/>
          <w:numId w:val="0"/>
        </w:numPr>
        <w:rPr>
          <w:lang w:val="en-CA"/>
        </w:rPr>
      </w:pPr>
    </w:p>
    <w:p w14:paraId="0CD245AE" w14:textId="77777777" w:rsidR="005648FE" w:rsidRPr="002F6CBB" w:rsidRDefault="005648FE" w:rsidP="00185A28">
      <w:pPr>
        <w:pStyle w:val="Paragraphe"/>
        <w:numPr>
          <w:ilvl w:val="0"/>
          <w:numId w:val="0"/>
        </w:numPr>
        <w:rPr>
          <w:lang w:val="en-CA"/>
        </w:rPr>
      </w:pP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200D0C" w:rsidRPr="00666C78" w14:paraId="0076E5F6" w14:textId="77777777" w:rsidTr="00E728B8">
        <w:trPr>
          <w:trHeight w:val="576"/>
        </w:trPr>
        <w:tc>
          <w:tcPr>
            <w:tcW w:w="9505" w:type="dxa"/>
            <w:gridSpan w:val="3"/>
          </w:tcPr>
          <w:p w14:paraId="79C7C8FF" w14:textId="77777777" w:rsidR="00D025F2" w:rsidRPr="002F6CBB" w:rsidRDefault="00D025F2">
            <w:pPr>
              <w:keepNext/>
              <w:keepLines/>
              <w:rPr>
                <w:lang w:val="en-CA"/>
              </w:rPr>
            </w:pPr>
          </w:p>
        </w:tc>
      </w:tr>
      <w:tr w:rsidR="00200D0C" w:rsidRPr="00666C78" w14:paraId="65C05C0F" w14:textId="77777777" w:rsidTr="00E728B8">
        <w:tblPrEx>
          <w:tblCellMar>
            <w:left w:w="0" w:type="dxa"/>
            <w:right w:w="0" w:type="dxa"/>
          </w:tblCellMar>
        </w:tblPrEx>
        <w:trPr>
          <w:cantSplit/>
        </w:trPr>
        <w:tc>
          <w:tcPr>
            <w:tcW w:w="4867" w:type="dxa"/>
            <w:gridSpan w:val="2"/>
          </w:tcPr>
          <w:p w14:paraId="6C60C3A4" w14:textId="77777777" w:rsidR="00D025F2" w:rsidRPr="002F6CBB" w:rsidRDefault="00D025F2">
            <w:pPr>
              <w:rPr>
                <w:lang w:val="en-CA"/>
              </w:rPr>
            </w:pPr>
          </w:p>
        </w:tc>
        <w:tc>
          <w:tcPr>
            <w:tcW w:w="4638" w:type="dxa"/>
          </w:tcPr>
          <w:p w14:paraId="573E4A09" w14:textId="77777777" w:rsidR="00D025F2" w:rsidRPr="002F6CBB" w:rsidRDefault="00BC67BE">
            <w:pPr>
              <w:pStyle w:val="zSoquijdatSignature3Juge"/>
              <w:rPr>
                <w:lang w:val="en-CA"/>
              </w:rPr>
            </w:pPr>
            <w:r w:rsidRPr="002F6CBB">
              <w:rPr>
                <w:lang w:val="en-CA"/>
              </w:rPr>
              <w:t>__________________________________</w:t>
            </w:r>
          </w:p>
          <w:p w14:paraId="039CE2C4" w14:textId="77777777" w:rsidR="00F55079" w:rsidRDefault="00F55079" w:rsidP="00853B9F">
            <w:pPr>
              <w:pStyle w:val="zSoquijdatSignature3Juge"/>
              <w:jc w:val="both"/>
              <w:rPr>
                <w:caps/>
                <w:lang w:val="en-CA"/>
              </w:rPr>
            </w:pPr>
            <w:r w:rsidRPr="00F55079">
              <w:rPr>
                <w:caps/>
                <w:lang w:val="en-CA"/>
              </w:rPr>
              <w:t>catherine pilon</w:t>
            </w:r>
            <w:r>
              <w:rPr>
                <w:caps/>
                <w:lang w:val="en-CA"/>
              </w:rPr>
              <w:t>,</w:t>
            </w:r>
          </w:p>
          <w:p w14:paraId="416BF5C5" w14:textId="3410CD33" w:rsidR="00E728B8" w:rsidRPr="002F6CBB" w:rsidRDefault="00087FFE" w:rsidP="00853B9F">
            <w:pPr>
              <w:pStyle w:val="zSoquijdatSignature3Juge"/>
              <w:jc w:val="both"/>
              <w:rPr>
                <w:b/>
                <w:lang w:val="en-CA"/>
              </w:rPr>
            </w:pPr>
            <w:r w:rsidRPr="002F6CBB">
              <w:rPr>
                <w:b/>
                <w:lang w:val="en-CA"/>
              </w:rPr>
              <w:t xml:space="preserve">Judge </w:t>
            </w:r>
            <w:r w:rsidR="00831ABA">
              <w:rPr>
                <w:b/>
                <w:lang w:val="en-CA"/>
              </w:rPr>
              <w:t xml:space="preserve">of the </w:t>
            </w:r>
            <w:r w:rsidRPr="002F6CBB">
              <w:rPr>
                <w:b/>
                <w:lang w:val="en-CA"/>
              </w:rPr>
              <w:t xml:space="preserve">Human Rights </w:t>
            </w:r>
            <w:r w:rsidR="00BC67BE" w:rsidRPr="002F6CBB">
              <w:rPr>
                <w:b/>
                <w:lang w:val="en-CA"/>
              </w:rPr>
              <w:t xml:space="preserve">Tribunal </w:t>
            </w:r>
          </w:p>
        </w:tc>
      </w:tr>
      <w:tr w:rsidR="00200D0C" w:rsidRPr="00666C78" w14:paraId="3AB108DF" w14:textId="77777777" w:rsidTr="00E728B8">
        <w:tc>
          <w:tcPr>
            <w:tcW w:w="9505" w:type="dxa"/>
            <w:gridSpan w:val="3"/>
          </w:tcPr>
          <w:p w14:paraId="1F988EF5" w14:textId="77777777" w:rsidR="00D025F2" w:rsidRPr="002F6CBB" w:rsidRDefault="00D025F2">
            <w:pPr>
              <w:rPr>
                <w:lang w:val="en-CA"/>
              </w:rPr>
            </w:pPr>
          </w:p>
        </w:tc>
      </w:tr>
      <w:tr w:rsidR="00200D0C" w:rsidRPr="002F6CBB" w14:paraId="19BC1034" w14:textId="77777777" w:rsidTr="00E728B8">
        <w:trPr>
          <w:cantSplit/>
        </w:trPr>
        <w:tc>
          <w:tcPr>
            <w:tcW w:w="9505" w:type="dxa"/>
            <w:gridSpan w:val="3"/>
          </w:tcPr>
          <w:p w14:paraId="34AE31DF" w14:textId="7D600771" w:rsidR="00D025F2" w:rsidRPr="002F6CBB" w:rsidRDefault="00BC67BE" w:rsidP="00391B04">
            <w:pPr>
              <w:pStyle w:val="zSoquijdatNomProcureurDem"/>
              <w:rPr>
                <w:lang w:val="en-CA"/>
              </w:rPr>
            </w:pPr>
            <w:proofErr w:type="spellStart"/>
            <w:r w:rsidRPr="002F6CBB">
              <w:rPr>
                <w:lang w:val="en-CA"/>
              </w:rPr>
              <w:t>M</w:t>
            </w:r>
            <w:r w:rsidR="00087FFE" w:rsidRPr="002F6CBB">
              <w:rPr>
                <w:lang w:val="en-CA"/>
              </w:rPr>
              <w:t>tre</w:t>
            </w:r>
            <w:proofErr w:type="spellEnd"/>
            <w:r w:rsidRPr="002F6CBB">
              <w:rPr>
                <w:lang w:val="en-CA"/>
              </w:rPr>
              <w:t xml:space="preserve"> </w:t>
            </w:r>
            <w:proofErr w:type="spellStart"/>
            <w:r w:rsidRPr="002F6CBB">
              <w:rPr>
                <w:lang w:val="en-CA"/>
              </w:rPr>
              <w:t>Buschra</w:t>
            </w:r>
            <w:proofErr w:type="spellEnd"/>
            <w:r w:rsidRPr="002F6CBB">
              <w:rPr>
                <w:lang w:val="en-CA"/>
              </w:rPr>
              <w:t xml:space="preserve"> </w:t>
            </w:r>
            <w:proofErr w:type="spellStart"/>
            <w:r w:rsidRPr="002F6CBB">
              <w:rPr>
                <w:lang w:val="en-CA"/>
              </w:rPr>
              <w:t>Jalabi</w:t>
            </w:r>
            <w:proofErr w:type="spellEnd"/>
          </w:p>
        </w:tc>
      </w:tr>
      <w:tr w:rsidR="00200D0C" w:rsidRPr="002F6CBB" w14:paraId="7D456971" w14:textId="77777777" w:rsidTr="009D150A">
        <w:trPr>
          <w:cantSplit/>
        </w:trPr>
        <w:tc>
          <w:tcPr>
            <w:tcW w:w="9505" w:type="dxa"/>
            <w:gridSpan w:val="3"/>
            <w:shd w:val="clear" w:color="auto" w:fill="auto"/>
          </w:tcPr>
          <w:p w14:paraId="5EC66CB6" w14:textId="4C7FA298" w:rsidR="009D150A" w:rsidRPr="002F6CBB" w:rsidRDefault="00BC67BE" w:rsidP="00391B04">
            <w:pPr>
              <w:pStyle w:val="zSoquijdatNomProcureurDem"/>
              <w:rPr>
                <w:lang w:val="en-CA"/>
              </w:rPr>
            </w:pPr>
            <w:r w:rsidRPr="002F6CBB">
              <w:rPr>
                <w:noProof/>
                <w:lang w:val="en-CA"/>
              </w:rPr>
              <w:t>M</w:t>
            </w:r>
            <w:r w:rsidR="00087FFE" w:rsidRPr="002F6CBB">
              <w:rPr>
                <w:noProof/>
                <w:lang w:val="en-CA"/>
              </w:rPr>
              <w:t>tre</w:t>
            </w:r>
            <w:r w:rsidRPr="002F6CBB">
              <w:rPr>
                <w:noProof/>
                <w:lang w:val="en-CA"/>
              </w:rPr>
              <w:t xml:space="preserve"> Erin Sandberg</w:t>
            </w:r>
          </w:p>
        </w:tc>
      </w:tr>
      <w:tr w:rsidR="00200D0C" w:rsidRPr="002F6CBB" w14:paraId="547B15B5" w14:textId="77777777" w:rsidTr="00E728B8">
        <w:trPr>
          <w:cantSplit/>
        </w:trPr>
        <w:tc>
          <w:tcPr>
            <w:tcW w:w="9505" w:type="dxa"/>
            <w:gridSpan w:val="3"/>
          </w:tcPr>
          <w:p w14:paraId="6AEB0065" w14:textId="31F58FD7" w:rsidR="00D025F2" w:rsidRPr="002F6CBB" w:rsidRDefault="00F55079" w:rsidP="00F55079">
            <w:pPr>
              <w:pStyle w:val="zSoquijdatNomProcureurDem"/>
              <w:rPr>
                <w:caps/>
                <w:lang w:val="en-CA"/>
              </w:rPr>
            </w:pPr>
            <w:r w:rsidRPr="00F55079">
              <w:rPr>
                <w:caps/>
                <w:lang w:val="en-CA"/>
              </w:rPr>
              <w:t>BITZAKIDIS CLÉMENT-MAJOR FOURNIER</w:t>
            </w:r>
          </w:p>
        </w:tc>
      </w:tr>
      <w:tr w:rsidR="00200D0C" w:rsidRPr="002F6CBB" w14:paraId="44BB16CA" w14:textId="77777777" w:rsidTr="00E728B8">
        <w:trPr>
          <w:cantSplit/>
        </w:trPr>
        <w:tc>
          <w:tcPr>
            <w:tcW w:w="9505" w:type="dxa"/>
            <w:gridSpan w:val="3"/>
          </w:tcPr>
          <w:p w14:paraId="10FC93B4" w14:textId="7CAA76D5" w:rsidR="00D025F2" w:rsidRPr="002F6CBB" w:rsidRDefault="00087FFE">
            <w:pPr>
              <w:pStyle w:val="zSoquijlblProcureurDem"/>
              <w:rPr>
                <w:lang w:val="en-CA"/>
              </w:rPr>
            </w:pPr>
            <w:r w:rsidRPr="002F6CBB">
              <w:rPr>
                <w:lang w:val="en-CA"/>
              </w:rPr>
              <w:t>For the plaintiff</w:t>
            </w:r>
          </w:p>
        </w:tc>
      </w:tr>
      <w:tr w:rsidR="00200D0C" w:rsidRPr="002F6CBB" w14:paraId="5FBE2DEA" w14:textId="77777777" w:rsidTr="00E728B8">
        <w:trPr>
          <w:cantSplit/>
        </w:trPr>
        <w:tc>
          <w:tcPr>
            <w:tcW w:w="9505" w:type="dxa"/>
            <w:gridSpan w:val="3"/>
          </w:tcPr>
          <w:p w14:paraId="58661847" w14:textId="77777777" w:rsidR="00D025F2" w:rsidRPr="002F6CBB" w:rsidRDefault="00D025F2">
            <w:pPr>
              <w:rPr>
                <w:lang w:val="en-CA"/>
              </w:rPr>
            </w:pPr>
          </w:p>
        </w:tc>
      </w:tr>
      <w:tr w:rsidR="00200D0C" w:rsidRPr="002F6CBB" w14:paraId="3F4EA855" w14:textId="77777777" w:rsidTr="00E728B8">
        <w:trPr>
          <w:cantSplit/>
        </w:trPr>
        <w:tc>
          <w:tcPr>
            <w:tcW w:w="9505" w:type="dxa"/>
            <w:gridSpan w:val="3"/>
          </w:tcPr>
          <w:p w14:paraId="1DF446D9" w14:textId="487D0858" w:rsidR="004A0731" w:rsidRPr="005A25C1" w:rsidRDefault="00BC67BE" w:rsidP="004A0731">
            <w:pPr>
              <w:pStyle w:val="zSoquijdatNomProcureurDem"/>
            </w:pPr>
            <w:proofErr w:type="spellStart"/>
            <w:r w:rsidRPr="005A25C1">
              <w:t>M</w:t>
            </w:r>
            <w:r w:rsidR="00087FFE" w:rsidRPr="005A25C1">
              <w:t>tre</w:t>
            </w:r>
            <w:proofErr w:type="spellEnd"/>
            <w:r w:rsidRPr="005A25C1">
              <w:t xml:space="preserve"> Marie-Pier Dussault-Picard</w:t>
            </w:r>
          </w:p>
        </w:tc>
      </w:tr>
      <w:tr w:rsidR="00200D0C" w:rsidRPr="002F6CBB" w14:paraId="5CBB9EF3" w14:textId="77777777" w:rsidTr="00E728B8">
        <w:trPr>
          <w:cantSplit/>
        </w:trPr>
        <w:tc>
          <w:tcPr>
            <w:tcW w:w="9505" w:type="dxa"/>
            <w:gridSpan w:val="3"/>
          </w:tcPr>
          <w:p w14:paraId="479C92E1" w14:textId="6FAD0475" w:rsidR="009D150A" w:rsidRPr="002F6CBB" w:rsidRDefault="00BC67BE" w:rsidP="004A0731">
            <w:pPr>
              <w:pStyle w:val="zSoquijdatNomProcureurDem"/>
              <w:rPr>
                <w:lang w:val="en-CA"/>
              </w:rPr>
            </w:pPr>
            <w:proofErr w:type="spellStart"/>
            <w:r w:rsidRPr="002F6CBB">
              <w:rPr>
                <w:lang w:val="en-CA"/>
              </w:rPr>
              <w:t>M</w:t>
            </w:r>
            <w:r w:rsidR="00087FFE" w:rsidRPr="002F6CBB">
              <w:rPr>
                <w:lang w:val="en-CA"/>
              </w:rPr>
              <w:t>tre</w:t>
            </w:r>
            <w:proofErr w:type="spellEnd"/>
            <w:r w:rsidRPr="002F6CBB">
              <w:rPr>
                <w:lang w:val="en-CA"/>
              </w:rPr>
              <w:t xml:space="preserve"> Maryann Carter</w:t>
            </w:r>
          </w:p>
        </w:tc>
      </w:tr>
      <w:tr w:rsidR="00200D0C" w:rsidRPr="002F6CBB" w14:paraId="00CA9529" w14:textId="77777777" w:rsidTr="00E728B8">
        <w:trPr>
          <w:cantSplit/>
        </w:trPr>
        <w:tc>
          <w:tcPr>
            <w:tcW w:w="9505" w:type="dxa"/>
            <w:gridSpan w:val="3"/>
          </w:tcPr>
          <w:p w14:paraId="24CDA89F" w14:textId="77777777" w:rsidR="009D150A" w:rsidRPr="002F6CBB" w:rsidRDefault="00BC67BE" w:rsidP="004A0731">
            <w:pPr>
              <w:pStyle w:val="zSoquijdatNomProcureurDem"/>
              <w:rPr>
                <w:lang w:val="en-CA"/>
              </w:rPr>
            </w:pPr>
            <w:r w:rsidRPr="002F6CBB">
              <w:rPr>
                <w:lang w:val="en-CA"/>
              </w:rPr>
              <w:t>LESAJ, AVOCATS ET NOTAIRES</w:t>
            </w:r>
          </w:p>
        </w:tc>
      </w:tr>
      <w:tr w:rsidR="00200D0C" w:rsidRPr="002F6CBB" w14:paraId="17DCBA22" w14:textId="77777777" w:rsidTr="00E728B8">
        <w:trPr>
          <w:cantSplit/>
        </w:trPr>
        <w:tc>
          <w:tcPr>
            <w:tcW w:w="9505" w:type="dxa"/>
            <w:gridSpan w:val="3"/>
          </w:tcPr>
          <w:p w14:paraId="76C8FE9D" w14:textId="74B917A7" w:rsidR="00E728B8" w:rsidRPr="002F6CBB" w:rsidRDefault="00087FFE" w:rsidP="004A0731">
            <w:pPr>
              <w:pStyle w:val="zSoquijlblProcureurDem"/>
              <w:rPr>
                <w:lang w:val="en-CA"/>
              </w:rPr>
            </w:pPr>
            <w:r w:rsidRPr="002F6CBB">
              <w:rPr>
                <w:lang w:val="en-CA"/>
              </w:rPr>
              <w:t>For the defendants</w:t>
            </w:r>
            <w:r w:rsidR="00BC67BE" w:rsidRPr="002F6CBB">
              <w:rPr>
                <w:lang w:val="en-CA"/>
              </w:rPr>
              <w:t xml:space="preserve"> </w:t>
            </w:r>
          </w:p>
        </w:tc>
      </w:tr>
      <w:tr w:rsidR="00200D0C" w:rsidRPr="002F6CBB" w14:paraId="10D1ECBC" w14:textId="77777777" w:rsidTr="00154827">
        <w:tc>
          <w:tcPr>
            <w:tcW w:w="9505" w:type="dxa"/>
            <w:gridSpan w:val="3"/>
          </w:tcPr>
          <w:p w14:paraId="09DD7B5A" w14:textId="77777777" w:rsidR="00D025F2" w:rsidRPr="002F6CBB" w:rsidRDefault="00BC67BE">
            <w:pPr>
              <w:rPr>
                <w:lang w:val="en-CA"/>
              </w:rPr>
            </w:pPr>
            <w:r w:rsidRPr="002F6CBB">
              <w:rPr>
                <w:lang w:val="en-CA"/>
              </w:rPr>
              <w:t xml:space="preserve"> </w:t>
            </w:r>
          </w:p>
        </w:tc>
      </w:tr>
      <w:tr w:rsidR="00200D0C" w:rsidRPr="00666C78" w14:paraId="76D9AC28" w14:textId="77777777" w:rsidTr="00CD02C5">
        <w:tc>
          <w:tcPr>
            <w:tcW w:w="2197" w:type="dxa"/>
          </w:tcPr>
          <w:p w14:paraId="6073B53F" w14:textId="14AA750C" w:rsidR="00154827" w:rsidRPr="002F6CBB" w:rsidRDefault="00BC67BE" w:rsidP="00154827">
            <w:pPr>
              <w:pStyle w:val="zSoquijlblDateAudience"/>
              <w:rPr>
                <w:lang w:val="en-CA"/>
              </w:rPr>
            </w:pPr>
            <w:r w:rsidRPr="002F6CBB">
              <w:rPr>
                <w:lang w:val="en-CA"/>
              </w:rPr>
              <w:t xml:space="preserve">Dates </w:t>
            </w:r>
            <w:r w:rsidR="00087FFE" w:rsidRPr="002F6CBB">
              <w:rPr>
                <w:lang w:val="en-CA"/>
              </w:rPr>
              <w:t>of hearing</w:t>
            </w:r>
            <w:r w:rsidRPr="002F6CBB">
              <w:rPr>
                <w:lang w:val="en-CA"/>
              </w:rPr>
              <w:t>:</w:t>
            </w:r>
          </w:p>
        </w:tc>
        <w:tc>
          <w:tcPr>
            <w:tcW w:w="7308" w:type="dxa"/>
            <w:gridSpan w:val="2"/>
          </w:tcPr>
          <w:p w14:paraId="51FD20A1" w14:textId="5BD745F6" w:rsidR="00154827" w:rsidRPr="002F6CBB" w:rsidRDefault="00087FFE" w:rsidP="00154827">
            <w:pPr>
              <w:pStyle w:val="zSoquijdatDateAudience"/>
              <w:rPr>
                <w:lang w:val="en-CA"/>
              </w:rPr>
            </w:pPr>
            <w:r w:rsidRPr="002F6CBB">
              <w:rPr>
                <w:lang w:val="en-CA"/>
              </w:rPr>
              <w:t xml:space="preserve">March </w:t>
            </w:r>
            <w:r w:rsidR="00BC67BE" w:rsidRPr="002F6CBB">
              <w:rPr>
                <w:lang w:val="en-CA"/>
              </w:rPr>
              <w:t xml:space="preserve">6 </w:t>
            </w:r>
            <w:r w:rsidRPr="002F6CBB">
              <w:rPr>
                <w:lang w:val="en-CA"/>
              </w:rPr>
              <w:t>to</w:t>
            </w:r>
            <w:r w:rsidR="00BC67BE" w:rsidRPr="002F6CBB">
              <w:rPr>
                <w:lang w:val="en-CA"/>
              </w:rPr>
              <w:t xml:space="preserve"> 10</w:t>
            </w:r>
            <w:r w:rsidRPr="002F6CBB">
              <w:rPr>
                <w:lang w:val="en-CA"/>
              </w:rPr>
              <w:t>,</w:t>
            </w:r>
            <w:r w:rsidR="00BC67BE" w:rsidRPr="002F6CBB">
              <w:rPr>
                <w:lang w:val="en-CA"/>
              </w:rPr>
              <w:t xml:space="preserve"> </w:t>
            </w:r>
            <w:r w:rsidRPr="002F6CBB">
              <w:rPr>
                <w:lang w:val="en-CA"/>
              </w:rPr>
              <w:t xml:space="preserve">May </w:t>
            </w:r>
            <w:r w:rsidR="00BC67BE" w:rsidRPr="002F6CBB">
              <w:rPr>
                <w:lang w:val="en-CA"/>
              </w:rPr>
              <w:t xml:space="preserve">18 </w:t>
            </w:r>
            <w:r w:rsidRPr="002F6CBB">
              <w:rPr>
                <w:lang w:val="en-CA"/>
              </w:rPr>
              <w:t>and</w:t>
            </w:r>
            <w:r w:rsidR="00BC67BE" w:rsidRPr="002F6CBB">
              <w:rPr>
                <w:lang w:val="en-CA"/>
              </w:rPr>
              <w:t xml:space="preserve"> 23, </w:t>
            </w:r>
            <w:r w:rsidRPr="002F6CBB">
              <w:rPr>
                <w:lang w:val="en-CA"/>
              </w:rPr>
              <w:t xml:space="preserve">June </w:t>
            </w:r>
            <w:r w:rsidR="00BC67BE" w:rsidRPr="002F6CBB">
              <w:rPr>
                <w:lang w:val="en-CA"/>
              </w:rPr>
              <w:t>6</w:t>
            </w:r>
            <w:r w:rsidRPr="002F6CBB">
              <w:rPr>
                <w:lang w:val="en-CA"/>
              </w:rPr>
              <w:t>,</w:t>
            </w:r>
            <w:r w:rsidR="00BC67BE" w:rsidRPr="002F6CBB">
              <w:rPr>
                <w:lang w:val="en-CA"/>
              </w:rPr>
              <w:t xml:space="preserve"> 2023</w:t>
            </w:r>
          </w:p>
        </w:tc>
      </w:tr>
    </w:tbl>
    <w:p w14:paraId="17AE7B69" w14:textId="77777777" w:rsidR="00154827" w:rsidRPr="002F6CBB" w:rsidRDefault="00154827" w:rsidP="00154827">
      <w:pPr>
        <w:rPr>
          <w:lang w:val="en-CA"/>
        </w:rPr>
      </w:pPr>
    </w:p>
    <w:sectPr w:rsidR="00154827" w:rsidRPr="002F6CBB">
      <w:headerReference w:type="even" r:id="rId8"/>
      <w:headerReference w:type="default" r:id="rId9"/>
      <w:footerReference w:type="even" r:id="rId10"/>
      <w:headerReference w:type="first" r:id="rId11"/>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C691" w14:textId="77777777" w:rsidR="00E56C53" w:rsidRDefault="00E56C53">
      <w:r>
        <w:separator/>
      </w:r>
    </w:p>
  </w:endnote>
  <w:endnote w:type="continuationSeparator" w:id="0">
    <w:p w14:paraId="7325AF9E" w14:textId="77777777" w:rsidR="00E56C53" w:rsidRDefault="00E5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23B7" w14:textId="77777777" w:rsidR="00D025F2" w:rsidRDefault="00BC67BE">
    <w:pPr>
      <w:framePr w:wrap="around" w:vAnchor="text" w:hAnchor="margin" w:xAlign="right" w:y="1"/>
    </w:pPr>
    <w:r>
      <w:fldChar w:fldCharType="begin"/>
    </w:r>
    <w:r>
      <w:instrText xml:space="preserve">PAGE  </w:instrText>
    </w:r>
    <w:r>
      <w:fldChar w:fldCharType="separate"/>
    </w:r>
    <w:r w:rsidR="00936A52">
      <w:rPr>
        <w:noProof/>
      </w:rPr>
      <w:t>2</w:t>
    </w:r>
    <w:r>
      <w:fldChar w:fldCharType="end"/>
    </w:r>
  </w:p>
  <w:p w14:paraId="6C0BF8F9" w14:textId="77777777" w:rsidR="00D025F2" w:rsidRDefault="00D025F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51A1" w14:textId="77777777" w:rsidR="00E56C53" w:rsidRDefault="00E56C53">
      <w:r>
        <w:separator/>
      </w:r>
    </w:p>
  </w:footnote>
  <w:footnote w:type="continuationSeparator" w:id="0">
    <w:p w14:paraId="08FEF23B" w14:textId="77777777" w:rsidR="00E56C53" w:rsidRDefault="00E56C53">
      <w:r>
        <w:continuationSeparator/>
      </w:r>
    </w:p>
  </w:footnote>
  <w:footnote w:id="1">
    <w:p w14:paraId="733C37FF" w14:textId="52DD7747" w:rsidR="000F209C" w:rsidRPr="002F6CBB" w:rsidRDefault="000F209C" w:rsidP="000F209C">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00D72350" w:rsidRPr="002F6CBB">
        <w:rPr>
          <w:i/>
          <w:iCs/>
          <w:lang w:val="en-CA"/>
        </w:rPr>
        <w:t>Charter of human rights and freedoms</w:t>
      </w:r>
      <w:r w:rsidRPr="002F6CBB">
        <w:rPr>
          <w:lang w:val="en-CA"/>
        </w:rPr>
        <w:t xml:space="preserve">, </w:t>
      </w:r>
      <w:r w:rsidR="00D72350" w:rsidRPr="002F6CBB">
        <w:rPr>
          <w:lang w:val="en-CA"/>
        </w:rPr>
        <w:t>CQLR</w:t>
      </w:r>
      <w:r w:rsidRPr="002F6CBB">
        <w:rPr>
          <w:lang w:val="en-CA"/>
        </w:rPr>
        <w:t xml:space="preserve">, c. C-12 </w:t>
      </w:r>
      <w:r w:rsidR="0073616C">
        <w:rPr>
          <w:lang w:val="en-CA"/>
        </w:rPr>
        <w:t>[</w:t>
      </w:r>
      <w:r w:rsidRPr="002F6CBB">
        <w:rPr>
          <w:i/>
          <w:iCs/>
          <w:lang w:val="en-CA"/>
        </w:rPr>
        <w:t>Charte</w:t>
      </w:r>
      <w:r w:rsidR="00D72350" w:rsidRPr="002F6CBB">
        <w:rPr>
          <w:i/>
          <w:iCs/>
          <w:lang w:val="en-CA"/>
        </w:rPr>
        <w:t>r</w:t>
      </w:r>
      <w:r w:rsidR="0073616C">
        <w:rPr>
          <w:lang w:val="en-CA"/>
        </w:rPr>
        <w:t>]</w:t>
      </w:r>
      <w:r w:rsidRPr="002F6CBB">
        <w:rPr>
          <w:lang w:val="en-CA"/>
        </w:rPr>
        <w:t>.</w:t>
      </w:r>
    </w:p>
  </w:footnote>
  <w:footnote w:id="2">
    <w:p w14:paraId="59E258C9" w14:textId="28FB142C" w:rsidR="000F209C" w:rsidRPr="002F6CBB" w:rsidRDefault="000F209C" w:rsidP="000F209C">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00D72350" w:rsidRPr="002F6CBB">
        <w:rPr>
          <w:i/>
          <w:iCs/>
          <w:lang w:val="en-CA"/>
        </w:rPr>
        <w:t>Highway Safety Code</w:t>
      </w:r>
      <w:r w:rsidRPr="002F6CBB">
        <w:rPr>
          <w:lang w:val="en-CA"/>
        </w:rPr>
        <w:t xml:space="preserve">, </w:t>
      </w:r>
      <w:r w:rsidR="00D72350" w:rsidRPr="002F6CBB">
        <w:rPr>
          <w:lang w:val="en-CA"/>
        </w:rPr>
        <w:t>CQLR</w:t>
      </w:r>
      <w:r w:rsidRPr="002F6CBB">
        <w:rPr>
          <w:lang w:val="en-CA"/>
        </w:rPr>
        <w:t xml:space="preserve">, c. C-24.2 </w:t>
      </w:r>
      <w:r w:rsidR="0073616C">
        <w:rPr>
          <w:lang w:val="en-CA"/>
        </w:rPr>
        <w:t>[</w:t>
      </w:r>
      <w:r w:rsidR="00D72350" w:rsidRPr="002F6CBB">
        <w:rPr>
          <w:i/>
          <w:iCs/>
          <w:lang w:val="en-CA"/>
        </w:rPr>
        <w:t>H</w:t>
      </w:r>
      <w:r w:rsidRPr="002F6CBB">
        <w:rPr>
          <w:i/>
          <w:iCs/>
          <w:lang w:val="en-CA"/>
        </w:rPr>
        <w:t>S</w:t>
      </w:r>
      <w:r w:rsidR="00D72350" w:rsidRPr="002F6CBB">
        <w:rPr>
          <w:i/>
          <w:iCs/>
          <w:lang w:val="en-CA"/>
        </w:rPr>
        <w:t>C</w:t>
      </w:r>
      <w:r w:rsidR="0073616C">
        <w:rPr>
          <w:lang w:val="en-CA"/>
        </w:rPr>
        <w:t>]</w:t>
      </w:r>
      <w:r w:rsidRPr="002F6CBB">
        <w:rPr>
          <w:lang w:val="en-CA"/>
        </w:rPr>
        <w:t>.</w:t>
      </w:r>
    </w:p>
  </w:footnote>
  <w:footnote w:id="3">
    <w:p w14:paraId="0F207D65" w14:textId="261C4E2A" w:rsidR="000F209C" w:rsidRPr="002F6CBB" w:rsidRDefault="000F209C" w:rsidP="000F209C">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00D72350" w:rsidRPr="002F6CBB">
        <w:rPr>
          <w:rFonts w:cs="Arial"/>
          <w:lang w:val="en-CA"/>
        </w:rPr>
        <w:t>Exhibit</w:t>
      </w:r>
      <w:r w:rsidRPr="002F6CBB">
        <w:rPr>
          <w:rFonts w:cs="Arial"/>
          <w:lang w:val="en-CA"/>
        </w:rPr>
        <w:t xml:space="preserve"> D-28A, </w:t>
      </w:r>
      <w:r w:rsidR="00932F09" w:rsidRPr="002F6CBB">
        <w:rPr>
          <w:rFonts w:cs="Arial"/>
          <w:lang w:val="en-CA"/>
        </w:rPr>
        <w:t xml:space="preserve">Licence plate inquiries </w:t>
      </w:r>
      <w:r w:rsidR="00EE21D1">
        <w:rPr>
          <w:rFonts w:cs="Arial"/>
          <w:lang w:val="en-CA"/>
        </w:rPr>
        <w:t>made with</w:t>
      </w:r>
      <w:r w:rsidR="00932F09" w:rsidRPr="002F6CBB">
        <w:rPr>
          <w:rFonts w:cs="Arial"/>
          <w:lang w:val="en-CA"/>
        </w:rPr>
        <w:t xml:space="preserve"> the </w:t>
      </w:r>
      <w:r w:rsidR="004B17FF">
        <w:rPr>
          <w:rFonts w:cs="Arial"/>
          <w:i/>
          <w:iCs/>
          <w:lang w:val="en-CA"/>
        </w:rPr>
        <w:t>Québec Police Intelligence Centre</w:t>
      </w:r>
      <w:r w:rsidRPr="002F6CBB">
        <w:rPr>
          <w:rFonts w:cs="Arial"/>
          <w:i/>
          <w:iCs/>
          <w:lang w:val="en-CA"/>
        </w:rPr>
        <w:t xml:space="preserve"> </w:t>
      </w:r>
      <w:r w:rsidRPr="002F6CBB">
        <w:rPr>
          <w:rFonts w:cs="Arial"/>
          <w:lang w:val="en-CA"/>
        </w:rPr>
        <w:t>(</w:t>
      </w:r>
      <w:r w:rsidR="00EE21D1">
        <w:rPr>
          <w:lang w:val="en-CA"/>
        </w:rPr>
        <w:t>QPIC</w:t>
      </w:r>
      <w:r w:rsidRPr="002F6CBB">
        <w:rPr>
          <w:rFonts w:cs="Arial"/>
          <w:lang w:val="en-CA"/>
        </w:rPr>
        <w:t xml:space="preserve">) </w:t>
      </w:r>
      <w:r w:rsidR="00932F09" w:rsidRPr="002F6CBB">
        <w:rPr>
          <w:rFonts w:cs="Arial"/>
          <w:lang w:val="en-CA"/>
        </w:rPr>
        <w:t xml:space="preserve">by Officers </w:t>
      </w:r>
      <w:r w:rsidRPr="002F6CBB">
        <w:rPr>
          <w:rFonts w:cs="Arial"/>
          <w:lang w:val="en-CA"/>
        </w:rPr>
        <w:t xml:space="preserve">Beaulac </w:t>
      </w:r>
      <w:r w:rsidR="00932F09" w:rsidRPr="002F6CBB">
        <w:rPr>
          <w:rFonts w:cs="Arial"/>
          <w:lang w:val="en-CA"/>
        </w:rPr>
        <w:t>and</w:t>
      </w:r>
      <w:r w:rsidRPr="002F6CBB">
        <w:rPr>
          <w:rFonts w:cs="Arial"/>
          <w:lang w:val="en-CA"/>
        </w:rPr>
        <w:t xml:space="preserve"> Lamothe </w:t>
      </w:r>
      <w:r w:rsidR="00932F09" w:rsidRPr="002F6CBB">
        <w:rPr>
          <w:rFonts w:cs="Arial"/>
          <w:lang w:val="en-CA"/>
        </w:rPr>
        <w:t xml:space="preserve">between September </w:t>
      </w:r>
      <w:r w:rsidRPr="002F6CBB">
        <w:rPr>
          <w:rFonts w:cs="Arial"/>
          <w:lang w:val="en-CA"/>
        </w:rPr>
        <w:t xml:space="preserve">18 </w:t>
      </w:r>
      <w:r w:rsidR="00932F09" w:rsidRPr="002F6CBB">
        <w:rPr>
          <w:rFonts w:cs="Arial"/>
          <w:lang w:val="en-CA"/>
        </w:rPr>
        <w:t xml:space="preserve">and </w:t>
      </w:r>
      <w:r w:rsidRPr="002F6CBB">
        <w:rPr>
          <w:rFonts w:cs="Arial"/>
          <w:lang w:val="en-CA"/>
        </w:rPr>
        <w:t>20</w:t>
      </w:r>
      <w:r w:rsidR="00932F09" w:rsidRPr="002F6CBB">
        <w:rPr>
          <w:rFonts w:cs="Arial"/>
          <w:lang w:val="en-CA"/>
        </w:rPr>
        <w:t>,</w:t>
      </w:r>
      <w:r w:rsidRPr="002F6CBB">
        <w:rPr>
          <w:rFonts w:cs="Arial"/>
          <w:lang w:val="en-CA"/>
        </w:rPr>
        <w:t xml:space="preserve"> 2018 (</w:t>
      </w:r>
      <w:r w:rsidR="00D72350" w:rsidRPr="002F6CBB">
        <w:rPr>
          <w:rFonts w:cs="Arial"/>
          <w:lang w:val="en-CA"/>
        </w:rPr>
        <w:t>sealed</w:t>
      </w:r>
      <w:r w:rsidRPr="002F6CBB">
        <w:rPr>
          <w:rFonts w:cs="Arial"/>
          <w:lang w:val="en-CA"/>
        </w:rPr>
        <w:t xml:space="preserve">); </w:t>
      </w:r>
      <w:r w:rsidR="00D72350" w:rsidRPr="002F6CBB">
        <w:rPr>
          <w:rFonts w:cs="Arial"/>
          <w:lang w:val="en-CA"/>
        </w:rPr>
        <w:t>Exhibit</w:t>
      </w:r>
      <w:r w:rsidRPr="002F6CBB">
        <w:rPr>
          <w:rFonts w:cs="Arial"/>
          <w:lang w:val="en-CA"/>
        </w:rPr>
        <w:t xml:space="preserve"> D-28B, </w:t>
      </w:r>
      <w:r w:rsidR="006D01F9">
        <w:rPr>
          <w:rFonts w:cs="Arial"/>
          <w:lang w:val="en-CA"/>
        </w:rPr>
        <w:t>I</w:t>
      </w:r>
      <w:r w:rsidR="00932F09" w:rsidRPr="002F6CBB">
        <w:rPr>
          <w:rFonts w:cs="Arial"/>
          <w:lang w:val="en-CA"/>
        </w:rPr>
        <w:t xml:space="preserve">nquiries </w:t>
      </w:r>
      <w:r w:rsidR="00EE21D1">
        <w:rPr>
          <w:rFonts w:cs="Arial"/>
          <w:lang w:val="en-CA"/>
        </w:rPr>
        <w:t>made with</w:t>
      </w:r>
      <w:r w:rsidR="00932F09" w:rsidRPr="002F6CBB">
        <w:rPr>
          <w:rFonts w:cs="Arial"/>
          <w:lang w:val="en-CA"/>
        </w:rPr>
        <w:t xml:space="preserve"> the</w:t>
      </w:r>
      <w:r w:rsidR="009D00DE">
        <w:rPr>
          <w:rFonts w:cs="Arial"/>
          <w:lang w:val="en-CA"/>
        </w:rPr>
        <w:t xml:space="preserve"> </w:t>
      </w:r>
      <w:r w:rsidR="004B17FF">
        <w:rPr>
          <w:rFonts w:cs="Arial"/>
          <w:i/>
          <w:iCs/>
          <w:lang w:val="en-CA"/>
        </w:rPr>
        <w:t>Québec Police Intelligence Centre</w:t>
      </w:r>
      <w:r w:rsidR="00280C7A" w:rsidRPr="00280C7A">
        <w:rPr>
          <w:rFonts w:cs="Arial"/>
          <w:i/>
          <w:iCs/>
          <w:lang w:val="en-CA"/>
        </w:rPr>
        <w:t xml:space="preserve"> </w:t>
      </w:r>
      <w:r w:rsidRPr="002F6CBB">
        <w:rPr>
          <w:rFonts w:cs="Arial"/>
          <w:lang w:val="en-CA"/>
        </w:rPr>
        <w:t>(</w:t>
      </w:r>
      <w:r w:rsidR="00EE21D1">
        <w:rPr>
          <w:lang w:val="en-CA"/>
        </w:rPr>
        <w:t>QPIC</w:t>
      </w:r>
      <w:r w:rsidRPr="002F6CBB">
        <w:rPr>
          <w:rFonts w:cs="Arial"/>
          <w:lang w:val="en-CA"/>
        </w:rPr>
        <w:t xml:space="preserve">) </w:t>
      </w:r>
      <w:r w:rsidR="00932F09" w:rsidRPr="002F6CBB">
        <w:rPr>
          <w:rFonts w:cs="Arial"/>
          <w:lang w:val="en-CA"/>
        </w:rPr>
        <w:t xml:space="preserve">by Officers </w:t>
      </w:r>
      <w:r w:rsidRPr="002F6CBB">
        <w:rPr>
          <w:rFonts w:cs="Arial"/>
          <w:lang w:val="en-CA"/>
        </w:rPr>
        <w:t xml:space="preserve">Beaulac </w:t>
      </w:r>
      <w:r w:rsidR="00932F09" w:rsidRPr="002F6CBB">
        <w:rPr>
          <w:rFonts w:cs="Arial"/>
          <w:lang w:val="en-CA"/>
        </w:rPr>
        <w:t>and</w:t>
      </w:r>
      <w:r w:rsidRPr="002F6CBB">
        <w:rPr>
          <w:rFonts w:cs="Arial"/>
          <w:lang w:val="en-CA"/>
        </w:rPr>
        <w:t xml:space="preserve"> Lamothe </w:t>
      </w:r>
      <w:r w:rsidR="00932F09" w:rsidRPr="002F6CBB">
        <w:rPr>
          <w:rFonts w:cs="Arial"/>
          <w:lang w:val="en-CA"/>
        </w:rPr>
        <w:t>on September</w:t>
      </w:r>
      <w:r w:rsidRPr="002F6CBB">
        <w:rPr>
          <w:rFonts w:cs="Arial"/>
          <w:lang w:val="en-CA"/>
        </w:rPr>
        <w:t xml:space="preserve"> 19</w:t>
      </w:r>
      <w:r w:rsidR="00932F09" w:rsidRPr="002F6CBB">
        <w:rPr>
          <w:rFonts w:cs="Arial"/>
          <w:lang w:val="en-CA"/>
        </w:rPr>
        <w:t>,</w:t>
      </w:r>
      <w:r w:rsidRPr="002F6CBB">
        <w:rPr>
          <w:rFonts w:cs="Arial"/>
          <w:lang w:val="en-CA"/>
        </w:rPr>
        <w:t xml:space="preserve"> 2018</w:t>
      </w:r>
      <w:r w:rsidR="00932F09" w:rsidRPr="002F6CBB">
        <w:rPr>
          <w:rFonts w:cs="Arial"/>
          <w:lang w:val="en-CA"/>
        </w:rPr>
        <w:t>,</w:t>
      </w:r>
      <w:r w:rsidRPr="002F6CBB">
        <w:rPr>
          <w:rFonts w:cs="Arial"/>
          <w:lang w:val="en-CA"/>
        </w:rPr>
        <w:t xml:space="preserve"> </w:t>
      </w:r>
      <w:r w:rsidR="00932F09" w:rsidRPr="002F6CBB">
        <w:rPr>
          <w:rFonts w:cs="Arial"/>
          <w:lang w:val="en-CA"/>
        </w:rPr>
        <w:t xml:space="preserve">between </w:t>
      </w:r>
      <w:r w:rsidRPr="002F6CBB">
        <w:rPr>
          <w:rFonts w:cs="Arial"/>
          <w:lang w:val="en-CA"/>
        </w:rPr>
        <w:t>10</w:t>
      </w:r>
      <w:r w:rsidR="00932F09" w:rsidRPr="002F6CBB">
        <w:rPr>
          <w:rFonts w:cs="Arial"/>
          <w:lang w:val="en-CA"/>
        </w:rPr>
        <w:t>:</w:t>
      </w:r>
      <w:r w:rsidRPr="002F6CBB">
        <w:rPr>
          <w:rFonts w:cs="Arial"/>
          <w:lang w:val="en-CA"/>
        </w:rPr>
        <w:t xml:space="preserve">32:17 </w:t>
      </w:r>
      <w:r w:rsidR="00932F09" w:rsidRPr="002F6CBB">
        <w:rPr>
          <w:rFonts w:cs="Arial"/>
          <w:lang w:val="en-CA"/>
        </w:rPr>
        <w:t>a.m. and</w:t>
      </w:r>
      <w:r w:rsidRPr="002F6CBB">
        <w:rPr>
          <w:rFonts w:cs="Arial"/>
          <w:lang w:val="en-CA"/>
        </w:rPr>
        <w:t xml:space="preserve"> 10</w:t>
      </w:r>
      <w:r w:rsidR="00932F09" w:rsidRPr="002F6CBB">
        <w:rPr>
          <w:rFonts w:cs="Arial"/>
          <w:lang w:val="en-CA"/>
        </w:rPr>
        <w:t>:</w:t>
      </w:r>
      <w:r w:rsidRPr="002F6CBB">
        <w:rPr>
          <w:rFonts w:cs="Arial"/>
          <w:lang w:val="en-CA"/>
        </w:rPr>
        <w:t>52:08</w:t>
      </w:r>
      <w:r w:rsidR="00932F09" w:rsidRPr="002F6CBB">
        <w:rPr>
          <w:rFonts w:cs="Arial"/>
          <w:lang w:val="en-CA"/>
        </w:rPr>
        <w:t xml:space="preserve"> a.m.</w:t>
      </w:r>
      <w:r w:rsidRPr="002F6CBB">
        <w:rPr>
          <w:rFonts w:cs="Arial"/>
          <w:lang w:val="en-CA"/>
        </w:rPr>
        <w:t xml:space="preserve"> (</w:t>
      </w:r>
      <w:r w:rsidR="00D72350" w:rsidRPr="002F6CBB">
        <w:rPr>
          <w:rFonts w:cs="Arial"/>
          <w:lang w:val="en-CA"/>
        </w:rPr>
        <w:t>sealed</w:t>
      </w:r>
      <w:r w:rsidRPr="002F6CBB">
        <w:rPr>
          <w:rFonts w:cs="Arial"/>
          <w:lang w:val="en-CA"/>
        </w:rPr>
        <w:t>).</w:t>
      </w:r>
    </w:p>
  </w:footnote>
  <w:footnote w:id="4">
    <w:p w14:paraId="6C087931" w14:textId="762083C2" w:rsidR="00DE771D" w:rsidRPr="002F6CBB" w:rsidRDefault="00DE771D" w:rsidP="00DE771D">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Pr="002F6CBB">
        <w:rPr>
          <w:rFonts w:cs="Arial"/>
          <w:i/>
          <w:iCs/>
          <w:lang w:val="en-CA"/>
        </w:rPr>
        <w:t>I</w:t>
      </w:r>
      <w:r w:rsidR="00932F09" w:rsidRPr="002F6CBB">
        <w:rPr>
          <w:rFonts w:cs="Arial"/>
          <w:i/>
          <w:iCs/>
          <w:lang w:val="en-CA"/>
        </w:rPr>
        <w:t>bi</w:t>
      </w:r>
      <w:r w:rsidRPr="002F6CBB">
        <w:rPr>
          <w:rFonts w:cs="Arial"/>
          <w:i/>
          <w:iCs/>
          <w:lang w:val="en-CA"/>
        </w:rPr>
        <w:t>d</w:t>
      </w:r>
      <w:r w:rsidRPr="002F6CBB">
        <w:rPr>
          <w:rFonts w:cs="Arial"/>
          <w:lang w:val="en-CA"/>
        </w:rPr>
        <w:t>.</w:t>
      </w:r>
    </w:p>
  </w:footnote>
  <w:footnote w:id="5">
    <w:p w14:paraId="451FCD2B" w14:textId="46DB3E40" w:rsidR="00DE771D" w:rsidRPr="002F6CBB" w:rsidRDefault="00DE771D" w:rsidP="00DE771D">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00D72350" w:rsidRPr="002F6CBB">
        <w:rPr>
          <w:rFonts w:cs="Arial"/>
          <w:lang w:val="en-CA"/>
        </w:rPr>
        <w:t>Exhibit</w:t>
      </w:r>
      <w:r w:rsidRPr="002F6CBB">
        <w:rPr>
          <w:rFonts w:cs="Arial"/>
          <w:lang w:val="en-CA"/>
        </w:rPr>
        <w:t xml:space="preserve"> D-27, </w:t>
      </w:r>
      <w:r w:rsidRPr="00CD5AEA">
        <w:rPr>
          <w:rFonts w:cs="Arial"/>
          <w:lang w:val="en-CA"/>
        </w:rPr>
        <w:t>Google Maps</w:t>
      </w:r>
      <w:r w:rsidRPr="002F6CBB">
        <w:rPr>
          <w:rFonts w:cs="Arial"/>
          <w:i/>
          <w:iCs/>
          <w:lang w:val="en-CA"/>
        </w:rPr>
        <w:t xml:space="preserve"> </w:t>
      </w:r>
      <w:r w:rsidR="00932F09" w:rsidRPr="002F6CBB">
        <w:rPr>
          <w:rFonts w:cs="Arial"/>
          <w:lang w:val="en-CA"/>
        </w:rPr>
        <w:t xml:space="preserve">excerpt showing the </w:t>
      </w:r>
      <w:r w:rsidRPr="002F6CBB">
        <w:rPr>
          <w:rFonts w:cs="Arial"/>
          <w:lang w:val="en-CA"/>
        </w:rPr>
        <w:t xml:space="preserve">intersection </w:t>
      </w:r>
      <w:r w:rsidR="00932F09" w:rsidRPr="002F6CBB">
        <w:rPr>
          <w:rFonts w:cs="Arial"/>
          <w:lang w:val="en-CA"/>
        </w:rPr>
        <w:t xml:space="preserve">of </w:t>
      </w:r>
      <w:r w:rsidRPr="002F6CBB">
        <w:rPr>
          <w:rFonts w:cs="Arial"/>
          <w:lang w:val="en-CA"/>
        </w:rPr>
        <w:t xml:space="preserve">Curé-Labelle </w:t>
      </w:r>
      <w:r w:rsidR="00932F09" w:rsidRPr="002F6CBB">
        <w:rPr>
          <w:rFonts w:cs="Arial"/>
          <w:lang w:val="en-CA"/>
        </w:rPr>
        <w:t xml:space="preserve">Boulevard and </w:t>
      </w:r>
      <w:r w:rsidRPr="002F6CBB">
        <w:rPr>
          <w:rFonts w:cs="Arial"/>
          <w:lang w:val="en-CA"/>
        </w:rPr>
        <w:t>Loranger</w:t>
      </w:r>
      <w:r w:rsidR="00932F09" w:rsidRPr="002F6CBB">
        <w:rPr>
          <w:rFonts w:cs="Arial"/>
          <w:lang w:val="en-CA"/>
        </w:rPr>
        <w:t xml:space="preserve"> Street</w:t>
      </w:r>
      <w:r w:rsidRPr="002F6CBB">
        <w:rPr>
          <w:rFonts w:cs="Arial"/>
          <w:lang w:val="en-CA"/>
        </w:rPr>
        <w:t xml:space="preserve">, </w:t>
      </w:r>
      <w:r w:rsidR="00481FE1">
        <w:rPr>
          <w:rFonts w:cs="Arial"/>
          <w:lang w:val="en-CA"/>
        </w:rPr>
        <w:t>annotated</w:t>
      </w:r>
      <w:r w:rsidR="00932F09" w:rsidRPr="002F6CBB">
        <w:rPr>
          <w:rFonts w:cs="Arial"/>
          <w:lang w:val="en-CA"/>
        </w:rPr>
        <w:t xml:space="preserve"> by Officer </w:t>
      </w:r>
      <w:r w:rsidRPr="002F6CBB">
        <w:rPr>
          <w:rFonts w:cs="Arial"/>
          <w:lang w:val="en-CA"/>
        </w:rPr>
        <w:t xml:space="preserve">Gélinas, </w:t>
      </w:r>
      <w:r w:rsidR="00932F09" w:rsidRPr="002F6CBB">
        <w:rPr>
          <w:rFonts w:cs="Arial"/>
          <w:lang w:val="en-CA"/>
        </w:rPr>
        <w:t xml:space="preserve">March </w:t>
      </w:r>
      <w:r w:rsidRPr="002F6CBB">
        <w:rPr>
          <w:rFonts w:cs="Arial"/>
          <w:lang w:val="en-CA"/>
        </w:rPr>
        <w:t>10</w:t>
      </w:r>
      <w:r w:rsidR="00932F09" w:rsidRPr="002F6CBB">
        <w:rPr>
          <w:rFonts w:cs="Arial"/>
          <w:lang w:val="en-CA"/>
        </w:rPr>
        <w:t>,</w:t>
      </w:r>
      <w:r w:rsidRPr="002F6CBB">
        <w:rPr>
          <w:rFonts w:cs="Arial"/>
          <w:lang w:val="en-CA"/>
        </w:rPr>
        <w:t xml:space="preserve"> </w:t>
      </w:r>
      <w:r w:rsidR="00AB5D1A">
        <w:rPr>
          <w:rFonts w:cs="Arial"/>
          <w:lang w:val="en-CA"/>
        </w:rPr>
        <w:t xml:space="preserve">2023, </w:t>
      </w:r>
      <w:r w:rsidR="00932F09" w:rsidRPr="002F6CBB">
        <w:rPr>
          <w:rFonts w:cs="Arial"/>
          <w:lang w:val="en-CA"/>
        </w:rPr>
        <w:t>at</w:t>
      </w:r>
      <w:r w:rsidRPr="002F6CBB">
        <w:rPr>
          <w:rFonts w:cs="Arial"/>
          <w:lang w:val="en-CA"/>
        </w:rPr>
        <w:t xml:space="preserve"> 11</w:t>
      </w:r>
      <w:r w:rsidR="00932F09" w:rsidRPr="002F6CBB">
        <w:rPr>
          <w:rFonts w:cs="Arial"/>
          <w:lang w:val="en-CA"/>
        </w:rPr>
        <w:t>:</w:t>
      </w:r>
      <w:r w:rsidRPr="002F6CBB">
        <w:rPr>
          <w:rFonts w:cs="Arial"/>
          <w:lang w:val="en-CA"/>
        </w:rPr>
        <w:t>36</w:t>
      </w:r>
      <w:r w:rsidR="00932F09" w:rsidRPr="002F6CBB">
        <w:rPr>
          <w:rFonts w:cs="Arial"/>
          <w:lang w:val="en-CA"/>
        </w:rPr>
        <w:t xml:space="preserve"> a.m.</w:t>
      </w:r>
    </w:p>
  </w:footnote>
  <w:footnote w:id="6">
    <w:p w14:paraId="3D5FB809" w14:textId="571F055A" w:rsidR="00DE771D" w:rsidRPr="002F6CBB" w:rsidRDefault="00DE771D" w:rsidP="00DE771D">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00D72350" w:rsidRPr="002F6CBB">
        <w:rPr>
          <w:rFonts w:cs="Arial"/>
          <w:lang w:val="en-CA"/>
        </w:rPr>
        <w:t>Exhibit</w:t>
      </w:r>
      <w:r w:rsidRPr="002F6CBB">
        <w:rPr>
          <w:rFonts w:cs="Arial"/>
          <w:lang w:val="en-CA"/>
        </w:rPr>
        <w:t xml:space="preserve"> P-2, Cop</w:t>
      </w:r>
      <w:r w:rsidR="00932F09" w:rsidRPr="002F6CBB">
        <w:rPr>
          <w:rFonts w:cs="Arial"/>
          <w:lang w:val="en-CA"/>
        </w:rPr>
        <w:t>y of video recordings dated September</w:t>
      </w:r>
      <w:r w:rsidRPr="002F6CBB">
        <w:rPr>
          <w:rFonts w:cs="Arial"/>
          <w:lang w:val="en-CA"/>
        </w:rPr>
        <w:t xml:space="preserve"> 19</w:t>
      </w:r>
      <w:r w:rsidR="00932F09" w:rsidRPr="002F6CBB">
        <w:rPr>
          <w:rFonts w:cs="Arial"/>
          <w:lang w:val="en-CA"/>
        </w:rPr>
        <w:t>,</w:t>
      </w:r>
      <w:r w:rsidRPr="002F6CBB">
        <w:rPr>
          <w:rFonts w:cs="Arial"/>
          <w:lang w:val="en-CA"/>
        </w:rPr>
        <w:t xml:space="preserve"> 2018 (</w:t>
      </w:r>
      <w:r w:rsidRPr="00AB5D1A">
        <w:rPr>
          <w:rFonts w:cs="Arial"/>
          <w:i/>
          <w:iCs/>
          <w:lang w:val="en-CA"/>
        </w:rPr>
        <w:t>en liasse</w:t>
      </w:r>
      <w:r w:rsidRPr="002F6CBB">
        <w:rPr>
          <w:rFonts w:cs="Arial"/>
          <w:lang w:val="en-CA"/>
        </w:rPr>
        <w:t>).</w:t>
      </w:r>
    </w:p>
  </w:footnote>
  <w:footnote w:id="7">
    <w:p w14:paraId="2061E052" w14:textId="0605D3F7" w:rsidR="00DE771D" w:rsidRPr="002F6CBB" w:rsidRDefault="00DE771D" w:rsidP="00DE771D">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00D72350" w:rsidRPr="002F6CBB">
        <w:rPr>
          <w:rFonts w:cs="Arial"/>
          <w:lang w:val="en-CA"/>
        </w:rPr>
        <w:t>Exhibit</w:t>
      </w:r>
      <w:r w:rsidRPr="002F6CBB">
        <w:rPr>
          <w:rFonts w:cs="Arial"/>
          <w:lang w:val="en-CA"/>
        </w:rPr>
        <w:t xml:space="preserve"> D-26, Ex</w:t>
      </w:r>
      <w:r w:rsidR="00932F09" w:rsidRPr="002F6CBB">
        <w:rPr>
          <w:rFonts w:cs="Arial"/>
          <w:lang w:val="en-CA"/>
        </w:rPr>
        <w:t xml:space="preserve">cerpt of radio communications on September </w:t>
      </w:r>
      <w:r w:rsidRPr="002F6CBB">
        <w:rPr>
          <w:rFonts w:cs="Arial"/>
          <w:lang w:val="en-CA"/>
        </w:rPr>
        <w:t>19</w:t>
      </w:r>
      <w:r w:rsidR="00932F09" w:rsidRPr="002F6CBB">
        <w:rPr>
          <w:rFonts w:cs="Arial"/>
          <w:lang w:val="en-CA"/>
        </w:rPr>
        <w:t>,</w:t>
      </w:r>
      <w:r w:rsidRPr="002F6CBB">
        <w:rPr>
          <w:rFonts w:cs="Arial"/>
          <w:lang w:val="en-CA"/>
        </w:rPr>
        <w:t xml:space="preserve"> 2018</w:t>
      </w:r>
      <w:r w:rsidR="00932F09" w:rsidRPr="002F6CBB">
        <w:rPr>
          <w:rFonts w:cs="Arial"/>
          <w:lang w:val="en-CA"/>
        </w:rPr>
        <w:t xml:space="preserve">, of the </w:t>
      </w:r>
      <w:r w:rsidR="00AB5D1A" w:rsidRPr="00AB5D1A">
        <w:rPr>
          <w:rFonts w:cs="Arial"/>
          <w:lang w:val="en-CA"/>
        </w:rPr>
        <w:t xml:space="preserve">Service de police de Laval </w:t>
      </w:r>
      <w:r w:rsidR="00932F09" w:rsidRPr="002F6CBB">
        <w:rPr>
          <w:rFonts w:cs="Arial"/>
          <w:lang w:val="en-CA"/>
        </w:rPr>
        <w:t xml:space="preserve">from </w:t>
      </w:r>
      <w:r w:rsidRPr="002F6CBB">
        <w:rPr>
          <w:rFonts w:cs="Arial"/>
          <w:lang w:val="en-CA"/>
        </w:rPr>
        <w:t>10</w:t>
      </w:r>
      <w:r w:rsidR="00932F09" w:rsidRPr="002F6CBB">
        <w:rPr>
          <w:rFonts w:cs="Arial"/>
          <w:lang w:val="en-CA"/>
        </w:rPr>
        <w:t>:</w:t>
      </w:r>
      <w:r w:rsidRPr="002F6CBB">
        <w:rPr>
          <w:rFonts w:cs="Arial"/>
          <w:lang w:val="en-CA"/>
        </w:rPr>
        <w:t>35:49</w:t>
      </w:r>
      <w:r w:rsidR="00932F09" w:rsidRPr="002F6CBB">
        <w:rPr>
          <w:rFonts w:cs="Arial"/>
          <w:lang w:val="en-CA"/>
        </w:rPr>
        <w:t xml:space="preserve"> a.m.</w:t>
      </w:r>
      <w:r w:rsidRPr="002F6CBB">
        <w:rPr>
          <w:rFonts w:cs="Arial"/>
          <w:lang w:val="en-CA"/>
        </w:rPr>
        <w:t xml:space="preserve"> </w:t>
      </w:r>
      <w:r w:rsidR="00932F09" w:rsidRPr="002F6CBB">
        <w:rPr>
          <w:rFonts w:cs="Arial"/>
          <w:lang w:val="en-CA"/>
        </w:rPr>
        <w:t>to</w:t>
      </w:r>
      <w:r w:rsidRPr="002F6CBB">
        <w:rPr>
          <w:rFonts w:cs="Arial"/>
          <w:lang w:val="en-CA"/>
        </w:rPr>
        <w:t xml:space="preserve"> 10</w:t>
      </w:r>
      <w:r w:rsidR="00932F09" w:rsidRPr="002F6CBB">
        <w:rPr>
          <w:rFonts w:cs="Arial"/>
          <w:lang w:val="en-CA"/>
        </w:rPr>
        <w:t>:</w:t>
      </w:r>
      <w:r w:rsidRPr="002F6CBB">
        <w:rPr>
          <w:rFonts w:cs="Arial"/>
          <w:lang w:val="en-CA"/>
        </w:rPr>
        <w:t>40:01</w:t>
      </w:r>
      <w:r w:rsidR="00932F09" w:rsidRPr="002F6CBB">
        <w:rPr>
          <w:rFonts w:cs="Arial"/>
          <w:lang w:val="en-CA"/>
        </w:rPr>
        <w:t xml:space="preserve"> a.m</w:t>
      </w:r>
      <w:r w:rsidRPr="002F6CBB">
        <w:rPr>
          <w:rFonts w:cs="Arial"/>
          <w:lang w:val="en-CA"/>
        </w:rPr>
        <w:t>.</w:t>
      </w:r>
    </w:p>
  </w:footnote>
  <w:footnote w:id="8">
    <w:p w14:paraId="3514F0CA" w14:textId="48D0DA1B" w:rsidR="00D72350" w:rsidRPr="002F6CBB" w:rsidRDefault="00D72350" w:rsidP="00D72350">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t>Exhibit P-5, Cop</w:t>
      </w:r>
      <w:r w:rsidR="00433995" w:rsidRPr="002F6CBB">
        <w:rPr>
          <w:rFonts w:cs="Arial"/>
          <w:lang w:val="en-CA"/>
        </w:rPr>
        <w:t>y</w:t>
      </w:r>
      <w:r w:rsidRPr="002F6CBB">
        <w:rPr>
          <w:rFonts w:cs="Arial"/>
          <w:lang w:val="en-CA"/>
        </w:rPr>
        <w:t xml:space="preserve"> </w:t>
      </w:r>
      <w:r w:rsidR="00433995" w:rsidRPr="002F6CBB">
        <w:rPr>
          <w:rFonts w:cs="Arial"/>
          <w:lang w:val="en-CA"/>
        </w:rPr>
        <w:t>of</w:t>
      </w:r>
      <w:r w:rsidRPr="002F6CBB">
        <w:rPr>
          <w:rFonts w:cs="Arial"/>
          <w:lang w:val="en-CA"/>
        </w:rPr>
        <w:t xml:space="preserve"> </w:t>
      </w:r>
      <w:r w:rsidR="00433995" w:rsidRPr="002F6CBB">
        <w:rPr>
          <w:rFonts w:cs="Arial"/>
          <w:lang w:val="en-CA"/>
        </w:rPr>
        <w:t xml:space="preserve">statement of offence </w:t>
      </w:r>
      <w:r w:rsidRPr="002F6CBB">
        <w:rPr>
          <w:rFonts w:cs="Arial"/>
          <w:lang w:val="en-CA"/>
        </w:rPr>
        <w:t xml:space="preserve">0413746674, </w:t>
      </w:r>
      <w:r w:rsidR="00433995" w:rsidRPr="002F6CBB">
        <w:rPr>
          <w:rFonts w:cs="Arial"/>
          <w:lang w:val="en-CA"/>
        </w:rPr>
        <w:t xml:space="preserve">September </w:t>
      </w:r>
      <w:r w:rsidRPr="002F6CBB">
        <w:rPr>
          <w:rFonts w:cs="Arial"/>
          <w:lang w:val="en-CA"/>
        </w:rPr>
        <w:t>19</w:t>
      </w:r>
      <w:r w:rsidR="00433995" w:rsidRPr="002F6CBB">
        <w:rPr>
          <w:rFonts w:cs="Arial"/>
          <w:lang w:val="en-CA"/>
        </w:rPr>
        <w:t>,</w:t>
      </w:r>
      <w:r w:rsidRPr="002F6CBB">
        <w:rPr>
          <w:rFonts w:cs="Arial"/>
          <w:lang w:val="en-CA"/>
        </w:rPr>
        <w:t xml:space="preserve"> 2018.</w:t>
      </w:r>
    </w:p>
  </w:footnote>
  <w:footnote w:id="9">
    <w:p w14:paraId="5ED03D00" w14:textId="76CA3C72" w:rsidR="00D72350" w:rsidRPr="002F6CBB" w:rsidRDefault="00D72350" w:rsidP="00D72350">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t xml:space="preserve">Exhibit P-7, </w:t>
      </w:r>
      <w:r w:rsidR="00433995" w:rsidRPr="002F6CBB">
        <w:rPr>
          <w:rFonts w:cs="Arial"/>
          <w:lang w:val="en-CA"/>
        </w:rPr>
        <w:t>Copy of</w:t>
      </w:r>
      <w:r w:rsidRPr="002F6CBB">
        <w:rPr>
          <w:rFonts w:cs="Arial"/>
          <w:lang w:val="en-CA"/>
        </w:rPr>
        <w:t xml:space="preserve"> </w:t>
      </w:r>
      <w:r w:rsidR="00433995" w:rsidRPr="002F6CBB">
        <w:rPr>
          <w:rFonts w:cs="Arial"/>
          <w:lang w:val="en-CA"/>
        </w:rPr>
        <w:t>acquittal on charge</w:t>
      </w:r>
      <w:r w:rsidRPr="002F6CBB">
        <w:rPr>
          <w:rFonts w:cs="Arial"/>
          <w:lang w:val="en-CA"/>
        </w:rPr>
        <w:t xml:space="preserve"> 0413746674, </w:t>
      </w:r>
      <w:r w:rsidR="00433995" w:rsidRPr="002F6CBB">
        <w:rPr>
          <w:rFonts w:cs="Arial"/>
          <w:lang w:val="en-CA"/>
        </w:rPr>
        <w:t xml:space="preserve">June </w:t>
      </w:r>
      <w:r w:rsidRPr="002F6CBB">
        <w:rPr>
          <w:rFonts w:cs="Arial"/>
          <w:lang w:val="en-CA"/>
        </w:rPr>
        <w:t>22</w:t>
      </w:r>
      <w:r w:rsidR="00433995" w:rsidRPr="002F6CBB">
        <w:rPr>
          <w:rFonts w:cs="Arial"/>
          <w:lang w:val="en-CA"/>
        </w:rPr>
        <w:t>,</w:t>
      </w:r>
      <w:r w:rsidRPr="002F6CBB">
        <w:rPr>
          <w:rFonts w:cs="Arial"/>
          <w:lang w:val="en-CA"/>
        </w:rPr>
        <w:t xml:space="preserve"> 2020.</w:t>
      </w:r>
    </w:p>
  </w:footnote>
  <w:footnote w:id="10">
    <w:p w14:paraId="2B2AAD15" w14:textId="3682B6F3" w:rsidR="00D72350" w:rsidRPr="002F6CBB" w:rsidRDefault="00D72350" w:rsidP="00D72350">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t xml:space="preserve">Exhibit P-4, </w:t>
      </w:r>
      <w:r w:rsidR="00433995" w:rsidRPr="002F6CBB">
        <w:rPr>
          <w:rFonts w:cs="Arial"/>
          <w:lang w:val="en-CA"/>
        </w:rPr>
        <w:t>Copy of</w:t>
      </w:r>
      <w:r w:rsidRPr="002F6CBB">
        <w:rPr>
          <w:rFonts w:cs="Arial"/>
          <w:lang w:val="en-CA"/>
        </w:rPr>
        <w:t xml:space="preserve"> </w:t>
      </w:r>
      <w:bookmarkStart w:id="7" w:name="_Hlk165887161"/>
      <w:r w:rsidR="00433995" w:rsidRPr="002F6CBB">
        <w:rPr>
          <w:rFonts w:cs="Arial"/>
          <w:lang w:val="en-CA"/>
        </w:rPr>
        <w:t>statement of offence</w:t>
      </w:r>
      <w:bookmarkEnd w:id="7"/>
      <w:r w:rsidR="00433995" w:rsidRPr="002F6CBB">
        <w:rPr>
          <w:rFonts w:cs="Arial"/>
          <w:lang w:val="en-CA"/>
        </w:rPr>
        <w:t xml:space="preserve"> </w:t>
      </w:r>
      <w:r w:rsidRPr="002F6CBB">
        <w:rPr>
          <w:rFonts w:cs="Arial"/>
          <w:lang w:val="en-CA"/>
        </w:rPr>
        <w:t xml:space="preserve">0413746683, </w:t>
      </w:r>
      <w:r w:rsidR="00433995" w:rsidRPr="002F6CBB">
        <w:rPr>
          <w:rFonts w:cs="Arial"/>
          <w:lang w:val="en-CA"/>
        </w:rPr>
        <w:t xml:space="preserve">September 19, </w:t>
      </w:r>
      <w:r w:rsidRPr="002F6CBB">
        <w:rPr>
          <w:rFonts w:cs="Arial"/>
          <w:lang w:val="en-CA"/>
        </w:rPr>
        <w:t>2018.</w:t>
      </w:r>
    </w:p>
  </w:footnote>
  <w:footnote w:id="11">
    <w:p w14:paraId="39F11B95" w14:textId="77136EF7" w:rsidR="00D72350" w:rsidRPr="002F6CBB" w:rsidRDefault="00D72350" w:rsidP="00D72350">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t xml:space="preserve">Exhibit P-6, </w:t>
      </w:r>
      <w:r w:rsidR="00433995" w:rsidRPr="002F6CBB">
        <w:rPr>
          <w:rFonts w:cs="Arial"/>
          <w:lang w:val="en-CA"/>
        </w:rPr>
        <w:t>Copy of</w:t>
      </w:r>
      <w:r w:rsidRPr="002F6CBB">
        <w:rPr>
          <w:rFonts w:cs="Arial"/>
          <w:lang w:val="en-CA"/>
        </w:rPr>
        <w:t xml:space="preserve"> </w:t>
      </w:r>
      <w:r w:rsidR="00433995" w:rsidRPr="002F6CBB">
        <w:rPr>
          <w:rFonts w:cs="Arial"/>
          <w:lang w:val="en-CA"/>
        </w:rPr>
        <w:t>acquittal on charge</w:t>
      </w:r>
      <w:r w:rsidRPr="002F6CBB">
        <w:rPr>
          <w:rFonts w:cs="Arial"/>
          <w:lang w:val="en-CA"/>
        </w:rPr>
        <w:t xml:space="preserve"> 0413746683, </w:t>
      </w:r>
      <w:r w:rsidR="00433995" w:rsidRPr="002F6CBB">
        <w:rPr>
          <w:rFonts w:cs="Arial"/>
          <w:lang w:val="en-CA"/>
        </w:rPr>
        <w:t xml:space="preserve">June </w:t>
      </w:r>
      <w:r w:rsidRPr="002F6CBB">
        <w:rPr>
          <w:rFonts w:cs="Arial"/>
          <w:lang w:val="en-CA"/>
        </w:rPr>
        <w:t>22</w:t>
      </w:r>
      <w:r w:rsidR="00433995" w:rsidRPr="002F6CBB">
        <w:rPr>
          <w:rFonts w:cs="Arial"/>
          <w:lang w:val="en-CA"/>
        </w:rPr>
        <w:t>,</w:t>
      </w:r>
      <w:r w:rsidRPr="002F6CBB">
        <w:rPr>
          <w:rFonts w:cs="Arial"/>
          <w:lang w:val="en-CA"/>
        </w:rPr>
        <w:t xml:space="preserve"> 2020.</w:t>
      </w:r>
    </w:p>
  </w:footnote>
  <w:footnote w:id="12">
    <w:p w14:paraId="078D984A" w14:textId="61ACD2D3" w:rsidR="001E3950" w:rsidRPr="005A25C1" w:rsidRDefault="001E3950" w:rsidP="001E3950">
      <w:pPr>
        <w:pStyle w:val="Notedebasdepage"/>
      </w:pPr>
      <w:r w:rsidRPr="002F6CBB">
        <w:rPr>
          <w:rStyle w:val="Appelnotedebasdep"/>
          <w:lang w:val="en-CA"/>
        </w:rPr>
        <w:footnoteRef/>
      </w:r>
      <w:r w:rsidRPr="005A25C1">
        <w:tab/>
      </w:r>
      <w:r w:rsidRPr="005A25C1">
        <w:rPr>
          <w:i/>
        </w:rPr>
        <w:t>Qu</w:t>
      </w:r>
      <w:r w:rsidR="00433995" w:rsidRPr="005A25C1">
        <w:rPr>
          <w:i/>
        </w:rPr>
        <w:t>e</w:t>
      </w:r>
      <w:r w:rsidRPr="005A25C1">
        <w:rPr>
          <w:i/>
        </w:rPr>
        <w:t xml:space="preserve">bec (Commission des droits de la personne et des droits de la jeunesse) </w:t>
      </w:r>
      <w:r w:rsidR="00433995" w:rsidRPr="005A25C1">
        <w:rPr>
          <w:i/>
        </w:rPr>
        <w:t>v</w:t>
      </w:r>
      <w:r w:rsidRPr="005A25C1">
        <w:rPr>
          <w:i/>
        </w:rPr>
        <w:t xml:space="preserve">. Bombardier Inc. (Bombardier </w:t>
      </w:r>
      <w:r w:rsidR="00433995" w:rsidRPr="005A25C1">
        <w:rPr>
          <w:i/>
        </w:rPr>
        <w:t>Aerospace Training Center</w:t>
      </w:r>
      <w:r w:rsidRPr="005A25C1">
        <w:rPr>
          <w:i/>
        </w:rPr>
        <w:t xml:space="preserve">), </w:t>
      </w:r>
      <w:r w:rsidRPr="005A25C1">
        <w:t>2015 S</w:t>
      </w:r>
      <w:r w:rsidR="00433995" w:rsidRPr="005A25C1">
        <w:t>C</w:t>
      </w:r>
      <w:r w:rsidRPr="005A25C1">
        <w:t>C 39</w:t>
      </w:r>
      <w:r w:rsidR="00433995" w:rsidRPr="005A25C1">
        <w:t xml:space="preserve"> at</w:t>
      </w:r>
      <w:r w:rsidRPr="005A25C1">
        <w:t xml:space="preserve"> par</w:t>
      </w:r>
      <w:r w:rsidR="00433995" w:rsidRPr="005A25C1">
        <w:t>a</w:t>
      </w:r>
      <w:r w:rsidRPr="005A25C1">
        <w:t xml:space="preserve">. 33 </w:t>
      </w:r>
      <w:r w:rsidR="0073616C">
        <w:t>[</w:t>
      </w:r>
      <w:r w:rsidRPr="005A25C1">
        <w:rPr>
          <w:i/>
          <w:iCs/>
        </w:rPr>
        <w:t>Bombardier</w:t>
      </w:r>
      <w:r w:rsidR="0073616C">
        <w:t>]</w:t>
      </w:r>
      <w:r w:rsidRPr="005A25C1">
        <w:t>.</w:t>
      </w:r>
    </w:p>
  </w:footnote>
  <w:footnote w:id="13">
    <w:p w14:paraId="4566209A" w14:textId="2593E4DD" w:rsidR="00A17A18" w:rsidRPr="005A25C1" w:rsidRDefault="00A17A18" w:rsidP="00A17A18">
      <w:pPr>
        <w:pStyle w:val="Notedebasdepage"/>
      </w:pPr>
      <w:r w:rsidRPr="002F6CBB">
        <w:rPr>
          <w:rStyle w:val="Appelnotedebasdep"/>
          <w:lang w:val="en-CA"/>
        </w:rPr>
        <w:footnoteRef/>
      </w:r>
      <w:r w:rsidRPr="005A25C1">
        <w:t xml:space="preserve"> </w:t>
      </w:r>
      <w:r w:rsidRPr="005A25C1">
        <w:tab/>
      </w:r>
      <w:r w:rsidRPr="005A25C1">
        <w:rPr>
          <w:i/>
        </w:rPr>
        <w:t xml:space="preserve">Commission des droits de la personne et des droits de la jeunesse (Dagobert et autres) c. Bertrand, </w:t>
      </w:r>
      <w:r w:rsidRPr="005A25C1">
        <w:t xml:space="preserve">2013 QCTDP 6 at para. 121 </w:t>
      </w:r>
      <w:r w:rsidR="0073616C">
        <w:t>[</w:t>
      </w:r>
      <w:r w:rsidRPr="005A25C1">
        <w:rPr>
          <w:i/>
          <w:iCs/>
        </w:rPr>
        <w:t>Dagobert</w:t>
      </w:r>
      <w:r w:rsidR="0073616C">
        <w:t>]</w:t>
      </w:r>
      <w:r w:rsidRPr="005A25C1">
        <w:t>.</w:t>
      </w:r>
    </w:p>
  </w:footnote>
  <w:footnote w:id="14">
    <w:p w14:paraId="143ECB7C" w14:textId="6581F783" w:rsidR="00A17A18" w:rsidRPr="005A25C1" w:rsidRDefault="00A17A18" w:rsidP="00A17A18">
      <w:pPr>
        <w:pStyle w:val="Notedebasdepage"/>
      </w:pPr>
      <w:r w:rsidRPr="002F6CBB">
        <w:rPr>
          <w:rStyle w:val="Appelnotedebasdep"/>
          <w:lang w:val="en-CA"/>
        </w:rPr>
        <w:footnoteRef/>
      </w:r>
      <w:r w:rsidRPr="005A25C1">
        <w:t xml:space="preserve"> </w:t>
      </w:r>
      <w:r w:rsidRPr="005A25C1">
        <w:tab/>
      </w:r>
      <w:r w:rsidRPr="005A25C1">
        <w:rPr>
          <w:i/>
          <w:iCs/>
        </w:rPr>
        <w:t xml:space="preserve">Commission des droits de la personne et des droits de la jeunesse (DeBellefeuille) c. Ville de Longueuil, </w:t>
      </w:r>
      <w:r w:rsidRPr="005A25C1">
        <w:t xml:space="preserve">2020 QCTDP 21 at paras. 135–136 </w:t>
      </w:r>
      <w:r w:rsidR="0073616C">
        <w:t>[</w:t>
      </w:r>
      <w:r w:rsidRPr="005A25C1">
        <w:rPr>
          <w:i/>
          <w:iCs/>
        </w:rPr>
        <w:t>DeBellefeuille</w:t>
      </w:r>
      <w:r w:rsidR="0073616C">
        <w:t>]</w:t>
      </w:r>
      <w:r w:rsidRPr="005A25C1">
        <w:t>.</w:t>
      </w:r>
    </w:p>
  </w:footnote>
  <w:footnote w:id="15">
    <w:p w14:paraId="524AAC8A" w14:textId="7652C8B5" w:rsidR="00A17A18" w:rsidRPr="005A25C1" w:rsidRDefault="00A17A18" w:rsidP="00A17A18">
      <w:pPr>
        <w:pStyle w:val="Notedebasdepage"/>
      </w:pPr>
      <w:r w:rsidRPr="002F6CBB">
        <w:rPr>
          <w:rStyle w:val="Appelnotedebasdep"/>
          <w:lang w:val="en-CA"/>
        </w:rPr>
        <w:footnoteRef/>
      </w:r>
      <w:r w:rsidRPr="005A25C1">
        <w:t xml:space="preserve"> </w:t>
      </w:r>
      <w:r w:rsidRPr="005A25C1">
        <w:tab/>
      </w:r>
      <w:r w:rsidRPr="005A25C1">
        <w:rPr>
          <w:i/>
          <w:iCs/>
        </w:rPr>
        <w:t>Dagobert</w:t>
      </w:r>
      <w:r w:rsidRPr="005A25C1">
        <w:t xml:space="preserve">, </w:t>
      </w:r>
      <w:r w:rsidRPr="005A25C1">
        <w:rPr>
          <w:i/>
          <w:iCs/>
        </w:rPr>
        <w:t>supra</w:t>
      </w:r>
      <w:r w:rsidRPr="005A25C1">
        <w:t xml:space="preserve"> note </w:t>
      </w:r>
      <w:r w:rsidRPr="002F6CBB">
        <w:rPr>
          <w:lang w:val="en-CA"/>
        </w:rPr>
        <w:fldChar w:fldCharType="begin"/>
      </w:r>
      <w:r w:rsidRPr="005A25C1">
        <w:instrText xml:space="preserve"> NOTEREF _Ref161753688 \h </w:instrText>
      </w:r>
      <w:r w:rsidRPr="002F6CBB">
        <w:rPr>
          <w:lang w:val="en-CA"/>
        </w:rPr>
      </w:r>
      <w:r w:rsidRPr="002F6CBB">
        <w:rPr>
          <w:lang w:val="en-CA"/>
        </w:rPr>
        <w:fldChar w:fldCharType="separate"/>
      </w:r>
      <w:r w:rsidR="00EC25EA">
        <w:t>13</w:t>
      </w:r>
      <w:r w:rsidRPr="002F6CBB">
        <w:rPr>
          <w:lang w:val="en-CA"/>
        </w:rPr>
        <w:fldChar w:fldCharType="end"/>
      </w:r>
      <w:r w:rsidRPr="005A25C1">
        <w:t xml:space="preserve"> at para. 119.</w:t>
      </w:r>
    </w:p>
  </w:footnote>
  <w:footnote w:id="16">
    <w:p w14:paraId="6B7E3097" w14:textId="5A645F96" w:rsidR="00A17A18" w:rsidRPr="005A25C1" w:rsidRDefault="00A17A18" w:rsidP="00A17A18">
      <w:pPr>
        <w:pStyle w:val="Notedebasdepage"/>
      </w:pPr>
      <w:r w:rsidRPr="002F6CBB">
        <w:rPr>
          <w:rStyle w:val="Appelnotedebasdep"/>
          <w:lang w:val="en-CA"/>
        </w:rPr>
        <w:footnoteRef/>
      </w:r>
      <w:r w:rsidRPr="00CD5AEA">
        <w:t xml:space="preserve"> </w:t>
      </w:r>
      <w:r w:rsidRPr="00CD5AEA">
        <w:tab/>
      </w:r>
      <w:r w:rsidRPr="00CD5AEA">
        <w:rPr>
          <w:i/>
        </w:rPr>
        <w:t>Bombardier</w:t>
      </w:r>
      <w:r w:rsidRPr="00CD5AEA">
        <w:t xml:space="preserve">, </w:t>
      </w:r>
      <w:r w:rsidRPr="00CD5AEA">
        <w:rPr>
          <w:i/>
          <w:iCs/>
        </w:rPr>
        <w:t>supra</w:t>
      </w:r>
      <w:r w:rsidRPr="00CD5AEA">
        <w:t xml:space="preserve"> note </w:t>
      </w:r>
      <w:r w:rsidRPr="002F6CBB">
        <w:rPr>
          <w:lang w:val="en-CA"/>
        </w:rPr>
        <w:fldChar w:fldCharType="begin"/>
      </w:r>
      <w:r w:rsidRPr="00CD5AEA">
        <w:instrText xml:space="preserve"> NOTEREF _Ref128649879 \h </w:instrText>
      </w:r>
      <w:r w:rsidRPr="002F6CBB">
        <w:rPr>
          <w:lang w:val="en-CA"/>
        </w:rPr>
      </w:r>
      <w:r w:rsidRPr="002F6CBB">
        <w:rPr>
          <w:lang w:val="en-CA"/>
        </w:rPr>
        <w:fldChar w:fldCharType="separate"/>
      </w:r>
      <w:r w:rsidR="00EC25EA" w:rsidRPr="00CA2E45">
        <w:t>12</w:t>
      </w:r>
      <w:r w:rsidRPr="002F6CBB">
        <w:rPr>
          <w:lang w:val="en-CA"/>
        </w:rPr>
        <w:fldChar w:fldCharType="end"/>
      </w:r>
      <w:r w:rsidRPr="00CD5AEA">
        <w:t xml:space="preserve"> at para. </w:t>
      </w:r>
      <w:r w:rsidRPr="005A25C1">
        <w:t xml:space="preserve">35; </w:t>
      </w:r>
      <w:r w:rsidRPr="005A25C1">
        <w:rPr>
          <w:i/>
        </w:rPr>
        <w:t>Mouvement laïque québécois v. Saguenay (</w:t>
      </w:r>
      <w:r w:rsidR="006D01F9">
        <w:rPr>
          <w:i/>
        </w:rPr>
        <w:t>C</w:t>
      </w:r>
      <w:r w:rsidRPr="005A25C1">
        <w:rPr>
          <w:i/>
        </w:rPr>
        <w:t xml:space="preserve">ity), </w:t>
      </w:r>
      <w:r w:rsidRPr="005A25C1">
        <w:t xml:space="preserve">2015 SCC 16 at para. 63 </w:t>
      </w:r>
      <w:r w:rsidR="00B05C29">
        <w:t>[</w:t>
      </w:r>
      <w:r w:rsidRPr="005A25C1">
        <w:rPr>
          <w:i/>
          <w:iCs/>
        </w:rPr>
        <w:t>Mouvement laïque</w:t>
      </w:r>
      <w:r w:rsidR="00B05C29">
        <w:t>]</w:t>
      </w:r>
      <w:r w:rsidRPr="005A25C1">
        <w:t xml:space="preserve">; </w:t>
      </w:r>
      <w:r w:rsidRPr="005A25C1">
        <w:rPr>
          <w:i/>
          <w:iCs/>
        </w:rPr>
        <w:t>Ward v. Qu</w:t>
      </w:r>
      <w:r w:rsidR="006D01F9">
        <w:rPr>
          <w:i/>
          <w:iCs/>
        </w:rPr>
        <w:t>e</w:t>
      </w:r>
      <w:r w:rsidRPr="005A25C1">
        <w:rPr>
          <w:i/>
          <w:iCs/>
        </w:rPr>
        <w:t xml:space="preserve">bec (Commission des droits de la personne et des droits de la jeunesse), </w:t>
      </w:r>
      <w:r w:rsidRPr="005A25C1">
        <w:t xml:space="preserve">2021 SCC 43 at para. 36 </w:t>
      </w:r>
      <w:r w:rsidR="00B05C29">
        <w:t>[</w:t>
      </w:r>
      <w:r w:rsidRPr="005A25C1">
        <w:rPr>
          <w:i/>
          <w:iCs/>
        </w:rPr>
        <w:t>Ward</w:t>
      </w:r>
      <w:r w:rsidR="00B05C29">
        <w:t>]</w:t>
      </w:r>
      <w:r w:rsidRPr="005A25C1">
        <w:t>.</w:t>
      </w:r>
    </w:p>
  </w:footnote>
  <w:footnote w:id="17">
    <w:p w14:paraId="7F2DE3CC" w14:textId="0DE9D9B0" w:rsidR="00A17A18" w:rsidRPr="005A25C1" w:rsidRDefault="00A17A18" w:rsidP="00A17A18">
      <w:pPr>
        <w:pStyle w:val="Notedebasdepage"/>
      </w:pPr>
      <w:r w:rsidRPr="002F6CBB">
        <w:rPr>
          <w:rStyle w:val="Appelnotedebasdep"/>
          <w:lang w:val="en-CA"/>
        </w:rPr>
        <w:footnoteRef/>
      </w:r>
      <w:r w:rsidRPr="005A25C1">
        <w:t xml:space="preserve"> </w:t>
      </w:r>
      <w:r w:rsidRPr="005A25C1">
        <w:tab/>
      </w:r>
      <w:r w:rsidRPr="005A25C1">
        <w:rPr>
          <w:i/>
        </w:rPr>
        <w:t xml:space="preserve">Commission des droits de la personne et des droits de la jeunesse (Rezko) c. Montréal (Service de police de la ville de) (SPVM), </w:t>
      </w:r>
      <w:r w:rsidRPr="005A25C1">
        <w:t xml:space="preserve">2012 QCTDP 5 at paras. 181 and 183 </w:t>
      </w:r>
      <w:r w:rsidR="00B05C29">
        <w:t>[</w:t>
      </w:r>
      <w:r w:rsidRPr="005A25C1">
        <w:rPr>
          <w:i/>
          <w:iCs/>
        </w:rPr>
        <w:t>Rezko</w:t>
      </w:r>
      <w:r w:rsidR="00B05C29">
        <w:t>]</w:t>
      </w:r>
      <w:r w:rsidRPr="005A25C1">
        <w:t xml:space="preserve">; </w:t>
      </w:r>
      <w:r w:rsidRPr="005A25C1">
        <w:rPr>
          <w:i/>
          <w:iCs/>
        </w:rPr>
        <w:t>DeBellefeuille, supra</w:t>
      </w:r>
      <w:r w:rsidRPr="005A25C1">
        <w:t xml:space="preserve"> note </w:t>
      </w:r>
      <w:r w:rsidRPr="002F6CBB">
        <w:rPr>
          <w:lang w:val="en-CA"/>
        </w:rPr>
        <w:fldChar w:fldCharType="begin"/>
      </w:r>
      <w:r w:rsidRPr="005A25C1">
        <w:instrText xml:space="preserve"> NOTEREF _Ref161821529 \h </w:instrText>
      </w:r>
      <w:r w:rsidRPr="002F6CBB">
        <w:rPr>
          <w:lang w:val="en-CA"/>
        </w:rPr>
      </w:r>
      <w:r w:rsidRPr="002F6CBB">
        <w:rPr>
          <w:lang w:val="en-CA"/>
        </w:rPr>
        <w:fldChar w:fldCharType="separate"/>
      </w:r>
      <w:r w:rsidR="00EC25EA">
        <w:t>14</w:t>
      </w:r>
      <w:r w:rsidRPr="002F6CBB">
        <w:rPr>
          <w:lang w:val="en-CA"/>
        </w:rPr>
        <w:fldChar w:fldCharType="end"/>
      </w:r>
      <w:r w:rsidRPr="005A25C1">
        <w:t xml:space="preserve"> at para. 141; </w:t>
      </w:r>
      <w:r w:rsidRPr="005A25C1">
        <w:rPr>
          <w:i/>
          <w:iCs/>
        </w:rPr>
        <w:t xml:space="preserve">Commission des droits de la personne et des droits de la jeunesse (Bazelais) c. Ville de Montréal (Service de police de la Ville de Montréal) (SPVM), </w:t>
      </w:r>
      <w:r w:rsidRPr="005A25C1">
        <w:t xml:space="preserve">2022 QCTDP 6 at paras. 210–211 </w:t>
      </w:r>
      <w:r w:rsidR="00C61E41">
        <w:t>[</w:t>
      </w:r>
      <w:r w:rsidRPr="005A25C1">
        <w:rPr>
          <w:i/>
          <w:iCs/>
        </w:rPr>
        <w:t>Bazelais</w:t>
      </w:r>
      <w:r w:rsidR="00C61E41">
        <w:t>]</w:t>
      </w:r>
      <w:r w:rsidRPr="005A25C1">
        <w:t xml:space="preserve">; </w:t>
      </w:r>
      <w:r w:rsidRPr="005A25C1">
        <w:rPr>
          <w:i/>
          <w:iCs/>
        </w:rPr>
        <w:t>Commission des droits de la personne et des droits de la jeunesse (Nkamba) c. Ville de Gatineau</w:t>
      </w:r>
      <w:r w:rsidRPr="005A25C1">
        <w:t xml:space="preserve">, 2023 QCTDP 14 at para. 20 </w:t>
      </w:r>
      <w:r w:rsidR="00C61E41">
        <w:t>[</w:t>
      </w:r>
      <w:r w:rsidRPr="005A25C1">
        <w:rPr>
          <w:i/>
          <w:iCs/>
        </w:rPr>
        <w:t>Nkamba</w:t>
      </w:r>
      <w:r w:rsidR="00C61E41">
        <w:t>]</w:t>
      </w:r>
      <w:r w:rsidRPr="005A25C1">
        <w:t>.</w:t>
      </w:r>
    </w:p>
  </w:footnote>
  <w:footnote w:id="18">
    <w:p w14:paraId="49966395" w14:textId="399699E9" w:rsidR="00A17A18" w:rsidRPr="005A25C1" w:rsidRDefault="00A17A18" w:rsidP="00A17A18">
      <w:pPr>
        <w:pStyle w:val="Notedebasdepage"/>
      </w:pPr>
      <w:r w:rsidRPr="002F6CBB">
        <w:rPr>
          <w:rStyle w:val="Appelnotedebasdep"/>
          <w:lang w:val="en-CA"/>
        </w:rPr>
        <w:footnoteRef/>
      </w:r>
      <w:r w:rsidRPr="005A25C1">
        <w:t xml:space="preserve"> </w:t>
      </w:r>
      <w:r w:rsidRPr="005A25C1">
        <w:tab/>
      </w:r>
      <w:r w:rsidRPr="005A25C1">
        <w:rPr>
          <w:i/>
          <w:iCs/>
        </w:rPr>
        <w:t>Rezko</w:t>
      </w:r>
      <w:r w:rsidRPr="005A25C1">
        <w:t xml:space="preserve">, </w:t>
      </w:r>
      <w:r w:rsidRPr="005A25C1">
        <w:rPr>
          <w:i/>
          <w:iCs/>
        </w:rPr>
        <w:t>ibid</w:t>
      </w:r>
      <w:r w:rsidRPr="005A25C1">
        <w:t xml:space="preserve">. at paras. 179 and 250; </w:t>
      </w:r>
      <w:r w:rsidRPr="005A25C1">
        <w:rPr>
          <w:i/>
          <w:iCs/>
        </w:rPr>
        <w:t>Commission des droits de la personne et des droits de la jeunesse (Mensah) c. Ville de Montréal (Service de police de la Ville de Montréal)</w:t>
      </w:r>
      <w:r w:rsidRPr="005A25C1">
        <w:t xml:space="preserve">, 2018 QCTDP 5 at para. 69 </w:t>
      </w:r>
      <w:r w:rsidR="00C61E41">
        <w:t>[</w:t>
      </w:r>
      <w:r w:rsidRPr="005A25C1">
        <w:rPr>
          <w:i/>
          <w:iCs/>
        </w:rPr>
        <w:t>Mensah</w:t>
      </w:r>
      <w:r w:rsidR="00C61E41">
        <w:t>]</w:t>
      </w:r>
      <w:r w:rsidRPr="005A25C1">
        <w:t xml:space="preserve">; </w:t>
      </w:r>
      <w:r w:rsidRPr="005A25C1">
        <w:rPr>
          <w:i/>
          <w:iCs/>
        </w:rPr>
        <w:t>Commission des droits de la personne et des droits de la jeunesse (Nyembwe) c. Ville de Gatineau</w:t>
      </w:r>
      <w:r w:rsidRPr="005A25C1">
        <w:t xml:space="preserve">, 2021 QCTDP 1 at para. 307 </w:t>
      </w:r>
      <w:r w:rsidR="00C61E41">
        <w:t>[</w:t>
      </w:r>
      <w:r w:rsidRPr="005A25C1">
        <w:rPr>
          <w:i/>
          <w:iCs/>
        </w:rPr>
        <w:t>Nyembwe</w:t>
      </w:r>
      <w:r w:rsidR="00C61E41">
        <w:t>]</w:t>
      </w:r>
      <w:r w:rsidRPr="005A25C1">
        <w:t>.</w:t>
      </w:r>
    </w:p>
  </w:footnote>
  <w:footnote w:id="19">
    <w:p w14:paraId="7C8BAABC" w14:textId="387AD6AB" w:rsidR="00A17A18" w:rsidRPr="005A25C1" w:rsidRDefault="00A17A18" w:rsidP="00A17A18">
      <w:pPr>
        <w:pStyle w:val="Notedebasdepage"/>
      </w:pPr>
      <w:r w:rsidRPr="002F6CBB">
        <w:rPr>
          <w:rStyle w:val="Appelnotedebasdep"/>
          <w:lang w:val="en-CA"/>
        </w:rPr>
        <w:footnoteRef/>
      </w:r>
      <w:r w:rsidRPr="00137A0B">
        <w:t xml:space="preserve"> </w:t>
      </w:r>
      <w:r w:rsidRPr="00137A0B">
        <w:tab/>
      </w:r>
      <w:r w:rsidRPr="00137A0B">
        <w:rPr>
          <w:i/>
          <w:iCs/>
        </w:rPr>
        <w:t>Rezko, supra</w:t>
      </w:r>
      <w:r w:rsidRPr="00137A0B">
        <w:t xml:space="preserve"> note </w:t>
      </w:r>
      <w:r w:rsidRPr="002F6CBB">
        <w:rPr>
          <w:lang w:val="en-CA"/>
        </w:rPr>
        <w:fldChar w:fldCharType="begin"/>
      </w:r>
      <w:r w:rsidRPr="00137A0B">
        <w:instrText xml:space="preserve"> NOTEREF _Ref161821961 \h  \* MERGEFORMAT </w:instrText>
      </w:r>
      <w:r w:rsidRPr="002F6CBB">
        <w:rPr>
          <w:lang w:val="en-CA"/>
        </w:rPr>
      </w:r>
      <w:r w:rsidRPr="002F6CBB">
        <w:rPr>
          <w:lang w:val="en-CA"/>
        </w:rPr>
        <w:fldChar w:fldCharType="separate"/>
      </w:r>
      <w:r w:rsidR="000F1A75" w:rsidRPr="00137A0B">
        <w:t>17</w:t>
      </w:r>
      <w:r w:rsidRPr="002F6CBB">
        <w:rPr>
          <w:lang w:val="en-CA"/>
        </w:rPr>
        <w:fldChar w:fldCharType="end"/>
      </w:r>
      <w:r w:rsidRPr="00137A0B">
        <w:t xml:space="preserve"> at para. </w:t>
      </w:r>
      <w:r w:rsidRPr="005A25C1">
        <w:t>183.</w:t>
      </w:r>
    </w:p>
  </w:footnote>
  <w:footnote w:id="20">
    <w:p w14:paraId="14B38B99" w14:textId="67CEC1AF" w:rsidR="00A17A18" w:rsidRPr="002F6CBB" w:rsidRDefault="00A17A18" w:rsidP="00A17A18">
      <w:pPr>
        <w:pStyle w:val="Notedebasdepage"/>
        <w:rPr>
          <w:rFonts w:cs="Arial"/>
          <w:lang w:val="en-CA"/>
        </w:rPr>
      </w:pPr>
      <w:r w:rsidRPr="002F6CBB">
        <w:rPr>
          <w:rStyle w:val="Appelnotedebasdep"/>
          <w:lang w:val="en-CA"/>
        </w:rPr>
        <w:footnoteRef/>
      </w:r>
      <w:r w:rsidRPr="005A25C1">
        <w:rPr>
          <w:rFonts w:cs="Arial"/>
        </w:rPr>
        <w:t xml:space="preserve"> </w:t>
      </w:r>
      <w:r w:rsidRPr="005A25C1">
        <w:rPr>
          <w:rFonts w:cs="Arial"/>
        </w:rPr>
        <w:tab/>
        <w:t xml:space="preserve">Michèle Turenne, “Le profilage racial : une atteinte au droit à l’égalité – Mise en contexte, fondements, perspectives pour un recours”, in </w:t>
      </w:r>
      <w:r w:rsidRPr="005A25C1">
        <w:rPr>
          <w:rFonts w:cs="Arial"/>
          <w:i/>
          <w:iCs/>
        </w:rPr>
        <w:t>Développements récents en profilage racial, Barreau du Québec</w:t>
      </w:r>
      <w:r w:rsidRPr="005A25C1">
        <w:rPr>
          <w:rFonts w:cs="Arial"/>
        </w:rPr>
        <w:t>, Service de formation continue, 2009, La Référence, at 87, 88, 90</w:t>
      </w:r>
      <w:r w:rsidR="006D01F9">
        <w:rPr>
          <w:rFonts w:cs="Arial"/>
        </w:rPr>
        <w:t>,</w:t>
      </w:r>
      <w:r w:rsidRPr="005A25C1">
        <w:rPr>
          <w:rFonts w:cs="Arial"/>
        </w:rPr>
        <w:t xml:space="preserve"> and 96. </w:t>
      </w:r>
      <w:r w:rsidRPr="002F6CBB">
        <w:rPr>
          <w:rFonts w:cs="Arial"/>
          <w:lang w:val="en-CA"/>
        </w:rPr>
        <w:t>See also David M. Tanovich, “</w:t>
      </w:r>
      <w:r w:rsidRPr="002F6CBB">
        <w:rPr>
          <w:rStyle w:val="st1"/>
          <w:rFonts w:cs="Arial"/>
          <w:lang w:val="en-CA"/>
        </w:rPr>
        <w:t>Applying The Racial Profiling Correspondence Test”</w:t>
      </w:r>
      <w:r w:rsidRPr="002F6CBB">
        <w:rPr>
          <w:rFonts w:cs="Arial"/>
          <w:lang w:val="en-CA"/>
        </w:rPr>
        <w:t xml:space="preserve">, (2017) 64 </w:t>
      </w:r>
      <w:r w:rsidRPr="00CA2E45">
        <w:rPr>
          <w:rFonts w:cs="Arial"/>
          <w:i/>
          <w:lang w:val="en-CA"/>
        </w:rPr>
        <w:t>CLQ</w:t>
      </w:r>
      <w:r w:rsidRPr="002F6CBB">
        <w:rPr>
          <w:rFonts w:cs="Arial"/>
          <w:lang w:val="en-CA"/>
        </w:rPr>
        <w:t xml:space="preserve"> 359 at 368, </w:t>
      </w:r>
      <w:r w:rsidR="00797115">
        <w:rPr>
          <w:rFonts w:cs="Arial"/>
          <w:lang w:val="en-CA"/>
        </w:rPr>
        <w:t>who</w:t>
      </w:r>
      <w:r w:rsidRPr="002F6CBB">
        <w:rPr>
          <w:rFonts w:cs="Arial"/>
          <w:lang w:val="en-CA"/>
        </w:rPr>
        <w:t xml:space="preserve"> states that an (“… </w:t>
      </w:r>
      <w:r w:rsidRPr="00CD5AEA">
        <w:rPr>
          <w:rFonts w:cs="Arial"/>
          <w:iCs/>
          <w:lang w:val="en-CA"/>
        </w:rPr>
        <w:t>unjustifiable arrest</w:t>
      </w:r>
      <w:r w:rsidRPr="002F6CBB">
        <w:rPr>
          <w:rFonts w:cs="Arial"/>
          <w:i/>
          <w:lang w:val="en-CA"/>
        </w:rPr>
        <w:t xml:space="preserve"> </w:t>
      </w:r>
      <w:r w:rsidRPr="002F6CBB">
        <w:rPr>
          <w:rFonts w:cs="Arial"/>
          <w:lang w:val="en-CA"/>
        </w:rPr>
        <w:t>…”) may constitute racial profiling.</w:t>
      </w:r>
    </w:p>
  </w:footnote>
  <w:footnote w:id="21">
    <w:p w14:paraId="6544C3A9" w14:textId="26F48BF9" w:rsidR="00A17A18" w:rsidRPr="005A25C1" w:rsidRDefault="00A17A18" w:rsidP="00A17A18">
      <w:pPr>
        <w:ind w:left="357" w:hanging="357"/>
        <w:jc w:val="both"/>
        <w:rPr>
          <w:rFonts w:cs="Arial"/>
          <w:sz w:val="20"/>
        </w:rPr>
      </w:pPr>
      <w:r w:rsidRPr="002F6CBB">
        <w:rPr>
          <w:rStyle w:val="Appelnotedebasdep"/>
          <w:rFonts w:cs="Arial"/>
          <w:sz w:val="20"/>
          <w:lang w:val="en-CA"/>
        </w:rPr>
        <w:footnoteRef/>
      </w:r>
      <w:r w:rsidRPr="00CA2E45">
        <w:rPr>
          <w:rFonts w:cs="Arial"/>
          <w:sz w:val="20"/>
          <w:lang w:val="es-CL"/>
        </w:rPr>
        <w:t xml:space="preserve"> </w:t>
      </w:r>
      <w:r w:rsidRPr="00CA2E45">
        <w:rPr>
          <w:rFonts w:cs="Arial"/>
          <w:sz w:val="20"/>
          <w:lang w:val="es-CL"/>
        </w:rPr>
        <w:tab/>
      </w:r>
      <w:r w:rsidRPr="00CA2E45">
        <w:rPr>
          <w:rFonts w:cs="Arial"/>
          <w:i/>
          <w:sz w:val="20"/>
          <w:lang w:val="es-CL" w:eastAsia="fr-CA"/>
        </w:rPr>
        <w:t>Rezko</w:t>
      </w:r>
      <w:r w:rsidRPr="00CA2E45">
        <w:rPr>
          <w:rFonts w:cs="Arial"/>
          <w:iCs/>
          <w:sz w:val="20"/>
          <w:lang w:val="es-CL" w:eastAsia="fr-CA"/>
        </w:rPr>
        <w:t xml:space="preserve">, </w:t>
      </w:r>
      <w:r w:rsidRPr="00CA2E45">
        <w:rPr>
          <w:rFonts w:cs="Arial"/>
          <w:i/>
          <w:sz w:val="20"/>
          <w:lang w:val="es-CL" w:eastAsia="fr-CA"/>
        </w:rPr>
        <w:t>supra</w:t>
      </w:r>
      <w:r w:rsidRPr="00CA2E45">
        <w:rPr>
          <w:rFonts w:cs="Arial"/>
          <w:iCs/>
          <w:sz w:val="20"/>
          <w:lang w:val="es-CL" w:eastAsia="fr-CA"/>
        </w:rPr>
        <w:t xml:space="preserve"> note </w:t>
      </w:r>
      <w:r w:rsidRPr="002F6CBB">
        <w:rPr>
          <w:rFonts w:cs="Arial"/>
          <w:iCs/>
          <w:sz w:val="20"/>
          <w:lang w:val="en-CA" w:eastAsia="fr-CA"/>
        </w:rPr>
        <w:fldChar w:fldCharType="begin"/>
      </w:r>
      <w:r w:rsidRPr="00CA2E45">
        <w:rPr>
          <w:rFonts w:cs="Arial"/>
          <w:iCs/>
          <w:sz w:val="20"/>
          <w:lang w:val="es-CL" w:eastAsia="fr-CA"/>
        </w:rPr>
        <w:instrText xml:space="preserve"> NOTEREF _Ref161821961 \h  \* MERGEFORMAT </w:instrText>
      </w:r>
      <w:r w:rsidRPr="002F6CBB">
        <w:rPr>
          <w:rFonts w:cs="Arial"/>
          <w:iCs/>
          <w:sz w:val="20"/>
          <w:lang w:val="en-CA" w:eastAsia="fr-CA"/>
        </w:rPr>
      </w:r>
      <w:r w:rsidRPr="002F6CBB">
        <w:rPr>
          <w:rFonts w:cs="Arial"/>
          <w:iCs/>
          <w:sz w:val="20"/>
          <w:lang w:val="en-CA" w:eastAsia="fr-CA"/>
        </w:rPr>
        <w:fldChar w:fldCharType="separate"/>
      </w:r>
      <w:r w:rsidR="000F1A75" w:rsidRPr="00CA2E45">
        <w:rPr>
          <w:rFonts w:cs="Arial"/>
          <w:iCs/>
          <w:sz w:val="20"/>
          <w:lang w:val="es-CL" w:eastAsia="fr-CA"/>
        </w:rPr>
        <w:t>17</w:t>
      </w:r>
      <w:r w:rsidRPr="002F6CBB">
        <w:rPr>
          <w:rFonts w:cs="Arial"/>
          <w:iCs/>
          <w:sz w:val="20"/>
          <w:lang w:val="en-CA" w:eastAsia="fr-CA"/>
        </w:rPr>
        <w:fldChar w:fldCharType="end"/>
      </w:r>
      <w:r w:rsidRPr="00CA2E45">
        <w:rPr>
          <w:rFonts w:cs="Arial"/>
          <w:iCs/>
          <w:sz w:val="20"/>
          <w:lang w:val="es-CL" w:eastAsia="fr-CA"/>
        </w:rPr>
        <w:t xml:space="preserve"> at</w:t>
      </w:r>
      <w:r w:rsidRPr="00CA2E45">
        <w:rPr>
          <w:rFonts w:cs="Arial"/>
          <w:sz w:val="20"/>
          <w:lang w:val="es-CL" w:eastAsia="fr-CA"/>
        </w:rPr>
        <w:t xml:space="preserve"> </w:t>
      </w:r>
      <w:r w:rsidRPr="00CA2E45">
        <w:rPr>
          <w:rFonts w:cs="Arial"/>
          <w:sz w:val="20"/>
          <w:lang w:val="es-CL"/>
        </w:rPr>
        <w:t xml:space="preserve">para. </w:t>
      </w:r>
      <w:r w:rsidRPr="005A25C1">
        <w:rPr>
          <w:rFonts w:cs="Arial"/>
          <w:sz w:val="20"/>
        </w:rPr>
        <w:t xml:space="preserve">180; </w:t>
      </w:r>
      <w:r w:rsidRPr="005A25C1">
        <w:rPr>
          <w:rFonts w:cs="Arial"/>
          <w:i/>
          <w:sz w:val="20"/>
        </w:rPr>
        <w:t xml:space="preserve">Commission des droits de la personne et des droits de la jeunesse (Miller et autres) c. Ville de Montréal (Service de police de la Ville de Montréal) (SPVM), </w:t>
      </w:r>
      <w:r w:rsidRPr="005A25C1">
        <w:rPr>
          <w:rFonts w:cs="Arial"/>
          <w:sz w:val="20"/>
        </w:rPr>
        <w:t xml:space="preserve">2019 QCTDP 31 at para. 185 </w:t>
      </w:r>
      <w:r w:rsidR="00797115">
        <w:rPr>
          <w:rFonts w:cs="Arial"/>
          <w:sz w:val="20"/>
        </w:rPr>
        <w:t>[</w:t>
      </w:r>
      <w:r w:rsidRPr="005A25C1">
        <w:rPr>
          <w:rFonts w:cs="Arial"/>
          <w:i/>
          <w:iCs/>
          <w:sz w:val="20"/>
        </w:rPr>
        <w:t>Miller</w:t>
      </w:r>
      <w:r w:rsidR="00797115">
        <w:rPr>
          <w:rFonts w:cs="Arial"/>
          <w:sz w:val="20"/>
        </w:rPr>
        <w:t>]</w:t>
      </w:r>
      <w:r w:rsidRPr="005A25C1">
        <w:rPr>
          <w:rFonts w:cs="Arial"/>
          <w:sz w:val="20"/>
        </w:rPr>
        <w:t xml:space="preserve">; </w:t>
      </w:r>
      <w:r w:rsidRPr="005A25C1">
        <w:rPr>
          <w:rFonts w:cs="Arial"/>
          <w:i/>
          <w:iCs/>
          <w:sz w:val="20"/>
        </w:rPr>
        <w:t>DeBellefeuille</w:t>
      </w:r>
      <w:r w:rsidRPr="005A25C1">
        <w:rPr>
          <w:rFonts w:cs="Arial"/>
          <w:sz w:val="20"/>
        </w:rPr>
        <w:t xml:space="preserve">, </w:t>
      </w:r>
      <w:r w:rsidRPr="005A25C1">
        <w:rPr>
          <w:rFonts w:cs="Arial"/>
          <w:i/>
          <w:iCs/>
          <w:sz w:val="20"/>
        </w:rPr>
        <w:t>supra</w:t>
      </w:r>
      <w:r w:rsidRPr="005A25C1">
        <w:rPr>
          <w:rFonts w:cs="Arial"/>
          <w:sz w:val="20"/>
        </w:rPr>
        <w:t xml:space="preserve"> note </w:t>
      </w:r>
      <w:r w:rsidRPr="002F6CBB">
        <w:rPr>
          <w:rFonts w:cs="Arial"/>
          <w:sz w:val="20"/>
          <w:lang w:val="en-CA"/>
        </w:rPr>
        <w:fldChar w:fldCharType="begin"/>
      </w:r>
      <w:r w:rsidRPr="005A25C1">
        <w:rPr>
          <w:rFonts w:cs="Arial"/>
          <w:sz w:val="20"/>
        </w:rPr>
        <w:instrText xml:space="preserve"> NOTEREF _Ref161821529 \h  \* MERGEFORMAT </w:instrText>
      </w:r>
      <w:r w:rsidRPr="002F6CBB">
        <w:rPr>
          <w:rFonts w:cs="Arial"/>
          <w:sz w:val="20"/>
          <w:lang w:val="en-CA"/>
        </w:rPr>
      </w:r>
      <w:r w:rsidRPr="002F6CBB">
        <w:rPr>
          <w:rFonts w:cs="Arial"/>
          <w:sz w:val="20"/>
          <w:lang w:val="en-CA"/>
        </w:rPr>
        <w:fldChar w:fldCharType="separate"/>
      </w:r>
      <w:r w:rsidR="00EC25EA">
        <w:rPr>
          <w:rFonts w:cs="Arial"/>
          <w:sz w:val="20"/>
        </w:rPr>
        <w:t>14</w:t>
      </w:r>
      <w:r w:rsidRPr="002F6CBB">
        <w:rPr>
          <w:rFonts w:cs="Arial"/>
          <w:sz w:val="20"/>
          <w:lang w:val="en-CA"/>
        </w:rPr>
        <w:fldChar w:fldCharType="end"/>
      </w:r>
      <w:r w:rsidRPr="005A25C1">
        <w:rPr>
          <w:rFonts w:cs="Arial"/>
          <w:sz w:val="20"/>
        </w:rPr>
        <w:t xml:space="preserve"> at para. 143; </w:t>
      </w:r>
      <w:r w:rsidRPr="005A25C1">
        <w:rPr>
          <w:rFonts w:cs="Arial"/>
          <w:i/>
          <w:iCs/>
          <w:sz w:val="20"/>
        </w:rPr>
        <w:t>Bazelais</w:t>
      </w:r>
      <w:r w:rsidRPr="005A25C1">
        <w:rPr>
          <w:rFonts w:cs="Arial"/>
          <w:sz w:val="20"/>
        </w:rPr>
        <w:t xml:space="preserve">, </w:t>
      </w:r>
      <w:r w:rsidRPr="005A25C1">
        <w:rPr>
          <w:rFonts w:cs="Arial"/>
          <w:i/>
          <w:iCs/>
          <w:sz w:val="20"/>
        </w:rPr>
        <w:t>supra</w:t>
      </w:r>
      <w:r w:rsidRPr="005A25C1">
        <w:rPr>
          <w:rFonts w:cs="Arial"/>
          <w:sz w:val="20"/>
        </w:rPr>
        <w:t xml:space="preserve"> note 17 at paras. 276 and 307.</w:t>
      </w:r>
    </w:p>
  </w:footnote>
  <w:footnote w:id="22">
    <w:p w14:paraId="24CB1B00" w14:textId="56FE89A6" w:rsidR="00A17A18" w:rsidRPr="00CA2E45" w:rsidRDefault="00A17A18" w:rsidP="00A17A18">
      <w:pPr>
        <w:pStyle w:val="Notedebasdepage"/>
        <w:rPr>
          <w:rFonts w:cs="Arial"/>
          <w:lang w:val="es-CL"/>
        </w:rPr>
      </w:pPr>
      <w:r w:rsidRPr="002F6CBB">
        <w:rPr>
          <w:rStyle w:val="Appelnotedebasdep"/>
          <w:rFonts w:cs="Arial"/>
          <w:lang w:val="en-CA"/>
        </w:rPr>
        <w:footnoteRef/>
      </w:r>
      <w:r w:rsidRPr="005A25C1">
        <w:rPr>
          <w:rFonts w:cs="Arial"/>
        </w:rPr>
        <w:t xml:space="preserve"> </w:t>
      </w:r>
      <w:r w:rsidRPr="005A25C1">
        <w:rPr>
          <w:rFonts w:cs="Arial"/>
        </w:rPr>
        <w:tab/>
      </w:r>
      <w:r w:rsidRPr="005A25C1">
        <w:rPr>
          <w:rFonts w:cs="Arial"/>
          <w:i/>
        </w:rPr>
        <w:t xml:space="preserve">Quebec (Commission des droits de la personne et des droits de la jeunesse) v. Montréal (City); Quebec (Commission des droits de la personne et des droits de la jeunesse) v. Boisbriand (City), </w:t>
      </w:r>
      <w:r w:rsidRPr="005A25C1">
        <w:rPr>
          <w:rFonts w:cs="Arial"/>
        </w:rPr>
        <w:t xml:space="preserve">2000 SCC 27 at para. </w:t>
      </w:r>
      <w:r w:rsidRPr="00CA2E45">
        <w:rPr>
          <w:rFonts w:cs="Arial"/>
          <w:lang w:val="es-CL"/>
        </w:rPr>
        <w:t xml:space="preserve">41; </w:t>
      </w:r>
      <w:r w:rsidRPr="00CA2E45">
        <w:rPr>
          <w:rFonts w:cs="Arial"/>
          <w:i/>
          <w:lang w:val="es-CL"/>
        </w:rPr>
        <w:t>Rezko, supra</w:t>
      </w:r>
      <w:r w:rsidRPr="00CA2E45">
        <w:rPr>
          <w:rFonts w:cs="Arial"/>
          <w:iCs/>
          <w:lang w:val="es-CL"/>
        </w:rPr>
        <w:t xml:space="preserve"> note</w:t>
      </w:r>
      <w:r w:rsidR="003B5F08">
        <w:rPr>
          <w:rFonts w:cs="Arial"/>
          <w:iCs/>
          <w:lang w:val="es-CL"/>
        </w:rPr>
        <w:t xml:space="preserve"> 17</w:t>
      </w:r>
      <w:r w:rsidRPr="00CA2E45">
        <w:rPr>
          <w:rFonts w:cs="Arial"/>
          <w:lang w:val="es-CL"/>
        </w:rPr>
        <w:t xml:space="preserve"> at para. 178; </w:t>
      </w:r>
      <w:r w:rsidRPr="00CA2E45">
        <w:rPr>
          <w:rFonts w:cs="Arial"/>
          <w:i/>
          <w:lang w:val="es-CL"/>
        </w:rPr>
        <w:t>Mensah</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18</w:t>
      </w:r>
      <w:r w:rsidRPr="00CA2E45">
        <w:rPr>
          <w:rFonts w:cs="Arial"/>
          <w:lang w:val="es-CL"/>
        </w:rPr>
        <w:t xml:space="preserve"> at para. 69; </w:t>
      </w:r>
      <w:r w:rsidRPr="00CA2E45">
        <w:rPr>
          <w:rFonts w:cs="Arial"/>
          <w:i/>
          <w:lang w:val="es-CL"/>
        </w:rPr>
        <w:t>Miller</w:t>
      </w:r>
      <w:r w:rsidRPr="00CA2E45">
        <w:rPr>
          <w:rFonts w:cs="Arial"/>
          <w:lang w:val="es-CL"/>
        </w:rPr>
        <w:t xml:space="preserve">, </w:t>
      </w:r>
      <w:r w:rsidRPr="00CA2E45">
        <w:rPr>
          <w:rFonts w:cs="Arial"/>
          <w:i/>
          <w:iCs/>
          <w:lang w:val="es-CL"/>
        </w:rPr>
        <w:t>supra</w:t>
      </w:r>
      <w:r w:rsidRPr="00CA2E45">
        <w:rPr>
          <w:rFonts w:cs="Arial"/>
          <w:lang w:val="es-CL"/>
        </w:rPr>
        <w:t xml:space="preserve"> note </w:t>
      </w:r>
      <w:r w:rsidR="003B5F08">
        <w:rPr>
          <w:rFonts w:cs="Arial"/>
          <w:lang w:val="es-CL"/>
        </w:rPr>
        <w:t>21</w:t>
      </w:r>
      <w:r w:rsidRPr="00CA2E45">
        <w:rPr>
          <w:rFonts w:cs="Arial"/>
          <w:lang w:val="es-CL"/>
        </w:rPr>
        <w:t xml:space="preserve"> at para. 175;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14</w:t>
      </w:r>
      <w:r w:rsidRPr="00CA2E45">
        <w:rPr>
          <w:rFonts w:cs="Arial"/>
          <w:lang w:val="es-CL"/>
        </w:rPr>
        <w:t xml:space="preserve"> at para. 144.</w:t>
      </w:r>
    </w:p>
  </w:footnote>
  <w:footnote w:id="23">
    <w:p w14:paraId="1800185D" w14:textId="26D89221" w:rsidR="00A17A18" w:rsidRPr="00CA2E45" w:rsidRDefault="00A17A18" w:rsidP="00A17A18">
      <w:pPr>
        <w:pStyle w:val="Notedebasdepage"/>
        <w:rPr>
          <w:iCs/>
          <w:lang w:val="es-CL"/>
        </w:rPr>
      </w:pPr>
      <w:r w:rsidRPr="002F6CBB">
        <w:rPr>
          <w:rStyle w:val="Appelnotedebasdep"/>
          <w:lang w:val="en-CA"/>
        </w:rPr>
        <w:footnoteRef/>
      </w:r>
      <w:r w:rsidRPr="00CA2E45">
        <w:rPr>
          <w:lang w:val="es-CL"/>
        </w:rPr>
        <w:t xml:space="preserve"> </w:t>
      </w:r>
      <w:r w:rsidRPr="00CA2E45">
        <w:rPr>
          <w:lang w:val="es-CL"/>
        </w:rPr>
        <w:tab/>
      </w:r>
      <w:r w:rsidRPr="00CA2E45">
        <w:rPr>
          <w:i/>
          <w:iCs/>
          <w:lang w:val="es-CL"/>
        </w:rPr>
        <w:t>Bombardier</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12</w:t>
      </w:r>
      <w:r w:rsidRPr="00CA2E45">
        <w:rPr>
          <w:lang w:val="es-CL"/>
        </w:rPr>
        <w:t xml:space="preserve"> at paras. 48–52; </w:t>
      </w:r>
      <w:r w:rsidRPr="00CA2E45">
        <w:rPr>
          <w:i/>
          <w:iCs/>
          <w:lang w:val="es-CL"/>
        </w:rPr>
        <w:t>Ward</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16</w:t>
      </w:r>
      <w:r w:rsidRPr="00CA2E45">
        <w:rPr>
          <w:lang w:val="es-CL"/>
        </w:rPr>
        <w:t xml:space="preserve"> at para. 36;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14</w:t>
      </w:r>
      <w:r w:rsidRPr="00CA2E45">
        <w:rPr>
          <w:rFonts w:cs="Arial"/>
          <w:lang w:val="es-CL"/>
        </w:rPr>
        <w:t xml:space="preserve"> at</w:t>
      </w:r>
      <w:r w:rsidRPr="00CA2E45">
        <w:rPr>
          <w:lang w:val="es-CL"/>
        </w:rPr>
        <w:t xml:space="preserve"> paras. 131, 145 and 146; </w:t>
      </w:r>
      <w:r w:rsidRPr="00CA2E45">
        <w:rPr>
          <w:i/>
          <w:lang w:val="es-CL"/>
        </w:rPr>
        <w:t>Nyembwe</w:t>
      </w:r>
      <w:r w:rsidRPr="00CA2E45">
        <w:rPr>
          <w:iCs/>
          <w:lang w:val="es-CL"/>
        </w:rPr>
        <w:t xml:space="preserve">, </w:t>
      </w:r>
      <w:r w:rsidRPr="00CA2E45">
        <w:rPr>
          <w:i/>
          <w:lang w:val="es-CL"/>
        </w:rPr>
        <w:t>supra</w:t>
      </w:r>
      <w:r w:rsidRPr="00CA2E45">
        <w:rPr>
          <w:iCs/>
          <w:lang w:val="es-CL"/>
        </w:rPr>
        <w:t xml:space="preserve"> note</w:t>
      </w:r>
      <w:r w:rsidR="003B5F08" w:rsidRPr="00CA2E45">
        <w:rPr>
          <w:iCs/>
          <w:lang w:val="es-CL"/>
        </w:rPr>
        <w:t xml:space="preserve"> 18</w:t>
      </w:r>
      <w:r w:rsidRPr="00CA2E45">
        <w:rPr>
          <w:iCs/>
          <w:lang w:val="es-CL"/>
        </w:rPr>
        <w:t xml:space="preserve"> at paras. 314–315; </w:t>
      </w:r>
      <w:r w:rsidRPr="00CA2E45">
        <w:rPr>
          <w:i/>
          <w:lang w:val="es-CL"/>
        </w:rPr>
        <w:t>Nkamba</w:t>
      </w:r>
      <w:r w:rsidRPr="00CA2E45">
        <w:rPr>
          <w:iCs/>
          <w:lang w:val="es-CL"/>
        </w:rPr>
        <w:t xml:space="preserve">, </w:t>
      </w:r>
      <w:r w:rsidRPr="00CA2E45">
        <w:rPr>
          <w:i/>
          <w:lang w:val="es-CL"/>
        </w:rPr>
        <w:t>supra</w:t>
      </w:r>
      <w:r w:rsidRPr="00CA2E45">
        <w:rPr>
          <w:iCs/>
          <w:lang w:val="es-CL"/>
        </w:rPr>
        <w:t xml:space="preserve"> note</w:t>
      </w:r>
      <w:r w:rsidR="001E546D" w:rsidRPr="00CA2E45">
        <w:rPr>
          <w:iCs/>
          <w:lang w:val="es-CL"/>
        </w:rPr>
        <w:t xml:space="preserve"> </w:t>
      </w:r>
      <w:r w:rsidR="003B5F08" w:rsidRPr="00CA2E45">
        <w:rPr>
          <w:iCs/>
          <w:lang w:val="es-CL"/>
        </w:rPr>
        <w:t>17</w:t>
      </w:r>
      <w:r w:rsidRPr="00CA2E45">
        <w:rPr>
          <w:iCs/>
          <w:lang w:val="es-CL"/>
        </w:rPr>
        <w:t xml:space="preserve"> at para. 23.</w:t>
      </w:r>
    </w:p>
  </w:footnote>
  <w:footnote w:id="24">
    <w:p w14:paraId="597672BD" w14:textId="73FF25A9" w:rsidR="00A17A18" w:rsidRPr="002F6CBB" w:rsidRDefault="00A17A18" w:rsidP="00A17A18">
      <w:pPr>
        <w:pStyle w:val="Notedebasdepage"/>
        <w:rPr>
          <w:i/>
          <w:iCs/>
          <w:lang w:val="en-CA"/>
        </w:rPr>
      </w:pPr>
      <w:r w:rsidRPr="007869C1">
        <w:rPr>
          <w:rStyle w:val="Appelnotedebasdep"/>
          <w:lang w:val="en-CA"/>
        </w:rPr>
        <w:footnoteRef/>
      </w:r>
      <w:r w:rsidRPr="00CA2E45">
        <w:rPr>
          <w:lang w:val="es-CL"/>
        </w:rPr>
        <w:t xml:space="preserve"> </w:t>
      </w:r>
      <w:r w:rsidRPr="00CA2E45">
        <w:rPr>
          <w:i/>
          <w:iCs/>
          <w:lang w:val="es-CL"/>
        </w:rPr>
        <w:tab/>
        <w:t>Bombardier</w:t>
      </w:r>
      <w:r w:rsidRPr="00CA2E45">
        <w:rPr>
          <w:lang w:val="es-CL"/>
        </w:rPr>
        <w:t xml:space="preserve">, </w:t>
      </w:r>
      <w:r w:rsidRPr="00CA2E45">
        <w:rPr>
          <w:i/>
          <w:iCs/>
          <w:lang w:val="es-CL"/>
        </w:rPr>
        <w:t xml:space="preserve">ibid. </w:t>
      </w:r>
      <w:r w:rsidRPr="00CA2E45">
        <w:rPr>
          <w:lang w:val="es-CL"/>
        </w:rPr>
        <w:t>at paras. 40–41</w:t>
      </w:r>
      <w:r w:rsidRPr="00CA2E45">
        <w:rPr>
          <w:i/>
          <w:iCs/>
          <w:lang w:val="es-CL"/>
        </w:rPr>
        <w:t>;</w:t>
      </w:r>
      <w:r w:rsidRPr="00CA2E45">
        <w:rPr>
          <w:rFonts w:cs="Arial"/>
          <w:i/>
          <w:lang w:val="es-CL" w:eastAsia="fr-CA"/>
        </w:rPr>
        <w:t xml:space="preserve"> Rezko</w:t>
      </w:r>
      <w:r w:rsidRPr="00CA2E45">
        <w:rPr>
          <w:rFonts w:cs="Arial"/>
          <w:iCs/>
          <w:lang w:val="es-CL" w:eastAsia="fr-CA"/>
        </w:rPr>
        <w:t xml:space="preserve">, </w:t>
      </w:r>
      <w:r w:rsidRPr="00CA2E45">
        <w:rPr>
          <w:rFonts w:cs="Arial"/>
          <w:i/>
          <w:iCs/>
          <w:lang w:val="es-CL"/>
        </w:rPr>
        <w:t>supra</w:t>
      </w:r>
      <w:r w:rsidRPr="00CA2E45">
        <w:rPr>
          <w:rFonts w:cs="Arial"/>
          <w:iCs/>
          <w:lang w:val="es-CL" w:eastAsia="fr-CA"/>
        </w:rPr>
        <w:t xml:space="preserve"> note</w:t>
      </w:r>
      <w:r w:rsidR="003B5F08">
        <w:rPr>
          <w:rFonts w:cs="Arial"/>
          <w:iCs/>
          <w:lang w:val="es-CL" w:eastAsia="fr-CA"/>
        </w:rPr>
        <w:t xml:space="preserve"> 17</w:t>
      </w:r>
      <w:r w:rsidRPr="00CA2E45">
        <w:rPr>
          <w:i/>
          <w:iCs/>
          <w:lang w:val="es-CL"/>
        </w:rPr>
        <w:t xml:space="preserve"> </w:t>
      </w:r>
      <w:r w:rsidRPr="00CA2E45">
        <w:rPr>
          <w:lang w:val="es-CL"/>
        </w:rPr>
        <w:t>at para. 184;</w:t>
      </w:r>
      <w:r w:rsidRPr="00CA2E45">
        <w:rPr>
          <w:rFonts w:cs="Arial"/>
          <w:i/>
          <w:lang w:val="es-CL"/>
        </w:rPr>
        <w:t xml:space="preserve"> Miller</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21</w:t>
      </w:r>
      <w:r w:rsidRPr="00CA2E45">
        <w:rPr>
          <w:i/>
          <w:iCs/>
          <w:lang w:val="es-CL"/>
        </w:rPr>
        <w:t xml:space="preserve"> </w:t>
      </w:r>
      <w:r w:rsidRPr="00CA2E45">
        <w:rPr>
          <w:lang w:val="es-CL"/>
        </w:rPr>
        <w:t>at paras. 195–196;</w:t>
      </w:r>
      <w:r w:rsidRPr="00CA2E45">
        <w:rPr>
          <w:rFonts w:cs="Arial"/>
          <w:i/>
          <w:iCs/>
          <w:lang w:val="es-CL"/>
        </w:rPr>
        <w:t xml:space="preserve"> DeBellefeuille</w:t>
      </w:r>
      <w:r w:rsidRPr="00CA2E45">
        <w:rPr>
          <w:rFonts w:cs="Arial"/>
          <w:lang w:val="es-CL"/>
        </w:rPr>
        <w:t xml:space="preserve">, </w:t>
      </w:r>
      <w:r w:rsidRPr="00CA2E45">
        <w:rPr>
          <w:rFonts w:cs="Arial"/>
          <w:i/>
          <w:iCs/>
          <w:lang w:val="es-CL"/>
        </w:rPr>
        <w:t>ibid.</w:t>
      </w:r>
      <w:r w:rsidRPr="00CA2E45">
        <w:rPr>
          <w:lang w:val="es-CL"/>
        </w:rPr>
        <w:t xml:space="preserve"> at para. </w:t>
      </w:r>
      <w:r w:rsidRPr="002F6CBB">
        <w:rPr>
          <w:lang w:val="en-CA"/>
        </w:rPr>
        <w:t>147</w:t>
      </w:r>
      <w:r w:rsidRPr="002F6CBB">
        <w:rPr>
          <w:i/>
          <w:lang w:val="en-CA"/>
        </w:rPr>
        <w:t>; Nyembwe</w:t>
      </w:r>
      <w:r w:rsidRPr="002F6CBB">
        <w:rPr>
          <w:iCs/>
          <w:lang w:val="en-CA"/>
        </w:rPr>
        <w:t xml:space="preserve">, </w:t>
      </w:r>
      <w:r w:rsidRPr="002F6CBB">
        <w:rPr>
          <w:i/>
          <w:lang w:val="en-CA"/>
        </w:rPr>
        <w:t xml:space="preserve">ibid. </w:t>
      </w:r>
      <w:r w:rsidRPr="002F6CBB">
        <w:rPr>
          <w:iCs/>
          <w:lang w:val="en-CA"/>
        </w:rPr>
        <w:t>at para. 297</w:t>
      </w:r>
      <w:r w:rsidRPr="002F6CBB">
        <w:rPr>
          <w:i/>
          <w:lang w:val="en-CA"/>
        </w:rPr>
        <w:t>; Nkamba</w:t>
      </w:r>
      <w:r w:rsidRPr="002F6CBB">
        <w:rPr>
          <w:iCs/>
          <w:lang w:val="en-CA"/>
        </w:rPr>
        <w:t xml:space="preserve">, </w:t>
      </w:r>
      <w:r w:rsidRPr="002F6CBB">
        <w:rPr>
          <w:i/>
          <w:lang w:val="en-CA"/>
        </w:rPr>
        <w:t>ibid.</w:t>
      </w:r>
      <w:r w:rsidRPr="002F6CBB">
        <w:rPr>
          <w:lang w:val="en-CA"/>
        </w:rPr>
        <w:t xml:space="preserve"> at para. 25.</w:t>
      </w:r>
    </w:p>
  </w:footnote>
  <w:footnote w:id="25">
    <w:p w14:paraId="261F86B9" w14:textId="77777777" w:rsidR="00A17A18" w:rsidRPr="002F6CBB" w:rsidRDefault="00A17A18" w:rsidP="00A17A18">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bookmarkStart w:id="20" w:name="_Hlk161826030"/>
      <w:r w:rsidRPr="002F6CBB">
        <w:rPr>
          <w:i/>
          <w:iCs/>
          <w:lang w:val="en-CA"/>
        </w:rPr>
        <w:t>Bombardier</w:t>
      </w:r>
      <w:r w:rsidRPr="002F6CBB">
        <w:rPr>
          <w:lang w:val="en-CA"/>
        </w:rPr>
        <w:t xml:space="preserve">, </w:t>
      </w:r>
      <w:r w:rsidRPr="002F6CBB">
        <w:rPr>
          <w:i/>
          <w:iCs/>
          <w:lang w:val="en-CA"/>
        </w:rPr>
        <w:t>ibid.</w:t>
      </w:r>
      <w:bookmarkEnd w:id="20"/>
      <w:r w:rsidRPr="002F6CBB">
        <w:rPr>
          <w:lang w:val="en-CA"/>
        </w:rPr>
        <w:t xml:space="preserve"> at para. 53.</w:t>
      </w:r>
    </w:p>
  </w:footnote>
  <w:footnote w:id="26">
    <w:p w14:paraId="2BD25DCE" w14:textId="53312849" w:rsidR="00A17A18" w:rsidRPr="002F6CBB" w:rsidRDefault="00A17A18" w:rsidP="00A17A18">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Ibid</w:t>
      </w:r>
      <w:r w:rsidRPr="002F6CBB">
        <w:rPr>
          <w:lang w:val="en-CA"/>
        </w:rPr>
        <w:t xml:space="preserve">. at para. </w:t>
      </w:r>
      <w:r w:rsidRPr="00CA2E45">
        <w:rPr>
          <w:lang w:val="en-CA"/>
        </w:rPr>
        <w:t xml:space="preserve">54; </w:t>
      </w:r>
      <w:r w:rsidRPr="00CA2E45">
        <w:rPr>
          <w:rFonts w:cs="Arial"/>
          <w:i/>
          <w:iCs/>
          <w:lang w:val="en-CA"/>
        </w:rPr>
        <w:t>DeBellefeuille</w:t>
      </w:r>
      <w:r w:rsidRPr="00CA2E45">
        <w:rPr>
          <w:rFonts w:cs="Arial"/>
          <w:lang w:val="en-CA"/>
        </w:rPr>
        <w:t xml:space="preserve">, </w:t>
      </w:r>
      <w:r w:rsidRPr="00CA2E45">
        <w:rPr>
          <w:rFonts w:cs="Arial"/>
          <w:i/>
          <w:iCs/>
          <w:lang w:val="en-CA"/>
        </w:rPr>
        <w:t>supra</w:t>
      </w:r>
      <w:r w:rsidRPr="00CA2E45">
        <w:rPr>
          <w:rFonts w:cs="Arial"/>
          <w:lang w:val="en-CA"/>
        </w:rPr>
        <w:t xml:space="preserve"> note </w:t>
      </w:r>
      <w:r w:rsidR="00AA10FD" w:rsidRPr="00CA2E45">
        <w:rPr>
          <w:rFonts w:cs="Arial"/>
          <w:lang w:val="en-CA"/>
        </w:rPr>
        <w:t>14</w:t>
      </w:r>
      <w:r w:rsidRPr="00CA2E45">
        <w:rPr>
          <w:rFonts w:cs="Arial"/>
          <w:lang w:val="en-CA"/>
        </w:rPr>
        <w:t xml:space="preserve"> at</w:t>
      </w:r>
      <w:r w:rsidRPr="00CA2E45">
        <w:rPr>
          <w:lang w:val="en-CA"/>
        </w:rPr>
        <w:t xml:space="preserve"> paras. </w:t>
      </w:r>
      <w:r w:rsidRPr="002F6CBB">
        <w:rPr>
          <w:lang w:val="en-CA"/>
        </w:rPr>
        <w:t>129 and 150.</w:t>
      </w:r>
    </w:p>
  </w:footnote>
  <w:footnote w:id="27">
    <w:p w14:paraId="178D737D" w14:textId="70106547" w:rsidR="002A2678" w:rsidRPr="002F6CBB" w:rsidRDefault="002A2678" w:rsidP="002A2678">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See </w:t>
      </w:r>
      <w:r w:rsidRPr="002F6CBB">
        <w:rPr>
          <w:i/>
          <w:iCs/>
          <w:lang w:val="en-CA"/>
        </w:rPr>
        <w:t>Ont.</w:t>
      </w:r>
      <w:r w:rsidRPr="002F6CBB">
        <w:rPr>
          <w:lang w:val="en-CA"/>
        </w:rPr>
        <w:t xml:space="preserve"> </w:t>
      </w:r>
      <w:r w:rsidRPr="002F6CBB">
        <w:rPr>
          <w:i/>
          <w:iCs/>
          <w:lang w:val="en-CA"/>
        </w:rPr>
        <w:t>Human Rights</w:t>
      </w:r>
      <w:r w:rsidRPr="002F6CBB">
        <w:rPr>
          <w:lang w:val="en-CA"/>
        </w:rPr>
        <w:t xml:space="preserve"> </w:t>
      </w:r>
      <w:r w:rsidRPr="002F6CBB">
        <w:rPr>
          <w:i/>
          <w:lang w:val="en-CA"/>
        </w:rPr>
        <w:t xml:space="preserve">Comm. v. Simpsons-Sears, </w:t>
      </w:r>
      <w:r w:rsidRPr="002F6CBB">
        <w:rPr>
          <w:lang w:val="en-CA"/>
        </w:rPr>
        <w:t xml:space="preserve">[1985] 2 SCR 536 at para. 28; </w:t>
      </w:r>
      <w:bookmarkStart w:id="21" w:name="_Hlk161826746"/>
      <w:r w:rsidRPr="002F6CBB">
        <w:rPr>
          <w:i/>
          <w:iCs/>
          <w:lang w:val="en-CA"/>
        </w:rPr>
        <w:t>Bombardier</w:t>
      </w:r>
      <w:r w:rsidRPr="002F6CBB">
        <w:rPr>
          <w:lang w:val="en-CA"/>
        </w:rPr>
        <w:t xml:space="preserve">, </w:t>
      </w:r>
      <w:r w:rsidRPr="002F6CBB">
        <w:rPr>
          <w:i/>
          <w:iCs/>
          <w:lang w:val="en-CA"/>
        </w:rPr>
        <w:t>supra</w:t>
      </w:r>
      <w:r w:rsidRPr="002F6CBB">
        <w:rPr>
          <w:lang w:val="en-CA"/>
        </w:rPr>
        <w:t xml:space="preserve"> note </w:t>
      </w:r>
      <w:r w:rsidRPr="002F6CBB">
        <w:rPr>
          <w:lang w:val="en-CA"/>
        </w:rPr>
        <w:fldChar w:fldCharType="begin"/>
      </w:r>
      <w:r w:rsidRPr="002F6CBB">
        <w:rPr>
          <w:lang w:val="en-CA"/>
        </w:rPr>
        <w:instrText xml:space="preserve"> NOTEREF _Ref128649879 \h </w:instrText>
      </w:r>
      <w:r w:rsidRPr="002F6CBB">
        <w:rPr>
          <w:lang w:val="en-CA"/>
        </w:rPr>
      </w:r>
      <w:r w:rsidRPr="002F6CBB">
        <w:rPr>
          <w:lang w:val="en-CA"/>
        </w:rPr>
        <w:fldChar w:fldCharType="separate"/>
      </w:r>
      <w:r w:rsidR="00EC25EA">
        <w:rPr>
          <w:lang w:val="en-CA"/>
        </w:rPr>
        <w:t>12</w:t>
      </w:r>
      <w:r w:rsidRPr="002F6CBB">
        <w:rPr>
          <w:lang w:val="en-CA"/>
        </w:rPr>
        <w:fldChar w:fldCharType="end"/>
      </w:r>
      <w:bookmarkEnd w:id="21"/>
      <w:r w:rsidRPr="002F6CBB">
        <w:rPr>
          <w:lang w:val="en-CA"/>
        </w:rPr>
        <w:t xml:space="preserve"> at paras. 59–60: </w:t>
      </w:r>
      <w:r w:rsidR="009A0088">
        <w:rPr>
          <w:lang w:val="en-CA"/>
        </w:rPr>
        <w:t>A p</w:t>
      </w:r>
      <w:r w:rsidRPr="002F6CBB">
        <w:rPr>
          <w:rFonts w:cs="Arial"/>
          <w:i/>
          <w:iCs/>
          <w:color w:val="000000"/>
          <w:lang w:val="en-CA"/>
        </w:rPr>
        <w:t>rima facie</w:t>
      </w:r>
      <w:r w:rsidRPr="002F6CBB">
        <w:rPr>
          <w:rFonts w:cs="Arial"/>
          <w:color w:val="000000"/>
          <w:lang w:val="en-CA"/>
        </w:rPr>
        <w:t> </w:t>
      </w:r>
      <w:r w:rsidR="009A0088">
        <w:rPr>
          <w:rFonts w:cs="Arial"/>
          <w:color w:val="000000"/>
          <w:lang w:val="en-CA"/>
        </w:rPr>
        <w:t xml:space="preserve">case </w:t>
      </w:r>
      <w:r w:rsidRPr="002F6CBB">
        <w:rPr>
          <w:rFonts w:cs="Arial"/>
          <w:color w:val="000000"/>
          <w:lang w:val="en-CA"/>
        </w:rPr>
        <w:t>is [</w:t>
      </w:r>
      <w:r w:rsidRPr="002F6CBB">
        <w:rPr>
          <w:rFonts w:cs="Arial"/>
          <w:smallCaps/>
          <w:color w:val="000000"/>
          <w:lang w:val="en-CA"/>
        </w:rPr>
        <w:t>translation</w:t>
      </w:r>
      <w:r w:rsidRPr="002F6CBB">
        <w:rPr>
          <w:rFonts w:cs="Arial"/>
          <w:color w:val="000000"/>
          <w:lang w:val="en-CA"/>
        </w:rPr>
        <w:t>] “sufficient proof absent an answer that a discriminatory ground was a factor”, that is, evidence “</w:t>
      </w:r>
      <w:r w:rsidRPr="002F6CBB">
        <w:rPr>
          <w:rFonts w:cs="Arial"/>
          <w:color w:val="000000"/>
          <w:spacing w:val="-3"/>
          <w:lang w:val="en-CA"/>
        </w:rPr>
        <w:t>which covers the allegations made and which, if they are believed, is complete and sufficient</w:t>
      </w:r>
      <w:r w:rsidRPr="002F6CBB">
        <w:rPr>
          <w:lang w:val="en-CA"/>
        </w:rPr>
        <w:t xml:space="preserve"> …”.</w:t>
      </w:r>
    </w:p>
  </w:footnote>
  <w:footnote w:id="28">
    <w:p w14:paraId="43D8E867" w14:textId="58B2EE4E" w:rsidR="002A2678" w:rsidRPr="002F6CBB" w:rsidRDefault="002A2678" w:rsidP="002A2678">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Bombardier</w:t>
      </w:r>
      <w:r w:rsidRPr="002F6CBB">
        <w:rPr>
          <w:lang w:val="en-CA"/>
        </w:rPr>
        <w:t xml:space="preserve">, </w:t>
      </w:r>
      <w:r w:rsidRPr="002F6CBB">
        <w:rPr>
          <w:i/>
          <w:iCs/>
          <w:lang w:val="en-CA"/>
        </w:rPr>
        <w:t>ibid.</w:t>
      </w:r>
      <w:r w:rsidRPr="002F6CBB">
        <w:rPr>
          <w:lang w:val="en-CA"/>
        </w:rPr>
        <w:t xml:space="preserve"> at para. </w:t>
      </w:r>
      <w:r w:rsidRPr="00CD5AEA">
        <w:rPr>
          <w:lang w:val="en-CA"/>
        </w:rPr>
        <w:t xml:space="preserve">64; </w:t>
      </w:r>
      <w:r w:rsidRPr="00CD5AEA">
        <w:rPr>
          <w:i/>
          <w:iCs/>
          <w:lang w:val="en-CA"/>
        </w:rPr>
        <w:t>Bazelais</w:t>
      </w:r>
      <w:r w:rsidRPr="00CD5AEA">
        <w:rPr>
          <w:lang w:val="en-CA"/>
        </w:rPr>
        <w:t xml:space="preserve">, </w:t>
      </w:r>
      <w:r w:rsidRPr="00CD5AEA">
        <w:rPr>
          <w:i/>
          <w:iCs/>
          <w:lang w:val="en-CA"/>
        </w:rPr>
        <w:t>supra</w:t>
      </w:r>
      <w:r w:rsidRPr="00CD5AEA">
        <w:rPr>
          <w:lang w:val="en-CA"/>
        </w:rPr>
        <w:t xml:space="preserve"> note</w:t>
      </w:r>
      <w:r w:rsidR="003B5F08" w:rsidRPr="004C53C3">
        <w:rPr>
          <w:lang w:val="en-CA"/>
        </w:rPr>
        <w:t xml:space="preserve"> 17</w:t>
      </w:r>
      <w:r w:rsidRPr="00CD5AEA">
        <w:rPr>
          <w:lang w:val="en-CA"/>
        </w:rPr>
        <w:t xml:space="preserve"> at paras. </w:t>
      </w:r>
      <w:r w:rsidRPr="002F6CBB">
        <w:rPr>
          <w:lang w:val="en-CA"/>
        </w:rPr>
        <w:t xml:space="preserve">205–206; </w:t>
      </w:r>
      <w:r w:rsidRPr="002F6CBB">
        <w:rPr>
          <w:i/>
          <w:lang w:val="en-CA"/>
        </w:rPr>
        <w:t>Nkamba</w:t>
      </w:r>
      <w:r w:rsidRPr="002F6CBB">
        <w:rPr>
          <w:iCs/>
          <w:lang w:val="en-CA"/>
        </w:rPr>
        <w:t xml:space="preserve">, </w:t>
      </w:r>
      <w:r w:rsidRPr="002F6CBB">
        <w:rPr>
          <w:i/>
          <w:lang w:val="en-CA"/>
        </w:rPr>
        <w:t>supra</w:t>
      </w:r>
      <w:r w:rsidRPr="002F6CBB">
        <w:rPr>
          <w:iCs/>
          <w:lang w:val="en-CA"/>
        </w:rPr>
        <w:t xml:space="preserve"> note </w:t>
      </w:r>
      <w:r w:rsidRPr="002F6CBB">
        <w:rPr>
          <w:iCs/>
          <w:lang w:val="en-CA"/>
        </w:rPr>
        <w:fldChar w:fldCharType="begin"/>
      </w:r>
      <w:r w:rsidRPr="002F6CBB">
        <w:rPr>
          <w:iCs/>
          <w:lang w:val="en-CA"/>
        </w:rPr>
        <w:instrText xml:space="preserve"> NOTEREF _Ref161821961 \h </w:instrText>
      </w:r>
      <w:r w:rsidRPr="002F6CBB">
        <w:rPr>
          <w:iCs/>
          <w:lang w:val="en-CA"/>
        </w:rPr>
      </w:r>
      <w:r w:rsidRPr="002F6CBB">
        <w:rPr>
          <w:iCs/>
          <w:lang w:val="en-CA"/>
        </w:rPr>
        <w:fldChar w:fldCharType="separate"/>
      </w:r>
      <w:r w:rsidR="00EC25EA">
        <w:rPr>
          <w:iCs/>
          <w:lang w:val="en-CA"/>
        </w:rPr>
        <w:t>17</w:t>
      </w:r>
      <w:r w:rsidRPr="002F6CBB">
        <w:rPr>
          <w:iCs/>
          <w:lang w:val="en-CA"/>
        </w:rPr>
        <w:fldChar w:fldCharType="end"/>
      </w:r>
      <w:r w:rsidRPr="002F6CBB">
        <w:rPr>
          <w:lang w:val="en-CA"/>
        </w:rPr>
        <w:t xml:space="preserve"> at paras. 28–29.</w:t>
      </w:r>
    </w:p>
  </w:footnote>
  <w:footnote w:id="29">
    <w:p w14:paraId="4987DC97" w14:textId="56AE2539" w:rsidR="002A2678" w:rsidRPr="00CA2E45" w:rsidRDefault="002A2678" w:rsidP="002A2678">
      <w:pPr>
        <w:pStyle w:val="Notedebasdepage"/>
        <w:rPr>
          <w:lang w:val="es-CL"/>
        </w:rPr>
      </w:pPr>
      <w:r w:rsidRPr="002F6CBB">
        <w:rPr>
          <w:rStyle w:val="Appelnotedebasdep"/>
          <w:lang w:val="en-CA"/>
        </w:rPr>
        <w:footnoteRef/>
      </w:r>
      <w:r w:rsidRPr="00CD5AEA">
        <w:rPr>
          <w:lang w:val="en-CA"/>
        </w:rPr>
        <w:t xml:space="preserve"> </w:t>
      </w:r>
      <w:r w:rsidRPr="00CD5AEA">
        <w:rPr>
          <w:lang w:val="en-CA"/>
        </w:rPr>
        <w:tab/>
      </w:r>
      <w:r w:rsidRPr="00CD5AEA">
        <w:rPr>
          <w:i/>
          <w:iCs/>
          <w:lang w:val="en-CA"/>
        </w:rPr>
        <w:t>Dagobert</w:t>
      </w:r>
      <w:r w:rsidRPr="00CD5AEA">
        <w:rPr>
          <w:lang w:val="en-CA"/>
        </w:rPr>
        <w:t xml:space="preserve">, </w:t>
      </w:r>
      <w:r w:rsidRPr="00CD5AEA">
        <w:rPr>
          <w:i/>
          <w:iCs/>
          <w:lang w:val="en-CA"/>
        </w:rPr>
        <w:t>supra</w:t>
      </w:r>
      <w:r w:rsidRPr="00CD5AEA">
        <w:rPr>
          <w:lang w:val="en-CA"/>
        </w:rPr>
        <w:t xml:space="preserve"> note</w:t>
      </w:r>
      <w:r w:rsidR="003B5F08" w:rsidRPr="00CA2E45">
        <w:rPr>
          <w:lang w:val="en-CA"/>
        </w:rPr>
        <w:t xml:space="preserve"> 13</w:t>
      </w:r>
      <w:r w:rsidRPr="00CD5AEA">
        <w:rPr>
          <w:lang w:val="en-CA"/>
        </w:rPr>
        <w:t xml:space="preserve"> at para. 151; </w:t>
      </w:r>
      <w:r w:rsidRPr="00CD5AEA">
        <w:rPr>
          <w:rFonts w:cs="Arial"/>
          <w:i/>
          <w:lang w:val="en-CA" w:eastAsia="fr-CA"/>
        </w:rPr>
        <w:t>Rezko</w:t>
      </w:r>
      <w:r w:rsidRPr="00CD5AEA">
        <w:rPr>
          <w:rFonts w:cs="Arial"/>
          <w:iCs/>
          <w:lang w:val="en-CA" w:eastAsia="fr-CA"/>
        </w:rPr>
        <w:t xml:space="preserve">, </w:t>
      </w:r>
      <w:r w:rsidRPr="00CD5AEA">
        <w:rPr>
          <w:rFonts w:cs="Arial"/>
          <w:i/>
          <w:iCs/>
          <w:lang w:val="en-CA" w:eastAsia="fr-CA"/>
        </w:rPr>
        <w:t>supra</w:t>
      </w:r>
      <w:r w:rsidRPr="00CD5AEA">
        <w:rPr>
          <w:rFonts w:cs="Arial"/>
          <w:iCs/>
          <w:lang w:val="en-CA" w:eastAsia="fr-CA"/>
        </w:rPr>
        <w:t xml:space="preserve"> note</w:t>
      </w:r>
      <w:r w:rsidR="003B5F08" w:rsidRPr="00CA2E45">
        <w:rPr>
          <w:rFonts w:cs="Arial"/>
          <w:iCs/>
          <w:lang w:val="en-CA" w:eastAsia="fr-CA"/>
        </w:rPr>
        <w:t xml:space="preserve"> 17</w:t>
      </w:r>
      <w:r w:rsidRPr="00CD5AEA">
        <w:rPr>
          <w:rFonts w:cs="Arial"/>
          <w:iCs/>
          <w:lang w:val="en-CA" w:eastAsia="fr-CA"/>
        </w:rPr>
        <w:t xml:space="preserve"> at</w:t>
      </w:r>
      <w:r w:rsidRPr="00CD5AEA">
        <w:rPr>
          <w:lang w:val="en-CA"/>
        </w:rPr>
        <w:t xml:space="preserve"> para. </w:t>
      </w:r>
      <w:r w:rsidRPr="00CA2E45">
        <w:rPr>
          <w:lang w:val="es-CL"/>
        </w:rPr>
        <w:t xml:space="preserve">193; </w:t>
      </w:r>
      <w:r w:rsidRPr="00CA2E45">
        <w:rPr>
          <w:i/>
          <w:iCs/>
          <w:lang w:val="es-CL"/>
        </w:rPr>
        <w:t>Mensah</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18</w:t>
      </w:r>
      <w:r w:rsidRPr="00CA2E45">
        <w:rPr>
          <w:lang w:val="es-CL"/>
        </w:rPr>
        <w:t xml:space="preserve"> at para. 81;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14</w:t>
      </w:r>
      <w:r w:rsidRPr="00CA2E45">
        <w:rPr>
          <w:rFonts w:cs="Arial"/>
          <w:lang w:val="es-CL"/>
        </w:rPr>
        <w:t xml:space="preserve"> at</w:t>
      </w:r>
      <w:r w:rsidRPr="00CA2E45">
        <w:rPr>
          <w:lang w:val="es-CL"/>
        </w:rPr>
        <w:t xml:space="preserve"> para. 154; </w:t>
      </w:r>
      <w:r w:rsidRPr="00CA2E45">
        <w:rPr>
          <w:i/>
          <w:lang w:val="es-CL"/>
        </w:rPr>
        <w:t>Nyembwe</w:t>
      </w:r>
      <w:r w:rsidRPr="00CA2E45">
        <w:rPr>
          <w:iCs/>
          <w:lang w:val="es-CL"/>
        </w:rPr>
        <w:t xml:space="preserve">, </w:t>
      </w:r>
      <w:r w:rsidRPr="00CA2E45">
        <w:rPr>
          <w:i/>
          <w:iCs/>
          <w:lang w:val="es-CL"/>
        </w:rPr>
        <w:t>supra</w:t>
      </w:r>
      <w:r w:rsidRPr="00CA2E45">
        <w:rPr>
          <w:iCs/>
          <w:lang w:val="es-CL"/>
        </w:rPr>
        <w:t xml:space="preserve"> note</w:t>
      </w:r>
      <w:r w:rsidR="003B5F08">
        <w:rPr>
          <w:iCs/>
          <w:lang w:val="es-CL"/>
        </w:rPr>
        <w:t xml:space="preserve"> 18</w:t>
      </w:r>
      <w:r w:rsidRPr="00CA2E45">
        <w:rPr>
          <w:iCs/>
          <w:lang w:val="es-CL"/>
        </w:rPr>
        <w:t xml:space="preserve"> at</w:t>
      </w:r>
      <w:r w:rsidRPr="00CA2E45">
        <w:rPr>
          <w:lang w:val="es-CL"/>
        </w:rPr>
        <w:t xml:space="preserve"> para. 291; </w:t>
      </w:r>
      <w:r w:rsidRPr="00CA2E45">
        <w:rPr>
          <w:i/>
          <w:lang w:val="es-CL"/>
        </w:rPr>
        <w:t>Nkamba</w:t>
      </w:r>
      <w:r w:rsidRPr="00CA2E45">
        <w:rPr>
          <w:iCs/>
          <w:lang w:val="es-CL"/>
        </w:rPr>
        <w:t xml:space="preserve">, </w:t>
      </w:r>
      <w:r w:rsidRPr="00CA2E45">
        <w:rPr>
          <w:i/>
          <w:lang w:val="es-CL"/>
        </w:rPr>
        <w:t>ibid.</w:t>
      </w:r>
      <w:r w:rsidRPr="00CA2E45">
        <w:rPr>
          <w:lang w:val="es-CL"/>
        </w:rPr>
        <w:t xml:space="preserve"> at para. 99.</w:t>
      </w:r>
    </w:p>
  </w:footnote>
  <w:footnote w:id="30">
    <w:p w14:paraId="695F6223" w14:textId="25562B85" w:rsidR="00147465" w:rsidRPr="00CA2E45" w:rsidRDefault="00147465" w:rsidP="00147465">
      <w:pPr>
        <w:pStyle w:val="Notedebasdepage"/>
        <w:rPr>
          <w:lang w:val="es-CL"/>
        </w:rPr>
      </w:pPr>
      <w:r w:rsidRPr="002F6CBB">
        <w:rPr>
          <w:rStyle w:val="Appelnotedebasdep"/>
          <w:lang w:val="en-CA"/>
        </w:rPr>
        <w:footnoteRef/>
      </w:r>
      <w:r w:rsidRPr="00CA2E45">
        <w:rPr>
          <w:lang w:val="es-CL"/>
        </w:rPr>
        <w:t xml:space="preserve"> </w:t>
      </w:r>
      <w:r w:rsidRPr="00CA2E45">
        <w:rPr>
          <w:lang w:val="es-CL"/>
        </w:rPr>
        <w:tab/>
      </w:r>
      <w:r w:rsidRPr="00CA2E45">
        <w:rPr>
          <w:i/>
          <w:iCs/>
          <w:lang w:val="es-CL"/>
        </w:rPr>
        <w:t>Bombardier</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12</w:t>
      </w:r>
      <w:r w:rsidRPr="00CA2E45">
        <w:rPr>
          <w:lang w:val="es-CL"/>
        </w:rPr>
        <w:t xml:space="preserve"> at paras. 3, 34–37</w:t>
      </w:r>
      <w:r w:rsidR="009A0088" w:rsidRPr="00CA2E45">
        <w:rPr>
          <w:lang w:val="es-CL"/>
        </w:rPr>
        <w:t>,</w:t>
      </w:r>
      <w:r w:rsidRPr="00CA2E45">
        <w:rPr>
          <w:lang w:val="es-CL"/>
        </w:rPr>
        <w:t xml:space="preserve"> and 64.</w:t>
      </w:r>
    </w:p>
  </w:footnote>
  <w:footnote w:id="31">
    <w:p w14:paraId="4F446904" w14:textId="52F1F856" w:rsidR="00147465" w:rsidRPr="00CD5AEA" w:rsidRDefault="00147465" w:rsidP="00147465">
      <w:pPr>
        <w:pStyle w:val="Notedebasdepage"/>
      </w:pPr>
      <w:r w:rsidRPr="002F6CBB">
        <w:rPr>
          <w:rStyle w:val="Appelnotedebasdep"/>
          <w:lang w:val="en-CA"/>
        </w:rPr>
        <w:footnoteRef/>
      </w:r>
      <w:r w:rsidRPr="00CA2E45">
        <w:rPr>
          <w:lang w:val="es-CL"/>
        </w:rPr>
        <w:t xml:space="preserve"> </w:t>
      </w:r>
      <w:r w:rsidRPr="00CA2E45">
        <w:rPr>
          <w:lang w:val="es-CL"/>
        </w:rPr>
        <w:tab/>
      </w:r>
      <w:r w:rsidRPr="00CA2E45">
        <w:rPr>
          <w:i/>
          <w:iCs/>
          <w:lang w:val="es-CL"/>
        </w:rPr>
        <w:t>Dagobert</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13</w:t>
      </w:r>
      <w:r w:rsidR="00932F09" w:rsidRPr="00CA2E45">
        <w:rPr>
          <w:lang w:val="es-CL"/>
        </w:rPr>
        <w:t xml:space="preserve"> at</w:t>
      </w:r>
      <w:r w:rsidRPr="00CA2E45">
        <w:rPr>
          <w:lang w:val="es-CL"/>
        </w:rPr>
        <w:t xml:space="preserve"> par</w:t>
      </w:r>
      <w:r w:rsidR="00932F09" w:rsidRPr="00CA2E45">
        <w:rPr>
          <w:lang w:val="es-CL"/>
        </w:rPr>
        <w:t>a</w:t>
      </w:r>
      <w:r w:rsidRPr="00CA2E45">
        <w:rPr>
          <w:lang w:val="es-CL"/>
        </w:rPr>
        <w:t xml:space="preserve">. 145; </w:t>
      </w:r>
      <w:r w:rsidRPr="00CA2E45">
        <w:rPr>
          <w:rFonts w:cs="Arial"/>
          <w:i/>
          <w:lang w:val="es-CL" w:eastAsia="fr-CA"/>
        </w:rPr>
        <w:t>Rezko</w:t>
      </w:r>
      <w:r w:rsidRPr="00CA2E45">
        <w:rPr>
          <w:rFonts w:cs="Arial"/>
          <w:iCs/>
          <w:lang w:val="es-CL" w:eastAsia="fr-CA"/>
        </w:rPr>
        <w:t xml:space="preserve">, </w:t>
      </w:r>
      <w:r w:rsidRPr="00CA2E45">
        <w:rPr>
          <w:rFonts w:cs="Arial"/>
          <w:i/>
          <w:iCs/>
          <w:lang w:val="es-CL" w:eastAsia="fr-CA"/>
        </w:rPr>
        <w:t>supra</w:t>
      </w:r>
      <w:r w:rsidRPr="00CA2E45">
        <w:rPr>
          <w:rFonts w:cs="Arial"/>
          <w:iCs/>
          <w:lang w:val="es-CL" w:eastAsia="fr-CA"/>
        </w:rPr>
        <w:t xml:space="preserve"> note</w:t>
      </w:r>
      <w:r w:rsidR="003B5F08">
        <w:rPr>
          <w:rFonts w:cs="Arial"/>
          <w:iCs/>
          <w:lang w:val="es-CL" w:eastAsia="fr-CA"/>
        </w:rPr>
        <w:t xml:space="preserve"> 17</w:t>
      </w:r>
      <w:r w:rsidR="0005120F" w:rsidRPr="00CA2E45">
        <w:rPr>
          <w:rFonts w:cs="Arial"/>
          <w:iCs/>
          <w:lang w:val="es-CL" w:eastAsia="fr-CA"/>
        </w:rPr>
        <w:t xml:space="preserve"> at</w:t>
      </w:r>
      <w:r w:rsidRPr="00CA2E45">
        <w:rPr>
          <w:lang w:val="es-CL"/>
        </w:rPr>
        <w:t xml:space="preserve"> par</w:t>
      </w:r>
      <w:r w:rsidR="0005120F" w:rsidRPr="00CA2E45">
        <w:rPr>
          <w:lang w:val="es-CL"/>
        </w:rPr>
        <w:t>a</w:t>
      </w:r>
      <w:r w:rsidRPr="00CA2E45">
        <w:rPr>
          <w:lang w:val="es-CL"/>
        </w:rPr>
        <w:t xml:space="preserve">. 185; </w:t>
      </w:r>
      <w:r w:rsidRPr="00CA2E45">
        <w:rPr>
          <w:i/>
          <w:lang w:val="es-CL"/>
        </w:rPr>
        <w:t>Miller</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21</w:t>
      </w:r>
      <w:r w:rsidRPr="00CA2E45">
        <w:rPr>
          <w:lang w:val="es-CL"/>
        </w:rPr>
        <w:t xml:space="preserve"> at para. 196;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14</w:t>
      </w:r>
      <w:r w:rsidRPr="00CA2E45">
        <w:rPr>
          <w:rFonts w:cs="Arial"/>
          <w:lang w:val="es-CL"/>
        </w:rPr>
        <w:t xml:space="preserve"> at</w:t>
      </w:r>
      <w:r w:rsidRPr="00CA2E45">
        <w:rPr>
          <w:lang w:val="es-CL"/>
        </w:rPr>
        <w:t xml:space="preserve"> para. </w:t>
      </w:r>
      <w:r w:rsidRPr="00CD5AEA">
        <w:t xml:space="preserve">155; </w:t>
      </w:r>
      <w:r w:rsidRPr="00CD5AEA">
        <w:rPr>
          <w:i/>
          <w:iCs/>
        </w:rPr>
        <w:t>Bazelais</w:t>
      </w:r>
      <w:r w:rsidRPr="00CD5AEA">
        <w:t xml:space="preserve">, </w:t>
      </w:r>
      <w:r w:rsidRPr="00CD5AEA">
        <w:rPr>
          <w:i/>
          <w:iCs/>
        </w:rPr>
        <w:t>supra</w:t>
      </w:r>
      <w:r w:rsidRPr="00CD5AEA">
        <w:t xml:space="preserve"> note</w:t>
      </w:r>
      <w:r w:rsidR="003B5F08" w:rsidRPr="00CA2E45">
        <w:t xml:space="preserve"> 17</w:t>
      </w:r>
      <w:r w:rsidRPr="00CD5AEA">
        <w:t xml:space="preserve"> at para. 204.</w:t>
      </w:r>
    </w:p>
  </w:footnote>
  <w:footnote w:id="32">
    <w:p w14:paraId="2D81C2DC" w14:textId="4DDEF2AA" w:rsidR="00147465" w:rsidRPr="00CD5AEA" w:rsidRDefault="00147465" w:rsidP="00147465">
      <w:pPr>
        <w:pStyle w:val="Notedebasdepage"/>
        <w:rPr>
          <w:lang w:val="en-CA"/>
        </w:rPr>
      </w:pPr>
      <w:r w:rsidRPr="002F6CBB">
        <w:rPr>
          <w:rStyle w:val="Appelnotedebasdep"/>
          <w:lang w:val="en-CA"/>
        </w:rPr>
        <w:footnoteRef/>
      </w:r>
      <w:r w:rsidRPr="00CD5AEA">
        <w:t xml:space="preserve"> </w:t>
      </w:r>
      <w:r w:rsidRPr="00CD5AEA">
        <w:tab/>
      </w:r>
      <w:r w:rsidRPr="00CD5AEA">
        <w:rPr>
          <w:i/>
          <w:iCs/>
        </w:rPr>
        <w:t xml:space="preserve">R. v. Le, </w:t>
      </w:r>
      <w:r w:rsidRPr="00CD5AEA">
        <w:t xml:space="preserve">2019 SCC 34 at paras. </w:t>
      </w:r>
      <w:r w:rsidRPr="00BB1A3E">
        <w:t>80</w:t>
      </w:r>
      <w:r w:rsidR="00BB1A3E" w:rsidRPr="00CA2E45">
        <w:t>–</w:t>
      </w:r>
      <w:r w:rsidRPr="00BB1A3E">
        <w:t xml:space="preserve">81; </w:t>
      </w:r>
      <w:bookmarkStart w:id="22" w:name="_Hlk161836970"/>
      <w:r w:rsidRPr="00BB1A3E">
        <w:rPr>
          <w:i/>
          <w:iCs/>
        </w:rPr>
        <w:t>R. c. Dorfeuille</w:t>
      </w:r>
      <w:bookmarkEnd w:id="22"/>
      <w:r w:rsidRPr="00BB1A3E">
        <w:rPr>
          <w:i/>
          <w:iCs/>
        </w:rPr>
        <w:t xml:space="preserve">, </w:t>
      </w:r>
      <w:r w:rsidRPr="00BB1A3E">
        <w:t xml:space="preserve">2020 QCCS 1499 at para. </w:t>
      </w:r>
      <w:r w:rsidRPr="00CD5AEA">
        <w:rPr>
          <w:lang w:val="en-CA"/>
        </w:rPr>
        <w:t xml:space="preserve">61 </w:t>
      </w:r>
      <w:r w:rsidR="00BB1A3E" w:rsidRPr="00CD5AEA">
        <w:rPr>
          <w:lang w:val="en-CA"/>
        </w:rPr>
        <w:t>[</w:t>
      </w:r>
      <w:r w:rsidRPr="00CD5AEA">
        <w:rPr>
          <w:i/>
          <w:iCs/>
          <w:lang w:val="en-CA"/>
        </w:rPr>
        <w:t>Dorfeuille</w:t>
      </w:r>
      <w:r w:rsidR="00BB1A3E" w:rsidRPr="00CD5AEA">
        <w:rPr>
          <w:lang w:val="en-CA"/>
        </w:rPr>
        <w:t>]</w:t>
      </w:r>
      <w:r w:rsidRPr="00CD5AEA">
        <w:rPr>
          <w:lang w:val="en-CA"/>
        </w:rPr>
        <w:t>.</w:t>
      </w:r>
    </w:p>
  </w:footnote>
  <w:footnote w:id="33">
    <w:p w14:paraId="252C6B76" w14:textId="51713A24" w:rsidR="00147465" w:rsidRPr="00CD5AEA" w:rsidRDefault="00147465" w:rsidP="00147465">
      <w:pPr>
        <w:pStyle w:val="Notedebasdepage"/>
        <w:rPr>
          <w:lang w:val="en-CA"/>
        </w:rPr>
      </w:pPr>
      <w:r w:rsidRPr="002F6CBB">
        <w:rPr>
          <w:rStyle w:val="Appelnotedebasdep"/>
          <w:lang w:val="en-CA"/>
        </w:rPr>
        <w:footnoteRef/>
      </w:r>
      <w:r w:rsidRPr="00CD5AEA">
        <w:rPr>
          <w:lang w:val="en-CA"/>
        </w:rPr>
        <w:t xml:space="preserve"> </w:t>
      </w:r>
      <w:r w:rsidRPr="00CD5AEA">
        <w:rPr>
          <w:lang w:val="en-CA"/>
        </w:rPr>
        <w:tab/>
      </w:r>
      <w:r w:rsidRPr="00CD5AEA">
        <w:rPr>
          <w:i/>
          <w:lang w:val="en-CA"/>
        </w:rPr>
        <w:t>Nyembwe</w:t>
      </w:r>
      <w:r w:rsidRPr="00CD5AEA">
        <w:rPr>
          <w:iCs/>
          <w:lang w:val="en-CA"/>
        </w:rPr>
        <w:t xml:space="preserve">, </w:t>
      </w:r>
      <w:r w:rsidRPr="00CD5AEA">
        <w:rPr>
          <w:i/>
          <w:iCs/>
          <w:lang w:val="en-CA"/>
        </w:rPr>
        <w:t>supra</w:t>
      </w:r>
      <w:r w:rsidRPr="00CD5AEA">
        <w:rPr>
          <w:iCs/>
          <w:lang w:val="en-CA"/>
        </w:rPr>
        <w:t xml:space="preserve"> note</w:t>
      </w:r>
      <w:r w:rsidR="003B5F08" w:rsidRPr="00AA10FD">
        <w:rPr>
          <w:iCs/>
          <w:lang w:val="en-CA"/>
        </w:rPr>
        <w:t xml:space="preserve"> 18</w:t>
      </w:r>
      <w:r w:rsidRPr="00CD5AEA">
        <w:rPr>
          <w:lang w:val="en-CA"/>
        </w:rPr>
        <w:t xml:space="preserve"> at para. 311.</w:t>
      </w:r>
    </w:p>
  </w:footnote>
  <w:footnote w:id="34">
    <w:p w14:paraId="2830E94D" w14:textId="7668F208" w:rsidR="00147465" w:rsidRPr="002F6CBB" w:rsidRDefault="00147465" w:rsidP="00147465">
      <w:pPr>
        <w:pStyle w:val="Notedebasdepage"/>
        <w:rPr>
          <w:lang w:val="en-CA"/>
        </w:rPr>
      </w:pPr>
      <w:r w:rsidRPr="002F6CBB">
        <w:rPr>
          <w:rStyle w:val="Appelnotedebasdep"/>
          <w:lang w:val="en-CA"/>
        </w:rPr>
        <w:footnoteRef/>
      </w:r>
      <w:r w:rsidRPr="00BB1A3E">
        <w:rPr>
          <w:lang w:val="en-CA"/>
        </w:rPr>
        <w:t xml:space="preserve"> </w:t>
      </w:r>
      <w:r w:rsidRPr="00BB1A3E">
        <w:rPr>
          <w:lang w:val="en-CA"/>
        </w:rPr>
        <w:tab/>
      </w:r>
      <w:r w:rsidRPr="00BB1A3E">
        <w:rPr>
          <w:i/>
          <w:lang w:val="en-CA"/>
        </w:rPr>
        <w:t>Ibid.</w:t>
      </w:r>
      <w:r w:rsidRPr="00BB1A3E">
        <w:rPr>
          <w:lang w:val="en-CA"/>
        </w:rPr>
        <w:t xml:space="preserve">; See also </w:t>
      </w:r>
      <w:r w:rsidRPr="00BB1A3E">
        <w:rPr>
          <w:i/>
          <w:iCs/>
          <w:lang w:val="en-CA"/>
        </w:rPr>
        <w:t>Dorfeuille</w:t>
      </w:r>
      <w:r w:rsidRPr="00BB1A3E">
        <w:rPr>
          <w:lang w:val="en-CA"/>
        </w:rPr>
        <w:t xml:space="preserve"> </w:t>
      </w:r>
      <w:r w:rsidRPr="00BB1A3E">
        <w:rPr>
          <w:i/>
          <w:iCs/>
          <w:lang w:val="en-CA"/>
        </w:rPr>
        <w:t>supra</w:t>
      </w:r>
      <w:r w:rsidRPr="00BB1A3E">
        <w:rPr>
          <w:lang w:val="en-CA"/>
        </w:rPr>
        <w:t xml:space="preserve"> note</w:t>
      </w:r>
      <w:r w:rsidR="00BB1A3E" w:rsidRPr="00AA10FD">
        <w:rPr>
          <w:lang w:val="en-CA"/>
        </w:rPr>
        <w:t xml:space="preserve"> 32</w:t>
      </w:r>
      <w:r w:rsidRPr="00BB1A3E">
        <w:rPr>
          <w:lang w:val="en-CA"/>
        </w:rPr>
        <w:t xml:space="preserve"> at para. </w:t>
      </w:r>
      <w:r w:rsidRPr="00CA2E45">
        <w:rPr>
          <w:lang w:val="es-CL"/>
        </w:rPr>
        <w:t xml:space="preserve">55; </w:t>
      </w:r>
      <w:r w:rsidRPr="00CA2E45">
        <w:rPr>
          <w:i/>
          <w:lang w:val="es-CL"/>
        </w:rPr>
        <w:t>Miller</w:t>
      </w:r>
      <w:r w:rsidRPr="00CA2E45">
        <w:rPr>
          <w:lang w:val="es-CL"/>
        </w:rPr>
        <w:t xml:space="preserve">, </w:t>
      </w:r>
      <w:r w:rsidRPr="00CA2E45">
        <w:rPr>
          <w:i/>
          <w:iCs/>
          <w:lang w:val="es-CL"/>
        </w:rPr>
        <w:t>supra</w:t>
      </w:r>
      <w:r w:rsidRPr="00CA2E45">
        <w:rPr>
          <w:lang w:val="es-CL"/>
        </w:rPr>
        <w:t xml:space="preserve"> note</w:t>
      </w:r>
      <w:r w:rsidR="003B5F08">
        <w:rPr>
          <w:lang w:val="es-CL"/>
        </w:rPr>
        <w:t xml:space="preserve"> 21</w:t>
      </w:r>
      <w:r w:rsidRPr="00CA2E45">
        <w:rPr>
          <w:lang w:val="es-CL"/>
        </w:rPr>
        <w:t xml:space="preserve"> at para. 196;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w:t>
      </w:r>
      <w:r w:rsidR="003B5F08">
        <w:rPr>
          <w:rFonts w:cs="Arial"/>
          <w:lang w:val="es-CL"/>
        </w:rPr>
        <w:t xml:space="preserve"> 14</w:t>
      </w:r>
      <w:r w:rsidRPr="00CA2E45">
        <w:rPr>
          <w:rFonts w:cs="Arial"/>
          <w:lang w:val="es-CL"/>
        </w:rPr>
        <w:t xml:space="preserve"> at</w:t>
      </w:r>
      <w:r w:rsidRPr="00CA2E45">
        <w:rPr>
          <w:lang w:val="es-CL"/>
        </w:rPr>
        <w:t xml:space="preserve"> para. </w:t>
      </w:r>
      <w:r w:rsidRPr="002F6CBB">
        <w:rPr>
          <w:lang w:val="en-CA"/>
        </w:rPr>
        <w:t>148.</w:t>
      </w:r>
    </w:p>
  </w:footnote>
  <w:footnote w:id="35">
    <w:p w14:paraId="758AA583" w14:textId="63EFE8C7" w:rsidR="00932F09" w:rsidRPr="00CA2E45" w:rsidRDefault="00932F09" w:rsidP="00932F09">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R.</w:t>
      </w:r>
      <w:r w:rsidRPr="002F6CBB">
        <w:rPr>
          <w:lang w:val="en-CA"/>
        </w:rPr>
        <w:t xml:space="preserve"> </w:t>
      </w:r>
      <w:r w:rsidRPr="002F6CBB">
        <w:rPr>
          <w:i/>
          <w:iCs/>
          <w:lang w:val="en-CA"/>
        </w:rPr>
        <w:t>v</w:t>
      </w:r>
      <w:r w:rsidRPr="002F6CBB">
        <w:rPr>
          <w:lang w:val="en-CA"/>
        </w:rPr>
        <w:t xml:space="preserve">. </w:t>
      </w:r>
      <w:r w:rsidRPr="002F6CBB">
        <w:rPr>
          <w:i/>
          <w:iCs/>
          <w:lang w:val="en-CA"/>
        </w:rPr>
        <w:t>Grant</w:t>
      </w:r>
      <w:r w:rsidRPr="002F6CBB">
        <w:rPr>
          <w:lang w:val="en-CA"/>
        </w:rPr>
        <w:t xml:space="preserve">, 2009 SCC 32 at para. 154; </w:t>
      </w:r>
      <w:r w:rsidRPr="002F6CBB">
        <w:rPr>
          <w:i/>
          <w:iCs/>
          <w:lang w:val="en-CA"/>
        </w:rPr>
        <w:t>R</w:t>
      </w:r>
      <w:r w:rsidRPr="002F6CBB">
        <w:rPr>
          <w:lang w:val="en-CA"/>
        </w:rPr>
        <w:t xml:space="preserve">. </w:t>
      </w:r>
      <w:r w:rsidRPr="002F6CBB">
        <w:rPr>
          <w:i/>
          <w:iCs/>
          <w:lang w:val="en-CA"/>
        </w:rPr>
        <w:t>v</w:t>
      </w:r>
      <w:r w:rsidRPr="002F6CBB">
        <w:rPr>
          <w:lang w:val="en-CA"/>
        </w:rPr>
        <w:t xml:space="preserve">. </w:t>
      </w:r>
      <w:r w:rsidRPr="002F6CBB">
        <w:rPr>
          <w:i/>
          <w:iCs/>
          <w:lang w:val="en-CA"/>
        </w:rPr>
        <w:t>Ipelee</w:t>
      </w:r>
      <w:r w:rsidRPr="002F6CBB">
        <w:rPr>
          <w:lang w:val="en-CA"/>
        </w:rPr>
        <w:t xml:space="preserve">, 2012 SCC 13 at paras. </w:t>
      </w:r>
      <w:r w:rsidRPr="005A25C1">
        <w:t xml:space="preserve">59–60; </w:t>
      </w:r>
      <w:r w:rsidRPr="005A25C1">
        <w:rPr>
          <w:i/>
          <w:iCs/>
        </w:rPr>
        <w:t>R</w:t>
      </w:r>
      <w:r w:rsidRPr="005A25C1">
        <w:t xml:space="preserve">. </w:t>
      </w:r>
      <w:r w:rsidRPr="005A25C1">
        <w:rPr>
          <w:i/>
          <w:iCs/>
        </w:rPr>
        <w:t>v</w:t>
      </w:r>
      <w:r w:rsidRPr="005A25C1">
        <w:t xml:space="preserve">. </w:t>
      </w:r>
      <w:r w:rsidRPr="005A25C1">
        <w:rPr>
          <w:i/>
          <w:iCs/>
        </w:rPr>
        <w:t>Le</w:t>
      </w:r>
      <w:r w:rsidRPr="005A25C1">
        <w:t xml:space="preserve">, </w:t>
      </w:r>
      <w:r w:rsidRPr="005A25C1">
        <w:rPr>
          <w:i/>
          <w:iCs/>
        </w:rPr>
        <w:t>supra</w:t>
      </w:r>
      <w:r w:rsidRPr="005A25C1">
        <w:t xml:space="preserve"> note</w:t>
      </w:r>
      <w:r w:rsidR="00BB1A3E">
        <w:t xml:space="preserve"> 32 </w:t>
      </w:r>
      <w:r w:rsidRPr="005A25C1">
        <w:t xml:space="preserve">at para. 97; </w:t>
      </w:r>
      <w:r w:rsidRPr="005A25C1">
        <w:rPr>
          <w:i/>
          <w:iCs/>
        </w:rPr>
        <w:t>Commission des droits de la personne et des droits de la jeunesse (Toussaint) c. Procureur général du Québec (Ministère de la Sécurité publique)</w:t>
      </w:r>
      <w:r w:rsidRPr="005A25C1">
        <w:t xml:space="preserve">, 2023 QCTDP 21 at para. </w:t>
      </w:r>
      <w:r w:rsidRPr="007765F1">
        <w:rPr>
          <w:lang w:val="en-CA"/>
        </w:rPr>
        <w:t xml:space="preserve">234 </w:t>
      </w:r>
      <w:r w:rsidR="001E546D" w:rsidRPr="007765F1">
        <w:rPr>
          <w:u w:val="single"/>
          <w:lang w:val="en-CA"/>
        </w:rPr>
        <w:t>and following</w:t>
      </w:r>
      <w:r w:rsidRPr="00CA2E45">
        <w:rPr>
          <w:lang w:val="en-CA"/>
        </w:rPr>
        <w:t xml:space="preserve">. </w:t>
      </w:r>
    </w:p>
  </w:footnote>
  <w:footnote w:id="36">
    <w:p w14:paraId="2595F20E" w14:textId="7C056DA4" w:rsidR="00932F09" w:rsidRPr="007765F1" w:rsidRDefault="00932F09" w:rsidP="00932F09">
      <w:pPr>
        <w:pStyle w:val="Notedebasdepage"/>
        <w:rPr>
          <w:lang w:val="en-CA"/>
        </w:rPr>
      </w:pPr>
      <w:r w:rsidRPr="002F6CBB">
        <w:rPr>
          <w:rStyle w:val="Appelnotedebasdep"/>
          <w:lang w:val="en-CA"/>
        </w:rPr>
        <w:footnoteRef/>
      </w:r>
      <w:r w:rsidRPr="00CA2E45">
        <w:rPr>
          <w:lang w:val="en-CA"/>
        </w:rPr>
        <w:t xml:space="preserve"> </w:t>
      </w:r>
      <w:r w:rsidRPr="00CA2E45">
        <w:rPr>
          <w:lang w:val="en-CA"/>
        </w:rPr>
        <w:tab/>
      </w:r>
      <w:r w:rsidRPr="00CA2E45">
        <w:rPr>
          <w:i/>
          <w:iCs/>
          <w:lang w:val="en-CA"/>
        </w:rPr>
        <w:t>Bombardier</w:t>
      </w:r>
      <w:r w:rsidRPr="00CA2E45">
        <w:rPr>
          <w:lang w:val="en-CA"/>
        </w:rPr>
        <w:t xml:space="preserve">, </w:t>
      </w:r>
      <w:r w:rsidRPr="00CA2E45">
        <w:rPr>
          <w:i/>
          <w:iCs/>
          <w:lang w:val="en-CA"/>
        </w:rPr>
        <w:t>supra</w:t>
      </w:r>
      <w:r w:rsidRPr="00CA2E45">
        <w:rPr>
          <w:lang w:val="en-CA"/>
        </w:rPr>
        <w:t xml:space="preserve"> note </w:t>
      </w:r>
      <w:r w:rsidRPr="002F6CBB">
        <w:rPr>
          <w:lang w:val="en-CA"/>
        </w:rPr>
        <w:fldChar w:fldCharType="begin"/>
      </w:r>
      <w:r w:rsidRPr="00CA2E45">
        <w:rPr>
          <w:lang w:val="en-CA"/>
        </w:rPr>
        <w:instrText xml:space="preserve"> NOTEREF _Ref128649879 \h </w:instrText>
      </w:r>
      <w:r w:rsidRPr="002F6CBB">
        <w:rPr>
          <w:lang w:val="en-CA"/>
        </w:rPr>
      </w:r>
      <w:r w:rsidRPr="002F6CBB">
        <w:rPr>
          <w:lang w:val="en-CA"/>
        </w:rPr>
        <w:fldChar w:fldCharType="separate"/>
      </w:r>
      <w:r w:rsidR="000F1A75" w:rsidRPr="00CA2E45">
        <w:rPr>
          <w:lang w:val="en-CA"/>
        </w:rPr>
        <w:t>12</w:t>
      </w:r>
      <w:r w:rsidRPr="002F6CBB">
        <w:rPr>
          <w:lang w:val="en-CA"/>
        </w:rPr>
        <w:fldChar w:fldCharType="end"/>
      </w:r>
      <w:r w:rsidRPr="00CA2E45">
        <w:rPr>
          <w:lang w:val="en-CA"/>
        </w:rPr>
        <w:t xml:space="preserve"> at para. </w:t>
      </w:r>
      <w:r w:rsidRPr="007765F1">
        <w:rPr>
          <w:lang w:val="en-CA"/>
        </w:rPr>
        <w:t>88.</w:t>
      </w:r>
    </w:p>
  </w:footnote>
  <w:footnote w:id="37">
    <w:p w14:paraId="54D6E55E" w14:textId="5EAE2BA9" w:rsidR="00932F09" w:rsidRPr="00CA2E45" w:rsidRDefault="00932F09" w:rsidP="00932F09">
      <w:pPr>
        <w:pStyle w:val="Notedebasdepage"/>
        <w:rPr>
          <w:lang w:val="es-CL"/>
        </w:rPr>
      </w:pPr>
      <w:r w:rsidRPr="002F6CBB">
        <w:rPr>
          <w:rStyle w:val="Appelnotedebasdep"/>
          <w:lang w:val="en-CA"/>
        </w:rPr>
        <w:footnoteRef/>
      </w:r>
      <w:r w:rsidRPr="00137A0B">
        <w:rPr>
          <w:lang w:val="en-CA"/>
        </w:rPr>
        <w:t xml:space="preserve"> </w:t>
      </w:r>
      <w:r w:rsidRPr="00137A0B">
        <w:rPr>
          <w:lang w:val="en-CA"/>
        </w:rPr>
        <w:tab/>
      </w:r>
      <w:r w:rsidRPr="00137A0B">
        <w:rPr>
          <w:i/>
          <w:iCs/>
          <w:lang w:val="en-CA"/>
        </w:rPr>
        <w:t>Mensah</w:t>
      </w:r>
      <w:r w:rsidRPr="00137A0B">
        <w:rPr>
          <w:lang w:val="en-CA"/>
        </w:rPr>
        <w:t xml:space="preserve">, </w:t>
      </w:r>
      <w:r w:rsidRPr="00137A0B">
        <w:rPr>
          <w:i/>
          <w:iCs/>
          <w:lang w:val="en-CA"/>
        </w:rPr>
        <w:t>supra</w:t>
      </w:r>
      <w:r w:rsidRPr="00137A0B">
        <w:rPr>
          <w:lang w:val="en-CA"/>
        </w:rPr>
        <w:t xml:space="preserve"> note </w:t>
      </w:r>
      <w:r w:rsidRPr="002F6CBB">
        <w:rPr>
          <w:lang w:val="en-CA"/>
        </w:rPr>
        <w:fldChar w:fldCharType="begin"/>
      </w:r>
      <w:r w:rsidRPr="00137A0B">
        <w:rPr>
          <w:lang w:val="en-CA"/>
        </w:rPr>
        <w:instrText xml:space="preserve"> NOTEREF _Ref161823995 \h </w:instrText>
      </w:r>
      <w:r w:rsidRPr="002F6CBB">
        <w:rPr>
          <w:lang w:val="en-CA"/>
        </w:rPr>
      </w:r>
      <w:r w:rsidRPr="002F6CBB">
        <w:rPr>
          <w:lang w:val="en-CA"/>
        </w:rPr>
        <w:fldChar w:fldCharType="separate"/>
      </w:r>
      <w:r w:rsidR="000F1A75" w:rsidRPr="00137A0B">
        <w:rPr>
          <w:lang w:val="en-CA"/>
        </w:rPr>
        <w:t>18</w:t>
      </w:r>
      <w:r w:rsidRPr="002F6CBB">
        <w:rPr>
          <w:lang w:val="en-CA"/>
        </w:rPr>
        <w:fldChar w:fldCharType="end"/>
      </w:r>
      <w:r w:rsidRPr="00137A0B">
        <w:rPr>
          <w:lang w:val="en-CA"/>
        </w:rPr>
        <w:t xml:space="preserve"> at para. </w:t>
      </w:r>
      <w:r w:rsidRPr="00CA2E45">
        <w:rPr>
          <w:lang w:val="es-CL"/>
        </w:rPr>
        <w:t xml:space="preserve">94;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 </w:t>
      </w:r>
      <w:r w:rsidRPr="002F6CBB">
        <w:rPr>
          <w:rFonts w:cs="Arial"/>
          <w:lang w:val="en-CA"/>
        </w:rPr>
        <w:fldChar w:fldCharType="begin"/>
      </w:r>
      <w:r w:rsidRPr="003B5F08">
        <w:rPr>
          <w:rFonts w:cs="Arial"/>
          <w:lang w:val="es-CL"/>
        </w:rPr>
        <w:instrText xml:space="preserve"> NOTEREF _Ref161821529 \h </w:instrText>
      </w:r>
      <w:r w:rsidRPr="002F6CBB">
        <w:rPr>
          <w:rFonts w:cs="Arial"/>
          <w:lang w:val="en-CA"/>
        </w:rPr>
      </w:r>
      <w:r w:rsidRPr="002F6CBB">
        <w:rPr>
          <w:rFonts w:cs="Arial"/>
          <w:lang w:val="en-CA"/>
        </w:rPr>
        <w:fldChar w:fldCharType="separate"/>
      </w:r>
      <w:r w:rsidR="000F1A75" w:rsidRPr="003B5F08">
        <w:rPr>
          <w:rFonts w:cs="Arial"/>
          <w:lang w:val="es-CL"/>
        </w:rPr>
        <w:t>14</w:t>
      </w:r>
      <w:r w:rsidRPr="002F6CBB">
        <w:rPr>
          <w:rFonts w:cs="Arial"/>
          <w:lang w:val="en-CA"/>
        </w:rPr>
        <w:fldChar w:fldCharType="end"/>
      </w:r>
      <w:r w:rsidRPr="003B5F08">
        <w:rPr>
          <w:rFonts w:cs="Arial"/>
          <w:lang w:val="es-CL"/>
        </w:rPr>
        <w:t xml:space="preserve"> at</w:t>
      </w:r>
      <w:r w:rsidRPr="003B5F08">
        <w:rPr>
          <w:lang w:val="es-CL"/>
        </w:rPr>
        <w:t xml:space="preserve"> para. 161; </w:t>
      </w:r>
      <w:r w:rsidRPr="003B5F08">
        <w:rPr>
          <w:i/>
          <w:lang w:val="es-CL"/>
        </w:rPr>
        <w:t>Nyembwe</w:t>
      </w:r>
      <w:r w:rsidRPr="003B5F08">
        <w:rPr>
          <w:iCs/>
          <w:lang w:val="es-CL"/>
        </w:rPr>
        <w:t xml:space="preserve">, </w:t>
      </w:r>
      <w:r w:rsidRPr="003B5F08">
        <w:rPr>
          <w:i/>
          <w:iCs/>
          <w:lang w:val="es-CL"/>
        </w:rPr>
        <w:t>supra</w:t>
      </w:r>
      <w:r w:rsidRPr="003B5F08">
        <w:rPr>
          <w:iCs/>
          <w:lang w:val="es-CL"/>
        </w:rPr>
        <w:t xml:space="preserve"> note </w:t>
      </w:r>
      <w:r w:rsidRPr="002F6CBB">
        <w:rPr>
          <w:iCs/>
          <w:lang w:val="en-CA"/>
        </w:rPr>
        <w:fldChar w:fldCharType="begin"/>
      </w:r>
      <w:r w:rsidRPr="003B5F08">
        <w:rPr>
          <w:iCs/>
          <w:lang w:val="es-CL"/>
        </w:rPr>
        <w:instrText xml:space="preserve"> NOTEREF _Ref161823995 \h </w:instrText>
      </w:r>
      <w:r w:rsidRPr="002F6CBB">
        <w:rPr>
          <w:iCs/>
          <w:lang w:val="en-CA"/>
        </w:rPr>
      </w:r>
      <w:r w:rsidRPr="002F6CBB">
        <w:rPr>
          <w:iCs/>
          <w:lang w:val="en-CA"/>
        </w:rPr>
        <w:fldChar w:fldCharType="separate"/>
      </w:r>
      <w:r w:rsidR="000F1A75" w:rsidRPr="003B5F08">
        <w:rPr>
          <w:iCs/>
          <w:lang w:val="es-CL"/>
        </w:rPr>
        <w:t>18</w:t>
      </w:r>
      <w:r w:rsidRPr="002F6CBB">
        <w:rPr>
          <w:iCs/>
          <w:lang w:val="en-CA"/>
        </w:rPr>
        <w:fldChar w:fldCharType="end"/>
      </w:r>
      <w:r w:rsidRPr="003B5F08">
        <w:rPr>
          <w:lang w:val="es-CL"/>
        </w:rPr>
        <w:t xml:space="preserve">, at para. 187; </w:t>
      </w:r>
      <w:r w:rsidRPr="003B5F08">
        <w:rPr>
          <w:i/>
          <w:lang w:val="es-CL"/>
        </w:rPr>
        <w:t>Nkamba</w:t>
      </w:r>
      <w:r w:rsidRPr="003B5F08">
        <w:rPr>
          <w:iCs/>
          <w:lang w:val="es-CL"/>
        </w:rPr>
        <w:t xml:space="preserve">, </w:t>
      </w:r>
      <w:r w:rsidRPr="003B5F08">
        <w:rPr>
          <w:i/>
          <w:iCs/>
          <w:lang w:val="es-CL"/>
        </w:rPr>
        <w:t>supra</w:t>
      </w:r>
      <w:r w:rsidRPr="003B5F08">
        <w:rPr>
          <w:iCs/>
          <w:lang w:val="es-CL"/>
        </w:rPr>
        <w:t xml:space="preserve"> note </w:t>
      </w:r>
      <w:r w:rsidRPr="002F6CBB">
        <w:rPr>
          <w:iCs/>
          <w:lang w:val="en-CA"/>
        </w:rPr>
        <w:fldChar w:fldCharType="begin"/>
      </w:r>
      <w:r w:rsidRPr="003B5F08">
        <w:rPr>
          <w:iCs/>
          <w:lang w:val="es-CL"/>
        </w:rPr>
        <w:instrText xml:space="preserve"> NOTEREF _Ref161821961 \h </w:instrText>
      </w:r>
      <w:r w:rsidRPr="002F6CBB">
        <w:rPr>
          <w:iCs/>
          <w:lang w:val="en-CA"/>
        </w:rPr>
      </w:r>
      <w:r w:rsidRPr="002F6CBB">
        <w:rPr>
          <w:iCs/>
          <w:lang w:val="en-CA"/>
        </w:rPr>
        <w:fldChar w:fldCharType="separate"/>
      </w:r>
      <w:r w:rsidR="000F1A75" w:rsidRPr="003B5F08">
        <w:rPr>
          <w:iCs/>
          <w:lang w:val="es-CL"/>
        </w:rPr>
        <w:t>17</w:t>
      </w:r>
      <w:r w:rsidRPr="002F6CBB">
        <w:rPr>
          <w:iCs/>
          <w:lang w:val="en-CA"/>
        </w:rPr>
        <w:fldChar w:fldCharType="end"/>
      </w:r>
      <w:r w:rsidRPr="003B5F08">
        <w:rPr>
          <w:iCs/>
          <w:lang w:val="es-CL"/>
        </w:rPr>
        <w:t xml:space="preserve"> at</w:t>
      </w:r>
      <w:r w:rsidRPr="003B5F08">
        <w:rPr>
          <w:lang w:val="es-CL"/>
        </w:rPr>
        <w:t xml:space="preserve"> para. </w:t>
      </w:r>
      <w:r w:rsidRPr="00CA2E45">
        <w:rPr>
          <w:lang w:val="es-CL"/>
        </w:rPr>
        <w:t>31.</w:t>
      </w:r>
    </w:p>
  </w:footnote>
  <w:footnote w:id="38">
    <w:p w14:paraId="1D7957BD" w14:textId="24070CA2" w:rsidR="00932F09" w:rsidRPr="00CA2E45" w:rsidRDefault="00932F09" w:rsidP="00932F09">
      <w:pPr>
        <w:pStyle w:val="Notedebasdepage"/>
        <w:rPr>
          <w:lang w:val="es-CL"/>
        </w:rPr>
      </w:pPr>
      <w:r w:rsidRPr="002F6CBB">
        <w:rPr>
          <w:rStyle w:val="Appelnotedebasdep"/>
          <w:lang w:val="en-CA"/>
        </w:rPr>
        <w:footnoteRef/>
      </w:r>
      <w:r w:rsidRPr="00CA2E45">
        <w:rPr>
          <w:lang w:val="es-CL"/>
        </w:rPr>
        <w:t xml:space="preserve"> </w:t>
      </w:r>
      <w:r w:rsidRPr="00CA2E45">
        <w:rPr>
          <w:lang w:val="es-CL"/>
        </w:rPr>
        <w:tab/>
      </w:r>
      <w:r w:rsidRPr="00CA2E45">
        <w:rPr>
          <w:i/>
          <w:lang w:val="es-CL"/>
        </w:rPr>
        <w:t>R. v</w:t>
      </w:r>
      <w:r w:rsidRPr="00CA2E45">
        <w:rPr>
          <w:iCs/>
          <w:lang w:val="es-CL"/>
        </w:rPr>
        <w:t>.</w:t>
      </w:r>
      <w:r w:rsidRPr="00CA2E45">
        <w:rPr>
          <w:i/>
          <w:lang w:val="es-CL"/>
        </w:rPr>
        <w:t xml:space="preserve"> Ipeelee</w:t>
      </w:r>
      <w:r w:rsidRPr="00CA2E45">
        <w:rPr>
          <w:lang w:val="es-CL"/>
        </w:rPr>
        <w:t xml:space="preserve">, </w:t>
      </w:r>
      <w:r w:rsidRPr="00CA2E45">
        <w:rPr>
          <w:i/>
          <w:iCs/>
          <w:lang w:val="es-CL"/>
        </w:rPr>
        <w:t>supra</w:t>
      </w:r>
      <w:r w:rsidRPr="00CA2E45">
        <w:rPr>
          <w:lang w:val="es-CL"/>
        </w:rPr>
        <w:t xml:space="preserve"> note </w:t>
      </w:r>
      <w:r w:rsidRPr="002F6CBB">
        <w:rPr>
          <w:lang w:val="en-CA"/>
        </w:rPr>
        <w:fldChar w:fldCharType="begin"/>
      </w:r>
      <w:r w:rsidRPr="00CA2E45">
        <w:rPr>
          <w:lang w:val="es-CL"/>
        </w:rPr>
        <w:instrText xml:space="preserve"> NOTEREF _Ref161837171 \h  \* MERGEFORMAT </w:instrText>
      </w:r>
      <w:r w:rsidRPr="002F6CBB">
        <w:rPr>
          <w:lang w:val="en-CA"/>
        </w:rPr>
      </w:r>
      <w:r w:rsidRPr="002F6CBB">
        <w:rPr>
          <w:lang w:val="en-CA"/>
        </w:rPr>
        <w:fldChar w:fldCharType="separate"/>
      </w:r>
      <w:r w:rsidR="000F1A75" w:rsidRPr="00CA2E45">
        <w:rPr>
          <w:lang w:val="es-CL"/>
        </w:rPr>
        <w:t>35</w:t>
      </w:r>
      <w:r w:rsidRPr="002F6CBB">
        <w:rPr>
          <w:lang w:val="en-CA"/>
        </w:rPr>
        <w:fldChar w:fldCharType="end"/>
      </w:r>
      <w:r w:rsidRPr="00CA2E45">
        <w:rPr>
          <w:lang w:val="es-CL"/>
        </w:rPr>
        <w:t xml:space="preserve"> at para. 469; </w:t>
      </w:r>
      <w:r w:rsidRPr="00CA2E45">
        <w:rPr>
          <w:i/>
          <w:lang w:val="es-CL"/>
        </w:rPr>
        <w:t>Miller</w:t>
      </w:r>
      <w:r w:rsidRPr="00CA2E45">
        <w:rPr>
          <w:lang w:val="es-CL"/>
        </w:rPr>
        <w:t xml:space="preserve">, </w:t>
      </w:r>
      <w:r w:rsidRPr="00CA2E45">
        <w:rPr>
          <w:i/>
          <w:iCs/>
          <w:lang w:val="es-CL"/>
        </w:rPr>
        <w:t>supra</w:t>
      </w:r>
      <w:r w:rsidRPr="00CA2E45">
        <w:rPr>
          <w:lang w:val="es-CL"/>
        </w:rPr>
        <w:t xml:space="preserve"> note </w:t>
      </w:r>
      <w:r w:rsidRPr="002F6CBB">
        <w:rPr>
          <w:lang w:val="en-CA"/>
        </w:rPr>
        <w:fldChar w:fldCharType="begin"/>
      </w:r>
      <w:r w:rsidRPr="00CA2E45">
        <w:rPr>
          <w:lang w:val="es-CL"/>
        </w:rPr>
        <w:instrText xml:space="preserve"> NOTEREF _Ref161824050 \h </w:instrText>
      </w:r>
      <w:r w:rsidRPr="002F6CBB">
        <w:rPr>
          <w:lang w:val="en-CA"/>
        </w:rPr>
      </w:r>
      <w:r w:rsidRPr="002F6CBB">
        <w:rPr>
          <w:lang w:val="en-CA"/>
        </w:rPr>
        <w:fldChar w:fldCharType="separate"/>
      </w:r>
      <w:r w:rsidR="000F1A75" w:rsidRPr="00CA2E45">
        <w:rPr>
          <w:lang w:val="es-CL"/>
        </w:rPr>
        <w:t>21</w:t>
      </w:r>
      <w:r w:rsidRPr="002F6CBB">
        <w:rPr>
          <w:lang w:val="en-CA"/>
        </w:rPr>
        <w:fldChar w:fldCharType="end"/>
      </w:r>
      <w:r w:rsidRPr="00CA2E45">
        <w:rPr>
          <w:lang w:val="es-CL"/>
        </w:rPr>
        <w:t xml:space="preserve"> at para. 163.</w:t>
      </w:r>
    </w:p>
  </w:footnote>
  <w:footnote w:id="39">
    <w:p w14:paraId="0FE72CC7" w14:textId="77777777" w:rsidR="00932F09" w:rsidRPr="002F6CBB" w:rsidRDefault="00932F09" w:rsidP="00932F09">
      <w:pPr>
        <w:pStyle w:val="Notedebasdepage"/>
        <w:rPr>
          <w:lang w:val="en-CA"/>
        </w:rPr>
      </w:pPr>
      <w:r w:rsidRPr="002F6CBB">
        <w:rPr>
          <w:rStyle w:val="Appelnotedebasdep"/>
          <w:lang w:val="en-CA"/>
        </w:rPr>
        <w:footnoteRef/>
      </w:r>
      <w:r w:rsidRPr="00CA2E45">
        <w:rPr>
          <w:lang w:val="es-CL"/>
        </w:rPr>
        <w:t xml:space="preserve"> </w:t>
      </w:r>
      <w:r w:rsidRPr="00CA2E45">
        <w:rPr>
          <w:lang w:val="es-CL"/>
        </w:rPr>
        <w:tab/>
      </w:r>
      <w:r w:rsidRPr="00CA2E45">
        <w:rPr>
          <w:i/>
          <w:lang w:val="es-CL"/>
        </w:rPr>
        <w:t>R</w:t>
      </w:r>
      <w:r w:rsidRPr="00CA2E45">
        <w:rPr>
          <w:lang w:val="es-CL"/>
        </w:rPr>
        <w:t xml:space="preserve">. </w:t>
      </w:r>
      <w:r w:rsidRPr="00CA2E45">
        <w:rPr>
          <w:i/>
          <w:iCs/>
          <w:lang w:val="es-CL"/>
        </w:rPr>
        <w:t>v</w:t>
      </w:r>
      <w:r w:rsidRPr="00CA2E45">
        <w:rPr>
          <w:lang w:val="es-CL"/>
        </w:rPr>
        <w:t xml:space="preserve">. </w:t>
      </w:r>
      <w:r w:rsidRPr="00CA2E45">
        <w:rPr>
          <w:i/>
          <w:lang w:val="es-CL"/>
        </w:rPr>
        <w:t>S. (R.D.)</w:t>
      </w:r>
      <w:r w:rsidRPr="00CA2E45">
        <w:rPr>
          <w:lang w:val="es-CL"/>
        </w:rPr>
        <w:t xml:space="preserve">, 1997 CanLII 324 (SCC) at paras. </w:t>
      </w:r>
      <w:r w:rsidRPr="002F6CBB">
        <w:rPr>
          <w:lang w:val="en-CA"/>
        </w:rPr>
        <w:t xml:space="preserve">42–43; </w:t>
      </w:r>
      <w:r w:rsidRPr="002F6CBB">
        <w:rPr>
          <w:i/>
          <w:lang w:val="en-CA"/>
        </w:rPr>
        <w:t>R</w:t>
      </w:r>
      <w:r w:rsidRPr="002F6CBB">
        <w:rPr>
          <w:lang w:val="en-CA"/>
        </w:rPr>
        <w:t xml:space="preserve">. </w:t>
      </w:r>
      <w:r w:rsidRPr="002F6CBB">
        <w:rPr>
          <w:i/>
          <w:iCs/>
          <w:lang w:val="en-CA"/>
        </w:rPr>
        <w:t>v</w:t>
      </w:r>
      <w:r w:rsidRPr="002F6CBB">
        <w:rPr>
          <w:lang w:val="en-CA"/>
        </w:rPr>
        <w:t xml:space="preserve">. </w:t>
      </w:r>
      <w:r w:rsidRPr="002F6CBB">
        <w:rPr>
          <w:i/>
          <w:lang w:val="en-CA"/>
        </w:rPr>
        <w:t>Spence</w:t>
      </w:r>
      <w:r w:rsidRPr="002F6CBB">
        <w:rPr>
          <w:lang w:val="en-CA"/>
        </w:rPr>
        <w:t>, 2005 SCC 71 at para. 57.</w:t>
      </w:r>
    </w:p>
  </w:footnote>
  <w:footnote w:id="40">
    <w:p w14:paraId="30C59777" w14:textId="77777777" w:rsidR="00932F09" w:rsidRPr="002F6CBB" w:rsidRDefault="00932F09" w:rsidP="00932F09">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lang w:val="en-CA"/>
        </w:rPr>
        <w:t>Peel Law Association v</w:t>
      </w:r>
      <w:r w:rsidRPr="002F6CBB">
        <w:rPr>
          <w:iCs/>
          <w:lang w:val="en-CA"/>
        </w:rPr>
        <w:t>.</w:t>
      </w:r>
      <w:r w:rsidRPr="002F6CBB">
        <w:rPr>
          <w:i/>
          <w:lang w:val="en-CA"/>
        </w:rPr>
        <w:t xml:space="preserve"> Pieters</w:t>
      </w:r>
      <w:r w:rsidRPr="002F6CBB">
        <w:rPr>
          <w:lang w:val="en-CA"/>
        </w:rPr>
        <w:t>, 2013 ONCA 396 at para. 120.</w:t>
      </w:r>
    </w:p>
  </w:footnote>
  <w:footnote w:id="41">
    <w:p w14:paraId="2AE73DAB" w14:textId="0B00975D" w:rsidR="00932F09" w:rsidRPr="002F6CBB" w:rsidRDefault="00932F09" w:rsidP="00932F09">
      <w:pPr>
        <w:pStyle w:val="Notedebasdepage"/>
        <w:rPr>
          <w:lang w:val="en-CA"/>
        </w:rPr>
      </w:pPr>
      <w:r w:rsidRPr="002F6CBB">
        <w:rPr>
          <w:rStyle w:val="Appelnotedebasdep"/>
          <w:lang w:val="en-CA"/>
        </w:rPr>
        <w:footnoteRef/>
      </w:r>
      <w:r w:rsidRPr="002F6CBB">
        <w:rPr>
          <w:lang w:val="en-CA"/>
        </w:rPr>
        <w:t xml:space="preserve"> </w:t>
      </w:r>
      <w:r w:rsidRPr="002F6CBB">
        <w:rPr>
          <w:lang w:val="en-CA"/>
        </w:rPr>
        <w:tab/>
        <w:t>Exhibit P-9, Copy of the expert report prepared by Marie Meudec</w:t>
      </w:r>
      <w:r w:rsidR="00A60D7B">
        <w:rPr>
          <w:lang w:val="en-CA"/>
        </w:rPr>
        <w:t>,</w:t>
      </w:r>
      <w:r w:rsidRPr="002F6CBB">
        <w:rPr>
          <w:lang w:val="en-CA"/>
        </w:rPr>
        <w:t xml:space="preserve"> dated May 28, 2022, her statement of fees, curriculum vitae, and Statement on an expert’s mission (art. 235 CCP) (</w:t>
      </w:r>
      <w:r w:rsidRPr="003810BF">
        <w:rPr>
          <w:i/>
          <w:iCs/>
          <w:lang w:val="en-CA"/>
        </w:rPr>
        <w:t>en liasse</w:t>
      </w:r>
      <w:r w:rsidRPr="002F6CBB">
        <w:rPr>
          <w:lang w:val="en-CA"/>
        </w:rPr>
        <w:t xml:space="preserve">); Exhibit P-9A, Addendum to Ms. Meudec’s expert report </w:t>
      </w:r>
      <w:r w:rsidR="00A60D7B">
        <w:rPr>
          <w:lang w:val="en-CA"/>
        </w:rPr>
        <w:t xml:space="preserve">dated </w:t>
      </w:r>
      <w:r w:rsidRPr="002F6CBB">
        <w:rPr>
          <w:lang w:val="en-CA"/>
        </w:rPr>
        <w:t>February 2, 2023, additional statement of fees and updated CV (</w:t>
      </w:r>
      <w:r w:rsidRPr="003810BF">
        <w:rPr>
          <w:i/>
          <w:iCs/>
          <w:lang w:val="en-CA"/>
        </w:rPr>
        <w:t>en liasse</w:t>
      </w:r>
      <w:r w:rsidRPr="002F6CBB">
        <w:rPr>
          <w:lang w:val="en-CA"/>
        </w:rPr>
        <w:t>, in a sealed envelope).</w:t>
      </w:r>
    </w:p>
  </w:footnote>
  <w:footnote w:id="42">
    <w:p w14:paraId="269698B9" w14:textId="30BB83A8" w:rsidR="000C0364" w:rsidRPr="002F6CBB" w:rsidRDefault="00BC67BE" w:rsidP="000C0364">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00B84C7F" w:rsidRPr="002F6CBB">
        <w:rPr>
          <w:i/>
          <w:iCs/>
          <w:lang w:val="en-CA"/>
        </w:rPr>
        <w:t xml:space="preserve">Code </w:t>
      </w:r>
      <w:r w:rsidR="00590DE5" w:rsidRPr="002F6CBB">
        <w:rPr>
          <w:i/>
          <w:iCs/>
          <w:lang w:val="en-CA"/>
        </w:rPr>
        <w:t>of Civil Procedure</w:t>
      </w:r>
      <w:r w:rsidRPr="002F6CBB">
        <w:rPr>
          <w:lang w:val="en-CA"/>
        </w:rPr>
        <w:t xml:space="preserve">, </w:t>
      </w:r>
      <w:r w:rsidR="00590DE5" w:rsidRPr="002F6CBB">
        <w:rPr>
          <w:lang w:val="en-CA"/>
        </w:rPr>
        <w:t>CQL</w:t>
      </w:r>
      <w:r w:rsidRPr="002F6CBB">
        <w:rPr>
          <w:lang w:val="en-CA"/>
        </w:rPr>
        <w:t>R, c. C-25.01, art. 22.</w:t>
      </w:r>
    </w:p>
  </w:footnote>
  <w:footnote w:id="43">
    <w:p w14:paraId="4553EA95" w14:textId="259D04AB" w:rsidR="00BB6FC7" w:rsidRPr="005A25C1" w:rsidRDefault="00BB6FC7" w:rsidP="00BB6FC7">
      <w:pPr>
        <w:pStyle w:val="Notedebasdepage"/>
      </w:pPr>
      <w:r w:rsidRPr="002F6CBB">
        <w:rPr>
          <w:rStyle w:val="Appelnotedebasdep"/>
          <w:lang w:val="en-CA"/>
        </w:rPr>
        <w:footnoteRef/>
      </w:r>
      <w:r w:rsidRPr="005A25C1">
        <w:t xml:space="preserve"> </w:t>
      </w:r>
      <w:r w:rsidRPr="005A25C1">
        <w:tab/>
      </w:r>
      <w:r w:rsidRPr="005A25C1">
        <w:rPr>
          <w:i/>
        </w:rPr>
        <w:t xml:space="preserve">Commission des droits de la personne et des droits de la jeunesse (Nasr) c. Beaulé, </w:t>
      </w:r>
      <w:r w:rsidRPr="005A25C1">
        <w:t xml:space="preserve">2009 QCTDP 25 at para. </w:t>
      </w:r>
      <w:r w:rsidRPr="00CA2E45">
        <w:rPr>
          <w:lang w:val="es-CL"/>
        </w:rPr>
        <w:t xml:space="preserve">64; </w:t>
      </w:r>
      <w:r w:rsidRPr="00CA2E45">
        <w:rPr>
          <w:i/>
          <w:iCs/>
          <w:lang w:val="es-CL"/>
        </w:rPr>
        <w:t>Dagobert</w:t>
      </w:r>
      <w:r w:rsidRPr="00CA2E45">
        <w:rPr>
          <w:lang w:val="es-CL"/>
        </w:rPr>
        <w:t xml:space="preserve">, </w:t>
      </w:r>
      <w:r w:rsidRPr="00CA2E45">
        <w:rPr>
          <w:i/>
          <w:iCs/>
          <w:lang w:val="es-CL"/>
        </w:rPr>
        <w:t>supra</w:t>
      </w:r>
      <w:r w:rsidRPr="00CA2E45">
        <w:rPr>
          <w:lang w:val="es-CL"/>
        </w:rPr>
        <w:t xml:space="preserve"> note </w:t>
      </w:r>
      <w:r w:rsidRPr="002F6CBB">
        <w:rPr>
          <w:lang w:val="en-CA"/>
        </w:rPr>
        <w:fldChar w:fldCharType="begin"/>
      </w:r>
      <w:r w:rsidRPr="003B5F08">
        <w:rPr>
          <w:lang w:val="es-CL"/>
        </w:rPr>
        <w:instrText xml:space="preserve"> NOTEREF _Ref161753688 \h </w:instrText>
      </w:r>
      <w:r w:rsidRPr="002F6CBB">
        <w:rPr>
          <w:lang w:val="en-CA"/>
        </w:rPr>
      </w:r>
      <w:r w:rsidRPr="002F6CBB">
        <w:rPr>
          <w:lang w:val="en-CA"/>
        </w:rPr>
        <w:fldChar w:fldCharType="separate"/>
      </w:r>
      <w:r w:rsidR="000F1A75" w:rsidRPr="003B5F08">
        <w:rPr>
          <w:lang w:val="es-CL"/>
        </w:rPr>
        <w:t>13</w:t>
      </w:r>
      <w:r w:rsidRPr="002F6CBB">
        <w:rPr>
          <w:lang w:val="en-CA"/>
        </w:rPr>
        <w:fldChar w:fldCharType="end"/>
      </w:r>
      <w:r w:rsidRPr="003B5F08">
        <w:rPr>
          <w:lang w:val="es-CL"/>
        </w:rPr>
        <w:t xml:space="preserve"> at para. 160; </w:t>
      </w:r>
      <w:r w:rsidRPr="003B5F08">
        <w:rPr>
          <w:i/>
          <w:iCs/>
          <w:lang w:val="es-CL"/>
        </w:rPr>
        <w:t>Mensah</w:t>
      </w:r>
      <w:r w:rsidRPr="003B5F08">
        <w:rPr>
          <w:lang w:val="es-CL"/>
        </w:rPr>
        <w:t xml:space="preserve">,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_Ref161823995 \h </w:instrText>
      </w:r>
      <w:r w:rsidRPr="002F6CBB">
        <w:rPr>
          <w:lang w:val="en-CA"/>
        </w:rPr>
      </w:r>
      <w:r w:rsidRPr="002F6CBB">
        <w:rPr>
          <w:lang w:val="en-CA"/>
        </w:rPr>
        <w:fldChar w:fldCharType="separate"/>
      </w:r>
      <w:r w:rsidR="000F1A75" w:rsidRPr="003B5F08">
        <w:rPr>
          <w:lang w:val="es-CL"/>
        </w:rPr>
        <w:t>18</w:t>
      </w:r>
      <w:r w:rsidRPr="002F6CBB">
        <w:rPr>
          <w:lang w:val="en-CA"/>
        </w:rPr>
        <w:fldChar w:fldCharType="end"/>
      </w:r>
      <w:r w:rsidRPr="003B5F08">
        <w:rPr>
          <w:lang w:val="es-CL"/>
        </w:rPr>
        <w:t xml:space="preserve"> at paras. 86–91; </w:t>
      </w:r>
      <w:r w:rsidRPr="003B5F08">
        <w:rPr>
          <w:i/>
          <w:lang w:val="es-CL"/>
        </w:rPr>
        <w:t>Miller</w:t>
      </w:r>
      <w:r w:rsidRPr="003B5F08">
        <w:rPr>
          <w:lang w:val="es-CL"/>
        </w:rPr>
        <w:t xml:space="preserve">,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_Ref161824050 \h </w:instrText>
      </w:r>
      <w:r w:rsidRPr="002F6CBB">
        <w:rPr>
          <w:lang w:val="en-CA"/>
        </w:rPr>
      </w:r>
      <w:r w:rsidRPr="002F6CBB">
        <w:rPr>
          <w:lang w:val="en-CA"/>
        </w:rPr>
        <w:fldChar w:fldCharType="separate"/>
      </w:r>
      <w:r w:rsidR="000F1A75" w:rsidRPr="003B5F08">
        <w:rPr>
          <w:lang w:val="es-CL"/>
        </w:rPr>
        <w:t>21</w:t>
      </w:r>
      <w:r w:rsidRPr="002F6CBB">
        <w:rPr>
          <w:lang w:val="en-CA"/>
        </w:rPr>
        <w:fldChar w:fldCharType="end"/>
      </w:r>
      <w:r w:rsidRPr="003B5F08">
        <w:rPr>
          <w:lang w:val="es-CL"/>
        </w:rPr>
        <w:t xml:space="preserve"> at para. 238; </w:t>
      </w:r>
      <w:r w:rsidRPr="003B5F08">
        <w:rPr>
          <w:rFonts w:cs="Arial"/>
          <w:i/>
          <w:iCs/>
          <w:lang w:val="es-CL"/>
        </w:rPr>
        <w:t>DeBellefeuille</w:t>
      </w:r>
      <w:r w:rsidRPr="003B5F08">
        <w:rPr>
          <w:rFonts w:cs="Arial"/>
          <w:lang w:val="es-CL"/>
        </w:rPr>
        <w:t xml:space="preserve">, </w:t>
      </w:r>
      <w:r w:rsidRPr="003B5F08">
        <w:rPr>
          <w:rFonts w:cs="Arial"/>
          <w:i/>
          <w:iCs/>
          <w:lang w:val="es-CL"/>
        </w:rPr>
        <w:t>supra</w:t>
      </w:r>
      <w:r w:rsidRPr="003B5F08">
        <w:rPr>
          <w:rFonts w:cs="Arial"/>
          <w:lang w:val="es-CL"/>
        </w:rPr>
        <w:t xml:space="preserve"> note </w:t>
      </w:r>
      <w:r w:rsidRPr="002F6CBB">
        <w:rPr>
          <w:rFonts w:cs="Arial"/>
          <w:lang w:val="en-CA"/>
        </w:rPr>
        <w:fldChar w:fldCharType="begin"/>
      </w:r>
      <w:r w:rsidRPr="003B5F08">
        <w:rPr>
          <w:rFonts w:cs="Arial"/>
          <w:lang w:val="es-CL"/>
        </w:rPr>
        <w:instrText xml:space="preserve"> NOTEREF _Ref161821529 \h </w:instrText>
      </w:r>
      <w:r w:rsidRPr="002F6CBB">
        <w:rPr>
          <w:rFonts w:cs="Arial"/>
          <w:lang w:val="en-CA"/>
        </w:rPr>
      </w:r>
      <w:r w:rsidRPr="002F6CBB">
        <w:rPr>
          <w:rFonts w:cs="Arial"/>
          <w:lang w:val="en-CA"/>
        </w:rPr>
        <w:fldChar w:fldCharType="separate"/>
      </w:r>
      <w:r w:rsidR="000F1A75" w:rsidRPr="003B5F08">
        <w:rPr>
          <w:rFonts w:cs="Arial"/>
          <w:lang w:val="es-CL"/>
        </w:rPr>
        <w:t>14</w:t>
      </w:r>
      <w:r w:rsidRPr="002F6CBB">
        <w:rPr>
          <w:rFonts w:cs="Arial"/>
          <w:lang w:val="en-CA"/>
        </w:rPr>
        <w:fldChar w:fldCharType="end"/>
      </w:r>
      <w:r w:rsidRPr="003B5F08">
        <w:rPr>
          <w:lang w:val="es-CL"/>
        </w:rPr>
        <w:t xml:space="preserve"> at paras. </w:t>
      </w:r>
      <w:r w:rsidRPr="00CA2E45">
        <w:t xml:space="preserve">165–166; </w:t>
      </w:r>
      <w:r w:rsidRPr="00CA2E45">
        <w:rPr>
          <w:i/>
        </w:rPr>
        <w:t>Nkamba</w:t>
      </w:r>
      <w:r w:rsidRPr="00CA2E45">
        <w:rPr>
          <w:iCs/>
        </w:rPr>
        <w:t xml:space="preserve">, </w:t>
      </w:r>
      <w:r w:rsidRPr="00CA2E45">
        <w:rPr>
          <w:i/>
          <w:iCs/>
        </w:rPr>
        <w:t>supra</w:t>
      </w:r>
      <w:r w:rsidRPr="00CA2E45">
        <w:rPr>
          <w:iCs/>
        </w:rPr>
        <w:t xml:space="preserve"> note </w:t>
      </w:r>
      <w:r w:rsidRPr="002F6CBB">
        <w:rPr>
          <w:iCs/>
          <w:lang w:val="en-CA"/>
        </w:rPr>
        <w:fldChar w:fldCharType="begin"/>
      </w:r>
      <w:r w:rsidRPr="00CA2E45">
        <w:rPr>
          <w:iCs/>
        </w:rPr>
        <w:instrText xml:space="preserve"> NOTEREF _Ref161821961 \h </w:instrText>
      </w:r>
      <w:r w:rsidRPr="002F6CBB">
        <w:rPr>
          <w:iCs/>
          <w:lang w:val="en-CA"/>
        </w:rPr>
      </w:r>
      <w:r w:rsidRPr="002F6CBB">
        <w:rPr>
          <w:iCs/>
          <w:lang w:val="en-CA"/>
        </w:rPr>
        <w:fldChar w:fldCharType="separate"/>
      </w:r>
      <w:r w:rsidR="00EC25EA" w:rsidRPr="00CA2E45">
        <w:rPr>
          <w:iCs/>
        </w:rPr>
        <w:t>17</w:t>
      </w:r>
      <w:r w:rsidRPr="002F6CBB">
        <w:rPr>
          <w:iCs/>
          <w:lang w:val="en-CA"/>
        </w:rPr>
        <w:fldChar w:fldCharType="end"/>
      </w:r>
      <w:r w:rsidRPr="00CA2E45">
        <w:t xml:space="preserve"> at paras. </w:t>
      </w:r>
      <w:r w:rsidRPr="005A25C1">
        <w:t>32–34.</w:t>
      </w:r>
    </w:p>
  </w:footnote>
  <w:footnote w:id="44">
    <w:p w14:paraId="5873460B" w14:textId="57C0FC78" w:rsidR="00F922E4" w:rsidRPr="005A25C1" w:rsidRDefault="00F922E4" w:rsidP="00F922E4">
      <w:pPr>
        <w:pStyle w:val="Notedebasdepage"/>
      </w:pPr>
      <w:r w:rsidRPr="002F6CBB">
        <w:rPr>
          <w:rStyle w:val="Appelnotedebasdep"/>
          <w:lang w:val="en-CA"/>
        </w:rPr>
        <w:footnoteRef/>
      </w:r>
      <w:r w:rsidRPr="005A25C1">
        <w:t xml:space="preserve"> </w:t>
      </w:r>
      <w:r w:rsidRPr="005A25C1">
        <w:tab/>
        <w:t xml:space="preserve">See in particular </w:t>
      </w:r>
      <w:r w:rsidRPr="005A25C1">
        <w:rPr>
          <w:i/>
        </w:rPr>
        <w:t xml:space="preserve">Longueuil (Ville de) c. Debellefeuille, </w:t>
      </w:r>
      <w:r w:rsidRPr="005A25C1">
        <w:t xml:space="preserve">2012 QCCM 235 at paras. 128 and 252 </w:t>
      </w:r>
      <w:r w:rsidR="0037532C">
        <w:t>[</w:t>
      </w:r>
      <w:r w:rsidRPr="005A25C1">
        <w:rPr>
          <w:i/>
          <w:iCs/>
        </w:rPr>
        <w:t>Debellefeuille</w:t>
      </w:r>
      <w:r w:rsidR="0037532C">
        <w:t>]</w:t>
      </w:r>
      <w:r w:rsidRPr="005A25C1">
        <w:t xml:space="preserve">; </w:t>
      </w:r>
      <w:r w:rsidRPr="005A25C1">
        <w:rPr>
          <w:i/>
        </w:rPr>
        <w:t>Ville de Montréal c</w:t>
      </w:r>
      <w:r w:rsidRPr="005A25C1">
        <w:rPr>
          <w:iCs/>
        </w:rPr>
        <w:t>.</w:t>
      </w:r>
      <w:r w:rsidRPr="005A25C1">
        <w:rPr>
          <w:i/>
        </w:rPr>
        <w:t xml:space="preserve"> Baptiste</w:t>
      </w:r>
      <w:r w:rsidRPr="005A25C1">
        <w:t xml:space="preserve">, 2019 QCCM 131 at para. 33 </w:t>
      </w:r>
      <w:r w:rsidR="0037532C">
        <w:t>[</w:t>
      </w:r>
      <w:r w:rsidRPr="005A25C1">
        <w:rPr>
          <w:i/>
          <w:iCs/>
        </w:rPr>
        <w:t>Baptiste</w:t>
      </w:r>
      <w:r w:rsidR="0037532C">
        <w:t>]</w:t>
      </w:r>
      <w:r w:rsidRPr="005A25C1">
        <w:t xml:space="preserve">; </w:t>
      </w:r>
      <w:r w:rsidRPr="005A25C1">
        <w:rPr>
          <w:i/>
        </w:rPr>
        <w:t xml:space="preserve">Ville de Montréal c. Charles, </w:t>
      </w:r>
      <w:r w:rsidRPr="005A25C1">
        <w:rPr>
          <w:iCs/>
        </w:rPr>
        <w:t>2020 QCCM 70</w:t>
      </w:r>
      <w:r w:rsidRPr="005A25C1">
        <w:rPr>
          <w:i/>
        </w:rPr>
        <w:t xml:space="preserve"> </w:t>
      </w:r>
      <w:r w:rsidRPr="005A25C1">
        <w:rPr>
          <w:iCs/>
        </w:rPr>
        <w:t>at</w:t>
      </w:r>
      <w:r w:rsidRPr="005A25C1">
        <w:rPr>
          <w:i/>
        </w:rPr>
        <w:t xml:space="preserve"> </w:t>
      </w:r>
      <w:r w:rsidRPr="005A25C1">
        <w:t xml:space="preserve">paras. 30 and 32 </w:t>
      </w:r>
      <w:r w:rsidR="0037532C">
        <w:t>[</w:t>
      </w:r>
      <w:r w:rsidRPr="005A25C1">
        <w:rPr>
          <w:i/>
          <w:iCs/>
        </w:rPr>
        <w:t>Charles</w:t>
      </w:r>
      <w:r w:rsidR="0037532C">
        <w:t>]</w:t>
      </w:r>
      <w:r w:rsidRPr="005A25C1">
        <w:t>.</w:t>
      </w:r>
    </w:p>
  </w:footnote>
  <w:footnote w:id="45">
    <w:p w14:paraId="5E07C8C2" w14:textId="49FCD55C" w:rsidR="00F922E4" w:rsidRPr="002F6CBB" w:rsidRDefault="00F922E4" w:rsidP="00F922E4">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R.</w:t>
      </w:r>
      <w:r w:rsidRPr="002F6CBB">
        <w:rPr>
          <w:lang w:val="en-CA"/>
        </w:rPr>
        <w:t xml:space="preserve"> </w:t>
      </w:r>
      <w:r w:rsidRPr="002F6CBB">
        <w:rPr>
          <w:i/>
          <w:iCs/>
          <w:lang w:val="en-CA"/>
        </w:rPr>
        <w:t>v</w:t>
      </w:r>
      <w:r w:rsidRPr="002F6CBB">
        <w:rPr>
          <w:lang w:val="en-CA"/>
        </w:rPr>
        <w:t xml:space="preserve">. </w:t>
      </w:r>
      <w:r w:rsidRPr="002F6CBB">
        <w:rPr>
          <w:i/>
          <w:iCs/>
          <w:lang w:val="en-CA"/>
        </w:rPr>
        <w:t>R. (D.)</w:t>
      </w:r>
      <w:r w:rsidRPr="002F6CBB">
        <w:rPr>
          <w:lang w:val="en-CA"/>
        </w:rPr>
        <w:t xml:space="preserve">, 1996 CanLII 207 (SCC) at para. </w:t>
      </w:r>
      <w:r w:rsidRPr="00CA2E45">
        <w:rPr>
          <w:lang w:val="es-CL"/>
        </w:rPr>
        <w:t xml:space="preserve">93; </w:t>
      </w:r>
      <w:r w:rsidRPr="00CA2E45">
        <w:rPr>
          <w:i/>
          <w:iCs/>
          <w:lang w:val="es-CL"/>
        </w:rPr>
        <w:t>Mensah</w:t>
      </w:r>
      <w:r w:rsidRPr="00CA2E45">
        <w:rPr>
          <w:lang w:val="es-CL"/>
        </w:rPr>
        <w:t xml:space="preserve">, </w:t>
      </w:r>
      <w:r w:rsidRPr="00CA2E45">
        <w:rPr>
          <w:i/>
          <w:iCs/>
          <w:lang w:val="es-CL"/>
        </w:rPr>
        <w:t>supra</w:t>
      </w:r>
      <w:r w:rsidRPr="00CA2E45">
        <w:rPr>
          <w:lang w:val="es-CL"/>
        </w:rPr>
        <w:t xml:space="preserve"> note </w:t>
      </w:r>
      <w:r w:rsidRPr="002F6CBB">
        <w:rPr>
          <w:lang w:val="en-CA"/>
        </w:rPr>
        <w:fldChar w:fldCharType="begin"/>
      </w:r>
      <w:r w:rsidRPr="003B5F08">
        <w:rPr>
          <w:lang w:val="es-CL"/>
        </w:rPr>
        <w:instrText xml:space="preserve"> NOTEREF _Ref161823995 \h </w:instrText>
      </w:r>
      <w:r w:rsidRPr="002F6CBB">
        <w:rPr>
          <w:lang w:val="en-CA"/>
        </w:rPr>
      </w:r>
      <w:r w:rsidRPr="002F6CBB">
        <w:rPr>
          <w:lang w:val="en-CA"/>
        </w:rPr>
        <w:fldChar w:fldCharType="separate"/>
      </w:r>
      <w:r w:rsidR="000F1A75" w:rsidRPr="003B5F08">
        <w:rPr>
          <w:lang w:val="es-CL"/>
        </w:rPr>
        <w:t>18</w:t>
      </w:r>
      <w:r w:rsidRPr="002F6CBB">
        <w:rPr>
          <w:lang w:val="en-CA"/>
        </w:rPr>
        <w:fldChar w:fldCharType="end"/>
      </w:r>
      <w:r w:rsidRPr="003B5F08">
        <w:rPr>
          <w:lang w:val="es-CL"/>
        </w:rPr>
        <w:t xml:space="preserve"> at para. </w:t>
      </w:r>
      <w:r w:rsidRPr="00CA2E45">
        <w:rPr>
          <w:lang w:val="en-CA"/>
        </w:rPr>
        <w:t xml:space="preserve">91; </w:t>
      </w:r>
      <w:r w:rsidRPr="00CA2E45">
        <w:rPr>
          <w:rFonts w:cs="Arial"/>
          <w:i/>
          <w:iCs/>
          <w:lang w:val="en-CA"/>
        </w:rPr>
        <w:t>DeBellefeuille</w:t>
      </w:r>
      <w:r w:rsidRPr="00CA2E45">
        <w:rPr>
          <w:rFonts w:cs="Arial"/>
          <w:lang w:val="en-CA"/>
        </w:rPr>
        <w:t xml:space="preserve">, </w:t>
      </w:r>
      <w:r w:rsidRPr="00CA2E45">
        <w:rPr>
          <w:rFonts w:cs="Arial"/>
          <w:i/>
          <w:iCs/>
          <w:lang w:val="en-CA"/>
        </w:rPr>
        <w:t>supra</w:t>
      </w:r>
      <w:r w:rsidRPr="00CA2E45">
        <w:rPr>
          <w:rFonts w:cs="Arial"/>
          <w:lang w:val="en-CA"/>
        </w:rPr>
        <w:t xml:space="preserve"> note </w:t>
      </w:r>
      <w:r w:rsidRPr="002F6CBB">
        <w:rPr>
          <w:rFonts w:cs="Arial"/>
          <w:lang w:val="en-CA"/>
        </w:rPr>
        <w:fldChar w:fldCharType="begin"/>
      </w:r>
      <w:r w:rsidRPr="00CA2E45">
        <w:rPr>
          <w:rFonts w:cs="Arial"/>
          <w:lang w:val="en-CA"/>
        </w:rPr>
        <w:instrText xml:space="preserve"> NOTEREF _Ref161821529 \h </w:instrText>
      </w:r>
      <w:r w:rsidRPr="002F6CBB">
        <w:rPr>
          <w:rFonts w:cs="Arial"/>
          <w:lang w:val="en-CA"/>
        </w:rPr>
      </w:r>
      <w:r w:rsidRPr="002F6CBB">
        <w:rPr>
          <w:rFonts w:cs="Arial"/>
          <w:lang w:val="en-CA"/>
        </w:rPr>
        <w:fldChar w:fldCharType="separate"/>
      </w:r>
      <w:r w:rsidR="00EC25EA" w:rsidRPr="00CA2E45">
        <w:rPr>
          <w:rFonts w:cs="Arial"/>
          <w:lang w:val="en-CA"/>
        </w:rPr>
        <w:t>14</w:t>
      </w:r>
      <w:r w:rsidRPr="002F6CBB">
        <w:rPr>
          <w:rFonts w:cs="Arial"/>
          <w:lang w:val="en-CA"/>
        </w:rPr>
        <w:fldChar w:fldCharType="end"/>
      </w:r>
      <w:r w:rsidRPr="00CA2E45">
        <w:rPr>
          <w:lang w:val="en-CA"/>
        </w:rPr>
        <w:t xml:space="preserve"> at para. </w:t>
      </w:r>
      <w:r w:rsidRPr="002F6CBB">
        <w:rPr>
          <w:lang w:val="en-CA"/>
        </w:rPr>
        <w:t>167.</w:t>
      </w:r>
    </w:p>
  </w:footnote>
  <w:footnote w:id="46">
    <w:p w14:paraId="2DC602BF" w14:textId="01647F7C" w:rsidR="00F922E4" w:rsidRPr="005A25C1" w:rsidRDefault="00F922E4" w:rsidP="00F922E4">
      <w:pPr>
        <w:pStyle w:val="Notedebasdepage"/>
      </w:pPr>
      <w:r w:rsidRPr="002F6CBB">
        <w:rPr>
          <w:rStyle w:val="Appelnotedebasdep"/>
          <w:lang w:val="en-CA"/>
        </w:rPr>
        <w:footnoteRef/>
      </w:r>
      <w:r w:rsidRPr="00701CBB">
        <w:rPr>
          <w:lang w:val="en-CA"/>
        </w:rPr>
        <w:t xml:space="preserve"> </w:t>
      </w:r>
      <w:r w:rsidRPr="00701CBB">
        <w:rPr>
          <w:lang w:val="en-CA"/>
        </w:rPr>
        <w:tab/>
      </w:r>
      <w:r w:rsidRPr="00701CBB">
        <w:rPr>
          <w:i/>
          <w:iCs/>
          <w:lang w:val="en-CA"/>
        </w:rPr>
        <w:t>Bombardier</w:t>
      </w:r>
      <w:r w:rsidRPr="00701CBB">
        <w:rPr>
          <w:lang w:val="en-CA"/>
        </w:rPr>
        <w:t xml:space="preserve">, </w:t>
      </w:r>
      <w:r w:rsidRPr="00701CBB">
        <w:rPr>
          <w:i/>
          <w:iCs/>
          <w:lang w:val="en-CA"/>
        </w:rPr>
        <w:t>supra</w:t>
      </w:r>
      <w:r w:rsidRPr="00701CBB">
        <w:rPr>
          <w:lang w:val="en-CA"/>
        </w:rPr>
        <w:t xml:space="preserve"> note </w:t>
      </w:r>
      <w:r w:rsidRPr="002F6CBB">
        <w:rPr>
          <w:lang w:val="en-CA"/>
        </w:rPr>
        <w:fldChar w:fldCharType="begin"/>
      </w:r>
      <w:r w:rsidRPr="00CA2E45">
        <w:rPr>
          <w:lang w:val="en-CA"/>
        </w:rPr>
        <w:instrText xml:space="preserve"> NOTEREF _Ref128649879 \h </w:instrText>
      </w:r>
      <w:r w:rsidRPr="002F6CBB">
        <w:rPr>
          <w:lang w:val="en-CA"/>
        </w:rPr>
      </w:r>
      <w:r w:rsidRPr="002F6CBB">
        <w:rPr>
          <w:lang w:val="en-CA"/>
        </w:rPr>
        <w:fldChar w:fldCharType="separate"/>
      </w:r>
      <w:r w:rsidR="000F1A75" w:rsidRPr="00701CBB">
        <w:rPr>
          <w:lang w:val="en-CA"/>
        </w:rPr>
        <w:t>12</w:t>
      </w:r>
      <w:r w:rsidRPr="002F6CBB">
        <w:rPr>
          <w:lang w:val="en-CA"/>
        </w:rPr>
        <w:fldChar w:fldCharType="end"/>
      </w:r>
      <w:r w:rsidRPr="00701CBB">
        <w:rPr>
          <w:lang w:val="en-CA"/>
        </w:rPr>
        <w:t xml:space="preserve"> at paras. </w:t>
      </w:r>
      <w:r w:rsidRPr="002F6CBB">
        <w:rPr>
          <w:lang w:val="en-CA"/>
        </w:rPr>
        <w:t xml:space="preserve">35 and 40–54. Note that this three-point </w:t>
      </w:r>
      <w:r w:rsidR="0037532C">
        <w:rPr>
          <w:lang w:val="en-CA"/>
        </w:rPr>
        <w:t>framework</w:t>
      </w:r>
      <w:r w:rsidRPr="002F6CBB">
        <w:rPr>
          <w:lang w:val="en-CA"/>
        </w:rPr>
        <w:t xml:space="preserve"> replaces the one developed by the Tribunal in </w:t>
      </w:r>
      <w:r w:rsidRPr="002F6CBB">
        <w:rPr>
          <w:rFonts w:cs="Arial"/>
          <w:i/>
          <w:lang w:val="en-CA" w:eastAsia="fr-CA"/>
        </w:rPr>
        <w:t>Rezko</w:t>
      </w:r>
      <w:r w:rsidRPr="002F6CBB">
        <w:rPr>
          <w:rFonts w:cs="Arial"/>
          <w:iCs/>
          <w:lang w:val="en-CA" w:eastAsia="fr-CA"/>
        </w:rPr>
        <w:t xml:space="preserve">, </w:t>
      </w:r>
      <w:r w:rsidRPr="002F6CBB">
        <w:rPr>
          <w:rFonts w:cs="Arial"/>
          <w:i/>
          <w:iCs/>
          <w:lang w:val="en-CA" w:eastAsia="fr-CA"/>
        </w:rPr>
        <w:t>supra</w:t>
      </w:r>
      <w:r w:rsidRPr="002F6CBB">
        <w:rPr>
          <w:rFonts w:cs="Arial"/>
          <w:iCs/>
          <w:lang w:val="en-CA" w:eastAsia="fr-CA"/>
        </w:rPr>
        <w:t xml:space="preserve"> note </w:t>
      </w:r>
      <w:r w:rsidRPr="002F6CBB">
        <w:rPr>
          <w:rFonts w:cs="Arial"/>
          <w:iCs/>
          <w:lang w:val="en-CA" w:eastAsia="fr-CA"/>
        </w:rPr>
        <w:fldChar w:fldCharType="begin"/>
      </w:r>
      <w:r w:rsidRPr="002F6CBB">
        <w:rPr>
          <w:rFonts w:cs="Arial"/>
          <w:iCs/>
          <w:lang w:val="en-CA" w:eastAsia="fr-CA"/>
        </w:rPr>
        <w:instrText xml:space="preserve"> NOTEREF _Ref161821961 \h </w:instrText>
      </w:r>
      <w:r w:rsidRPr="002F6CBB">
        <w:rPr>
          <w:rFonts w:cs="Arial"/>
          <w:iCs/>
          <w:lang w:val="en-CA" w:eastAsia="fr-CA"/>
        </w:rPr>
      </w:r>
      <w:r w:rsidRPr="002F6CBB">
        <w:rPr>
          <w:rFonts w:cs="Arial"/>
          <w:iCs/>
          <w:lang w:val="en-CA" w:eastAsia="fr-CA"/>
        </w:rPr>
        <w:fldChar w:fldCharType="separate"/>
      </w:r>
      <w:r w:rsidR="00EC25EA">
        <w:rPr>
          <w:rFonts w:cs="Arial"/>
          <w:iCs/>
          <w:lang w:val="en-CA" w:eastAsia="fr-CA"/>
        </w:rPr>
        <w:t>17</w:t>
      </w:r>
      <w:r w:rsidRPr="002F6CBB">
        <w:rPr>
          <w:rFonts w:cs="Arial"/>
          <w:iCs/>
          <w:lang w:val="en-CA" w:eastAsia="fr-CA"/>
        </w:rPr>
        <w:fldChar w:fldCharType="end"/>
      </w:r>
      <w:r w:rsidRPr="002F6CBB">
        <w:rPr>
          <w:rFonts w:cs="Arial"/>
          <w:iCs/>
          <w:lang w:val="en-CA" w:eastAsia="fr-CA"/>
        </w:rPr>
        <w:t xml:space="preserve"> at</w:t>
      </w:r>
      <w:r w:rsidRPr="002F6CBB">
        <w:rPr>
          <w:lang w:val="en-CA"/>
        </w:rPr>
        <w:t xml:space="preserve"> para. </w:t>
      </w:r>
      <w:r w:rsidRPr="005A25C1">
        <w:t>177.</w:t>
      </w:r>
    </w:p>
  </w:footnote>
  <w:footnote w:id="47">
    <w:p w14:paraId="4599D6E3" w14:textId="2ABE92D4" w:rsidR="00A157B1" w:rsidRPr="002F6CBB" w:rsidRDefault="00A157B1" w:rsidP="00A157B1">
      <w:pPr>
        <w:pStyle w:val="Notedebasdepage"/>
        <w:rPr>
          <w:lang w:val="en-CA"/>
        </w:rPr>
      </w:pPr>
      <w:r w:rsidRPr="002F6CBB">
        <w:rPr>
          <w:rStyle w:val="Appelnotedebasdep"/>
          <w:lang w:val="en-CA"/>
        </w:rPr>
        <w:footnoteRef/>
      </w:r>
      <w:r w:rsidRPr="00AA10FD">
        <w:tab/>
      </w:r>
      <w:r w:rsidRPr="00AA10FD">
        <w:rPr>
          <w:i/>
          <w:iCs/>
        </w:rPr>
        <w:t>Baptiste</w:t>
      </w:r>
      <w:r w:rsidRPr="00AA10FD">
        <w:t xml:space="preserve">, </w:t>
      </w:r>
      <w:r w:rsidRPr="00AA10FD">
        <w:rPr>
          <w:i/>
          <w:iCs/>
        </w:rPr>
        <w:t>supra</w:t>
      </w:r>
      <w:r w:rsidRPr="00AA10FD">
        <w:t xml:space="preserve"> note </w:t>
      </w:r>
      <w:r w:rsidRPr="002F6CBB">
        <w:rPr>
          <w:lang w:val="en-CA"/>
        </w:rPr>
        <w:fldChar w:fldCharType="begin"/>
      </w:r>
      <w:r w:rsidRPr="003B5F08">
        <w:instrText xml:space="preserve"> NOTEREF _Ref161832790 \h </w:instrText>
      </w:r>
      <w:r w:rsidRPr="002F6CBB">
        <w:rPr>
          <w:lang w:val="en-CA"/>
        </w:rPr>
      </w:r>
      <w:r w:rsidRPr="002F6CBB">
        <w:rPr>
          <w:lang w:val="en-CA"/>
        </w:rPr>
        <w:fldChar w:fldCharType="separate"/>
      </w:r>
      <w:r w:rsidR="00644E8E" w:rsidRPr="003B5F08">
        <w:t>44</w:t>
      </w:r>
      <w:r w:rsidRPr="002F6CBB">
        <w:rPr>
          <w:lang w:val="en-CA"/>
        </w:rPr>
        <w:fldChar w:fldCharType="end"/>
      </w:r>
      <w:r w:rsidRPr="00AA10FD">
        <w:t xml:space="preserve"> at para. </w:t>
      </w:r>
      <w:r w:rsidRPr="005A25C1">
        <w:t xml:space="preserve">21; </w:t>
      </w:r>
      <w:r w:rsidRPr="005A25C1">
        <w:rPr>
          <w:rFonts w:cs="Arial"/>
          <w:i/>
          <w:iCs/>
        </w:rPr>
        <w:t>DeBellefeuille</w:t>
      </w:r>
      <w:r w:rsidRPr="005A25C1">
        <w:rPr>
          <w:rFonts w:cs="Arial"/>
        </w:rPr>
        <w:t xml:space="preserve">, </w:t>
      </w:r>
      <w:r w:rsidRPr="005A25C1">
        <w:rPr>
          <w:rFonts w:cs="Arial"/>
          <w:i/>
          <w:iCs/>
        </w:rPr>
        <w:t>supra</w:t>
      </w:r>
      <w:r w:rsidRPr="005A25C1">
        <w:rPr>
          <w:rFonts w:cs="Arial"/>
        </w:rPr>
        <w:t xml:space="preserve"> note </w:t>
      </w:r>
      <w:r w:rsidRPr="002F6CBB">
        <w:rPr>
          <w:rFonts w:cs="Arial"/>
          <w:lang w:val="en-CA"/>
        </w:rPr>
        <w:fldChar w:fldCharType="begin"/>
      </w:r>
      <w:r w:rsidRPr="005A25C1">
        <w:rPr>
          <w:rFonts w:cs="Arial"/>
        </w:rPr>
        <w:instrText xml:space="preserve"> NOTEREF _Ref161821529 \h </w:instrText>
      </w:r>
      <w:r w:rsidRPr="002F6CBB">
        <w:rPr>
          <w:rFonts w:cs="Arial"/>
          <w:lang w:val="en-CA"/>
        </w:rPr>
      </w:r>
      <w:r w:rsidRPr="002F6CBB">
        <w:rPr>
          <w:rFonts w:cs="Arial"/>
          <w:lang w:val="en-CA"/>
        </w:rPr>
        <w:fldChar w:fldCharType="separate"/>
      </w:r>
      <w:r w:rsidR="00EC25EA">
        <w:rPr>
          <w:rFonts w:cs="Arial"/>
        </w:rPr>
        <w:t>14</w:t>
      </w:r>
      <w:r w:rsidRPr="002F6CBB">
        <w:rPr>
          <w:rFonts w:cs="Arial"/>
          <w:lang w:val="en-CA"/>
        </w:rPr>
        <w:fldChar w:fldCharType="end"/>
      </w:r>
      <w:r w:rsidRPr="005A25C1">
        <w:rPr>
          <w:rFonts w:cs="Arial"/>
        </w:rPr>
        <w:t xml:space="preserve"> at</w:t>
      </w:r>
      <w:r w:rsidRPr="005A25C1">
        <w:t xml:space="preserve"> paras. 163 and 169; </w:t>
      </w:r>
      <w:r w:rsidRPr="005A25C1">
        <w:rPr>
          <w:i/>
          <w:iCs/>
        </w:rPr>
        <w:t>Commission des droits de la personne et des droits de la jeunesse (Ducas) c. Ville de Repentigny (Service de police de la Ville de Repentigny)</w:t>
      </w:r>
      <w:r w:rsidRPr="005A25C1">
        <w:t xml:space="preserve">, 2022 QCTDP 14 at paras. </w:t>
      </w:r>
      <w:r w:rsidRPr="002F6CBB">
        <w:rPr>
          <w:lang w:val="en-CA"/>
        </w:rPr>
        <w:t xml:space="preserve">107–108; </w:t>
      </w:r>
      <w:r w:rsidRPr="002F6CBB">
        <w:rPr>
          <w:i/>
          <w:iCs/>
          <w:lang w:val="en-CA"/>
        </w:rPr>
        <w:t xml:space="preserve">Dowd c. Lemay-Terriault, </w:t>
      </w:r>
      <w:r w:rsidRPr="002F6CBB">
        <w:rPr>
          <w:lang w:val="en-CA"/>
        </w:rPr>
        <w:t xml:space="preserve">2021 QCCQ 4884 at paras. 49–50; </w:t>
      </w:r>
      <w:r w:rsidRPr="002F6CBB">
        <w:rPr>
          <w:i/>
          <w:iCs/>
          <w:lang w:val="en-CA"/>
        </w:rPr>
        <w:t xml:space="preserve">Benoit c. Dowd, </w:t>
      </w:r>
      <w:r w:rsidRPr="002F6CBB">
        <w:rPr>
          <w:lang w:val="en-CA"/>
        </w:rPr>
        <w:t xml:space="preserve">2022 QCCQ 1528 at para. </w:t>
      </w:r>
      <w:r w:rsidRPr="005A25C1">
        <w:t xml:space="preserve">49; </w:t>
      </w:r>
      <w:r w:rsidRPr="005A25C1">
        <w:rPr>
          <w:i/>
        </w:rPr>
        <w:t>Charles</w:t>
      </w:r>
      <w:r w:rsidRPr="005A25C1">
        <w:t xml:space="preserve">, </w:t>
      </w:r>
      <w:r w:rsidRPr="005A25C1">
        <w:rPr>
          <w:i/>
          <w:iCs/>
        </w:rPr>
        <w:t>supra</w:t>
      </w:r>
      <w:r w:rsidRPr="005A25C1">
        <w:t xml:space="preserve"> note </w:t>
      </w:r>
      <w:r w:rsidRPr="002F6CBB">
        <w:rPr>
          <w:lang w:val="en-CA"/>
        </w:rPr>
        <w:fldChar w:fldCharType="begin"/>
      </w:r>
      <w:r w:rsidRPr="005A25C1">
        <w:instrText xml:space="preserve"> NOTEREF _Ref161832790 \h </w:instrText>
      </w:r>
      <w:r w:rsidRPr="002F6CBB">
        <w:rPr>
          <w:lang w:val="en-CA"/>
        </w:rPr>
      </w:r>
      <w:r w:rsidRPr="002F6CBB">
        <w:rPr>
          <w:lang w:val="en-CA"/>
        </w:rPr>
        <w:fldChar w:fldCharType="separate"/>
      </w:r>
      <w:r w:rsidR="00EC25EA">
        <w:t>44</w:t>
      </w:r>
      <w:r w:rsidRPr="002F6CBB">
        <w:rPr>
          <w:lang w:val="en-CA"/>
        </w:rPr>
        <w:fldChar w:fldCharType="end"/>
      </w:r>
      <w:r w:rsidRPr="005A25C1">
        <w:t xml:space="preserve"> at paras. 20</w:t>
      </w:r>
      <w:r w:rsidR="007D10EE">
        <w:t>–</w:t>
      </w:r>
      <w:r w:rsidRPr="005A25C1">
        <w:t xml:space="preserve">22 and 27; </w:t>
      </w:r>
      <w:r w:rsidRPr="005A25C1">
        <w:rPr>
          <w:i/>
          <w:iCs/>
        </w:rPr>
        <w:t>Debellefeuille, supra</w:t>
      </w:r>
      <w:r w:rsidRPr="005A25C1">
        <w:t xml:space="preserve"> note </w:t>
      </w:r>
      <w:r w:rsidRPr="002F6CBB">
        <w:rPr>
          <w:lang w:val="en-CA"/>
        </w:rPr>
        <w:fldChar w:fldCharType="begin"/>
      </w:r>
      <w:r w:rsidRPr="005A25C1">
        <w:instrText xml:space="preserve"> NOTEREF _Ref161832790 \h </w:instrText>
      </w:r>
      <w:r w:rsidRPr="002F6CBB">
        <w:rPr>
          <w:lang w:val="en-CA"/>
        </w:rPr>
      </w:r>
      <w:r w:rsidRPr="002F6CBB">
        <w:rPr>
          <w:lang w:val="en-CA"/>
        </w:rPr>
        <w:fldChar w:fldCharType="separate"/>
      </w:r>
      <w:r w:rsidR="00EC25EA">
        <w:t>44</w:t>
      </w:r>
      <w:r w:rsidRPr="002F6CBB">
        <w:rPr>
          <w:lang w:val="en-CA"/>
        </w:rPr>
        <w:fldChar w:fldCharType="end"/>
      </w:r>
      <w:r w:rsidRPr="005A25C1">
        <w:t xml:space="preserve"> at para. 272; </w:t>
      </w:r>
      <w:r w:rsidRPr="005A25C1">
        <w:rPr>
          <w:i/>
          <w:iCs/>
        </w:rPr>
        <w:t>Commissaire à la déontologie policière c. Lachance</w:t>
      </w:r>
      <w:r w:rsidRPr="005A25C1">
        <w:t xml:space="preserve">, 2022 QCCDP 31 at para. </w:t>
      </w:r>
      <w:r w:rsidRPr="002F6CBB">
        <w:rPr>
          <w:lang w:val="en-CA"/>
        </w:rPr>
        <w:t xml:space="preserve">104. </w:t>
      </w:r>
    </w:p>
  </w:footnote>
  <w:footnote w:id="48">
    <w:p w14:paraId="58492144" w14:textId="19170325" w:rsidR="00A157B1" w:rsidRPr="002F6CBB" w:rsidRDefault="00A157B1" w:rsidP="00A157B1">
      <w:pPr>
        <w:pStyle w:val="Notedebasdepage"/>
        <w:rPr>
          <w:lang w:val="en-CA"/>
        </w:rPr>
      </w:pPr>
      <w:r w:rsidRPr="002F6CBB">
        <w:rPr>
          <w:rStyle w:val="Appelnotedebasdep"/>
          <w:lang w:val="en-CA"/>
        </w:rPr>
        <w:footnoteRef/>
      </w:r>
      <w:r w:rsidRPr="002F6CBB">
        <w:rPr>
          <w:lang w:val="en-CA"/>
        </w:rPr>
        <w:tab/>
      </w:r>
      <w:r w:rsidR="007D10EE">
        <w:rPr>
          <w:lang w:val="en-CA"/>
        </w:rPr>
        <w:t>Unless</w:t>
      </w:r>
      <w:r w:rsidRPr="002F6CBB">
        <w:rPr>
          <w:lang w:val="en-CA"/>
        </w:rPr>
        <w:t xml:space="preserve"> the driver is </w:t>
      </w:r>
      <w:r w:rsidR="007D10EE">
        <w:rPr>
          <w:lang w:val="en-CA"/>
        </w:rPr>
        <w:t>perceived as</w:t>
      </w:r>
      <w:r w:rsidR="00D8092C">
        <w:rPr>
          <w:lang w:val="en-CA"/>
        </w:rPr>
        <w:t xml:space="preserve"> </w:t>
      </w:r>
      <w:r w:rsidRPr="002F6CBB">
        <w:rPr>
          <w:lang w:val="en-CA"/>
        </w:rPr>
        <w:t xml:space="preserve">a minor under the age of 16 </w:t>
      </w:r>
      <w:r w:rsidR="00D8092C">
        <w:rPr>
          <w:lang w:val="en-CA"/>
        </w:rPr>
        <w:t xml:space="preserve">since </w:t>
      </w:r>
      <w:r w:rsidRPr="002F6CBB">
        <w:rPr>
          <w:lang w:val="en-CA"/>
        </w:rPr>
        <w:t xml:space="preserve">section 10 of the </w:t>
      </w:r>
      <w:r w:rsidRPr="002F6CBB">
        <w:rPr>
          <w:i/>
          <w:iCs/>
          <w:lang w:val="en-CA"/>
        </w:rPr>
        <w:t>Charter</w:t>
      </w:r>
      <w:r w:rsidRPr="002F6CBB">
        <w:rPr>
          <w:lang w:val="en-CA"/>
        </w:rPr>
        <w:t xml:space="preserve"> prohibits discrimination based on age “e</w:t>
      </w:r>
      <w:r w:rsidRPr="002F6CBB">
        <w:rPr>
          <w:rFonts w:cs="Arial"/>
          <w:color w:val="000000"/>
          <w:lang w:val="en-CA"/>
        </w:rPr>
        <w:t>xcept as provided by law”</w:t>
      </w:r>
      <w:r w:rsidRPr="002F6CBB">
        <w:rPr>
          <w:lang w:val="en-CA"/>
        </w:rPr>
        <w:t>.</w:t>
      </w:r>
    </w:p>
  </w:footnote>
  <w:footnote w:id="49">
    <w:p w14:paraId="17532899" w14:textId="209FC930" w:rsidR="00A157B1" w:rsidRPr="002F6CBB" w:rsidRDefault="00A157B1" w:rsidP="00A157B1">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lang w:val="en-CA"/>
        </w:rPr>
        <w:t>Nyembwe</w:t>
      </w:r>
      <w:r w:rsidRPr="002F6CBB">
        <w:rPr>
          <w:iCs/>
          <w:lang w:val="en-CA"/>
        </w:rPr>
        <w:t xml:space="preserve">, </w:t>
      </w:r>
      <w:r w:rsidRPr="002F6CBB">
        <w:rPr>
          <w:i/>
          <w:iCs/>
          <w:lang w:val="en-CA"/>
        </w:rPr>
        <w:t>supra</w:t>
      </w:r>
      <w:r w:rsidRPr="002F6CBB">
        <w:rPr>
          <w:iCs/>
          <w:lang w:val="en-CA"/>
        </w:rPr>
        <w:t xml:space="preserve"> note </w:t>
      </w:r>
      <w:r w:rsidRPr="002F6CBB">
        <w:rPr>
          <w:iCs/>
          <w:lang w:val="en-CA"/>
        </w:rPr>
        <w:fldChar w:fldCharType="begin"/>
      </w:r>
      <w:r w:rsidRPr="002F6CBB">
        <w:rPr>
          <w:iCs/>
          <w:lang w:val="en-CA"/>
        </w:rPr>
        <w:instrText xml:space="preserve"> NOTEREF _Ref161823995 \h </w:instrText>
      </w:r>
      <w:r w:rsidRPr="002F6CBB">
        <w:rPr>
          <w:iCs/>
          <w:lang w:val="en-CA"/>
        </w:rPr>
      </w:r>
      <w:r w:rsidRPr="002F6CBB">
        <w:rPr>
          <w:iCs/>
          <w:lang w:val="en-CA"/>
        </w:rPr>
        <w:fldChar w:fldCharType="separate"/>
      </w:r>
      <w:r w:rsidR="00EC25EA">
        <w:rPr>
          <w:iCs/>
          <w:lang w:val="en-CA"/>
        </w:rPr>
        <w:t>18</w:t>
      </w:r>
      <w:r w:rsidRPr="002F6CBB">
        <w:rPr>
          <w:iCs/>
          <w:lang w:val="en-CA"/>
        </w:rPr>
        <w:fldChar w:fldCharType="end"/>
      </w:r>
      <w:r w:rsidRPr="002F6CBB">
        <w:rPr>
          <w:iCs/>
          <w:lang w:val="en-CA"/>
        </w:rPr>
        <w:t xml:space="preserve"> at</w:t>
      </w:r>
      <w:r w:rsidRPr="002F6CBB">
        <w:rPr>
          <w:lang w:val="en-CA"/>
        </w:rPr>
        <w:t xml:space="preserve"> paras. 469, 476, 479, 500, 502</w:t>
      </w:r>
      <w:r w:rsidR="00D8092C">
        <w:rPr>
          <w:lang w:val="en-CA"/>
        </w:rPr>
        <w:t>,</w:t>
      </w:r>
      <w:r w:rsidRPr="002F6CBB">
        <w:rPr>
          <w:lang w:val="en-CA"/>
        </w:rPr>
        <w:t xml:space="preserve"> and 505; </w:t>
      </w:r>
      <w:r w:rsidRPr="002F6CBB">
        <w:rPr>
          <w:i/>
          <w:iCs/>
          <w:lang w:val="en-CA"/>
        </w:rPr>
        <w:t>Baptiste</w:t>
      </w:r>
      <w:r w:rsidRPr="002F6CBB">
        <w:rPr>
          <w:lang w:val="en-CA"/>
        </w:rPr>
        <w:t xml:space="preserve">, </w:t>
      </w:r>
      <w:r w:rsidRPr="002F6CBB">
        <w:rPr>
          <w:i/>
          <w:iCs/>
          <w:lang w:val="en-CA"/>
        </w:rPr>
        <w:t>supra</w:t>
      </w:r>
      <w:r w:rsidRPr="002F6CBB">
        <w:rPr>
          <w:lang w:val="en-CA"/>
        </w:rPr>
        <w:t xml:space="preserve"> note </w:t>
      </w:r>
      <w:r w:rsidRPr="002F6CBB">
        <w:rPr>
          <w:lang w:val="en-CA"/>
        </w:rPr>
        <w:fldChar w:fldCharType="begin"/>
      </w:r>
      <w:r w:rsidRPr="002F6CBB">
        <w:rPr>
          <w:lang w:val="en-CA"/>
        </w:rPr>
        <w:instrText xml:space="preserve"> NOTEREF _Ref161832790 \h </w:instrText>
      </w:r>
      <w:r w:rsidRPr="002F6CBB">
        <w:rPr>
          <w:lang w:val="en-CA"/>
        </w:rPr>
      </w:r>
      <w:r w:rsidRPr="002F6CBB">
        <w:rPr>
          <w:lang w:val="en-CA"/>
        </w:rPr>
        <w:fldChar w:fldCharType="separate"/>
      </w:r>
      <w:r w:rsidR="00EC25EA">
        <w:rPr>
          <w:lang w:val="en-CA"/>
        </w:rPr>
        <w:t>44</w:t>
      </w:r>
      <w:r w:rsidRPr="002F6CBB">
        <w:rPr>
          <w:lang w:val="en-CA"/>
        </w:rPr>
        <w:fldChar w:fldCharType="end"/>
      </w:r>
      <w:r w:rsidRPr="002F6CBB">
        <w:rPr>
          <w:lang w:val="en-CA"/>
        </w:rPr>
        <w:t xml:space="preserve"> at paras. 1 and 36–39; </w:t>
      </w:r>
      <w:r w:rsidRPr="002F6CBB">
        <w:rPr>
          <w:i/>
          <w:lang w:val="en-CA"/>
        </w:rPr>
        <w:t>Charles</w:t>
      </w:r>
      <w:r w:rsidRPr="002F6CBB">
        <w:rPr>
          <w:lang w:val="en-CA"/>
        </w:rPr>
        <w:t xml:space="preserve">, </w:t>
      </w:r>
      <w:r w:rsidRPr="002F6CBB">
        <w:rPr>
          <w:i/>
          <w:iCs/>
          <w:lang w:val="en-CA"/>
        </w:rPr>
        <w:t>supra</w:t>
      </w:r>
      <w:r w:rsidRPr="002F6CBB">
        <w:rPr>
          <w:lang w:val="en-CA"/>
        </w:rPr>
        <w:t xml:space="preserve"> note </w:t>
      </w:r>
      <w:r w:rsidRPr="002F6CBB">
        <w:rPr>
          <w:lang w:val="en-CA"/>
        </w:rPr>
        <w:fldChar w:fldCharType="begin"/>
      </w:r>
      <w:r w:rsidRPr="002F6CBB">
        <w:rPr>
          <w:lang w:val="en-CA"/>
        </w:rPr>
        <w:instrText xml:space="preserve"> NOTEREF _Ref161832790 \h </w:instrText>
      </w:r>
      <w:r w:rsidRPr="002F6CBB">
        <w:rPr>
          <w:lang w:val="en-CA"/>
        </w:rPr>
      </w:r>
      <w:r w:rsidRPr="002F6CBB">
        <w:rPr>
          <w:lang w:val="en-CA"/>
        </w:rPr>
        <w:fldChar w:fldCharType="separate"/>
      </w:r>
      <w:r w:rsidR="00EC25EA">
        <w:rPr>
          <w:lang w:val="en-CA"/>
        </w:rPr>
        <w:t>44</w:t>
      </w:r>
      <w:r w:rsidRPr="002F6CBB">
        <w:rPr>
          <w:lang w:val="en-CA"/>
        </w:rPr>
        <w:fldChar w:fldCharType="end"/>
      </w:r>
      <w:r w:rsidRPr="002F6CBB">
        <w:rPr>
          <w:lang w:val="en-CA"/>
        </w:rPr>
        <w:t xml:space="preserve"> at paras. 9, 10</w:t>
      </w:r>
      <w:r w:rsidR="00D8092C">
        <w:rPr>
          <w:lang w:val="en-CA"/>
        </w:rPr>
        <w:t>,</w:t>
      </w:r>
      <w:r w:rsidRPr="002F6CBB">
        <w:rPr>
          <w:lang w:val="en-CA"/>
        </w:rPr>
        <w:t xml:space="preserve"> and 16.</w:t>
      </w:r>
    </w:p>
  </w:footnote>
  <w:footnote w:id="50">
    <w:p w14:paraId="6235BF5A" w14:textId="4541FE2D" w:rsidR="00A157B1" w:rsidRPr="002F6CBB" w:rsidRDefault="00A157B1" w:rsidP="00A157B1">
      <w:pPr>
        <w:pStyle w:val="Notedebasdepage"/>
        <w:rPr>
          <w:lang w:val="en-CA"/>
        </w:rPr>
      </w:pPr>
      <w:r w:rsidRPr="002F6CBB">
        <w:rPr>
          <w:rStyle w:val="Appelnotedebasdep"/>
          <w:lang w:val="en-CA"/>
        </w:rPr>
        <w:footnoteRef/>
      </w:r>
      <w:r w:rsidRPr="002F6CBB">
        <w:rPr>
          <w:lang w:val="en-CA"/>
        </w:rPr>
        <w:t xml:space="preserve"> </w:t>
      </w:r>
      <w:r w:rsidRPr="002F6CBB">
        <w:rPr>
          <w:lang w:val="en-CA"/>
        </w:rPr>
        <w:tab/>
        <w:t>Exhibit D-20, Statement of offence 0 413 746 692 and abridged offence report, statement of offence 0</w:t>
      </w:r>
      <w:r w:rsidR="00D8092C">
        <w:rPr>
          <w:lang w:val="en-CA"/>
        </w:rPr>
        <w:t> </w:t>
      </w:r>
      <w:r w:rsidRPr="002F6CBB">
        <w:rPr>
          <w:lang w:val="en-CA"/>
        </w:rPr>
        <w:t>413 746 709 and abridged offence report</w:t>
      </w:r>
      <w:r w:rsidR="00D248B7">
        <w:rPr>
          <w:lang w:val="en-CA"/>
        </w:rPr>
        <w:t>,</w:t>
      </w:r>
      <w:r w:rsidRPr="002F6CBB">
        <w:rPr>
          <w:lang w:val="en-CA"/>
        </w:rPr>
        <w:t xml:space="preserve"> and statement of offence 0 413 746 736 </w:t>
      </w:r>
      <w:r w:rsidR="00D8092C">
        <w:rPr>
          <w:lang w:val="en-CA"/>
        </w:rPr>
        <w:t xml:space="preserve">and </w:t>
      </w:r>
      <w:r w:rsidRPr="002F6CBB">
        <w:rPr>
          <w:lang w:val="en-CA"/>
        </w:rPr>
        <w:t xml:space="preserve">abridged offence report of the </w:t>
      </w:r>
      <w:r w:rsidR="00D8092C">
        <w:rPr>
          <w:lang w:val="en-CA"/>
        </w:rPr>
        <w:t>Ville de</w:t>
      </w:r>
      <w:r w:rsidRPr="002F6CBB">
        <w:rPr>
          <w:lang w:val="en-CA"/>
        </w:rPr>
        <w:t xml:space="preserve"> Laval </w:t>
      </w:r>
      <w:r w:rsidR="00D8092C">
        <w:rPr>
          <w:lang w:val="en-CA"/>
        </w:rPr>
        <w:t>dated</w:t>
      </w:r>
      <w:r w:rsidRPr="002F6CBB">
        <w:rPr>
          <w:lang w:val="en-CA"/>
        </w:rPr>
        <w:t xml:space="preserve"> September 19, 2018 (</w:t>
      </w:r>
      <w:r w:rsidRPr="00D849E0">
        <w:rPr>
          <w:i/>
          <w:iCs/>
          <w:lang w:val="en-CA"/>
        </w:rPr>
        <w:t>en liasse</w:t>
      </w:r>
      <w:r w:rsidRPr="002F6CBB">
        <w:rPr>
          <w:lang w:val="en-CA"/>
        </w:rPr>
        <w:t>).</w:t>
      </w:r>
    </w:p>
  </w:footnote>
  <w:footnote w:id="51">
    <w:p w14:paraId="3076CCDF" w14:textId="2B60CD1B" w:rsidR="00975236" w:rsidRPr="002F6CBB" w:rsidRDefault="00975236" w:rsidP="00975236">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Exhibit D-22, </w:t>
      </w:r>
      <w:r w:rsidR="00FF618C">
        <w:rPr>
          <w:lang w:val="en-CA"/>
        </w:rPr>
        <w:t>A</w:t>
      </w:r>
      <w:r w:rsidRPr="002F6CBB">
        <w:rPr>
          <w:lang w:val="en-CA"/>
        </w:rPr>
        <w:t>mended police ethics complaint by Jonathan Woodley, dated April 24, 2019.</w:t>
      </w:r>
    </w:p>
  </w:footnote>
  <w:footnote w:id="52">
    <w:p w14:paraId="5AE6664E" w14:textId="61E2904D" w:rsidR="000A5AAF" w:rsidRPr="002F6CBB" w:rsidRDefault="000A5AAF" w:rsidP="000A5AAF">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Exhibit D-28B, Inquiries by Officers Beaulac and Lamothe with the </w:t>
      </w:r>
      <w:r w:rsidR="004B17FF">
        <w:rPr>
          <w:i/>
          <w:iCs/>
          <w:lang w:val="en-CA"/>
        </w:rPr>
        <w:t>Québec Police Intelligence Centre</w:t>
      </w:r>
      <w:r w:rsidRPr="002F6CBB">
        <w:rPr>
          <w:lang w:val="en-CA"/>
        </w:rPr>
        <w:t xml:space="preserve"> (</w:t>
      </w:r>
      <w:r w:rsidR="00EE21D1">
        <w:rPr>
          <w:lang w:val="en-CA"/>
        </w:rPr>
        <w:t>QPIC</w:t>
      </w:r>
      <w:r w:rsidRPr="002F6CBB">
        <w:rPr>
          <w:lang w:val="en-CA"/>
        </w:rPr>
        <w:t>) on September 19, 2018, between 10:32:17 a.m. and 10:52:08 a.m. (sealed).</w:t>
      </w:r>
    </w:p>
  </w:footnote>
  <w:footnote w:id="53">
    <w:p w14:paraId="7CA721E2" w14:textId="77777777" w:rsidR="000A5AAF" w:rsidRPr="002F6CBB" w:rsidRDefault="000A5AAF" w:rsidP="000A5AAF">
      <w:pPr>
        <w:pStyle w:val="Notedebasdepage"/>
        <w:rPr>
          <w:lang w:val="en-CA"/>
        </w:rPr>
      </w:pPr>
      <w:r w:rsidRPr="002F6CBB">
        <w:rPr>
          <w:rStyle w:val="Appelnotedebasdep"/>
          <w:lang w:val="en-CA"/>
        </w:rPr>
        <w:footnoteRef/>
      </w:r>
      <w:r w:rsidRPr="002F6CBB">
        <w:rPr>
          <w:lang w:val="en-CA"/>
        </w:rPr>
        <w:t xml:space="preserve"> </w:t>
      </w:r>
      <w:r w:rsidRPr="002F6CBB">
        <w:rPr>
          <w:lang w:val="en-CA"/>
        </w:rPr>
        <w:tab/>
        <w:t>Exhibit P-12, Affidavit of Stéphanie Mucci and three photos of the vehicle; Exhibit D-29, Affidavit of Charles Laurin, dated April 5, 2023, and three (3) photos of the vehicle.</w:t>
      </w:r>
    </w:p>
  </w:footnote>
  <w:footnote w:id="54">
    <w:p w14:paraId="56E7FEFB" w14:textId="3FD219D4" w:rsidR="000A5AAF" w:rsidRPr="002F6CBB" w:rsidRDefault="000A5AAF" w:rsidP="000A5AAF">
      <w:pPr>
        <w:pStyle w:val="Notedebasdepage"/>
        <w:rPr>
          <w:lang w:val="en-CA"/>
        </w:rPr>
      </w:pPr>
      <w:r w:rsidRPr="002F6CBB">
        <w:rPr>
          <w:rStyle w:val="Appelnotedebasdep"/>
          <w:lang w:val="en-CA"/>
        </w:rPr>
        <w:footnoteRef/>
      </w:r>
      <w:r w:rsidRPr="00CA2E45">
        <w:rPr>
          <w:lang w:val="es-CL"/>
        </w:rPr>
        <w:t xml:space="preserve"> </w:t>
      </w:r>
      <w:r w:rsidRPr="00CA2E45">
        <w:rPr>
          <w:lang w:val="es-CL"/>
        </w:rPr>
        <w:tab/>
      </w:r>
      <w:r w:rsidRPr="00CA2E45">
        <w:rPr>
          <w:i/>
          <w:iCs/>
          <w:lang w:val="es-CL"/>
        </w:rPr>
        <w:t>Baptiste</w:t>
      </w:r>
      <w:r w:rsidRPr="00CA2E45">
        <w:rPr>
          <w:lang w:val="es-CL"/>
        </w:rPr>
        <w:t xml:space="preserve">, </w:t>
      </w:r>
      <w:r w:rsidRPr="00CA2E45">
        <w:rPr>
          <w:i/>
          <w:iCs/>
          <w:lang w:val="es-CL"/>
        </w:rPr>
        <w:t>supra</w:t>
      </w:r>
      <w:r w:rsidRPr="00CA2E45">
        <w:rPr>
          <w:lang w:val="es-CL"/>
        </w:rPr>
        <w:t xml:space="preserve"> note </w:t>
      </w:r>
      <w:r w:rsidRPr="002F6CBB">
        <w:rPr>
          <w:lang w:val="en-CA"/>
        </w:rPr>
        <w:fldChar w:fldCharType="begin"/>
      </w:r>
      <w:r w:rsidRPr="003B5F08">
        <w:rPr>
          <w:lang w:val="es-CL"/>
        </w:rPr>
        <w:instrText xml:space="preserve"> NOTEREF _Ref161832790 \h </w:instrText>
      </w:r>
      <w:r w:rsidRPr="002F6CBB">
        <w:rPr>
          <w:lang w:val="en-CA"/>
        </w:rPr>
      </w:r>
      <w:r w:rsidRPr="002F6CBB">
        <w:rPr>
          <w:lang w:val="en-CA"/>
        </w:rPr>
        <w:fldChar w:fldCharType="separate"/>
      </w:r>
      <w:r w:rsidR="000F1A75" w:rsidRPr="003B5F08">
        <w:rPr>
          <w:lang w:val="es-CL"/>
        </w:rPr>
        <w:t>44</w:t>
      </w:r>
      <w:r w:rsidRPr="002F6CBB">
        <w:rPr>
          <w:lang w:val="en-CA"/>
        </w:rPr>
        <w:fldChar w:fldCharType="end"/>
      </w:r>
      <w:r w:rsidRPr="003B5F08">
        <w:rPr>
          <w:lang w:val="es-CL"/>
        </w:rPr>
        <w:t xml:space="preserve"> </w:t>
      </w:r>
      <w:r w:rsidRPr="00CA2E45">
        <w:rPr>
          <w:lang w:val="es-CL"/>
        </w:rPr>
        <w:t xml:space="preserve">at para. </w:t>
      </w:r>
      <w:r w:rsidRPr="002F6CBB">
        <w:rPr>
          <w:lang w:val="en-CA"/>
        </w:rPr>
        <w:t>23.</w:t>
      </w:r>
    </w:p>
  </w:footnote>
  <w:footnote w:id="55">
    <w:p w14:paraId="31604FB4" w14:textId="05C1F7BC" w:rsidR="00BC00C9" w:rsidRPr="002F6CBB" w:rsidRDefault="00BC00C9" w:rsidP="00BC00C9">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Defendants’ </w:t>
      </w:r>
      <w:r w:rsidR="00FE47CB">
        <w:rPr>
          <w:lang w:val="en-CA"/>
        </w:rPr>
        <w:t>factum</w:t>
      </w:r>
      <w:r w:rsidRPr="002F6CBB">
        <w:rPr>
          <w:lang w:val="en-CA"/>
        </w:rPr>
        <w:t>, February 3, 2022, at para. 32.</w:t>
      </w:r>
    </w:p>
  </w:footnote>
  <w:footnote w:id="56">
    <w:p w14:paraId="0E2FD7C5" w14:textId="382E013D" w:rsidR="00BC00C9" w:rsidRPr="000D5624" w:rsidRDefault="00BC00C9" w:rsidP="00BC00C9">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Exhibit D-26, Excerpt </w:t>
      </w:r>
      <w:r w:rsidR="00FD078D">
        <w:rPr>
          <w:lang w:val="en-CA"/>
        </w:rPr>
        <w:t>from</w:t>
      </w:r>
      <w:r w:rsidRPr="002F6CBB">
        <w:rPr>
          <w:lang w:val="en-CA"/>
        </w:rPr>
        <w:t xml:space="preserve"> radio calls o</w:t>
      </w:r>
      <w:r w:rsidR="000D5624">
        <w:rPr>
          <w:lang w:val="en-CA"/>
        </w:rPr>
        <w:t>n</w:t>
      </w:r>
      <w:r w:rsidRPr="002F6CBB">
        <w:rPr>
          <w:lang w:val="en-CA"/>
        </w:rPr>
        <w:t xml:space="preserve"> September 19, 2018, </w:t>
      </w:r>
      <w:r w:rsidR="00B268AD">
        <w:rPr>
          <w:lang w:val="en-CA"/>
        </w:rPr>
        <w:t xml:space="preserve">by </w:t>
      </w:r>
      <w:r w:rsidRPr="002F6CBB">
        <w:rPr>
          <w:lang w:val="en-CA"/>
        </w:rPr>
        <w:t xml:space="preserve">the Laval </w:t>
      </w:r>
      <w:r w:rsidR="00B268AD">
        <w:rPr>
          <w:lang w:val="en-CA"/>
        </w:rPr>
        <w:t>p</w:t>
      </w:r>
      <w:r w:rsidR="002F6CBB">
        <w:rPr>
          <w:lang w:val="en-CA"/>
        </w:rPr>
        <w:t>olice</w:t>
      </w:r>
      <w:r w:rsidR="00B268AD">
        <w:rPr>
          <w:lang w:val="en-CA"/>
        </w:rPr>
        <w:t xml:space="preserve"> f</w:t>
      </w:r>
      <w:r w:rsidR="002F6CBB">
        <w:rPr>
          <w:lang w:val="en-CA"/>
        </w:rPr>
        <w:t xml:space="preserve">orce </w:t>
      </w:r>
      <w:r w:rsidRPr="002F6CBB">
        <w:rPr>
          <w:lang w:val="en-CA"/>
        </w:rPr>
        <w:t>from 10:35:49 a.m. to 10:40:01 a.m. (USB key).</w:t>
      </w:r>
    </w:p>
  </w:footnote>
  <w:footnote w:id="57">
    <w:p w14:paraId="1964A86E" w14:textId="77777777" w:rsidR="009E7AEC" w:rsidRPr="002F6CBB" w:rsidRDefault="009E7AEC" w:rsidP="009E7AEC">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 xml:space="preserve">R. v. Grant, </w:t>
      </w:r>
      <w:r w:rsidRPr="002F6CBB">
        <w:rPr>
          <w:lang w:val="en-CA"/>
        </w:rPr>
        <w:t>2009 SCC 32 at</w:t>
      </w:r>
      <w:r w:rsidRPr="002F6CBB">
        <w:rPr>
          <w:i/>
          <w:iCs/>
          <w:lang w:val="en-CA"/>
        </w:rPr>
        <w:t xml:space="preserve"> </w:t>
      </w:r>
      <w:r w:rsidRPr="002F6CBB">
        <w:rPr>
          <w:lang w:val="en-CA"/>
        </w:rPr>
        <w:t>para. 25.</w:t>
      </w:r>
    </w:p>
  </w:footnote>
  <w:footnote w:id="58">
    <w:p w14:paraId="50EE536D" w14:textId="77777777" w:rsidR="009E7AEC" w:rsidRPr="002F6CBB" w:rsidRDefault="009E7AEC" w:rsidP="009E7AEC">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R. v. Ladouceur,</w:t>
      </w:r>
      <w:r w:rsidRPr="002F6CBB">
        <w:rPr>
          <w:lang w:val="en-CA"/>
        </w:rPr>
        <w:t xml:space="preserve"> [1990] 1 SCR 1257.</w:t>
      </w:r>
    </w:p>
  </w:footnote>
  <w:footnote w:id="59">
    <w:p w14:paraId="37BB395A" w14:textId="629B80E0" w:rsidR="009E7AEC" w:rsidRPr="002F6CBB" w:rsidRDefault="009E7AEC" w:rsidP="009E7AEC">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See also </w:t>
      </w:r>
      <w:r w:rsidRPr="002F6CBB">
        <w:rPr>
          <w:rFonts w:cs="Arial"/>
          <w:i/>
          <w:iCs/>
          <w:lang w:val="en-CA"/>
        </w:rPr>
        <w:t>DeBellefeuille</w:t>
      </w:r>
      <w:r w:rsidRPr="002F6CBB">
        <w:rPr>
          <w:rFonts w:cs="Arial"/>
          <w:lang w:val="en-CA"/>
        </w:rPr>
        <w:t xml:space="preserve">, </w:t>
      </w:r>
      <w:r w:rsidRPr="002F6CBB">
        <w:rPr>
          <w:rFonts w:cs="Arial"/>
          <w:i/>
          <w:iCs/>
          <w:lang w:val="en-CA"/>
        </w:rPr>
        <w:t>supra</w:t>
      </w:r>
      <w:r w:rsidRPr="002F6CBB">
        <w:rPr>
          <w:rFonts w:cs="Arial"/>
          <w:lang w:val="en-CA"/>
        </w:rPr>
        <w:t xml:space="preserve"> note </w:t>
      </w:r>
      <w:r w:rsidRPr="002F6CBB">
        <w:rPr>
          <w:rFonts w:cs="Arial"/>
          <w:lang w:val="en-CA"/>
        </w:rPr>
        <w:fldChar w:fldCharType="begin"/>
      </w:r>
      <w:r w:rsidRPr="002F6CBB">
        <w:rPr>
          <w:rFonts w:cs="Arial"/>
          <w:lang w:val="en-CA"/>
        </w:rPr>
        <w:instrText xml:space="preserve"> NOTEREF _Ref161821529 \h  \* MERGEFORMAT </w:instrText>
      </w:r>
      <w:r w:rsidRPr="002F6CBB">
        <w:rPr>
          <w:rFonts w:cs="Arial"/>
          <w:lang w:val="en-CA"/>
        </w:rPr>
      </w:r>
      <w:r w:rsidRPr="002F6CBB">
        <w:rPr>
          <w:rFonts w:cs="Arial"/>
          <w:lang w:val="en-CA"/>
        </w:rPr>
        <w:fldChar w:fldCharType="separate"/>
      </w:r>
      <w:r w:rsidR="00EC25EA">
        <w:rPr>
          <w:rFonts w:cs="Arial"/>
          <w:lang w:val="en-CA"/>
        </w:rPr>
        <w:t>14</w:t>
      </w:r>
      <w:r w:rsidRPr="002F6CBB">
        <w:rPr>
          <w:rFonts w:cs="Arial"/>
          <w:lang w:val="en-CA"/>
        </w:rPr>
        <w:fldChar w:fldCharType="end"/>
      </w:r>
      <w:r w:rsidRPr="002F6CBB">
        <w:rPr>
          <w:rFonts w:cs="Arial"/>
          <w:lang w:val="en-CA"/>
        </w:rPr>
        <w:t xml:space="preserve"> at</w:t>
      </w:r>
      <w:r w:rsidRPr="002F6CBB">
        <w:rPr>
          <w:lang w:val="en-CA"/>
        </w:rPr>
        <w:t xml:space="preserve"> paras. 193–197 and </w:t>
      </w:r>
      <w:r w:rsidRPr="002F6CBB">
        <w:rPr>
          <w:i/>
          <w:iCs/>
          <w:lang w:val="en-CA"/>
        </w:rPr>
        <w:t>Luamba c. Procureur général du Québec</w:t>
      </w:r>
      <w:r w:rsidRPr="002F6CBB">
        <w:rPr>
          <w:lang w:val="en-CA"/>
        </w:rPr>
        <w:t>, 2022 QCCS 3866 (notice of appeal, CA, 2022-11-30, 500-09-030301-220, under advisement since February 6, 2024).</w:t>
      </w:r>
    </w:p>
  </w:footnote>
  <w:footnote w:id="60">
    <w:p w14:paraId="634B7A12" w14:textId="19B5FFC8" w:rsidR="009E7AEC" w:rsidRPr="002F6CBB" w:rsidRDefault="009E7AEC" w:rsidP="009E7AEC">
      <w:pPr>
        <w:pStyle w:val="Notedebasdepage"/>
        <w:rPr>
          <w:lang w:val="en-CA"/>
        </w:rPr>
      </w:pPr>
      <w:r w:rsidRPr="002F6CBB">
        <w:rPr>
          <w:rStyle w:val="Appelnotedebasdep"/>
          <w:lang w:val="en-CA"/>
        </w:rPr>
        <w:footnoteRef/>
      </w:r>
      <w:r w:rsidRPr="002F6CBB">
        <w:rPr>
          <w:lang w:val="en-CA"/>
        </w:rPr>
        <w:t xml:space="preserve"> </w:t>
      </w:r>
      <w:r w:rsidRPr="002F6CBB">
        <w:rPr>
          <w:lang w:val="en-CA"/>
        </w:rPr>
        <w:tab/>
        <w:t xml:space="preserve">Exhibit D-28B, </w:t>
      </w:r>
      <w:r w:rsidRPr="002F6CBB">
        <w:rPr>
          <w:i/>
          <w:iCs/>
          <w:lang w:val="en-CA"/>
        </w:rPr>
        <w:t>supra</w:t>
      </w:r>
      <w:r w:rsidRPr="002F6CBB">
        <w:rPr>
          <w:lang w:val="en-CA"/>
        </w:rPr>
        <w:t xml:space="preserve"> note </w:t>
      </w:r>
      <w:r w:rsidRPr="002F6CBB">
        <w:rPr>
          <w:lang w:val="en-CA"/>
        </w:rPr>
        <w:fldChar w:fldCharType="begin"/>
      </w:r>
      <w:r w:rsidRPr="002F6CBB">
        <w:rPr>
          <w:lang w:val="en-CA"/>
        </w:rPr>
        <w:instrText xml:space="preserve"> NOTEREF _Ref161750470 \h  \* MERGEFORMAT </w:instrText>
      </w:r>
      <w:r w:rsidRPr="002F6CBB">
        <w:rPr>
          <w:lang w:val="en-CA"/>
        </w:rPr>
      </w:r>
      <w:r w:rsidRPr="002F6CBB">
        <w:rPr>
          <w:lang w:val="en-CA"/>
        </w:rPr>
        <w:fldChar w:fldCharType="separate"/>
      </w:r>
      <w:r w:rsidR="00EC25EA">
        <w:rPr>
          <w:lang w:val="en-CA"/>
        </w:rPr>
        <w:t>3</w:t>
      </w:r>
      <w:r w:rsidRPr="002F6CBB">
        <w:rPr>
          <w:lang w:val="en-CA"/>
        </w:rPr>
        <w:fldChar w:fldCharType="end"/>
      </w:r>
      <w:r w:rsidRPr="002F6CBB">
        <w:rPr>
          <w:lang w:val="en-CA"/>
        </w:rPr>
        <w:t xml:space="preserve"> at 10:43:02, 10:43:07</w:t>
      </w:r>
      <w:r w:rsidR="00ED7FDF">
        <w:rPr>
          <w:lang w:val="en-CA"/>
        </w:rPr>
        <w:t>,</w:t>
      </w:r>
      <w:r w:rsidRPr="002F6CBB">
        <w:rPr>
          <w:lang w:val="en-CA"/>
        </w:rPr>
        <w:t xml:space="preserve"> and 10:44:16.</w:t>
      </w:r>
    </w:p>
  </w:footnote>
  <w:footnote w:id="61">
    <w:p w14:paraId="746886BB" w14:textId="20E8E9FF" w:rsidR="009E7AEC" w:rsidRPr="002F6CBB" w:rsidRDefault="009E7AEC" w:rsidP="009E7AEC">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rFonts w:cs="Arial"/>
          <w:i/>
          <w:lang w:val="en-CA" w:eastAsia="fr-CA"/>
        </w:rPr>
        <w:t>Rezko</w:t>
      </w:r>
      <w:r w:rsidRPr="002F6CBB">
        <w:rPr>
          <w:rFonts w:cs="Arial"/>
          <w:iCs/>
          <w:lang w:val="en-CA" w:eastAsia="fr-CA"/>
        </w:rPr>
        <w:t xml:space="preserve">, </w:t>
      </w:r>
      <w:r w:rsidRPr="002F6CBB">
        <w:rPr>
          <w:rFonts w:cs="Arial"/>
          <w:i/>
          <w:iCs/>
          <w:lang w:val="en-CA" w:eastAsia="fr-CA"/>
        </w:rPr>
        <w:t>supra</w:t>
      </w:r>
      <w:r w:rsidRPr="002F6CBB">
        <w:rPr>
          <w:rFonts w:cs="Arial"/>
          <w:iCs/>
          <w:lang w:val="en-CA" w:eastAsia="fr-CA"/>
        </w:rPr>
        <w:t xml:space="preserve"> note </w:t>
      </w:r>
      <w:r w:rsidRPr="002F6CBB">
        <w:rPr>
          <w:rFonts w:cs="Arial"/>
          <w:iCs/>
          <w:lang w:val="en-CA" w:eastAsia="fr-CA"/>
        </w:rPr>
        <w:fldChar w:fldCharType="begin"/>
      </w:r>
      <w:r w:rsidRPr="002F6CBB">
        <w:rPr>
          <w:rFonts w:cs="Arial"/>
          <w:iCs/>
          <w:lang w:val="en-CA" w:eastAsia="fr-CA"/>
        </w:rPr>
        <w:instrText xml:space="preserve"> NOTEREF _Ref161821961 \h  \* MERGEFORMAT </w:instrText>
      </w:r>
      <w:r w:rsidRPr="002F6CBB">
        <w:rPr>
          <w:rFonts w:cs="Arial"/>
          <w:iCs/>
          <w:lang w:val="en-CA" w:eastAsia="fr-CA"/>
        </w:rPr>
      </w:r>
      <w:r w:rsidRPr="002F6CBB">
        <w:rPr>
          <w:rFonts w:cs="Arial"/>
          <w:iCs/>
          <w:lang w:val="en-CA" w:eastAsia="fr-CA"/>
        </w:rPr>
        <w:fldChar w:fldCharType="separate"/>
      </w:r>
      <w:r w:rsidR="00EC25EA">
        <w:rPr>
          <w:rFonts w:cs="Arial"/>
          <w:iCs/>
          <w:lang w:val="en-CA" w:eastAsia="fr-CA"/>
        </w:rPr>
        <w:t>17</w:t>
      </w:r>
      <w:r w:rsidRPr="002F6CBB">
        <w:rPr>
          <w:rFonts w:cs="Arial"/>
          <w:iCs/>
          <w:lang w:val="en-CA" w:eastAsia="fr-CA"/>
        </w:rPr>
        <w:fldChar w:fldCharType="end"/>
      </w:r>
      <w:r w:rsidRPr="002F6CBB">
        <w:rPr>
          <w:rFonts w:cs="Arial"/>
          <w:iCs/>
          <w:lang w:val="en-CA" w:eastAsia="fr-CA"/>
        </w:rPr>
        <w:t xml:space="preserve"> at</w:t>
      </w:r>
      <w:r w:rsidRPr="002F6CBB">
        <w:rPr>
          <w:lang w:val="en-CA"/>
        </w:rPr>
        <w:t xml:space="preserve"> paras. 183 and 254–255.</w:t>
      </w:r>
    </w:p>
  </w:footnote>
  <w:footnote w:id="62">
    <w:p w14:paraId="0E817890" w14:textId="3209E557" w:rsidR="009E7AEC" w:rsidRPr="002F6CBB" w:rsidRDefault="009E7AEC" w:rsidP="009E7AEC">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lang w:val="en-CA"/>
        </w:rPr>
        <w:t>Nyembwe</w:t>
      </w:r>
      <w:r w:rsidRPr="002F6CBB">
        <w:rPr>
          <w:iCs/>
          <w:lang w:val="en-CA"/>
        </w:rPr>
        <w:t xml:space="preserve">, </w:t>
      </w:r>
      <w:r w:rsidRPr="002F6CBB">
        <w:rPr>
          <w:i/>
          <w:iCs/>
          <w:lang w:val="en-CA"/>
        </w:rPr>
        <w:t>supra</w:t>
      </w:r>
      <w:r w:rsidRPr="002F6CBB">
        <w:rPr>
          <w:iCs/>
          <w:lang w:val="en-CA"/>
        </w:rPr>
        <w:t xml:space="preserve"> note </w:t>
      </w:r>
      <w:r w:rsidRPr="002F6CBB">
        <w:rPr>
          <w:iCs/>
          <w:lang w:val="en-CA"/>
        </w:rPr>
        <w:fldChar w:fldCharType="begin"/>
      </w:r>
      <w:r w:rsidRPr="002F6CBB">
        <w:rPr>
          <w:iCs/>
          <w:lang w:val="en-CA"/>
        </w:rPr>
        <w:instrText xml:space="preserve"> NOTEREF _Ref161823995 \h </w:instrText>
      </w:r>
      <w:r w:rsidRPr="002F6CBB">
        <w:rPr>
          <w:iCs/>
          <w:lang w:val="en-CA"/>
        </w:rPr>
      </w:r>
      <w:r w:rsidRPr="002F6CBB">
        <w:rPr>
          <w:iCs/>
          <w:lang w:val="en-CA"/>
        </w:rPr>
        <w:fldChar w:fldCharType="separate"/>
      </w:r>
      <w:r w:rsidR="00EC25EA">
        <w:rPr>
          <w:iCs/>
          <w:lang w:val="en-CA"/>
        </w:rPr>
        <w:t>18</w:t>
      </w:r>
      <w:r w:rsidRPr="002F6CBB">
        <w:rPr>
          <w:iCs/>
          <w:lang w:val="en-CA"/>
        </w:rPr>
        <w:fldChar w:fldCharType="end"/>
      </w:r>
      <w:r w:rsidRPr="002F6CBB">
        <w:rPr>
          <w:iCs/>
          <w:lang w:val="en-CA"/>
        </w:rPr>
        <w:t xml:space="preserve"> at</w:t>
      </w:r>
      <w:r w:rsidRPr="002F6CBB">
        <w:rPr>
          <w:lang w:val="en-CA"/>
        </w:rPr>
        <w:t xml:space="preserve"> paras. 480–481 and 506.</w:t>
      </w:r>
    </w:p>
  </w:footnote>
  <w:footnote w:id="63">
    <w:p w14:paraId="0A18639A" w14:textId="675A878E" w:rsidR="009E7AEC" w:rsidRPr="003B5F08" w:rsidRDefault="009E7AEC" w:rsidP="009E7AEC">
      <w:pPr>
        <w:pStyle w:val="Notedebasdepage"/>
        <w:rPr>
          <w:lang w:val="es-CL"/>
        </w:rPr>
      </w:pPr>
      <w:r w:rsidRPr="002F6CBB">
        <w:rPr>
          <w:rStyle w:val="Appelnotedebasdep"/>
          <w:lang w:val="en-CA"/>
        </w:rPr>
        <w:footnoteRef/>
      </w:r>
      <w:r w:rsidRPr="00CA2E45">
        <w:rPr>
          <w:lang w:val="es-CL"/>
        </w:rPr>
        <w:t xml:space="preserve"> </w:t>
      </w:r>
      <w:r w:rsidRPr="00CA2E45">
        <w:rPr>
          <w:lang w:val="es-CL"/>
        </w:rPr>
        <w:tab/>
      </w:r>
      <w:r w:rsidRPr="00CA2E45">
        <w:rPr>
          <w:i/>
          <w:iCs/>
          <w:lang w:val="es-CL"/>
        </w:rPr>
        <w:t>Baptiste</w:t>
      </w:r>
      <w:r w:rsidRPr="00CA2E45">
        <w:rPr>
          <w:lang w:val="es-CL"/>
        </w:rPr>
        <w:t xml:space="preserve">, </w:t>
      </w:r>
      <w:r w:rsidRPr="00CA2E45">
        <w:rPr>
          <w:i/>
          <w:iCs/>
          <w:lang w:val="es-CL"/>
        </w:rPr>
        <w:t>supra</w:t>
      </w:r>
      <w:r w:rsidRPr="00CA2E45">
        <w:rPr>
          <w:lang w:val="es-CL"/>
        </w:rPr>
        <w:t xml:space="preserve"> note </w:t>
      </w:r>
      <w:r w:rsidRPr="002F6CBB">
        <w:rPr>
          <w:lang w:val="en-CA"/>
        </w:rPr>
        <w:fldChar w:fldCharType="begin"/>
      </w:r>
      <w:r w:rsidRPr="003B5F08">
        <w:rPr>
          <w:lang w:val="es-CL"/>
        </w:rPr>
        <w:instrText xml:space="preserve"> NOTEREF _Ref161832790 \h </w:instrText>
      </w:r>
      <w:r w:rsidRPr="002F6CBB">
        <w:rPr>
          <w:lang w:val="en-CA"/>
        </w:rPr>
      </w:r>
      <w:r w:rsidRPr="002F6CBB">
        <w:rPr>
          <w:lang w:val="en-CA"/>
        </w:rPr>
        <w:fldChar w:fldCharType="separate"/>
      </w:r>
      <w:r w:rsidR="000F1A75" w:rsidRPr="003B5F08">
        <w:rPr>
          <w:lang w:val="es-CL"/>
        </w:rPr>
        <w:t>44</w:t>
      </w:r>
      <w:r w:rsidRPr="002F6CBB">
        <w:rPr>
          <w:lang w:val="en-CA"/>
        </w:rPr>
        <w:fldChar w:fldCharType="end"/>
      </w:r>
      <w:r w:rsidRPr="003B5F08">
        <w:rPr>
          <w:lang w:val="es-CL"/>
        </w:rPr>
        <w:t xml:space="preserve">; </w:t>
      </w:r>
      <w:r w:rsidRPr="003B5F08">
        <w:rPr>
          <w:i/>
          <w:lang w:val="es-CL"/>
        </w:rPr>
        <w:t>Charles</w:t>
      </w:r>
      <w:r w:rsidRPr="003B5F08">
        <w:rPr>
          <w:lang w:val="es-CL"/>
        </w:rPr>
        <w:t xml:space="preserve">,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_Ref161832790 \h </w:instrText>
      </w:r>
      <w:r w:rsidRPr="002F6CBB">
        <w:rPr>
          <w:lang w:val="en-CA"/>
        </w:rPr>
      </w:r>
      <w:r w:rsidRPr="002F6CBB">
        <w:rPr>
          <w:lang w:val="en-CA"/>
        </w:rPr>
        <w:fldChar w:fldCharType="separate"/>
      </w:r>
      <w:r w:rsidR="000F1A75" w:rsidRPr="003B5F08">
        <w:rPr>
          <w:lang w:val="es-CL"/>
        </w:rPr>
        <w:t>44</w:t>
      </w:r>
      <w:r w:rsidRPr="002F6CBB">
        <w:rPr>
          <w:lang w:val="en-CA"/>
        </w:rPr>
        <w:fldChar w:fldCharType="end"/>
      </w:r>
      <w:r w:rsidRPr="003B5F08">
        <w:rPr>
          <w:lang w:val="es-CL"/>
        </w:rPr>
        <w:t>.</w:t>
      </w:r>
    </w:p>
  </w:footnote>
  <w:footnote w:id="64">
    <w:p w14:paraId="190C5948" w14:textId="170F40BC" w:rsidR="009E7AEC" w:rsidRPr="003B5F08" w:rsidRDefault="009E7AEC" w:rsidP="009E7AEC">
      <w:pPr>
        <w:pStyle w:val="Notedebasdepage"/>
        <w:rPr>
          <w:lang w:val="es-CL"/>
        </w:rPr>
      </w:pPr>
      <w:r w:rsidRPr="002F6CBB">
        <w:rPr>
          <w:rStyle w:val="Appelnotedebasdep"/>
          <w:lang w:val="en-CA"/>
        </w:rPr>
        <w:footnoteRef/>
      </w:r>
      <w:r w:rsidRPr="003B5F08">
        <w:rPr>
          <w:lang w:val="es-CL"/>
        </w:rPr>
        <w:t xml:space="preserve"> </w:t>
      </w:r>
      <w:r w:rsidRPr="003B5F08">
        <w:rPr>
          <w:lang w:val="es-CL"/>
        </w:rPr>
        <w:tab/>
      </w:r>
      <w:r w:rsidRPr="003B5F08">
        <w:rPr>
          <w:i/>
          <w:lang w:val="es-CL"/>
        </w:rPr>
        <w:t>Nyembwe</w:t>
      </w:r>
      <w:r w:rsidRPr="003B5F08">
        <w:rPr>
          <w:iCs/>
          <w:lang w:val="es-CL"/>
        </w:rPr>
        <w:t xml:space="preserve">, </w:t>
      </w:r>
      <w:r w:rsidRPr="003B5F08">
        <w:rPr>
          <w:i/>
          <w:iCs/>
          <w:lang w:val="es-CL"/>
        </w:rPr>
        <w:t>supra</w:t>
      </w:r>
      <w:r w:rsidRPr="003B5F08">
        <w:rPr>
          <w:iCs/>
          <w:lang w:val="es-CL"/>
        </w:rPr>
        <w:t xml:space="preserve"> note </w:t>
      </w:r>
      <w:r w:rsidRPr="002F6CBB">
        <w:rPr>
          <w:iCs/>
          <w:lang w:val="en-CA"/>
        </w:rPr>
        <w:fldChar w:fldCharType="begin"/>
      </w:r>
      <w:r w:rsidRPr="003B5F08">
        <w:rPr>
          <w:iCs/>
          <w:lang w:val="es-CL"/>
        </w:rPr>
        <w:instrText xml:space="preserve"> NOTEREF _Ref161823995 \h </w:instrText>
      </w:r>
      <w:r w:rsidRPr="002F6CBB">
        <w:rPr>
          <w:iCs/>
          <w:lang w:val="en-CA"/>
        </w:rPr>
      </w:r>
      <w:r w:rsidRPr="002F6CBB">
        <w:rPr>
          <w:iCs/>
          <w:lang w:val="en-CA"/>
        </w:rPr>
        <w:fldChar w:fldCharType="separate"/>
      </w:r>
      <w:r w:rsidR="000F1A75" w:rsidRPr="003B5F08">
        <w:rPr>
          <w:iCs/>
          <w:lang w:val="es-CL"/>
        </w:rPr>
        <w:t>18</w:t>
      </w:r>
      <w:r w:rsidRPr="002F6CBB">
        <w:rPr>
          <w:iCs/>
          <w:lang w:val="en-CA"/>
        </w:rPr>
        <w:fldChar w:fldCharType="end"/>
      </w:r>
      <w:r w:rsidRPr="003B5F08">
        <w:rPr>
          <w:lang w:val="es-CL"/>
        </w:rPr>
        <w:t>.</w:t>
      </w:r>
    </w:p>
  </w:footnote>
  <w:footnote w:id="65">
    <w:p w14:paraId="0B603CD9" w14:textId="2767FFD4" w:rsidR="00C51CBE" w:rsidRPr="00CA2E45" w:rsidRDefault="00C51CBE" w:rsidP="00C51CBE">
      <w:pPr>
        <w:pStyle w:val="Notedebasdepage"/>
        <w:rPr>
          <w:lang w:val="es-CL"/>
        </w:rPr>
      </w:pPr>
      <w:r w:rsidRPr="002F6CBB">
        <w:rPr>
          <w:rStyle w:val="Appelnotedebasdep"/>
          <w:lang w:val="en-CA"/>
        </w:rPr>
        <w:footnoteRef/>
      </w:r>
      <w:r w:rsidRPr="003B5F08">
        <w:rPr>
          <w:lang w:val="es-CL"/>
        </w:rPr>
        <w:t xml:space="preserve"> </w:t>
      </w:r>
      <w:r w:rsidRPr="003B5F08">
        <w:rPr>
          <w:lang w:val="es-CL"/>
        </w:rPr>
        <w:tab/>
        <w:t xml:space="preserve">Exhibit P-6,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_Ref161847299 \h </w:instrText>
      </w:r>
      <w:r w:rsidRPr="002F6CBB">
        <w:rPr>
          <w:lang w:val="en-CA"/>
        </w:rPr>
      </w:r>
      <w:r w:rsidRPr="002F6CBB">
        <w:rPr>
          <w:lang w:val="en-CA"/>
        </w:rPr>
        <w:fldChar w:fldCharType="separate"/>
      </w:r>
      <w:r w:rsidR="000F1A75" w:rsidRPr="003B5F08">
        <w:rPr>
          <w:lang w:val="es-CL"/>
        </w:rPr>
        <w:t>11</w:t>
      </w:r>
      <w:r w:rsidRPr="002F6CBB">
        <w:rPr>
          <w:lang w:val="en-CA"/>
        </w:rPr>
        <w:fldChar w:fldCharType="end"/>
      </w:r>
      <w:r w:rsidRPr="003B5F08">
        <w:rPr>
          <w:lang w:val="es-CL"/>
        </w:rPr>
        <w:t xml:space="preserve">; Exhibit P-7,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_Ref161847324 \h </w:instrText>
      </w:r>
      <w:r w:rsidRPr="002F6CBB">
        <w:rPr>
          <w:lang w:val="en-CA"/>
        </w:rPr>
      </w:r>
      <w:r w:rsidRPr="002F6CBB">
        <w:rPr>
          <w:lang w:val="en-CA"/>
        </w:rPr>
        <w:fldChar w:fldCharType="separate"/>
      </w:r>
      <w:r w:rsidR="000F1A75" w:rsidRPr="003B5F08">
        <w:rPr>
          <w:lang w:val="es-CL"/>
        </w:rPr>
        <w:t>9</w:t>
      </w:r>
      <w:r w:rsidRPr="002F6CBB">
        <w:rPr>
          <w:lang w:val="en-CA"/>
        </w:rPr>
        <w:fldChar w:fldCharType="end"/>
      </w:r>
      <w:r w:rsidRPr="00CA2E45">
        <w:rPr>
          <w:lang w:val="es-CL"/>
        </w:rPr>
        <w:t>.</w:t>
      </w:r>
    </w:p>
  </w:footnote>
  <w:footnote w:id="66">
    <w:p w14:paraId="73C060C0" w14:textId="223C7DEA" w:rsidR="00071370" w:rsidRPr="005A25C1" w:rsidRDefault="00071370" w:rsidP="00071370">
      <w:pPr>
        <w:pStyle w:val="Notedebasdepage"/>
      </w:pPr>
      <w:r w:rsidRPr="002F6CBB">
        <w:rPr>
          <w:rStyle w:val="Appelnotedebasdep"/>
          <w:lang w:val="en-CA"/>
        </w:rPr>
        <w:footnoteRef/>
      </w:r>
      <w:r w:rsidRPr="005A25C1">
        <w:t xml:space="preserve"> </w:t>
      </w:r>
      <w:r w:rsidRPr="005A25C1">
        <w:tab/>
        <w:t>See Commission des droits de la personne et des droits de la jeunesse</w:t>
      </w:r>
      <w:r w:rsidRPr="000637C2">
        <w:t xml:space="preserve">, </w:t>
      </w:r>
      <w:r w:rsidR="000637C2" w:rsidRPr="000637C2">
        <w:t>“</w:t>
      </w:r>
      <w:r w:rsidR="000637C2">
        <w:t>R</w:t>
      </w:r>
      <w:r w:rsidRPr="000637C2">
        <w:t>acial </w:t>
      </w:r>
      <w:r w:rsidR="000637C2">
        <w:t>profiling</w:t>
      </w:r>
      <w:r w:rsidRPr="000637C2">
        <w:t xml:space="preserve">: </w:t>
      </w:r>
      <w:r w:rsidR="000637C2">
        <w:t>C</w:t>
      </w:r>
      <w:r w:rsidRPr="000637C2">
        <w:t xml:space="preserve">ontext </w:t>
      </w:r>
      <w:r w:rsidR="000637C2">
        <w:t>and</w:t>
      </w:r>
      <w:r w:rsidRPr="000637C2">
        <w:t xml:space="preserve"> </w:t>
      </w:r>
      <w:r w:rsidR="000637C2">
        <w:t>De</w:t>
      </w:r>
      <w:r w:rsidR="000637C2" w:rsidRPr="000637C2">
        <w:t>finition”</w:t>
      </w:r>
      <w:r w:rsidRPr="000637C2">
        <w:t xml:space="preserve">, </w:t>
      </w:r>
      <w:r w:rsidR="000637C2" w:rsidRPr="000637C2">
        <w:t>J</w:t>
      </w:r>
      <w:r w:rsidR="000637C2">
        <w:t>une</w:t>
      </w:r>
      <w:r w:rsidRPr="000637C2">
        <w:t xml:space="preserve"> 2005 [</w:t>
      </w:r>
      <w:r w:rsidR="00686E6C" w:rsidRPr="000637C2">
        <w:t>O</w:t>
      </w:r>
      <w:r w:rsidR="00686E6C">
        <w:t>nline</w:t>
      </w:r>
      <w:r w:rsidRPr="005A25C1">
        <w:t xml:space="preserve">: </w:t>
      </w:r>
      <w:r w:rsidR="00AA10FD" w:rsidRPr="00AA10FD">
        <w:t>https://www.cdpdj.qc.ca/storage/app/media/publications/racial_profiling_definition.pdf</w:t>
      </w:r>
      <w:r w:rsidRPr="005A25C1">
        <w:t>].</w:t>
      </w:r>
    </w:p>
  </w:footnote>
  <w:footnote w:id="67">
    <w:p w14:paraId="09D69E1C" w14:textId="4B342482" w:rsidR="00071370" w:rsidRPr="003B5F08" w:rsidRDefault="00071370" w:rsidP="00071370">
      <w:pPr>
        <w:pStyle w:val="Notedebasdepage"/>
        <w:rPr>
          <w:lang w:val="es-CL"/>
        </w:rPr>
      </w:pPr>
      <w:r w:rsidRPr="002F6CBB">
        <w:rPr>
          <w:rStyle w:val="Appelnotedebasdep"/>
          <w:lang w:val="en-CA"/>
        </w:rPr>
        <w:footnoteRef/>
      </w:r>
      <w:r w:rsidRPr="00CA2E45">
        <w:rPr>
          <w:lang w:val="es-CL"/>
        </w:rPr>
        <w:t xml:space="preserve"> </w:t>
      </w:r>
      <w:r w:rsidRPr="00CA2E45">
        <w:rPr>
          <w:lang w:val="es-CL"/>
        </w:rPr>
        <w:tab/>
        <w:t xml:space="preserve">Exhibit P-9, </w:t>
      </w:r>
      <w:r w:rsidRPr="00CA2E45">
        <w:rPr>
          <w:i/>
          <w:iCs/>
          <w:lang w:val="es-CL"/>
        </w:rPr>
        <w:t>supra</w:t>
      </w:r>
      <w:r w:rsidRPr="00CA2E45">
        <w:rPr>
          <w:lang w:val="es-CL"/>
        </w:rPr>
        <w:t xml:space="preserve"> note </w:t>
      </w:r>
      <w:r w:rsidRPr="002F6CBB">
        <w:rPr>
          <w:lang w:val="en-CA"/>
        </w:rPr>
        <w:fldChar w:fldCharType="begin"/>
      </w:r>
      <w:r w:rsidRPr="003B5F08">
        <w:rPr>
          <w:lang w:val="es-CL"/>
        </w:rPr>
        <w:instrText xml:space="preserve"> NOTEREF _Ref161847437 \h </w:instrText>
      </w:r>
      <w:r w:rsidRPr="002F6CBB">
        <w:rPr>
          <w:lang w:val="en-CA"/>
        </w:rPr>
      </w:r>
      <w:r w:rsidRPr="002F6CBB">
        <w:rPr>
          <w:lang w:val="en-CA"/>
        </w:rPr>
        <w:fldChar w:fldCharType="separate"/>
      </w:r>
      <w:r w:rsidR="000F1A75" w:rsidRPr="003B5F08">
        <w:rPr>
          <w:lang w:val="es-CL"/>
        </w:rPr>
        <w:t>41</w:t>
      </w:r>
      <w:r w:rsidRPr="002F6CBB">
        <w:rPr>
          <w:lang w:val="en-CA"/>
        </w:rPr>
        <w:fldChar w:fldCharType="end"/>
      </w:r>
      <w:r w:rsidRPr="003B5F08">
        <w:rPr>
          <w:lang w:val="es-CL"/>
        </w:rPr>
        <w:t xml:space="preserve">; Exhibit P-9A,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_Ref161847437 \h </w:instrText>
      </w:r>
      <w:r w:rsidRPr="002F6CBB">
        <w:rPr>
          <w:lang w:val="en-CA"/>
        </w:rPr>
      </w:r>
      <w:r w:rsidRPr="002F6CBB">
        <w:rPr>
          <w:lang w:val="en-CA"/>
        </w:rPr>
        <w:fldChar w:fldCharType="separate"/>
      </w:r>
      <w:r w:rsidR="000F1A75" w:rsidRPr="003B5F08">
        <w:rPr>
          <w:lang w:val="es-CL"/>
        </w:rPr>
        <w:t>41</w:t>
      </w:r>
      <w:r w:rsidRPr="002F6CBB">
        <w:rPr>
          <w:lang w:val="en-CA"/>
        </w:rPr>
        <w:fldChar w:fldCharType="end"/>
      </w:r>
      <w:r w:rsidRPr="003B5F08">
        <w:rPr>
          <w:lang w:val="es-CL"/>
        </w:rPr>
        <w:t>.</w:t>
      </w:r>
    </w:p>
  </w:footnote>
  <w:footnote w:id="68">
    <w:p w14:paraId="069D21E7" w14:textId="68069A12" w:rsidR="00071370" w:rsidRPr="00CA2E45" w:rsidRDefault="00071370" w:rsidP="00071370">
      <w:pPr>
        <w:pStyle w:val="Notedebasdepage"/>
        <w:rPr>
          <w:lang w:val="es-CL"/>
        </w:rPr>
      </w:pPr>
      <w:r w:rsidRPr="002F6CBB">
        <w:rPr>
          <w:rStyle w:val="Appelnotedebasdep"/>
          <w:lang w:val="en-CA"/>
        </w:rPr>
        <w:footnoteRef/>
      </w:r>
      <w:r w:rsidRPr="00CA2E45">
        <w:rPr>
          <w:lang w:val="es-CL"/>
        </w:rPr>
        <w:t xml:space="preserve">  </w:t>
      </w:r>
      <w:r w:rsidRPr="00CA2E45">
        <w:rPr>
          <w:lang w:val="es-CL"/>
        </w:rPr>
        <w:tab/>
        <w:t xml:space="preserve">Exhibit P-9, </w:t>
      </w:r>
      <w:r w:rsidRPr="00CA2E45">
        <w:rPr>
          <w:i/>
          <w:iCs/>
          <w:lang w:val="es-CL"/>
        </w:rPr>
        <w:t>supra</w:t>
      </w:r>
      <w:r w:rsidRPr="00CA2E45">
        <w:rPr>
          <w:lang w:val="es-CL"/>
        </w:rPr>
        <w:t xml:space="preserve"> note </w:t>
      </w:r>
      <w:r w:rsidRPr="002F6CBB">
        <w:rPr>
          <w:lang w:val="en-CA"/>
        </w:rPr>
        <w:fldChar w:fldCharType="begin"/>
      </w:r>
      <w:r w:rsidRPr="002135E7">
        <w:rPr>
          <w:lang w:val="es-CL"/>
        </w:rPr>
        <w:instrText xml:space="preserve"> NOTEREF _Ref161847437 \h </w:instrText>
      </w:r>
      <w:r w:rsidRPr="002F6CBB">
        <w:rPr>
          <w:lang w:val="en-CA"/>
        </w:rPr>
      </w:r>
      <w:r w:rsidRPr="002F6CBB">
        <w:rPr>
          <w:lang w:val="en-CA"/>
        </w:rPr>
        <w:fldChar w:fldCharType="separate"/>
      </w:r>
      <w:r w:rsidR="000F1A75" w:rsidRPr="00CA2E45">
        <w:rPr>
          <w:lang w:val="es-CL"/>
        </w:rPr>
        <w:t>41</w:t>
      </w:r>
      <w:r w:rsidRPr="002F6CBB">
        <w:rPr>
          <w:lang w:val="en-CA"/>
        </w:rPr>
        <w:fldChar w:fldCharType="end"/>
      </w:r>
      <w:r w:rsidRPr="00CA2E45">
        <w:rPr>
          <w:lang w:val="es-CL"/>
        </w:rPr>
        <w:t xml:space="preserve"> </w:t>
      </w:r>
      <w:r w:rsidR="00FE47CB">
        <w:rPr>
          <w:lang w:val="es-CL"/>
        </w:rPr>
        <w:t>(</w:t>
      </w:r>
      <w:r w:rsidR="00FE47CB">
        <w:rPr>
          <w:rFonts w:cs="Arial"/>
          <w:color w:val="000000"/>
          <w:shd w:val="clear" w:color="auto" w:fill="FFFFFF"/>
          <w:lang w:val="es-CL"/>
        </w:rPr>
        <w:t>Text</w:t>
      </w:r>
      <w:r w:rsidR="00686E6C" w:rsidRPr="00AA10FD">
        <w:rPr>
          <w:rFonts w:cs="Arial"/>
          <w:color w:val="000000"/>
          <w:shd w:val="clear" w:color="auto" w:fill="FFFFFF"/>
          <w:lang w:val="es-CL"/>
        </w:rPr>
        <w:t xml:space="preserve"> transcript</w:t>
      </w:r>
      <w:r w:rsidR="00FE47CB">
        <w:rPr>
          <w:rFonts w:cs="Arial"/>
          <w:color w:val="000000"/>
          <w:shd w:val="clear" w:color="auto" w:fill="FFFFFF"/>
          <w:lang w:val="es-CL"/>
        </w:rPr>
        <w:t>ion)</w:t>
      </w:r>
      <w:r w:rsidRPr="00CA2E45">
        <w:rPr>
          <w:lang w:val="es-CL"/>
        </w:rPr>
        <w:t>.</w:t>
      </w:r>
    </w:p>
  </w:footnote>
  <w:footnote w:id="69">
    <w:p w14:paraId="4A50E3D4" w14:textId="77777777" w:rsidR="00071370" w:rsidRPr="00CA2E45" w:rsidRDefault="00071370" w:rsidP="00071370">
      <w:pPr>
        <w:pStyle w:val="Notedebasdepage"/>
        <w:rPr>
          <w:lang w:val="es-CL"/>
        </w:rPr>
      </w:pPr>
      <w:r w:rsidRPr="002F6CBB">
        <w:rPr>
          <w:rStyle w:val="Appelnotedebasdep"/>
          <w:lang w:val="en-CA"/>
        </w:rPr>
        <w:footnoteRef/>
      </w:r>
      <w:r w:rsidRPr="00CA2E45">
        <w:rPr>
          <w:lang w:val="es-CL"/>
        </w:rPr>
        <w:t xml:space="preserve"> </w:t>
      </w:r>
      <w:r w:rsidRPr="00CA2E45">
        <w:rPr>
          <w:lang w:val="es-CL"/>
        </w:rPr>
        <w:tab/>
      </w:r>
      <w:r w:rsidRPr="00CA2E45">
        <w:rPr>
          <w:i/>
          <w:iCs/>
          <w:lang w:val="es-CL"/>
        </w:rPr>
        <w:t>Supra</w:t>
      </w:r>
      <w:r w:rsidRPr="00CA2E45">
        <w:rPr>
          <w:lang w:val="es-CL"/>
        </w:rPr>
        <w:t xml:space="preserve"> note 42.</w:t>
      </w:r>
    </w:p>
  </w:footnote>
  <w:footnote w:id="70">
    <w:p w14:paraId="73FC50F3" w14:textId="73AEB61E" w:rsidR="00984377" w:rsidRPr="003B5F08" w:rsidRDefault="00984377" w:rsidP="00984377">
      <w:pPr>
        <w:pStyle w:val="Notedebasdepage"/>
        <w:rPr>
          <w:rFonts w:cs="Arial"/>
          <w:lang w:val="es-CL"/>
        </w:rPr>
      </w:pPr>
      <w:r w:rsidRPr="002F6CBB">
        <w:rPr>
          <w:rStyle w:val="Appelnotedebasdep"/>
          <w:rFonts w:cs="Arial"/>
          <w:lang w:val="en-CA"/>
        </w:rPr>
        <w:footnoteRef/>
      </w:r>
      <w:r w:rsidRPr="00AA10FD">
        <w:rPr>
          <w:rFonts w:cs="Arial"/>
          <w:lang w:val="es-CL"/>
        </w:rPr>
        <w:t xml:space="preserve"> </w:t>
      </w:r>
      <w:r w:rsidRPr="00AA10FD">
        <w:rPr>
          <w:rFonts w:cs="Arial"/>
          <w:lang w:val="es-CL"/>
        </w:rPr>
        <w:tab/>
      </w:r>
      <w:r w:rsidR="00880160">
        <w:rPr>
          <w:rFonts w:cs="Arial"/>
          <w:lang w:val="es-CL"/>
        </w:rPr>
        <w:t>S</w:t>
      </w:r>
      <w:r w:rsidRPr="00CA2E45">
        <w:rPr>
          <w:rFonts w:cs="Arial"/>
          <w:lang w:val="es-CL"/>
        </w:rPr>
        <w:t xml:space="preserve">ee </w:t>
      </w:r>
      <w:r w:rsidR="00880160">
        <w:rPr>
          <w:rFonts w:cs="Arial"/>
          <w:lang w:val="es-CL"/>
        </w:rPr>
        <w:t xml:space="preserve">e.g., </w:t>
      </w:r>
      <w:r w:rsidRPr="00CA2E45">
        <w:rPr>
          <w:rFonts w:cs="Arial"/>
          <w:i/>
          <w:lang w:val="es-CL" w:eastAsia="fr-CA"/>
        </w:rPr>
        <w:t>Rezko</w:t>
      </w:r>
      <w:r w:rsidRPr="00CA2E45">
        <w:rPr>
          <w:rFonts w:cs="Arial"/>
          <w:iCs/>
          <w:lang w:val="es-CL" w:eastAsia="fr-CA"/>
        </w:rPr>
        <w:t xml:space="preserve">, </w:t>
      </w:r>
      <w:r w:rsidRPr="00CA2E45">
        <w:rPr>
          <w:rFonts w:cs="Arial"/>
          <w:i/>
          <w:iCs/>
          <w:lang w:val="es-CL" w:eastAsia="fr-CA"/>
        </w:rPr>
        <w:t>supra</w:t>
      </w:r>
      <w:r w:rsidRPr="00CA2E45">
        <w:rPr>
          <w:rFonts w:cs="Arial"/>
          <w:iCs/>
          <w:lang w:val="es-CL" w:eastAsia="fr-CA"/>
        </w:rPr>
        <w:t xml:space="preserve"> note </w:t>
      </w:r>
      <w:r w:rsidRPr="002F6CBB">
        <w:rPr>
          <w:rFonts w:cs="Arial"/>
          <w:iCs/>
          <w:highlight w:val="yellow"/>
          <w:lang w:val="en-CA" w:eastAsia="fr-CA"/>
        </w:rPr>
        <w:fldChar w:fldCharType="begin"/>
      </w:r>
      <w:r w:rsidRPr="003B5F08">
        <w:rPr>
          <w:rFonts w:cs="Arial"/>
          <w:iCs/>
          <w:lang w:val="es-CL" w:eastAsia="fr-CA"/>
        </w:rPr>
        <w:instrText xml:space="preserve"> NOTEREF _Ref161821961 \h </w:instrText>
      </w:r>
      <w:r w:rsidRPr="002F6CBB">
        <w:rPr>
          <w:rFonts w:cs="Arial"/>
          <w:iCs/>
          <w:highlight w:val="yellow"/>
          <w:lang w:val="en-CA" w:eastAsia="fr-CA"/>
        </w:rPr>
      </w:r>
      <w:r w:rsidRPr="002F6CBB">
        <w:rPr>
          <w:rFonts w:cs="Arial"/>
          <w:iCs/>
          <w:highlight w:val="yellow"/>
          <w:lang w:val="en-CA" w:eastAsia="fr-CA"/>
        </w:rPr>
        <w:fldChar w:fldCharType="separate"/>
      </w:r>
      <w:r w:rsidR="000F1A75" w:rsidRPr="003B5F08">
        <w:rPr>
          <w:rFonts w:cs="Arial"/>
          <w:iCs/>
          <w:lang w:val="es-CL" w:eastAsia="fr-CA"/>
        </w:rPr>
        <w:t>17</w:t>
      </w:r>
      <w:r w:rsidRPr="002F6CBB">
        <w:rPr>
          <w:rFonts w:cs="Arial"/>
          <w:iCs/>
          <w:highlight w:val="yellow"/>
          <w:lang w:val="en-CA" w:eastAsia="fr-CA"/>
        </w:rPr>
        <w:fldChar w:fldCharType="end"/>
      </w:r>
      <w:r w:rsidRPr="003B5F08">
        <w:rPr>
          <w:rFonts w:cs="Arial"/>
          <w:lang w:val="es-CL"/>
        </w:rPr>
        <w:t xml:space="preserve">; </w:t>
      </w:r>
      <w:r w:rsidRPr="003B5F08">
        <w:rPr>
          <w:rFonts w:cs="Arial"/>
          <w:i/>
          <w:iCs/>
          <w:lang w:val="es-CL"/>
        </w:rPr>
        <w:t>Mensah</w:t>
      </w:r>
      <w:r w:rsidRPr="003B5F08">
        <w:rPr>
          <w:rFonts w:cs="Arial"/>
          <w:lang w:val="es-CL"/>
        </w:rPr>
        <w:t xml:space="preserve">, </w:t>
      </w:r>
      <w:r w:rsidRPr="003B5F08">
        <w:rPr>
          <w:rFonts w:cs="Arial"/>
          <w:i/>
          <w:iCs/>
          <w:lang w:val="es-CL"/>
        </w:rPr>
        <w:t>supra</w:t>
      </w:r>
      <w:r w:rsidRPr="003B5F08">
        <w:rPr>
          <w:rFonts w:cs="Arial"/>
          <w:lang w:val="es-CL"/>
        </w:rPr>
        <w:t xml:space="preserve"> note </w:t>
      </w:r>
      <w:r w:rsidRPr="002F6CBB">
        <w:rPr>
          <w:rFonts w:cs="Arial"/>
          <w:highlight w:val="yellow"/>
          <w:lang w:val="en-CA"/>
        </w:rPr>
        <w:fldChar w:fldCharType="begin"/>
      </w:r>
      <w:r w:rsidRPr="003B5F08">
        <w:rPr>
          <w:rFonts w:cs="Arial"/>
          <w:lang w:val="es-CL"/>
        </w:rPr>
        <w:instrText xml:space="preserve"> NOTEREF _Ref161823995 \h </w:instrText>
      </w:r>
      <w:r w:rsidRPr="002F6CBB">
        <w:rPr>
          <w:rFonts w:cs="Arial"/>
          <w:highlight w:val="yellow"/>
          <w:lang w:val="en-CA"/>
        </w:rPr>
      </w:r>
      <w:r w:rsidRPr="002F6CBB">
        <w:rPr>
          <w:rFonts w:cs="Arial"/>
          <w:highlight w:val="yellow"/>
          <w:lang w:val="en-CA"/>
        </w:rPr>
        <w:fldChar w:fldCharType="separate"/>
      </w:r>
      <w:r w:rsidR="000F1A75" w:rsidRPr="003B5F08">
        <w:rPr>
          <w:rFonts w:cs="Arial"/>
          <w:lang w:val="es-CL"/>
        </w:rPr>
        <w:t>18</w:t>
      </w:r>
      <w:r w:rsidRPr="002F6CBB">
        <w:rPr>
          <w:rFonts w:cs="Arial"/>
          <w:highlight w:val="yellow"/>
          <w:lang w:val="en-CA"/>
        </w:rPr>
        <w:fldChar w:fldCharType="end"/>
      </w:r>
      <w:r w:rsidRPr="003B5F08">
        <w:rPr>
          <w:rFonts w:cs="Arial"/>
          <w:lang w:val="es-CL"/>
        </w:rPr>
        <w:t>;</w:t>
      </w:r>
      <w:r w:rsidRPr="003B5F08">
        <w:rPr>
          <w:rFonts w:cs="Arial"/>
          <w:i/>
          <w:iCs/>
          <w:lang w:val="es-CL"/>
        </w:rPr>
        <w:t xml:space="preserve"> DeBellefeuille</w:t>
      </w:r>
      <w:r w:rsidRPr="003B5F08">
        <w:rPr>
          <w:rFonts w:cs="Arial"/>
          <w:lang w:val="es-CL"/>
        </w:rPr>
        <w:t xml:space="preserve">, </w:t>
      </w:r>
      <w:r w:rsidRPr="003B5F08">
        <w:rPr>
          <w:rFonts w:cs="Arial"/>
          <w:i/>
          <w:iCs/>
          <w:lang w:val="es-CL"/>
        </w:rPr>
        <w:t>supra</w:t>
      </w:r>
      <w:r w:rsidRPr="003B5F08">
        <w:rPr>
          <w:rFonts w:cs="Arial"/>
          <w:lang w:val="es-CL"/>
        </w:rPr>
        <w:t xml:space="preserve"> note </w:t>
      </w:r>
      <w:r w:rsidRPr="002F6CBB">
        <w:rPr>
          <w:rFonts w:cs="Arial"/>
          <w:highlight w:val="yellow"/>
          <w:lang w:val="en-CA"/>
        </w:rPr>
        <w:fldChar w:fldCharType="begin"/>
      </w:r>
      <w:r w:rsidRPr="003B5F08">
        <w:rPr>
          <w:rFonts w:cs="Arial"/>
          <w:lang w:val="es-CL"/>
        </w:rPr>
        <w:instrText xml:space="preserve"> NOTEREF _Ref161821529 \h </w:instrText>
      </w:r>
      <w:r w:rsidRPr="002F6CBB">
        <w:rPr>
          <w:rFonts w:cs="Arial"/>
          <w:highlight w:val="yellow"/>
          <w:lang w:val="en-CA"/>
        </w:rPr>
      </w:r>
      <w:r w:rsidRPr="002F6CBB">
        <w:rPr>
          <w:rFonts w:cs="Arial"/>
          <w:highlight w:val="yellow"/>
          <w:lang w:val="en-CA"/>
        </w:rPr>
        <w:fldChar w:fldCharType="separate"/>
      </w:r>
      <w:r w:rsidR="000F1A75" w:rsidRPr="003B5F08">
        <w:rPr>
          <w:rFonts w:cs="Arial"/>
          <w:lang w:val="es-CL"/>
        </w:rPr>
        <w:t>14</w:t>
      </w:r>
      <w:r w:rsidRPr="002F6CBB">
        <w:rPr>
          <w:rFonts w:cs="Arial"/>
          <w:highlight w:val="yellow"/>
          <w:lang w:val="en-CA"/>
        </w:rPr>
        <w:fldChar w:fldCharType="end"/>
      </w:r>
      <w:r w:rsidRPr="003B5F08">
        <w:rPr>
          <w:rFonts w:cs="Arial"/>
          <w:lang w:val="es-CL"/>
        </w:rPr>
        <w:t>.</w:t>
      </w:r>
    </w:p>
  </w:footnote>
  <w:footnote w:id="71">
    <w:p w14:paraId="7AE68622" w14:textId="2B60A47C" w:rsidR="00984377" w:rsidRPr="00CA2E45" w:rsidRDefault="00984377" w:rsidP="00984377">
      <w:pPr>
        <w:pStyle w:val="Notedebasdepage"/>
        <w:rPr>
          <w:rFonts w:cs="Arial"/>
        </w:rPr>
      </w:pPr>
      <w:r w:rsidRPr="002F6CBB">
        <w:rPr>
          <w:rStyle w:val="Appelnotedebasdep"/>
          <w:rFonts w:cs="Arial"/>
          <w:lang w:val="en-CA"/>
        </w:rPr>
        <w:footnoteRef/>
      </w:r>
      <w:r w:rsidRPr="00CA2E45">
        <w:rPr>
          <w:rFonts w:cs="Arial"/>
        </w:rPr>
        <w:t xml:space="preserve"> </w:t>
      </w:r>
      <w:r w:rsidRPr="00CA2E45">
        <w:rPr>
          <w:rFonts w:cs="Arial"/>
        </w:rPr>
        <w:tab/>
      </w:r>
      <w:r w:rsidRPr="00CA2E45">
        <w:rPr>
          <w:rFonts w:cs="Arial"/>
          <w:i/>
          <w:iCs/>
        </w:rPr>
        <w:t>Ward</w:t>
      </w:r>
      <w:r w:rsidRPr="00CA2E45">
        <w:rPr>
          <w:rFonts w:cs="Arial"/>
        </w:rPr>
        <w:t xml:space="preserve">, </w:t>
      </w:r>
      <w:r w:rsidRPr="00CA2E45">
        <w:rPr>
          <w:rFonts w:cs="Arial"/>
          <w:i/>
          <w:iCs/>
        </w:rPr>
        <w:t>supra</w:t>
      </w:r>
      <w:r w:rsidRPr="00CA2E45">
        <w:rPr>
          <w:rFonts w:cs="Arial"/>
        </w:rPr>
        <w:t xml:space="preserve"> note </w:t>
      </w:r>
      <w:r w:rsidRPr="002F6CBB">
        <w:rPr>
          <w:rFonts w:cs="Arial"/>
          <w:highlight w:val="yellow"/>
          <w:lang w:val="en-CA"/>
        </w:rPr>
        <w:fldChar w:fldCharType="begin"/>
      </w:r>
      <w:r w:rsidRPr="00CA2E45">
        <w:rPr>
          <w:rFonts w:cs="Arial"/>
        </w:rPr>
        <w:instrText xml:space="preserve"> NOTEREF _Ref161824332 \h </w:instrText>
      </w:r>
      <w:r w:rsidRPr="002F6CBB">
        <w:rPr>
          <w:rFonts w:cs="Arial"/>
          <w:highlight w:val="yellow"/>
          <w:lang w:val="en-CA"/>
        </w:rPr>
      </w:r>
      <w:r w:rsidRPr="002F6CBB">
        <w:rPr>
          <w:rFonts w:cs="Arial"/>
          <w:highlight w:val="yellow"/>
          <w:lang w:val="en-CA"/>
        </w:rPr>
        <w:fldChar w:fldCharType="separate"/>
      </w:r>
      <w:r w:rsidR="000F1A75" w:rsidRPr="00CA2E45">
        <w:rPr>
          <w:rFonts w:cs="Arial"/>
        </w:rPr>
        <w:t>16</w:t>
      </w:r>
      <w:r w:rsidRPr="002F6CBB">
        <w:rPr>
          <w:rFonts w:cs="Arial"/>
          <w:highlight w:val="yellow"/>
          <w:lang w:val="en-CA"/>
        </w:rPr>
        <w:fldChar w:fldCharType="end"/>
      </w:r>
      <w:r w:rsidRPr="00CA2E45">
        <w:rPr>
          <w:rFonts w:cs="Arial"/>
        </w:rPr>
        <w:t>.</w:t>
      </w:r>
    </w:p>
  </w:footnote>
  <w:footnote w:id="72">
    <w:p w14:paraId="7FD672B2" w14:textId="77777777" w:rsidR="00984377" w:rsidRPr="005A25C1" w:rsidRDefault="00984377" w:rsidP="00984377">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r>
      <w:r w:rsidRPr="005A25C1">
        <w:rPr>
          <w:rFonts w:cs="Arial"/>
          <w:i/>
          <w:iCs/>
        </w:rPr>
        <w:t>Procureur général du Québec c. Centre de lutte contre l'oppression des genres</w:t>
      </w:r>
      <w:r w:rsidRPr="005A25C1">
        <w:rPr>
          <w:rFonts w:cs="Arial"/>
        </w:rPr>
        <w:t>, 2024 QCCA 348.</w:t>
      </w:r>
    </w:p>
  </w:footnote>
  <w:footnote w:id="73">
    <w:p w14:paraId="47DBB5EA" w14:textId="77777777" w:rsidR="00984377" w:rsidRPr="002F6CBB" w:rsidRDefault="00984377" w:rsidP="00984377">
      <w:pPr>
        <w:pStyle w:val="Notedebasdepage"/>
        <w:rPr>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Pr="002F6CBB">
        <w:rPr>
          <w:rFonts w:cs="Arial"/>
          <w:i/>
          <w:iCs/>
          <w:lang w:val="en-CA"/>
        </w:rPr>
        <w:t>Ibid</w:t>
      </w:r>
      <w:r w:rsidRPr="002F6CBB">
        <w:rPr>
          <w:rFonts w:cs="Arial"/>
          <w:lang w:val="en-CA"/>
        </w:rPr>
        <w:t>. at para. 134.</w:t>
      </w:r>
    </w:p>
  </w:footnote>
  <w:footnote w:id="74">
    <w:p w14:paraId="22D60439" w14:textId="77777777" w:rsidR="00984377" w:rsidRPr="002F6CBB" w:rsidRDefault="00984377" w:rsidP="00984377">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Pr="002F6CBB">
        <w:rPr>
          <w:rFonts w:cs="Arial"/>
          <w:i/>
          <w:iCs/>
          <w:lang w:val="en-CA"/>
        </w:rPr>
        <w:t>Ibid</w:t>
      </w:r>
      <w:r w:rsidRPr="002F6CBB">
        <w:rPr>
          <w:rFonts w:cs="Arial"/>
          <w:lang w:val="en-CA"/>
        </w:rPr>
        <w:t>. at para. 128.</w:t>
      </w:r>
    </w:p>
  </w:footnote>
  <w:footnote w:id="75">
    <w:p w14:paraId="5D2A5B34" w14:textId="77777777" w:rsidR="00984377" w:rsidRPr="002F6CBB" w:rsidRDefault="00984377" w:rsidP="00984377">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Pr="002F6CBB">
        <w:rPr>
          <w:rFonts w:cs="Arial"/>
          <w:i/>
          <w:iCs/>
          <w:lang w:val="en-CA"/>
        </w:rPr>
        <w:t>Ibid.</w:t>
      </w:r>
      <w:r w:rsidRPr="002F6CBB">
        <w:rPr>
          <w:rFonts w:cs="Arial"/>
          <w:lang w:val="en-CA"/>
        </w:rPr>
        <w:t xml:space="preserve"> at para. 130.</w:t>
      </w:r>
    </w:p>
  </w:footnote>
  <w:footnote w:id="76">
    <w:p w14:paraId="721B7F92" w14:textId="548B2A88" w:rsidR="00984377" w:rsidRPr="002F6CBB" w:rsidRDefault="00984377" w:rsidP="00984377">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Pr="002F6CBB">
        <w:rPr>
          <w:rFonts w:cs="Arial"/>
          <w:i/>
          <w:iCs/>
          <w:lang w:val="en-CA"/>
        </w:rPr>
        <w:t>Ward</w:t>
      </w:r>
      <w:r w:rsidRPr="002F6CBB">
        <w:rPr>
          <w:rFonts w:cs="Arial"/>
          <w:lang w:val="en-CA"/>
        </w:rPr>
        <w:t>,</w:t>
      </w:r>
      <w:r w:rsidRPr="002F6CBB">
        <w:rPr>
          <w:rFonts w:cs="Arial"/>
          <w:i/>
          <w:iCs/>
          <w:lang w:val="en-CA"/>
        </w:rPr>
        <w:t xml:space="preserve"> supra</w:t>
      </w:r>
      <w:r w:rsidRPr="002F6CBB">
        <w:rPr>
          <w:rFonts w:cs="Arial"/>
          <w:lang w:val="en-CA"/>
        </w:rPr>
        <w:t xml:space="preserve"> note </w:t>
      </w:r>
      <w:r w:rsidRPr="002F6CBB">
        <w:rPr>
          <w:rFonts w:cs="Arial"/>
          <w:highlight w:val="yellow"/>
          <w:lang w:val="en-CA"/>
        </w:rPr>
        <w:fldChar w:fldCharType="begin"/>
      </w:r>
      <w:r w:rsidRPr="002F6CBB">
        <w:rPr>
          <w:rFonts w:cs="Arial"/>
          <w:lang w:val="en-CA"/>
        </w:rPr>
        <w:instrText xml:space="preserve"> NOTEREF _Ref161824332 \h </w:instrText>
      </w:r>
      <w:r w:rsidRPr="002F6CBB">
        <w:rPr>
          <w:rFonts w:cs="Arial"/>
          <w:highlight w:val="yellow"/>
          <w:lang w:val="en-CA"/>
        </w:rPr>
      </w:r>
      <w:r w:rsidRPr="002F6CBB">
        <w:rPr>
          <w:rFonts w:cs="Arial"/>
          <w:highlight w:val="yellow"/>
          <w:lang w:val="en-CA"/>
        </w:rPr>
        <w:fldChar w:fldCharType="separate"/>
      </w:r>
      <w:r w:rsidR="00EC25EA">
        <w:rPr>
          <w:rFonts w:cs="Arial"/>
          <w:lang w:val="en-CA"/>
        </w:rPr>
        <w:t>16</w:t>
      </w:r>
      <w:r w:rsidRPr="002F6CBB">
        <w:rPr>
          <w:rFonts w:cs="Arial"/>
          <w:highlight w:val="yellow"/>
          <w:lang w:val="en-CA"/>
        </w:rPr>
        <w:fldChar w:fldCharType="end"/>
      </w:r>
      <w:r w:rsidRPr="002F6CBB">
        <w:rPr>
          <w:rFonts w:cs="Arial"/>
          <w:lang w:val="en-CA"/>
        </w:rPr>
        <w:t>.</w:t>
      </w:r>
    </w:p>
  </w:footnote>
  <w:footnote w:id="77">
    <w:p w14:paraId="0B855AEF" w14:textId="71A787DF" w:rsidR="00984377" w:rsidRPr="004C53C3" w:rsidRDefault="00984377" w:rsidP="00984377">
      <w:pPr>
        <w:pStyle w:val="Notedebasdepage"/>
        <w:rPr>
          <w:rFonts w:cs="Arial"/>
        </w:rPr>
      </w:pPr>
      <w:r w:rsidRPr="002F6CBB">
        <w:rPr>
          <w:rStyle w:val="Appelnotedebasdep"/>
          <w:rFonts w:cs="Arial"/>
          <w:lang w:val="en-CA"/>
        </w:rPr>
        <w:footnoteRef/>
      </w:r>
      <w:r w:rsidRPr="00CA2E45">
        <w:rPr>
          <w:rFonts w:cs="Arial"/>
          <w:lang w:val="es-CL"/>
        </w:rPr>
        <w:t xml:space="preserve"> </w:t>
      </w:r>
      <w:r w:rsidRPr="00CA2E45">
        <w:rPr>
          <w:rFonts w:cs="Arial"/>
          <w:lang w:val="es-CL"/>
        </w:rPr>
        <w:tab/>
      </w:r>
      <w:r w:rsidRPr="00CA2E45">
        <w:rPr>
          <w:rFonts w:cs="Arial"/>
          <w:i/>
          <w:iCs/>
          <w:lang w:val="es-CL"/>
        </w:rPr>
        <w:t>Bombardier</w:t>
      </w:r>
      <w:r w:rsidRPr="00CA2E45">
        <w:rPr>
          <w:rFonts w:cs="Arial"/>
          <w:lang w:val="es-CL"/>
        </w:rPr>
        <w:t xml:space="preserve">, </w:t>
      </w:r>
      <w:r w:rsidRPr="00CA2E45">
        <w:rPr>
          <w:rFonts w:cs="Arial"/>
          <w:i/>
          <w:iCs/>
          <w:lang w:val="es-CL"/>
        </w:rPr>
        <w:t>supra</w:t>
      </w:r>
      <w:r w:rsidRPr="00CA2E45">
        <w:rPr>
          <w:rFonts w:cs="Arial"/>
          <w:lang w:val="es-CL"/>
        </w:rPr>
        <w:t xml:space="preserve"> note </w:t>
      </w:r>
      <w:r w:rsidR="00AA10FD" w:rsidRPr="00CA2E45">
        <w:rPr>
          <w:rFonts w:cs="Arial"/>
          <w:lang w:val="es-CL"/>
        </w:rPr>
        <w:t>12</w:t>
      </w:r>
      <w:r w:rsidRPr="00CA2E45">
        <w:rPr>
          <w:rFonts w:cs="Arial"/>
          <w:lang w:val="es-CL"/>
        </w:rPr>
        <w:t xml:space="preserve"> at para. </w:t>
      </w:r>
      <w:r w:rsidRPr="004C53C3">
        <w:rPr>
          <w:rFonts w:cs="Arial"/>
        </w:rPr>
        <w:t>54.</w:t>
      </w:r>
    </w:p>
  </w:footnote>
  <w:footnote w:id="78">
    <w:p w14:paraId="3A444146" w14:textId="758BCF87" w:rsidR="005B2B35" w:rsidRPr="005A25C1" w:rsidRDefault="005B2B35" w:rsidP="005B2B35">
      <w:pPr>
        <w:pStyle w:val="Notedebasdepage"/>
      </w:pPr>
      <w:r w:rsidRPr="002F6CBB">
        <w:rPr>
          <w:rStyle w:val="Appelnotedebasdep"/>
          <w:rFonts w:cs="Arial"/>
          <w:lang w:val="en-CA"/>
        </w:rPr>
        <w:footnoteRef/>
      </w:r>
      <w:r w:rsidRPr="005A25C1">
        <w:rPr>
          <w:rFonts w:cs="Arial"/>
        </w:rPr>
        <w:t xml:space="preserve"> </w:t>
      </w:r>
      <w:r w:rsidRPr="005A25C1">
        <w:rPr>
          <w:rFonts w:cs="Arial"/>
        </w:rPr>
        <w:tab/>
      </w:r>
      <w:r w:rsidRPr="005A25C1">
        <w:rPr>
          <w:rFonts w:cs="Arial"/>
          <w:i/>
          <w:iCs/>
        </w:rPr>
        <w:t xml:space="preserve">Quebec (Public Curator) v. Syndicat national des employés de l'hôpital St-Ferdinand, </w:t>
      </w:r>
      <w:r w:rsidRPr="005A25C1">
        <w:rPr>
          <w:rFonts w:cs="Arial"/>
        </w:rPr>
        <w:t xml:space="preserve">[1996] 3 SCR 211 at para. 105 </w:t>
      </w:r>
      <w:r w:rsidR="00742D66">
        <w:rPr>
          <w:rFonts w:cs="Arial"/>
        </w:rPr>
        <w:t>[</w:t>
      </w:r>
      <w:r w:rsidRPr="005A25C1">
        <w:rPr>
          <w:rFonts w:cs="Arial"/>
          <w:i/>
          <w:iCs/>
        </w:rPr>
        <w:t>St-Ferdinand</w:t>
      </w:r>
      <w:r w:rsidR="00742D66">
        <w:rPr>
          <w:rFonts w:cs="Arial"/>
        </w:rPr>
        <w:t>]</w:t>
      </w:r>
      <w:r w:rsidRPr="005A25C1">
        <w:rPr>
          <w:rFonts w:cs="Arial"/>
        </w:rPr>
        <w:t xml:space="preserve">; </w:t>
      </w:r>
      <w:r w:rsidRPr="005A25C1">
        <w:rPr>
          <w:rFonts w:cs="Arial"/>
          <w:i/>
          <w:iCs/>
        </w:rPr>
        <w:t>Ward</w:t>
      </w:r>
      <w:r w:rsidRPr="005A25C1">
        <w:rPr>
          <w:rFonts w:cs="Arial"/>
        </w:rPr>
        <w:t xml:space="preserve">, </w:t>
      </w:r>
      <w:r w:rsidRPr="005A25C1">
        <w:rPr>
          <w:rFonts w:cs="Arial"/>
          <w:i/>
          <w:iCs/>
        </w:rPr>
        <w:t>supra</w:t>
      </w:r>
      <w:r w:rsidRPr="005A25C1">
        <w:rPr>
          <w:rFonts w:cs="Arial"/>
        </w:rPr>
        <w:t xml:space="preserve"> note </w:t>
      </w:r>
      <w:r w:rsidRPr="002F6CBB">
        <w:rPr>
          <w:rFonts w:cs="Arial"/>
          <w:lang w:val="en-CA"/>
        </w:rPr>
        <w:fldChar w:fldCharType="begin"/>
      </w:r>
      <w:r w:rsidRPr="005A25C1">
        <w:rPr>
          <w:rFonts w:cs="Arial"/>
        </w:rPr>
        <w:instrText xml:space="preserve"> NOTEREF _Ref161824332 \h  \* MERGEFORMAT </w:instrText>
      </w:r>
      <w:r w:rsidRPr="002F6CBB">
        <w:rPr>
          <w:rFonts w:cs="Arial"/>
          <w:lang w:val="en-CA"/>
        </w:rPr>
      </w:r>
      <w:r w:rsidRPr="002F6CBB">
        <w:rPr>
          <w:rFonts w:cs="Arial"/>
          <w:lang w:val="en-CA"/>
        </w:rPr>
        <w:fldChar w:fldCharType="separate"/>
      </w:r>
      <w:r w:rsidR="00EC25EA">
        <w:rPr>
          <w:rFonts w:cs="Arial"/>
        </w:rPr>
        <w:t>16</w:t>
      </w:r>
      <w:r w:rsidRPr="002F6CBB">
        <w:rPr>
          <w:rFonts w:cs="Arial"/>
          <w:lang w:val="en-CA"/>
        </w:rPr>
        <w:fldChar w:fldCharType="end"/>
      </w:r>
      <w:r w:rsidRPr="005A25C1">
        <w:rPr>
          <w:rFonts w:cs="Arial"/>
        </w:rPr>
        <w:t xml:space="preserve"> at paras. 56 and 105.</w:t>
      </w:r>
    </w:p>
  </w:footnote>
  <w:footnote w:id="79">
    <w:p w14:paraId="13C2A849" w14:textId="30FE633F" w:rsidR="005B2B35" w:rsidRPr="002F6CBB" w:rsidRDefault="005B2B35" w:rsidP="005B2B35">
      <w:pPr>
        <w:pStyle w:val="Notedebasdepage"/>
        <w:rPr>
          <w:lang w:val="en-CA"/>
        </w:rPr>
      </w:pPr>
      <w:r w:rsidRPr="002F6CBB">
        <w:rPr>
          <w:rStyle w:val="Appelnotedebasdep"/>
          <w:lang w:val="en-CA"/>
        </w:rPr>
        <w:footnoteRef/>
      </w:r>
      <w:r w:rsidRPr="005A25C1">
        <w:t xml:space="preserve"> </w:t>
      </w:r>
      <w:r w:rsidRPr="005A25C1">
        <w:tab/>
      </w:r>
      <w:r w:rsidRPr="005A25C1">
        <w:rPr>
          <w:i/>
          <w:iCs/>
        </w:rPr>
        <w:t>Mastropaolo</w:t>
      </w:r>
      <w:r w:rsidRPr="005A25C1">
        <w:t xml:space="preserve"> </w:t>
      </w:r>
      <w:r w:rsidRPr="005A25C1">
        <w:rPr>
          <w:i/>
          <w:iCs/>
        </w:rPr>
        <w:t>c.</w:t>
      </w:r>
      <w:r w:rsidRPr="005A25C1">
        <w:t xml:space="preserve"> </w:t>
      </w:r>
      <w:r w:rsidRPr="005A25C1">
        <w:rPr>
          <w:i/>
          <w:iCs/>
        </w:rPr>
        <w:t>St-Jean-de-Matha (Municipalité de)</w:t>
      </w:r>
      <w:r w:rsidRPr="005A25C1">
        <w:t xml:space="preserve">, 2010 QCTDP 7 at para. </w:t>
      </w:r>
      <w:r w:rsidRPr="00CA2E45">
        <w:t xml:space="preserve">138; </w:t>
      </w:r>
      <w:r w:rsidRPr="00CA2E45">
        <w:rPr>
          <w:i/>
        </w:rPr>
        <w:t>Miller</w:t>
      </w:r>
      <w:r w:rsidRPr="00CA2E45">
        <w:t xml:space="preserve">, </w:t>
      </w:r>
      <w:r w:rsidRPr="00CA2E45">
        <w:rPr>
          <w:i/>
          <w:iCs/>
        </w:rPr>
        <w:t>supra</w:t>
      </w:r>
      <w:r w:rsidRPr="00CA2E45">
        <w:t xml:space="preserve"> note </w:t>
      </w:r>
      <w:r w:rsidRPr="002F6CBB">
        <w:rPr>
          <w:lang w:val="en-CA"/>
        </w:rPr>
        <w:fldChar w:fldCharType="begin"/>
      </w:r>
      <w:r w:rsidRPr="00CA2E45">
        <w:instrText xml:space="preserve"> NOTEREF _Ref161824050 \h </w:instrText>
      </w:r>
      <w:r w:rsidRPr="002F6CBB">
        <w:rPr>
          <w:lang w:val="en-CA"/>
        </w:rPr>
      </w:r>
      <w:r w:rsidRPr="002F6CBB">
        <w:rPr>
          <w:lang w:val="en-CA"/>
        </w:rPr>
        <w:fldChar w:fldCharType="separate"/>
      </w:r>
      <w:r w:rsidR="00EC25EA" w:rsidRPr="00CA2E45">
        <w:t>21</w:t>
      </w:r>
      <w:r w:rsidRPr="002F6CBB">
        <w:rPr>
          <w:lang w:val="en-CA"/>
        </w:rPr>
        <w:fldChar w:fldCharType="end"/>
      </w:r>
      <w:r w:rsidRPr="00CA2E45">
        <w:t xml:space="preserve"> at para</w:t>
      </w:r>
      <w:r w:rsidR="00C60090" w:rsidRPr="00CA2E45">
        <w:t>s</w:t>
      </w:r>
      <w:r w:rsidRPr="00CA2E45">
        <w:t xml:space="preserve">. </w:t>
      </w:r>
      <w:r w:rsidRPr="002F6CBB">
        <w:rPr>
          <w:lang w:val="en-CA"/>
        </w:rPr>
        <w:t>223–225.</w:t>
      </w:r>
    </w:p>
  </w:footnote>
  <w:footnote w:id="80">
    <w:p w14:paraId="65BC4015" w14:textId="45EAFD9F" w:rsidR="002433A5" w:rsidRPr="00CA2E45" w:rsidRDefault="002433A5" w:rsidP="002433A5">
      <w:pPr>
        <w:pStyle w:val="Notedebasdepage"/>
        <w:rPr>
          <w:lang w:val="es-CL"/>
        </w:rPr>
      </w:pPr>
      <w:r w:rsidRPr="002F6CBB">
        <w:rPr>
          <w:rStyle w:val="Appelnotedebasdep"/>
          <w:lang w:val="en-CA"/>
        </w:rPr>
        <w:footnoteRef/>
      </w:r>
      <w:r w:rsidRPr="002F6CBB">
        <w:rPr>
          <w:lang w:val="en-CA"/>
        </w:rPr>
        <w:t xml:space="preserve"> </w:t>
      </w:r>
      <w:r w:rsidRPr="002F6CBB">
        <w:rPr>
          <w:lang w:val="en-CA"/>
        </w:rPr>
        <w:tab/>
        <w:t>S</w:t>
      </w:r>
      <w:r w:rsidR="00137A0B">
        <w:rPr>
          <w:lang w:val="en-CA"/>
        </w:rPr>
        <w:t>s</w:t>
      </w:r>
      <w:r w:rsidR="00FE47CB">
        <w:rPr>
          <w:lang w:val="en-CA"/>
        </w:rPr>
        <w:t>.</w:t>
      </w:r>
      <w:r w:rsidRPr="002F6CBB">
        <w:rPr>
          <w:lang w:val="en-CA"/>
        </w:rPr>
        <w:t xml:space="preserve"> 52 and 53 of the </w:t>
      </w:r>
      <w:r w:rsidRPr="002F6CBB">
        <w:rPr>
          <w:i/>
          <w:iCs/>
          <w:lang w:val="en-CA"/>
        </w:rPr>
        <w:t>Charter</w:t>
      </w:r>
      <w:r w:rsidRPr="002F6CBB">
        <w:rPr>
          <w:lang w:val="en-CA"/>
        </w:rPr>
        <w:t xml:space="preserve">; </w:t>
      </w:r>
      <w:r w:rsidRPr="002F6CBB">
        <w:rPr>
          <w:i/>
          <w:iCs/>
          <w:lang w:val="en-CA"/>
        </w:rPr>
        <w:t>Bombardier</w:t>
      </w:r>
      <w:r w:rsidRPr="002F6CBB">
        <w:rPr>
          <w:lang w:val="en-CA"/>
        </w:rPr>
        <w:t xml:space="preserve">, </w:t>
      </w:r>
      <w:r w:rsidRPr="002F6CBB">
        <w:rPr>
          <w:i/>
          <w:iCs/>
          <w:lang w:val="en-CA"/>
        </w:rPr>
        <w:t>supra</w:t>
      </w:r>
      <w:r w:rsidRPr="002F6CBB">
        <w:rPr>
          <w:lang w:val="en-CA"/>
        </w:rPr>
        <w:t xml:space="preserve"> note </w:t>
      </w:r>
      <w:r w:rsidRPr="002F6CBB">
        <w:rPr>
          <w:lang w:val="en-CA"/>
        </w:rPr>
        <w:fldChar w:fldCharType="begin"/>
      </w:r>
      <w:r w:rsidRPr="002F6CBB">
        <w:rPr>
          <w:lang w:val="en-CA"/>
        </w:rPr>
        <w:instrText xml:space="preserve"> NOTEREF _Ref128649879 \h </w:instrText>
      </w:r>
      <w:r w:rsidRPr="002F6CBB">
        <w:rPr>
          <w:lang w:val="en-CA"/>
        </w:rPr>
      </w:r>
      <w:r w:rsidRPr="002F6CBB">
        <w:rPr>
          <w:lang w:val="en-CA"/>
        </w:rPr>
        <w:fldChar w:fldCharType="separate"/>
      </w:r>
      <w:r w:rsidR="00EC25EA">
        <w:rPr>
          <w:lang w:val="en-CA"/>
        </w:rPr>
        <w:t>12</w:t>
      </w:r>
      <w:r w:rsidRPr="002F6CBB">
        <w:rPr>
          <w:lang w:val="en-CA"/>
        </w:rPr>
        <w:fldChar w:fldCharType="end"/>
      </w:r>
      <w:r w:rsidRPr="002F6CBB">
        <w:rPr>
          <w:lang w:val="en-CA"/>
        </w:rPr>
        <w:t xml:space="preserve"> at para. </w:t>
      </w:r>
      <w:r w:rsidRPr="00CA2E45">
        <w:rPr>
          <w:lang w:val="es-CL"/>
        </w:rPr>
        <w:t>30.</w:t>
      </w:r>
    </w:p>
  </w:footnote>
  <w:footnote w:id="81">
    <w:p w14:paraId="55653002" w14:textId="5F5DD7E8" w:rsidR="002433A5" w:rsidRPr="00666C78" w:rsidRDefault="002433A5" w:rsidP="002433A5">
      <w:pPr>
        <w:pStyle w:val="Notedebasdepage"/>
        <w:rPr>
          <w:rFonts w:cs="Arial"/>
          <w:lang w:val="en-CA"/>
        </w:rPr>
      </w:pPr>
      <w:r w:rsidRPr="002F6CBB">
        <w:rPr>
          <w:rStyle w:val="Appelnotedebasdep"/>
          <w:rFonts w:cs="Arial"/>
          <w:lang w:val="en-CA"/>
        </w:rPr>
        <w:footnoteRef/>
      </w:r>
      <w:r w:rsidRPr="00666C78">
        <w:rPr>
          <w:rFonts w:cs="Arial"/>
          <w:lang w:val="en-CA"/>
        </w:rPr>
        <w:t xml:space="preserve"> </w:t>
      </w:r>
      <w:r w:rsidRPr="00666C78">
        <w:rPr>
          <w:rFonts w:cs="Arial"/>
          <w:lang w:val="en-CA"/>
        </w:rPr>
        <w:tab/>
        <w:t>Art</w:t>
      </w:r>
      <w:r w:rsidR="00FE47CB" w:rsidRPr="00666C78">
        <w:rPr>
          <w:rFonts w:cs="Arial"/>
          <w:lang w:val="en-CA"/>
        </w:rPr>
        <w:t xml:space="preserve">. </w:t>
      </w:r>
      <w:r w:rsidRPr="00666C78">
        <w:rPr>
          <w:rFonts w:cs="Arial"/>
          <w:lang w:val="en-CA"/>
        </w:rPr>
        <w:t>1526 CCQ.</w:t>
      </w:r>
    </w:p>
  </w:footnote>
  <w:footnote w:id="82">
    <w:p w14:paraId="25188E39" w14:textId="0DD6760B" w:rsidR="002433A5" w:rsidRPr="005A25C1" w:rsidRDefault="002433A5" w:rsidP="002433A5">
      <w:pPr>
        <w:pStyle w:val="Notedebasdepage"/>
        <w:rPr>
          <w:rFonts w:cs="Arial"/>
        </w:rPr>
      </w:pPr>
      <w:r w:rsidRPr="002F6CBB">
        <w:rPr>
          <w:rStyle w:val="Appelnotedebasdep"/>
          <w:lang w:val="en-CA"/>
        </w:rPr>
        <w:footnoteRef/>
      </w:r>
      <w:r w:rsidRPr="00666C78">
        <w:rPr>
          <w:rFonts w:cs="Arial"/>
          <w:lang w:val="en-CA"/>
        </w:rPr>
        <w:t xml:space="preserve"> </w:t>
      </w:r>
      <w:r w:rsidRPr="00666C78">
        <w:rPr>
          <w:rFonts w:cs="Arial"/>
          <w:lang w:val="en-CA"/>
        </w:rPr>
        <w:tab/>
        <w:t>Art</w:t>
      </w:r>
      <w:r w:rsidR="00666C78" w:rsidRPr="00666C78">
        <w:rPr>
          <w:rFonts w:cs="Arial"/>
          <w:lang w:val="en-CA"/>
        </w:rPr>
        <w:t>.</w:t>
      </w:r>
      <w:r w:rsidR="00666C78">
        <w:rPr>
          <w:rFonts w:cs="Arial"/>
          <w:lang w:val="en-CA"/>
        </w:rPr>
        <w:t xml:space="preserve"> </w:t>
      </w:r>
      <w:r w:rsidRPr="00666C78">
        <w:rPr>
          <w:rFonts w:cs="Arial"/>
          <w:lang w:val="en-CA"/>
        </w:rPr>
        <w:t xml:space="preserve">1463 CCQ; </w:t>
      </w:r>
      <w:r w:rsidRPr="00666C78">
        <w:rPr>
          <w:i/>
          <w:iCs/>
          <w:lang w:val="en-CA"/>
        </w:rPr>
        <w:t>Mensah</w:t>
      </w:r>
      <w:r w:rsidRPr="00666C78">
        <w:rPr>
          <w:lang w:val="en-CA"/>
        </w:rPr>
        <w:t xml:space="preserve">, </w:t>
      </w:r>
      <w:r w:rsidRPr="00666C78">
        <w:rPr>
          <w:i/>
          <w:iCs/>
          <w:lang w:val="en-CA"/>
        </w:rPr>
        <w:t>supra</w:t>
      </w:r>
      <w:r w:rsidRPr="00666C78">
        <w:rPr>
          <w:lang w:val="en-CA"/>
        </w:rPr>
        <w:t xml:space="preserve"> note </w:t>
      </w:r>
      <w:r w:rsidRPr="002F6CBB">
        <w:rPr>
          <w:lang w:val="en-CA"/>
        </w:rPr>
        <w:fldChar w:fldCharType="begin"/>
      </w:r>
      <w:r w:rsidRPr="00666C78">
        <w:rPr>
          <w:lang w:val="en-CA"/>
        </w:rPr>
        <w:instrText xml:space="preserve"> NOTEREF _Ref161823995 \h </w:instrText>
      </w:r>
      <w:r w:rsidRPr="002F6CBB">
        <w:rPr>
          <w:lang w:val="en-CA"/>
        </w:rPr>
      </w:r>
      <w:r w:rsidRPr="002F6CBB">
        <w:rPr>
          <w:lang w:val="en-CA"/>
        </w:rPr>
        <w:fldChar w:fldCharType="separate"/>
      </w:r>
      <w:r w:rsidR="000F1A75" w:rsidRPr="00666C78">
        <w:rPr>
          <w:lang w:val="en-CA"/>
        </w:rPr>
        <w:t>18</w:t>
      </w:r>
      <w:r w:rsidRPr="002F6CBB">
        <w:rPr>
          <w:lang w:val="en-CA"/>
        </w:rPr>
        <w:fldChar w:fldCharType="end"/>
      </w:r>
      <w:r w:rsidRPr="00666C78">
        <w:rPr>
          <w:lang w:val="en-CA"/>
        </w:rPr>
        <w:t xml:space="preserve"> at</w:t>
      </w:r>
      <w:r w:rsidRPr="00666C78">
        <w:rPr>
          <w:rFonts w:cs="Arial"/>
          <w:lang w:val="en-CA"/>
        </w:rPr>
        <w:t xml:space="preserve"> para. </w:t>
      </w:r>
      <w:r w:rsidRPr="00CA2E45">
        <w:rPr>
          <w:rFonts w:cs="Arial"/>
          <w:lang w:val="es-CL"/>
        </w:rPr>
        <w:t xml:space="preserve">331; </w:t>
      </w:r>
      <w:r w:rsidRPr="00CA2E45">
        <w:rPr>
          <w:rFonts w:cs="Arial"/>
          <w:i/>
          <w:iCs/>
          <w:lang w:val="es-CL"/>
        </w:rPr>
        <w:t>DeBellefeuille</w:t>
      </w:r>
      <w:r w:rsidRPr="00CA2E45">
        <w:rPr>
          <w:rFonts w:cs="Arial"/>
          <w:lang w:val="es-CL"/>
        </w:rPr>
        <w:t xml:space="preserve">, </w:t>
      </w:r>
      <w:r w:rsidRPr="00CA2E45">
        <w:rPr>
          <w:rFonts w:cs="Arial"/>
          <w:i/>
          <w:iCs/>
          <w:lang w:val="es-CL"/>
        </w:rPr>
        <w:t>supra</w:t>
      </w:r>
      <w:r w:rsidRPr="00CA2E45">
        <w:rPr>
          <w:rFonts w:cs="Arial"/>
          <w:lang w:val="es-CL"/>
        </w:rPr>
        <w:t xml:space="preserve"> note </w:t>
      </w:r>
      <w:r w:rsidRPr="002F6CBB">
        <w:rPr>
          <w:rFonts w:cs="Arial"/>
          <w:lang w:val="en-CA"/>
        </w:rPr>
        <w:fldChar w:fldCharType="begin"/>
      </w:r>
      <w:r w:rsidRPr="00CA2E45">
        <w:rPr>
          <w:rFonts w:cs="Arial"/>
          <w:lang w:val="es-CL"/>
        </w:rPr>
        <w:instrText xml:space="preserve"> NOTEREF _Ref161821529 \h </w:instrText>
      </w:r>
      <w:r w:rsidRPr="002F6CBB">
        <w:rPr>
          <w:rFonts w:cs="Arial"/>
          <w:lang w:val="en-CA"/>
        </w:rPr>
      </w:r>
      <w:r w:rsidRPr="002F6CBB">
        <w:rPr>
          <w:rFonts w:cs="Arial"/>
          <w:lang w:val="en-CA"/>
        </w:rPr>
        <w:fldChar w:fldCharType="separate"/>
      </w:r>
      <w:r w:rsidR="000F1A75" w:rsidRPr="00CA2E45">
        <w:rPr>
          <w:rFonts w:cs="Arial"/>
          <w:lang w:val="es-CL"/>
        </w:rPr>
        <w:t>14</w:t>
      </w:r>
      <w:r w:rsidRPr="002F6CBB">
        <w:rPr>
          <w:rFonts w:cs="Arial"/>
          <w:lang w:val="en-CA"/>
        </w:rPr>
        <w:fldChar w:fldCharType="end"/>
      </w:r>
      <w:r w:rsidRPr="00CA2E45">
        <w:rPr>
          <w:rFonts w:cs="Arial"/>
          <w:lang w:val="es-CL"/>
        </w:rPr>
        <w:t xml:space="preserve"> at para. </w:t>
      </w:r>
      <w:r w:rsidRPr="003B5F08">
        <w:rPr>
          <w:rFonts w:cs="Arial"/>
        </w:rPr>
        <w:t xml:space="preserve">238; </w:t>
      </w:r>
      <w:r w:rsidRPr="003B5F08">
        <w:rPr>
          <w:i/>
        </w:rPr>
        <w:t>Nyembwe</w:t>
      </w:r>
      <w:r w:rsidRPr="003B5F08">
        <w:rPr>
          <w:iCs/>
        </w:rPr>
        <w:t xml:space="preserve">, </w:t>
      </w:r>
      <w:r w:rsidRPr="003B5F08">
        <w:rPr>
          <w:i/>
          <w:iCs/>
        </w:rPr>
        <w:t>supra</w:t>
      </w:r>
      <w:r w:rsidRPr="003B5F08">
        <w:rPr>
          <w:iCs/>
        </w:rPr>
        <w:t xml:space="preserve"> note </w:t>
      </w:r>
      <w:r w:rsidRPr="002F6CBB">
        <w:rPr>
          <w:iCs/>
          <w:lang w:val="en-CA"/>
        </w:rPr>
        <w:fldChar w:fldCharType="begin"/>
      </w:r>
      <w:r w:rsidRPr="003B5F08">
        <w:rPr>
          <w:iCs/>
        </w:rPr>
        <w:instrText xml:space="preserve"> NOTEREF _Ref161823995 \h </w:instrText>
      </w:r>
      <w:r w:rsidRPr="002F6CBB">
        <w:rPr>
          <w:iCs/>
          <w:lang w:val="en-CA"/>
        </w:rPr>
      </w:r>
      <w:r w:rsidRPr="002F6CBB">
        <w:rPr>
          <w:iCs/>
          <w:lang w:val="en-CA"/>
        </w:rPr>
        <w:fldChar w:fldCharType="separate"/>
      </w:r>
      <w:r w:rsidR="000F1A75" w:rsidRPr="003B5F08">
        <w:rPr>
          <w:iCs/>
        </w:rPr>
        <w:t>18</w:t>
      </w:r>
      <w:r w:rsidRPr="002F6CBB">
        <w:rPr>
          <w:iCs/>
          <w:lang w:val="en-CA"/>
        </w:rPr>
        <w:fldChar w:fldCharType="end"/>
      </w:r>
      <w:r w:rsidRPr="003B5F08">
        <w:rPr>
          <w:iCs/>
        </w:rPr>
        <w:t xml:space="preserve"> at</w:t>
      </w:r>
      <w:r w:rsidRPr="003B5F08">
        <w:rPr>
          <w:rFonts w:cs="Arial"/>
        </w:rPr>
        <w:t xml:space="preserve"> paras. 512–513; </w:t>
      </w:r>
      <w:r w:rsidRPr="003B5F08">
        <w:rPr>
          <w:rFonts w:cs="Arial"/>
          <w:i/>
          <w:iCs/>
        </w:rPr>
        <w:t>CDPDJ</w:t>
      </w:r>
      <w:r w:rsidRPr="003B5F08">
        <w:rPr>
          <w:rFonts w:cs="Arial"/>
        </w:rPr>
        <w:t xml:space="preserve"> (</w:t>
      </w:r>
      <w:r w:rsidRPr="003B5F08">
        <w:rPr>
          <w:rFonts w:cs="Arial"/>
          <w:i/>
          <w:iCs/>
        </w:rPr>
        <w:t>Nkamba) c. Ville de Gatineau</w:t>
      </w:r>
      <w:r w:rsidRPr="003B5F08">
        <w:rPr>
          <w:rFonts w:cs="Arial"/>
        </w:rPr>
        <w:t>,</w:t>
      </w:r>
      <w:r w:rsidRPr="00CD5AEA">
        <w:rPr>
          <w:rFonts w:cs="Arial"/>
        </w:rPr>
        <w:t xml:space="preserve"> 2023 QCTDP 13 at paras. </w:t>
      </w:r>
      <w:r w:rsidRPr="005A25C1">
        <w:rPr>
          <w:rFonts w:cs="Arial"/>
        </w:rPr>
        <w:t xml:space="preserve">292–293; </w:t>
      </w:r>
      <w:r w:rsidRPr="005A25C1">
        <w:rPr>
          <w:i/>
        </w:rPr>
        <w:t>Nkamba</w:t>
      </w:r>
      <w:r w:rsidRPr="005A25C1">
        <w:rPr>
          <w:iCs/>
        </w:rPr>
        <w:t xml:space="preserve">, </w:t>
      </w:r>
      <w:r w:rsidRPr="005A25C1">
        <w:rPr>
          <w:i/>
          <w:iCs/>
        </w:rPr>
        <w:t>supra</w:t>
      </w:r>
      <w:r w:rsidRPr="005A25C1">
        <w:rPr>
          <w:iCs/>
        </w:rPr>
        <w:t xml:space="preserve"> note </w:t>
      </w:r>
      <w:r w:rsidRPr="002F6CBB">
        <w:rPr>
          <w:iCs/>
          <w:lang w:val="en-CA"/>
        </w:rPr>
        <w:fldChar w:fldCharType="begin"/>
      </w:r>
      <w:r w:rsidRPr="005A25C1">
        <w:rPr>
          <w:iCs/>
        </w:rPr>
        <w:instrText xml:space="preserve"> NOTEREF _Ref161821961 \h </w:instrText>
      </w:r>
      <w:r w:rsidRPr="002F6CBB">
        <w:rPr>
          <w:iCs/>
          <w:lang w:val="en-CA"/>
        </w:rPr>
      </w:r>
      <w:r w:rsidRPr="002F6CBB">
        <w:rPr>
          <w:iCs/>
          <w:lang w:val="en-CA"/>
        </w:rPr>
        <w:fldChar w:fldCharType="separate"/>
      </w:r>
      <w:r w:rsidR="00EC25EA">
        <w:rPr>
          <w:iCs/>
        </w:rPr>
        <w:t>17</w:t>
      </w:r>
      <w:r w:rsidRPr="002F6CBB">
        <w:rPr>
          <w:iCs/>
          <w:lang w:val="en-CA"/>
        </w:rPr>
        <w:fldChar w:fldCharType="end"/>
      </w:r>
      <w:r w:rsidRPr="005A25C1">
        <w:rPr>
          <w:rFonts w:cs="Arial"/>
        </w:rPr>
        <w:t xml:space="preserve"> at paras. 131–132.</w:t>
      </w:r>
    </w:p>
  </w:footnote>
  <w:footnote w:id="83">
    <w:p w14:paraId="765285C5" w14:textId="6375CB40" w:rsidR="00375010" w:rsidRPr="00CA2E45" w:rsidRDefault="00BC67BE" w:rsidP="00375010">
      <w:pPr>
        <w:pStyle w:val="Notedebasdepage"/>
        <w:rPr>
          <w:rFonts w:cs="Arial"/>
          <w:lang w:val="es-CL"/>
        </w:rPr>
      </w:pPr>
      <w:r w:rsidRPr="002F6CBB">
        <w:rPr>
          <w:rStyle w:val="Appelnotedebasdep"/>
          <w:lang w:val="en-CA"/>
        </w:rPr>
        <w:footnoteRef/>
      </w:r>
      <w:r w:rsidR="00960FE3" w:rsidRPr="005A25C1">
        <w:t xml:space="preserve"> </w:t>
      </w:r>
      <w:r w:rsidR="00960FE3" w:rsidRPr="005A25C1">
        <w:tab/>
      </w:r>
      <w:r w:rsidRPr="005A25C1">
        <w:rPr>
          <w:rStyle w:val="Accentuation"/>
          <w:rFonts w:cs="Arial"/>
          <w:color w:val="000000"/>
        </w:rPr>
        <w:t xml:space="preserve">Commission des droits de la personne et des droits de la jeunesse (X) c. Commission scolaire de Montréal, </w:t>
      </w:r>
      <w:r w:rsidRPr="005A25C1">
        <w:rPr>
          <w:rStyle w:val="indicateur-factuelinfo2"/>
          <w:rFonts w:cs="Arial"/>
          <w:color w:val="000000"/>
        </w:rPr>
        <w:t>2017 QCCA 286</w:t>
      </w:r>
      <w:r w:rsidR="009A4494">
        <w:rPr>
          <w:rStyle w:val="indicateur-factuelinfo2"/>
          <w:rFonts w:cs="Arial"/>
          <w:color w:val="000000"/>
        </w:rPr>
        <w:t>,</w:t>
      </w:r>
      <w:r w:rsidRPr="005A25C1">
        <w:rPr>
          <w:rStyle w:val="indicateur-factuelinfo2"/>
          <w:rFonts w:cs="Arial"/>
          <w:color w:val="000000"/>
        </w:rPr>
        <w:t xml:space="preserve"> </w:t>
      </w:r>
      <w:r w:rsidR="00087FFE" w:rsidRPr="005A25C1">
        <w:rPr>
          <w:rStyle w:val="indicateur-factuelinfo2"/>
          <w:rFonts w:cs="Arial"/>
          <w:color w:val="000000"/>
        </w:rPr>
        <w:t>leave to appeal to S</w:t>
      </w:r>
      <w:r w:rsidR="00907CBE">
        <w:rPr>
          <w:rStyle w:val="indicateur-factuelinfo2"/>
          <w:rFonts w:cs="Arial"/>
          <w:color w:val="000000"/>
        </w:rPr>
        <w:t>CC</w:t>
      </w:r>
      <w:r w:rsidR="00087FFE" w:rsidRPr="005A25C1">
        <w:rPr>
          <w:rStyle w:val="indicateur-factuelinfo2"/>
          <w:rFonts w:cs="Arial"/>
          <w:color w:val="000000"/>
        </w:rPr>
        <w:t xml:space="preserve"> refused</w:t>
      </w:r>
      <w:r w:rsidRPr="005A25C1">
        <w:rPr>
          <w:rFonts w:cs="Arial"/>
          <w:color w:val="000000"/>
        </w:rPr>
        <w:t xml:space="preserve">, </w:t>
      </w:r>
      <w:r w:rsidR="00087FFE" w:rsidRPr="005A25C1">
        <w:rPr>
          <w:rFonts w:cs="Arial"/>
          <w:color w:val="000000"/>
        </w:rPr>
        <w:t>37538 (</w:t>
      </w:r>
      <w:r w:rsidRPr="005A25C1">
        <w:rPr>
          <w:rFonts w:cs="Arial"/>
          <w:color w:val="000000"/>
        </w:rPr>
        <w:t>17</w:t>
      </w:r>
      <w:r w:rsidR="00907CBE">
        <w:rPr>
          <w:rFonts w:cs="Arial"/>
          <w:color w:val="000000"/>
        </w:rPr>
        <w:t xml:space="preserve"> August </w:t>
      </w:r>
      <w:r w:rsidRPr="005A25C1">
        <w:rPr>
          <w:rFonts w:cs="Arial"/>
          <w:color w:val="000000"/>
        </w:rPr>
        <w:t>2017</w:t>
      </w:r>
      <w:r w:rsidR="00087FFE" w:rsidRPr="005A25C1">
        <w:rPr>
          <w:rFonts w:cs="Arial"/>
          <w:color w:val="000000"/>
        </w:rPr>
        <w:t>)</w:t>
      </w:r>
      <w:r w:rsidR="009A4494">
        <w:rPr>
          <w:rFonts w:cs="Arial"/>
          <w:color w:val="000000"/>
        </w:rPr>
        <w:t>,</w:t>
      </w:r>
      <w:r w:rsidRPr="005A25C1">
        <w:rPr>
          <w:rFonts w:cs="Arial"/>
          <w:color w:val="000000"/>
        </w:rPr>
        <w:t xml:space="preserve"> cit</w:t>
      </w:r>
      <w:r w:rsidR="00087FFE" w:rsidRPr="005A25C1">
        <w:rPr>
          <w:rFonts w:cs="Arial"/>
          <w:color w:val="000000"/>
        </w:rPr>
        <w:t>ed</w:t>
      </w:r>
      <w:r w:rsidRPr="005A25C1">
        <w:rPr>
          <w:rFonts w:cs="Arial"/>
          <w:color w:val="000000"/>
        </w:rPr>
        <w:t xml:space="preserve"> </w:t>
      </w:r>
      <w:r w:rsidR="00087FFE" w:rsidRPr="005A25C1">
        <w:rPr>
          <w:rFonts w:cs="Arial"/>
          <w:color w:val="000000"/>
        </w:rPr>
        <w:t>in</w:t>
      </w:r>
      <w:r w:rsidRPr="005A25C1">
        <w:rPr>
          <w:rFonts w:cs="Arial"/>
          <w:color w:val="000000"/>
        </w:rPr>
        <w:t xml:space="preserve"> </w:t>
      </w:r>
      <w:r w:rsidR="00EE5B5A" w:rsidRPr="005A25C1">
        <w:rPr>
          <w:rFonts w:cs="Arial"/>
          <w:i/>
          <w:iCs/>
        </w:rPr>
        <w:t>DeBellefeuille</w:t>
      </w:r>
      <w:r w:rsidR="00EE5B5A" w:rsidRPr="005A25C1">
        <w:rPr>
          <w:rFonts w:cs="Arial"/>
        </w:rPr>
        <w:t xml:space="preserve">, </w:t>
      </w:r>
      <w:r w:rsidR="00B006D3" w:rsidRPr="005A25C1">
        <w:rPr>
          <w:rFonts w:cs="Arial"/>
          <w:i/>
          <w:iCs/>
        </w:rPr>
        <w:t>supra</w:t>
      </w:r>
      <w:r w:rsidR="00EE5B5A" w:rsidRPr="005A25C1">
        <w:rPr>
          <w:rFonts w:cs="Arial"/>
        </w:rPr>
        <w:t xml:space="preserve"> note </w:t>
      </w:r>
      <w:r w:rsidR="00EE5B5A" w:rsidRPr="002F6CBB">
        <w:rPr>
          <w:rFonts w:cs="Arial"/>
          <w:lang w:val="en-CA"/>
        </w:rPr>
        <w:fldChar w:fldCharType="begin"/>
      </w:r>
      <w:r w:rsidR="00EE5B5A" w:rsidRPr="005A25C1">
        <w:rPr>
          <w:rFonts w:cs="Arial"/>
        </w:rPr>
        <w:instrText xml:space="preserve"> NOTEREF _Ref161821529 \h </w:instrText>
      </w:r>
      <w:r w:rsidR="00EE5B5A" w:rsidRPr="002F6CBB">
        <w:rPr>
          <w:rFonts w:cs="Arial"/>
          <w:lang w:val="en-CA"/>
        </w:rPr>
      </w:r>
      <w:r w:rsidR="00EE5B5A" w:rsidRPr="002F6CBB">
        <w:rPr>
          <w:rFonts w:cs="Arial"/>
          <w:lang w:val="en-CA"/>
        </w:rPr>
        <w:fldChar w:fldCharType="separate"/>
      </w:r>
      <w:r w:rsidR="00EC25EA">
        <w:rPr>
          <w:rFonts w:cs="Arial"/>
        </w:rPr>
        <w:t>14</w:t>
      </w:r>
      <w:r w:rsidR="00EE5B5A" w:rsidRPr="002F6CBB">
        <w:rPr>
          <w:rFonts w:cs="Arial"/>
          <w:lang w:val="en-CA"/>
        </w:rPr>
        <w:fldChar w:fldCharType="end"/>
      </w:r>
      <w:r w:rsidR="00087FFE" w:rsidRPr="005A25C1">
        <w:rPr>
          <w:rFonts w:cs="Arial"/>
        </w:rPr>
        <w:t xml:space="preserve"> at</w:t>
      </w:r>
      <w:r w:rsidRPr="005A25C1">
        <w:rPr>
          <w:rFonts w:cs="Arial"/>
          <w:color w:val="000000"/>
        </w:rPr>
        <w:t xml:space="preserve"> par</w:t>
      </w:r>
      <w:r w:rsidR="00087FFE" w:rsidRPr="005A25C1">
        <w:rPr>
          <w:rFonts w:cs="Arial"/>
          <w:color w:val="000000"/>
        </w:rPr>
        <w:t>a</w:t>
      </w:r>
      <w:r w:rsidRPr="005A25C1">
        <w:rPr>
          <w:rFonts w:cs="Arial"/>
          <w:color w:val="000000"/>
        </w:rPr>
        <w:t xml:space="preserve">. </w:t>
      </w:r>
      <w:r w:rsidRPr="00CA2E45">
        <w:rPr>
          <w:rFonts w:cs="Arial"/>
          <w:color w:val="000000"/>
          <w:lang w:val="es-CL"/>
        </w:rPr>
        <w:t>220.</w:t>
      </w:r>
    </w:p>
  </w:footnote>
  <w:footnote w:id="84">
    <w:p w14:paraId="4088C74A" w14:textId="77777777" w:rsidR="00DB3691" w:rsidRPr="00CA2E45" w:rsidRDefault="00DB3691" w:rsidP="00DB3691">
      <w:pPr>
        <w:pStyle w:val="Notedebasdepage"/>
        <w:rPr>
          <w:rFonts w:cs="Arial"/>
          <w:lang w:val="es-CL"/>
        </w:rPr>
      </w:pPr>
      <w:r w:rsidRPr="002F6CBB">
        <w:rPr>
          <w:rStyle w:val="Appelnotedebasdep"/>
          <w:lang w:val="en-CA"/>
        </w:rPr>
        <w:footnoteRef/>
      </w:r>
      <w:r w:rsidRPr="00CA2E45">
        <w:rPr>
          <w:lang w:val="es-CL"/>
        </w:rPr>
        <w:t xml:space="preserve"> </w:t>
      </w:r>
      <w:r w:rsidRPr="00CA2E45">
        <w:rPr>
          <w:lang w:val="es-CL"/>
        </w:rPr>
        <w:tab/>
      </w:r>
      <w:r w:rsidRPr="00CA2E45">
        <w:rPr>
          <w:rFonts w:cs="Arial"/>
          <w:i/>
          <w:iCs/>
          <w:lang w:val="es-CL"/>
        </w:rPr>
        <w:t>DeBellefeuille</w:t>
      </w:r>
      <w:r w:rsidRPr="00CA2E45">
        <w:rPr>
          <w:rFonts w:cs="Arial"/>
          <w:lang w:val="es-CL"/>
        </w:rPr>
        <w:t xml:space="preserve">, </w:t>
      </w:r>
      <w:r w:rsidRPr="00CA2E45">
        <w:rPr>
          <w:rFonts w:cs="Arial"/>
          <w:i/>
          <w:iCs/>
          <w:lang w:val="es-CL"/>
        </w:rPr>
        <w:t>ibid</w:t>
      </w:r>
      <w:r w:rsidRPr="00CA2E45">
        <w:rPr>
          <w:rFonts w:cs="Arial"/>
          <w:lang w:val="es-CL"/>
        </w:rPr>
        <w:t>.</w:t>
      </w:r>
    </w:p>
  </w:footnote>
  <w:footnote w:id="85">
    <w:p w14:paraId="5B48E3F2" w14:textId="77777777" w:rsidR="00BF6063" w:rsidRPr="00CA2E45" w:rsidRDefault="00BF6063" w:rsidP="00BF6063">
      <w:pPr>
        <w:pStyle w:val="Notedebasdepage"/>
        <w:rPr>
          <w:lang w:val="es-CL"/>
        </w:rPr>
      </w:pPr>
      <w:r w:rsidRPr="002F6CBB">
        <w:rPr>
          <w:rStyle w:val="Appelnotedebasdep"/>
          <w:lang w:val="en-CA"/>
        </w:rPr>
        <w:footnoteRef/>
      </w:r>
      <w:r w:rsidRPr="00CA2E45">
        <w:rPr>
          <w:lang w:val="es-CL"/>
        </w:rPr>
        <w:t xml:space="preserve"> </w:t>
      </w:r>
      <w:r w:rsidRPr="00CA2E45">
        <w:rPr>
          <w:lang w:val="es-CL"/>
        </w:rPr>
        <w:tab/>
      </w:r>
      <w:r w:rsidRPr="00CA2E45">
        <w:rPr>
          <w:i/>
          <w:iCs/>
          <w:lang w:val="es-CL"/>
        </w:rPr>
        <w:t>Ibid</w:t>
      </w:r>
      <w:r w:rsidRPr="00CA2E45">
        <w:rPr>
          <w:lang w:val="es-CL"/>
        </w:rPr>
        <w:t>.</w:t>
      </w:r>
    </w:p>
  </w:footnote>
  <w:footnote w:id="86">
    <w:p w14:paraId="175C0AE6" w14:textId="4E00D701" w:rsidR="00BF6063" w:rsidRPr="003B5F08" w:rsidRDefault="00BF6063" w:rsidP="00BF6063">
      <w:pPr>
        <w:pStyle w:val="Notedebasdepage"/>
        <w:rPr>
          <w:lang w:val="es-CL"/>
        </w:rPr>
      </w:pPr>
      <w:r w:rsidRPr="002F6CBB">
        <w:rPr>
          <w:rStyle w:val="Appelnotedebasdep"/>
          <w:lang w:val="en-CA"/>
        </w:rPr>
        <w:footnoteRef/>
      </w:r>
      <w:r w:rsidRPr="00CA2E45">
        <w:rPr>
          <w:lang w:val="es-CL"/>
        </w:rPr>
        <w:t xml:space="preserve"> </w:t>
      </w:r>
      <w:r w:rsidRPr="00CA2E45">
        <w:rPr>
          <w:lang w:val="es-CL"/>
        </w:rPr>
        <w:tab/>
      </w:r>
      <w:r w:rsidRPr="00CA2E45">
        <w:rPr>
          <w:i/>
          <w:lang w:val="es-CL"/>
        </w:rPr>
        <w:t>Nkamba</w:t>
      </w:r>
      <w:r w:rsidRPr="00CA2E45">
        <w:rPr>
          <w:iCs/>
          <w:lang w:val="es-CL"/>
        </w:rPr>
        <w:t xml:space="preserve">, </w:t>
      </w:r>
      <w:r w:rsidRPr="00CA2E45">
        <w:rPr>
          <w:i/>
          <w:iCs/>
          <w:lang w:val="es-CL"/>
        </w:rPr>
        <w:t>supra</w:t>
      </w:r>
      <w:r w:rsidRPr="00CA2E45">
        <w:rPr>
          <w:iCs/>
          <w:lang w:val="es-CL"/>
        </w:rPr>
        <w:t xml:space="preserve"> </w:t>
      </w:r>
      <w:r w:rsidRPr="003B5F08">
        <w:rPr>
          <w:iCs/>
          <w:lang w:val="es-CL"/>
        </w:rPr>
        <w:t xml:space="preserve">note </w:t>
      </w:r>
      <w:r w:rsidRPr="002F6CBB">
        <w:rPr>
          <w:iCs/>
          <w:lang w:val="en-CA"/>
        </w:rPr>
        <w:fldChar w:fldCharType="begin"/>
      </w:r>
      <w:r w:rsidRPr="003B5F08">
        <w:rPr>
          <w:iCs/>
          <w:lang w:val="es-CL"/>
        </w:rPr>
        <w:instrText xml:space="preserve"> NOTEREF _Ref161821961 \h </w:instrText>
      </w:r>
      <w:r w:rsidRPr="002F6CBB">
        <w:rPr>
          <w:iCs/>
          <w:lang w:val="en-CA"/>
        </w:rPr>
      </w:r>
      <w:r w:rsidRPr="002F6CBB">
        <w:rPr>
          <w:iCs/>
          <w:lang w:val="en-CA"/>
        </w:rPr>
        <w:fldChar w:fldCharType="separate"/>
      </w:r>
      <w:r w:rsidR="000F1A75" w:rsidRPr="003B5F08">
        <w:rPr>
          <w:iCs/>
          <w:lang w:val="es-CL"/>
        </w:rPr>
        <w:t>17</w:t>
      </w:r>
      <w:r w:rsidRPr="002F6CBB">
        <w:rPr>
          <w:iCs/>
          <w:lang w:val="en-CA"/>
        </w:rPr>
        <w:fldChar w:fldCharType="end"/>
      </w:r>
      <w:r w:rsidRPr="003B5F08">
        <w:rPr>
          <w:iCs/>
          <w:lang w:val="es-CL"/>
        </w:rPr>
        <w:t>.</w:t>
      </w:r>
    </w:p>
  </w:footnote>
  <w:footnote w:id="87">
    <w:p w14:paraId="792F43C4" w14:textId="11450DDE" w:rsidR="00BF6063" w:rsidRPr="003B5F08" w:rsidRDefault="00BF6063" w:rsidP="00BF6063">
      <w:pPr>
        <w:pStyle w:val="Notedebasdepage"/>
        <w:rPr>
          <w:lang w:val="es-CL"/>
        </w:rPr>
      </w:pPr>
      <w:r w:rsidRPr="002F6CBB">
        <w:rPr>
          <w:rStyle w:val="Appelnotedebasdep"/>
          <w:lang w:val="en-CA"/>
        </w:rPr>
        <w:footnoteRef/>
      </w:r>
      <w:r w:rsidRPr="003B5F08">
        <w:rPr>
          <w:lang w:val="es-CL"/>
        </w:rPr>
        <w:t xml:space="preserve"> </w:t>
      </w:r>
      <w:r w:rsidRPr="003B5F08">
        <w:rPr>
          <w:lang w:val="es-CL"/>
        </w:rPr>
        <w:tab/>
      </w:r>
      <w:r w:rsidRPr="003B5F08">
        <w:rPr>
          <w:i/>
          <w:iCs/>
          <w:lang w:val="es-CL"/>
        </w:rPr>
        <w:t>Mensah</w:t>
      </w:r>
      <w:r w:rsidRPr="003B5F08">
        <w:rPr>
          <w:lang w:val="es-CL"/>
        </w:rPr>
        <w:t xml:space="preserve">, </w:t>
      </w:r>
      <w:r w:rsidRPr="003B5F08">
        <w:rPr>
          <w:i/>
          <w:iCs/>
          <w:lang w:val="es-CL"/>
        </w:rPr>
        <w:t>supra</w:t>
      </w:r>
      <w:r w:rsidRPr="003B5F08">
        <w:rPr>
          <w:lang w:val="es-CL"/>
        </w:rPr>
        <w:t xml:space="preserve"> note </w:t>
      </w:r>
      <w:r w:rsidRPr="002F6CBB">
        <w:rPr>
          <w:lang w:val="en-CA"/>
        </w:rPr>
        <w:fldChar w:fldCharType="begin"/>
      </w:r>
      <w:r w:rsidRPr="003B5F08">
        <w:rPr>
          <w:lang w:val="es-CL"/>
        </w:rPr>
        <w:instrText xml:space="preserve"> NOTEREF _Ref161823995 \h </w:instrText>
      </w:r>
      <w:r w:rsidRPr="002F6CBB">
        <w:rPr>
          <w:lang w:val="en-CA"/>
        </w:rPr>
      </w:r>
      <w:r w:rsidRPr="002F6CBB">
        <w:rPr>
          <w:lang w:val="en-CA"/>
        </w:rPr>
        <w:fldChar w:fldCharType="separate"/>
      </w:r>
      <w:r w:rsidR="000F1A75" w:rsidRPr="003B5F08">
        <w:rPr>
          <w:lang w:val="es-CL"/>
        </w:rPr>
        <w:t>18</w:t>
      </w:r>
      <w:r w:rsidRPr="002F6CBB">
        <w:rPr>
          <w:lang w:val="en-CA"/>
        </w:rPr>
        <w:fldChar w:fldCharType="end"/>
      </w:r>
      <w:r w:rsidRPr="003B5F08">
        <w:rPr>
          <w:lang w:val="es-CL"/>
        </w:rPr>
        <w:t>.</w:t>
      </w:r>
    </w:p>
  </w:footnote>
  <w:footnote w:id="88">
    <w:p w14:paraId="134006AF" w14:textId="2131C296" w:rsidR="00BF6063" w:rsidRPr="003B5F08" w:rsidRDefault="00BF6063" w:rsidP="00BF6063">
      <w:pPr>
        <w:pStyle w:val="Notedebasdepage"/>
        <w:rPr>
          <w:lang w:val="es-CL"/>
        </w:rPr>
      </w:pPr>
      <w:r w:rsidRPr="002F6CBB">
        <w:rPr>
          <w:rStyle w:val="Appelnotedebasdep"/>
          <w:lang w:val="en-CA"/>
        </w:rPr>
        <w:footnoteRef/>
      </w:r>
      <w:r w:rsidRPr="003B5F08">
        <w:rPr>
          <w:lang w:val="es-CL"/>
        </w:rPr>
        <w:t xml:space="preserve"> </w:t>
      </w:r>
      <w:r w:rsidRPr="003B5F08">
        <w:rPr>
          <w:lang w:val="es-CL"/>
        </w:rPr>
        <w:tab/>
      </w:r>
      <w:r w:rsidRPr="003B5F08">
        <w:rPr>
          <w:rFonts w:cs="Arial"/>
          <w:i/>
          <w:iCs/>
          <w:lang w:val="es-CL"/>
        </w:rPr>
        <w:t>DeBellefeuille</w:t>
      </w:r>
      <w:r w:rsidRPr="003B5F08">
        <w:rPr>
          <w:rFonts w:cs="Arial"/>
          <w:lang w:val="es-CL"/>
        </w:rPr>
        <w:t xml:space="preserve">, </w:t>
      </w:r>
      <w:r w:rsidRPr="003B5F08">
        <w:rPr>
          <w:rFonts w:cs="Arial"/>
          <w:i/>
          <w:iCs/>
          <w:lang w:val="es-CL"/>
        </w:rPr>
        <w:t>supra</w:t>
      </w:r>
      <w:r w:rsidRPr="003B5F08">
        <w:rPr>
          <w:rFonts w:cs="Arial"/>
          <w:lang w:val="es-CL"/>
        </w:rPr>
        <w:t xml:space="preserve"> note </w:t>
      </w:r>
      <w:r w:rsidRPr="002F6CBB">
        <w:rPr>
          <w:rFonts w:cs="Arial"/>
          <w:lang w:val="en-CA"/>
        </w:rPr>
        <w:fldChar w:fldCharType="begin"/>
      </w:r>
      <w:r w:rsidRPr="003B5F08">
        <w:rPr>
          <w:rFonts w:cs="Arial"/>
          <w:lang w:val="es-CL"/>
        </w:rPr>
        <w:instrText xml:space="preserve"> NOTEREF _Ref161821529 \h </w:instrText>
      </w:r>
      <w:r w:rsidRPr="002F6CBB">
        <w:rPr>
          <w:rFonts w:cs="Arial"/>
          <w:lang w:val="en-CA"/>
        </w:rPr>
      </w:r>
      <w:r w:rsidRPr="002F6CBB">
        <w:rPr>
          <w:rFonts w:cs="Arial"/>
          <w:lang w:val="en-CA"/>
        </w:rPr>
        <w:fldChar w:fldCharType="separate"/>
      </w:r>
      <w:r w:rsidR="000F1A75" w:rsidRPr="003B5F08">
        <w:rPr>
          <w:rFonts w:cs="Arial"/>
          <w:lang w:val="es-CL"/>
        </w:rPr>
        <w:t>14</w:t>
      </w:r>
      <w:r w:rsidRPr="002F6CBB">
        <w:rPr>
          <w:rFonts w:cs="Arial"/>
          <w:lang w:val="en-CA"/>
        </w:rPr>
        <w:fldChar w:fldCharType="end"/>
      </w:r>
      <w:r w:rsidRPr="003B5F08">
        <w:rPr>
          <w:rFonts w:cs="Arial"/>
          <w:lang w:val="es-CL"/>
        </w:rPr>
        <w:t>.</w:t>
      </w:r>
    </w:p>
  </w:footnote>
  <w:footnote w:id="89">
    <w:p w14:paraId="410D0BDB" w14:textId="0D02AC2B" w:rsidR="00BF6063" w:rsidRPr="003B5F08" w:rsidRDefault="00BF6063" w:rsidP="00BF6063">
      <w:pPr>
        <w:pStyle w:val="Notedebasdepage"/>
        <w:rPr>
          <w:lang w:val="es-CL"/>
        </w:rPr>
      </w:pPr>
      <w:r w:rsidRPr="002F6CBB">
        <w:rPr>
          <w:rStyle w:val="Appelnotedebasdep"/>
          <w:lang w:val="en-CA"/>
        </w:rPr>
        <w:footnoteRef/>
      </w:r>
      <w:r w:rsidRPr="003B5F08">
        <w:rPr>
          <w:lang w:val="es-CL"/>
        </w:rPr>
        <w:t xml:space="preserve"> </w:t>
      </w:r>
      <w:r w:rsidRPr="003B5F08">
        <w:rPr>
          <w:lang w:val="es-CL"/>
        </w:rPr>
        <w:tab/>
      </w:r>
      <w:r w:rsidRPr="003B5F08">
        <w:rPr>
          <w:i/>
          <w:lang w:val="es-CL"/>
        </w:rPr>
        <w:t>Nyembwe</w:t>
      </w:r>
      <w:r w:rsidRPr="003B5F08">
        <w:rPr>
          <w:iCs/>
          <w:lang w:val="es-CL"/>
        </w:rPr>
        <w:t xml:space="preserve">, </w:t>
      </w:r>
      <w:r w:rsidRPr="003B5F08">
        <w:rPr>
          <w:i/>
          <w:iCs/>
          <w:lang w:val="es-CL"/>
        </w:rPr>
        <w:t>supra</w:t>
      </w:r>
      <w:r w:rsidRPr="003B5F08">
        <w:rPr>
          <w:iCs/>
          <w:lang w:val="es-CL"/>
        </w:rPr>
        <w:t xml:space="preserve"> note </w:t>
      </w:r>
      <w:r w:rsidRPr="002F6CBB">
        <w:rPr>
          <w:iCs/>
          <w:lang w:val="en-CA"/>
        </w:rPr>
        <w:fldChar w:fldCharType="begin"/>
      </w:r>
      <w:r w:rsidRPr="003B5F08">
        <w:rPr>
          <w:iCs/>
          <w:lang w:val="es-CL"/>
        </w:rPr>
        <w:instrText xml:space="preserve"> NOTEREF _Ref161823995 \h </w:instrText>
      </w:r>
      <w:r w:rsidRPr="002F6CBB">
        <w:rPr>
          <w:iCs/>
          <w:lang w:val="en-CA"/>
        </w:rPr>
      </w:r>
      <w:r w:rsidRPr="002F6CBB">
        <w:rPr>
          <w:iCs/>
          <w:lang w:val="en-CA"/>
        </w:rPr>
        <w:fldChar w:fldCharType="separate"/>
      </w:r>
      <w:r w:rsidR="000F1A75" w:rsidRPr="003B5F08">
        <w:rPr>
          <w:iCs/>
          <w:lang w:val="es-CL"/>
        </w:rPr>
        <w:t>18</w:t>
      </w:r>
      <w:r w:rsidRPr="002F6CBB">
        <w:rPr>
          <w:iCs/>
          <w:lang w:val="en-CA"/>
        </w:rPr>
        <w:fldChar w:fldCharType="end"/>
      </w:r>
      <w:r w:rsidRPr="003B5F08">
        <w:rPr>
          <w:iCs/>
          <w:lang w:val="es-CL"/>
        </w:rPr>
        <w:t>.</w:t>
      </w:r>
    </w:p>
  </w:footnote>
  <w:footnote w:id="90">
    <w:p w14:paraId="004041C6" w14:textId="3A939F86" w:rsidR="00BF6063" w:rsidRPr="00DE4ADF" w:rsidRDefault="00BF6063" w:rsidP="00BF6063">
      <w:pPr>
        <w:pStyle w:val="Notedebasdepage"/>
      </w:pPr>
      <w:r w:rsidRPr="002F6CBB">
        <w:rPr>
          <w:rStyle w:val="Appelnotedebasdep"/>
          <w:lang w:val="en-CA"/>
        </w:rPr>
        <w:footnoteRef/>
      </w:r>
      <w:r w:rsidRPr="003B5F08">
        <w:rPr>
          <w:lang w:val="es-CL"/>
        </w:rPr>
        <w:t xml:space="preserve"> </w:t>
      </w:r>
      <w:r w:rsidRPr="003B5F08">
        <w:rPr>
          <w:lang w:val="es-CL"/>
        </w:rPr>
        <w:tab/>
      </w:r>
      <w:r w:rsidRPr="003B5F08">
        <w:rPr>
          <w:i/>
          <w:lang w:val="es-CL"/>
        </w:rPr>
        <w:t>Nkamba</w:t>
      </w:r>
      <w:r w:rsidRPr="003B5F08">
        <w:rPr>
          <w:iCs/>
          <w:lang w:val="es-CL"/>
        </w:rPr>
        <w:t xml:space="preserve">, </w:t>
      </w:r>
      <w:r w:rsidRPr="003B5F08">
        <w:rPr>
          <w:i/>
          <w:iCs/>
          <w:lang w:val="es-CL"/>
        </w:rPr>
        <w:t>supra</w:t>
      </w:r>
      <w:r w:rsidRPr="003B5F08">
        <w:rPr>
          <w:iCs/>
          <w:lang w:val="es-CL"/>
        </w:rPr>
        <w:t xml:space="preserve"> note </w:t>
      </w:r>
      <w:r w:rsidRPr="002F6CBB">
        <w:rPr>
          <w:iCs/>
          <w:lang w:val="en-CA"/>
        </w:rPr>
        <w:fldChar w:fldCharType="begin"/>
      </w:r>
      <w:r w:rsidRPr="003B5F08">
        <w:rPr>
          <w:iCs/>
          <w:lang w:val="es-CL"/>
        </w:rPr>
        <w:instrText xml:space="preserve"> NOTEREF _Ref161821961 \h </w:instrText>
      </w:r>
      <w:r w:rsidRPr="002F6CBB">
        <w:rPr>
          <w:iCs/>
          <w:lang w:val="en-CA"/>
        </w:rPr>
      </w:r>
      <w:r w:rsidRPr="002F6CBB">
        <w:rPr>
          <w:iCs/>
          <w:lang w:val="en-CA"/>
        </w:rPr>
        <w:fldChar w:fldCharType="separate"/>
      </w:r>
      <w:r w:rsidR="000F1A75" w:rsidRPr="003B5F08">
        <w:rPr>
          <w:iCs/>
          <w:lang w:val="es-CL"/>
        </w:rPr>
        <w:t>17</w:t>
      </w:r>
      <w:r w:rsidRPr="002F6CBB">
        <w:rPr>
          <w:iCs/>
          <w:lang w:val="en-CA"/>
        </w:rPr>
        <w:fldChar w:fldCharType="end"/>
      </w:r>
      <w:r w:rsidRPr="003B5F08">
        <w:rPr>
          <w:iCs/>
          <w:lang w:val="es-CL"/>
        </w:rPr>
        <w:t xml:space="preserve"> </w:t>
      </w:r>
      <w:r w:rsidRPr="00CA2E45">
        <w:rPr>
          <w:iCs/>
          <w:lang w:val="es-CL"/>
        </w:rPr>
        <w:t>at</w:t>
      </w:r>
      <w:r w:rsidRPr="00CA2E45">
        <w:rPr>
          <w:rFonts w:cs="Arial"/>
          <w:lang w:val="es-CL"/>
        </w:rPr>
        <w:t xml:space="preserve"> para. </w:t>
      </w:r>
      <w:r w:rsidRPr="00DE4ADF">
        <w:rPr>
          <w:rFonts w:cs="Arial"/>
        </w:rPr>
        <w:t>119.</w:t>
      </w:r>
    </w:p>
  </w:footnote>
  <w:footnote w:id="91">
    <w:p w14:paraId="6BE22861" w14:textId="6FBBAC67" w:rsidR="00BF6063" w:rsidRPr="005A25C1" w:rsidRDefault="00BF6063" w:rsidP="00BF6063">
      <w:pPr>
        <w:pStyle w:val="Notedebasdepage"/>
      </w:pPr>
      <w:r w:rsidRPr="002F6CBB">
        <w:rPr>
          <w:rStyle w:val="Appelnotedebasdep"/>
          <w:lang w:val="en-CA"/>
        </w:rPr>
        <w:footnoteRef/>
      </w:r>
      <w:r w:rsidRPr="00CA2E45">
        <w:t xml:space="preserve"> </w:t>
      </w:r>
      <w:r w:rsidRPr="00CA2E45">
        <w:tab/>
      </w:r>
      <w:r w:rsidRPr="00CA2E45">
        <w:rPr>
          <w:i/>
        </w:rPr>
        <w:t>Ibid.</w:t>
      </w:r>
      <w:r w:rsidRPr="00CA2E45">
        <w:rPr>
          <w:iCs/>
        </w:rPr>
        <w:t xml:space="preserve"> </w:t>
      </w:r>
      <w:r w:rsidRPr="00CA2E45">
        <w:rPr>
          <w:i/>
          <w:iCs/>
        </w:rPr>
        <w:t>supra</w:t>
      </w:r>
      <w:r w:rsidRPr="00CA2E45">
        <w:rPr>
          <w:iCs/>
        </w:rPr>
        <w:t xml:space="preserve"> note </w:t>
      </w:r>
      <w:r w:rsidRPr="002F6CBB">
        <w:rPr>
          <w:iCs/>
          <w:lang w:val="en-CA"/>
        </w:rPr>
        <w:fldChar w:fldCharType="begin"/>
      </w:r>
      <w:r w:rsidRPr="00CA2E45">
        <w:rPr>
          <w:iCs/>
        </w:rPr>
        <w:instrText xml:space="preserve"> NOTEREF _Ref161821961 \h </w:instrText>
      </w:r>
      <w:r w:rsidRPr="002F6CBB">
        <w:rPr>
          <w:iCs/>
          <w:lang w:val="en-CA"/>
        </w:rPr>
      </w:r>
      <w:r w:rsidRPr="002F6CBB">
        <w:rPr>
          <w:iCs/>
          <w:lang w:val="en-CA"/>
        </w:rPr>
        <w:fldChar w:fldCharType="separate"/>
      </w:r>
      <w:r w:rsidR="000F1A75" w:rsidRPr="00CA2E45">
        <w:rPr>
          <w:iCs/>
        </w:rPr>
        <w:t>17</w:t>
      </w:r>
      <w:r w:rsidRPr="002F6CBB">
        <w:rPr>
          <w:iCs/>
          <w:lang w:val="en-CA"/>
        </w:rPr>
        <w:fldChar w:fldCharType="end"/>
      </w:r>
      <w:r w:rsidRPr="00CA2E45">
        <w:rPr>
          <w:iCs/>
        </w:rPr>
        <w:t xml:space="preserve"> at</w:t>
      </w:r>
      <w:r w:rsidRPr="00CA2E45">
        <w:rPr>
          <w:rFonts w:cs="Arial"/>
        </w:rPr>
        <w:t xml:space="preserve"> para. </w:t>
      </w:r>
      <w:r w:rsidRPr="005A25C1">
        <w:rPr>
          <w:rFonts w:cs="Arial"/>
        </w:rPr>
        <w:t>130.</w:t>
      </w:r>
    </w:p>
  </w:footnote>
  <w:footnote w:id="92">
    <w:p w14:paraId="07286F06" w14:textId="77777777" w:rsidR="00BF6063" w:rsidRPr="005A25C1" w:rsidRDefault="00BF6063" w:rsidP="00BF6063">
      <w:pPr>
        <w:pStyle w:val="Notedebasdepage"/>
        <w:rPr>
          <w:rFonts w:cs="Arial"/>
        </w:rPr>
      </w:pPr>
      <w:r w:rsidRPr="002F6CBB">
        <w:rPr>
          <w:rStyle w:val="Appelnotedebasdep"/>
          <w:lang w:val="en-CA"/>
        </w:rPr>
        <w:footnoteRef/>
      </w:r>
      <w:r w:rsidRPr="005A25C1">
        <w:t xml:space="preserve"> </w:t>
      </w:r>
      <w:r w:rsidRPr="005A25C1">
        <w:tab/>
      </w:r>
      <w:r w:rsidRPr="005A25C1">
        <w:rPr>
          <w:rFonts w:cs="Arial"/>
          <w:i/>
          <w:iCs/>
          <w:color w:val="212529"/>
        </w:rPr>
        <w:t>Commission des droits de la personne et des droits de la jeunesse (Janvier et Estimable) c. Ville de Gatineau (SPVG)</w:t>
      </w:r>
      <w:r w:rsidRPr="005A25C1">
        <w:rPr>
          <w:rFonts w:cs="Arial"/>
          <w:color w:val="212529"/>
        </w:rPr>
        <w:t>, 2023 QCTDP 20.</w:t>
      </w:r>
    </w:p>
  </w:footnote>
  <w:footnote w:id="93">
    <w:p w14:paraId="528B5EB6" w14:textId="126D20F0" w:rsidR="00754CFC" w:rsidRPr="005A25C1" w:rsidRDefault="00754CFC" w:rsidP="00754CFC">
      <w:pPr>
        <w:pStyle w:val="Notedebasdepage"/>
      </w:pPr>
      <w:r w:rsidRPr="002F6CBB">
        <w:rPr>
          <w:rStyle w:val="Appelnotedebasdep"/>
          <w:lang w:val="en-CA"/>
        </w:rPr>
        <w:footnoteRef/>
      </w:r>
      <w:r w:rsidRPr="005A25C1">
        <w:t xml:space="preserve"> </w:t>
      </w:r>
      <w:r w:rsidRPr="005A25C1">
        <w:rPr>
          <w:rFonts w:cs="Arial"/>
          <w:i/>
          <w:iCs/>
        </w:rPr>
        <w:t xml:space="preserve">Bou Malhab </w:t>
      </w:r>
      <w:r w:rsidR="00145834" w:rsidRPr="005A25C1">
        <w:rPr>
          <w:rFonts w:cs="Arial"/>
          <w:i/>
          <w:iCs/>
        </w:rPr>
        <w:t>c</w:t>
      </w:r>
      <w:r w:rsidRPr="005A25C1">
        <w:rPr>
          <w:rFonts w:cs="Arial"/>
        </w:rPr>
        <w:t>.</w:t>
      </w:r>
      <w:r w:rsidRPr="005A25C1">
        <w:rPr>
          <w:rFonts w:cs="Arial"/>
          <w:i/>
          <w:iCs/>
        </w:rPr>
        <w:t xml:space="preserve"> Métromédia CMR Montréal inc., </w:t>
      </w:r>
      <w:r w:rsidRPr="005A25C1">
        <w:rPr>
          <w:rFonts w:cs="Arial"/>
        </w:rPr>
        <w:t>2003 CanLII 47948 (QC CA).</w:t>
      </w:r>
    </w:p>
  </w:footnote>
  <w:footnote w:id="94">
    <w:p w14:paraId="47EC0D11" w14:textId="60518E09" w:rsidR="00145834" w:rsidRPr="00CA2E45" w:rsidRDefault="00145834" w:rsidP="00145834">
      <w:pPr>
        <w:pStyle w:val="Notedebasdepage"/>
        <w:ind w:left="426" w:hanging="426"/>
        <w:rPr>
          <w:lang w:val="en-CA"/>
        </w:rPr>
      </w:pPr>
      <w:r w:rsidRPr="002F6CBB">
        <w:rPr>
          <w:rStyle w:val="Appelnotedebasdep"/>
          <w:lang w:val="en-CA"/>
        </w:rPr>
        <w:footnoteRef/>
      </w:r>
      <w:r w:rsidRPr="001A1D70">
        <w:rPr>
          <w:lang w:val="en-CA"/>
        </w:rPr>
        <w:t xml:space="preserve"> </w:t>
      </w:r>
      <w:r w:rsidRPr="001A1D70">
        <w:rPr>
          <w:i/>
          <w:iCs/>
          <w:lang w:val="en-CA"/>
        </w:rPr>
        <w:t>St-Ferdinand</w:t>
      </w:r>
      <w:r w:rsidRPr="001A1D70">
        <w:rPr>
          <w:rFonts w:cs="Arial"/>
          <w:lang w:val="en-CA"/>
        </w:rPr>
        <w:t xml:space="preserve">, </w:t>
      </w:r>
      <w:r w:rsidRPr="001A1D70">
        <w:rPr>
          <w:rFonts w:cs="Arial"/>
          <w:i/>
          <w:iCs/>
          <w:lang w:val="en-CA"/>
        </w:rPr>
        <w:t>supra</w:t>
      </w:r>
      <w:r w:rsidRPr="001A1D70">
        <w:rPr>
          <w:rFonts w:cs="Arial"/>
          <w:lang w:val="en-CA"/>
        </w:rPr>
        <w:t xml:space="preserve"> note</w:t>
      </w:r>
      <w:r w:rsidR="001A1D70">
        <w:rPr>
          <w:rFonts w:cs="Arial"/>
          <w:lang w:val="en-CA"/>
        </w:rPr>
        <w:t xml:space="preserve"> 78</w:t>
      </w:r>
      <w:r w:rsidRPr="001A1D70">
        <w:rPr>
          <w:rFonts w:cs="Arial"/>
          <w:lang w:val="en-CA"/>
        </w:rPr>
        <w:t xml:space="preserve"> </w:t>
      </w:r>
      <w:r w:rsidRPr="002F6CBB">
        <w:rPr>
          <w:rFonts w:cs="Arial"/>
          <w:lang w:val="en-CA"/>
        </w:rPr>
        <w:t>at para.</w:t>
      </w:r>
      <w:r w:rsidRPr="002F6CBB">
        <w:rPr>
          <w:rFonts w:cs="Arial"/>
          <w:i/>
          <w:iCs/>
          <w:lang w:val="en-CA"/>
        </w:rPr>
        <w:t xml:space="preserve"> </w:t>
      </w:r>
      <w:r w:rsidRPr="00CA2E45">
        <w:rPr>
          <w:rFonts w:cs="Arial"/>
          <w:lang w:val="en-CA"/>
        </w:rPr>
        <w:t>121.</w:t>
      </w:r>
    </w:p>
  </w:footnote>
  <w:footnote w:id="95">
    <w:p w14:paraId="7DC928BE" w14:textId="2CA06BF9" w:rsidR="00145834" w:rsidRPr="005A25C1" w:rsidRDefault="00145834" w:rsidP="00145834">
      <w:pPr>
        <w:pStyle w:val="Notedebasdepage"/>
        <w:ind w:left="426" w:hanging="426"/>
        <w:rPr>
          <w:rFonts w:cs="Arial"/>
        </w:rPr>
      </w:pPr>
      <w:r w:rsidRPr="002F6CBB">
        <w:rPr>
          <w:rStyle w:val="Appelnotedebasdep"/>
          <w:rFonts w:cs="Arial"/>
          <w:lang w:val="en-CA"/>
        </w:rPr>
        <w:footnoteRef/>
      </w:r>
      <w:r w:rsidRPr="00CA2E45">
        <w:rPr>
          <w:rFonts w:cs="Arial"/>
          <w:i/>
          <w:iCs/>
          <w:lang w:val="en-CA"/>
        </w:rPr>
        <w:t xml:space="preserve"> </w:t>
      </w:r>
      <w:r w:rsidRPr="00CA2E45">
        <w:rPr>
          <w:rFonts w:cs="Arial"/>
          <w:i/>
          <w:iCs/>
          <w:lang w:val="en-CA"/>
        </w:rPr>
        <w:tab/>
      </w:r>
      <w:r w:rsidR="0077321E" w:rsidRPr="00CA2E45">
        <w:rPr>
          <w:rFonts w:cs="Arial"/>
          <w:i/>
          <w:iCs/>
          <w:lang w:val="en-CA"/>
        </w:rPr>
        <w:t>d</w:t>
      </w:r>
      <w:r w:rsidRPr="00CA2E45">
        <w:rPr>
          <w:rFonts w:cs="Arial"/>
          <w:i/>
          <w:iCs/>
          <w:lang w:val="en-CA"/>
        </w:rPr>
        <w:t xml:space="preserve">e Montigny v. Brossard (Succession), </w:t>
      </w:r>
      <w:r w:rsidRPr="00CA2E45">
        <w:rPr>
          <w:rFonts w:cs="Arial"/>
          <w:lang w:val="en-CA"/>
        </w:rPr>
        <w:t xml:space="preserve">2010 SCC 51 at para. </w:t>
      </w:r>
      <w:r w:rsidRPr="005A25C1">
        <w:rPr>
          <w:rFonts w:cs="Arial"/>
        </w:rPr>
        <w:t>60.</w:t>
      </w:r>
    </w:p>
  </w:footnote>
  <w:footnote w:id="96">
    <w:p w14:paraId="2C45FDBF" w14:textId="77777777" w:rsidR="00145834" w:rsidRPr="005A25C1" w:rsidRDefault="00145834" w:rsidP="00145834">
      <w:pPr>
        <w:pStyle w:val="Notedebasdepage"/>
      </w:pPr>
      <w:r w:rsidRPr="002F6CBB">
        <w:rPr>
          <w:rStyle w:val="Appelnotedebasdep"/>
          <w:lang w:val="en-CA"/>
        </w:rPr>
        <w:footnoteRef/>
      </w:r>
      <w:r w:rsidRPr="005A25C1">
        <w:tab/>
      </w:r>
      <w:r w:rsidRPr="005A25C1">
        <w:rPr>
          <w:i/>
          <w:iCs/>
        </w:rPr>
        <w:t>Imperial Tobacco Canada ltée c. Conseil québécois sur le tabac et la santé,</w:t>
      </w:r>
      <w:r w:rsidRPr="005A25C1">
        <w:t xml:space="preserve"> 2019 QCCA 358.</w:t>
      </w:r>
    </w:p>
  </w:footnote>
  <w:footnote w:id="97">
    <w:p w14:paraId="54E972B9" w14:textId="77777777" w:rsidR="00145834" w:rsidRPr="002F6CBB" w:rsidRDefault="00145834" w:rsidP="00145834">
      <w:pPr>
        <w:pStyle w:val="Notedebasdepage"/>
        <w:rPr>
          <w:lang w:val="en-CA"/>
        </w:rPr>
      </w:pPr>
      <w:r w:rsidRPr="002F6CBB">
        <w:rPr>
          <w:rStyle w:val="Appelnotedebasdep"/>
          <w:lang w:val="en-CA"/>
        </w:rPr>
        <w:footnoteRef/>
      </w:r>
      <w:r w:rsidRPr="005A25C1">
        <w:t xml:space="preserve"> </w:t>
      </w:r>
      <w:r w:rsidRPr="005A25C1">
        <w:tab/>
      </w:r>
      <w:r w:rsidRPr="005A25C1">
        <w:rPr>
          <w:rStyle w:val="Accentuation"/>
          <w:color w:val="000000"/>
          <w:szCs w:val="24"/>
        </w:rPr>
        <w:t>Spieser c. Procureur général du Canada,</w:t>
      </w:r>
      <w:r w:rsidRPr="005A25C1">
        <w:rPr>
          <w:rFonts w:cs="Arial"/>
          <w:color w:val="000000"/>
        </w:rPr>
        <w:t xml:space="preserve"> 2020 QCCA 42 at paras. </w:t>
      </w:r>
      <w:r w:rsidRPr="002F6CBB">
        <w:rPr>
          <w:rFonts w:cs="Arial"/>
          <w:color w:val="000000"/>
          <w:lang w:val="en-CA"/>
        </w:rPr>
        <w:t>555 and 569.</w:t>
      </w:r>
    </w:p>
  </w:footnote>
  <w:footnote w:id="98">
    <w:p w14:paraId="10622165" w14:textId="63C9FD4F" w:rsidR="00145834" w:rsidRPr="002F6CBB" w:rsidRDefault="00145834" w:rsidP="00145834">
      <w:pPr>
        <w:pStyle w:val="Notedebasdepage"/>
        <w:rPr>
          <w:rFonts w:cs="Arial"/>
          <w:lang w:val="en-CA"/>
        </w:rPr>
      </w:pPr>
      <w:r w:rsidRPr="002F6CBB">
        <w:rPr>
          <w:rStyle w:val="Appelnotedebasdep"/>
          <w:lang w:val="en-CA"/>
        </w:rPr>
        <w:footnoteRef/>
      </w:r>
      <w:r w:rsidRPr="002F6CBB">
        <w:rPr>
          <w:lang w:val="en-CA"/>
        </w:rPr>
        <w:t xml:space="preserve"> </w:t>
      </w:r>
      <w:r w:rsidRPr="002F6CBB">
        <w:rPr>
          <w:lang w:val="en-CA"/>
        </w:rPr>
        <w:tab/>
      </w:r>
      <w:r w:rsidRPr="002F6CBB">
        <w:rPr>
          <w:rFonts w:cs="Arial"/>
          <w:i/>
          <w:iCs/>
          <w:lang w:val="en-CA"/>
        </w:rPr>
        <w:t>DeBellefeuille</w:t>
      </w:r>
      <w:r w:rsidRPr="002F6CBB">
        <w:rPr>
          <w:rFonts w:cs="Arial"/>
          <w:lang w:val="en-CA"/>
        </w:rPr>
        <w:t xml:space="preserve">, </w:t>
      </w:r>
      <w:r w:rsidRPr="002F6CBB">
        <w:rPr>
          <w:rFonts w:cs="Arial"/>
          <w:i/>
          <w:iCs/>
          <w:lang w:val="en-CA"/>
        </w:rPr>
        <w:t>supra</w:t>
      </w:r>
      <w:r w:rsidRPr="002F6CBB">
        <w:rPr>
          <w:rFonts w:cs="Arial"/>
          <w:lang w:val="en-CA"/>
        </w:rPr>
        <w:t xml:space="preserve"> note </w:t>
      </w:r>
      <w:r w:rsidRPr="002F6CBB">
        <w:rPr>
          <w:rFonts w:cs="Arial"/>
          <w:lang w:val="en-CA"/>
        </w:rPr>
        <w:fldChar w:fldCharType="begin"/>
      </w:r>
      <w:r w:rsidRPr="002F6CBB">
        <w:rPr>
          <w:rFonts w:cs="Arial"/>
          <w:lang w:val="en-CA"/>
        </w:rPr>
        <w:instrText xml:space="preserve"> NOTEREF _Ref161821529 \h  \* MERGEFORMAT </w:instrText>
      </w:r>
      <w:r w:rsidRPr="002F6CBB">
        <w:rPr>
          <w:rFonts w:cs="Arial"/>
          <w:lang w:val="en-CA"/>
        </w:rPr>
      </w:r>
      <w:r w:rsidRPr="002F6CBB">
        <w:rPr>
          <w:rFonts w:cs="Arial"/>
          <w:lang w:val="en-CA"/>
        </w:rPr>
        <w:fldChar w:fldCharType="separate"/>
      </w:r>
      <w:r w:rsidR="00EC25EA">
        <w:rPr>
          <w:rFonts w:cs="Arial"/>
          <w:lang w:val="en-CA"/>
        </w:rPr>
        <w:t>14</w:t>
      </w:r>
      <w:r w:rsidRPr="002F6CBB">
        <w:rPr>
          <w:rFonts w:cs="Arial"/>
          <w:lang w:val="en-CA"/>
        </w:rPr>
        <w:fldChar w:fldCharType="end"/>
      </w:r>
      <w:r w:rsidRPr="002F6CBB">
        <w:rPr>
          <w:rFonts w:cs="Arial"/>
          <w:lang w:val="en-CA"/>
        </w:rPr>
        <w:t xml:space="preserve"> at para. 248.</w:t>
      </w:r>
    </w:p>
  </w:footnote>
  <w:footnote w:id="99">
    <w:p w14:paraId="5ED3FDAD" w14:textId="77777777" w:rsidR="00145834" w:rsidRPr="002F6CBB" w:rsidRDefault="00145834" w:rsidP="00145834">
      <w:pPr>
        <w:pStyle w:val="Notedebasdepage"/>
        <w:rPr>
          <w:rFonts w:cs="Arial"/>
          <w:lang w:val="en-CA"/>
        </w:rPr>
      </w:pPr>
      <w:r w:rsidRPr="002F6CBB">
        <w:rPr>
          <w:rStyle w:val="Appelnotedebasdep"/>
          <w:rFonts w:cs="Arial"/>
          <w:lang w:val="en-CA"/>
        </w:rPr>
        <w:footnoteRef/>
      </w:r>
      <w:r w:rsidRPr="002F6CBB">
        <w:rPr>
          <w:rFonts w:cs="Arial"/>
          <w:lang w:val="en-CA"/>
        </w:rPr>
        <w:t xml:space="preserve"> </w:t>
      </w:r>
      <w:r w:rsidRPr="002F6CBB">
        <w:rPr>
          <w:rFonts w:cs="Arial"/>
          <w:lang w:val="en-CA"/>
        </w:rPr>
        <w:tab/>
      </w:r>
      <w:r w:rsidRPr="002F6CBB">
        <w:rPr>
          <w:rFonts w:cs="Arial"/>
          <w:i/>
          <w:iCs/>
          <w:lang w:val="en-CA"/>
        </w:rPr>
        <w:t>Ibid</w:t>
      </w:r>
      <w:r w:rsidRPr="002F6CBB">
        <w:rPr>
          <w:rFonts w:cs="Arial"/>
          <w:lang w:val="en-CA"/>
        </w:rPr>
        <w:t>. at para. 249.</w:t>
      </w:r>
    </w:p>
  </w:footnote>
  <w:footnote w:id="100">
    <w:p w14:paraId="2ED14CE2" w14:textId="77777777" w:rsidR="00145834" w:rsidRPr="002F6CBB" w:rsidRDefault="00145834" w:rsidP="00145834">
      <w:pPr>
        <w:pStyle w:val="Notedebasdepage"/>
        <w:rPr>
          <w:lang w:val="en-CA"/>
        </w:rPr>
      </w:pPr>
      <w:r w:rsidRPr="002F6CBB">
        <w:rPr>
          <w:rStyle w:val="Appelnotedebasdep"/>
          <w:lang w:val="en-CA"/>
        </w:rPr>
        <w:footnoteRef/>
      </w:r>
      <w:r w:rsidRPr="002F6CBB">
        <w:rPr>
          <w:lang w:val="en-CA"/>
        </w:rPr>
        <w:t xml:space="preserve"> </w:t>
      </w:r>
      <w:r w:rsidRPr="002F6CBB">
        <w:rPr>
          <w:lang w:val="en-CA"/>
        </w:rPr>
        <w:tab/>
      </w:r>
      <w:r w:rsidRPr="002F6CBB">
        <w:rPr>
          <w:i/>
          <w:iCs/>
          <w:lang w:val="en-CA"/>
        </w:rPr>
        <w:t>Civil Code of Québec</w:t>
      </w:r>
      <w:r w:rsidRPr="002F6CBB">
        <w:rPr>
          <w:lang w:val="en-CA"/>
        </w:rPr>
        <w:t xml:space="preserve"> (CQLR) (CCQ). </w:t>
      </w:r>
    </w:p>
  </w:footnote>
  <w:footnote w:id="101">
    <w:p w14:paraId="76A4A357" w14:textId="1BEECC85" w:rsidR="00201ACE" w:rsidRPr="005A25C1" w:rsidRDefault="00201ACE" w:rsidP="00201ACE">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t xml:space="preserve">Exhibit D-3, Document </w:t>
      </w:r>
      <w:r w:rsidRPr="00C14519">
        <w:rPr>
          <w:rFonts w:cs="Arial"/>
        </w:rPr>
        <w:t xml:space="preserve">titled </w:t>
      </w:r>
      <w:r w:rsidRPr="00AA10FD">
        <w:rPr>
          <w:rFonts w:cs="Arial"/>
          <w:i/>
          <w:iCs/>
        </w:rPr>
        <w:t>Nouveau regard sur le Service de police de Laval</w:t>
      </w:r>
      <w:r w:rsidRPr="00C14519">
        <w:rPr>
          <w:rFonts w:cs="Arial"/>
        </w:rPr>
        <w:t>.</w:t>
      </w:r>
    </w:p>
  </w:footnote>
  <w:footnote w:id="102">
    <w:p w14:paraId="5C925823" w14:textId="7263F7E9" w:rsidR="00201ACE" w:rsidRPr="005A25C1" w:rsidRDefault="00201ACE" w:rsidP="00201ACE">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t xml:space="preserve">Exhibit D-14, </w:t>
      </w:r>
      <w:r w:rsidRPr="00AA10FD">
        <w:rPr>
          <w:rFonts w:cs="Arial"/>
          <w:i/>
          <w:iCs/>
        </w:rPr>
        <w:t>Rapport de consultation citoyenne – Dialogue avec les citoyens par le Service de police de Laval</w:t>
      </w:r>
      <w:r w:rsidR="006D01F9">
        <w:rPr>
          <w:rFonts w:cs="Arial"/>
        </w:rPr>
        <w:t xml:space="preserve"> </w:t>
      </w:r>
      <w:r w:rsidR="006D01F9">
        <w:rPr>
          <w:rFonts w:cs="Arial"/>
          <w:smallCaps/>
        </w:rPr>
        <w:t>([</w:t>
      </w:r>
      <w:r w:rsidR="006D01F9" w:rsidRPr="006A1E77">
        <w:rPr>
          <w:rFonts w:cs="Arial"/>
          <w:smallCaps/>
        </w:rPr>
        <w:t>translation</w:t>
      </w:r>
      <w:r w:rsidR="006D01F9" w:rsidRPr="006A1E77">
        <w:rPr>
          <w:rFonts w:cs="Arial"/>
        </w:rPr>
        <w:t>]</w:t>
      </w:r>
      <w:r w:rsidR="006D01F9">
        <w:rPr>
          <w:rFonts w:cs="Arial"/>
        </w:rPr>
        <w:t xml:space="preserve"> </w:t>
      </w:r>
      <w:r w:rsidR="006D01F9" w:rsidRPr="00AA10FD">
        <w:rPr>
          <w:rFonts w:cs="Arial"/>
          <w:i/>
          <w:iCs/>
        </w:rPr>
        <w:t>Citizen consultation report – Dialogue with citizens by the Laval Police</w:t>
      </w:r>
      <w:r w:rsidR="006D01F9">
        <w:rPr>
          <w:rFonts w:cs="Arial"/>
        </w:rPr>
        <w:t>)</w:t>
      </w:r>
      <w:r w:rsidRPr="005A25C1">
        <w:rPr>
          <w:rFonts w:cs="Arial"/>
        </w:rPr>
        <w:t>, July 2021.</w:t>
      </w:r>
    </w:p>
  </w:footnote>
  <w:footnote w:id="103">
    <w:p w14:paraId="6B96BEAE" w14:textId="4FB25246" w:rsidR="00201ACE" w:rsidRPr="005A25C1" w:rsidRDefault="00201ACE" w:rsidP="00201ACE">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t>Exhibit D-15,</w:t>
      </w:r>
      <w:r w:rsidRPr="005A25C1">
        <w:rPr>
          <w:rFonts w:ascii="ArialMT" w:hAnsi="ArialMT" w:cs="ArialMT"/>
          <w:szCs w:val="24"/>
          <w:lang w:eastAsia="fr-CA"/>
        </w:rPr>
        <w:t xml:space="preserve"> </w:t>
      </w:r>
      <w:r w:rsidR="00366735" w:rsidRPr="005A25C1">
        <w:rPr>
          <w:rFonts w:ascii="ArialMT" w:hAnsi="ArialMT" w:cs="ArialMT"/>
          <w:szCs w:val="24"/>
          <w:lang w:eastAsia="fr-CA"/>
        </w:rPr>
        <w:t>Service de police de Laval</w:t>
      </w:r>
      <w:r w:rsidR="00366735">
        <w:rPr>
          <w:rFonts w:ascii="ArialMT" w:hAnsi="ArialMT" w:cs="ArialMT"/>
          <w:szCs w:val="24"/>
          <w:lang w:eastAsia="fr-CA"/>
        </w:rPr>
        <w:t>,</w:t>
      </w:r>
      <w:r w:rsidR="00366735" w:rsidRPr="005A25C1">
        <w:rPr>
          <w:rFonts w:ascii="Arial-ItalicMT" w:hAnsi="Arial-ItalicMT" w:cs="Arial-ItalicMT"/>
          <w:i/>
          <w:iCs/>
          <w:szCs w:val="24"/>
          <w:lang w:eastAsia="fr-CA"/>
        </w:rPr>
        <w:t xml:space="preserve"> </w:t>
      </w:r>
      <w:r w:rsidRPr="005A25C1">
        <w:rPr>
          <w:rFonts w:ascii="Arial-ItalicMT" w:hAnsi="Arial-ItalicMT" w:cs="Arial-ItalicMT"/>
          <w:i/>
          <w:iCs/>
          <w:szCs w:val="24"/>
          <w:lang w:eastAsia="fr-CA"/>
        </w:rPr>
        <w:t>Justice et Équité</w:t>
      </w:r>
      <w:r w:rsidRPr="005A25C1">
        <w:rPr>
          <w:rFonts w:cs="Arial"/>
        </w:rPr>
        <w:t>.</w:t>
      </w:r>
    </w:p>
  </w:footnote>
  <w:footnote w:id="104">
    <w:p w14:paraId="06271F23" w14:textId="656CE1DF" w:rsidR="00201ACE" w:rsidRPr="005A25C1" w:rsidRDefault="00201ACE" w:rsidP="00201ACE">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t xml:space="preserve">Exhibit D-19, </w:t>
      </w:r>
      <w:r w:rsidR="00F35ADA" w:rsidRPr="005A25C1">
        <w:rPr>
          <w:rFonts w:cs="Arial"/>
        </w:rPr>
        <w:t>Service de police de Laval</w:t>
      </w:r>
      <w:r w:rsidR="00F35ADA">
        <w:rPr>
          <w:rFonts w:cs="Arial"/>
        </w:rPr>
        <w:t>,</w:t>
      </w:r>
      <w:r w:rsidR="00F35ADA" w:rsidRPr="006A1E77">
        <w:rPr>
          <w:rFonts w:cs="Arial"/>
        </w:rPr>
        <w:t xml:space="preserve"> </w:t>
      </w:r>
      <w:r w:rsidRPr="00AA10FD">
        <w:rPr>
          <w:rFonts w:cs="Arial"/>
          <w:i/>
          <w:iCs/>
        </w:rPr>
        <w:t>Interpellation policière et profilage – Directive</w:t>
      </w:r>
      <w:r w:rsidR="00F35ADA">
        <w:rPr>
          <w:rFonts w:cs="Arial"/>
        </w:rPr>
        <w:t>,</w:t>
      </w:r>
      <w:r w:rsidRPr="005A25C1">
        <w:rPr>
          <w:rFonts w:cs="Arial"/>
        </w:rPr>
        <w:t xml:space="preserve"> December 7, 2022.</w:t>
      </w:r>
    </w:p>
  </w:footnote>
  <w:footnote w:id="105">
    <w:p w14:paraId="1D8E5028" w14:textId="01D5D112" w:rsidR="00201ACE" w:rsidRPr="005A25C1" w:rsidRDefault="00201ACE" w:rsidP="00201ACE">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t xml:space="preserve">Exhibit D-30, </w:t>
      </w:r>
      <w:r w:rsidRPr="00AA10FD">
        <w:rPr>
          <w:rFonts w:cs="Arial"/>
          <w:i/>
          <w:iCs/>
        </w:rPr>
        <w:t>La directive politique d’intervention : profilage criminel, profilage raciale</w:t>
      </w:r>
      <w:r w:rsidR="006A1E77">
        <w:rPr>
          <w:rFonts w:cs="Arial"/>
        </w:rPr>
        <w:t xml:space="preserve"> </w:t>
      </w:r>
      <w:r w:rsidR="006A1E77" w:rsidRPr="006A1E77">
        <w:t>(</w:t>
      </w:r>
      <w:r w:rsidR="006A1E77" w:rsidRPr="006A1E77">
        <w:rPr>
          <w:rFonts w:cs="Arial"/>
        </w:rPr>
        <w:t>[</w:t>
      </w:r>
      <w:r w:rsidR="006A1E77" w:rsidRPr="006A1E77">
        <w:rPr>
          <w:rFonts w:cs="Arial"/>
          <w:smallCaps/>
        </w:rPr>
        <w:t>translation</w:t>
      </w:r>
      <w:r w:rsidR="006A1E77" w:rsidRPr="006A1E77">
        <w:rPr>
          <w:rFonts w:cs="Arial"/>
        </w:rPr>
        <w:t>]</w:t>
      </w:r>
      <w:r w:rsidR="006A1E77">
        <w:rPr>
          <w:rFonts w:cs="Arial"/>
        </w:rPr>
        <w:t xml:space="preserve"> </w:t>
      </w:r>
      <w:r w:rsidR="006A1E77" w:rsidRPr="00AA10FD">
        <w:rPr>
          <w:rFonts w:cs="Arial"/>
          <w:i/>
          <w:iCs/>
        </w:rPr>
        <w:t>Intervention policy: criminal and racial profiling</w:t>
      </w:r>
      <w:r w:rsidR="006A1E77" w:rsidRPr="004C53C3">
        <w:rPr>
          <w:rFonts w:cs="Arial"/>
        </w:rPr>
        <w:t>)</w:t>
      </w:r>
      <w:r w:rsidRPr="005A25C1">
        <w:rPr>
          <w:rFonts w:cs="Arial"/>
        </w:rPr>
        <w:t xml:space="preserve"> </w:t>
      </w:r>
      <w:r w:rsidR="00B85DC7">
        <w:rPr>
          <w:rFonts w:cs="Arial"/>
        </w:rPr>
        <w:t xml:space="preserve">October </w:t>
      </w:r>
      <w:r w:rsidRPr="005A25C1">
        <w:rPr>
          <w:rFonts w:cs="Arial"/>
        </w:rPr>
        <w:t>28</w:t>
      </w:r>
      <w:r w:rsidR="00B85DC7">
        <w:rPr>
          <w:rFonts w:cs="Arial"/>
        </w:rPr>
        <w:t>,</w:t>
      </w:r>
      <w:r w:rsidRPr="005A25C1">
        <w:rPr>
          <w:rFonts w:cs="Arial"/>
        </w:rPr>
        <w:t xml:space="preserve"> 2008.</w:t>
      </w:r>
    </w:p>
  </w:footnote>
  <w:footnote w:id="106">
    <w:p w14:paraId="7E57844E" w14:textId="5E571E3A" w:rsidR="00201ACE" w:rsidRPr="005A25C1" w:rsidRDefault="00201ACE" w:rsidP="00201ACE">
      <w:pPr>
        <w:pStyle w:val="Notedebasdepage"/>
        <w:rPr>
          <w:rFonts w:cs="Arial"/>
        </w:rPr>
      </w:pPr>
      <w:r w:rsidRPr="002F6CBB">
        <w:rPr>
          <w:rStyle w:val="Appelnotedebasdep"/>
          <w:rFonts w:cs="Arial"/>
          <w:lang w:val="en-CA"/>
        </w:rPr>
        <w:footnoteRef/>
      </w:r>
      <w:r w:rsidRPr="005A25C1">
        <w:rPr>
          <w:rFonts w:cs="Arial"/>
        </w:rPr>
        <w:t xml:space="preserve"> </w:t>
      </w:r>
      <w:r w:rsidRPr="005A25C1">
        <w:rPr>
          <w:rFonts w:cs="Arial"/>
        </w:rPr>
        <w:tab/>
      </w:r>
      <w:r w:rsidRPr="005A25C1">
        <w:rPr>
          <w:rFonts w:cs="Arial"/>
          <w:i/>
          <w:iCs/>
        </w:rPr>
        <w:t>DeBellefeuille</w:t>
      </w:r>
      <w:r w:rsidRPr="005A25C1">
        <w:rPr>
          <w:rFonts w:cs="Arial"/>
        </w:rPr>
        <w:t xml:space="preserve">, </w:t>
      </w:r>
      <w:r w:rsidRPr="005A25C1">
        <w:rPr>
          <w:rFonts w:cs="Arial"/>
          <w:i/>
          <w:iCs/>
        </w:rPr>
        <w:t>supra</w:t>
      </w:r>
      <w:r w:rsidRPr="005A25C1">
        <w:rPr>
          <w:rFonts w:cs="Arial"/>
        </w:rPr>
        <w:t xml:space="preserve"> note </w:t>
      </w:r>
      <w:r w:rsidRPr="002F6CBB">
        <w:rPr>
          <w:rFonts w:cs="Arial"/>
          <w:lang w:val="en-CA"/>
        </w:rPr>
        <w:fldChar w:fldCharType="begin"/>
      </w:r>
      <w:r w:rsidRPr="005A25C1">
        <w:rPr>
          <w:rFonts w:cs="Arial"/>
        </w:rPr>
        <w:instrText xml:space="preserve"> NOTEREF _Ref161821529 \h  \* MERGEFORMAT </w:instrText>
      </w:r>
      <w:r w:rsidRPr="002F6CBB">
        <w:rPr>
          <w:rFonts w:cs="Arial"/>
          <w:lang w:val="en-CA"/>
        </w:rPr>
      </w:r>
      <w:r w:rsidRPr="002F6CBB">
        <w:rPr>
          <w:rFonts w:cs="Arial"/>
          <w:lang w:val="en-CA"/>
        </w:rPr>
        <w:fldChar w:fldCharType="separate"/>
      </w:r>
      <w:r w:rsidR="00EC25EA">
        <w:rPr>
          <w:rFonts w:cs="Arial"/>
        </w:rPr>
        <w:t>14</w:t>
      </w:r>
      <w:r w:rsidRPr="002F6CBB">
        <w:rPr>
          <w:rFonts w:cs="Arial"/>
          <w:lang w:val="en-CA"/>
        </w:rPr>
        <w:fldChar w:fldCharType="end"/>
      </w:r>
      <w:r w:rsidRPr="005A25C1">
        <w:rPr>
          <w:rFonts w:cs="Arial"/>
        </w:rPr>
        <w:t xml:space="preserve"> at paras. 323 to 325.</w:t>
      </w:r>
    </w:p>
  </w:footnote>
  <w:footnote w:id="107">
    <w:p w14:paraId="2776F40F" w14:textId="60146EFF" w:rsidR="00C353DC" w:rsidRPr="005A25C1" w:rsidRDefault="00BC67BE">
      <w:pPr>
        <w:pStyle w:val="Notedebasdepage"/>
      </w:pPr>
      <w:r w:rsidRPr="002F6CBB">
        <w:rPr>
          <w:rStyle w:val="Appelnotedebasdep"/>
          <w:lang w:val="en-CA"/>
        </w:rPr>
        <w:footnoteRef/>
      </w:r>
      <w:r w:rsidR="00BA7B90" w:rsidRPr="005A25C1">
        <w:t xml:space="preserve"> </w:t>
      </w:r>
      <w:r w:rsidR="00BA7B90" w:rsidRPr="005A25C1">
        <w:tab/>
        <w:t>Isabelle J</w:t>
      </w:r>
      <w:r w:rsidR="00087FFE" w:rsidRPr="005A25C1">
        <w:t>eune</w:t>
      </w:r>
      <w:r w:rsidR="00BA7B90" w:rsidRPr="005A25C1">
        <w:t>-M</w:t>
      </w:r>
      <w:r w:rsidR="00087FFE" w:rsidRPr="005A25C1">
        <w:t>aynart</w:t>
      </w:r>
      <w:r w:rsidR="00BA7B90" w:rsidRPr="005A25C1">
        <w:t xml:space="preserve"> (</w:t>
      </w:r>
      <w:r w:rsidR="00777862">
        <w:t>ed</w:t>
      </w:r>
      <w:r w:rsidR="00BA7B90" w:rsidRPr="005A25C1">
        <w:t xml:space="preserve">.), </w:t>
      </w:r>
      <w:r w:rsidR="00BA7B90" w:rsidRPr="005A25C1">
        <w:rPr>
          <w:i/>
          <w:iCs/>
        </w:rPr>
        <w:t>Larousse- Dictionnaire de français</w:t>
      </w:r>
      <w:r w:rsidR="00BA7B90" w:rsidRPr="005A25C1">
        <w:t xml:space="preserve"> </w:t>
      </w:r>
      <w:r w:rsidR="00087FFE" w:rsidRPr="005A25C1">
        <w:t>(</w:t>
      </w:r>
      <w:r w:rsidR="00BA7B90" w:rsidRPr="005A25C1">
        <w:t>Paris</w:t>
      </w:r>
      <w:r w:rsidR="00087FFE" w:rsidRPr="005A25C1">
        <w:t>:</w:t>
      </w:r>
      <w:r w:rsidR="00BA7B90" w:rsidRPr="005A25C1">
        <w:t xml:space="preserve"> Larousse, 2024</w:t>
      </w:r>
      <w:r w:rsidR="00087FFE" w:rsidRPr="005A25C1">
        <w:t>)</w:t>
      </w:r>
      <w:r w:rsidR="00BA7B90" w:rsidRPr="005A25C1">
        <w:t xml:space="preserve"> </w:t>
      </w:r>
      <w:r w:rsidR="00777862">
        <w:t xml:space="preserve">sub verbo </w:t>
      </w:r>
      <w:r w:rsidR="002F6CBB" w:rsidRPr="005A25C1">
        <w:t>“</w:t>
      </w:r>
      <w:r w:rsidR="00777862">
        <w:t>r</w:t>
      </w:r>
      <w:r w:rsidR="00BA7B90" w:rsidRPr="005A25C1">
        <w:t>ace</w:t>
      </w:r>
      <w:r w:rsidR="002F6CBB" w:rsidRPr="005A25C1">
        <w:t>”</w:t>
      </w:r>
      <w:r w:rsidR="00BA7B90" w:rsidRPr="005A25C1">
        <w:t xml:space="preserve">, </w:t>
      </w:r>
      <w:r w:rsidR="00087FFE" w:rsidRPr="005A25C1">
        <w:t>online</w:t>
      </w:r>
      <w:r w:rsidR="00BA7B90" w:rsidRPr="005A25C1">
        <w:t>: &lt;</w:t>
      </w:r>
      <w:r w:rsidR="00BA7B90" w:rsidRPr="005A25C1">
        <w:rPr>
          <w:color w:val="0000FF"/>
          <w:u w:val="single"/>
        </w:rPr>
        <w:t>Définitions : race - Dictionnaire de français Larousse</w:t>
      </w:r>
      <w:r w:rsidR="00BA7B90" w:rsidRPr="005A25C1">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3CD4" w14:textId="3AF875DB" w:rsidR="00201ACE" w:rsidRDefault="00000000">
    <w:pPr>
      <w:pStyle w:val="En-tte"/>
    </w:pPr>
    <w:r>
      <w:rPr>
        <w:noProof/>
      </w:rPr>
      <w:pict w14:anchorId="79E40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3438" o:spid="_x0000_s1026" type="#_x0000_t136" style="position:absolute;margin-left:0;margin-top:0;width:594pt;height:66pt;rotation:315;z-index:-251655168;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17D8" w14:textId="57FA2DE9" w:rsidR="00D025F2" w:rsidRDefault="00000000">
    <w:pPr>
      <w:tabs>
        <w:tab w:val="center" w:pos="4709"/>
        <w:tab w:val="right" w:pos="9360"/>
      </w:tabs>
      <w:ind w:right="524"/>
    </w:pPr>
    <w:r>
      <w:rPr>
        <w:noProof/>
      </w:rPr>
      <w:pict w14:anchorId="3A6F3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3439" o:spid="_x0000_s1027" type="#_x0000_t136" style="position:absolute;margin-left:0;margin-top:0;width:594pt;height:66pt;rotation:315;z-index:-251653120;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EF5343">
      <w:t>540-53-000065-213</w:t>
    </w:r>
    <w:r w:rsidR="00EF5343">
      <w:tab/>
    </w:r>
    <w:r w:rsidR="00EF5343">
      <w:tab/>
    </w:r>
    <w:r w:rsidR="00EF5343" w:rsidRPr="00201ACE">
      <w:t>PAGE:</w:t>
    </w:r>
    <w:r w:rsidR="00EF5343">
      <w:t xml:space="preserve"> </w:t>
    </w:r>
    <w:r w:rsidR="00EF5343">
      <w:fldChar w:fldCharType="begin"/>
    </w:r>
    <w:r w:rsidR="00EF5343">
      <w:instrText xml:space="preserve"> PAGE </w:instrText>
    </w:r>
    <w:r w:rsidR="00EF5343">
      <w:fldChar w:fldCharType="separate"/>
    </w:r>
    <w:r w:rsidR="007A3C58">
      <w:rPr>
        <w:noProof/>
      </w:rPr>
      <w:t>2</w:t>
    </w:r>
    <w:r w:rsidR="00EF5343">
      <w:fldChar w:fldCharType="end"/>
    </w:r>
  </w:p>
  <w:p w14:paraId="79CA9B06" w14:textId="77777777" w:rsidR="00D025F2" w:rsidRDefault="00D025F2">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32B9" w14:textId="2787E281" w:rsidR="00201ACE" w:rsidRDefault="00000000">
    <w:pPr>
      <w:pStyle w:val="En-tte"/>
    </w:pPr>
    <w:r>
      <w:rPr>
        <w:noProof/>
      </w:rPr>
      <w:pict w14:anchorId="54464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3437" o:spid="_x0000_s1025" type="#_x0000_t136" style="position:absolute;margin-left:0;margin-top:0;width:594pt;height:66pt;rotation:315;z-index:-25165721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AC9"/>
    <w:multiLevelType w:val="hybridMultilevel"/>
    <w:tmpl w:val="E0F6CE3A"/>
    <w:lvl w:ilvl="0" w:tplc="DD360AB2">
      <w:start w:val="3"/>
      <w:numFmt w:val="bullet"/>
      <w:lvlText w:val="-"/>
      <w:lvlJc w:val="left"/>
      <w:pPr>
        <w:ind w:left="720" w:hanging="360"/>
      </w:pPr>
      <w:rPr>
        <w:rFonts w:ascii="Arial" w:eastAsia="Times New Roman" w:hAnsi="Arial" w:cs="Arial" w:hint="default"/>
      </w:rPr>
    </w:lvl>
    <w:lvl w:ilvl="1" w:tplc="986015C6" w:tentative="1">
      <w:start w:val="1"/>
      <w:numFmt w:val="bullet"/>
      <w:lvlText w:val="o"/>
      <w:lvlJc w:val="left"/>
      <w:pPr>
        <w:ind w:left="1440" w:hanging="360"/>
      </w:pPr>
      <w:rPr>
        <w:rFonts w:ascii="Courier New" w:hAnsi="Courier New" w:cs="Courier New" w:hint="default"/>
      </w:rPr>
    </w:lvl>
    <w:lvl w:ilvl="2" w:tplc="C1B28334" w:tentative="1">
      <w:start w:val="1"/>
      <w:numFmt w:val="bullet"/>
      <w:lvlText w:val=""/>
      <w:lvlJc w:val="left"/>
      <w:pPr>
        <w:ind w:left="2160" w:hanging="360"/>
      </w:pPr>
      <w:rPr>
        <w:rFonts w:ascii="Wingdings" w:hAnsi="Wingdings" w:hint="default"/>
      </w:rPr>
    </w:lvl>
    <w:lvl w:ilvl="3" w:tplc="F3DCFD44" w:tentative="1">
      <w:start w:val="1"/>
      <w:numFmt w:val="bullet"/>
      <w:lvlText w:val=""/>
      <w:lvlJc w:val="left"/>
      <w:pPr>
        <w:ind w:left="2880" w:hanging="360"/>
      </w:pPr>
      <w:rPr>
        <w:rFonts w:ascii="Symbol" w:hAnsi="Symbol" w:hint="default"/>
      </w:rPr>
    </w:lvl>
    <w:lvl w:ilvl="4" w:tplc="A1D03F6C" w:tentative="1">
      <w:start w:val="1"/>
      <w:numFmt w:val="bullet"/>
      <w:lvlText w:val="o"/>
      <w:lvlJc w:val="left"/>
      <w:pPr>
        <w:ind w:left="3600" w:hanging="360"/>
      </w:pPr>
      <w:rPr>
        <w:rFonts w:ascii="Courier New" w:hAnsi="Courier New" w:cs="Courier New" w:hint="default"/>
      </w:rPr>
    </w:lvl>
    <w:lvl w:ilvl="5" w:tplc="7B40A3E4" w:tentative="1">
      <w:start w:val="1"/>
      <w:numFmt w:val="bullet"/>
      <w:lvlText w:val=""/>
      <w:lvlJc w:val="left"/>
      <w:pPr>
        <w:ind w:left="4320" w:hanging="360"/>
      </w:pPr>
      <w:rPr>
        <w:rFonts w:ascii="Wingdings" w:hAnsi="Wingdings" w:hint="default"/>
      </w:rPr>
    </w:lvl>
    <w:lvl w:ilvl="6" w:tplc="0DD4FCDC" w:tentative="1">
      <w:start w:val="1"/>
      <w:numFmt w:val="bullet"/>
      <w:lvlText w:val=""/>
      <w:lvlJc w:val="left"/>
      <w:pPr>
        <w:ind w:left="5040" w:hanging="360"/>
      </w:pPr>
      <w:rPr>
        <w:rFonts w:ascii="Symbol" w:hAnsi="Symbol" w:hint="default"/>
      </w:rPr>
    </w:lvl>
    <w:lvl w:ilvl="7" w:tplc="486A73CC" w:tentative="1">
      <w:start w:val="1"/>
      <w:numFmt w:val="bullet"/>
      <w:lvlText w:val="o"/>
      <w:lvlJc w:val="left"/>
      <w:pPr>
        <w:ind w:left="5760" w:hanging="360"/>
      </w:pPr>
      <w:rPr>
        <w:rFonts w:ascii="Courier New" w:hAnsi="Courier New" w:cs="Courier New" w:hint="default"/>
      </w:rPr>
    </w:lvl>
    <w:lvl w:ilvl="8" w:tplc="E34ED07C" w:tentative="1">
      <w:start w:val="1"/>
      <w:numFmt w:val="bullet"/>
      <w:lvlText w:val=""/>
      <w:lvlJc w:val="left"/>
      <w:pPr>
        <w:ind w:left="6480" w:hanging="360"/>
      </w:pPr>
      <w:rPr>
        <w:rFonts w:ascii="Wingdings" w:hAnsi="Wingdings" w:hint="default"/>
      </w:rPr>
    </w:lvl>
  </w:abstractNum>
  <w:abstractNum w:abstractNumId="1" w15:restartNumberingAfterBreak="0">
    <w:nsid w:val="29DE545F"/>
    <w:multiLevelType w:val="multilevel"/>
    <w:tmpl w:val="E794A78A"/>
    <w:lvl w:ilvl="0">
      <w:start w:val="1"/>
      <w:numFmt w:val="decimal"/>
      <w:lvlText w:val="%1."/>
      <w:lvlJc w:val="left"/>
      <w:pPr>
        <w:ind w:left="0" w:firstLine="0"/>
      </w:pPr>
      <w:rPr>
        <w:rFonts w:hint="default"/>
      </w:rPr>
    </w:lvl>
    <w:lvl w:ilvl="1">
      <w:start w:val="1"/>
      <w:numFmt w:val="decimal"/>
      <w:lvlText w:val="%2."/>
      <w:lvlJc w:val="left"/>
      <w:pPr>
        <w:ind w:left="720" w:hanging="360"/>
      </w:p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pStyle w:val="Titre5"/>
      <w:lvlText w:val="(%5)"/>
      <w:lvlJc w:val="left"/>
      <w:pPr>
        <w:ind w:left="2880" w:firstLine="0"/>
      </w:pPr>
      <w:rPr>
        <w:rFonts w:hint="default"/>
        <w:b w:val="0"/>
        <w:i w:val="0"/>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2" w15:restartNumberingAfterBreak="0">
    <w:nsid w:val="2BD12CF1"/>
    <w:multiLevelType w:val="multilevel"/>
    <w:tmpl w:val="C91A8326"/>
    <w:lvl w:ilvl="0">
      <w:start w:val="1"/>
      <w:numFmt w:val="decimal"/>
      <w:pStyle w:val="numration"/>
      <w:lvlText w:val="%1)"/>
      <w:lvlJc w:val="left"/>
      <w:pPr>
        <w:tabs>
          <w:tab w:val="num" w:pos="1094"/>
        </w:tabs>
        <w:ind w:left="734" w:firstLine="0"/>
      </w:pPr>
      <w:rPr>
        <w:rFonts w:hint="default"/>
        <w:b w:val="0"/>
        <w:i w:val="0"/>
        <w:sz w:val="24"/>
      </w:rPr>
    </w:lvl>
    <w:lvl w:ilvl="1">
      <w:start w:val="1"/>
      <w:numFmt w:val="decimal"/>
      <w:lvlText w:val="%1.%2."/>
      <w:lvlJc w:val="left"/>
      <w:pPr>
        <w:tabs>
          <w:tab w:val="num" w:pos="1526"/>
        </w:tabs>
        <w:ind w:left="1526" w:hanging="432"/>
      </w:pPr>
    </w:lvl>
    <w:lvl w:ilvl="2">
      <w:start w:val="1"/>
      <w:numFmt w:val="decimal"/>
      <w:lvlText w:val="%1.%2.%3."/>
      <w:lvlJc w:val="left"/>
      <w:pPr>
        <w:tabs>
          <w:tab w:val="num" w:pos="2174"/>
        </w:tabs>
        <w:ind w:left="1958" w:hanging="504"/>
      </w:pPr>
    </w:lvl>
    <w:lvl w:ilvl="3">
      <w:start w:val="1"/>
      <w:numFmt w:val="decimal"/>
      <w:lvlText w:val="%1.%2.%3.%4."/>
      <w:lvlJc w:val="left"/>
      <w:pPr>
        <w:tabs>
          <w:tab w:val="num" w:pos="2462"/>
        </w:tabs>
        <w:ind w:left="2462" w:hanging="648"/>
      </w:pPr>
    </w:lvl>
    <w:lvl w:ilvl="4">
      <w:start w:val="1"/>
      <w:numFmt w:val="decimal"/>
      <w:lvlText w:val="%1.%2.%3.%4.%5."/>
      <w:lvlJc w:val="left"/>
      <w:pPr>
        <w:tabs>
          <w:tab w:val="num" w:pos="3254"/>
        </w:tabs>
        <w:ind w:left="2966" w:hanging="792"/>
      </w:pPr>
    </w:lvl>
    <w:lvl w:ilvl="5">
      <w:start w:val="1"/>
      <w:numFmt w:val="decimal"/>
      <w:lvlText w:val="%1.%2.%3.%4.%5.%6."/>
      <w:lvlJc w:val="left"/>
      <w:pPr>
        <w:tabs>
          <w:tab w:val="num" w:pos="3974"/>
        </w:tabs>
        <w:ind w:left="3470" w:hanging="936"/>
      </w:pPr>
    </w:lvl>
    <w:lvl w:ilvl="6">
      <w:start w:val="1"/>
      <w:numFmt w:val="decimal"/>
      <w:lvlText w:val="%1.%2.%3.%4.%5.%6.%7."/>
      <w:lvlJc w:val="left"/>
      <w:pPr>
        <w:tabs>
          <w:tab w:val="num" w:pos="4334"/>
        </w:tabs>
        <w:ind w:left="3974" w:hanging="1080"/>
      </w:pPr>
    </w:lvl>
    <w:lvl w:ilvl="7">
      <w:start w:val="1"/>
      <w:numFmt w:val="decimal"/>
      <w:lvlText w:val="%1.%2.%3.%4.%5.%6.%7.%8."/>
      <w:lvlJc w:val="left"/>
      <w:pPr>
        <w:tabs>
          <w:tab w:val="num" w:pos="5054"/>
        </w:tabs>
        <w:ind w:left="4478" w:hanging="1224"/>
      </w:pPr>
    </w:lvl>
    <w:lvl w:ilvl="8">
      <w:start w:val="1"/>
      <w:numFmt w:val="decimal"/>
      <w:lvlText w:val="%1.%2.%3.%4.%5.%6.%7.%8.%9."/>
      <w:lvlJc w:val="left"/>
      <w:pPr>
        <w:tabs>
          <w:tab w:val="num" w:pos="5774"/>
        </w:tabs>
        <w:ind w:left="5054" w:hanging="1440"/>
      </w:pPr>
    </w:lvl>
  </w:abstractNum>
  <w:abstractNum w:abstractNumId="3" w15:restartNumberingAfterBreak="0">
    <w:nsid w:val="32C444F0"/>
    <w:multiLevelType w:val="hybridMultilevel"/>
    <w:tmpl w:val="6A9A3422"/>
    <w:lvl w:ilvl="0" w:tplc="EBA853DC">
      <w:numFmt w:val="bullet"/>
      <w:lvlText w:val=""/>
      <w:lvlJc w:val="left"/>
      <w:pPr>
        <w:ind w:left="720" w:hanging="360"/>
      </w:pPr>
      <w:rPr>
        <w:rFonts w:ascii="Symbol" w:eastAsia="Times New Roman" w:hAnsi="Symbol" w:cs="Times New Roman" w:hint="default"/>
      </w:rPr>
    </w:lvl>
    <w:lvl w:ilvl="1" w:tplc="9BE06F00" w:tentative="1">
      <w:start w:val="1"/>
      <w:numFmt w:val="bullet"/>
      <w:lvlText w:val="o"/>
      <w:lvlJc w:val="left"/>
      <w:pPr>
        <w:ind w:left="1440" w:hanging="360"/>
      </w:pPr>
      <w:rPr>
        <w:rFonts w:ascii="Courier New" w:hAnsi="Courier New" w:cs="Courier New" w:hint="default"/>
      </w:rPr>
    </w:lvl>
    <w:lvl w:ilvl="2" w:tplc="B4D25F36" w:tentative="1">
      <w:start w:val="1"/>
      <w:numFmt w:val="bullet"/>
      <w:lvlText w:val=""/>
      <w:lvlJc w:val="left"/>
      <w:pPr>
        <w:ind w:left="2160" w:hanging="360"/>
      </w:pPr>
      <w:rPr>
        <w:rFonts w:ascii="Wingdings" w:hAnsi="Wingdings" w:hint="default"/>
      </w:rPr>
    </w:lvl>
    <w:lvl w:ilvl="3" w:tplc="1ABE4FF8" w:tentative="1">
      <w:start w:val="1"/>
      <w:numFmt w:val="bullet"/>
      <w:lvlText w:val=""/>
      <w:lvlJc w:val="left"/>
      <w:pPr>
        <w:ind w:left="2880" w:hanging="360"/>
      </w:pPr>
      <w:rPr>
        <w:rFonts w:ascii="Symbol" w:hAnsi="Symbol" w:hint="default"/>
      </w:rPr>
    </w:lvl>
    <w:lvl w:ilvl="4" w:tplc="735AA0AC" w:tentative="1">
      <w:start w:val="1"/>
      <w:numFmt w:val="bullet"/>
      <w:lvlText w:val="o"/>
      <w:lvlJc w:val="left"/>
      <w:pPr>
        <w:ind w:left="3600" w:hanging="360"/>
      </w:pPr>
      <w:rPr>
        <w:rFonts w:ascii="Courier New" w:hAnsi="Courier New" w:cs="Courier New" w:hint="default"/>
      </w:rPr>
    </w:lvl>
    <w:lvl w:ilvl="5" w:tplc="8AE4F272" w:tentative="1">
      <w:start w:val="1"/>
      <w:numFmt w:val="bullet"/>
      <w:lvlText w:val=""/>
      <w:lvlJc w:val="left"/>
      <w:pPr>
        <w:ind w:left="4320" w:hanging="360"/>
      </w:pPr>
      <w:rPr>
        <w:rFonts w:ascii="Wingdings" w:hAnsi="Wingdings" w:hint="default"/>
      </w:rPr>
    </w:lvl>
    <w:lvl w:ilvl="6" w:tplc="BDC83CAA" w:tentative="1">
      <w:start w:val="1"/>
      <w:numFmt w:val="bullet"/>
      <w:lvlText w:val=""/>
      <w:lvlJc w:val="left"/>
      <w:pPr>
        <w:ind w:left="5040" w:hanging="360"/>
      </w:pPr>
      <w:rPr>
        <w:rFonts w:ascii="Symbol" w:hAnsi="Symbol" w:hint="default"/>
      </w:rPr>
    </w:lvl>
    <w:lvl w:ilvl="7" w:tplc="918E9790" w:tentative="1">
      <w:start w:val="1"/>
      <w:numFmt w:val="bullet"/>
      <w:lvlText w:val="o"/>
      <w:lvlJc w:val="left"/>
      <w:pPr>
        <w:ind w:left="5760" w:hanging="360"/>
      </w:pPr>
      <w:rPr>
        <w:rFonts w:ascii="Courier New" w:hAnsi="Courier New" w:cs="Courier New" w:hint="default"/>
      </w:rPr>
    </w:lvl>
    <w:lvl w:ilvl="8" w:tplc="EE42036A" w:tentative="1">
      <w:start w:val="1"/>
      <w:numFmt w:val="bullet"/>
      <w:lvlText w:val=""/>
      <w:lvlJc w:val="left"/>
      <w:pPr>
        <w:ind w:left="6480" w:hanging="360"/>
      </w:pPr>
      <w:rPr>
        <w:rFonts w:ascii="Wingdings" w:hAnsi="Wingdings" w:hint="default"/>
      </w:rPr>
    </w:lvl>
  </w:abstractNum>
  <w:abstractNum w:abstractNumId="4" w15:restartNumberingAfterBreak="0">
    <w:nsid w:val="33630C67"/>
    <w:multiLevelType w:val="hybridMultilevel"/>
    <w:tmpl w:val="F81E6070"/>
    <w:lvl w:ilvl="0" w:tplc="61F69A38">
      <w:start w:val="1"/>
      <w:numFmt w:val="lowerRoman"/>
      <w:pStyle w:val="Titre4"/>
      <w:lvlText w:val="%1."/>
      <w:lvlJc w:val="right"/>
      <w:pPr>
        <w:ind w:left="1287" w:hanging="360"/>
      </w:pPr>
    </w:lvl>
    <w:lvl w:ilvl="1" w:tplc="BCD610C6" w:tentative="1">
      <w:start w:val="1"/>
      <w:numFmt w:val="lowerLetter"/>
      <w:lvlText w:val="%2."/>
      <w:lvlJc w:val="left"/>
      <w:pPr>
        <w:ind w:left="2007" w:hanging="360"/>
      </w:pPr>
    </w:lvl>
    <w:lvl w:ilvl="2" w:tplc="BAA85726" w:tentative="1">
      <w:start w:val="1"/>
      <w:numFmt w:val="lowerRoman"/>
      <w:lvlText w:val="%3."/>
      <w:lvlJc w:val="right"/>
      <w:pPr>
        <w:ind w:left="2727" w:hanging="180"/>
      </w:pPr>
    </w:lvl>
    <w:lvl w:ilvl="3" w:tplc="BF0EF8F4" w:tentative="1">
      <w:start w:val="1"/>
      <w:numFmt w:val="decimal"/>
      <w:lvlText w:val="%4."/>
      <w:lvlJc w:val="left"/>
      <w:pPr>
        <w:ind w:left="3447" w:hanging="360"/>
      </w:pPr>
    </w:lvl>
    <w:lvl w:ilvl="4" w:tplc="3B6897EA" w:tentative="1">
      <w:start w:val="1"/>
      <w:numFmt w:val="lowerLetter"/>
      <w:lvlText w:val="%5."/>
      <w:lvlJc w:val="left"/>
      <w:pPr>
        <w:ind w:left="4167" w:hanging="360"/>
      </w:pPr>
    </w:lvl>
    <w:lvl w:ilvl="5" w:tplc="647076BA" w:tentative="1">
      <w:start w:val="1"/>
      <w:numFmt w:val="lowerRoman"/>
      <w:lvlText w:val="%6."/>
      <w:lvlJc w:val="right"/>
      <w:pPr>
        <w:ind w:left="4887" w:hanging="180"/>
      </w:pPr>
    </w:lvl>
    <w:lvl w:ilvl="6" w:tplc="51F6D9B4" w:tentative="1">
      <w:start w:val="1"/>
      <w:numFmt w:val="decimal"/>
      <w:lvlText w:val="%7."/>
      <w:lvlJc w:val="left"/>
      <w:pPr>
        <w:ind w:left="5607" w:hanging="360"/>
      </w:pPr>
    </w:lvl>
    <w:lvl w:ilvl="7" w:tplc="73306C3A" w:tentative="1">
      <w:start w:val="1"/>
      <w:numFmt w:val="lowerLetter"/>
      <w:lvlText w:val="%8."/>
      <w:lvlJc w:val="left"/>
      <w:pPr>
        <w:ind w:left="6327" w:hanging="360"/>
      </w:pPr>
    </w:lvl>
    <w:lvl w:ilvl="8" w:tplc="81003CC4" w:tentative="1">
      <w:start w:val="1"/>
      <w:numFmt w:val="lowerRoman"/>
      <w:lvlText w:val="%9."/>
      <w:lvlJc w:val="right"/>
      <w:pPr>
        <w:ind w:left="7047" w:hanging="180"/>
      </w:pPr>
    </w:lvl>
  </w:abstractNum>
  <w:abstractNum w:abstractNumId="5" w15:restartNumberingAfterBreak="0">
    <w:nsid w:val="4C871B96"/>
    <w:multiLevelType w:val="hybridMultilevel"/>
    <w:tmpl w:val="2ABA7C0E"/>
    <w:lvl w:ilvl="0" w:tplc="A0741F62">
      <w:start w:val="1"/>
      <w:numFmt w:val="lowerLetter"/>
      <w:pStyle w:val="Titre3"/>
      <w:lvlText w:val="%1."/>
      <w:lvlJc w:val="left"/>
      <w:pPr>
        <w:ind w:left="720" w:hanging="360"/>
      </w:pPr>
    </w:lvl>
    <w:lvl w:ilvl="1" w:tplc="7898EAF0" w:tentative="1">
      <w:start w:val="1"/>
      <w:numFmt w:val="lowerLetter"/>
      <w:lvlText w:val="%2."/>
      <w:lvlJc w:val="left"/>
      <w:pPr>
        <w:ind w:left="1440" w:hanging="360"/>
      </w:pPr>
    </w:lvl>
    <w:lvl w:ilvl="2" w:tplc="7C1E0A06" w:tentative="1">
      <w:start w:val="1"/>
      <w:numFmt w:val="lowerRoman"/>
      <w:lvlText w:val="%3."/>
      <w:lvlJc w:val="right"/>
      <w:pPr>
        <w:ind w:left="2160" w:hanging="180"/>
      </w:pPr>
    </w:lvl>
    <w:lvl w:ilvl="3" w:tplc="DD849638" w:tentative="1">
      <w:start w:val="1"/>
      <w:numFmt w:val="decimal"/>
      <w:lvlText w:val="%4."/>
      <w:lvlJc w:val="left"/>
      <w:pPr>
        <w:ind w:left="2880" w:hanging="360"/>
      </w:pPr>
    </w:lvl>
    <w:lvl w:ilvl="4" w:tplc="5F9C79CC" w:tentative="1">
      <w:start w:val="1"/>
      <w:numFmt w:val="lowerLetter"/>
      <w:lvlText w:val="%5."/>
      <w:lvlJc w:val="left"/>
      <w:pPr>
        <w:ind w:left="3600" w:hanging="360"/>
      </w:pPr>
    </w:lvl>
    <w:lvl w:ilvl="5" w:tplc="EC1C8232" w:tentative="1">
      <w:start w:val="1"/>
      <w:numFmt w:val="lowerRoman"/>
      <w:lvlText w:val="%6."/>
      <w:lvlJc w:val="right"/>
      <w:pPr>
        <w:ind w:left="4320" w:hanging="180"/>
      </w:pPr>
    </w:lvl>
    <w:lvl w:ilvl="6" w:tplc="55D67502" w:tentative="1">
      <w:start w:val="1"/>
      <w:numFmt w:val="decimal"/>
      <w:lvlText w:val="%7."/>
      <w:lvlJc w:val="left"/>
      <w:pPr>
        <w:ind w:left="5040" w:hanging="360"/>
      </w:pPr>
    </w:lvl>
    <w:lvl w:ilvl="7" w:tplc="474ED724" w:tentative="1">
      <w:start w:val="1"/>
      <w:numFmt w:val="lowerLetter"/>
      <w:lvlText w:val="%8."/>
      <w:lvlJc w:val="left"/>
      <w:pPr>
        <w:ind w:left="5760" w:hanging="360"/>
      </w:pPr>
    </w:lvl>
    <w:lvl w:ilvl="8" w:tplc="3064F5AE" w:tentative="1">
      <w:start w:val="1"/>
      <w:numFmt w:val="lowerRoman"/>
      <w:lvlText w:val="%9."/>
      <w:lvlJc w:val="right"/>
      <w:pPr>
        <w:ind w:left="6480" w:hanging="180"/>
      </w:pPr>
    </w:lvl>
  </w:abstractNum>
  <w:abstractNum w:abstractNumId="6" w15:restartNumberingAfterBreak="0">
    <w:nsid w:val="5C0A28E7"/>
    <w:multiLevelType w:val="hybridMultilevel"/>
    <w:tmpl w:val="F93861A4"/>
    <w:lvl w:ilvl="0" w:tplc="271A75BC">
      <w:start w:val="1"/>
      <w:numFmt w:val="lowerLetter"/>
      <w:lvlText w:val="(%1)"/>
      <w:lvlJc w:val="left"/>
      <w:pPr>
        <w:ind w:left="780" w:hanging="360"/>
      </w:pPr>
      <w:rPr>
        <w:rFonts w:hint="default"/>
      </w:rPr>
    </w:lvl>
    <w:lvl w:ilvl="1" w:tplc="DEE0F484" w:tentative="1">
      <w:start w:val="1"/>
      <w:numFmt w:val="lowerLetter"/>
      <w:lvlText w:val="%2."/>
      <w:lvlJc w:val="left"/>
      <w:pPr>
        <w:ind w:left="1500" w:hanging="360"/>
      </w:pPr>
    </w:lvl>
    <w:lvl w:ilvl="2" w:tplc="23643FB4" w:tentative="1">
      <w:start w:val="1"/>
      <w:numFmt w:val="lowerRoman"/>
      <w:lvlText w:val="%3."/>
      <w:lvlJc w:val="right"/>
      <w:pPr>
        <w:ind w:left="2220" w:hanging="180"/>
      </w:pPr>
    </w:lvl>
    <w:lvl w:ilvl="3" w:tplc="3E360A6C" w:tentative="1">
      <w:start w:val="1"/>
      <w:numFmt w:val="decimal"/>
      <w:lvlText w:val="%4."/>
      <w:lvlJc w:val="left"/>
      <w:pPr>
        <w:ind w:left="2940" w:hanging="360"/>
      </w:pPr>
    </w:lvl>
    <w:lvl w:ilvl="4" w:tplc="3466BDAA" w:tentative="1">
      <w:start w:val="1"/>
      <w:numFmt w:val="lowerLetter"/>
      <w:lvlText w:val="%5."/>
      <w:lvlJc w:val="left"/>
      <w:pPr>
        <w:ind w:left="3660" w:hanging="360"/>
      </w:pPr>
    </w:lvl>
    <w:lvl w:ilvl="5" w:tplc="D8421F52" w:tentative="1">
      <w:start w:val="1"/>
      <w:numFmt w:val="lowerRoman"/>
      <w:lvlText w:val="%6."/>
      <w:lvlJc w:val="right"/>
      <w:pPr>
        <w:ind w:left="4380" w:hanging="180"/>
      </w:pPr>
    </w:lvl>
    <w:lvl w:ilvl="6" w:tplc="0FFC750C" w:tentative="1">
      <w:start w:val="1"/>
      <w:numFmt w:val="decimal"/>
      <w:lvlText w:val="%7."/>
      <w:lvlJc w:val="left"/>
      <w:pPr>
        <w:ind w:left="5100" w:hanging="360"/>
      </w:pPr>
    </w:lvl>
    <w:lvl w:ilvl="7" w:tplc="E758C7AA" w:tentative="1">
      <w:start w:val="1"/>
      <w:numFmt w:val="lowerLetter"/>
      <w:lvlText w:val="%8."/>
      <w:lvlJc w:val="left"/>
      <w:pPr>
        <w:ind w:left="5820" w:hanging="360"/>
      </w:pPr>
    </w:lvl>
    <w:lvl w:ilvl="8" w:tplc="3BACB23A" w:tentative="1">
      <w:start w:val="1"/>
      <w:numFmt w:val="lowerRoman"/>
      <w:lvlText w:val="%9."/>
      <w:lvlJc w:val="right"/>
      <w:pPr>
        <w:ind w:left="6540" w:hanging="180"/>
      </w:pPr>
    </w:lvl>
  </w:abstractNum>
  <w:abstractNum w:abstractNumId="7" w15:restartNumberingAfterBreak="0">
    <w:nsid w:val="609C0DCC"/>
    <w:multiLevelType w:val="multilevel"/>
    <w:tmpl w:val="9368896E"/>
    <w:lvl w:ilvl="0">
      <w:start w:val="1"/>
      <w:numFmt w:val="decimal"/>
      <w:pStyle w:val="Paragraphe"/>
      <w:lvlText w:val="[%1]"/>
      <w:lvlJc w:val="left"/>
      <w:pPr>
        <w:tabs>
          <w:tab w:val="num" w:pos="2203"/>
        </w:tabs>
        <w:ind w:left="1843"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36D1AFC"/>
    <w:multiLevelType w:val="multilevel"/>
    <w:tmpl w:val="DB98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315D5"/>
    <w:multiLevelType w:val="hybridMultilevel"/>
    <w:tmpl w:val="968293F8"/>
    <w:lvl w:ilvl="0" w:tplc="DE12DE20">
      <w:start w:val="3"/>
      <w:numFmt w:val="bullet"/>
      <w:lvlText w:val="-"/>
      <w:lvlJc w:val="left"/>
      <w:pPr>
        <w:ind w:left="927" w:hanging="360"/>
      </w:pPr>
      <w:rPr>
        <w:rFonts w:ascii="Arial" w:eastAsia="Times New Roman" w:hAnsi="Arial" w:cs="Arial" w:hint="default"/>
      </w:rPr>
    </w:lvl>
    <w:lvl w:ilvl="1" w:tplc="FBE081FA" w:tentative="1">
      <w:start w:val="1"/>
      <w:numFmt w:val="bullet"/>
      <w:lvlText w:val="o"/>
      <w:lvlJc w:val="left"/>
      <w:pPr>
        <w:ind w:left="1647" w:hanging="360"/>
      </w:pPr>
      <w:rPr>
        <w:rFonts w:ascii="Courier New" w:hAnsi="Courier New" w:cs="Courier New" w:hint="default"/>
      </w:rPr>
    </w:lvl>
    <w:lvl w:ilvl="2" w:tplc="EC12F3DE" w:tentative="1">
      <w:start w:val="1"/>
      <w:numFmt w:val="bullet"/>
      <w:lvlText w:val=""/>
      <w:lvlJc w:val="left"/>
      <w:pPr>
        <w:ind w:left="2367" w:hanging="360"/>
      </w:pPr>
      <w:rPr>
        <w:rFonts w:ascii="Wingdings" w:hAnsi="Wingdings" w:hint="default"/>
      </w:rPr>
    </w:lvl>
    <w:lvl w:ilvl="3" w:tplc="40706A84" w:tentative="1">
      <w:start w:val="1"/>
      <w:numFmt w:val="bullet"/>
      <w:lvlText w:val=""/>
      <w:lvlJc w:val="left"/>
      <w:pPr>
        <w:ind w:left="3087" w:hanging="360"/>
      </w:pPr>
      <w:rPr>
        <w:rFonts w:ascii="Symbol" w:hAnsi="Symbol" w:hint="default"/>
      </w:rPr>
    </w:lvl>
    <w:lvl w:ilvl="4" w:tplc="C4488EF4" w:tentative="1">
      <w:start w:val="1"/>
      <w:numFmt w:val="bullet"/>
      <w:lvlText w:val="o"/>
      <w:lvlJc w:val="left"/>
      <w:pPr>
        <w:ind w:left="3807" w:hanging="360"/>
      </w:pPr>
      <w:rPr>
        <w:rFonts w:ascii="Courier New" w:hAnsi="Courier New" w:cs="Courier New" w:hint="default"/>
      </w:rPr>
    </w:lvl>
    <w:lvl w:ilvl="5" w:tplc="8946B47A" w:tentative="1">
      <w:start w:val="1"/>
      <w:numFmt w:val="bullet"/>
      <w:lvlText w:val=""/>
      <w:lvlJc w:val="left"/>
      <w:pPr>
        <w:ind w:left="4527" w:hanging="360"/>
      </w:pPr>
      <w:rPr>
        <w:rFonts w:ascii="Wingdings" w:hAnsi="Wingdings" w:hint="default"/>
      </w:rPr>
    </w:lvl>
    <w:lvl w:ilvl="6" w:tplc="2C88B0F0" w:tentative="1">
      <w:start w:val="1"/>
      <w:numFmt w:val="bullet"/>
      <w:lvlText w:val=""/>
      <w:lvlJc w:val="left"/>
      <w:pPr>
        <w:ind w:left="5247" w:hanging="360"/>
      </w:pPr>
      <w:rPr>
        <w:rFonts w:ascii="Symbol" w:hAnsi="Symbol" w:hint="default"/>
      </w:rPr>
    </w:lvl>
    <w:lvl w:ilvl="7" w:tplc="5972FB6E" w:tentative="1">
      <w:start w:val="1"/>
      <w:numFmt w:val="bullet"/>
      <w:lvlText w:val="o"/>
      <w:lvlJc w:val="left"/>
      <w:pPr>
        <w:ind w:left="5967" w:hanging="360"/>
      </w:pPr>
      <w:rPr>
        <w:rFonts w:ascii="Courier New" w:hAnsi="Courier New" w:cs="Courier New" w:hint="default"/>
      </w:rPr>
    </w:lvl>
    <w:lvl w:ilvl="8" w:tplc="698453D4" w:tentative="1">
      <w:start w:val="1"/>
      <w:numFmt w:val="bullet"/>
      <w:lvlText w:val=""/>
      <w:lvlJc w:val="left"/>
      <w:pPr>
        <w:ind w:left="6687" w:hanging="360"/>
      </w:pPr>
      <w:rPr>
        <w:rFonts w:ascii="Wingdings" w:hAnsi="Wingdings" w:hint="default"/>
      </w:rPr>
    </w:lvl>
  </w:abstractNum>
  <w:abstractNum w:abstractNumId="10" w15:restartNumberingAfterBreak="0">
    <w:nsid w:val="754B0ED6"/>
    <w:multiLevelType w:val="hybridMultilevel"/>
    <w:tmpl w:val="DAC42986"/>
    <w:lvl w:ilvl="0" w:tplc="271A75BC">
      <w:start w:val="1"/>
      <w:numFmt w:val="lowerLetter"/>
      <w:lvlText w:val="(%1)"/>
      <w:lvlJc w:val="left"/>
      <w:pPr>
        <w:ind w:left="720" w:hanging="360"/>
      </w:pPr>
      <w:rPr>
        <w:rFonts w:hint="default"/>
      </w:rPr>
    </w:lvl>
    <w:lvl w:ilvl="1" w:tplc="33F836CE" w:tentative="1">
      <w:start w:val="1"/>
      <w:numFmt w:val="lowerLetter"/>
      <w:lvlText w:val="%2."/>
      <w:lvlJc w:val="left"/>
      <w:pPr>
        <w:ind w:left="1440" w:hanging="360"/>
      </w:pPr>
    </w:lvl>
    <w:lvl w:ilvl="2" w:tplc="D0B076B0" w:tentative="1">
      <w:start w:val="1"/>
      <w:numFmt w:val="lowerRoman"/>
      <w:lvlText w:val="%3."/>
      <w:lvlJc w:val="right"/>
      <w:pPr>
        <w:ind w:left="2160" w:hanging="180"/>
      </w:pPr>
    </w:lvl>
    <w:lvl w:ilvl="3" w:tplc="B3F8D858" w:tentative="1">
      <w:start w:val="1"/>
      <w:numFmt w:val="decimal"/>
      <w:lvlText w:val="%4."/>
      <w:lvlJc w:val="left"/>
      <w:pPr>
        <w:ind w:left="2880" w:hanging="360"/>
      </w:pPr>
    </w:lvl>
    <w:lvl w:ilvl="4" w:tplc="5A90B3D0" w:tentative="1">
      <w:start w:val="1"/>
      <w:numFmt w:val="lowerLetter"/>
      <w:lvlText w:val="%5."/>
      <w:lvlJc w:val="left"/>
      <w:pPr>
        <w:ind w:left="3600" w:hanging="360"/>
      </w:pPr>
    </w:lvl>
    <w:lvl w:ilvl="5" w:tplc="A2B804B0" w:tentative="1">
      <w:start w:val="1"/>
      <w:numFmt w:val="lowerRoman"/>
      <w:lvlText w:val="%6."/>
      <w:lvlJc w:val="right"/>
      <w:pPr>
        <w:ind w:left="4320" w:hanging="180"/>
      </w:pPr>
    </w:lvl>
    <w:lvl w:ilvl="6" w:tplc="16EC9D00" w:tentative="1">
      <w:start w:val="1"/>
      <w:numFmt w:val="decimal"/>
      <w:lvlText w:val="%7."/>
      <w:lvlJc w:val="left"/>
      <w:pPr>
        <w:ind w:left="5040" w:hanging="360"/>
      </w:pPr>
    </w:lvl>
    <w:lvl w:ilvl="7" w:tplc="B792E254" w:tentative="1">
      <w:start w:val="1"/>
      <w:numFmt w:val="lowerLetter"/>
      <w:lvlText w:val="%8."/>
      <w:lvlJc w:val="left"/>
      <w:pPr>
        <w:ind w:left="5760" w:hanging="360"/>
      </w:pPr>
    </w:lvl>
    <w:lvl w:ilvl="8" w:tplc="4E50B286" w:tentative="1">
      <w:start w:val="1"/>
      <w:numFmt w:val="lowerRoman"/>
      <w:lvlText w:val="%9."/>
      <w:lvlJc w:val="right"/>
      <w:pPr>
        <w:ind w:left="6480" w:hanging="180"/>
      </w:pPr>
    </w:lvl>
  </w:abstractNum>
  <w:abstractNum w:abstractNumId="11" w15:restartNumberingAfterBreak="0">
    <w:nsid w:val="7A1A7F19"/>
    <w:multiLevelType w:val="hybridMultilevel"/>
    <w:tmpl w:val="120E25F2"/>
    <w:lvl w:ilvl="0" w:tplc="531CBF0C">
      <w:numFmt w:val="bullet"/>
      <w:lvlText w:val=""/>
      <w:lvlJc w:val="left"/>
      <w:pPr>
        <w:ind w:left="1080" w:hanging="360"/>
      </w:pPr>
      <w:rPr>
        <w:rFonts w:ascii="Symbol" w:eastAsia="Times New Roman" w:hAnsi="Symbol" w:cs="Times New Roman" w:hint="default"/>
      </w:rPr>
    </w:lvl>
    <w:lvl w:ilvl="1" w:tplc="DB40BC60" w:tentative="1">
      <w:start w:val="1"/>
      <w:numFmt w:val="bullet"/>
      <w:lvlText w:val="o"/>
      <w:lvlJc w:val="left"/>
      <w:pPr>
        <w:ind w:left="1800" w:hanging="360"/>
      </w:pPr>
      <w:rPr>
        <w:rFonts w:ascii="Courier New" w:hAnsi="Courier New" w:cs="Courier New" w:hint="default"/>
      </w:rPr>
    </w:lvl>
    <w:lvl w:ilvl="2" w:tplc="3168F3D0" w:tentative="1">
      <w:start w:val="1"/>
      <w:numFmt w:val="bullet"/>
      <w:lvlText w:val=""/>
      <w:lvlJc w:val="left"/>
      <w:pPr>
        <w:ind w:left="2520" w:hanging="360"/>
      </w:pPr>
      <w:rPr>
        <w:rFonts w:ascii="Wingdings" w:hAnsi="Wingdings" w:hint="default"/>
      </w:rPr>
    </w:lvl>
    <w:lvl w:ilvl="3" w:tplc="01487AC8" w:tentative="1">
      <w:start w:val="1"/>
      <w:numFmt w:val="bullet"/>
      <w:lvlText w:val=""/>
      <w:lvlJc w:val="left"/>
      <w:pPr>
        <w:ind w:left="3240" w:hanging="360"/>
      </w:pPr>
      <w:rPr>
        <w:rFonts w:ascii="Symbol" w:hAnsi="Symbol" w:hint="default"/>
      </w:rPr>
    </w:lvl>
    <w:lvl w:ilvl="4" w:tplc="B9126EF0" w:tentative="1">
      <w:start w:val="1"/>
      <w:numFmt w:val="bullet"/>
      <w:lvlText w:val="o"/>
      <w:lvlJc w:val="left"/>
      <w:pPr>
        <w:ind w:left="3960" w:hanging="360"/>
      </w:pPr>
      <w:rPr>
        <w:rFonts w:ascii="Courier New" w:hAnsi="Courier New" w:cs="Courier New" w:hint="default"/>
      </w:rPr>
    </w:lvl>
    <w:lvl w:ilvl="5" w:tplc="5B425116" w:tentative="1">
      <w:start w:val="1"/>
      <w:numFmt w:val="bullet"/>
      <w:lvlText w:val=""/>
      <w:lvlJc w:val="left"/>
      <w:pPr>
        <w:ind w:left="4680" w:hanging="360"/>
      </w:pPr>
      <w:rPr>
        <w:rFonts w:ascii="Wingdings" w:hAnsi="Wingdings" w:hint="default"/>
      </w:rPr>
    </w:lvl>
    <w:lvl w:ilvl="6" w:tplc="237214C8" w:tentative="1">
      <w:start w:val="1"/>
      <w:numFmt w:val="bullet"/>
      <w:lvlText w:val=""/>
      <w:lvlJc w:val="left"/>
      <w:pPr>
        <w:ind w:left="5400" w:hanging="360"/>
      </w:pPr>
      <w:rPr>
        <w:rFonts w:ascii="Symbol" w:hAnsi="Symbol" w:hint="default"/>
      </w:rPr>
    </w:lvl>
    <w:lvl w:ilvl="7" w:tplc="C3DE8E0E" w:tentative="1">
      <w:start w:val="1"/>
      <w:numFmt w:val="bullet"/>
      <w:lvlText w:val="o"/>
      <w:lvlJc w:val="left"/>
      <w:pPr>
        <w:ind w:left="6120" w:hanging="360"/>
      </w:pPr>
      <w:rPr>
        <w:rFonts w:ascii="Courier New" w:hAnsi="Courier New" w:cs="Courier New" w:hint="default"/>
      </w:rPr>
    </w:lvl>
    <w:lvl w:ilvl="8" w:tplc="562C6B14" w:tentative="1">
      <w:start w:val="1"/>
      <w:numFmt w:val="bullet"/>
      <w:lvlText w:val=""/>
      <w:lvlJc w:val="left"/>
      <w:pPr>
        <w:ind w:left="6840" w:hanging="360"/>
      </w:pPr>
      <w:rPr>
        <w:rFonts w:ascii="Wingdings" w:hAnsi="Wingdings" w:hint="default"/>
      </w:rPr>
    </w:lvl>
  </w:abstractNum>
  <w:abstractNum w:abstractNumId="12" w15:restartNumberingAfterBreak="0">
    <w:nsid w:val="7B954D86"/>
    <w:multiLevelType w:val="hybridMultilevel"/>
    <w:tmpl w:val="54665968"/>
    <w:lvl w:ilvl="0" w:tplc="E7F072DE">
      <w:start w:val="1"/>
      <w:numFmt w:val="lowerRoman"/>
      <w:lvlText w:val="%1."/>
      <w:lvlJc w:val="left"/>
      <w:pPr>
        <w:ind w:left="1080" w:hanging="720"/>
      </w:pPr>
      <w:rPr>
        <w:rFonts w:hint="default"/>
      </w:rPr>
    </w:lvl>
    <w:lvl w:ilvl="1" w:tplc="1D523136" w:tentative="1">
      <w:start w:val="1"/>
      <w:numFmt w:val="lowerLetter"/>
      <w:lvlText w:val="%2."/>
      <w:lvlJc w:val="left"/>
      <w:pPr>
        <w:ind w:left="1440" w:hanging="360"/>
      </w:pPr>
    </w:lvl>
    <w:lvl w:ilvl="2" w:tplc="2FB8FAE6" w:tentative="1">
      <w:start w:val="1"/>
      <w:numFmt w:val="lowerRoman"/>
      <w:lvlText w:val="%3."/>
      <w:lvlJc w:val="right"/>
      <w:pPr>
        <w:ind w:left="2160" w:hanging="180"/>
      </w:pPr>
    </w:lvl>
    <w:lvl w:ilvl="3" w:tplc="01649CEC" w:tentative="1">
      <w:start w:val="1"/>
      <w:numFmt w:val="decimal"/>
      <w:lvlText w:val="%4."/>
      <w:lvlJc w:val="left"/>
      <w:pPr>
        <w:ind w:left="2880" w:hanging="360"/>
      </w:pPr>
    </w:lvl>
    <w:lvl w:ilvl="4" w:tplc="ADA4E3CA" w:tentative="1">
      <w:start w:val="1"/>
      <w:numFmt w:val="lowerLetter"/>
      <w:lvlText w:val="%5."/>
      <w:lvlJc w:val="left"/>
      <w:pPr>
        <w:ind w:left="3600" w:hanging="360"/>
      </w:pPr>
    </w:lvl>
    <w:lvl w:ilvl="5" w:tplc="620258FA" w:tentative="1">
      <w:start w:val="1"/>
      <w:numFmt w:val="lowerRoman"/>
      <w:lvlText w:val="%6."/>
      <w:lvlJc w:val="right"/>
      <w:pPr>
        <w:ind w:left="4320" w:hanging="180"/>
      </w:pPr>
    </w:lvl>
    <w:lvl w:ilvl="6" w:tplc="EC063DF6" w:tentative="1">
      <w:start w:val="1"/>
      <w:numFmt w:val="decimal"/>
      <w:lvlText w:val="%7."/>
      <w:lvlJc w:val="left"/>
      <w:pPr>
        <w:ind w:left="5040" w:hanging="360"/>
      </w:pPr>
    </w:lvl>
    <w:lvl w:ilvl="7" w:tplc="5C78C8FA" w:tentative="1">
      <w:start w:val="1"/>
      <w:numFmt w:val="lowerLetter"/>
      <w:lvlText w:val="%8."/>
      <w:lvlJc w:val="left"/>
      <w:pPr>
        <w:ind w:left="5760" w:hanging="360"/>
      </w:pPr>
    </w:lvl>
    <w:lvl w:ilvl="8" w:tplc="9EBE8D0A" w:tentative="1">
      <w:start w:val="1"/>
      <w:numFmt w:val="lowerRoman"/>
      <w:lvlText w:val="%9."/>
      <w:lvlJc w:val="right"/>
      <w:pPr>
        <w:ind w:left="6480" w:hanging="180"/>
      </w:pPr>
    </w:lvl>
  </w:abstractNum>
  <w:num w:numId="1" w16cid:durableId="346641149">
    <w:abstractNumId w:val="7"/>
  </w:num>
  <w:num w:numId="2" w16cid:durableId="2035810510">
    <w:abstractNumId w:val="2"/>
  </w:num>
  <w:num w:numId="3" w16cid:durableId="234560137">
    <w:abstractNumId w:val="1"/>
  </w:num>
  <w:num w:numId="4" w16cid:durableId="1932809485">
    <w:abstractNumId w:val="5"/>
  </w:num>
  <w:num w:numId="5" w16cid:durableId="1679966145">
    <w:abstractNumId w:val="9"/>
  </w:num>
  <w:num w:numId="6" w16cid:durableId="732393186">
    <w:abstractNumId w:val="10"/>
  </w:num>
  <w:num w:numId="7" w16cid:durableId="476999338">
    <w:abstractNumId w:val="6"/>
  </w:num>
  <w:num w:numId="8" w16cid:durableId="892277214">
    <w:abstractNumId w:val="4"/>
  </w:num>
  <w:num w:numId="9" w16cid:durableId="86776464">
    <w:abstractNumId w:val="4"/>
    <w:lvlOverride w:ilvl="0">
      <w:startOverride w:val="1"/>
    </w:lvlOverride>
  </w:num>
  <w:num w:numId="10" w16cid:durableId="1132091397">
    <w:abstractNumId w:val="0"/>
  </w:num>
  <w:num w:numId="11" w16cid:durableId="1540897262">
    <w:abstractNumId w:val="5"/>
    <w:lvlOverride w:ilvl="0">
      <w:startOverride w:val="1"/>
    </w:lvlOverride>
  </w:num>
  <w:num w:numId="12" w16cid:durableId="947204097">
    <w:abstractNumId w:val="4"/>
  </w:num>
  <w:num w:numId="13" w16cid:durableId="2145003093">
    <w:abstractNumId w:val="4"/>
  </w:num>
  <w:num w:numId="14" w16cid:durableId="1216896343">
    <w:abstractNumId w:val="12"/>
  </w:num>
  <w:num w:numId="15" w16cid:durableId="2144231494">
    <w:abstractNumId w:val="3"/>
  </w:num>
  <w:num w:numId="16" w16cid:durableId="1646396168">
    <w:abstractNumId w:val="11"/>
  </w:num>
  <w:num w:numId="17" w16cid:durableId="4287447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E"/>
    <w:rsid w:val="000015D0"/>
    <w:rsid w:val="00005C4F"/>
    <w:rsid w:val="0000613B"/>
    <w:rsid w:val="000074C4"/>
    <w:rsid w:val="00007A3C"/>
    <w:rsid w:val="00016DC4"/>
    <w:rsid w:val="00020D6C"/>
    <w:rsid w:val="00022EAF"/>
    <w:rsid w:val="00023625"/>
    <w:rsid w:val="00023868"/>
    <w:rsid w:val="00024427"/>
    <w:rsid w:val="0002562B"/>
    <w:rsid w:val="00027FB0"/>
    <w:rsid w:val="0003373F"/>
    <w:rsid w:val="00040EB5"/>
    <w:rsid w:val="00042850"/>
    <w:rsid w:val="00044792"/>
    <w:rsid w:val="00044DA7"/>
    <w:rsid w:val="000454D7"/>
    <w:rsid w:val="00045DE1"/>
    <w:rsid w:val="0005120F"/>
    <w:rsid w:val="00051CFE"/>
    <w:rsid w:val="000546C1"/>
    <w:rsid w:val="00054BD0"/>
    <w:rsid w:val="000603E2"/>
    <w:rsid w:val="00061F33"/>
    <w:rsid w:val="000634F0"/>
    <w:rsid w:val="000637C2"/>
    <w:rsid w:val="00064E58"/>
    <w:rsid w:val="00071370"/>
    <w:rsid w:val="0008174F"/>
    <w:rsid w:val="00082128"/>
    <w:rsid w:val="0008758E"/>
    <w:rsid w:val="00087FFE"/>
    <w:rsid w:val="000900B3"/>
    <w:rsid w:val="000910EE"/>
    <w:rsid w:val="00094C96"/>
    <w:rsid w:val="00096364"/>
    <w:rsid w:val="000A1A55"/>
    <w:rsid w:val="000A2307"/>
    <w:rsid w:val="000A3DCB"/>
    <w:rsid w:val="000A4C1B"/>
    <w:rsid w:val="000A52DD"/>
    <w:rsid w:val="000A5449"/>
    <w:rsid w:val="000A5AAF"/>
    <w:rsid w:val="000A6508"/>
    <w:rsid w:val="000A76CC"/>
    <w:rsid w:val="000A78C2"/>
    <w:rsid w:val="000B09A7"/>
    <w:rsid w:val="000B1201"/>
    <w:rsid w:val="000B156A"/>
    <w:rsid w:val="000B1B7A"/>
    <w:rsid w:val="000B3943"/>
    <w:rsid w:val="000B65AB"/>
    <w:rsid w:val="000B7974"/>
    <w:rsid w:val="000C0364"/>
    <w:rsid w:val="000C27F3"/>
    <w:rsid w:val="000C45BA"/>
    <w:rsid w:val="000C5565"/>
    <w:rsid w:val="000C5683"/>
    <w:rsid w:val="000C60F3"/>
    <w:rsid w:val="000C7005"/>
    <w:rsid w:val="000C7F70"/>
    <w:rsid w:val="000D41E5"/>
    <w:rsid w:val="000D5624"/>
    <w:rsid w:val="000E1B72"/>
    <w:rsid w:val="000E20BA"/>
    <w:rsid w:val="000E35D1"/>
    <w:rsid w:val="000E4379"/>
    <w:rsid w:val="000E4494"/>
    <w:rsid w:val="000E705D"/>
    <w:rsid w:val="000E71E4"/>
    <w:rsid w:val="000E76F2"/>
    <w:rsid w:val="000F08B3"/>
    <w:rsid w:val="000F1485"/>
    <w:rsid w:val="000F1A75"/>
    <w:rsid w:val="000F209C"/>
    <w:rsid w:val="000F20D4"/>
    <w:rsid w:val="00104460"/>
    <w:rsid w:val="00110180"/>
    <w:rsid w:val="00110F9C"/>
    <w:rsid w:val="00112FB9"/>
    <w:rsid w:val="001136AD"/>
    <w:rsid w:val="001202FD"/>
    <w:rsid w:val="00121BB4"/>
    <w:rsid w:val="00124B55"/>
    <w:rsid w:val="00127B5E"/>
    <w:rsid w:val="001313A6"/>
    <w:rsid w:val="00132044"/>
    <w:rsid w:val="0013284E"/>
    <w:rsid w:val="001331ED"/>
    <w:rsid w:val="0013425F"/>
    <w:rsid w:val="001347ED"/>
    <w:rsid w:val="00136D4B"/>
    <w:rsid w:val="00137A0B"/>
    <w:rsid w:val="0014200E"/>
    <w:rsid w:val="00143BB1"/>
    <w:rsid w:val="001443FA"/>
    <w:rsid w:val="00144B72"/>
    <w:rsid w:val="00145834"/>
    <w:rsid w:val="00145F78"/>
    <w:rsid w:val="00146E01"/>
    <w:rsid w:val="00147465"/>
    <w:rsid w:val="0015078B"/>
    <w:rsid w:val="00154827"/>
    <w:rsid w:val="00154E4F"/>
    <w:rsid w:val="00160597"/>
    <w:rsid w:val="001614C4"/>
    <w:rsid w:val="0016231A"/>
    <w:rsid w:val="00165BB0"/>
    <w:rsid w:val="00166C4A"/>
    <w:rsid w:val="00170638"/>
    <w:rsid w:val="00180C49"/>
    <w:rsid w:val="00181A84"/>
    <w:rsid w:val="00181F94"/>
    <w:rsid w:val="00182C01"/>
    <w:rsid w:val="001845B0"/>
    <w:rsid w:val="0018590A"/>
    <w:rsid w:val="00185A28"/>
    <w:rsid w:val="00187885"/>
    <w:rsid w:val="001879B8"/>
    <w:rsid w:val="0019080F"/>
    <w:rsid w:val="00191007"/>
    <w:rsid w:val="001A017E"/>
    <w:rsid w:val="001A1D70"/>
    <w:rsid w:val="001A3FE2"/>
    <w:rsid w:val="001A489C"/>
    <w:rsid w:val="001A4936"/>
    <w:rsid w:val="001A5045"/>
    <w:rsid w:val="001A59D6"/>
    <w:rsid w:val="001A78CA"/>
    <w:rsid w:val="001A7EDC"/>
    <w:rsid w:val="001B18AC"/>
    <w:rsid w:val="001B1CF3"/>
    <w:rsid w:val="001B1EE3"/>
    <w:rsid w:val="001B2652"/>
    <w:rsid w:val="001B288D"/>
    <w:rsid w:val="001B4392"/>
    <w:rsid w:val="001B4907"/>
    <w:rsid w:val="001B5D96"/>
    <w:rsid w:val="001B633E"/>
    <w:rsid w:val="001B6AA6"/>
    <w:rsid w:val="001B6B90"/>
    <w:rsid w:val="001C1363"/>
    <w:rsid w:val="001C2BB1"/>
    <w:rsid w:val="001C301E"/>
    <w:rsid w:val="001C5CB0"/>
    <w:rsid w:val="001D2824"/>
    <w:rsid w:val="001D2841"/>
    <w:rsid w:val="001D31CF"/>
    <w:rsid w:val="001D7A40"/>
    <w:rsid w:val="001E3950"/>
    <w:rsid w:val="001E3C23"/>
    <w:rsid w:val="001E3F8E"/>
    <w:rsid w:val="001E546D"/>
    <w:rsid w:val="001E588D"/>
    <w:rsid w:val="001F1668"/>
    <w:rsid w:val="001F17AB"/>
    <w:rsid w:val="001F3728"/>
    <w:rsid w:val="001F4807"/>
    <w:rsid w:val="00200157"/>
    <w:rsid w:val="002002AE"/>
    <w:rsid w:val="0020032C"/>
    <w:rsid w:val="00200D0C"/>
    <w:rsid w:val="00201ACE"/>
    <w:rsid w:val="00203262"/>
    <w:rsid w:val="00205A25"/>
    <w:rsid w:val="00207295"/>
    <w:rsid w:val="00210E85"/>
    <w:rsid w:val="002135E7"/>
    <w:rsid w:val="00214580"/>
    <w:rsid w:val="00215E00"/>
    <w:rsid w:val="00220686"/>
    <w:rsid w:val="00220AE4"/>
    <w:rsid w:val="002218AB"/>
    <w:rsid w:val="00221CE2"/>
    <w:rsid w:val="00221D79"/>
    <w:rsid w:val="0022238E"/>
    <w:rsid w:val="00222DBE"/>
    <w:rsid w:val="0022305A"/>
    <w:rsid w:val="002230E1"/>
    <w:rsid w:val="0022488B"/>
    <w:rsid w:val="00225020"/>
    <w:rsid w:val="00225A6B"/>
    <w:rsid w:val="00225D33"/>
    <w:rsid w:val="00232A2C"/>
    <w:rsid w:val="002358C5"/>
    <w:rsid w:val="00236B7D"/>
    <w:rsid w:val="00236C2C"/>
    <w:rsid w:val="00241013"/>
    <w:rsid w:val="002418FF"/>
    <w:rsid w:val="00241FAB"/>
    <w:rsid w:val="002433A5"/>
    <w:rsid w:val="00245E3A"/>
    <w:rsid w:val="0024714C"/>
    <w:rsid w:val="002479AC"/>
    <w:rsid w:val="00247AB8"/>
    <w:rsid w:val="00247F51"/>
    <w:rsid w:val="002517C1"/>
    <w:rsid w:val="002517C8"/>
    <w:rsid w:val="00256407"/>
    <w:rsid w:val="00256CFD"/>
    <w:rsid w:val="002609FA"/>
    <w:rsid w:val="00262999"/>
    <w:rsid w:val="002633B5"/>
    <w:rsid w:val="002644CA"/>
    <w:rsid w:val="002645DC"/>
    <w:rsid w:val="00264689"/>
    <w:rsid w:val="00265E6B"/>
    <w:rsid w:val="00272582"/>
    <w:rsid w:val="00273598"/>
    <w:rsid w:val="0027495D"/>
    <w:rsid w:val="00274F0D"/>
    <w:rsid w:val="00275D43"/>
    <w:rsid w:val="00276244"/>
    <w:rsid w:val="00280C7A"/>
    <w:rsid w:val="00283CD7"/>
    <w:rsid w:val="0028442F"/>
    <w:rsid w:val="00284DFD"/>
    <w:rsid w:val="002864A4"/>
    <w:rsid w:val="00290C50"/>
    <w:rsid w:val="002943CB"/>
    <w:rsid w:val="00294E78"/>
    <w:rsid w:val="00295210"/>
    <w:rsid w:val="002A0C8A"/>
    <w:rsid w:val="002A198A"/>
    <w:rsid w:val="002A2678"/>
    <w:rsid w:val="002A2BFE"/>
    <w:rsid w:val="002A4F4D"/>
    <w:rsid w:val="002A60BD"/>
    <w:rsid w:val="002A7612"/>
    <w:rsid w:val="002B02AC"/>
    <w:rsid w:val="002B1A17"/>
    <w:rsid w:val="002B3CAA"/>
    <w:rsid w:val="002B59F2"/>
    <w:rsid w:val="002B6F39"/>
    <w:rsid w:val="002B7C39"/>
    <w:rsid w:val="002C05CC"/>
    <w:rsid w:val="002C18A6"/>
    <w:rsid w:val="002C5356"/>
    <w:rsid w:val="002C7413"/>
    <w:rsid w:val="002D0FDE"/>
    <w:rsid w:val="002D2C7A"/>
    <w:rsid w:val="002D2CB7"/>
    <w:rsid w:val="002D36A7"/>
    <w:rsid w:val="002D516D"/>
    <w:rsid w:val="002D5344"/>
    <w:rsid w:val="002D5989"/>
    <w:rsid w:val="002D63A1"/>
    <w:rsid w:val="002D65B1"/>
    <w:rsid w:val="002D6F03"/>
    <w:rsid w:val="002D79C0"/>
    <w:rsid w:val="002E1D27"/>
    <w:rsid w:val="002E3BC4"/>
    <w:rsid w:val="002E6408"/>
    <w:rsid w:val="002E64BD"/>
    <w:rsid w:val="002E6932"/>
    <w:rsid w:val="002F085E"/>
    <w:rsid w:val="002F2A45"/>
    <w:rsid w:val="002F4895"/>
    <w:rsid w:val="002F531A"/>
    <w:rsid w:val="002F5A13"/>
    <w:rsid w:val="002F6CBB"/>
    <w:rsid w:val="002F785D"/>
    <w:rsid w:val="00300CDC"/>
    <w:rsid w:val="0030144D"/>
    <w:rsid w:val="003017ED"/>
    <w:rsid w:val="003022D3"/>
    <w:rsid w:val="003046A8"/>
    <w:rsid w:val="003079A8"/>
    <w:rsid w:val="00310A33"/>
    <w:rsid w:val="003118BD"/>
    <w:rsid w:val="003120F1"/>
    <w:rsid w:val="003158B5"/>
    <w:rsid w:val="003158EF"/>
    <w:rsid w:val="0032068D"/>
    <w:rsid w:val="003264AA"/>
    <w:rsid w:val="00332B65"/>
    <w:rsid w:val="00334377"/>
    <w:rsid w:val="00336178"/>
    <w:rsid w:val="0033655E"/>
    <w:rsid w:val="00337A8C"/>
    <w:rsid w:val="0034046F"/>
    <w:rsid w:val="00341809"/>
    <w:rsid w:val="00342A54"/>
    <w:rsid w:val="003431CF"/>
    <w:rsid w:val="00343E23"/>
    <w:rsid w:val="00345F2C"/>
    <w:rsid w:val="00346217"/>
    <w:rsid w:val="0035089F"/>
    <w:rsid w:val="00351D75"/>
    <w:rsid w:val="00352864"/>
    <w:rsid w:val="00353F9B"/>
    <w:rsid w:val="00361B5E"/>
    <w:rsid w:val="00361FEB"/>
    <w:rsid w:val="0036298C"/>
    <w:rsid w:val="00365ACF"/>
    <w:rsid w:val="00365C29"/>
    <w:rsid w:val="0036651C"/>
    <w:rsid w:val="003665C9"/>
    <w:rsid w:val="00366735"/>
    <w:rsid w:val="0037370F"/>
    <w:rsid w:val="00374567"/>
    <w:rsid w:val="00375010"/>
    <w:rsid w:val="0037532C"/>
    <w:rsid w:val="00377126"/>
    <w:rsid w:val="003810BF"/>
    <w:rsid w:val="00382449"/>
    <w:rsid w:val="00386CB5"/>
    <w:rsid w:val="00387C65"/>
    <w:rsid w:val="00387F30"/>
    <w:rsid w:val="00387F85"/>
    <w:rsid w:val="003900D5"/>
    <w:rsid w:val="00391B04"/>
    <w:rsid w:val="00391FB4"/>
    <w:rsid w:val="00391FD3"/>
    <w:rsid w:val="003921BC"/>
    <w:rsid w:val="00392CED"/>
    <w:rsid w:val="00394034"/>
    <w:rsid w:val="00395567"/>
    <w:rsid w:val="00395A50"/>
    <w:rsid w:val="00397B3A"/>
    <w:rsid w:val="00397E56"/>
    <w:rsid w:val="003A250D"/>
    <w:rsid w:val="003A336A"/>
    <w:rsid w:val="003A5973"/>
    <w:rsid w:val="003A5D09"/>
    <w:rsid w:val="003A6C7D"/>
    <w:rsid w:val="003B1A47"/>
    <w:rsid w:val="003B274C"/>
    <w:rsid w:val="003B3142"/>
    <w:rsid w:val="003B5F08"/>
    <w:rsid w:val="003C02CD"/>
    <w:rsid w:val="003C7E63"/>
    <w:rsid w:val="003D0AB7"/>
    <w:rsid w:val="003D1FD7"/>
    <w:rsid w:val="003D21A3"/>
    <w:rsid w:val="003D54E9"/>
    <w:rsid w:val="003D5A07"/>
    <w:rsid w:val="003D5D82"/>
    <w:rsid w:val="003E56B7"/>
    <w:rsid w:val="003E63B2"/>
    <w:rsid w:val="003F1267"/>
    <w:rsid w:val="003F1399"/>
    <w:rsid w:val="003F35B9"/>
    <w:rsid w:val="003F50DE"/>
    <w:rsid w:val="003F51E8"/>
    <w:rsid w:val="003F6D5A"/>
    <w:rsid w:val="003F7708"/>
    <w:rsid w:val="00400DFC"/>
    <w:rsid w:val="00404D79"/>
    <w:rsid w:val="00405432"/>
    <w:rsid w:val="004077DF"/>
    <w:rsid w:val="004114E3"/>
    <w:rsid w:val="004131FD"/>
    <w:rsid w:val="00413FB9"/>
    <w:rsid w:val="00415C74"/>
    <w:rsid w:val="004209C7"/>
    <w:rsid w:val="004214FF"/>
    <w:rsid w:val="00423979"/>
    <w:rsid w:val="00425C50"/>
    <w:rsid w:val="00426075"/>
    <w:rsid w:val="0042689B"/>
    <w:rsid w:val="00426BC1"/>
    <w:rsid w:val="004275A3"/>
    <w:rsid w:val="00427DDB"/>
    <w:rsid w:val="0043293D"/>
    <w:rsid w:val="00433100"/>
    <w:rsid w:val="00433995"/>
    <w:rsid w:val="00433F62"/>
    <w:rsid w:val="00435D4B"/>
    <w:rsid w:val="00441107"/>
    <w:rsid w:val="004426BC"/>
    <w:rsid w:val="00444286"/>
    <w:rsid w:val="00444B0C"/>
    <w:rsid w:val="00445287"/>
    <w:rsid w:val="00447082"/>
    <w:rsid w:val="00447F2C"/>
    <w:rsid w:val="004519FB"/>
    <w:rsid w:val="00451DD1"/>
    <w:rsid w:val="00452483"/>
    <w:rsid w:val="004528C1"/>
    <w:rsid w:val="00452E9B"/>
    <w:rsid w:val="0045476C"/>
    <w:rsid w:val="00457902"/>
    <w:rsid w:val="00457F4E"/>
    <w:rsid w:val="004607EF"/>
    <w:rsid w:val="0046093C"/>
    <w:rsid w:val="00461939"/>
    <w:rsid w:val="00462505"/>
    <w:rsid w:val="004632F7"/>
    <w:rsid w:val="004646DA"/>
    <w:rsid w:val="00465980"/>
    <w:rsid w:val="00467087"/>
    <w:rsid w:val="004712D4"/>
    <w:rsid w:val="0047240E"/>
    <w:rsid w:val="00472A9A"/>
    <w:rsid w:val="0047416B"/>
    <w:rsid w:val="00475A85"/>
    <w:rsid w:val="0047627E"/>
    <w:rsid w:val="00476F74"/>
    <w:rsid w:val="00481D44"/>
    <w:rsid w:val="00481FE1"/>
    <w:rsid w:val="00485A8B"/>
    <w:rsid w:val="004870C7"/>
    <w:rsid w:val="0048734D"/>
    <w:rsid w:val="00487524"/>
    <w:rsid w:val="00490F69"/>
    <w:rsid w:val="00491A79"/>
    <w:rsid w:val="004950A9"/>
    <w:rsid w:val="00495107"/>
    <w:rsid w:val="00496CF5"/>
    <w:rsid w:val="00496E65"/>
    <w:rsid w:val="004A0257"/>
    <w:rsid w:val="004A0731"/>
    <w:rsid w:val="004A237E"/>
    <w:rsid w:val="004A28C1"/>
    <w:rsid w:val="004A7E0F"/>
    <w:rsid w:val="004B0DFF"/>
    <w:rsid w:val="004B17FF"/>
    <w:rsid w:val="004B195A"/>
    <w:rsid w:val="004B1F07"/>
    <w:rsid w:val="004B2514"/>
    <w:rsid w:val="004B4305"/>
    <w:rsid w:val="004B4908"/>
    <w:rsid w:val="004B519C"/>
    <w:rsid w:val="004B7CC6"/>
    <w:rsid w:val="004C1720"/>
    <w:rsid w:val="004C53C3"/>
    <w:rsid w:val="004C5DD6"/>
    <w:rsid w:val="004C62FD"/>
    <w:rsid w:val="004D0CD2"/>
    <w:rsid w:val="004D0D28"/>
    <w:rsid w:val="004D2626"/>
    <w:rsid w:val="004E20CC"/>
    <w:rsid w:val="004E2C03"/>
    <w:rsid w:val="004E429B"/>
    <w:rsid w:val="004E46EA"/>
    <w:rsid w:val="004E67F1"/>
    <w:rsid w:val="004F0A69"/>
    <w:rsid w:val="004F116C"/>
    <w:rsid w:val="004F1C7C"/>
    <w:rsid w:val="004F3909"/>
    <w:rsid w:val="004F4883"/>
    <w:rsid w:val="004F5D6E"/>
    <w:rsid w:val="004F6205"/>
    <w:rsid w:val="004F6881"/>
    <w:rsid w:val="004F6C0D"/>
    <w:rsid w:val="004F6E15"/>
    <w:rsid w:val="005030F0"/>
    <w:rsid w:val="00503619"/>
    <w:rsid w:val="005036AB"/>
    <w:rsid w:val="005053B6"/>
    <w:rsid w:val="00510EC3"/>
    <w:rsid w:val="005115B0"/>
    <w:rsid w:val="00514C2D"/>
    <w:rsid w:val="00514DB4"/>
    <w:rsid w:val="0051657B"/>
    <w:rsid w:val="00516E53"/>
    <w:rsid w:val="005209A9"/>
    <w:rsid w:val="00521855"/>
    <w:rsid w:val="005225E1"/>
    <w:rsid w:val="005227AF"/>
    <w:rsid w:val="00525535"/>
    <w:rsid w:val="005267A9"/>
    <w:rsid w:val="00527852"/>
    <w:rsid w:val="00530831"/>
    <w:rsid w:val="00530B63"/>
    <w:rsid w:val="00531CBF"/>
    <w:rsid w:val="00532D70"/>
    <w:rsid w:val="00534CAA"/>
    <w:rsid w:val="00535DB7"/>
    <w:rsid w:val="00537531"/>
    <w:rsid w:val="00537FBB"/>
    <w:rsid w:val="00540988"/>
    <w:rsid w:val="00547AE6"/>
    <w:rsid w:val="00553950"/>
    <w:rsid w:val="005543BF"/>
    <w:rsid w:val="00554FB7"/>
    <w:rsid w:val="005550D3"/>
    <w:rsid w:val="005563C3"/>
    <w:rsid w:val="0055691D"/>
    <w:rsid w:val="00563CDF"/>
    <w:rsid w:val="005648FE"/>
    <w:rsid w:val="005658C3"/>
    <w:rsid w:val="00572109"/>
    <w:rsid w:val="00573E34"/>
    <w:rsid w:val="00576CB1"/>
    <w:rsid w:val="0057733D"/>
    <w:rsid w:val="00577B62"/>
    <w:rsid w:val="00577DED"/>
    <w:rsid w:val="00580E2F"/>
    <w:rsid w:val="00581DCE"/>
    <w:rsid w:val="0058269C"/>
    <w:rsid w:val="00585806"/>
    <w:rsid w:val="0059049E"/>
    <w:rsid w:val="00590D0E"/>
    <w:rsid w:val="00590DE5"/>
    <w:rsid w:val="00591D79"/>
    <w:rsid w:val="00592386"/>
    <w:rsid w:val="00593C23"/>
    <w:rsid w:val="005955A0"/>
    <w:rsid w:val="00595904"/>
    <w:rsid w:val="00596F39"/>
    <w:rsid w:val="005A0BA2"/>
    <w:rsid w:val="005A25C1"/>
    <w:rsid w:val="005A2E58"/>
    <w:rsid w:val="005A43A2"/>
    <w:rsid w:val="005A4E16"/>
    <w:rsid w:val="005A69B9"/>
    <w:rsid w:val="005A759A"/>
    <w:rsid w:val="005B05E3"/>
    <w:rsid w:val="005B2B35"/>
    <w:rsid w:val="005B357E"/>
    <w:rsid w:val="005B60ED"/>
    <w:rsid w:val="005B6F7C"/>
    <w:rsid w:val="005B71E4"/>
    <w:rsid w:val="005C0430"/>
    <w:rsid w:val="005C0636"/>
    <w:rsid w:val="005C0FCA"/>
    <w:rsid w:val="005C2A1C"/>
    <w:rsid w:val="005C2D06"/>
    <w:rsid w:val="005C415D"/>
    <w:rsid w:val="005C5115"/>
    <w:rsid w:val="005C63B0"/>
    <w:rsid w:val="005C6874"/>
    <w:rsid w:val="005C73A9"/>
    <w:rsid w:val="005C759F"/>
    <w:rsid w:val="005D1517"/>
    <w:rsid w:val="005D1E2E"/>
    <w:rsid w:val="005D205C"/>
    <w:rsid w:val="005D39C9"/>
    <w:rsid w:val="005D6871"/>
    <w:rsid w:val="005E0F41"/>
    <w:rsid w:val="005E1B2D"/>
    <w:rsid w:val="005E52E8"/>
    <w:rsid w:val="005E62A1"/>
    <w:rsid w:val="005E6772"/>
    <w:rsid w:val="005E7C4B"/>
    <w:rsid w:val="005E7DFD"/>
    <w:rsid w:val="005F0029"/>
    <w:rsid w:val="005F2D4E"/>
    <w:rsid w:val="005F3158"/>
    <w:rsid w:val="005F4960"/>
    <w:rsid w:val="005F581A"/>
    <w:rsid w:val="006027EB"/>
    <w:rsid w:val="00602E78"/>
    <w:rsid w:val="00606474"/>
    <w:rsid w:val="00606CE5"/>
    <w:rsid w:val="00607050"/>
    <w:rsid w:val="00610EE5"/>
    <w:rsid w:val="00611879"/>
    <w:rsid w:val="006141DB"/>
    <w:rsid w:val="006146A4"/>
    <w:rsid w:val="00614AAA"/>
    <w:rsid w:val="0061647A"/>
    <w:rsid w:val="00616D97"/>
    <w:rsid w:val="00620957"/>
    <w:rsid w:val="006268CD"/>
    <w:rsid w:val="0063498F"/>
    <w:rsid w:val="00635083"/>
    <w:rsid w:val="00635A34"/>
    <w:rsid w:val="00637221"/>
    <w:rsid w:val="00637994"/>
    <w:rsid w:val="006434D6"/>
    <w:rsid w:val="00643DCC"/>
    <w:rsid w:val="00644E8E"/>
    <w:rsid w:val="00646E42"/>
    <w:rsid w:val="00647B9A"/>
    <w:rsid w:val="00652C6B"/>
    <w:rsid w:val="0065330C"/>
    <w:rsid w:val="00653B04"/>
    <w:rsid w:val="00654261"/>
    <w:rsid w:val="006568A6"/>
    <w:rsid w:val="00656DF6"/>
    <w:rsid w:val="00660CCE"/>
    <w:rsid w:val="00666309"/>
    <w:rsid w:val="00666B45"/>
    <w:rsid w:val="00666BDB"/>
    <w:rsid w:val="00666C78"/>
    <w:rsid w:val="0067142A"/>
    <w:rsid w:val="00672E30"/>
    <w:rsid w:val="0067317D"/>
    <w:rsid w:val="00674B0E"/>
    <w:rsid w:val="00674C5C"/>
    <w:rsid w:val="00676D69"/>
    <w:rsid w:val="00680B0E"/>
    <w:rsid w:val="00682551"/>
    <w:rsid w:val="00686E6C"/>
    <w:rsid w:val="0068716C"/>
    <w:rsid w:val="00687C3E"/>
    <w:rsid w:val="00690598"/>
    <w:rsid w:val="006916BC"/>
    <w:rsid w:val="00691929"/>
    <w:rsid w:val="006943D4"/>
    <w:rsid w:val="00696E5A"/>
    <w:rsid w:val="00697171"/>
    <w:rsid w:val="006A1E77"/>
    <w:rsid w:val="006A40DC"/>
    <w:rsid w:val="006A441A"/>
    <w:rsid w:val="006A448A"/>
    <w:rsid w:val="006A50A0"/>
    <w:rsid w:val="006A70CE"/>
    <w:rsid w:val="006A7FE6"/>
    <w:rsid w:val="006B0798"/>
    <w:rsid w:val="006B1096"/>
    <w:rsid w:val="006B17D0"/>
    <w:rsid w:val="006B3B86"/>
    <w:rsid w:val="006B65D1"/>
    <w:rsid w:val="006B6A2A"/>
    <w:rsid w:val="006C1482"/>
    <w:rsid w:val="006C1C42"/>
    <w:rsid w:val="006C5DD6"/>
    <w:rsid w:val="006C7CC6"/>
    <w:rsid w:val="006C7CD7"/>
    <w:rsid w:val="006D01F9"/>
    <w:rsid w:val="006D0CE4"/>
    <w:rsid w:val="006D2D05"/>
    <w:rsid w:val="006D305A"/>
    <w:rsid w:val="006D5C77"/>
    <w:rsid w:val="006D684C"/>
    <w:rsid w:val="006E09CF"/>
    <w:rsid w:val="006E31F7"/>
    <w:rsid w:val="006E5D4A"/>
    <w:rsid w:val="006F0FD9"/>
    <w:rsid w:val="006F2F7A"/>
    <w:rsid w:val="006F4F73"/>
    <w:rsid w:val="006F5338"/>
    <w:rsid w:val="006F69AF"/>
    <w:rsid w:val="006F71C4"/>
    <w:rsid w:val="006F7F2F"/>
    <w:rsid w:val="00700C18"/>
    <w:rsid w:val="00701CA0"/>
    <w:rsid w:val="00701CBB"/>
    <w:rsid w:val="007023B0"/>
    <w:rsid w:val="00702FF1"/>
    <w:rsid w:val="00703044"/>
    <w:rsid w:val="007042FB"/>
    <w:rsid w:val="00704FA9"/>
    <w:rsid w:val="00705787"/>
    <w:rsid w:val="00713130"/>
    <w:rsid w:val="00713C6E"/>
    <w:rsid w:val="00714D3F"/>
    <w:rsid w:val="00717253"/>
    <w:rsid w:val="00717C62"/>
    <w:rsid w:val="007214C6"/>
    <w:rsid w:val="0072154F"/>
    <w:rsid w:val="0072388E"/>
    <w:rsid w:val="00724B9A"/>
    <w:rsid w:val="0073565A"/>
    <w:rsid w:val="00735C4B"/>
    <w:rsid w:val="0073616C"/>
    <w:rsid w:val="0074112A"/>
    <w:rsid w:val="007420F3"/>
    <w:rsid w:val="00742D66"/>
    <w:rsid w:val="00744A68"/>
    <w:rsid w:val="00744E61"/>
    <w:rsid w:val="00745887"/>
    <w:rsid w:val="00746BBC"/>
    <w:rsid w:val="007511C4"/>
    <w:rsid w:val="00754CFC"/>
    <w:rsid w:val="007561C3"/>
    <w:rsid w:val="007568A3"/>
    <w:rsid w:val="0075765F"/>
    <w:rsid w:val="00761B1C"/>
    <w:rsid w:val="00766C19"/>
    <w:rsid w:val="00766EF3"/>
    <w:rsid w:val="0077066B"/>
    <w:rsid w:val="0077092E"/>
    <w:rsid w:val="00771D17"/>
    <w:rsid w:val="007722E5"/>
    <w:rsid w:val="0077321E"/>
    <w:rsid w:val="007734E5"/>
    <w:rsid w:val="00775A8E"/>
    <w:rsid w:val="007765F1"/>
    <w:rsid w:val="00776BDD"/>
    <w:rsid w:val="007770FE"/>
    <w:rsid w:val="00777862"/>
    <w:rsid w:val="00782CCD"/>
    <w:rsid w:val="00784BF8"/>
    <w:rsid w:val="00786768"/>
    <w:rsid w:val="007869C1"/>
    <w:rsid w:val="00786C1C"/>
    <w:rsid w:val="00786E73"/>
    <w:rsid w:val="00792E49"/>
    <w:rsid w:val="0079373F"/>
    <w:rsid w:val="007956A9"/>
    <w:rsid w:val="00797115"/>
    <w:rsid w:val="007977D2"/>
    <w:rsid w:val="00797C99"/>
    <w:rsid w:val="007A067E"/>
    <w:rsid w:val="007A3C58"/>
    <w:rsid w:val="007A3C9E"/>
    <w:rsid w:val="007A40E0"/>
    <w:rsid w:val="007A428A"/>
    <w:rsid w:val="007A50F6"/>
    <w:rsid w:val="007A5FC5"/>
    <w:rsid w:val="007A709B"/>
    <w:rsid w:val="007A723C"/>
    <w:rsid w:val="007B0328"/>
    <w:rsid w:val="007B0529"/>
    <w:rsid w:val="007B0797"/>
    <w:rsid w:val="007B3330"/>
    <w:rsid w:val="007B3C66"/>
    <w:rsid w:val="007B40EB"/>
    <w:rsid w:val="007C0BFE"/>
    <w:rsid w:val="007C410A"/>
    <w:rsid w:val="007C4ABE"/>
    <w:rsid w:val="007C6322"/>
    <w:rsid w:val="007D021B"/>
    <w:rsid w:val="007D10EE"/>
    <w:rsid w:val="007D1535"/>
    <w:rsid w:val="007D2BE7"/>
    <w:rsid w:val="007D34DD"/>
    <w:rsid w:val="007D3C8C"/>
    <w:rsid w:val="007D7536"/>
    <w:rsid w:val="007E1365"/>
    <w:rsid w:val="007E4C43"/>
    <w:rsid w:val="007E55A2"/>
    <w:rsid w:val="007F0A6F"/>
    <w:rsid w:val="007F535A"/>
    <w:rsid w:val="007F752D"/>
    <w:rsid w:val="00801593"/>
    <w:rsid w:val="008043CE"/>
    <w:rsid w:val="008057E7"/>
    <w:rsid w:val="00807109"/>
    <w:rsid w:val="00807591"/>
    <w:rsid w:val="00810CE6"/>
    <w:rsid w:val="00813D47"/>
    <w:rsid w:val="00815E80"/>
    <w:rsid w:val="00816391"/>
    <w:rsid w:val="00816E40"/>
    <w:rsid w:val="00820B38"/>
    <w:rsid w:val="0082524C"/>
    <w:rsid w:val="0082578B"/>
    <w:rsid w:val="00831ABA"/>
    <w:rsid w:val="00835BFE"/>
    <w:rsid w:val="00836172"/>
    <w:rsid w:val="00836848"/>
    <w:rsid w:val="00837B9F"/>
    <w:rsid w:val="00837FD5"/>
    <w:rsid w:val="00841A71"/>
    <w:rsid w:val="00842489"/>
    <w:rsid w:val="00845F34"/>
    <w:rsid w:val="00846FBD"/>
    <w:rsid w:val="008500A3"/>
    <w:rsid w:val="00851C43"/>
    <w:rsid w:val="00853B9F"/>
    <w:rsid w:val="008570E3"/>
    <w:rsid w:val="00857704"/>
    <w:rsid w:val="00860068"/>
    <w:rsid w:val="00860554"/>
    <w:rsid w:val="00860735"/>
    <w:rsid w:val="008607BE"/>
    <w:rsid w:val="008609FD"/>
    <w:rsid w:val="00861EAA"/>
    <w:rsid w:val="008632BC"/>
    <w:rsid w:val="0086354C"/>
    <w:rsid w:val="00867034"/>
    <w:rsid w:val="00872D5E"/>
    <w:rsid w:val="00875CCD"/>
    <w:rsid w:val="008760BB"/>
    <w:rsid w:val="00876A8C"/>
    <w:rsid w:val="008776E7"/>
    <w:rsid w:val="00880160"/>
    <w:rsid w:val="0088288D"/>
    <w:rsid w:val="00886D5F"/>
    <w:rsid w:val="0089024A"/>
    <w:rsid w:val="0089347A"/>
    <w:rsid w:val="00893B42"/>
    <w:rsid w:val="00893DF2"/>
    <w:rsid w:val="0089623C"/>
    <w:rsid w:val="008A0FDC"/>
    <w:rsid w:val="008A2196"/>
    <w:rsid w:val="008A2467"/>
    <w:rsid w:val="008A3995"/>
    <w:rsid w:val="008A4A68"/>
    <w:rsid w:val="008A5A8D"/>
    <w:rsid w:val="008A5DBB"/>
    <w:rsid w:val="008A5EB6"/>
    <w:rsid w:val="008B1F4F"/>
    <w:rsid w:val="008B250D"/>
    <w:rsid w:val="008B2E10"/>
    <w:rsid w:val="008B302D"/>
    <w:rsid w:val="008B3D37"/>
    <w:rsid w:val="008B450C"/>
    <w:rsid w:val="008B585A"/>
    <w:rsid w:val="008B7894"/>
    <w:rsid w:val="008C12EC"/>
    <w:rsid w:val="008C1963"/>
    <w:rsid w:val="008C1DAB"/>
    <w:rsid w:val="008C28BB"/>
    <w:rsid w:val="008C4D04"/>
    <w:rsid w:val="008C4E82"/>
    <w:rsid w:val="008C6717"/>
    <w:rsid w:val="008C75EE"/>
    <w:rsid w:val="008D29E7"/>
    <w:rsid w:val="008D2CCF"/>
    <w:rsid w:val="008D7EA5"/>
    <w:rsid w:val="008E2BBE"/>
    <w:rsid w:val="008E34CB"/>
    <w:rsid w:val="008E4D0A"/>
    <w:rsid w:val="008E4E9E"/>
    <w:rsid w:val="008E6BAA"/>
    <w:rsid w:val="008E6E42"/>
    <w:rsid w:val="008E7A82"/>
    <w:rsid w:val="008F0DB5"/>
    <w:rsid w:val="008F11AF"/>
    <w:rsid w:val="008F303A"/>
    <w:rsid w:val="00901192"/>
    <w:rsid w:val="0090368C"/>
    <w:rsid w:val="009045C2"/>
    <w:rsid w:val="009049D2"/>
    <w:rsid w:val="00905E5A"/>
    <w:rsid w:val="00906A05"/>
    <w:rsid w:val="00907CBE"/>
    <w:rsid w:val="0091420C"/>
    <w:rsid w:val="009148B7"/>
    <w:rsid w:val="00915ED7"/>
    <w:rsid w:val="00916B49"/>
    <w:rsid w:val="00920B4E"/>
    <w:rsid w:val="009221A2"/>
    <w:rsid w:val="009222E3"/>
    <w:rsid w:val="009224FF"/>
    <w:rsid w:val="00923945"/>
    <w:rsid w:val="0092435B"/>
    <w:rsid w:val="00924BC5"/>
    <w:rsid w:val="00925D43"/>
    <w:rsid w:val="009319AD"/>
    <w:rsid w:val="00931EF9"/>
    <w:rsid w:val="00932F09"/>
    <w:rsid w:val="0093417A"/>
    <w:rsid w:val="00934943"/>
    <w:rsid w:val="00936A52"/>
    <w:rsid w:val="00936AA2"/>
    <w:rsid w:val="0094000F"/>
    <w:rsid w:val="00941138"/>
    <w:rsid w:val="0094227A"/>
    <w:rsid w:val="00943684"/>
    <w:rsid w:val="00943696"/>
    <w:rsid w:val="00945A76"/>
    <w:rsid w:val="009461BC"/>
    <w:rsid w:val="009465F2"/>
    <w:rsid w:val="009541B2"/>
    <w:rsid w:val="00955C18"/>
    <w:rsid w:val="00960F64"/>
    <w:rsid w:val="00960FE3"/>
    <w:rsid w:val="00961B7B"/>
    <w:rsid w:val="00964183"/>
    <w:rsid w:val="00964427"/>
    <w:rsid w:val="00964982"/>
    <w:rsid w:val="00964C9D"/>
    <w:rsid w:val="009652E7"/>
    <w:rsid w:val="00970372"/>
    <w:rsid w:val="00970D00"/>
    <w:rsid w:val="00971861"/>
    <w:rsid w:val="00971CC8"/>
    <w:rsid w:val="00974CC1"/>
    <w:rsid w:val="00975236"/>
    <w:rsid w:val="009768E5"/>
    <w:rsid w:val="00976EB8"/>
    <w:rsid w:val="0097792E"/>
    <w:rsid w:val="009801B1"/>
    <w:rsid w:val="00984377"/>
    <w:rsid w:val="009906C5"/>
    <w:rsid w:val="00990F41"/>
    <w:rsid w:val="0099206A"/>
    <w:rsid w:val="0099211A"/>
    <w:rsid w:val="00993DF2"/>
    <w:rsid w:val="009954BA"/>
    <w:rsid w:val="00996B19"/>
    <w:rsid w:val="00997FB8"/>
    <w:rsid w:val="009A0088"/>
    <w:rsid w:val="009A0CF0"/>
    <w:rsid w:val="009A0E1A"/>
    <w:rsid w:val="009A2493"/>
    <w:rsid w:val="009A4494"/>
    <w:rsid w:val="009B2F74"/>
    <w:rsid w:val="009B3001"/>
    <w:rsid w:val="009B3082"/>
    <w:rsid w:val="009B439D"/>
    <w:rsid w:val="009B45B1"/>
    <w:rsid w:val="009B46AC"/>
    <w:rsid w:val="009C1038"/>
    <w:rsid w:val="009C103A"/>
    <w:rsid w:val="009C3275"/>
    <w:rsid w:val="009C3B1D"/>
    <w:rsid w:val="009C573D"/>
    <w:rsid w:val="009D00DE"/>
    <w:rsid w:val="009D150A"/>
    <w:rsid w:val="009D1ACC"/>
    <w:rsid w:val="009E1432"/>
    <w:rsid w:val="009E1F25"/>
    <w:rsid w:val="009E2FDC"/>
    <w:rsid w:val="009E3779"/>
    <w:rsid w:val="009E55DF"/>
    <w:rsid w:val="009E674E"/>
    <w:rsid w:val="009E7204"/>
    <w:rsid w:val="009E7AEC"/>
    <w:rsid w:val="009E7F93"/>
    <w:rsid w:val="009F34E5"/>
    <w:rsid w:val="009F56D9"/>
    <w:rsid w:val="00A01A68"/>
    <w:rsid w:val="00A04BD1"/>
    <w:rsid w:val="00A05038"/>
    <w:rsid w:val="00A11C6D"/>
    <w:rsid w:val="00A12D84"/>
    <w:rsid w:val="00A15334"/>
    <w:rsid w:val="00A157B1"/>
    <w:rsid w:val="00A15B4E"/>
    <w:rsid w:val="00A17A18"/>
    <w:rsid w:val="00A2301E"/>
    <w:rsid w:val="00A238BD"/>
    <w:rsid w:val="00A2589C"/>
    <w:rsid w:val="00A26319"/>
    <w:rsid w:val="00A275CB"/>
    <w:rsid w:val="00A27A67"/>
    <w:rsid w:val="00A3049E"/>
    <w:rsid w:val="00A31E22"/>
    <w:rsid w:val="00A32287"/>
    <w:rsid w:val="00A34121"/>
    <w:rsid w:val="00A40315"/>
    <w:rsid w:val="00A41356"/>
    <w:rsid w:val="00A41699"/>
    <w:rsid w:val="00A43F65"/>
    <w:rsid w:val="00A46E27"/>
    <w:rsid w:val="00A505E6"/>
    <w:rsid w:val="00A5105B"/>
    <w:rsid w:val="00A52934"/>
    <w:rsid w:val="00A60D7B"/>
    <w:rsid w:val="00A63BFC"/>
    <w:rsid w:val="00A647AC"/>
    <w:rsid w:val="00A65188"/>
    <w:rsid w:val="00A67182"/>
    <w:rsid w:val="00A700FB"/>
    <w:rsid w:val="00A7234C"/>
    <w:rsid w:val="00A740C2"/>
    <w:rsid w:val="00A75037"/>
    <w:rsid w:val="00A75075"/>
    <w:rsid w:val="00A7672D"/>
    <w:rsid w:val="00A77177"/>
    <w:rsid w:val="00A81A2A"/>
    <w:rsid w:val="00A85837"/>
    <w:rsid w:val="00A8692C"/>
    <w:rsid w:val="00A9152E"/>
    <w:rsid w:val="00A928FC"/>
    <w:rsid w:val="00A93A48"/>
    <w:rsid w:val="00AA10FD"/>
    <w:rsid w:val="00AA43CE"/>
    <w:rsid w:val="00AA5576"/>
    <w:rsid w:val="00AA7FAC"/>
    <w:rsid w:val="00AB03FB"/>
    <w:rsid w:val="00AB1564"/>
    <w:rsid w:val="00AB22AF"/>
    <w:rsid w:val="00AB28C1"/>
    <w:rsid w:val="00AB3F47"/>
    <w:rsid w:val="00AB4684"/>
    <w:rsid w:val="00AB4CE4"/>
    <w:rsid w:val="00AB591D"/>
    <w:rsid w:val="00AB5D1A"/>
    <w:rsid w:val="00AB6778"/>
    <w:rsid w:val="00AB7CE4"/>
    <w:rsid w:val="00AC2583"/>
    <w:rsid w:val="00AC3AE4"/>
    <w:rsid w:val="00AC7F03"/>
    <w:rsid w:val="00AD25ED"/>
    <w:rsid w:val="00AD3196"/>
    <w:rsid w:val="00AD427B"/>
    <w:rsid w:val="00AD6056"/>
    <w:rsid w:val="00AE0DDE"/>
    <w:rsid w:val="00AE21FC"/>
    <w:rsid w:val="00AE5BC4"/>
    <w:rsid w:val="00AE6957"/>
    <w:rsid w:val="00AE7D5F"/>
    <w:rsid w:val="00AE7F19"/>
    <w:rsid w:val="00AF0095"/>
    <w:rsid w:val="00AF01DB"/>
    <w:rsid w:val="00AF362B"/>
    <w:rsid w:val="00AF556E"/>
    <w:rsid w:val="00AF58C1"/>
    <w:rsid w:val="00AF7A4A"/>
    <w:rsid w:val="00B00030"/>
    <w:rsid w:val="00B00231"/>
    <w:rsid w:val="00B00461"/>
    <w:rsid w:val="00B006D3"/>
    <w:rsid w:val="00B0150D"/>
    <w:rsid w:val="00B02D00"/>
    <w:rsid w:val="00B050B8"/>
    <w:rsid w:val="00B05422"/>
    <w:rsid w:val="00B05C29"/>
    <w:rsid w:val="00B12088"/>
    <w:rsid w:val="00B20BE9"/>
    <w:rsid w:val="00B20C91"/>
    <w:rsid w:val="00B20E29"/>
    <w:rsid w:val="00B214F0"/>
    <w:rsid w:val="00B227C4"/>
    <w:rsid w:val="00B22D89"/>
    <w:rsid w:val="00B25A63"/>
    <w:rsid w:val="00B268AD"/>
    <w:rsid w:val="00B2773A"/>
    <w:rsid w:val="00B35144"/>
    <w:rsid w:val="00B37B8A"/>
    <w:rsid w:val="00B41265"/>
    <w:rsid w:val="00B4136C"/>
    <w:rsid w:val="00B4255A"/>
    <w:rsid w:val="00B51C9F"/>
    <w:rsid w:val="00B52BF3"/>
    <w:rsid w:val="00B55B7D"/>
    <w:rsid w:val="00B5615D"/>
    <w:rsid w:val="00B65C0D"/>
    <w:rsid w:val="00B661FA"/>
    <w:rsid w:val="00B66C27"/>
    <w:rsid w:val="00B71BB8"/>
    <w:rsid w:val="00B71D3F"/>
    <w:rsid w:val="00B72091"/>
    <w:rsid w:val="00B720AC"/>
    <w:rsid w:val="00B7339E"/>
    <w:rsid w:val="00B74E58"/>
    <w:rsid w:val="00B750E3"/>
    <w:rsid w:val="00B808DA"/>
    <w:rsid w:val="00B81414"/>
    <w:rsid w:val="00B823C9"/>
    <w:rsid w:val="00B84C7F"/>
    <w:rsid w:val="00B85DC7"/>
    <w:rsid w:val="00B8623D"/>
    <w:rsid w:val="00B875CE"/>
    <w:rsid w:val="00B87A75"/>
    <w:rsid w:val="00B9063E"/>
    <w:rsid w:val="00B906A0"/>
    <w:rsid w:val="00B9301D"/>
    <w:rsid w:val="00B934ED"/>
    <w:rsid w:val="00B96202"/>
    <w:rsid w:val="00BA22E5"/>
    <w:rsid w:val="00BA4D92"/>
    <w:rsid w:val="00BA58A4"/>
    <w:rsid w:val="00BA5B05"/>
    <w:rsid w:val="00BA640E"/>
    <w:rsid w:val="00BA6BB5"/>
    <w:rsid w:val="00BA70CE"/>
    <w:rsid w:val="00BA7B90"/>
    <w:rsid w:val="00BB1A3E"/>
    <w:rsid w:val="00BB668C"/>
    <w:rsid w:val="00BB6FC7"/>
    <w:rsid w:val="00BC00C9"/>
    <w:rsid w:val="00BC2FBA"/>
    <w:rsid w:val="00BC352E"/>
    <w:rsid w:val="00BC50C6"/>
    <w:rsid w:val="00BC67BE"/>
    <w:rsid w:val="00BC7197"/>
    <w:rsid w:val="00BD100C"/>
    <w:rsid w:val="00BD2C18"/>
    <w:rsid w:val="00BD4400"/>
    <w:rsid w:val="00BD554D"/>
    <w:rsid w:val="00BD605B"/>
    <w:rsid w:val="00BD783F"/>
    <w:rsid w:val="00BE1637"/>
    <w:rsid w:val="00BE50CD"/>
    <w:rsid w:val="00BE5E6E"/>
    <w:rsid w:val="00BE7B3A"/>
    <w:rsid w:val="00BF5810"/>
    <w:rsid w:val="00BF6063"/>
    <w:rsid w:val="00BF71C6"/>
    <w:rsid w:val="00C01F29"/>
    <w:rsid w:val="00C04636"/>
    <w:rsid w:val="00C0503A"/>
    <w:rsid w:val="00C0662B"/>
    <w:rsid w:val="00C07270"/>
    <w:rsid w:val="00C077CB"/>
    <w:rsid w:val="00C1083D"/>
    <w:rsid w:val="00C14519"/>
    <w:rsid w:val="00C203C6"/>
    <w:rsid w:val="00C21BC2"/>
    <w:rsid w:val="00C21CD1"/>
    <w:rsid w:val="00C21F2A"/>
    <w:rsid w:val="00C2246D"/>
    <w:rsid w:val="00C23F47"/>
    <w:rsid w:val="00C24F0A"/>
    <w:rsid w:val="00C268CB"/>
    <w:rsid w:val="00C31235"/>
    <w:rsid w:val="00C31901"/>
    <w:rsid w:val="00C32F2B"/>
    <w:rsid w:val="00C353DC"/>
    <w:rsid w:val="00C35DCB"/>
    <w:rsid w:val="00C40559"/>
    <w:rsid w:val="00C41495"/>
    <w:rsid w:val="00C41604"/>
    <w:rsid w:val="00C4171B"/>
    <w:rsid w:val="00C43C73"/>
    <w:rsid w:val="00C45083"/>
    <w:rsid w:val="00C45873"/>
    <w:rsid w:val="00C47846"/>
    <w:rsid w:val="00C500DD"/>
    <w:rsid w:val="00C506D0"/>
    <w:rsid w:val="00C51C8C"/>
    <w:rsid w:val="00C51CBE"/>
    <w:rsid w:val="00C525D8"/>
    <w:rsid w:val="00C54003"/>
    <w:rsid w:val="00C547A8"/>
    <w:rsid w:val="00C5636A"/>
    <w:rsid w:val="00C56ACD"/>
    <w:rsid w:val="00C60090"/>
    <w:rsid w:val="00C61E41"/>
    <w:rsid w:val="00C640AE"/>
    <w:rsid w:val="00C64672"/>
    <w:rsid w:val="00C64EB5"/>
    <w:rsid w:val="00C65344"/>
    <w:rsid w:val="00C66791"/>
    <w:rsid w:val="00C7171A"/>
    <w:rsid w:val="00C752C6"/>
    <w:rsid w:val="00C754A3"/>
    <w:rsid w:val="00C837BC"/>
    <w:rsid w:val="00C8417F"/>
    <w:rsid w:val="00C84D28"/>
    <w:rsid w:val="00C95CBE"/>
    <w:rsid w:val="00CA175D"/>
    <w:rsid w:val="00CA2C1C"/>
    <w:rsid w:val="00CA2E45"/>
    <w:rsid w:val="00CA5956"/>
    <w:rsid w:val="00CA7155"/>
    <w:rsid w:val="00CB074C"/>
    <w:rsid w:val="00CB07E2"/>
    <w:rsid w:val="00CB2D15"/>
    <w:rsid w:val="00CB531B"/>
    <w:rsid w:val="00CB5F87"/>
    <w:rsid w:val="00CC0CA0"/>
    <w:rsid w:val="00CC116D"/>
    <w:rsid w:val="00CC236F"/>
    <w:rsid w:val="00CC242B"/>
    <w:rsid w:val="00CD02C5"/>
    <w:rsid w:val="00CD1052"/>
    <w:rsid w:val="00CD2A59"/>
    <w:rsid w:val="00CD5AEA"/>
    <w:rsid w:val="00CD5B12"/>
    <w:rsid w:val="00CE2BA6"/>
    <w:rsid w:val="00CE318C"/>
    <w:rsid w:val="00CE4B29"/>
    <w:rsid w:val="00CE5500"/>
    <w:rsid w:val="00CE563F"/>
    <w:rsid w:val="00CE5B09"/>
    <w:rsid w:val="00CF0841"/>
    <w:rsid w:val="00CF2D70"/>
    <w:rsid w:val="00CF50DF"/>
    <w:rsid w:val="00D00DC9"/>
    <w:rsid w:val="00D0111C"/>
    <w:rsid w:val="00D012A5"/>
    <w:rsid w:val="00D025F2"/>
    <w:rsid w:val="00D02E03"/>
    <w:rsid w:val="00D02F89"/>
    <w:rsid w:val="00D03710"/>
    <w:rsid w:val="00D05E6F"/>
    <w:rsid w:val="00D067BF"/>
    <w:rsid w:val="00D06F83"/>
    <w:rsid w:val="00D119A5"/>
    <w:rsid w:val="00D13E0E"/>
    <w:rsid w:val="00D13F1E"/>
    <w:rsid w:val="00D14174"/>
    <w:rsid w:val="00D16392"/>
    <w:rsid w:val="00D17CB9"/>
    <w:rsid w:val="00D22592"/>
    <w:rsid w:val="00D235EE"/>
    <w:rsid w:val="00D248B7"/>
    <w:rsid w:val="00D252FD"/>
    <w:rsid w:val="00D256EC"/>
    <w:rsid w:val="00D30D84"/>
    <w:rsid w:val="00D32282"/>
    <w:rsid w:val="00D335FC"/>
    <w:rsid w:val="00D34CC2"/>
    <w:rsid w:val="00D352D4"/>
    <w:rsid w:val="00D36C9E"/>
    <w:rsid w:val="00D37497"/>
    <w:rsid w:val="00D37C8F"/>
    <w:rsid w:val="00D42507"/>
    <w:rsid w:val="00D441C1"/>
    <w:rsid w:val="00D45A85"/>
    <w:rsid w:val="00D505D1"/>
    <w:rsid w:val="00D54D62"/>
    <w:rsid w:val="00D629A7"/>
    <w:rsid w:val="00D676FB"/>
    <w:rsid w:val="00D72350"/>
    <w:rsid w:val="00D74145"/>
    <w:rsid w:val="00D8052C"/>
    <w:rsid w:val="00D8092C"/>
    <w:rsid w:val="00D818A4"/>
    <w:rsid w:val="00D821E6"/>
    <w:rsid w:val="00D82726"/>
    <w:rsid w:val="00D849E0"/>
    <w:rsid w:val="00D85062"/>
    <w:rsid w:val="00D87EE6"/>
    <w:rsid w:val="00D90F0D"/>
    <w:rsid w:val="00D91A88"/>
    <w:rsid w:val="00D93C34"/>
    <w:rsid w:val="00D96C81"/>
    <w:rsid w:val="00D9755D"/>
    <w:rsid w:val="00D975EB"/>
    <w:rsid w:val="00DA33DC"/>
    <w:rsid w:val="00DA47C1"/>
    <w:rsid w:val="00DA6392"/>
    <w:rsid w:val="00DA63A2"/>
    <w:rsid w:val="00DA77A8"/>
    <w:rsid w:val="00DB287E"/>
    <w:rsid w:val="00DB3691"/>
    <w:rsid w:val="00DB3F72"/>
    <w:rsid w:val="00DB4C38"/>
    <w:rsid w:val="00DC03F1"/>
    <w:rsid w:val="00DC0E81"/>
    <w:rsid w:val="00DC3E6C"/>
    <w:rsid w:val="00DC67EC"/>
    <w:rsid w:val="00DD2CAC"/>
    <w:rsid w:val="00DE08CB"/>
    <w:rsid w:val="00DE12C3"/>
    <w:rsid w:val="00DE1DA5"/>
    <w:rsid w:val="00DE4ADF"/>
    <w:rsid w:val="00DE54C9"/>
    <w:rsid w:val="00DE73DA"/>
    <w:rsid w:val="00DE753C"/>
    <w:rsid w:val="00DE771D"/>
    <w:rsid w:val="00DF050E"/>
    <w:rsid w:val="00DF077A"/>
    <w:rsid w:val="00DF0A87"/>
    <w:rsid w:val="00DF215A"/>
    <w:rsid w:val="00DF219F"/>
    <w:rsid w:val="00DF2EB3"/>
    <w:rsid w:val="00DF5716"/>
    <w:rsid w:val="00DF7910"/>
    <w:rsid w:val="00E00D16"/>
    <w:rsid w:val="00E01719"/>
    <w:rsid w:val="00E03043"/>
    <w:rsid w:val="00E03719"/>
    <w:rsid w:val="00E053DA"/>
    <w:rsid w:val="00E06675"/>
    <w:rsid w:val="00E06B6B"/>
    <w:rsid w:val="00E06DF1"/>
    <w:rsid w:val="00E07CB0"/>
    <w:rsid w:val="00E11C69"/>
    <w:rsid w:val="00E13715"/>
    <w:rsid w:val="00E13DC3"/>
    <w:rsid w:val="00E14206"/>
    <w:rsid w:val="00E166E0"/>
    <w:rsid w:val="00E16DCF"/>
    <w:rsid w:val="00E20715"/>
    <w:rsid w:val="00E219A2"/>
    <w:rsid w:val="00E2324B"/>
    <w:rsid w:val="00E308A2"/>
    <w:rsid w:val="00E320BA"/>
    <w:rsid w:val="00E33CB6"/>
    <w:rsid w:val="00E35FC9"/>
    <w:rsid w:val="00E43606"/>
    <w:rsid w:val="00E448C9"/>
    <w:rsid w:val="00E44E81"/>
    <w:rsid w:val="00E456B6"/>
    <w:rsid w:val="00E45C03"/>
    <w:rsid w:val="00E45D9B"/>
    <w:rsid w:val="00E46310"/>
    <w:rsid w:val="00E473FA"/>
    <w:rsid w:val="00E51986"/>
    <w:rsid w:val="00E52F59"/>
    <w:rsid w:val="00E54E39"/>
    <w:rsid w:val="00E54FE1"/>
    <w:rsid w:val="00E56C53"/>
    <w:rsid w:val="00E57792"/>
    <w:rsid w:val="00E60CFE"/>
    <w:rsid w:val="00E612FA"/>
    <w:rsid w:val="00E659CD"/>
    <w:rsid w:val="00E65ACD"/>
    <w:rsid w:val="00E67C90"/>
    <w:rsid w:val="00E70CCD"/>
    <w:rsid w:val="00E721BE"/>
    <w:rsid w:val="00E726B8"/>
    <w:rsid w:val="00E728B8"/>
    <w:rsid w:val="00E73724"/>
    <w:rsid w:val="00E74265"/>
    <w:rsid w:val="00E748CC"/>
    <w:rsid w:val="00E809C4"/>
    <w:rsid w:val="00E813A2"/>
    <w:rsid w:val="00E81C3D"/>
    <w:rsid w:val="00E822BF"/>
    <w:rsid w:val="00E82505"/>
    <w:rsid w:val="00E911DE"/>
    <w:rsid w:val="00E9236B"/>
    <w:rsid w:val="00E93396"/>
    <w:rsid w:val="00E960EB"/>
    <w:rsid w:val="00E9691C"/>
    <w:rsid w:val="00EA471C"/>
    <w:rsid w:val="00EA5CA7"/>
    <w:rsid w:val="00EA6002"/>
    <w:rsid w:val="00EA6BA1"/>
    <w:rsid w:val="00EB1376"/>
    <w:rsid w:val="00EB15E4"/>
    <w:rsid w:val="00EB209E"/>
    <w:rsid w:val="00EB24B8"/>
    <w:rsid w:val="00EB41B6"/>
    <w:rsid w:val="00EB55BF"/>
    <w:rsid w:val="00EB6B42"/>
    <w:rsid w:val="00EB6D53"/>
    <w:rsid w:val="00EB72DA"/>
    <w:rsid w:val="00EC25EA"/>
    <w:rsid w:val="00EC349F"/>
    <w:rsid w:val="00EC4C17"/>
    <w:rsid w:val="00EC516A"/>
    <w:rsid w:val="00ED0808"/>
    <w:rsid w:val="00ED24E9"/>
    <w:rsid w:val="00ED446B"/>
    <w:rsid w:val="00ED4A1A"/>
    <w:rsid w:val="00ED4BD6"/>
    <w:rsid w:val="00ED5737"/>
    <w:rsid w:val="00ED7FDF"/>
    <w:rsid w:val="00EE21D1"/>
    <w:rsid w:val="00EE2267"/>
    <w:rsid w:val="00EE4711"/>
    <w:rsid w:val="00EE515E"/>
    <w:rsid w:val="00EE563F"/>
    <w:rsid w:val="00EE5B5A"/>
    <w:rsid w:val="00EF0524"/>
    <w:rsid w:val="00EF314B"/>
    <w:rsid w:val="00EF4944"/>
    <w:rsid w:val="00EF5343"/>
    <w:rsid w:val="00F00586"/>
    <w:rsid w:val="00F02443"/>
    <w:rsid w:val="00F06607"/>
    <w:rsid w:val="00F103B3"/>
    <w:rsid w:val="00F13322"/>
    <w:rsid w:val="00F13BD4"/>
    <w:rsid w:val="00F14A18"/>
    <w:rsid w:val="00F15A09"/>
    <w:rsid w:val="00F17560"/>
    <w:rsid w:val="00F21266"/>
    <w:rsid w:val="00F24F14"/>
    <w:rsid w:val="00F30663"/>
    <w:rsid w:val="00F31AF4"/>
    <w:rsid w:val="00F3299C"/>
    <w:rsid w:val="00F35767"/>
    <w:rsid w:val="00F35853"/>
    <w:rsid w:val="00F35ADA"/>
    <w:rsid w:val="00F372DB"/>
    <w:rsid w:val="00F41D36"/>
    <w:rsid w:val="00F42437"/>
    <w:rsid w:val="00F459E3"/>
    <w:rsid w:val="00F513A1"/>
    <w:rsid w:val="00F513B2"/>
    <w:rsid w:val="00F5373E"/>
    <w:rsid w:val="00F53FAA"/>
    <w:rsid w:val="00F55079"/>
    <w:rsid w:val="00F562BB"/>
    <w:rsid w:val="00F62E39"/>
    <w:rsid w:val="00F65F0E"/>
    <w:rsid w:val="00F67116"/>
    <w:rsid w:val="00F70460"/>
    <w:rsid w:val="00F7235A"/>
    <w:rsid w:val="00F80BFE"/>
    <w:rsid w:val="00F83184"/>
    <w:rsid w:val="00F848BA"/>
    <w:rsid w:val="00F87751"/>
    <w:rsid w:val="00F9116F"/>
    <w:rsid w:val="00F922E4"/>
    <w:rsid w:val="00F93269"/>
    <w:rsid w:val="00F935AE"/>
    <w:rsid w:val="00F93A1A"/>
    <w:rsid w:val="00F94F24"/>
    <w:rsid w:val="00F951F4"/>
    <w:rsid w:val="00F96F85"/>
    <w:rsid w:val="00F97532"/>
    <w:rsid w:val="00F97818"/>
    <w:rsid w:val="00FA1570"/>
    <w:rsid w:val="00FA2237"/>
    <w:rsid w:val="00FA4DFA"/>
    <w:rsid w:val="00FA5610"/>
    <w:rsid w:val="00FA6699"/>
    <w:rsid w:val="00FA7E20"/>
    <w:rsid w:val="00FA7F90"/>
    <w:rsid w:val="00FB127B"/>
    <w:rsid w:val="00FB2EF5"/>
    <w:rsid w:val="00FB446E"/>
    <w:rsid w:val="00FB45CB"/>
    <w:rsid w:val="00FB6A24"/>
    <w:rsid w:val="00FC3A2B"/>
    <w:rsid w:val="00FC3F3A"/>
    <w:rsid w:val="00FC53EA"/>
    <w:rsid w:val="00FC6D31"/>
    <w:rsid w:val="00FD078D"/>
    <w:rsid w:val="00FD1288"/>
    <w:rsid w:val="00FD15F5"/>
    <w:rsid w:val="00FD2D0B"/>
    <w:rsid w:val="00FD5D50"/>
    <w:rsid w:val="00FD6E85"/>
    <w:rsid w:val="00FE1BDA"/>
    <w:rsid w:val="00FE23A4"/>
    <w:rsid w:val="00FE3457"/>
    <w:rsid w:val="00FE47CB"/>
    <w:rsid w:val="00FE4AFA"/>
    <w:rsid w:val="00FF193D"/>
    <w:rsid w:val="00FF618C"/>
    <w:rsid w:val="00FF7D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11467"/>
  <w15:chartTrackingRefBased/>
  <w15:docId w15:val="{27EC6796-F894-4406-91E5-16C7DB6A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5BC4"/>
    <w:rPr>
      <w:rFonts w:ascii="Arial" w:hAnsi="Arial"/>
      <w:sz w:val="24"/>
      <w:lang w:eastAsia="fr-FR"/>
    </w:rPr>
  </w:style>
  <w:style w:type="paragraph" w:styleId="Titre1">
    <w:name w:val="heading 1"/>
    <w:basedOn w:val="Normal"/>
    <w:next w:val="Normal"/>
    <w:qFormat/>
    <w:rsid w:val="00185A28"/>
    <w:pPr>
      <w:keepNext/>
      <w:spacing w:before="120" w:after="120" w:line="276" w:lineRule="auto"/>
      <w:outlineLvl w:val="0"/>
    </w:pPr>
    <w:rPr>
      <w:b/>
      <w:kern w:val="28"/>
      <w:u w:val="single"/>
    </w:rPr>
  </w:style>
  <w:style w:type="paragraph" w:styleId="Titre2">
    <w:name w:val="heading 2"/>
    <w:basedOn w:val="Normal"/>
    <w:next w:val="Normal"/>
    <w:qFormat/>
    <w:rsid w:val="00247F51"/>
    <w:pPr>
      <w:keepNext/>
      <w:spacing w:before="120" w:after="120"/>
      <w:contextualSpacing/>
      <w:jc w:val="both"/>
      <w:outlineLvl w:val="1"/>
    </w:pPr>
    <w:rPr>
      <w:b/>
    </w:rPr>
  </w:style>
  <w:style w:type="paragraph" w:styleId="Titre3">
    <w:name w:val="heading 3"/>
    <w:basedOn w:val="Normal"/>
    <w:next w:val="Normal"/>
    <w:autoRedefine/>
    <w:qFormat/>
    <w:rsid w:val="00472A9A"/>
    <w:pPr>
      <w:keepNext/>
      <w:numPr>
        <w:numId w:val="4"/>
      </w:numPr>
      <w:tabs>
        <w:tab w:val="left" w:pos="709"/>
      </w:tabs>
      <w:spacing w:before="120" w:after="120"/>
      <w:jc w:val="both"/>
      <w:outlineLvl w:val="2"/>
    </w:pPr>
    <w:rPr>
      <w:b/>
      <w:bCs/>
      <w:lang w:eastAsia="fr-CA"/>
    </w:rPr>
  </w:style>
  <w:style w:type="paragraph" w:styleId="Titre4">
    <w:name w:val="heading 4"/>
    <w:basedOn w:val="Normal"/>
    <w:next w:val="Normal"/>
    <w:qFormat/>
    <w:rsid w:val="00DD2CAC"/>
    <w:pPr>
      <w:keepNext/>
      <w:numPr>
        <w:numId w:val="8"/>
      </w:numPr>
      <w:tabs>
        <w:tab w:val="left" w:pos="851"/>
      </w:tabs>
      <w:spacing w:before="120" w:after="120"/>
      <w:outlineLvl w:val="3"/>
    </w:pPr>
    <w:rPr>
      <w:b/>
      <w:iCs/>
    </w:rPr>
  </w:style>
  <w:style w:type="paragraph" w:styleId="Titre5">
    <w:name w:val="heading 5"/>
    <w:basedOn w:val="Normal"/>
    <w:next w:val="Normal"/>
    <w:rsid w:val="00D74145"/>
    <w:pPr>
      <w:numPr>
        <w:ilvl w:val="4"/>
        <w:numId w:val="3"/>
      </w:numPr>
      <w:spacing w:before="240" w:after="60"/>
      <w:ind w:left="567" w:hanging="567"/>
      <w:outlineLvl w:val="4"/>
    </w:pPr>
    <w:rPr>
      <w:i/>
      <w:iCs/>
      <w:szCs w:val="24"/>
    </w:rPr>
  </w:style>
  <w:style w:type="paragraph" w:styleId="Titre6">
    <w:name w:val="heading 6"/>
    <w:basedOn w:val="Normal"/>
    <w:next w:val="Normal"/>
    <w:pPr>
      <w:numPr>
        <w:ilvl w:val="5"/>
        <w:numId w:val="3"/>
      </w:numPr>
      <w:spacing w:before="240" w:after="60"/>
      <w:outlineLvl w:val="5"/>
    </w:pPr>
    <w:rPr>
      <w:i/>
      <w:sz w:val="22"/>
    </w:rPr>
  </w:style>
  <w:style w:type="paragraph" w:styleId="Titre7">
    <w:name w:val="heading 7"/>
    <w:basedOn w:val="Normal"/>
    <w:next w:val="Normal"/>
    <w:pPr>
      <w:numPr>
        <w:ilvl w:val="6"/>
        <w:numId w:val="3"/>
      </w:numPr>
      <w:spacing w:before="240" w:after="60"/>
      <w:outlineLvl w:val="6"/>
    </w:pPr>
    <w:rPr>
      <w:sz w:val="20"/>
    </w:rPr>
  </w:style>
  <w:style w:type="paragraph" w:styleId="Titre8">
    <w:name w:val="heading 8"/>
    <w:basedOn w:val="Normal"/>
    <w:next w:val="Normal"/>
    <w:pPr>
      <w:numPr>
        <w:ilvl w:val="7"/>
        <w:numId w:val="3"/>
      </w:numPr>
      <w:spacing w:before="240" w:after="60"/>
      <w:outlineLvl w:val="7"/>
    </w:pPr>
    <w:rPr>
      <w:i/>
      <w:sz w:val="20"/>
    </w:rPr>
  </w:style>
  <w:style w:type="paragraph" w:styleId="Titre9">
    <w:name w:val="heading 9"/>
    <w:basedOn w:val="Normal"/>
    <w:next w:val="Normal"/>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FC6D31"/>
    <w:pPr>
      <w:numPr>
        <w:numId w:val="1"/>
      </w:numPr>
      <w:tabs>
        <w:tab w:val="num" w:pos="567"/>
      </w:tabs>
      <w:spacing w:before="120" w:after="120" w:line="276" w:lineRule="auto"/>
      <w:ind w:left="0"/>
      <w:jc w:val="both"/>
    </w:pPr>
    <w:rPr>
      <w:kern w:val="28"/>
    </w:rPr>
  </w:style>
  <w:style w:type="paragraph" w:customStyle="1" w:styleId="Citationenretrait">
    <w:name w:val="Citation en retrait"/>
    <w:basedOn w:val="Normal"/>
    <w:link w:val="CitationenretraitCar"/>
    <w:qFormat/>
    <w:rsid w:val="00AE5BC4"/>
    <w:pPr>
      <w:spacing w:after="120" w:line="276" w:lineRule="auto"/>
      <w:ind w:left="567"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semiHidden/>
    <w:pPr>
      <w:spacing w:after="120"/>
    </w:pPr>
  </w:style>
  <w:style w:type="paragraph" w:styleId="Notedebasdepage">
    <w:name w:val="footnote text"/>
    <w:basedOn w:val="Normal"/>
    <w:link w:val="NotedebasdepageCar"/>
    <w:uiPriority w:val="99"/>
    <w:qFormat/>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tabs>
        <w:tab w:val="num" w:pos="2203"/>
      </w:tabs>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lamarge">
    <w:name w:val="Par. à la marge"/>
    <w:basedOn w:val="ParagNonNum"/>
    <w:qFormat/>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iPriority w:val="99"/>
    <w:unhideWhenUsed/>
    <w:rsid w:val="00E728B8"/>
    <w:pPr>
      <w:tabs>
        <w:tab w:val="center" w:pos="4320"/>
        <w:tab w:val="right" w:pos="8640"/>
      </w:tabs>
    </w:pPr>
  </w:style>
  <w:style w:type="character" w:customStyle="1" w:styleId="En-tteCar">
    <w:name w:val="En-tête Car"/>
    <w:link w:val="En-tte"/>
    <w:uiPriority w:val="99"/>
    <w:rsid w:val="00E728B8"/>
    <w:rPr>
      <w:rFonts w:ascii="Arial" w:hAnsi="Arial"/>
      <w:sz w:val="24"/>
      <w:lang w:eastAsia="fr-FR"/>
    </w:rPr>
  </w:style>
  <w:style w:type="paragraph" w:styleId="Pieddepage">
    <w:name w:val="footer"/>
    <w:basedOn w:val="Normal"/>
    <w:link w:val="PieddepageCar"/>
    <w:uiPriority w:val="99"/>
    <w:unhideWhenUsed/>
    <w:rsid w:val="00E728B8"/>
    <w:pPr>
      <w:tabs>
        <w:tab w:val="center" w:pos="4320"/>
        <w:tab w:val="right" w:pos="8640"/>
      </w:tabs>
    </w:pPr>
  </w:style>
  <w:style w:type="character" w:customStyle="1" w:styleId="PieddepageCar">
    <w:name w:val="Pied de page Car"/>
    <w:link w:val="Pieddepage"/>
    <w:uiPriority w:val="99"/>
    <w:rsid w:val="00E728B8"/>
    <w:rPr>
      <w:rFonts w:ascii="Arial" w:hAnsi="Arial"/>
      <w:sz w:val="24"/>
      <w:lang w:eastAsia="fr-FR"/>
    </w:rPr>
  </w:style>
  <w:style w:type="paragraph" w:customStyle="1" w:styleId="numration">
    <w:name w:val="Énumération"/>
    <w:basedOn w:val="Paragraphe"/>
    <w:qFormat/>
    <w:rsid w:val="00495107"/>
    <w:pPr>
      <w:numPr>
        <w:numId w:val="2"/>
      </w:numPr>
      <w:tabs>
        <w:tab w:val="clear" w:pos="1094"/>
        <w:tab w:val="num" w:pos="2203"/>
      </w:tabs>
      <w:spacing w:before="0"/>
      <w:ind w:left="1134" w:hanging="567"/>
    </w:pPr>
  </w:style>
  <w:style w:type="character" w:styleId="Appelnotedebasdep">
    <w:name w:val="footnote reference"/>
    <w:uiPriority w:val="99"/>
    <w:unhideWhenUsed/>
    <w:rsid w:val="00AE5BC4"/>
    <w:rPr>
      <w:vertAlign w:val="superscript"/>
    </w:rPr>
  </w:style>
  <w:style w:type="character" w:customStyle="1" w:styleId="CorpsdetexteCar">
    <w:name w:val="Corps de texte Car"/>
    <w:link w:val="Corpsdetexte"/>
    <w:semiHidden/>
    <w:rsid w:val="00AE5BC4"/>
    <w:rPr>
      <w:rFonts w:ascii="Arial" w:hAnsi="Arial"/>
      <w:sz w:val="24"/>
      <w:lang w:eastAsia="fr-FR"/>
    </w:rPr>
  </w:style>
  <w:style w:type="paragraph" w:customStyle="1" w:styleId="Citationdansunecitation">
    <w:name w:val="Citation dans une citation"/>
    <w:basedOn w:val="Citationenretrait"/>
    <w:link w:val="CitationdansunecitationCar"/>
    <w:qFormat/>
    <w:rsid w:val="005C0430"/>
    <w:pPr>
      <w:ind w:left="1134" w:right="1282"/>
    </w:pPr>
    <w:rPr>
      <w:sz w:val="20"/>
    </w:rPr>
  </w:style>
  <w:style w:type="character" w:customStyle="1" w:styleId="CitationenretraitCar">
    <w:name w:val="Citation en retrait Car"/>
    <w:link w:val="Citationenretrait"/>
    <w:rsid w:val="005C0430"/>
    <w:rPr>
      <w:rFonts w:ascii="Arial" w:hAnsi="Arial"/>
      <w:kern w:val="24"/>
      <w:sz w:val="22"/>
      <w:lang w:eastAsia="fr-FR"/>
    </w:rPr>
  </w:style>
  <w:style w:type="character" w:customStyle="1" w:styleId="CitationdansunecitationCar">
    <w:name w:val="Citation dans une citation Car"/>
    <w:link w:val="Citationdansunecitation"/>
    <w:rsid w:val="005C0430"/>
    <w:rPr>
      <w:rFonts w:ascii="Arial" w:hAnsi="Arial"/>
      <w:kern w:val="24"/>
      <w:sz w:val="22"/>
      <w:lang w:eastAsia="fr-FR"/>
    </w:rPr>
  </w:style>
  <w:style w:type="character" w:styleId="Marquedecommentaire">
    <w:name w:val="annotation reference"/>
    <w:uiPriority w:val="99"/>
    <w:semiHidden/>
    <w:unhideWhenUsed/>
    <w:rsid w:val="00241013"/>
    <w:rPr>
      <w:sz w:val="16"/>
      <w:szCs w:val="16"/>
    </w:rPr>
  </w:style>
  <w:style w:type="paragraph" w:styleId="Commentaire">
    <w:name w:val="annotation text"/>
    <w:basedOn w:val="Normal"/>
    <w:link w:val="CommentaireCar"/>
    <w:uiPriority w:val="99"/>
    <w:unhideWhenUsed/>
    <w:rsid w:val="00241013"/>
    <w:rPr>
      <w:sz w:val="20"/>
    </w:rPr>
  </w:style>
  <w:style w:type="character" w:customStyle="1" w:styleId="CommentaireCar">
    <w:name w:val="Commentaire Car"/>
    <w:link w:val="Commentaire"/>
    <w:uiPriority w:val="99"/>
    <w:rsid w:val="00241013"/>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241013"/>
    <w:rPr>
      <w:b/>
      <w:bCs/>
    </w:rPr>
  </w:style>
  <w:style w:type="character" w:customStyle="1" w:styleId="ObjetducommentaireCar">
    <w:name w:val="Objet du commentaire Car"/>
    <w:link w:val="Objetducommentaire"/>
    <w:uiPriority w:val="99"/>
    <w:semiHidden/>
    <w:rsid w:val="00241013"/>
    <w:rPr>
      <w:rFonts w:ascii="Arial" w:hAnsi="Arial"/>
      <w:b/>
      <w:bCs/>
      <w:lang w:eastAsia="fr-FR"/>
    </w:rPr>
  </w:style>
  <w:style w:type="character" w:customStyle="1" w:styleId="ParagrapheCar">
    <w:name w:val="Paragraphe Car"/>
    <w:link w:val="Paragraphe"/>
    <w:rsid w:val="00FC6D31"/>
    <w:rPr>
      <w:rFonts w:ascii="Arial" w:hAnsi="Arial"/>
      <w:kern w:val="28"/>
      <w:sz w:val="24"/>
      <w:lang w:eastAsia="fr-FR"/>
    </w:rPr>
  </w:style>
  <w:style w:type="paragraph" w:styleId="Paragraphedeliste">
    <w:name w:val="List Paragraph"/>
    <w:basedOn w:val="Normal"/>
    <w:uiPriority w:val="34"/>
    <w:qFormat/>
    <w:rsid w:val="00BA6BB5"/>
    <w:pPr>
      <w:spacing w:after="160" w:line="259" w:lineRule="auto"/>
      <w:ind w:left="720"/>
      <w:contextualSpacing/>
    </w:pPr>
    <w:rPr>
      <w:rFonts w:ascii="Calibri" w:eastAsia="Calibri" w:hAnsi="Calibri"/>
      <w:sz w:val="22"/>
      <w:szCs w:val="22"/>
      <w:lang w:eastAsia="en-US"/>
    </w:rPr>
  </w:style>
  <w:style w:type="character" w:customStyle="1" w:styleId="NotedebasdepageCar">
    <w:name w:val="Note de bas de page Car"/>
    <w:link w:val="Notedebasdepage"/>
    <w:uiPriority w:val="99"/>
    <w:rsid w:val="00BA6BB5"/>
    <w:rPr>
      <w:rFonts w:ascii="Arial" w:hAnsi="Arial"/>
      <w:lang w:eastAsia="fr-FR"/>
    </w:rPr>
  </w:style>
  <w:style w:type="character" w:customStyle="1" w:styleId="st1">
    <w:name w:val="st1"/>
    <w:basedOn w:val="Policepardfaut"/>
    <w:rsid w:val="000C0364"/>
  </w:style>
  <w:style w:type="paragraph" w:styleId="Sous-titre">
    <w:name w:val="Subtitle"/>
    <w:basedOn w:val="Normal"/>
    <w:next w:val="Normal"/>
    <w:link w:val="Sous-titreCar"/>
    <w:uiPriority w:val="11"/>
    <w:rsid w:val="00810CE6"/>
    <w:pPr>
      <w:numPr>
        <w:ilvl w:val="1"/>
      </w:numPr>
      <w:spacing w:after="160"/>
    </w:pPr>
    <w:rPr>
      <w:rFonts w:ascii="Calibri" w:hAnsi="Calibri"/>
      <w:color w:val="5A5A5A"/>
      <w:spacing w:val="15"/>
      <w:sz w:val="22"/>
      <w:szCs w:val="22"/>
    </w:rPr>
  </w:style>
  <w:style w:type="character" w:customStyle="1" w:styleId="Sous-titreCar">
    <w:name w:val="Sous-titre Car"/>
    <w:link w:val="Sous-titre"/>
    <w:uiPriority w:val="11"/>
    <w:rsid w:val="00810CE6"/>
    <w:rPr>
      <w:rFonts w:ascii="Calibri" w:hAnsi="Calibri"/>
      <w:color w:val="5A5A5A"/>
      <w:spacing w:val="15"/>
      <w:sz w:val="22"/>
      <w:szCs w:val="22"/>
      <w:lang w:eastAsia="fr-FR"/>
    </w:rPr>
  </w:style>
  <w:style w:type="character" w:styleId="Hyperlien">
    <w:name w:val="Hyperlink"/>
    <w:uiPriority w:val="99"/>
    <w:unhideWhenUsed/>
    <w:rsid w:val="00810CE6"/>
    <w:rPr>
      <w:color w:val="0563C1"/>
      <w:u w:val="single"/>
    </w:rPr>
  </w:style>
  <w:style w:type="character" w:styleId="Mentionnonrsolue">
    <w:name w:val="Unresolved Mention"/>
    <w:uiPriority w:val="99"/>
    <w:semiHidden/>
    <w:unhideWhenUsed/>
    <w:rsid w:val="00810CE6"/>
    <w:rPr>
      <w:color w:val="605E5C"/>
      <w:shd w:val="clear" w:color="auto" w:fill="E1DFDD"/>
    </w:rPr>
  </w:style>
  <w:style w:type="paragraph" w:styleId="Titre">
    <w:name w:val="Title"/>
    <w:basedOn w:val="Normal"/>
    <w:next w:val="Normal"/>
    <w:link w:val="TitreCar"/>
    <w:uiPriority w:val="10"/>
    <w:rsid w:val="00810CE6"/>
    <w:pPr>
      <w:contextualSpacing/>
    </w:pPr>
    <w:rPr>
      <w:rFonts w:ascii="Calibri Light" w:hAnsi="Calibri Light"/>
      <w:spacing w:val="-10"/>
      <w:kern w:val="28"/>
      <w:sz w:val="56"/>
      <w:szCs w:val="56"/>
    </w:rPr>
  </w:style>
  <w:style w:type="character" w:customStyle="1" w:styleId="TitreCar">
    <w:name w:val="Titre Car"/>
    <w:link w:val="Titre"/>
    <w:uiPriority w:val="10"/>
    <w:rsid w:val="00810CE6"/>
    <w:rPr>
      <w:rFonts w:ascii="Calibri Light" w:hAnsi="Calibri Light"/>
      <w:spacing w:val="-10"/>
      <w:kern w:val="28"/>
      <w:sz w:val="56"/>
      <w:szCs w:val="56"/>
      <w:lang w:eastAsia="fr-FR"/>
    </w:rPr>
  </w:style>
  <w:style w:type="paragraph" w:styleId="En-ttedetabledesmatires">
    <w:name w:val="TOC Heading"/>
    <w:basedOn w:val="Titre1"/>
    <w:next w:val="Normal"/>
    <w:uiPriority w:val="39"/>
    <w:unhideWhenUsed/>
    <w:qFormat/>
    <w:rsid w:val="009541B2"/>
    <w:pPr>
      <w:keepLines/>
      <w:spacing w:before="240" w:after="0" w:line="259" w:lineRule="auto"/>
      <w:outlineLvl w:val="9"/>
    </w:pPr>
    <w:rPr>
      <w:rFonts w:ascii="Calibri Light" w:hAnsi="Calibri Light"/>
      <w:b w:val="0"/>
      <w:smallCaps/>
      <w:color w:val="2F5496"/>
      <w:kern w:val="0"/>
      <w:sz w:val="32"/>
      <w:szCs w:val="32"/>
      <w:u w:val="none"/>
      <w:lang w:eastAsia="fr-CA"/>
    </w:rPr>
  </w:style>
  <w:style w:type="paragraph" w:styleId="TM1">
    <w:name w:val="toc 1"/>
    <w:basedOn w:val="Normal"/>
    <w:next w:val="Normal"/>
    <w:autoRedefine/>
    <w:uiPriority w:val="39"/>
    <w:unhideWhenUsed/>
    <w:rsid w:val="00290C50"/>
    <w:pPr>
      <w:tabs>
        <w:tab w:val="right" w:leader="dot" w:pos="9352"/>
      </w:tabs>
      <w:spacing w:after="240"/>
    </w:pPr>
  </w:style>
  <w:style w:type="paragraph" w:styleId="TM2">
    <w:name w:val="toc 2"/>
    <w:basedOn w:val="Normal"/>
    <w:next w:val="Normal"/>
    <w:autoRedefine/>
    <w:uiPriority w:val="39"/>
    <w:unhideWhenUsed/>
    <w:rsid w:val="005D39C9"/>
    <w:pPr>
      <w:tabs>
        <w:tab w:val="left" w:pos="880"/>
        <w:tab w:val="right" w:leader="dot" w:pos="9352"/>
      </w:tabs>
      <w:spacing w:after="120"/>
      <w:ind w:left="240"/>
      <w:jc w:val="both"/>
    </w:pPr>
    <w:rPr>
      <w:b/>
      <w:bCs/>
      <w:noProof/>
    </w:rPr>
  </w:style>
  <w:style w:type="paragraph" w:styleId="TM3">
    <w:name w:val="toc 3"/>
    <w:basedOn w:val="Normal"/>
    <w:next w:val="Normal"/>
    <w:autoRedefine/>
    <w:uiPriority w:val="39"/>
    <w:unhideWhenUsed/>
    <w:rsid w:val="00DC0E81"/>
    <w:pPr>
      <w:tabs>
        <w:tab w:val="left" w:pos="1100"/>
        <w:tab w:val="right" w:leader="dot" w:pos="9352"/>
      </w:tabs>
      <w:spacing w:after="120"/>
      <w:ind w:left="480"/>
    </w:pPr>
  </w:style>
  <w:style w:type="character" w:styleId="Accentuation">
    <w:name w:val="Emphasis"/>
    <w:uiPriority w:val="20"/>
    <w:qFormat/>
    <w:rsid w:val="00375010"/>
    <w:rPr>
      <w:i/>
      <w:iCs/>
    </w:rPr>
  </w:style>
  <w:style w:type="character" w:customStyle="1" w:styleId="indicateur-factuelinfo2">
    <w:name w:val="indicateur-factuelinfo2"/>
    <w:basedOn w:val="Policepardfaut"/>
    <w:rsid w:val="00375010"/>
  </w:style>
  <w:style w:type="paragraph" w:customStyle="1" w:styleId="paragraphe0">
    <w:name w:val="paragraphe"/>
    <w:basedOn w:val="Normal"/>
    <w:rsid w:val="00375010"/>
    <w:pPr>
      <w:spacing w:before="100" w:beforeAutospacing="1" w:after="100" w:afterAutospacing="1"/>
    </w:pPr>
    <w:rPr>
      <w:rFonts w:ascii="Times New Roman" w:hAnsi="Times New Roman"/>
      <w:szCs w:val="24"/>
      <w:lang w:eastAsia="fr-CA"/>
    </w:rPr>
  </w:style>
  <w:style w:type="paragraph" w:customStyle="1" w:styleId="citationenretrait0">
    <w:name w:val="citationenretrait"/>
    <w:basedOn w:val="Normal"/>
    <w:rsid w:val="00375010"/>
    <w:pPr>
      <w:spacing w:before="100" w:beforeAutospacing="1" w:after="100" w:afterAutospacing="1"/>
    </w:pPr>
    <w:rPr>
      <w:rFonts w:ascii="Times New Roman" w:hAnsi="Times New Roman"/>
      <w:szCs w:val="24"/>
      <w:lang w:eastAsia="fr-CA"/>
    </w:rPr>
  </w:style>
  <w:style w:type="paragraph" w:styleId="TM4">
    <w:name w:val="toc 4"/>
    <w:basedOn w:val="Normal"/>
    <w:next w:val="Normal"/>
    <w:autoRedefine/>
    <w:uiPriority w:val="39"/>
    <w:unhideWhenUsed/>
    <w:rsid w:val="00DC0E81"/>
    <w:pPr>
      <w:spacing w:after="100"/>
      <w:ind w:left="720"/>
    </w:pPr>
  </w:style>
  <w:style w:type="paragraph" w:styleId="Rvision">
    <w:name w:val="Revision"/>
    <w:hidden/>
    <w:uiPriority w:val="99"/>
    <w:semiHidden/>
    <w:rsid w:val="00F13322"/>
    <w:rPr>
      <w:rFonts w:ascii="Arial" w:hAnsi="Arial"/>
      <w:sz w:val="24"/>
      <w:lang w:eastAsia="fr-FR"/>
    </w:rPr>
  </w:style>
  <w:style w:type="paragraph" w:customStyle="1" w:styleId="divisiondefinition">
    <w:name w:val="divisiondefinition"/>
    <w:basedOn w:val="Normal"/>
    <w:rsid w:val="00C353DC"/>
    <w:pPr>
      <w:spacing w:before="100" w:beforeAutospacing="1" w:after="100" w:afterAutospacing="1"/>
    </w:pPr>
    <w:rPr>
      <w:rFonts w:ascii="Times New Roman" w:hAnsi="Times New Roman"/>
      <w:szCs w:val="24"/>
      <w:lang w:eastAsia="fr-CA"/>
    </w:rPr>
  </w:style>
  <w:style w:type="character" w:customStyle="1" w:styleId="numdef">
    <w:name w:val="numdef"/>
    <w:basedOn w:val="Policepardfaut"/>
    <w:rsid w:val="00C353DC"/>
  </w:style>
  <w:style w:type="character" w:customStyle="1" w:styleId="small">
    <w:name w:val="small"/>
    <w:basedOn w:val="Policepardfaut"/>
    <w:rsid w:val="00C353DC"/>
  </w:style>
  <w:style w:type="character" w:styleId="Lienvisit">
    <w:name w:val="FollowedHyperlink"/>
    <w:basedOn w:val="Policepardfaut"/>
    <w:uiPriority w:val="99"/>
    <w:semiHidden/>
    <w:unhideWhenUsed/>
    <w:rsid w:val="00BC6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1CCB-1D35-43FF-ABD7-70D11B77FD30}">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46</Pages>
  <Words>14767</Words>
  <Characters>81220</Characters>
  <Application>Microsoft Office Word</Application>
  <DocSecurity>0</DocSecurity>
  <Lines>676</Lines>
  <Paragraphs>191</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95796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creator>Ann-Marie Jones</dc:creator>
  <cp:lastModifiedBy>Gauthier, François</cp:lastModifiedBy>
  <cp:revision>10</cp:revision>
  <cp:lastPrinted>2024-04-17T18:44:00Z</cp:lastPrinted>
  <dcterms:created xsi:type="dcterms:W3CDTF">2025-03-10T20:00:00Z</dcterms:created>
  <dcterms:modified xsi:type="dcterms:W3CDTF">2025-03-13T15:22:00Z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CQ</vt:lpwstr>
  </property>
  <property fmtid="{D5CDD505-2E9C-101B-9397-08002B2CF9AE}" pid="3" name="Soquij_DateModification">
    <vt:lpwstr>01/24/2002</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