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19D06" w14:textId="7F260EDC" w:rsidR="00871758" w:rsidRPr="00A63A51" w:rsidRDefault="00EA0A26" w:rsidP="009D6270">
      <w:pPr>
        <w:pStyle w:val="Titre1"/>
        <w:rPr>
          <w:b w:val="0"/>
          <w:bCs/>
          <w:sz w:val="24"/>
          <w:szCs w:val="24"/>
          <w:lang w:val="en-CA"/>
        </w:rPr>
      </w:pPr>
      <w:r w:rsidRPr="00A63A51">
        <w:rPr>
          <w:b w:val="0"/>
          <w:bCs/>
          <w:sz w:val="24"/>
          <w:szCs w:val="24"/>
          <w:lang w:val="en-CA"/>
        </w:rPr>
        <w:t xml:space="preserve">English </w:t>
      </w:r>
      <w:r w:rsidR="00EC3BDA" w:rsidRPr="00A63A51">
        <w:rPr>
          <w:b w:val="0"/>
          <w:bCs/>
          <w:sz w:val="24"/>
          <w:szCs w:val="24"/>
          <w:lang w:val="en-CA"/>
        </w:rPr>
        <w:t>t</w:t>
      </w:r>
      <w:r w:rsidRPr="00A63A51">
        <w:rPr>
          <w:b w:val="0"/>
          <w:bCs/>
          <w:sz w:val="24"/>
          <w:szCs w:val="24"/>
          <w:lang w:val="en-CA"/>
        </w:rPr>
        <w:t xml:space="preserve">ranslation of the </w:t>
      </w:r>
      <w:r w:rsidR="00EC3BDA" w:rsidRPr="00A63A51">
        <w:rPr>
          <w:b w:val="0"/>
          <w:bCs/>
          <w:sz w:val="24"/>
          <w:szCs w:val="24"/>
          <w:lang w:val="en-CA"/>
        </w:rPr>
        <w:t>j</w:t>
      </w:r>
      <w:r w:rsidRPr="00A63A51">
        <w:rPr>
          <w:b w:val="0"/>
          <w:bCs/>
          <w:sz w:val="24"/>
          <w:szCs w:val="24"/>
          <w:lang w:val="en-CA"/>
        </w:rPr>
        <w:t>udgment of the Court by SOQUIJ</w:t>
      </w:r>
    </w:p>
    <w:tbl>
      <w:tblPr>
        <w:tblW w:w="9360" w:type="dxa"/>
        <w:tblLayout w:type="fixed"/>
        <w:tblCellMar>
          <w:left w:w="0" w:type="dxa"/>
          <w:right w:w="0" w:type="dxa"/>
        </w:tblCellMar>
        <w:tblLook w:val="0000" w:firstRow="0" w:lastRow="0" w:firstColumn="0" w:lastColumn="0" w:noHBand="0" w:noVBand="0"/>
      </w:tblPr>
      <w:tblGrid>
        <w:gridCol w:w="1030"/>
        <w:gridCol w:w="410"/>
        <w:gridCol w:w="180"/>
        <w:gridCol w:w="2350"/>
        <w:gridCol w:w="3402"/>
        <w:gridCol w:w="1988"/>
      </w:tblGrid>
      <w:tr w:rsidR="006D655C" w14:paraId="771E743D" w14:textId="77777777" w:rsidTr="008D18FC">
        <w:trPr>
          <w:trHeight w:val="248"/>
        </w:trPr>
        <w:tc>
          <w:tcPr>
            <w:tcW w:w="7372" w:type="dxa"/>
            <w:gridSpan w:val="5"/>
          </w:tcPr>
          <w:p w14:paraId="2B536256" w14:textId="114573FF" w:rsidR="008F364A" w:rsidRPr="001319C0" w:rsidRDefault="00F06516" w:rsidP="001319C0">
            <w:pPr>
              <w:pStyle w:val="zSoquijdatRepertorie"/>
              <w:rPr>
                <w:rFonts w:cs="Arial"/>
              </w:rPr>
            </w:pPr>
            <w:r>
              <w:rPr>
                <w:rFonts w:cs="Arial"/>
                <w:bCs/>
                <w:lang w:val="en-CA"/>
              </w:rPr>
              <w:t>Nadeau c. R.</w:t>
            </w:r>
          </w:p>
        </w:tc>
        <w:tc>
          <w:tcPr>
            <w:tcW w:w="1988" w:type="dxa"/>
          </w:tcPr>
          <w:p w14:paraId="38F055F5" w14:textId="0DC3D3B5" w:rsidR="008F364A" w:rsidRPr="00C924A1" w:rsidRDefault="00F06516" w:rsidP="00C924A1">
            <w:pPr>
              <w:pStyle w:val="zSoquijdatRefNeutre"/>
              <w:jc w:val="right"/>
              <w:rPr>
                <w:rFonts w:cs="Arial"/>
              </w:rPr>
            </w:pPr>
            <w:r>
              <w:rPr>
                <w:rFonts w:cs="Arial"/>
                <w:bCs/>
                <w:lang w:val="en-CA"/>
              </w:rPr>
              <w:t>2024 QCCA 852</w:t>
            </w:r>
          </w:p>
        </w:tc>
      </w:tr>
      <w:tr w:rsidR="006D655C" w14:paraId="47BDA41E" w14:textId="77777777" w:rsidTr="008D18FC">
        <w:trPr>
          <w:trHeight w:val="247"/>
        </w:trPr>
        <w:tc>
          <w:tcPr>
            <w:tcW w:w="9360" w:type="dxa"/>
            <w:gridSpan w:val="6"/>
          </w:tcPr>
          <w:p w14:paraId="665E3900" w14:textId="77777777" w:rsidR="008F364A" w:rsidRPr="00941800" w:rsidRDefault="00F06516">
            <w:pPr>
              <w:pStyle w:val="zSoquijlblCour"/>
            </w:pPr>
            <w:r>
              <w:rPr>
                <w:bCs/>
                <w:lang w:val="en-CA"/>
              </w:rPr>
              <w:t>COURT OF APPEAL</w:t>
            </w:r>
          </w:p>
        </w:tc>
      </w:tr>
      <w:tr w:rsidR="006D655C" w14:paraId="37A4E7A2" w14:textId="77777777" w:rsidTr="008D18FC">
        <w:trPr>
          <w:trHeight w:val="540"/>
        </w:trPr>
        <w:tc>
          <w:tcPr>
            <w:tcW w:w="9360" w:type="dxa"/>
            <w:gridSpan w:val="6"/>
          </w:tcPr>
          <w:p w14:paraId="514DFB0C" w14:textId="77777777" w:rsidR="008F364A" w:rsidRPr="00941800" w:rsidRDefault="008F364A">
            <w:pPr>
              <w:pStyle w:val="zSoquijdatDivision"/>
            </w:pPr>
          </w:p>
        </w:tc>
      </w:tr>
      <w:tr w:rsidR="006D655C" w14:paraId="3F5D5A05" w14:textId="77777777" w:rsidTr="008D18FC">
        <w:tc>
          <w:tcPr>
            <w:tcW w:w="9360" w:type="dxa"/>
            <w:gridSpan w:val="6"/>
          </w:tcPr>
          <w:p w14:paraId="4C56F762" w14:textId="77777777" w:rsidR="008F364A" w:rsidRPr="00941800" w:rsidRDefault="00F06516">
            <w:pPr>
              <w:pStyle w:val="zSoquijlblPays"/>
            </w:pPr>
            <w:r>
              <w:rPr>
                <w:lang w:val="en-CA"/>
              </w:rPr>
              <w:t>CANADA</w:t>
            </w:r>
          </w:p>
        </w:tc>
      </w:tr>
      <w:tr w:rsidR="006D655C" w14:paraId="461CD71C" w14:textId="77777777" w:rsidTr="008D18FC">
        <w:tc>
          <w:tcPr>
            <w:tcW w:w="9360" w:type="dxa"/>
            <w:gridSpan w:val="6"/>
          </w:tcPr>
          <w:p w14:paraId="7B534F79" w14:textId="77777777" w:rsidR="008F364A" w:rsidRPr="00941800" w:rsidRDefault="00F06516">
            <w:pPr>
              <w:pStyle w:val="zSoquijlblProvince"/>
            </w:pPr>
            <w:r>
              <w:rPr>
                <w:lang w:val="en-CA"/>
              </w:rPr>
              <w:t>PROVINCE OF QUEBEC</w:t>
            </w:r>
          </w:p>
        </w:tc>
      </w:tr>
      <w:tr w:rsidR="006D655C" w14:paraId="38E403F8" w14:textId="77777777" w:rsidTr="008D18FC">
        <w:tc>
          <w:tcPr>
            <w:tcW w:w="1440" w:type="dxa"/>
            <w:gridSpan w:val="2"/>
          </w:tcPr>
          <w:p w14:paraId="5B751447" w14:textId="08F9B210" w:rsidR="008F364A" w:rsidRPr="00941800" w:rsidRDefault="00F06516">
            <w:pPr>
              <w:pStyle w:val="zSoquijlblGreffe"/>
            </w:pPr>
            <w:r>
              <w:rPr>
                <w:lang w:val="en-CA"/>
              </w:rPr>
              <w:t>QU</w:t>
            </w:r>
            <w:r w:rsidR="00333194">
              <w:rPr>
                <w:lang w:val="en-CA"/>
              </w:rPr>
              <w:t>E</w:t>
            </w:r>
            <w:r>
              <w:rPr>
                <w:lang w:val="en-CA"/>
              </w:rPr>
              <w:t>BEC</w:t>
            </w:r>
          </w:p>
          <w:p w14:paraId="3597D018" w14:textId="77777777" w:rsidR="008F364A" w:rsidRPr="00941800" w:rsidRDefault="008F364A">
            <w:pPr>
              <w:pStyle w:val="zSoquijlblGreffe"/>
            </w:pPr>
          </w:p>
        </w:tc>
        <w:tc>
          <w:tcPr>
            <w:tcW w:w="7920" w:type="dxa"/>
            <w:gridSpan w:val="4"/>
          </w:tcPr>
          <w:p w14:paraId="1C16FC91" w14:textId="77777777" w:rsidR="008F364A" w:rsidRPr="00941800" w:rsidRDefault="008F364A">
            <w:pPr>
              <w:pStyle w:val="zSoquijdatGreffe"/>
            </w:pPr>
            <w:bookmarkStart w:id="0" w:name="NomGreffe"/>
            <w:bookmarkEnd w:id="0"/>
          </w:p>
        </w:tc>
      </w:tr>
      <w:tr w:rsidR="006D655C" w14:paraId="4041A0ED" w14:textId="77777777" w:rsidTr="008D18FC">
        <w:tc>
          <w:tcPr>
            <w:tcW w:w="1030" w:type="dxa"/>
          </w:tcPr>
          <w:p w14:paraId="1E790AE7" w14:textId="77777777" w:rsidR="008F364A" w:rsidRPr="00941800" w:rsidRDefault="00F06516">
            <w:pPr>
              <w:pStyle w:val="zSoquijlblNoDossier"/>
            </w:pPr>
            <w:r>
              <w:rPr>
                <w:lang w:val="en-CA"/>
              </w:rPr>
              <w:t>No.:</w:t>
            </w:r>
          </w:p>
        </w:tc>
        <w:tc>
          <w:tcPr>
            <w:tcW w:w="8330" w:type="dxa"/>
            <w:gridSpan w:val="5"/>
          </w:tcPr>
          <w:p w14:paraId="24A3F02C" w14:textId="77777777" w:rsidR="008F364A" w:rsidRPr="00941800" w:rsidRDefault="00F06516">
            <w:pPr>
              <w:pStyle w:val="zSoquijdatNoDossier"/>
            </w:pPr>
            <w:bookmarkStart w:id="1" w:name="NoDossier"/>
            <w:r>
              <w:rPr>
                <w:lang w:val="en-CA"/>
              </w:rPr>
              <w:t>200-10-003826-216</w:t>
            </w:r>
            <w:bookmarkEnd w:id="1"/>
          </w:p>
        </w:tc>
      </w:tr>
      <w:tr w:rsidR="006D655C" w14:paraId="6DF56BDA" w14:textId="77777777" w:rsidTr="008D18FC">
        <w:tc>
          <w:tcPr>
            <w:tcW w:w="9360" w:type="dxa"/>
            <w:gridSpan w:val="6"/>
          </w:tcPr>
          <w:p w14:paraId="30C76EE1" w14:textId="77777777" w:rsidR="0055122D" w:rsidRPr="00941800" w:rsidRDefault="00F06516" w:rsidP="0055122D">
            <w:pPr>
              <w:pStyle w:val="zSoquijdatNoDossierAnt"/>
            </w:pPr>
            <w:r>
              <w:rPr>
                <w:lang w:val="en-CA"/>
              </w:rPr>
              <w:t>(600-01-015899-177)</w:t>
            </w:r>
          </w:p>
        </w:tc>
      </w:tr>
      <w:tr w:rsidR="006D655C" w14:paraId="1A5B3889" w14:textId="77777777" w:rsidTr="008D18FC">
        <w:tc>
          <w:tcPr>
            <w:tcW w:w="9360" w:type="dxa"/>
            <w:gridSpan w:val="6"/>
          </w:tcPr>
          <w:p w14:paraId="7B377A49" w14:textId="77777777" w:rsidR="008F364A" w:rsidRPr="00941800" w:rsidRDefault="008F364A"/>
        </w:tc>
      </w:tr>
      <w:tr w:rsidR="006D655C" w14:paraId="7E4CDF86" w14:textId="77777777" w:rsidTr="008D18FC">
        <w:tc>
          <w:tcPr>
            <w:tcW w:w="1030" w:type="dxa"/>
          </w:tcPr>
          <w:p w14:paraId="3894968B" w14:textId="77777777" w:rsidR="008F364A" w:rsidRPr="00941800" w:rsidRDefault="00F06516">
            <w:pPr>
              <w:pStyle w:val="zSoquijlblDateJugement"/>
            </w:pPr>
            <w:r>
              <w:rPr>
                <w:lang w:val="en-CA"/>
              </w:rPr>
              <w:t>DATE:</w:t>
            </w:r>
          </w:p>
        </w:tc>
        <w:tc>
          <w:tcPr>
            <w:tcW w:w="8330" w:type="dxa"/>
            <w:gridSpan w:val="5"/>
          </w:tcPr>
          <w:p w14:paraId="376023DE" w14:textId="67837E0F" w:rsidR="008F364A" w:rsidRPr="00941800" w:rsidRDefault="00F06516">
            <w:pPr>
              <w:pStyle w:val="zSoquijdatDateJugement"/>
            </w:pPr>
            <w:r>
              <w:rPr>
                <w:lang w:val="en-CA"/>
              </w:rPr>
              <w:t>June 27, 2024</w:t>
            </w:r>
          </w:p>
        </w:tc>
      </w:tr>
      <w:tr w:rsidR="006D655C" w14:paraId="2BE3E25E" w14:textId="77777777" w:rsidTr="008D18FC">
        <w:tc>
          <w:tcPr>
            <w:tcW w:w="9360" w:type="dxa"/>
            <w:gridSpan w:val="6"/>
            <w:tcBorders>
              <w:bottom w:val="single" w:sz="8" w:space="0" w:color="auto"/>
            </w:tcBorders>
          </w:tcPr>
          <w:p w14:paraId="66281CC0" w14:textId="77777777" w:rsidR="008F364A" w:rsidRPr="00941800" w:rsidRDefault="008F364A"/>
        </w:tc>
      </w:tr>
      <w:tr w:rsidR="006D655C" w14:paraId="4544A032" w14:textId="77777777" w:rsidTr="008D18FC">
        <w:tc>
          <w:tcPr>
            <w:tcW w:w="9360" w:type="dxa"/>
            <w:gridSpan w:val="6"/>
            <w:tcBorders>
              <w:top w:val="single" w:sz="8" w:space="0" w:color="auto"/>
            </w:tcBorders>
          </w:tcPr>
          <w:p w14:paraId="60700A36" w14:textId="77777777" w:rsidR="008F364A" w:rsidRPr="00941800" w:rsidRDefault="008F364A"/>
        </w:tc>
      </w:tr>
      <w:tr w:rsidR="006D655C" w14:paraId="3E3728E0" w14:textId="77777777" w:rsidTr="008D18FC">
        <w:tc>
          <w:tcPr>
            <w:tcW w:w="1620" w:type="dxa"/>
            <w:gridSpan w:val="3"/>
          </w:tcPr>
          <w:p w14:paraId="74C26B30" w14:textId="77777777" w:rsidR="008F364A" w:rsidRPr="00941800" w:rsidRDefault="00F06516" w:rsidP="00423DF1">
            <w:pPr>
              <w:pStyle w:val="zSoquijlblJuge"/>
              <w:ind w:right="-142"/>
            </w:pPr>
            <w:bookmarkStart w:id="2" w:name="FORMATION"/>
            <w:r>
              <w:rPr>
                <w:bCs/>
                <w:lang w:val="en-CA"/>
              </w:rPr>
              <w:t>CORAM:</w:t>
            </w:r>
            <w:bookmarkEnd w:id="2"/>
          </w:p>
        </w:tc>
        <w:tc>
          <w:tcPr>
            <w:tcW w:w="2350" w:type="dxa"/>
          </w:tcPr>
          <w:p w14:paraId="61970626" w14:textId="77777777" w:rsidR="008F364A" w:rsidRPr="00941800" w:rsidRDefault="00F06516">
            <w:pPr>
              <w:pStyle w:val="zSoquijdatQteJuge"/>
            </w:pPr>
            <w:bookmarkStart w:id="3" w:name="Honorables"/>
            <w:r>
              <w:rPr>
                <w:bCs/>
                <w:lang w:val="en-CA"/>
              </w:rPr>
              <w:t>THE HONOURABLE</w:t>
            </w:r>
            <w:bookmarkEnd w:id="3"/>
          </w:p>
        </w:tc>
        <w:tc>
          <w:tcPr>
            <w:tcW w:w="5390" w:type="dxa"/>
            <w:gridSpan w:val="2"/>
          </w:tcPr>
          <w:p w14:paraId="79D3C76D" w14:textId="77777777" w:rsidR="008F364A" w:rsidRPr="00941800" w:rsidRDefault="00F06516">
            <w:pPr>
              <w:pStyle w:val="zSoquijdatJuge"/>
            </w:pPr>
            <w:bookmarkStart w:id="4" w:name="NomJuge1"/>
            <w:r w:rsidRPr="004A360E">
              <w:rPr>
                <w:bCs/>
              </w:rPr>
              <w:t xml:space="preserve">MARIE-FRANCE </w:t>
            </w:r>
            <w:proofErr w:type="spellStart"/>
            <w:r w:rsidRPr="004A360E">
              <w:rPr>
                <w:bCs/>
              </w:rPr>
              <w:t>BICH</w:t>
            </w:r>
            <w:proofErr w:type="spellEnd"/>
            <w:r w:rsidRPr="004A360E">
              <w:rPr>
                <w:bCs/>
              </w:rPr>
              <w:t>, J.A.</w:t>
            </w:r>
            <w:bookmarkEnd w:id="4"/>
          </w:p>
          <w:p w14:paraId="4C96A8D1" w14:textId="77777777" w:rsidR="008F364A" w:rsidRPr="00941800" w:rsidRDefault="00F06516">
            <w:pPr>
              <w:pStyle w:val="zSoquijdatJuge"/>
            </w:pPr>
            <w:bookmarkStart w:id="5" w:name="NomJuge2"/>
            <w:r w:rsidRPr="004A360E">
              <w:rPr>
                <w:bCs/>
              </w:rPr>
              <w:t>MICHEL BEAUPRÉ, J.A.</w:t>
            </w:r>
            <w:bookmarkEnd w:id="5"/>
          </w:p>
          <w:p w14:paraId="4AD73C75" w14:textId="77777777" w:rsidR="005A78BF" w:rsidRPr="00941800" w:rsidRDefault="00F06516" w:rsidP="0055122D">
            <w:pPr>
              <w:pStyle w:val="zSoquijdatJuge"/>
            </w:pPr>
            <w:bookmarkStart w:id="6" w:name="_Hlt520513784"/>
            <w:bookmarkStart w:id="7" w:name="NomJuge3"/>
            <w:bookmarkEnd w:id="6"/>
            <w:r w:rsidRPr="004A360E">
              <w:rPr>
                <w:bCs/>
              </w:rPr>
              <w:t xml:space="preserve">GUY </w:t>
            </w:r>
            <w:proofErr w:type="spellStart"/>
            <w:r w:rsidRPr="004A360E">
              <w:rPr>
                <w:bCs/>
              </w:rPr>
              <w:t>COURNOYER</w:t>
            </w:r>
            <w:proofErr w:type="spellEnd"/>
            <w:r w:rsidRPr="004A360E">
              <w:rPr>
                <w:bCs/>
              </w:rPr>
              <w:t>, J.A.</w:t>
            </w:r>
            <w:bookmarkEnd w:id="7"/>
          </w:p>
        </w:tc>
      </w:tr>
      <w:tr w:rsidR="006D655C" w14:paraId="45F2B5F3" w14:textId="77777777" w:rsidTr="008D18FC">
        <w:tc>
          <w:tcPr>
            <w:tcW w:w="9360" w:type="dxa"/>
            <w:gridSpan w:val="6"/>
            <w:tcBorders>
              <w:bottom w:val="single" w:sz="8" w:space="0" w:color="auto"/>
            </w:tcBorders>
          </w:tcPr>
          <w:p w14:paraId="6527E114" w14:textId="77777777" w:rsidR="008F364A" w:rsidRPr="00941800" w:rsidRDefault="008F364A"/>
        </w:tc>
      </w:tr>
      <w:tr w:rsidR="006D655C" w14:paraId="7229229A" w14:textId="77777777" w:rsidTr="008D18FC">
        <w:tc>
          <w:tcPr>
            <w:tcW w:w="9360" w:type="dxa"/>
            <w:gridSpan w:val="6"/>
          </w:tcPr>
          <w:p w14:paraId="0B3B0485" w14:textId="77777777" w:rsidR="008F364A" w:rsidRPr="00941800" w:rsidRDefault="008F364A">
            <w:pPr>
              <w:pStyle w:val="zSoquijlblTitrePartie"/>
            </w:pPr>
          </w:p>
        </w:tc>
      </w:tr>
      <w:tr w:rsidR="006D655C" w14:paraId="2FAB43A4" w14:textId="77777777" w:rsidTr="008D18FC">
        <w:tc>
          <w:tcPr>
            <w:tcW w:w="9360" w:type="dxa"/>
            <w:gridSpan w:val="6"/>
          </w:tcPr>
          <w:p w14:paraId="2F21684E" w14:textId="4C7AA580" w:rsidR="008F364A" w:rsidRPr="00941800" w:rsidRDefault="00F06516">
            <w:pPr>
              <w:pStyle w:val="zSoquijdatNomPartieDem"/>
            </w:pPr>
            <w:r>
              <w:rPr>
                <w:lang w:val="en-CA"/>
              </w:rPr>
              <w:t>MAURICE NADEAU</w:t>
            </w:r>
          </w:p>
        </w:tc>
      </w:tr>
      <w:tr w:rsidR="006D655C" w14:paraId="5E3A0C6A" w14:textId="77777777" w:rsidTr="008D18FC">
        <w:tc>
          <w:tcPr>
            <w:tcW w:w="9360" w:type="dxa"/>
            <w:gridSpan w:val="6"/>
          </w:tcPr>
          <w:p w14:paraId="584EB31C" w14:textId="4AC7756E" w:rsidR="008F364A" w:rsidRPr="00941800" w:rsidRDefault="00F06516">
            <w:pPr>
              <w:pStyle w:val="zSoquijdatQtePartieDem"/>
            </w:pPr>
            <w:r>
              <w:rPr>
                <w:lang w:val="en-CA"/>
              </w:rPr>
              <w:t>APPELLANT – Accused</w:t>
            </w:r>
          </w:p>
        </w:tc>
      </w:tr>
      <w:tr w:rsidR="006D655C" w14:paraId="077F4ADB" w14:textId="77777777" w:rsidTr="008D18FC">
        <w:tc>
          <w:tcPr>
            <w:tcW w:w="9360" w:type="dxa"/>
            <w:gridSpan w:val="6"/>
          </w:tcPr>
          <w:p w14:paraId="73FB3724" w14:textId="77777777" w:rsidR="008F364A" w:rsidRPr="00941800" w:rsidRDefault="00F06516">
            <w:pPr>
              <w:pStyle w:val="zSoquijlblLienParties"/>
            </w:pPr>
            <w:r>
              <w:rPr>
                <w:lang w:val="en-CA"/>
              </w:rPr>
              <w:t>v.</w:t>
            </w:r>
          </w:p>
        </w:tc>
      </w:tr>
      <w:tr w:rsidR="006D655C" w14:paraId="4DFCE08C" w14:textId="77777777" w:rsidTr="008D18FC">
        <w:tc>
          <w:tcPr>
            <w:tcW w:w="9360" w:type="dxa"/>
            <w:gridSpan w:val="6"/>
          </w:tcPr>
          <w:p w14:paraId="396760E4" w14:textId="77777777" w:rsidR="008F364A" w:rsidRPr="00941800" w:rsidRDefault="008F364A"/>
        </w:tc>
      </w:tr>
      <w:tr w:rsidR="006D655C" w14:paraId="07AA9627" w14:textId="77777777" w:rsidTr="008D18FC">
        <w:tc>
          <w:tcPr>
            <w:tcW w:w="9360" w:type="dxa"/>
            <w:gridSpan w:val="6"/>
          </w:tcPr>
          <w:p w14:paraId="793F2CE7" w14:textId="1811EDCA" w:rsidR="008F364A" w:rsidRPr="00941800" w:rsidRDefault="00F06516">
            <w:pPr>
              <w:pStyle w:val="zSoquijdatNomPartieDef"/>
            </w:pPr>
            <w:r>
              <w:rPr>
                <w:lang w:val="en-CA"/>
              </w:rPr>
              <w:t>HIS MAJESTY THE KING</w:t>
            </w:r>
          </w:p>
        </w:tc>
      </w:tr>
      <w:tr w:rsidR="006D655C" w14:paraId="122345C1" w14:textId="77777777" w:rsidTr="008D18FC">
        <w:tc>
          <w:tcPr>
            <w:tcW w:w="9360" w:type="dxa"/>
            <w:gridSpan w:val="6"/>
          </w:tcPr>
          <w:p w14:paraId="364F0FF0" w14:textId="72151D68" w:rsidR="008F364A" w:rsidRPr="00941800" w:rsidRDefault="00F06516">
            <w:pPr>
              <w:pStyle w:val="zSoquijdatQtePartieDef"/>
            </w:pPr>
            <w:r>
              <w:rPr>
                <w:lang w:val="en-CA"/>
              </w:rPr>
              <w:t>RESPONDENT – Prosecut</w:t>
            </w:r>
            <w:r w:rsidR="00483177">
              <w:rPr>
                <w:lang w:val="en-CA"/>
              </w:rPr>
              <w:t>or</w:t>
            </w:r>
          </w:p>
        </w:tc>
      </w:tr>
      <w:tr w:rsidR="006D655C" w14:paraId="694AA4DA" w14:textId="77777777" w:rsidTr="008D18FC">
        <w:tc>
          <w:tcPr>
            <w:tcW w:w="9360" w:type="dxa"/>
            <w:gridSpan w:val="6"/>
          </w:tcPr>
          <w:p w14:paraId="6E37AF3D" w14:textId="77777777" w:rsidR="008F364A" w:rsidRPr="00941800" w:rsidRDefault="008F364A"/>
        </w:tc>
      </w:tr>
      <w:tr w:rsidR="006D655C" w14:paraId="645102E6" w14:textId="77777777" w:rsidTr="008D18FC">
        <w:tc>
          <w:tcPr>
            <w:tcW w:w="9360" w:type="dxa"/>
            <w:gridSpan w:val="6"/>
            <w:tcBorders>
              <w:top w:val="single" w:sz="8" w:space="0" w:color="auto"/>
            </w:tcBorders>
          </w:tcPr>
          <w:p w14:paraId="6FA33C66" w14:textId="77777777" w:rsidR="008F364A" w:rsidRPr="00941800" w:rsidRDefault="008F364A">
            <w:bookmarkStart w:id="8" w:name="Arret"/>
          </w:p>
        </w:tc>
      </w:tr>
      <w:tr w:rsidR="006D655C" w14:paraId="1310603A" w14:textId="77777777" w:rsidTr="008D18FC">
        <w:tc>
          <w:tcPr>
            <w:tcW w:w="9360" w:type="dxa"/>
            <w:gridSpan w:val="6"/>
          </w:tcPr>
          <w:p w14:paraId="12E9167C" w14:textId="77777777" w:rsidR="008F364A" w:rsidRPr="00941800" w:rsidRDefault="00F06516">
            <w:pPr>
              <w:pStyle w:val="zSoquijlblTypeDocument"/>
            </w:pPr>
            <w:bookmarkStart w:id="9" w:name="TitreDocument"/>
            <w:r>
              <w:rPr>
                <w:lang w:val="en-CA"/>
              </w:rPr>
              <w:t>JUDGMENT</w:t>
            </w:r>
            <w:bookmarkEnd w:id="9"/>
          </w:p>
        </w:tc>
      </w:tr>
      <w:tr w:rsidR="006D655C" w14:paraId="4DFEBA95" w14:textId="77777777" w:rsidTr="008D18FC">
        <w:tc>
          <w:tcPr>
            <w:tcW w:w="9360" w:type="dxa"/>
            <w:gridSpan w:val="6"/>
            <w:tcBorders>
              <w:bottom w:val="single" w:sz="8" w:space="0" w:color="auto"/>
            </w:tcBorders>
          </w:tcPr>
          <w:p w14:paraId="764847FD" w14:textId="77777777" w:rsidR="008F364A" w:rsidRPr="00941800" w:rsidRDefault="008F364A"/>
        </w:tc>
      </w:tr>
      <w:tr w:rsidR="006D655C" w14:paraId="423E5BA9" w14:textId="77777777" w:rsidTr="008D18FC">
        <w:tc>
          <w:tcPr>
            <w:tcW w:w="9360" w:type="dxa"/>
            <w:gridSpan w:val="6"/>
            <w:tcBorders>
              <w:top w:val="single" w:sz="8" w:space="0" w:color="auto"/>
            </w:tcBorders>
          </w:tcPr>
          <w:p w14:paraId="4048C1C4" w14:textId="77777777" w:rsidR="008F364A" w:rsidRPr="00941800" w:rsidRDefault="008F364A"/>
        </w:tc>
      </w:tr>
    </w:tbl>
    <w:p w14:paraId="4501290B" w14:textId="4A92EFF7" w:rsidR="00871758" w:rsidRPr="009D6270" w:rsidRDefault="00F06516" w:rsidP="009D6270">
      <w:pPr>
        <w:pStyle w:val="Corpsdetexte"/>
        <w:rPr>
          <w:b/>
          <w:lang w:val="en-CA"/>
        </w:rPr>
      </w:pPr>
      <w:r w:rsidRPr="009D6270">
        <w:rPr>
          <w:b/>
          <w:u w:val="single"/>
          <w:lang w:val="en-CA"/>
        </w:rPr>
        <w:t>WARNING</w:t>
      </w:r>
      <w:r w:rsidRPr="009D6270">
        <w:rPr>
          <w:b/>
          <w:lang w:val="en-CA"/>
        </w:rPr>
        <w:t xml:space="preserve">: An order restricting publication was made pursuant to </w:t>
      </w:r>
      <w:r w:rsidR="009F7A64" w:rsidRPr="009D6270">
        <w:rPr>
          <w:b/>
          <w:lang w:val="en-CA"/>
        </w:rPr>
        <w:t>s. </w:t>
      </w:r>
      <w:r w:rsidRPr="009D6270">
        <w:rPr>
          <w:b/>
          <w:lang w:val="en-CA"/>
        </w:rPr>
        <w:t>486.4</w:t>
      </w:r>
      <w:r w:rsidR="001E02A2" w:rsidRPr="009D6270">
        <w:rPr>
          <w:b/>
          <w:lang w:val="en-CA"/>
        </w:rPr>
        <w:t> </w:t>
      </w:r>
      <w:proofErr w:type="spellStart"/>
      <w:r w:rsidRPr="009D6270">
        <w:rPr>
          <w:b/>
          <w:i/>
          <w:iCs/>
          <w:lang w:val="en-CA"/>
        </w:rPr>
        <w:t>Cr</w:t>
      </w:r>
      <w:r w:rsidRPr="009D6270">
        <w:rPr>
          <w:b/>
          <w:lang w:val="en-CA"/>
        </w:rPr>
        <w:t>.</w:t>
      </w:r>
      <w:r w:rsidRPr="009D6270">
        <w:rPr>
          <w:b/>
          <w:i/>
          <w:iCs/>
          <w:lang w:val="en-CA"/>
        </w:rPr>
        <w:t>C</w:t>
      </w:r>
      <w:proofErr w:type="spellEnd"/>
      <w:r w:rsidRPr="009D6270">
        <w:rPr>
          <w:b/>
          <w:i/>
          <w:iCs/>
          <w:lang w:val="en-CA"/>
        </w:rPr>
        <w:t>.</w:t>
      </w:r>
      <w:r w:rsidRPr="009D6270">
        <w:rPr>
          <w:b/>
          <w:lang w:val="en-CA"/>
        </w:rPr>
        <w:t xml:space="preserve"> </w:t>
      </w:r>
      <w:r w:rsidR="00D66245" w:rsidRPr="009D6270">
        <w:rPr>
          <w:b/>
          <w:lang w:val="en-CA"/>
        </w:rPr>
        <w:t>directing that any information that could identify the victim or a witness shall not be published</w:t>
      </w:r>
      <w:r w:rsidR="00081FBE" w:rsidRPr="009D6270">
        <w:rPr>
          <w:b/>
          <w:lang w:val="en-CA"/>
        </w:rPr>
        <w:t xml:space="preserve"> in any document</w:t>
      </w:r>
      <w:r w:rsidRPr="009D6270">
        <w:rPr>
          <w:b/>
          <w:lang w:val="en-CA"/>
        </w:rPr>
        <w:t xml:space="preserve"> or broadcast </w:t>
      </w:r>
      <w:r w:rsidR="00081FBE" w:rsidRPr="009D6270">
        <w:rPr>
          <w:b/>
          <w:lang w:val="en-CA"/>
        </w:rPr>
        <w:t>or transmi</w:t>
      </w:r>
      <w:r w:rsidR="00D66245" w:rsidRPr="009D6270">
        <w:rPr>
          <w:b/>
          <w:lang w:val="en-CA"/>
        </w:rPr>
        <w:t xml:space="preserve">tted </w:t>
      </w:r>
      <w:r w:rsidRPr="009D6270">
        <w:rPr>
          <w:b/>
          <w:lang w:val="en-CA"/>
        </w:rPr>
        <w:t>in any way.</w:t>
      </w:r>
    </w:p>
    <w:p w14:paraId="7428D209" w14:textId="0172086A" w:rsidR="00380BC9" w:rsidRPr="004A360E" w:rsidRDefault="00F06516" w:rsidP="00553055">
      <w:pPr>
        <w:pStyle w:val="Paragraphe"/>
        <w:rPr>
          <w:lang w:val="en-US"/>
        </w:rPr>
      </w:pPr>
      <w:r>
        <w:rPr>
          <w:lang w:val="en-CA"/>
        </w:rPr>
        <w:t xml:space="preserve">On December 18, 2020, in </w:t>
      </w:r>
      <w:r w:rsidR="004F3C06">
        <w:rPr>
          <w:lang w:val="en-CA"/>
        </w:rPr>
        <w:t>a judgment rendered orally,</w:t>
      </w:r>
      <w:r>
        <w:rPr>
          <w:lang w:val="en-CA"/>
        </w:rPr>
        <w:t xml:space="preserve"> </w:t>
      </w:r>
      <w:r w:rsidR="00081FBE">
        <w:rPr>
          <w:lang w:val="en-CA"/>
        </w:rPr>
        <w:t xml:space="preserve">the Honourable </w:t>
      </w:r>
      <w:r>
        <w:rPr>
          <w:lang w:val="en-CA"/>
        </w:rPr>
        <w:t xml:space="preserve">Marie-Claude Bélanger </w:t>
      </w:r>
      <w:r w:rsidR="00D66245">
        <w:rPr>
          <w:lang w:val="en-CA"/>
        </w:rPr>
        <w:t xml:space="preserve">J. </w:t>
      </w:r>
      <w:r>
        <w:rPr>
          <w:lang w:val="en-CA"/>
        </w:rPr>
        <w:t xml:space="preserve">of the Court of Québec, Criminal and Penal Division, District of Rouyn-Noranda, </w:t>
      </w:r>
      <w:r w:rsidR="00D66245">
        <w:rPr>
          <w:lang w:val="en-CA"/>
        </w:rPr>
        <w:t xml:space="preserve">convicted </w:t>
      </w:r>
      <w:r>
        <w:rPr>
          <w:lang w:val="en-CA"/>
        </w:rPr>
        <w:t xml:space="preserve">the appellant of various </w:t>
      </w:r>
      <w:r w:rsidR="00C056F5">
        <w:rPr>
          <w:lang w:val="en-CA"/>
        </w:rPr>
        <w:t xml:space="preserve">sexual </w:t>
      </w:r>
      <w:r>
        <w:rPr>
          <w:lang w:val="en-CA"/>
        </w:rPr>
        <w:t xml:space="preserve">offences against two complainants, </w:t>
      </w:r>
      <w:r w:rsidR="00C056F5">
        <w:rPr>
          <w:lang w:val="en-CA"/>
        </w:rPr>
        <w:t xml:space="preserve">during the period from </w:t>
      </w:r>
      <w:r>
        <w:rPr>
          <w:lang w:val="en-CA"/>
        </w:rPr>
        <w:t xml:space="preserve">2003 </w:t>
      </w:r>
      <w:r w:rsidR="00C056F5">
        <w:rPr>
          <w:lang w:val="en-CA"/>
        </w:rPr>
        <w:t xml:space="preserve">to </w:t>
      </w:r>
      <w:r>
        <w:rPr>
          <w:lang w:val="en-CA"/>
        </w:rPr>
        <w:t xml:space="preserve">2016 (counts 1 to 6, 8, 9, 14 and 16—sexual interference, invitation to sexual touching, exposure). A conditional stay of proceedings was </w:t>
      </w:r>
      <w:r w:rsidR="00C056F5">
        <w:rPr>
          <w:lang w:val="en-CA"/>
        </w:rPr>
        <w:t>ordered on</w:t>
      </w:r>
      <w:r>
        <w:rPr>
          <w:lang w:val="en-CA"/>
        </w:rPr>
        <w:t xml:space="preserve"> two counts of sexual assault </w:t>
      </w:r>
      <w:r w:rsidR="004F3C06">
        <w:rPr>
          <w:lang w:val="en-CA"/>
        </w:rPr>
        <w:t xml:space="preserve">with </w:t>
      </w:r>
      <w:r>
        <w:rPr>
          <w:lang w:val="en-CA"/>
        </w:rPr>
        <w:t xml:space="preserve">which the appellant was also </w:t>
      </w:r>
      <w:r w:rsidR="004F3C06">
        <w:rPr>
          <w:lang w:val="en-CA"/>
        </w:rPr>
        <w:t xml:space="preserve">charged </w:t>
      </w:r>
      <w:r>
        <w:rPr>
          <w:lang w:val="en-CA"/>
        </w:rPr>
        <w:t xml:space="preserve">(counts 7 and 12). An acquittal was </w:t>
      </w:r>
      <w:r w:rsidR="004F3C06">
        <w:rPr>
          <w:lang w:val="en-CA"/>
        </w:rPr>
        <w:t>entered on</w:t>
      </w:r>
      <w:r>
        <w:rPr>
          <w:lang w:val="en-CA"/>
        </w:rPr>
        <w:t xml:space="preserve"> counts 10, 11, 13 and 15 (invitation to sexual touching, exposure).</w:t>
      </w:r>
    </w:p>
    <w:p w14:paraId="5999AEF3" w14:textId="32A8CFDA" w:rsidR="00571A2D" w:rsidRPr="004A360E" w:rsidRDefault="00F06516" w:rsidP="00571A2D">
      <w:pPr>
        <w:pStyle w:val="Paragraphe"/>
        <w:rPr>
          <w:lang w:val="en-US"/>
        </w:rPr>
      </w:pPr>
      <w:r>
        <w:rPr>
          <w:lang w:val="en-CA"/>
        </w:rPr>
        <w:lastRenderedPageBreak/>
        <w:t xml:space="preserve">On August 27, 2021, in another </w:t>
      </w:r>
      <w:r w:rsidR="004F3C06">
        <w:rPr>
          <w:lang w:val="en-CA"/>
        </w:rPr>
        <w:t>judgment rendered orally</w:t>
      </w:r>
      <w:r>
        <w:rPr>
          <w:lang w:val="en-CA"/>
        </w:rPr>
        <w:t xml:space="preserve">, Bélanger </w:t>
      </w:r>
      <w:proofErr w:type="spellStart"/>
      <w:r>
        <w:rPr>
          <w:lang w:val="en-CA"/>
        </w:rPr>
        <w:t>J.</w:t>
      </w:r>
      <w:r w:rsidR="004F3C06">
        <w:rPr>
          <w:lang w:val="en-CA"/>
        </w:rPr>
        <w:t>C</w:t>
      </w:r>
      <w:r w:rsidR="003A4640">
        <w:rPr>
          <w:lang w:val="en-CA"/>
        </w:rPr>
        <w:t>.</w:t>
      </w:r>
      <w:r w:rsidR="004F3C06">
        <w:rPr>
          <w:lang w:val="en-CA"/>
        </w:rPr>
        <w:t>Q</w:t>
      </w:r>
      <w:proofErr w:type="spellEnd"/>
      <w:r w:rsidR="004F3C06">
        <w:rPr>
          <w:lang w:val="en-CA"/>
        </w:rPr>
        <w:t>,</w:t>
      </w:r>
      <w:r>
        <w:rPr>
          <w:lang w:val="en-CA"/>
        </w:rPr>
        <w:t xml:space="preserve"> sentenced the appellant to nine years</w:t>
      </w:r>
      <w:r w:rsidR="004F3C06">
        <w:rPr>
          <w:lang w:val="en-CA"/>
        </w:rPr>
        <w:t>’ imprisonment</w:t>
      </w:r>
      <w:r>
        <w:rPr>
          <w:lang w:val="en-CA"/>
        </w:rPr>
        <w:t xml:space="preserve">, </w:t>
      </w:r>
      <w:r w:rsidR="004F3C06">
        <w:rPr>
          <w:lang w:val="en-CA"/>
        </w:rPr>
        <w:t xml:space="preserve">that is, </w:t>
      </w:r>
      <w:r>
        <w:rPr>
          <w:lang w:val="en-CA"/>
        </w:rPr>
        <w:t xml:space="preserve">five years for counts 1 to 6 (sexual interference and invitation to sexual touching), four years, to be served consecutively, for counts 8 and 9 (sexual interference) and two years, to be served </w:t>
      </w:r>
      <w:r w:rsidR="004F3C06">
        <w:rPr>
          <w:lang w:val="en-CA"/>
        </w:rPr>
        <w:t>concurrent</w:t>
      </w:r>
      <w:r w:rsidR="00D66245">
        <w:rPr>
          <w:lang w:val="en-CA"/>
        </w:rPr>
        <w:t>l</w:t>
      </w:r>
      <w:r w:rsidR="004F3C06">
        <w:rPr>
          <w:lang w:val="en-CA"/>
        </w:rPr>
        <w:t>y</w:t>
      </w:r>
      <w:r>
        <w:rPr>
          <w:lang w:val="en-CA"/>
        </w:rPr>
        <w:t xml:space="preserve">, for counts 14 and 16 (exposure), </w:t>
      </w:r>
      <w:r w:rsidR="004F3C06">
        <w:rPr>
          <w:lang w:val="en-CA"/>
        </w:rPr>
        <w:t>subject to various orders.</w:t>
      </w:r>
    </w:p>
    <w:p w14:paraId="0FC6AB84" w14:textId="3ABC7E27" w:rsidR="002123B8" w:rsidRPr="004A360E" w:rsidRDefault="00F06516" w:rsidP="00571A2D">
      <w:pPr>
        <w:pStyle w:val="Paragraphe"/>
        <w:rPr>
          <w:lang w:val="en-US"/>
        </w:rPr>
      </w:pPr>
      <w:r>
        <w:rPr>
          <w:lang w:val="en-CA"/>
        </w:rPr>
        <w:t>The appellant is appealing these two judgments.</w:t>
      </w:r>
    </w:p>
    <w:p w14:paraId="3D05158B" w14:textId="7B413EF8" w:rsidR="00B8578E" w:rsidRPr="004A360E" w:rsidRDefault="00F06516" w:rsidP="004F20AE">
      <w:pPr>
        <w:pStyle w:val="Paragraphe"/>
        <w:rPr>
          <w:lang w:val="en-US"/>
        </w:rPr>
      </w:pPr>
      <w:r>
        <w:rPr>
          <w:lang w:val="en-CA"/>
        </w:rPr>
        <w:t xml:space="preserve">With regard to the convictions, on January 18, 2021, he filed (1) a notice of appeal setting out </w:t>
      </w:r>
      <w:r w:rsidR="009F7A64">
        <w:rPr>
          <w:lang w:val="en-CA"/>
        </w:rPr>
        <w:t>questions of law</w:t>
      </w:r>
      <w:r>
        <w:rPr>
          <w:lang w:val="en-CA"/>
        </w:rPr>
        <w:t xml:space="preserve"> only (</w:t>
      </w:r>
      <w:r w:rsidR="004F3C06">
        <w:rPr>
          <w:lang w:val="en-CA"/>
        </w:rPr>
        <w:t xml:space="preserve">s. </w:t>
      </w:r>
      <w:r>
        <w:rPr>
          <w:lang w:val="en-CA"/>
        </w:rPr>
        <w:t>675(1)(a)(</w:t>
      </w:r>
      <w:proofErr w:type="spellStart"/>
      <w:r>
        <w:rPr>
          <w:lang w:val="en-CA"/>
        </w:rPr>
        <w:t>i</w:t>
      </w:r>
      <w:proofErr w:type="spellEnd"/>
      <w:r>
        <w:rPr>
          <w:lang w:val="en-CA"/>
        </w:rPr>
        <w:t xml:space="preserve">) </w:t>
      </w:r>
      <w:proofErr w:type="spellStart"/>
      <w:r>
        <w:rPr>
          <w:i/>
          <w:iCs/>
          <w:lang w:val="en-CA"/>
        </w:rPr>
        <w:t>Cr.C</w:t>
      </w:r>
      <w:proofErr w:type="spellEnd"/>
      <w:r>
        <w:rPr>
          <w:i/>
          <w:iCs/>
          <w:lang w:val="en-CA"/>
        </w:rPr>
        <w:t>.</w:t>
      </w:r>
      <w:r w:rsidR="005361B4">
        <w:rPr>
          <w:lang w:val="en-CA"/>
        </w:rPr>
        <w:t>)</w:t>
      </w:r>
      <w:r>
        <w:rPr>
          <w:lang w:val="en-CA"/>
        </w:rPr>
        <w:t xml:space="preserve"> and (2) an application for leave to appeal on questions of fact (</w:t>
      </w:r>
      <w:r w:rsidR="004F3C06">
        <w:rPr>
          <w:lang w:val="en-CA"/>
        </w:rPr>
        <w:t xml:space="preserve">s. </w:t>
      </w:r>
      <w:r>
        <w:rPr>
          <w:lang w:val="en-CA"/>
        </w:rPr>
        <w:t xml:space="preserve">675(1)(a)(ii) </w:t>
      </w:r>
      <w:proofErr w:type="spellStart"/>
      <w:r>
        <w:rPr>
          <w:i/>
          <w:iCs/>
          <w:lang w:val="en-CA"/>
        </w:rPr>
        <w:t>Cr.C</w:t>
      </w:r>
      <w:proofErr w:type="spellEnd"/>
      <w:r>
        <w:rPr>
          <w:i/>
          <w:iCs/>
          <w:lang w:val="en-CA"/>
        </w:rPr>
        <w:t>.</w:t>
      </w:r>
      <w:r>
        <w:rPr>
          <w:lang w:val="en-CA"/>
        </w:rPr>
        <w:t>). On June 8, 2021, he withdrew this application.</w:t>
      </w:r>
      <w:r>
        <w:rPr>
          <w:rStyle w:val="Appelnotedebasdep"/>
          <w:lang w:val="en-CA"/>
        </w:rPr>
        <w:footnoteReference w:id="1"/>
      </w:r>
      <w:r>
        <w:rPr>
          <w:lang w:val="en-CA"/>
        </w:rPr>
        <w:t xml:space="preserve"> In the fall of 2021, he filed an application with the Court </w:t>
      </w:r>
      <w:r w:rsidR="009F7A64">
        <w:rPr>
          <w:lang w:val="en-CA"/>
        </w:rPr>
        <w:t xml:space="preserve">office </w:t>
      </w:r>
      <w:r>
        <w:rPr>
          <w:lang w:val="en-CA"/>
        </w:rPr>
        <w:t xml:space="preserve">to extend the time limit for </w:t>
      </w:r>
      <w:r w:rsidR="009F7A64">
        <w:rPr>
          <w:lang w:val="en-CA"/>
        </w:rPr>
        <w:t>an appeal</w:t>
      </w:r>
      <w:r>
        <w:rPr>
          <w:lang w:val="en-CA"/>
        </w:rPr>
        <w:t>, an application for leave to appeal</w:t>
      </w:r>
      <w:r w:rsidR="009F7A64">
        <w:rPr>
          <w:lang w:val="en-CA"/>
        </w:rPr>
        <w:t>, this time</w:t>
      </w:r>
      <w:r>
        <w:rPr>
          <w:lang w:val="en-CA"/>
        </w:rPr>
        <w:t xml:space="preserve"> alleging ineffective assistance of counsel who represented him in first instance (</w:t>
      </w:r>
      <w:r w:rsidR="009F7A64">
        <w:rPr>
          <w:lang w:val="en-CA"/>
        </w:rPr>
        <w:t xml:space="preserve">s. </w:t>
      </w:r>
      <w:r>
        <w:rPr>
          <w:lang w:val="en-CA"/>
        </w:rPr>
        <w:t xml:space="preserve">675(1)(a)(iii) </w:t>
      </w:r>
      <w:proofErr w:type="spellStart"/>
      <w:r>
        <w:rPr>
          <w:i/>
          <w:iCs/>
          <w:lang w:val="en-CA"/>
        </w:rPr>
        <w:t>Cr.C</w:t>
      </w:r>
      <w:proofErr w:type="spellEnd"/>
      <w:r>
        <w:rPr>
          <w:i/>
          <w:iCs/>
          <w:lang w:val="en-CA"/>
        </w:rPr>
        <w:t>.</w:t>
      </w:r>
      <w:r>
        <w:rPr>
          <w:lang w:val="en-CA"/>
        </w:rPr>
        <w:t xml:space="preserve">), and a motion for authorization to adduce </w:t>
      </w:r>
      <w:r w:rsidR="00263590">
        <w:rPr>
          <w:lang w:val="en-CA"/>
        </w:rPr>
        <w:t xml:space="preserve">fresh </w:t>
      </w:r>
      <w:r>
        <w:rPr>
          <w:lang w:val="en-CA"/>
        </w:rPr>
        <w:t>evidence related to this ground of appeal (s. 61 of the [</w:t>
      </w:r>
      <w:r w:rsidR="00123F36">
        <w:rPr>
          <w:lang w:val="en-CA"/>
        </w:rPr>
        <w:t>past</w:t>
      </w:r>
      <w:r>
        <w:rPr>
          <w:lang w:val="en-CA"/>
        </w:rPr>
        <w:t xml:space="preserve">] </w:t>
      </w:r>
      <w:r>
        <w:rPr>
          <w:i/>
          <w:iCs/>
          <w:lang w:val="en-CA"/>
        </w:rPr>
        <w:t>Rules of the Court of Appeal of Quebec in Criminal Matters</w:t>
      </w:r>
      <w:r>
        <w:rPr>
          <w:rStyle w:val="Appelnotedebasdep"/>
          <w:lang w:val="en-CA"/>
        </w:rPr>
        <w:footnoteReference w:id="2"/>
      </w:r>
      <w:r>
        <w:rPr>
          <w:lang w:val="en-CA"/>
        </w:rPr>
        <w:t xml:space="preserve">). </w:t>
      </w:r>
      <w:r w:rsidR="00607CFC">
        <w:rPr>
          <w:lang w:val="en-CA"/>
        </w:rPr>
        <w:t>On March 14, 2022, t</w:t>
      </w:r>
      <w:r>
        <w:rPr>
          <w:lang w:val="en-CA"/>
        </w:rPr>
        <w:t xml:space="preserve">his Court ruled on these three </w:t>
      </w:r>
      <w:r w:rsidR="00263590">
        <w:rPr>
          <w:lang w:val="en-CA"/>
        </w:rPr>
        <w:t>proceedings</w:t>
      </w:r>
      <w:r>
        <w:rPr>
          <w:lang w:val="en-CA"/>
        </w:rPr>
        <w:t>.</w:t>
      </w:r>
      <w:r>
        <w:rPr>
          <w:rStyle w:val="Appelnotedebasdep"/>
          <w:lang w:val="en-CA"/>
        </w:rPr>
        <w:footnoteReference w:id="3"/>
      </w:r>
      <w:r>
        <w:rPr>
          <w:lang w:val="en-CA"/>
        </w:rPr>
        <w:t xml:space="preserve"> It granted the first two. As for the third, the Court </w:t>
      </w:r>
      <w:r w:rsidR="00607CFC">
        <w:rPr>
          <w:lang w:val="en-CA"/>
        </w:rPr>
        <w:t xml:space="preserve">allowed </w:t>
      </w:r>
      <w:r w:rsidR="00D66245">
        <w:rPr>
          <w:lang w:val="en-CA"/>
        </w:rPr>
        <w:t xml:space="preserve">fresh </w:t>
      </w:r>
      <w:r>
        <w:rPr>
          <w:lang w:val="en-CA"/>
        </w:rPr>
        <w:t xml:space="preserve">evidence </w:t>
      </w:r>
      <w:r w:rsidR="009842F8">
        <w:rPr>
          <w:lang w:val="en-CA"/>
        </w:rPr>
        <w:t xml:space="preserve">to be adduced </w:t>
      </w:r>
      <w:r>
        <w:rPr>
          <w:lang w:val="en-CA"/>
        </w:rPr>
        <w:t xml:space="preserve">(sworn statements </w:t>
      </w:r>
      <w:r w:rsidR="004F61AD">
        <w:rPr>
          <w:lang w:val="en-CA"/>
        </w:rPr>
        <w:t>by</w:t>
      </w:r>
      <w:r w:rsidR="00D66245">
        <w:rPr>
          <w:lang w:val="en-CA"/>
        </w:rPr>
        <w:t xml:space="preserve"> </w:t>
      </w:r>
      <w:r>
        <w:rPr>
          <w:lang w:val="en-CA"/>
        </w:rPr>
        <w:t xml:space="preserve">the appellant, medical reports, statement </w:t>
      </w:r>
      <w:r w:rsidR="004F61AD">
        <w:rPr>
          <w:lang w:val="en-CA"/>
        </w:rPr>
        <w:t xml:space="preserve">by </w:t>
      </w:r>
      <w:r>
        <w:rPr>
          <w:lang w:val="en-CA"/>
        </w:rPr>
        <w:t xml:space="preserve">one of the complainants to the police), and the </w:t>
      </w:r>
      <w:r w:rsidR="00607CFC">
        <w:rPr>
          <w:lang w:val="en-CA"/>
        </w:rPr>
        <w:t xml:space="preserve">remainder of the </w:t>
      </w:r>
      <w:r w:rsidR="006474F6">
        <w:rPr>
          <w:lang w:val="en-CA"/>
        </w:rPr>
        <w:t xml:space="preserve">motion </w:t>
      </w:r>
      <w:r w:rsidR="009842F8">
        <w:rPr>
          <w:lang w:val="en-CA"/>
        </w:rPr>
        <w:t>was</w:t>
      </w:r>
      <w:r>
        <w:rPr>
          <w:lang w:val="en-CA"/>
        </w:rPr>
        <w:t xml:space="preserve"> referred to this panel. In addition, since the </w:t>
      </w:r>
      <w:r w:rsidR="006474F6">
        <w:rPr>
          <w:lang w:val="en-CA"/>
        </w:rPr>
        <w:t xml:space="preserve">lawyer </w:t>
      </w:r>
      <w:r>
        <w:rPr>
          <w:lang w:val="en-CA"/>
        </w:rPr>
        <w:t xml:space="preserve">facing the allegation himself filed a sworn statement </w:t>
      </w:r>
      <w:r w:rsidR="006474F6">
        <w:rPr>
          <w:lang w:val="en-CA"/>
        </w:rPr>
        <w:t xml:space="preserve">contesting </w:t>
      </w:r>
      <w:r>
        <w:rPr>
          <w:lang w:val="en-CA"/>
        </w:rPr>
        <w:t xml:space="preserve">the appellant’s allegations against him, this Court, in the same </w:t>
      </w:r>
      <w:r w:rsidR="006474F6">
        <w:rPr>
          <w:lang w:val="en-CA"/>
        </w:rPr>
        <w:t>decision</w:t>
      </w:r>
      <w:r>
        <w:rPr>
          <w:lang w:val="en-CA"/>
        </w:rPr>
        <w:t xml:space="preserve">, allowed his cross-examination </w:t>
      </w:r>
      <w:r w:rsidR="006474F6">
        <w:rPr>
          <w:lang w:val="en-CA"/>
        </w:rPr>
        <w:t>and</w:t>
      </w:r>
      <w:r>
        <w:rPr>
          <w:lang w:val="en-CA"/>
        </w:rPr>
        <w:t xml:space="preserve"> the cross-examination of the appellant </w:t>
      </w:r>
      <w:r w:rsidR="006474F6">
        <w:rPr>
          <w:lang w:val="en-CA"/>
        </w:rPr>
        <w:t xml:space="preserve">on </w:t>
      </w:r>
      <w:r>
        <w:rPr>
          <w:lang w:val="en-CA"/>
        </w:rPr>
        <w:t>his own sworn statements. These two cross-examinations took place on July 8, 2022, and the transcript</w:t>
      </w:r>
      <w:r w:rsidR="000A3931">
        <w:rPr>
          <w:lang w:val="en-CA"/>
        </w:rPr>
        <w:t>s were</w:t>
      </w:r>
      <w:r>
        <w:rPr>
          <w:lang w:val="en-CA"/>
        </w:rPr>
        <w:t xml:space="preserve"> subsequently filed in the appeal </w:t>
      </w:r>
      <w:r w:rsidR="000A3931">
        <w:rPr>
          <w:lang w:val="en-CA"/>
        </w:rPr>
        <w:t>record</w:t>
      </w:r>
      <w:r>
        <w:rPr>
          <w:lang w:val="en-CA"/>
        </w:rPr>
        <w:t>.</w:t>
      </w:r>
    </w:p>
    <w:p w14:paraId="7CA00F7A" w14:textId="1610D7F4" w:rsidR="00380BC9" w:rsidRPr="004A360E" w:rsidRDefault="000A3931" w:rsidP="00571A2D">
      <w:pPr>
        <w:pStyle w:val="Paragraphe"/>
        <w:rPr>
          <w:lang w:val="en-US"/>
        </w:rPr>
      </w:pPr>
      <w:r>
        <w:rPr>
          <w:lang w:val="en-CA"/>
        </w:rPr>
        <w:t>Last</w:t>
      </w:r>
      <w:r w:rsidR="00F06516">
        <w:rPr>
          <w:lang w:val="en-CA"/>
        </w:rPr>
        <w:t>, shortly before the</w:t>
      </w:r>
      <w:r w:rsidR="00C2699C">
        <w:rPr>
          <w:lang w:val="en-CA"/>
        </w:rPr>
        <w:t xml:space="preserve"> appeal</w:t>
      </w:r>
      <w:r w:rsidR="00F06516">
        <w:rPr>
          <w:lang w:val="en-CA"/>
        </w:rPr>
        <w:t xml:space="preserve"> hearing, the appellant filed an application for authorization to amend his brief by adding some of </w:t>
      </w:r>
      <w:r>
        <w:rPr>
          <w:lang w:val="en-CA"/>
        </w:rPr>
        <w:t>the</w:t>
      </w:r>
      <w:r w:rsidR="00F06516">
        <w:rPr>
          <w:lang w:val="en-CA"/>
        </w:rPr>
        <w:t xml:space="preserve"> arguments from the cross</w:t>
      </w:r>
      <w:r w:rsidR="00C2699C">
        <w:rPr>
          <w:lang w:val="en-CA"/>
        </w:rPr>
        <w:noBreakHyphen/>
      </w:r>
      <w:r w:rsidR="00F06516">
        <w:rPr>
          <w:lang w:val="en-CA"/>
        </w:rPr>
        <w:t xml:space="preserve">examination </w:t>
      </w:r>
      <w:r>
        <w:rPr>
          <w:lang w:val="en-CA"/>
        </w:rPr>
        <w:t xml:space="preserve">of his former counsel </w:t>
      </w:r>
      <w:r w:rsidR="00F06516">
        <w:rPr>
          <w:lang w:val="en-CA"/>
        </w:rPr>
        <w:t>to the ground of ineffective assistance of counsel.</w:t>
      </w:r>
    </w:p>
    <w:p w14:paraId="3941F284" w14:textId="561252C6" w:rsidR="0059600E" w:rsidRPr="004A360E" w:rsidRDefault="00F06516" w:rsidP="0059600E">
      <w:pPr>
        <w:pStyle w:val="Paragraphe"/>
        <w:rPr>
          <w:lang w:val="en-US"/>
        </w:rPr>
      </w:pPr>
      <w:r>
        <w:rPr>
          <w:lang w:val="en-CA"/>
        </w:rPr>
        <w:t xml:space="preserve">With regard to the sentence, on September 20, 2021, the appellant filed an application for leave to appeal, which was also referred to this panel </w:t>
      </w:r>
      <w:r w:rsidR="000A3931">
        <w:rPr>
          <w:lang w:val="en-CA"/>
        </w:rPr>
        <w:t xml:space="preserve">in </w:t>
      </w:r>
      <w:r>
        <w:rPr>
          <w:lang w:val="en-CA"/>
        </w:rPr>
        <w:t xml:space="preserve">the </w:t>
      </w:r>
      <w:r w:rsidR="000A3931">
        <w:rPr>
          <w:lang w:val="en-CA"/>
        </w:rPr>
        <w:t xml:space="preserve">decision dated </w:t>
      </w:r>
      <w:r>
        <w:rPr>
          <w:lang w:val="en-CA"/>
        </w:rPr>
        <w:t>March 14, 2022.</w:t>
      </w:r>
      <w:r>
        <w:rPr>
          <w:rStyle w:val="Appelnotedebasdep"/>
          <w:lang w:val="en-CA"/>
        </w:rPr>
        <w:footnoteReference w:id="4"/>
      </w:r>
      <w:r>
        <w:rPr>
          <w:lang w:val="en-CA"/>
        </w:rPr>
        <w:t xml:space="preserve"> </w:t>
      </w:r>
      <w:r w:rsidR="00C2699C">
        <w:rPr>
          <w:lang w:val="en-CA"/>
        </w:rPr>
        <w:t xml:space="preserve">In it, he </w:t>
      </w:r>
      <w:r>
        <w:rPr>
          <w:lang w:val="en-CA"/>
        </w:rPr>
        <w:t xml:space="preserve">argues that the trial judge erred </w:t>
      </w:r>
      <w:r w:rsidR="000A3931">
        <w:rPr>
          <w:lang w:val="en-CA"/>
        </w:rPr>
        <w:t xml:space="preserve">in </w:t>
      </w:r>
      <w:r>
        <w:rPr>
          <w:lang w:val="en-CA"/>
        </w:rPr>
        <w:t xml:space="preserve">considering the lack of remorse an aggravating factor (an error </w:t>
      </w:r>
      <w:r w:rsidR="00611F3E">
        <w:rPr>
          <w:lang w:val="en-CA"/>
        </w:rPr>
        <w:t>made all the more</w:t>
      </w:r>
      <w:r>
        <w:rPr>
          <w:lang w:val="en-CA"/>
        </w:rPr>
        <w:t xml:space="preserve"> serious </w:t>
      </w:r>
      <w:r w:rsidR="00611F3E">
        <w:rPr>
          <w:lang w:val="en-CA"/>
        </w:rPr>
        <w:t xml:space="preserve">by the fact that </w:t>
      </w:r>
      <w:r>
        <w:rPr>
          <w:lang w:val="en-CA"/>
        </w:rPr>
        <w:t xml:space="preserve">he </w:t>
      </w:r>
      <w:r w:rsidR="00611F3E">
        <w:rPr>
          <w:lang w:val="en-CA"/>
        </w:rPr>
        <w:t xml:space="preserve">had </w:t>
      </w:r>
      <w:r>
        <w:rPr>
          <w:lang w:val="en-CA"/>
        </w:rPr>
        <w:t>appealed the conviction</w:t>
      </w:r>
      <w:r w:rsidR="00611F3E">
        <w:rPr>
          <w:lang w:val="en-CA"/>
        </w:rPr>
        <w:t xml:space="preserve"> at the time</w:t>
      </w:r>
      <w:r>
        <w:rPr>
          <w:lang w:val="en-CA"/>
        </w:rPr>
        <w:t xml:space="preserve">). </w:t>
      </w:r>
      <w:r w:rsidR="00611F3E">
        <w:rPr>
          <w:lang w:val="en-CA"/>
        </w:rPr>
        <w:t xml:space="preserve">In addition, she </w:t>
      </w:r>
      <w:r w:rsidR="00F26A65">
        <w:rPr>
          <w:lang w:val="en-CA"/>
        </w:rPr>
        <w:t>allegedly violated</w:t>
      </w:r>
      <w:r>
        <w:rPr>
          <w:lang w:val="en-CA"/>
        </w:rPr>
        <w:t xml:space="preserve"> the principle of totality </w:t>
      </w:r>
      <w:r w:rsidR="00611F3E">
        <w:rPr>
          <w:lang w:val="en-CA"/>
        </w:rPr>
        <w:t>in</w:t>
      </w:r>
      <w:r>
        <w:rPr>
          <w:lang w:val="en-CA"/>
        </w:rPr>
        <w:t xml:space="preserve"> </w:t>
      </w:r>
      <w:r w:rsidR="00611F3E">
        <w:rPr>
          <w:lang w:val="en-CA"/>
        </w:rPr>
        <w:t xml:space="preserve">sentencing </w:t>
      </w:r>
      <w:r>
        <w:rPr>
          <w:lang w:val="en-CA"/>
        </w:rPr>
        <w:t xml:space="preserve">by imposing a penalty that greatly exceeded the moral blameworthiness of the appellant. According to the appellant, a sentence of </w:t>
      </w:r>
      <w:r w:rsidR="00F26A65">
        <w:rPr>
          <w:lang w:val="en-CA"/>
        </w:rPr>
        <w:t>six- or seven-years’</w:t>
      </w:r>
      <w:r w:rsidR="00611F3E">
        <w:rPr>
          <w:lang w:val="en-CA"/>
        </w:rPr>
        <w:t xml:space="preserve"> imprisonment</w:t>
      </w:r>
      <w:r>
        <w:rPr>
          <w:lang w:val="en-CA"/>
        </w:rPr>
        <w:t xml:space="preserve"> would have been appropriate, but not a sentence of nine years.</w:t>
      </w:r>
    </w:p>
    <w:p w14:paraId="077BCDC9" w14:textId="730C0388" w:rsidR="005E47ED" w:rsidRPr="004A360E" w:rsidRDefault="00F06516" w:rsidP="005E47ED">
      <w:pPr>
        <w:pStyle w:val="Paragraphe"/>
        <w:rPr>
          <w:lang w:val="en-US"/>
        </w:rPr>
      </w:pPr>
      <w:r>
        <w:rPr>
          <w:lang w:val="en-CA"/>
        </w:rPr>
        <w:lastRenderedPageBreak/>
        <w:t xml:space="preserve">For the following reasons, this Court will </w:t>
      </w:r>
      <w:r w:rsidR="00611F3E">
        <w:rPr>
          <w:lang w:val="en-CA"/>
        </w:rPr>
        <w:t xml:space="preserve">allow </w:t>
      </w:r>
      <w:r>
        <w:rPr>
          <w:lang w:val="en-CA"/>
        </w:rPr>
        <w:t xml:space="preserve">the appeal against conviction and order </w:t>
      </w:r>
      <w:r w:rsidR="00C2699C">
        <w:rPr>
          <w:lang w:val="en-CA"/>
        </w:rPr>
        <w:t>a new</w:t>
      </w:r>
      <w:r w:rsidR="00AD7B55">
        <w:rPr>
          <w:lang w:val="en-CA"/>
        </w:rPr>
        <w:t xml:space="preserve"> trial</w:t>
      </w:r>
      <w:r>
        <w:rPr>
          <w:lang w:val="en-CA"/>
        </w:rPr>
        <w:t xml:space="preserve">, which will </w:t>
      </w:r>
      <w:r w:rsidR="007D7EA5">
        <w:rPr>
          <w:lang w:val="en-CA"/>
        </w:rPr>
        <w:t>set aside</w:t>
      </w:r>
      <w:r>
        <w:rPr>
          <w:lang w:val="en-CA"/>
        </w:rPr>
        <w:t xml:space="preserve"> the sentence without the need to rule on the application for leave to appeal or examine the appellant’s arguments on this issue.</w:t>
      </w:r>
    </w:p>
    <w:p w14:paraId="2CD0DA5B" w14:textId="15ACC579" w:rsidR="004751B4" w:rsidRPr="00941800" w:rsidRDefault="00F06516" w:rsidP="004751B4">
      <w:pPr>
        <w:pStyle w:val="Paragraphe"/>
        <w:numPr>
          <w:ilvl w:val="0"/>
          <w:numId w:val="0"/>
        </w:numPr>
        <w:rPr>
          <w:b/>
          <w:bCs/>
          <w:smallCaps/>
          <w:u w:val="single"/>
        </w:rPr>
      </w:pPr>
      <w:r>
        <w:rPr>
          <w:b/>
          <w:bCs/>
          <w:smallCaps/>
          <w:lang w:val="en-CA"/>
        </w:rPr>
        <w:t>I.</w:t>
      </w:r>
      <w:r>
        <w:rPr>
          <w:b/>
          <w:bCs/>
          <w:smallCaps/>
          <w:lang w:val="en-CA"/>
        </w:rPr>
        <w:tab/>
      </w:r>
      <w:r w:rsidR="00FE2603">
        <w:rPr>
          <w:b/>
          <w:bCs/>
          <w:smallCaps/>
          <w:u w:val="single"/>
          <w:lang w:val="en-CA"/>
        </w:rPr>
        <w:t>Background</w:t>
      </w:r>
    </w:p>
    <w:p w14:paraId="3691F808" w14:textId="08EB4C7B" w:rsidR="000A5918" w:rsidRPr="00941800" w:rsidRDefault="00F06516" w:rsidP="00424DCF">
      <w:pPr>
        <w:pStyle w:val="Paragraphe"/>
      </w:pPr>
      <w:r>
        <w:rPr>
          <w:lang w:val="en-CA"/>
        </w:rPr>
        <w:t xml:space="preserve">The appellant and the mother of the complainants, S. S., </w:t>
      </w:r>
      <w:r w:rsidR="00D6314B">
        <w:rPr>
          <w:lang w:val="en-CA"/>
        </w:rPr>
        <w:t>were</w:t>
      </w:r>
      <w:r>
        <w:rPr>
          <w:lang w:val="en-CA"/>
        </w:rPr>
        <w:t xml:space="preserve"> in a common-law relationship for a dozen years. </w:t>
      </w:r>
      <w:r w:rsidR="00C2699C">
        <w:rPr>
          <w:lang w:val="en-CA"/>
        </w:rPr>
        <w:t>It is alleged that d</w:t>
      </w:r>
      <w:r>
        <w:rPr>
          <w:lang w:val="en-CA"/>
        </w:rPr>
        <w:t>uring that time</w:t>
      </w:r>
      <w:r w:rsidR="00C2699C">
        <w:rPr>
          <w:lang w:val="en-CA"/>
        </w:rPr>
        <w:t xml:space="preserve"> </w:t>
      </w:r>
      <w:r>
        <w:rPr>
          <w:lang w:val="en-CA"/>
        </w:rPr>
        <w:t xml:space="preserve">the appellant frequently sexually abused his spouse’s two daughters, X and Y. More specifically, recurring sexual interference allegedly occurred until 2010 but then ceased (more or less concurrently with </w:t>
      </w:r>
      <w:r w:rsidR="00C2699C">
        <w:rPr>
          <w:lang w:val="en-CA"/>
        </w:rPr>
        <w:t>the first</w:t>
      </w:r>
      <w:r>
        <w:rPr>
          <w:lang w:val="en-CA"/>
        </w:rPr>
        <w:t xml:space="preserve"> disclos</w:t>
      </w:r>
      <w:r w:rsidR="002E0E14">
        <w:rPr>
          <w:lang w:val="en-CA"/>
        </w:rPr>
        <w:t>ure</w:t>
      </w:r>
      <w:r>
        <w:rPr>
          <w:lang w:val="en-CA"/>
        </w:rPr>
        <w:t xml:space="preserve">—see </w:t>
      </w:r>
      <w:r w:rsidR="00222915">
        <w:rPr>
          <w:lang w:val="en-CA"/>
        </w:rPr>
        <w:t>below</w:t>
      </w:r>
      <w:r>
        <w:rPr>
          <w:lang w:val="en-CA"/>
        </w:rPr>
        <w:t xml:space="preserve">), as the complainants refused to </w:t>
      </w:r>
      <w:r w:rsidR="002E0E14">
        <w:rPr>
          <w:lang w:val="en-CA"/>
        </w:rPr>
        <w:t xml:space="preserve">allow </w:t>
      </w:r>
      <w:r>
        <w:rPr>
          <w:lang w:val="en-CA"/>
        </w:rPr>
        <w:t xml:space="preserve">themselves </w:t>
      </w:r>
      <w:r w:rsidR="002E0E14">
        <w:rPr>
          <w:lang w:val="en-CA"/>
        </w:rPr>
        <w:t xml:space="preserve">to </w:t>
      </w:r>
      <w:r>
        <w:rPr>
          <w:lang w:val="en-CA"/>
        </w:rPr>
        <w:t>be touched</w:t>
      </w:r>
      <w:r w:rsidR="0027185A">
        <w:rPr>
          <w:lang w:val="en-CA"/>
        </w:rPr>
        <w:t xml:space="preserve"> from then on</w:t>
      </w:r>
      <w:r>
        <w:rPr>
          <w:lang w:val="en-CA"/>
        </w:rPr>
        <w:t>. However, the appellant allegedly continued exposing himself in their presence. The older daughter, X, left the family home a few months after reaching the age of majority (in late 2012 or early 2013), although she returned for a six-month period in 2014 for health reasons. Y was still living there in 2017.</w:t>
      </w:r>
    </w:p>
    <w:p w14:paraId="363247C3" w14:textId="0EA5633B" w:rsidR="002F4F8D" w:rsidRPr="004A360E" w:rsidRDefault="00F06516" w:rsidP="00920407">
      <w:pPr>
        <w:pStyle w:val="Paragraphe"/>
        <w:rPr>
          <w:lang w:val="en-US"/>
        </w:rPr>
      </w:pPr>
      <w:r>
        <w:rPr>
          <w:lang w:val="en-CA"/>
        </w:rPr>
        <w:t xml:space="preserve">The appellant and his spouse separated in 2017, after the complainants </w:t>
      </w:r>
      <w:r w:rsidR="002E0E14">
        <w:rPr>
          <w:lang w:val="en-CA"/>
        </w:rPr>
        <w:t>made a second disclosure</w:t>
      </w:r>
      <w:r>
        <w:rPr>
          <w:lang w:val="en-CA"/>
        </w:rPr>
        <w:t>. They also filed a complaint with the police against the appellant, hence the charges.</w:t>
      </w:r>
    </w:p>
    <w:p w14:paraId="21CB4420" w14:textId="79DC8820" w:rsidR="00920407" w:rsidRPr="004A360E" w:rsidRDefault="00F06516" w:rsidP="00920407">
      <w:pPr>
        <w:pStyle w:val="Paragraphe"/>
        <w:rPr>
          <w:lang w:val="en-US"/>
        </w:rPr>
      </w:pPr>
      <w:r>
        <w:rPr>
          <w:lang w:val="en-CA"/>
        </w:rPr>
        <w:t>According to the complainants, who both testified at the trial, the actions that the appellant committed against them evolved over time from superficial touching to much more invasive actions. In the case of the older daughter</w:t>
      </w:r>
      <w:r w:rsidR="00436330">
        <w:rPr>
          <w:lang w:val="en-CA"/>
        </w:rPr>
        <w:t>,</w:t>
      </w:r>
      <w:r>
        <w:rPr>
          <w:lang w:val="en-CA"/>
        </w:rPr>
        <w:t xml:space="preserve"> X, fellatio, masturbation, digital and penile penetration occurred three times a week, not counting other touching of all kinds, at a rate, according to X, of one to three times a day, five days a week. The younger daughter</w:t>
      </w:r>
      <w:r w:rsidR="00436330">
        <w:rPr>
          <w:lang w:val="en-CA"/>
        </w:rPr>
        <w:t>,</w:t>
      </w:r>
      <w:r>
        <w:rPr>
          <w:lang w:val="en-CA"/>
        </w:rPr>
        <w:t xml:space="preserve"> Y</w:t>
      </w:r>
      <w:r w:rsidR="00436330">
        <w:rPr>
          <w:lang w:val="en-CA"/>
        </w:rPr>
        <w:t>,</w:t>
      </w:r>
      <w:r>
        <w:rPr>
          <w:lang w:val="en-CA"/>
        </w:rPr>
        <w:t xml:space="preserve"> reported touching one to three times a day as well. The complainants</w:t>
      </w:r>
      <w:r w:rsidR="00436330">
        <w:rPr>
          <w:lang w:val="en-CA"/>
        </w:rPr>
        <w:t>’ mother</w:t>
      </w:r>
      <w:r>
        <w:rPr>
          <w:lang w:val="en-CA"/>
        </w:rPr>
        <w:t xml:space="preserve">, who also testified, knew nothing about it until her daughters first disclosed it to her in 2010. However, she did not really believe X or </w:t>
      </w:r>
      <w:r>
        <w:rPr>
          <w:caps/>
          <w:lang w:val="en-CA"/>
        </w:rPr>
        <w:t>Y</w:t>
      </w:r>
      <w:r>
        <w:rPr>
          <w:lang w:val="en-CA"/>
        </w:rPr>
        <w:t xml:space="preserve"> at the time and did not act on the information. It was after her daughters brought it up a second time in 2017 that she decided to leave the appellant. The two complainants filed a complaint with the police on their own initiative after consulting with a former police officer (X had also consulted one or more therapists and Y had consulted a social worker at the CEGEP she was attending at the time).</w:t>
      </w:r>
    </w:p>
    <w:p w14:paraId="190F3742" w14:textId="3F37D437" w:rsidR="00DB120B" w:rsidRPr="004A360E" w:rsidRDefault="00F06516" w:rsidP="00920407">
      <w:pPr>
        <w:pStyle w:val="Paragraphe"/>
        <w:rPr>
          <w:lang w:val="en-US"/>
        </w:rPr>
      </w:pPr>
      <w:bookmarkStart w:id="10" w:name="_Ref166230865"/>
      <w:r>
        <w:rPr>
          <w:lang w:val="en-CA"/>
        </w:rPr>
        <w:t xml:space="preserve">The appellant, who also testified at the trial, denies that he ever committed any acts of a sexual nature against the complainants. </w:t>
      </w:r>
      <w:r w:rsidR="00436330">
        <w:rPr>
          <w:lang w:val="en-CA"/>
        </w:rPr>
        <w:t>H</w:t>
      </w:r>
      <w:r>
        <w:rPr>
          <w:lang w:val="en-CA"/>
        </w:rPr>
        <w:t>e explained in his testimony</w:t>
      </w:r>
      <w:r w:rsidR="00436330">
        <w:rPr>
          <w:lang w:val="en-CA"/>
        </w:rPr>
        <w:t xml:space="preserve"> that the complaints </w:t>
      </w:r>
      <w:r>
        <w:rPr>
          <w:lang w:val="en-CA"/>
        </w:rPr>
        <w:t xml:space="preserve">were the result of a vendetta orchestrated by his </w:t>
      </w:r>
      <w:r w:rsidR="00436330">
        <w:rPr>
          <w:lang w:val="en-CA"/>
        </w:rPr>
        <w:t xml:space="preserve">former </w:t>
      </w:r>
      <w:r w:rsidR="00DF7FC6">
        <w:rPr>
          <w:lang w:val="en-CA"/>
        </w:rPr>
        <w:t>spouse</w:t>
      </w:r>
      <w:r>
        <w:rPr>
          <w:lang w:val="en-CA"/>
        </w:rPr>
        <w:t>, the complainants</w:t>
      </w:r>
      <w:r w:rsidR="00436330">
        <w:rPr>
          <w:lang w:val="en-CA"/>
        </w:rPr>
        <w:t>’ mother</w:t>
      </w:r>
      <w:r>
        <w:rPr>
          <w:lang w:val="en-CA"/>
        </w:rPr>
        <w:t xml:space="preserve">, due to a financial conflict </w:t>
      </w:r>
      <w:r w:rsidR="00436330">
        <w:rPr>
          <w:lang w:val="en-CA"/>
        </w:rPr>
        <w:t xml:space="preserve">resulting from </w:t>
      </w:r>
      <w:r>
        <w:rPr>
          <w:lang w:val="en-CA"/>
        </w:rPr>
        <w:t xml:space="preserve">the couple’s break-up. She </w:t>
      </w:r>
      <w:r w:rsidR="008A72EF">
        <w:rPr>
          <w:lang w:val="en-CA"/>
        </w:rPr>
        <w:t>would have liked to obtain</w:t>
      </w:r>
      <w:r>
        <w:rPr>
          <w:lang w:val="en-CA"/>
        </w:rPr>
        <w:t xml:space="preserve"> a portion of the proceeds from the sale of the family </w:t>
      </w:r>
      <w:r w:rsidR="00436330">
        <w:rPr>
          <w:lang w:val="en-CA"/>
        </w:rPr>
        <w:t>residence</w:t>
      </w:r>
      <w:r>
        <w:rPr>
          <w:lang w:val="en-CA"/>
        </w:rPr>
        <w:t xml:space="preserve">, of which the appellant was the sole owner, which he </w:t>
      </w:r>
      <w:r w:rsidR="00AA7D87">
        <w:rPr>
          <w:lang w:val="en-CA"/>
        </w:rPr>
        <w:t>refused,</w:t>
      </w:r>
      <w:r>
        <w:rPr>
          <w:lang w:val="en-CA"/>
        </w:rPr>
        <w:t xml:space="preserve"> and which also resulted in him being sued by his </w:t>
      </w:r>
      <w:r w:rsidR="00436330">
        <w:rPr>
          <w:lang w:val="en-CA"/>
        </w:rPr>
        <w:t xml:space="preserve">former </w:t>
      </w:r>
      <w:r w:rsidR="00DF7FC6">
        <w:rPr>
          <w:lang w:val="en-CA"/>
        </w:rPr>
        <w:t>spouse</w:t>
      </w:r>
      <w:r>
        <w:rPr>
          <w:lang w:val="en-CA"/>
        </w:rPr>
        <w:t xml:space="preserve"> for unjust enrichment.</w:t>
      </w:r>
    </w:p>
    <w:p w14:paraId="09F1C310" w14:textId="73A1B1B4" w:rsidR="008B79AC" w:rsidRPr="004A360E" w:rsidRDefault="00885183" w:rsidP="00920407">
      <w:pPr>
        <w:pStyle w:val="Paragraphe"/>
        <w:rPr>
          <w:lang w:val="en-US"/>
        </w:rPr>
      </w:pPr>
      <w:bookmarkStart w:id="11" w:name="_Ref166756687"/>
      <w:r>
        <w:rPr>
          <w:lang w:val="en-CA"/>
        </w:rPr>
        <w:t xml:space="preserve">Last, </w:t>
      </w:r>
      <w:r w:rsidR="00F06516">
        <w:rPr>
          <w:lang w:val="en-CA"/>
        </w:rPr>
        <w:t>(and this, as we will see, is at the heart of this appeal), during his testimony</w:t>
      </w:r>
      <w:r w:rsidRPr="00885183">
        <w:rPr>
          <w:lang w:val="en-CA"/>
        </w:rPr>
        <w:t xml:space="preserve"> </w:t>
      </w:r>
      <w:r>
        <w:rPr>
          <w:lang w:val="en-CA"/>
        </w:rPr>
        <w:t>the appellant</w:t>
      </w:r>
      <w:r w:rsidR="00F06516">
        <w:rPr>
          <w:lang w:val="en-CA"/>
        </w:rPr>
        <w:t xml:space="preserve"> stated the following </w:t>
      </w:r>
      <w:r w:rsidR="008A72EF">
        <w:rPr>
          <w:lang w:val="en-CA"/>
        </w:rPr>
        <w:t>in</w:t>
      </w:r>
      <w:r w:rsidR="00F06516">
        <w:rPr>
          <w:lang w:val="en-CA"/>
        </w:rPr>
        <w:t xml:space="preserve"> support his denial</w:t>
      </w:r>
      <w:r w:rsidR="008A72EF">
        <w:rPr>
          <w:lang w:val="en-CA"/>
        </w:rPr>
        <w:t>s</w:t>
      </w:r>
      <w:r w:rsidR="00F06516">
        <w:rPr>
          <w:lang w:val="en-CA"/>
        </w:rPr>
        <w:t>:</w:t>
      </w:r>
      <w:bookmarkEnd w:id="10"/>
      <w:bookmarkEnd w:id="11"/>
    </w:p>
    <w:p w14:paraId="744A2C52" w14:textId="77777777" w:rsidR="00885183" w:rsidRDefault="00F06516" w:rsidP="00A34A3A">
      <w:pPr>
        <w:pStyle w:val="Citationenretrait"/>
        <w:rPr>
          <w:rFonts w:ascii="Courier New" w:hAnsi="Courier New" w:cs="Courier New"/>
          <w:lang w:val="en-CA"/>
        </w:rPr>
      </w:pPr>
      <w:bookmarkStart w:id="12" w:name="_Hlk166766230"/>
      <w:r>
        <w:rPr>
          <w:rFonts w:ascii="Courier New" w:hAnsi="Courier New" w:cs="Courier New"/>
          <w:lang w:val="en-CA"/>
        </w:rPr>
        <w:lastRenderedPageBreak/>
        <w:t xml:space="preserve">[TRANSLATION] </w:t>
      </w:r>
    </w:p>
    <w:p w14:paraId="4306ABA7" w14:textId="710AC9F7" w:rsidR="008B79AC" w:rsidRPr="004A360E" w:rsidRDefault="00F06516" w:rsidP="00A34A3A">
      <w:pPr>
        <w:pStyle w:val="Citationenretrait"/>
        <w:rPr>
          <w:rFonts w:ascii="Courier New" w:hAnsi="Courier New" w:cs="Courier New"/>
          <w:lang w:val="en-US"/>
        </w:rPr>
      </w:pPr>
      <w:r>
        <w:rPr>
          <w:rFonts w:ascii="Courier New" w:hAnsi="Courier New" w:cs="Courier New"/>
          <w:lang w:val="en-CA"/>
        </w:rPr>
        <w:t>Q.</w:t>
      </w:r>
      <w:r>
        <w:rPr>
          <w:rFonts w:ascii="Courier New" w:hAnsi="Courier New" w:cs="Courier New"/>
          <w:lang w:val="en-CA"/>
        </w:rPr>
        <w:tab/>
        <w:t xml:space="preserve">What are your comments </w:t>
      </w:r>
      <w:r w:rsidR="00885183">
        <w:rPr>
          <w:rFonts w:ascii="Courier New" w:hAnsi="Courier New" w:cs="Courier New"/>
          <w:lang w:val="en-CA"/>
        </w:rPr>
        <w:t xml:space="preserve">on </w:t>
      </w:r>
      <w:r>
        <w:rPr>
          <w:rFonts w:ascii="Courier New" w:hAnsi="Courier New" w:cs="Courier New"/>
          <w:lang w:val="en-CA"/>
        </w:rPr>
        <w:t xml:space="preserve">all these... these actions that are attributed to you? </w:t>
      </w:r>
    </w:p>
    <w:p w14:paraId="22271072" w14:textId="5581C878" w:rsidR="008B79AC" w:rsidRPr="004A360E" w:rsidRDefault="001D31BF" w:rsidP="00A34A3A">
      <w:pPr>
        <w:pStyle w:val="Citationenretrait"/>
        <w:rPr>
          <w:rFonts w:ascii="Courier New" w:hAnsi="Courier New" w:cs="Courier New"/>
          <w:lang w:val="en-US"/>
        </w:rPr>
      </w:pPr>
      <w:r>
        <w:rPr>
          <w:rFonts w:ascii="Courier New" w:hAnsi="Courier New" w:cs="Courier New"/>
          <w:lang w:val="en-CA"/>
        </w:rPr>
        <w:t>A</w:t>
      </w:r>
      <w:r w:rsidR="00F06516">
        <w:rPr>
          <w:rFonts w:ascii="Courier New" w:hAnsi="Courier New" w:cs="Courier New"/>
          <w:lang w:val="en-CA"/>
        </w:rPr>
        <w:t>.</w:t>
      </w:r>
      <w:r w:rsidR="00F06516">
        <w:rPr>
          <w:rFonts w:ascii="Courier New" w:hAnsi="Courier New" w:cs="Courier New"/>
          <w:lang w:val="en-CA"/>
        </w:rPr>
        <w:tab/>
        <w:t>I...</w:t>
      </w:r>
    </w:p>
    <w:p w14:paraId="4FAEA554" w14:textId="115B2B6C" w:rsidR="008B79AC" w:rsidRPr="004A360E" w:rsidRDefault="00F06516" w:rsidP="00A34A3A">
      <w:pPr>
        <w:pStyle w:val="Citationenretrait"/>
        <w:rPr>
          <w:rFonts w:ascii="Courier New" w:hAnsi="Courier New" w:cs="Courier New"/>
          <w:lang w:val="en-US"/>
        </w:rPr>
      </w:pPr>
      <w:r>
        <w:rPr>
          <w:rFonts w:ascii="Courier New" w:hAnsi="Courier New" w:cs="Courier New"/>
          <w:lang w:val="en-CA"/>
        </w:rPr>
        <w:t>Q.</w:t>
      </w:r>
      <w:r>
        <w:rPr>
          <w:rFonts w:ascii="Courier New" w:hAnsi="Courier New" w:cs="Courier New"/>
          <w:lang w:val="en-CA"/>
        </w:rPr>
        <w:tab/>
        <w:t>Both [Y] and [X].</w:t>
      </w:r>
    </w:p>
    <w:p w14:paraId="09D4BC72" w14:textId="36B043A6" w:rsidR="008B79AC" w:rsidRPr="004A360E" w:rsidRDefault="001D31BF" w:rsidP="00A34A3A">
      <w:pPr>
        <w:pStyle w:val="Citationenretrait"/>
        <w:rPr>
          <w:rFonts w:ascii="Courier New" w:hAnsi="Courier New" w:cs="Courier New"/>
          <w:lang w:val="en-US"/>
        </w:rPr>
      </w:pPr>
      <w:r>
        <w:rPr>
          <w:rFonts w:ascii="Courier New" w:hAnsi="Courier New" w:cs="Courier New"/>
          <w:lang w:val="en-CA"/>
        </w:rPr>
        <w:t>A</w:t>
      </w:r>
      <w:r w:rsidR="00F06516">
        <w:rPr>
          <w:rFonts w:ascii="Courier New" w:hAnsi="Courier New" w:cs="Courier New"/>
          <w:lang w:val="en-CA"/>
        </w:rPr>
        <w:t>.</w:t>
      </w:r>
      <w:r w:rsidR="00F06516">
        <w:rPr>
          <w:rFonts w:ascii="Courier New" w:hAnsi="Courier New" w:cs="Courier New"/>
          <w:lang w:val="en-CA"/>
        </w:rPr>
        <w:tab/>
        <w:t>Okay. I</w:t>
      </w:r>
      <w:r w:rsidR="00885183">
        <w:rPr>
          <w:rFonts w:ascii="Courier New" w:hAnsi="Courier New" w:cs="Courier New"/>
          <w:lang w:val="en-CA"/>
        </w:rPr>
        <w:t>f</w:t>
      </w:r>
      <w:r w:rsidR="00F06516">
        <w:rPr>
          <w:rFonts w:ascii="Courier New" w:hAnsi="Courier New" w:cs="Courier New"/>
          <w:lang w:val="en-CA"/>
        </w:rPr>
        <w:t xml:space="preserve"> </w:t>
      </w:r>
      <w:r w:rsidR="00885183">
        <w:rPr>
          <w:rFonts w:ascii="Courier New" w:hAnsi="Courier New" w:cs="Courier New"/>
          <w:lang w:val="en-CA"/>
        </w:rPr>
        <w:t xml:space="preserve">I </w:t>
      </w:r>
      <w:r w:rsidR="00F06516">
        <w:rPr>
          <w:rFonts w:ascii="Courier New" w:hAnsi="Courier New" w:cs="Courier New"/>
          <w:lang w:val="en-CA"/>
        </w:rPr>
        <w:t>remember [X]’s testimony correctly, she, she said she... it was thousands of times. She talked about my circumcision during her testimony, but I had a birthmark on my penis.</w:t>
      </w:r>
    </w:p>
    <w:p w14:paraId="4E33D9D3" w14:textId="2ACD45C5" w:rsidR="008B79AC" w:rsidRDefault="00F06516" w:rsidP="00A34A3A">
      <w:pPr>
        <w:pStyle w:val="Citationenretrait"/>
        <w:rPr>
          <w:rFonts w:ascii="Courier New" w:hAnsi="Courier New" w:cs="Courier New"/>
        </w:rPr>
      </w:pPr>
      <w:r>
        <w:rPr>
          <w:rFonts w:ascii="Courier New" w:hAnsi="Courier New" w:cs="Courier New"/>
          <w:lang w:val="en-CA"/>
        </w:rPr>
        <w:t>Strange, she remembers that, and she</w:t>
      </w:r>
      <w:r w:rsidR="003D347A">
        <w:rPr>
          <w:rFonts w:ascii="Courier New" w:hAnsi="Courier New" w:cs="Courier New"/>
          <w:lang w:val="en-CA"/>
        </w:rPr>
        <w:t xml:space="preserve"> ha</w:t>
      </w:r>
      <w:r>
        <w:rPr>
          <w:rFonts w:ascii="Courier New" w:hAnsi="Courier New" w:cs="Courier New"/>
          <w:lang w:val="en-CA"/>
        </w:rPr>
        <w:t>s seen my penis thousands of times, but she didn’t remember that I had a birthmark. Maybe because she never saw it.</w:t>
      </w:r>
      <w:r>
        <w:rPr>
          <w:rStyle w:val="Appelnotedebasdep"/>
          <w:lang w:val="en-CA"/>
        </w:rPr>
        <w:footnoteReference w:id="5"/>
      </w:r>
    </w:p>
    <w:p w14:paraId="5EF4689C" w14:textId="762BD53D" w:rsidR="00A34A3A" w:rsidRPr="004A360E" w:rsidRDefault="00F06516" w:rsidP="00A34A3A">
      <w:pPr>
        <w:pStyle w:val="Paragraphe"/>
        <w:rPr>
          <w:lang w:val="en-US"/>
        </w:rPr>
      </w:pPr>
      <w:bookmarkStart w:id="13" w:name="_Ref166774946"/>
      <w:bookmarkEnd w:id="12"/>
      <w:r>
        <w:rPr>
          <w:lang w:val="en-CA"/>
        </w:rPr>
        <w:t xml:space="preserve">It should be noted </w:t>
      </w:r>
      <w:r w:rsidR="005E1613">
        <w:rPr>
          <w:lang w:val="en-CA"/>
        </w:rPr>
        <w:t>at the outset</w:t>
      </w:r>
      <w:r>
        <w:rPr>
          <w:lang w:val="en-CA"/>
        </w:rPr>
        <w:t xml:space="preserve"> that no one asked the complainants or their mother any questions regarding this characteristic of the appellant’s penis. The appellant’s counsel did not continue with this line of questioning or otherwise react to his client’s comments. As for the judge, she did not make any comment or raise the matter in any way, and she did not address this element in her judgment</w:t>
      </w:r>
      <w:r w:rsidR="005E1613" w:rsidRPr="005E1613">
        <w:rPr>
          <w:lang w:val="en-CA"/>
        </w:rPr>
        <w:t xml:space="preserve"> </w:t>
      </w:r>
      <w:r w:rsidR="005E1613">
        <w:rPr>
          <w:lang w:val="en-CA"/>
        </w:rPr>
        <w:t>in any way</w:t>
      </w:r>
      <w:r>
        <w:rPr>
          <w:lang w:val="en-CA"/>
        </w:rPr>
        <w:t>.</w:t>
      </w:r>
      <w:bookmarkEnd w:id="13"/>
    </w:p>
    <w:p w14:paraId="2A23136B" w14:textId="27FB3876" w:rsidR="008E7A6F" w:rsidRPr="004A360E" w:rsidRDefault="00F06516" w:rsidP="00A34A3A">
      <w:pPr>
        <w:pStyle w:val="Paragraphe"/>
        <w:numPr>
          <w:ilvl w:val="0"/>
          <w:numId w:val="0"/>
        </w:numPr>
        <w:rPr>
          <w:b/>
          <w:bCs/>
          <w:smallCaps/>
          <w:lang w:val="en-US"/>
        </w:rPr>
      </w:pPr>
      <w:r>
        <w:rPr>
          <w:b/>
          <w:bCs/>
          <w:smallCaps/>
          <w:lang w:val="en-CA"/>
        </w:rPr>
        <w:t>II.</w:t>
      </w:r>
      <w:r>
        <w:rPr>
          <w:b/>
          <w:bCs/>
          <w:smallCaps/>
          <w:lang w:val="en-CA"/>
        </w:rPr>
        <w:tab/>
      </w:r>
      <w:r>
        <w:rPr>
          <w:b/>
          <w:bCs/>
          <w:smallCaps/>
          <w:u w:val="single"/>
          <w:lang w:val="en-CA"/>
        </w:rPr>
        <w:t xml:space="preserve">Appeal </w:t>
      </w:r>
      <w:r w:rsidR="008A72EF">
        <w:rPr>
          <w:b/>
          <w:bCs/>
          <w:smallCaps/>
          <w:u w:val="single"/>
          <w:lang w:val="en-CA"/>
        </w:rPr>
        <w:t>from</w:t>
      </w:r>
      <w:r>
        <w:rPr>
          <w:b/>
          <w:bCs/>
          <w:smallCaps/>
          <w:u w:val="single"/>
          <w:lang w:val="en-CA"/>
        </w:rPr>
        <w:t xml:space="preserve"> the conviction</w:t>
      </w:r>
    </w:p>
    <w:p w14:paraId="4012A103" w14:textId="51CB6625" w:rsidR="00A34A3A" w:rsidRPr="004A360E" w:rsidRDefault="00F06516" w:rsidP="00A34A3A">
      <w:pPr>
        <w:pStyle w:val="Paragraphe"/>
        <w:numPr>
          <w:ilvl w:val="0"/>
          <w:numId w:val="0"/>
        </w:numPr>
        <w:rPr>
          <w:b/>
          <w:bCs/>
          <w:u w:val="single"/>
          <w:lang w:val="en-US"/>
        </w:rPr>
      </w:pPr>
      <w:r>
        <w:rPr>
          <w:b/>
          <w:bCs/>
          <w:smallCaps/>
          <w:lang w:val="en-CA"/>
        </w:rPr>
        <w:t>A.</w:t>
      </w:r>
      <w:r>
        <w:rPr>
          <w:b/>
          <w:bCs/>
          <w:smallCaps/>
          <w:lang w:val="en-CA"/>
        </w:rPr>
        <w:tab/>
      </w:r>
      <w:r>
        <w:rPr>
          <w:b/>
          <w:bCs/>
          <w:u w:val="single"/>
          <w:lang w:val="en-CA"/>
        </w:rPr>
        <w:t xml:space="preserve">Grounds of appeal </w:t>
      </w:r>
      <w:r w:rsidR="008A72EF">
        <w:rPr>
          <w:b/>
          <w:bCs/>
          <w:u w:val="single"/>
          <w:lang w:val="en-CA"/>
        </w:rPr>
        <w:t xml:space="preserve">regarding the </w:t>
      </w:r>
      <w:r>
        <w:rPr>
          <w:b/>
          <w:bCs/>
          <w:u w:val="single"/>
          <w:lang w:val="en-CA"/>
        </w:rPr>
        <w:t>conviction and arguments of the parties</w:t>
      </w:r>
    </w:p>
    <w:p w14:paraId="605C8582" w14:textId="27A0A79C" w:rsidR="00B40B8F" w:rsidRPr="00941800" w:rsidRDefault="00F06516" w:rsidP="008E7A6F">
      <w:pPr>
        <w:pStyle w:val="Paragraphe"/>
        <w:numPr>
          <w:ilvl w:val="0"/>
          <w:numId w:val="0"/>
        </w:numPr>
        <w:rPr>
          <w:b/>
          <w:bCs/>
          <w:smallCaps/>
        </w:rPr>
      </w:pPr>
      <w:r>
        <w:rPr>
          <w:b/>
          <w:bCs/>
          <w:smallCaps/>
          <w:lang w:val="en-CA"/>
        </w:rPr>
        <w:t>1.</w:t>
      </w:r>
      <w:r>
        <w:rPr>
          <w:b/>
          <w:bCs/>
          <w:smallCaps/>
          <w:lang w:val="en-CA"/>
        </w:rPr>
        <w:tab/>
      </w:r>
      <w:r>
        <w:rPr>
          <w:b/>
          <w:bCs/>
          <w:u w:val="single"/>
          <w:lang w:val="en-CA"/>
        </w:rPr>
        <w:t>The appellant’s grounds and arguments</w:t>
      </w:r>
    </w:p>
    <w:p w14:paraId="6AAF701F" w14:textId="6E596BAC" w:rsidR="00355000" w:rsidRPr="004A360E" w:rsidRDefault="00F06516" w:rsidP="00355000">
      <w:pPr>
        <w:pStyle w:val="Paragraphe"/>
        <w:rPr>
          <w:lang w:val="en-US"/>
        </w:rPr>
      </w:pPr>
      <w:r>
        <w:rPr>
          <w:lang w:val="en-CA"/>
        </w:rPr>
        <w:t xml:space="preserve">The appellant </w:t>
      </w:r>
      <w:r w:rsidR="00273CE8">
        <w:rPr>
          <w:lang w:val="en-CA"/>
        </w:rPr>
        <w:t xml:space="preserve">raises essentially </w:t>
      </w:r>
      <w:r>
        <w:rPr>
          <w:lang w:val="en-CA"/>
        </w:rPr>
        <w:t xml:space="preserve">two grounds of appeal: first, he believes the judge did not correctly assess the credibility and reliability of the witnesses, making various errors of law in this regard; second, and this is his main argument, he alleges ineffective assistance of counsel who represented him </w:t>
      </w:r>
      <w:r w:rsidR="00B86C4D">
        <w:rPr>
          <w:lang w:val="en-CA"/>
        </w:rPr>
        <w:t>at trial</w:t>
      </w:r>
      <w:r>
        <w:rPr>
          <w:lang w:val="en-CA"/>
        </w:rPr>
        <w:t xml:space="preserve"> and, incidentally, that the trial judge was overly passive in this regard.</w:t>
      </w:r>
    </w:p>
    <w:p w14:paraId="3D375B3B" w14:textId="0AA06F84" w:rsidR="00C20B7F" w:rsidRPr="004A360E" w:rsidRDefault="00F06516" w:rsidP="00355000">
      <w:pPr>
        <w:pStyle w:val="Paragraphe"/>
        <w:rPr>
          <w:lang w:val="en-US"/>
        </w:rPr>
      </w:pPr>
      <w:r>
        <w:rPr>
          <w:lang w:val="en-CA"/>
        </w:rPr>
        <w:t xml:space="preserve">Regarding the first ground </w:t>
      </w:r>
      <w:r w:rsidR="00B86C4D">
        <w:rPr>
          <w:lang w:val="en-CA"/>
        </w:rPr>
        <w:t>of</w:t>
      </w:r>
      <w:r>
        <w:rPr>
          <w:lang w:val="en-CA"/>
        </w:rPr>
        <w:t xml:space="preserve"> appeal, the appellant</w:t>
      </w:r>
      <w:r w:rsidR="00BD3AA9">
        <w:rPr>
          <w:lang w:val="en-CA"/>
        </w:rPr>
        <w:t xml:space="preserve"> essentially</w:t>
      </w:r>
      <w:r>
        <w:rPr>
          <w:lang w:val="en-CA"/>
        </w:rPr>
        <w:t xml:space="preserve"> </w:t>
      </w:r>
      <w:r w:rsidR="00F142FC">
        <w:rPr>
          <w:lang w:val="en-CA"/>
        </w:rPr>
        <w:t xml:space="preserve">argues </w:t>
      </w:r>
      <w:r>
        <w:rPr>
          <w:lang w:val="en-CA"/>
        </w:rPr>
        <w:t>that the judge:</w:t>
      </w:r>
    </w:p>
    <w:p w14:paraId="345F970A" w14:textId="5290A245" w:rsidR="00C20B7F" w:rsidRPr="004A360E" w:rsidRDefault="00871758" w:rsidP="00C20B7F">
      <w:pPr>
        <w:pStyle w:val="Citationenretrait"/>
        <w:rPr>
          <w:sz w:val="24"/>
          <w:szCs w:val="24"/>
          <w:lang w:val="en-US"/>
        </w:rPr>
      </w:pPr>
      <w:r>
        <w:rPr>
          <w:sz w:val="24"/>
          <w:szCs w:val="24"/>
          <w:lang w:val="en-CA"/>
        </w:rPr>
        <w:t>•</w:t>
      </w:r>
      <w:r>
        <w:rPr>
          <w:sz w:val="24"/>
          <w:szCs w:val="24"/>
          <w:lang w:val="en-CA"/>
        </w:rPr>
        <w:tab/>
      </w:r>
      <w:r w:rsidR="00F06516">
        <w:rPr>
          <w:sz w:val="24"/>
          <w:szCs w:val="24"/>
          <w:lang w:val="en-CA"/>
        </w:rPr>
        <w:t>completely ignored the fact that</w:t>
      </w:r>
      <w:r w:rsidR="00BD3AA9">
        <w:rPr>
          <w:sz w:val="24"/>
          <w:szCs w:val="24"/>
          <w:lang w:val="en-CA"/>
        </w:rPr>
        <w:t xml:space="preserve"> </w:t>
      </w:r>
      <w:r w:rsidR="00F06516">
        <w:rPr>
          <w:sz w:val="24"/>
          <w:szCs w:val="24"/>
          <w:lang w:val="en-CA"/>
        </w:rPr>
        <w:t>the central elements of the appellant’s testimony</w:t>
      </w:r>
      <w:r w:rsidR="00BD3AA9">
        <w:rPr>
          <w:sz w:val="24"/>
          <w:szCs w:val="24"/>
          <w:lang w:val="en-CA"/>
        </w:rPr>
        <w:t xml:space="preserve"> had not been contradicted</w:t>
      </w:r>
      <w:r w:rsidR="00F06516">
        <w:rPr>
          <w:sz w:val="24"/>
          <w:szCs w:val="24"/>
          <w:lang w:val="en-CA"/>
        </w:rPr>
        <w:t>;</w:t>
      </w:r>
    </w:p>
    <w:p w14:paraId="04CB8076" w14:textId="31E2946B" w:rsidR="00C20B7F" w:rsidRPr="004A360E" w:rsidRDefault="00871758" w:rsidP="00C20B7F">
      <w:pPr>
        <w:pStyle w:val="Citationenretrait"/>
        <w:rPr>
          <w:sz w:val="24"/>
          <w:szCs w:val="24"/>
          <w:lang w:val="en-US"/>
        </w:rPr>
      </w:pPr>
      <w:r>
        <w:rPr>
          <w:sz w:val="24"/>
          <w:szCs w:val="24"/>
          <w:lang w:val="en-CA"/>
        </w:rPr>
        <w:lastRenderedPageBreak/>
        <w:t>•</w:t>
      </w:r>
      <w:r>
        <w:rPr>
          <w:sz w:val="24"/>
          <w:szCs w:val="24"/>
          <w:lang w:val="en-CA"/>
        </w:rPr>
        <w:tab/>
      </w:r>
      <w:r w:rsidR="00F06516">
        <w:rPr>
          <w:sz w:val="24"/>
          <w:szCs w:val="24"/>
          <w:lang w:val="en-CA"/>
        </w:rPr>
        <w:t>used gender stereotypes when examining the appellant’s testimony, ruling on the basis of prejudices about the manner in which men generally behave;</w:t>
      </w:r>
    </w:p>
    <w:p w14:paraId="1C4DCE42" w14:textId="1B343D79" w:rsidR="00C20B7F" w:rsidRPr="004A360E" w:rsidRDefault="00871758" w:rsidP="00C20B7F">
      <w:pPr>
        <w:pStyle w:val="Citationenretrait"/>
        <w:rPr>
          <w:sz w:val="24"/>
          <w:szCs w:val="24"/>
          <w:lang w:val="en-US"/>
        </w:rPr>
      </w:pPr>
      <w:r>
        <w:rPr>
          <w:sz w:val="24"/>
          <w:szCs w:val="24"/>
          <w:lang w:val="en-CA"/>
        </w:rPr>
        <w:t>•</w:t>
      </w:r>
      <w:r>
        <w:rPr>
          <w:sz w:val="24"/>
          <w:szCs w:val="24"/>
          <w:lang w:val="en-CA"/>
        </w:rPr>
        <w:tab/>
      </w:r>
      <w:r w:rsidR="00AA7D87">
        <w:rPr>
          <w:sz w:val="24"/>
          <w:szCs w:val="24"/>
          <w:lang w:val="en-CA"/>
        </w:rPr>
        <w:t>conducted</w:t>
      </w:r>
      <w:r w:rsidR="00F06516">
        <w:rPr>
          <w:sz w:val="24"/>
          <w:szCs w:val="24"/>
          <w:lang w:val="en-CA"/>
        </w:rPr>
        <w:t xml:space="preserve"> a differentiated analysis of the testimony</w:t>
      </w:r>
      <w:r w:rsidR="00BD3AA9">
        <w:rPr>
          <w:sz w:val="24"/>
          <w:szCs w:val="24"/>
          <w:lang w:val="en-CA"/>
        </w:rPr>
        <w:t xml:space="preserve"> by</w:t>
      </w:r>
      <w:r w:rsidR="00F06516">
        <w:rPr>
          <w:sz w:val="24"/>
          <w:szCs w:val="24"/>
          <w:lang w:val="en-CA"/>
        </w:rPr>
        <w:t xml:space="preserve"> taking peripheral elements into account in the assessment of the appellant’s testimony that should not have been considered, </w:t>
      </w:r>
      <w:r w:rsidR="00F142FC">
        <w:rPr>
          <w:sz w:val="24"/>
          <w:szCs w:val="24"/>
          <w:lang w:val="en-CA"/>
        </w:rPr>
        <w:t xml:space="preserve">just as </w:t>
      </w:r>
      <w:r w:rsidR="00F06516">
        <w:rPr>
          <w:sz w:val="24"/>
          <w:szCs w:val="24"/>
          <w:lang w:val="en-CA"/>
        </w:rPr>
        <w:t>they were not considered in the complainants’ testimony;</w:t>
      </w:r>
    </w:p>
    <w:p w14:paraId="15EA1279" w14:textId="787C4E6A" w:rsidR="009F706C" w:rsidRPr="004A360E" w:rsidRDefault="006A2B2B" w:rsidP="00C20B7F">
      <w:pPr>
        <w:pStyle w:val="Citationenretrait"/>
        <w:rPr>
          <w:sz w:val="24"/>
          <w:szCs w:val="24"/>
          <w:lang w:val="en-US"/>
        </w:rPr>
      </w:pPr>
      <w:r>
        <w:rPr>
          <w:sz w:val="24"/>
          <w:szCs w:val="24"/>
          <w:lang w:val="en-CA"/>
        </w:rPr>
        <w:t>•</w:t>
      </w:r>
      <w:r w:rsidR="00F06516">
        <w:rPr>
          <w:sz w:val="24"/>
          <w:szCs w:val="24"/>
          <w:lang w:val="en-CA"/>
        </w:rPr>
        <w:tab/>
      </w:r>
      <w:r w:rsidR="003231B6">
        <w:rPr>
          <w:sz w:val="24"/>
          <w:szCs w:val="24"/>
          <w:lang w:val="en-CA"/>
        </w:rPr>
        <w:t>generally,</w:t>
      </w:r>
      <w:r w:rsidR="00F06516">
        <w:rPr>
          <w:sz w:val="24"/>
          <w:szCs w:val="24"/>
          <w:lang w:val="en-CA"/>
        </w:rPr>
        <w:t xml:space="preserve"> did not comply with the </w:t>
      </w:r>
      <w:r w:rsidR="00F142FC">
        <w:rPr>
          <w:sz w:val="24"/>
          <w:szCs w:val="24"/>
          <w:lang w:val="en-CA"/>
        </w:rPr>
        <w:t>teachings</w:t>
      </w:r>
      <w:r w:rsidR="00F06516">
        <w:rPr>
          <w:sz w:val="24"/>
          <w:szCs w:val="24"/>
          <w:lang w:val="en-CA"/>
        </w:rPr>
        <w:t xml:space="preserve"> in </w:t>
      </w:r>
      <w:r w:rsidR="00F06516">
        <w:rPr>
          <w:i/>
          <w:iCs/>
          <w:sz w:val="24"/>
          <w:szCs w:val="24"/>
          <w:lang w:val="en-CA"/>
        </w:rPr>
        <w:t>W.(D.).</w:t>
      </w:r>
      <w:r w:rsidR="00F06516">
        <w:rPr>
          <w:rStyle w:val="Appelnotedebasdep"/>
          <w:lang w:val="en-CA"/>
        </w:rPr>
        <w:footnoteReference w:id="6"/>
      </w:r>
    </w:p>
    <w:p w14:paraId="7C2A4FD1" w14:textId="039596F6" w:rsidR="00B476A8" w:rsidRPr="004A360E" w:rsidRDefault="00F06516" w:rsidP="00355000">
      <w:pPr>
        <w:pStyle w:val="Paragraphe"/>
        <w:rPr>
          <w:lang w:val="en-US"/>
        </w:rPr>
      </w:pPr>
      <w:r>
        <w:rPr>
          <w:lang w:val="en-CA"/>
        </w:rPr>
        <w:t xml:space="preserve">As for the second ground of appeal, based on both what took place during the trial and what is revealed by the </w:t>
      </w:r>
      <w:r w:rsidR="00F142FC">
        <w:rPr>
          <w:lang w:val="en-CA"/>
        </w:rPr>
        <w:t xml:space="preserve">fresh </w:t>
      </w:r>
      <w:r>
        <w:rPr>
          <w:lang w:val="en-CA"/>
        </w:rPr>
        <w:t xml:space="preserve">evidence that he is seeking authorization to adduce, the appellant </w:t>
      </w:r>
      <w:r w:rsidR="00F142FC">
        <w:rPr>
          <w:lang w:val="en-CA"/>
        </w:rPr>
        <w:t>raises</w:t>
      </w:r>
      <w:r>
        <w:rPr>
          <w:lang w:val="en-CA"/>
        </w:rPr>
        <w:t xml:space="preserve"> various grievances against counsel who represented him </w:t>
      </w:r>
      <w:r w:rsidR="00F142FC">
        <w:rPr>
          <w:lang w:val="en-CA"/>
        </w:rPr>
        <w:t>at trial</w:t>
      </w:r>
      <w:r>
        <w:rPr>
          <w:lang w:val="en-CA"/>
        </w:rPr>
        <w:t xml:space="preserve"> and who allegedly provided ineffective assistance, thus leading to a miscarriage of justice.</w:t>
      </w:r>
    </w:p>
    <w:p w14:paraId="3892185B" w14:textId="20EECB00" w:rsidR="00B476A8" w:rsidRPr="004A360E" w:rsidRDefault="00F06516" w:rsidP="00355000">
      <w:pPr>
        <w:pStyle w:val="Paragraphe"/>
        <w:rPr>
          <w:lang w:val="en-US"/>
        </w:rPr>
      </w:pPr>
      <w:r>
        <w:rPr>
          <w:lang w:val="en-CA"/>
        </w:rPr>
        <w:t xml:space="preserve">First, the appellant </w:t>
      </w:r>
      <w:r w:rsidR="00F142FC">
        <w:rPr>
          <w:lang w:val="en-CA"/>
        </w:rPr>
        <w:t>criticizes</w:t>
      </w:r>
      <w:r>
        <w:rPr>
          <w:lang w:val="en-CA"/>
        </w:rPr>
        <w:t xml:space="preserve"> his former counsel </w:t>
      </w:r>
      <w:r w:rsidR="00F142FC">
        <w:rPr>
          <w:lang w:val="en-CA"/>
        </w:rPr>
        <w:t xml:space="preserve">for a lack of preparation, apathy, </w:t>
      </w:r>
      <w:r>
        <w:rPr>
          <w:lang w:val="en-CA"/>
        </w:rPr>
        <w:t xml:space="preserve">and </w:t>
      </w:r>
      <w:r w:rsidR="00F142FC">
        <w:rPr>
          <w:lang w:val="en-CA"/>
        </w:rPr>
        <w:t xml:space="preserve">general confusion in his conduct of </w:t>
      </w:r>
      <w:r>
        <w:rPr>
          <w:lang w:val="en-CA"/>
        </w:rPr>
        <w:t>the case and trial.</w:t>
      </w:r>
      <w:r>
        <w:rPr>
          <w:rStyle w:val="Appelnotedebasdep"/>
          <w:lang w:val="en-CA"/>
        </w:rPr>
        <w:footnoteReference w:id="7"/>
      </w:r>
    </w:p>
    <w:p w14:paraId="2A588DC1" w14:textId="617F08A2" w:rsidR="002A3D95" w:rsidRPr="004A360E" w:rsidRDefault="00F06516" w:rsidP="00355000">
      <w:pPr>
        <w:pStyle w:val="Paragraphe"/>
        <w:rPr>
          <w:lang w:val="en-US"/>
        </w:rPr>
      </w:pPr>
      <w:r>
        <w:rPr>
          <w:lang w:val="en-CA"/>
        </w:rPr>
        <w:t xml:space="preserve">He then </w:t>
      </w:r>
      <w:r w:rsidR="00F142FC">
        <w:rPr>
          <w:lang w:val="en-CA"/>
        </w:rPr>
        <w:t>criticizes</w:t>
      </w:r>
      <w:r>
        <w:rPr>
          <w:lang w:val="en-CA"/>
        </w:rPr>
        <w:t xml:space="preserve"> his former counsel </w:t>
      </w:r>
      <w:r w:rsidR="00F142FC">
        <w:rPr>
          <w:lang w:val="en-CA"/>
        </w:rPr>
        <w:t xml:space="preserve">for </w:t>
      </w:r>
      <w:r>
        <w:rPr>
          <w:lang w:val="en-CA"/>
        </w:rPr>
        <w:t>not follow</w:t>
      </w:r>
      <w:r w:rsidR="00F142FC">
        <w:rPr>
          <w:lang w:val="en-CA"/>
        </w:rPr>
        <w:t>ing</w:t>
      </w:r>
      <w:r>
        <w:rPr>
          <w:lang w:val="en-CA"/>
        </w:rPr>
        <w:t xml:space="preserve"> his instructions regarding the real reason behind the complaints, a vendetta </w:t>
      </w:r>
      <w:r w:rsidR="00F142FC">
        <w:rPr>
          <w:lang w:val="en-CA"/>
        </w:rPr>
        <w:t xml:space="preserve">by </w:t>
      </w:r>
      <w:r>
        <w:rPr>
          <w:lang w:val="en-CA"/>
        </w:rPr>
        <w:t>the complainants</w:t>
      </w:r>
      <w:r w:rsidR="00F142FC">
        <w:rPr>
          <w:lang w:val="en-CA"/>
        </w:rPr>
        <w:t>’ mother</w:t>
      </w:r>
      <w:r>
        <w:rPr>
          <w:lang w:val="en-CA"/>
        </w:rPr>
        <w:t>. However, counsel dismissed this reasoning and instead stat</w:t>
      </w:r>
      <w:r w:rsidR="00153A97">
        <w:rPr>
          <w:lang w:val="en-CA"/>
        </w:rPr>
        <w:t xml:space="preserve">ing </w:t>
      </w:r>
      <w:r>
        <w:rPr>
          <w:lang w:val="en-CA"/>
        </w:rPr>
        <w:t xml:space="preserve">in his arguments that he did not support this </w:t>
      </w:r>
      <w:r w:rsidR="00F142FC">
        <w:rPr>
          <w:lang w:val="en-CA"/>
        </w:rPr>
        <w:t>theory, even though</w:t>
      </w:r>
      <w:r>
        <w:rPr>
          <w:lang w:val="en-CA"/>
        </w:rPr>
        <w:t xml:space="preserve"> </w:t>
      </w:r>
      <w:r w:rsidR="00F142FC">
        <w:rPr>
          <w:lang w:val="en-CA"/>
        </w:rPr>
        <w:t>it was invoked by</w:t>
      </w:r>
      <w:r>
        <w:rPr>
          <w:lang w:val="en-CA"/>
        </w:rPr>
        <w:t xml:space="preserve"> the appellant in his testimony.</w:t>
      </w:r>
      <w:r>
        <w:rPr>
          <w:rStyle w:val="Appelnotedebasdep"/>
          <w:lang w:val="en-CA"/>
        </w:rPr>
        <w:footnoteReference w:id="8"/>
      </w:r>
      <w:r>
        <w:rPr>
          <w:lang w:val="en-CA"/>
        </w:rPr>
        <w:t xml:space="preserve"> In doing so, he undermined his client’s very credibility, which necessarily influenced the judge’s assessment of the client’s testimony, leading to a miscarriage of justice.</w:t>
      </w:r>
    </w:p>
    <w:p w14:paraId="2730189F" w14:textId="0C7AA6B6" w:rsidR="00F724B8" w:rsidRPr="004A360E" w:rsidRDefault="00726ECC" w:rsidP="00355000">
      <w:pPr>
        <w:pStyle w:val="Paragraphe"/>
        <w:rPr>
          <w:lang w:val="en-US"/>
        </w:rPr>
      </w:pPr>
      <w:r>
        <w:rPr>
          <w:lang w:val="en-CA"/>
        </w:rPr>
        <w:t xml:space="preserve">Even more </w:t>
      </w:r>
      <w:r w:rsidR="00F06516">
        <w:rPr>
          <w:lang w:val="en-CA"/>
        </w:rPr>
        <w:t xml:space="preserve">importantly, counsel neglected to take into account the fact that the appellant’s penis had a distinctive </w:t>
      </w:r>
      <w:r>
        <w:rPr>
          <w:lang w:val="en-CA"/>
        </w:rPr>
        <w:t xml:space="preserve">characteristic </w:t>
      </w:r>
      <w:r w:rsidR="00F06516">
        <w:rPr>
          <w:lang w:val="en-CA"/>
        </w:rPr>
        <w:t xml:space="preserve">until August 2011 (which corresponds, generally speaking, to the first part of the </w:t>
      </w:r>
      <w:r>
        <w:rPr>
          <w:lang w:val="en-CA"/>
        </w:rPr>
        <w:t xml:space="preserve">offence </w:t>
      </w:r>
      <w:r w:rsidR="00F06516">
        <w:rPr>
          <w:lang w:val="en-CA"/>
        </w:rPr>
        <w:t xml:space="preserve">period), a </w:t>
      </w:r>
      <w:r w:rsidR="00CF1B92">
        <w:rPr>
          <w:lang w:val="en-CA"/>
        </w:rPr>
        <w:t xml:space="preserve">distinctive </w:t>
      </w:r>
      <w:r>
        <w:rPr>
          <w:lang w:val="en-CA"/>
        </w:rPr>
        <w:t xml:space="preserve">characteristic </w:t>
      </w:r>
      <w:r w:rsidR="00F06516">
        <w:rPr>
          <w:lang w:val="en-CA"/>
        </w:rPr>
        <w:t xml:space="preserve">that </w:t>
      </w:r>
      <w:r>
        <w:rPr>
          <w:lang w:val="en-CA"/>
        </w:rPr>
        <w:t>had disappeared</w:t>
      </w:r>
      <w:r w:rsidR="00F06516">
        <w:rPr>
          <w:lang w:val="en-CA"/>
        </w:rPr>
        <w:t xml:space="preserve"> by August 2011 </w:t>
      </w:r>
      <w:r w:rsidR="00BD6AA8">
        <w:rPr>
          <w:lang w:val="en-CA"/>
        </w:rPr>
        <w:t xml:space="preserve">following </w:t>
      </w:r>
      <w:r w:rsidR="00F06516">
        <w:rPr>
          <w:lang w:val="en-CA"/>
        </w:rPr>
        <w:t xml:space="preserve">surgery. It is in this respect that the appellant </w:t>
      </w:r>
      <w:r>
        <w:rPr>
          <w:lang w:val="en-CA"/>
        </w:rPr>
        <w:t xml:space="preserve">seeks </w:t>
      </w:r>
      <w:r w:rsidR="00F06516">
        <w:rPr>
          <w:lang w:val="en-CA"/>
        </w:rPr>
        <w:t xml:space="preserve">authorization to adduce </w:t>
      </w:r>
      <w:r>
        <w:rPr>
          <w:lang w:val="en-CA"/>
        </w:rPr>
        <w:t xml:space="preserve">fresh </w:t>
      </w:r>
      <w:r w:rsidR="00F06516">
        <w:rPr>
          <w:lang w:val="en-CA"/>
        </w:rPr>
        <w:t xml:space="preserve">evidence that he considers admissible and decisive based on the criteria established in </w:t>
      </w:r>
      <w:r w:rsidR="00F06516">
        <w:rPr>
          <w:i/>
          <w:iCs/>
          <w:lang w:val="en-CA"/>
        </w:rPr>
        <w:t>Palmer</w:t>
      </w:r>
      <w:bookmarkStart w:id="14" w:name="_Ref166254832"/>
      <w:r w:rsidR="00F06516">
        <w:rPr>
          <w:rStyle w:val="Appelnotedebasdep"/>
          <w:lang w:val="en-CA"/>
        </w:rPr>
        <w:footnoteReference w:id="9"/>
      </w:r>
      <w:bookmarkEnd w:id="14"/>
      <w:r w:rsidR="00F06516">
        <w:rPr>
          <w:lang w:val="en-CA"/>
        </w:rPr>
        <w:t xml:space="preserve"> and </w:t>
      </w:r>
      <w:r w:rsidR="00F06516">
        <w:rPr>
          <w:i/>
          <w:iCs/>
          <w:lang w:val="en-CA"/>
        </w:rPr>
        <w:t>Lévesque</w:t>
      </w:r>
      <w:bookmarkStart w:id="15" w:name="_Ref166254836"/>
      <w:r w:rsidR="00F06516">
        <w:rPr>
          <w:rStyle w:val="Appelnotedebasdep"/>
          <w:lang w:val="en-CA"/>
        </w:rPr>
        <w:footnoteReference w:id="10"/>
      </w:r>
      <w:bookmarkEnd w:id="15"/>
      <w:r w:rsidR="00F06516">
        <w:rPr>
          <w:lang w:val="en-CA"/>
        </w:rPr>
        <w:t xml:space="preserve"> and which appear</w:t>
      </w:r>
      <w:r w:rsidR="00BD6AA8">
        <w:rPr>
          <w:lang w:val="en-CA"/>
        </w:rPr>
        <w:t>s</w:t>
      </w:r>
      <w:r w:rsidR="00F06516">
        <w:rPr>
          <w:lang w:val="en-CA"/>
        </w:rPr>
        <w:t xml:space="preserve"> to him to allow this Court to </w:t>
      </w:r>
      <w:r>
        <w:rPr>
          <w:lang w:val="en-CA"/>
        </w:rPr>
        <w:t xml:space="preserve">set aside </w:t>
      </w:r>
      <w:r w:rsidR="00F06516">
        <w:rPr>
          <w:lang w:val="en-CA"/>
        </w:rPr>
        <w:t>the conviction rendered against him.</w:t>
      </w:r>
      <w:r w:rsidR="00F06516">
        <w:rPr>
          <w:rStyle w:val="Appelnotedebasdep"/>
          <w:lang w:val="en-CA"/>
        </w:rPr>
        <w:footnoteReference w:id="11"/>
      </w:r>
    </w:p>
    <w:p w14:paraId="36D39918" w14:textId="3EA1BFBC" w:rsidR="00BF71C6" w:rsidRPr="004A360E" w:rsidRDefault="00F06516" w:rsidP="006A2B2B">
      <w:pPr>
        <w:pStyle w:val="Paragraphe"/>
        <w:keepLines/>
        <w:rPr>
          <w:lang w:val="en-US"/>
        </w:rPr>
      </w:pPr>
      <w:r>
        <w:rPr>
          <w:lang w:val="en-CA"/>
        </w:rPr>
        <w:lastRenderedPageBreak/>
        <w:t>Until August 2011, the appellant’s penis had [</w:t>
      </w:r>
      <w:r w:rsidR="004E5B8E" w:rsidRPr="009D6270">
        <w:rPr>
          <w:smallCaps/>
          <w:lang w:val="en-CA"/>
        </w:rPr>
        <w:t>translation</w:t>
      </w:r>
      <w:r>
        <w:rPr>
          <w:lang w:val="en-CA"/>
        </w:rPr>
        <w:t xml:space="preserve">] “tight phimosis with chronic balanitis and lichen </w:t>
      </w:r>
      <w:proofErr w:type="spellStart"/>
      <w:r>
        <w:rPr>
          <w:lang w:val="en-CA"/>
        </w:rPr>
        <w:t>sclerosus</w:t>
      </w:r>
      <w:proofErr w:type="spellEnd"/>
      <w:r>
        <w:rPr>
          <w:lang w:val="en-CA"/>
        </w:rPr>
        <w:t>” (a condition that makes it difficult to retract the foreskin).</w:t>
      </w:r>
      <w:r>
        <w:rPr>
          <w:rStyle w:val="Appelnotedebasdep"/>
          <w:lang w:val="en-CA"/>
        </w:rPr>
        <w:footnoteReference w:id="12"/>
      </w:r>
      <w:r>
        <w:rPr>
          <w:lang w:val="en-CA"/>
        </w:rPr>
        <w:t xml:space="preserve"> The organ also had what the appellant describe</w:t>
      </w:r>
      <w:r w:rsidR="006A2B2B">
        <w:rPr>
          <w:lang w:val="en-CA"/>
        </w:rPr>
        <w:t>s</w:t>
      </w:r>
      <w:r>
        <w:rPr>
          <w:lang w:val="en-CA"/>
        </w:rPr>
        <w:t xml:space="preserve"> as a [</w:t>
      </w:r>
      <w:r w:rsidR="004E5B8E" w:rsidRPr="009F258C">
        <w:rPr>
          <w:smallCaps/>
          <w:lang w:val="en-CA"/>
        </w:rPr>
        <w:t>translation</w:t>
      </w:r>
      <w:r>
        <w:rPr>
          <w:lang w:val="en-CA"/>
        </w:rPr>
        <w:t>] “birthmark” and a medical document describes as a [</w:t>
      </w:r>
      <w:r w:rsidR="004E5B8E" w:rsidRPr="009F258C">
        <w:rPr>
          <w:smallCaps/>
          <w:lang w:val="en-CA"/>
        </w:rPr>
        <w:t>translation</w:t>
      </w:r>
      <w:r>
        <w:rPr>
          <w:lang w:val="en-CA"/>
        </w:rPr>
        <w:t>] “</w:t>
      </w:r>
      <w:r w:rsidR="00EC3BDA">
        <w:rPr>
          <w:lang w:val="en-CA"/>
        </w:rPr>
        <w:t>w</w:t>
      </w:r>
      <w:r>
        <w:rPr>
          <w:lang w:val="en-CA"/>
        </w:rPr>
        <w:t xml:space="preserve">art approximately 2.0 cm </w:t>
      </w:r>
      <w:r w:rsidR="003C0320">
        <w:rPr>
          <w:lang w:val="en-CA"/>
        </w:rPr>
        <w:t xml:space="preserve">long with a </w:t>
      </w:r>
      <w:r>
        <w:rPr>
          <w:lang w:val="en-CA"/>
        </w:rPr>
        <w:t>wide</w:t>
      </w:r>
      <w:r w:rsidR="003C0320">
        <w:rPr>
          <w:lang w:val="en-CA"/>
        </w:rPr>
        <w:t xml:space="preserve"> base</w:t>
      </w:r>
      <w:r>
        <w:rPr>
          <w:lang w:val="en-CA"/>
        </w:rPr>
        <w:t>, on the ventral side of the penis”.</w:t>
      </w:r>
      <w:r>
        <w:rPr>
          <w:rStyle w:val="Appelnotedebasdep"/>
          <w:lang w:val="en-CA"/>
        </w:rPr>
        <w:footnoteReference w:id="13"/>
      </w:r>
      <w:r>
        <w:rPr>
          <w:lang w:val="en-CA"/>
        </w:rPr>
        <w:t xml:space="preserve"> In September 2011, the appellant was circumcised to resolve the first issue and, at the same time, </w:t>
      </w:r>
      <w:r w:rsidR="00BD6AA8">
        <w:rPr>
          <w:lang w:val="en-CA"/>
        </w:rPr>
        <w:t>had</w:t>
      </w:r>
      <w:r>
        <w:rPr>
          <w:lang w:val="en-CA"/>
        </w:rPr>
        <w:t xml:space="preserve"> the wart </w:t>
      </w:r>
      <w:r w:rsidR="003C0320">
        <w:rPr>
          <w:lang w:val="en-CA"/>
        </w:rPr>
        <w:t xml:space="preserve">referred to above </w:t>
      </w:r>
      <w:r>
        <w:rPr>
          <w:lang w:val="en-CA"/>
        </w:rPr>
        <w:t xml:space="preserve">excised. The appellant says that he disclosed all these facts to his counsel at the time, well before the trial. </w:t>
      </w:r>
      <w:r w:rsidR="003C0320">
        <w:rPr>
          <w:lang w:val="en-CA"/>
        </w:rPr>
        <w:t xml:space="preserve">However, counsel </w:t>
      </w:r>
      <w:r>
        <w:rPr>
          <w:lang w:val="en-CA"/>
        </w:rPr>
        <w:t>did not</w:t>
      </w:r>
      <w:r w:rsidR="003C0320">
        <w:rPr>
          <w:lang w:val="en-CA"/>
        </w:rPr>
        <w:t xml:space="preserve"> </w:t>
      </w:r>
      <w:r>
        <w:rPr>
          <w:lang w:val="en-CA"/>
        </w:rPr>
        <w:t>take any action as a result of this disclosure</w:t>
      </w:r>
      <w:r w:rsidR="000B3414">
        <w:rPr>
          <w:lang w:val="en-CA"/>
        </w:rPr>
        <w:t>,</w:t>
      </w:r>
      <w:r>
        <w:rPr>
          <w:lang w:val="en-CA"/>
        </w:rPr>
        <w:t xml:space="preserve"> </w:t>
      </w:r>
      <w:r w:rsidR="000B3414">
        <w:rPr>
          <w:lang w:val="en-CA"/>
        </w:rPr>
        <w:t>n</w:t>
      </w:r>
      <w:r w:rsidR="003C0320">
        <w:rPr>
          <w:lang w:val="en-CA"/>
        </w:rPr>
        <w:t>or</w:t>
      </w:r>
      <w:r>
        <w:rPr>
          <w:lang w:val="en-CA"/>
        </w:rPr>
        <w:t xml:space="preserve"> </w:t>
      </w:r>
      <w:r w:rsidR="000B3414">
        <w:rPr>
          <w:lang w:val="en-CA"/>
        </w:rPr>
        <w:t xml:space="preserve">did he </w:t>
      </w:r>
      <w:r>
        <w:rPr>
          <w:lang w:val="en-CA"/>
        </w:rPr>
        <w:t xml:space="preserve">seek </w:t>
      </w:r>
      <w:r w:rsidR="003C0320">
        <w:rPr>
          <w:lang w:val="en-CA"/>
        </w:rPr>
        <w:t xml:space="preserve">to obtain </w:t>
      </w:r>
      <w:r>
        <w:rPr>
          <w:lang w:val="en-CA"/>
        </w:rPr>
        <w:t xml:space="preserve">any evidence </w:t>
      </w:r>
      <w:r w:rsidR="000B3414">
        <w:rPr>
          <w:lang w:val="en-CA"/>
        </w:rPr>
        <w:t xml:space="preserve">to confirm this </w:t>
      </w:r>
      <w:r w:rsidR="00BD6AA8">
        <w:rPr>
          <w:lang w:val="en-CA"/>
        </w:rPr>
        <w:t>state of affairs</w:t>
      </w:r>
      <w:r w:rsidR="000B3414">
        <w:rPr>
          <w:lang w:val="en-CA"/>
        </w:rPr>
        <w:t>. Nor</w:t>
      </w:r>
      <w:r>
        <w:rPr>
          <w:lang w:val="en-CA"/>
        </w:rPr>
        <w:t xml:space="preserve"> did he cross-examine the complainants or their mother at the trial about the [</w:t>
      </w:r>
      <w:r w:rsidR="00EC3BDA" w:rsidRPr="009D6270">
        <w:rPr>
          <w:smallCaps/>
          <w:lang w:val="en-CA"/>
        </w:rPr>
        <w:t>translation</w:t>
      </w:r>
      <w:r>
        <w:rPr>
          <w:lang w:val="en-CA"/>
        </w:rPr>
        <w:t>] “mark”, which none of them mentioned. X’s statement to the police included a detailed description of the appellant’s genitals but did not mention the wart. All of this should have prompted counsel, at a minimum, to obtain the relevant medical evidence and address the matter with the witnesses. Instead, he simply asked the complainants and their mother whether the appellant was circumcised.</w:t>
      </w:r>
    </w:p>
    <w:p w14:paraId="55D98BB9" w14:textId="60CE1A23" w:rsidR="00DF29AB" w:rsidRPr="004A360E" w:rsidRDefault="000B3414" w:rsidP="00355000">
      <w:pPr>
        <w:pStyle w:val="Paragraphe"/>
        <w:rPr>
          <w:lang w:val="en-US"/>
        </w:rPr>
      </w:pPr>
      <w:r>
        <w:rPr>
          <w:lang w:val="en-CA"/>
        </w:rPr>
        <w:t>Last</w:t>
      </w:r>
      <w:r w:rsidR="00F06516">
        <w:rPr>
          <w:lang w:val="en-CA"/>
        </w:rPr>
        <w:t xml:space="preserve">, during his </w:t>
      </w:r>
      <w:r>
        <w:rPr>
          <w:lang w:val="en-CA"/>
        </w:rPr>
        <w:t>examination</w:t>
      </w:r>
      <w:r w:rsidR="00F06516">
        <w:rPr>
          <w:lang w:val="en-CA"/>
        </w:rPr>
        <w:t xml:space="preserve">-in-chief, as </w:t>
      </w:r>
      <w:r>
        <w:rPr>
          <w:lang w:val="en-CA"/>
        </w:rPr>
        <w:t xml:space="preserve">explained </w:t>
      </w:r>
      <w:r w:rsidR="00F06516">
        <w:rPr>
          <w:lang w:val="en-CA"/>
        </w:rPr>
        <w:t>above,</w:t>
      </w:r>
      <w:r w:rsidR="00F06516">
        <w:rPr>
          <w:rStyle w:val="Appelnotedebasdep"/>
          <w:lang w:val="en-CA"/>
        </w:rPr>
        <w:footnoteReference w:id="14"/>
      </w:r>
      <w:r w:rsidR="00F06516">
        <w:rPr>
          <w:lang w:val="en-CA"/>
        </w:rPr>
        <w:t xml:space="preserve"> </w:t>
      </w:r>
      <w:r>
        <w:rPr>
          <w:lang w:val="en-CA"/>
        </w:rPr>
        <w:t xml:space="preserve">the appellant </w:t>
      </w:r>
      <w:r w:rsidR="00F06516">
        <w:rPr>
          <w:lang w:val="en-CA"/>
        </w:rPr>
        <w:t>very clearly indicated the presence of the [</w:t>
      </w:r>
      <w:r w:rsidRPr="009D6270">
        <w:rPr>
          <w:smallCaps/>
          <w:lang w:val="en-CA"/>
        </w:rPr>
        <w:t>translation</w:t>
      </w:r>
      <w:r w:rsidR="00F06516">
        <w:rPr>
          <w:lang w:val="en-CA"/>
        </w:rPr>
        <w:t xml:space="preserve">] “mark” in question, even </w:t>
      </w:r>
      <w:r>
        <w:rPr>
          <w:lang w:val="en-CA"/>
        </w:rPr>
        <w:t xml:space="preserve">casting doubt on </w:t>
      </w:r>
      <w:r w:rsidR="00F06516">
        <w:rPr>
          <w:lang w:val="en-CA"/>
        </w:rPr>
        <w:t xml:space="preserve">the credibility of the complainants in this regard. But rather than continuing </w:t>
      </w:r>
      <w:r>
        <w:rPr>
          <w:lang w:val="en-CA"/>
        </w:rPr>
        <w:t xml:space="preserve">the examination along </w:t>
      </w:r>
      <w:r w:rsidR="00F06516">
        <w:rPr>
          <w:lang w:val="en-CA"/>
        </w:rPr>
        <w:t>this line of questioning and pushing the issue further, appellant’s counsel simply moved on to something else. Nor did he, as he could have done, ask to re-examine the complainants and their mother on this crucial point</w:t>
      </w:r>
      <w:r w:rsidR="00F06516">
        <w:rPr>
          <w:rStyle w:val="Appelnotedebasdep"/>
          <w:lang w:val="en-CA"/>
        </w:rPr>
        <w:footnoteReference w:id="15"/>
      </w:r>
      <w:r w:rsidR="00F06516">
        <w:rPr>
          <w:lang w:val="en-CA"/>
        </w:rPr>
        <w:t xml:space="preserve"> (even though they were </w:t>
      </w:r>
      <w:r>
        <w:rPr>
          <w:lang w:val="en-CA"/>
        </w:rPr>
        <w:t>re</w:t>
      </w:r>
      <w:r w:rsidR="00F06516">
        <w:rPr>
          <w:lang w:val="en-CA"/>
        </w:rPr>
        <w:t>called</w:t>
      </w:r>
      <w:r w:rsidR="00BD6AA8">
        <w:rPr>
          <w:lang w:val="en-CA"/>
        </w:rPr>
        <w:t>,</w:t>
      </w:r>
      <w:r w:rsidR="00F06516">
        <w:rPr>
          <w:lang w:val="en-CA"/>
        </w:rPr>
        <w:t xml:space="preserve"> at the </w:t>
      </w:r>
      <w:r w:rsidR="00483177">
        <w:rPr>
          <w:lang w:val="en-CA"/>
        </w:rPr>
        <w:t>prosecution</w:t>
      </w:r>
      <w:r>
        <w:rPr>
          <w:lang w:val="en-CA"/>
        </w:rPr>
        <w:t xml:space="preserve">’s </w:t>
      </w:r>
      <w:r w:rsidR="00F06516">
        <w:rPr>
          <w:lang w:val="en-CA"/>
        </w:rPr>
        <w:t xml:space="preserve">request, to be questioned on another subject raised by the appellant during his testimony, namely the financial conflict between him and his </w:t>
      </w:r>
      <w:r>
        <w:rPr>
          <w:lang w:val="en-CA"/>
        </w:rPr>
        <w:t xml:space="preserve">former </w:t>
      </w:r>
      <w:r w:rsidR="00DF7FC6">
        <w:rPr>
          <w:lang w:val="en-CA"/>
        </w:rPr>
        <w:t>spouse</w:t>
      </w:r>
      <w:r w:rsidR="00F06516">
        <w:rPr>
          <w:lang w:val="en-CA"/>
        </w:rPr>
        <w:t xml:space="preserve">). If the complainants had admitted, either during cross-examination or </w:t>
      </w:r>
      <w:r>
        <w:rPr>
          <w:lang w:val="en-CA"/>
        </w:rPr>
        <w:t xml:space="preserve">under </w:t>
      </w:r>
      <w:r w:rsidR="00F06516">
        <w:rPr>
          <w:lang w:val="en-CA"/>
        </w:rPr>
        <w:t>re-examination, that they had never seen this very noticeable mark, the appellant argues that this would have given weight to his denials or undermined the credibility of the complainants, to the point of justifying an acquittal, at least in the case of complainant X.</w:t>
      </w:r>
      <w:r w:rsidR="00F06516">
        <w:rPr>
          <w:rStyle w:val="Appelnotedebasdep"/>
          <w:lang w:val="en-CA"/>
        </w:rPr>
        <w:footnoteReference w:id="16"/>
      </w:r>
    </w:p>
    <w:p w14:paraId="1F021C1A" w14:textId="711FC777" w:rsidR="009A77A3" w:rsidRPr="004A360E" w:rsidRDefault="00F06516" w:rsidP="00355000">
      <w:pPr>
        <w:pStyle w:val="Paragraphe"/>
        <w:rPr>
          <w:lang w:val="en-US"/>
        </w:rPr>
      </w:pPr>
      <w:r>
        <w:rPr>
          <w:lang w:val="en-CA"/>
        </w:rPr>
        <w:t>The appellant also alleges that the judge failed in her duty to ensure a fair trial when she did not respond to the appellant’s testimony about the [</w:t>
      </w:r>
      <w:r w:rsidR="004235A7" w:rsidRPr="009D6270">
        <w:rPr>
          <w:smallCaps/>
          <w:lang w:val="en-CA"/>
        </w:rPr>
        <w:t>translation</w:t>
      </w:r>
      <w:r>
        <w:rPr>
          <w:lang w:val="en-CA"/>
        </w:rPr>
        <w:t>] “birthmark” or question counsel (or the appellant himself) about what she had just heard. Her conduct in this regard contrasted with her attitude about the issue of circumcision, where she actively intervened with the complainants to help clarify their responses. Lastly, the appellant argues that the judge completely ignored this aspect of his testimony in her judgment.</w:t>
      </w:r>
    </w:p>
    <w:p w14:paraId="485C3468" w14:textId="4E682DF0" w:rsidR="000E74E6" w:rsidRPr="004A360E" w:rsidRDefault="00F06516" w:rsidP="00355000">
      <w:pPr>
        <w:pStyle w:val="Paragraphe"/>
        <w:rPr>
          <w:lang w:val="en-US"/>
        </w:rPr>
      </w:pPr>
      <w:r>
        <w:rPr>
          <w:lang w:val="en-CA"/>
        </w:rPr>
        <w:lastRenderedPageBreak/>
        <w:t xml:space="preserve">According to the appellant, his counsel’s conduct as well as the judge’s inaction </w:t>
      </w:r>
      <w:r w:rsidR="00A2474A">
        <w:rPr>
          <w:lang w:val="en-CA"/>
        </w:rPr>
        <w:t xml:space="preserve">again </w:t>
      </w:r>
      <w:r>
        <w:rPr>
          <w:lang w:val="en-CA"/>
        </w:rPr>
        <w:t>led</w:t>
      </w:r>
      <w:r w:rsidR="00A2474A">
        <w:rPr>
          <w:lang w:val="en-CA"/>
        </w:rPr>
        <w:t xml:space="preserve"> </w:t>
      </w:r>
      <w:r>
        <w:rPr>
          <w:lang w:val="en-CA"/>
        </w:rPr>
        <w:t>to a miscarriage of justice. In his opinion, [</w:t>
      </w:r>
      <w:r w:rsidR="004235A7" w:rsidRPr="009D6270">
        <w:rPr>
          <w:smallCaps/>
          <w:lang w:val="en-CA"/>
        </w:rPr>
        <w:t>translation</w:t>
      </w:r>
      <w:r>
        <w:rPr>
          <w:lang w:val="en-CA"/>
        </w:rPr>
        <w:t>] “</w:t>
      </w:r>
      <w:r w:rsidR="004235A7">
        <w:rPr>
          <w:lang w:val="en-CA"/>
        </w:rPr>
        <w:t xml:space="preserve">When </w:t>
      </w:r>
      <w:r>
        <w:rPr>
          <w:lang w:val="en-CA"/>
        </w:rPr>
        <w:t>the description of the accused’s genitals is unique or identifiable by uncommon characteristics, this fact may raise reasonable doubt of guilt”,</w:t>
      </w:r>
      <w:r>
        <w:rPr>
          <w:rStyle w:val="Appelnotedebasdep"/>
          <w:lang w:val="en-CA"/>
        </w:rPr>
        <w:footnoteReference w:id="17"/>
      </w:r>
      <w:r>
        <w:rPr>
          <w:lang w:val="en-CA"/>
        </w:rPr>
        <w:t xml:space="preserve"> since it is likely to damage the credibility or reliability of the complainant who </w:t>
      </w:r>
      <w:r w:rsidR="004235A7">
        <w:rPr>
          <w:lang w:val="en-CA"/>
        </w:rPr>
        <w:t xml:space="preserve">may not have </w:t>
      </w:r>
      <w:r>
        <w:rPr>
          <w:lang w:val="en-CA"/>
        </w:rPr>
        <w:t>notice</w:t>
      </w:r>
      <w:r w:rsidR="004235A7">
        <w:rPr>
          <w:lang w:val="en-CA"/>
        </w:rPr>
        <w:t>d</w:t>
      </w:r>
      <w:r>
        <w:rPr>
          <w:lang w:val="en-CA"/>
        </w:rPr>
        <w:t xml:space="preserve"> them or cannot adequately describe them. This </w:t>
      </w:r>
      <w:r w:rsidR="000D21A6">
        <w:rPr>
          <w:lang w:val="en-CA"/>
        </w:rPr>
        <w:t xml:space="preserve">is </w:t>
      </w:r>
      <w:r>
        <w:rPr>
          <w:lang w:val="en-CA"/>
        </w:rPr>
        <w:t xml:space="preserve">precisely the case here, when the </w:t>
      </w:r>
      <w:r w:rsidR="000D21A6">
        <w:rPr>
          <w:lang w:val="en-CA"/>
        </w:rPr>
        <w:t xml:space="preserve">proper approach would have been to verify the </w:t>
      </w:r>
      <w:r>
        <w:rPr>
          <w:lang w:val="en-CA"/>
        </w:rPr>
        <w:t xml:space="preserve">complainants’ knowledge </w:t>
      </w:r>
      <w:r w:rsidR="000D21A6">
        <w:rPr>
          <w:lang w:val="en-CA"/>
        </w:rPr>
        <w:t>in this respect</w:t>
      </w:r>
      <w:r>
        <w:rPr>
          <w:lang w:val="en-CA"/>
        </w:rPr>
        <w:t xml:space="preserve">, which could have raised </w:t>
      </w:r>
      <w:r w:rsidR="008270BA">
        <w:rPr>
          <w:lang w:val="en-CA"/>
        </w:rPr>
        <w:t xml:space="preserve">a </w:t>
      </w:r>
      <w:r>
        <w:rPr>
          <w:lang w:val="en-CA"/>
        </w:rPr>
        <w:t>reasonable doubt.</w:t>
      </w:r>
    </w:p>
    <w:p w14:paraId="539C2C1B" w14:textId="261AA961" w:rsidR="00B40B8F" w:rsidRPr="00941800" w:rsidRDefault="00F06516" w:rsidP="008E7A6F">
      <w:pPr>
        <w:pStyle w:val="Paragraphe"/>
        <w:numPr>
          <w:ilvl w:val="0"/>
          <w:numId w:val="0"/>
        </w:numPr>
        <w:rPr>
          <w:b/>
          <w:bCs/>
        </w:rPr>
      </w:pPr>
      <w:r>
        <w:rPr>
          <w:b/>
          <w:bCs/>
          <w:lang w:val="en-CA"/>
        </w:rPr>
        <w:t>2.</w:t>
      </w:r>
      <w:r>
        <w:rPr>
          <w:b/>
          <w:bCs/>
          <w:lang w:val="en-CA"/>
        </w:rPr>
        <w:tab/>
      </w:r>
      <w:r>
        <w:rPr>
          <w:b/>
          <w:bCs/>
          <w:u w:val="single"/>
          <w:lang w:val="en-CA"/>
        </w:rPr>
        <w:t>Respondent’s response and arguments</w:t>
      </w:r>
    </w:p>
    <w:p w14:paraId="5481F1ED" w14:textId="405D8DB9" w:rsidR="00DD5A0C" w:rsidRPr="004A360E" w:rsidRDefault="008270BA" w:rsidP="00355000">
      <w:pPr>
        <w:pStyle w:val="Paragraphe"/>
        <w:rPr>
          <w:lang w:val="en-US"/>
        </w:rPr>
      </w:pPr>
      <w:r>
        <w:rPr>
          <w:lang w:val="en-CA"/>
        </w:rPr>
        <w:t>The</w:t>
      </w:r>
      <w:r w:rsidR="00F06516">
        <w:rPr>
          <w:lang w:val="en-CA"/>
        </w:rPr>
        <w:t xml:space="preserve"> respondent considers that the appellant’s arguments </w:t>
      </w:r>
      <w:r>
        <w:rPr>
          <w:lang w:val="en-CA"/>
        </w:rPr>
        <w:t xml:space="preserve">with regard to the first ground of appeal </w:t>
      </w:r>
      <w:r w:rsidR="00F06516">
        <w:rPr>
          <w:lang w:val="en-CA"/>
        </w:rPr>
        <w:t xml:space="preserve">do not hold. First of all, the appellant is </w:t>
      </w:r>
      <w:r w:rsidR="000D21A6">
        <w:rPr>
          <w:lang w:val="en-CA"/>
        </w:rPr>
        <w:t xml:space="preserve">in fact </w:t>
      </w:r>
      <w:r w:rsidR="00F06516">
        <w:rPr>
          <w:lang w:val="en-CA"/>
        </w:rPr>
        <w:t xml:space="preserve">attacking the judge’s assessment of the evidence, particularly with regard to the credibility of the witnesses. This would only be a question of fact, and no error of law could be attributed to the judge. </w:t>
      </w:r>
      <w:r w:rsidR="00755234">
        <w:rPr>
          <w:lang w:val="en-CA"/>
        </w:rPr>
        <w:t>Moreover</w:t>
      </w:r>
      <w:r w:rsidR="00F06516">
        <w:rPr>
          <w:lang w:val="en-CA"/>
        </w:rPr>
        <w:t xml:space="preserve">, she complied in all respects with </w:t>
      </w:r>
      <w:r w:rsidR="00F06516">
        <w:rPr>
          <w:i/>
          <w:iCs/>
          <w:lang w:val="en-CA"/>
        </w:rPr>
        <w:t>W.(D.),</w:t>
      </w:r>
      <w:r w:rsidR="00F06516">
        <w:rPr>
          <w:lang w:val="en-CA"/>
        </w:rPr>
        <w:t xml:space="preserve"> and her assessment of the credibility and reliability of the appellant and the other witnesses is beyond reproach: she examined the appellant’s testimony in detail; she did not use any stereotypes, adhering strictly to the evidence; and she explained her reasoning in a thorough, reasonable and logical manner. Referring to </w:t>
      </w:r>
      <w:r w:rsidR="00F06516">
        <w:rPr>
          <w:i/>
          <w:iCs/>
          <w:lang w:val="en-CA"/>
        </w:rPr>
        <w:t>R. v. Gagnon</w:t>
      </w:r>
      <w:r w:rsidR="00F06516">
        <w:rPr>
          <w:lang w:val="en-CA"/>
        </w:rPr>
        <w:t>,</w:t>
      </w:r>
      <w:r w:rsidR="00F06516">
        <w:rPr>
          <w:rStyle w:val="Appelnotedebasdep"/>
          <w:lang w:val="en-CA"/>
        </w:rPr>
        <w:footnoteReference w:id="18"/>
      </w:r>
      <w:r w:rsidR="00F06516">
        <w:rPr>
          <w:lang w:val="en-CA"/>
        </w:rPr>
        <w:t xml:space="preserve"> the respondent points out that “[a]</w:t>
      </w:r>
      <w:proofErr w:type="spellStart"/>
      <w:r w:rsidR="00F06516">
        <w:rPr>
          <w:lang w:val="en-CA"/>
        </w:rPr>
        <w:t>ssessing</w:t>
      </w:r>
      <w:proofErr w:type="spellEnd"/>
      <w:r w:rsidR="00F06516">
        <w:rPr>
          <w:lang w:val="en-CA"/>
        </w:rPr>
        <w:t xml:space="preserve"> credibility is not a science”</w:t>
      </w:r>
      <w:r w:rsidR="00F06516">
        <w:rPr>
          <w:rStyle w:val="Appelnotedebasdep"/>
          <w:lang w:val="en-CA"/>
        </w:rPr>
        <w:footnoteReference w:id="19"/>
      </w:r>
      <w:r w:rsidR="00F06516">
        <w:rPr>
          <w:lang w:val="en-CA"/>
        </w:rPr>
        <w:t xml:space="preserve"> and that “[</w:t>
      </w:r>
      <w:proofErr w:type="spellStart"/>
      <w:r w:rsidR="00F06516">
        <w:rPr>
          <w:lang w:val="en-CA"/>
        </w:rPr>
        <w:t>i</w:t>
      </w:r>
      <w:proofErr w:type="spellEnd"/>
      <w:r w:rsidR="00F06516">
        <w:rPr>
          <w:lang w:val="en-CA"/>
        </w:rPr>
        <w:t>]t is very difficult for a trial judge to articulate with precision the complex intermingling of impressions that emerge after watching and listening to witnesses and attempting to reconcile the various versions of events”.</w:t>
      </w:r>
      <w:r w:rsidR="00F06516">
        <w:rPr>
          <w:rStyle w:val="Appelnotedebasdep"/>
          <w:lang w:val="en-CA"/>
        </w:rPr>
        <w:footnoteReference w:id="20"/>
      </w:r>
      <w:r w:rsidR="00F06516">
        <w:rPr>
          <w:lang w:val="en-CA"/>
        </w:rPr>
        <w:t xml:space="preserve"> A court of appeal can therefore intervene </w:t>
      </w:r>
      <w:r w:rsidR="00010DD5">
        <w:rPr>
          <w:lang w:val="en-CA"/>
        </w:rPr>
        <w:t xml:space="preserve">only </w:t>
      </w:r>
      <w:r w:rsidR="00F06516">
        <w:rPr>
          <w:lang w:val="en-CA"/>
        </w:rPr>
        <w:t xml:space="preserve">if there is an error of law or a palpable or overriding error, which the appellant has failed to </w:t>
      </w:r>
      <w:r w:rsidR="00755234">
        <w:rPr>
          <w:lang w:val="en-CA"/>
        </w:rPr>
        <w:t>establish</w:t>
      </w:r>
      <w:r w:rsidR="00F06516">
        <w:rPr>
          <w:lang w:val="en-CA"/>
        </w:rPr>
        <w:t>.</w:t>
      </w:r>
    </w:p>
    <w:p w14:paraId="0B937E6D" w14:textId="4392829F" w:rsidR="0037719C" w:rsidRPr="004A360E" w:rsidRDefault="00F06516" w:rsidP="00355000">
      <w:pPr>
        <w:pStyle w:val="Paragraphe"/>
        <w:rPr>
          <w:lang w:val="en-US"/>
        </w:rPr>
      </w:pPr>
      <w:r>
        <w:rPr>
          <w:lang w:val="en-CA"/>
        </w:rPr>
        <w:t xml:space="preserve">With regard to ineffective assistance, the respondent is of the opinion that the appellant’s grievances against his former counsel do not meet the criteria established </w:t>
      </w:r>
      <w:r w:rsidR="00755234">
        <w:rPr>
          <w:lang w:val="en-CA"/>
        </w:rPr>
        <w:t>in the</w:t>
      </w:r>
      <w:r w:rsidR="00A810A9">
        <w:rPr>
          <w:lang w:val="en-CA"/>
        </w:rPr>
        <w:t xml:space="preserve"> </w:t>
      </w:r>
      <w:r>
        <w:rPr>
          <w:lang w:val="en-CA"/>
        </w:rPr>
        <w:t xml:space="preserve">case law, in particular in </w:t>
      </w:r>
      <w:proofErr w:type="spellStart"/>
      <w:r>
        <w:rPr>
          <w:i/>
          <w:iCs/>
          <w:lang w:val="en-CA"/>
        </w:rPr>
        <w:t>G.D.B</w:t>
      </w:r>
      <w:proofErr w:type="spellEnd"/>
      <w:r>
        <w:rPr>
          <w:i/>
          <w:iCs/>
          <w:lang w:val="en-CA"/>
        </w:rPr>
        <w:t>.</w:t>
      </w:r>
      <w:bookmarkStart w:id="16" w:name="_Ref167787572"/>
      <w:r>
        <w:rPr>
          <w:rStyle w:val="Appelnotedebasdep"/>
          <w:lang w:val="en-CA"/>
        </w:rPr>
        <w:footnoteReference w:id="21"/>
      </w:r>
      <w:bookmarkEnd w:id="16"/>
      <w:r>
        <w:rPr>
          <w:lang w:val="en-CA"/>
        </w:rPr>
        <w:t xml:space="preserve"> Counsel is not held to a professional standard of perfection. Counsel also enjoys a presumption of competence, which the appellant has not refuted. He also has some strategic leeway. Perhaps in this case counsel could have done better or done more, but this does not mean his services can be described as ineffective.</w:t>
      </w:r>
    </w:p>
    <w:p w14:paraId="31C71945" w14:textId="66A9E8B9" w:rsidR="00ED43E9" w:rsidRPr="004A360E" w:rsidRDefault="00F06516" w:rsidP="00355000">
      <w:pPr>
        <w:pStyle w:val="Paragraphe"/>
        <w:rPr>
          <w:lang w:val="en-US"/>
        </w:rPr>
      </w:pPr>
      <w:r>
        <w:rPr>
          <w:lang w:val="en-CA"/>
        </w:rPr>
        <w:t>In any case, according to the respondent, even if the question of the [</w:t>
      </w:r>
      <w:r w:rsidR="008113A5" w:rsidRPr="009D6270">
        <w:rPr>
          <w:smallCaps/>
          <w:lang w:val="en-CA"/>
        </w:rPr>
        <w:t>translation</w:t>
      </w:r>
      <w:r>
        <w:rPr>
          <w:lang w:val="en-CA"/>
        </w:rPr>
        <w:t xml:space="preserve">] “mark” had been addressed, </w:t>
      </w:r>
      <w:r w:rsidR="004B61C6">
        <w:rPr>
          <w:lang w:val="en-CA"/>
        </w:rPr>
        <w:t xml:space="preserve">it </w:t>
      </w:r>
      <w:r>
        <w:rPr>
          <w:lang w:val="en-CA"/>
        </w:rPr>
        <w:t xml:space="preserve">would have </w:t>
      </w:r>
      <w:r w:rsidR="004B61C6">
        <w:rPr>
          <w:lang w:val="en-CA"/>
        </w:rPr>
        <w:t>made no difference</w:t>
      </w:r>
      <w:r>
        <w:rPr>
          <w:lang w:val="en-CA"/>
        </w:rPr>
        <w:t xml:space="preserve">. There is nothing to reasonably suggest that this would have influenced the judge’s assessment of the credibility and reliability of the complainants, whose testimony was largely corroborated </w:t>
      </w:r>
      <w:r>
        <w:rPr>
          <w:lang w:val="en-CA"/>
        </w:rPr>
        <w:lastRenderedPageBreak/>
        <w:t>by their mother’s testimony. It must also be taken into account that even if the complainants had not noticed this mark, it would not necessarily undermine their credibility, because X and Y were children at the time of the events. We know that [</w:t>
      </w:r>
      <w:r w:rsidR="004B61C6" w:rsidRPr="009D6270">
        <w:rPr>
          <w:smallCaps/>
          <w:lang w:val="en-CA"/>
        </w:rPr>
        <w:t>translation</w:t>
      </w:r>
      <w:r>
        <w:rPr>
          <w:lang w:val="en-CA"/>
        </w:rPr>
        <w:t>] “the credibility of adults who testify about events that occurred when they were children is assessed differently and that the age of the witness at the time of the alleged offences must be taken into account”.</w:t>
      </w:r>
      <w:r>
        <w:rPr>
          <w:rStyle w:val="Appelnotedebasdep"/>
          <w:lang w:val="en-CA"/>
        </w:rPr>
        <w:footnoteReference w:id="22"/>
      </w:r>
      <w:r>
        <w:rPr>
          <w:lang w:val="en-CA"/>
        </w:rPr>
        <w:t xml:space="preserve"> Moreover, given the nature of the sexual interference they experienced, it would have been difficult for them to notice the [</w:t>
      </w:r>
      <w:r w:rsidR="004B61C6" w:rsidRPr="009D6270">
        <w:rPr>
          <w:smallCaps/>
          <w:lang w:val="en-CA"/>
        </w:rPr>
        <w:t>translation</w:t>
      </w:r>
      <w:r>
        <w:rPr>
          <w:lang w:val="en-CA"/>
        </w:rPr>
        <w:t xml:space="preserve">] “birthmark” on the appellant’s penis, </w:t>
      </w:r>
      <w:r w:rsidR="004B61C6">
        <w:rPr>
          <w:lang w:val="en-CA"/>
        </w:rPr>
        <w:t xml:space="preserve">such </w:t>
      </w:r>
      <w:r>
        <w:rPr>
          <w:lang w:val="en-CA"/>
        </w:rPr>
        <w:t>that</w:t>
      </w:r>
      <w:r w:rsidR="00755234">
        <w:rPr>
          <w:lang w:val="en-CA"/>
        </w:rPr>
        <w:t>,</w:t>
      </w:r>
      <w:r>
        <w:rPr>
          <w:lang w:val="en-CA"/>
        </w:rPr>
        <w:t xml:space="preserve"> </w:t>
      </w:r>
      <w:r w:rsidR="00FD212A">
        <w:rPr>
          <w:lang w:val="en-CA"/>
        </w:rPr>
        <w:t xml:space="preserve">even if </w:t>
      </w:r>
      <w:r w:rsidR="007B121C">
        <w:rPr>
          <w:lang w:val="en-CA"/>
        </w:rPr>
        <w:t xml:space="preserve">they were genuinely unaware </w:t>
      </w:r>
      <w:r>
        <w:rPr>
          <w:lang w:val="en-CA"/>
        </w:rPr>
        <w:t xml:space="preserve">of this characteristic, </w:t>
      </w:r>
      <w:r w:rsidR="00FD212A">
        <w:rPr>
          <w:lang w:val="en-CA"/>
        </w:rPr>
        <w:t>it</w:t>
      </w:r>
      <w:r>
        <w:rPr>
          <w:lang w:val="en-CA"/>
        </w:rPr>
        <w:t xml:space="preserve"> would not have been decisive.</w:t>
      </w:r>
    </w:p>
    <w:p w14:paraId="4E8E29B1" w14:textId="253E4B26" w:rsidR="00ED43E9" w:rsidRPr="004A360E" w:rsidRDefault="00F06516" w:rsidP="00E52399">
      <w:pPr>
        <w:pStyle w:val="Paragraphe"/>
        <w:rPr>
          <w:lang w:val="en-US"/>
        </w:rPr>
      </w:pPr>
      <w:r>
        <w:rPr>
          <w:lang w:val="en-CA"/>
        </w:rPr>
        <w:t xml:space="preserve">Last, the respondent </w:t>
      </w:r>
      <w:r w:rsidR="00C07F6B">
        <w:rPr>
          <w:lang w:val="en-CA"/>
        </w:rPr>
        <w:t xml:space="preserve">submits </w:t>
      </w:r>
      <w:r>
        <w:rPr>
          <w:lang w:val="en-CA"/>
        </w:rPr>
        <w:t>that counsel cannot be blamed for failing to argue that the complaints against his client were the result of a plot hatched by the complainants’ mother in response to the financial conflict between her and the appellant. In any event, even though counsel did not follow his client’s instructions on this point, it is inconsequential, because [</w:t>
      </w:r>
      <w:r w:rsidR="00C07F6B" w:rsidRPr="009D6270">
        <w:rPr>
          <w:smallCaps/>
          <w:lang w:val="en-CA"/>
        </w:rPr>
        <w:t>translation</w:t>
      </w:r>
      <w:r>
        <w:rPr>
          <w:lang w:val="en-CA"/>
        </w:rPr>
        <w:t>] “the judge discussed this at length in her decision and explained very clearly why she did not accept the appellant’s version of this portion of his testimony”.</w:t>
      </w:r>
      <w:r>
        <w:rPr>
          <w:rStyle w:val="Appelnotedebasdep"/>
          <w:lang w:val="en-CA"/>
        </w:rPr>
        <w:footnoteReference w:id="23"/>
      </w:r>
      <w:r>
        <w:rPr>
          <w:lang w:val="en-CA"/>
        </w:rPr>
        <w:t xml:space="preserve"> In addition, the respondent argues that [</w:t>
      </w:r>
      <w:r w:rsidR="00E41577" w:rsidRPr="009D6270">
        <w:rPr>
          <w:smallCaps/>
          <w:lang w:val="en-CA"/>
        </w:rPr>
        <w:t>translation</w:t>
      </w:r>
      <w:r>
        <w:rPr>
          <w:lang w:val="en-CA"/>
        </w:rPr>
        <w:t xml:space="preserve">] “counsel is not required to obtain their client’s agreement about every decision they make in the client’s interest </w:t>
      </w:r>
      <w:r w:rsidR="00E41577">
        <w:rPr>
          <w:lang w:val="en-CA"/>
        </w:rPr>
        <w:t>unless it is</w:t>
      </w:r>
      <w:r>
        <w:rPr>
          <w:lang w:val="en-CA"/>
        </w:rPr>
        <w:t xml:space="preserve"> a matter of procedural fairness”.</w:t>
      </w:r>
      <w:r>
        <w:rPr>
          <w:rStyle w:val="Appelnotedebasdep"/>
          <w:lang w:val="en-CA"/>
        </w:rPr>
        <w:footnoteReference w:id="24"/>
      </w:r>
      <w:r>
        <w:rPr>
          <w:lang w:val="en-CA"/>
        </w:rPr>
        <w:t xml:space="preserve"> </w:t>
      </w:r>
      <w:r w:rsidR="00E41577">
        <w:rPr>
          <w:lang w:val="en-CA"/>
        </w:rPr>
        <w:t xml:space="preserve">Procedural fairness </w:t>
      </w:r>
      <w:r>
        <w:rPr>
          <w:lang w:val="en-CA"/>
        </w:rPr>
        <w:t>was not at stake here and [</w:t>
      </w:r>
      <w:r w:rsidR="00E41577" w:rsidRPr="009D6270">
        <w:rPr>
          <w:smallCaps/>
          <w:lang w:val="en-CA"/>
        </w:rPr>
        <w:t>translation</w:t>
      </w:r>
      <w:r>
        <w:rPr>
          <w:lang w:val="en-CA"/>
        </w:rPr>
        <w:t>] “the appellant’s argument that he suffered a miscarriage of justice because his counsel did not comply with his requests about the financial conflict is doomed to fail”.</w:t>
      </w:r>
      <w:r>
        <w:rPr>
          <w:rStyle w:val="Appelnotedebasdep"/>
          <w:lang w:val="en-CA"/>
        </w:rPr>
        <w:footnoteReference w:id="25"/>
      </w:r>
    </w:p>
    <w:p w14:paraId="077AFF29" w14:textId="1FA3A123" w:rsidR="00ED43E9" w:rsidRPr="00941800" w:rsidRDefault="00F06516" w:rsidP="00ED43E9">
      <w:pPr>
        <w:pStyle w:val="Paragraphe"/>
        <w:numPr>
          <w:ilvl w:val="0"/>
          <w:numId w:val="0"/>
        </w:numPr>
        <w:rPr>
          <w:b/>
          <w:bCs/>
          <w:u w:val="single"/>
        </w:rPr>
      </w:pPr>
      <w:r>
        <w:rPr>
          <w:b/>
          <w:bCs/>
          <w:lang w:val="en-CA"/>
        </w:rPr>
        <w:t>B.</w:t>
      </w:r>
      <w:r>
        <w:rPr>
          <w:b/>
          <w:bCs/>
          <w:lang w:val="en-CA"/>
        </w:rPr>
        <w:tab/>
      </w:r>
      <w:r>
        <w:rPr>
          <w:b/>
          <w:bCs/>
          <w:u w:val="single"/>
          <w:lang w:val="en-CA"/>
        </w:rPr>
        <w:t>Analysis</w:t>
      </w:r>
    </w:p>
    <w:p w14:paraId="74548387" w14:textId="61F1BC90" w:rsidR="005363FB" w:rsidRPr="006A2B2B" w:rsidRDefault="00F06516" w:rsidP="005363FB">
      <w:pPr>
        <w:pStyle w:val="Paragraphe"/>
        <w:rPr>
          <w:lang w:val="en-US"/>
        </w:rPr>
      </w:pPr>
      <w:r>
        <w:rPr>
          <w:lang w:val="en-CA"/>
        </w:rPr>
        <w:t>The second ground of appeal being sufficient to justify overturning the trial judgment, we will limit ourselves to this ground, without any need to examine the first</w:t>
      </w:r>
      <w:r w:rsidR="00493B99">
        <w:rPr>
          <w:lang w:val="en-CA"/>
        </w:rPr>
        <w:t xml:space="preserve"> ground (</w:t>
      </w:r>
      <w:r>
        <w:rPr>
          <w:lang w:val="en-CA"/>
        </w:rPr>
        <w:t>relat</w:t>
      </w:r>
      <w:r w:rsidR="00493B99">
        <w:rPr>
          <w:lang w:val="en-CA"/>
        </w:rPr>
        <w:t xml:space="preserve">ing </w:t>
      </w:r>
      <w:r>
        <w:rPr>
          <w:lang w:val="en-CA"/>
        </w:rPr>
        <w:t xml:space="preserve">to </w:t>
      </w:r>
      <w:r w:rsidR="00493B99">
        <w:rPr>
          <w:lang w:val="en-CA"/>
        </w:rPr>
        <w:t xml:space="preserve">the </w:t>
      </w:r>
      <w:r>
        <w:rPr>
          <w:lang w:val="en-CA"/>
        </w:rPr>
        <w:t>assess</w:t>
      </w:r>
      <w:r w:rsidR="00493B99">
        <w:rPr>
          <w:lang w:val="en-CA"/>
        </w:rPr>
        <w:t>ment of</w:t>
      </w:r>
      <w:r>
        <w:rPr>
          <w:lang w:val="en-CA"/>
        </w:rPr>
        <w:t xml:space="preserve"> the credibility of the witnesses, in particular the credibility of the appellant, and </w:t>
      </w:r>
      <w:r w:rsidR="00493B99">
        <w:rPr>
          <w:lang w:val="en-CA"/>
        </w:rPr>
        <w:t xml:space="preserve">the </w:t>
      </w:r>
      <w:r>
        <w:rPr>
          <w:lang w:val="en-CA"/>
        </w:rPr>
        <w:t>appl</w:t>
      </w:r>
      <w:r w:rsidR="00493B99">
        <w:rPr>
          <w:lang w:val="en-CA"/>
        </w:rPr>
        <w:t>ication of</w:t>
      </w:r>
      <w:r>
        <w:rPr>
          <w:lang w:val="en-CA"/>
        </w:rPr>
        <w:t xml:space="preserve"> </w:t>
      </w:r>
      <w:r>
        <w:rPr>
          <w:i/>
          <w:iCs/>
          <w:lang w:val="en-CA"/>
        </w:rPr>
        <w:t>W.(D.)</w:t>
      </w:r>
      <w:r w:rsidR="00493B99">
        <w:rPr>
          <w:lang w:val="en-CA"/>
        </w:rPr>
        <w:t>)</w:t>
      </w:r>
      <w:r>
        <w:rPr>
          <w:lang w:val="en-CA"/>
        </w:rPr>
        <w:t xml:space="preserve">. The appellant has discharged his burden </w:t>
      </w:r>
      <w:r w:rsidR="00713ECF">
        <w:rPr>
          <w:lang w:val="en-CA"/>
        </w:rPr>
        <w:t>of establishing</w:t>
      </w:r>
      <w:r>
        <w:rPr>
          <w:lang w:val="en-CA"/>
        </w:rPr>
        <w:t xml:space="preserve"> both the ineffective assistance of counsel in his </w:t>
      </w:r>
      <w:r w:rsidR="00493B99">
        <w:rPr>
          <w:lang w:val="en-CA"/>
        </w:rPr>
        <w:t>treatment of the issue</w:t>
      </w:r>
      <w:r>
        <w:rPr>
          <w:lang w:val="en-CA"/>
        </w:rPr>
        <w:t xml:space="preserve"> of the unique characteristics of </w:t>
      </w:r>
      <w:r w:rsidR="00713ECF">
        <w:rPr>
          <w:lang w:val="en-CA"/>
        </w:rPr>
        <w:t xml:space="preserve">the appellant’s </w:t>
      </w:r>
      <w:r>
        <w:rPr>
          <w:lang w:val="en-CA"/>
        </w:rPr>
        <w:t xml:space="preserve">genitals and the importance that this information could have had in </w:t>
      </w:r>
      <w:r w:rsidR="00713ECF">
        <w:rPr>
          <w:lang w:val="en-CA"/>
        </w:rPr>
        <w:t xml:space="preserve">dealing with </w:t>
      </w:r>
      <w:r>
        <w:rPr>
          <w:lang w:val="en-CA"/>
        </w:rPr>
        <w:t>and assessing the credibility and reliability of the testimony, which is a potentially decisive factor.</w:t>
      </w:r>
    </w:p>
    <w:p w14:paraId="4E895726" w14:textId="5354342C" w:rsidR="006A2B2B" w:rsidRPr="006A2B2B" w:rsidRDefault="006A2B2B" w:rsidP="005363FB">
      <w:pPr>
        <w:pStyle w:val="Paragraphe"/>
        <w:rPr>
          <w:lang w:val="en-US"/>
        </w:rPr>
      </w:pPr>
      <w:r>
        <w:rPr>
          <w:lang w:val="en-CA"/>
        </w:rPr>
        <w:t>Let us now consider this.</w:t>
      </w:r>
    </w:p>
    <w:p w14:paraId="42FD3155" w14:textId="3A2D060A" w:rsidR="00D910D0" w:rsidRPr="004A360E" w:rsidRDefault="00F06516" w:rsidP="001837F6">
      <w:pPr>
        <w:pStyle w:val="Paragraphe"/>
        <w:keepNext/>
        <w:numPr>
          <w:ilvl w:val="0"/>
          <w:numId w:val="0"/>
        </w:numPr>
        <w:ind w:left="720" w:hanging="720"/>
        <w:rPr>
          <w:b/>
          <w:bCs/>
          <w:lang w:val="en-US"/>
        </w:rPr>
      </w:pPr>
      <w:r>
        <w:rPr>
          <w:b/>
          <w:bCs/>
          <w:lang w:val="en-CA"/>
        </w:rPr>
        <w:lastRenderedPageBreak/>
        <w:t>1.</w:t>
      </w:r>
      <w:r>
        <w:rPr>
          <w:b/>
          <w:bCs/>
          <w:lang w:val="en-CA"/>
        </w:rPr>
        <w:tab/>
      </w:r>
      <w:r>
        <w:rPr>
          <w:b/>
          <w:bCs/>
          <w:u w:val="single"/>
          <w:lang w:val="en-CA"/>
        </w:rPr>
        <w:t xml:space="preserve">Motion to adduce new evidence, application for leave to appeal based on </w:t>
      </w:r>
      <w:r w:rsidR="00713ECF">
        <w:rPr>
          <w:b/>
          <w:bCs/>
          <w:u w:val="single"/>
          <w:lang w:val="en-CA"/>
        </w:rPr>
        <w:t>s.</w:t>
      </w:r>
      <w:r w:rsidR="00493B99">
        <w:rPr>
          <w:b/>
          <w:bCs/>
          <w:u w:val="single"/>
          <w:lang w:val="en-CA"/>
        </w:rPr>
        <w:t> </w:t>
      </w:r>
      <w:r>
        <w:rPr>
          <w:b/>
          <w:bCs/>
          <w:u w:val="single"/>
          <w:lang w:val="en-CA"/>
        </w:rPr>
        <w:t xml:space="preserve">675(1)(a)(iii) </w:t>
      </w:r>
      <w:proofErr w:type="spellStart"/>
      <w:r>
        <w:rPr>
          <w:b/>
          <w:bCs/>
          <w:i/>
          <w:iCs/>
          <w:u w:val="single"/>
          <w:lang w:val="en-CA"/>
        </w:rPr>
        <w:t>Cr.C</w:t>
      </w:r>
      <w:proofErr w:type="spellEnd"/>
      <w:r>
        <w:rPr>
          <w:b/>
          <w:bCs/>
          <w:i/>
          <w:iCs/>
          <w:u w:val="single"/>
          <w:lang w:val="en-CA"/>
        </w:rPr>
        <w:t>.</w:t>
      </w:r>
      <w:r>
        <w:rPr>
          <w:b/>
          <w:bCs/>
          <w:u w:val="single"/>
          <w:lang w:val="en-CA"/>
        </w:rPr>
        <w:t xml:space="preserve"> and motion to amend the appellant’s brief</w:t>
      </w:r>
    </w:p>
    <w:p w14:paraId="559C10E9" w14:textId="66F1927A" w:rsidR="00D910D0" w:rsidRPr="004A360E" w:rsidRDefault="00F06516" w:rsidP="001837F6">
      <w:pPr>
        <w:pStyle w:val="Paragraphe"/>
        <w:keepNext/>
        <w:rPr>
          <w:lang w:val="en-US"/>
        </w:rPr>
      </w:pPr>
      <w:r>
        <w:rPr>
          <w:lang w:val="en-CA"/>
        </w:rPr>
        <w:t xml:space="preserve">This Court, as is clear from the above, considers that the new evidence put together by the appellant meets the requirements of </w:t>
      </w:r>
      <w:r>
        <w:rPr>
          <w:i/>
          <w:iCs/>
          <w:lang w:val="en-CA"/>
        </w:rPr>
        <w:t>Palmer</w:t>
      </w:r>
      <w:r>
        <w:rPr>
          <w:lang w:val="en-CA"/>
        </w:rPr>
        <w:t>,</w:t>
      </w:r>
      <w:r>
        <w:rPr>
          <w:rStyle w:val="Appelnotedebasdep"/>
          <w:lang w:val="en-CA"/>
        </w:rPr>
        <w:footnoteReference w:id="26"/>
      </w:r>
      <w:r>
        <w:rPr>
          <w:lang w:val="en-CA"/>
        </w:rPr>
        <w:t xml:space="preserve"> </w:t>
      </w:r>
      <w:r>
        <w:rPr>
          <w:i/>
          <w:iCs/>
          <w:lang w:val="en-CA"/>
        </w:rPr>
        <w:t>Lévesque</w:t>
      </w:r>
      <w:r>
        <w:rPr>
          <w:lang w:val="en-CA"/>
        </w:rPr>
        <w:t>,</w:t>
      </w:r>
      <w:r>
        <w:rPr>
          <w:rStyle w:val="Appelnotedebasdep"/>
          <w:lang w:val="en-CA"/>
        </w:rPr>
        <w:footnoteReference w:id="27"/>
      </w:r>
      <w:r>
        <w:rPr>
          <w:lang w:val="en-CA"/>
        </w:rPr>
        <w:t xml:space="preserve"> </w:t>
      </w:r>
      <w:proofErr w:type="spellStart"/>
      <w:r>
        <w:rPr>
          <w:i/>
          <w:iCs/>
          <w:lang w:val="en-CA"/>
        </w:rPr>
        <w:t>Warsing</w:t>
      </w:r>
      <w:proofErr w:type="spellEnd"/>
      <w:r>
        <w:rPr>
          <w:rStyle w:val="Appelnotedebasdep"/>
          <w:lang w:val="en-CA"/>
        </w:rPr>
        <w:footnoteReference w:id="28"/>
      </w:r>
      <w:r>
        <w:rPr>
          <w:lang w:val="en-CA"/>
        </w:rPr>
        <w:t xml:space="preserve"> and </w:t>
      </w:r>
      <w:proofErr w:type="spellStart"/>
      <w:r>
        <w:rPr>
          <w:i/>
          <w:iCs/>
          <w:lang w:val="en-CA"/>
        </w:rPr>
        <w:t>G.D.B</w:t>
      </w:r>
      <w:proofErr w:type="spellEnd"/>
      <w:r>
        <w:rPr>
          <w:i/>
          <w:iCs/>
          <w:lang w:val="en-CA"/>
        </w:rPr>
        <w:t>.</w:t>
      </w:r>
      <w:bookmarkStart w:id="17" w:name="_Ref166581084"/>
      <w:r>
        <w:rPr>
          <w:rStyle w:val="Appelnotedebasdep"/>
          <w:lang w:val="en-CA"/>
        </w:rPr>
        <w:footnoteReference w:id="29"/>
      </w:r>
      <w:bookmarkEnd w:id="17"/>
      <w:r>
        <w:rPr>
          <w:lang w:val="en-CA"/>
        </w:rPr>
        <w:t xml:space="preserve"> It will therefore grant the motion to adduce new evidence, which </w:t>
      </w:r>
      <w:r w:rsidR="00A7191C">
        <w:rPr>
          <w:lang w:val="en-CA"/>
        </w:rPr>
        <w:t>includes</w:t>
      </w:r>
      <w:r>
        <w:rPr>
          <w:lang w:val="en-CA"/>
        </w:rPr>
        <w:t xml:space="preserve"> the following four items: (1) sworn statements </w:t>
      </w:r>
      <w:r w:rsidR="00A7191C">
        <w:rPr>
          <w:lang w:val="en-CA"/>
        </w:rPr>
        <w:t>by</w:t>
      </w:r>
      <w:r w:rsidR="00713ECF">
        <w:rPr>
          <w:lang w:val="en-CA"/>
        </w:rPr>
        <w:t xml:space="preserve"> </w:t>
      </w:r>
      <w:r>
        <w:rPr>
          <w:lang w:val="en-CA"/>
        </w:rPr>
        <w:t xml:space="preserve">the appellant, dated September 20 and October 7, 2021; (2) the surgical report </w:t>
      </w:r>
      <w:r w:rsidR="00713ECF">
        <w:rPr>
          <w:lang w:val="en-CA"/>
        </w:rPr>
        <w:t xml:space="preserve">dated </w:t>
      </w:r>
      <w:r>
        <w:rPr>
          <w:lang w:val="en-CA"/>
        </w:rPr>
        <w:t>August 30</w:t>
      </w:r>
      <w:r w:rsidR="00713ECF">
        <w:rPr>
          <w:lang w:val="en-CA"/>
        </w:rPr>
        <w:t>-</w:t>
      </w:r>
      <w:r>
        <w:rPr>
          <w:lang w:val="en-CA"/>
        </w:rPr>
        <w:t>31 2011, by urologist Hares El Rami; (3) the pathology report dated September 23, 2011, by pathologist Robert Nicholson; and (4) plaintiff X’s written statement to the police, dated November 27, 2017. In addition to these items, there is also the transcript of the appellant’s cross-examination on his sworn statements, the sworn statement of the appellant’s former counsel, and the transcript of his cross-examination.</w:t>
      </w:r>
    </w:p>
    <w:p w14:paraId="5016D4C0" w14:textId="62A5AF4A" w:rsidR="00D910D0" w:rsidRPr="004A360E" w:rsidRDefault="00F06516" w:rsidP="006F7CB6">
      <w:pPr>
        <w:pStyle w:val="Paragraphe"/>
        <w:rPr>
          <w:lang w:val="en-US"/>
        </w:rPr>
      </w:pPr>
      <w:r>
        <w:rPr>
          <w:lang w:val="en-CA"/>
        </w:rPr>
        <w:t>The [</w:t>
      </w:r>
      <w:r w:rsidR="00713ECF" w:rsidRPr="009D6270">
        <w:rPr>
          <w:smallCaps/>
          <w:lang w:val="en-CA"/>
        </w:rPr>
        <w:t>translation</w:t>
      </w:r>
      <w:r>
        <w:rPr>
          <w:lang w:val="en-CA"/>
        </w:rPr>
        <w:t>] “motion for authorization to amend the appellant’s brief and its conclusions” will also be granted.</w:t>
      </w:r>
    </w:p>
    <w:p w14:paraId="6748F8BD" w14:textId="593BB129" w:rsidR="006F7CB6" w:rsidRPr="004A360E" w:rsidRDefault="00F06516" w:rsidP="006F7CB6">
      <w:pPr>
        <w:pStyle w:val="Paragraphe"/>
        <w:numPr>
          <w:ilvl w:val="0"/>
          <w:numId w:val="0"/>
        </w:numPr>
        <w:rPr>
          <w:b/>
          <w:bCs/>
          <w:u w:val="single"/>
          <w:lang w:val="en-US"/>
        </w:rPr>
      </w:pPr>
      <w:r>
        <w:rPr>
          <w:b/>
          <w:bCs/>
          <w:lang w:val="en-CA"/>
        </w:rPr>
        <w:t>2.</w:t>
      </w:r>
      <w:r>
        <w:rPr>
          <w:b/>
          <w:bCs/>
          <w:lang w:val="en-CA"/>
        </w:rPr>
        <w:tab/>
      </w:r>
      <w:r>
        <w:rPr>
          <w:b/>
          <w:bCs/>
          <w:u w:val="single"/>
          <w:lang w:val="en-CA"/>
        </w:rPr>
        <w:t>Ineffective assistance of counsel</w:t>
      </w:r>
    </w:p>
    <w:p w14:paraId="587496C2" w14:textId="77089208" w:rsidR="0086350F" w:rsidRPr="004A360E" w:rsidRDefault="00F06516" w:rsidP="006F7CB6">
      <w:pPr>
        <w:pStyle w:val="Paragraphe"/>
        <w:numPr>
          <w:ilvl w:val="0"/>
          <w:numId w:val="0"/>
        </w:numPr>
        <w:rPr>
          <w:b/>
          <w:bCs/>
          <w:u w:val="single"/>
          <w:lang w:val="en-US"/>
        </w:rPr>
      </w:pPr>
      <w:r>
        <w:rPr>
          <w:b/>
          <w:bCs/>
          <w:lang w:val="en-CA"/>
        </w:rPr>
        <w:t>a.</w:t>
      </w:r>
      <w:r>
        <w:rPr>
          <w:b/>
          <w:bCs/>
          <w:lang w:val="en-CA"/>
        </w:rPr>
        <w:tab/>
      </w:r>
      <w:r>
        <w:rPr>
          <w:b/>
          <w:bCs/>
          <w:u w:val="single"/>
          <w:lang w:val="en-CA"/>
        </w:rPr>
        <w:t>Reminder of general rules</w:t>
      </w:r>
    </w:p>
    <w:p w14:paraId="360595B9" w14:textId="5D392306" w:rsidR="00272FCA" w:rsidRPr="001A66CE" w:rsidRDefault="00F06516" w:rsidP="0086350F">
      <w:pPr>
        <w:pStyle w:val="Paragraphe"/>
        <w:rPr>
          <w:lang w:val="en-US"/>
        </w:rPr>
      </w:pPr>
      <w:r>
        <w:rPr>
          <w:lang w:val="en-CA"/>
        </w:rPr>
        <w:t xml:space="preserve">In </w:t>
      </w:r>
      <w:r>
        <w:rPr>
          <w:i/>
          <w:iCs/>
          <w:lang w:val="en-CA"/>
        </w:rPr>
        <w:t xml:space="preserve">R. v. </w:t>
      </w:r>
      <w:proofErr w:type="spellStart"/>
      <w:r>
        <w:rPr>
          <w:i/>
          <w:iCs/>
          <w:lang w:val="en-CA"/>
        </w:rPr>
        <w:t>G.D.B</w:t>
      </w:r>
      <w:proofErr w:type="spellEnd"/>
      <w:r>
        <w:rPr>
          <w:i/>
          <w:iCs/>
          <w:lang w:val="en-CA"/>
        </w:rPr>
        <w:t>.,</w:t>
      </w:r>
      <w:r>
        <w:rPr>
          <w:rStyle w:val="Appelnotedebasdep"/>
          <w:lang w:val="en-CA"/>
        </w:rPr>
        <w:footnoteReference w:id="30"/>
      </w:r>
      <w:r>
        <w:rPr>
          <w:lang w:val="en-CA"/>
        </w:rPr>
        <w:t xml:space="preserve"> the landmark decision on the matter, Major J.</w:t>
      </w:r>
      <w:r w:rsidR="00FC20E9">
        <w:rPr>
          <w:lang w:val="en-CA"/>
        </w:rPr>
        <w:t>, writing for the Court,</w:t>
      </w:r>
      <w:r>
        <w:rPr>
          <w:lang w:val="en-CA"/>
        </w:rPr>
        <w:t xml:space="preserve"> set out the rules that apply to allegations of </w:t>
      </w:r>
      <w:r w:rsidRPr="001A66CE">
        <w:rPr>
          <w:lang w:val="en-CA"/>
        </w:rPr>
        <w:t>ineffective assistance of counsel:</w:t>
      </w:r>
    </w:p>
    <w:p w14:paraId="03CC9547" w14:textId="0620B600" w:rsidR="00E122E1" w:rsidRPr="009D6270" w:rsidRDefault="00F06516" w:rsidP="00E122E1">
      <w:pPr>
        <w:pStyle w:val="Citationenretrait"/>
        <w:rPr>
          <w:lang w:val="en-US"/>
        </w:rPr>
      </w:pPr>
      <w:r w:rsidRPr="009D6270">
        <w:rPr>
          <w:lang w:val="en-CA"/>
        </w:rPr>
        <w:t>23</w:t>
      </w:r>
      <w:r w:rsidRPr="009D6270">
        <w:rPr>
          <w:lang w:val="en-CA"/>
        </w:rPr>
        <w:tab/>
        <w:t>While the early history of the common law shows that society had little interest in permitting anyone charged with a felony the assistance of counsel, times have changed. </w:t>
      </w:r>
    </w:p>
    <w:p w14:paraId="53E5DFFC" w14:textId="2B0DAD3C" w:rsidR="00E122E1" w:rsidRPr="009D6270" w:rsidRDefault="00F06516" w:rsidP="00E122E1">
      <w:pPr>
        <w:pStyle w:val="Citationenretrait"/>
        <w:rPr>
          <w:lang w:val="en-US"/>
        </w:rPr>
      </w:pPr>
      <w:r w:rsidRPr="009D6270">
        <w:rPr>
          <w:lang w:val="en-CA"/>
        </w:rPr>
        <w:t>24</w:t>
      </w:r>
      <w:r w:rsidRPr="009D6270">
        <w:rPr>
          <w:lang w:val="en-CA"/>
        </w:rPr>
        <w:tab/>
        <w:t xml:space="preserve">Today the right to effective assistance of counsel extends to all accused persons.  In Canada that right is seen as a principle of fundamental justice.  It is derived from the evolution of the common law, s. 650(3) of the </w:t>
      </w:r>
      <w:r w:rsidRPr="009D6270">
        <w:rPr>
          <w:i/>
          <w:iCs/>
          <w:lang w:val="en-CA"/>
        </w:rPr>
        <w:t>Criminal Code</w:t>
      </w:r>
      <w:r w:rsidRPr="009D6270">
        <w:rPr>
          <w:lang w:val="en-CA"/>
        </w:rPr>
        <w:t xml:space="preserve"> of Canada and ss. 7 and 11(</w:t>
      </w:r>
      <w:r w:rsidRPr="009D6270">
        <w:rPr>
          <w:i/>
          <w:iCs/>
          <w:lang w:val="en-CA"/>
        </w:rPr>
        <w:t>d</w:t>
      </w:r>
      <w:r w:rsidRPr="009D6270">
        <w:rPr>
          <w:lang w:val="en-CA"/>
        </w:rPr>
        <w:t xml:space="preserve">) of the </w:t>
      </w:r>
      <w:r w:rsidRPr="009D6270">
        <w:rPr>
          <w:i/>
          <w:iCs/>
          <w:lang w:val="en-CA"/>
        </w:rPr>
        <w:t>Canadian Charter of Rights and Freedoms</w:t>
      </w:r>
      <w:r w:rsidRPr="009D6270">
        <w:rPr>
          <w:lang w:val="en-CA"/>
        </w:rPr>
        <w:t>.</w:t>
      </w:r>
    </w:p>
    <w:p w14:paraId="201A249C" w14:textId="32A0DFAC" w:rsidR="00E122E1" w:rsidRPr="009D6270" w:rsidRDefault="00F06516" w:rsidP="00E122E1">
      <w:pPr>
        <w:pStyle w:val="Citationenretrait"/>
        <w:rPr>
          <w:lang w:val="en-US"/>
        </w:rPr>
      </w:pPr>
      <w:r w:rsidRPr="009D6270">
        <w:rPr>
          <w:lang w:val="en-CA"/>
        </w:rPr>
        <w:t>25</w:t>
      </w:r>
      <w:r w:rsidRPr="009D6270">
        <w:rPr>
          <w:lang w:val="en-CA"/>
        </w:rPr>
        <w:tab/>
        <w:t xml:space="preserve">The value of effective assistance of counsel is apparent, but was fully explained by Doherty J.A. in </w:t>
      </w:r>
      <w:r w:rsidRPr="009D6270">
        <w:rPr>
          <w:i/>
          <w:iCs/>
          <w:lang w:val="en-CA"/>
        </w:rPr>
        <w:t xml:space="preserve">R. v. </w:t>
      </w:r>
      <w:proofErr w:type="spellStart"/>
      <w:r w:rsidRPr="009D6270">
        <w:rPr>
          <w:i/>
          <w:iCs/>
          <w:lang w:val="en-CA"/>
        </w:rPr>
        <w:t>Joanisse</w:t>
      </w:r>
      <w:proofErr w:type="spellEnd"/>
      <w:r w:rsidRPr="009D6270">
        <w:rPr>
          <w:lang w:val="en-CA"/>
        </w:rPr>
        <w:t xml:space="preserve"> (1995), 102 </w:t>
      </w:r>
      <w:proofErr w:type="spellStart"/>
      <w:r w:rsidRPr="009D6270">
        <w:rPr>
          <w:lang w:val="en-CA"/>
        </w:rPr>
        <w:t>C.C.C</w:t>
      </w:r>
      <w:proofErr w:type="spellEnd"/>
      <w:r w:rsidRPr="009D6270">
        <w:rPr>
          <w:lang w:val="en-CA"/>
        </w:rPr>
        <w:t>. (3d) 35 (Ont. C.A.), at 57:</w:t>
      </w:r>
    </w:p>
    <w:p w14:paraId="426DDC5F" w14:textId="19F5F746" w:rsidR="00E122E1" w:rsidRPr="009D6270" w:rsidRDefault="00F06516" w:rsidP="005061D7">
      <w:pPr>
        <w:pStyle w:val="Citationenretrait"/>
        <w:rPr>
          <w:lang w:val="en-US"/>
        </w:rPr>
      </w:pPr>
      <w:r w:rsidRPr="009D6270">
        <w:rPr>
          <w:lang w:val="en-CA"/>
        </w:rPr>
        <w:t>…</w:t>
      </w:r>
    </w:p>
    <w:p w14:paraId="564F9F32" w14:textId="65AF3366" w:rsidR="00E122E1" w:rsidRPr="009D6270" w:rsidRDefault="00F06516" w:rsidP="00E122E1">
      <w:pPr>
        <w:pStyle w:val="Citationenretrait"/>
        <w:rPr>
          <w:lang w:val="en-US"/>
        </w:rPr>
      </w:pPr>
      <w:r w:rsidRPr="009D6270">
        <w:rPr>
          <w:color w:val="000000"/>
          <w:lang w:val="en-CA"/>
        </w:rPr>
        <w:lastRenderedPageBreak/>
        <w:t xml:space="preserve">Where counsel fails to provide effective representation, the fairness of the trial, measured both by reference to the reliability of the verdict and the adjudicative fairness of the process used to arrive at the verdict, suffers.  In some </w:t>
      </w:r>
      <w:r w:rsidR="003231B6" w:rsidRPr="009D6270">
        <w:rPr>
          <w:color w:val="000000"/>
          <w:lang w:val="en-CA"/>
        </w:rPr>
        <w:t>cases,</w:t>
      </w:r>
      <w:r w:rsidRPr="009D6270">
        <w:rPr>
          <w:color w:val="000000"/>
          <w:lang w:val="en-CA"/>
        </w:rPr>
        <w:t xml:space="preserve"> the result will be a miscarriage of justice.</w:t>
      </w:r>
    </w:p>
    <w:p w14:paraId="1CA924C8" w14:textId="0C668547" w:rsidR="00272FCA" w:rsidRPr="009D6270" w:rsidRDefault="00F06516" w:rsidP="00272FCA">
      <w:pPr>
        <w:pStyle w:val="Citationenretrait"/>
        <w:rPr>
          <w:lang w:val="en-US"/>
        </w:rPr>
      </w:pPr>
      <w:r w:rsidRPr="009D6270">
        <w:rPr>
          <w:lang w:val="en-CA"/>
        </w:rPr>
        <w:t>26</w:t>
      </w:r>
      <w:r w:rsidRPr="009D6270">
        <w:rPr>
          <w:lang w:val="en-CA"/>
        </w:rPr>
        <w:tab/>
        <w:t xml:space="preserve">The approach to an ineffectiveness claim is explained in </w:t>
      </w:r>
      <w:r w:rsidRPr="009D6270">
        <w:rPr>
          <w:i/>
          <w:iCs/>
          <w:lang w:val="en-CA"/>
        </w:rPr>
        <w:t>Strickland v. Washington</w:t>
      </w:r>
      <w:r w:rsidRPr="009D6270">
        <w:rPr>
          <w:lang w:val="en-CA"/>
        </w:rPr>
        <w:t xml:space="preserve">, 466 U.S. 668 (1984), </w:t>
      </w:r>
      <w:r w:rsidRPr="009D6270">
        <w:rPr>
          <w:i/>
          <w:iCs/>
          <w:lang w:val="en-CA"/>
        </w:rPr>
        <w:t>per</w:t>
      </w:r>
      <w:r w:rsidRPr="009D6270">
        <w:rPr>
          <w:lang w:val="en-CA"/>
        </w:rPr>
        <w:t xml:space="preserve"> O’Connor J. The reasons contain a performance component and a prejudice component.  For an appeal to succeed, it must be established, first, that counsel’s acts or omissions constituted incompetence and second, that a miscarriage of justice resulted.</w:t>
      </w:r>
    </w:p>
    <w:p w14:paraId="1E29E31F" w14:textId="19FBB2A7" w:rsidR="00272FCA" w:rsidRPr="009D6270" w:rsidRDefault="00F06516" w:rsidP="00272FCA">
      <w:pPr>
        <w:pStyle w:val="Citationenretrait"/>
        <w:rPr>
          <w:lang w:val="en-US"/>
        </w:rPr>
      </w:pPr>
      <w:r w:rsidRPr="009D6270">
        <w:rPr>
          <w:lang w:val="en-CA"/>
        </w:rPr>
        <w:t>27</w:t>
      </w:r>
      <w:r w:rsidRPr="009D6270">
        <w:rPr>
          <w:lang w:val="en-CA"/>
        </w:rPr>
        <w:tab/>
        <w:t>Incompetence is determined by a reasonableness standard.  The analysis proceeds upon a strong presumption that counsel’s conduct falls within the wide range of reasonable professional assistance.  The onus is on the appellant to establish the acts or omissions of counsel that are alleged not to have been the result of reasonable professional judgment.  The wisdom of hindsight has no place in this assessment.</w:t>
      </w:r>
    </w:p>
    <w:p w14:paraId="47FADAFA" w14:textId="129431AC" w:rsidR="00272FCA" w:rsidRPr="009D6270" w:rsidRDefault="00F06516" w:rsidP="00272FCA">
      <w:pPr>
        <w:pStyle w:val="Citationenretrait"/>
        <w:rPr>
          <w:lang w:val="en-US"/>
        </w:rPr>
      </w:pPr>
      <w:r w:rsidRPr="009D6270">
        <w:rPr>
          <w:lang w:val="en-CA"/>
        </w:rPr>
        <w:t>28</w:t>
      </w:r>
      <w:r w:rsidRPr="009D6270">
        <w:rPr>
          <w:lang w:val="en-CA"/>
        </w:rPr>
        <w:tab/>
        <w:t>Miscarriages of justice may take many forms in this context.  In some instances, counsel’s performance may have resulted in procedural unfairness.  In others, the reliability of the trial’s result may have been compromised.</w:t>
      </w:r>
    </w:p>
    <w:p w14:paraId="554368B8" w14:textId="1D835661" w:rsidR="00272FCA" w:rsidRPr="004A360E" w:rsidRDefault="00F06516" w:rsidP="001707DD">
      <w:pPr>
        <w:pStyle w:val="Citationenretrait"/>
        <w:rPr>
          <w:lang w:val="en-US"/>
        </w:rPr>
      </w:pPr>
      <w:r w:rsidRPr="009D6270">
        <w:rPr>
          <w:lang w:val="en-CA"/>
        </w:rPr>
        <w:t>29</w:t>
      </w:r>
      <w:r w:rsidRPr="009D6270">
        <w:rPr>
          <w:lang w:val="en-CA"/>
        </w:rPr>
        <w:tab/>
        <w:t>In those cases where it is apparent that no prejudice has occurred, it will usually be undesirable for appellate courts to consider the performance component of the analysis.  The object of an ineffectiveness claim is not to grade counsel’s performance or professional conduct.  The latter is left to the profession’s self-governing body.  If it is appropriate to have an ineffectiveness claim on the ground of no prejudice having occurred, that is the course to follow (</w:t>
      </w:r>
      <w:r w:rsidRPr="009D6270">
        <w:rPr>
          <w:i/>
          <w:iCs/>
          <w:lang w:val="en-CA"/>
        </w:rPr>
        <w:t>Strickland</w:t>
      </w:r>
      <w:r w:rsidRPr="009D6270">
        <w:rPr>
          <w:lang w:val="en-CA"/>
        </w:rPr>
        <w:t xml:space="preserve">, </w:t>
      </w:r>
      <w:r w:rsidRPr="009D6270">
        <w:rPr>
          <w:i/>
          <w:iCs/>
          <w:lang w:val="en-CA"/>
        </w:rPr>
        <w:t>supra</w:t>
      </w:r>
      <w:r w:rsidRPr="009D6270">
        <w:rPr>
          <w:lang w:val="en-CA"/>
        </w:rPr>
        <w:t xml:space="preserve">, at </w:t>
      </w:r>
      <w:r w:rsidR="001A66CE">
        <w:rPr>
          <w:lang w:val="en-CA"/>
        </w:rPr>
        <w:t xml:space="preserve">p. </w:t>
      </w:r>
      <w:r w:rsidRPr="009D6270">
        <w:rPr>
          <w:lang w:val="en-CA"/>
        </w:rPr>
        <w:t>697).</w:t>
      </w:r>
    </w:p>
    <w:p w14:paraId="780DB570" w14:textId="7C6A6025" w:rsidR="004F0B07" w:rsidRPr="004A360E" w:rsidRDefault="00F06516" w:rsidP="004F0B07">
      <w:pPr>
        <w:pStyle w:val="Paragraphe"/>
        <w:rPr>
          <w:lang w:val="en-US"/>
        </w:rPr>
      </w:pPr>
      <w:r>
        <w:rPr>
          <w:lang w:val="en-CA"/>
        </w:rPr>
        <w:t>It should also be noted that “</w:t>
      </w:r>
      <w:r>
        <w:rPr>
          <w:color w:val="000000"/>
          <w:lang w:val="en-CA"/>
        </w:rPr>
        <w:t xml:space="preserve">[t]he standard </w:t>
      </w:r>
      <w:r w:rsidR="007634F3">
        <w:rPr>
          <w:color w:val="000000"/>
          <w:lang w:val="en-CA"/>
        </w:rPr>
        <w:t>for establishing</w:t>
      </w:r>
      <w:r>
        <w:rPr>
          <w:color w:val="000000"/>
          <w:lang w:val="en-CA"/>
        </w:rPr>
        <w:t xml:space="preserve"> a miscarriage of justice </w:t>
      </w:r>
      <w:r w:rsidR="007634F3">
        <w:rPr>
          <w:color w:val="000000"/>
          <w:lang w:val="en-CA"/>
        </w:rPr>
        <w:t>on this basis</w:t>
      </w:r>
      <w:r>
        <w:rPr>
          <w:color w:val="000000"/>
          <w:lang w:val="en-CA"/>
        </w:rPr>
        <w:t xml:space="preserve"> is high; the defect must </w:t>
      </w:r>
      <w:r w:rsidR="00D018EE">
        <w:rPr>
          <w:color w:val="000000"/>
          <w:lang w:val="en-CA"/>
        </w:rPr>
        <w:t>be “so</w:t>
      </w:r>
      <w:r>
        <w:rPr>
          <w:color w:val="000000"/>
          <w:lang w:val="en-CA"/>
        </w:rPr>
        <w:t xml:space="preserve"> serious that it shakes public confidence in the administration of </w:t>
      </w:r>
      <w:r w:rsidR="007634F3">
        <w:rPr>
          <w:color w:val="000000"/>
          <w:lang w:val="en-CA"/>
        </w:rPr>
        <w:t>justice”</w:t>
      </w:r>
      <w:r w:rsidR="00EF6035">
        <w:rPr>
          <w:color w:val="000000"/>
          <w:lang w:val="en-CA"/>
        </w:rPr>
        <w:t xml:space="preserve"> </w:t>
      </w:r>
      <w:r>
        <w:rPr>
          <w:color w:val="000000"/>
          <w:lang w:val="en-CA"/>
        </w:rPr>
        <w:t>(</w:t>
      </w:r>
      <w:r>
        <w:rPr>
          <w:i/>
          <w:iCs/>
          <w:color w:val="000000"/>
          <w:lang w:val="en-CA"/>
        </w:rPr>
        <w:t>R. v. Davey</w:t>
      </w:r>
      <w:r>
        <w:rPr>
          <w:color w:val="000000"/>
          <w:lang w:val="en-CA"/>
        </w:rPr>
        <w:t xml:space="preserve">, 2012 SCC 75, [2012] 3 SCR 828 at para 51, </w:t>
      </w:r>
      <w:r w:rsidR="00EF6035">
        <w:rPr>
          <w:color w:val="000000"/>
          <w:lang w:val="en-CA"/>
        </w:rPr>
        <w:t>quoting</w:t>
      </w:r>
      <w:r>
        <w:rPr>
          <w:color w:val="000000"/>
          <w:lang w:val="en-CA"/>
        </w:rPr>
        <w:t xml:space="preserve"> </w:t>
      </w:r>
      <w:r>
        <w:rPr>
          <w:i/>
          <w:iCs/>
          <w:color w:val="000000"/>
          <w:lang w:val="en-CA"/>
        </w:rPr>
        <w:t xml:space="preserve">R. v. </w:t>
      </w:r>
      <w:proofErr w:type="spellStart"/>
      <w:r>
        <w:rPr>
          <w:i/>
          <w:iCs/>
          <w:color w:val="000000"/>
          <w:lang w:val="en-CA"/>
        </w:rPr>
        <w:t>Wolkins</w:t>
      </w:r>
      <w:proofErr w:type="spellEnd"/>
      <w:r>
        <w:rPr>
          <w:color w:val="000000"/>
          <w:lang w:val="en-CA"/>
        </w:rPr>
        <w:t xml:space="preserve">, 2005 </w:t>
      </w:r>
      <w:proofErr w:type="spellStart"/>
      <w:r>
        <w:rPr>
          <w:color w:val="000000"/>
          <w:lang w:val="en-CA"/>
        </w:rPr>
        <w:t>NSCA</w:t>
      </w:r>
      <w:proofErr w:type="spellEnd"/>
      <w:r>
        <w:rPr>
          <w:color w:val="000000"/>
          <w:lang w:val="en-CA"/>
        </w:rPr>
        <w:t xml:space="preserve"> 2, 229 </w:t>
      </w:r>
      <w:proofErr w:type="spellStart"/>
      <w:r>
        <w:rPr>
          <w:color w:val="000000"/>
          <w:lang w:val="en-CA"/>
        </w:rPr>
        <w:t>N.S.R</w:t>
      </w:r>
      <w:proofErr w:type="spellEnd"/>
      <w:r>
        <w:rPr>
          <w:color w:val="000000"/>
          <w:lang w:val="en-CA"/>
        </w:rPr>
        <w:t>. (2d) 222 at para 89)”.</w:t>
      </w:r>
      <w:bookmarkStart w:id="18" w:name="_Ref167787980"/>
      <w:r>
        <w:rPr>
          <w:rStyle w:val="Appelnotedebasdep"/>
          <w:color w:val="000000"/>
          <w:lang w:val="en-CA"/>
        </w:rPr>
        <w:footnoteReference w:id="31"/>
      </w:r>
      <w:bookmarkEnd w:id="18"/>
    </w:p>
    <w:p w14:paraId="2543F035" w14:textId="1FE28E41" w:rsidR="001707DD" w:rsidRPr="004A360E" w:rsidRDefault="00EF6035" w:rsidP="0086350F">
      <w:pPr>
        <w:pStyle w:val="Paragraphe"/>
        <w:rPr>
          <w:lang w:val="en-US"/>
        </w:rPr>
      </w:pPr>
      <w:r>
        <w:rPr>
          <w:lang w:val="en-CA"/>
        </w:rPr>
        <w:t>Recently, i</w:t>
      </w:r>
      <w:r w:rsidR="00F06516">
        <w:rPr>
          <w:lang w:val="en-CA"/>
        </w:rPr>
        <w:t xml:space="preserve">n </w:t>
      </w:r>
      <w:proofErr w:type="spellStart"/>
      <w:r w:rsidR="00F06516">
        <w:rPr>
          <w:i/>
          <w:iCs/>
          <w:lang w:val="en-CA"/>
        </w:rPr>
        <w:t>Ratt</w:t>
      </w:r>
      <w:proofErr w:type="spellEnd"/>
      <w:r w:rsidR="00F06516">
        <w:rPr>
          <w:i/>
          <w:iCs/>
          <w:lang w:val="en-CA"/>
        </w:rPr>
        <w:t xml:space="preserve"> </w:t>
      </w:r>
      <w:r w:rsidR="001D31BF">
        <w:rPr>
          <w:i/>
          <w:iCs/>
          <w:lang w:val="en-CA"/>
        </w:rPr>
        <w:t>c</w:t>
      </w:r>
      <w:r w:rsidR="00F06516">
        <w:rPr>
          <w:i/>
          <w:iCs/>
          <w:lang w:val="en-CA"/>
        </w:rPr>
        <w:t>. R.</w:t>
      </w:r>
      <w:bookmarkStart w:id="19" w:name="_Ref166793136"/>
      <w:r w:rsidR="00F06516">
        <w:rPr>
          <w:rStyle w:val="Appelnotedebasdep"/>
          <w:lang w:val="en-CA"/>
        </w:rPr>
        <w:footnoteReference w:id="32"/>
      </w:r>
      <w:bookmarkEnd w:id="19"/>
      <w:r w:rsidR="00F06516">
        <w:rPr>
          <w:lang w:val="en-CA"/>
        </w:rPr>
        <w:t xml:space="preserve">, the Court, per </w:t>
      </w:r>
      <w:proofErr w:type="spellStart"/>
      <w:r w:rsidR="00F06516">
        <w:rPr>
          <w:lang w:val="en-CA"/>
        </w:rPr>
        <w:t>Vauclair</w:t>
      </w:r>
      <w:proofErr w:type="spellEnd"/>
      <w:r w:rsidR="00F06516">
        <w:rPr>
          <w:lang w:val="en-CA"/>
        </w:rPr>
        <w:t xml:space="preserve"> J., recalled the law on matters of ineffective assistance of counsel:</w:t>
      </w:r>
    </w:p>
    <w:p w14:paraId="55AAE6BD" w14:textId="6EE5BDB2" w:rsidR="0090723A" w:rsidRPr="007634F3" w:rsidRDefault="00F06516" w:rsidP="00EF6035">
      <w:pPr>
        <w:pStyle w:val="Citationenretrait"/>
        <w:keepNext/>
        <w:rPr>
          <w:lang w:val="en-US"/>
        </w:rPr>
      </w:pPr>
      <w:r w:rsidRPr="007634F3">
        <w:rPr>
          <w:lang w:val="en-CA"/>
        </w:rPr>
        <w:lastRenderedPageBreak/>
        <w:t>[</w:t>
      </w:r>
      <w:r w:rsidRPr="007634F3">
        <w:rPr>
          <w:smallCaps/>
          <w:lang w:val="en-CA"/>
        </w:rPr>
        <w:t>translation</w:t>
      </w:r>
      <w:r w:rsidRPr="007634F3">
        <w:rPr>
          <w:lang w:val="en-CA"/>
        </w:rPr>
        <w:t>]</w:t>
      </w:r>
    </w:p>
    <w:p w14:paraId="15D74B5D" w14:textId="1E29B2DD" w:rsidR="001707DD" w:rsidRPr="007634F3" w:rsidRDefault="00F06516" w:rsidP="00EF6035">
      <w:pPr>
        <w:pStyle w:val="Citationenretrait"/>
        <w:keepNext/>
        <w:rPr>
          <w:lang w:val="en-US"/>
        </w:rPr>
      </w:pPr>
      <w:r w:rsidRPr="007634F3">
        <w:rPr>
          <w:lang w:val="en-CA"/>
        </w:rPr>
        <w:t>[22]</w:t>
      </w:r>
      <w:r w:rsidRPr="007634F3">
        <w:rPr>
          <w:lang w:val="en-CA"/>
        </w:rPr>
        <w:tab/>
      </w:r>
      <w:r w:rsidR="00EA0A26" w:rsidRPr="007634F3">
        <w:rPr>
          <w:lang w:val="en-CA"/>
        </w:rPr>
        <w:t xml:space="preserve">There is no doubt that successfully establishing ineffective assistance is not easy. As Doyon J.A. noted on behalf of the Court, in addition to establishing ineffective assistance or incompetence on a balance of probabilities, it is necessary to establish prejudice in the nature of a miscarriage of justice: </w:t>
      </w:r>
      <w:r w:rsidR="00EA0A26" w:rsidRPr="007634F3">
        <w:rPr>
          <w:i/>
          <w:iCs/>
          <w:lang w:val="en-CA"/>
        </w:rPr>
        <w:t>R. c. </w:t>
      </w:r>
      <w:proofErr w:type="spellStart"/>
      <w:r w:rsidR="00EA0A26" w:rsidRPr="007634F3">
        <w:rPr>
          <w:i/>
          <w:iCs/>
          <w:lang w:val="en-CA"/>
        </w:rPr>
        <w:t>Helpin</w:t>
      </w:r>
      <w:proofErr w:type="spellEnd"/>
      <w:r w:rsidR="00EA0A26" w:rsidRPr="007634F3">
        <w:rPr>
          <w:lang w:val="en-CA"/>
        </w:rPr>
        <w:t xml:space="preserve">, 2012 QCCA 1523 at para 68; </w:t>
      </w:r>
      <w:r w:rsidR="00EA0A26" w:rsidRPr="007634F3">
        <w:rPr>
          <w:i/>
          <w:iCs/>
          <w:lang w:val="en-CA"/>
        </w:rPr>
        <w:t xml:space="preserve">R. c. </w:t>
      </w:r>
      <w:proofErr w:type="spellStart"/>
      <w:r w:rsidR="00EA0A26" w:rsidRPr="007634F3">
        <w:rPr>
          <w:i/>
          <w:iCs/>
          <w:lang w:val="en-CA"/>
        </w:rPr>
        <w:t>Paiement</w:t>
      </w:r>
      <w:proofErr w:type="spellEnd"/>
      <w:r w:rsidR="00EA0A26" w:rsidRPr="007634F3">
        <w:rPr>
          <w:lang w:val="en-CA"/>
        </w:rPr>
        <w:t>, 2024 QCCA 304</w:t>
      </w:r>
      <w:r w:rsidRPr="007634F3">
        <w:rPr>
          <w:lang w:val="en-CA"/>
        </w:rPr>
        <w:t xml:space="preserve">. </w:t>
      </w:r>
    </w:p>
    <w:p w14:paraId="7F72F344" w14:textId="40BF7ED5" w:rsidR="001707DD" w:rsidRPr="007634F3" w:rsidRDefault="00F06516" w:rsidP="001707DD">
      <w:pPr>
        <w:pStyle w:val="Citationenretrait"/>
        <w:rPr>
          <w:lang w:val="en-US"/>
        </w:rPr>
      </w:pPr>
      <w:r w:rsidRPr="007634F3">
        <w:rPr>
          <w:lang w:val="en-CA"/>
        </w:rPr>
        <w:t>[23]</w:t>
      </w:r>
      <w:r w:rsidRPr="007634F3">
        <w:rPr>
          <w:lang w:val="en-CA"/>
        </w:rPr>
        <w:tab/>
      </w:r>
      <w:r w:rsidR="00EA0A26" w:rsidRPr="007634F3">
        <w:rPr>
          <w:i/>
          <w:iCs/>
          <w:lang w:val="en-CA"/>
        </w:rPr>
        <w:t>R. c. Lajoie</w:t>
      </w:r>
      <w:r w:rsidR="00EA0A26" w:rsidRPr="007634F3">
        <w:rPr>
          <w:lang w:val="en-CA"/>
        </w:rPr>
        <w:t xml:space="preserve">, 2021 QCCA 1631, provides a good illustration of the fact that not all mistakes open the door to a conclusion of ineffective assistance. It is common ground that it is necessary to establish that the conduct of counsel falls outside the “wide range of reasonable professional assistance”: </w:t>
      </w:r>
      <w:r w:rsidR="00EA0A26" w:rsidRPr="007634F3">
        <w:rPr>
          <w:i/>
          <w:iCs/>
          <w:lang w:val="en-CA"/>
        </w:rPr>
        <w:t xml:space="preserve">R. v. </w:t>
      </w:r>
      <w:proofErr w:type="spellStart"/>
      <w:r w:rsidR="00EA0A26" w:rsidRPr="007634F3">
        <w:rPr>
          <w:i/>
          <w:iCs/>
          <w:lang w:val="en-CA"/>
        </w:rPr>
        <w:t>G.D.B</w:t>
      </w:r>
      <w:proofErr w:type="spellEnd"/>
      <w:r w:rsidR="00EA0A26" w:rsidRPr="007634F3">
        <w:rPr>
          <w:i/>
          <w:iCs/>
          <w:lang w:val="en-CA"/>
        </w:rPr>
        <w:t>.,</w:t>
      </w:r>
      <w:r w:rsidR="00EA0A26" w:rsidRPr="007634F3">
        <w:rPr>
          <w:lang w:val="en-CA"/>
        </w:rPr>
        <w:t xml:space="preserve"> [2000] 1 S.C.R. 520 at para 27</w:t>
      </w:r>
      <w:r w:rsidRPr="007634F3">
        <w:rPr>
          <w:lang w:val="en-CA"/>
        </w:rPr>
        <w:t>.</w:t>
      </w:r>
    </w:p>
    <w:p w14:paraId="77EB78A7" w14:textId="594FA57F" w:rsidR="001707DD" w:rsidRPr="007634F3" w:rsidRDefault="00F06516" w:rsidP="001707DD">
      <w:pPr>
        <w:pStyle w:val="Citationenretrait"/>
        <w:rPr>
          <w:lang w:val="en-US"/>
        </w:rPr>
      </w:pPr>
      <w:r w:rsidRPr="007634F3">
        <w:rPr>
          <w:lang w:val="en-CA"/>
        </w:rPr>
        <w:t>[24]</w:t>
      </w:r>
      <w:r w:rsidRPr="007634F3">
        <w:rPr>
          <w:lang w:val="en-CA"/>
        </w:rPr>
        <w:tab/>
      </w:r>
      <w:r w:rsidR="00EA0A26" w:rsidRPr="007634F3">
        <w:rPr>
          <w:lang w:val="en-CA"/>
        </w:rPr>
        <w:t xml:space="preserve">In addition, there is a point at which the prosecution’s evidence is so overwhelming that ineffective assistance becomes inconsequential. The Court has noted that it is possible that in the face of such overwhelming evidence, the ineffective assistance invoked will not affect the reliability of the verdict: </w:t>
      </w:r>
      <w:r w:rsidR="00EA0A26" w:rsidRPr="007634F3">
        <w:rPr>
          <w:i/>
          <w:iCs/>
          <w:lang w:val="en-CA"/>
        </w:rPr>
        <w:t>R. </w:t>
      </w:r>
      <w:r w:rsidR="00EE7E48">
        <w:rPr>
          <w:i/>
          <w:iCs/>
          <w:lang w:val="en-CA"/>
        </w:rPr>
        <w:t>c</w:t>
      </w:r>
      <w:r w:rsidR="00EA0A26" w:rsidRPr="007634F3">
        <w:rPr>
          <w:i/>
          <w:iCs/>
          <w:lang w:val="en-CA"/>
        </w:rPr>
        <w:t>. </w:t>
      </w:r>
      <w:proofErr w:type="spellStart"/>
      <w:r w:rsidR="00EA0A26" w:rsidRPr="007634F3">
        <w:rPr>
          <w:i/>
          <w:iCs/>
          <w:lang w:val="en-CA"/>
        </w:rPr>
        <w:t>Vdovin</w:t>
      </w:r>
      <w:proofErr w:type="spellEnd"/>
      <w:r w:rsidR="00EA0A26" w:rsidRPr="007634F3">
        <w:rPr>
          <w:lang w:val="en-CA"/>
        </w:rPr>
        <w:t xml:space="preserve">, 2021 QCCA 1969 at para 24; </w:t>
      </w:r>
      <w:r w:rsidR="00EA0A26" w:rsidRPr="007634F3">
        <w:rPr>
          <w:i/>
          <w:iCs/>
          <w:lang w:val="en-CA"/>
        </w:rPr>
        <w:t>R. c. </w:t>
      </w:r>
      <w:proofErr w:type="spellStart"/>
      <w:r w:rsidR="00EA0A26" w:rsidRPr="007634F3">
        <w:rPr>
          <w:i/>
          <w:iCs/>
          <w:lang w:val="en-CA"/>
        </w:rPr>
        <w:t>Vallières</w:t>
      </w:r>
      <w:proofErr w:type="spellEnd"/>
      <w:r w:rsidR="00EA0A26" w:rsidRPr="007634F3">
        <w:rPr>
          <w:lang w:val="en-CA"/>
        </w:rPr>
        <w:t>, 2020 QCCA 372 at paras 141–142</w:t>
      </w:r>
      <w:r w:rsidRPr="007634F3">
        <w:rPr>
          <w:lang w:val="en-CA"/>
        </w:rPr>
        <w:t>.</w:t>
      </w:r>
    </w:p>
    <w:p w14:paraId="1F808FBD" w14:textId="63B95251" w:rsidR="001707DD" w:rsidRPr="007634F3" w:rsidRDefault="00F06516" w:rsidP="001707DD">
      <w:pPr>
        <w:pStyle w:val="Citationenretrait"/>
        <w:rPr>
          <w:lang w:val="en-US"/>
        </w:rPr>
      </w:pPr>
      <w:r w:rsidRPr="007634F3">
        <w:rPr>
          <w:lang w:val="en-CA"/>
        </w:rPr>
        <w:t>[25]</w:t>
      </w:r>
      <w:r w:rsidRPr="007634F3">
        <w:rPr>
          <w:lang w:val="en-CA"/>
        </w:rPr>
        <w:tab/>
      </w:r>
      <w:r w:rsidR="00EA0A26" w:rsidRPr="007634F3">
        <w:rPr>
          <w:lang w:val="en-CA"/>
        </w:rPr>
        <w:t xml:space="preserve">However, both the fairness of the proceedings and the reliability of the verdict underlie the assessment of the quality of counsel’s assistance at trial. I reproduce here the remarks of the Court in </w:t>
      </w:r>
      <w:proofErr w:type="spellStart"/>
      <w:r w:rsidR="00EA0A26" w:rsidRPr="007634F3">
        <w:rPr>
          <w:i/>
          <w:iCs/>
          <w:lang w:val="en-CA"/>
        </w:rPr>
        <w:t>Agnant</w:t>
      </w:r>
      <w:proofErr w:type="spellEnd"/>
      <w:r w:rsidRPr="007634F3">
        <w:rPr>
          <w:lang w:val="en-CA"/>
        </w:rPr>
        <w:t>:</w:t>
      </w:r>
    </w:p>
    <w:p w14:paraId="31996FAA" w14:textId="77777777" w:rsidR="0090723A" w:rsidRPr="00EE7E48" w:rsidRDefault="00F06516" w:rsidP="0090723A">
      <w:pPr>
        <w:pStyle w:val="Citationenretrait"/>
        <w:tabs>
          <w:tab w:val="left" w:pos="1980"/>
        </w:tabs>
        <w:ind w:left="1440" w:right="1082"/>
        <w:rPr>
          <w:szCs w:val="22"/>
          <w:lang w:val="en-US"/>
        </w:rPr>
      </w:pPr>
      <w:r w:rsidRPr="00EE7E48">
        <w:rPr>
          <w:szCs w:val="22"/>
          <w:lang w:val="en-CA"/>
        </w:rPr>
        <w:t>[TRANSLATION]</w:t>
      </w:r>
    </w:p>
    <w:p w14:paraId="6B8F7A04" w14:textId="1BED96F7" w:rsidR="0090723A" w:rsidRPr="00EE7E48" w:rsidRDefault="00F06516" w:rsidP="0090723A">
      <w:pPr>
        <w:pStyle w:val="Citationenretrait"/>
        <w:tabs>
          <w:tab w:val="left" w:pos="1980"/>
        </w:tabs>
        <w:ind w:left="1440" w:right="1082"/>
        <w:rPr>
          <w:szCs w:val="22"/>
          <w:lang w:val="en-US"/>
        </w:rPr>
      </w:pPr>
      <w:r w:rsidRPr="00EE7E48">
        <w:rPr>
          <w:szCs w:val="22"/>
          <w:lang w:val="en-CA"/>
        </w:rPr>
        <w:t xml:space="preserve">[9] </w:t>
      </w:r>
      <w:r w:rsidRPr="00EE7E48">
        <w:rPr>
          <w:szCs w:val="22"/>
          <w:lang w:val="en-CA"/>
        </w:rPr>
        <w:tab/>
      </w:r>
      <w:r w:rsidR="00EA0A26" w:rsidRPr="00EE7E48">
        <w:rPr>
          <w:szCs w:val="22"/>
          <w:lang w:val="en-CA"/>
        </w:rPr>
        <w:t>If our adversarial justice system functions well, it is because it can rely on a competent bar association to confront the facts, assert a party’s thesis, and promote the law, values, and constitutional guarantees, in short, to properly represent litigants before the courts</w:t>
      </w:r>
      <w:r w:rsidRPr="00EE7E48">
        <w:rPr>
          <w:szCs w:val="22"/>
          <w:lang w:val="en-CA"/>
        </w:rPr>
        <w:t>.</w:t>
      </w:r>
    </w:p>
    <w:p w14:paraId="66F03EEB" w14:textId="190DB69F" w:rsidR="001707DD" w:rsidRPr="00EE7E48" w:rsidRDefault="00F06516" w:rsidP="001707DD">
      <w:pPr>
        <w:pStyle w:val="Citationenretrait"/>
        <w:tabs>
          <w:tab w:val="left" w:pos="1980"/>
        </w:tabs>
        <w:ind w:left="1440" w:right="1082"/>
        <w:rPr>
          <w:szCs w:val="22"/>
          <w:lang w:val="en-US"/>
        </w:rPr>
      </w:pPr>
      <w:r w:rsidRPr="00EE7E48">
        <w:rPr>
          <w:szCs w:val="22"/>
          <w:lang w:val="en-CA"/>
        </w:rPr>
        <w:t>[10]</w:t>
      </w:r>
      <w:r w:rsidRPr="00EE7E48">
        <w:rPr>
          <w:szCs w:val="22"/>
          <w:lang w:val="en-CA"/>
        </w:rPr>
        <w:tab/>
      </w:r>
      <w:r w:rsidR="00EA0A26" w:rsidRPr="00EE7E48">
        <w:rPr>
          <w:szCs w:val="22"/>
          <w:lang w:val="en-CA"/>
        </w:rPr>
        <w:t xml:space="preserve">In </w:t>
      </w:r>
      <w:r w:rsidR="00EA0A26" w:rsidRPr="00EE7E48">
        <w:rPr>
          <w:i/>
          <w:iCs/>
          <w:szCs w:val="22"/>
          <w:lang w:val="en-CA"/>
        </w:rPr>
        <w:t xml:space="preserve">R. v. </w:t>
      </w:r>
      <w:proofErr w:type="spellStart"/>
      <w:r w:rsidR="00EA0A26" w:rsidRPr="00EE7E48">
        <w:rPr>
          <w:i/>
          <w:iCs/>
          <w:szCs w:val="22"/>
          <w:lang w:val="en-CA"/>
        </w:rPr>
        <w:t>G.B.D</w:t>
      </w:r>
      <w:proofErr w:type="spellEnd"/>
      <w:r w:rsidR="00EA0A26" w:rsidRPr="00EE7E48">
        <w:rPr>
          <w:szCs w:val="22"/>
          <w:lang w:val="en-CA"/>
        </w:rPr>
        <w:t>., [2000] 1 S.C.R. 520, the Supreme Court confirmed the rather unanimous Canadian case law, according to which the right to the [translation] “useful” or “effective assistance” of counsel is the best way to determine the merits of the charges</w:t>
      </w:r>
      <w:r w:rsidRPr="00EE7E48">
        <w:rPr>
          <w:szCs w:val="22"/>
          <w:lang w:val="en-CA"/>
        </w:rPr>
        <w:t xml:space="preserve">.  </w:t>
      </w:r>
    </w:p>
    <w:p w14:paraId="29AAAEE4" w14:textId="649ACD16" w:rsidR="001707DD" w:rsidRPr="00EE7E48" w:rsidRDefault="00F06516" w:rsidP="001707DD">
      <w:pPr>
        <w:pStyle w:val="Citationenretrait"/>
        <w:tabs>
          <w:tab w:val="left" w:pos="1980"/>
        </w:tabs>
        <w:ind w:left="1440" w:right="1082"/>
        <w:rPr>
          <w:szCs w:val="22"/>
          <w:lang w:val="en-US"/>
        </w:rPr>
      </w:pPr>
      <w:r w:rsidRPr="00EE7E48">
        <w:rPr>
          <w:szCs w:val="22"/>
          <w:lang w:val="en-CA"/>
        </w:rPr>
        <w:t>[11]</w:t>
      </w:r>
      <w:r w:rsidRPr="00EE7E48">
        <w:rPr>
          <w:szCs w:val="22"/>
          <w:lang w:val="en-CA"/>
        </w:rPr>
        <w:tab/>
      </w:r>
      <w:r w:rsidR="00EA0A26" w:rsidRPr="00EE7E48">
        <w:rPr>
          <w:szCs w:val="22"/>
          <w:lang w:val="en-CA"/>
        </w:rPr>
        <w:t>Major J. explained that the incompetence of counsel can compromise procedural fairness or the reliability of the verdict, two forms of miscarriage of justice that then occur, both of which are equally unacceptable: </w:t>
      </w:r>
      <w:r w:rsidR="00EA0A26" w:rsidRPr="00EE7E48">
        <w:rPr>
          <w:i/>
          <w:iCs/>
          <w:szCs w:val="22"/>
          <w:lang w:val="en-CA"/>
        </w:rPr>
        <w:t xml:space="preserve">R. v. </w:t>
      </w:r>
      <w:proofErr w:type="spellStart"/>
      <w:r w:rsidR="00EA0A26" w:rsidRPr="00EE7E48">
        <w:rPr>
          <w:i/>
          <w:iCs/>
          <w:szCs w:val="22"/>
          <w:lang w:val="en-CA"/>
        </w:rPr>
        <w:t>G.D.B</w:t>
      </w:r>
      <w:proofErr w:type="spellEnd"/>
      <w:r w:rsidR="00EA0A26" w:rsidRPr="00EE7E48">
        <w:rPr>
          <w:i/>
          <w:iCs/>
          <w:szCs w:val="22"/>
          <w:lang w:val="en-CA"/>
        </w:rPr>
        <w:t>.</w:t>
      </w:r>
      <w:r w:rsidR="00EA0A26" w:rsidRPr="00EE7E48">
        <w:rPr>
          <w:szCs w:val="22"/>
          <w:lang w:val="en-CA"/>
        </w:rPr>
        <w:t>, cited above, at paras. 26–28</w:t>
      </w:r>
      <w:r w:rsidRPr="00EE7E48">
        <w:rPr>
          <w:szCs w:val="22"/>
          <w:lang w:val="en-CA"/>
        </w:rPr>
        <w:t>.</w:t>
      </w:r>
    </w:p>
    <w:p w14:paraId="14041B6D" w14:textId="5F5570D3" w:rsidR="001707DD" w:rsidRPr="00EE7E48" w:rsidRDefault="00F06516" w:rsidP="001707DD">
      <w:pPr>
        <w:pStyle w:val="Citationenretrait"/>
        <w:ind w:left="1440" w:right="1082"/>
        <w:rPr>
          <w:szCs w:val="22"/>
          <w:lang w:val="en-US"/>
        </w:rPr>
      </w:pPr>
      <w:r w:rsidRPr="00EE7E48">
        <w:rPr>
          <w:szCs w:val="22"/>
          <w:lang w:val="en-CA"/>
        </w:rPr>
        <w:t xml:space="preserve">See </w:t>
      </w:r>
      <w:r w:rsidRPr="00EE7E48">
        <w:rPr>
          <w:i/>
          <w:iCs/>
          <w:szCs w:val="22"/>
          <w:lang w:val="en-CA"/>
        </w:rPr>
        <w:t xml:space="preserve">R. c. </w:t>
      </w:r>
      <w:proofErr w:type="spellStart"/>
      <w:r w:rsidRPr="00EE7E48">
        <w:rPr>
          <w:i/>
          <w:iCs/>
          <w:szCs w:val="22"/>
          <w:lang w:val="en-CA"/>
        </w:rPr>
        <w:t>Agnant</w:t>
      </w:r>
      <w:proofErr w:type="spellEnd"/>
      <w:r w:rsidRPr="00EE7E48">
        <w:rPr>
          <w:szCs w:val="22"/>
          <w:lang w:val="en-CA"/>
        </w:rPr>
        <w:t>, 2015 QCCA 465 [references omitted] and case law cited.</w:t>
      </w:r>
    </w:p>
    <w:p w14:paraId="34C10B45" w14:textId="591D12CE" w:rsidR="0086350F" w:rsidRPr="004A360E" w:rsidRDefault="00F06516" w:rsidP="002068A9">
      <w:pPr>
        <w:pStyle w:val="Paragraphe"/>
        <w:rPr>
          <w:lang w:val="en-US"/>
        </w:rPr>
      </w:pPr>
      <w:r>
        <w:rPr>
          <w:lang w:val="en-CA"/>
        </w:rPr>
        <w:lastRenderedPageBreak/>
        <w:t xml:space="preserve">It is also worth citing the following </w:t>
      </w:r>
      <w:r w:rsidR="007634F3">
        <w:rPr>
          <w:lang w:val="en-CA"/>
        </w:rPr>
        <w:t xml:space="preserve">excerpt </w:t>
      </w:r>
      <w:r>
        <w:rPr>
          <w:lang w:val="en-CA"/>
        </w:rPr>
        <w:t xml:space="preserve">from </w:t>
      </w:r>
      <w:proofErr w:type="spellStart"/>
      <w:r>
        <w:rPr>
          <w:i/>
          <w:iCs/>
          <w:lang w:val="en-CA"/>
        </w:rPr>
        <w:t>Paiement</w:t>
      </w:r>
      <w:proofErr w:type="spellEnd"/>
      <w:r>
        <w:rPr>
          <w:i/>
          <w:iCs/>
          <w:lang w:val="en-CA"/>
        </w:rPr>
        <w:t xml:space="preserve"> c. R.</w:t>
      </w:r>
      <w:bookmarkStart w:id="20" w:name="_Ref166691508"/>
      <w:r w:rsidR="007634F3">
        <w:rPr>
          <w:lang w:val="en-CA"/>
        </w:rPr>
        <w:t>:</w:t>
      </w:r>
      <w:r>
        <w:rPr>
          <w:rStyle w:val="Appelnotedebasdep"/>
          <w:lang w:val="en-CA"/>
        </w:rPr>
        <w:footnoteReference w:id="33"/>
      </w:r>
      <w:bookmarkEnd w:id="20"/>
    </w:p>
    <w:p w14:paraId="5DF686C8" w14:textId="221C5BDB" w:rsidR="007634F3" w:rsidRDefault="007634F3" w:rsidP="002068A9">
      <w:pPr>
        <w:pStyle w:val="Citationenretrait"/>
        <w:rPr>
          <w:lang w:val="en-CA"/>
        </w:rPr>
      </w:pPr>
      <w:r>
        <w:rPr>
          <w:lang w:val="en-CA"/>
        </w:rPr>
        <w:t>[</w:t>
      </w:r>
      <w:r w:rsidRPr="009D6270">
        <w:rPr>
          <w:smallCaps/>
          <w:lang w:val="en-CA"/>
        </w:rPr>
        <w:t>translation</w:t>
      </w:r>
      <w:r>
        <w:rPr>
          <w:lang w:val="en-CA"/>
        </w:rPr>
        <w:t>]</w:t>
      </w:r>
    </w:p>
    <w:p w14:paraId="14349362" w14:textId="6338C0F8" w:rsidR="002068A9" w:rsidRPr="004A360E" w:rsidRDefault="00F06516" w:rsidP="002068A9">
      <w:pPr>
        <w:pStyle w:val="Citationenretrait"/>
        <w:rPr>
          <w:lang w:val="en-US"/>
        </w:rPr>
      </w:pPr>
      <w:r>
        <w:rPr>
          <w:lang w:val="en-CA"/>
        </w:rPr>
        <w:t>[4]</w:t>
      </w:r>
      <w:r>
        <w:rPr>
          <w:lang w:val="en-CA"/>
        </w:rPr>
        <w:tab/>
        <w:t xml:space="preserve">A convicted person who believes that their counsel has not effectively represented them may file an appeal alleging a miscarriage of justice within the meaning of </w:t>
      </w:r>
      <w:r w:rsidR="00912880">
        <w:rPr>
          <w:lang w:val="en-CA"/>
        </w:rPr>
        <w:t xml:space="preserve">s. </w:t>
      </w:r>
      <w:r>
        <w:rPr>
          <w:lang w:val="en-CA"/>
        </w:rPr>
        <w:t xml:space="preserve">686(1)(a)(iii) </w:t>
      </w:r>
      <w:proofErr w:type="spellStart"/>
      <w:r>
        <w:rPr>
          <w:i/>
          <w:iCs/>
          <w:lang w:val="en-CA"/>
        </w:rPr>
        <w:t>Cr.C</w:t>
      </w:r>
      <w:proofErr w:type="spellEnd"/>
      <w:r>
        <w:rPr>
          <w:i/>
          <w:iCs/>
          <w:lang w:val="en-CA"/>
        </w:rPr>
        <w:t>.</w:t>
      </w:r>
      <w:r>
        <w:rPr>
          <w:lang w:val="en-CA"/>
        </w:rPr>
        <w:t xml:space="preserve"> [reference omitted]. In order to succeed, the convicted person must </w:t>
      </w:r>
      <w:r w:rsidR="00EE7E48">
        <w:rPr>
          <w:lang w:val="en-CA"/>
        </w:rPr>
        <w:t>establish</w:t>
      </w:r>
      <w:r>
        <w:rPr>
          <w:lang w:val="en-CA"/>
        </w:rPr>
        <w:t>—on a balance of probabilities [reference omitted]—the existence of two components [reference omitted]:</w:t>
      </w:r>
    </w:p>
    <w:p w14:paraId="4006E55A" w14:textId="62899C0D" w:rsidR="002068A9" w:rsidRPr="004A360E" w:rsidRDefault="00F06516" w:rsidP="00812FD2">
      <w:pPr>
        <w:pStyle w:val="Citationenretrait"/>
        <w:numPr>
          <w:ilvl w:val="0"/>
          <w:numId w:val="20"/>
        </w:numPr>
        <w:rPr>
          <w:lang w:val="en-US"/>
        </w:rPr>
      </w:pPr>
      <w:r>
        <w:rPr>
          <w:lang w:val="en-CA"/>
        </w:rPr>
        <w:t>That counsel who represented the convicted person at trial demonstrated incompetence, i.e. that the lawyer did not behave as a [</w:t>
      </w:r>
      <w:r w:rsidR="00912880" w:rsidRPr="009D6270">
        <w:rPr>
          <w:smallCaps/>
          <w:lang w:val="en-CA"/>
        </w:rPr>
        <w:t>translation</w:t>
      </w:r>
      <w:r>
        <w:rPr>
          <w:lang w:val="en-CA"/>
        </w:rPr>
        <w:t xml:space="preserve">] “normally </w:t>
      </w:r>
      <w:r w:rsidR="00912880">
        <w:rPr>
          <w:lang w:val="en-CA"/>
        </w:rPr>
        <w:t>provident</w:t>
      </w:r>
      <w:r>
        <w:rPr>
          <w:lang w:val="en-CA"/>
        </w:rPr>
        <w:t xml:space="preserve"> and diligent lawyer, possessing ordinary knowledge” [reference omitted]. There is a heavy burden on the appellant at this stage of the </w:t>
      </w:r>
      <w:r w:rsidR="003D347A">
        <w:rPr>
          <w:lang w:val="en-CA"/>
        </w:rPr>
        <w:t>analysis because</w:t>
      </w:r>
      <w:r>
        <w:rPr>
          <w:lang w:val="en-CA"/>
        </w:rPr>
        <w:t xml:space="preserve"> there is a strong presumption that counsel provided reasonable professional assistance [reference omitted]. In addition, it is well established that appellate courts must avoid falling into the trap of retrospective wisdom—</w:t>
      </w:r>
      <w:r w:rsidR="00C478EB">
        <w:rPr>
          <w:rFonts w:cs="Arial"/>
          <w:lang w:val="en-CA"/>
        </w:rPr>
        <w:t>[</w:t>
      </w:r>
      <w:r w:rsidR="00C478EB" w:rsidRPr="00175368">
        <w:rPr>
          <w:smallCaps/>
          <w:lang w:val="en-CA"/>
        </w:rPr>
        <w:t>translation</w:t>
      </w:r>
      <w:r w:rsidR="00C478EB">
        <w:rPr>
          <w:lang w:val="en-CA"/>
        </w:rPr>
        <w:t xml:space="preserve">] </w:t>
      </w:r>
      <w:r>
        <w:rPr>
          <w:lang w:val="en-CA"/>
        </w:rPr>
        <w:t>“</w:t>
      </w:r>
      <w:r w:rsidR="00482609">
        <w:rPr>
          <w:lang w:val="en-CA"/>
        </w:rPr>
        <w:t xml:space="preserve">the </w:t>
      </w:r>
      <w:r>
        <w:rPr>
          <w:lang w:val="en-CA"/>
        </w:rPr>
        <w:t>hindsight trap” [reference omitted]—in assessing the conduct of counsel [reference omitted].</w:t>
      </w:r>
    </w:p>
    <w:p w14:paraId="639983DC" w14:textId="6EF4EB1C" w:rsidR="002068A9" w:rsidRPr="004A360E" w:rsidRDefault="00F06516" w:rsidP="00812FD2">
      <w:pPr>
        <w:pStyle w:val="Citationenretrait"/>
        <w:numPr>
          <w:ilvl w:val="0"/>
          <w:numId w:val="20"/>
        </w:numPr>
        <w:rPr>
          <w:lang w:val="en-US"/>
        </w:rPr>
      </w:pPr>
      <w:r>
        <w:rPr>
          <w:lang w:val="en-CA"/>
        </w:rPr>
        <w:t>The appellant must also demonstrate that this incompetence resulted in a miscarriage of justice [reference omitted], by compromising the fairness of the trial or the reliability of the verdict [reference omitted]. When the reliability of the verdict is called into question, as in this case [reference omitted], the standard to apply is that of the</w:t>
      </w:r>
      <w:r>
        <w:rPr>
          <w:i/>
          <w:iCs/>
          <w:lang w:val="en-CA"/>
        </w:rPr>
        <w:t xml:space="preserve"> reasonable probability </w:t>
      </w:r>
      <w:r>
        <w:rPr>
          <w:lang w:val="en-CA"/>
        </w:rPr>
        <w:t xml:space="preserve">that the verdict would have been different—a standard that falls between a </w:t>
      </w:r>
      <w:r w:rsidR="0050193C">
        <w:rPr>
          <w:lang w:val="en-CA"/>
        </w:rPr>
        <w:t xml:space="preserve">mere </w:t>
      </w:r>
      <w:r>
        <w:rPr>
          <w:lang w:val="en-CA"/>
        </w:rPr>
        <w:t xml:space="preserve">possibility (“some conceivable effect on the outcome of the proceedings”) and a balance of probabilities [reference omitted]. </w:t>
      </w:r>
    </w:p>
    <w:p w14:paraId="13648AC8" w14:textId="1E9F2114" w:rsidR="002068A9" w:rsidRPr="004A360E" w:rsidRDefault="00F06516" w:rsidP="002068A9">
      <w:pPr>
        <w:pStyle w:val="Citationenretrait"/>
        <w:rPr>
          <w:lang w:val="en-US"/>
        </w:rPr>
      </w:pPr>
      <w:r>
        <w:rPr>
          <w:lang w:val="en-CA"/>
        </w:rPr>
        <w:t>[5]</w:t>
      </w:r>
      <w:r>
        <w:rPr>
          <w:lang w:val="en-CA"/>
        </w:rPr>
        <w:tab/>
        <w:t xml:space="preserve">Furthermore, and as the Court pointed out in </w:t>
      </w:r>
      <w:r>
        <w:rPr>
          <w:i/>
          <w:iCs/>
          <w:lang w:val="en-CA"/>
        </w:rPr>
        <w:t>Delisle</w:t>
      </w:r>
      <w:r>
        <w:rPr>
          <w:lang w:val="en-CA"/>
        </w:rPr>
        <w:t>, per Proulx J.</w:t>
      </w:r>
      <w:r w:rsidR="0050193C">
        <w:rPr>
          <w:lang w:val="en-CA"/>
        </w:rPr>
        <w:t>A.</w:t>
      </w:r>
      <w:r>
        <w:rPr>
          <w:lang w:val="en-CA"/>
        </w:rPr>
        <w:t>, [</w:t>
      </w:r>
      <w:r w:rsidR="00240659" w:rsidRPr="009D6270">
        <w:rPr>
          <w:smallCaps/>
          <w:lang w:val="en-CA"/>
        </w:rPr>
        <w:t>translation</w:t>
      </w:r>
      <w:r>
        <w:rPr>
          <w:lang w:val="en-CA"/>
        </w:rPr>
        <w:t xml:space="preserve">] “it is logical… to first analyze the harm or effect of the conduct of counsel on the fairness of the proceedings” [reference omitted]. The Supreme Court expressed the same view in </w:t>
      </w:r>
      <w:proofErr w:type="spellStart"/>
      <w:r>
        <w:rPr>
          <w:i/>
          <w:iCs/>
          <w:lang w:val="en-CA"/>
        </w:rPr>
        <w:t>G.D.B</w:t>
      </w:r>
      <w:proofErr w:type="spellEnd"/>
      <w:r>
        <w:rPr>
          <w:i/>
          <w:iCs/>
          <w:lang w:val="en-CA"/>
        </w:rPr>
        <w:t>.</w:t>
      </w:r>
      <w:r>
        <w:rPr>
          <w:lang w:val="en-CA"/>
        </w:rPr>
        <w:t xml:space="preserve"> [reference omitted], </w:t>
      </w:r>
      <w:r w:rsidR="00240659">
        <w:rPr>
          <w:lang w:val="en-CA"/>
        </w:rPr>
        <w:t>relying on</w:t>
      </w:r>
      <w:r>
        <w:rPr>
          <w:lang w:val="en-CA"/>
        </w:rPr>
        <w:t xml:space="preserve"> a U.S. Supreme Court ruling, whose majority reasons were drafted by O’Connor J. [reference omitted]:</w:t>
      </w:r>
    </w:p>
    <w:p w14:paraId="132CD7CD" w14:textId="77777777" w:rsidR="002068A9" w:rsidRPr="004A360E" w:rsidRDefault="00F06516" w:rsidP="00812FD2">
      <w:pPr>
        <w:pStyle w:val="Citationenretrait"/>
        <w:ind w:left="1440" w:right="1082"/>
        <w:rPr>
          <w:sz w:val="20"/>
          <w:lang w:val="en-US"/>
        </w:rPr>
      </w:pPr>
      <w:r w:rsidRPr="009D6270">
        <w:rPr>
          <w:sz w:val="20"/>
          <w:lang w:val="en-CA"/>
        </w:rPr>
        <w:t xml:space="preserve">Although we have discussed the performance component of an ineffectiveness claim prior to the prejudice component, there is no reason for a court deciding an ineffective assistance claim to approach the inquiry in the same order or even to address both components of the inquiry if the defendant makes an insufficient showing on one. </w:t>
      </w:r>
      <w:r w:rsidRPr="009D6270">
        <w:rPr>
          <w:sz w:val="20"/>
          <w:u w:val="single"/>
          <w:lang w:val="en-CA"/>
        </w:rPr>
        <w:t xml:space="preserve">In particular, it is not necessary to determine whether counsel’s performance was deficient before examining the </w:t>
      </w:r>
      <w:r w:rsidRPr="009D6270">
        <w:rPr>
          <w:sz w:val="20"/>
          <w:u w:val="single"/>
          <w:lang w:val="en-CA"/>
        </w:rPr>
        <w:lastRenderedPageBreak/>
        <w:t>prejudice suffered by the defendant as a result of the alleged deficiencies</w:t>
      </w:r>
      <w:r w:rsidRPr="009D6270">
        <w:rPr>
          <w:sz w:val="20"/>
          <w:lang w:val="en-CA"/>
        </w:rPr>
        <w:t xml:space="preserve">. The object of an ineffectiveness claim is not to grade counsel’s performance. </w:t>
      </w:r>
      <w:r w:rsidRPr="009D6270">
        <w:rPr>
          <w:sz w:val="20"/>
          <w:u w:val="single"/>
          <w:lang w:val="en-CA"/>
        </w:rPr>
        <w:t>If it is easier to have an ineffectiveness claim on the ground of lack of sufficient prejudice, which we expect will often be so, that course should be followed</w:t>
      </w:r>
      <w:r w:rsidRPr="009D6270">
        <w:rPr>
          <w:sz w:val="20"/>
          <w:lang w:val="en-CA"/>
        </w:rPr>
        <w:t>. Courts should strive to ensure that ineffectiveness claims do not become so burdensome to defence counsel that the entire criminal justice system suffers as a result.</w:t>
      </w:r>
    </w:p>
    <w:p w14:paraId="1B6ADB25" w14:textId="69229B35" w:rsidR="002068A9" w:rsidRPr="00941800" w:rsidRDefault="00F06516" w:rsidP="00AB1D2C">
      <w:pPr>
        <w:pStyle w:val="Citationenretrait"/>
        <w:spacing w:before="0"/>
        <w:ind w:left="1440" w:right="1082"/>
        <w:jc w:val="right"/>
        <w:rPr>
          <w:sz w:val="20"/>
        </w:rPr>
      </w:pPr>
      <w:r>
        <w:rPr>
          <w:sz w:val="20"/>
          <w:lang w:val="en-CA"/>
        </w:rPr>
        <w:t>[Emphasis added]</w:t>
      </w:r>
    </w:p>
    <w:p w14:paraId="4A7101CE" w14:textId="5FCB1922" w:rsidR="00AB1D2C" w:rsidRPr="004A360E" w:rsidRDefault="00F06516" w:rsidP="00AB1D2C">
      <w:pPr>
        <w:pStyle w:val="Paragraphe"/>
        <w:rPr>
          <w:lang w:val="en-US"/>
        </w:rPr>
      </w:pPr>
      <w:r>
        <w:rPr>
          <w:lang w:val="en-CA"/>
        </w:rPr>
        <w:t xml:space="preserve">These </w:t>
      </w:r>
      <w:r w:rsidR="0050193C">
        <w:rPr>
          <w:lang w:val="en-CA"/>
        </w:rPr>
        <w:t xml:space="preserve">are the </w:t>
      </w:r>
      <w:r>
        <w:rPr>
          <w:lang w:val="en-CA"/>
        </w:rPr>
        <w:t xml:space="preserve">rules </w:t>
      </w:r>
      <w:r w:rsidR="0050193C">
        <w:rPr>
          <w:lang w:val="en-CA"/>
        </w:rPr>
        <w:t xml:space="preserve">that </w:t>
      </w:r>
      <w:r>
        <w:rPr>
          <w:lang w:val="en-CA"/>
        </w:rPr>
        <w:t>will apply to this case.</w:t>
      </w:r>
    </w:p>
    <w:p w14:paraId="101AC554" w14:textId="262E786B" w:rsidR="0086350F" w:rsidRPr="00941800" w:rsidRDefault="00F06516" w:rsidP="006F7CB6">
      <w:pPr>
        <w:pStyle w:val="Paragraphe"/>
        <w:numPr>
          <w:ilvl w:val="0"/>
          <w:numId w:val="0"/>
        </w:numPr>
        <w:rPr>
          <w:b/>
          <w:bCs/>
          <w:u w:val="single"/>
        </w:rPr>
      </w:pPr>
      <w:r>
        <w:rPr>
          <w:b/>
          <w:bCs/>
          <w:lang w:val="en-CA"/>
        </w:rPr>
        <w:t>b.</w:t>
      </w:r>
      <w:r>
        <w:rPr>
          <w:b/>
          <w:bCs/>
          <w:lang w:val="en-CA"/>
        </w:rPr>
        <w:tab/>
      </w:r>
      <w:r>
        <w:rPr>
          <w:b/>
          <w:bCs/>
          <w:u w:val="single"/>
          <w:lang w:val="en-CA"/>
        </w:rPr>
        <w:t xml:space="preserve">Application to </w:t>
      </w:r>
      <w:r w:rsidR="00926521">
        <w:rPr>
          <w:b/>
          <w:bCs/>
          <w:u w:val="single"/>
          <w:lang w:val="en-CA"/>
        </w:rPr>
        <w:t xml:space="preserve">this </w:t>
      </w:r>
      <w:r>
        <w:rPr>
          <w:b/>
          <w:bCs/>
          <w:u w:val="single"/>
          <w:lang w:val="en-CA"/>
        </w:rPr>
        <w:t>case</w:t>
      </w:r>
    </w:p>
    <w:p w14:paraId="643710F2" w14:textId="52CF50D8" w:rsidR="001E5FFB" w:rsidRPr="004A360E" w:rsidRDefault="00F06516" w:rsidP="0047522C">
      <w:pPr>
        <w:pStyle w:val="Paragraphe"/>
        <w:rPr>
          <w:lang w:val="en-US"/>
        </w:rPr>
      </w:pPr>
      <w:r>
        <w:rPr>
          <w:lang w:val="en-CA"/>
        </w:rPr>
        <w:t xml:space="preserve">As </w:t>
      </w:r>
      <w:r w:rsidR="0050193C">
        <w:rPr>
          <w:lang w:val="en-CA"/>
        </w:rPr>
        <w:t>discussed above</w:t>
      </w:r>
      <w:r>
        <w:rPr>
          <w:lang w:val="en-CA"/>
        </w:rPr>
        <w:t xml:space="preserve">, the appellant levelled two criticisms against his former counsel on the issue of ineffective assistance: </w:t>
      </w:r>
    </w:p>
    <w:p w14:paraId="19631FCF" w14:textId="3CFAEE1D" w:rsidR="0047522C" w:rsidRPr="004A360E" w:rsidRDefault="00F06516" w:rsidP="001E5FFB">
      <w:pPr>
        <w:pStyle w:val="Citationenretrait"/>
        <w:rPr>
          <w:sz w:val="24"/>
          <w:szCs w:val="24"/>
          <w:lang w:val="en-US"/>
        </w:rPr>
      </w:pPr>
      <w:r>
        <w:rPr>
          <w:sz w:val="24"/>
          <w:szCs w:val="24"/>
          <w:lang w:val="en-CA"/>
        </w:rPr>
        <w:t>-</w:t>
      </w:r>
      <w:r>
        <w:rPr>
          <w:sz w:val="24"/>
          <w:szCs w:val="24"/>
          <w:lang w:val="en-CA"/>
        </w:rPr>
        <w:tab/>
        <w:t>counsel was ill</w:t>
      </w:r>
      <w:r w:rsidR="000C54EB">
        <w:rPr>
          <w:sz w:val="24"/>
          <w:szCs w:val="24"/>
          <w:lang w:val="en-CA"/>
        </w:rPr>
        <w:t>-</w:t>
      </w:r>
      <w:r>
        <w:rPr>
          <w:sz w:val="24"/>
          <w:szCs w:val="24"/>
          <w:lang w:val="en-CA"/>
        </w:rPr>
        <w:t>prepared and defended the case in an unclear and confusing manner, undermining the appellant’s credibility by refusing to argue, contrary to his express will, that the complaints were the result of a financial conflict between him and his former spouse;</w:t>
      </w:r>
    </w:p>
    <w:p w14:paraId="5D5B7CEC" w14:textId="5FCE6701" w:rsidR="001E5FFB" w:rsidRPr="004A360E" w:rsidRDefault="00F06516" w:rsidP="001E5FFB">
      <w:pPr>
        <w:pStyle w:val="Citationenretrait"/>
        <w:rPr>
          <w:sz w:val="24"/>
          <w:szCs w:val="24"/>
          <w:lang w:val="en-US"/>
        </w:rPr>
      </w:pPr>
      <w:r>
        <w:rPr>
          <w:sz w:val="24"/>
          <w:szCs w:val="24"/>
          <w:lang w:val="en-CA"/>
        </w:rPr>
        <w:t>-</w:t>
      </w:r>
      <w:r>
        <w:rPr>
          <w:sz w:val="24"/>
          <w:szCs w:val="24"/>
          <w:lang w:val="en-CA"/>
        </w:rPr>
        <w:tab/>
        <w:t xml:space="preserve">counsel erred by not acting on </w:t>
      </w:r>
      <w:r w:rsidR="00784635">
        <w:rPr>
          <w:sz w:val="24"/>
          <w:szCs w:val="24"/>
          <w:lang w:val="en-CA"/>
        </w:rPr>
        <w:t xml:space="preserve">and </w:t>
      </w:r>
      <w:r w:rsidR="00FE0265">
        <w:rPr>
          <w:sz w:val="24"/>
          <w:szCs w:val="24"/>
          <w:lang w:val="en-CA"/>
        </w:rPr>
        <w:t>ignoring</w:t>
      </w:r>
      <w:r w:rsidR="00784635">
        <w:rPr>
          <w:sz w:val="24"/>
          <w:szCs w:val="24"/>
          <w:lang w:val="en-CA"/>
        </w:rPr>
        <w:t xml:space="preserve"> </w:t>
      </w:r>
      <w:r>
        <w:rPr>
          <w:sz w:val="24"/>
          <w:szCs w:val="24"/>
          <w:lang w:val="en-CA"/>
        </w:rPr>
        <w:t>the information the appellant provided to him about the particular characteristics of his penis without ever cross-examining or re-examining the complainants and their mother on the topic.</w:t>
      </w:r>
    </w:p>
    <w:p w14:paraId="70503C99" w14:textId="0C526BCE" w:rsidR="001E5FFB" w:rsidRPr="004A360E" w:rsidRDefault="00F621D5" w:rsidP="001E5FFB">
      <w:pPr>
        <w:pStyle w:val="Paragraphe"/>
        <w:rPr>
          <w:lang w:val="en-US"/>
        </w:rPr>
      </w:pPr>
      <w:r>
        <w:rPr>
          <w:lang w:val="en-CA"/>
        </w:rPr>
        <w:t>Let us consider</w:t>
      </w:r>
      <w:r w:rsidR="00F06516">
        <w:rPr>
          <w:lang w:val="en-CA"/>
        </w:rPr>
        <w:t xml:space="preserve"> each of these criticisms.</w:t>
      </w:r>
    </w:p>
    <w:p w14:paraId="593600D5" w14:textId="3F5550E2" w:rsidR="001E5FFB" w:rsidRPr="004A360E" w:rsidRDefault="00F06516" w:rsidP="008E7A6F">
      <w:pPr>
        <w:pStyle w:val="Paragraphe"/>
        <w:numPr>
          <w:ilvl w:val="0"/>
          <w:numId w:val="0"/>
        </w:numPr>
        <w:ind w:left="1440" w:hanging="720"/>
        <w:rPr>
          <w:b/>
          <w:bCs/>
          <w:lang w:val="en-US"/>
        </w:rPr>
      </w:pPr>
      <w:proofErr w:type="spellStart"/>
      <w:r>
        <w:rPr>
          <w:b/>
          <w:bCs/>
          <w:lang w:val="en-CA"/>
        </w:rPr>
        <w:t>i</w:t>
      </w:r>
      <w:proofErr w:type="spellEnd"/>
      <w:r>
        <w:rPr>
          <w:b/>
          <w:bCs/>
          <w:lang w:val="en-CA"/>
        </w:rPr>
        <w:t>.</w:t>
      </w:r>
      <w:r>
        <w:rPr>
          <w:b/>
          <w:bCs/>
          <w:lang w:val="en-CA"/>
        </w:rPr>
        <w:tab/>
      </w:r>
      <w:r>
        <w:rPr>
          <w:b/>
          <w:bCs/>
          <w:u w:val="single"/>
          <w:lang w:val="en-CA"/>
        </w:rPr>
        <w:t>First criticism: unclear and confusing representation, refusal to follow the appellant’s instructions, and undermining the appellant’s credibility</w:t>
      </w:r>
    </w:p>
    <w:p w14:paraId="35D264BA" w14:textId="050136BC" w:rsidR="0047522C" w:rsidRPr="009D6270" w:rsidRDefault="00F06516" w:rsidP="00981642">
      <w:pPr>
        <w:pStyle w:val="Paragraphe"/>
      </w:pPr>
      <w:r>
        <w:rPr>
          <w:lang w:val="en-CA"/>
        </w:rPr>
        <w:t xml:space="preserve">According to the appellant, his former counsel was </w:t>
      </w:r>
      <w:r w:rsidR="00F621D5">
        <w:rPr>
          <w:lang w:val="en-CA"/>
        </w:rPr>
        <w:t>ill-</w:t>
      </w:r>
      <w:r>
        <w:rPr>
          <w:lang w:val="en-CA"/>
        </w:rPr>
        <w:t xml:space="preserve">prepared and </w:t>
      </w:r>
      <w:r w:rsidR="00F621D5">
        <w:rPr>
          <w:lang w:val="en-CA"/>
        </w:rPr>
        <w:t xml:space="preserve">therefore </w:t>
      </w:r>
      <w:r w:rsidR="000C54EB">
        <w:rPr>
          <w:lang w:val="en-CA"/>
        </w:rPr>
        <w:t>sloppy</w:t>
      </w:r>
      <w:r>
        <w:rPr>
          <w:lang w:val="en-CA"/>
        </w:rPr>
        <w:t>. The appellant’s brief provides the following examples:</w:t>
      </w:r>
    </w:p>
    <w:p w14:paraId="6D21608F" w14:textId="3ACE4673" w:rsidR="001338D5" w:rsidRPr="00941800" w:rsidRDefault="001338D5" w:rsidP="000C54EB">
      <w:pPr>
        <w:pStyle w:val="Paragraphe"/>
        <w:numPr>
          <w:ilvl w:val="0"/>
          <w:numId w:val="0"/>
        </w:numPr>
        <w:ind w:firstLine="720"/>
      </w:pPr>
      <w:r>
        <w:rPr>
          <w:lang w:val="en-CA"/>
        </w:rPr>
        <w:t>[</w:t>
      </w:r>
      <w:r w:rsidRPr="00A26C92">
        <w:rPr>
          <w:smallCaps/>
          <w:lang w:val="en-CA"/>
        </w:rPr>
        <w:t>translation</w:t>
      </w:r>
      <w:r>
        <w:rPr>
          <w:lang w:val="en-CA"/>
        </w:rPr>
        <w:t>]</w:t>
      </w:r>
    </w:p>
    <w:p w14:paraId="28D7A76C" w14:textId="57433D48" w:rsidR="00981642" w:rsidRPr="004A360E" w:rsidRDefault="00F06516" w:rsidP="00192C3A">
      <w:pPr>
        <w:pStyle w:val="Citationenretrait"/>
        <w:rPr>
          <w:lang w:val="en-US"/>
        </w:rPr>
      </w:pPr>
      <w:r>
        <w:rPr>
          <w:lang w:val="en-CA"/>
        </w:rPr>
        <w:t>34.</w:t>
      </w:r>
      <w:r>
        <w:rPr>
          <w:lang w:val="en-CA"/>
        </w:rPr>
        <w:tab/>
        <w:t xml:space="preserve">On October 2, 2020, the trial judge criticized </w:t>
      </w:r>
      <w:proofErr w:type="spellStart"/>
      <w:r>
        <w:rPr>
          <w:lang w:val="en-CA"/>
        </w:rPr>
        <w:t>Mtre</w:t>
      </w:r>
      <w:proofErr w:type="spellEnd"/>
      <w:r>
        <w:rPr>
          <w:lang w:val="en-CA"/>
        </w:rPr>
        <w:t xml:space="preserve"> Bédard for not being specific. For example, </w:t>
      </w:r>
      <w:r w:rsidR="007741A2">
        <w:rPr>
          <w:lang w:val="en-CA"/>
        </w:rPr>
        <w:t>during</w:t>
      </w:r>
      <w:r>
        <w:rPr>
          <w:lang w:val="en-CA"/>
        </w:rPr>
        <w:t xml:space="preserve"> the accused</w:t>
      </w:r>
      <w:r w:rsidR="007741A2">
        <w:rPr>
          <w:lang w:val="en-CA"/>
        </w:rPr>
        <w:t>’s examination</w:t>
      </w:r>
      <w:r>
        <w:rPr>
          <w:lang w:val="en-CA"/>
        </w:rPr>
        <w:t xml:space="preserve"> </w:t>
      </w:r>
      <w:proofErr w:type="spellStart"/>
      <w:r>
        <w:rPr>
          <w:lang w:val="en-CA"/>
        </w:rPr>
        <w:t>Mtre</w:t>
      </w:r>
      <w:proofErr w:type="spellEnd"/>
      <w:r>
        <w:rPr>
          <w:lang w:val="en-CA"/>
        </w:rPr>
        <w:t xml:space="preserve"> Bédard began by saying</w:t>
      </w:r>
      <w:r w:rsidR="007741A2">
        <w:rPr>
          <w:lang w:val="en-CA"/>
        </w:rPr>
        <w:t>,</w:t>
      </w:r>
      <w:r w:rsidR="007741A2" w:rsidRPr="007741A2">
        <w:rPr>
          <w:lang w:val="en-CA"/>
        </w:rPr>
        <w:t xml:space="preserve"> </w:t>
      </w:r>
      <w:r w:rsidR="007741A2">
        <w:rPr>
          <w:lang w:val="en-CA"/>
        </w:rPr>
        <w:t>[</w:t>
      </w:r>
      <w:r w:rsidR="007741A2" w:rsidRPr="009F258C">
        <w:rPr>
          <w:smallCaps/>
          <w:lang w:val="en-CA"/>
        </w:rPr>
        <w:t>translation</w:t>
      </w:r>
      <w:r w:rsidR="007741A2">
        <w:rPr>
          <w:lang w:val="en-CA"/>
        </w:rPr>
        <w:t xml:space="preserve">] </w:t>
      </w:r>
      <w:r>
        <w:rPr>
          <w:lang w:val="en-CA"/>
        </w:rPr>
        <w:t xml:space="preserve">“I will try to be more specific”. A short time later, the judge said, </w:t>
      </w:r>
      <w:r w:rsidR="007741A2">
        <w:rPr>
          <w:lang w:val="en-CA"/>
        </w:rPr>
        <w:t>[</w:t>
      </w:r>
      <w:r w:rsidR="007741A2" w:rsidRPr="009F258C">
        <w:rPr>
          <w:smallCaps/>
          <w:lang w:val="en-CA"/>
        </w:rPr>
        <w:t>translation</w:t>
      </w:r>
      <w:r w:rsidR="007741A2">
        <w:rPr>
          <w:lang w:val="en-CA"/>
        </w:rPr>
        <w:t xml:space="preserve">] </w:t>
      </w:r>
      <w:r>
        <w:rPr>
          <w:lang w:val="en-CA"/>
        </w:rPr>
        <w:t>“[Y]</w:t>
      </w:r>
      <w:proofErr w:type="spellStart"/>
      <w:r>
        <w:rPr>
          <w:lang w:val="en-CA"/>
        </w:rPr>
        <w:t>ou’re</w:t>
      </w:r>
      <w:proofErr w:type="spellEnd"/>
      <w:r>
        <w:rPr>
          <w:lang w:val="en-CA"/>
        </w:rPr>
        <w:t xml:space="preserve"> not being more specific, you’re going to lose me”. At another point, the judge </w:t>
      </w:r>
      <w:r w:rsidR="000C54EB">
        <w:rPr>
          <w:lang w:val="en-CA"/>
        </w:rPr>
        <w:t xml:space="preserve">again </w:t>
      </w:r>
      <w:r>
        <w:rPr>
          <w:lang w:val="en-CA"/>
        </w:rPr>
        <w:t xml:space="preserve">asked him to be more specific, saying, </w:t>
      </w:r>
      <w:r w:rsidR="007741A2">
        <w:rPr>
          <w:lang w:val="en-CA"/>
        </w:rPr>
        <w:t>[</w:t>
      </w:r>
      <w:r w:rsidR="007741A2" w:rsidRPr="009F258C">
        <w:rPr>
          <w:smallCaps/>
          <w:lang w:val="en-CA"/>
        </w:rPr>
        <w:t>translation</w:t>
      </w:r>
      <w:r w:rsidR="007741A2">
        <w:rPr>
          <w:lang w:val="en-CA"/>
        </w:rPr>
        <w:t xml:space="preserve">] </w:t>
      </w:r>
      <w:r>
        <w:rPr>
          <w:lang w:val="en-CA"/>
        </w:rPr>
        <w:t>“Are you talking about the morning? … Because be specific”.</w:t>
      </w:r>
    </w:p>
    <w:p w14:paraId="2BE11632" w14:textId="7886FE37" w:rsidR="00981642" w:rsidRDefault="00F06516" w:rsidP="00981642">
      <w:pPr>
        <w:pStyle w:val="Citationenretrait"/>
        <w:rPr>
          <w:lang w:val="en-CA"/>
        </w:rPr>
      </w:pPr>
      <w:r>
        <w:rPr>
          <w:lang w:val="en-CA"/>
        </w:rPr>
        <w:lastRenderedPageBreak/>
        <w:t>35.</w:t>
      </w:r>
      <w:r>
        <w:rPr>
          <w:lang w:val="en-CA"/>
        </w:rPr>
        <w:tab/>
        <w:t xml:space="preserve">On November 12, 2020, during the re-examinations, </w:t>
      </w:r>
      <w:proofErr w:type="spellStart"/>
      <w:r>
        <w:rPr>
          <w:lang w:val="en-CA"/>
        </w:rPr>
        <w:t>Mtre</w:t>
      </w:r>
      <w:proofErr w:type="spellEnd"/>
      <w:r>
        <w:rPr>
          <w:lang w:val="en-CA"/>
        </w:rPr>
        <w:t xml:space="preserve"> Bédard asked for the accused to be heard again on two questions. This request was denied because the questions had already been asked during the accused’s main testimony. </w:t>
      </w:r>
      <w:proofErr w:type="spellStart"/>
      <w:r>
        <w:rPr>
          <w:lang w:val="en-CA"/>
        </w:rPr>
        <w:t>Mtre</w:t>
      </w:r>
      <w:proofErr w:type="spellEnd"/>
      <w:r>
        <w:rPr>
          <w:lang w:val="en-CA"/>
        </w:rPr>
        <w:t xml:space="preserve"> Bédard said:</w:t>
      </w:r>
    </w:p>
    <w:p w14:paraId="68B3EB5C" w14:textId="073D9919" w:rsidR="007741A2" w:rsidRPr="000C54EB" w:rsidRDefault="007741A2" w:rsidP="009D6270">
      <w:pPr>
        <w:pStyle w:val="Citationenretrait"/>
        <w:ind w:left="0"/>
        <w:rPr>
          <w:sz w:val="20"/>
          <w:lang w:val="en-US"/>
        </w:rPr>
      </w:pPr>
      <w:r>
        <w:rPr>
          <w:lang w:val="en-CA"/>
        </w:rPr>
        <w:tab/>
      </w:r>
      <w:r>
        <w:rPr>
          <w:lang w:val="en-CA"/>
        </w:rPr>
        <w:tab/>
      </w:r>
      <w:r w:rsidRPr="000C54EB">
        <w:rPr>
          <w:sz w:val="20"/>
          <w:lang w:val="en-CA"/>
        </w:rPr>
        <w:t>[</w:t>
      </w:r>
      <w:r w:rsidRPr="000C54EB">
        <w:rPr>
          <w:smallCaps/>
          <w:sz w:val="20"/>
          <w:lang w:val="en-CA"/>
        </w:rPr>
        <w:t>translation</w:t>
      </w:r>
      <w:r w:rsidRPr="000C54EB">
        <w:rPr>
          <w:sz w:val="20"/>
          <w:lang w:val="en-CA"/>
        </w:rPr>
        <w:t>]</w:t>
      </w:r>
    </w:p>
    <w:p w14:paraId="5D226781" w14:textId="2468F90F" w:rsidR="00981642" w:rsidRPr="000C54EB" w:rsidRDefault="00F06516" w:rsidP="0086350F">
      <w:pPr>
        <w:pStyle w:val="Citationenretrait"/>
        <w:ind w:left="1440" w:right="1082"/>
        <w:rPr>
          <w:sz w:val="20"/>
          <w:lang w:val="en-US"/>
        </w:rPr>
      </w:pPr>
      <w:r w:rsidRPr="000C54EB">
        <w:rPr>
          <w:sz w:val="20"/>
          <w:lang w:val="en-CA"/>
        </w:rPr>
        <w:t xml:space="preserve">“I wasn’t... I wasn’t sure anymore, I </w:t>
      </w:r>
      <w:r w:rsidR="007741A2" w:rsidRPr="000C54EB">
        <w:rPr>
          <w:sz w:val="20"/>
          <w:lang w:val="en-CA"/>
        </w:rPr>
        <w:t xml:space="preserve">hadn’t </w:t>
      </w:r>
      <w:r w:rsidRPr="000C54EB">
        <w:rPr>
          <w:sz w:val="20"/>
          <w:lang w:val="en-CA"/>
        </w:rPr>
        <w:t>review</w:t>
      </w:r>
      <w:r w:rsidR="007741A2" w:rsidRPr="000C54EB">
        <w:rPr>
          <w:sz w:val="20"/>
          <w:lang w:val="en-CA"/>
        </w:rPr>
        <w:t>ed</w:t>
      </w:r>
      <w:r w:rsidRPr="000C54EB">
        <w:rPr>
          <w:sz w:val="20"/>
          <w:lang w:val="en-CA"/>
        </w:rPr>
        <w:t xml:space="preserve"> </w:t>
      </w:r>
      <w:r w:rsidR="00C746D1" w:rsidRPr="000C54EB">
        <w:rPr>
          <w:sz w:val="20"/>
          <w:lang w:val="en-CA"/>
        </w:rPr>
        <w:t xml:space="preserve">the accused’s </w:t>
      </w:r>
      <w:r w:rsidRPr="000C54EB">
        <w:rPr>
          <w:sz w:val="20"/>
          <w:lang w:val="en-CA"/>
        </w:rPr>
        <w:t xml:space="preserve">testimony, but... </w:t>
      </w:r>
      <w:r w:rsidR="00C746D1" w:rsidRPr="000C54EB">
        <w:rPr>
          <w:sz w:val="20"/>
          <w:lang w:val="en-CA"/>
        </w:rPr>
        <w:t xml:space="preserve">. </w:t>
      </w:r>
      <w:r w:rsidRPr="000C54EB">
        <w:rPr>
          <w:sz w:val="20"/>
          <w:lang w:val="en-CA"/>
        </w:rPr>
        <w:t>I don’t remember exactly, because I didn’t re-read his testimony, but if it’s...”.</w:t>
      </w:r>
    </w:p>
    <w:p w14:paraId="122E10D7" w14:textId="68B9DC21" w:rsidR="0086350F" w:rsidRDefault="00F06516" w:rsidP="0086350F">
      <w:pPr>
        <w:pStyle w:val="Citationenretrait"/>
        <w:rPr>
          <w:lang w:val="en-CA"/>
        </w:rPr>
      </w:pPr>
      <w:r>
        <w:rPr>
          <w:lang w:val="en-CA"/>
        </w:rPr>
        <w:t>36.</w:t>
      </w:r>
      <w:r>
        <w:rPr>
          <w:lang w:val="en-CA"/>
        </w:rPr>
        <w:tab/>
      </w:r>
      <w:r w:rsidR="001338D5">
        <w:rPr>
          <w:lang w:val="en-CA"/>
        </w:rPr>
        <w:t xml:space="preserve">From a reading of the transcripts </w:t>
      </w:r>
      <w:proofErr w:type="spellStart"/>
      <w:r w:rsidR="001338D5">
        <w:rPr>
          <w:lang w:val="en-CA"/>
        </w:rPr>
        <w:t>Mtre</w:t>
      </w:r>
      <w:proofErr w:type="spellEnd"/>
      <w:r w:rsidR="001338D5">
        <w:rPr>
          <w:lang w:val="en-CA"/>
        </w:rPr>
        <w:t xml:space="preserve"> Bédard appeared unprepared </w:t>
      </w:r>
      <w:r>
        <w:rPr>
          <w:lang w:val="en-CA"/>
        </w:rPr>
        <w:t>during arguments</w:t>
      </w:r>
      <w:r w:rsidR="00F357B3">
        <w:rPr>
          <w:lang w:val="en-CA"/>
        </w:rPr>
        <w:t xml:space="preserve"> on November 12, 2020</w:t>
      </w:r>
      <w:r>
        <w:rPr>
          <w:lang w:val="en-CA"/>
        </w:rPr>
        <w:t xml:space="preserve">, </w:t>
      </w:r>
      <w:proofErr w:type="spellStart"/>
      <w:r>
        <w:rPr>
          <w:lang w:val="en-CA"/>
        </w:rPr>
        <w:t>Mtre</w:t>
      </w:r>
      <w:proofErr w:type="spellEnd"/>
      <w:r>
        <w:rPr>
          <w:lang w:val="en-CA"/>
        </w:rPr>
        <w:t xml:space="preserve"> Bédard seemed unprepared, </w:t>
      </w:r>
      <w:r w:rsidR="001338D5">
        <w:rPr>
          <w:lang w:val="en-CA"/>
        </w:rPr>
        <w:t>when he did</w:t>
      </w:r>
      <w:r>
        <w:rPr>
          <w:lang w:val="en-CA"/>
        </w:rPr>
        <w:t xml:space="preserve"> not necessarily </w:t>
      </w:r>
      <w:r w:rsidR="001338D5">
        <w:rPr>
          <w:lang w:val="en-CA"/>
        </w:rPr>
        <w:t xml:space="preserve">cite </w:t>
      </w:r>
      <w:r>
        <w:rPr>
          <w:lang w:val="en-CA"/>
        </w:rPr>
        <w:t>the pages of the transcripts he was referring to:</w:t>
      </w:r>
    </w:p>
    <w:p w14:paraId="25880FF2" w14:textId="5341D48E" w:rsidR="0086350F" w:rsidRPr="00E85A61" w:rsidRDefault="001338D5" w:rsidP="0010638E">
      <w:pPr>
        <w:pStyle w:val="Citationenretrait"/>
        <w:tabs>
          <w:tab w:val="left" w:pos="8222"/>
        </w:tabs>
        <w:ind w:left="1418" w:right="1140" w:hanging="698"/>
        <w:rPr>
          <w:sz w:val="20"/>
          <w:lang w:val="en-US"/>
        </w:rPr>
      </w:pPr>
      <w:r>
        <w:rPr>
          <w:lang w:val="en-CA"/>
        </w:rPr>
        <w:tab/>
      </w:r>
      <w:proofErr w:type="spellStart"/>
      <w:r w:rsidR="00F06516" w:rsidRPr="00E85A61">
        <w:rPr>
          <w:sz w:val="20"/>
          <w:u w:val="single"/>
          <w:lang w:val="en-CA"/>
        </w:rPr>
        <w:t>MTRE</w:t>
      </w:r>
      <w:proofErr w:type="spellEnd"/>
      <w:r w:rsidR="00F06516" w:rsidRPr="00E85A61">
        <w:rPr>
          <w:sz w:val="20"/>
          <w:u w:val="single"/>
          <w:lang w:val="en-CA"/>
        </w:rPr>
        <w:t xml:space="preserve"> CLAUDE BÉDARD FOR THE ACCUSED</w:t>
      </w:r>
      <w:r w:rsidR="00F06516" w:rsidRPr="00E85A61">
        <w:rPr>
          <w:sz w:val="20"/>
          <w:lang w:val="en-CA"/>
        </w:rPr>
        <w:t xml:space="preserve">: … Because </w:t>
      </w:r>
      <w:r w:rsidR="007000AF" w:rsidRPr="00E85A61">
        <w:rPr>
          <w:sz w:val="20"/>
          <w:lang w:val="en-CA"/>
        </w:rPr>
        <w:t>the young girl,</w:t>
      </w:r>
      <w:r w:rsidR="00F06516" w:rsidRPr="00E85A61">
        <w:rPr>
          <w:sz w:val="20"/>
          <w:lang w:val="en-CA"/>
        </w:rPr>
        <w:t xml:space="preserve">... </w:t>
      </w:r>
      <w:r w:rsidR="007000AF" w:rsidRPr="00E85A61">
        <w:rPr>
          <w:sz w:val="20"/>
          <w:lang w:val="en-CA"/>
        </w:rPr>
        <w:t>the young lady</w:t>
      </w:r>
      <w:r w:rsidR="00F06516" w:rsidRPr="00E85A61">
        <w:rPr>
          <w:sz w:val="20"/>
          <w:lang w:val="en-CA"/>
        </w:rPr>
        <w:t xml:space="preserve"> said,</w:t>
      </w:r>
      <w:r w:rsidR="0010638E" w:rsidRPr="00E85A61">
        <w:rPr>
          <w:sz w:val="20"/>
          <w:lang w:val="en-CA"/>
        </w:rPr>
        <w:t xml:space="preserve"> [</w:t>
      </w:r>
      <w:r w:rsidR="0010638E" w:rsidRPr="00E85A61">
        <w:rPr>
          <w:smallCaps/>
          <w:sz w:val="20"/>
          <w:lang w:val="en-CA"/>
        </w:rPr>
        <w:t>translation</w:t>
      </w:r>
      <w:r w:rsidR="0010638E" w:rsidRPr="00E85A61">
        <w:rPr>
          <w:sz w:val="20"/>
          <w:lang w:val="en-CA"/>
        </w:rPr>
        <w:t>] “</w:t>
      </w:r>
      <w:r w:rsidR="007000AF" w:rsidRPr="00E85A61">
        <w:rPr>
          <w:sz w:val="20"/>
          <w:lang w:val="en-CA"/>
        </w:rPr>
        <w:t>h</w:t>
      </w:r>
      <w:r w:rsidR="00F06516" w:rsidRPr="00E85A61">
        <w:rPr>
          <w:sz w:val="20"/>
          <w:lang w:val="en-CA"/>
        </w:rPr>
        <w:t xml:space="preserve">e sat down, waited for the meals, </w:t>
      </w:r>
      <w:r w:rsidRPr="00E85A61">
        <w:rPr>
          <w:sz w:val="20"/>
          <w:lang w:val="en-CA"/>
        </w:rPr>
        <w:t>had his plate cleared</w:t>
      </w:r>
      <w:r w:rsidR="00F06516" w:rsidRPr="00E85A61">
        <w:rPr>
          <w:sz w:val="20"/>
          <w:lang w:val="en-CA"/>
        </w:rPr>
        <w:t xml:space="preserve">, watched TV, </w:t>
      </w:r>
      <w:r w:rsidRPr="00E85A61">
        <w:rPr>
          <w:sz w:val="20"/>
          <w:lang w:val="en-CA"/>
        </w:rPr>
        <w:t>everyone had to be quiet</w:t>
      </w:r>
      <w:r w:rsidR="00F06516" w:rsidRPr="00E85A61">
        <w:rPr>
          <w:sz w:val="20"/>
          <w:lang w:val="en-CA"/>
        </w:rPr>
        <w:t xml:space="preserve">”. That is what </w:t>
      </w:r>
      <w:r w:rsidRPr="00E85A61">
        <w:rPr>
          <w:sz w:val="20"/>
          <w:lang w:val="en-CA"/>
        </w:rPr>
        <w:t xml:space="preserve">X </w:t>
      </w:r>
      <w:r w:rsidR="00F06516" w:rsidRPr="00E85A61">
        <w:rPr>
          <w:sz w:val="20"/>
          <w:lang w:val="en-CA"/>
        </w:rPr>
        <w:t>told us, page… yes…</w:t>
      </w:r>
    </w:p>
    <w:p w14:paraId="6FD87EC5" w14:textId="658EE228" w:rsidR="0086350F" w:rsidRPr="00E85A61" w:rsidRDefault="00F06516" w:rsidP="000E5CC1">
      <w:pPr>
        <w:pStyle w:val="Citationenretrait"/>
        <w:ind w:left="1440" w:right="1082"/>
        <w:rPr>
          <w:sz w:val="20"/>
          <w:lang w:val="en-US"/>
        </w:rPr>
      </w:pPr>
      <w:r w:rsidRPr="00E85A61">
        <w:rPr>
          <w:sz w:val="20"/>
          <w:u w:val="single"/>
          <w:lang w:val="en-CA"/>
        </w:rPr>
        <w:t>THE COURT</w:t>
      </w:r>
      <w:r w:rsidRPr="00E85A61">
        <w:rPr>
          <w:sz w:val="20"/>
          <w:lang w:val="en-CA"/>
        </w:rPr>
        <w:t>: Page?</w:t>
      </w:r>
    </w:p>
    <w:p w14:paraId="0AECC2A5" w14:textId="2C591DA1" w:rsidR="0086350F" w:rsidRPr="00E85A61" w:rsidRDefault="00F06516" w:rsidP="000E5CC1">
      <w:pPr>
        <w:pStyle w:val="Citationenretrait"/>
        <w:ind w:left="1440" w:right="1082"/>
        <w:rPr>
          <w:sz w:val="20"/>
          <w:lang w:val="en-US"/>
        </w:rPr>
      </w:pPr>
      <w:proofErr w:type="spellStart"/>
      <w:r w:rsidRPr="00E85A61">
        <w:rPr>
          <w:sz w:val="20"/>
          <w:u w:val="single"/>
          <w:lang w:val="en-CA"/>
        </w:rPr>
        <w:t>MTRE</w:t>
      </w:r>
      <w:proofErr w:type="spellEnd"/>
      <w:r w:rsidRPr="00E85A61">
        <w:rPr>
          <w:sz w:val="20"/>
          <w:u w:val="single"/>
          <w:lang w:val="en-CA"/>
        </w:rPr>
        <w:t xml:space="preserve"> CLAUDE BÉDARD FOR THE ACCUSED</w:t>
      </w:r>
      <w:r w:rsidRPr="00E85A61">
        <w:rPr>
          <w:sz w:val="20"/>
          <w:lang w:val="en-CA"/>
        </w:rPr>
        <w:t>: No, no page.</w:t>
      </w:r>
    </w:p>
    <w:p w14:paraId="13D3A5DE" w14:textId="73E0EA44" w:rsidR="0086350F" w:rsidRPr="00220E09" w:rsidRDefault="0010638E" w:rsidP="0010638E">
      <w:pPr>
        <w:pStyle w:val="Citationenretrait"/>
        <w:tabs>
          <w:tab w:val="left" w:pos="8642"/>
        </w:tabs>
        <w:spacing w:before="0"/>
        <w:jc w:val="center"/>
        <w:rPr>
          <w:szCs w:val="22"/>
        </w:rPr>
      </w:pPr>
      <w:r w:rsidRPr="00220E09">
        <w:rPr>
          <w:szCs w:val="22"/>
          <w:lang w:val="en-CA"/>
        </w:rPr>
        <w:t xml:space="preserve">                                                                                              </w:t>
      </w:r>
      <w:r w:rsidR="00F06516" w:rsidRPr="00220E09">
        <w:rPr>
          <w:szCs w:val="22"/>
          <w:lang w:val="en-CA"/>
        </w:rPr>
        <w:t>[References omitted]</w:t>
      </w:r>
    </w:p>
    <w:p w14:paraId="1B6B7DE8" w14:textId="1CC32BAE" w:rsidR="00796872" w:rsidRPr="004A360E" w:rsidRDefault="00F06516" w:rsidP="002F34A3">
      <w:pPr>
        <w:pStyle w:val="Paragraphe"/>
        <w:rPr>
          <w:lang w:val="en-US"/>
        </w:rPr>
      </w:pPr>
      <w:r>
        <w:rPr>
          <w:lang w:val="en-CA"/>
        </w:rPr>
        <w:t xml:space="preserve">With respect, there is nothing in these examples, </w:t>
      </w:r>
      <w:r w:rsidR="00117640">
        <w:rPr>
          <w:lang w:val="en-CA"/>
        </w:rPr>
        <w:t>either</w:t>
      </w:r>
      <w:r>
        <w:rPr>
          <w:lang w:val="en-CA"/>
        </w:rPr>
        <w:t xml:space="preserve"> taken together or individually, </w:t>
      </w:r>
      <w:r w:rsidR="007000AF">
        <w:rPr>
          <w:lang w:val="en-CA"/>
        </w:rPr>
        <w:t>that establishes</w:t>
      </w:r>
      <w:r>
        <w:rPr>
          <w:lang w:val="en-CA"/>
        </w:rPr>
        <w:t xml:space="preserve"> the </w:t>
      </w:r>
      <w:r w:rsidR="007000AF">
        <w:rPr>
          <w:lang w:val="en-CA"/>
        </w:rPr>
        <w:t>in</w:t>
      </w:r>
      <w:r w:rsidR="00117640">
        <w:rPr>
          <w:lang w:val="en-CA"/>
        </w:rPr>
        <w:t>effectiveness</w:t>
      </w:r>
      <w:r w:rsidR="007000AF">
        <w:rPr>
          <w:lang w:val="en-CA"/>
        </w:rPr>
        <w:t xml:space="preserve"> of the </w:t>
      </w:r>
      <w:r>
        <w:rPr>
          <w:lang w:val="en-CA"/>
        </w:rPr>
        <w:t>assistance provided by the appellant’s former counsel. These are irrelevant details taken out of context, and it is hard to see how they would have been decisive or even relevant, or how they could have influenced the way in which the judge assessed the evidence or, more generally, how they could have changed the outcome of the dispute.</w:t>
      </w:r>
    </w:p>
    <w:p w14:paraId="55430A6B" w14:textId="09EDEB21" w:rsidR="002F34A3" w:rsidRPr="004A360E" w:rsidRDefault="00F06516" w:rsidP="002F34A3">
      <w:pPr>
        <w:pStyle w:val="Paragraphe"/>
        <w:rPr>
          <w:lang w:val="en-US"/>
        </w:rPr>
      </w:pPr>
      <w:r>
        <w:rPr>
          <w:lang w:val="en-CA"/>
        </w:rPr>
        <w:t xml:space="preserve">As noted in </w:t>
      </w:r>
      <w:proofErr w:type="spellStart"/>
      <w:r>
        <w:rPr>
          <w:i/>
          <w:iCs/>
          <w:lang w:val="en-CA"/>
        </w:rPr>
        <w:t>G.D.B</w:t>
      </w:r>
      <w:proofErr w:type="spellEnd"/>
      <w:r>
        <w:rPr>
          <w:i/>
          <w:iCs/>
          <w:lang w:val="en-CA"/>
        </w:rPr>
        <w:t>.</w:t>
      </w:r>
      <w:r>
        <w:rPr>
          <w:lang w:val="en-CA"/>
        </w:rPr>
        <w:t xml:space="preserve">, for </w:t>
      </w:r>
      <w:r w:rsidR="009B7A2E">
        <w:rPr>
          <w:lang w:val="en-CA"/>
        </w:rPr>
        <w:t>an</w:t>
      </w:r>
      <w:r>
        <w:rPr>
          <w:lang w:val="en-CA"/>
        </w:rPr>
        <w:t xml:space="preserve"> ineffective assistance of counsel </w:t>
      </w:r>
      <w:r w:rsidR="009B7A2E">
        <w:rPr>
          <w:lang w:val="en-CA"/>
        </w:rPr>
        <w:t xml:space="preserve">claim </w:t>
      </w:r>
      <w:r>
        <w:rPr>
          <w:lang w:val="en-CA"/>
        </w:rPr>
        <w:t xml:space="preserve">to succeed, it must be </w:t>
      </w:r>
      <w:r w:rsidR="009B7A2E">
        <w:rPr>
          <w:lang w:val="en-CA"/>
        </w:rPr>
        <w:t>established</w:t>
      </w:r>
      <w:r>
        <w:rPr>
          <w:lang w:val="en-CA"/>
        </w:rPr>
        <w:t>, “first, that counsel’s acts or omissions constituted incompetence and second, that a miscarriage of justice resulted”.</w:t>
      </w:r>
      <w:r>
        <w:rPr>
          <w:rStyle w:val="Appelnotedebasdep"/>
          <w:lang w:val="en-CA"/>
        </w:rPr>
        <w:footnoteReference w:id="34"/>
      </w:r>
      <w:r>
        <w:rPr>
          <w:lang w:val="en-CA"/>
        </w:rPr>
        <w:t xml:space="preserve"> However, the appellant failed </w:t>
      </w:r>
      <w:r w:rsidR="009B7A2E">
        <w:rPr>
          <w:lang w:val="en-CA"/>
        </w:rPr>
        <w:t>on both points</w:t>
      </w:r>
      <w:r>
        <w:rPr>
          <w:lang w:val="en-CA"/>
        </w:rPr>
        <w:t xml:space="preserve">. Counsel’s performance is not assessed based on a standard of perfection, and it is not uncommon for even the most competent defence lawyer to occasionally falter or not be able to immediately indicate the page number where a piece of information is found. This is not an indicator of incompetence. In addition, the appellant did not establish the resulting prejudice. The same applies, in the circumstances, to counsel’s admission that he did not read the appellant’s testimony before asking to re-examine </w:t>
      </w:r>
      <w:r w:rsidR="009B7A2E">
        <w:rPr>
          <w:lang w:val="en-CA"/>
        </w:rPr>
        <w:t>him</w:t>
      </w:r>
      <w:r>
        <w:rPr>
          <w:lang w:val="en-CA"/>
        </w:rPr>
        <w:t xml:space="preserve">, a request </w:t>
      </w:r>
      <w:r>
        <w:rPr>
          <w:lang w:val="en-CA"/>
        </w:rPr>
        <w:lastRenderedPageBreak/>
        <w:t xml:space="preserve">that was refused since the questions he would have asked had already been addressed during the </w:t>
      </w:r>
      <w:r w:rsidR="009B7A2E">
        <w:rPr>
          <w:lang w:val="en-CA"/>
        </w:rPr>
        <w:t>examination</w:t>
      </w:r>
      <w:r>
        <w:rPr>
          <w:lang w:val="en-CA"/>
        </w:rPr>
        <w:t xml:space="preserve">-in-chief. It is not possible to conclude </w:t>
      </w:r>
      <w:r w:rsidR="009B7A2E">
        <w:rPr>
          <w:lang w:val="en-CA"/>
        </w:rPr>
        <w:t>from</w:t>
      </w:r>
      <w:r>
        <w:rPr>
          <w:lang w:val="en-CA"/>
        </w:rPr>
        <w:t xml:space="preserve"> counsel’s statement that he was incompetent or to infer that the appellant suffered any prejudice amounting to a miscarriage of justice. In fact, if counsel had reread his client’s testimony, in all likelihood he would not have </w:t>
      </w:r>
      <w:r w:rsidR="009B7A2E">
        <w:rPr>
          <w:lang w:val="en-CA"/>
        </w:rPr>
        <w:t xml:space="preserve">asked for </w:t>
      </w:r>
      <w:r>
        <w:rPr>
          <w:lang w:val="en-CA"/>
        </w:rPr>
        <w:t>permission to re-examine him, and no such re-examination would have taken place, which was ultimately the case here.</w:t>
      </w:r>
    </w:p>
    <w:p w14:paraId="3B7426E5" w14:textId="54B14DA7" w:rsidR="00065C01" w:rsidRPr="004A360E" w:rsidRDefault="00F06516" w:rsidP="002F34A3">
      <w:pPr>
        <w:pStyle w:val="Paragraphe"/>
        <w:rPr>
          <w:lang w:val="en-US"/>
        </w:rPr>
      </w:pPr>
      <w:r>
        <w:rPr>
          <w:lang w:val="en-CA"/>
        </w:rPr>
        <w:t xml:space="preserve">Although the first criticism is unfounded, what about the second, which </w:t>
      </w:r>
      <w:r w:rsidR="00D41D58">
        <w:rPr>
          <w:lang w:val="en-CA"/>
        </w:rPr>
        <w:t>concerns</w:t>
      </w:r>
      <w:r>
        <w:rPr>
          <w:lang w:val="en-CA"/>
        </w:rPr>
        <w:t xml:space="preserve"> the financial conflict between the appellant and his former spouse, a conflict that is related to their break-up? Did counsel </w:t>
      </w:r>
      <w:r w:rsidR="00D41D58">
        <w:rPr>
          <w:lang w:val="en-CA"/>
        </w:rPr>
        <w:t>follow</w:t>
      </w:r>
      <w:r>
        <w:rPr>
          <w:lang w:val="en-CA"/>
        </w:rPr>
        <w:t xml:space="preserve"> his client’s instructions in this regard and, if not, did he significantly undermine his </w:t>
      </w:r>
      <w:r w:rsidR="00D41D58">
        <w:rPr>
          <w:lang w:val="en-CA"/>
        </w:rPr>
        <w:t xml:space="preserve">client’s </w:t>
      </w:r>
      <w:r>
        <w:rPr>
          <w:lang w:val="en-CA"/>
        </w:rPr>
        <w:t>credibility by stating the following during his arguments, in reply, on November 12, 2020:</w:t>
      </w:r>
    </w:p>
    <w:p w14:paraId="47C54932" w14:textId="30FCEF2A" w:rsidR="00E669D4" w:rsidRDefault="00F06516" w:rsidP="00565E2F">
      <w:pPr>
        <w:pStyle w:val="Citationenretrait"/>
        <w:spacing w:after="0"/>
        <w:rPr>
          <w:rFonts w:cs="Arial"/>
          <w:caps/>
          <w:lang w:val="en-CA"/>
        </w:rPr>
      </w:pPr>
      <w:r>
        <w:rPr>
          <w:rFonts w:cs="Arial"/>
          <w:caps/>
          <w:lang w:val="en-CA"/>
        </w:rPr>
        <w:t>[</w:t>
      </w:r>
      <w:r w:rsidR="00E669D4" w:rsidRPr="009D6270">
        <w:rPr>
          <w:rFonts w:cs="Arial"/>
          <w:smallCaps/>
          <w:lang w:val="en-CA"/>
        </w:rPr>
        <w:t>translation</w:t>
      </w:r>
      <w:r>
        <w:rPr>
          <w:rFonts w:cs="Arial"/>
          <w:caps/>
          <w:lang w:val="en-CA"/>
        </w:rPr>
        <w:t>]</w:t>
      </w:r>
    </w:p>
    <w:p w14:paraId="2E2032A6" w14:textId="543B114C" w:rsidR="00B308CE" w:rsidRPr="004A360E" w:rsidRDefault="00F06516" w:rsidP="00565E2F">
      <w:pPr>
        <w:pStyle w:val="Citationenretrait"/>
        <w:spacing w:after="0"/>
        <w:rPr>
          <w:rFonts w:cs="Arial"/>
          <w:caps/>
          <w:u w:val="single"/>
          <w:lang w:val="en-US"/>
        </w:rPr>
      </w:pPr>
      <w:proofErr w:type="spellStart"/>
      <w:r>
        <w:rPr>
          <w:rFonts w:cs="Arial"/>
          <w:caps/>
          <w:u w:val="single"/>
          <w:lang w:val="en-CA"/>
        </w:rPr>
        <w:t>M</w:t>
      </w:r>
      <w:r>
        <w:rPr>
          <w:rFonts w:cs="Arial"/>
          <w:u w:val="single"/>
          <w:lang w:val="en-CA"/>
        </w:rPr>
        <w:t>tre</w:t>
      </w:r>
      <w:proofErr w:type="spellEnd"/>
      <w:r>
        <w:rPr>
          <w:rFonts w:cs="Arial"/>
          <w:caps/>
          <w:u w:val="single"/>
          <w:lang w:val="en-CA"/>
        </w:rPr>
        <w:t xml:space="preserve"> Claude Bédard</w:t>
      </w:r>
    </w:p>
    <w:p w14:paraId="48290AB2" w14:textId="6C9A4038" w:rsidR="00B308CE" w:rsidRPr="004A360E" w:rsidRDefault="00F06516" w:rsidP="00565E2F">
      <w:pPr>
        <w:pStyle w:val="Citationenretrait"/>
        <w:spacing w:before="0" w:after="0"/>
        <w:rPr>
          <w:rFonts w:cs="Arial"/>
          <w:u w:val="single"/>
          <w:lang w:val="en-US"/>
        </w:rPr>
      </w:pPr>
      <w:r>
        <w:rPr>
          <w:rFonts w:cs="Arial"/>
          <w:caps/>
          <w:u w:val="single"/>
          <w:lang w:val="en-CA"/>
        </w:rPr>
        <w:t>for the accused:</w:t>
      </w:r>
    </w:p>
    <w:p w14:paraId="0096B12B" w14:textId="486BD858" w:rsidR="00B12E63" w:rsidRPr="004A360E" w:rsidRDefault="00F06516" w:rsidP="00565E2F">
      <w:pPr>
        <w:pStyle w:val="Citationenretrait"/>
        <w:rPr>
          <w:lang w:val="en-US"/>
        </w:rPr>
      </w:pPr>
      <w:r>
        <w:rPr>
          <w:lang w:val="en-CA"/>
        </w:rPr>
        <w:t xml:space="preserve">Listen, Your Honour, I’m not going to argue for ten minutes (0:10), I will just add that there has been... there will not be and there has not been any allusion, and we do not want it to be perceived </w:t>
      </w:r>
      <w:r w:rsidR="00E669D4">
        <w:rPr>
          <w:lang w:val="en-CA"/>
        </w:rPr>
        <w:t>that way</w:t>
      </w:r>
      <w:r>
        <w:rPr>
          <w:lang w:val="en-CA"/>
        </w:rPr>
        <w:t>, that Ms. S. testified out of venge</w:t>
      </w:r>
      <w:r w:rsidR="00E669D4">
        <w:rPr>
          <w:lang w:val="en-CA"/>
        </w:rPr>
        <w:t>ance</w:t>
      </w:r>
      <w:r>
        <w:rPr>
          <w:lang w:val="en-CA"/>
        </w:rPr>
        <w:t>.</w:t>
      </w:r>
    </w:p>
    <w:p w14:paraId="7BE6EC0D" w14:textId="497BF90C" w:rsidR="00B308CE" w:rsidRPr="004A360E" w:rsidRDefault="00F06516" w:rsidP="00565E2F">
      <w:pPr>
        <w:pStyle w:val="Citationenretrait"/>
        <w:tabs>
          <w:tab w:val="left" w:pos="1080"/>
        </w:tabs>
        <w:rPr>
          <w:sz w:val="21"/>
          <w:szCs w:val="21"/>
          <w:lang w:val="en-US"/>
        </w:rPr>
      </w:pPr>
      <w:r>
        <w:rPr>
          <w:lang w:val="en-CA"/>
        </w:rPr>
        <w:tab/>
        <w:t xml:space="preserve">She was summoned </w:t>
      </w:r>
      <w:r w:rsidR="00565E2F">
        <w:rPr>
          <w:lang w:val="en-CA"/>
        </w:rPr>
        <w:t>in the course</w:t>
      </w:r>
      <w:r w:rsidR="0098445F">
        <w:rPr>
          <w:lang w:val="en-CA"/>
        </w:rPr>
        <w:t xml:space="preserve"> of the proceeding</w:t>
      </w:r>
      <w:r>
        <w:rPr>
          <w:lang w:val="en-CA"/>
        </w:rPr>
        <w:t xml:space="preserve">, and even the testimony of Ms. S., several </w:t>
      </w:r>
      <w:r w:rsidR="0098445F">
        <w:rPr>
          <w:lang w:val="en-CA"/>
        </w:rPr>
        <w:t xml:space="preserve">times </w:t>
      </w:r>
      <w:r>
        <w:rPr>
          <w:lang w:val="en-CA"/>
        </w:rPr>
        <w:t xml:space="preserve">and </w:t>
      </w:r>
      <w:r w:rsidR="0098445F">
        <w:rPr>
          <w:lang w:val="en-CA"/>
        </w:rPr>
        <w:t xml:space="preserve">on </w:t>
      </w:r>
      <w:r>
        <w:rPr>
          <w:lang w:val="en-CA"/>
        </w:rPr>
        <w:t xml:space="preserve">several facts, contradicts her daughters’ testimony and substantiates </w:t>
      </w:r>
      <w:r w:rsidR="0098445F">
        <w:rPr>
          <w:lang w:val="en-CA"/>
        </w:rPr>
        <w:t xml:space="preserve">the accused’s </w:t>
      </w:r>
      <w:r>
        <w:rPr>
          <w:lang w:val="en-CA"/>
        </w:rPr>
        <w:t>testimony. Never...</w:t>
      </w:r>
    </w:p>
    <w:p w14:paraId="1DAE55DD" w14:textId="2F182D6A" w:rsidR="00B308CE" w:rsidRPr="004A360E" w:rsidRDefault="00F06516" w:rsidP="00565E2F">
      <w:pPr>
        <w:pStyle w:val="Citationenretrait"/>
        <w:tabs>
          <w:tab w:val="left" w:pos="1080"/>
        </w:tabs>
        <w:rPr>
          <w:lang w:val="en-US"/>
        </w:rPr>
      </w:pPr>
      <w:r>
        <w:rPr>
          <w:lang w:val="en-CA"/>
        </w:rPr>
        <w:tab/>
      </w:r>
      <w:r w:rsidR="0098445F">
        <w:rPr>
          <w:lang w:val="en-CA"/>
        </w:rPr>
        <w:t xml:space="preserve">The accused </w:t>
      </w:r>
      <w:r>
        <w:rPr>
          <w:lang w:val="en-CA"/>
        </w:rPr>
        <w:t>said, and that was where everything started to go off course,</w:t>
      </w:r>
      <w:r w:rsidR="00565E2F">
        <w:rPr>
          <w:lang w:val="en-CA"/>
        </w:rPr>
        <w:t xml:space="preserve"> [</w:t>
      </w:r>
      <w:r w:rsidR="00565E2F" w:rsidRPr="00565E2F">
        <w:rPr>
          <w:smallCaps/>
          <w:lang w:val="en-CA"/>
        </w:rPr>
        <w:t>translation</w:t>
      </w:r>
      <w:r w:rsidR="00565E2F">
        <w:rPr>
          <w:lang w:val="en-CA"/>
        </w:rPr>
        <w:t>]</w:t>
      </w:r>
      <w:r>
        <w:rPr>
          <w:lang w:val="en-CA"/>
        </w:rPr>
        <w:t xml:space="preserve"> “</w:t>
      </w:r>
      <w:r w:rsidR="0098445F">
        <w:rPr>
          <w:lang w:val="en-CA"/>
        </w:rPr>
        <w:t>she kicked me</w:t>
      </w:r>
      <w:r>
        <w:rPr>
          <w:lang w:val="en-CA"/>
        </w:rPr>
        <w:t xml:space="preserve">... she swore to me that she would </w:t>
      </w:r>
      <w:r w:rsidR="0098445F">
        <w:rPr>
          <w:lang w:val="en-CA"/>
        </w:rPr>
        <w:t>kick me out</w:t>
      </w:r>
      <w:r>
        <w:rPr>
          <w:lang w:val="en-CA"/>
        </w:rPr>
        <w:t>” or I don’t know what, those are not the exact words, but he was referring, and I told you, but the discussion was reopened anyway, it was because of the civil cases.</w:t>
      </w:r>
    </w:p>
    <w:p w14:paraId="01095945" w14:textId="30D8FEF4" w:rsidR="00B308CE" w:rsidRPr="004A360E" w:rsidRDefault="00F06516" w:rsidP="00565E2F">
      <w:pPr>
        <w:pStyle w:val="Citationenretrait"/>
        <w:tabs>
          <w:tab w:val="left" w:pos="1080"/>
        </w:tabs>
        <w:rPr>
          <w:lang w:val="en-US"/>
        </w:rPr>
      </w:pPr>
      <w:r>
        <w:rPr>
          <w:lang w:val="en-CA"/>
        </w:rPr>
        <w:tab/>
        <w:t>Because in a criminal case, never would I... would we accuse her of testifying out of venge</w:t>
      </w:r>
      <w:r w:rsidR="0098445F">
        <w:rPr>
          <w:lang w:val="en-CA"/>
        </w:rPr>
        <w:t>ance</w:t>
      </w:r>
      <w:r>
        <w:rPr>
          <w:lang w:val="en-CA"/>
        </w:rPr>
        <w:t xml:space="preserve"> and conspiring with her daughters. </w:t>
      </w:r>
      <w:r w:rsidR="00565E2F">
        <w:rPr>
          <w:lang w:val="en-CA"/>
        </w:rPr>
        <w:t>So,</w:t>
      </w:r>
      <w:r>
        <w:rPr>
          <w:lang w:val="en-CA"/>
        </w:rPr>
        <w:t xml:space="preserve"> I want to settle this </w:t>
      </w:r>
      <w:r w:rsidR="0098445F">
        <w:rPr>
          <w:lang w:val="en-CA"/>
        </w:rPr>
        <w:t>part</w:t>
      </w:r>
      <w:r>
        <w:rPr>
          <w:lang w:val="en-CA"/>
        </w:rPr>
        <w:t>, immediately, we’re not making any allegations to this effect.</w:t>
      </w:r>
    </w:p>
    <w:p w14:paraId="5BE2510B" w14:textId="7D186B51" w:rsidR="00B308CE" w:rsidRPr="004A360E" w:rsidRDefault="00F06516" w:rsidP="00BB3674">
      <w:pPr>
        <w:pStyle w:val="Citationenretrait"/>
        <w:rPr>
          <w:lang w:val="en-US"/>
        </w:rPr>
      </w:pPr>
      <w:r>
        <w:rPr>
          <w:u w:val="single"/>
          <w:lang w:val="en-CA"/>
        </w:rPr>
        <w:t>THE COURT</w:t>
      </w:r>
      <w:r>
        <w:rPr>
          <w:lang w:val="en-CA"/>
        </w:rPr>
        <w:t>:</w:t>
      </w:r>
    </w:p>
    <w:p w14:paraId="0207C40C" w14:textId="75C0CEE9" w:rsidR="00B308CE" w:rsidRPr="004A360E" w:rsidRDefault="00F06516" w:rsidP="00BB3674">
      <w:pPr>
        <w:pStyle w:val="Citationenretrait"/>
        <w:rPr>
          <w:lang w:val="en-US"/>
        </w:rPr>
      </w:pPr>
      <w:r>
        <w:rPr>
          <w:lang w:val="en-CA"/>
        </w:rPr>
        <w:t>Well, that means you’re not arguing that...</w:t>
      </w:r>
    </w:p>
    <w:p w14:paraId="10AF179C" w14:textId="77777777" w:rsidR="00BB3674" w:rsidRPr="004A360E" w:rsidRDefault="00F06516" w:rsidP="00BB3674">
      <w:pPr>
        <w:pStyle w:val="Citationenretrait"/>
        <w:rPr>
          <w:caps/>
          <w:lang w:val="en-US"/>
        </w:rPr>
      </w:pPr>
      <w:r>
        <w:rPr>
          <w:caps/>
          <w:lang w:val="en-CA"/>
        </w:rPr>
        <w:br w:type="page"/>
      </w:r>
    </w:p>
    <w:p w14:paraId="772C9127" w14:textId="5582A98B" w:rsidR="00AF1F1C" w:rsidRPr="004A360E" w:rsidRDefault="00F06516" w:rsidP="00BB3674">
      <w:pPr>
        <w:pStyle w:val="Citationenretrait"/>
        <w:spacing w:after="0"/>
        <w:rPr>
          <w:caps/>
          <w:u w:val="single"/>
          <w:lang w:val="en-US"/>
        </w:rPr>
      </w:pPr>
      <w:proofErr w:type="spellStart"/>
      <w:r>
        <w:rPr>
          <w:caps/>
          <w:u w:val="single"/>
          <w:lang w:val="en-CA"/>
        </w:rPr>
        <w:lastRenderedPageBreak/>
        <w:t>M</w:t>
      </w:r>
      <w:r>
        <w:rPr>
          <w:u w:val="single"/>
          <w:lang w:val="en-CA"/>
        </w:rPr>
        <w:t>tre</w:t>
      </w:r>
      <w:proofErr w:type="spellEnd"/>
      <w:r>
        <w:rPr>
          <w:caps/>
          <w:u w:val="single"/>
          <w:lang w:val="en-CA"/>
        </w:rPr>
        <w:t xml:space="preserve"> Claude Bédard</w:t>
      </w:r>
    </w:p>
    <w:p w14:paraId="03C988BF" w14:textId="77777777" w:rsidR="00AF1F1C" w:rsidRPr="004A360E" w:rsidRDefault="00F06516" w:rsidP="00BB3674">
      <w:pPr>
        <w:pStyle w:val="Citationenretrait"/>
        <w:spacing w:before="0"/>
        <w:rPr>
          <w:rFonts w:cs="Arial"/>
          <w:u w:val="single"/>
          <w:lang w:val="en-US"/>
        </w:rPr>
      </w:pPr>
      <w:r>
        <w:rPr>
          <w:rFonts w:cs="Arial"/>
          <w:caps/>
          <w:u w:val="single"/>
          <w:lang w:val="en-CA"/>
        </w:rPr>
        <w:t>for the accused:</w:t>
      </w:r>
    </w:p>
    <w:p w14:paraId="059E9C35" w14:textId="0596D220" w:rsidR="00AF1F1C" w:rsidRPr="004A360E" w:rsidRDefault="00F06516" w:rsidP="00BB3674">
      <w:pPr>
        <w:pStyle w:val="Citationenretrait"/>
        <w:rPr>
          <w:lang w:val="en-US"/>
        </w:rPr>
      </w:pPr>
      <w:r>
        <w:rPr>
          <w:lang w:val="en-CA"/>
        </w:rPr>
        <w:t xml:space="preserve">Yes, but </w:t>
      </w:r>
      <w:r w:rsidR="0098445F">
        <w:rPr>
          <w:lang w:val="en-CA"/>
        </w:rPr>
        <w:t>the accused</w:t>
      </w:r>
      <w:r>
        <w:rPr>
          <w:lang w:val="en-CA"/>
        </w:rPr>
        <w:t>, in his...</w:t>
      </w:r>
    </w:p>
    <w:p w14:paraId="4102DF10" w14:textId="77777777" w:rsidR="00AF1F1C" w:rsidRPr="004A360E" w:rsidRDefault="00F06516" w:rsidP="00BB3674">
      <w:pPr>
        <w:pStyle w:val="Citationenretrait"/>
        <w:rPr>
          <w:rFonts w:cs="Arial"/>
          <w:lang w:val="en-US"/>
        </w:rPr>
      </w:pPr>
      <w:r>
        <w:rPr>
          <w:rFonts w:cs="Arial"/>
          <w:u w:val="single"/>
          <w:lang w:val="en-CA"/>
        </w:rPr>
        <w:t>THE COURT</w:t>
      </w:r>
      <w:r>
        <w:rPr>
          <w:rFonts w:cs="Arial"/>
          <w:lang w:val="en-CA"/>
        </w:rPr>
        <w:t>:</w:t>
      </w:r>
    </w:p>
    <w:p w14:paraId="5F6CA886" w14:textId="06BE5D6C" w:rsidR="00AF1F1C" w:rsidRPr="004A360E" w:rsidRDefault="00F06516" w:rsidP="00BB3674">
      <w:pPr>
        <w:pStyle w:val="Citationenretrait"/>
        <w:rPr>
          <w:lang w:val="en-US"/>
        </w:rPr>
      </w:pPr>
      <w:r>
        <w:rPr>
          <w:lang w:val="en-CA"/>
        </w:rPr>
        <w:t>…I understand, you told me last time…</w:t>
      </w:r>
    </w:p>
    <w:p w14:paraId="361EDEBB" w14:textId="77777777" w:rsidR="00AF1F1C" w:rsidRPr="004A360E" w:rsidRDefault="00F06516" w:rsidP="001E2143">
      <w:pPr>
        <w:pStyle w:val="Citationenretrait"/>
        <w:spacing w:after="0"/>
        <w:rPr>
          <w:rFonts w:cs="Arial"/>
          <w:caps/>
          <w:u w:val="single"/>
          <w:lang w:val="en-US"/>
        </w:rPr>
      </w:pPr>
      <w:proofErr w:type="spellStart"/>
      <w:r>
        <w:rPr>
          <w:rFonts w:cs="Arial"/>
          <w:caps/>
          <w:u w:val="single"/>
          <w:lang w:val="en-CA"/>
        </w:rPr>
        <w:t>M</w:t>
      </w:r>
      <w:r>
        <w:rPr>
          <w:rFonts w:cs="Arial"/>
          <w:u w:val="single"/>
          <w:lang w:val="en-CA"/>
        </w:rPr>
        <w:t>tre</w:t>
      </w:r>
      <w:proofErr w:type="spellEnd"/>
      <w:r>
        <w:rPr>
          <w:rFonts w:cs="Arial"/>
          <w:caps/>
          <w:u w:val="single"/>
          <w:lang w:val="en-CA"/>
        </w:rPr>
        <w:t xml:space="preserve"> Claude Bédard</w:t>
      </w:r>
    </w:p>
    <w:p w14:paraId="54C5E71A" w14:textId="59538027" w:rsidR="00AF1F1C" w:rsidRPr="004A360E" w:rsidRDefault="00F06516" w:rsidP="00BB3674">
      <w:pPr>
        <w:pStyle w:val="Citationenretrait"/>
        <w:spacing w:before="0" w:after="100" w:afterAutospacing="1"/>
        <w:rPr>
          <w:rFonts w:cs="Arial"/>
          <w:caps/>
          <w:u w:val="single"/>
          <w:lang w:val="en-US"/>
        </w:rPr>
      </w:pPr>
      <w:r>
        <w:rPr>
          <w:rFonts w:cs="Arial"/>
          <w:caps/>
          <w:u w:val="single"/>
          <w:lang w:val="en-CA"/>
        </w:rPr>
        <w:t>for the accused:</w:t>
      </w:r>
    </w:p>
    <w:p w14:paraId="16F1DD19" w14:textId="04FDEAA7" w:rsidR="00AF1F1C" w:rsidRPr="004A360E" w:rsidRDefault="00F06516" w:rsidP="00BB3674">
      <w:pPr>
        <w:pStyle w:val="Citationenretrait"/>
        <w:rPr>
          <w:lang w:val="en-US"/>
        </w:rPr>
      </w:pPr>
      <w:r>
        <w:rPr>
          <w:lang w:val="en-CA"/>
        </w:rPr>
        <w:t>Yes.</w:t>
      </w:r>
    </w:p>
    <w:p w14:paraId="26343FE2" w14:textId="77777777" w:rsidR="00AF1F1C" w:rsidRPr="004A360E" w:rsidRDefault="00F06516" w:rsidP="00BB3674">
      <w:pPr>
        <w:pStyle w:val="Citationenretrait"/>
        <w:rPr>
          <w:rFonts w:cs="Arial"/>
          <w:lang w:val="en-US"/>
        </w:rPr>
      </w:pPr>
      <w:r>
        <w:rPr>
          <w:rFonts w:cs="Arial"/>
          <w:u w:val="single"/>
          <w:lang w:val="en-CA"/>
        </w:rPr>
        <w:t>THE COURT</w:t>
      </w:r>
      <w:r>
        <w:rPr>
          <w:rFonts w:cs="Arial"/>
          <w:lang w:val="en-CA"/>
        </w:rPr>
        <w:t>:</w:t>
      </w:r>
    </w:p>
    <w:p w14:paraId="176841C5" w14:textId="1C1FB062" w:rsidR="00AF1F1C" w:rsidRPr="004A360E" w:rsidRDefault="00F06516" w:rsidP="00BB3674">
      <w:pPr>
        <w:pStyle w:val="Citationenretrait"/>
        <w:rPr>
          <w:lang w:val="en-US"/>
        </w:rPr>
      </w:pPr>
      <w:r>
        <w:rPr>
          <w:lang w:val="en-CA"/>
        </w:rPr>
        <w:t>…and you…</w:t>
      </w:r>
    </w:p>
    <w:p w14:paraId="68280968" w14:textId="77777777" w:rsidR="00AF1F1C" w:rsidRPr="004A360E" w:rsidRDefault="00F06516" w:rsidP="001E2143">
      <w:pPr>
        <w:pStyle w:val="Citationenretrait"/>
        <w:spacing w:after="0"/>
        <w:rPr>
          <w:rFonts w:cs="Arial"/>
          <w:caps/>
          <w:u w:val="single"/>
          <w:lang w:val="en-US"/>
        </w:rPr>
      </w:pPr>
      <w:proofErr w:type="spellStart"/>
      <w:r>
        <w:rPr>
          <w:rFonts w:cs="Arial"/>
          <w:caps/>
          <w:u w:val="single"/>
          <w:lang w:val="en-CA"/>
        </w:rPr>
        <w:t>M</w:t>
      </w:r>
      <w:r>
        <w:rPr>
          <w:rFonts w:cs="Arial"/>
          <w:u w:val="single"/>
          <w:lang w:val="en-CA"/>
        </w:rPr>
        <w:t>tre</w:t>
      </w:r>
      <w:proofErr w:type="spellEnd"/>
      <w:r>
        <w:rPr>
          <w:rFonts w:cs="Arial"/>
          <w:caps/>
          <w:u w:val="single"/>
          <w:lang w:val="en-CA"/>
        </w:rPr>
        <w:t xml:space="preserve"> Claude Bédard</w:t>
      </w:r>
    </w:p>
    <w:p w14:paraId="0044BD8A" w14:textId="62FDD66A" w:rsidR="00AF1F1C" w:rsidRPr="004A360E" w:rsidRDefault="00F06516" w:rsidP="00BB3674">
      <w:pPr>
        <w:pStyle w:val="Citationenretrait"/>
        <w:spacing w:before="0"/>
        <w:rPr>
          <w:rFonts w:cs="Arial"/>
          <w:caps/>
          <w:lang w:val="en-US"/>
        </w:rPr>
      </w:pPr>
      <w:r>
        <w:rPr>
          <w:rFonts w:cs="Arial"/>
          <w:caps/>
          <w:u w:val="single"/>
          <w:lang w:val="en-CA"/>
        </w:rPr>
        <w:t>for the accused:</w:t>
      </w:r>
    </w:p>
    <w:p w14:paraId="62268DD3" w14:textId="0607D219" w:rsidR="00AF1F1C" w:rsidRPr="004A360E" w:rsidRDefault="00F06516" w:rsidP="00BB3674">
      <w:pPr>
        <w:pStyle w:val="Citationenretrait"/>
        <w:rPr>
          <w:lang w:val="en-US"/>
        </w:rPr>
      </w:pPr>
      <w:r>
        <w:rPr>
          <w:lang w:val="en-CA"/>
        </w:rPr>
        <w:t xml:space="preserve">But </w:t>
      </w:r>
      <w:r w:rsidR="0098445F">
        <w:rPr>
          <w:lang w:val="en-CA"/>
        </w:rPr>
        <w:t xml:space="preserve">I’m </w:t>
      </w:r>
      <w:r>
        <w:rPr>
          <w:lang w:val="en-CA"/>
        </w:rPr>
        <w:t>repeat</w:t>
      </w:r>
      <w:r w:rsidR="0098445F">
        <w:rPr>
          <w:lang w:val="en-CA"/>
        </w:rPr>
        <w:t>ing</w:t>
      </w:r>
      <w:r>
        <w:rPr>
          <w:lang w:val="en-CA"/>
        </w:rPr>
        <w:t xml:space="preserve"> it because my colleague is talking about it.</w:t>
      </w:r>
    </w:p>
    <w:p w14:paraId="3D837720" w14:textId="77777777" w:rsidR="00AF1F1C" w:rsidRPr="004A360E" w:rsidRDefault="00F06516" w:rsidP="00BB3674">
      <w:pPr>
        <w:pStyle w:val="Citationenretrait"/>
        <w:rPr>
          <w:rFonts w:cs="Arial"/>
          <w:lang w:val="en-US"/>
        </w:rPr>
      </w:pPr>
      <w:r>
        <w:rPr>
          <w:rFonts w:cs="Arial"/>
          <w:u w:val="single"/>
          <w:lang w:val="en-CA"/>
        </w:rPr>
        <w:t>THE COURT</w:t>
      </w:r>
      <w:r>
        <w:rPr>
          <w:rFonts w:cs="Arial"/>
          <w:lang w:val="en-CA"/>
        </w:rPr>
        <w:t>:</w:t>
      </w:r>
    </w:p>
    <w:p w14:paraId="3E36AC3F" w14:textId="5F2B53AA" w:rsidR="00AF1F1C" w:rsidRPr="004A360E" w:rsidRDefault="00F06516" w:rsidP="00BB3674">
      <w:pPr>
        <w:pStyle w:val="Citationenretrait"/>
        <w:rPr>
          <w:lang w:val="en-US"/>
        </w:rPr>
      </w:pPr>
      <w:r>
        <w:rPr>
          <w:lang w:val="en-CA"/>
        </w:rPr>
        <w:t>...are consistent in this, in your position...</w:t>
      </w:r>
    </w:p>
    <w:p w14:paraId="518BB129" w14:textId="77777777" w:rsidR="00AF1F1C" w:rsidRPr="004A360E" w:rsidRDefault="00F06516" w:rsidP="001E2143">
      <w:pPr>
        <w:pStyle w:val="Citationenretrait"/>
        <w:spacing w:after="0"/>
        <w:rPr>
          <w:rFonts w:cs="Arial"/>
          <w:caps/>
          <w:u w:val="single"/>
          <w:lang w:val="en-US"/>
        </w:rPr>
      </w:pPr>
      <w:proofErr w:type="spellStart"/>
      <w:r>
        <w:rPr>
          <w:rFonts w:cs="Arial"/>
          <w:caps/>
          <w:u w:val="single"/>
          <w:lang w:val="en-CA"/>
        </w:rPr>
        <w:t>M</w:t>
      </w:r>
      <w:r>
        <w:rPr>
          <w:rFonts w:cs="Arial"/>
          <w:u w:val="single"/>
          <w:lang w:val="en-CA"/>
        </w:rPr>
        <w:t>tre</w:t>
      </w:r>
      <w:proofErr w:type="spellEnd"/>
      <w:r>
        <w:rPr>
          <w:rFonts w:cs="Arial"/>
          <w:caps/>
          <w:u w:val="single"/>
          <w:lang w:val="en-CA"/>
        </w:rPr>
        <w:t xml:space="preserve"> Claude Bédard</w:t>
      </w:r>
    </w:p>
    <w:p w14:paraId="03363494" w14:textId="77184FDB" w:rsidR="00AF1F1C" w:rsidRPr="004A360E" w:rsidRDefault="00F06516" w:rsidP="00BB3674">
      <w:pPr>
        <w:pStyle w:val="Citationenretrait"/>
        <w:spacing w:before="0"/>
        <w:rPr>
          <w:rFonts w:cs="Arial"/>
          <w:caps/>
          <w:lang w:val="en-US"/>
        </w:rPr>
      </w:pPr>
      <w:r>
        <w:rPr>
          <w:rFonts w:cs="Arial"/>
          <w:caps/>
          <w:u w:val="single"/>
          <w:lang w:val="en-CA"/>
        </w:rPr>
        <w:t>for the accused:</w:t>
      </w:r>
    </w:p>
    <w:p w14:paraId="3A4740B5" w14:textId="2676C93D" w:rsidR="00AF1F1C" w:rsidRPr="004A360E" w:rsidRDefault="00F06516" w:rsidP="00BB3674">
      <w:pPr>
        <w:pStyle w:val="Citationenretrait"/>
        <w:rPr>
          <w:lang w:val="en-US"/>
        </w:rPr>
      </w:pPr>
      <w:r>
        <w:rPr>
          <w:lang w:val="en-CA"/>
        </w:rPr>
        <w:t>Yes.</w:t>
      </w:r>
    </w:p>
    <w:p w14:paraId="777DDF0A" w14:textId="77777777" w:rsidR="00AF1F1C" w:rsidRPr="004A360E" w:rsidRDefault="00F06516" w:rsidP="00BB3674">
      <w:pPr>
        <w:pStyle w:val="Citationenretrait"/>
        <w:rPr>
          <w:rFonts w:cs="Arial"/>
          <w:lang w:val="en-US"/>
        </w:rPr>
      </w:pPr>
      <w:r>
        <w:rPr>
          <w:rFonts w:cs="Arial"/>
          <w:u w:val="single"/>
          <w:lang w:val="en-CA"/>
        </w:rPr>
        <w:t>THE COURT</w:t>
      </w:r>
      <w:r>
        <w:rPr>
          <w:rFonts w:cs="Arial"/>
          <w:lang w:val="en-CA"/>
        </w:rPr>
        <w:t>:</w:t>
      </w:r>
    </w:p>
    <w:p w14:paraId="4A84D310" w14:textId="03414DF5" w:rsidR="00AF1F1C" w:rsidRPr="004A360E" w:rsidRDefault="00F06516" w:rsidP="00BB3674">
      <w:pPr>
        <w:pStyle w:val="Citationenretrait"/>
        <w:rPr>
          <w:lang w:val="en-US"/>
        </w:rPr>
      </w:pPr>
      <w:r>
        <w:rPr>
          <w:lang w:val="en-CA"/>
        </w:rPr>
        <w:t>…about this…</w:t>
      </w:r>
    </w:p>
    <w:p w14:paraId="549BCDEF" w14:textId="1C35798D" w:rsidR="00AF1F1C" w:rsidRPr="004A360E" w:rsidRDefault="00F06516" w:rsidP="001E2143">
      <w:pPr>
        <w:pStyle w:val="Citationenretrait"/>
        <w:spacing w:after="0"/>
        <w:rPr>
          <w:rFonts w:cs="Arial"/>
          <w:caps/>
          <w:u w:val="single"/>
          <w:lang w:val="en-US"/>
        </w:rPr>
      </w:pPr>
      <w:proofErr w:type="spellStart"/>
      <w:r>
        <w:rPr>
          <w:rFonts w:cs="Arial"/>
          <w:caps/>
          <w:u w:val="single"/>
          <w:lang w:val="en-CA"/>
        </w:rPr>
        <w:t>M</w:t>
      </w:r>
      <w:r>
        <w:rPr>
          <w:rFonts w:cs="Arial"/>
          <w:u w:val="single"/>
          <w:lang w:val="en-CA"/>
        </w:rPr>
        <w:t>tre</w:t>
      </w:r>
      <w:proofErr w:type="spellEnd"/>
      <w:r>
        <w:rPr>
          <w:rFonts w:cs="Arial"/>
          <w:caps/>
          <w:u w:val="single"/>
          <w:lang w:val="en-CA"/>
        </w:rPr>
        <w:t xml:space="preserve"> Claude Bédard</w:t>
      </w:r>
    </w:p>
    <w:p w14:paraId="29A907C5" w14:textId="78381A98" w:rsidR="00AF1F1C" w:rsidRPr="004A360E" w:rsidRDefault="00F06516" w:rsidP="00BB3674">
      <w:pPr>
        <w:pStyle w:val="Citationenretrait"/>
        <w:spacing w:before="0"/>
        <w:rPr>
          <w:rFonts w:cs="Arial"/>
          <w:caps/>
          <w:lang w:val="en-US"/>
        </w:rPr>
      </w:pPr>
      <w:r>
        <w:rPr>
          <w:rFonts w:cs="Arial"/>
          <w:caps/>
          <w:u w:val="single"/>
          <w:lang w:val="en-CA"/>
        </w:rPr>
        <w:t>for the accused:</w:t>
      </w:r>
    </w:p>
    <w:p w14:paraId="0AC4A227" w14:textId="292BBCFC" w:rsidR="00AF1F1C" w:rsidRPr="004A360E" w:rsidRDefault="00F06516" w:rsidP="00BB3674">
      <w:pPr>
        <w:pStyle w:val="Citationenretrait"/>
        <w:rPr>
          <w:lang w:val="en-US"/>
        </w:rPr>
      </w:pPr>
      <w:r>
        <w:rPr>
          <w:lang w:val="en-CA"/>
        </w:rPr>
        <w:t>Yes.</w:t>
      </w:r>
    </w:p>
    <w:p w14:paraId="32E2695C" w14:textId="6143F00C" w:rsidR="00AF1F1C" w:rsidRPr="004A360E" w:rsidRDefault="00F06516" w:rsidP="00BB3674">
      <w:pPr>
        <w:pStyle w:val="Citationenretrait"/>
        <w:rPr>
          <w:rFonts w:cs="Arial"/>
          <w:lang w:val="en-US"/>
        </w:rPr>
      </w:pPr>
      <w:r>
        <w:rPr>
          <w:rFonts w:cs="Arial"/>
          <w:u w:val="single"/>
          <w:lang w:val="en-CA"/>
        </w:rPr>
        <w:t>THE COURT</w:t>
      </w:r>
      <w:r>
        <w:rPr>
          <w:rFonts w:cs="Arial"/>
          <w:lang w:val="en-CA"/>
        </w:rPr>
        <w:t>:</w:t>
      </w:r>
    </w:p>
    <w:p w14:paraId="60769211" w14:textId="01D03ACB" w:rsidR="00AF1F1C" w:rsidRPr="004A360E" w:rsidRDefault="00F06516" w:rsidP="00BB3674">
      <w:pPr>
        <w:pStyle w:val="Citationenretrait"/>
        <w:rPr>
          <w:lang w:val="en-US"/>
        </w:rPr>
      </w:pPr>
      <w:r>
        <w:rPr>
          <w:lang w:val="en-CA"/>
        </w:rPr>
        <w:t xml:space="preserve">...but the fact remains that the </w:t>
      </w:r>
      <w:r w:rsidR="00FF1CCE">
        <w:rPr>
          <w:lang w:val="en-CA"/>
        </w:rPr>
        <w:t xml:space="preserve">accused </w:t>
      </w:r>
      <w:r>
        <w:rPr>
          <w:lang w:val="en-CA"/>
        </w:rPr>
        <w:t xml:space="preserve">said that </w:t>
      </w:r>
      <w:r w:rsidR="00CF2868">
        <w:rPr>
          <w:lang w:val="en-CA"/>
        </w:rPr>
        <w:t xml:space="preserve">the only reason Ms. S. </w:t>
      </w:r>
      <w:r>
        <w:rPr>
          <w:lang w:val="en-CA"/>
        </w:rPr>
        <w:t xml:space="preserve">is participating in the criminal judicial process </w:t>
      </w:r>
      <w:r w:rsidR="00CF2868">
        <w:rPr>
          <w:lang w:val="en-CA"/>
        </w:rPr>
        <w:t>is that</w:t>
      </w:r>
      <w:r w:rsidR="00FF1CCE">
        <w:rPr>
          <w:lang w:val="en-CA"/>
        </w:rPr>
        <w:t xml:space="preserve"> </w:t>
      </w:r>
      <w:r>
        <w:rPr>
          <w:lang w:val="en-CA"/>
        </w:rPr>
        <w:t>he refused to share... he said</w:t>
      </w:r>
      <w:r w:rsidR="00CF2868">
        <w:rPr>
          <w:lang w:val="en-CA"/>
        </w:rPr>
        <w:t xml:space="preserve"> </w:t>
      </w:r>
      <w:r w:rsidR="00CF2868">
        <w:rPr>
          <w:lang w:val="en-CA"/>
        </w:rPr>
        <w:lastRenderedPageBreak/>
        <w:t>that</w:t>
      </w:r>
      <w:r>
        <w:rPr>
          <w:lang w:val="en-CA"/>
        </w:rPr>
        <w:t xml:space="preserve">. You can tell me that you don’t agree with </w:t>
      </w:r>
      <w:r w:rsidR="00CF2868">
        <w:rPr>
          <w:lang w:val="en-CA"/>
        </w:rPr>
        <w:t>tha</w:t>
      </w:r>
      <w:r>
        <w:rPr>
          <w:lang w:val="en-CA"/>
        </w:rPr>
        <w:t>t, but in the end you don’t agree with your client’s position, is what I understand.</w:t>
      </w:r>
    </w:p>
    <w:p w14:paraId="5931B541" w14:textId="77777777" w:rsidR="00AF1F1C" w:rsidRPr="004A360E" w:rsidRDefault="00F06516" w:rsidP="001E2143">
      <w:pPr>
        <w:pStyle w:val="Citationenretrait"/>
        <w:spacing w:after="0"/>
        <w:rPr>
          <w:rFonts w:cs="Arial"/>
          <w:caps/>
          <w:u w:val="single"/>
          <w:lang w:val="en-US"/>
        </w:rPr>
      </w:pPr>
      <w:proofErr w:type="spellStart"/>
      <w:r>
        <w:rPr>
          <w:rFonts w:cs="Arial"/>
          <w:caps/>
          <w:u w:val="single"/>
          <w:lang w:val="en-CA"/>
        </w:rPr>
        <w:t>M</w:t>
      </w:r>
      <w:r>
        <w:rPr>
          <w:rFonts w:cs="Arial"/>
          <w:u w:val="single"/>
          <w:lang w:val="en-CA"/>
        </w:rPr>
        <w:t>tre</w:t>
      </w:r>
      <w:proofErr w:type="spellEnd"/>
      <w:r>
        <w:rPr>
          <w:rFonts w:cs="Arial"/>
          <w:caps/>
          <w:u w:val="single"/>
          <w:lang w:val="en-CA"/>
        </w:rPr>
        <w:t xml:space="preserve"> Claude Bédard</w:t>
      </w:r>
    </w:p>
    <w:p w14:paraId="7ACB02A7" w14:textId="630370BA" w:rsidR="00AF1F1C" w:rsidRPr="004A360E" w:rsidRDefault="00F06516" w:rsidP="00BB3674">
      <w:pPr>
        <w:pStyle w:val="Citationenretrait"/>
        <w:spacing w:before="0"/>
        <w:rPr>
          <w:rFonts w:cs="Arial"/>
          <w:lang w:val="en-US"/>
        </w:rPr>
      </w:pPr>
      <w:r>
        <w:rPr>
          <w:rFonts w:cs="Arial"/>
          <w:caps/>
          <w:u w:val="single"/>
          <w:lang w:val="en-CA"/>
        </w:rPr>
        <w:t>for the accused:</w:t>
      </w:r>
    </w:p>
    <w:p w14:paraId="5A9C9A3F" w14:textId="38E8438B" w:rsidR="00B308CE" w:rsidRPr="004A360E" w:rsidRDefault="00F06516" w:rsidP="00BB3674">
      <w:pPr>
        <w:pStyle w:val="Citationenretrait"/>
        <w:rPr>
          <w:lang w:val="en-US"/>
        </w:rPr>
      </w:pPr>
      <w:r>
        <w:rPr>
          <w:lang w:val="en-CA"/>
        </w:rPr>
        <w:t>Well...</w:t>
      </w:r>
    </w:p>
    <w:p w14:paraId="16FCAC62" w14:textId="77777777" w:rsidR="00095E3B" w:rsidRPr="004A360E" w:rsidRDefault="00F06516" w:rsidP="00BB3674">
      <w:pPr>
        <w:pStyle w:val="Citationenretrait"/>
        <w:rPr>
          <w:rFonts w:cs="Arial"/>
          <w:lang w:val="en-US"/>
        </w:rPr>
      </w:pPr>
      <w:r>
        <w:rPr>
          <w:rFonts w:cs="Arial"/>
          <w:u w:val="single"/>
          <w:lang w:val="en-CA"/>
        </w:rPr>
        <w:t>THE COURT</w:t>
      </w:r>
      <w:r>
        <w:rPr>
          <w:rFonts w:cs="Arial"/>
          <w:lang w:val="en-CA"/>
        </w:rPr>
        <w:t>:</w:t>
      </w:r>
    </w:p>
    <w:p w14:paraId="24E02610" w14:textId="098F22E7" w:rsidR="00095E3B" w:rsidRPr="004A360E" w:rsidRDefault="00F06516" w:rsidP="00BB3674">
      <w:pPr>
        <w:pStyle w:val="Citationenretrait"/>
        <w:rPr>
          <w:lang w:val="en-US"/>
        </w:rPr>
      </w:pPr>
      <w:r>
        <w:rPr>
          <w:lang w:val="en-CA"/>
        </w:rPr>
        <w:t>When you say that, that’s what I understand.</w:t>
      </w:r>
    </w:p>
    <w:p w14:paraId="0E7D6563" w14:textId="66DF8836" w:rsidR="00095E3B" w:rsidRPr="004A360E" w:rsidRDefault="00F06516" w:rsidP="001E2143">
      <w:pPr>
        <w:pStyle w:val="Citationenretrait"/>
        <w:spacing w:after="0"/>
        <w:rPr>
          <w:rFonts w:cs="Arial"/>
          <w:caps/>
          <w:u w:val="single"/>
          <w:lang w:val="en-US"/>
        </w:rPr>
      </w:pPr>
      <w:proofErr w:type="spellStart"/>
      <w:r>
        <w:rPr>
          <w:rFonts w:cs="Arial"/>
          <w:caps/>
          <w:u w:val="single"/>
          <w:lang w:val="en-CA"/>
        </w:rPr>
        <w:t>M</w:t>
      </w:r>
      <w:r>
        <w:rPr>
          <w:rFonts w:cs="Arial"/>
          <w:u w:val="single"/>
          <w:lang w:val="en-CA"/>
        </w:rPr>
        <w:t>tre</w:t>
      </w:r>
      <w:proofErr w:type="spellEnd"/>
      <w:r>
        <w:rPr>
          <w:rFonts w:cs="Arial"/>
          <w:caps/>
          <w:u w:val="single"/>
          <w:lang w:val="en-CA"/>
        </w:rPr>
        <w:t xml:space="preserve"> Claude Bédard</w:t>
      </w:r>
    </w:p>
    <w:p w14:paraId="63679C3B" w14:textId="7BA72CF3" w:rsidR="00095E3B" w:rsidRPr="004A360E" w:rsidRDefault="00F06516" w:rsidP="00BB3674">
      <w:pPr>
        <w:pStyle w:val="Citationenretrait"/>
        <w:spacing w:before="0"/>
        <w:rPr>
          <w:rFonts w:cs="Arial"/>
          <w:caps/>
          <w:lang w:val="en-US"/>
        </w:rPr>
      </w:pPr>
      <w:r>
        <w:rPr>
          <w:rFonts w:cs="Arial"/>
          <w:caps/>
          <w:u w:val="single"/>
          <w:lang w:val="en-CA"/>
        </w:rPr>
        <w:t>for the accused:</w:t>
      </w:r>
    </w:p>
    <w:p w14:paraId="0EEA7B0E" w14:textId="5423E3BB" w:rsidR="00095E3B" w:rsidRPr="004A360E" w:rsidRDefault="00F06516" w:rsidP="00BB3674">
      <w:pPr>
        <w:pStyle w:val="Citationenretrait"/>
        <w:rPr>
          <w:lang w:val="en-US"/>
        </w:rPr>
      </w:pPr>
      <w:r>
        <w:rPr>
          <w:lang w:val="en-CA"/>
        </w:rPr>
        <w:t xml:space="preserve">Well, it’s because I, when I </w:t>
      </w:r>
      <w:r w:rsidR="00CF2868">
        <w:rPr>
          <w:lang w:val="en-CA"/>
        </w:rPr>
        <w:t>didn’t put</w:t>
      </w:r>
      <w:r>
        <w:rPr>
          <w:lang w:val="en-CA"/>
        </w:rPr>
        <w:t xml:space="preserve">... I </w:t>
      </w:r>
      <w:r w:rsidR="00CF2868">
        <w:rPr>
          <w:lang w:val="en-CA"/>
        </w:rPr>
        <w:t>didn’t have</w:t>
      </w:r>
      <w:r>
        <w:rPr>
          <w:lang w:val="en-CA"/>
        </w:rPr>
        <w:t xml:space="preserve"> </w:t>
      </w:r>
      <w:r w:rsidR="000A19D0">
        <w:rPr>
          <w:lang w:val="en-CA"/>
        </w:rPr>
        <w:t xml:space="preserve">the accused </w:t>
      </w:r>
      <w:r>
        <w:rPr>
          <w:lang w:val="en-CA"/>
        </w:rPr>
        <w:t xml:space="preserve">testify </w:t>
      </w:r>
      <w:r w:rsidR="00925BA6">
        <w:rPr>
          <w:lang w:val="en-CA"/>
        </w:rPr>
        <w:t>on this point</w:t>
      </w:r>
      <w:r w:rsidR="000A19D0">
        <w:rPr>
          <w:lang w:val="en-CA"/>
        </w:rPr>
        <w:t xml:space="preserve"> </w:t>
      </w:r>
      <w:r>
        <w:rPr>
          <w:lang w:val="en-CA"/>
        </w:rPr>
        <w:t>again, but he...</w:t>
      </w:r>
    </w:p>
    <w:p w14:paraId="766DF734" w14:textId="77777777" w:rsidR="00095E3B" w:rsidRPr="004A360E" w:rsidRDefault="00F06516" w:rsidP="00BB3674">
      <w:pPr>
        <w:pStyle w:val="Citationenretrait"/>
        <w:rPr>
          <w:rFonts w:cs="Arial"/>
          <w:lang w:val="en-US"/>
        </w:rPr>
      </w:pPr>
      <w:r>
        <w:rPr>
          <w:rFonts w:cs="Arial"/>
          <w:u w:val="single"/>
          <w:lang w:val="en-CA"/>
        </w:rPr>
        <w:t>THE COURT</w:t>
      </w:r>
      <w:r>
        <w:rPr>
          <w:rFonts w:cs="Arial"/>
          <w:lang w:val="en-CA"/>
        </w:rPr>
        <w:t>:</w:t>
      </w:r>
    </w:p>
    <w:p w14:paraId="3102CF96" w14:textId="2C9C98AE" w:rsidR="00095E3B" w:rsidRPr="004A360E" w:rsidRDefault="00F06516" w:rsidP="00BB3674">
      <w:pPr>
        <w:pStyle w:val="Citationenretrait"/>
        <w:rPr>
          <w:lang w:val="en-US"/>
        </w:rPr>
      </w:pPr>
      <w:r>
        <w:rPr>
          <w:lang w:val="en-CA"/>
        </w:rPr>
        <w:t xml:space="preserve">No, but he already testified </w:t>
      </w:r>
      <w:r w:rsidR="00925BA6">
        <w:rPr>
          <w:lang w:val="en-CA"/>
        </w:rPr>
        <w:t>on this point</w:t>
      </w:r>
      <w:r>
        <w:rPr>
          <w:lang w:val="en-CA"/>
        </w:rPr>
        <w:t>.</w:t>
      </w:r>
    </w:p>
    <w:p w14:paraId="0A032038" w14:textId="77777777" w:rsidR="00095E3B" w:rsidRPr="004A360E" w:rsidRDefault="00F06516" w:rsidP="001E2143">
      <w:pPr>
        <w:pStyle w:val="Citationenretrait"/>
        <w:spacing w:after="0"/>
        <w:rPr>
          <w:rFonts w:cs="Arial"/>
          <w:caps/>
          <w:u w:val="single"/>
          <w:lang w:val="en-US"/>
        </w:rPr>
      </w:pPr>
      <w:proofErr w:type="spellStart"/>
      <w:r>
        <w:rPr>
          <w:rFonts w:cs="Arial"/>
          <w:caps/>
          <w:u w:val="single"/>
          <w:lang w:val="en-CA"/>
        </w:rPr>
        <w:t>M</w:t>
      </w:r>
      <w:r>
        <w:rPr>
          <w:rFonts w:cs="Arial"/>
          <w:u w:val="single"/>
          <w:lang w:val="en-CA"/>
        </w:rPr>
        <w:t>tre</w:t>
      </w:r>
      <w:proofErr w:type="spellEnd"/>
      <w:r>
        <w:rPr>
          <w:rFonts w:cs="Arial"/>
          <w:caps/>
          <w:u w:val="single"/>
          <w:lang w:val="en-CA"/>
        </w:rPr>
        <w:t xml:space="preserve"> Claude Bédard</w:t>
      </w:r>
    </w:p>
    <w:p w14:paraId="34F7C755" w14:textId="77777777" w:rsidR="00095E3B" w:rsidRPr="004A360E" w:rsidRDefault="00F06516" w:rsidP="00BB3674">
      <w:pPr>
        <w:pStyle w:val="Citationenretrait"/>
        <w:spacing w:before="0"/>
        <w:rPr>
          <w:rFonts w:cs="Arial"/>
          <w:lang w:val="en-US"/>
        </w:rPr>
      </w:pPr>
      <w:r>
        <w:rPr>
          <w:rFonts w:cs="Arial"/>
          <w:caps/>
          <w:u w:val="single"/>
          <w:lang w:val="en-CA"/>
        </w:rPr>
        <w:t>for the accused:</w:t>
      </w:r>
    </w:p>
    <w:p w14:paraId="45967F01" w14:textId="2BF19533" w:rsidR="006C2DD0" w:rsidRPr="004A360E" w:rsidRDefault="00F06516" w:rsidP="00BB3674">
      <w:pPr>
        <w:pStyle w:val="Citationenretrait"/>
        <w:tabs>
          <w:tab w:val="left" w:pos="1080"/>
        </w:tabs>
        <w:rPr>
          <w:lang w:val="en-US"/>
        </w:rPr>
      </w:pPr>
      <w:r>
        <w:rPr>
          <w:lang w:val="en-CA"/>
        </w:rPr>
        <w:tab/>
        <w:t xml:space="preserve">No, no, I understand, but </w:t>
      </w:r>
      <w:r w:rsidR="00925BA6">
        <w:rPr>
          <w:lang w:val="en-CA"/>
        </w:rPr>
        <w:t xml:space="preserve">the accused </w:t>
      </w:r>
      <w:r>
        <w:rPr>
          <w:lang w:val="en-CA"/>
        </w:rPr>
        <w:t xml:space="preserve">is not familiar with the entire judicial process, whether criminal </w:t>
      </w:r>
      <w:r w:rsidR="00925BA6">
        <w:rPr>
          <w:lang w:val="en-CA"/>
        </w:rPr>
        <w:t xml:space="preserve">or </w:t>
      </w:r>
      <w:r>
        <w:rPr>
          <w:lang w:val="en-CA"/>
        </w:rPr>
        <w:t xml:space="preserve">civil, or how proceedings are </w:t>
      </w:r>
      <w:r w:rsidR="00925BA6">
        <w:rPr>
          <w:lang w:val="en-CA"/>
        </w:rPr>
        <w:t>instituted</w:t>
      </w:r>
      <w:r>
        <w:rPr>
          <w:lang w:val="en-CA"/>
        </w:rPr>
        <w:t xml:space="preserve">. In the sense that in a civil case, she’s the one who </w:t>
      </w:r>
      <w:r w:rsidR="00925BA6">
        <w:rPr>
          <w:lang w:val="en-CA"/>
        </w:rPr>
        <w:t xml:space="preserve">decided </w:t>
      </w:r>
      <w:r>
        <w:rPr>
          <w:lang w:val="en-CA"/>
        </w:rPr>
        <w:t xml:space="preserve">to take the </w:t>
      </w:r>
      <w:r w:rsidR="00925BA6">
        <w:rPr>
          <w:lang w:val="en-CA"/>
        </w:rPr>
        <w:t>initiative</w:t>
      </w:r>
      <w:r>
        <w:rPr>
          <w:lang w:val="en-CA"/>
        </w:rPr>
        <w:t xml:space="preserve"> and </w:t>
      </w:r>
      <w:r w:rsidR="00D615E9">
        <w:rPr>
          <w:lang w:val="en-CA"/>
        </w:rPr>
        <w:t>institute proceedings</w:t>
      </w:r>
      <w:r>
        <w:rPr>
          <w:lang w:val="en-CA"/>
        </w:rPr>
        <w:t>, wh</w:t>
      </w:r>
      <w:r w:rsidR="00D615E9">
        <w:rPr>
          <w:lang w:val="en-CA"/>
        </w:rPr>
        <w:t>ereas</w:t>
      </w:r>
      <w:r>
        <w:rPr>
          <w:lang w:val="en-CA"/>
        </w:rPr>
        <w:t xml:space="preserve"> in a criminal case, </w:t>
      </w:r>
      <w:r w:rsidR="00925BA6">
        <w:rPr>
          <w:lang w:val="en-CA"/>
        </w:rPr>
        <w:t xml:space="preserve">we </w:t>
      </w:r>
      <w:r>
        <w:rPr>
          <w:lang w:val="en-CA"/>
        </w:rPr>
        <w:t xml:space="preserve">invited </w:t>
      </w:r>
      <w:r w:rsidR="00925BA6">
        <w:rPr>
          <w:lang w:val="en-CA"/>
        </w:rPr>
        <w:t xml:space="preserve">her </w:t>
      </w:r>
      <w:r>
        <w:rPr>
          <w:lang w:val="en-CA"/>
        </w:rPr>
        <w:t xml:space="preserve">to </w:t>
      </w:r>
      <w:r w:rsidR="00DD5431">
        <w:rPr>
          <w:lang w:val="en-CA"/>
        </w:rPr>
        <w:t>be involved</w:t>
      </w:r>
      <w:r>
        <w:rPr>
          <w:lang w:val="en-CA"/>
        </w:rPr>
        <w:t xml:space="preserve"> by </w:t>
      </w:r>
      <w:r w:rsidR="00925BA6">
        <w:rPr>
          <w:lang w:val="en-CA"/>
        </w:rPr>
        <w:t>asking her</w:t>
      </w:r>
      <w:r>
        <w:rPr>
          <w:lang w:val="en-CA"/>
        </w:rPr>
        <w:t xml:space="preserve"> questions, and... and that’s </w:t>
      </w:r>
      <w:r w:rsidR="00D615E9">
        <w:rPr>
          <w:lang w:val="en-CA"/>
        </w:rPr>
        <w:t>all</w:t>
      </w:r>
      <w:r>
        <w:rPr>
          <w:lang w:val="en-CA"/>
        </w:rPr>
        <w:t>.</w:t>
      </w:r>
    </w:p>
    <w:p w14:paraId="2E97A0DE" w14:textId="0FC42883" w:rsidR="00095E3B" w:rsidRPr="004A360E" w:rsidRDefault="00F06516" w:rsidP="00BB3674">
      <w:pPr>
        <w:pStyle w:val="Citationenretrait"/>
        <w:tabs>
          <w:tab w:val="left" w:pos="1080"/>
        </w:tabs>
        <w:rPr>
          <w:lang w:val="en-US"/>
        </w:rPr>
      </w:pPr>
      <w:r>
        <w:rPr>
          <w:lang w:val="en-CA"/>
        </w:rPr>
        <w:tab/>
      </w:r>
      <w:r w:rsidR="00D615E9">
        <w:rPr>
          <w:lang w:val="en-CA"/>
        </w:rPr>
        <w:t>In that</w:t>
      </w:r>
      <w:r>
        <w:rPr>
          <w:lang w:val="en-CA"/>
        </w:rPr>
        <w:t xml:space="preserve"> sense, that’s what I want to explain to you, and it was probably... and it </w:t>
      </w:r>
      <w:r w:rsidR="00D615E9">
        <w:rPr>
          <w:lang w:val="en-CA"/>
        </w:rPr>
        <w:t>certainly wasn’t</w:t>
      </w:r>
      <w:r>
        <w:rPr>
          <w:lang w:val="en-CA"/>
        </w:rPr>
        <w:t xml:space="preserve"> clear... </w:t>
      </w:r>
      <w:r w:rsidR="00D615E9">
        <w:rPr>
          <w:lang w:val="en-CA"/>
        </w:rPr>
        <w:t>it wasn’t</w:t>
      </w:r>
      <w:r>
        <w:rPr>
          <w:lang w:val="en-CA"/>
        </w:rPr>
        <w:t xml:space="preserve"> clear in the </w:t>
      </w:r>
      <w:r w:rsidR="00925BA6">
        <w:rPr>
          <w:lang w:val="en-CA"/>
        </w:rPr>
        <w:t xml:space="preserve">accused’s </w:t>
      </w:r>
      <w:r>
        <w:rPr>
          <w:lang w:val="en-CA"/>
        </w:rPr>
        <w:t>mind, and that’s why I’m telling you that there’s no conspiracy theory, and if it’s...</w:t>
      </w:r>
    </w:p>
    <w:p w14:paraId="73B16A4B" w14:textId="77777777" w:rsidR="00095E3B" w:rsidRPr="004A360E" w:rsidRDefault="00F06516" w:rsidP="00BB3674">
      <w:pPr>
        <w:pStyle w:val="Citationenretrait"/>
        <w:rPr>
          <w:rFonts w:cs="Arial"/>
          <w:lang w:val="en-US"/>
        </w:rPr>
      </w:pPr>
      <w:r>
        <w:rPr>
          <w:rFonts w:cs="Arial"/>
          <w:u w:val="single"/>
          <w:lang w:val="en-CA"/>
        </w:rPr>
        <w:t>THE COURT</w:t>
      </w:r>
      <w:r>
        <w:rPr>
          <w:rFonts w:cs="Arial"/>
          <w:lang w:val="en-CA"/>
        </w:rPr>
        <w:t>:</w:t>
      </w:r>
    </w:p>
    <w:p w14:paraId="4A565830" w14:textId="3021F83A" w:rsidR="00095E3B" w:rsidRPr="004A360E" w:rsidRDefault="00F06516" w:rsidP="00BB3674">
      <w:pPr>
        <w:pStyle w:val="Citationenretrait"/>
        <w:rPr>
          <w:lang w:val="en-US"/>
        </w:rPr>
      </w:pPr>
      <w:r>
        <w:rPr>
          <w:lang w:val="en-CA"/>
        </w:rPr>
        <w:t>But I...</w:t>
      </w:r>
    </w:p>
    <w:p w14:paraId="6B6ABCAC" w14:textId="77777777" w:rsidR="00095E3B" w:rsidRPr="004A360E" w:rsidRDefault="00F06516" w:rsidP="001E2143">
      <w:pPr>
        <w:pStyle w:val="Citationenretrait"/>
        <w:spacing w:after="0"/>
        <w:rPr>
          <w:rFonts w:cs="Arial"/>
          <w:caps/>
          <w:u w:val="single"/>
          <w:lang w:val="en-US"/>
        </w:rPr>
      </w:pPr>
      <w:proofErr w:type="spellStart"/>
      <w:r>
        <w:rPr>
          <w:rFonts w:cs="Arial"/>
          <w:caps/>
          <w:u w:val="single"/>
          <w:lang w:val="en-CA"/>
        </w:rPr>
        <w:t>M</w:t>
      </w:r>
      <w:r>
        <w:rPr>
          <w:rFonts w:cs="Arial"/>
          <w:u w:val="single"/>
          <w:lang w:val="en-CA"/>
        </w:rPr>
        <w:t>tre</w:t>
      </w:r>
      <w:proofErr w:type="spellEnd"/>
      <w:r>
        <w:rPr>
          <w:rFonts w:cs="Arial"/>
          <w:caps/>
          <w:u w:val="single"/>
          <w:lang w:val="en-CA"/>
        </w:rPr>
        <w:t xml:space="preserve"> Claude Bédard</w:t>
      </w:r>
    </w:p>
    <w:p w14:paraId="78D50486" w14:textId="77777777" w:rsidR="00095E3B" w:rsidRPr="004A360E" w:rsidRDefault="00F06516" w:rsidP="00BB3674">
      <w:pPr>
        <w:pStyle w:val="Citationenretrait"/>
        <w:spacing w:before="0"/>
        <w:rPr>
          <w:rFonts w:cs="Arial"/>
          <w:caps/>
          <w:lang w:val="en-US"/>
        </w:rPr>
      </w:pPr>
      <w:r>
        <w:rPr>
          <w:rFonts w:cs="Arial"/>
          <w:caps/>
          <w:u w:val="single"/>
          <w:lang w:val="en-CA"/>
        </w:rPr>
        <w:t>for the accused:</w:t>
      </w:r>
    </w:p>
    <w:p w14:paraId="07D8BDA3" w14:textId="0B0B7D54" w:rsidR="00095E3B" w:rsidRPr="004A360E" w:rsidRDefault="00F06516" w:rsidP="00BB3674">
      <w:pPr>
        <w:pStyle w:val="Citationenretrait"/>
        <w:rPr>
          <w:lang w:val="en-US"/>
        </w:rPr>
      </w:pPr>
      <w:r>
        <w:rPr>
          <w:lang w:val="en-CA"/>
        </w:rPr>
        <w:t xml:space="preserve">…that’s what appeared in </w:t>
      </w:r>
      <w:r w:rsidR="00925BA6">
        <w:rPr>
          <w:lang w:val="en-CA"/>
        </w:rPr>
        <w:t xml:space="preserve">the accused’s </w:t>
      </w:r>
      <w:r>
        <w:rPr>
          <w:lang w:val="en-CA"/>
        </w:rPr>
        <w:t>testimony, but…</w:t>
      </w:r>
    </w:p>
    <w:p w14:paraId="7847A85E" w14:textId="77777777" w:rsidR="00095E3B" w:rsidRPr="004A360E" w:rsidRDefault="00F06516" w:rsidP="00BB3674">
      <w:pPr>
        <w:pStyle w:val="Citationenretrait"/>
        <w:rPr>
          <w:rFonts w:cs="Arial"/>
          <w:lang w:val="en-US"/>
        </w:rPr>
      </w:pPr>
      <w:r>
        <w:rPr>
          <w:rFonts w:cs="Arial"/>
          <w:u w:val="single"/>
          <w:lang w:val="en-CA"/>
        </w:rPr>
        <w:t>THE COURT</w:t>
      </w:r>
      <w:r>
        <w:rPr>
          <w:rFonts w:cs="Arial"/>
          <w:lang w:val="en-CA"/>
        </w:rPr>
        <w:t>:</w:t>
      </w:r>
    </w:p>
    <w:p w14:paraId="7F071CC4" w14:textId="40997488" w:rsidR="00D47AAE" w:rsidRPr="004A360E" w:rsidRDefault="00F06516" w:rsidP="00BB3674">
      <w:pPr>
        <w:pStyle w:val="Citationenretrait"/>
        <w:rPr>
          <w:lang w:val="en-US"/>
        </w:rPr>
      </w:pPr>
      <w:r>
        <w:rPr>
          <w:lang w:val="en-CA"/>
        </w:rPr>
        <w:lastRenderedPageBreak/>
        <w:t>At two nineteen p.m. (2:19 p.m.)</w:t>
      </w:r>
      <w:r w:rsidR="00925BA6">
        <w:rPr>
          <w:lang w:val="en-CA"/>
        </w:rPr>
        <w:t xml:space="preserve"> </w:t>
      </w:r>
      <w:r>
        <w:rPr>
          <w:lang w:val="en-CA"/>
        </w:rPr>
        <w:t xml:space="preserve">... because I did... before hearing, I listened </w:t>
      </w:r>
      <w:r w:rsidR="00925BA6">
        <w:rPr>
          <w:lang w:val="en-CA"/>
        </w:rPr>
        <w:t xml:space="preserve">to it </w:t>
      </w:r>
      <w:r>
        <w:rPr>
          <w:lang w:val="en-CA"/>
        </w:rPr>
        <w:t>again.</w:t>
      </w:r>
    </w:p>
    <w:p w14:paraId="3D38965E" w14:textId="52D3BECB" w:rsidR="00095E3B" w:rsidRPr="004A360E" w:rsidRDefault="00F06516" w:rsidP="001E2143">
      <w:pPr>
        <w:pStyle w:val="Citationenretrait"/>
        <w:spacing w:after="0"/>
        <w:rPr>
          <w:rFonts w:cs="Arial"/>
          <w:caps/>
          <w:u w:val="single"/>
          <w:lang w:val="en-US"/>
        </w:rPr>
      </w:pPr>
      <w:proofErr w:type="spellStart"/>
      <w:r>
        <w:rPr>
          <w:rFonts w:cs="Arial"/>
          <w:caps/>
          <w:u w:val="single"/>
          <w:lang w:val="en-CA"/>
        </w:rPr>
        <w:t>M</w:t>
      </w:r>
      <w:r>
        <w:rPr>
          <w:rFonts w:cs="Arial"/>
          <w:u w:val="single"/>
          <w:lang w:val="en-CA"/>
        </w:rPr>
        <w:t>tre</w:t>
      </w:r>
      <w:proofErr w:type="spellEnd"/>
      <w:r>
        <w:rPr>
          <w:rFonts w:cs="Arial"/>
          <w:caps/>
          <w:u w:val="single"/>
          <w:lang w:val="en-CA"/>
        </w:rPr>
        <w:t xml:space="preserve"> Claude Bédard</w:t>
      </w:r>
    </w:p>
    <w:p w14:paraId="3EED6A17" w14:textId="77777777" w:rsidR="00095E3B" w:rsidRPr="004A360E" w:rsidRDefault="00F06516" w:rsidP="00BB3674">
      <w:pPr>
        <w:pStyle w:val="Citationenretrait"/>
        <w:spacing w:before="0"/>
        <w:rPr>
          <w:rFonts w:cs="Arial"/>
          <w:lang w:val="en-US"/>
        </w:rPr>
      </w:pPr>
      <w:r>
        <w:rPr>
          <w:rFonts w:cs="Arial"/>
          <w:caps/>
          <w:u w:val="single"/>
          <w:lang w:val="en-CA"/>
        </w:rPr>
        <w:t>for the accused:</w:t>
      </w:r>
    </w:p>
    <w:p w14:paraId="7B45BB8A" w14:textId="3C7DD8D3" w:rsidR="00095E3B" w:rsidRPr="004A360E" w:rsidRDefault="00F06516" w:rsidP="00BB3674">
      <w:pPr>
        <w:pStyle w:val="Citationenretrait"/>
        <w:rPr>
          <w:lang w:val="en-US"/>
        </w:rPr>
      </w:pPr>
      <w:r>
        <w:rPr>
          <w:lang w:val="en-CA"/>
        </w:rPr>
        <w:t>Yes?</w:t>
      </w:r>
    </w:p>
    <w:p w14:paraId="7013185B" w14:textId="77777777" w:rsidR="00095E3B" w:rsidRPr="004A360E" w:rsidRDefault="00F06516" w:rsidP="00BB3674">
      <w:pPr>
        <w:pStyle w:val="Citationenretrait"/>
        <w:rPr>
          <w:rFonts w:cs="Arial"/>
          <w:lang w:val="en-US"/>
        </w:rPr>
      </w:pPr>
      <w:r>
        <w:rPr>
          <w:rFonts w:cs="Arial"/>
          <w:u w:val="single"/>
          <w:lang w:val="en-CA"/>
        </w:rPr>
        <w:t>THE COURT</w:t>
      </w:r>
      <w:r>
        <w:rPr>
          <w:rFonts w:cs="Arial"/>
          <w:lang w:val="en-CA"/>
        </w:rPr>
        <w:t>:</w:t>
      </w:r>
    </w:p>
    <w:p w14:paraId="23DC5DC2" w14:textId="35A49181" w:rsidR="00D47AAE" w:rsidRPr="004A360E" w:rsidRDefault="00F06516" w:rsidP="00BB3674">
      <w:pPr>
        <w:pStyle w:val="Citationenretrait"/>
        <w:rPr>
          <w:rFonts w:cs="Arial"/>
          <w:lang w:val="en-US"/>
        </w:rPr>
      </w:pPr>
      <w:r>
        <w:rPr>
          <w:rFonts w:cs="Arial"/>
          <w:lang w:val="en-CA"/>
        </w:rPr>
        <w:t>And here’s what it says</w:t>
      </w:r>
      <w:r w:rsidR="00925BA6">
        <w:rPr>
          <w:rFonts w:cs="Arial"/>
          <w:lang w:val="en-CA"/>
        </w:rPr>
        <w:t>, [</w:t>
      </w:r>
      <w:r w:rsidR="00925BA6" w:rsidRPr="009D6270">
        <w:rPr>
          <w:rFonts w:cs="Arial"/>
          <w:smallCaps/>
          <w:lang w:val="en-CA"/>
        </w:rPr>
        <w:t>translation</w:t>
      </w:r>
      <w:r w:rsidR="00925BA6">
        <w:rPr>
          <w:rFonts w:cs="Arial"/>
          <w:lang w:val="en-CA"/>
        </w:rPr>
        <w:t xml:space="preserve">] </w:t>
      </w:r>
      <w:r>
        <w:rPr>
          <w:rFonts w:cs="Arial"/>
          <w:lang w:val="en-CA"/>
        </w:rPr>
        <w:t>“Are you claiming that Ms. S. was influenced in her decision to participate in the proceedings by the fact that you did not want to give her the money?” “Yes.” And I noted</w:t>
      </w:r>
      <w:r w:rsidR="00925BA6">
        <w:rPr>
          <w:rFonts w:cs="Arial"/>
          <w:lang w:val="en-CA"/>
        </w:rPr>
        <w:t>, [</w:t>
      </w:r>
      <w:r w:rsidR="00925BA6" w:rsidRPr="009D6270">
        <w:rPr>
          <w:rFonts w:cs="Arial"/>
          <w:smallCaps/>
          <w:lang w:val="en-CA"/>
        </w:rPr>
        <w:t>translation</w:t>
      </w:r>
      <w:r w:rsidR="00925BA6">
        <w:rPr>
          <w:rFonts w:cs="Arial"/>
          <w:lang w:val="en-CA"/>
        </w:rPr>
        <w:t>]</w:t>
      </w:r>
      <w:r w:rsidR="0061079B">
        <w:rPr>
          <w:rFonts w:cs="Arial"/>
          <w:lang w:val="en-CA"/>
        </w:rPr>
        <w:t xml:space="preserve"> </w:t>
      </w:r>
      <w:r>
        <w:rPr>
          <w:rFonts w:cs="Arial"/>
          <w:lang w:val="en-CA"/>
        </w:rPr>
        <w:t>“</w:t>
      </w:r>
      <w:r w:rsidR="00925BA6">
        <w:rPr>
          <w:rFonts w:cs="Arial"/>
          <w:lang w:val="en-CA"/>
        </w:rPr>
        <w:t>S</w:t>
      </w:r>
      <w:r>
        <w:rPr>
          <w:rFonts w:cs="Arial"/>
          <w:lang w:val="en-CA"/>
        </w:rPr>
        <w:t>he’s participating</w:t>
      </w:r>
      <w:r w:rsidR="00925BA6">
        <w:rPr>
          <w:rFonts w:cs="Arial"/>
          <w:lang w:val="en-CA"/>
        </w:rPr>
        <w:t xml:space="preserve"> only</w:t>
      </w:r>
      <w:r>
        <w:rPr>
          <w:rFonts w:cs="Arial"/>
          <w:lang w:val="en-CA"/>
        </w:rPr>
        <w:t xml:space="preserve"> because I refused to give her money.” </w:t>
      </w:r>
      <w:r w:rsidR="0083724B">
        <w:rPr>
          <w:rFonts w:cs="Arial"/>
          <w:lang w:val="en-CA"/>
        </w:rPr>
        <w:t>Then all that is talked about is</w:t>
      </w:r>
      <w:r>
        <w:rPr>
          <w:rFonts w:cs="Arial"/>
          <w:lang w:val="en-CA"/>
        </w:rPr>
        <w:t xml:space="preserve"> the criminal case</w:t>
      </w:r>
      <w:r w:rsidR="0083724B">
        <w:rPr>
          <w:rFonts w:cs="Arial"/>
          <w:lang w:val="en-CA"/>
        </w:rPr>
        <w:t>.</w:t>
      </w:r>
      <w:r>
        <w:rPr>
          <w:rFonts w:cs="Arial"/>
          <w:lang w:val="en-CA"/>
        </w:rPr>
        <w:t>.</w:t>
      </w:r>
    </w:p>
    <w:p w14:paraId="350BDB4F" w14:textId="6AAC06A8" w:rsidR="00095E3B" w:rsidRPr="004A360E" w:rsidRDefault="00F06516" w:rsidP="001E2143">
      <w:pPr>
        <w:pStyle w:val="Citationenretrait"/>
        <w:spacing w:after="0"/>
        <w:rPr>
          <w:rFonts w:cs="Arial"/>
          <w:caps/>
          <w:u w:val="single"/>
          <w:lang w:val="en-US"/>
        </w:rPr>
      </w:pPr>
      <w:proofErr w:type="spellStart"/>
      <w:r>
        <w:rPr>
          <w:rFonts w:cs="Arial"/>
          <w:caps/>
          <w:u w:val="single"/>
          <w:lang w:val="en-CA"/>
        </w:rPr>
        <w:t>M</w:t>
      </w:r>
      <w:r>
        <w:rPr>
          <w:rFonts w:cs="Arial"/>
          <w:u w:val="single"/>
          <w:lang w:val="en-CA"/>
        </w:rPr>
        <w:t>tre</w:t>
      </w:r>
      <w:proofErr w:type="spellEnd"/>
      <w:r>
        <w:rPr>
          <w:rFonts w:cs="Arial"/>
          <w:caps/>
          <w:u w:val="single"/>
          <w:lang w:val="en-CA"/>
        </w:rPr>
        <w:t xml:space="preserve"> Claude Bédard</w:t>
      </w:r>
    </w:p>
    <w:p w14:paraId="22E92F35" w14:textId="77777777" w:rsidR="00095E3B" w:rsidRPr="004A360E" w:rsidRDefault="00F06516" w:rsidP="00BB3674">
      <w:pPr>
        <w:pStyle w:val="Citationenretrait"/>
        <w:spacing w:before="0"/>
        <w:rPr>
          <w:rFonts w:cs="Arial"/>
          <w:lang w:val="en-US"/>
        </w:rPr>
      </w:pPr>
      <w:r>
        <w:rPr>
          <w:rFonts w:cs="Arial"/>
          <w:caps/>
          <w:u w:val="single"/>
          <w:lang w:val="en-CA"/>
        </w:rPr>
        <w:t>for the accused:</w:t>
      </w:r>
    </w:p>
    <w:p w14:paraId="7F02517A" w14:textId="2070198F" w:rsidR="00095E3B" w:rsidRPr="004A360E" w:rsidRDefault="00F06516" w:rsidP="00BB3674">
      <w:pPr>
        <w:pStyle w:val="Citationenretrait"/>
        <w:rPr>
          <w:lang w:val="en-US"/>
        </w:rPr>
      </w:pPr>
      <w:r>
        <w:rPr>
          <w:lang w:val="en-CA"/>
        </w:rPr>
        <w:t xml:space="preserve">We’re </w:t>
      </w:r>
      <w:r w:rsidR="0083724B">
        <w:rPr>
          <w:lang w:val="en-CA"/>
        </w:rPr>
        <w:t>talk</w:t>
      </w:r>
      <w:r w:rsidR="00A3616F">
        <w:rPr>
          <w:lang w:val="en-CA"/>
        </w:rPr>
        <w:t>ing</w:t>
      </w:r>
      <w:r w:rsidR="0083724B">
        <w:rPr>
          <w:lang w:val="en-CA"/>
        </w:rPr>
        <w:t xml:space="preserve"> </w:t>
      </w:r>
      <w:r>
        <w:rPr>
          <w:lang w:val="en-CA"/>
        </w:rPr>
        <w:t>about the judicial process.</w:t>
      </w:r>
    </w:p>
    <w:p w14:paraId="4F0FD5F1" w14:textId="77777777" w:rsidR="00D47AAE" w:rsidRPr="004A360E" w:rsidRDefault="00F06516" w:rsidP="00BB3674">
      <w:pPr>
        <w:pStyle w:val="Citationenretrait"/>
        <w:rPr>
          <w:lang w:val="en-US"/>
        </w:rPr>
      </w:pPr>
      <w:r>
        <w:rPr>
          <w:u w:val="single"/>
          <w:lang w:val="en-CA"/>
        </w:rPr>
        <w:t>THE COURT</w:t>
      </w:r>
      <w:r>
        <w:rPr>
          <w:lang w:val="en-CA"/>
        </w:rPr>
        <w:t>:</w:t>
      </w:r>
    </w:p>
    <w:p w14:paraId="37E7B4CC" w14:textId="2D8F649B" w:rsidR="00D47AAE" w:rsidRPr="004A360E" w:rsidRDefault="00F06516" w:rsidP="00BB3674">
      <w:pPr>
        <w:pStyle w:val="Citationenretrait"/>
        <w:rPr>
          <w:lang w:val="en-US"/>
        </w:rPr>
      </w:pPr>
      <w:r>
        <w:rPr>
          <w:lang w:val="en-CA"/>
        </w:rPr>
        <w:t>That’s what you said, but I...</w:t>
      </w:r>
    </w:p>
    <w:p w14:paraId="2C30C365" w14:textId="1842E693" w:rsidR="00D47AAE" w:rsidRPr="004A360E" w:rsidRDefault="00F06516" w:rsidP="001E2143">
      <w:pPr>
        <w:pStyle w:val="Citationenretrait"/>
        <w:spacing w:after="0"/>
        <w:rPr>
          <w:rFonts w:cs="Arial"/>
          <w:caps/>
          <w:u w:val="single"/>
          <w:lang w:val="en-US"/>
        </w:rPr>
      </w:pPr>
      <w:proofErr w:type="spellStart"/>
      <w:r>
        <w:rPr>
          <w:rFonts w:cs="Arial"/>
          <w:caps/>
          <w:u w:val="single"/>
          <w:lang w:val="en-CA"/>
        </w:rPr>
        <w:t>M</w:t>
      </w:r>
      <w:r>
        <w:rPr>
          <w:rFonts w:cs="Arial"/>
          <w:u w:val="single"/>
          <w:lang w:val="en-CA"/>
        </w:rPr>
        <w:t>tre</w:t>
      </w:r>
      <w:proofErr w:type="spellEnd"/>
      <w:r>
        <w:rPr>
          <w:rFonts w:cs="Arial"/>
          <w:caps/>
          <w:u w:val="single"/>
          <w:lang w:val="en-CA"/>
        </w:rPr>
        <w:t xml:space="preserve"> Claude Bédard</w:t>
      </w:r>
    </w:p>
    <w:p w14:paraId="65C4D0C2" w14:textId="77777777" w:rsidR="00D47AAE" w:rsidRPr="004A360E" w:rsidRDefault="00F06516" w:rsidP="00BB3674">
      <w:pPr>
        <w:pStyle w:val="Citationenretrait"/>
        <w:spacing w:before="0"/>
        <w:rPr>
          <w:rFonts w:cs="Arial"/>
          <w:lang w:val="en-US"/>
        </w:rPr>
      </w:pPr>
      <w:r>
        <w:rPr>
          <w:rFonts w:cs="Arial"/>
          <w:caps/>
          <w:u w:val="single"/>
          <w:lang w:val="en-CA"/>
        </w:rPr>
        <w:t>for the accused:</w:t>
      </w:r>
    </w:p>
    <w:p w14:paraId="1B97DE1D" w14:textId="4A897EDD" w:rsidR="00D47AAE" w:rsidRPr="004A360E" w:rsidRDefault="00F06516" w:rsidP="00BB3674">
      <w:pPr>
        <w:pStyle w:val="Citationenretrait"/>
        <w:rPr>
          <w:lang w:val="en-US"/>
        </w:rPr>
      </w:pPr>
      <w:r>
        <w:rPr>
          <w:lang w:val="en-CA"/>
        </w:rPr>
        <w:t>Well, that’s what I understood.</w:t>
      </w:r>
    </w:p>
    <w:p w14:paraId="545B71AA" w14:textId="7069374F" w:rsidR="00D47AAE" w:rsidRPr="004A360E" w:rsidRDefault="00F06516" w:rsidP="00BB3674">
      <w:pPr>
        <w:pStyle w:val="Citationenretrait"/>
        <w:rPr>
          <w:lang w:val="en-US"/>
        </w:rPr>
      </w:pPr>
      <w:r>
        <w:rPr>
          <w:u w:val="single"/>
          <w:lang w:val="en-CA"/>
        </w:rPr>
        <w:t>THE COURT</w:t>
      </w:r>
      <w:r>
        <w:rPr>
          <w:lang w:val="en-CA"/>
        </w:rPr>
        <w:t>:</w:t>
      </w:r>
    </w:p>
    <w:p w14:paraId="590E349C" w14:textId="73400879" w:rsidR="00D47AAE" w:rsidRPr="004A360E" w:rsidRDefault="00F06516" w:rsidP="00BB3674">
      <w:pPr>
        <w:pStyle w:val="Citationenretrait"/>
        <w:rPr>
          <w:lang w:val="en-US"/>
        </w:rPr>
      </w:pPr>
      <w:r>
        <w:rPr>
          <w:lang w:val="en-CA"/>
        </w:rPr>
        <w:t xml:space="preserve">...will </w:t>
      </w:r>
      <w:r w:rsidR="0083724B">
        <w:rPr>
          <w:lang w:val="en-CA"/>
        </w:rPr>
        <w:t xml:space="preserve">go back and </w:t>
      </w:r>
      <w:r>
        <w:rPr>
          <w:lang w:val="en-CA"/>
        </w:rPr>
        <w:t xml:space="preserve">listen again, </w:t>
      </w:r>
      <w:proofErr w:type="spellStart"/>
      <w:r>
        <w:rPr>
          <w:lang w:val="en-CA"/>
        </w:rPr>
        <w:t>Mtre</w:t>
      </w:r>
      <w:proofErr w:type="spellEnd"/>
      <w:r>
        <w:rPr>
          <w:lang w:val="en-CA"/>
        </w:rPr>
        <w:t xml:space="preserve"> Bédard, because maybe you’re right.</w:t>
      </w:r>
    </w:p>
    <w:p w14:paraId="76081815" w14:textId="77777777" w:rsidR="00D47AAE" w:rsidRPr="004A360E" w:rsidRDefault="00F06516" w:rsidP="001E2143">
      <w:pPr>
        <w:pStyle w:val="Citationenretrait"/>
        <w:spacing w:after="0"/>
        <w:rPr>
          <w:rFonts w:cs="Arial"/>
          <w:caps/>
          <w:u w:val="single"/>
          <w:lang w:val="en-US"/>
        </w:rPr>
      </w:pPr>
      <w:proofErr w:type="spellStart"/>
      <w:r>
        <w:rPr>
          <w:rFonts w:cs="Arial"/>
          <w:caps/>
          <w:u w:val="single"/>
          <w:lang w:val="en-CA"/>
        </w:rPr>
        <w:t>M</w:t>
      </w:r>
      <w:r>
        <w:rPr>
          <w:rFonts w:cs="Arial"/>
          <w:u w:val="single"/>
          <w:lang w:val="en-CA"/>
        </w:rPr>
        <w:t>tre</w:t>
      </w:r>
      <w:proofErr w:type="spellEnd"/>
      <w:r>
        <w:rPr>
          <w:rFonts w:cs="Arial"/>
          <w:caps/>
          <w:u w:val="single"/>
          <w:lang w:val="en-CA"/>
        </w:rPr>
        <w:t xml:space="preserve"> Claude Bédard</w:t>
      </w:r>
    </w:p>
    <w:p w14:paraId="2F90CA47" w14:textId="77777777" w:rsidR="00D47AAE" w:rsidRPr="004A360E" w:rsidRDefault="00F06516" w:rsidP="00BB3674">
      <w:pPr>
        <w:pStyle w:val="Citationenretrait"/>
        <w:spacing w:before="0"/>
        <w:rPr>
          <w:rFonts w:cs="Arial"/>
          <w:lang w:val="en-US"/>
        </w:rPr>
      </w:pPr>
      <w:r>
        <w:rPr>
          <w:rFonts w:cs="Arial"/>
          <w:caps/>
          <w:u w:val="single"/>
          <w:lang w:val="en-CA"/>
        </w:rPr>
        <w:t>for the accused:</w:t>
      </w:r>
    </w:p>
    <w:p w14:paraId="35A61EBD" w14:textId="7352DF50" w:rsidR="00D47AAE" w:rsidRPr="004A360E" w:rsidRDefault="00F06516" w:rsidP="00BB3674">
      <w:pPr>
        <w:pStyle w:val="Citationenretrait"/>
        <w:rPr>
          <w:lang w:val="en-US"/>
        </w:rPr>
      </w:pPr>
      <w:r>
        <w:rPr>
          <w:lang w:val="en-CA"/>
        </w:rPr>
        <w:t>No, no, that’s not what I’m saying, I’m just saying</w:t>
      </w:r>
      <w:r w:rsidR="0083724B">
        <w:rPr>
          <w:lang w:val="en-CA"/>
        </w:rPr>
        <w:t xml:space="preserve"> that </w:t>
      </w:r>
      <w:r>
        <w:rPr>
          <w:lang w:val="en-CA"/>
        </w:rPr>
        <w:t>you just said,</w:t>
      </w:r>
      <w:r w:rsidR="00D615E9">
        <w:rPr>
          <w:lang w:val="en-CA"/>
        </w:rPr>
        <w:t xml:space="preserve"> </w:t>
      </w:r>
      <w:r w:rsidR="00565E2F">
        <w:rPr>
          <w:lang w:val="en-CA"/>
        </w:rPr>
        <w:t>[</w:t>
      </w:r>
      <w:r w:rsidR="00565E2F" w:rsidRPr="00565E2F">
        <w:rPr>
          <w:smallCaps/>
          <w:lang w:val="en-CA"/>
        </w:rPr>
        <w:t>translation</w:t>
      </w:r>
      <w:r w:rsidR="00565E2F">
        <w:rPr>
          <w:lang w:val="en-CA"/>
        </w:rPr>
        <w:t>]</w:t>
      </w:r>
      <w:r>
        <w:rPr>
          <w:lang w:val="en-CA"/>
        </w:rPr>
        <w:t xml:space="preserve"> “the judicial process”</w:t>
      </w:r>
      <w:r w:rsidR="0083724B">
        <w:rPr>
          <w:lang w:val="en-CA"/>
        </w:rPr>
        <w:t xml:space="preserve"> to me</w:t>
      </w:r>
      <w:r>
        <w:rPr>
          <w:lang w:val="en-CA"/>
        </w:rPr>
        <w:t>...</w:t>
      </w:r>
    </w:p>
    <w:p w14:paraId="66C1CE3A" w14:textId="77777777" w:rsidR="00BB3674" w:rsidRPr="004A360E" w:rsidRDefault="00F06516" w:rsidP="00BB3674">
      <w:pPr>
        <w:pStyle w:val="Citationenretrait"/>
        <w:rPr>
          <w:u w:val="single"/>
          <w:lang w:val="en-US"/>
        </w:rPr>
      </w:pPr>
      <w:r>
        <w:rPr>
          <w:u w:val="single"/>
          <w:lang w:val="en-CA"/>
        </w:rPr>
        <w:br w:type="page"/>
      </w:r>
    </w:p>
    <w:p w14:paraId="209729B1" w14:textId="07EE9474" w:rsidR="00D47AAE" w:rsidRPr="004A360E" w:rsidRDefault="00F06516" w:rsidP="00BB3674">
      <w:pPr>
        <w:pStyle w:val="Citationenretrait"/>
        <w:rPr>
          <w:lang w:val="en-US"/>
        </w:rPr>
      </w:pPr>
      <w:r>
        <w:rPr>
          <w:u w:val="single"/>
          <w:lang w:val="en-CA"/>
        </w:rPr>
        <w:lastRenderedPageBreak/>
        <w:t>THE COURT</w:t>
      </w:r>
      <w:r>
        <w:rPr>
          <w:lang w:val="en-CA"/>
        </w:rPr>
        <w:t>:</w:t>
      </w:r>
    </w:p>
    <w:p w14:paraId="5F7FC464" w14:textId="1A89CE23" w:rsidR="00D47AAE" w:rsidRPr="004A360E" w:rsidRDefault="00F06516" w:rsidP="00BB3674">
      <w:pPr>
        <w:pStyle w:val="Citationenretrait"/>
        <w:rPr>
          <w:lang w:val="en-US"/>
        </w:rPr>
      </w:pPr>
      <w:r>
        <w:rPr>
          <w:lang w:val="en-CA"/>
        </w:rPr>
        <w:t>Well, I underst</w:t>
      </w:r>
      <w:r w:rsidR="004A3EB1">
        <w:rPr>
          <w:lang w:val="en-CA"/>
        </w:rPr>
        <w:t>and</w:t>
      </w:r>
      <w:r>
        <w:rPr>
          <w:lang w:val="en-CA"/>
        </w:rPr>
        <w:t xml:space="preserve">... I understood in my... in my notes that we were talking about the criminal judicial process, but I may be wrong. </w:t>
      </w:r>
      <w:r w:rsidR="004A3EB1">
        <w:rPr>
          <w:lang w:val="en-CA"/>
        </w:rPr>
        <w:t>I’ll</w:t>
      </w:r>
      <w:r>
        <w:rPr>
          <w:lang w:val="en-CA"/>
        </w:rPr>
        <w:t xml:space="preserve"> listen again to this...</w:t>
      </w:r>
    </w:p>
    <w:p w14:paraId="621A7131" w14:textId="77777777" w:rsidR="00D47AAE" w:rsidRPr="004A360E" w:rsidRDefault="00F06516" w:rsidP="001E2143">
      <w:pPr>
        <w:pStyle w:val="Citationenretrait"/>
        <w:spacing w:after="0"/>
        <w:rPr>
          <w:rFonts w:cs="Arial"/>
          <w:caps/>
          <w:u w:val="single"/>
          <w:lang w:val="en-US"/>
        </w:rPr>
      </w:pPr>
      <w:proofErr w:type="spellStart"/>
      <w:r>
        <w:rPr>
          <w:rFonts w:cs="Arial"/>
          <w:caps/>
          <w:u w:val="single"/>
          <w:lang w:val="en-CA"/>
        </w:rPr>
        <w:t>M</w:t>
      </w:r>
      <w:r>
        <w:rPr>
          <w:rFonts w:cs="Arial"/>
          <w:u w:val="single"/>
          <w:lang w:val="en-CA"/>
        </w:rPr>
        <w:t>tre</w:t>
      </w:r>
      <w:proofErr w:type="spellEnd"/>
      <w:r>
        <w:rPr>
          <w:rFonts w:cs="Arial"/>
          <w:caps/>
          <w:u w:val="single"/>
          <w:lang w:val="en-CA"/>
        </w:rPr>
        <w:t xml:space="preserve"> Claude Bédard</w:t>
      </w:r>
    </w:p>
    <w:p w14:paraId="2B75508D" w14:textId="77777777" w:rsidR="00D47AAE" w:rsidRPr="004A360E" w:rsidRDefault="00F06516" w:rsidP="00BB3674">
      <w:pPr>
        <w:pStyle w:val="Citationenretrait"/>
        <w:spacing w:before="0"/>
        <w:rPr>
          <w:rFonts w:cs="Arial"/>
          <w:lang w:val="en-US"/>
        </w:rPr>
      </w:pPr>
      <w:r>
        <w:rPr>
          <w:rFonts w:cs="Arial"/>
          <w:caps/>
          <w:u w:val="single"/>
          <w:lang w:val="en-CA"/>
        </w:rPr>
        <w:t>for the accused:</w:t>
      </w:r>
    </w:p>
    <w:p w14:paraId="15835F8D" w14:textId="67FF1401" w:rsidR="00D47AAE" w:rsidRPr="00941800" w:rsidRDefault="00F06516" w:rsidP="001E2143">
      <w:pPr>
        <w:pStyle w:val="Citationenretrait"/>
      </w:pPr>
      <w:r>
        <w:rPr>
          <w:rFonts w:cs="Arial"/>
          <w:lang w:val="en-CA"/>
        </w:rPr>
        <w:t xml:space="preserve">But I’m not sure, but </w:t>
      </w:r>
      <w:r w:rsidR="004A3EB1">
        <w:rPr>
          <w:rFonts w:cs="Arial"/>
          <w:lang w:val="en-CA"/>
        </w:rPr>
        <w:t>in any case</w:t>
      </w:r>
      <w:r>
        <w:rPr>
          <w:rFonts w:cs="Arial"/>
          <w:lang w:val="en-CA"/>
        </w:rPr>
        <w:t>, that isn’t</w:t>
      </w:r>
      <w:r w:rsidR="0061079B">
        <w:rPr>
          <w:rFonts w:cs="Arial"/>
          <w:lang w:val="en-CA"/>
        </w:rPr>
        <w:t xml:space="preserve"> </w:t>
      </w:r>
      <w:r w:rsidR="00D615E9">
        <w:rPr>
          <w:rFonts w:cs="Arial"/>
          <w:lang w:val="en-CA"/>
        </w:rPr>
        <w:t xml:space="preserve">being argued </w:t>
      </w:r>
      <w:r>
        <w:rPr>
          <w:rFonts w:cs="Arial"/>
          <w:lang w:val="en-CA"/>
        </w:rPr>
        <w:t xml:space="preserve">before you, so... it’s not before you and second, we’re talking about </w:t>
      </w:r>
      <w:r w:rsidR="007C71B1">
        <w:rPr>
          <w:rFonts w:cs="Arial"/>
          <w:lang w:val="en-CA"/>
        </w:rPr>
        <w:t xml:space="preserve">the accused’s </w:t>
      </w:r>
      <w:r>
        <w:rPr>
          <w:rFonts w:cs="Arial"/>
          <w:lang w:val="en-CA"/>
        </w:rPr>
        <w:t xml:space="preserve">insistence that the doors are open, and </w:t>
      </w:r>
      <w:r w:rsidR="007C71B1">
        <w:rPr>
          <w:rFonts w:cs="Arial"/>
          <w:lang w:val="en-CA"/>
        </w:rPr>
        <w:t>this and that</w:t>
      </w:r>
      <w:r>
        <w:rPr>
          <w:rFonts w:cs="Arial"/>
          <w:lang w:val="en-CA"/>
        </w:rPr>
        <w:t xml:space="preserve">. My colleague says that </w:t>
      </w:r>
      <w:r w:rsidR="004A3EB1">
        <w:rPr>
          <w:rFonts w:cs="Arial"/>
          <w:lang w:val="en-CA"/>
        </w:rPr>
        <w:t>the accused</w:t>
      </w:r>
      <w:r>
        <w:rPr>
          <w:rFonts w:cs="Arial"/>
          <w:lang w:val="en-CA"/>
        </w:rPr>
        <w:t xml:space="preserve"> keeps insisting that the doors are open</w:t>
      </w:r>
      <w:r w:rsidR="002226CB">
        <w:rPr>
          <w:rFonts w:cs="Arial"/>
          <w:lang w:val="en-CA"/>
        </w:rPr>
        <w:t>,</w:t>
      </w:r>
      <w:r>
        <w:rPr>
          <w:rFonts w:cs="Arial"/>
          <w:lang w:val="en-CA"/>
        </w:rPr>
        <w:t xml:space="preserve"> and he wasn’t there. Listen...</w:t>
      </w:r>
      <w:r>
        <w:rPr>
          <w:rStyle w:val="Appelnotedebasdep"/>
          <w:lang w:val="en-CA"/>
        </w:rPr>
        <w:footnoteReference w:id="35"/>
      </w:r>
    </w:p>
    <w:p w14:paraId="3AC2F51B" w14:textId="6C8E1A30" w:rsidR="00366FB7" w:rsidRPr="004A360E" w:rsidRDefault="00E85A61" w:rsidP="00E744F4">
      <w:pPr>
        <w:pStyle w:val="Paragraphe"/>
        <w:rPr>
          <w:lang w:val="en-US"/>
        </w:rPr>
      </w:pPr>
      <w:r>
        <w:rPr>
          <w:lang w:val="en-CA"/>
        </w:rPr>
        <w:t>The</w:t>
      </w:r>
      <w:r w:rsidR="00F06516">
        <w:rPr>
          <w:lang w:val="en-CA"/>
        </w:rPr>
        <w:t xml:space="preserve"> judge—and understandably so—</w:t>
      </w:r>
      <w:r w:rsidR="002226CB">
        <w:rPr>
          <w:lang w:val="en-CA"/>
        </w:rPr>
        <w:t>was</w:t>
      </w:r>
      <w:r w:rsidR="00F06516">
        <w:rPr>
          <w:lang w:val="en-CA"/>
        </w:rPr>
        <w:t xml:space="preserve"> unsure about the convoluted position of the appellant’s counsel or, at the very least, </w:t>
      </w:r>
      <w:r w:rsidR="002226CB">
        <w:rPr>
          <w:lang w:val="en-CA"/>
        </w:rPr>
        <w:t>wa</w:t>
      </w:r>
      <w:r w:rsidR="00F06516">
        <w:rPr>
          <w:lang w:val="en-CA"/>
        </w:rPr>
        <w:t xml:space="preserve">s surprised by it. However, to </w:t>
      </w:r>
      <w:r w:rsidR="008A07E3">
        <w:rPr>
          <w:lang w:val="en-CA"/>
        </w:rPr>
        <w:t xml:space="preserve">fully </w:t>
      </w:r>
      <w:r w:rsidR="00F06516">
        <w:rPr>
          <w:lang w:val="en-CA"/>
        </w:rPr>
        <w:t>understand the situation in which counsel f</w:t>
      </w:r>
      <w:r w:rsidR="00DD3D51">
        <w:rPr>
          <w:lang w:val="en-CA"/>
        </w:rPr>
        <w:t xml:space="preserve">ound </w:t>
      </w:r>
      <w:r w:rsidR="00F06516">
        <w:rPr>
          <w:lang w:val="en-CA"/>
        </w:rPr>
        <w:t xml:space="preserve">himself when he </w:t>
      </w:r>
      <w:r w:rsidR="00DD3D51">
        <w:rPr>
          <w:lang w:val="en-CA"/>
        </w:rPr>
        <w:t>expressed himself</w:t>
      </w:r>
      <w:r w:rsidR="00F06516">
        <w:rPr>
          <w:lang w:val="en-CA"/>
        </w:rPr>
        <w:t xml:space="preserve"> this way, </w:t>
      </w:r>
      <w:r w:rsidR="002226CB">
        <w:rPr>
          <w:lang w:val="en-CA"/>
        </w:rPr>
        <w:t>w</w:t>
      </w:r>
      <w:r w:rsidR="00DD3D51">
        <w:rPr>
          <w:lang w:val="en-CA"/>
        </w:rPr>
        <w:t>e must read</w:t>
      </w:r>
      <w:r w:rsidR="00F06516">
        <w:rPr>
          <w:lang w:val="en-CA"/>
        </w:rPr>
        <w:t xml:space="preserve"> specific </w:t>
      </w:r>
      <w:r w:rsidR="00DD3D51">
        <w:rPr>
          <w:lang w:val="en-CA"/>
        </w:rPr>
        <w:t xml:space="preserve">excerpts </w:t>
      </w:r>
      <w:r w:rsidR="00F06516">
        <w:rPr>
          <w:lang w:val="en-CA"/>
        </w:rPr>
        <w:t xml:space="preserve">of the appellant’s testimony, as well as the </w:t>
      </w:r>
      <w:r w:rsidR="00DD3D51">
        <w:rPr>
          <w:lang w:val="en-CA"/>
        </w:rPr>
        <w:t xml:space="preserve">fresh </w:t>
      </w:r>
      <w:r w:rsidR="00F06516">
        <w:rPr>
          <w:lang w:val="en-CA"/>
        </w:rPr>
        <w:t>evidence presented to th</w:t>
      </w:r>
      <w:r w:rsidR="008A07E3">
        <w:rPr>
          <w:lang w:val="en-CA"/>
        </w:rPr>
        <w:t xml:space="preserve">e </w:t>
      </w:r>
      <w:r w:rsidR="00F06516">
        <w:rPr>
          <w:lang w:val="en-CA"/>
        </w:rPr>
        <w:t>Court.</w:t>
      </w:r>
    </w:p>
    <w:p w14:paraId="07A491F9" w14:textId="46EBF45F" w:rsidR="00E744F4" w:rsidRPr="00EF4074" w:rsidRDefault="00F06516" w:rsidP="00E744F4">
      <w:pPr>
        <w:pStyle w:val="Paragraphe"/>
        <w:rPr>
          <w:lang w:val="en-CA"/>
        </w:rPr>
      </w:pPr>
      <w:r>
        <w:rPr>
          <w:lang w:val="en-CA"/>
        </w:rPr>
        <w:t xml:space="preserve">At the trial, as part of </w:t>
      </w:r>
      <w:r w:rsidR="00DD3D51">
        <w:rPr>
          <w:lang w:val="en-CA"/>
        </w:rPr>
        <w:t>the accused’s examination</w:t>
      </w:r>
      <w:r>
        <w:rPr>
          <w:lang w:val="en-CA"/>
        </w:rPr>
        <w:t xml:space="preserve">-in-chief, counsel addressed the issue of the conflict between the appellant and his </w:t>
      </w:r>
      <w:r w:rsidR="00DD3D51">
        <w:rPr>
          <w:lang w:val="en-CA"/>
        </w:rPr>
        <w:t xml:space="preserve">former </w:t>
      </w:r>
      <w:r w:rsidR="00DF7FC6">
        <w:rPr>
          <w:lang w:val="en-CA"/>
        </w:rPr>
        <w:t>spouse</w:t>
      </w:r>
      <w:r>
        <w:rPr>
          <w:lang w:val="en-CA"/>
        </w:rPr>
        <w:t xml:space="preserve">, S. S., and he asked him some general questions. </w:t>
      </w:r>
      <w:r w:rsidR="008A07E3">
        <w:rPr>
          <w:lang w:val="en-CA"/>
        </w:rPr>
        <w:t>The</w:t>
      </w:r>
      <w:r>
        <w:rPr>
          <w:lang w:val="en-CA"/>
        </w:rPr>
        <w:t xml:space="preserve"> appellant replied</w:t>
      </w:r>
      <w:r w:rsidR="00DD3D51">
        <w:rPr>
          <w:lang w:val="en-CA"/>
        </w:rPr>
        <w:t xml:space="preserve"> that by then </w:t>
      </w:r>
      <w:r>
        <w:rPr>
          <w:lang w:val="en-CA"/>
        </w:rPr>
        <w:t xml:space="preserve">the couple </w:t>
      </w:r>
      <w:r w:rsidR="008A07E3">
        <w:rPr>
          <w:lang w:val="en-CA"/>
        </w:rPr>
        <w:t>had lived</w:t>
      </w:r>
      <w:r>
        <w:rPr>
          <w:lang w:val="en-CA"/>
        </w:rPr>
        <w:t xml:space="preserve"> for several years in a house </w:t>
      </w:r>
      <w:r w:rsidR="009A4E29">
        <w:rPr>
          <w:lang w:val="en-CA"/>
        </w:rPr>
        <w:t xml:space="preserve">of which </w:t>
      </w:r>
      <w:r>
        <w:rPr>
          <w:lang w:val="en-CA"/>
        </w:rPr>
        <w:t xml:space="preserve">the appellant was the sole owner, and which he sold in the spring of 2017. Why? </w:t>
      </w:r>
      <w:r w:rsidR="008A07E3">
        <w:rPr>
          <w:lang w:val="en-CA"/>
        </w:rPr>
        <w:t>Because</w:t>
      </w:r>
      <w:r w:rsidR="009A4E29">
        <w:rPr>
          <w:lang w:val="en-CA"/>
        </w:rPr>
        <w:t xml:space="preserve"> at that tim</w:t>
      </w:r>
      <w:r w:rsidR="008A07E3">
        <w:rPr>
          <w:lang w:val="en-CA"/>
        </w:rPr>
        <w:t>e</w:t>
      </w:r>
      <w:r>
        <w:rPr>
          <w:lang w:val="en-CA"/>
        </w:rPr>
        <w:t xml:space="preserve"> the appellant and S. S. </w:t>
      </w:r>
      <w:r w:rsidR="009A4E29">
        <w:rPr>
          <w:lang w:val="en-CA"/>
        </w:rPr>
        <w:t>were</w:t>
      </w:r>
      <w:r>
        <w:rPr>
          <w:lang w:val="en-CA"/>
        </w:rPr>
        <w:t xml:space="preserve"> </w:t>
      </w:r>
      <w:r w:rsidR="00D018EE">
        <w:rPr>
          <w:lang w:val="en-CA"/>
        </w:rPr>
        <w:t>planning to</w:t>
      </w:r>
      <w:r>
        <w:rPr>
          <w:lang w:val="en-CA"/>
        </w:rPr>
        <w:t xml:space="preserve"> move to the </w:t>
      </w:r>
      <w:r w:rsidR="008A07E3">
        <w:rPr>
          <w:lang w:val="en-CA"/>
        </w:rPr>
        <w:t>Laurentians, buy</w:t>
      </w:r>
      <w:r>
        <w:rPr>
          <w:lang w:val="en-CA"/>
        </w:rPr>
        <w:t xml:space="preserve"> a new property there together, </w:t>
      </w:r>
      <w:r w:rsidR="009A4E29">
        <w:rPr>
          <w:lang w:val="en-CA"/>
        </w:rPr>
        <w:t>and</w:t>
      </w:r>
      <w:r>
        <w:rPr>
          <w:lang w:val="en-CA"/>
        </w:rPr>
        <w:t xml:space="preserve"> </w:t>
      </w:r>
      <w:r w:rsidR="009A4E29">
        <w:rPr>
          <w:lang w:val="en-CA"/>
        </w:rPr>
        <w:t xml:space="preserve">each pay 50% of </w:t>
      </w:r>
      <w:r>
        <w:rPr>
          <w:lang w:val="en-CA"/>
        </w:rPr>
        <w:t>the purchase</w:t>
      </w:r>
      <w:r w:rsidR="009A4E29">
        <w:rPr>
          <w:lang w:val="en-CA"/>
        </w:rPr>
        <w:t xml:space="preserve"> price</w:t>
      </w:r>
      <w:r>
        <w:rPr>
          <w:lang w:val="en-CA"/>
        </w:rPr>
        <w:t xml:space="preserve">. According to the appellant, </w:t>
      </w:r>
      <w:r w:rsidR="00495635">
        <w:rPr>
          <w:lang w:val="en-CA"/>
        </w:rPr>
        <w:t xml:space="preserve">however, </w:t>
      </w:r>
      <w:r>
        <w:rPr>
          <w:lang w:val="en-CA"/>
        </w:rPr>
        <w:t xml:space="preserve">she </w:t>
      </w:r>
      <w:r w:rsidR="008A07E3">
        <w:rPr>
          <w:lang w:val="en-CA"/>
        </w:rPr>
        <w:t>insisted that he</w:t>
      </w:r>
      <w:r>
        <w:rPr>
          <w:lang w:val="en-CA"/>
        </w:rPr>
        <w:t xml:space="preserve"> transfer </w:t>
      </w:r>
      <w:r w:rsidR="00F52A08">
        <w:rPr>
          <w:lang w:val="en-CA"/>
        </w:rPr>
        <w:t xml:space="preserve">to </w:t>
      </w:r>
      <w:r>
        <w:rPr>
          <w:lang w:val="en-CA"/>
        </w:rPr>
        <w:t xml:space="preserve">her half of the sale price </w:t>
      </w:r>
      <w:r w:rsidR="009A4E29">
        <w:rPr>
          <w:lang w:val="en-CA"/>
        </w:rPr>
        <w:t xml:space="preserve">of </w:t>
      </w:r>
      <w:r>
        <w:rPr>
          <w:lang w:val="en-CA"/>
        </w:rPr>
        <w:t>the house, which he refused to do. That</w:t>
      </w:r>
      <w:r w:rsidR="00AA7D87">
        <w:rPr>
          <w:lang w:val="en-CA"/>
        </w:rPr>
        <w:t xml:space="preserve"> i</w:t>
      </w:r>
      <w:r>
        <w:rPr>
          <w:lang w:val="en-CA"/>
        </w:rPr>
        <w:t xml:space="preserve">s </w:t>
      </w:r>
      <w:r w:rsidR="009A4E29">
        <w:rPr>
          <w:lang w:val="en-CA"/>
        </w:rPr>
        <w:t xml:space="preserve">when, according to </w:t>
      </w:r>
      <w:r w:rsidR="00F52A08">
        <w:rPr>
          <w:lang w:val="en-CA"/>
        </w:rPr>
        <w:t>him, the</w:t>
      </w:r>
      <w:r>
        <w:rPr>
          <w:lang w:val="en-CA"/>
        </w:rPr>
        <w:t xml:space="preserve"> situation deteriorated and [</w:t>
      </w:r>
      <w:r w:rsidR="009A4E29" w:rsidRPr="009D6270">
        <w:rPr>
          <w:smallCaps/>
          <w:lang w:val="en-CA"/>
        </w:rPr>
        <w:t>translation</w:t>
      </w:r>
      <w:r>
        <w:rPr>
          <w:lang w:val="en-CA"/>
        </w:rPr>
        <w:t>] “[e]</w:t>
      </w:r>
      <w:proofErr w:type="spellStart"/>
      <w:r>
        <w:rPr>
          <w:lang w:val="en-CA"/>
        </w:rPr>
        <w:t>verything</w:t>
      </w:r>
      <w:proofErr w:type="spellEnd"/>
      <w:r>
        <w:rPr>
          <w:lang w:val="en-CA"/>
        </w:rPr>
        <w:t xml:space="preserve"> got messed up. Everything got messed up. I even… with everything I have </w:t>
      </w:r>
      <w:r w:rsidR="00F52A08">
        <w:rPr>
          <w:lang w:val="en-CA"/>
        </w:rPr>
        <w:t xml:space="preserve">going on </w:t>
      </w:r>
      <w:r>
        <w:rPr>
          <w:lang w:val="en-CA"/>
        </w:rPr>
        <w:t>today, I even lost my job because of it…”</w:t>
      </w:r>
      <w:r w:rsidR="00CE507A">
        <w:rPr>
          <w:lang w:val="en-CA"/>
        </w:rPr>
        <w:t>.</w:t>
      </w:r>
      <w:r>
        <w:rPr>
          <w:rStyle w:val="Appelnotedebasdep"/>
          <w:lang w:val="en-CA"/>
        </w:rPr>
        <w:footnoteReference w:id="36"/>
      </w:r>
    </w:p>
    <w:p w14:paraId="7E5D697F" w14:textId="6CC75709" w:rsidR="00600D18" w:rsidRPr="004A360E" w:rsidRDefault="00F06516" w:rsidP="00600D18">
      <w:pPr>
        <w:pStyle w:val="Paragraphe"/>
        <w:rPr>
          <w:lang w:val="en-US"/>
        </w:rPr>
      </w:pPr>
      <w:r>
        <w:rPr>
          <w:lang w:val="en-CA"/>
        </w:rPr>
        <w:t xml:space="preserve">Crown </w:t>
      </w:r>
      <w:r w:rsidR="00F52A08">
        <w:rPr>
          <w:lang w:val="en-CA"/>
        </w:rPr>
        <w:t>counsel</w:t>
      </w:r>
      <w:r>
        <w:rPr>
          <w:lang w:val="en-CA"/>
        </w:rPr>
        <w:t xml:space="preserve"> intervened to ask her colleague to </w:t>
      </w:r>
      <w:r w:rsidR="00D018EE">
        <w:rPr>
          <w:lang w:val="en-CA"/>
        </w:rPr>
        <w:t>explain why</w:t>
      </w:r>
      <w:r>
        <w:rPr>
          <w:lang w:val="en-CA"/>
        </w:rPr>
        <w:t xml:space="preserve"> he was asking questions on this subject, since he </w:t>
      </w:r>
      <w:r w:rsidR="00237432">
        <w:rPr>
          <w:lang w:val="en-CA"/>
        </w:rPr>
        <w:t>had</w:t>
      </w:r>
      <w:r>
        <w:rPr>
          <w:lang w:val="en-CA"/>
        </w:rPr>
        <w:t xml:space="preserve"> not cross-examine</w:t>
      </w:r>
      <w:r w:rsidR="00237432">
        <w:rPr>
          <w:lang w:val="en-CA"/>
        </w:rPr>
        <w:t>d</w:t>
      </w:r>
      <w:r>
        <w:rPr>
          <w:lang w:val="en-CA"/>
        </w:rPr>
        <w:t xml:space="preserve"> the former spouse or the complainants on this subject. The judge </w:t>
      </w:r>
      <w:r w:rsidR="00F4481F">
        <w:rPr>
          <w:lang w:val="en-CA"/>
        </w:rPr>
        <w:t xml:space="preserve">noted </w:t>
      </w:r>
      <w:r>
        <w:rPr>
          <w:lang w:val="en-CA"/>
        </w:rPr>
        <w:t xml:space="preserve">that the questions seemed relevant to her </w:t>
      </w:r>
      <w:r w:rsidR="009B2264">
        <w:rPr>
          <w:lang w:val="en-CA"/>
        </w:rPr>
        <w:t xml:space="preserve">because </w:t>
      </w:r>
      <w:r>
        <w:rPr>
          <w:lang w:val="en-CA"/>
        </w:rPr>
        <w:t>[</w:t>
      </w:r>
      <w:r w:rsidR="00F4481F" w:rsidRPr="009D6270">
        <w:rPr>
          <w:smallCaps/>
          <w:lang w:val="en-CA"/>
        </w:rPr>
        <w:t>translation</w:t>
      </w:r>
      <w:r>
        <w:rPr>
          <w:lang w:val="en-CA"/>
        </w:rPr>
        <w:t xml:space="preserve">] “that would be the reason </w:t>
      </w:r>
      <w:r w:rsidR="00814E5E">
        <w:rPr>
          <w:lang w:val="en-CA"/>
        </w:rPr>
        <w:t>the accused</w:t>
      </w:r>
      <w:r>
        <w:rPr>
          <w:lang w:val="en-CA"/>
        </w:rPr>
        <w:t xml:space="preserve"> finds himself </w:t>
      </w:r>
      <w:r w:rsidR="00814E5E">
        <w:rPr>
          <w:lang w:val="en-CA"/>
        </w:rPr>
        <w:t xml:space="preserve">here </w:t>
      </w:r>
      <w:r>
        <w:rPr>
          <w:lang w:val="en-CA"/>
        </w:rPr>
        <w:t>today”.</w:t>
      </w:r>
      <w:r>
        <w:rPr>
          <w:rStyle w:val="Appelnotedebasdep"/>
          <w:lang w:val="en-CA"/>
        </w:rPr>
        <w:footnoteReference w:id="37"/>
      </w:r>
      <w:r>
        <w:rPr>
          <w:lang w:val="en-CA"/>
        </w:rPr>
        <w:t xml:space="preserve"> The appellant’s counsel explained</w:t>
      </w:r>
      <w:r w:rsidR="009B2264">
        <w:rPr>
          <w:lang w:val="en-CA"/>
        </w:rPr>
        <w:t xml:space="preserve"> himself</w:t>
      </w:r>
      <w:r>
        <w:rPr>
          <w:lang w:val="en-CA"/>
        </w:rPr>
        <w:t xml:space="preserve"> in a few words, and an exchange followed during which the judge indicated that she understood that [</w:t>
      </w:r>
      <w:r w:rsidR="009B2264" w:rsidRPr="009D6270">
        <w:rPr>
          <w:smallCaps/>
          <w:lang w:val="en-CA"/>
        </w:rPr>
        <w:t>translation</w:t>
      </w:r>
      <w:r>
        <w:rPr>
          <w:lang w:val="en-CA"/>
        </w:rPr>
        <w:t xml:space="preserve">] “it is </w:t>
      </w:r>
      <w:r w:rsidR="008453D1">
        <w:rPr>
          <w:lang w:val="en-CA"/>
        </w:rPr>
        <w:t>to</w:t>
      </w:r>
      <w:r>
        <w:rPr>
          <w:lang w:val="en-CA"/>
        </w:rPr>
        <w:t xml:space="preserve">... </w:t>
      </w:r>
      <w:r w:rsidR="008453D1">
        <w:rPr>
          <w:lang w:val="en-CA"/>
        </w:rPr>
        <w:t xml:space="preserve">adduce evidence </w:t>
      </w:r>
      <w:r>
        <w:rPr>
          <w:lang w:val="en-CA"/>
        </w:rPr>
        <w:t xml:space="preserve">that there is a possibility… that the reason </w:t>
      </w:r>
      <w:r w:rsidR="00DB4799">
        <w:rPr>
          <w:lang w:val="en-CA"/>
        </w:rPr>
        <w:t>the accused</w:t>
      </w:r>
      <w:r>
        <w:rPr>
          <w:lang w:val="en-CA"/>
        </w:rPr>
        <w:t xml:space="preserve"> is before me today…  </w:t>
      </w:r>
      <w:r w:rsidR="00DB4799">
        <w:rPr>
          <w:lang w:val="en-CA"/>
        </w:rPr>
        <w:t xml:space="preserve">may </w:t>
      </w:r>
      <w:r>
        <w:rPr>
          <w:lang w:val="en-CA"/>
        </w:rPr>
        <w:t xml:space="preserve">be related to </w:t>
      </w:r>
      <w:r w:rsidR="008453D1">
        <w:rPr>
          <w:lang w:val="en-CA"/>
        </w:rPr>
        <w:t xml:space="preserve">that </w:t>
      </w:r>
      <w:r>
        <w:rPr>
          <w:lang w:val="en-CA"/>
        </w:rPr>
        <w:t>dispute”.</w:t>
      </w:r>
      <w:r>
        <w:rPr>
          <w:rStyle w:val="Appelnotedebasdep"/>
          <w:lang w:val="en-CA"/>
        </w:rPr>
        <w:footnoteReference w:id="38"/>
      </w:r>
      <w:r>
        <w:rPr>
          <w:lang w:val="en-CA"/>
        </w:rPr>
        <w:t xml:space="preserve"> Counsel for the appellant agreed three times. Later on, </w:t>
      </w:r>
      <w:r>
        <w:rPr>
          <w:lang w:val="en-CA"/>
        </w:rPr>
        <w:lastRenderedPageBreak/>
        <w:t xml:space="preserve">in light of </w:t>
      </w:r>
      <w:r w:rsidR="007A245C">
        <w:rPr>
          <w:lang w:val="en-CA"/>
        </w:rPr>
        <w:t>counsel for the respondent’s</w:t>
      </w:r>
      <w:r>
        <w:rPr>
          <w:lang w:val="en-CA"/>
        </w:rPr>
        <w:t xml:space="preserve"> reaction, the judge added: [</w:t>
      </w:r>
      <w:r w:rsidR="008453D1" w:rsidRPr="009D6270">
        <w:rPr>
          <w:smallCaps/>
          <w:lang w:val="en-CA"/>
        </w:rPr>
        <w:t>translation</w:t>
      </w:r>
      <w:r>
        <w:rPr>
          <w:lang w:val="en-CA"/>
        </w:rPr>
        <w:t xml:space="preserve">] “I </w:t>
      </w:r>
      <w:r w:rsidR="007A245C">
        <w:rPr>
          <w:lang w:val="en-CA"/>
        </w:rPr>
        <w:t>do not</w:t>
      </w:r>
      <w:r>
        <w:rPr>
          <w:lang w:val="en-CA"/>
        </w:rPr>
        <w:t xml:space="preserve"> see how I can prevent the questions, because the defence’s theory seems to be… that it’s like </w:t>
      </w:r>
      <w:r w:rsidR="008453D1">
        <w:rPr>
          <w:lang w:val="en-CA"/>
        </w:rPr>
        <w:t>revenge</w:t>
      </w:r>
      <w:r>
        <w:rPr>
          <w:lang w:val="en-CA"/>
        </w:rPr>
        <w:t>”.</w:t>
      </w:r>
      <w:r>
        <w:rPr>
          <w:rStyle w:val="Appelnotedebasdep"/>
          <w:lang w:val="en-CA"/>
        </w:rPr>
        <w:footnoteReference w:id="39"/>
      </w:r>
      <w:r>
        <w:rPr>
          <w:lang w:val="en-CA"/>
        </w:rPr>
        <w:t xml:space="preserve"> </w:t>
      </w:r>
      <w:r w:rsidR="007A245C">
        <w:rPr>
          <w:lang w:val="en-CA"/>
        </w:rPr>
        <w:t>A</w:t>
      </w:r>
      <w:r>
        <w:rPr>
          <w:lang w:val="en-CA"/>
        </w:rPr>
        <w:t xml:space="preserve">ppellant’s counsel then </w:t>
      </w:r>
      <w:r w:rsidR="008453D1">
        <w:rPr>
          <w:lang w:val="en-CA"/>
        </w:rPr>
        <w:t>noted</w:t>
      </w:r>
      <w:r>
        <w:rPr>
          <w:lang w:val="en-CA"/>
        </w:rPr>
        <w:t>:</w:t>
      </w:r>
    </w:p>
    <w:p w14:paraId="7BA66FA7" w14:textId="1540E292" w:rsidR="008453D1" w:rsidRDefault="00F06516" w:rsidP="00600D18">
      <w:pPr>
        <w:pStyle w:val="Citationenretrait"/>
        <w:rPr>
          <w:lang w:val="en-CA"/>
        </w:rPr>
      </w:pPr>
      <w:r>
        <w:rPr>
          <w:lang w:val="en-CA"/>
        </w:rPr>
        <w:t>[</w:t>
      </w:r>
      <w:r w:rsidR="008453D1" w:rsidRPr="009D6270">
        <w:rPr>
          <w:smallCaps/>
          <w:lang w:val="en-CA"/>
        </w:rPr>
        <w:t>translation</w:t>
      </w:r>
      <w:r>
        <w:rPr>
          <w:lang w:val="en-CA"/>
        </w:rPr>
        <w:t xml:space="preserve">] </w:t>
      </w:r>
    </w:p>
    <w:p w14:paraId="33864E67" w14:textId="3E9CF52F" w:rsidR="00600D18" w:rsidRPr="00941800" w:rsidRDefault="00F06516" w:rsidP="00600D18">
      <w:pPr>
        <w:pStyle w:val="Citationenretrait"/>
      </w:pPr>
      <w:r>
        <w:rPr>
          <w:lang w:val="en-CA"/>
        </w:rPr>
        <w:t xml:space="preserve">But not... I’m not saying it’s the mother’s </w:t>
      </w:r>
      <w:r w:rsidR="008453D1">
        <w:rPr>
          <w:lang w:val="en-CA"/>
        </w:rPr>
        <w:t>revenge</w:t>
      </w:r>
      <w:r>
        <w:rPr>
          <w:lang w:val="en-CA"/>
        </w:rPr>
        <w:t xml:space="preserve">. It’s a larger context </w:t>
      </w:r>
      <w:r w:rsidR="00A75EF4">
        <w:rPr>
          <w:lang w:val="en-CA"/>
        </w:rPr>
        <w:t xml:space="preserve">in which </w:t>
      </w:r>
      <w:r>
        <w:rPr>
          <w:lang w:val="en-CA"/>
        </w:rPr>
        <w:t xml:space="preserve">the girls are aware. We </w:t>
      </w:r>
      <w:r w:rsidR="003F72C3">
        <w:rPr>
          <w:lang w:val="en-CA"/>
        </w:rPr>
        <w:t>will</w:t>
      </w:r>
      <w:r>
        <w:rPr>
          <w:lang w:val="en-CA"/>
        </w:rPr>
        <w:t xml:space="preserve"> </w:t>
      </w:r>
      <w:r w:rsidR="003F72C3">
        <w:rPr>
          <w:lang w:val="en-CA"/>
        </w:rPr>
        <w:t>discuss</w:t>
      </w:r>
      <w:r>
        <w:rPr>
          <w:lang w:val="en-CA"/>
        </w:rPr>
        <w:t xml:space="preserve"> it in the arguments. I never said it was </w:t>
      </w:r>
      <w:r w:rsidR="008453D1">
        <w:rPr>
          <w:lang w:val="en-CA"/>
        </w:rPr>
        <w:t>revenge by</w:t>
      </w:r>
      <w:r>
        <w:rPr>
          <w:lang w:val="en-CA"/>
        </w:rPr>
        <w:t xml:space="preserve"> the mother. It’s not the mother who...</w:t>
      </w:r>
      <w:r>
        <w:rPr>
          <w:rStyle w:val="Appelnotedebasdep"/>
          <w:lang w:val="en-CA"/>
        </w:rPr>
        <w:footnoteReference w:id="40"/>
      </w:r>
    </w:p>
    <w:p w14:paraId="146A3105" w14:textId="0DBC9EEF" w:rsidR="00E744F4" w:rsidRPr="004A360E" w:rsidRDefault="00F06516" w:rsidP="00600D18">
      <w:pPr>
        <w:pStyle w:val="Paragraphe"/>
        <w:rPr>
          <w:lang w:val="en-US"/>
        </w:rPr>
      </w:pPr>
      <w:r>
        <w:rPr>
          <w:lang w:val="en-CA"/>
        </w:rPr>
        <w:t xml:space="preserve">The judge </w:t>
      </w:r>
      <w:r w:rsidR="001C1D20">
        <w:rPr>
          <w:lang w:val="en-CA"/>
        </w:rPr>
        <w:t xml:space="preserve">brought </w:t>
      </w:r>
      <w:r>
        <w:rPr>
          <w:lang w:val="en-CA"/>
        </w:rPr>
        <w:t>it up again, and the appellant’s counsel responded as follows:</w:t>
      </w:r>
    </w:p>
    <w:p w14:paraId="040794B8" w14:textId="182A014E" w:rsidR="001C1D20" w:rsidRDefault="00F06516" w:rsidP="005372F1">
      <w:pPr>
        <w:pStyle w:val="Citationenretrait"/>
        <w:rPr>
          <w:lang w:val="en-CA"/>
        </w:rPr>
      </w:pPr>
      <w:bookmarkStart w:id="21" w:name="_Hlk166592950"/>
      <w:r>
        <w:rPr>
          <w:lang w:val="en-CA"/>
        </w:rPr>
        <w:t>[</w:t>
      </w:r>
      <w:r w:rsidR="001C1D20" w:rsidRPr="009D6270">
        <w:rPr>
          <w:smallCaps/>
          <w:lang w:val="en-CA"/>
        </w:rPr>
        <w:t>translation</w:t>
      </w:r>
      <w:r>
        <w:rPr>
          <w:lang w:val="en-CA"/>
        </w:rPr>
        <w:t xml:space="preserve">] </w:t>
      </w:r>
    </w:p>
    <w:p w14:paraId="0C46F7A6" w14:textId="5517904C" w:rsidR="00600D18" w:rsidRPr="004A360E" w:rsidRDefault="00F06516" w:rsidP="005372F1">
      <w:pPr>
        <w:pStyle w:val="Citationenretrait"/>
        <w:rPr>
          <w:lang w:val="en-US"/>
        </w:rPr>
      </w:pPr>
      <w:r>
        <w:rPr>
          <w:u w:val="single"/>
          <w:lang w:val="en-CA"/>
        </w:rPr>
        <w:t>THE COURT</w:t>
      </w:r>
      <w:r>
        <w:rPr>
          <w:lang w:val="en-CA"/>
        </w:rPr>
        <w:t>:</w:t>
      </w:r>
    </w:p>
    <w:p w14:paraId="67DD652D" w14:textId="52D3D8D8" w:rsidR="00600D18" w:rsidRPr="004A360E" w:rsidRDefault="00F06516" w:rsidP="005372F1">
      <w:pPr>
        <w:pStyle w:val="Citationenretrait"/>
        <w:rPr>
          <w:lang w:val="en-US"/>
        </w:rPr>
      </w:pPr>
      <w:r>
        <w:rPr>
          <w:lang w:val="en-CA"/>
        </w:rPr>
        <w:t xml:space="preserve">But it could be a </w:t>
      </w:r>
      <w:r w:rsidR="001C1D20">
        <w:rPr>
          <w:lang w:val="en-CA"/>
        </w:rPr>
        <w:t>context that resulted in</w:t>
      </w:r>
      <w:r>
        <w:rPr>
          <w:lang w:val="en-CA"/>
        </w:rPr>
        <w:t xml:space="preserve"> the complaints </w:t>
      </w:r>
      <w:r w:rsidR="001C1D20">
        <w:rPr>
          <w:lang w:val="en-CA"/>
        </w:rPr>
        <w:t>being</w:t>
      </w:r>
      <w:r>
        <w:rPr>
          <w:lang w:val="en-CA"/>
        </w:rPr>
        <w:t xml:space="preserve"> </w:t>
      </w:r>
      <w:r w:rsidR="00491A5F">
        <w:rPr>
          <w:lang w:val="en-CA"/>
        </w:rPr>
        <w:t>filed</w:t>
      </w:r>
      <w:r>
        <w:rPr>
          <w:lang w:val="en-CA"/>
        </w:rPr>
        <w:t>, that’s what I understand.</w:t>
      </w:r>
    </w:p>
    <w:p w14:paraId="74036666" w14:textId="45D022F6" w:rsidR="00600D18" w:rsidRPr="004A360E" w:rsidRDefault="00F06516" w:rsidP="005372F1">
      <w:pPr>
        <w:pStyle w:val="Citationenretrait"/>
        <w:spacing w:after="0"/>
        <w:rPr>
          <w:u w:val="single"/>
          <w:lang w:val="en-US"/>
        </w:rPr>
      </w:pPr>
      <w:proofErr w:type="spellStart"/>
      <w:r>
        <w:rPr>
          <w:u w:val="single"/>
          <w:lang w:val="en-CA"/>
        </w:rPr>
        <w:t>MTRE</w:t>
      </w:r>
      <w:proofErr w:type="spellEnd"/>
      <w:r>
        <w:rPr>
          <w:u w:val="single"/>
          <w:lang w:val="en-CA"/>
        </w:rPr>
        <w:t xml:space="preserve"> CLAUDE BÉDARD</w:t>
      </w:r>
    </w:p>
    <w:p w14:paraId="36A49AFA" w14:textId="630EBECB" w:rsidR="00600D18" w:rsidRPr="004A360E" w:rsidRDefault="00F06516" w:rsidP="005372F1">
      <w:pPr>
        <w:pStyle w:val="Citationenretrait"/>
        <w:spacing w:before="0"/>
        <w:rPr>
          <w:lang w:val="en-US"/>
        </w:rPr>
      </w:pPr>
      <w:r>
        <w:rPr>
          <w:u w:val="single"/>
          <w:lang w:val="en-CA"/>
        </w:rPr>
        <w:t>FOR THE ACCUSED:</w:t>
      </w:r>
    </w:p>
    <w:bookmarkEnd w:id="21"/>
    <w:p w14:paraId="77D0B72A" w14:textId="3070B64D" w:rsidR="00600D18" w:rsidRPr="004A360E" w:rsidRDefault="00F06516" w:rsidP="005372F1">
      <w:pPr>
        <w:pStyle w:val="Citationenretrait"/>
        <w:rPr>
          <w:lang w:val="en-US"/>
        </w:rPr>
      </w:pPr>
      <w:r>
        <w:rPr>
          <w:lang w:val="en-CA"/>
        </w:rPr>
        <w:t xml:space="preserve">Yes, but I never said it was </w:t>
      </w:r>
      <w:r w:rsidR="00E244BC">
        <w:rPr>
          <w:lang w:val="en-CA"/>
        </w:rPr>
        <w:t>revenge by</w:t>
      </w:r>
      <w:r>
        <w:rPr>
          <w:lang w:val="en-CA"/>
        </w:rPr>
        <w:t xml:space="preserve"> the mother, and I won’t </w:t>
      </w:r>
      <w:r w:rsidR="00A75EF4">
        <w:rPr>
          <w:lang w:val="en-CA"/>
        </w:rPr>
        <w:t xml:space="preserve">even </w:t>
      </w:r>
      <w:r>
        <w:rPr>
          <w:lang w:val="en-CA"/>
        </w:rPr>
        <w:t xml:space="preserve">say it because the </w:t>
      </w:r>
      <w:r w:rsidR="00E85A61">
        <w:rPr>
          <w:lang w:val="en-CA"/>
        </w:rPr>
        <w:t xml:space="preserve">mother didn’t file the </w:t>
      </w:r>
      <w:r>
        <w:rPr>
          <w:lang w:val="en-CA"/>
        </w:rPr>
        <w:t>complaints.</w:t>
      </w:r>
      <w:r>
        <w:rPr>
          <w:rStyle w:val="Appelnotedebasdep"/>
          <w:lang w:val="en-CA"/>
        </w:rPr>
        <w:footnoteReference w:id="41"/>
      </w:r>
    </w:p>
    <w:p w14:paraId="759AE7CA" w14:textId="494A1263" w:rsidR="00600D18" w:rsidRPr="004A360E" w:rsidRDefault="00F06516" w:rsidP="00600D18">
      <w:pPr>
        <w:pStyle w:val="Paragraphe"/>
        <w:rPr>
          <w:lang w:val="en-US"/>
        </w:rPr>
      </w:pPr>
      <w:r>
        <w:rPr>
          <w:lang w:val="en-CA"/>
        </w:rPr>
        <w:t xml:space="preserve">The </w:t>
      </w:r>
      <w:r w:rsidR="00752366">
        <w:rPr>
          <w:lang w:val="en-CA"/>
        </w:rPr>
        <w:t xml:space="preserve">examination of the </w:t>
      </w:r>
      <w:r>
        <w:rPr>
          <w:lang w:val="en-CA"/>
        </w:rPr>
        <w:t xml:space="preserve">appellant ended a few minutes later, and the respondent began </w:t>
      </w:r>
      <w:r w:rsidR="00752366">
        <w:rPr>
          <w:lang w:val="en-CA"/>
        </w:rPr>
        <w:t xml:space="preserve">its </w:t>
      </w:r>
      <w:r>
        <w:rPr>
          <w:lang w:val="en-CA"/>
        </w:rPr>
        <w:t xml:space="preserve">cross-examination on the same subject. </w:t>
      </w:r>
      <w:r w:rsidR="00752366">
        <w:rPr>
          <w:lang w:val="en-CA"/>
        </w:rPr>
        <w:t xml:space="preserve">Counsel for the </w:t>
      </w:r>
      <w:r>
        <w:rPr>
          <w:lang w:val="en-CA"/>
        </w:rPr>
        <w:t xml:space="preserve">appellant once again insisted that neither he nor his client were </w:t>
      </w:r>
      <w:r w:rsidR="00752366">
        <w:rPr>
          <w:lang w:val="en-CA"/>
        </w:rPr>
        <w:t xml:space="preserve">claiming </w:t>
      </w:r>
      <w:r>
        <w:rPr>
          <w:lang w:val="en-CA"/>
        </w:rPr>
        <w:t xml:space="preserve">that the </w:t>
      </w:r>
      <w:r w:rsidR="00752366">
        <w:rPr>
          <w:lang w:val="en-CA"/>
        </w:rPr>
        <w:t xml:space="preserve">former </w:t>
      </w:r>
      <w:r w:rsidR="00DF7FC6">
        <w:rPr>
          <w:lang w:val="en-CA"/>
        </w:rPr>
        <w:t>spouse</w:t>
      </w:r>
      <w:r>
        <w:rPr>
          <w:lang w:val="en-CA"/>
        </w:rPr>
        <w:t xml:space="preserve"> </w:t>
      </w:r>
      <w:r w:rsidR="00752366">
        <w:rPr>
          <w:lang w:val="en-CA"/>
        </w:rPr>
        <w:t xml:space="preserve">had </w:t>
      </w:r>
      <w:r>
        <w:rPr>
          <w:lang w:val="en-CA"/>
        </w:rPr>
        <w:t xml:space="preserve">incited the complaints or that </w:t>
      </w:r>
      <w:r w:rsidR="00752366">
        <w:rPr>
          <w:lang w:val="en-CA"/>
        </w:rPr>
        <w:t>she was behind the complaints</w:t>
      </w:r>
      <w:r>
        <w:rPr>
          <w:lang w:val="en-CA"/>
        </w:rPr>
        <w:t xml:space="preserve"> in any way. After a further three-way discussion (</w:t>
      </w:r>
      <w:r w:rsidR="0024318F">
        <w:rPr>
          <w:lang w:val="en-CA"/>
        </w:rPr>
        <w:t>counsel</w:t>
      </w:r>
      <w:r>
        <w:rPr>
          <w:lang w:val="en-CA"/>
        </w:rPr>
        <w:t xml:space="preserve"> and the judge), the following </w:t>
      </w:r>
      <w:r w:rsidR="0024318F">
        <w:rPr>
          <w:lang w:val="en-CA"/>
        </w:rPr>
        <w:t>was said</w:t>
      </w:r>
      <w:r>
        <w:rPr>
          <w:lang w:val="en-CA"/>
        </w:rPr>
        <w:t>:</w:t>
      </w:r>
    </w:p>
    <w:p w14:paraId="72A33349" w14:textId="39B040A0" w:rsidR="0024318F" w:rsidRDefault="00F06516" w:rsidP="00B502C7">
      <w:pPr>
        <w:pStyle w:val="Citationenretrait"/>
        <w:rPr>
          <w:lang w:val="en-CA"/>
        </w:rPr>
      </w:pPr>
      <w:r>
        <w:rPr>
          <w:lang w:val="en-CA"/>
        </w:rPr>
        <w:t>[</w:t>
      </w:r>
      <w:r w:rsidR="0024318F" w:rsidRPr="009D6270">
        <w:rPr>
          <w:smallCaps/>
          <w:lang w:val="en-CA"/>
        </w:rPr>
        <w:t>translation</w:t>
      </w:r>
      <w:r>
        <w:rPr>
          <w:lang w:val="en-CA"/>
        </w:rPr>
        <w:t>]</w:t>
      </w:r>
    </w:p>
    <w:p w14:paraId="5792F01C" w14:textId="026187CB" w:rsidR="00A02184" w:rsidRPr="004A360E" w:rsidRDefault="00F06516" w:rsidP="00B502C7">
      <w:pPr>
        <w:pStyle w:val="Citationenretrait"/>
        <w:rPr>
          <w:lang w:val="en-US"/>
        </w:rPr>
      </w:pPr>
      <w:r>
        <w:rPr>
          <w:lang w:val="en-CA"/>
        </w:rPr>
        <w:t xml:space="preserve"> </w:t>
      </w:r>
      <w:r>
        <w:rPr>
          <w:u w:val="single"/>
          <w:lang w:val="en-CA"/>
        </w:rPr>
        <w:t>THE COURT</w:t>
      </w:r>
      <w:r>
        <w:rPr>
          <w:lang w:val="en-CA"/>
        </w:rPr>
        <w:t>:</w:t>
      </w:r>
    </w:p>
    <w:p w14:paraId="78A423BA" w14:textId="77777777" w:rsidR="00A75EF4" w:rsidRDefault="00F06516" w:rsidP="00A75EF4">
      <w:pPr>
        <w:pStyle w:val="Citationenretrait"/>
        <w:ind w:left="851"/>
        <w:rPr>
          <w:lang w:val="en-CA"/>
        </w:rPr>
      </w:pPr>
      <w:r>
        <w:rPr>
          <w:lang w:val="en-CA"/>
        </w:rPr>
        <w:t xml:space="preserve">Well, what I understand from your colleague and, </w:t>
      </w:r>
      <w:proofErr w:type="spellStart"/>
      <w:r>
        <w:rPr>
          <w:lang w:val="en-CA"/>
        </w:rPr>
        <w:t>Mtre</w:t>
      </w:r>
      <w:proofErr w:type="spellEnd"/>
      <w:r>
        <w:rPr>
          <w:lang w:val="en-CA"/>
        </w:rPr>
        <w:t xml:space="preserve"> Bédard, please correct </w:t>
      </w:r>
      <w:r w:rsidR="00A75EF4">
        <w:rPr>
          <w:lang w:val="en-CA"/>
        </w:rPr>
        <w:t>me</w:t>
      </w:r>
      <w:r>
        <w:rPr>
          <w:lang w:val="en-CA"/>
        </w:rPr>
        <w:t xml:space="preserve"> if... if my interpretation is inaccurate, correct me, but I, what I’ve understood is that there’s an inference </w:t>
      </w:r>
      <w:r w:rsidR="0024318F">
        <w:rPr>
          <w:lang w:val="en-CA"/>
        </w:rPr>
        <w:t xml:space="preserve">drawn from the fact </w:t>
      </w:r>
      <w:r>
        <w:rPr>
          <w:lang w:val="en-CA"/>
        </w:rPr>
        <w:t>that there’s a conflict between Ms.</w:t>
      </w:r>
      <w:r w:rsidR="00A75EF4">
        <w:rPr>
          <w:lang w:val="en-CA"/>
        </w:rPr>
        <w:t> </w:t>
      </w:r>
      <w:r>
        <w:rPr>
          <w:lang w:val="en-CA"/>
        </w:rPr>
        <w:t xml:space="preserve">S. and </w:t>
      </w:r>
      <w:r w:rsidR="0024318F">
        <w:rPr>
          <w:lang w:val="en-CA"/>
        </w:rPr>
        <w:t>the accused</w:t>
      </w:r>
      <w:r w:rsidR="00E4622A">
        <w:rPr>
          <w:lang w:val="en-CA"/>
        </w:rPr>
        <w:t>,</w:t>
      </w:r>
      <w:r w:rsidR="0024318F">
        <w:rPr>
          <w:lang w:val="en-CA"/>
        </w:rPr>
        <w:t xml:space="preserve"> and the accused is</w:t>
      </w:r>
      <w:r>
        <w:rPr>
          <w:lang w:val="en-CA"/>
        </w:rPr>
        <w:t xml:space="preserve"> nodding his head.</w:t>
      </w:r>
      <w:r w:rsidR="0077172B">
        <w:rPr>
          <w:lang w:val="en-CA"/>
        </w:rPr>
        <w:t xml:space="preserve"> </w:t>
      </w:r>
    </w:p>
    <w:p w14:paraId="4760FC12" w14:textId="3F2C7109" w:rsidR="00A02184" w:rsidRPr="004A360E" w:rsidRDefault="00F06516" w:rsidP="006A2B2B">
      <w:pPr>
        <w:pStyle w:val="Citationenretrait"/>
        <w:keepNext/>
        <w:keepLines/>
        <w:rPr>
          <w:u w:val="single"/>
          <w:lang w:val="en-US"/>
        </w:rPr>
      </w:pPr>
      <w:proofErr w:type="spellStart"/>
      <w:r>
        <w:rPr>
          <w:u w:val="single"/>
          <w:lang w:val="en-CA"/>
        </w:rPr>
        <w:lastRenderedPageBreak/>
        <w:t>MTRE</w:t>
      </w:r>
      <w:proofErr w:type="spellEnd"/>
      <w:r>
        <w:rPr>
          <w:u w:val="single"/>
          <w:lang w:val="en-CA"/>
        </w:rPr>
        <w:t xml:space="preserve"> CLAUDE BÉDARD</w:t>
      </w:r>
    </w:p>
    <w:p w14:paraId="6EB310BC" w14:textId="77777777" w:rsidR="00A02184" w:rsidRPr="004A360E" w:rsidRDefault="00F06516" w:rsidP="006A2B2B">
      <w:pPr>
        <w:pStyle w:val="Citationenretrait"/>
        <w:keepNext/>
        <w:keepLines/>
        <w:spacing w:before="0"/>
        <w:rPr>
          <w:lang w:val="en-US"/>
        </w:rPr>
      </w:pPr>
      <w:r>
        <w:rPr>
          <w:u w:val="single"/>
          <w:lang w:val="en-CA"/>
        </w:rPr>
        <w:t>FOR THE ACCUSED:</w:t>
      </w:r>
    </w:p>
    <w:p w14:paraId="200552D4" w14:textId="55F89041" w:rsidR="00A02184" w:rsidRPr="004A360E" w:rsidRDefault="00F06516" w:rsidP="005130AA">
      <w:pPr>
        <w:pStyle w:val="Citationenretrait"/>
        <w:rPr>
          <w:lang w:val="en-US"/>
        </w:rPr>
      </w:pPr>
      <w:r>
        <w:rPr>
          <w:lang w:val="en-CA"/>
        </w:rPr>
        <w:t>Yes.</w:t>
      </w:r>
    </w:p>
    <w:p w14:paraId="71C5E012" w14:textId="77777777" w:rsidR="00A02184" w:rsidRPr="004A360E" w:rsidRDefault="00F06516" w:rsidP="005130AA">
      <w:pPr>
        <w:pStyle w:val="Citationenretrait"/>
        <w:rPr>
          <w:lang w:val="en-US"/>
        </w:rPr>
      </w:pPr>
      <w:r>
        <w:rPr>
          <w:u w:val="single"/>
          <w:lang w:val="en-CA"/>
        </w:rPr>
        <w:t>THE COURT</w:t>
      </w:r>
      <w:r>
        <w:rPr>
          <w:lang w:val="en-CA"/>
        </w:rPr>
        <w:t>:</w:t>
      </w:r>
    </w:p>
    <w:p w14:paraId="400DB51D" w14:textId="04528935" w:rsidR="00A02184" w:rsidRPr="004A360E" w:rsidRDefault="0077172B" w:rsidP="005130AA">
      <w:pPr>
        <w:pStyle w:val="Citationenretrait"/>
        <w:rPr>
          <w:lang w:val="en-US"/>
        </w:rPr>
      </w:pPr>
      <w:r>
        <w:rPr>
          <w:lang w:val="en-CA"/>
        </w:rPr>
        <w:t>You</w:t>
      </w:r>
      <w:r w:rsidR="00F06516">
        <w:rPr>
          <w:lang w:val="en-CA"/>
        </w:rPr>
        <w:t xml:space="preserve"> want the Court to draw </w:t>
      </w:r>
      <w:r>
        <w:rPr>
          <w:lang w:val="en-CA"/>
        </w:rPr>
        <w:t xml:space="preserve">the inference </w:t>
      </w:r>
      <w:r w:rsidR="00F06516">
        <w:rPr>
          <w:lang w:val="en-CA"/>
        </w:rPr>
        <w:t xml:space="preserve">that the sexual assault complaints </w:t>
      </w:r>
      <w:r w:rsidR="00F06516">
        <w:rPr>
          <w:i/>
          <w:iCs/>
          <w:lang w:val="en-CA"/>
        </w:rPr>
        <w:t>originate</w:t>
      </w:r>
      <w:r w:rsidR="00F06516">
        <w:rPr>
          <w:lang w:val="en-CA"/>
        </w:rPr>
        <w:t xml:space="preserve"> from this conflict between the mother, Ms. S., and your client.</w:t>
      </w:r>
    </w:p>
    <w:p w14:paraId="191E017D" w14:textId="27F8B200" w:rsidR="00A02184" w:rsidRPr="004A360E" w:rsidRDefault="00F06516" w:rsidP="005130AA">
      <w:pPr>
        <w:pStyle w:val="Citationenretrait"/>
        <w:spacing w:after="0"/>
        <w:rPr>
          <w:u w:val="single"/>
          <w:lang w:val="en-US"/>
        </w:rPr>
      </w:pPr>
      <w:proofErr w:type="spellStart"/>
      <w:r>
        <w:rPr>
          <w:u w:val="single"/>
          <w:lang w:val="en-CA"/>
        </w:rPr>
        <w:t>MTRE</w:t>
      </w:r>
      <w:proofErr w:type="spellEnd"/>
      <w:r>
        <w:rPr>
          <w:u w:val="single"/>
          <w:lang w:val="en-CA"/>
        </w:rPr>
        <w:t xml:space="preserve"> CLAUDE BÉDARD</w:t>
      </w:r>
    </w:p>
    <w:p w14:paraId="2F2BDA80" w14:textId="77777777" w:rsidR="00A02184" w:rsidRPr="004A360E" w:rsidRDefault="00F06516" w:rsidP="005130AA">
      <w:pPr>
        <w:pStyle w:val="Citationenretrait"/>
        <w:spacing w:before="0"/>
        <w:rPr>
          <w:lang w:val="en-US"/>
        </w:rPr>
      </w:pPr>
      <w:r>
        <w:rPr>
          <w:u w:val="single"/>
          <w:lang w:val="en-CA"/>
        </w:rPr>
        <w:t>FOR THE ACCUSED:</w:t>
      </w:r>
    </w:p>
    <w:p w14:paraId="0E777DB3" w14:textId="6D665B7E" w:rsidR="00A02184" w:rsidRPr="004A360E" w:rsidRDefault="00F06516" w:rsidP="005130AA">
      <w:pPr>
        <w:pStyle w:val="Citationenretrait"/>
        <w:rPr>
          <w:lang w:val="en-US"/>
        </w:rPr>
      </w:pPr>
      <w:r>
        <w:rPr>
          <w:lang w:val="en-CA"/>
        </w:rPr>
        <w:t xml:space="preserve">Maybe not just from that, but yes, it’s one of many </w:t>
      </w:r>
      <w:r w:rsidR="0077172B">
        <w:rPr>
          <w:lang w:val="en-CA"/>
        </w:rPr>
        <w:t>elements</w:t>
      </w:r>
      <w:r>
        <w:rPr>
          <w:lang w:val="en-CA"/>
        </w:rPr>
        <w:t>.</w:t>
      </w:r>
      <w:r>
        <w:rPr>
          <w:rStyle w:val="Appelnotedebasdep"/>
          <w:lang w:val="en-CA"/>
        </w:rPr>
        <w:footnoteReference w:id="42"/>
      </w:r>
    </w:p>
    <w:p w14:paraId="56FF7A17" w14:textId="21421F2B" w:rsidR="00A02184" w:rsidRPr="004A360E" w:rsidRDefault="00F06516" w:rsidP="00A02184">
      <w:pPr>
        <w:pStyle w:val="Paragraphe"/>
        <w:rPr>
          <w:lang w:val="en-US"/>
        </w:rPr>
      </w:pPr>
      <w:r>
        <w:rPr>
          <w:lang w:val="en-CA"/>
        </w:rPr>
        <w:t xml:space="preserve">After this exchange, Crown </w:t>
      </w:r>
      <w:r w:rsidR="00A75EF4">
        <w:rPr>
          <w:lang w:val="en-CA"/>
        </w:rPr>
        <w:t>counsel</w:t>
      </w:r>
      <w:r>
        <w:rPr>
          <w:lang w:val="en-CA"/>
        </w:rPr>
        <w:t xml:space="preserve"> continued her cross-examination:</w:t>
      </w:r>
    </w:p>
    <w:p w14:paraId="1DBD1479" w14:textId="0AD0D52E" w:rsidR="00315473" w:rsidRDefault="00F06516" w:rsidP="005130AA">
      <w:pPr>
        <w:pStyle w:val="Citationenretrait"/>
        <w:rPr>
          <w:lang w:val="en-CA"/>
        </w:rPr>
      </w:pPr>
      <w:r>
        <w:rPr>
          <w:lang w:val="en-CA"/>
        </w:rPr>
        <w:t>[</w:t>
      </w:r>
      <w:r w:rsidR="00315473" w:rsidRPr="009D6270">
        <w:rPr>
          <w:smallCaps/>
          <w:lang w:val="en-CA"/>
        </w:rPr>
        <w:t>translation</w:t>
      </w:r>
      <w:r>
        <w:rPr>
          <w:lang w:val="en-CA"/>
        </w:rPr>
        <w:t xml:space="preserve">] </w:t>
      </w:r>
    </w:p>
    <w:p w14:paraId="7B409088" w14:textId="56FB0541" w:rsidR="00C94850" w:rsidRPr="004A360E" w:rsidRDefault="00F06516" w:rsidP="005130AA">
      <w:pPr>
        <w:pStyle w:val="Citationenretrait"/>
        <w:rPr>
          <w:lang w:val="en-US"/>
        </w:rPr>
      </w:pPr>
      <w:r>
        <w:rPr>
          <w:lang w:val="en-CA"/>
        </w:rPr>
        <w:t xml:space="preserve">Q. So, I will repeat my questions, sir, after this long break. I’m not talking about the girls, I’m not talking about Y or X, I’m really talking about Ms. S., okay, who is also a witness in the judicial process that we’re </w:t>
      </w:r>
      <w:r w:rsidR="00491A5F">
        <w:rPr>
          <w:lang w:val="en-CA"/>
        </w:rPr>
        <w:t xml:space="preserve">currently </w:t>
      </w:r>
      <w:r w:rsidR="00315473">
        <w:rPr>
          <w:lang w:val="en-CA"/>
        </w:rPr>
        <w:t>involved in</w:t>
      </w:r>
      <w:r>
        <w:rPr>
          <w:lang w:val="en-CA"/>
        </w:rPr>
        <w:t xml:space="preserve">. Are you claiming, </w:t>
      </w:r>
      <w:r w:rsidR="008F768C">
        <w:rPr>
          <w:lang w:val="en-CA"/>
        </w:rPr>
        <w:t xml:space="preserve">further to </w:t>
      </w:r>
      <w:r>
        <w:rPr>
          <w:lang w:val="en-CA"/>
        </w:rPr>
        <w:t>your earlier</w:t>
      </w:r>
      <w:r w:rsidR="008F768C">
        <w:rPr>
          <w:lang w:val="en-CA"/>
        </w:rPr>
        <w:t xml:space="preserve"> </w:t>
      </w:r>
      <w:r w:rsidR="00491A5F">
        <w:rPr>
          <w:lang w:val="en-CA"/>
        </w:rPr>
        <w:t>answer</w:t>
      </w:r>
      <w:r>
        <w:rPr>
          <w:lang w:val="en-CA"/>
        </w:rPr>
        <w:t>, that Ms. S. was influenced in her desire to testify or to be involved in the judicial process, this judicial process, not the other proceedings, by the fact that you did not want to give her money? Is that what you’re claiming today?</w:t>
      </w:r>
    </w:p>
    <w:p w14:paraId="76F5BB7F" w14:textId="017CDB82" w:rsidR="00C94850" w:rsidRPr="004A360E" w:rsidRDefault="00DD5431" w:rsidP="005130AA">
      <w:pPr>
        <w:pStyle w:val="Citationenretrait"/>
        <w:rPr>
          <w:lang w:val="en-US"/>
        </w:rPr>
      </w:pPr>
      <w:r>
        <w:rPr>
          <w:lang w:val="en-CA"/>
        </w:rPr>
        <w:t>A</w:t>
      </w:r>
      <w:r w:rsidR="00F06516">
        <w:rPr>
          <w:lang w:val="en-CA"/>
        </w:rPr>
        <w:t>. Yes.</w:t>
      </w:r>
    </w:p>
    <w:p w14:paraId="45E92F04" w14:textId="4E72E54B" w:rsidR="00C94850" w:rsidRPr="004A360E" w:rsidRDefault="00F06516" w:rsidP="005130AA">
      <w:pPr>
        <w:pStyle w:val="Citationenretrait"/>
        <w:rPr>
          <w:lang w:val="en-US"/>
        </w:rPr>
      </w:pPr>
      <w:r>
        <w:rPr>
          <w:lang w:val="en-CA"/>
        </w:rPr>
        <w:t xml:space="preserve">Q. Okay. So, you believe that the only reason </w:t>
      </w:r>
      <w:r w:rsidR="00E85A61">
        <w:rPr>
          <w:lang w:val="en-CA"/>
        </w:rPr>
        <w:t>she has</w:t>
      </w:r>
      <w:r>
        <w:rPr>
          <w:lang w:val="en-CA"/>
        </w:rPr>
        <w:t xml:space="preserve"> come to testify at the trial—by that I mean the trial for touching and sexual assault, I’m not talking about the civil proceedings—is because you refused to give her money?</w:t>
      </w:r>
    </w:p>
    <w:p w14:paraId="1DBD7A02" w14:textId="79833E26" w:rsidR="00C94850" w:rsidRPr="004A360E" w:rsidRDefault="00DD5431" w:rsidP="005130AA">
      <w:pPr>
        <w:pStyle w:val="Citationenretrait"/>
        <w:rPr>
          <w:lang w:val="en-US"/>
        </w:rPr>
      </w:pPr>
      <w:r>
        <w:rPr>
          <w:lang w:val="en-CA"/>
        </w:rPr>
        <w:t>A</w:t>
      </w:r>
      <w:r w:rsidR="00F06516">
        <w:rPr>
          <w:lang w:val="en-CA"/>
        </w:rPr>
        <w:t>. Yes.</w:t>
      </w:r>
    </w:p>
    <w:p w14:paraId="401DFC3D" w14:textId="297E8E08" w:rsidR="00C94850" w:rsidRPr="004A360E" w:rsidRDefault="00F06516" w:rsidP="005130AA">
      <w:pPr>
        <w:pStyle w:val="Citationenretrait"/>
        <w:rPr>
          <w:lang w:val="en-US"/>
        </w:rPr>
      </w:pPr>
      <w:r>
        <w:rPr>
          <w:lang w:val="en-CA"/>
        </w:rPr>
        <w:t xml:space="preserve">Q. Okay. The girls, they... because </w:t>
      </w:r>
      <w:r w:rsidR="00491A5F">
        <w:rPr>
          <w:lang w:val="en-CA"/>
        </w:rPr>
        <w:t xml:space="preserve">it </w:t>
      </w:r>
      <w:r>
        <w:rPr>
          <w:lang w:val="en-CA"/>
        </w:rPr>
        <w:t>was not clear in your answer, it was a general answer, the girls—I’m talking about Y and X—do you think that’s also the same reason they filed a complaint? Is that what you’re claiming?</w:t>
      </w:r>
    </w:p>
    <w:p w14:paraId="59628F2B" w14:textId="442B5C90" w:rsidR="00C94850" w:rsidRPr="004A360E" w:rsidRDefault="00DD5431" w:rsidP="005130AA">
      <w:pPr>
        <w:pStyle w:val="Citationenretrait"/>
        <w:rPr>
          <w:lang w:val="en-US"/>
        </w:rPr>
      </w:pPr>
      <w:r>
        <w:rPr>
          <w:lang w:val="en-CA"/>
        </w:rPr>
        <w:t>A</w:t>
      </w:r>
      <w:r w:rsidR="00F06516">
        <w:rPr>
          <w:lang w:val="en-CA"/>
        </w:rPr>
        <w:t>. I would have the... the... yes.</w:t>
      </w:r>
    </w:p>
    <w:p w14:paraId="730F7154" w14:textId="771BA13E" w:rsidR="00C94850" w:rsidRPr="004A360E" w:rsidRDefault="00F06516" w:rsidP="005130AA">
      <w:pPr>
        <w:pStyle w:val="Citationenretrait"/>
        <w:rPr>
          <w:lang w:val="en-US"/>
        </w:rPr>
      </w:pPr>
      <w:r>
        <w:rPr>
          <w:lang w:val="en-CA"/>
        </w:rPr>
        <w:t>Q. Is that the only reason you believe they filed a complaint?</w:t>
      </w:r>
    </w:p>
    <w:p w14:paraId="49A22BAC" w14:textId="17214701" w:rsidR="00A02184" w:rsidRPr="00941800" w:rsidRDefault="00EF3E4D" w:rsidP="005130AA">
      <w:pPr>
        <w:pStyle w:val="Citationenretrait"/>
      </w:pPr>
      <w:r>
        <w:rPr>
          <w:lang w:val="en-CA"/>
        </w:rPr>
        <w:lastRenderedPageBreak/>
        <w:t>A</w:t>
      </w:r>
      <w:r w:rsidR="00F06516">
        <w:rPr>
          <w:lang w:val="en-CA"/>
        </w:rPr>
        <w:t>. Yes.</w:t>
      </w:r>
      <w:r w:rsidR="00F06516" w:rsidRPr="009D6270">
        <w:rPr>
          <w:rStyle w:val="Appelnotedebasdep"/>
          <w:rFonts w:cs="Arial"/>
          <w:lang w:val="en-CA"/>
        </w:rPr>
        <w:footnoteReference w:id="43"/>
      </w:r>
    </w:p>
    <w:p w14:paraId="24AFD733" w14:textId="7E3E043F" w:rsidR="001B4698" w:rsidRPr="004A360E" w:rsidRDefault="00E85A61" w:rsidP="001B4698">
      <w:pPr>
        <w:pStyle w:val="Paragraphe"/>
        <w:rPr>
          <w:lang w:val="en-US"/>
        </w:rPr>
      </w:pPr>
      <w:r>
        <w:rPr>
          <w:lang w:val="en-CA"/>
        </w:rPr>
        <w:t>The</w:t>
      </w:r>
      <w:r w:rsidR="00F06516">
        <w:rPr>
          <w:lang w:val="en-CA"/>
        </w:rPr>
        <w:t xml:space="preserve"> appellant and his counsel were not </w:t>
      </w:r>
      <w:r w:rsidR="003D347A">
        <w:rPr>
          <w:lang w:val="en-CA"/>
        </w:rPr>
        <w:t>in agreement</w:t>
      </w:r>
      <w:r w:rsidR="00F06516">
        <w:rPr>
          <w:lang w:val="en-CA"/>
        </w:rPr>
        <w:t>, and this is what the judge noted later on:</w:t>
      </w:r>
    </w:p>
    <w:p w14:paraId="7A8AF608" w14:textId="7A05CDA4" w:rsidR="00750018" w:rsidRDefault="00F06516" w:rsidP="005130AA">
      <w:pPr>
        <w:pStyle w:val="Citationenretrait"/>
        <w:spacing w:after="0"/>
        <w:rPr>
          <w:lang w:val="en-CA"/>
        </w:rPr>
      </w:pPr>
      <w:r>
        <w:rPr>
          <w:lang w:val="en-CA"/>
        </w:rPr>
        <w:t>[</w:t>
      </w:r>
      <w:r w:rsidR="00750018" w:rsidRPr="009D6270">
        <w:rPr>
          <w:smallCaps/>
          <w:lang w:val="en-CA"/>
        </w:rPr>
        <w:t>translation</w:t>
      </w:r>
      <w:r>
        <w:rPr>
          <w:lang w:val="en-CA"/>
        </w:rPr>
        <w:t>]</w:t>
      </w:r>
    </w:p>
    <w:p w14:paraId="58391EA4" w14:textId="4BAF122D" w:rsidR="001B4698" w:rsidRPr="004A360E" w:rsidRDefault="00F06516" w:rsidP="005130AA">
      <w:pPr>
        <w:pStyle w:val="Citationenretrait"/>
        <w:spacing w:after="0"/>
        <w:rPr>
          <w:u w:val="single"/>
          <w:lang w:val="en-US"/>
        </w:rPr>
      </w:pPr>
      <w:proofErr w:type="spellStart"/>
      <w:r>
        <w:rPr>
          <w:u w:val="single"/>
          <w:lang w:val="en-CA"/>
        </w:rPr>
        <w:t>MTRE</w:t>
      </w:r>
      <w:proofErr w:type="spellEnd"/>
      <w:r>
        <w:rPr>
          <w:u w:val="single"/>
          <w:lang w:val="en-CA"/>
        </w:rPr>
        <w:t xml:space="preserve"> CLAUDE BÉDARD</w:t>
      </w:r>
    </w:p>
    <w:p w14:paraId="2259646E" w14:textId="107E681C" w:rsidR="001B4698" w:rsidRPr="004A360E" w:rsidRDefault="00F06516" w:rsidP="005130AA">
      <w:pPr>
        <w:pStyle w:val="Citationenretrait"/>
        <w:spacing w:before="0"/>
        <w:rPr>
          <w:lang w:val="en-US"/>
        </w:rPr>
      </w:pPr>
      <w:r>
        <w:rPr>
          <w:u w:val="single"/>
          <w:lang w:val="en-CA"/>
        </w:rPr>
        <w:t>FOR THE ACCUSED:</w:t>
      </w:r>
    </w:p>
    <w:p w14:paraId="27506ED1" w14:textId="73BDE5E7" w:rsidR="001B4698" w:rsidRPr="004A360E" w:rsidRDefault="00F06516" w:rsidP="005130AA">
      <w:pPr>
        <w:pStyle w:val="Citationenretrait"/>
        <w:rPr>
          <w:lang w:val="en-US"/>
        </w:rPr>
      </w:pPr>
      <w:r>
        <w:rPr>
          <w:lang w:val="en-CA"/>
        </w:rPr>
        <w:t xml:space="preserve">Your Honour, first, concerning Ms. S., </w:t>
      </w:r>
      <w:r w:rsidR="00510962">
        <w:rPr>
          <w:lang w:val="en-CA"/>
        </w:rPr>
        <w:t>the accused</w:t>
      </w:r>
      <w:r>
        <w:rPr>
          <w:lang w:val="en-CA"/>
        </w:rPr>
        <w:t xml:space="preserve"> may think... I’ve heard him say certain things, but I am not at all suggesting that Ms. S plotted with the girls...</w:t>
      </w:r>
    </w:p>
    <w:p w14:paraId="53B816F9" w14:textId="25282411" w:rsidR="001B4698" w:rsidRPr="004A360E" w:rsidRDefault="00F06516" w:rsidP="005130AA">
      <w:pPr>
        <w:pStyle w:val="Citationenretrait"/>
        <w:rPr>
          <w:lang w:val="en-US"/>
        </w:rPr>
      </w:pPr>
      <w:r>
        <w:rPr>
          <w:u w:val="single"/>
          <w:lang w:val="en-CA"/>
        </w:rPr>
        <w:t>THE COURT</w:t>
      </w:r>
      <w:r>
        <w:rPr>
          <w:lang w:val="en-CA"/>
        </w:rPr>
        <w:t>:</w:t>
      </w:r>
    </w:p>
    <w:p w14:paraId="7FF53381" w14:textId="572432AA" w:rsidR="001B4698" w:rsidRPr="004A360E" w:rsidRDefault="00F06516" w:rsidP="005130AA">
      <w:pPr>
        <w:pStyle w:val="Citationenretrait"/>
        <w:rPr>
          <w:lang w:val="en-US"/>
        </w:rPr>
      </w:pPr>
      <w:r>
        <w:rPr>
          <w:lang w:val="en-CA"/>
        </w:rPr>
        <w:t xml:space="preserve">Well, you may not say it, but </w:t>
      </w:r>
      <w:r w:rsidR="00510962">
        <w:rPr>
          <w:lang w:val="en-CA"/>
        </w:rPr>
        <w:t>the accused</w:t>
      </w:r>
      <w:r>
        <w:rPr>
          <w:lang w:val="en-CA"/>
        </w:rPr>
        <w:t>, he...</w:t>
      </w:r>
    </w:p>
    <w:p w14:paraId="7CC5E73A" w14:textId="76BEECDD" w:rsidR="001B4698" w:rsidRPr="004A360E" w:rsidRDefault="00F06516" w:rsidP="005130AA">
      <w:pPr>
        <w:pStyle w:val="Citationenretrait"/>
        <w:spacing w:after="0"/>
        <w:rPr>
          <w:u w:val="single"/>
          <w:lang w:val="en-US"/>
        </w:rPr>
      </w:pPr>
      <w:proofErr w:type="spellStart"/>
      <w:r>
        <w:rPr>
          <w:u w:val="single"/>
          <w:lang w:val="en-CA"/>
        </w:rPr>
        <w:t>MTRE</w:t>
      </w:r>
      <w:proofErr w:type="spellEnd"/>
      <w:r>
        <w:rPr>
          <w:u w:val="single"/>
          <w:lang w:val="en-CA"/>
        </w:rPr>
        <w:t xml:space="preserve"> CLAUDE BÉDARD</w:t>
      </w:r>
    </w:p>
    <w:p w14:paraId="4F449694" w14:textId="30E8E525" w:rsidR="001B4698" w:rsidRPr="004A360E" w:rsidRDefault="00F06516" w:rsidP="005130AA">
      <w:pPr>
        <w:pStyle w:val="Citationenretrait"/>
        <w:spacing w:before="0"/>
        <w:rPr>
          <w:lang w:val="en-US"/>
        </w:rPr>
      </w:pPr>
      <w:r>
        <w:rPr>
          <w:u w:val="single"/>
          <w:lang w:val="en-CA"/>
        </w:rPr>
        <w:t>FOR THE ACCUSED:</w:t>
      </w:r>
    </w:p>
    <w:p w14:paraId="19EBD6BD" w14:textId="0B1E1ED8" w:rsidR="008D4963" w:rsidRPr="004A360E" w:rsidRDefault="00F06516" w:rsidP="005130AA">
      <w:pPr>
        <w:pStyle w:val="Citationenretrait"/>
        <w:rPr>
          <w:lang w:val="en-US"/>
        </w:rPr>
      </w:pPr>
      <w:r>
        <w:rPr>
          <w:lang w:val="en-CA"/>
        </w:rPr>
        <w:t>Well, even if he said it, I’m telling you I’m not going to argue that</w:t>
      </w:r>
      <w:r w:rsidR="00510962">
        <w:rPr>
          <w:lang w:val="en-CA"/>
        </w:rPr>
        <w:t xml:space="preserve"> before you</w:t>
      </w:r>
      <w:r>
        <w:rPr>
          <w:lang w:val="en-CA"/>
        </w:rPr>
        <w:t>.</w:t>
      </w:r>
    </w:p>
    <w:p w14:paraId="38AD2AD7" w14:textId="10D35D40" w:rsidR="008D4963" w:rsidRPr="004A360E" w:rsidRDefault="00F06516" w:rsidP="005130AA">
      <w:pPr>
        <w:pStyle w:val="Citationenretrait"/>
        <w:rPr>
          <w:lang w:val="en-US"/>
        </w:rPr>
      </w:pPr>
      <w:r>
        <w:rPr>
          <w:u w:val="single"/>
          <w:lang w:val="en-CA"/>
        </w:rPr>
        <w:t>THE COURT</w:t>
      </w:r>
      <w:r>
        <w:rPr>
          <w:lang w:val="en-CA"/>
        </w:rPr>
        <w:t>:</w:t>
      </w:r>
    </w:p>
    <w:p w14:paraId="665155BE" w14:textId="65B819CB" w:rsidR="008D4963" w:rsidRPr="004A360E" w:rsidRDefault="00F06516" w:rsidP="005130AA">
      <w:pPr>
        <w:pStyle w:val="Citationenretrait"/>
        <w:rPr>
          <w:lang w:val="en-US"/>
        </w:rPr>
      </w:pPr>
      <w:r>
        <w:rPr>
          <w:lang w:val="en-CA"/>
        </w:rPr>
        <w:t>I understand, but it remains that...</w:t>
      </w:r>
    </w:p>
    <w:p w14:paraId="567D1696" w14:textId="77777777" w:rsidR="008D4963" w:rsidRPr="004A360E" w:rsidRDefault="00F06516" w:rsidP="005130AA">
      <w:pPr>
        <w:pStyle w:val="Citationenretrait"/>
        <w:spacing w:after="0"/>
        <w:rPr>
          <w:u w:val="single"/>
          <w:lang w:val="en-US"/>
        </w:rPr>
      </w:pPr>
      <w:proofErr w:type="spellStart"/>
      <w:r>
        <w:rPr>
          <w:u w:val="single"/>
          <w:lang w:val="en-CA"/>
        </w:rPr>
        <w:t>MTRE</w:t>
      </w:r>
      <w:proofErr w:type="spellEnd"/>
      <w:r>
        <w:rPr>
          <w:u w:val="single"/>
          <w:lang w:val="en-CA"/>
        </w:rPr>
        <w:t xml:space="preserve"> CLAUDE BÉDARD</w:t>
      </w:r>
    </w:p>
    <w:p w14:paraId="17D856D4" w14:textId="77777777" w:rsidR="008D4963" w:rsidRPr="004A360E" w:rsidRDefault="00F06516" w:rsidP="005130AA">
      <w:pPr>
        <w:pStyle w:val="Citationenretrait"/>
        <w:spacing w:before="0"/>
        <w:rPr>
          <w:lang w:val="en-US"/>
        </w:rPr>
      </w:pPr>
      <w:r>
        <w:rPr>
          <w:u w:val="single"/>
          <w:lang w:val="en-CA"/>
        </w:rPr>
        <w:t>FOR THE ACCUSED:</w:t>
      </w:r>
    </w:p>
    <w:p w14:paraId="1DE10BB0" w14:textId="22B87FB2" w:rsidR="008D4963" w:rsidRPr="004A360E" w:rsidRDefault="00F06516" w:rsidP="005130AA">
      <w:pPr>
        <w:pStyle w:val="Citationenretrait"/>
        <w:rPr>
          <w:lang w:val="en-US"/>
        </w:rPr>
      </w:pPr>
      <w:r>
        <w:rPr>
          <w:lang w:val="en-CA"/>
        </w:rPr>
        <w:t xml:space="preserve">But if we want to </w:t>
      </w:r>
      <w:r w:rsidR="00A85A77">
        <w:rPr>
          <w:lang w:val="en-CA"/>
        </w:rPr>
        <w:t>present rebuttal</w:t>
      </w:r>
      <w:r>
        <w:rPr>
          <w:lang w:val="en-CA"/>
        </w:rPr>
        <w:t xml:space="preserve"> evidence...</w:t>
      </w:r>
    </w:p>
    <w:p w14:paraId="27D46620" w14:textId="186ADDFA" w:rsidR="008D4963" w:rsidRPr="004A360E" w:rsidRDefault="00F06516" w:rsidP="005130AA">
      <w:pPr>
        <w:pStyle w:val="Citationenretrait"/>
        <w:rPr>
          <w:lang w:val="en-US"/>
        </w:rPr>
      </w:pPr>
      <w:r>
        <w:rPr>
          <w:u w:val="single"/>
          <w:lang w:val="en-CA"/>
        </w:rPr>
        <w:t>THE COURT</w:t>
      </w:r>
      <w:r>
        <w:rPr>
          <w:lang w:val="en-CA"/>
        </w:rPr>
        <w:t>:</w:t>
      </w:r>
    </w:p>
    <w:p w14:paraId="1A5EA9CD" w14:textId="65B198D8" w:rsidR="008D4963" w:rsidRPr="004A360E" w:rsidRDefault="00F06516" w:rsidP="005130AA">
      <w:pPr>
        <w:pStyle w:val="Citationenretrait"/>
        <w:rPr>
          <w:lang w:val="en-US"/>
        </w:rPr>
      </w:pPr>
      <w:r>
        <w:rPr>
          <w:lang w:val="en-CA"/>
        </w:rPr>
        <w:t xml:space="preserve">...that’s part of the analysis... </w:t>
      </w:r>
      <w:proofErr w:type="spellStart"/>
      <w:r>
        <w:rPr>
          <w:lang w:val="en-CA"/>
        </w:rPr>
        <w:t>Mtre</w:t>
      </w:r>
      <w:proofErr w:type="spellEnd"/>
      <w:r>
        <w:rPr>
          <w:lang w:val="en-CA"/>
        </w:rPr>
        <w:t xml:space="preserve"> Bédard...</w:t>
      </w:r>
    </w:p>
    <w:p w14:paraId="71F81EBA" w14:textId="77777777" w:rsidR="008D4963" w:rsidRPr="004A360E" w:rsidRDefault="00F06516" w:rsidP="001C4D15">
      <w:pPr>
        <w:pStyle w:val="Citationenretrait"/>
        <w:spacing w:after="0"/>
        <w:rPr>
          <w:u w:val="single"/>
          <w:lang w:val="en-US"/>
        </w:rPr>
      </w:pPr>
      <w:proofErr w:type="spellStart"/>
      <w:r>
        <w:rPr>
          <w:u w:val="single"/>
          <w:lang w:val="en-CA"/>
        </w:rPr>
        <w:t>MTRE</w:t>
      </w:r>
      <w:proofErr w:type="spellEnd"/>
      <w:r>
        <w:rPr>
          <w:u w:val="single"/>
          <w:lang w:val="en-CA"/>
        </w:rPr>
        <w:t xml:space="preserve"> CLAUDE BÉDARD</w:t>
      </w:r>
    </w:p>
    <w:p w14:paraId="1BFBF46A" w14:textId="138F2BA6" w:rsidR="008D4963" w:rsidRPr="004A360E" w:rsidRDefault="00F06516" w:rsidP="001C4D15">
      <w:pPr>
        <w:pStyle w:val="Citationenretrait"/>
        <w:spacing w:before="0"/>
        <w:rPr>
          <w:lang w:val="en-US"/>
        </w:rPr>
      </w:pPr>
      <w:r>
        <w:rPr>
          <w:u w:val="single"/>
          <w:lang w:val="en-CA"/>
        </w:rPr>
        <w:t>FOR THE ACCUSED:</w:t>
      </w:r>
    </w:p>
    <w:p w14:paraId="2BDC4AC5" w14:textId="1B07A4A3" w:rsidR="008D4963" w:rsidRPr="004A360E" w:rsidRDefault="00A85A77" w:rsidP="005130AA">
      <w:pPr>
        <w:pStyle w:val="Citationenretrait"/>
        <w:rPr>
          <w:lang w:val="en-US"/>
        </w:rPr>
      </w:pPr>
      <w:r>
        <w:rPr>
          <w:lang w:val="en-CA"/>
        </w:rPr>
        <w:t>Right.</w:t>
      </w:r>
    </w:p>
    <w:p w14:paraId="3D2D2D40" w14:textId="45524273" w:rsidR="008D4963" w:rsidRPr="004A360E" w:rsidRDefault="00F06516" w:rsidP="005130AA">
      <w:pPr>
        <w:pStyle w:val="Citationenretrait"/>
        <w:rPr>
          <w:lang w:val="en-US"/>
        </w:rPr>
      </w:pPr>
      <w:r>
        <w:rPr>
          <w:u w:val="single"/>
          <w:lang w:val="en-CA"/>
        </w:rPr>
        <w:t>THE COURT</w:t>
      </w:r>
      <w:r>
        <w:rPr>
          <w:lang w:val="en-CA"/>
        </w:rPr>
        <w:t>:</w:t>
      </w:r>
    </w:p>
    <w:p w14:paraId="092DC73F" w14:textId="3E8B33A6" w:rsidR="008D4963" w:rsidRPr="004A360E" w:rsidRDefault="00F06516" w:rsidP="005130AA">
      <w:pPr>
        <w:pStyle w:val="Citationenretrait"/>
        <w:rPr>
          <w:lang w:val="en-US"/>
        </w:rPr>
      </w:pPr>
      <w:r>
        <w:rPr>
          <w:lang w:val="en-CA"/>
        </w:rPr>
        <w:t>...your client is clearly claiming...</w:t>
      </w:r>
    </w:p>
    <w:p w14:paraId="7E3B1B46" w14:textId="77777777" w:rsidR="008D4963" w:rsidRPr="004A360E" w:rsidRDefault="00F06516" w:rsidP="001C4D15">
      <w:pPr>
        <w:pStyle w:val="Citationenretrait"/>
        <w:spacing w:after="0"/>
        <w:rPr>
          <w:u w:val="single"/>
          <w:lang w:val="en-US"/>
        </w:rPr>
      </w:pPr>
      <w:proofErr w:type="spellStart"/>
      <w:r>
        <w:rPr>
          <w:u w:val="single"/>
          <w:lang w:val="en-CA"/>
        </w:rPr>
        <w:lastRenderedPageBreak/>
        <w:t>MTRE</w:t>
      </w:r>
      <w:proofErr w:type="spellEnd"/>
      <w:r>
        <w:rPr>
          <w:u w:val="single"/>
          <w:lang w:val="en-CA"/>
        </w:rPr>
        <w:t xml:space="preserve"> CLAUDE BÉDARD</w:t>
      </w:r>
    </w:p>
    <w:p w14:paraId="34B07C17" w14:textId="53537771" w:rsidR="008D4963" w:rsidRPr="004A360E" w:rsidRDefault="00F06516" w:rsidP="001C4D15">
      <w:pPr>
        <w:pStyle w:val="Citationenretrait"/>
        <w:spacing w:before="0"/>
        <w:rPr>
          <w:lang w:val="en-US"/>
        </w:rPr>
      </w:pPr>
      <w:r>
        <w:rPr>
          <w:u w:val="single"/>
          <w:lang w:val="en-CA"/>
        </w:rPr>
        <w:t>FOR THE ACCUSED:</w:t>
      </w:r>
    </w:p>
    <w:p w14:paraId="71953E57" w14:textId="7753DB0A" w:rsidR="008D4963" w:rsidRPr="004A360E" w:rsidRDefault="00F06516" w:rsidP="005130AA">
      <w:pPr>
        <w:pStyle w:val="Citationenretrait"/>
        <w:rPr>
          <w:lang w:val="en-US"/>
        </w:rPr>
      </w:pPr>
      <w:r>
        <w:rPr>
          <w:lang w:val="en-CA"/>
        </w:rPr>
        <w:t>Yes.</w:t>
      </w:r>
    </w:p>
    <w:p w14:paraId="05859475" w14:textId="2DA57CFE" w:rsidR="008D4963" w:rsidRPr="004A360E" w:rsidRDefault="00F06516" w:rsidP="005130AA">
      <w:pPr>
        <w:pStyle w:val="Citationenretrait"/>
        <w:rPr>
          <w:lang w:val="en-US"/>
        </w:rPr>
      </w:pPr>
      <w:r>
        <w:rPr>
          <w:u w:val="single"/>
          <w:lang w:val="en-CA"/>
        </w:rPr>
        <w:t>THE COURT</w:t>
      </w:r>
      <w:r>
        <w:rPr>
          <w:lang w:val="en-CA"/>
        </w:rPr>
        <w:t>:</w:t>
      </w:r>
    </w:p>
    <w:p w14:paraId="46DB78C6" w14:textId="6B9D6AC0" w:rsidR="008D4963" w:rsidRPr="004A360E" w:rsidRDefault="00F06516" w:rsidP="005130AA">
      <w:pPr>
        <w:pStyle w:val="Citationenretrait"/>
        <w:rPr>
          <w:lang w:val="en-US"/>
        </w:rPr>
      </w:pPr>
      <w:r>
        <w:rPr>
          <w:lang w:val="en-CA"/>
        </w:rPr>
        <w:t xml:space="preserve">...is clearly claiming, okay, that in the context of the break-up, there was a financial problem that caused the </w:t>
      </w:r>
      <w:r w:rsidR="00A85A77">
        <w:rPr>
          <w:lang w:val="en-CA"/>
        </w:rPr>
        <w:t xml:space="preserve">break up </w:t>
      </w:r>
      <w:r>
        <w:rPr>
          <w:lang w:val="en-CA"/>
        </w:rPr>
        <w:t xml:space="preserve">and that’s the reason, and he said </w:t>
      </w:r>
      <w:r w:rsidR="004C7B2B">
        <w:rPr>
          <w:lang w:val="en-CA"/>
        </w:rPr>
        <w:t>so</w:t>
      </w:r>
      <w:r>
        <w:rPr>
          <w:lang w:val="en-CA"/>
        </w:rPr>
        <w:t>, just like that...</w:t>
      </w:r>
    </w:p>
    <w:p w14:paraId="1A78AC02" w14:textId="7FA4EAA6" w:rsidR="008D4963" w:rsidRPr="004A360E" w:rsidRDefault="00F06516" w:rsidP="001C4D15">
      <w:pPr>
        <w:pStyle w:val="Citationenretrait"/>
        <w:spacing w:after="0"/>
        <w:rPr>
          <w:u w:val="single"/>
          <w:lang w:val="en-US"/>
        </w:rPr>
      </w:pPr>
      <w:proofErr w:type="spellStart"/>
      <w:r>
        <w:rPr>
          <w:u w:val="single"/>
          <w:lang w:val="en-CA"/>
        </w:rPr>
        <w:t>MTRE</w:t>
      </w:r>
      <w:proofErr w:type="spellEnd"/>
      <w:r>
        <w:rPr>
          <w:u w:val="single"/>
          <w:lang w:val="en-CA"/>
        </w:rPr>
        <w:t xml:space="preserve"> CLAUDE BÉDARD</w:t>
      </w:r>
    </w:p>
    <w:p w14:paraId="226B9947" w14:textId="77777777" w:rsidR="008D4963" w:rsidRPr="004A360E" w:rsidRDefault="00F06516" w:rsidP="001C4D15">
      <w:pPr>
        <w:pStyle w:val="Citationenretrait"/>
        <w:spacing w:before="0"/>
        <w:rPr>
          <w:lang w:val="en-US"/>
        </w:rPr>
      </w:pPr>
      <w:r>
        <w:rPr>
          <w:u w:val="single"/>
          <w:lang w:val="en-CA"/>
        </w:rPr>
        <w:t>FOR THE ACCUSED:</w:t>
      </w:r>
    </w:p>
    <w:p w14:paraId="3CA67BC6" w14:textId="49D4D74A" w:rsidR="008D4963" w:rsidRPr="004A360E" w:rsidRDefault="00F06516" w:rsidP="005130AA">
      <w:pPr>
        <w:pStyle w:val="Citationenretrait"/>
        <w:rPr>
          <w:lang w:val="en-US"/>
        </w:rPr>
      </w:pPr>
      <w:r>
        <w:rPr>
          <w:lang w:val="en-CA"/>
        </w:rPr>
        <w:t>Yes, yes.</w:t>
      </w:r>
    </w:p>
    <w:p w14:paraId="59E73212" w14:textId="0792A5FC" w:rsidR="008D4963" w:rsidRPr="004A360E" w:rsidRDefault="00F06516" w:rsidP="005130AA">
      <w:pPr>
        <w:pStyle w:val="Citationenretrait"/>
        <w:rPr>
          <w:lang w:val="en-US"/>
        </w:rPr>
      </w:pPr>
      <w:r>
        <w:rPr>
          <w:u w:val="single"/>
          <w:lang w:val="en-CA"/>
        </w:rPr>
        <w:t>THE COURT</w:t>
      </w:r>
      <w:r>
        <w:rPr>
          <w:lang w:val="en-CA"/>
        </w:rPr>
        <w:t>:</w:t>
      </w:r>
    </w:p>
    <w:p w14:paraId="7F691F5A" w14:textId="250B9BCE" w:rsidR="008D4963" w:rsidRPr="004A360E" w:rsidRDefault="00F06516" w:rsidP="005130AA">
      <w:pPr>
        <w:pStyle w:val="Citationenretrait"/>
        <w:rPr>
          <w:lang w:val="en-US"/>
        </w:rPr>
      </w:pPr>
      <w:r>
        <w:rPr>
          <w:lang w:val="en-CA"/>
        </w:rPr>
        <w:t xml:space="preserve">...this is why Ms. S. is involved in these criminal proceedings and </w:t>
      </w:r>
      <w:r w:rsidR="006C2D04">
        <w:rPr>
          <w:lang w:val="en-CA"/>
        </w:rPr>
        <w:t xml:space="preserve">one of </w:t>
      </w:r>
      <w:r>
        <w:rPr>
          <w:lang w:val="en-CA"/>
        </w:rPr>
        <w:t>the reason</w:t>
      </w:r>
      <w:r w:rsidR="006C2D04">
        <w:rPr>
          <w:lang w:val="en-CA"/>
        </w:rPr>
        <w:t>s</w:t>
      </w:r>
      <w:r>
        <w:rPr>
          <w:lang w:val="en-CA"/>
        </w:rPr>
        <w:t xml:space="preserve">, </w:t>
      </w:r>
      <w:r w:rsidR="006C2D04">
        <w:rPr>
          <w:lang w:val="en-CA"/>
        </w:rPr>
        <w:t>or part of the reason</w:t>
      </w:r>
      <w:r>
        <w:rPr>
          <w:lang w:val="en-CA"/>
        </w:rPr>
        <w:t>, the girls, Y and X, filed a complaint against him.</w:t>
      </w:r>
    </w:p>
    <w:p w14:paraId="40F5024B" w14:textId="60E0E863" w:rsidR="008D4963" w:rsidRPr="004A360E" w:rsidRDefault="00F06516" w:rsidP="005130AA">
      <w:pPr>
        <w:pStyle w:val="Citationenretrait"/>
        <w:rPr>
          <w:lang w:val="en-US"/>
        </w:rPr>
      </w:pPr>
      <w:r>
        <w:rPr>
          <w:lang w:val="en-CA"/>
        </w:rPr>
        <w:tab/>
        <w:t xml:space="preserve">So even </w:t>
      </w:r>
      <w:r w:rsidR="004C7B2B">
        <w:rPr>
          <w:lang w:val="en-CA"/>
        </w:rPr>
        <w:t>if you aren’t arguing that before me</w:t>
      </w:r>
      <w:r>
        <w:rPr>
          <w:lang w:val="en-CA"/>
        </w:rPr>
        <w:t>, it’s going to be part of the analysis of the credibility of your client and the witnesses. Because there is clearly a... a... an obvious contradiction between these testimonies.</w:t>
      </w:r>
    </w:p>
    <w:p w14:paraId="3E2182B1" w14:textId="74FCC5C2" w:rsidR="008D4963" w:rsidRPr="004A360E" w:rsidRDefault="00F06516" w:rsidP="005130AA">
      <w:pPr>
        <w:pStyle w:val="Citationenretrait"/>
        <w:rPr>
          <w:lang w:val="en-US"/>
        </w:rPr>
      </w:pPr>
      <w:r>
        <w:rPr>
          <w:lang w:val="en-CA"/>
        </w:rPr>
        <w:tab/>
        <w:t xml:space="preserve">In any case, </w:t>
      </w:r>
      <w:r w:rsidR="006C2D04">
        <w:rPr>
          <w:lang w:val="en-CA"/>
        </w:rPr>
        <w:t>one might</w:t>
      </w:r>
      <w:r>
        <w:rPr>
          <w:lang w:val="en-CA"/>
        </w:rPr>
        <w:t xml:space="preserve"> think that, although they </w:t>
      </w:r>
      <w:r w:rsidR="006C2D04">
        <w:rPr>
          <w:lang w:val="en-CA"/>
        </w:rPr>
        <w:t xml:space="preserve">were </w:t>
      </w:r>
      <w:r>
        <w:rPr>
          <w:lang w:val="en-CA"/>
        </w:rPr>
        <w:t>not specifically questioned about the financial conflict, which I learned about from your client’s testimony.</w:t>
      </w:r>
    </w:p>
    <w:p w14:paraId="761B0E65" w14:textId="77777777" w:rsidR="008D4963" w:rsidRPr="004A360E" w:rsidRDefault="00F06516" w:rsidP="001C4D15">
      <w:pPr>
        <w:pStyle w:val="Citationenretrait"/>
        <w:spacing w:after="0"/>
        <w:rPr>
          <w:u w:val="single"/>
          <w:lang w:val="en-US"/>
        </w:rPr>
      </w:pPr>
      <w:proofErr w:type="spellStart"/>
      <w:r>
        <w:rPr>
          <w:u w:val="single"/>
          <w:lang w:val="en-CA"/>
        </w:rPr>
        <w:t>MTRE</w:t>
      </w:r>
      <w:proofErr w:type="spellEnd"/>
      <w:r>
        <w:rPr>
          <w:u w:val="single"/>
          <w:lang w:val="en-CA"/>
        </w:rPr>
        <w:t xml:space="preserve"> CLAUDE BÉDARD</w:t>
      </w:r>
    </w:p>
    <w:p w14:paraId="506E10D7" w14:textId="07043CDE" w:rsidR="008D4963" w:rsidRPr="004A360E" w:rsidRDefault="00F06516" w:rsidP="001C4D15">
      <w:pPr>
        <w:pStyle w:val="Citationenretrait"/>
        <w:spacing w:before="0"/>
        <w:rPr>
          <w:lang w:val="en-US"/>
        </w:rPr>
      </w:pPr>
      <w:r>
        <w:rPr>
          <w:u w:val="single"/>
          <w:lang w:val="en-CA"/>
        </w:rPr>
        <w:t>FOR THE ACCUSED:</w:t>
      </w:r>
    </w:p>
    <w:p w14:paraId="210C6BFC" w14:textId="203BAA5A" w:rsidR="008D4963" w:rsidRPr="00941800" w:rsidRDefault="006C2D04" w:rsidP="005130AA">
      <w:pPr>
        <w:pStyle w:val="Citationenretrait"/>
      </w:pPr>
      <w:r>
        <w:rPr>
          <w:lang w:val="en-CA"/>
        </w:rPr>
        <w:t>Right</w:t>
      </w:r>
      <w:r w:rsidR="00F06516">
        <w:rPr>
          <w:lang w:val="en-CA"/>
        </w:rPr>
        <w:t>.</w:t>
      </w:r>
      <w:r w:rsidR="00F06516">
        <w:rPr>
          <w:rStyle w:val="Appelnotedebasdep"/>
          <w:lang w:val="en-CA"/>
        </w:rPr>
        <w:footnoteReference w:id="44"/>
      </w:r>
    </w:p>
    <w:p w14:paraId="4E8323BB" w14:textId="54D0A6F3" w:rsidR="00A02184" w:rsidRPr="004A360E" w:rsidRDefault="00F06516" w:rsidP="008D4963">
      <w:pPr>
        <w:pStyle w:val="Paragraphe"/>
        <w:rPr>
          <w:lang w:val="en-US"/>
        </w:rPr>
      </w:pPr>
      <w:r>
        <w:rPr>
          <w:lang w:val="en-CA"/>
        </w:rPr>
        <w:t xml:space="preserve">On October 16, </w:t>
      </w:r>
      <w:r w:rsidR="006C2D04">
        <w:rPr>
          <w:lang w:val="en-CA"/>
        </w:rPr>
        <w:t xml:space="preserve">when </w:t>
      </w:r>
      <w:r>
        <w:rPr>
          <w:lang w:val="en-CA"/>
        </w:rPr>
        <w:t xml:space="preserve">the trial resumed and </w:t>
      </w:r>
      <w:r w:rsidR="00634E48">
        <w:rPr>
          <w:lang w:val="en-CA"/>
        </w:rPr>
        <w:t xml:space="preserve">began with a discussion of </w:t>
      </w:r>
      <w:r>
        <w:rPr>
          <w:lang w:val="en-CA"/>
        </w:rPr>
        <w:t xml:space="preserve">the respondent’s request to re-examine the complainants and their mother about the dispute between the </w:t>
      </w:r>
      <w:r w:rsidR="006C2D04">
        <w:rPr>
          <w:lang w:val="en-CA"/>
        </w:rPr>
        <w:t xml:space="preserve">mother </w:t>
      </w:r>
      <w:r>
        <w:rPr>
          <w:lang w:val="en-CA"/>
        </w:rPr>
        <w:t xml:space="preserve">and the appellant, the discussion resumed between the judge and counsel, who </w:t>
      </w:r>
      <w:r w:rsidR="00617888">
        <w:rPr>
          <w:lang w:val="en-CA"/>
        </w:rPr>
        <w:t xml:space="preserve">continued to </w:t>
      </w:r>
      <w:r>
        <w:rPr>
          <w:lang w:val="en-CA"/>
        </w:rPr>
        <w:t>maintain</w:t>
      </w:r>
      <w:r w:rsidR="00617888">
        <w:rPr>
          <w:lang w:val="en-CA"/>
        </w:rPr>
        <w:t xml:space="preserve"> </w:t>
      </w:r>
      <w:r>
        <w:rPr>
          <w:lang w:val="en-CA"/>
        </w:rPr>
        <w:t>that he would not argue that the complaints result</w:t>
      </w:r>
      <w:r w:rsidR="00617888">
        <w:rPr>
          <w:lang w:val="en-CA"/>
        </w:rPr>
        <w:t>ed from</w:t>
      </w:r>
      <w:r>
        <w:rPr>
          <w:lang w:val="en-CA"/>
        </w:rPr>
        <w:t xml:space="preserve"> the conflict between his client and S. S., that he </w:t>
      </w:r>
      <w:r w:rsidR="00617888">
        <w:rPr>
          <w:lang w:val="en-CA"/>
        </w:rPr>
        <w:t xml:space="preserve">had </w:t>
      </w:r>
      <w:r>
        <w:rPr>
          <w:lang w:val="en-CA"/>
        </w:rPr>
        <w:t xml:space="preserve">confirmed this direction with his client, and that his client </w:t>
      </w:r>
      <w:r w:rsidR="00617888">
        <w:rPr>
          <w:lang w:val="en-CA"/>
        </w:rPr>
        <w:t>may have</w:t>
      </w:r>
      <w:r>
        <w:rPr>
          <w:lang w:val="en-CA"/>
        </w:rPr>
        <w:t xml:space="preserve"> reacted emotionally when </w:t>
      </w:r>
      <w:r w:rsidR="00617888">
        <w:rPr>
          <w:lang w:val="en-CA"/>
        </w:rPr>
        <w:t xml:space="preserve">he answered </w:t>
      </w:r>
      <w:r>
        <w:rPr>
          <w:lang w:val="en-CA"/>
        </w:rPr>
        <w:t xml:space="preserve">the questions </w:t>
      </w:r>
      <w:r w:rsidR="000821D4">
        <w:rPr>
          <w:lang w:val="en-CA"/>
        </w:rPr>
        <w:t xml:space="preserve">put to him </w:t>
      </w:r>
      <w:r>
        <w:rPr>
          <w:lang w:val="en-CA"/>
        </w:rPr>
        <w:t>previously.</w:t>
      </w:r>
      <w:r>
        <w:rPr>
          <w:rStyle w:val="Appelnotedebasdep"/>
          <w:lang w:val="en-CA"/>
        </w:rPr>
        <w:footnoteReference w:id="45"/>
      </w:r>
    </w:p>
    <w:p w14:paraId="1945C622" w14:textId="438ED725" w:rsidR="009B4CAB" w:rsidRPr="004A360E" w:rsidRDefault="00F06516" w:rsidP="008D4963">
      <w:pPr>
        <w:pStyle w:val="Paragraphe"/>
        <w:rPr>
          <w:lang w:val="en-US"/>
        </w:rPr>
      </w:pPr>
      <w:r>
        <w:rPr>
          <w:lang w:val="en-CA"/>
        </w:rPr>
        <w:lastRenderedPageBreak/>
        <w:t>The complainants and their mother were re-examined on November 12, 2020, and denied that the</w:t>
      </w:r>
      <w:r w:rsidR="000E1FD9">
        <w:rPr>
          <w:lang w:val="en-CA"/>
        </w:rPr>
        <w:t>y had been motivated by the</w:t>
      </w:r>
      <w:r>
        <w:rPr>
          <w:lang w:val="en-CA"/>
        </w:rPr>
        <w:t xml:space="preserve"> conflict in question.</w:t>
      </w:r>
    </w:p>
    <w:p w14:paraId="1CA03EF7" w14:textId="70AA506E" w:rsidR="00A02184" w:rsidRPr="004A360E" w:rsidRDefault="00F06516" w:rsidP="004A6C28">
      <w:pPr>
        <w:pStyle w:val="Paragraphe"/>
        <w:rPr>
          <w:lang w:val="en-US"/>
        </w:rPr>
      </w:pPr>
      <w:r>
        <w:rPr>
          <w:lang w:val="en-CA"/>
        </w:rPr>
        <w:t xml:space="preserve">As </w:t>
      </w:r>
      <w:r w:rsidR="000E1FD9">
        <w:rPr>
          <w:lang w:val="en-CA"/>
        </w:rPr>
        <w:t>discussed</w:t>
      </w:r>
      <w:r w:rsidR="00FF2496">
        <w:rPr>
          <w:lang w:val="en-CA"/>
        </w:rPr>
        <w:t xml:space="preserve"> above</w:t>
      </w:r>
      <w:r>
        <w:rPr>
          <w:lang w:val="en-CA"/>
        </w:rPr>
        <w:t xml:space="preserve">, the appellant’s counsel did not </w:t>
      </w:r>
      <w:r w:rsidR="00F4355F">
        <w:rPr>
          <w:lang w:val="en-CA"/>
        </w:rPr>
        <w:t>argue</w:t>
      </w:r>
      <w:r>
        <w:rPr>
          <w:lang w:val="en-CA"/>
        </w:rPr>
        <w:t xml:space="preserve"> the conspiracy theory </w:t>
      </w:r>
      <w:r w:rsidR="00F4355F">
        <w:rPr>
          <w:lang w:val="en-CA"/>
        </w:rPr>
        <w:t>in</w:t>
      </w:r>
      <w:r w:rsidR="00FF2496">
        <w:rPr>
          <w:lang w:val="en-CA"/>
        </w:rPr>
        <w:t xml:space="preserve"> his arguments on the merits</w:t>
      </w:r>
      <w:r>
        <w:rPr>
          <w:lang w:val="en-CA"/>
        </w:rPr>
        <w:t>. This is what the appellant is now criticizing him for.</w:t>
      </w:r>
    </w:p>
    <w:p w14:paraId="3149BAAE" w14:textId="3C3A5A1A" w:rsidR="00D11525" w:rsidRPr="004A360E" w:rsidRDefault="00F06516" w:rsidP="00DB120B">
      <w:pPr>
        <w:pStyle w:val="Paragraphe"/>
        <w:rPr>
          <w:lang w:val="en-US"/>
        </w:rPr>
      </w:pPr>
      <w:r>
        <w:rPr>
          <w:lang w:val="en-CA"/>
        </w:rPr>
        <w:t xml:space="preserve">In the sworn statement that he </w:t>
      </w:r>
      <w:r w:rsidR="00A55F51">
        <w:rPr>
          <w:lang w:val="en-CA"/>
        </w:rPr>
        <w:t xml:space="preserve">filed </w:t>
      </w:r>
      <w:r>
        <w:rPr>
          <w:lang w:val="en-CA"/>
        </w:rPr>
        <w:t>in response to the appellant’s allegations of ineffective assistance, the appellant’s former counsel, who is no longer bound by solicitor-client privilege, explains that he had initially persuaded his client [</w:t>
      </w:r>
      <w:r w:rsidR="00A55F51" w:rsidRPr="009D6270">
        <w:rPr>
          <w:smallCaps/>
          <w:lang w:val="en-CA"/>
        </w:rPr>
        <w:t>translation</w:t>
      </w:r>
      <w:r>
        <w:rPr>
          <w:lang w:val="en-CA"/>
        </w:rPr>
        <w:t>] “not to claim at the trial that the complainants’ complaint and their mother’s testimony stemmed from the appellant</w:t>
      </w:r>
      <w:r w:rsidR="00A55F51">
        <w:rPr>
          <w:lang w:val="en-CA"/>
        </w:rPr>
        <w:t>’s unwillingness</w:t>
      </w:r>
      <w:r>
        <w:rPr>
          <w:lang w:val="en-CA"/>
        </w:rPr>
        <w:t xml:space="preserve"> to share the </w:t>
      </w:r>
      <w:r w:rsidR="00A55F51">
        <w:rPr>
          <w:lang w:val="en-CA"/>
        </w:rPr>
        <w:t>proceeds of</w:t>
      </w:r>
      <w:r>
        <w:rPr>
          <w:lang w:val="en-CA"/>
        </w:rPr>
        <w:t xml:space="preserve"> the sale of the family residence and from the resulting civil dispute”.</w:t>
      </w:r>
      <w:r>
        <w:rPr>
          <w:rStyle w:val="Appelnotedebasdep"/>
          <w:lang w:val="en-CA"/>
        </w:rPr>
        <w:footnoteReference w:id="46"/>
      </w:r>
      <w:r>
        <w:rPr>
          <w:lang w:val="en-CA"/>
        </w:rPr>
        <w:t> During his cross-examination on July</w:t>
      </w:r>
      <w:r w:rsidR="00F4355F">
        <w:rPr>
          <w:lang w:val="en-CA"/>
        </w:rPr>
        <w:t> </w:t>
      </w:r>
      <w:r>
        <w:rPr>
          <w:lang w:val="en-CA"/>
        </w:rPr>
        <w:t>8,</w:t>
      </w:r>
      <w:r w:rsidR="00F4355F">
        <w:rPr>
          <w:lang w:val="en-CA"/>
        </w:rPr>
        <w:t> </w:t>
      </w:r>
      <w:r>
        <w:rPr>
          <w:lang w:val="en-CA"/>
        </w:rPr>
        <w:t>2022, however, he acknowledged that the appellant was [</w:t>
      </w:r>
      <w:r w:rsidR="00A55F51" w:rsidRPr="009D6270">
        <w:rPr>
          <w:smallCaps/>
          <w:lang w:val="en-CA"/>
        </w:rPr>
        <w:t>translation</w:t>
      </w:r>
      <w:r>
        <w:rPr>
          <w:lang w:val="en-CA"/>
        </w:rPr>
        <w:t>] “livid”</w:t>
      </w:r>
      <w:r>
        <w:rPr>
          <w:rStyle w:val="Appelnotedebasdep"/>
          <w:lang w:val="en-CA"/>
        </w:rPr>
        <w:footnoteReference w:id="47"/>
      </w:r>
      <w:r>
        <w:rPr>
          <w:lang w:val="en-CA"/>
        </w:rPr>
        <w:t xml:space="preserve"> </w:t>
      </w:r>
      <w:r w:rsidR="00A55F51">
        <w:rPr>
          <w:lang w:val="en-CA"/>
        </w:rPr>
        <w:t>about this</w:t>
      </w:r>
      <w:r>
        <w:rPr>
          <w:lang w:val="en-CA"/>
        </w:rPr>
        <w:t>, and</w:t>
      </w:r>
      <w:r w:rsidR="00A55F51">
        <w:rPr>
          <w:lang w:val="en-CA"/>
        </w:rPr>
        <w:t xml:space="preserve"> this</w:t>
      </w:r>
      <w:r>
        <w:rPr>
          <w:lang w:val="en-CA"/>
        </w:rPr>
        <w:t xml:space="preserve"> was understood </w:t>
      </w:r>
      <w:r w:rsidR="00A55F51">
        <w:rPr>
          <w:lang w:val="en-CA"/>
        </w:rPr>
        <w:t>to mean</w:t>
      </w:r>
      <w:r>
        <w:rPr>
          <w:lang w:val="en-CA"/>
        </w:rPr>
        <w:t xml:space="preserve"> that his client remained convinced that he was the victim of </w:t>
      </w:r>
      <w:r w:rsidR="00BB1EBC">
        <w:rPr>
          <w:lang w:val="en-CA"/>
        </w:rPr>
        <w:t>revenge by</w:t>
      </w:r>
      <w:r>
        <w:rPr>
          <w:lang w:val="en-CA"/>
        </w:rPr>
        <w:t xml:space="preserve"> the complainants’ mother.</w:t>
      </w:r>
      <w:r>
        <w:rPr>
          <w:rStyle w:val="Appelnotedebasdep"/>
          <w:lang w:val="en-CA"/>
        </w:rPr>
        <w:footnoteReference w:id="48"/>
      </w:r>
      <w:r>
        <w:rPr>
          <w:lang w:val="en-CA"/>
        </w:rPr>
        <w:t xml:space="preserve"> However, even though the appellant did not accept willingly, he and his counsel </w:t>
      </w:r>
      <w:r w:rsidR="00237F74">
        <w:rPr>
          <w:lang w:val="en-CA"/>
        </w:rPr>
        <w:t xml:space="preserve">had </w:t>
      </w:r>
      <w:r>
        <w:rPr>
          <w:lang w:val="en-CA"/>
        </w:rPr>
        <w:t xml:space="preserve">agreed not to raise this issue </w:t>
      </w:r>
      <w:r w:rsidR="00BB1EBC">
        <w:rPr>
          <w:lang w:val="en-CA"/>
        </w:rPr>
        <w:t xml:space="preserve">at </w:t>
      </w:r>
      <w:r>
        <w:rPr>
          <w:lang w:val="en-CA"/>
        </w:rPr>
        <w:t>the trial and not to make it part of the defence’s case. This is what the appellant confirmed during his cross-examination on July 8, 2022.</w:t>
      </w:r>
      <w:r>
        <w:rPr>
          <w:rStyle w:val="Appelnotedebasdep"/>
          <w:lang w:val="en-CA"/>
        </w:rPr>
        <w:footnoteReference w:id="49"/>
      </w:r>
    </w:p>
    <w:p w14:paraId="7796E3E5" w14:textId="12B2AF94" w:rsidR="00204BA1" w:rsidRPr="009D6270" w:rsidRDefault="00F06516" w:rsidP="00DB120B">
      <w:pPr>
        <w:pStyle w:val="Paragraphe"/>
      </w:pPr>
      <w:r>
        <w:rPr>
          <w:lang w:val="en-CA"/>
        </w:rPr>
        <w:t xml:space="preserve">This is why counsel was surprised that the appellant, during his </w:t>
      </w:r>
      <w:r w:rsidR="00BB1EBC">
        <w:rPr>
          <w:lang w:val="en-CA"/>
        </w:rPr>
        <w:t>examination</w:t>
      </w:r>
      <w:r>
        <w:rPr>
          <w:lang w:val="en-CA"/>
        </w:rPr>
        <w:t xml:space="preserve">-in-chief at the trial, addressed the dispute with his </w:t>
      </w:r>
      <w:r w:rsidR="00CA232A">
        <w:rPr>
          <w:lang w:val="en-CA"/>
        </w:rPr>
        <w:t xml:space="preserve">former </w:t>
      </w:r>
      <w:r w:rsidR="00D018EE">
        <w:rPr>
          <w:lang w:val="en-CA"/>
        </w:rPr>
        <w:t>spouse from</w:t>
      </w:r>
      <w:r>
        <w:rPr>
          <w:lang w:val="en-CA"/>
        </w:rPr>
        <w:t xml:space="preserve"> this </w:t>
      </w:r>
      <w:r w:rsidR="00237F74">
        <w:rPr>
          <w:lang w:val="en-CA"/>
        </w:rPr>
        <w:t>angle</w:t>
      </w:r>
      <w:r>
        <w:rPr>
          <w:lang w:val="en-CA"/>
        </w:rPr>
        <w:t xml:space="preserve">, </w:t>
      </w:r>
      <w:r w:rsidR="001D6122">
        <w:rPr>
          <w:lang w:val="en-CA"/>
        </w:rPr>
        <w:t>since the</w:t>
      </w:r>
      <w:r>
        <w:rPr>
          <w:lang w:val="en-CA"/>
        </w:rPr>
        <w:t xml:space="preserve"> questions </w:t>
      </w:r>
      <w:r w:rsidR="001D6122">
        <w:rPr>
          <w:lang w:val="en-CA"/>
        </w:rPr>
        <w:t xml:space="preserve">he asked him </w:t>
      </w:r>
      <w:r>
        <w:rPr>
          <w:lang w:val="en-CA"/>
        </w:rPr>
        <w:t xml:space="preserve">on the subject </w:t>
      </w:r>
      <w:r w:rsidR="001D6122">
        <w:rPr>
          <w:lang w:val="en-CA"/>
        </w:rPr>
        <w:t>were not heading in that direction</w:t>
      </w:r>
      <w:r>
        <w:rPr>
          <w:lang w:val="en-CA"/>
        </w:rPr>
        <w:t>. He wrote the following in his sworn statement:</w:t>
      </w:r>
    </w:p>
    <w:p w14:paraId="66DE6264" w14:textId="6BDDC813" w:rsidR="001D6122" w:rsidRPr="00941800" w:rsidRDefault="001D6122" w:rsidP="00EE4747">
      <w:pPr>
        <w:pStyle w:val="Paragraphe"/>
        <w:numPr>
          <w:ilvl w:val="0"/>
          <w:numId w:val="0"/>
        </w:numPr>
        <w:ind w:left="709"/>
      </w:pPr>
      <w:r>
        <w:rPr>
          <w:lang w:val="en-CA"/>
        </w:rPr>
        <w:t>[</w:t>
      </w:r>
      <w:r w:rsidRPr="009D6270">
        <w:rPr>
          <w:smallCaps/>
          <w:lang w:val="en-CA"/>
        </w:rPr>
        <w:t>translation</w:t>
      </w:r>
      <w:r>
        <w:rPr>
          <w:lang w:val="en-CA"/>
        </w:rPr>
        <w:t>]</w:t>
      </w:r>
    </w:p>
    <w:p w14:paraId="7761698D" w14:textId="5F542627" w:rsidR="002703A7" w:rsidRPr="004A360E" w:rsidRDefault="00F06516" w:rsidP="00204BA1">
      <w:pPr>
        <w:pStyle w:val="Citationenretrait"/>
        <w:rPr>
          <w:lang w:val="en-US"/>
        </w:rPr>
      </w:pPr>
      <w:r>
        <w:rPr>
          <w:lang w:val="en-CA"/>
        </w:rPr>
        <w:t>71.</w:t>
      </w:r>
      <w:r>
        <w:rPr>
          <w:lang w:val="en-CA"/>
        </w:rPr>
        <w:tab/>
        <w:t xml:space="preserve">In doing so, I did not expect the appellant to make a connection between the financial conflict and the charges filed against him when, at the end of his </w:t>
      </w:r>
      <w:r w:rsidR="001D6122">
        <w:rPr>
          <w:lang w:val="en-CA"/>
        </w:rPr>
        <w:t>examination</w:t>
      </w:r>
      <w:r>
        <w:rPr>
          <w:lang w:val="en-CA"/>
        </w:rPr>
        <w:t xml:space="preserve">-in-chief, </w:t>
      </w:r>
      <w:r w:rsidR="00EE4747">
        <w:rPr>
          <w:lang w:val="en-CA"/>
        </w:rPr>
        <w:t xml:space="preserve">I questioned him </w:t>
      </w:r>
      <w:r>
        <w:rPr>
          <w:lang w:val="en-CA"/>
        </w:rPr>
        <w:t>about his relationship with the complainants after 2010;</w:t>
      </w:r>
    </w:p>
    <w:p w14:paraId="05B4268D" w14:textId="563008D1" w:rsidR="002703A7" w:rsidRPr="004A360E" w:rsidRDefault="00F06516" w:rsidP="00204BA1">
      <w:pPr>
        <w:pStyle w:val="Citationenretrait"/>
        <w:rPr>
          <w:lang w:val="en-US"/>
        </w:rPr>
      </w:pPr>
      <w:r>
        <w:rPr>
          <w:lang w:val="en-CA"/>
        </w:rPr>
        <w:t>72.</w:t>
      </w:r>
      <w:r>
        <w:rPr>
          <w:lang w:val="en-CA"/>
        </w:rPr>
        <w:tab/>
        <w:t xml:space="preserve">At </w:t>
      </w:r>
      <w:r w:rsidR="001D6122">
        <w:rPr>
          <w:lang w:val="en-CA"/>
        </w:rPr>
        <w:t>that point in the examination</w:t>
      </w:r>
      <w:r>
        <w:rPr>
          <w:lang w:val="en-CA"/>
        </w:rPr>
        <w:t xml:space="preserve">-in-chief, my questions were aimed at establishing the context of the relationships between the appellant, the complainants and their mother, up until </w:t>
      </w:r>
      <w:r w:rsidR="001D6122">
        <w:rPr>
          <w:lang w:val="en-CA"/>
        </w:rPr>
        <w:t xml:space="preserve">the </w:t>
      </w:r>
      <w:r>
        <w:rPr>
          <w:lang w:val="en-CA"/>
        </w:rPr>
        <w:t>charges were filed;</w:t>
      </w:r>
    </w:p>
    <w:p w14:paraId="4DF9DE33" w14:textId="1080F236" w:rsidR="00C84094" w:rsidRPr="004A360E" w:rsidRDefault="00F06516" w:rsidP="002703A7">
      <w:pPr>
        <w:pStyle w:val="Paragraphe"/>
        <w:rPr>
          <w:lang w:val="en-US"/>
        </w:rPr>
      </w:pPr>
      <w:r>
        <w:rPr>
          <w:lang w:val="en-CA"/>
        </w:rPr>
        <w:lastRenderedPageBreak/>
        <w:t xml:space="preserve">As </w:t>
      </w:r>
      <w:r w:rsidR="00EE4747">
        <w:rPr>
          <w:lang w:val="en-CA"/>
        </w:rPr>
        <w:t>discussed</w:t>
      </w:r>
      <w:r>
        <w:rPr>
          <w:lang w:val="en-CA"/>
        </w:rPr>
        <w:t xml:space="preserve"> above, the appellant’s </w:t>
      </w:r>
      <w:r w:rsidR="001D6122">
        <w:rPr>
          <w:lang w:val="en-CA"/>
        </w:rPr>
        <w:t xml:space="preserve">answers </w:t>
      </w:r>
      <w:r>
        <w:rPr>
          <w:lang w:val="en-CA"/>
        </w:rPr>
        <w:t>led to a cross-examination (</w:t>
      </w:r>
      <w:r w:rsidR="001D6122">
        <w:rPr>
          <w:lang w:val="en-CA"/>
        </w:rPr>
        <w:t xml:space="preserve">on </w:t>
      </w:r>
      <w:r>
        <w:rPr>
          <w:lang w:val="en-CA"/>
        </w:rPr>
        <w:t>October 2, 2020) during which he clearly stated the connection</w:t>
      </w:r>
      <w:r w:rsidR="001D6122">
        <w:rPr>
          <w:lang w:val="en-CA"/>
        </w:rPr>
        <w:t xml:space="preserve"> he felt existed</w:t>
      </w:r>
      <w:r>
        <w:rPr>
          <w:lang w:val="en-CA"/>
        </w:rPr>
        <w:t xml:space="preserve"> between the dispute between him and his </w:t>
      </w:r>
      <w:r w:rsidR="001D6122">
        <w:rPr>
          <w:lang w:val="en-CA"/>
        </w:rPr>
        <w:t xml:space="preserve">former </w:t>
      </w:r>
      <w:r w:rsidR="00DF7FC6">
        <w:rPr>
          <w:lang w:val="en-CA"/>
        </w:rPr>
        <w:t>spouse</w:t>
      </w:r>
      <w:r>
        <w:rPr>
          <w:lang w:val="en-CA"/>
        </w:rPr>
        <w:t xml:space="preserve"> and the complaints filed by her daughters.</w:t>
      </w:r>
    </w:p>
    <w:p w14:paraId="5CD35E30" w14:textId="734497FC" w:rsidR="007A52CC" w:rsidRPr="009D6270" w:rsidRDefault="00F33D28" w:rsidP="00DB120B">
      <w:pPr>
        <w:pStyle w:val="Paragraphe"/>
      </w:pPr>
      <w:r>
        <w:rPr>
          <w:lang w:val="en-CA"/>
        </w:rPr>
        <w:t xml:space="preserve">When counsel noted </w:t>
      </w:r>
      <w:r w:rsidR="00F06516">
        <w:rPr>
          <w:lang w:val="en-CA"/>
        </w:rPr>
        <w:t xml:space="preserve">that the appellant had deviated from the strategy they had originally agreed on and was at risk of damaging his case by </w:t>
      </w:r>
      <w:r w:rsidR="00F54EA4">
        <w:rPr>
          <w:lang w:val="en-CA"/>
        </w:rPr>
        <w:t>asserting a thesis</w:t>
      </w:r>
      <w:r w:rsidR="00F06516">
        <w:rPr>
          <w:lang w:val="en-CA"/>
        </w:rPr>
        <w:t xml:space="preserve"> that he, for his part, considered ill-advised, </w:t>
      </w:r>
      <w:r>
        <w:rPr>
          <w:lang w:val="en-CA"/>
        </w:rPr>
        <w:t xml:space="preserve">he </w:t>
      </w:r>
      <w:r w:rsidR="00F06516">
        <w:rPr>
          <w:lang w:val="en-CA"/>
        </w:rPr>
        <w:t>discussed the issue again to confirm the original strategy. With his client’s approval, counsel tried, on October 16, 2020, and again thereafter, to undo the damage, as it were, by avoiding [</w:t>
      </w:r>
      <w:r w:rsidR="0042521B" w:rsidRPr="009D6270">
        <w:rPr>
          <w:smallCaps/>
          <w:lang w:val="en-CA"/>
        </w:rPr>
        <w:t>translation</w:t>
      </w:r>
      <w:r w:rsidR="00F06516">
        <w:rPr>
          <w:lang w:val="en-CA"/>
        </w:rPr>
        <w:t>] “adopting a position that was radically different from the appellant’s position during his testimony while also trying to mitigate his comments”.</w:t>
      </w:r>
      <w:r w:rsidR="00F06516">
        <w:rPr>
          <w:rStyle w:val="Appelnotedebasdep"/>
          <w:lang w:val="en-CA"/>
        </w:rPr>
        <w:footnoteReference w:id="50"/>
      </w:r>
      <w:r w:rsidR="00F06516">
        <w:rPr>
          <w:lang w:val="en-CA"/>
        </w:rPr>
        <w:t xml:space="preserve"> Counsel added (</w:t>
      </w:r>
      <w:r w:rsidR="00BF2785">
        <w:rPr>
          <w:lang w:val="en-CA"/>
        </w:rPr>
        <w:t xml:space="preserve">again </w:t>
      </w:r>
      <w:r w:rsidR="00F06516">
        <w:rPr>
          <w:lang w:val="en-CA"/>
        </w:rPr>
        <w:t xml:space="preserve">in his sworn statement </w:t>
      </w:r>
      <w:r w:rsidR="00BF2785">
        <w:rPr>
          <w:lang w:val="en-CA"/>
        </w:rPr>
        <w:t xml:space="preserve">dated </w:t>
      </w:r>
      <w:r w:rsidR="00F06516">
        <w:rPr>
          <w:lang w:val="en-CA"/>
        </w:rPr>
        <w:t>May 11, 2022):</w:t>
      </w:r>
    </w:p>
    <w:p w14:paraId="7BEADACA" w14:textId="3BE71D1C" w:rsidR="00BF2785" w:rsidRPr="00941800" w:rsidRDefault="00BF2785" w:rsidP="002A446C">
      <w:pPr>
        <w:pStyle w:val="Paragraphe"/>
        <w:numPr>
          <w:ilvl w:val="0"/>
          <w:numId w:val="0"/>
        </w:numPr>
        <w:ind w:left="709"/>
      </w:pPr>
      <w:r>
        <w:rPr>
          <w:lang w:val="en-CA"/>
        </w:rPr>
        <w:t>[</w:t>
      </w:r>
      <w:r w:rsidRPr="009D6270">
        <w:rPr>
          <w:smallCaps/>
          <w:lang w:val="en-CA"/>
        </w:rPr>
        <w:t>translation</w:t>
      </w:r>
      <w:r>
        <w:rPr>
          <w:lang w:val="en-CA"/>
        </w:rPr>
        <w:t>]</w:t>
      </w:r>
    </w:p>
    <w:p w14:paraId="11ED96BF" w14:textId="7D8B357F" w:rsidR="00FF2B6A" w:rsidRPr="004A360E" w:rsidRDefault="00F06516" w:rsidP="00FF2B6A">
      <w:pPr>
        <w:pStyle w:val="Citationenretrait"/>
        <w:rPr>
          <w:lang w:val="en-US"/>
        </w:rPr>
      </w:pPr>
      <w:r>
        <w:rPr>
          <w:lang w:val="en-CA"/>
        </w:rPr>
        <w:t>81.</w:t>
      </w:r>
      <w:r>
        <w:rPr>
          <w:lang w:val="en-CA"/>
        </w:rPr>
        <w:tab/>
        <w:t xml:space="preserve">In doing so, </w:t>
      </w:r>
      <w:r w:rsidR="003D347A">
        <w:rPr>
          <w:lang w:val="en-CA"/>
        </w:rPr>
        <w:t>it</w:t>
      </w:r>
      <w:r w:rsidR="00BF2785">
        <w:rPr>
          <w:lang w:val="en-CA"/>
        </w:rPr>
        <w:t xml:space="preserve"> was wrong of </w:t>
      </w:r>
      <w:r>
        <w:rPr>
          <w:lang w:val="en-CA"/>
        </w:rPr>
        <w:t xml:space="preserve">the appellant in paragraph 42 of his brief, </w:t>
      </w:r>
      <w:r w:rsidR="002A446C">
        <w:rPr>
          <w:lang w:val="en-CA"/>
        </w:rPr>
        <w:t>to criticize me for</w:t>
      </w:r>
      <w:r>
        <w:rPr>
          <w:lang w:val="en-CA"/>
        </w:rPr>
        <w:t xml:space="preserve"> not follow</w:t>
      </w:r>
      <w:r w:rsidR="002A446C">
        <w:rPr>
          <w:lang w:val="en-CA"/>
        </w:rPr>
        <w:t xml:space="preserve">ing, </w:t>
      </w:r>
      <w:r w:rsidR="00BF2785">
        <w:rPr>
          <w:lang w:val="en-CA"/>
        </w:rPr>
        <w:t>[</w:t>
      </w:r>
      <w:r w:rsidR="00BF2785" w:rsidRPr="009D6270">
        <w:rPr>
          <w:smallCaps/>
          <w:lang w:val="en-CA"/>
        </w:rPr>
        <w:t>translation</w:t>
      </w:r>
      <w:r w:rsidR="00BF2785">
        <w:rPr>
          <w:lang w:val="en-CA"/>
        </w:rPr>
        <w:t xml:space="preserve">] </w:t>
      </w:r>
      <w:r>
        <w:rPr>
          <w:lang w:val="en-CA"/>
        </w:rPr>
        <w:t>“</w:t>
      </w:r>
      <w:r w:rsidR="00BF2785">
        <w:rPr>
          <w:lang w:val="en-CA"/>
        </w:rPr>
        <w:t xml:space="preserve">his </w:t>
      </w:r>
      <w:r w:rsidR="002A446C">
        <w:rPr>
          <w:lang w:val="en-CA"/>
        </w:rPr>
        <w:t>client’s position</w:t>
      </w:r>
      <w:r>
        <w:rPr>
          <w:lang w:val="en-CA"/>
        </w:rPr>
        <w:t xml:space="preserve"> and line of defence”</w:t>
      </w:r>
      <w:r w:rsidR="00BF2785">
        <w:rPr>
          <w:lang w:val="en-CA"/>
        </w:rPr>
        <w:t xml:space="preserve"> to use his words,</w:t>
      </w:r>
      <w:r>
        <w:rPr>
          <w:lang w:val="en-CA"/>
        </w:rPr>
        <w:t xml:space="preserve">. As </w:t>
      </w:r>
      <w:r w:rsidR="00BF2785" w:rsidRPr="009D6270">
        <w:rPr>
          <w:rFonts w:cs="Arial"/>
          <w:lang w:val="en-CA"/>
        </w:rPr>
        <w:t>stated earlier</w:t>
      </w:r>
      <w:r w:rsidRPr="00BF2785">
        <w:rPr>
          <w:rFonts w:cs="Arial"/>
          <w:lang w:val="en-CA"/>
        </w:rPr>
        <w:t>,</w:t>
      </w:r>
      <w:r>
        <w:rPr>
          <w:lang w:val="en-CA"/>
        </w:rPr>
        <w:t xml:space="preserve"> the appellant had agreed not to say that the charges were filed as a result of the financial conflict, and that’s why I did not cross-examine the complainants or their mother on this </w:t>
      </w:r>
      <w:r w:rsidR="00BF2785">
        <w:rPr>
          <w:lang w:val="en-CA"/>
        </w:rPr>
        <w:t>point</w:t>
      </w:r>
      <w:r>
        <w:rPr>
          <w:lang w:val="en-CA"/>
        </w:rPr>
        <w:t>.</w:t>
      </w:r>
    </w:p>
    <w:p w14:paraId="5C8DBFBB" w14:textId="403F9438" w:rsidR="00FF2B6A" w:rsidRPr="004A360E" w:rsidRDefault="00F06516" w:rsidP="00FF2B6A">
      <w:pPr>
        <w:pStyle w:val="Citationenretrait"/>
        <w:rPr>
          <w:lang w:val="en-US"/>
        </w:rPr>
      </w:pPr>
      <w:r>
        <w:rPr>
          <w:lang w:val="en-CA"/>
        </w:rPr>
        <w:t>82.</w:t>
      </w:r>
      <w:r>
        <w:rPr>
          <w:lang w:val="en-CA"/>
        </w:rPr>
        <w:tab/>
        <w:t>By adopting a position during his testimony contrary to what had been discussed without informing me beforehand, the appellant put himself, all on his own, in a position that greatly affect</w:t>
      </w:r>
      <w:r w:rsidR="002A446C">
        <w:rPr>
          <w:lang w:val="en-CA"/>
        </w:rPr>
        <w:t>ed</w:t>
      </w:r>
      <w:r>
        <w:rPr>
          <w:lang w:val="en-CA"/>
        </w:rPr>
        <w:t xml:space="preserve"> his credibility.</w:t>
      </w:r>
    </w:p>
    <w:p w14:paraId="4D982D95" w14:textId="136EF50B" w:rsidR="00FF2B6A" w:rsidRPr="004A360E" w:rsidRDefault="00F06516" w:rsidP="00DB120B">
      <w:pPr>
        <w:pStyle w:val="Paragraphe"/>
        <w:rPr>
          <w:lang w:val="en-US"/>
        </w:rPr>
      </w:pPr>
      <w:r>
        <w:rPr>
          <w:lang w:val="en-CA"/>
        </w:rPr>
        <w:t xml:space="preserve">Counsel essentially </w:t>
      </w:r>
      <w:r w:rsidR="00615FEC">
        <w:rPr>
          <w:lang w:val="en-CA"/>
        </w:rPr>
        <w:t xml:space="preserve">maintained </w:t>
      </w:r>
      <w:r>
        <w:rPr>
          <w:lang w:val="en-CA"/>
        </w:rPr>
        <w:t>this narrative when cross-examined on this point, quite briefly, it should be noted, by the appellant’s new counsel.</w:t>
      </w:r>
    </w:p>
    <w:p w14:paraId="3A670FA0" w14:textId="3C892413" w:rsidR="000D029C" w:rsidRPr="004A360E" w:rsidRDefault="00F06516" w:rsidP="00DB120B">
      <w:pPr>
        <w:pStyle w:val="Paragraphe"/>
        <w:rPr>
          <w:lang w:val="en-US"/>
        </w:rPr>
      </w:pPr>
      <w:r>
        <w:rPr>
          <w:lang w:val="en-CA"/>
        </w:rPr>
        <w:t>What can be concluded from all this?</w:t>
      </w:r>
    </w:p>
    <w:p w14:paraId="06E16EEA" w14:textId="3839A8CC" w:rsidR="00892CBB" w:rsidRPr="004A360E" w:rsidRDefault="00F06516" w:rsidP="00DB120B">
      <w:pPr>
        <w:pStyle w:val="Paragraphe"/>
        <w:rPr>
          <w:lang w:val="en-US"/>
        </w:rPr>
      </w:pPr>
      <w:r>
        <w:rPr>
          <w:lang w:val="en-CA"/>
        </w:rPr>
        <w:t xml:space="preserve">First, it is clear based on the </w:t>
      </w:r>
      <w:r w:rsidR="00615FEC">
        <w:rPr>
          <w:lang w:val="en-CA"/>
        </w:rPr>
        <w:t xml:space="preserve">fresh </w:t>
      </w:r>
      <w:r>
        <w:rPr>
          <w:lang w:val="en-CA"/>
        </w:rPr>
        <w:t xml:space="preserve">evidence that counsel and his client had agreed not to </w:t>
      </w:r>
      <w:r w:rsidR="00615FEC">
        <w:rPr>
          <w:lang w:val="en-CA"/>
        </w:rPr>
        <w:t xml:space="preserve">raise </w:t>
      </w:r>
      <w:r>
        <w:rPr>
          <w:lang w:val="en-CA"/>
        </w:rPr>
        <w:t xml:space="preserve">the dispute between </w:t>
      </w:r>
      <w:r w:rsidR="00615FEC">
        <w:rPr>
          <w:lang w:val="en-CA"/>
        </w:rPr>
        <w:t xml:space="preserve">the client </w:t>
      </w:r>
      <w:r>
        <w:rPr>
          <w:lang w:val="en-CA"/>
        </w:rPr>
        <w:t xml:space="preserve">and the complainants’ mother and, certainly, not to </w:t>
      </w:r>
      <w:r w:rsidR="00615FEC">
        <w:rPr>
          <w:lang w:val="en-CA"/>
        </w:rPr>
        <w:t>make it</w:t>
      </w:r>
      <w:r>
        <w:rPr>
          <w:lang w:val="en-CA"/>
        </w:rPr>
        <w:t xml:space="preserve"> the reason for the criminal complaints. We also know that the appellant remained convinced that this was</w:t>
      </w:r>
      <w:r w:rsidR="004522A7">
        <w:rPr>
          <w:lang w:val="en-CA"/>
        </w:rPr>
        <w:t xml:space="preserve"> in fact</w:t>
      </w:r>
      <w:r>
        <w:rPr>
          <w:lang w:val="en-CA"/>
        </w:rPr>
        <w:t xml:space="preserve"> the case. In this context, the questions that his former counsel asked during his </w:t>
      </w:r>
      <w:r w:rsidR="004522A7">
        <w:rPr>
          <w:lang w:val="en-CA"/>
        </w:rPr>
        <w:t>examination</w:t>
      </w:r>
      <w:r>
        <w:rPr>
          <w:lang w:val="en-CA"/>
        </w:rPr>
        <w:t xml:space="preserve">-in-chief </w:t>
      </w:r>
      <w:r w:rsidR="002A446C">
        <w:rPr>
          <w:lang w:val="en-CA"/>
        </w:rPr>
        <w:t>may</w:t>
      </w:r>
      <w:r>
        <w:rPr>
          <w:lang w:val="en-CA"/>
        </w:rPr>
        <w:t xml:space="preserve"> be </w:t>
      </w:r>
      <w:r w:rsidR="002A446C">
        <w:rPr>
          <w:lang w:val="en-CA"/>
        </w:rPr>
        <w:t xml:space="preserve">found to be </w:t>
      </w:r>
      <w:r>
        <w:rPr>
          <w:lang w:val="en-CA"/>
        </w:rPr>
        <w:t xml:space="preserve">clumsy. On the other hand, it is true that it was not counsel who brought it up, but rather the appellant who, in response to a general question about his previous </w:t>
      </w:r>
      <w:r w:rsidR="004522A7">
        <w:rPr>
          <w:lang w:val="en-CA"/>
        </w:rPr>
        <w:t>interactions</w:t>
      </w:r>
      <w:r>
        <w:rPr>
          <w:lang w:val="en-CA"/>
        </w:rPr>
        <w:t xml:space="preserve"> with the complainants ([</w:t>
      </w:r>
      <w:r w:rsidR="004522A7" w:rsidRPr="009D6270">
        <w:rPr>
          <w:smallCaps/>
          <w:lang w:val="en-CA"/>
        </w:rPr>
        <w:t>translation</w:t>
      </w:r>
      <w:r>
        <w:rPr>
          <w:lang w:val="en-CA"/>
        </w:rPr>
        <w:t>] “But how was it going with the girls?”</w:t>
      </w:r>
      <w:r>
        <w:rPr>
          <w:rStyle w:val="Appelnotedebasdep"/>
          <w:lang w:val="en-CA"/>
        </w:rPr>
        <w:footnoteReference w:id="51"/>
      </w:r>
      <w:r>
        <w:rPr>
          <w:lang w:val="en-CA"/>
        </w:rPr>
        <w:t xml:space="preserve">), </w:t>
      </w:r>
      <w:r w:rsidR="004522A7">
        <w:rPr>
          <w:lang w:val="en-CA"/>
        </w:rPr>
        <w:t>first stated</w:t>
      </w:r>
      <w:r>
        <w:rPr>
          <w:lang w:val="en-CA"/>
        </w:rPr>
        <w:t xml:space="preserve"> that everything was fine, but added, “[w]hen I refused to give the money to her mother…” (</w:t>
      </w:r>
      <w:r w:rsidR="00156E7B">
        <w:rPr>
          <w:lang w:val="en-CA"/>
        </w:rPr>
        <w:t xml:space="preserve">the implication being </w:t>
      </w:r>
      <w:r>
        <w:rPr>
          <w:lang w:val="en-CA"/>
        </w:rPr>
        <w:t xml:space="preserve">that things then went </w:t>
      </w:r>
      <w:r w:rsidR="00156E7B">
        <w:rPr>
          <w:lang w:val="en-CA"/>
        </w:rPr>
        <w:t>wrong</w:t>
      </w:r>
      <w:r>
        <w:rPr>
          <w:lang w:val="en-CA"/>
        </w:rPr>
        <w:t xml:space="preserve">). These words triggered a series of rather </w:t>
      </w:r>
      <w:r>
        <w:rPr>
          <w:lang w:val="en-CA"/>
        </w:rPr>
        <w:lastRenderedPageBreak/>
        <w:t xml:space="preserve">vague questions about his financial dispute with his </w:t>
      </w:r>
      <w:r w:rsidR="00156E7B">
        <w:rPr>
          <w:lang w:val="en-CA"/>
        </w:rPr>
        <w:t xml:space="preserve">former </w:t>
      </w:r>
      <w:r w:rsidR="00DF7FC6">
        <w:rPr>
          <w:lang w:val="en-CA"/>
        </w:rPr>
        <w:t xml:space="preserve">spouse </w:t>
      </w:r>
      <w:r>
        <w:rPr>
          <w:lang w:val="en-CA"/>
        </w:rPr>
        <w:t>and answers that made it clear that this was, in fact, the underlying reason for the complaints against him.</w:t>
      </w:r>
    </w:p>
    <w:p w14:paraId="2B5BBA1A" w14:textId="28666EC4" w:rsidR="003F4B39" w:rsidRPr="004A360E" w:rsidRDefault="00F06516" w:rsidP="00957CF2">
      <w:pPr>
        <w:pStyle w:val="Paragraphe"/>
        <w:rPr>
          <w:lang w:val="en-US"/>
        </w:rPr>
      </w:pPr>
      <w:r>
        <w:rPr>
          <w:lang w:val="en-CA"/>
        </w:rPr>
        <w:t>It is difficult to understand why counsel, who was aware of the appellant’s thoughts on this subject and knew he was [</w:t>
      </w:r>
      <w:r w:rsidR="00156E7B" w:rsidRPr="009D6270">
        <w:rPr>
          <w:smallCaps/>
          <w:lang w:val="en-CA"/>
        </w:rPr>
        <w:t>translation</w:t>
      </w:r>
      <w:r>
        <w:rPr>
          <w:lang w:val="en-CA"/>
        </w:rPr>
        <w:t xml:space="preserve">] “livid” about it, took the risk of asking him such questions, and thereby giving him the opportunity to vent. </w:t>
      </w:r>
      <w:r w:rsidR="00156E7B">
        <w:rPr>
          <w:lang w:val="en-CA"/>
        </w:rPr>
        <w:t xml:space="preserve">Counsel was surprised </w:t>
      </w:r>
      <w:r>
        <w:rPr>
          <w:lang w:val="en-CA"/>
        </w:rPr>
        <w:t>by the response</w:t>
      </w:r>
      <w:r w:rsidR="001C3431">
        <w:rPr>
          <w:lang w:val="en-CA"/>
        </w:rPr>
        <w:t xml:space="preserve"> but </w:t>
      </w:r>
      <w:r w:rsidR="00722D43">
        <w:rPr>
          <w:lang w:val="en-CA"/>
        </w:rPr>
        <w:t>failed</w:t>
      </w:r>
      <w:r>
        <w:rPr>
          <w:lang w:val="en-CA"/>
        </w:rPr>
        <w:t xml:space="preserve"> to stop the </w:t>
      </w:r>
      <w:r w:rsidR="00F1457C">
        <w:rPr>
          <w:lang w:val="en-CA"/>
        </w:rPr>
        <w:t>spiral</w:t>
      </w:r>
      <w:r>
        <w:rPr>
          <w:lang w:val="en-CA"/>
        </w:rPr>
        <w:t xml:space="preserve"> his client had set in motion by mentioning his refusal to give his </w:t>
      </w:r>
      <w:r w:rsidR="00156E7B">
        <w:rPr>
          <w:lang w:val="en-CA"/>
        </w:rPr>
        <w:t xml:space="preserve">former </w:t>
      </w:r>
      <w:r w:rsidR="00DF7FC6">
        <w:rPr>
          <w:lang w:val="en-CA"/>
        </w:rPr>
        <w:t>spouse</w:t>
      </w:r>
      <w:r>
        <w:rPr>
          <w:lang w:val="en-CA"/>
        </w:rPr>
        <w:t xml:space="preserve"> the money</w:t>
      </w:r>
      <w:r w:rsidR="00F1457C">
        <w:rPr>
          <w:lang w:val="en-CA"/>
        </w:rPr>
        <w:t>,</w:t>
      </w:r>
      <w:r>
        <w:rPr>
          <w:lang w:val="en-CA"/>
        </w:rPr>
        <w:t xml:space="preserve"> and instead, </w:t>
      </w:r>
      <w:r w:rsidR="00F1457C">
        <w:rPr>
          <w:lang w:val="en-CA"/>
        </w:rPr>
        <w:t>his</w:t>
      </w:r>
      <w:r>
        <w:rPr>
          <w:lang w:val="en-CA"/>
        </w:rPr>
        <w:t xml:space="preserve"> questions made his strategic problem worse. This allowed for a cross-examination during which the appellant firmly reiterated this argument, to the dismay of his counsel, who, it </w:t>
      </w:r>
      <w:r w:rsidR="003D347A">
        <w:rPr>
          <w:lang w:val="en-CA"/>
        </w:rPr>
        <w:t>is understood</w:t>
      </w:r>
      <w:r>
        <w:rPr>
          <w:lang w:val="en-CA"/>
        </w:rPr>
        <w:t xml:space="preserve">, would have preferred that his client not go down this path for all the reasons he had explained to him. It must also be acknowledged that the vague explanations he subsequently gave the judge to try and set things right </w:t>
      </w:r>
      <w:r w:rsidR="00B422FF">
        <w:rPr>
          <w:lang w:val="en-CA"/>
        </w:rPr>
        <w:t xml:space="preserve">(particularly during his arguments) </w:t>
      </w:r>
      <w:r>
        <w:rPr>
          <w:lang w:val="en-CA"/>
        </w:rPr>
        <w:t>did not accomplish their goal, which was to tone down the appellant’s</w:t>
      </w:r>
      <w:r w:rsidR="00B422FF">
        <w:rPr>
          <w:lang w:val="en-CA"/>
        </w:rPr>
        <w:t xml:space="preserve"> comments</w:t>
      </w:r>
      <w:r>
        <w:rPr>
          <w:lang w:val="en-CA"/>
        </w:rPr>
        <w:t>.</w:t>
      </w:r>
    </w:p>
    <w:p w14:paraId="64216E2D" w14:textId="504684A0" w:rsidR="00DE38C1" w:rsidRPr="00941800" w:rsidRDefault="00F06516" w:rsidP="00DB120B">
      <w:pPr>
        <w:pStyle w:val="Paragraphe"/>
      </w:pPr>
      <w:r>
        <w:rPr>
          <w:lang w:val="en-CA"/>
        </w:rPr>
        <w:t xml:space="preserve">That said, </w:t>
      </w:r>
      <w:r w:rsidR="00304F00">
        <w:rPr>
          <w:lang w:val="en-CA"/>
        </w:rPr>
        <w:t>is this</w:t>
      </w:r>
      <w:r>
        <w:rPr>
          <w:lang w:val="en-CA"/>
        </w:rPr>
        <w:t xml:space="preserve"> a refusal to follow the client’s instructions</w:t>
      </w:r>
      <w:r w:rsidR="00304F00">
        <w:rPr>
          <w:lang w:val="en-CA"/>
        </w:rPr>
        <w:t xml:space="preserve"> as the appellant claims</w:t>
      </w:r>
      <w:r>
        <w:rPr>
          <w:lang w:val="en-CA"/>
        </w:rPr>
        <w:t xml:space="preserve">? Can it be said that counsel undermined the appellant’s credibility by contradicting him on the conspiracy theory, which he </w:t>
      </w:r>
      <w:r w:rsidR="00304F00">
        <w:rPr>
          <w:lang w:val="en-CA"/>
        </w:rPr>
        <w:t xml:space="preserve">is </w:t>
      </w:r>
      <w:r>
        <w:rPr>
          <w:lang w:val="en-CA"/>
        </w:rPr>
        <w:t>also accused of</w:t>
      </w:r>
      <w:r w:rsidR="00304F00">
        <w:rPr>
          <w:lang w:val="en-CA"/>
        </w:rPr>
        <w:t xml:space="preserve"> doing</w:t>
      </w:r>
      <w:r>
        <w:rPr>
          <w:lang w:val="en-CA"/>
        </w:rPr>
        <w:t>? Are we talking about incompetence or ineffective assistance?</w:t>
      </w:r>
    </w:p>
    <w:p w14:paraId="63FB734A" w14:textId="3C5AD9DF" w:rsidR="00AF71B2" w:rsidRPr="004A360E" w:rsidRDefault="00F06516" w:rsidP="00DB120B">
      <w:pPr>
        <w:pStyle w:val="Paragraphe"/>
        <w:rPr>
          <w:lang w:val="en-US"/>
        </w:rPr>
      </w:pPr>
      <w:r>
        <w:rPr>
          <w:lang w:val="en-CA"/>
        </w:rPr>
        <w:t xml:space="preserve">The Court </w:t>
      </w:r>
      <w:r w:rsidR="00304F00">
        <w:rPr>
          <w:lang w:val="en-CA"/>
        </w:rPr>
        <w:t>finds</w:t>
      </w:r>
      <w:r>
        <w:rPr>
          <w:lang w:val="en-CA"/>
        </w:rPr>
        <w:t xml:space="preserve"> it must answer these questions in the negative.</w:t>
      </w:r>
    </w:p>
    <w:p w14:paraId="50A1A755" w14:textId="65B02CEA" w:rsidR="00304A67" w:rsidRPr="004A360E" w:rsidRDefault="00F06516" w:rsidP="00DB120B">
      <w:pPr>
        <w:pStyle w:val="Paragraphe"/>
        <w:rPr>
          <w:lang w:val="en-US"/>
        </w:rPr>
      </w:pPr>
      <w:r>
        <w:rPr>
          <w:lang w:val="en-CA"/>
        </w:rPr>
        <w:t xml:space="preserve">Because, it bears repeating, the </w:t>
      </w:r>
      <w:r w:rsidR="00304F00">
        <w:rPr>
          <w:lang w:val="en-CA"/>
        </w:rPr>
        <w:t xml:space="preserve">fresh </w:t>
      </w:r>
      <w:r>
        <w:rPr>
          <w:lang w:val="en-CA"/>
        </w:rPr>
        <w:t xml:space="preserve">evidence </w:t>
      </w:r>
      <w:r w:rsidR="00056BEF">
        <w:rPr>
          <w:lang w:val="en-CA"/>
        </w:rPr>
        <w:t xml:space="preserve">establishes </w:t>
      </w:r>
      <w:r>
        <w:rPr>
          <w:lang w:val="en-CA"/>
        </w:rPr>
        <w:t>that the appellant and his counsel had agreed</w:t>
      </w:r>
      <w:r w:rsidR="00056BEF">
        <w:rPr>
          <w:lang w:val="en-CA"/>
        </w:rPr>
        <w:t xml:space="preserve"> that </w:t>
      </w:r>
      <w:r>
        <w:rPr>
          <w:lang w:val="en-CA"/>
        </w:rPr>
        <w:t xml:space="preserve">they would </w:t>
      </w:r>
      <w:r>
        <w:rPr>
          <w:i/>
          <w:iCs/>
          <w:lang w:val="en-CA"/>
        </w:rPr>
        <w:t>not</w:t>
      </w:r>
      <w:r>
        <w:rPr>
          <w:lang w:val="en-CA"/>
        </w:rPr>
        <w:t xml:space="preserve"> </w:t>
      </w:r>
      <w:r w:rsidR="00D018EE">
        <w:rPr>
          <w:lang w:val="en-CA"/>
        </w:rPr>
        <w:t>allege in</w:t>
      </w:r>
      <w:r>
        <w:rPr>
          <w:lang w:val="en-CA"/>
        </w:rPr>
        <w:t xml:space="preserve"> defence that the complaints filed against the appellant were </w:t>
      </w:r>
      <w:r w:rsidR="00056BEF">
        <w:rPr>
          <w:lang w:val="en-CA"/>
        </w:rPr>
        <w:t>retaliation</w:t>
      </w:r>
      <w:r>
        <w:rPr>
          <w:lang w:val="en-CA"/>
        </w:rPr>
        <w:t xml:space="preserve"> </w:t>
      </w:r>
      <w:r w:rsidR="00C60545">
        <w:rPr>
          <w:lang w:val="en-CA"/>
        </w:rPr>
        <w:t>related to</w:t>
      </w:r>
      <w:r>
        <w:rPr>
          <w:lang w:val="en-CA"/>
        </w:rPr>
        <w:t xml:space="preserve"> the financial conflict between him and his former spouse. </w:t>
      </w:r>
      <w:r w:rsidR="00C67901">
        <w:rPr>
          <w:lang w:val="en-CA"/>
        </w:rPr>
        <w:t>The</w:t>
      </w:r>
      <w:r>
        <w:rPr>
          <w:lang w:val="en-CA"/>
        </w:rPr>
        <w:t xml:space="preserve"> appellant</w:t>
      </w:r>
      <w:r w:rsidR="00C67901">
        <w:rPr>
          <w:lang w:val="en-CA"/>
        </w:rPr>
        <w:t>, however,</w:t>
      </w:r>
      <w:r>
        <w:rPr>
          <w:lang w:val="en-CA"/>
        </w:rPr>
        <w:t xml:space="preserve"> brought it up during his testimony (</w:t>
      </w:r>
      <w:r w:rsidR="00C2729E">
        <w:rPr>
          <w:lang w:val="en-CA"/>
        </w:rPr>
        <w:t>when</w:t>
      </w:r>
      <w:r>
        <w:rPr>
          <w:lang w:val="en-CA"/>
        </w:rPr>
        <w:t xml:space="preserve"> cross-</w:t>
      </w:r>
      <w:r w:rsidR="00C2729E">
        <w:rPr>
          <w:lang w:val="en-CA"/>
        </w:rPr>
        <w:t xml:space="preserve">examined </w:t>
      </w:r>
      <w:r>
        <w:rPr>
          <w:lang w:val="en-CA"/>
        </w:rPr>
        <w:t>on July 8, 2022</w:t>
      </w:r>
      <w:r w:rsidR="00C2729E">
        <w:rPr>
          <w:lang w:val="en-CA"/>
        </w:rPr>
        <w:t>,</w:t>
      </w:r>
      <w:r>
        <w:rPr>
          <w:rStyle w:val="Appelnotedebasdep"/>
          <w:lang w:val="en-CA"/>
        </w:rPr>
        <w:footnoteReference w:id="52"/>
      </w:r>
      <w:r w:rsidR="00C2729E">
        <w:rPr>
          <w:lang w:val="en-CA"/>
        </w:rPr>
        <w:t xml:space="preserve"> he explained that he had been in a panic</w:t>
      </w:r>
      <w:r>
        <w:rPr>
          <w:lang w:val="en-CA"/>
        </w:rPr>
        <w:t xml:space="preserve">), leading to the barrage of questions that followed at the trial, both during the </w:t>
      </w:r>
      <w:r w:rsidR="00056BEF">
        <w:rPr>
          <w:lang w:val="en-CA"/>
        </w:rPr>
        <w:t>examination</w:t>
      </w:r>
      <w:r>
        <w:rPr>
          <w:lang w:val="en-CA"/>
        </w:rPr>
        <w:t>-in-chief and the cross-examination. Although we may think that the appellant’s counsel should have reacted differently, he cannot be blamed for ignoring his client’s instructions</w:t>
      </w:r>
      <w:r w:rsidR="00C2729E">
        <w:rPr>
          <w:lang w:val="en-CA"/>
        </w:rPr>
        <w:t xml:space="preserve">. He was </w:t>
      </w:r>
      <w:r>
        <w:rPr>
          <w:lang w:val="en-CA"/>
        </w:rPr>
        <w:t>caught off guard by his client’s reversal</w:t>
      </w:r>
      <w:r w:rsidR="00C67901">
        <w:rPr>
          <w:lang w:val="en-CA"/>
        </w:rPr>
        <w:t xml:space="preserve"> and</w:t>
      </w:r>
      <w:r>
        <w:rPr>
          <w:lang w:val="en-CA"/>
        </w:rPr>
        <w:t xml:space="preserve"> tried to counter. He </w:t>
      </w:r>
      <w:r w:rsidR="00C2729E">
        <w:rPr>
          <w:lang w:val="en-CA"/>
        </w:rPr>
        <w:t xml:space="preserve">then </w:t>
      </w:r>
      <w:r>
        <w:rPr>
          <w:lang w:val="en-CA"/>
        </w:rPr>
        <w:t xml:space="preserve">again </w:t>
      </w:r>
      <w:r w:rsidR="00C2729E">
        <w:rPr>
          <w:lang w:val="en-CA"/>
        </w:rPr>
        <w:t xml:space="preserve">confirmed </w:t>
      </w:r>
      <w:r w:rsidR="00C67901">
        <w:rPr>
          <w:lang w:val="en-CA"/>
        </w:rPr>
        <w:t>the strategy</w:t>
      </w:r>
      <w:r>
        <w:rPr>
          <w:lang w:val="en-CA"/>
        </w:rPr>
        <w:t xml:space="preserve"> </w:t>
      </w:r>
      <w:r w:rsidR="00C2729E">
        <w:rPr>
          <w:lang w:val="en-CA"/>
        </w:rPr>
        <w:t xml:space="preserve">initially agreed to </w:t>
      </w:r>
      <w:r>
        <w:rPr>
          <w:lang w:val="en-CA"/>
        </w:rPr>
        <w:t xml:space="preserve">with his client and, </w:t>
      </w:r>
      <w:r w:rsidR="00C2729E">
        <w:rPr>
          <w:lang w:val="en-CA"/>
        </w:rPr>
        <w:t xml:space="preserve">when </w:t>
      </w:r>
      <w:r>
        <w:rPr>
          <w:lang w:val="en-CA"/>
        </w:rPr>
        <w:t xml:space="preserve">he </w:t>
      </w:r>
      <w:r w:rsidR="00C2729E">
        <w:rPr>
          <w:lang w:val="en-CA"/>
        </w:rPr>
        <w:t>returned</w:t>
      </w:r>
      <w:r>
        <w:rPr>
          <w:lang w:val="en-CA"/>
        </w:rPr>
        <w:t xml:space="preserve"> before the court, he tried to rectify the situation, perhaps a little clumsily (it is easy to say this in </w:t>
      </w:r>
      <w:r w:rsidR="00C67901">
        <w:rPr>
          <w:lang w:val="en-CA"/>
        </w:rPr>
        <w:t>hindsight</w:t>
      </w:r>
      <w:r>
        <w:rPr>
          <w:lang w:val="en-CA"/>
        </w:rPr>
        <w:t xml:space="preserve">), but nevertheless with the goal of protecting the appellant and asserting his rights. His attempt </w:t>
      </w:r>
      <w:r w:rsidR="00C2729E">
        <w:rPr>
          <w:lang w:val="en-CA"/>
        </w:rPr>
        <w:t>was</w:t>
      </w:r>
      <w:r>
        <w:rPr>
          <w:lang w:val="en-CA"/>
        </w:rPr>
        <w:t xml:space="preserve"> </w:t>
      </w:r>
      <w:r w:rsidR="00C2729E">
        <w:rPr>
          <w:lang w:val="en-CA"/>
        </w:rPr>
        <w:t>unsuccessful</w:t>
      </w:r>
      <w:r>
        <w:rPr>
          <w:lang w:val="en-CA"/>
        </w:rPr>
        <w:t>, but it must be acknowledged that counsel’s scope of action was singularly restricted by the solicitor-client privilege by which he was bound at the time, since he obviously could not reveal to the judge the discussions he had had with his client.</w:t>
      </w:r>
    </w:p>
    <w:p w14:paraId="5A61DA93" w14:textId="2E74CBDD" w:rsidR="00ED578C" w:rsidRPr="004A360E" w:rsidRDefault="00F06516" w:rsidP="00DB120B">
      <w:pPr>
        <w:pStyle w:val="Paragraphe"/>
        <w:rPr>
          <w:lang w:val="en-US"/>
        </w:rPr>
      </w:pPr>
      <w:r>
        <w:rPr>
          <w:lang w:val="en-CA"/>
        </w:rPr>
        <w:t>The</w:t>
      </w:r>
      <w:r w:rsidR="005C004E">
        <w:rPr>
          <w:lang w:val="en-CA"/>
        </w:rPr>
        <w:t>re was therefore no easy</w:t>
      </w:r>
      <w:r>
        <w:rPr>
          <w:lang w:val="en-CA"/>
        </w:rPr>
        <w:t xml:space="preserve"> remedy for the appellant’s reversal (who himself did not follow the instructions he had agreed </w:t>
      </w:r>
      <w:r w:rsidR="00C67901">
        <w:rPr>
          <w:lang w:val="en-CA"/>
        </w:rPr>
        <w:t>to</w:t>
      </w:r>
      <w:r>
        <w:rPr>
          <w:lang w:val="en-CA"/>
        </w:rPr>
        <w:t xml:space="preserve"> with his counsel). Counsel did the best he could, in good faith, by acting in what he considered to be his client’s interest, and </w:t>
      </w:r>
      <w:r w:rsidR="001E29E6">
        <w:rPr>
          <w:lang w:val="en-CA"/>
        </w:rPr>
        <w:t xml:space="preserve">it </w:t>
      </w:r>
      <w:r>
        <w:rPr>
          <w:lang w:val="en-CA"/>
        </w:rPr>
        <w:t xml:space="preserve">cannot </w:t>
      </w:r>
      <w:r w:rsidR="001E29E6">
        <w:rPr>
          <w:lang w:val="en-CA"/>
        </w:rPr>
        <w:t xml:space="preserve">be </w:t>
      </w:r>
      <w:r>
        <w:rPr>
          <w:lang w:val="en-CA"/>
        </w:rPr>
        <w:t>call</w:t>
      </w:r>
      <w:r w:rsidR="001E29E6">
        <w:rPr>
          <w:lang w:val="en-CA"/>
        </w:rPr>
        <w:t>ed</w:t>
      </w:r>
      <w:r>
        <w:rPr>
          <w:lang w:val="en-CA"/>
        </w:rPr>
        <w:t xml:space="preserve"> incompetence or ineffective assistance, even though </w:t>
      </w:r>
      <w:r w:rsidR="00C67901">
        <w:rPr>
          <w:lang w:val="en-CA"/>
        </w:rPr>
        <w:t xml:space="preserve">in the </w:t>
      </w:r>
      <w:r w:rsidR="00C67901">
        <w:rPr>
          <w:lang w:val="en-CA"/>
        </w:rPr>
        <w:lastRenderedPageBreak/>
        <w:t xml:space="preserve">circumstances </w:t>
      </w:r>
      <w:r>
        <w:rPr>
          <w:lang w:val="en-CA"/>
        </w:rPr>
        <w:t>his attempt did not</w:t>
      </w:r>
      <w:r w:rsidR="00C67901">
        <w:rPr>
          <w:lang w:val="en-CA"/>
        </w:rPr>
        <w:t xml:space="preserve"> </w:t>
      </w:r>
      <w:r>
        <w:rPr>
          <w:lang w:val="en-CA"/>
        </w:rPr>
        <w:t>have the desired effect. To paraphrase the Supreme Court, citing the Court of Appeal for Ontario, while counsel’s performance may not have been exceptional, “it did not fall outside the realm of reasonable professional assistance”,</w:t>
      </w:r>
      <w:r>
        <w:rPr>
          <w:rStyle w:val="Appelnotedebasdep"/>
          <w:lang w:val="en-CA"/>
        </w:rPr>
        <w:footnoteReference w:id="53"/>
      </w:r>
      <w:r>
        <w:rPr>
          <w:lang w:val="en-CA"/>
        </w:rPr>
        <w:t xml:space="preserve"> given the difficulty of the situation the appellant had gotten himself into, regardless of his </w:t>
      </w:r>
      <w:r w:rsidR="001E29E6">
        <w:rPr>
          <w:lang w:val="en-CA"/>
        </w:rPr>
        <w:t>motives</w:t>
      </w:r>
      <w:r>
        <w:rPr>
          <w:lang w:val="en-CA"/>
        </w:rPr>
        <w:t xml:space="preserve">. In short, it was not counsel who deviated from the appellant’s instructions, as the appellant alleges, but rather the appellant who failed to follow the strategy he had agreed on with counsel, who was then </w:t>
      </w:r>
      <w:r w:rsidR="00C67901">
        <w:rPr>
          <w:lang w:val="en-CA"/>
        </w:rPr>
        <w:t>required</w:t>
      </w:r>
      <w:r>
        <w:rPr>
          <w:lang w:val="en-CA"/>
        </w:rPr>
        <w:t xml:space="preserve"> to try and fix the situation.</w:t>
      </w:r>
    </w:p>
    <w:p w14:paraId="163A3FE6" w14:textId="70C1967C" w:rsidR="00CB5AC3" w:rsidRPr="004A360E" w:rsidRDefault="00F06516" w:rsidP="00DB120B">
      <w:pPr>
        <w:pStyle w:val="Paragraphe"/>
        <w:rPr>
          <w:lang w:val="en-US"/>
        </w:rPr>
      </w:pPr>
      <w:bookmarkStart w:id="22" w:name="_Ref166673158"/>
      <w:r>
        <w:rPr>
          <w:lang w:val="en-CA"/>
        </w:rPr>
        <w:t xml:space="preserve">In any event, and even </w:t>
      </w:r>
      <w:r w:rsidR="003E3C6F">
        <w:rPr>
          <w:lang w:val="en-CA"/>
        </w:rPr>
        <w:t>though it could be said that</w:t>
      </w:r>
      <w:r>
        <w:rPr>
          <w:lang w:val="en-CA"/>
        </w:rPr>
        <w:t xml:space="preserve"> counsel</w:t>
      </w:r>
      <w:r w:rsidR="003E3C6F">
        <w:rPr>
          <w:lang w:val="en-CA"/>
        </w:rPr>
        <w:t>’s actions were in vain</w:t>
      </w:r>
      <w:r>
        <w:rPr>
          <w:lang w:val="en-CA"/>
        </w:rPr>
        <w:t xml:space="preserve">, it is not reasonably possible, barring speculation, to conclude that his conduct </w:t>
      </w:r>
      <w:r>
        <w:rPr>
          <w:i/>
          <w:iCs/>
          <w:lang w:val="en-CA"/>
        </w:rPr>
        <w:t>probably</w:t>
      </w:r>
      <w:r>
        <w:rPr>
          <w:lang w:val="en-CA"/>
        </w:rPr>
        <w:t xml:space="preserve"> caused harm to the appellant by influencing the outcome of the trial or by affecting its fairness. Even though counsel did not argue the existence of the conspiracy alleged by the appellant and tried to mitigate the impact of his client’s comments, </w:t>
      </w:r>
      <w:r w:rsidR="00FB15FF">
        <w:rPr>
          <w:lang w:val="en-CA"/>
        </w:rPr>
        <w:t xml:space="preserve">as described above, </w:t>
      </w:r>
      <w:r>
        <w:rPr>
          <w:lang w:val="en-CA"/>
        </w:rPr>
        <w:t xml:space="preserve">the client had the opportunity to lay out his theory during his testimony, which led to the re-examination of the complainants and their mother, so that the subject was covered. The judge carefully examined the appellant’s testimony in this regard, which she did not believe, </w:t>
      </w:r>
      <w:r w:rsidR="002A544A">
        <w:rPr>
          <w:lang w:val="en-CA"/>
        </w:rPr>
        <w:t>explaining her point of view</w:t>
      </w:r>
      <w:r>
        <w:rPr>
          <w:lang w:val="en-CA"/>
        </w:rPr>
        <w:t xml:space="preserve"> in detail. Among other things, she noted that the appellant’s theory was incompatible with the actions that the complainants had taken </w:t>
      </w:r>
      <w:r w:rsidR="002A544A">
        <w:rPr>
          <w:lang w:val="en-CA"/>
        </w:rPr>
        <w:t>when they spoke to</w:t>
      </w:r>
      <w:r>
        <w:rPr>
          <w:lang w:val="en-CA"/>
        </w:rPr>
        <w:t xml:space="preserve"> their mother in 2010, years before the conflict, and that it was also incompatible with the </w:t>
      </w:r>
      <w:r w:rsidR="002A544A">
        <w:rPr>
          <w:lang w:val="en-CA"/>
        </w:rPr>
        <w:t xml:space="preserve">former </w:t>
      </w:r>
      <w:r w:rsidR="00DF7FC6">
        <w:rPr>
          <w:lang w:val="en-CA"/>
        </w:rPr>
        <w:t>spouse</w:t>
      </w:r>
      <w:r w:rsidR="002A544A">
        <w:rPr>
          <w:lang w:val="en-CA"/>
        </w:rPr>
        <w:t>’s</w:t>
      </w:r>
      <w:r>
        <w:rPr>
          <w:lang w:val="en-CA"/>
        </w:rPr>
        <w:t xml:space="preserve"> behaviour in the summer of 2017, after the complainants had once again reported the appellant to her in the spring. Given the </w:t>
      </w:r>
      <w:r w:rsidR="005647FC">
        <w:rPr>
          <w:lang w:val="en-CA"/>
        </w:rPr>
        <w:t>reasoning contained</w:t>
      </w:r>
      <w:r>
        <w:rPr>
          <w:lang w:val="en-CA"/>
        </w:rPr>
        <w:t xml:space="preserve"> in her </w:t>
      </w:r>
      <w:r w:rsidR="005647FC">
        <w:rPr>
          <w:lang w:val="en-CA"/>
        </w:rPr>
        <w:t xml:space="preserve">judgment </w:t>
      </w:r>
      <w:r>
        <w:rPr>
          <w:lang w:val="en-CA"/>
        </w:rPr>
        <w:t>(and even her remarks during trial, as listed above), we cannot conclude that the appellant’s credibility was undermined by counsel’s refusal to [</w:t>
      </w:r>
      <w:r w:rsidR="005647FC" w:rsidRPr="009D6270">
        <w:rPr>
          <w:smallCaps/>
          <w:lang w:val="en-CA"/>
        </w:rPr>
        <w:t>translation</w:t>
      </w:r>
      <w:r>
        <w:rPr>
          <w:lang w:val="en-CA"/>
        </w:rPr>
        <w:t>] “argue the conspiracy” or by his attempts to shift the meaning of his client’s testimony.</w:t>
      </w:r>
      <w:bookmarkEnd w:id="22"/>
      <w:r>
        <w:rPr>
          <w:lang w:val="en-CA"/>
        </w:rPr>
        <w:t xml:space="preserve"> Either way, the appellant’s argument did not cross the threshold of </w:t>
      </w:r>
      <w:r w:rsidR="00EE1D54">
        <w:rPr>
          <w:lang w:val="en-CA"/>
        </w:rPr>
        <w:t xml:space="preserve">a </w:t>
      </w:r>
      <w:r>
        <w:rPr>
          <w:i/>
          <w:iCs/>
          <w:lang w:val="en-CA"/>
        </w:rPr>
        <w:t xml:space="preserve">reasonable probability </w:t>
      </w:r>
      <w:r>
        <w:rPr>
          <w:lang w:val="en-CA"/>
        </w:rPr>
        <w:t xml:space="preserve">that the verdict would have been different, to use the </w:t>
      </w:r>
      <w:r w:rsidR="00EE1D54">
        <w:rPr>
          <w:lang w:val="en-CA"/>
        </w:rPr>
        <w:t xml:space="preserve">language of </w:t>
      </w:r>
      <w:proofErr w:type="spellStart"/>
      <w:r>
        <w:rPr>
          <w:i/>
          <w:iCs/>
          <w:lang w:val="en-CA"/>
        </w:rPr>
        <w:t>Paiement</w:t>
      </w:r>
      <w:proofErr w:type="spellEnd"/>
      <w:r>
        <w:rPr>
          <w:i/>
          <w:iCs/>
          <w:lang w:val="en-CA"/>
        </w:rPr>
        <w:t>.</w:t>
      </w:r>
      <w:r>
        <w:rPr>
          <w:rStyle w:val="Appelnotedebasdep"/>
          <w:lang w:val="en-CA"/>
        </w:rPr>
        <w:footnoteReference w:id="54"/>
      </w:r>
    </w:p>
    <w:p w14:paraId="5FF2E17D" w14:textId="6619C856" w:rsidR="0035155E" w:rsidRPr="004A360E" w:rsidRDefault="0035155E" w:rsidP="008E7A6F">
      <w:pPr>
        <w:pStyle w:val="Paragraphe"/>
        <w:numPr>
          <w:ilvl w:val="0"/>
          <w:numId w:val="0"/>
        </w:numPr>
        <w:ind w:left="1440" w:hanging="720"/>
        <w:rPr>
          <w:b/>
          <w:bCs/>
          <w:lang w:val="en-US"/>
        </w:rPr>
      </w:pPr>
    </w:p>
    <w:p w14:paraId="20EA85C7" w14:textId="2B93CB81" w:rsidR="00CB5AC3" w:rsidRPr="004A360E" w:rsidRDefault="00F06516" w:rsidP="008E7A6F">
      <w:pPr>
        <w:pStyle w:val="Paragraphe"/>
        <w:numPr>
          <w:ilvl w:val="0"/>
          <w:numId w:val="0"/>
        </w:numPr>
        <w:ind w:left="1440" w:hanging="720"/>
        <w:rPr>
          <w:b/>
          <w:bCs/>
          <w:szCs w:val="24"/>
          <w:u w:val="single"/>
          <w:lang w:val="en-US"/>
        </w:rPr>
      </w:pPr>
      <w:r>
        <w:rPr>
          <w:b/>
          <w:bCs/>
          <w:lang w:val="en-CA"/>
        </w:rPr>
        <w:t>ii.</w:t>
      </w:r>
      <w:r>
        <w:rPr>
          <w:b/>
          <w:bCs/>
          <w:lang w:val="en-CA"/>
        </w:rPr>
        <w:tab/>
      </w:r>
      <w:r>
        <w:rPr>
          <w:b/>
          <w:bCs/>
          <w:u w:val="single"/>
          <w:lang w:val="en-CA"/>
        </w:rPr>
        <w:t xml:space="preserve">Second allegation: </w:t>
      </w:r>
      <w:r>
        <w:rPr>
          <w:b/>
          <w:bCs/>
          <w:szCs w:val="24"/>
          <w:u w:val="single"/>
          <w:lang w:val="en-CA"/>
        </w:rPr>
        <w:t>counsel’s omission regarding the particular characteristic of the appellant’s penis</w:t>
      </w:r>
    </w:p>
    <w:p w14:paraId="231E2156" w14:textId="0E964C1B" w:rsidR="00B30353" w:rsidRPr="004A360E" w:rsidRDefault="00F06516" w:rsidP="00104D53">
      <w:pPr>
        <w:pStyle w:val="Paragraphe"/>
        <w:rPr>
          <w:szCs w:val="24"/>
          <w:lang w:val="en-US"/>
        </w:rPr>
      </w:pPr>
      <w:r>
        <w:rPr>
          <w:lang w:val="en-CA"/>
        </w:rPr>
        <w:t xml:space="preserve">Although the first allegation against the appellant’s former counsel cannot be </w:t>
      </w:r>
      <w:r w:rsidR="00EE1D54">
        <w:rPr>
          <w:lang w:val="en-CA"/>
        </w:rPr>
        <w:t>accepted</w:t>
      </w:r>
      <w:r>
        <w:rPr>
          <w:lang w:val="en-CA"/>
        </w:rPr>
        <w:t xml:space="preserve">, </w:t>
      </w:r>
      <w:r w:rsidR="00EE1D54">
        <w:rPr>
          <w:lang w:val="en-CA"/>
        </w:rPr>
        <w:t>the same cannot be said of</w:t>
      </w:r>
      <w:r>
        <w:rPr>
          <w:lang w:val="en-CA"/>
        </w:rPr>
        <w:t xml:space="preserve"> the second allegation, which relates to an admittedly delicate subject, but one that is potentially decisive in the guilt or innocence of the person concerned. It is therefore necessary to </w:t>
      </w:r>
      <w:r w:rsidR="00EE1D54">
        <w:rPr>
          <w:lang w:val="en-CA"/>
        </w:rPr>
        <w:t xml:space="preserve">accept </w:t>
      </w:r>
      <w:r>
        <w:rPr>
          <w:lang w:val="en-CA"/>
        </w:rPr>
        <w:t>the appellant’s arguments here.</w:t>
      </w:r>
    </w:p>
    <w:p w14:paraId="11AF48E0" w14:textId="2DD1486F" w:rsidR="006E6475" w:rsidRPr="004A360E" w:rsidRDefault="00F06516" w:rsidP="00104D53">
      <w:pPr>
        <w:pStyle w:val="Paragraphe"/>
        <w:rPr>
          <w:lang w:val="en-US"/>
        </w:rPr>
      </w:pPr>
      <w:r>
        <w:rPr>
          <w:lang w:val="en-CA"/>
        </w:rPr>
        <w:t xml:space="preserve">As we saw above, during the appellant’s </w:t>
      </w:r>
      <w:r w:rsidR="00EE1D54">
        <w:rPr>
          <w:lang w:val="en-CA"/>
        </w:rPr>
        <w:t>examination</w:t>
      </w:r>
      <w:r>
        <w:rPr>
          <w:lang w:val="en-CA"/>
        </w:rPr>
        <w:t>-in-chief, he reported an anomaly on his penis that he referred to as a [</w:t>
      </w:r>
      <w:r w:rsidR="00160458" w:rsidRPr="009D6270">
        <w:rPr>
          <w:smallCaps/>
          <w:lang w:val="en-CA"/>
        </w:rPr>
        <w:t>translation</w:t>
      </w:r>
      <w:r>
        <w:rPr>
          <w:lang w:val="en-CA"/>
        </w:rPr>
        <w:t xml:space="preserve">] “birthmark”. He questioned the credibility of the complainants (particularly X), who had never mentioned it in their </w:t>
      </w:r>
      <w:r>
        <w:rPr>
          <w:lang w:val="en-CA"/>
        </w:rPr>
        <w:lastRenderedPageBreak/>
        <w:t xml:space="preserve">respective testimony. For convenience, we will reproduce the relevant </w:t>
      </w:r>
      <w:r w:rsidR="003231B6">
        <w:rPr>
          <w:lang w:val="en-CA"/>
        </w:rPr>
        <w:t>excerpt</w:t>
      </w:r>
      <w:r>
        <w:rPr>
          <w:lang w:val="en-CA"/>
        </w:rPr>
        <w:t xml:space="preserve"> of the appellant’s </w:t>
      </w:r>
      <w:r w:rsidR="00215D47">
        <w:rPr>
          <w:lang w:val="en-CA"/>
        </w:rPr>
        <w:t>examination</w:t>
      </w:r>
      <w:r>
        <w:rPr>
          <w:lang w:val="en-CA"/>
        </w:rPr>
        <w:t>-in-chief (</w:t>
      </w:r>
      <w:r w:rsidR="008453A2">
        <w:rPr>
          <w:lang w:val="en-CA"/>
        </w:rPr>
        <w:t>cited</w:t>
      </w:r>
      <w:r>
        <w:rPr>
          <w:lang w:val="en-CA"/>
        </w:rPr>
        <w:t xml:space="preserve"> </w:t>
      </w:r>
      <w:r w:rsidR="00160458" w:rsidRPr="009D6270">
        <w:rPr>
          <w:lang w:val="en-CA"/>
        </w:rPr>
        <w:t>above</w:t>
      </w:r>
      <w:r>
        <w:rPr>
          <w:lang w:val="en-CA"/>
        </w:rPr>
        <w:t xml:space="preserve"> at para [12]):</w:t>
      </w:r>
    </w:p>
    <w:p w14:paraId="3BD8F6C3" w14:textId="5E2F6F01" w:rsidR="00160458" w:rsidRDefault="00F06516" w:rsidP="0035155E">
      <w:pPr>
        <w:pStyle w:val="Citationenretrait"/>
        <w:rPr>
          <w:lang w:val="en-CA"/>
        </w:rPr>
      </w:pPr>
      <w:r>
        <w:rPr>
          <w:lang w:val="en-CA"/>
        </w:rPr>
        <w:t>[</w:t>
      </w:r>
      <w:r w:rsidR="00160458" w:rsidRPr="009D6270">
        <w:rPr>
          <w:smallCaps/>
          <w:lang w:val="en-CA"/>
        </w:rPr>
        <w:t>translation</w:t>
      </w:r>
      <w:r>
        <w:rPr>
          <w:lang w:val="en-CA"/>
        </w:rPr>
        <w:t>]</w:t>
      </w:r>
    </w:p>
    <w:p w14:paraId="43FDBB6B" w14:textId="5C120F11" w:rsidR="005631ED" w:rsidRPr="004A360E" w:rsidRDefault="00F06516" w:rsidP="0035155E">
      <w:pPr>
        <w:pStyle w:val="Citationenretrait"/>
        <w:rPr>
          <w:lang w:val="en-US"/>
        </w:rPr>
      </w:pPr>
      <w:r>
        <w:rPr>
          <w:lang w:val="en-CA"/>
        </w:rPr>
        <w:t xml:space="preserve"> Q.</w:t>
      </w:r>
      <w:r>
        <w:rPr>
          <w:lang w:val="en-CA"/>
        </w:rPr>
        <w:tab/>
        <w:t>What are your comments on all these... these actions that are attributed to you?</w:t>
      </w:r>
    </w:p>
    <w:p w14:paraId="780BDD9F" w14:textId="5CC25CB7" w:rsidR="005631ED" w:rsidRPr="004A360E" w:rsidRDefault="00160458" w:rsidP="0035155E">
      <w:pPr>
        <w:pStyle w:val="Citationenretrait"/>
        <w:rPr>
          <w:lang w:val="en-US"/>
        </w:rPr>
      </w:pPr>
      <w:r>
        <w:rPr>
          <w:lang w:val="en-CA"/>
        </w:rPr>
        <w:t>A</w:t>
      </w:r>
      <w:r w:rsidR="00F06516">
        <w:rPr>
          <w:lang w:val="en-CA"/>
        </w:rPr>
        <w:t>.</w:t>
      </w:r>
      <w:r w:rsidR="00F06516">
        <w:rPr>
          <w:lang w:val="en-CA"/>
        </w:rPr>
        <w:tab/>
        <w:t>I...</w:t>
      </w:r>
    </w:p>
    <w:p w14:paraId="7A421039" w14:textId="0B752D33" w:rsidR="005631ED" w:rsidRPr="004A360E" w:rsidRDefault="00F06516" w:rsidP="0035155E">
      <w:pPr>
        <w:pStyle w:val="Citationenretrait"/>
        <w:rPr>
          <w:lang w:val="en-US"/>
        </w:rPr>
      </w:pPr>
      <w:r>
        <w:rPr>
          <w:lang w:val="en-CA"/>
        </w:rPr>
        <w:t>Q.</w:t>
      </w:r>
      <w:r>
        <w:rPr>
          <w:lang w:val="en-CA"/>
        </w:rPr>
        <w:tab/>
        <w:t>Both [Y] and [X].</w:t>
      </w:r>
    </w:p>
    <w:p w14:paraId="53755776" w14:textId="0906BB94" w:rsidR="005631ED" w:rsidRPr="004A360E" w:rsidRDefault="00160458" w:rsidP="0035155E">
      <w:pPr>
        <w:pStyle w:val="Citationenretrait"/>
        <w:rPr>
          <w:lang w:val="en-US"/>
        </w:rPr>
      </w:pPr>
      <w:r>
        <w:rPr>
          <w:lang w:val="en-CA"/>
        </w:rPr>
        <w:t>A</w:t>
      </w:r>
      <w:r w:rsidR="00F06516">
        <w:rPr>
          <w:lang w:val="en-CA"/>
        </w:rPr>
        <w:t>.</w:t>
      </w:r>
      <w:r w:rsidR="00F06516">
        <w:rPr>
          <w:lang w:val="en-CA"/>
        </w:rPr>
        <w:tab/>
        <w:t>Okay. I, if I remember [X]’s testimony correctly, she</w:t>
      </w:r>
      <w:r w:rsidR="008453A2">
        <w:rPr>
          <w:lang w:val="en-CA"/>
        </w:rPr>
        <w:t>, she</w:t>
      </w:r>
      <w:r w:rsidR="00F06516">
        <w:rPr>
          <w:lang w:val="en-CA"/>
        </w:rPr>
        <w:t xml:space="preserve"> said she... it was thousands of times. She talked about my circumcision during her testimony, but I had a birthmark on my penis.</w:t>
      </w:r>
    </w:p>
    <w:p w14:paraId="272000E3" w14:textId="355859E8" w:rsidR="005631ED" w:rsidRPr="00941800" w:rsidRDefault="00F06516" w:rsidP="0035155E">
      <w:pPr>
        <w:pStyle w:val="Citationenretrait"/>
      </w:pPr>
      <w:r>
        <w:rPr>
          <w:lang w:val="en-CA"/>
        </w:rPr>
        <w:tab/>
        <w:t>Strange, she remembers that, and she</w:t>
      </w:r>
      <w:r w:rsidR="003D347A">
        <w:rPr>
          <w:lang w:val="en-CA"/>
        </w:rPr>
        <w:t xml:space="preserve"> ha</w:t>
      </w:r>
      <w:r>
        <w:rPr>
          <w:lang w:val="en-CA"/>
        </w:rPr>
        <w:t>s seen my penis thousands of times, but she didn’t remember that I had a birthmark. Maybe because she never saw it.</w:t>
      </w:r>
      <w:r>
        <w:rPr>
          <w:rStyle w:val="Appelnotedebasdep"/>
          <w:lang w:val="en-CA"/>
        </w:rPr>
        <w:footnoteReference w:id="55"/>
      </w:r>
    </w:p>
    <w:p w14:paraId="47CCADC1" w14:textId="0FA12B0C" w:rsidR="006E6475" w:rsidRPr="00941800" w:rsidRDefault="00F06516" w:rsidP="006E6475">
      <w:pPr>
        <w:pStyle w:val="Paragraphe"/>
      </w:pPr>
      <w:r>
        <w:rPr>
          <w:lang w:val="en-CA"/>
        </w:rPr>
        <w:t xml:space="preserve">As revealed by the medical reports included in the </w:t>
      </w:r>
      <w:r w:rsidR="00160458">
        <w:rPr>
          <w:lang w:val="en-CA"/>
        </w:rPr>
        <w:t xml:space="preserve">fresh </w:t>
      </w:r>
      <w:r>
        <w:rPr>
          <w:lang w:val="en-CA"/>
        </w:rPr>
        <w:t>evidence, the anomaly was not actually a birthmark but rather a fairly large wart (approximately 2 cm</w:t>
      </w:r>
      <w:r w:rsidR="00160458">
        <w:rPr>
          <w:lang w:val="en-CA"/>
        </w:rPr>
        <w:t xml:space="preserve"> wide</w:t>
      </w:r>
      <w:r>
        <w:rPr>
          <w:lang w:val="en-CA"/>
        </w:rPr>
        <w:t xml:space="preserve">). This was indicated in the surgical report </w:t>
      </w:r>
      <w:r w:rsidR="00160458">
        <w:rPr>
          <w:lang w:val="en-CA"/>
        </w:rPr>
        <w:t xml:space="preserve">by </w:t>
      </w:r>
      <w:r>
        <w:rPr>
          <w:lang w:val="en-CA"/>
        </w:rPr>
        <w:t>the doctor who excised the wart on August</w:t>
      </w:r>
      <w:r w:rsidR="008453A2">
        <w:rPr>
          <w:lang w:val="en-CA"/>
        </w:rPr>
        <w:t> </w:t>
      </w:r>
      <w:r>
        <w:rPr>
          <w:lang w:val="en-CA"/>
        </w:rPr>
        <w:t>30,</w:t>
      </w:r>
      <w:r w:rsidR="008453A2">
        <w:rPr>
          <w:lang w:val="en-CA"/>
        </w:rPr>
        <w:t> </w:t>
      </w:r>
      <w:r>
        <w:rPr>
          <w:lang w:val="en-CA"/>
        </w:rPr>
        <w:t>2011, while performing a circumcision on the appellant, whose foreskin also suffered from an abnormality. The surgical report states the following:</w:t>
      </w:r>
    </w:p>
    <w:p w14:paraId="74290AEA" w14:textId="1BA1261C" w:rsidR="00160458" w:rsidRDefault="00F06516" w:rsidP="00B46E61">
      <w:pPr>
        <w:pStyle w:val="Citationenretrait"/>
        <w:ind w:left="3600" w:hanging="2880"/>
        <w:rPr>
          <w:lang w:val="en-CA"/>
        </w:rPr>
      </w:pPr>
      <w:r>
        <w:rPr>
          <w:lang w:val="en-CA"/>
        </w:rPr>
        <w:t>[</w:t>
      </w:r>
      <w:r w:rsidR="00160458" w:rsidRPr="009D6270">
        <w:rPr>
          <w:smallCaps/>
          <w:lang w:val="en-CA"/>
        </w:rPr>
        <w:t>translation</w:t>
      </w:r>
      <w:r>
        <w:rPr>
          <w:lang w:val="en-CA"/>
        </w:rPr>
        <w:t xml:space="preserve">] </w:t>
      </w:r>
    </w:p>
    <w:p w14:paraId="67512DB2" w14:textId="70E74AAF" w:rsidR="00B46E61" w:rsidRPr="004A360E" w:rsidRDefault="00F06516" w:rsidP="00B46E61">
      <w:pPr>
        <w:pStyle w:val="Citationenretrait"/>
        <w:ind w:left="3600" w:hanging="2880"/>
        <w:rPr>
          <w:lang w:val="en-US"/>
        </w:rPr>
      </w:pPr>
      <w:r>
        <w:rPr>
          <w:lang w:val="en-CA"/>
        </w:rPr>
        <w:t>Preoperative diagnosis:</w:t>
      </w:r>
      <w:r>
        <w:rPr>
          <w:lang w:val="en-CA"/>
        </w:rPr>
        <w:tab/>
        <w:t>tight phimosis with chronic balanitis and sclerotic lichen.</w:t>
      </w:r>
    </w:p>
    <w:p w14:paraId="2FF928CD" w14:textId="278C06F7" w:rsidR="00B30353" w:rsidRPr="004A360E" w:rsidRDefault="00F06516" w:rsidP="00B46E61">
      <w:pPr>
        <w:pStyle w:val="Citationenretrait"/>
        <w:ind w:left="3600"/>
        <w:rPr>
          <w:lang w:val="en-US"/>
        </w:rPr>
      </w:pPr>
      <w:r>
        <w:rPr>
          <w:lang w:val="en-CA"/>
        </w:rPr>
        <w:t>Wart measuring approximately 2.0 cm wide on the skin of the ventral side of the penis.</w:t>
      </w:r>
    </w:p>
    <w:p w14:paraId="03C6F010" w14:textId="405A91ED" w:rsidR="00B46E61" w:rsidRPr="004A360E" w:rsidRDefault="00F06516" w:rsidP="006E6475">
      <w:pPr>
        <w:pStyle w:val="Citationenretrait"/>
        <w:rPr>
          <w:lang w:val="en-US"/>
        </w:rPr>
      </w:pPr>
      <w:r>
        <w:rPr>
          <w:lang w:val="en-CA"/>
        </w:rPr>
        <w:t>Planned operation:</w:t>
      </w:r>
      <w:r>
        <w:rPr>
          <w:lang w:val="en-CA"/>
        </w:rPr>
        <w:tab/>
      </w:r>
      <w:r>
        <w:rPr>
          <w:lang w:val="en-CA"/>
        </w:rPr>
        <w:tab/>
      </w:r>
      <w:r w:rsidRPr="009D6270">
        <w:rPr>
          <w:i/>
          <w:iCs/>
          <w:lang w:val="en-CA"/>
        </w:rPr>
        <w:t>circumcision with excision of the</w:t>
      </w:r>
      <w:r>
        <w:rPr>
          <w:lang w:val="en-CA"/>
        </w:rPr>
        <w:t xml:space="preserve"> wart</w:t>
      </w:r>
    </w:p>
    <w:p w14:paraId="3E435025" w14:textId="3EC599E7" w:rsidR="00B46E61" w:rsidRPr="001837F6" w:rsidRDefault="00F06516" w:rsidP="006E6475">
      <w:pPr>
        <w:pStyle w:val="Citationenretrait"/>
        <w:rPr>
          <w:lang w:val="nb-NO"/>
        </w:rPr>
      </w:pPr>
      <w:r w:rsidRPr="001837F6">
        <w:rPr>
          <w:lang w:val="nb-NO"/>
        </w:rPr>
        <w:t>Operation performed:</w:t>
      </w:r>
      <w:r w:rsidRPr="001837F6">
        <w:rPr>
          <w:lang w:val="nb-NO"/>
        </w:rPr>
        <w:tab/>
      </w:r>
      <w:r w:rsidRPr="001837F6">
        <w:rPr>
          <w:lang w:val="nb-NO"/>
        </w:rPr>
        <w:tab/>
        <w:t>idem</w:t>
      </w:r>
    </w:p>
    <w:p w14:paraId="4E661B4D" w14:textId="407DD895" w:rsidR="00B46E61" w:rsidRPr="001837F6" w:rsidRDefault="00F06516" w:rsidP="009D6270">
      <w:pPr>
        <w:pStyle w:val="Citationenretrait"/>
        <w:rPr>
          <w:lang w:val="nb-NO"/>
        </w:rPr>
      </w:pPr>
      <w:r w:rsidRPr="001837F6">
        <w:rPr>
          <w:lang w:val="nb-NO"/>
        </w:rPr>
        <w:t>Postoperative diagnosis:</w:t>
      </w:r>
      <w:r w:rsidRPr="001837F6">
        <w:rPr>
          <w:lang w:val="nb-NO"/>
        </w:rPr>
        <w:tab/>
        <w:t>idem</w:t>
      </w:r>
    </w:p>
    <w:p w14:paraId="11652A2E" w14:textId="6936AAB1" w:rsidR="00B46E61" w:rsidRPr="004A360E" w:rsidRDefault="00F06516" w:rsidP="00B46E61">
      <w:pPr>
        <w:jc w:val="center"/>
        <w:rPr>
          <w:kern w:val="24"/>
          <w:sz w:val="22"/>
          <w:lang w:val="en-US"/>
        </w:rPr>
      </w:pPr>
      <w:r>
        <w:rPr>
          <w:lang w:val="en-CA"/>
        </w:rPr>
        <w:t>______________________________</w:t>
      </w:r>
    </w:p>
    <w:p w14:paraId="433CB71A" w14:textId="7B148859" w:rsidR="00B46E61" w:rsidRPr="004A360E" w:rsidRDefault="00F06516" w:rsidP="006E6475">
      <w:pPr>
        <w:pStyle w:val="Citationenretrait"/>
        <w:rPr>
          <w:lang w:val="en-US"/>
        </w:rPr>
      </w:pPr>
      <w:r>
        <w:rPr>
          <w:lang w:val="en-CA"/>
        </w:rPr>
        <w:t>...</w:t>
      </w:r>
    </w:p>
    <w:p w14:paraId="3867E30B" w14:textId="1DF97F30" w:rsidR="00B46E61" w:rsidRPr="004A360E" w:rsidRDefault="00F06516" w:rsidP="006E6475">
      <w:pPr>
        <w:pStyle w:val="Citationenretrait"/>
        <w:rPr>
          <w:lang w:val="en-US"/>
        </w:rPr>
      </w:pPr>
      <w:r>
        <w:rPr>
          <w:lang w:val="en-CA"/>
        </w:rPr>
        <w:lastRenderedPageBreak/>
        <w:t xml:space="preserve">We started with the circumcision, I made a circular incision in the skin at the collum </w:t>
      </w:r>
      <w:proofErr w:type="spellStart"/>
      <w:r>
        <w:rPr>
          <w:lang w:val="en-CA"/>
        </w:rPr>
        <w:t>glandis</w:t>
      </w:r>
      <w:proofErr w:type="spellEnd"/>
      <w:r>
        <w:rPr>
          <w:lang w:val="en-CA"/>
        </w:rPr>
        <w:t>, another incision at the mucosa 5.0 mm from the corona. We excised the affected prepuce. I performed the hemostasis with an electrosurgical knife, then closed the skin at the mucosa using 4-0 Chromic with interrupted sutures. There were no complications.</w:t>
      </w:r>
    </w:p>
    <w:p w14:paraId="5DE42FB0" w14:textId="6650787E" w:rsidR="006E6475" w:rsidRPr="00941800" w:rsidRDefault="00F06516" w:rsidP="006E6475">
      <w:pPr>
        <w:pStyle w:val="Citationenretrait"/>
      </w:pPr>
      <w:r>
        <w:rPr>
          <w:lang w:val="en-CA"/>
        </w:rPr>
        <w:t xml:space="preserve">As a second step, we excised the wart. We used surgical ink to mark the wart. We made a transverse incision on both sides of the wart, which was very big, with a wide root, which was probably a </w:t>
      </w:r>
      <w:proofErr w:type="spellStart"/>
      <w:r>
        <w:rPr>
          <w:lang w:val="en-CA"/>
        </w:rPr>
        <w:t>bowenoid</w:t>
      </w:r>
      <w:proofErr w:type="spellEnd"/>
      <w:r>
        <w:rPr>
          <w:lang w:val="en-CA"/>
        </w:rPr>
        <w:t xml:space="preserve"> wart. The wart was excised completely and sent for anatomopathological examination. Hemostasis was performed with an electrosurgical knife, and I closed the skin with Chromic 4-0. No complications.</w:t>
      </w:r>
      <w:r>
        <w:rPr>
          <w:rStyle w:val="Appelnotedebasdep"/>
          <w:lang w:val="en-CA"/>
        </w:rPr>
        <w:footnoteReference w:id="56"/>
      </w:r>
    </w:p>
    <w:p w14:paraId="33FED177" w14:textId="062059B7" w:rsidR="008E1650" w:rsidRPr="004A360E" w:rsidRDefault="00F06516" w:rsidP="008E1650">
      <w:pPr>
        <w:pStyle w:val="Paragraphe"/>
        <w:rPr>
          <w:lang w:val="en-US"/>
        </w:rPr>
      </w:pPr>
      <w:r>
        <w:rPr>
          <w:lang w:val="en-CA"/>
        </w:rPr>
        <w:t xml:space="preserve">The pathology report, dated September 23, 2011, confirms the existence of this wart: </w:t>
      </w:r>
    </w:p>
    <w:p w14:paraId="063B1C30" w14:textId="5DBFAF19" w:rsidR="00130FD9" w:rsidRDefault="00F06516" w:rsidP="008E1650">
      <w:pPr>
        <w:pStyle w:val="Citationenretrait"/>
        <w:rPr>
          <w:lang w:val="en-CA"/>
        </w:rPr>
      </w:pPr>
      <w:r>
        <w:rPr>
          <w:lang w:val="en-CA"/>
        </w:rPr>
        <w:t>[</w:t>
      </w:r>
      <w:r w:rsidR="00130FD9" w:rsidRPr="009D6270">
        <w:rPr>
          <w:smallCaps/>
          <w:lang w:val="en-CA"/>
        </w:rPr>
        <w:t>translation</w:t>
      </w:r>
      <w:r>
        <w:rPr>
          <w:lang w:val="en-CA"/>
        </w:rPr>
        <w:t>]</w:t>
      </w:r>
    </w:p>
    <w:p w14:paraId="7CAEB996" w14:textId="1DAD3A29" w:rsidR="008E1650" w:rsidRPr="004A360E" w:rsidRDefault="00F06516" w:rsidP="008E1650">
      <w:pPr>
        <w:pStyle w:val="Citationenretrait"/>
        <w:rPr>
          <w:lang w:val="en-US"/>
        </w:rPr>
      </w:pPr>
      <w:r>
        <w:rPr>
          <w:lang w:val="en-CA"/>
        </w:rPr>
        <w:t xml:space="preserve"> “Wart on the penis, tight phimosis with clinical balanitis, </w:t>
      </w:r>
      <w:proofErr w:type="spellStart"/>
      <w:r>
        <w:rPr>
          <w:lang w:val="en-CA"/>
        </w:rPr>
        <w:t>bowenoid</w:t>
      </w:r>
      <w:proofErr w:type="spellEnd"/>
      <w:r>
        <w:rPr>
          <w:lang w:val="en-CA"/>
        </w:rPr>
        <w:t xml:space="preserve"> wart</w:t>
      </w:r>
      <w:r w:rsidR="00130FD9" w:rsidRPr="00130FD9">
        <w:rPr>
          <w:lang w:val="en-CA"/>
        </w:rPr>
        <w:t xml:space="preserve"> </w:t>
      </w:r>
      <w:r w:rsidR="00130FD9">
        <w:rPr>
          <w:lang w:val="en-CA"/>
        </w:rPr>
        <w:t>penis</w:t>
      </w:r>
      <w:r>
        <w:rPr>
          <w:lang w:val="en-CA"/>
        </w:rPr>
        <w:t>.</w:t>
      </w:r>
      <w:r>
        <w:rPr>
          <w:rStyle w:val="Appelnotedebasdep"/>
          <w:lang w:val="en-CA"/>
        </w:rPr>
        <w:footnoteReference w:id="57"/>
      </w:r>
    </w:p>
    <w:p w14:paraId="65377273" w14:textId="6122AC2F" w:rsidR="00B30353" w:rsidRPr="004A360E" w:rsidRDefault="00F06516" w:rsidP="00104D53">
      <w:pPr>
        <w:pStyle w:val="Paragraphe"/>
        <w:rPr>
          <w:lang w:val="en-US"/>
        </w:rPr>
      </w:pPr>
      <w:r>
        <w:rPr>
          <w:lang w:val="en-CA"/>
        </w:rPr>
        <w:t>During his cross-examination on July 8, 2022, the appellant had an opportunity to specify that what he was still referring to as a birthmark was in fact a wart, elevated from the surface of the organ</w:t>
      </w:r>
      <w:r>
        <w:rPr>
          <w:rStyle w:val="Appelnotedebasdep"/>
          <w:lang w:val="en-CA"/>
        </w:rPr>
        <w:footnoteReference w:id="58"/>
      </w:r>
      <w:r>
        <w:rPr>
          <w:lang w:val="en-CA"/>
        </w:rPr>
        <w:t xml:space="preserve"> and especially visible when it was erect (it was less visible without an erection, since the wart was located on the underside of the penis, approximately in the centre</w:t>
      </w:r>
      <w:r>
        <w:rPr>
          <w:rStyle w:val="Appelnotedebasdep"/>
          <w:lang w:val="en-CA"/>
        </w:rPr>
        <w:footnoteReference w:id="59"/>
      </w:r>
      <w:r>
        <w:rPr>
          <w:lang w:val="en-CA"/>
        </w:rPr>
        <w:t>).</w:t>
      </w:r>
    </w:p>
    <w:p w14:paraId="5E9C6AEC" w14:textId="0B59593D" w:rsidR="00602F08" w:rsidRPr="004A360E" w:rsidRDefault="00F06516" w:rsidP="00104D53">
      <w:pPr>
        <w:pStyle w:val="Paragraphe"/>
        <w:rPr>
          <w:lang w:val="en-US"/>
        </w:rPr>
      </w:pPr>
      <w:r>
        <w:rPr>
          <w:lang w:val="en-CA"/>
        </w:rPr>
        <w:t xml:space="preserve">Neither the complainants (and, in particular, X) nor their mother mentioned this wart, which no one, it must be said, questioned them about, although it was both visible and unique, at least </w:t>
      </w:r>
      <w:r w:rsidR="008453A2">
        <w:rPr>
          <w:lang w:val="en-CA"/>
        </w:rPr>
        <w:t>until</w:t>
      </w:r>
      <w:r>
        <w:rPr>
          <w:lang w:val="en-CA"/>
        </w:rPr>
        <w:t xml:space="preserve"> it was excised in August 2011.</w:t>
      </w:r>
    </w:p>
    <w:p w14:paraId="14A52AD0" w14:textId="4A594D92" w:rsidR="007F432E" w:rsidRPr="004A360E" w:rsidRDefault="00A00B1F" w:rsidP="00104D53">
      <w:pPr>
        <w:pStyle w:val="Paragraphe"/>
        <w:rPr>
          <w:lang w:val="en-US"/>
        </w:rPr>
      </w:pPr>
      <w:r>
        <w:rPr>
          <w:lang w:val="en-CA"/>
        </w:rPr>
        <w:t xml:space="preserve">However, appellant’s counsel questioned </w:t>
      </w:r>
      <w:r w:rsidR="00F06516">
        <w:rPr>
          <w:lang w:val="en-CA"/>
        </w:rPr>
        <w:t>X and S.</w:t>
      </w:r>
      <w:r w:rsidR="008453A2">
        <w:rPr>
          <w:lang w:val="en-CA"/>
        </w:rPr>
        <w:t xml:space="preserve"> </w:t>
      </w:r>
      <w:r w:rsidR="00F06516">
        <w:rPr>
          <w:lang w:val="en-CA"/>
        </w:rPr>
        <w:t>S.</w:t>
      </w:r>
      <w:r w:rsidRPr="00A00B1F">
        <w:rPr>
          <w:lang w:val="en-CA"/>
        </w:rPr>
        <w:t xml:space="preserve"> </w:t>
      </w:r>
      <w:r>
        <w:rPr>
          <w:lang w:val="en-CA"/>
        </w:rPr>
        <w:t>(but not Y, presumably because of the nature of the sexual touching she reported)</w:t>
      </w:r>
      <w:r w:rsidR="008453A2">
        <w:rPr>
          <w:lang w:val="en-CA"/>
        </w:rPr>
        <w:t xml:space="preserve"> </w:t>
      </w:r>
      <w:r w:rsidR="00F06516">
        <w:rPr>
          <w:lang w:val="en-CA"/>
        </w:rPr>
        <w:t xml:space="preserve">about </w:t>
      </w:r>
      <w:r>
        <w:rPr>
          <w:lang w:val="en-CA"/>
        </w:rPr>
        <w:t xml:space="preserve">the appellant’s </w:t>
      </w:r>
      <w:r w:rsidR="00F06516">
        <w:rPr>
          <w:lang w:val="en-CA"/>
        </w:rPr>
        <w:t>circumcision</w:t>
      </w:r>
      <w:r>
        <w:rPr>
          <w:lang w:val="en-CA"/>
        </w:rPr>
        <w:t>.</w:t>
      </w:r>
      <w:r w:rsidR="00F06516">
        <w:rPr>
          <w:lang w:val="en-CA"/>
        </w:rPr>
        <w:t xml:space="preserve"> After a laborious exchange, during which the judge intervened, X said that the appellant’s penis was not circumcised.</w:t>
      </w:r>
      <w:r w:rsidR="00F06516">
        <w:rPr>
          <w:rStyle w:val="Appelnotedebasdep"/>
          <w:lang w:val="en-CA"/>
        </w:rPr>
        <w:footnoteReference w:id="60"/>
      </w:r>
      <w:r w:rsidR="00F06516">
        <w:rPr>
          <w:lang w:val="en-CA"/>
        </w:rPr>
        <w:t xml:space="preserve"> S. S. had no recollection of it, she said, although she </w:t>
      </w:r>
      <w:r w:rsidR="008453A2">
        <w:rPr>
          <w:lang w:val="en-CA"/>
        </w:rPr>
        <w:t>had been</w:t>
      </w:r>
      <w:r w:rsidR="00F06516">
        <w:rPr>
          <w:lang w:val="en-CA"/>
        </w:rPr>
        <w:t xml:space="preserve"> in a relationship with the appellant for 14 years.</w:t>
      </w:r>
      <w:r w:rsidR="00F06516">
        <w:rPr>
          <w:rStyle w:val="Appelnotedebasdep"/>
          <w:lang w:val="en-CA"/>
        </w:rPr>
        <w:footnoteReference w:id="61"/>
      </w:r>
    </w:p>
    <w:p w14:paraId="3CD2A00B" w14:textId="27417D9E" w:rsidR="00DF64E7" w:rsidRPr="004A360E" w:rsidRDefault="00F06516" w:rsidP="00104D53">
      <w:pPr>
        <w:pStyle w:val="Paragraphe"/>
        <w:rPr>
          <w:lang w:val="en-US"/>
        </w:rPr>
      </w:pPr>
      <w:r>
        <w:rPr>
          <w:lang w:val="en-CA"/>
        </w:rPr>
        <w:t xml:space="preserve">We can immediately observe that counsel, in the questions he addressed to X and S. S., made no distinction between the period prior to August 2011 (when the appellant </w:t>
      </w:r>
      <w:r>
        <w:rPr>
          <w:lang w:val="en-CA"/>
        </w:rPr>
        <w:lastRenderedPageBreak/>
        <w:t xml:space="preserve">was not circumcised) and the period after August 2011 (when he was). This distinction, however, is not without significance, since </w:t>
      </w:r>
      <w:r w:rsidR="000730E1">
        <w:rPr>
          <w:lang w:val="en-CA"/>
        </w:rPr>
        <w:t xml:space="preserve">it should be recalled that </w:t>
      </w:r>
      <w:r>
        <w:rPr>
          <w:lang w:val="en-CA"/>
        </w:rPr>
        <w:t xml:space="preserve">in 2010, </w:t>
      </w:r>
      <w:r w:rsidR="000730E1">
        <w:rPr>
          <w:lang w:val="en-CA"/>
        </w:rPr>
        <w:t xml:space="preserve">the sexual interference stopped </w:t>
      </w:r>
      <w:r>
        <w:rPr>
          <w:lang w:val="en-CA"/>
        </w:rPr>
        <w:t xml:space="preserve">after the complainants </w:t>
      </w:r>
      <w:r w:rsidR="000730E1">
        <w:rPr>
          <w:lang w:val="en-CA"/>
        </w:rPr>
        <w:t xml:space="preserve">reported it to </w:t>
      </w:r>
      <w:r>
        <w:rPr>
          <w:lang w:val="en-CA"/>
        </w:rPr>
        <w:t>their mother, but they explained</w:t>
      </w:r>
      <w:r w:rsidR="000730E1">
        <w:rPr>
          <w:lang w:val="en-CA"/>
        </w:rPr>
        <w:t xml:space="preserve"> that</w:t>
      </w:r>
      <w:r>
        <w:rPr>
          <w:lang w:val="en-CA"/>
        </w:rPr>
        <w:t xml:space="preserve"> </w:t>
      </w:r>
      <w:r w:rsidR="000730E1">
        <w:rPr>
          <w:lang w:val="en-CA"/>
        </w:rPr>
        <w:t xml:space="preserve">the appellant </w:t>
      </w:r>
      <w:r>
        <w:rPr>
          <w:lang w:val="en-CA"/>
        </w:rPr>
        <w:t xml:space="preserve">continued </w:t>
      </w:r>
      <w:r w:rsidR="000730E1">
        <w:rPr>
          <w:lang w:val="en-CA"/>
        </w:rPr>
        <w:t>exposing</w:t>
      </w:r>
      <w:r>
        <w:rPr>
          <w:lang w:val="en-CA"/>
        </w:rPr>
        <w:t xml:space="preserve"> himself to them for several years. However, X apparently did not notice the circumcision that occurred in August 2011 (when she was 17 years old). It is possible, of course, that she had not been </w:t>
      </w:r>
      <w:r w:rsidR="000730E1">
        <w:rPr>
          <w:lang w:val="en-CA"/>
        </w:rPr>
        <w:t xml:space="preserve">physically </w:t>
      </w:r>
      <w:r>
        <w:rPr>
          <w:lang w:val="en-CA"/>
        </w:rPr>
        <w:t>close enough to the appellant</w:t>
      </w:r>
      <w:r w:rsidR="000730E1">
        <w:rPr>
          <w:lang w:val="en-CA"/>
        </w:rPr>
        <w:t xml:space="preserve"> </w:t>
      </w:r>
      <w:r>
        <w:rPr>
          <w:lang w:val="en-CA"/>
        </w:rPr>
        <w:t>to see it, or that the trauma of the events she has reported prevented her from noticing it or from remembering, but we cannot really know, as she was not questioned, it bears repeating, on this point (nor were her mother or sister).</w:t>
      </w:r>
    </w:p>
    <w:p w14:paraId="68A2FF4C" w14:textId="5F8CD6B8" w:rsidR="00602F08" w:rsidRPr="00941800" w:rsidRDefault="00F06516" w:rsidP="00104D53">
      <w:pPr>
        <w:pStyle w:val="Paragraphe"/>
      </w:pPr>
      <w:r>
        <w:rPr>
          <w:lang w:val="en-CA"/>
        </w:rPr>
        <w:t xml:space="preserve">Coming back to the wart, and as indicated above (at para 13), counsel did not ask his client any questions after he had testified </w:t>
      </w:r>
      <w:r w:rsidR="0005115B">
        <w:rPr>
          <w:lang w:val="en-CA"/>
        </w:rPr>
        <w:t xml:space="preserve">about </w:t>
      </w:r>
      <w:r>
        <w:rPr>
          <w:lang w:val="en-CA"/>
        </w:rPr>
        <w:t>the presence of this [</w:t>
      </w:r>
      <w:r w:rsidR="0005115B" w:rsidRPr="009D6270">
        <w:rPr>
          <w:smallCaps/>
          <w:lang w:val="en-CA"/>
        </w:rPr>
        <w:t>translation</w:t>
      </w:r>
      <w:r>
        <w:rPr>
          <w:lang w:val="en-CA"/>
        </w:rPr>
        <w:t>] “birthmark”: he simply changed the subject and continued his examination as if nothing had happened. For her part, the judge did not note down the new information that had been disclosed, nor did she make any comments to counsel or speak to him (in contrast to her specific comments when X and her mother were cross-examined about the appellant’s circumcision</w:t>
      </w:r>
      <w:r>
        <w:rPr>
          <w:rStyle w:val="Appelnotedebasdep"/>
          <w:lang w:val="en-CA"/>
        </w:rPr>
        <w:footnoteReference w:id="62"/>
      </w:r>
      <w:r>
        <w:rPr>
          <w:lang w:val="en-CA"/>
        </w:rPr>
        <w:t>). Counsel also did not ask to re-examine the complainants or their mother on this point and did not mention the [</w:t>
      </w:r>
      <w:r w:rsidR="0005115B" w:rsidRPr="009D6270">
        <w:rPr>
          <w:smallCaps/>
          <w:lang w:val="en-CA"/>
        </w:rPr>
        <w:t>translation</w:t>
      </w:r>
      <w:r>
        <w:rPr>
          <w:lang w:val="en-CA"/>
        </w:rPr>
        <w:t xml:space="preserve">] “birthmark” during his arguments (nor did Crown </w:t>
      </w:r>
      <w:r w:rsidR="00F154F5">
        <w:rPr>
          <w:lang w:val="en-CA"/>
        </w:rPr>
        <w:t>counsel</w:t>
      </w:r>
      <w:r>
        <w:rPr>
          <w:lang w:val="en-CA"/>
        </w:rPr>
        <w:t xml:space="preserve">). Moreover, he did not even discuss it with his client after </w:t>
      </w:r>
      <w:r w:rsidR="0005115B">
        <w:rPr>
          <w:lang w:val="en-CA"/>
        </w:rPr>
        <w:t>his</w:t>
      </w:r>
      <w:r>
        <w:rPr>
          <w:lang w:val="en-CA"/>
        </w:rPr>
        <w:t xml:space="preserve"> testi</w:t>
      </w:r>
      <w:r w:rsidR="0005115B">
        <w:rPr>
          <w:lang w:val="en-CA"/>
        </w:rPr>
        <w:t>mony</w:t>
      </w:r>
      <w:r>
        <w:rPr>
          <w:lang w:val="en-CA"/>
        </w:rPr>
        <w:t>. The judgment contains no mention of it, either.</w:t>
      </w:r>
    </w:p>
    <w:p w14:paraId="3A231B65" w14:textId="19CE6EA3" w:rsidR="00D51B0F" w:rsidRPr="004A360E" w:rsidRDefault="00F06516" w:rsidP="00A6077F">
      <w:pPr>
        <w:pStyle w:val="Paragraphe"/>
        <w:rPr>
          <w:lang w:val="en-US"/>
        </w:rPr>
      </w:pPr>
      <w:r>
        <w:rPr>
          <w:lang w:val="en-CA"/>
        </w:rPr>
        <w:t>How can the conduct of the appellant’s counsel be explained?</w:t>
      </w:r>
    </w:p>
    <w:p w14:paraId="4352169B" w14:textId="710D4987" w:rsidR="009623DA" w:rsidRPr="004A360E" w:rsidRDefault="00F06516" w:rsidP="00A6077F">
      <w:pPr>
        <w:pStyle w:val="Paragraphe"/>
        <w:rPr>
          <w:lang w:val="en-US"/>
        </w:rPr>
      </w:pPr>
      <w:r>
        <w:rPr>
          <w:lang w:val="en-CA"/>
        </w:rPr>
        <w:t xml:space="preserve">To try to understand, we must examine the </w:t>
      </w:r>
      <w:r w:rsidR="007F26EE">
        <w:rPr>
          <w:lang w:val="en-CA"/>
        </w:rPr>
        <w:t xml:space="preserve">fresh </w:t>
      </w:r>
      <w:r>
        <w:rPr>
          <w:lang w:val="en-CA"/>
        </w:rPr>
        <w:t xml:space="preserve">evidence, in particular the sworn statements of the appellant and </w:t>
      </w:r>
      <w:r w:rsidR="00D018EE">
        <w:rPr>
          <w:lang w:val="en-CA"/>
        </w:rPr>
        <w:t>of his</w:t>
      </w:r>
      <w:r>
        <w:rPr>
          <w:lang w:val="en-CA"/>
        </w:rPr>
        <w:t xml:space="preserve"> former counsel, as well as their respective cross</w:t>
      </w:r>
      <w:r w:rsidR="00F154F5">
        <w:rPr>
          <w:lang w:val="en-CA"/>
        </w:rPr>
        <w:noBreakHyphen/>
      </w:r>
      <w:r>
        <w:rPr>
          <w:lang w:val="en-CA"/>
        </w:rPr>
        <w:t>examinations, which differ on whether counsel was aware of the existence of the wart on the appellant’s penis.</w:t>
      </w:r>
    </w:p>
    <w:p w14:paraId="543DFC34" w14:textId="728A2030" w:rsidR="0097180C" w:rsidRPr="004A360E" w:rsidRDefault="00F06516" w:rsidP="00A6077F">
      <w:pPr>
        <w:pStyle w:val="Paragraphe"/>
        <w:rPr>
          <w:lang w:val="en-US"/>
        </w:rPr>
      </w:pPr>
      <w:r>
        <w:rPr>
          <w:lang w:val="en-CA"/>
        </w:rPr>
        <w:t>According to the appellant’s sworn statement and his cross-examination on July</w:t>
      </w:r>
      <w:r w:rsidR="00257147">
        <w:rPr>
          <w:lang w:val="en-CA"/>
        </w:rPr>
        <w:t> </w:t>
      </w:r>
      <w:r>
        <w:rPr>
          <w:lang w:val="en-CA"/>
        </w:rPr>
        <w:t>8,</w:t>
      </w:r>
      <w:r w:rsidR="00257147">
        <w:rPr>
          <w:lang w:val="en-CA"/>
        </w:rPr>
        <w:t> </w:t>
      </w:r>
      <w:r>
        <w:rPr>
          <w:lang w:val="en-CA"/>
        </w:rPr>
        <w:t>2022, the appellant informed his counsel, even before the preliminary investigation, about the presence of this wart (or [</w:t>
      </w:r>
      <w:r w:rsidR="00257147" w:rsidRPr="009D6270">
        <w:rPr>
          <w:smallCaps/>
          <w:lang w:val="en-CA"/>
        </w:rPr>
        <w:t>translation</w:t>
      </w:r>
      <w:r>
        <w:rPr>
          <w:lang w:val="en-CA"/>
        </w:rPr>
        <w:t>] “birthmark”</w:t>
      </w:r>
      <w:r w:rsidR="00F154F5">
        <w:rPr>
          <w:lang w:val="en-CA"/>
        </w:rPr>
        <w:t>, as he called it at the time</w:t>
      </w:r>
      <w:r>
        <w:rPr>
          <w:lang w:val="en-CA"/>
        </w:rPr>
        <w:t xml:space="preserve">), just as he had informed him about the circumcision. He even explained to him that he had had surgery to be circumcised and to </w:t>
      </w:r>
      <w:r w:rsidR="00CF1B92">
        <w:rPr>
          <w:lang w:val="en-CA"/>
        </w:rPr>
        <w:t>remove</w:t>
      </w:r>
      <w:r>
        <w:rPr>
          <w:lang w:val="en-CA"/>
        </w:rPr>
        <w:t xml:space="preserve"> the wart at the same time, though he no longer remembered the date.</w:t>
      </w:r>
    </w:p>
    <w:p w14:paraId="710FE110" w14:textId="229AB0C3" w:rsidR="0097180C" w:rsidRPr="004A360E" w:rsidRDefault="00257147" w:rsidP="00905C67">
      <w:pPr>
        <w:pStyle w:val="Paragraphe"/>
        <w:spacing w:before="0"/>
        <w:rPr>
          <w:lang w:val="en-US"/>
        </w:rPr>
      </w:pPr>
      <w:bookmarkStart w:id="23" w:name="_Ref166778943"/>
      <w:r>
        <w:rPr>
          <w:lang w:val="en-CA"/>
        </w:rPr>
        <w:t xml:space="preserve">In his sworn statement, </w:t>
      </w:r>
      <w:r w:rsidR="00F06516">
        <w:rPr>
          <w:lang w:val="en-CA"/>
        </w:rPr>
        <w:t>Counsel</w:t>
      </w:r>
      <w:r>
        <w:rPr>
          <w:lang w:val="en-CA"/>
        </w:rPr>
        <w:t xml:space="preserve"> stated</w:t>
      </w:r>
      <w:r w:rsidR="00F06516">
        <w:rPr>
          <w:lang w:val="en-CA"/>
        </w:rPr>
        <w:t xml:space="preserve"> the following:</w:t>
      </w:r>
      <w:bookmarkEnd w:id="23"/>
    </w:p>
    <w:p w14:paraId="39049C26" w14:textId="77777777" w:rsidR="00905C67" w:rsidRDefault="00905C67" w:rsidP="007B07ED">
      <w:pPr>
        <w:pStyle w:val="Citationenretrait"/>
        <w:rPr>
          <w:lang w:val="en-CA"/>
        </w:rPr>
      </w:pPr>
    </w:p>
    <w:p w14:paraId="2F73BAD0" w14:textId="77777777" w:rsidR="00905C67" w:rsidRDefault="00905C67" w:rsidP="00905C67">
      <w:pPr>
        <w:pStyle w:val="Citationenretrait"/>
        <w:keepNext/>
        <w:rPr>
          <w:lang w:val="en-CA"/>
        </w:rPr>
      </w:pPr>
      <w:bookmarkStart w:id="24" w:name="_Hlk191383057"/>
      <w:r>
        <w:rPr>
          <w:lang w:val="en-CA"/>
        </w:rPr>
        <w:lastRenderedPageBreak/>
        <w:t>[</w:t>
      </w:r>
      <w:r w:rsidRPr="009D6270">
        <w:rPr>
          <w:smallCaps/>
          <w:lang w:val="en-CA"/>
        </w:rPr>
        <w:t>tra</w:t>
      </w:r>
      <w:r>
        <w:rPr>
          <w:smallCaps/>
          <w:lang w:val="en-CA"/>
        </w:rPr>
        <w:t>n</w:t>
      </w:r>
      <w:r w:rsidRPr="009D6270">
        <w:rPr>
          <w:smallCaps/>
          <w:lang w:val="en-CA"/>
        </w:rPr>
        <w:t>slation</w:t>
      </w:r>
      <w:r>
        <w:rPr>
          <w:lang w:val="en-CA"/>
        </w:rPr>
        <w:t>]</w:t>
      </w:r>
    </w:p>
    <w:p w14:paraId="620725B8" w14:textId="6699A93A" w:rsidR="0097180C" w:rsidRPr="004A360E" w:rsidRDefault="00F06516" w:rsidP="00905C67">
      <w:pPr>
        <w:pStyle w:val="Citationenretrait"/>
        <w:keepNext/>
        <w:rPr>
          <w:lang w:val="en-US"/>
        </w:rPr>
      </w:pPr>
      <w:r>
        <w:rPr>
          <w:lang w:val="en-CA"/>
        </w:rPr>
        <w:t>21.</w:t>
      </w:r>
      <w:r>
        <w:rPr>
          <w:lang w:val="en-CA"/>
        </w:rPr>
        <w:tab/>
        <w:t>I consider this allegation unfounded. The appellant never told me, either before the preliminary investigation or before testifying at the trial, that he had a birthmark on his genitals;</w:t>
      </w:r>
    </w:p>
    <w:bookmarkEnd w:id="24"/>
    <w:p w14:paraId="6AE03B3C" w14:textId="3F4228C7" w:rsidR="007B07ED" w:rsidRPr="004A360E" w:rsidRDefault="00F06516" w:rsidP="00C11356">
      <w:pPr>
        <w:pStyle w:val="Citationenretrait"/>
        <w:tabs>
          <w:tab w:val="left" w:pos="1080"/>
        </w:tabs>
        <w:rPr>
          <w:lang w:val="en-US"/>
        </w:rPr>
      </w:pPr>
      <w:r>
        <w:rPr>
          <w:lang w:val="en-CA"/>
        </w:rPr>
        <w:t>...</w:t>
      </w:r>
    </w:p>
    <w:p w14:paraId="7B747DB0" w14:textId="59E4824E" w:rsidR="007B07ED" w:rsidRPr="004A360E" w:rsidRDefault="00F06516" w:rsidP="007B07ED">
      <w:pPr>
        <w:pStyle w:val="Citationenretrait"/>
        <w:rPr>
          <w:lang w:val="en-US"/>
        </w:rPr>
      </w:pPr>
      <w:r>
        <w:rPr>
          <w:lang w:val="en-CA"/>
        </w:rPr>
        <w:t>23.</w:t>
      </w:r>
      <w:r>
        <w:rPr>
          <w:lang w:val="en-CA"/>
        </w:rPr>
        <w:tab/>
        <w:t>If the appellant had told me that he had a birthmark on his genitals prior to testifying at trial, I obviously would have assessed the appropriateness of using this information in the cross-examination of the complainants and their mother;</w:t>
      </w:r>
    </w:p>
    <w:p w14:paraId="300BB960" w14:textId="29714F94" w:rsidR="0097180C" w:rsidRPr="004A360E" w:rsidRDefault="00F06516" w:rsidP="0097180C">
      <w:pPr>
        <w:pStyle w:val="Citationenretrait"/>
        <w:rPr>
          <w:lang w:val="en-US"/>
        </w:rPr>
      </w:pPr>
      <w:r>
        <w:rPr>
          <w:lang w:val="en-CA"/>
        </w:rPr>
        <w:t>...</w:t>
      </w:r>
    </w:p>
    <w:p w14:paraId="353733AF" w14:textId="3E6A2D5D" w:rsidR="007B07ED" w:rsidRPr="004A360E" w:rsidRDefault="00F06516" w:rsidP="0097180C">
      <w:pPr>
        <w:pStyle w:val="Citationenretrait"/>
        <w:rPr>
          <w:lang w:val="en-US"/>
        </w:rPr>
      </w:pPr>
      <w:r>
        <w:rPr>
          <w:lang w:val="en-CA"/>
        </w:rPr>
        <w:t>26.</w:t>
      </w:r>
      <w:r>
        <w:rPr>
          <w:lang w:val="en-CA"/>
        </w:rPr>
        <w:tab/>
        <w:t>The only thing the appellant told me about his genitals before testifying was that his penis had been circumcised when he was an adult;</w:t>
      </w:r>
    </w:p>
    <w:p w14:paraId="631E7EE2" w14:textId="480A0DD5" w:rsidR="007B07ED" w:rsidRPr="004A360E" w:rsidRDefault="00F06516" w:rsidP="0097180C">
      <w:pPr>
        <w:pStyle w:val="Citationenretrait"/>
        <w:rPr>
          <w:lang w:val="en-US"/>
        </w:rPr>
      </w:pPr>
      <w:r>
        <w:rPr>
          <w:lang w:val="en-CA"/>
        </w:rPr>
        <w:t>...</w:t>
      </w:r>
    </w:p>
    <w:p w14:paraId="3485BF0D" w14:textId="07C538B0" w:rsidR="007B07ED" w:rsidRPr="004A360E" w:rsidRDefault="00F06516" w:rsidP="0097180C">
      <w:pPr>
        <w:pStyle w:val="Citationenretrait"/>
        <w:rPr>
          <w:lang w:val="en-US"/>
        </w:rPr>
      </w:pPr>
      <w:r>
        <w:rPr>
          <w:lang w:val="en-CA"/>
        </w:rPr>
        <w:t>39.</w:t>
      </w:r>
      <w:r>
        <w:rPr>
          <w:lang w:val="en-CA"/>
        </w:rPr>
        <w:tab/>
        <w:t xml:space="preserve">Besides what I just mentioned, the appellant never told me that his genitals had any other </w:t>
      </w:r>
      <w:r w:rsidR="00CF1B92">
        <w:rPr>
          <w:lang w:val="en-CA"/>
        </w:rPr>
        <w:t>distinctive characteristics</w:t>
      </w:r>
      <w:r>
        <w:rPr>
          <w:lang w:val="en-CA"/>
        </w:rPr>
        <w:t>;</w:t>
      </w:r>
    </w:p>
    <w:p w14:paraId="4FBDE576" w14:textId="44C17407" w:rsidR="007B07ED" w:rsidRPr="004A360E" w:rsidRDefault="00F06516" w:rsidP="0097180C">
      <w:pPr>
        <w:pStyle w:val="Citationenretrait"/>
        <w:rPr>
          <w:lang w:val="en-US"/>
        </w:rPr>
      </w:pPr>
      <w:r>
        <w:rPr>
          <w:lang w:val="en-CA"/>
        </w:rPr>
        <w:t>40.</w:t>
      </w:r>
      <w:r>
        <w:rPr>
          <w:lang w:val="en-CA"/>
        </w:rPr>
        <w:tab/>
        <w:t xml:space="preserve">That said, I must point out that during his </w:t>
      </w:r>
      <w:r w:rsidR="00257147">
        <w:rPr>
          <w:lang w:val="en-CA"/>
        </w:rPr>
        <w:t>examination</w:t>
      </w:r>
      <w:r>
        <w:rPr>
          <w:lang w:val="en-CA"/>
        </w:rPr>
        <w:t>-in-chief, the appellant said, in response to a question asking him to comment on the actions alleged by the complainants, that X had testified about his circumcision, but that he also had a birthmark on his penis and that she had not mentioned it;</w:t>
      </w:r>
    </w:p>
    <w:p w14:paraId="27FB6456" w14:textId="01F3F6E4" w:rsidR="000F13A1" w:rsidRPr="004A360E" w:rsidRDefault="00F06516" w:rsidP="0097180C">
      <w:pPr>
        <w:pStyle w:val="Citationenretrait"/>
        <w:rPr>
          <w:lang w:val="en-US"/>
        </w:rPr>
      </w:pPr>
      <w:r>
        <w:rPr>
          <w:lang w:val="en-CA"/>
        </w:rPr>
        <w:t>41.</w:t>
      </w:r>
      <w:r>
        <w:rPr>
          <w:lang w:val="en-CA"/>
        </w:rPr>
        <w:tab/>
        <w:t>I was surprised to hear the appellant mention this birthmark, as he had never mentioned it to me before. He had never asked me to cross-examine the complainants on this subject;</w:t>
      </w:r>
    </w:p>
    <w:p w14:paraId="1EFFFCAE" w14:textId="1A47C8FD" w:rsidR="009623DA" w:rsidRPr="004A360E" w:rsidRDefault="00F06516" w:rsidP="00A87718">
      <w:pPr>
        <w:pStyle w:val="Paragraphe"/>
        <w:rPr>
          <w:lang w:val="en-US"/>
        </w:rPr>
      </w:pPr>
      <w:r>
        <w:rPr>
          <w:lang w:val="en-CA"/>
        </w:rPr>
        <w:t xml:space="preserve">In other words, the appellant disclosed his circumcision to his counsel but did not tell him about his wart. This claim is not convincing. First of all, it does not seem logical: would the appellant have made the effort to tell his counsel about his circumcision in 2011 but not about the excision of the wart, which occurred at the same time? In the circumstances, we are skeptical. Similarly, given his behaviour at the trial and the remarks he spontaneously made during his testimony, it is difficult to imagine that the appellant only told his counsel about his circumcision </w:t>
      </w:r>
      <w:r>
        <w:rPr>
          <w:i/>
          <w:iCs/>
          <w:lang w:val="en-CA"/>
        </w:rPr>
        <w:t xml:space="preserve">without ever </w:t>
      </w:r>
      <w:r>
        <w:rPr>
          <w:lang w:val="en-CA"/>
        </w:rPr>
        <w:t xml:space="preserve">mentioning the excision of his wart (thus revealing its existence), as the two events occurred simultaneously. </w:t>
      </w:r>
      <w:r w:rsidR="00256D6C">
        <w:rPr>
          <w:lang w:val="en-CA"/>
        </w:rPr>
        <w:t>When</w:t>
      </w:r>
      <w:r>
        <w:rPr>
          <w:lang w:val="en-CA"/>
        </w:rPr>
        <w:t xml:space="preserve"> cross-</w:t>
      </w:r>
      <w:r w:rsidR="00256D6C">
        <w:rPr>
          <w:lang w:val="en-CA"/>
        </w:rPr>
        <w:t xml:space="preserve">examined counsel </w:t>
      </w:r>
      <w:r>
        <w:rPr>
          <w:lang w:val="en-CA"/>
        </w:rPr>
        <w:t xml:space="preserve">acknowledged that the appellant told him about the circumcision (but only the circumcision), while the appellant, in his own cross-examination, maintained that he had told him about both at the same time (even though he called it a birthmark instead of a wart). In light of all the </w:t>
      </w:r>
      <w:r w:rsidR="0004516C">
        <w:rPr>
          <w:lang w:val="en-CA"/>
        </w:rPr>
        <w:t>fresh</w:t>
      </w:r>
      <w:r>
        <w:rPr>
          <w:lang w:val="en-CA"/>
        </w:rPr>
        <w:t xml:space="preserve"> evidence, the latter version seems entirely plausible and preponderant.</w:t>
      </w:r>
    </w:p>
    <w:p w14:paraId="5FCEE41F" w14:textId="1834B728" w:rsidR="00A87718" w:rsidRPr="004A360E" w:rsidRDefault="00E737C1" w:rsidP="00CB0CF5">
      <w:pPr>
        <w:pStyle w:val="Paragraphe"/>
        <w:rPr>
          <w:lang w:val="en-US"/>
        </w:rPr>
      </w:pPr>
      <w:r>
        <w:rPr>
          <w:lang w:val="en-CA"/>
        </w:rPr>
        <w:lastRenderedPageBreak/>
        <w:t>Let us now turn to</w:t>
      </w:r>
      <w:r w:rsidR="00F06516">
        <w:rPr>
          <w:lang w:val="en-CA"/>
        </w:rPr>
        <w:t xml:space="preserve"> what the evidence reveals about counsel’s conduct during the trial, when the appellant testified about his [</w:t>
      </w:r>
      <w:r w:rsidRPr="009D6270">
        <w:rPr>
          <w:smallCaps/>
          <w:lang w:val="en-CA"/>
        </w:rPr>
        <w:t>translation</w:t>
      </w:r>
      <w:r w:rsidR="00F06516">
        <w:rPr>
          <w:lang w:val="en-CA"/>
        </w:rPr>
        <w:t>] “birthmark” and sought to cast doubt on the testimony of X, who had</w:t>
      </w:r>
      <w:r w:rsidR="0004516C">
        <w:rPr>
          <w:lang w:val="en-CA"/>
        </w:rPr>
        <w:t xml:space="preserve"> not </w:t>
      </w:r>
      <w:r w:rsidR="00F06516">
        <w:rPr>
          <w:lang w:val="en-CA"/>
        </w:rPr>
        <w:t xml:space="preserve">said a word about it. As we saw above, in his sworn statement, </w:t>
      </w:r>
      <w:r>
        <w:rPr>
          <w:lang w:val="en-CA"/>
        </w:rPr>
        <w:t xml:space="preserve">counsel </w:t>
      </w:r>
      <w:r w:rsidR="00F06516">
        <w:rPr>
          <w:lang w:val="en-CA"/>
        </w:rPr>
        <w:t>stated that he was [</w:t>
      </w:r>
      <w:r w:rsidRPr="009D6270">
        <w:rPr>
          <w:smallCaps/>
          <w:lang w:val="en-CA"/>
        </w:rPr>
        <w:t>translation</w:t>
      </w:r>
      <w:r w:rsidR="00F06516">
        <w:rPr>
          <w:lang w:val="en-CA"/>
        </w:rPr>
        <w:t xml:space="preserve">] “surprised” to hear his client </w:t>
      </w:r>
      <w:r>
        <w:rPr>
          <w:lang w:val="en-CA"/>
        </w:rPr>
        <w:t xml:space="preserve">refer to </w:t>
      </w:r>
      <w:r w:rsidR="00F06516">
        <w:rPr>
          <w:lang w:val="en-CA"/>
        </w:rPr>
        <w:t>this birthmark during his testimony.</w:t>
      </w:r>
      <w:r w:rsidR="00F06516">
        <w:rPr>
          <w:rStyle w:val="Appelnotedebasdep"/>
          <w:lang w:val="en-CA"/>
        </w:rPr>
        <w:footnoteReference w:id="63"/>
      </w:r>
      <w:r w:rsidR="00F06516">
        <w:rPr>
          <w:lang w:val="en-CA"/>
        </w:rPr>
        <w:t xml:space="preserve"> However, here is what he said during his cross-examination on July 8, 2022, in response to questions from the appellant’s new counsel:</w:t>
      </w:r>
    </w:p>
    <w:p w14:paraId="387B0767" w14:textId="3211E052" w:rsidR="00E737C1" w:rsidRDefault="00E737C1" w:rsidP="00457071">
      <w:pPr>
        <w:pStyle w:val="Citationenretrait"/>
        <w:rPr>
          <w:lang w:val="en-CA"/>
        </w:rPr>
      </w:pPr>
      <w:r>
        <w:rPr>
          <w:lang w:val="en-CA"/>
        </w:rPr>
        <w:t>[</w:t>
      </w:r>
      <w:r w:rsidRPr="009D6270">
        <w:rPr>
          <w:smallCaps/>
          <w:lang w:val="en-CA"/>
        </w:rPr>
        <w:t>translation</w:t>
      </w:r>
      <w:r>
        <w:rPr>
          <w:lang w:val="en-CA"/>
        </w:rPr>
        <w:t xml:space="preserve">] </w:t>
      </w:r>
    </w:p>
    <w:p w14:paraId="19F21722" w14:textId="7127864B" w:rsidR="00457071" w:rsidRPr="004A360E" w:rsidRDefault="00F06516" w:rsidP="00457071">
      <w:pPr>
        <w:pStyle w:val="Citationenretrait"/>
        <w:rPr>
          <w:lang w:val="en-US"/>
        </w:rPr>
      </w:pPr>
      <w:r>
        <w:rPr>
          <w:lang w:val="en-CA"/>
        </w:rPr>
        <w:t>Q.</w:t>
      </w:r>
      <w:r>
        <w:rPr>
          <w:lang w:val="en-CA"/>
        </w:rPr>
        <w:tab/>
        <w:t xml:space="preserve">I’m going to ask questions related to the... when Mr. Nadeau revealed during his testimony on October </w:t>
      </w:r>
      <w:r w:rsidR="00E737C1">
        <w:rPr>
          <w:lang w:val="en-CA"/>
        </w:rPr>
        <w:t>2, 2020,</w:t>
      </w:r>
      <w:r>
        <w:rPr>
          <w:lang w:val="en-CA"/>
        </w:rPr>
        <w:t xml:space="preserve"> that he had a birthmark. Do you confirm that this was the first time that Mr. Nadeau had talked about it?</w:t>
      </w:r>
    </w:p>
    <w:p w14:paraId="75780919" w14:textId="72A81E6C" w:rsidR="00457071" w:rsidRPr="004A360E" w:rsidRDefault="00F06516" w:rsidP="00457071">
      <w:pPr>
        <w:pStyle w:val="Citationenretrait"/>
        <w:rPr>
          <w:lang w:val="en-US"/>
        </w:rPr>
      </w:pPr>
      <w:r>
        <w:rPr>
          <w:lang w:val="en-CA"/>
        </w:rPr>
        <w:t>A.</w:t>
      </w:r>
      <w:r>
        <w:rPr>
          <w:lang w:val="en-CA"/>
        </w:rPr>
        <w:tab/>
        <w:t>Yes.</w:t>
      </w:r>
    </w:p>
    <w:p w14:paraId="59E48AB9" w14:textId="508302BB" w:rsidR="00457071" w:rsidRPr="004A360E" w:rsidRDefault="00F06516" w:rsidP="00457071">
      <w:pPr>
        <w:pStyle w:val="Citationenretrait"/>
        <w:rPr>
          <w:lang w:val="en-US"/>
        </w:rPr>
      </w:pPr>
      <w:r>
        <w:rPr>
          <w:lang w:val="en-CA"/>
        </w:rPr>
        <w:t>Q.</w:t>
      </w:r>
      <w:r>
        <w:rPr>
          <w:lang w:val="en-CA"/>
        </w:rPr>
        <w:tab/>
        <w:t>So, your reaction was that you were surprised... that’s what you said in your sworn statement, that you were surprised to have that information?</w:t>
      </w:r>
    </w:p>
    <w:p w14:paraId="41425732" w14:textId="630BF0DB" w:rsidR="00457071" w:rsidRPr="004A360E" w:rsidRDefault="00F06516" w:rsidP="00457071">
      <w:pPr>
        <w:pStyle w:val="Citationenretrait"/>
        <w:rPr>
          <w:lang w:val="en-US"/>
        </w:rPr>
      </w:pPr>
      <w:r>
        <w:rPr>
          <w:lang w:val="en-CA"/>
        </w:rPr>
        <w:t>A.</w:t>
      </w:r>
      <w:r>
        <w:rPr>
          <w:lang w:val="en-CA"/>
        </w:rPr>
        <w:tab/>
        <w:t>In which paragraph?</w:t>
      </w:r>
    </w:p>
    <w:p w14:paraId="1C620553" w14:textId="6852E299" w:rsidR="00457071" w:rsidRPr="004A360E" w:rsidRDefault="00F06516" w:rsidP="00457071">
      <w:pPr>
        <w:pStyle w:val="Citationenretrait"/>
        <w:rPr>
          <w:lang w:val="en-US"/>
        </w:rPr>
      </w:pPr>
      <w:r>
        <w:rPr>
          <w:lang w:val="en-CA"/>
        </w:rPr>
        <w:t>Q.</w:t>
      </w:r>
      <w:r>
        <w:rPr>
          <w:lang w:val="en-CA"/>
        </w:rPr>
        <w:tab/>
        <w:t>Paragraph 41.</w:t>
      </w:r>
    </w:p>
    <w:p w14:paraId="4BA38D44" w14:textId="0D09ACE8" w:rsidR="00457071" w:rsidRPr="004A360E" w:rsidRDefault="00F06516" w:rsidP="00457071">
      <w:pPr>
        <w:pStyle w:val="Citationenretrait"/>
        <w:rPr>
          <w:lang w:val="en-US"/>
        </w:rPr>
      </w:pPr>
      <w:r>
        <w:rPr>
          <w:lang w:val="en-CA"/>
        </w:rPr>
        <w:t>A.</w:t>
      </w:r>
      <w:r>
        <w:rPr>
          <w:lang w:val="en-CA"/>
        </w:rPr>
        <w:tab/>
        <w:t>From what I remember, yes. Yes.</w:t>
      </w:r>
    </w:p>
    <w:p w14:paraId="3D8F8E08" w14:textId="3764E699" w:rsidR="00457071" w:rsidRPr="004A360E" w:rsidRDefault="00F06516" w:rsidP="00457071">
      <w:pPr>
        <w:pStyle w:val="Citationenretrait"/>
        <w:rPr>
          <w:lang w:val="en-US"/>
        </w:rPr>
      </w:pPr>
      <w:r>
        <w:rPr>
          <w:lang w:val="en-CA"/>
        </w:rPr>
        <w:t>Q.</w:t>
      </w:r>
      <w:r>
        <w:rPr>
          <w:lang w:val="en-CA"/>
        </w:rPr>
        <w:tab/>
        <w:t xml:space="preserve">When you </w:t>
      </w:r>
      <w:r w:rsidR="00E737C1">
        <w:rPr>
          <w:lang w:val="en-CA"/>
        </w:rPr>
        <w:t xml:space="preserve">were </w:t>
      </w:r>
      <w:r>
        <w:rPr>
          <w:lang w:val="en-CA"/>
        </w:rPr>
        <w:t xml:space="preserve">surprised about that, do you... In fact, from what I understand from reading the transcripts—you’ve surely read them yourself—you </w:t>
      </w:r>
      <w:r w:rsidR="00E737C1">
        <w:rPr>
          <w:lang w:val="en-CA"/>
        </w:rPr>
        <w:t xml:space="preserve">nevertheless </w:t>
      </w:r>
      <w:r>
        <w:rPr>
          <w:lang w:val="en-CA"/>
        </w:rPr>
        <w:t>continued question</w:t>
      </w:r>
      <w:r w:rsidR="00FE4AD8">
        <w:rPr>
          <w:lang w:val="en-CA"/>
        </w:rPr>
        <w:t>ing</w:t>
      </w:r>
      <w:r>
        <w:rPr>
          <w:lang w:val="en-CA"/>
        </w:rPr>
        <w:t xml:space="preserve"> Mr. Nadeau before the judge, the </w:t>
      </w:r>
      <w:r w:rsidR="00FE4AD8">
        <w:rPr>
          <w:lang w:val="en-CA"/>
        </w:rPr>
        <w:t xml:space="preserve">proceedings </w:t>
      </w:r>
      <w:r>
        <w:rPr>
          <w:lang w:val="en-CA"/>
        </w:rPr>
        <w:t>continued normally?</w:t>
      </w:r>
    </w:p>
    <w:p w14:paraId="0552AC0A" w14:textId="546C52DB" w:rsidR="00457071" w:rsidRPr="004A360E" w:rsidRDefault="00F06516" w:rsidP="00457071">
      <w:pPr>
        <w:pStyle w:val="Citationenretrait"/>
        <w:rPr>
          <w:lang w:val="en-US"/>
        </w:rPr>
      </w:pPr>
      <w:r>
        <w:rPr>
          <w:lang w:val="en-CA"/>
        </w:rPr>
        <w:t>A.</w:t>
      </w:r>
      <w:r>
        <w:rPr>
          <w:lang w:val="en-CA"/>
        </w:rPr>
        <w:tab/>
        <w:t>Yes. Yes.</w:t>
      </w:r>
    </w:p>
    <w:p w14:paraId="306C8A15" w14:textId="4C220613" w:rsidR="00457071" w:rsidRPr="004A360E" w:rsidRDefault="00F06516" w:rsidP="00457071">
      <w:pPr>
        <w:pStyle w:val="Citationenretrait"/>
        <w:rPr>
          <w:lang w:val="en-US"/>
        </w:rPr>
      </w:pPr>
      <w:r>
        <w:rPr>
          <w:lang w:val="en-CA"/>
        </w:rPr>
        <w:t>Q.</w:t>
      </w:r>
      <w:r>
        <w:rPr>
          <w:lang w:val="en-CA"/>
        </w:rPr>
        <w:tab/>
        <w:t xml:space="preserve">You never asked the judge for </w:t>
      </w:r>
      <w:r w:rsidR="00E53C5D">
        <w:rPr>
          <w:lang w:val="en-CA"/>
        </w:rPr>
        <w:t>an adjournment</w:t>
      </w:r>
      <w:r>
        <w:rPr>
          <w:lang w:val="en-CA"/>
        </w:rPr>
        <w:t xml:space="preserve"> </w:t>
      </w:r>
      <w:r w:rsidR="00FE4AD8">
        <w:rPr>
          <w:lang w:val="en-CA"/>
        </w:rPr>
        <w:t>as a result of</w:t>
      </w:r>
      <w:r>
        <w:rPr>
          <w:lang w:val="en-CA"/>
        </w:rPr>
        <w:t xml:space="preserve"> this new information?</w:t>
      </w:r>
    </w:p>
    <w:p w14:paraId="3EBB0E23" w14:textId="674C0C36" w:rsidR="00457071" w:rsidRPr="004A360E" w:rsidRDefault="00F06516" w:rsidP="00457071">
      <w:pPr>
        <w:pStyle w:val="Citationenretrait"/>
        <w:rPr>
          <w:lang w:val="en-US"/>
        </w:rPr>
      </w:pPr>
      <w:r>
        <w:rPr>
          <w:lang w:val="en-CA"/>
        </w:rPr>
        <w:t>A.</w:t>
      </w:r>
      <w:r>
        <w:rPr>
          <w:lang w:val="en-CA"/>
        </w:rPr>
        <w:tab/>
        <w:t>No.</w:t>
      </w:r>
    </w:p>
    <w:p w14:paraId="05AEF507" w14:textId="0E445EAC" w:rsidR="00457071" w:rsidRPr="004A360E" w:rsidRDefault="00F06516" w:rsidP="00457071">
      <w:pPr>
        <w:pStyle w:val="Citationenretrait"/>
        <w:rPr>
          <w:lang w:val="en-US"/>
        </w:rPr>
      </w:pPr>
      <w:r>
        <w:rPr>
          <w:lang w:val="en-CA"/>
        </w:rPr>
        <w:t>Q.</w:t>
      </w:r>
      <w:r>
        <w:rPr>
          <w:lang w:val="en-CA"/>
        </w:rPr>
        <w:tab/>
      </w:r>
      <w:r w:rsidR="00E53C5D">
        <w:rPr>
          <w:lang w:val="en-CA"/>
        </w:rPr>
        <w:t>Thereafter, d</w:t>
      </w:r>
      <w:r>
        <w:rPr>
          <w:lang w:val="en-CA"/>
        </w:rPr>
        <w:t xml:space="preserve">id you speak </w:t>
      </w:r>
      <w:r w:rsidR="00E53C5D">
        <w:rPr>
          <w:lang w:val="en-CA"/>
        </w:rPr>
        <w:t>to</w:t>
      </w:r>
      <w:r>
        <w:rPr>
          <w:lang w:val="en-CA"/>
        </w:rPr>
        <w:t xml:space="preserve"> Mr. Nadeau about this birthmark immediately after his testimony?</w:t>
      </w:r>
    </w:p>
    <w:p w14:paraId="365F6C46" w14:textId="4A3A38CB" w:rsidR="00457071" w:rsidRPr="004A360E" w:rsidRDefault="00F06516" w:rsidP="00457071">
      <w:pPr>
        <w:pStyle w:val="Citationenretrait"/>
        <w:rPr>
          <w:lang w:val="en-US"/>
        </w:rPr>
      </w:pPr>
      <w:r>
        <w:rPr>
          <w:lang w:val="en-CA"/>
        </w:rPr>
        <w:t>A.</w:t>
      </w:r>
      <w:r>
        <w:rPr>
          <w:lang w:val="en-CA"/>
        </w:rPr>
        <w:tab/>
        <w:t>No.</w:t>
      </w:r>
    </w:p>
    <w:p w14:paraId="3FCAEE44" w14:textId="591ACB08" w:rsidR="00457071" w:rsidRPr="004A360E" w:rsidRDefault="00F06516" w:rsidP="00457071">
      <w:pPr>
        <w:pStyle w:val="Citationenretrait"/>
        <w:rPr>
          <w:lang w:val="en-US"/>
        </w:rPr>
      </w:pPr>
      <w:r>
        <w:rPr>
          <w:lang w:val="en-CA"/>
        </w:rPr>
        <w:lastRenderedPageBreak/>
        <w:t>Q.</w:t>
      </w:r>
      <w:r>
        <w:rPr>
          <w:lang w:val="en-CA"/>
        </w:rPr>
        <w:tab/>
        <w:t xml:space="preserve">You never asked any questions about it </w:t>
      </w:r>
      <w:r w:rsidR="00FE4AD8">
        <w:rPr>
          <w:lang w:val="en-CA"/>
        </w:rPr>
        <w:t>later</w:t>
      </w:r>
      <w:r>
        <w:rPr>
          <w:lang w:val="en-CA"/>
        </w:rPr>
        <w:t>?</w:t>
      </w:r>
    </w:p>
    <w:p w14:paraId="0067F3CB" w14:textId="69FAF7DE" w:rsidR="00457071" w:rsidRPr="004A360E" w:rsidRDefault="00F06516" w:rsidP="00457071">
      <w:pPr>
        <w:pStyle w:val="Citationenretrait"/>
        <w:rPr>
          <w:lang w:val="en-US"/>
        </w:rPr>
      </w:pPr>
      <w:r>
        <w:rPr>
          <w:lang w:val="en-CA"/>
        </w:rPr>
        <w:t>A.</w:t>
      </w:r>
      <w:r>
        <w:rPr>
          <w:lang w:val="en-CA"/>
        </w:rPr>
        <w:tab/>
        <w:t>No.</w:t>
      </w:r>
    </w:p>
    <w:p w14:paraId="55518E26" w14:textId="73EBD170" w:rsidR="00457071" w:rsidRPr="004A360E" w:rsidRDefault="00F06516" w:rsidP="00457071">
      <w:pPr>
        <w:pStyle w:val="Citationenretrait"/>
        <w:rPr>
          <w:lang w:val="en-US"/>
        </w:rPr>
      </w:pPr>
      <w:r>
        <w:rPr>
          <w:lang w:val="en-CA"/>
        </w:rPr>
        <w:t>Q.</w:t>
      </w:r>
      <w:r>
        <w:rPr>
          <w:lang w:val="en-CA"/>
        </w:rPr>
        <w:tab/>
        <w:t xml:space="preserve">You never asked him </w:t>
      </w:r>
      <w:r w:rsidR="00FE4AD8">
        <w:rPr>
          <w:lang w:val="en-CA"/>
        </w:rPr>
        <w:t>for more details about what</w:t>
      </w:r>
      <w:r>
        <w:rPr>
          <w:lang w:val="en-CA"/>
        </w:rPr>
        <w:t xml:space="preserve"> this birthmark</w:t>
      </w:r>
      <w:r w:rsidR="00FE4AD8">
        <w:rPr>
          <w:lang w:val="en-CA"/>
        </w:rPr>
        <w:t xml:space="preserve"> was</w:t>
      </w:r>
      <w:r>
        <w:rPr>
          <w:lang w:val="en-CA"/>
        </w:rPr>
        <w:t>?</w:t>
      </w:r>
    </w:p>
    <w:p w14:paraId="3FF001AA" w14:textId="286B6942" w:rsidR="00457071" w:rsidRPr="004A360E" w:rsidRDefault="00F06516" w:rsidP="00457071">
      <w:pPr>
        <w:pStyle w:val="Citationenretrait"/>
        <w:rPr>
          <w:lang w:val="en-US"/>
        </w:rPr>
      </w:pPr>
      <w:r>
        <w:rPr>
          <w:lang w:val="en-CA"/>
        </w:rPr>
        <w:t>A.</w:t>
      </w:r>
      <w:r>
        <w:rPr>
          <w:lang w:val="en-CA"/>
        </w:rPr>
        <w:tab/>
        <w:t>No.</w:t>
      </w:r>
    </w:p>
    <w:p w14:paraId="0F44D5C8" w14:textId="19B5FA3B" w:rsidR="00457071" w:rsidRPr="004A360E" w:rsidRDefault="00F06516" w:rsidP="00457071">
      <w:pPr>
        <w:pStyle w:val="Citationenretrait"/>
        <w:rPr>
          <w:lang w:val="en-US"/>
        </w:rPr>
      </w:pPr>
      <w:r>
        <w:rPr>
          <w:lang w:val="en-CA"/>
        </w:rPr>
        <w:t>Q.</w:t>
      </w:r>
      <w:r>
        <w:rPr>
          <w:lang w:val="en-CA"/>
        </w:rPr>
        <w:tab/>
        <w:t>So, it was October</w:t>
      </w:r>
      <w:r w:rsidR="00FE4AD8">
        <w:rPr>
          <w:lang w:val="en-CA"/>
        </w:rPr>
        <w:t xml:space="preserve"> 2</w:t>
      </w:r>
      <w:r>
        <w:rPr>
          <w:lang w:val="en-CA"/>
        </w:rPr>
        <w:t xml:space="preserve">, </w:t>
      </w:r>
      <w:r w:rsidR="00FE4AD8">
        <w:rPr>
          <w:lang w:val="en-CA"/>
        </w:rPr>
        <w:t>2020,</w:t>
      </w:r>
      <w:r>
        <w:rPr>
          <w:lang w:val="en-CA"/>
        </w:rPr>
        <w:t xml:space="preserve"> and we heard that the next court date was November</w:t>
      </w:r>
      <w:r w:rsidR="00FE4AD8">
        <w:rPr>
          <w:lang w:val="en-CA"/>
        </w:rPr>
        <w:t xml:space="preserve"> 12</w:t>
      </w:r>
      <w:r>
        <w:rPr>
          <w:lang w:val="en-CA"/>
        </w:rPr>
        <w:t xml:space="preserve">, </w:t>
      </w:r>
      <w:r w:rsidR="00FE4AD8">
        <w:rPr>
          <w:lang w:val="en-CA"/>
        </w:rPr>
        <w:t>2020.</w:t>
      </w:r>
      <w:r>
        <w:rPr>
          <w:lang w:val="en-CA"/>
        </w:rPr>
        <w:t xml:space="preserve"> which is when there was a discussion about the... the... re</w:t>
      </w:r>
      <w:r w:rsidR="00AE0E74">
        <w:rPr>
          <w:lang w:val="en-CA"/>
        </w:rPr>
        <w:noBreakHyphen/>
      </w:r>
      <w:r>
        <w:rPr>
          <w:lang w:val="en-CA"/>
        </w:rPr>
        <w:t>examination of specific witnesses?</w:t>
      </w:r>
      <w:r>
        <w:rPr>
          <w:rStyle w:val="Appelnotedebasdep"/>
          <w:lang w:val="en-CA"/>
        </w:rPr>
        <w:footnoteReference w:id="64"/>
      </w:r>
    </w:p>
    <w:p w14:paraId="1F3AE546" w14:textId="31B6661C" w:rsidR="00457071" w:rsidRPr="004A360E" w:rsidRDefault="00F06516" w:rsidP="00457071">
      <w:pPr>
        <w:pStyle w:val="Citationenretrait"/>
        <w:rPr>
          <w:lang w:val="en-US"/>
        </w:rPr>
      </w:pPr>
      <w:r>
        <w:rPr>
          <w:lang w:val="en-CA"/>
        </w:rPr>
        <w:t>A.</w:t>
      </w:r>
      <w:r>
        <w:rPr>
          <w:lang w:val="en-CA"/>
        </w:rPr>
        <w:tab/>
        <w:t>Yes.</w:t>
      </w:r>
    </w:p>
    <w:p w14:paraId="0158DE43" w14:textId="581415DD" w:rsidR="00457071" w:rsidRPr="004A360E" w:rsidRDefault="00F06516" w:rsidP="00457071">
      <w:pPr>
        <w:pStyle w:val="Citationenretrait"/>
        <w:rPr>
          <w:lang w:val="en-US"/>
        </w:rPr>
      </w:pPr>
      <w:r>
        <w:rPr>
          <w:lang w:val="en-CA"/>
        </w:rPr>
        <w:t>Q.</w:t>
      </w:r>
      <w:r>
        <w:rPr>
          <w:lang w:val="en-CA"/>
        </w:rPr>
        <w:tab/>
        <w:t xml:space="preserve">Okay. So, what I understand is that after you got the information about the birthmark, when Mr. Nadeau </w:t>
      </w:r>
      <w:r w:rsidR="005574D9">
        <w:rPr>
          <w:lang w:val="en-CA"/>
        </w:rPr>
        <w:t xml:space="preserve">said </w:t>
      </w:r>
      <w:r>
        <w:rPr>
          <w:lang w:val="en-CA"/>
        </w:rPr>
        <w:t>it in the courtroom, afterward, you never took any steps to find out more about it?</w:t>
      </w:r>
    </w:p>
    <w:p w14:paraId="49537426" w14:textId="203F79B0" w:rsidR="00457071" w:rsidRPr="004A360E" w:rsidRDefault="00F06516" w:rsidP="00457071">
      <w:pPr>
        <w:pStyle w:val="Citationenretrait"/>
        <w:rPr>
          <w:lang w:val="en-US"/>
        </w:rPr>
      </w:pPr>
      <w:r>
        <w:rPr>
          <w:lang w:val="en-CA"/>
        </w:rPr>
        <w:t>A.</w:t>
      </w:r>
      <w:r>
        <w:rPr>
          <w:lang w:val="en-CA"/>
        </w:rPr>
        <w:tab/>
        <w:t>No. No.</w:t>
      </w:r>
    </w:p>
    <w:p w14:paraId="123E931E" w14:textId="4909FEA7" w:rsidR="00457071" w:rsidRPr="004A360E" w:rsidRDefault="00F06516" w:rsidP="00457071">
      <w:pPr>
        <w:pStyle w:val="Citationenretrait"/>
        <w:rPr>
          <w:lang w:val="en-US"/>
        </w:rPr>
      </w:pPr>
      <w:r>
        <w:rPr>
          <w:lang w:val="en-CA"/>
        </w:rPr>
        <w:t>Q.</w:t>
      </w:r>
      <w:r>
        <w:rPr>
          <w:lang w:val="en-CA"/>
        </w:rPr>
        <w:tab/>
        <w:t xml:space="preserve">And you also didn’t take any steps to obtain medical records from the Centre </w:t>
      </w:r>
      <w:proofErr w:type="spellStart"/>
      <w:r>
        <w:rPr>
          <w:lang w:val="en-CA"/>
        </w:rPr>
        <w:t>hospitalier</w:t>
      </w:r>
      <w:proofErr w:type="spellEnd"/>
      <w:r>
        <w:rPr>
          <w:lang w:val="en-CA"/>
        </w:rPr>
        <w:t xml:space="preserve"> de Rouyn-Noranda either, is that correct?</w:t>
      </w:r>
    </w:p>
    <w:p w14:paraId="37003DCC" w14:textId="1597AC29" w:rsidR="00457071" w:rsidRPr="004A360E" w:rsidRDefault="00F06516" w:rsidP="00457071">
      <w:pPr>
        <w:pStyle w:val="Citationenretrait"/>
        <w:rPr>
          <w:lang w:val="en-US"/>
        </w:rPr>
      </w:pPr>
      <w:r>
        <w:rPr>
          <w:lang w:val="en-CA"/>
        </w:rPr>
        <w:t>A.</w:t>
      </w:r>
      <w:r>
        <w:rPr>
          <w:lang w:val="en-CA"/>
        </w:rPr>
        <w:tab/>
        <w:t xml:space="preserve">There are several </w:t>
      </w:r>
      <w:r w:rsidR="005574D9">
        <w:rPr>
          <w:lang w:val="en-CA"/>
        </w:rPr>
        <w:t xml:space="preserve">aspects </w:t>
      </w:r>
      <w:r>
        <w:rPr>
          <w:lang w:val="en-CA"/>
        </w:rPr>
        <w:t>to your question. With regard to the birthmark, I reviewed the notes and transcript of when he started talking about the birthmark, and I do not clearly remember hearing it when he said it.</w:t>
      </w:r>
    </w:p>
    <w:p w14:paraId="7EFB391B" w14:textId="18976EB2" w:rsidR="00457071" w:rsidRPr="004A360E" w:rsidRDefault="00F06516" w:rsidP="00457071">
      <w:pPr>
        <w:pStyle w:val="Citationenretrait"/>
        <w:rPr>
          <w:lang w:val="en-US"/>
        </w:rPr>
      </w:pPr>
      <w:r>
        <w:rPr>
          <w:lang w:val="en-CA"/>
        </w:rPr>
        <w:tab/>
        <w:t>I’m not saying he didn’t say it, because there’s a transcript, and yes, it says “birthmark,” but when I read the transcripts, I said I didn’t hear it. Did I... It was at the beginning of COVID, with the plexiglass, and we were sitting several metres apart. I don’t remember hearing it.</w:t>
      </w:r>
    </w:p>
    <w:p w14:paraId="059EA1FF" w14:textId="32952A97" w:rsidR="00457071" w:rsidRPr="004A360E" w:rsidRDefault="00F06516" w:rsidP="00457071">
      <w:pPr>
        <w:pStyle w:val="Citationenretrait"/>
        <w:rPr>
          <w:lang w:val="en-US"/>
        </w:rPr>
      </w:pPr>
      <w:r>
        <w:rPr>
          <w:lang w:val="en-CA"/>
        </w:rPr>
        <w:tab/>
        <w:t>I’m not saying he didn’t say it, if it’s in the transcript, he said it, but I don’t remember hearing it, so I didn’t question him about it, and then I didn’t ask Mr. Nadeau about it later.</w:t>
      </w:r>
      <w:r>
        <w:rPr>
          <w:rStyle w:val="Appelnotedebasdep"/>
          <w:lang w:val="en-CA"/>
        </w:rPr>
        <w:footnoteReference w:id="65"/>
      </w:r>
    </w:p>
    <w:p w14:paraId="042E5AAA" w14:textId="0516AE10" w:rsidR="00457071" w:rsidRPr="004A360E" w:rsidRDefault="00F06516" w:rsidP="00B82411">
      <w:pPr>
        <w:pStyle w:val="Paragraphe"/>
        <w:rPr>
          <w:lang w:val="en-US"/>
        </w:rPr>
      </w:pPr>
      <w:r>
        <w:rPr>
          <w:lang w:val="en-CA"/>
        </w:rPr>
        <w:t xml:space="preserve">This long </w:t>
      </w:r>
      <w:r w:rsidR="00AE0E74">
        <w:rPr>
          <w:lang w:val="en-CA"/>
        </w:rPr>
        <w:t>excerpt</w:t>
      </w:r>
      <w:r>
        <w:rPr>
          <w:lang w:val="en-CA"/>
        </w:rPr>
        <w:t xml:space="preserve"> is perplexing: counsel, as he confirmed in his sworn statement and reiterated at the beginning of the above </w:t>
      </w:r>
      <w:r w:rsidR="00AE0E74">
        <w:rPr>
          <w:lang w:val="en-CA"/>
        </w:rPr>
        <w:t>excerpt</w:t>
      </w:r>
      <w:r>
        <w:rPr>
          <w:lang w:val="en-CA"/>
        </w:rPr>
        <w:t>, was [</w:t>
      </w:r>
      <w:r w:rsidR="005574D9" w:rsidRPr="009D6270">
        <w:rPr>
          <w:smallCaps/>
          <w:lang w:val="en-CA"/>
        </w:rPr>
        <w:t>translation</w:t>
      </w:r>
      <w:r>
        <w:rPr>
          <w:lang w:val="en-CA"/>
        </w:rPr>
        <w:t>] “surprised to hear the appellant mention this birthmark” during his testimony,</w:t>
      </w:r>
      <w:r>
        <w:rPr>
          <w:rStyle w:val="Appelnotedebasdep"/>
          <w:lang w:val="en-CA"/>
        </w:rPr>
        <w:footnoteReference w:id="66"/>
      </w:r>
      <w:r>
        <w:rPr>
          <w:lang w:val="en-CA"/>
        </w:rPr>
        <w:t xml:space="preserve"> but he also stated that in fact he did not hear it, noting it only when he was reading the transcript. And why didn’t he </w:t>
      </w:r>
      <w:r>
        <w:rPr>
          <w:lang w:val="en-CA"/>
        </w:rPr>
        <w:lastRenderedPageBreak/>
        <w:t>hear it? Because of the plexiglass and the distance between him and his client during the trial.</w:t>
      </w:r>
    </w:p>
    <w:p w14:paraId="086B7865" w14:textId="4AB924FC" w:rsidR="00CD3A92" w:rsidRPr="004A360E" w:rsidRDefault="00F06516" w:rsidP="00835984">
      <w:pPr>
        <w:pStyle w:val="Paragraphe"/>
        <w:rPr>
          <w:lang w:val="en-US"/>
        </w:rPr>
      </w:pPr>
      <w:r>
        <w:rPr>
          <w:lang w:val="en-CA"/>
        </w:rPr>
        <w:t>This blatant contradiction seriously undermines counsel’s credibility and reliability: was he surprised to hear his client mention the birthmark during his testimony or did he not hear him say it? Only one of these scenarios is true, as both cannot be true at the same time</w:t>
      </w:r>
      <w:r w:rsidR="00F85A3B">
        <w:rPr>
          <w:lang w:val="en-CA"/>
        </w:rPr>
        <w:t xml:space="preserve">. </w:t>
      </w:r>
      <w:r w:rsidR="00AE0E74">
        <w:rPr>
          <w:lang w:val="en-CA"/>
        </w:rPr>
        <w:t>Moreover,</w:t>
      </w:r>
      <w:r>
        <w:rPr>
          <w:lang w:val="en-CA"/>
        </w:rPr>
        <w:t xml:space="preserve"> this element is directly related to the core of the appellant’s allegation. Counsel has undermined his own testimony by providing two contradictory explanations.</w:t>
      </w:r>
    </w:p>
    <w:p w14:paraId="66530E80" w14:textId="326FB34F" w:rsidR="007A10AD" w:rsidRPr="004A360E" w:rsidRDefault="00F06516" w:rsidP="007C004F">
      <w:pPr>
        <w:pStyle w:val="Paragraphe"/>
        <w:rPr>
          <w:lang w:val="en-US"/>
        </w:rPr>
      </w:pPr>
      <w:r>
        <w:rPr>
          <w:lang w:val="en-CA"/>
        </w:rPr>
        <w:t>It must also be said that it seems quite unlikely that counsel did not hear the appellant, despite the plexiglass and the distance. We are not talking about missing a word or two</w:t>
      </w:r>
      <w:r w:rsidR="00F85A3B">
        <w:rPr>
          <w:lang w:val="en-CA"/>
        </w:rPr>
        <w:t>,</w:t>
      </w:r>
      <w:r>
        <w:rPr>
          <w:lang w:val="en-CA"/>
        </w:rPr>
        <w:t xml:space="preserve"> but the entire </w:t>
      </w:r>
      <w:r w:rsidR="00F85A3B">
        <w:rPr>
          <w:lang w:val="en-CA"/>
        </w:rPr>
        <w:t>answer</w:t>
      </w:r>
      <w:r>
        <w:rPr>
          <w:lang w:val="en-CA"/>
        </w:rPr>
        <w:t xml:space="preserve">, which was articulated in more than </w:t>
      </w:r>
      <w:r w:rsidR="00F85A3B">
        <w:rPr>
          <w:lang w:val="en-CA"/>
        </w:rPr>
        <w:t>a second or</w:t>
      </w:r>
      <w:r>
        <w:rPr>
          <w:lang w:val="en-CA"/>
        </w:rPr>
        <w:t xml:space="preserve"> two. Incidentally, if counsel had not heard it, it is </w:t>
      </w:r>
      <w:r w:rsidR="00751A0F">
        <w:rPr>
          <w:lang w:val="en-CA"/>
        </w:rPr>
        <w:t>un</w:t>
      </w:r>
      <w:r>
        <w:rPr>
          <w:lang w:val="en-CA"/>
        </w:rPr>
        <w:t>clear why he did not ask the appellant to repeat what he had just said, which would have been the normal reaction of someone who had asked an important question (which it was) and had not heard the answer. Even if counsel’s claim turns out to be true, it should be seen as an unfortunate example of ineffectiveness (</w:t>
      </w:r>
      <w:r w:rsidR="00F85A3B">
        <w:rPr>
          <w:lang w:val="en-CA"/>
        </w:rPr>
        <w:t>unintentional</w:t>
      </w:r>
      <w:r>
        <w:rPr>
          <w:lang w:val="en-CA"/>
        </w:rPr>
        <w:t>, no doubt, but nonetheless real).</w:t>
      </w:r>
    </w:p>
    <w:p w14:paraId="084E3363" w14:textId="76DB9FD2" w:rsidR="00272F47" w:rsidRPr="004A360E" w:rsidRDefault="00F06516" w:rsidP="00835984">
      <w:pPr>
        <w:pStyle w:val="Paragraphe"/>
        <w:rPr>
          <w:lang w:val="en-US"/>
        </w:rPr>
      </w:pPr>
      <w:r>
        <w:rPr>
          <w:lang w:val="en-CA"/>
        </w:rPr>
        <w:t>But all things considered, in light of all the statements made by the appellant and counsel both in writing and during their respective cross-examinations, this Court considers that the appellant has sufficiently established that he informed his former counsel, in sufficient time, of the existence of his birthmark/wart, that is, at the same time that he informed him of his circumcision, well before the trial.</w:t>
      </w:r>
    </w:p>
    <w:p w14:paraId="26DA537D" w14:textId="7E84CB18" w:rsidR="004D6FD3" w:rsidRPr="004A360E" w:rsidRDefault="00F06516" w:rsidP="00272F47">
      <w:pPr>
        <w:pStyle w:val="Paragraphe"/>
        <w:rPr>
          <w:lang w:val="en-US"/>
        </w:rPr>
      </w:pPr>
      <w:r>
        <w:rPr>
          <w:lang w:val="en-CA"/>
        </w:rPr>
        <w:t>And what did counsel do with this information? Nothing. He did not conduct any research before the trial nor, apparently, did he ask for any explanation. When his client testified</w:t>
      </w:r>
      <w:r w:rsidR="00751A0F">
        <w:rPr>
          <w:lang w:val="en-CA"/>
        </w:rPr>
        <w:t xml:space="preserve"> about</w:t>
      </w:r>
      <w:r>
        <w:rPr>
          <w:lang w:val="en-CA"/>
        </w:rPr>
        <w:t xml:space="preserve"> the existence of this anomaly during the trial, he did not react to the information (or was not paying attention), did not ask any additional questions on the subject, and moved on to something else. He did not attempt to verify the information and did not discuss it with the appellant. It was as if he </w:t>
      </w:r>
      <w:r w:rsidR="000B0670">
        <w:rPr>
          <w:lang w:val="en-CA"/>
        </w:rPr>
        <w:t xml:space="preserve">had </w:t>
      </w:r>
      <w:r>
        <w:rPr>
          <w:lang w:val="en-CA"/>
        </w:rPr>
        <w:t xml:space="preserve">never said anything: he was not questioned on this point, </w:t>
      </w:r>
      <w:r w:rsidR="000B0670">
        <w:rPr>
          <w:lang w:val="en-CA"/>
        </w:rPr>
        <w:t xml:space="preserve">he was not re-examined, </w:t>
      </w:r>
      <w:r>
        <w:rPr>
          <w:lang w:val="en-CA"/>
        </w:rPr>
        <w:t xml:space="preserve">nor </w:t>
      </w:r>
      <w:r w:rsidR="00751A0F">
        <w:rPr>
          <w:lang w:val="en-CA"/>
        </w:rPr>
        <w:t xml:space="preserve">was there any re-examination of </w:t>
      </w:r>
      <w:r>
        <w:rPr>
          <w:lang w:val="en-CA"/>
        </w:rPr>
        <w:t xml:space="preserve">the complainants or their mother (who must </w:t>
      </w:r>
      <w:r w:rsidR="000B0670">
        <w:rPr>
          <w:lang w:val="en-CA"/>
        </w:rPr>
        <w:t>be given</w:t>
      </w:r>
      <w:r w:rsidR="00F85A3B">
        <w:rPr>
          <w:lang w:val="en-CA"/>
        </w:rPr>
        <w:t xml:space="preserve"> </w:t>
      </w:r>
      <w:r>
        <w:rPr>
          <w:lang w:val="en-CA"/>
        </w:rPr>
        <w:t>the opportunity to testify on this subject), and no request was made in this regard.</w:t>
      </w:r>
    </w:p>
    <w:p w14:paraId="3F4D6EC5" w14:textId="372454AC" w:rsidR="00645974" w:rsidRPr="00941800" w:rsidRDefault="00651D56" w:rsidP="00645974">
      <w:pPr>
        <w:pStyle w:val="Paragraphe"/>
      </w:pPr>
      <w:r>
        <w:rPr>
          <w:lang w:val="en-CA"/>
        </w:rPr>
        <w:t xml:space="preserve">This was not a trivial </w:t>
      </w:r>
      <w:r w:rsidR="00F06516">
        <w:rPr>
          <w:lang w:val="en-CA"/>
        </w:rPr>
        <w:t>matter</w:t>
      </w:r>
      <w:r>
        <w:rPr>
          <w:lang w:val="en-CA"/>
        </w:rPr>
        <w:t>,</w:t>
      </w:r>
      <w:r w:rsidR="00F06516">
        <w:rPr>
          <w:lang w:val="en-CA"/>
        </w:rPr>
        <w:t xml:space="preserve"> </w:t>
      </w:r>
      <w:r>
        <w:rPr>
          <w:lang w:val="en-CA"/>
        </w:rPr>
        <w:t xml:space="preserve">however, </w:t>
      </w:r>
      <w:r w:rsidR="00F06516">
        <w:rPr>
          <w:lang w:val="en-CA"/>
        </w:rPr>
        <w:t xml:space="preserve">and, considering the nature of the </w:t>
      </w:r>
      <w:r w:rsidR="000B0670">
        <w:rPr>
          <w:lang w:val="en-CA"/>
        </w:rPr>
        <w:t>charges</w:t>
      </w:r>
      <w:r w:rsidR="00F06516">
        <w:rPr>
          <w:lang w:val="en-CA"/>
        </w:rPr>
        <w:t xml:space="preserve"> filed against the appellant and of his defence (complete denial), it could have been a decisive factor. It must be said that counsel, who had received the evidence from Crown </w:t>
      </w:r>
      <w:r w:rsidR="000B0670">
        <w:rPr>
          <w:lang w:val="en-CA"/>
        </w:rPr>
        <w:t>counsel</w:t>
      </w:r>
      <w:r w:rsidR="00F06516">
        <w:rPr>
          <w:lang w:val="en-CA"/>
        </w:rPr>
        <w:t>, had the plaintiffs’ statements to the police in his possession, including X’s statement (</w:t>
      </w:r>
      <w:r w:rsidR="000B0670">
        <w:rPr>
          <w:lang w:val="en-CA"/>
        </w:rPr>
        <w:t xml:space="preserve">moreover, </w:t>
      </w:r>
      <w:r w:rsidR="00F06516">
        <w:rPr>
          <w:lang w:val="en-CA"/>
        </w:rPr>
        <w:t>counsel had submitted these statements to the appellant</w:t>
      </w:r>
      <w:r w:rsidR="00F06516">
        <w:rPr>
          <w:rStyle w:val="Appelnotedebasdep"/>
          <w:lang w:val="en-CA"/>
        </w:rPr>
        <w:footnoteReference w:id="67"/>
      </w:r>
      <w:r w:rsidR="00F06516">
        <w:rPr>
          <w:lang w:val="en-CA"/>
        </w:rPr>
        <w:t xml:space="preserve">). This statement is particularly interesting in that it contains a precise description of the appellant’s genitals (size from various angles, hairiness, colour, the fact that he was </w:t>
      </w:r>
      <w:r w:rsidR="00F06516">
        <w:rPr>
          <w:lang w:val="en-CA"/>
        </w:rPr>
        <w:lastRenderedPageBreak/>
        <w:t>uncircumcised, and other details) but makes no mention of the wart, which he had until 2010 (after which date the alleged sexual assault and physical touching stopped, according to the complainants, but the appellant continued exposing himself to them</w:t>
      </w:r>
      <w:r w:rsidR="00F06516">
        <w:rPr>
          <w:rStyle w:val="Appelnotedebasdep"/>
          <w:lang w:val="en-CA"/>
        </w:rPr>
        <w:footnoteReference w:id="68"/>
      </w:r>
      <w:r w:rsidR="00F06516">
        <w:rPr>
          <w:lang w:val="en-CA"/>
        </w:rPr>
        <w:t xml:space="preserve">), nor does it mention the </w:t>
      </w:r>
      <w:r w:rsidR="0048487F">
        <w:rPr>
          <w:lang w:val="en-CA"/>
        </w:rPr>
        <w:t xml:space="preserve">post-2011 </w:t>
      </w:r>
      <w:r w:rsidR="00F06516">
        <w:rPr>
          <w:lang w:val="en-CA"/>
        </w:rPr>
        <w:t>circumcision. Here is the text of this statement:</w:t>
      </w:r>
    </w:p>
    <w:p w14:paraId="67369D00" w14:textId="7BE9E978" w:rsidR="0048487F" w:rsidRDefault="00F06516" w:rsidP="00645974">
      <w:pPr>
        <w:pStyle w:val="Citationenretrait"/>
        <w:rPr>
          <w:lang w:val="en-CA"/>
        </w:rPr>
      </w:pPr>
      <w:r>
        <w:rPr>
          <w:lang w:val="en-CA"/>
        </w:rPr>
        <w:t>[</w:t>
      </w:r>
      <w:r w:rsidR="0048487F" w:rsidRPr="009D6270">
        <w:rPr>
          <w:smallCaps/>
          <w:lang w:val="en-CA"/>
        </w:rPr>
        <w:t>translation</w:t>
      </w:r>
      <w:r>
        <w:rPr>
          <w:lang w:val="en-CA"/>
        </w:rPr>
        <w:t>]</w:t>
      </w:r>
    </w:p>
    <w:p w14:paraId="4BBAFB7C" w14:textId="16894451" w:rsidR="00645974" w:rsidRPr="004A360E" w:rsidRDefault="00F06516" w:rsidP="00645974">
      <w:pPr>
        <w:pStyle w:val="Citationenretrait"/>
        <w:rPr>
          <w:lang w:val="en-US"/>
        </w:rPr>
      </w:pPr>
      <w:r>
        <w:rPr>
          <w:lang w:val="en-CA"/>
        </w:rPr>
        <w:t xml:space="preserve"> When I met with her at the police station, </w:t>
      </w:r>
      <w:r w:rsidR="0048487F">
        <w:rPr>
          <w:lang w:val="en-CA"/>
        </w:rPr>
        <w:t>Ms. S.</w:t>
      </w:r>
      <w:r w:rsidR="000B0670">
        <w:rPr>
          <w:lang w:val="en-CA"/>
        </w:rPr>
        <w:t xml:space="preserve"> </w:t>
      </w:r>
      <w:r w:rsidR="0048487F">
        <w:rPr>
          <w:lang w:val="en-CA"/>
        </w:rPr>
        <w:t xml:space="preserve">S. </w:t>
      </w:r>
      <w:r>
        <w:rPr>
          <w:lang w:val="en-CA"/>
        </w:rPr>
        <w:t xml:space="preserve">made a statement to me about the sexual assault that you </w:t>
      </w:r>
      <w:r w:rsidR="0048487F">
        <w:rPr>
          <w:lang w:val="en-CA"/>
        </w:rPr>
        <w:t xml:space="preserve">were subjected to </w:t>
      </w:r>
      <w:r>
        <w:rPr>
          <w:lang w:val="en-CA"/>
        </w:rPr>
        <w:t>by Maurice Nadeau, are you able to describe to us any distinctive features, marks or scars on his body?</w:t>
      </w:r>
    </w:p>
    <w:p w14:paraId="2D4853CA" w14:textId="40C5C63E" w:rsidR="00645974" w:rsidRPr="004A360E" w:rsidRDefault="00F06516" w:rsidP="009D6270">
      <w:pPr>
        <w:pStyle w:val="Citationenretrait"/>
        <w:spacing w:after="0"/>
        <w:rPr>
          <w:lang w:val="en-US"/>
        </w:rPr>
      </w:pPr>
      <w:r>
        <w:rPr>
          <w:lang w:val="en-CA"/>
        </w:rPr>
        <w:t>Nothing significant on his body. There was a big contrast between his neck, which was much more tanned than his torso. It was even more noticeable in the summer. It was most probably because of his work outside in the sun in a grader cabin.</w:t>
      </w:r>
    </w:p>
    <w:p w14:paraId="515F2934" w14:textId="209CF344" w:rsidR="00645974" w:rsidRPr="004A360E" w:rsidRDefault="00F06516" w:rsidP="005B6399">
      <w:pPr>
        <w:pStyle w:val="Citationenretrait"/>
        <w:spacing w:before="0" w:after="0"/>
        <w:rPr>
          <w:lang w:val="en-US"/>
        </w:rPr>
      </w:pPr>
      <w:r>
        <w:rPr>
          <w:lang w:val="en-CA"/>
        </w:rPr>
        <w:t>__________</w:t>
      </w:r>
    </w:p>
    <w:p w14:paraId="5AC9D062" w14:textId="46C4FC57" w:rsidR="00645974" w:rsidRPr="004A360E" w:rsidRDefault="00F06516" w:rsidP="00645974">
      <w:pPr>
        <w:pStyle w:val="Citationenretrait"/>
        <w:rPr>
          <w:lang w:val="en-US"/>
        </w:rPr>
      </w:pPr>
      <w:r>
        <w:rPr>
          <w:lang w:val="en-CA"/>
        </w:rPr>
        <w:t>Can you describe Maurice Nadeau’s pelvic area to me?</w:t>
      </w:r>
    </w:p>
    <w:p w14:paraId="50403F51" w14:textId="39B88718" w:rsidR="00645974" w:rsidRPr="004A360E" w:rsidRDefault="00F06516" w:rsidP="009D6270">
      <w:pPr>
        <w:pStyle w:val="Citationenretrait"/>
        <w:spacing w:after="0"/>
        <w:rPr>
          <w:lang w:val="en-US"/>
        </w:rPr>
      </w:pPr>
      <w:r>
        <w:rPr>
          <w:lang w:val="en-CA"/>
        </w:rPr>
        <w:tab/>
        <w:t xml:space="preserve">His bum is white, not really hairy, like an old man, not muscular but not a “flat </w:t>
      </w:r>
      <w:proofErr w:type="spellStart"/>
      <w:r>
        <w:rPr>
          <w:lang w:val="en-CA"/>
        </w:rPr>
        <w:t>b</w:t>
      </w:r>
      <w:r w:rsidR="00F01C22">
        <w:rPr>
          <w:lang w:val="en-CA"/>
        </w:rPr>
        <w:t>o</w:t>
      </w:r>
      <w:r>
        <w:rPr>
          <w:lang w:val="en-CA"/>
        </w:rPr>
        <w:t>m</w:t>
      </w:r>
      <w:proofErr w:type="spellEnd"/>
      <w:r>
        <w:rPr>
          <w:lang w:val="en-CA"/>
        </w:rPr>
        <w:t>” either. His hips are average width. He was always hairy above his penis</w:t>
      </w:r>
      <w:r w:rsidR="00911378">
        <w:rPr>
          <w:lang w:val="en-CA"/>
        </w:rPr>
        <w:t>,</w:t>
      </w:r>
      <w:r>
        <w:rPr>
          <w:lang w:val="en-CA"/>
        </w:rPr>
        <w:t xml:space="preserve"> but his body is not very hairy in general. He never shaved anywhere </w:t>
      </w:r>
      <w:r w:rsidR="00F01C22">
        <w:rPr>
          <w:lang w:val="en-CA"/>
        </w:rPr>
        <w:t xml:space="preserve">except his face </w:t>
      </w:r>
      <w:r>
        <w:rPr>
          <w:lang w:val="en-CA"/>
        </w:rPr>
        <w:t xml:space="preserve">over the years. His penis is not circumcised, and </w:t>
      </w:r>
      <w:r w:rsidR="00911378">
        <w:rPr>
          <w:lang w:val="en-CA"/>
        </w:rPr>
        <w:t xml:space="preserve">it’s </w:t>
      </w:r>
      <w:r>
        <w:rPr>
          <w:lang w:val="en-CA"/>
        </w:rPr>
        <w:t xml:space="preserve">average </w:t>
      </w:r>
      <w:r w:rsidR="00911378">
        <w:rPr>
          <w:lang w:val="en-CA"/>
        </w:rPr>
        <w:t>in size</w:t>
      </w:r>
      <w:r>
        <w:rPr>
          <w:lang w:val="en-CA"/>
        </w:rPr>
        <w:t xml:space="preserve">. When he </w:t>
      </w:r>
      <w:r w:rsidR="00911378">
        <w:rPr>
          <w:lang w:val="en-CA"/>
        </w:rPr>
        <w:t xml:space="preserve">has </w:t>
      </w:r>
      <w:r>
        <w:rPr>
          <w:lang w:val="en-CA"/>
        </w:rPr>
        <w:t xml:space="preserve">an erection, his penis must measure about 5 to 6 inches. When I masturbated him, his penis was a few inches wider than the width of my hand. The head was slightly wider than the base of his penis. When he asked me to eat his anus, I noticed that he was moderately hairy around his anus. There was not </w:t>
      </w:r>
      <w:r w:rsidR="0007604E">
        <w:rPr>
          <w:lang w:val="en-CA"/>
        </w:rPr>
        <w:t>much</w:t>
      </w:r>
      <w:r>
        <w:rPr>
          <w:lang w:val="en-CA"/>
        </w:rPr>
        <w:t xml:space="preserve"> hair on his testicles, which were more pink/brown than his penis.</w:t>
      </w:r>
    </w:p>
    <w:p w14:paraId="0B138B49" w14:textId="75E84DFF" w:rsidR="00645974" w:rsidRPr="004A360E" w:rsidRDefault="00F06516" w:rsidP="005B6399">
      <w:pPr>
        <w:pStyle w:val="Citationenretrait"/>
        <w:spacing w:before="0"/>
        <w:rPr>
          <w:lang w:val="en-US"/>
        </w:rPr>
      </w:pPr>
      <w:r>
        <w:rPr>
          <w:lang w:val="en-CA"/>
        </w:rPr>
        <w:t>__________</w:t>
      </w:r>
    </w:p>
    <w:p w14:paraId="7A3E91BB" w14:textId="338DFA4E" w:rsidR="00645974" w:rsidRPr="004A360E" w:rsidRDefault="00F06516" w:rsidP="005B6399">
      <w:pPr>
        <w:pStyle w:val="Citationenretrait"/>
        <w:spacing w:before="0"/>
        <w:rPr>
          <w:lang w:val="en-US"/>
        </w:rPr>
      </w:pPr>
      <w:r>
        <w:rPr>
          <w:lang w:val="en-CA"/>
        </w:rPr>
        <w:t>Do you have anything else to add or change?</w:t>
      </w:r>
    </w:p>
    <w:p w14:paraId="3380AD05" w14:textId="1292CC64" w:rsidR="00645974" w:rsidRDefault="00F06516" w:rsidP="00645974">
      <w:pPr>
        <w:pStyle w:val="Citationenretrait"/>
      </w:pPr>
      <w:r>
        <w:rPr>
          <w:lang w:val="en-CA"/>
        </w:rPr>
        <w:t>No!</w:t>
      </w:r>
      <w:r>
        <w:rPr>
          <w:rStyle w:val="Appelnotedebasdep"/>
          <w:lang w:val="en-CA"/>
        </w:rPr>
        <w:footnoteReference w:id="69"/>
      </w:r>
    </w:p>
    <w:p w14:paraId="1F6306F5" w14:textId="1968117C" w:rsidR="00645974" w:rsidRPr="004A360E" w:rsidRDefault="00F06516" w:rsidP="0073454D">
      <w:pPr>
        <w:pStyle w:val="Paragraphe"/>
        <w:rPr>
          <w:lang w:val="en-US"/>
        </w:rPr>
      </w:pPr>
      <w:r>
        <w:rPr>
          <w:lang w:val="en-CA"/>
        </w:rPr>
        <w:t xml:space="preserve">The </w:t>
      </w:r>
      <w:r w:rsidR="00E70E18">
        <w:rPr>
          <w:lang w:val="en-CA"/>
        </w:rPr>
        <w:t xml:space="preserve">absence </w:t>
      </w:r>
      <w:r>
        <w:rPr>
          <w:lang w:val="en-CA"/>
        </w:rPr>
        <w:t xml:space="preserve">of </w:t>
      </w:r>
      <w:r w:rsidR="00E70E18">
        <w:rPr>
          <w:lang w:val="en-CA"/>
        </w:rPr>
        <w:t xml:space="preserve">any </w:t>
      </w:r>
      <w:r>
        <w:rPr>
          <w:lang w:val="en-CA"/>
        </w:rPr>
        <w:t xml:space="preserve">mention of the wart (or the appellant’s circumcision, during the second half of the period </w:t>
      </w:r>
      <w:r w:rsidR="00911378">
        <w:rPr>
          <w:lang w:val="en-CA"/>
        </w:rPr>
        <w:t>of offence</w:t>
      </w:r>
      <w:r>
        <w:rPr>
          <w:lang w:val="en-CA"/>
        </w:rPr>
        <w:t xml:space="preserve">) </w:t>
      </w:r>
      <w:r w:rsidR="00E70E18">
        <w:rPr>
          <w:lang w:val="en-CA"/>
        </w:rPr>
        <w:t xml:space="preserve">then </w:t>
      </w:r>
      <w:r>
        <w:rPr>
          <w:lang w:val="en-CA"/>
        </w:rPr>
        <w:t xml:space="preserve">became an issue that counsel </w:t>
      </w:r>
      <w:r w:rsidR="00F01C22">
        <w:rPr>
          <w:lang w:val="en-CA"/>
        </w:rPr>
        <w:t>should have</w:t>
      </w:r>
      <w:r>
        <w:rPr>
          <w:lang w:val="en-CA"/>
        </w:rPr>
        <w:t xml:space="preserve"> at the very least, assessed and examined, which he did not do.</w:t>
      </w:r>
    </w:p>
    <w:p w14:paraId="5F828DB6" w14:textId="3BCAA0CE" w:rsidR="0073454D" w:rsidRPr="004A360E" w:rsidRDefault="00F06516" w:rsidP="0073454D">
      <w:pPr>
        <w:pStyle w:val="Paragraphe"/>
        <w:rPr>
          <w:lang w:val="en-US"/>
        </w:rPr>
      </w:pPr>
      <w:bookmarkStart w:id="25" w:name="_Ref166799490"/>
      <w:r>
        <w:rPr>
          <w:lang w:val="en-CA"/>
        </w:rPr>
        <w:t xml:space="preserve">As a result, </w:t>
      </w:r>
      <w:r w:rsidR="00E70E18">
        <w:rPr>
          <w:lang w:val="en-CA"/>
        </w:rPr>
        <w:t>it can be considered</w:t>
      </w:r>
      <w:r>
        <w:rPr>
          <w:lang w:val="en-CA"/>
        </w:rPr>
        <w:t xml:space="preserve"> ineffective assistance, strengthened by counsel’s inaction during the trial. On this last point, it </w:t>
      </w:r>
      <w:r w:rsidR="00E70E18">
        <w:rPr>
          <w:lang w:val="en-CA"/>
        </w:rPr>
        <w:t xml:space="preserve">may </w:t>
      </w:r>
      <w:r>
        <w:rPr>
          <w:lang w:val="en-CA"/>
        </w:rPr>
        <w:t xml:space="preserve">be noted that even if counsel had not been aware of the existence of this birthmark/wart, his inaction in the face of the appellant’s testimony remains inexplicable. </w:t>
      </w:r>
      <w:r w:rsidR="00E70E18">
        <w:rPr>
          <w:lang w:val="en-CA"/>
        </w:rPr>
        <w:t>As discussed above,</w:t>
      </w:r>
      <w:r>
        <w:rPr>
          <w:lang w:val="en-CA"/>
        </w:rPr>
        <w:t xml:space="preserve"> </w:t>
      </w:r>
      <w:r w:rsidR="00E70E18">
        <w:rPr>
          <w:lang w:val="en-CA"/>
        </w:rPr>
        <w:t xml:space="preserve">when he was </w:t>
      </w:r>
      <w:r>
        <w:rPr>
          <w:lang w:val="en-CA"/>
        </w:rPr>
        <w:t xml:space="preserve">caught off </w:t>
      </w:r>
      <w:r>
        <w:rPr>
          <w:lang w:val="en-CA"/>
        </w:rPr>
        <w:lastRenderedPageBreak/>
        <w:t xml:space="preserve">guard by his client’s claims </w:t>
      </w:r>
      <w:r w:rsidR="00527079">
        <w:rPr>
          <w:lang w:val="en-CA"/>
        </w:rPr>
        <w:t>that he was the target of a</w:t>
      </w:r>
      <w:r>
        <w:rPr>
          <w:lang w:val="en-CA"/>
        </w:rPr>
        <w:t xml:space="preserve"> conspiracy</w:t>
      </w:r>
      <w:r w:rsidR="00F01C22" w:rsidRPr="00F01C22">
        <w:rPr>
          <w:lang w:val="en-CA"/>
        </w:rPr>
        <w:t xml:space="preserve"> </w:t>
      </w:r>
      <w:r w:rsidR="00F01C22">
        <w:rPr>
          <w:lang w:val="en-CA"/>
        </w:rPr>
        <w:t>counsel</w:t>
      </w:r>
      <w:r w:rsidR="00F01C22" w:rsidRPr="00E70E18">
        <w:rPr>
          <w:lang w:val="en-CA"/>
        </w:rPr>
        <w:t xml:space="preserve"> </w:t>
      </w:r>
      <w:r w:rsidR="00F01C22">
        <w:rPr>
          <w:lang w:val="en-CA"/>
        </w:rPr>
        <w:t xml:space="preserve">had tried to manage the situation. </w:t>
      </w:r>
      <w:r>
        <w:rPr>
          <w:lang w:val="en-CA"/>
        </w:rPr>
        <w:t xml:space="preserve">This was not the case here, where he did not respond to the appellant’s statement, which was literally and completely ignored, whereas, in the context, he could not remain apathetic. It is true, we </w:t>
      </w:r>
      <w:r w:rsidR="0095182E">
        <w:rPr>
          <w:lang w:val="en-CA"/>
        </w:rPr>
        <w:t>note in passing</w:t>
      </w:r>
      <w:r>
        <w:rPr>
          <w:lang w:val="en-CA"/>
        </w:rPr>
        <w:t xml:space="preserve">, that the judge could have intervened, if only to </w:t>
      </w:r>
      <w:r w:rsidR="00527079">
        <w:rPr>
          <w:lang w:val="en-CA"/>
        </w:rPr>
        <w:t xml:space="preserve">ask for </w:t>
      </w:r>
      <w:r>
        <w:rPr>
          <w:lang w:val="en-CA"/>
        </w:rPr>
        <w:t xml:space="preserve">clarification </w:t>
      </w:r>
      <w:r w:rsidR="0095182E">
        <w:rPr>
          <w:lang w:val="en-CA"/>
        </w:rPr>
        <w:t xml:space="preserve">about </w:t>
      </w:r>
      <w:r>
        <w:rPr>
          <w:lang w:val="en-CA"/>
        </w:rPr>
        <w:t xml:space="preserve">what she had just heard the appellant </w:t>
      </w:r>
      <w:r w:rsidR="0095182E">
        <w:rPr>
          <w:lang w:val="en-CA"/>
        </w:rPr>
        <w:t xml:space="preserve">say </w:t>
      </w:r>
      <w:r>
        <w:rPr>
          <w:lang w:val="en-CA"/>
        </w:rPr>
        <w:t xml:space="preserve">and of which there </w:t>
      </w:r>
      <w:r w:rsidR="00B44B6D">
        <w:rPr>
          <w:lang w:val="en-CA"/>
        </w:rPr>
        <w:t>was</w:t>
      </w:r>
      <w:r>
        <w:rPr>
          <w:lang w:val="en-CA"/>
        </w:rPr>
        <w:t xml:space="preserve"> no indication</w:t>
      </w:r>
      <w:r w:rsidR="0095182E">
        <w:rPr>
          <w:lang w:val="en-CA"/>
        </w:rPr>
        <w:t xml:space="preserve"> up to that point</w:t>
      </w:r>
      <w:r>
        <w:rPr>
          <w:lang w:val="en-CA"/>
        </w:rPr>
        <w:t xml:space="preserve">. This would have given counsel the opportunity to react, drawing </w:t>
      </w:r>
      <w:r w:rsidR="0095182E">
        <w:rPr>
          <w:lang w:val="en-CA"/>
        </w:rPr>
        <w:t xml:space="preserve">his </w:t>
      </w:r>
      <w:r>
        <w:rPr>
          <w:lang w:val="en-CA"/>
        </w:rPr>
        <w:t xml:space="preserve">attention to a potential </w:t>
      </w:r>
      <w:r w:rsidR="0095182E">
        <w:rPr>
          <w:lang w:val="en-CA"/>
        </w:rPr>
        <w:t xml:space="preserve">weakness </w:t>
      </w:r>
      <w:r>
        <w:rPr>
          <w:lang w:val="en-CA"/>
        </w:rPr>
        <w:t>or element of interest, without affecting his strategic freedom. No such thing</w:t>
      </w:r>
      <w:bookmarkEnd w:id="25"/>
      <w:r>
        <w:rPr>
          <w:lang w:val="en-CA"/>
        </w:rPr>
        <w:t xml:space="preserve"> happened, but in any case, this does not release counsel from his failure.</w:t>
      </w:r>
    </w:p>
    <w:p w14:paraId="0F12F4CB" w14:textId="2005B1AB" w:rsidR="00645974" w:rsidRPr="00EF4074" w:rsidRDefault="00F06516" w:rsidP="00EB530C">
      <w:pPr>
        <w:pStyle w:val="Paragraphe"/>
        <w:rPr>
          <w:lang w:val="en-CA"/>
        </w:rPr>
      </w:pPr>
      <w:r>
        <w:rPr>
          <w:lang w:val="en-CA"/>
        </w:rPr>
        <w:t xml:space="preserve">In short, this Court concludes that, on this point, the appellant received ineffective assistance from his counsel. And pointing out that the appellant himself never suggested anything on this subject, after the testimony of the complainants and their mother, does not constitute an excuse or justification for counsel. The appellant is a manual worker with no </w:t>
      </w:r>
      <w:r w:rsidR="003A4640">
        <w:rPr>
          <w:lang w:val="en-CA"/>
        </w:rPr>
        <w:t>prior convictions</w:t>
      </w:r>
      <w:r>
        <w:rPr>
          <w:lang w:val="en-CA"/>
        </w:rPr>
        <w:t xml:space="preserve"> who is not wealthy, does not know the law and is charged with </w:t>
      </w:r>
      <w:r w:rsidR="00AA39A4">
        <w:rPr>
          <w:lang w:val="en-CA"/>
        </w:rPr>
        <w:t>serious</w:t>
      </w:r>
      <w:r>
        <w:rPr>
          <w:lang w:val="en-CA"/>
        </w:rPr>
        <w:t xml:space="preserve"> crimes; he is clearly stressed, and counsel cannot blame him for not advising him on this matter. That would</w:t>
      </w:r>
      <w:r w:rsidR="009E525D">
        <w:rPr>
          <w:lang w:val="en-CA"/>
        </w:rPr>
        <w:t xml:space="preserve"> be to</w:t>
      </w:r>
      <w:r>
        <w:rPr>
          <w:lang w:val="en-CA"/>
        </w:rPr>
        <w:t xml:space="preserve"> reverse the burden of effective assistance.</w:t>
      </w:r>
    </w:p>
    <w:p w14:paraId="1ACB2DDC" w14:textId="2D15DF5D" w:rsidR="00F35585" w:rsidRPr="004A360E" w:rsidRDefault="00F06516" w:rsidP="00F35585">
      <w:pPr>
        <w:pStyle w:val="Paragraphe"/>
        <w:rPr>
          <w:lang w:val="en-US"/>
        </w:rPr>
      </w:pPr>
      <w:r>
        <w:rPr>
          <w:lang w:val="en-CA"/>
        </w:rPr>
        <w:t>There is also another incident that adds to the ineffective</w:t>
      </w:r>
      <w:r w:rsidR="00C64503">
        <w:rPr>
          <w:lang w:val="en-CA"/>
        </w:rPr>
        <w:t>ness of</w:t>
      </w:r>
      <w:r>
        <w:rPr>
          <w:lang w:val="en-CA"/>
        </w:rPr>
        <w:t xml:space="preserve"> assistance of counsel, this time concerning the issue of circumcision. As we saw earlier, the appellant’s former counsel does not deny that he was informed about this circumcision. The preponderance of evidence establishes that he was also informed about the existence and excision of the wart.</w:t>
      </w:r>
      <w:r>
        <w:rPr>
          <w:rStyle w:val="Appelnotedebasdep"/>
          <w:lang w:val="en-CA"/>
        </w:rPr>
        <w:footnoteReference w:id="70"/>
      </w:r>
      <w:r>
        <w:rPr>
          <w:lang w:val="en-CA"/>
        </w:rPr>
        <w:t xml:space="preserve"> We already know he did not follow up on this information and attended the trial without doing any particular preparation on this point. During the trial, he interviewed X and S. S. about the circumcision, in a fairly basic manner. During his </w:t>
      </w:r>
      <w:r w:rsidR="00C64503">
        <w:rPr>
          <w:lang w:val="en-CA"/>
        </w:rPr>
        <w:t xml:space="preserve">examination </w:t>
      </w:r>
      <w:r>
        <w:rPr>
          <w:lang w:val="en-CA"/>
        </w:rPr>
        <w:t xml:space="preserve">on July 8, 2022, he </w:t>
      </w:r>
      <w:r w:rsidR="00C64503">
        <w:rPr>
          <w:lang w:val="en-CA"/>
        </w:rPr>
        <w:t xml:space="preserve">claimed </w:t>
      </w:r>
      <w:r>
        <w:rPr>
          <w:lang w:val="en-CA"/>
        </w:rPr>
        <w:t>that he did not focus on it due to a lack</w:t>
      </w:r>
      <w:r w:rsidR="00C64503">
        <w:rPr>
          <w:lang w:val="en-CA"/>
        </w:rPr>
        <w:t xml:space="preserve"> </w:t>
      </w:r>
      <w:r>
        <w:rPr>
          <w:lang w:val="en-CA"/>
        </w:rPr>
        <w:t>of sufficient information because he did</w:t>
      </w:r>
      <w:r w:rsidR="00C64503">
        <w:rPr>
          <w:lang w:val="en-CA"/>
        </w:rPr>
        <w:t xml:space="preserve"> not </w:t>
      </w:r>
      <w:r>
        <w:rPr>
          <w:lang w:val="en-CA"/>
        </w:rPr>
        <w:t>know exactly when the appellant had been circumcised: he did not push the cross-examination, fearing a damaging response.</w:t>
      </w:r>
      <w:r>
        <w:rPr>
          <w:rStyle w:val="Appelnotedebasdep"/>
          <w:lang w:val="en-CA"/>
        </w:rPr>
        <w:footnoteReference w:id="71"/>
      </w:r>
      <w:r>
        <w:rPr>
          <w:lang w:val="en-CA"/>
        </w:rPr>
        <w:t xml:space="preserve"> Clearly, if he had prepared properly, he would not have found himself in this difficult situation.</w:t>
      </w:r>
    </w:p>
    <w:p w14:paraId="4CE35CB7" w14:textId="089C53D7" w:rsidR="00D31719" w:rsidRPr="004A360E" w:rsidRDefault="00F06516" w:rsidP="00F35585">
      <w:pPr>
        <w:pStyle w:val="Paragraphe"/>
        <w:rPr>
          <w:lang w:val="en-US"/>
        </w:rPr>
      </w:pPr>
      <w:r>
        <w:rPr>
          <w:lang w:val="en-CA"/>
        </w:rPr>
        <w:t>Furthermore, after X’s testimony in June 2020, as the appellant acknowledges,</w:t>
      </w:r>
      <w:r>
        <w:rPr>
          <w:rStyle w:val="Appelnotedebasdep"/>
          <w:lang w:val="en-CA"/>
        </w:rPr>
        <w:footnoteReference w:id="72"/>
      </w:r>
      <w:r>
        <w:rPr>
          <w:lang w:val="en-CA"/>
        </w:rPr>
        <w:t xml:space="preserve"> </w:t>
      </w:r>
      <w:r w:rsidR="00B44B6D">
        <w:rPr>
          <w:lang w:val="en-CA"/>
        </w:rPr>
        <w:t xml:space="preserve">counsel </w:t>
      </w:r>
      <w:r>
        <w:rPr>
          <w:lang w:val="en-CA"/>
        </w:rPr>
        <w:t>instructed the appellant to obtain the medical records confirming the circumcision or, at least, provide him with the date of the surgery. However, the appellant (who also explained this in his cross-examination on July 8, 2022</w:t>
      </w:r>
      <w:r>
        <w:rPr>
          <w:rStyle w:val="Appelnotedebasdep"/>
          <w:lang w:val="en-CA"/>
        </w:rPr>
        <w:footnoteReference w:id="73"/>
      </w:r>
      <w:r>
        <w:rPr>
          <w:lang w:val="en-CA"/>
        </w:rPr>
        <w:t>) was unable to do so due to the restrictive measures put in place by the hospitals at the time</w:t>
      </w:r>
      <w:r w:rsidR="00B44B6D">
        <w:rPr>
          <w:lang w:val="en-CA"/>
        </w:rPr>
        <w:t xml:space="preserve"> </w:t>
      </w:r>
      <w:r>
        <w:rPr>
          <w:lang w:val="en-CA"/>
        </w:rPr>
        <w:t>due to COVID-19. The request had to be sent by fax, a device that he did not have. Once informed,</w:t>
      </w:r>
      <w:r>
        <w:rPr>
          <w:rStyle w:val="Appelnotedebasdep"/>
          <w:lang w:val="en-CA"/>
        </w:rPr>
        <w:footnoteReference w:id="74"/>
      </w:r>
      <w:r>
        <w:rPr>
          <w:lang w:val="en-CA"/>
        </w:rPr>
        <w:t xml:space="preserve"> counsel </w:t>
      </w:r>
      <w:r>
        <w:rPr>
          <w:lang w:val="en-CA"/>
        </w:rPr>
        <w:lastRenderedPageBreak/>
        <w:t>allegedly insisted that the appellant obtain this evidence, but he stated that [</w:t>
      </w:r>
      <w:r w:rsidR="00C64503" w:rsidRPr="009D6270">
        <w:rPr>
          <w:smallCaps/>
          <w:lang w:val="en-CA"/>
        </w:rPr>
        <w:t>translation</w:t>
      </w:r>
      <w:r>
        <w:rPr>
          <w:lang w:val="en-CA"/>
        </w:rPr>
        <w:t>] “he never got back to me on this subject”.</w:t>
      </w:r>
      <w:r>
        <w:rPr>
          <w:rStyle w:val="Appelnotedebasdep"/>
          <w:lang w:val="en-CA"/>
        </w:rPr>
        <w:footnoteReference w:id="75"/>
      </w:r>
    </w:p>
    <w:p w14:paraId="68E1FD75" w14:textId="0D805989" w:rsidR="00D31719" w:rsidRPr="004A360E" w:rsidRDefault="00F06516" w:rsidP="00BC71FC">
      <w:pPr>
        <w:pStyle w:val="Paragraphe"/>
        <w:rPr>
          <w:lang w:val="en-US"/>
        </w:rPr>
      </w:pPr>
      <w:r>
        <w:rPr>
          <w:i/>
          <w:iCs/>
          <w:lang w:val="en-CA"/>
        </w:rPr>
        <w:t>A priori</w:t>
      </w:r>
      <w:r>
        <w:rPr>
          <w:lang w:val="en-CA"/>
        </w:rPr>
        <w:t>, this is surprising: it is true that clients must work with their counsel and provide them with close cooperation, but</w:t>
      </w:r>
      <w:r w:rsidR="00B44B6D">
        <w:rPr>
          <w:lang w:val="en-CA"/>
        </w:rPr>
        <w:t xml:space="preserve"> </w:t>
      </w:r>
      <w:r>
        <w:rPr>
          <w:lang w:val="en-CA"/>
        </w:rPr>
        <w:t xml:space="preserve">it is regrettable that counsel did not </w:t>
      </w:r>
      <w:r w:rsidR="00D018EE">
        <w:rPr>
          <w:lang w:val="en-CA"/>
        </w:rPr>
        <w:t>act</w:t>
      </w:r>
      <w:r>
        <w:rPr>
          <w:lang w:val="en-CA"/>
        </w:rPr>
        <w:t xml:space="preserve"> in this situation. He did not ask his assistant to help the appellant, </w:t>
      </w:r>
      <w:r w:rsidR="00E709C1">
        <w:rPr>
          <w:lang w:val="en-CA"/>
        </w:rPr>
        <w:t>n</w:t>
      </w:r>
      <w:r>
        <w:rPr>
          <w:lang w:val="en-CA"/>
        </w:rPr>
        <w:t>or did he call the hospital’s archives department or send a fax himself.</w:t>
      </w:r>
      <w:r>
        <w:rPr>
          <w:rStyle w:val="Appelnotedebasdep"/>
          <w:lang w:val="en-CA"/>
        </w:rPr>
        <w:footnoteReference w:id="76"/>
      </w:r>
      <w:r>
        <w:rPr>
          <w:lang w:val="en-CA"/>
        </w:rPr>
        <w:t xml:space="preserve"> </w:t>
      </w:r>
      <w:r w:rsidR="00E709C1">
        <w:rPr>
          <w:lang w:val="en-CA"/>
        </w:rPr>
        <w:t xml:space="preserve">As was noted, he </w:t>
      </w:r>
      <w:r>
        <w:rPr>
          <w:lang w:val="en-CA"/>
        </w:rPr>
        <w:t>explained this by saying</w:t>
      </w:r>
      <w:r w:rsidR="00E709C1">
        <w:rPr>
          <w:lang w:val="en-CA"/>
        </w:rPr>
        <w:t xml:space="preserve"> </w:t>
      </w:r>
      <w:r>
        <w:rPr>
          <w:lang w:val="en-CA"/>
        </w:rPr>
        <w:t>that his client [</w:t>
      </w:r>
      <w:r w:rsidR="00E709C1" w:rsidRPr="009D6270">
        <w:rPr>
          <w:smallCaps/>
          <w:lang w:val="en-CA"/>
        </w:rPr>
        <w:t>translation</w:t>
      </w:r>
      <w:r>
        <w:rPr>
          <w:lang w:val="en-CA"/>
        </w:rPr>
        <w:t xml:space="preserve">] “did not get back to him”, but also by stating that he would have had to proceed with a power of attorney to obtain the information himself. “I did not obtain </w:t>
      </w:r>
      <w:r w:rsidR="00B44B6D">
        <w:rPr>
          <w:lang w:val="en-CA"/>
        </w:rPr>
        <w:t xml:space="preserve">a </w:t>
      </w:r>
      <w:r>
        <w:rPr>
          <w:lang w:val="en-CA"/>
        </w:rPr>
        <w:t>power of attorney,” he said, “because I’ve done it before on other cases, and I thought it would be faster if Mr. Nadeau found someone in the archives to at least get a date”.</w:t>
      </w:r>
      <w:r>
        <w:rPr>
          <w:rStyle w:val="Appelnotedebasdep"/>
          <w:lang w:val="en-CA"/>
        </w:rPr>
        <w:footnoteReference w:id="77"/>
      </w:r>
      <w:r>
        <w:rPr>
          <w:lang w:val="en-CA"/>
        </w:rPr>
        <w:t xml:space="preserve"> This explanation is not convincing when we note, that counsel finally </w:t>
      </w:r>
      <w:r w:rsidR="00091A38">
        <w:rPr>
          <w:lang w:val="en-CA"/>
        </w:rPr>
        <w:t xml:space="preserve">admits </w:t>
      </w:r>
      <w:r w:rsidR="00B44B6D">
        <w:rPr>
          <w:lang w:val="en-CA"/>
        </w:rPr>
        <w:t xml:space="preserve">, a </w:t>
      </w:r>
      <w:r w:rsidR="009B0D99">
        <w:rPr>
          <w:lang w:val="en-CA"/>
        </w:rPr>
        <w:t>little</w:t>
      </w:r>
      <w:r w:rsidR="00B44B6D">
        <w:rPr>
          <w:lang w:val="en-CA"/>
        </w:rPr>
        <w:t xml:space="preserve"> later </w:t>
      </w:r>
      <w:r>
        <w:rPr>
          <w:lang w:val="en-CA"/>
        </w:rPr>
        <w:t xml:space="preserve">that his client did indeed tell him that he was unable to obtain the documents </w:t>
      </w:r>
      <w:r w:rsidR="00091A38">
        <w:rPr>
          <w:lang w:val="en-CA"/>
        </w:rPr>
        <w:t>sought</w:t>
      </w:r>
      <w:r>
        <w:rPr>
          <w:lang w:val="en-CA"/>
        </w:rPr>
        <w:t xml:space="preserve"> and that he did not </w:t>
      </w:r>
      <w:r w:rsidR="00091A38">
        <w:rPr>
          <w:lang w:val="en-CA"/>
        </w:rPr>
        <w:t>take over</w:t>
      </w:r>
      <w:r>
        <w:rPr>
          <w:lang w:val="en-CA"/>
        </w:rPr>
        <w:t xml:space="preserve"> [</w:t>
      </w:r>
      <w:r w:rsidR="00E709C1" w:rsidRPr="009D6270">
        <w:rPr>
          <w:smallCaps/>
          <w:lang w:val="en-CA"/>
        </w:rPr>
        <w:t>translation</w:t>
      </w:r>
      <w:r>
        <w:rPr>
          <w:lang w:val="en-CA"/>
        </w:rPr>
        <w:t xml:space="preserve">] “for the same reason”—he </w:t>
      </w:r>
      <w:r w:rsidR="00091A38">
        <w:rPr>
          <w:lang w:val="en-CA"/>
        </w:rPr>
        <w:t>refers</w:t>
      </w:r>
      <w:r>
        <w:rPr>
          <w:lang w:val="en-CA"/>
        </w:rPr>
        <w:t xml:space="preserve"> here to the power of attorney.</w:t>
      </w:r>
      <w:r>
        <w:rPr>
          <w:rStyle w:val="Appelnotedebasdep"/>
          <w:lang w:val="en-CA"/>
        </w:rPr>
        <w:footnoteReference w:id="78"/>
      </w:r>
      <w:r>
        <w:rPr>
          <w:lang w:val="en-CA"/>
        </w:rPr>
        <w:t xml:space="preserve"> This circular excuse does not in any way diminish the ineffective</w:t>
      </w:r>
      <w:r w:rsidR="00091A38">
        <w:rPr>
          <w:lang w:val="en-CA"/>
        </w:rPr>
        <w:t>ness of the</w:t>
      </w:r>
      <w:r>
        <w:rPr>
          <w:lang w:val="en-CA"/>
        </w:rPr>
        <w:t xml:space="preserve"> assistance of counsel on this point.</w:t>
      </w:r>
    </w:p>
    <w:p w14:paraId="151CD68E" w14:textId="55041128" w:rsidR="00BC71FC" w:rsidRPr="00941800" w:rsidRDefault="00F06516" w:rsidP="008008A6">
      <w:pPr>
        <w:pStyle w:val="Paragraphe"/>
      </w:pPr>
      <w:r>
        <w:rPr>
          <w:lang w:val="en-CA"/>
        </w:rPr>
        <w:t xml:space="preserve">Of course, this explains (without justifying it) </w:t>
      </w:r>
      <w:r w:rsidR="00091A38">
        <w:rPr>
          <w:lang w:val="en-CA"/>
        </w:rPr>
        <w:t xml:space="preserve">why </w:t>
      </w:r>
      <w:r>
        <w:rPr>
          <w:lang w:val="en-CA"/>
        </w:rPr>
        <w:t>counsel did not distinguish between the period prior to August 2011 and the period after August 2011 when he questioned X and S. S. about the appellant’s circumcision, which could have been another important element (as he himself implies). And, once again, if he had bothered to obtain the medical documents himself, he would have found much more. This is another example of ineffective assistance.</w:t>
      </w:r>
    </w:p>
    <w:p w14:paraId="75484524" w14:textId="7EAF14FA" w:rsidR="008008A6" w:rsidRPr="004A360E" w:rsidRDefault="00F06516" w:rsidP="00DF6CE5">
      <w:pPr>
        <w:pStyle w:val="Paragraphe"/>
        <w:rPr>
          <w:lang w:val="en-US"/>
        </w:rPr>
      </w:pPr>
      <w:r>
        <w:rPr>
          <w:lang w:val="en-CA"/>
        </w:rPr>
        <w:t xml:space="preserve">In short, the appellant has overwhelmingly established that he did not receive effective assistance from his former counsel with regard to the characteristics of his genital organ and with regard to the defence that could have consequently </w:t>
      </w:r>
      <w:r w:rsidR="00091A38">
        <w:rPr>
          <w:lang w:val="en-CA"/>
        </w:rPr>
        <w:t xml:space="preserve">been made </w:t>
      </w:r>
      <w:r>
        <w:rPr>
          <w:lang w:val="en-CA"/>
        </w:rPr>
        <w:t xml:space="preserve">or attempted to </w:t>
      </w:r>
      <w:r w:rsidR="00091A38">
        <w:rPr>
          <w:lang w:val="en-CA"/>
        </w:rPr>
        <w:t xml:space="preserve">be made to </w:t>
      </w:r>
      <w:r>
        <w:rPr>
          <w:lang w:val="en-CA"/>
        </w:rPr>
        <w:t xml:space="preserve">the </w:t>
      </w:r>
      <w:r w:rsidR="00091A38">
        <w:rPr>
          <w:lang w:val="en-CA"/>
        </w:rPr>
        <w:t xml:space="preserve">charges laid </w:t>
      </w:r>
      <w:r>
        <w:rPr>
          <w:lang w:val="en-CA"/>
        </w:rPr>
        <w:t>against him. This Court is of the opinion that counsel’s conduct in this regard falls outside of the “wide range of reasonable professional assistance”</w:t>
      </w:r>
      <w:r>
        <w:rPr>
          <w:rStyle w:val="Appelnotedebasdep"/>
          <w:lang w:val="en-CA"/>
        </w:rPr>
        <w:footnoteReference w:id="79"/>
      </w:r>
      <w:r>
        <w:rPr>
          <w:lang w:val="en-CA"/>
        </w:rPr>
        <w:t xml:space="preserve"> and does not reflect the conduct of [</w:t>
      </w:r>
      <w:r w:rsidR="00BF0207" w:rsidRPr="009D6270">
        <w:rPr>
          <w:smallCaps/>
          <w:lang w:val="en-CA"/>
        </w:rPr>
        <w:t>translation</w:t>
      </w:r>
      <w:r>
        <w:rPr>
          <w:lang w:val="en-CA"/>
        </w:rPr>
        <w:t>] “a normally forward-looking and diligent lawyer, possessing ordinary knowledge”.</w:t>
      </w:r>
      <w:r>
        <w:rPr>
          <w:rStyle w:val="Appelnotedebasdep"/>
          <w:lang w:val="en-CA"/>
        </w:rPr>
        <w:footnoteReference w:id="80"/>
      </w:r>
    </w:p>
    <w:p w14:paraId="32645118" w14:textId="1DC4C285" w:rsidR="00A70812" w:rsidRPr="004A360E" w:rsidRDefault="00F06516" w:rsidP="00BC71FC">
      <w:pPr>
        <w:pStyle w:val="Paragraphe"/>
        <w:rPr>
          <w:lang w:val="en-US"/>
        </w:rPr>
      </w:pPr>
      <w:r>
        <w:rPr>
          <w:lang w:val="en-CA"/>
        </w:rPr>
        <w:t>That said, it is necessary to move on to the second stage and ask whether the appellant has demonstrated, according to the reasonable probability standard, that this ineffective assistance caused a miscarriage of justice, [</w:t>
      </w:r>
      <w:r w:rsidR="00BF0207" w:rsidRPr="009B0D99">
        <w:rPr>
          <w:smallCaps/>
          <w:lang w:val="en-CA"/>
        </w:rPr>
        <w:t>translation</w:t>
      </w:r>
      <w:r>
        <w:rPr>
          <w:lang w:val="en-CA"/>
        </w:rPr>
        <w:t>] “by compromising the fairness of the trial or the reliability of the verdict”.</w:t>
      </w:r>
      <w:r>
        <w:rPr>
          <w:rStyle w:val="Appelnotedebasdep"/>
          <w:lang w:val="en-CA"/>
        </w:rPr>
        <w:footnoteReference w:id="81"/>
      </w:r>
    </w:p>
    <w:p w14:paraId="6D3FA928" w14:textId="61392D0F" w:rsidR="00A70812" w:rsidRPr="004A360E" w:rsidRDefault="00F06516" w:rsidP="00BC71FC">
      <w:pPr>
        <w:pStyle w:val="Paragraphe"/>
        <w:rPr>
          <w:lang w:val="en-US"/>
        </w:rPr>
      </w:pPr>
      <w:r>
        <w:rPr>
          <w:lang w:val="en-CA"/>
        </w:rPr>
        <w:lastRenderedPageBreak/>
        <w:t>This Court has concluded that this is the case.</w:t>
      </w:r>
    </w:p>
    <w:p w14:paraId="7BE62E00" w14:textId="70E70053" w:rsidR="00A70812" w:rsidRPr="004A360E" w:rsidRDefault="00F06516" w:rsidP="00BC71FC">
      <w:pPr>
        <w:pStyle w:val="Paragraphe"/>
        <w:rPr>
          <w:lang w:val="en-US"/>
        </w:rPr>
      </w:pPr>
      <w:r>
        <w:rPr>
          <w:lang w:val="en-CA"/>
        </w:rPr>
        <w:t xml:space="preserve">It is true, as the respondent noted, </w:t>
      </w:r>
      <w:r w:rsidR="0023450D">
        <w:rPr>
          <w:lang w:val="en-CA"/>
        </w:rPr>
        <w:t>th</w:t>
      </w:r>
      <w:r w:rsidR="009B0D99">
        <w:rPr>
          <w:lang w:val="en-CA"/>
        </w:rPr>
        <w:t>at th</w:t>
      </w:r>
      <w:r w:rsidR="0023450D">
        <w:rPr>
          <w:lang w:val="en-CA"/>
        </w:rPr>
        <w:t xml:space="preserve">e fact </w:t>
      </w:r>
      <w:r>
        <w:rPr>
          <w:lang w:val="en-CA"/>
        </w:rPr>
        <w:t xml:space="preserve">that a person did not notice a characteristic on the genital organ or body of the person accused of sexually assaulting them, does not automatically lead to an acquittal. The respondent gave the example of </w:t>
      </w:r>
      <w:r>
        <w:rPr>
          <w:i/>
          <w:iCs/>
          <w:lang w:val="en-CA"/>
        </w:rPr>
        <w:t>R. c. J.S.</w:t>
      </w:r>
      <w:r>
        <w:rPr>
          <w:rStyle w:val="Appelnotedebasdep"/>
          <w:lang w:val="en-CA"/>
        </w:rPr>
        <w:footnoteReference w:id="82"/>
      </w:r>
      <w:r>
        <w:rPr>
          <w:lang w:val="en-CA"/>
        </w:rPr>
        <w:t xml:space="preserve"> However, in that case, the complainants </w:t>
      </w:r>
      <w:r>
        <w:rPr>
          <w:i/>
          <w:iCs/>
          <w:lang w:val="en-CA"/>
        </w:rPr>
        <w:t xml:space="preserve">had </w:t>
      </w:r>
      <w:r>
        <w:rPr>
          <w:lang w:val="en-CA"/>
        </w:rPr>
        <w:t>been asked about the characteristics of the accused’s penis (which was not comparable to this case, as the characteristic was a scar from a cut, under the head, at the junction of the prepuce). The judgment also notes that the accused had [</w:t>
      </w:r>
      <w:r w:rsidR="0023450D" w:rsidRPr="009D6270">
        <w:rPr>
          <w:smallCaps/>
          <w:lang w:val="en-CA"/>
        </w:rPr>
        <w:t>translation</w:t>
      </w:r>
      <w:r>
        <w:rPr>
          <w:lang w:val="en-CA"/>
        </w:rPr>
        <w:t>] “always made a point of hiding it”.</w:t>
      </w:r>
      <w:r>
        <w:rPr>
          <w:rStyle w:val="Appelnotedebasdep"/>
          <w:lang w:val="en-CA"/>
        </w:rPr>
        <w:footnoteReference w:id="83"/>
      </w:r>
      <w:r>
        <w:rPr>
          <w:lang w:val="en-CA"/>
        </w:rPr>
        <w:t xml:space="preserve"> Above all, it stresses that some of the complainants were young girls around ten years old, attacked in [</w:t>
      </w:r>
      <w:r w:rsidR="0023450D" w:rsidRPr="009D6270">
        <w:rPr>
          <w:smallCaps/>
          <w:lang w:val="en-CA"/>
        </w:rPr>
        <w:t>translation</w:t>
      </w:r>
      <w:r>
        <w:rPr>
          <w:lang w:val="en-CA"/>
        </w:rPr>
        <w:t>] “very specific” circumstances,</w:t>
      </w:r>
      <w:r>
        <w:rPr>
          <w:rStyle w:val="Appelnotedebasdep"/>
          <w:lang w:val="en-CA"/>
        </w:rPr>
        <w:footnoteReference w:id="84"/>
      </w:r>
      <w:r>
        <w:rPr>
          <w:lang w:val="en-CA"/>
        </w:rPr>
        <w:t xml:space="preserve"> and so cannot be blamed for not noticing this scar.</w:t>
      </w:r>
      <w:r>
        <w:rPr>
          <w:rStyle w:val="Appelnotedebasdep"/>
          <w:lang w:val="en-CA"/>
        </w:rPr>
        <w:footnoteReference w:id="85"/>
      </w:r>
      <w:r>
        <w:rPr>
          <w:lang w:val="en-CA"/>
        </w:rPr>
        <w:t xml:space="preserve"> The other complainants had not had [</w:t>
      </w:r>
      <w:r w:rsidR="00201693" w:rsidRPr="009D6270">
        <w:rPr>
          <w:smallCaps/>
          <w:lang w:val="en-CA"/>
        </w:rPr>
        <w:t>translation</w:t>
      </w:r>
      <w:r>
        <w:rPr>
          <w:lang w:val="en-CA"/>
        </w:rPr>
        <w:t>] “direct access to the accused’s penis”</w:t>
      </w:r>
      <w:r>
        <w:rPr>
          <w:rStyle w:val="Appelnotedebasdep"/>
          <w:lang w:val="en-CA"/>
        </w:rPr>
        <w:footnoteReference w:id="86"/>
      </w:r>
      <w:r>
        <w:rPr>
          <w:lang w:val="en-CA"/>
        </w:rPr>
        <w:t xml:space="preserve"> and were therefore unable to observe its characteristics. It is understandable why, in this context, the </w:t>
      </w:r>
      <w:r w:rsidR="00201693">
        <w:rPr>
          <w:lang w:val="en-CA"/>
        </w:rPr>
        <w:t xml:space="preserve">Court </w:t>
      </w:r>
      <w:r>
        <w:rPr>
          <w:lang w:val="en-CA"/>
        </w:rPr>
        <w:t xml:space="preserve">found that not noticing the scar on the accused’s penis did not, in and of itself, affect the complainants’ credibility or reliability. This situation is </w:t>
      </w:r>
      <w:r w:rsidR="00AA39A4">
        <w:rPr>
          <w:lang w:val="en-CA"/>
        </w:rPr>
        <w:t>quite different</w:t>
      </w:r>
      <w:r>
        <w:rPr>
          <w:lang w:val="en-CA"/>
        </w:rPr>
        <w:t xml:space="preserve">, especially </w:t>
      </w:r>
      <w:r w:rsidR="00F66868">
        <w:rPr>
          <w:lang w:val="en-CA"/>
        </w:rPr>
        <w:t xml:space="preserve">in </w:t>
      </w:r>
      <w:r>
        <w:rPr>
          <w:lang w:val="en-CA"/>
        </w:rPr>
        <w:t xml:space="preserve">the case of X (given the nature, frequency and persistence of the actions that she alleges the appellant committed) and </w:t>
      </w:r>
      <w:r w:rsidR="00201693">
        <w:rPr>
          <w:lang w:val="en-CA"/>
        </w:rPr>
        <w:t xml:space="preserve">of </w:t>
      </w:r>
      <w:r>
        <w:rPr>
          <w:lang w:val="en-CA"/>
        </w:rPr>
        <w:t>S. S. (who was in a relationship with him for nearly 14 years), who were not interviewed or cross-examined.</w:t>
      </w:r>
    </w:p>
    <w:p w14:paraId="38679519" w14:textId="72E9A217" w:rsidR="00394779" w:rsidRPr="004A360E" w:rsidRDefault="00F06516" w:rsidP="00394779">
      <w:pPr>
        <w:pStyle w:val="Paragraphe"/>
        <w:spacing w:before="240"/>
        <w:rPr>
          <w:lang w:val="en-US"/>
        </w:rPr>
      </w:pPr>
      <w:r>
        <w:rPr>
          <w:lang w:val="en-CA"/>
        </w:rPr>
        <w:t xml:space="preserve">In short, although it is true that the presence of a </w:t>
      </w:r>
      <w:r w:rsidR="00F66868">
        <w:rPr>
          <w:lang w:val="en-CA"/>
        </w:rPr>
        <w:t xml:space="preserve">distinctive </w:t>
      </w:r>
      <w:r>
        <w:rPr>
          <w:lang w:val="en-CA"/>
        </w:rPr>
        <w:t>or unusual physical characteristic on an individual’s genitals that the complainant had not notice</w:t>
      </w:r>
      <w:r w:rsidR="00F66868">
        <w:rPr>
          <w:lang w:val="en-CA"/>
        </w:rPr>
        <w:t>d</w:t>
      </w:r>
      <w:r>
        <w:rPr>
          <w:lang w:val="en-CA"/>
        </w:rPr>
        <w:t xml:space="preserve"> is not necessarily decisive, it can be decisive and constitute a key element. This is what emerges from </w:t>
      </w:r>
      <w:r w:rsidR="00F66868">
        <w:rPr>
          <w:lang w:val="en-CA"/>
        </w:rPr>
        <w:t xml:space="preserve">the </w:t>
      </w:r>
      <w:r>
        <w:rPr>
          <w:lang w:val="en-CA"/>
        </w:rPr>
        <w:t xml:space="preserve">case law and, for example, from the following cases, in which a </w:t>
      </w:r>
      <w:r w:rsidR="00F66868">
        <w:rPr>
          <w:lang w:val="en-CA"/>
        </w:rPr>
        <w:t>distinctive</w:t>
      </w:r>
      <w:r>
        <w:rPr>
          <w:lang w:val="en-CA"/>
        </w:rPr>
        <w:t xml:space="preserve"> characteristic on the penis was considered and examined: </w:t>
      </w:r>
      <w:r>
        <w:rPr>
          <w:i/>
          <w:iCs/>
          <w:lang w:val="en-CA"/>
        </w:rPr>
        <w:t>R. c. Tremblay,</w:t>
      </w:r>
      <w:r>
        <w:rPr>
          <w:rStyle w:val="Appelnotedebasdep"/>
          <w:lang w:val="en-CA"/>
        </w:rPr>
        <w:footnoteReference w:id="87"/>
      </w:r>
      <w:r>
        <w:rPr>
          <w:lang w:val="en-CA"/>
        </w:rPr>
        <w:t xml:space="preserve"> </w:t>
      </w:r>
      <w:r>
        <w:rPr>
          <w:i/>
          <w:iCs/>
          <w:lang w:val="en-CA"/>
        </w:rPr>
        <w:t>R.</w:t>
      </w:r>
      <w:r w:rsidR="006578EE">
        <w:rPr>
          <w:i/>
          <w:iCs/>
          <w:lang w:val="en-CA"/>
        </w:rPr>
        <w:t> </w:t>
      </w:r>
      <w:r>
        <w:rPr>
          <w:i/>
          <w:iCs/>
          <w:lang w:val="en-CA"/>
        </w:rPr>
        <w:t>c. N.H.,</w:t>
      </w:r>
      <w:r>
        <w:rPr>
          <w:rStyle w:val="Appelnotedebasdep"/>
          <w:lang w:val="en-CA"/>
        </w:rPr>
        <w:footnoteReference w:id="88"/>
      </w:r>
      <w:r>
        <w:rPr>
          <w:lang w:val="en-CA"/>
        </w:rPr>
        <w:t xml:space="preserve"> </w:t>
      </w:r>
      <w:r>
        <w:rPr>
          <w:i/>
          <w:iCs/>
          <w:lang w:val="en-CA"/>
        </w:rPr>
        <w:t>R. v. DPO,</w:t>
      </w:r>
      <w:r>
        <w:rPr>
          <w:rStyle w:val="Appelnotedebasdep"/>
          <w:lang w:val="en-CA"/>
        </w:rPr>
        <w:footnoteReference w:id="89"/>
      </w:r>
      <w:r>
        <w:rPr>
          <w:lang w:val="en-CA"/>
        </w:rPr>
        <w:t xml:space="preserve"> </w:t>
      </w:r>
      <w:r>
        <w:rPr>
          <w:i/>
          <w:iCs/>
          <w:lang w:val="en-CA"/>
        </w:rPr>
        <w:t xml:space="preserve">R. v. </w:t>
      </w:r>
      <w:proofErr w:type="spellStart"/>
      <w:r>
        <w:rPr>
          <w:i/>
          <w:iCs/>
          <w:lang w:val="en-CA"/>
        </w:rPr>
        <w:t>Strojny</w:t>
      </w:r>
      <w:proofErr w:type="spellEnd"/>
      <w:r>
        <w:rPr>
          <w:i/>
          <w:iCs/>
          <w:lang w:val="en-CA"/>
        </w:rPr>
        <w:t>,</w:t>
      </w:r>
      <w:r>
        <w:rPr>
          <w:rStyle w:val="Appelnotedebasdep"/>
          <w:lang w:val="en-CA"/>
        </w:rPr>
        <w:footnoteReference w:id="90"/>
      </w:r>
      <w:r>
        <w:rPr>
          <w:lang w:val="en-CA"/>
        </w:rPr>
        <w:t xml:space="preserve"> </w:t>
      </w:r>
      <w:r>
        <w:rPr>
          <w:i/>
          <w:iCs/>
          <w:lang w:val="en-CA"/>
        </w:rPr>
        <w:t>W.A. c. R.,</w:t>
      </w:r>
      <w:r>
        <w:rPr>
          <w:rStyle w:val="Appelnotedebasdep"/>
          <w:lang w:val="en-CA"/>
        </w:rPr>
        <w:footnoteReference w:id="91"/>
      </w:r>
      <w:r>
        <w:rPr>
          <w:lang w:val="en-CA"/>
        </w:rPr>
        <w:t xml:space="preserve"> </w:t>
      </w:r>
      <w:r>
        <w:rPr>
          <w:i/>
          <w:iCs/>
          <w:lang w:val="en-CA"/>
        </w:rPr>
        <w:t>R. c. C.L.</w:t>
      </w:r>
      <w:r>
        <w:rPr>
          <w:rStyle w:val="Appelnotedebasdep"/>
          <w:lang w:val="en-CA"/>
        </w:rPr>
        <w:footnoteReference w:id="92"/>
      </w:r>
      <w:r>
        <w:rPr>
          <w:lang w:val="en-CA"/>
        </w:rPr>
        <w:t>. In the first three</w:t>
      </w:r>
      <w:r w:rsidR="00201693">
        <w:rPr>
          <w:lang w:val="en-CA"/>
        </w:rPr>
        <w:t xml:space="preserve"> cases</w:t>
      </w:r>
      <w:r>
        <w:rPr>
          <w:lang w:val="en-CA"/>
        </w:rPr>
        <w:t xml:space="preserve">, an acquittal was </w:t>
      </w:r>
      <w:r w:rsidR="00201693">
        <w:rPr>
          <w:lang w:val="en-CA"/>
        </w:rPr>
        <w:t>entered</w:t>
      </w:r>
      <w:r>
        <w:rPr>
          <w:lang w:val="en-CA"/>
        </w:rPr>
        <w:t xml:space="preserve">; in the last three (as in </w:t>
      </w:r>
      <w:r>
        <w:rPr>
          <w:i/>
          <w:iCs/>
          <w:lang w:val="en-CA"/>
        </w:rPr>
        <w:t>J.S.</w:t>
      </w:r>
      <w:r>
        <w:rPr>
          <w:lang w:val="en-CA"/>
        </w:rPr>
        <w:t xml:space="preserve">, </w:t>
      </w:r>
      <w:r w:rsidR="00F66868">
        <w:rPr>
          <w:lang w:val="en-CA"/>
        </w:rPr>
        <w:t>discussed</w:t>
      </w:r>
      <w:r>
        <w:rPr>
          <w:lang w:val="en-CA"/>
        </w:rPr>
        <w:t xml:space="preserve"> above), a conviction was </w:t>
      </w:r>
      <w:r w:rsidR="0097109C">
        <w:rPr>
          <w:lang w:val="en-CA"/>
        </w:rPr>
        <w:t>entered</w:t>
      </w:r>
      <w:r>
        <w:rPr>
          <w:lang w:val="en-CA"/>
        </w:rPr>
        <w:t xml:space="preserve">, the </w:t>
      </w:r>
      <w:r w:rsidR="0097109C">
        <w:rPr>
          <w:lang w:val="en-CA"/>
        </w:rPr>
        <w:t xml:space="preserve">Court </w:t>
      </w:r>
      <w:r>
        <w:rPr>
          <w:lang w:val="en-CA"/>
        </w:rPr>
        <w:t xml:space="preserve">having in all cases had the opportunity to hear the complainant’s version regarding the characteristic in question and to rule in this regard. In other words, in all these cases, the </w:t>
      </w:r>
      <w:r w:rsidR="0097109C">
        <w:rPr>
          <w:lang w:val="en-CA"/>
        </w:rPr>
        <w:t xml:space="preserve">Court </w:t>
      </w:r>
      <w:r>
        <w:rPr>
          <w:lang w:val="en-CA"/>
        </w:rPr>
        <w:t>ruled on the basis of evidence whose reliability had been validly tested.</w:t>
      </w:r>
    </w:p>
    <w:p w14:paraId="7C8ABAD4" w14:textId="0F697376" w:rsidR="00187D86" w:rsidRPr="004A360E" w:rsidRDefault="00F06516" w:rsidP="00BC71FC">
      <w:pPr>
        <w:pStyle w:val="Paragraphe"/>
        <w:rPr>
          <w:lang w:val="en-US"/>
        </w:rPr>
      </w:pPr>
      <w:r>
        <w:rPr>
          <w:lang w:val="en-CA"/>
        </w:rPr>
        <w:lastRenderedPageBreak/>
        <w:t xml:space="preserve">In this case, the situation is different, although it </w:t>
      </w:r>
      <w:r w:rsidR="00F66868">
        <w:rPr>
          <w:lang w:val="en-CA"/>
        </w:rPr>
        <w:t>may appear</w:t>
      </w:r>
      <w:r w:rsidR="00EC0F2C">
        <w:rPr>
          <w:lang w:val="en-CA"/>
        </w:rPr>
        <w:t>,</w:t>
      </w:r>
      <w:r>
        <w:rPr>
          <w:lang w:val="en-CA"/>
        </w:rPr>
        <w:t xml:space="preserve"> </w:t>
      </w:r>
      <w:r w:rsidR="00EC0F2C">
        <w:rPr>
          <w:i/>
          <w:iCs/>
          <w:lang w:val="en-CA"/>
        </w:rPr>
        <w:t>prima facie,</w:t>
      </w:r>
      <w:r w:rsidR="00EC0F2C">
        <w:rPr>
          <w:lang w:val="en-CA"/>
        </w:rPr>
        <w:t xml:space="preserve"> </w:t>
      </w:r>
      <w:r>
        <w:rPr>
          <w:lang w:val="en-CA"/>
        </w:rPr>
        <w:t xml:space="preserve">difficult for anyone who has seen the appellant’s penis not to notice the presence of a wart of the size described </w:t>
      </w:r>
      <w:r w:rsidR="0097109C">
        <w:rPr>
          <w:lang w:val="en-CA"/>
        </w:rPr>
        <w:t xml:space="preserve">in </w:t>
      </w:r>
      <w:r>
        <w:rPr>
          <w:lang w:val="en-CA"/>
        </w:rPr>
        <w:t xml:space="preserve">the medical evidence and, perhaps to a lesser extent (since there was no more touching by then), not to notice the circumcision that occurred in August 2011, given the previous condition of the appellant’s foreskin. Neither X, who testified to fellating and masturbating the appellant on numerous occasions, nor S. S., the appellant’s </w:t>
      </w:r>
      <w:r w:rsidR="0097109C">
        <w:rPr>
          <w:lang w:val="en-CA"/>
        </w:rPr>
        <w:t xml:space="preserve">former </w:t>
      </w:r>
      <w:r w:rsidR="00DF7FC6">
        <w:rPr>
          <w:lang w:val="en-CA"/>
        </w:rPr>
        <w:t>spouse</w:t>
      </w:r>
      <w:r>
        <w:rPr>
          <w:lang w:val="en-CA"/>
        </w:rPr>
        <w:t xml:space="preserve">, </w:t>
      </w:r>
      <w:r w:rsidR="006F3982">
        <w:rPr>
          <w:lang w:val="en-CA"/>
        </w:rPr>
        <w:t xml:space="preserve">make </w:t>
      </w:r>
      <w:r w:rsidR="00F66868">
        <w:rPr>
          <w:lang w:val="en-CA"/>
        </w:rPr>
        <w:t>any</w:t>
      </w:r>
      <w:r w:rsidR="006F3982">
        <w:rPr>
          <w:lang w:val="en-CA"/>
        </w:rPr>
        <w:t xml:space="preserve"> mention of </w:t>
      </w:r>
      <w:r>
        <w:rPr>
          <w:lang w:val="en-CA"/>
        </w:rPr>
        <w:t>the wart (</w:t>
      </w:r>
      <w:r w:rsidR="00F66868">
        <w:rPr>
          <w:lang w:val="en-CA"/>
        </w:rPr>
        <w:t>or</w:t>
      </w:r>
      <w:r w:rsidR="006F3982">
        <w:rPr>
          <w:lang w:val="en-CA"/>
        </w:rPr>
        <w:t xml:space="preserve"> of</w:t>
      </w:r>
      <w:r>
        <w:rPr>
          <w:lang w:val="en-CA"/>
        </w:rPr>
        <w:t xml:space="preserve"> the </w:t>
      </w:r>
      <w:r w:rsidR="0048680D">
        <w:rPr>
          <w:lang w:val="en-CA"/>
        </w:rPr>
        <w:t>distinctive</w:t>
      </w:r>
      <w:r>
        <w:rPr>
          <w:lang w:val="en-CA"/>
        </w:rPr>
        <w:t xml:space="preserve"> condition of the foreskin), a subject that should have been discussed with them (just </w:t>
      </w:r>
      <w:r w:rsidR="006F3982">
        <w:rPr>
          <w:lang w:val="en-CA"/>
        </w:rPr>
        <w:t xml:space="preserve">as </w:t>
      </w:r>
      <w:r>
        <w:rPr>
          <w:lang w:val="en-CA"/>
        </w:rPr>
        <w:t xml:space="preserve">the circumcision should </w:t>
      </w:r>
      <w:r w:rsidR="006F3982">
        <w:rPr>
          <w:lang w:val="en-CA"/>
        </w:rPr>
        <w:t>been</w:t>
      </w:r>
      <w:r>
        <w:rPr>
          <w:lang w:val="en-CA"/>
        </w:rPr>
        <w:t xml:space="preserve"> further </w:t>
      </w:r>
      <w:r w:rsidR="006F3982">
        <w:rPr>
          <w:lang w:val="en-CA"/>
        </w:rPr>
        <w:t>discussed</w:t>
      </w:r>
      <w:r>
        <w:rPr>
          <w:lang w:val="en-CA"/>
        </w:rPr>
        <w:t>), especially since the appellant’s counsel was aware of the content</w:t>
      </w:r>
      <w:r w:rsidR="0048680D">
        <w:rPr>
          <w:lang w:val="en-CA"/>
        </w:rPr>
        <w:t>s</w:t>
      </w:r>
      <w:r>
        <w:rPr>
          <w:lang w:val="en-CA"/>
        </w:rPr>
        <w:t xml:space="preserve"> of X’s statement to the police. The fact that they were not cross-examined on this point is an indefensible shortcoming. It is less clear, perhaps, in the case of complainant Y, given the nature of the alleged touching and that it ended in 2010, but the fact that this complainant was not cross-examined on this point was not because of a strategic decision by counsel, </w:t>
      </w:r>
      <w:r w:rsidR="0048680D">
        <w:rPr>
          <w:lang w:val="en-CA"/>
        </w:rPr>
        <w:t xml:space="preserve">he merely </w:t>
      </w:r>
      <w:r>
        <w:rPr>
          <w:lang w:val="en-CA"/>
        </w:rPr>
        <w:t>avoided the subject.</w:t>
      </w:r>
    </w:p>
    <w:p w14:paraId="39C2AB34" w14:textId="3671E069" w:rsidR="00EF0D60" w:rsidRPr="004A360E" w:rsidRDefault="00F06516" w:rsidP="00BC71FC">
      <w:pPr>
        <w:pStyle w:val="Paragraphe"/>
        <w:rPr>
          <w:lang w:val="en-US"/>
        </w:rPr>
      </w:pPr>
      <w:r>
        <w:rPr>
          <w:lang w:val="en-CA"/>
        </w:rPr>
        <w:t xml:space="preserve">The whole case is based on the credibility of the witnesses (as is often the case with </w:t>
      </w:r>
      <w:r w:rsidR="00C056F5">
        <w:rPr>
          <w:lang w:val="en-CA"/>
        </w:rPr>
        <w:t xml:space="preserve">sexual </w:t>
      </w:r>
      <w:r>
        <w:rPr>
          <w:lang w:val="en-CA"/>
        </w:rPr>
        <w:t xml:space="preserve">offences): the complainants, the </w:t>
      </w:r>
      <w:r w:rsidR="00F462D2">
        <w:rPr>
          <w:lang w:val="en-CA"/>
        </w:rPr>
        <w:t xml:space="preserve">former </w:t>
      </w:r>
      <w:r w:rsidR="00DF7FC6">
        <w:rPr>
          <w:lang w:val="en-CA"/>
        </w:rPr>
        <w:t>spouse</w:t>
      </w:r>
      <w:r>
        <w:rPr>
          <w:lang w:val="en-CA"/>
        </w:rPr>
        <w:t xml:space="preserve"> and the appellant. A</w:t>
      </w:r>
      <w:r w:rsidR="00F462D2">
        <w:rPr>
          <w:lang w:val="en-CA"/>
        </w:rPr>
        <w:t xml:space="preserve"> factor </w:t>
      </w:r>
      <w:r>
        <w:rPr>
          <w:lang w:val="en-CA"/>
        </w:rPr>
        <w:t xml:space="preserve">such as the one in question could therefore be decisive in the assessment of the evidence and, in the circumstances, it was not a minor or peripheral </w:t>
      </w:r>
      <w:r w:rsidR="00F462D2">
        <w:rPr>
          <w:lang w:val="en-CA"/>
        </w:rPr>
        <w:t>factor</w:t>
      </w:r>
      <w:r>
        <w:rPr>
          <w:lang w:val="en-CA"/>
        </w:rPr>
        <w:t xml:space="preserve">. The appellant, because of his counsel’s lack of action both before and during the trial, was unable to assert what could have been a defence or an argument in support of his defence of general denial. At the very least, this would have been an important fact for the purpose of testing the witnesses, </w:t>
      </w:r>
      <w:r w:rsidR="001C6708">
        <w:rPr>
          <w:lang w:val="en-CA"/>
        </w:rPr>
        <w:t xml:space="preserve">but </w:t>
      </w:r>
      <w:r w:rsidR="00EC0F2C">
        <w:rPr>
          <w:lang w:val="en-CA"/>
        </w:rPr>
        <w:t xml:space="preserve">also </w:t>
      </w:r>
      <w:r>
        <w:rPr>
          <w:lang w:val="en-CA"/>
        </w:rPr>
        <w:t xml:space="preserve">for the </w:t>
      </w:r>
      <w:r w:rsidR="00EC0F2C">
        <w:rPr>
          <w:lang w:val="en-CA"/>
        </w:rPr>
        <w:t>assessment of</w:t>
      </w:r>
      <w:r>
        <w:rPr>
          <w:lang w:val="en-CA"/>
        </w:rPr>
        <w:t xml:space="preserve"> the credibility of the witnesses, including the appellant. Given the ineffective assistance provided by his counsel, who neglected this evidence, the appellant was deprived of the opportunity to challenge the veracity of the witness statements attacking him or to establish his credibility and, as a result, he was deprived of the opportunity to raise reasonable doubt about his guilt, which directly affected the fairness of the trial.</w:t>
      </w:r>
    </w:p>
    <w:p w14:paraId="2083F50C" w14:textId="3C6FA548" w:rsidR="00A70812" w:rsidRPr="004A360E" w:rsidRDefault="00F06516" w:rsidP="00BC71FC">
      <w:pPr>
        <w:pStyle w:val="Paragraphe"/>
        <w:rPr>
          <w:lang w:val="en-US"/>
        </w:rPr>
      </w:pPr>
      <w:r>
        <w:rPr>
          <w:lang w:val="en-CA"/>
        </w:rPr>
        <w:t>Moreover, the evidence in this case is not [</w:t>
      </w:r>
      <w:r w:rsidR="001C6708" w:rsidRPr="009D6270">
        <w:rPr>
          <w:smallCaps/>
          <w:lang w:val="en-CA"/>
        </w:rPr>
        <w:t>translation</w:t>
      </w:r>
      <w:r>
        <w:rPr>
          <w:lang w:val="en-CA"/>
        </w:rPr>
        <w:t>] “so overwhelming that ineffective assistance becomes anecdotal”.</w:t>
      </w:r>
      <w:r>
        <w:rPr>
          <w:rStyle w:val="Appelnotedebasdep"/>
          <w:lang w:val="en-CA"/>
        </w:rPr>
        <w:footnoteReference w:id="93"/>
      </w:r>
      <w:r>
        <w:rPr>
          <w:lang w:val="en-CA"/>
        </w:rPr>
        <w:t xml:space="preserve"> The prosecution’s evidence is solid on first glance, admittedly, but, in the context, the issue of the distinctive characteristics of the appellant’s genital organ and how they changed over time would likely </w:t>
      </w:r>
      <w:r w:rsidR="001C6708">
        <w:rPr>
          <w:lang w:val="en-CA"/>
        </w:rPr>
        <w:t xml:space="preserve">have </w:t>
      </w:r>
      <w:r>
        <w:rPr>
          <w:lang w:val="en-CA"/>
        </w:rPr>
        <w:t xml:space="preserve">affected the trial judge’s assessment of each testimony and of the evidence as a whole, and she could not have ignored the subject. There is a </w:t>
      </w:r>
      <w:r>
        <w:rPr>
          <w:i/>
          <w:iCs/>
          <w:lang w:val="en-CA"/>
        </w:rPr>
        <w:t>reasonable probability</w:t>
      </w:r>
      <w:r>
        <w:rPr>
          <w:lang w:val="en-CA"/>
        </w:rPr>
        <w:t xml:space="preserve"> here ([</w:t>
      </w:r>
      <w:r w:rsidR="001C6708" w:rsidRPr="009D6270">
        <w:rPr>
          <w:smallCaps/>
          <w:lang w:val="en-CA"/>
        </w:rPr>
        <w:t>translation</w:t>
      </w:r>
      <w:r>
        <w:rPr>
          <w:lang w:val="en-CA"/>
        </w:rPr>
        <w:t xml:space="preserve">] “a standard that falls between a </w:t>
      </w:r>
      <w:r w:rsidR="00491546">
        <w:rPr>
          <w:lang w:val="en-CA"/>
        </w:rPr>
        <w:t xml:space="preserve">mere </w:t>
      </w:r>
      <w:r>
        <w:rPr>
          <w:lang w:val="en-CA"/>
        </w:rPr>
        <w:t>possibility</w:t>
      </w:r>
      <w:r w:rsidR="00491546">
        <w:rPr>
          <w:lang w:val="en-CA"/>
        </w:rPr>
        <w:t xml:space="preserve"> (</w:t>
      </w:r>
      <w:r w:rsidR="00054692">
        <w:rPr>
          <w:lang w:val="en-CA"/>
        </w:rPr>
        <w:t>“</w:t>
      </w:r>
      <w:r w:rsidRPr="00054692">
        <w:rPr>
          <w:lang w:val="en-CA"/>
        </w:rPr>
        <w:t>some conceivable effect on the outcome of the proceeding</w:t>
      </w:r>
      <w:r w:rsidR="00054692">
        <w:rPr>
          <w:lang w:val="en-CA"/>
        </w:rPr>
        <w:t>”</w:t>
      </w:r>
      <w:r w:rsidR="00491546">
        <w:rPr>
          <w:lang w:val="en-CA"/>
        </w:rPr>
        <w:t>)</w:t>
      </w:r>
      <w:r w:rsidR="00054692">
        <w:rPr>
          <w:lang w:val="en-CA"/>
        </w:rPr>
        <w:t xml:space="preserve"> </w:t>
      </w:r>
      <w:r w:rsidR="00491546">
        <w:rPr>
          <w:lang w:val="en-CA"/>
        </w:rPr>
        <w:t>[</w:t>
      </w:r>
      <w:r w:rsidR="00491546" w:rsidRPr="00F2128D">
        <w:rPr>
          <w:smallCaps/>
          <w:lang w:val="en-CA"/>
        </w:rPr>
        <w:t>translation</w:t>
      </w:r>
      <w:r w:rsidR="00491546">
        <w:rPr>
          <w:lang w:val="en-CA"/>
        </w:rPr>
        <w:t xml:space="preserve">] </w:t>
      </w:r>
      <w:r>
        <w:rPr>
          <w:lang w:val="en-CA"/>
        </w:rPr>
        <w:t>and a balance of probabilities”</w:t>
      </w:r>
      <w:r>
        <w:rPr>
          <w:rStyle w:val="Appelnotedebasdep"/>
          <w:lang w:val="en-CA"/>
        </w:rPr>
        <w:footnoteReference w:id="94"/>
      </w:r>
      <w:r>
        <w:rPr>
          <w:lang w:val="en-CA"/>
        </w:rPr>
        <w:t xml:space="preserve">) that the outcome of the debate would have been different if the </w:t>
      </w:r>
      <w:r w:rsidR="00491546">
        <w:rPr>
          <w:lang w:val="en-CA"/>
        </w:rPr>
        <w:t xml:space="preserve">fresh </w:t>
      </w:r>
      <w:r>
        <w:rPr>
          <w:lang w:val="en-CA"/>
        </w:rPr>
        <w:t xml:space="preserve">evidence (primarily the medical evidence) that is now available to this Court had been made available to the </w:t>
      </w:r>
      <w:r w:rsidR="00491546">
        <w:rPr>
          <w:lang w:val="en-CA"/>
        </w:rPr>
        <w:t xml:space="preserve">Court </w:t>
      </w:r>
      <w:r>
        <w:rPr>
          <w:lang w:val="en-CA"/>
        </w:rPr>
        <w:t xml:space="preserve">and if </w:t>
      </w:r>
      <w:r>
        <w:rPr>
          <w:lang w:val="en-CA"/>
        </w:rPr>
        <w:lastRenderedPageBreak/>
        <w:t xml:space="preserve">the prosecution witnesses had been cross-examined on this element. It is not </w:t>
      </w:r>
      <w:r>
        <w:rPr>
          <w:i/>
          <w:iCs/>
          <w:lang w:val="en-CA"/>
        </w:rPr>
        <w:t>certain</w:t>
      </w:r>
      <w:r>
        <w:rPr>
          <w:lang w:val="en-CA"/>
        </w:rPr>
        <w:t xml:space="preserve"> that this would have been the case, but that is not the burden that the appellant had to meet.</w:t>
      </w:r>
    </w:p>
    <w:p w14:paraId="4136BE8C" w14:textId="434ECEB8" w:rsidR="008E7A6F" w:rsidRPr="004A360E" w:rsidRDefault="00F06516" w:rsidP="008E7A6F">
      <w:pPr>
        <w:pStyle w:val="Paragraphe"/>
        <w:rPr>
          <w:lang w:val="en-US"/>
        </w:rPr>
      </w:pPr>
      <w:r>
        <w:rPr>
          <w:lang w:val="en-CA"/>
        </w:rPr>
        <w:t xml:space="preserve">Ultimately, as the fairness of the trial and the appellant’s right to a full and complete defence have been compromised by the ineffective assistance he received from his former counsel, this Court must </w:t>
      </w:r>
      <w:r w:rsidR="00D24BB2">
        <w:rPr>
          <w:lang w:val="en-CA"/>
        </w:rPr>
        <w:t xml:space="preserve">reverse </w:t>
      </w:r>
      <w:r>
        <w:rPr>
          <w:lang w:val="en-CA"/>
        </w:rPr>
        <w:t>the trial judgment and order a new trial on counts 1 to 9, 12, 14 and 16.</w:t>
      </w:r>
      <w:r>
        <w:rPr>
          <w:rStyle w:val="Appelnotedebasdep"/>
          <w:lang w:val="en-CA"/>
        </w:rPr>
        <w:footnoteReference w:id="95"/>
      </w:r>
      <w:r>
        <w:rPr>
          <w:lang w:val="en-CA"/>
        </w:rPr>
        <w:t xml:space="preserve"> The Court is, of course, fully aware of the impact of such an order, but in this case no other solution can be considered.</w:t>
      </w:r>
    </w:p>
    <w:p w14:paraId="66599E7B" w14:textId="50EDEFBF" w:rsidR="003C53C6" w:rsidRPr="00941800" w:rsidRDefault="00F06516" w:rsidP="00ED43E9">
      <w:pPr>
        <w:pStyle w:val="Paragraphe"/>
        <w:numPr>
          <w:ilvl w:val="0"/>
          <w:numId w:val="0"/>
        </w:numPr>
        <w:spacing w:before="240"/>
        <w:rPr>
          <w:b/>
          <w:bCs/>
          <w:smallCaps/>
        </w:rPr>
      </w:pPr>
      <w:r>
        <w:rPr>
          <w:b/>
          <w:bCs/>
          <w:smallCaps/>
          <w:lang w:val="en-CA"/>
        </w:rPr>
        <w:t>III.</w:t>
      </w:r>
      <w:r>
        <w:rPr>
          <w:b/>
          <w:bCs/>
          <w:smallCaps/>
          <w:lang w:val="en-CA"/>
        </w:rPr>
        <w:tab/>
      </w:r>
      <w:r>
        <w:rPr>
          <w:b/>
          <w:bCs/>
          <w:smallCaps/>
          <w:u w:val="single"/>
          <w:lang w:val="en-CA"/>
        </w:rPr>
        <w:t>Appealing the sentence</w:t>
      </w:r>
    </w:p>
    <w:p w14:paraId="6EB49525" w14:textId="415D418F" w:rsidR="008F34AE" w:rsidRPr="004A360E" w:rsidRDefault="00F06516" w:rsidP="00361A82">
      <w:pPr>
        <w:pStyle w:val="Paragraphe"/>
        <w:rPr>
          <w:lang w:val="en-US"/>
        </w:rPr>
      </w:pPr>
      <w:r>
        <w:rPr>
          <w:lang w:val="en-CA"/>
        </w:rPr>
        <w:t xml:space="preserve">For these reasons, it is neither necessary nor useful to consider the application for leave to appeal the sentence or the sentence itself. As the conviction has been </w:t>
      </w:r>
      <w:r w:rsidR="00D24BB2">
        <w:rPr>
          <w:lang w:val="en-CA"/>
        </w:rPr>
        <w:t>quashed</w:t>
      </w:r>
      <w:r>
        <w:rPr>
          <w:lang w:val="en-CA"/>
        </w:rPr>
        <w:t>, it follows that the sentencing judgment is now null and void, as is the sentence itself, which must be dropped.</w:t>
      </w:r>
    </w:p>
    <w:p w14:paraId="17B325B2" w14:textId="3E127568" w:rsidR="008F34AE" w:rsidRPr="004A360E" w:rsidRDefault="00F06516" w:rsidP="00ED43E9">
      <w:pPr>
        <w:pStyle w:val="Paragraphe"/>
        <w:numPr>
          <w:ilvl w:val="0"/>
          <w:numId w:val="0"/>
        </w:numPr>
        <w:spacing w:before="240"/>
        <w:rPr>
          <w:b/>
          <w:bCs/>
          <w:lang w:val="en-US"/>
        </w:rPr>
      </w:pPr>
      <w:r>
        <w:rPr>
          <w:b/>
          <w:bCs/>
          <w:lang w:val="en-CA"/>
        </w:rPr>
        <w:t>FOR THESE REASONS, THE COURT:</w:t>
      </w:r>
    </w:p>
    <w:p w14:paraId="7D99FC13" w14:textId="71DC8DF9" w:rsidR="004D7FA8" w:rsidRPr="004A360E" w:rsidRDefault="00F06516" w:rsidP="004D7FA8">
      <w:pPr>
        <w:pStyle w:val="Paragraphe"/>
        <w:rPr>
          <w:lang w:val="en-US"/>
        </w:rPr>
      </w:pPr>
      <w:r>
        <w:rPr>
          <w:b/>
          <w:bCs/>
          <w:lang w:val="en-CA"/>
        </w:rPr>
        <w:t>GRANTS</w:t>
      </w:r>
      <w:r>
        <w:rPr>
          <w:lang w:val="en-CA"/>
        </w:rPr>
        <w:t xml:space="preserve"> the [</w:t>
      </w:r>
      <w:r w:rsidR="00D24BB2" w:rsidRPr="009D6270">
        <w:rPr>
          <w:smallCaps/>
          <w:lang w:val="en-CA"/>
        </w:rPr>
        <w:t>translation</w:t>
      </w:r>
      <w:r>
        <w:rPr>
          <w:lang w:val="en-CA"/>
        </w:rPr>
        <w:t xml:space="preserve">] “motion for authorization to </w:t>
      </w:r>
      <w:r w:rsidR="00D24BB2">
        <w:rPr>
          <w:lang w:val="en-CA"/>
        </w:rPr>
        <w:t xml:space="preserve">fresh </w:t>
      </w:r>
      <w:r>
        <w:rPr>
          <w:lang w:val="en-CA"/>
        </w:rPr>
        <w:t>evidence”;</w:t>
      </w:r>
    </w:p>
    <w:p w14:paraId="1F71B321" w14:textId="353F8A09" w:rsidR="00B57788" w:rsidRPr="004A360E" w:rsidRDefault="00F06516" w:rsidP="004D7FA8">
      <w:pPr>
        <w:pStyle w:val="Paragraphe"/>
        <w:rPr>
          <w:lang w:val="en-US"/>
        </w:rPr>
      </w:pPr>
      <w:r>
        <w:rPr>
          <w:b/>
          <w:bCs/>
          <w:lang w:val="en-CA"/>
        </w:rPr>
        <w:t>DECLARES</w:t>
      </w:r>
      <w:r>
        <w:rPr>
          <w:lang w:val="en-CA"/>
        </w:rPr>
        <w:t xml:space="preserve"> the </w:t>
      </w:r>
      <w:r w:rsidR="00D24BB2">
        <w:rPr>
          <w:lang w:val="en-CA"/>
        </w:rPr>
        <w:t xml:space="preserve">fresh </w:t>
      </w:r>
      <w:r>
        <w:rPr>
          <w:lang w:val="en-CA"/>
        </w:rPr>
        <w:t>evidence admissible;</w:t>
      </w:r>
    </w:p>
    <w:p w14:paraId="4E3F9E76" w14:textId="619F496B" w:rsidR="004D7FA8" w:rsidRPr="004A360E" w:rsidRDefault="00F06516" w:rsidP="004D7FA8">
      <w:pPr>
        <w:pStyle w:val="Paragraphe"/>
        <w:rPr>
          <w:lang w:val="en-US"/>
        </w:rPr>
      </w:pPr>
      <w:r>
        <w:rPr>
          <w:b/>
          <w:bCs/>
          <w:lang w:val="en-CA"/>
        </w:rPr>
        <w:t xml:space="preserve">GRANTS </w:t>
      </w:r>
      <w:r>
        <w:rPr>
          <w:lang w:val="en-CA"/>
        </w:rPr>
        <w:t>the [</w:t>
      </w:r>
      <w:r w:rsidR="00D24BB2" w:rsidRPr="009D6270">
        <w:rPr>
          <w:smallCaps/>
          <w:lang w:val="en-CA"/>
        </w:rPr>
        <w:t>translation</w:t>
      </w:r>
      <w:r>
        <w:rPr>
          <w:lang w:val="en-CA"/>
        </w:rPr>
        <w:t>] “motion for authorization to amend the appellant’s brief and its conclusions”;</w:t>
      </w:r>
    </w:p>
    <w:p w14:paraId="21A9044D" w14:textId="2C5AE584" w:rsidR="008F34AE" w:rsidRPr="004A360E" w:rsidRDefault="00D24BB2" w:rsidP="004D7FA8">
      <w:pPr>
        <w:pStyle w:val="Paragraphe"/>
        <w:rPr>
          <w:lang w:val="en-US"/>
        </w:rPr>
      </w:pPr>
      <w:r>
        <w:rPr>
          <w:b/>
          <w:bCs/>
          <w:lang w:val="en-CA"/>
        </w:rPr>
        <w:t>ALLOWS</w:t>
      </w:r>
      <w:r>
        <w:rPr>
          <w:lang w:val="en-CA"/>
        </w:rPr>
        <w:t xml:space="preserve"> </w:t>
      </w:r>
      <w:r w:rsidR="00F06516">
        <w:rPr>
          <w:lang w:val="en-CA"/>
        </w:rPr>
        <w:t xml:space="preserve">the appeal of the conviction on the ground of ineffective assistance of counsel who represented the appellant </w:t>
      </w:r>
      <w:r>
        <w:rPr>
          <w:lang w:val="en-CA"/>
        </w:rPr>
        <w:t>at trial</w:t>
      </w:r>
      <w:r w:rsidR="00F06516">
        <w:rPr>
          <w:lang w:val="en-CA"/>
        </w:rPr>
        <w:t>;</w:t>
      </w:r>
    </w:p>
    <w:p w14:paraId="3BA47E65" w14:textId="17158A86" w:rsidR="008F34AE" w:rsidRPr="004A360E" w:rsidRDefault="00D24BB2" w:rsidP="004D7FA8">
      <w:pPr>
        <w:pStyle w:val="Paragraphe"/>
        <w:rPr>
          <w:lang w:val="en-US"/>
        </w:rPr>
      </w:pPr>
      <w:r>
        <w:rPr>
          <w:b/>
          <w:bCs/>
          <w:lang w:val="en-CA"/>
        </w:rPr>
        <w:t>REVERSES</w:t>
      </w:r>
      <w:r>
        <w:rPr>
          <w:lang w:val="en-CA"/>
        </w:rPr>
        <w:t xml:space="preserve"> </w:t>
      </w:r>
      <w:r w:rsidR="00F06516">
        <w:rPr>
          <w:lang w:val="en-CA"/>
        </w:rPr>
        <w:t xml:space="preserve">in part the trial judgment of December 18, 2020, and </w:t>
      </w:r>
      <w:r w:rsidR="00F06516">
        <w:rPr>
          <w:b/>
          <w:bCs/>
          <w:lang w:val="en-CA"/>
        </w:rPr>
        <w:t xml:space="preserve">QUASHES </w:t>
      </w:r>
      <w:r w:rsidR="00F06516">
        <w:rPr>
          <w:lang w:val="en-CA"/>
        </w:rPr>
        <w:t>the conviction issued therein on each of counts 1 to 6, 8, 9, 14 and 16, as well as the stay of proceedings for counts 7 and 12;</w:t>
      </w:r>
    </w:p>
    <w:p w14:paraId="4BA9E253" w14:textId="4ADBE05C" w:rsidR="008F34AE" w:rsidRPr="004A360E" w:rsidRDefault="00F06516" w:rsidP="004D7FA8">
      <w:pPr>
        <w:pStyle w:val="Paragraphe"/>
        <w:rPr>
          <w:lang w:val="en-US"/>
        </w:rPr>
      </w:pPr>
      <w:r>
        <w:rPr>
          <w:b/>
          <w:bCs/>
          <w:lang w:val="en-CA"/>
        </w:rPr>
        <w:t>ORDER</w:t>
      </w:r>
      <w:r w:rsidR="00D24BB2">
        <w:rPr>
          <w:b/>
          <w:bCs/>
          <w:lang w:val="en-CA"/>
        </w:rPr>
        <w:t>S</w:t>
      </w:r>
      <w:r>
        <w:rPr>
          <w:lang w:val="en-CA"/>
        </w:rPr>
        <w:t xml:space="preserve"> a new trial on counts 1 to 9, 12, 14 and 16;</w:t>
      </w:r>
    </w:p>
    <w:p w14:paraId="309901DE" w14:textId="306FFFE3" w:rsidR="008F34AE" w:rsidRPr="004A360E" w:rsidRDefault="00F06516" w:rsidP="004D7FA8">
      <w:pPr>
        <w:pStyle w:val="Paragraphe"/>
        <w:rPr>
          <w:lang w:val="en-US"/>
        </w:rPr>
      </w:pPr>
      <w:r>
        <w:rPr>
          <w:b/>
          <w:bCs/>
          <w:lang w:val="en-CA"/>
        </w:rPr>
        <w:t>DECLARES</w:t>
      </w:r>
      <w:r>
        <w:rPr>
          <w:lang w:val="en-CA"/>
        </w:rPr>
        <w:t xml:space="preserve"> the sentencing judgment of August 27, 2021, null and void, given the </w:t>
      </w:r>
      <w:r w:rsidR="00DE22C9">
        <w:rPr>
          <w:lang w:val="en-CA"/>
        </w:rPr>
        <w:t xml:space="preserve">quashing </w:t>
      </w:r>
      <w:r>
        <w:rPr>
          <w:lang w:val="en-CA"/>
        </w:rPr>
        <w:t>of the conviction;</w:t>
      </w:r>
    </w:p>
    <w:p w14:paraId="3B263E0E" w14:textId="53B86CB3" w:rsidR="00604DE2" w:rsidRPr="004A360E" w:rsidRDefault="00F06516" w:rsidP="004D7FA8">
      <w:pPr>
        <w:pStyle w:val="Paragraphe"/>
        <w:rPr>
          <w:lang w:val="en-US"/>
        </w:rPr>
      </w:pPr>
      <w:r>
        <w:rPr>
          <w:b/>
          <w:bCs/>
          <w:lang w:val="en-CA"/>
        </w:rPr>
        <w:t>DECLARES</w:t>
      </w:r>
      <w:r>
        <w:rPr>
          <w:lang w:val="en-CA"/>
        </w:rPr>
        <w:t xml:space="preserve"> as a result the [</w:t>
      </w:r>
      <w:r w:rsidR="00DE22C9" w:rsidRPr="009D6270">
        <w:rPr>
          <w:smallCaps/>
          <w:lang w:val="en-CA"/>
        </w:rPr>
        <w:t>translation</w:t>
      </w:r>
      <w:r>
        <w:rPr>
          <w:lang w:val="en-CA"/>
        </w:rPr>
        <w:t>] “application for leave to appeal the sentence” to be moot.</w:t>
      </w: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997"/>
        <w:gridCol w:w="2685"/>
        <w:gridCol w:w="4680"/>
      </w:tblGrid>
      <w:tr w:rsidR="006D655C" w:rsidRPr="00EF4074" w14:paraId="3B0A0106" w14:textId="77777777" w:rsidTr="003E3239">
        <w:trPr>
          <w:trHeight w:val="576"/>
        </w:trPr>
        <w:tc>
          <w:tcPr>
            <w:tcW w:w="9362" w:type="dxa"/>
            <w:gridSpan w:val="3"/>
            <w:tcBorders>
              <w:top w:val="nil"/>
              <w:bottom w:val="nil"/>
            </w:tcBorders>
          </w:tcPr>
          <w:p w14:paraId="16224050" w14:textId="77777777" w:rsidR="008F364A" w:rsidRPr="004A360E" w:rsidRDefault="008F364A">
            <w:pPr>
              <w:keepNext/>
              <w:rPr>
                <w:lang w:val="en-US"/>
              </w:rPr>
            </w:pPr>
          </w:p>
        </w:tc>
      </w:tr>
      <w:tr w:rsidR="006D655C" w:rsidRPr="00EF4074" w14:paraId="509DAAE7" w14:textId="77777777" w:rsidTr="00117914">
        <w:trPr>
          <w:trHeight w:val="283"/>
        </w:trPr>
        <w:tc>
          <w:tcPr>
            <w:tcW w:w="4682" w:type="dxa"/>
            <w:gridSpan w:val="2"/>
            <w:tcBorders>
              <w:top w:val="nil"/>
              <w:bottom w:val="nil"/>
            </w:tcBorders>
          </w:tcPr>
          <w:p w14:paraId="09D6135B" w14:textId="77777777" w:rsidR="008F364A" w:rsidRPr="004A360E" w:rsidRDefault="008F364A">
            <w:pPr>
              <w:keepNext/>
              <w:rPr>
                <w:lang w:val="en-US"/>
              </w:rPr>
            </w:pPr>
          </w:p>
        </w:tc>
        <w:tc>
          <w:tcPr>
            <w:tcW w:w="4680" w:type="dxa"/>
            <w:tcBorders>
              <w:top w:val="nil"/>
              <w:bottom w:val="single" w:sz="8" w:space="0" w:color="auto"/>
            </w:tcBorders>
          </w:tcPr>
          <w:p w14:paraId="74B14B2B" w14:textId="77777777" w:rsidR="008F364A" w:rsidRPr="004A360E" w:rsidRDefault="008F364A">
            <w:pPr>
              <w:keepNext/>
              <w:rPr>
                <w:lang w:val="en-US"/>
              </w:rPr>
            </w:pPr>
          </w:p>
        </w:tc>
      </w:tr>
      <w:tr w:rsidR="006D655C" w14:paraId="38C2C7B4" w14:textId="77777777" w:rsidTr="00117914">
        <w:trPr>
          <w:trHeight w:val="283"/>
        </w:trPr>
        <w:tc>
          <w:tcPr>
            <w:tcW w:w="4682" w:type="dxa"/>
            <w:gridSpan w:val="2"/>
            <w:tcBorders>
              <w:top w:val="nil"/>
            </w:tcBorders>
          </w:tcPr>
          <w:p w14:paraId="4BB24A8A" w14:textId="77777777" w:rsidR="008F364A" w:rsidRPr="004A360E" w:rsidRDefault="008F364A">
            <w:pPr>
              <w:keepNext/>
              <w:rPr>
                <w:lang w:val="en-US"/>
              </w:rPr>
            </w:pPr>
          </w:p>
        </w:tc>
        <w:tc>
          <w:tcPr>
            <w:tcW w:w="4680" w:type="dxa"/>
            <w:tcBorders>
              <w:top w:val="single" w:sz="8" w:space="0" w:color="auto"/>
            </w:tcBorders>
          </w:tcPr>
          <w:p w14:paraId="11E27C2F" w14:textId="5CA6B36C" w:rsidR="008F364A" w:rsidRPr="00941800" w:rsidRDefault="00F06516">
            <w:r w:rsidRPr="004A360E">
              <w:t xml:space="preserve">MARIE-FRANCE </w:t>
            </w:r>
            <w:proofErr w:type="spellStart"/>
            <w:r w:rsidRPr="004A360E">
              <w:t>BICH</w:t>
            </w:r>
            <w:proofErr w:type="spellEnd"/>
            <w:r w:rsidRPr="004A360E">
              <w:t>, J.A.</w:t>
            </w:r>
          </w:p>
        </w:tc>
      </w:tr>
      <w:tr w:rsidR="006D655C" w14:paraId="311C70A6" w14:textId="77777777" w:rsidTr="00117914">
        <w:trPr>
          <w:trHeight w:val="283"/>
        </w:trPr>
        <w:tc>
          <w:tcPr>
            <w:tcW w:w="4682" w:type="dxa"/>
            <w:gridSpan w:val="2"/>
            <w:tcBorders>
              <w:top w:val="nil"/>
            </w:tcBorders>
          </w:tcPr>
          <w:p w14:paraId="237419D0" w14:textId="77777777" w:rsidR="008F364A" w:rsidRPr="00941800" w:rsidRDefault="008F364A">
            <w:pPr>
              <w:keepNext/>
            </w:pPr>
            <w:bookmarkStart w:id="26" w:name="Signature2"/>
          </w:p>
        </w:tc>
        <w:tc>
          <w:tcPr>
            <w:tcW w:w="4680" w:type="dxa"/>
            <w:tcBorders>
              <w:top w:val="nil"/>
            </w:tcBorders>
          </w:tcPr>
          <w:p w14:paraId="380EF6BD" w14:textId="77777777" w:rsidR="008F364A" w:rsidRPr="00941800" w:rsidRDefault="008F364A">
            <w:pPr>
              <w:keepNext/>
            </w:pPr>
          </w:p>
        </w:tc>
      </w:tr>
      <w:tr w:rsidR="006D655C" w14:paraId="4D97DA25" w14:textId="77777777" w:rsidTr="00117914">
        <w:trPr>
          <w:trHeight w:val="283"/>
        </w:trPr>
        <w:tc>
          <w:tcPr>
            <w:tcW w:w="4682" w:type="dxa"/>
            <w:gridSpan w:val="2"/>
            <w:tcBorders>
              <w:top w:val="nil"/>
              <w:bottom w:val="nil"/>
            </w:tcBorders>
          </w:tcPr>
          <w:p w14:paraId="2B1A6ECA" w14:textId="77777777" w:rsidR="008F364A" w:rsidRPr="00941800" w:rsidRDefault="008F364A">
            <w:pPr>
              <w:keepNext/>
            </w:pPr>
          </w:p>
        </w:tc>
        <w:tc>
          <w:tcPr>
            <w:tcW w:w="4680" w:type="dxa"/>
            <w:tcBorders>
              <w:top w:val="nil"/>
              <w:bottom w:val="single" w:sz="8" w:space="0" w:color="auto"/>
            </w:tcBorders>
          </w:tcPr>
          <w:p w14:paraId="30191719" w14:textId="77777777" w:rsidR="008F364A" w:rsidRPr="00941800" w:rsidRDefault="008F364A">
            <w:pPr>
              <w:keepNext/>
            </w:pPr>
          </w:p>
        </w:tc>
      </w:tr>
      <w:tr w:rsidR="006D655C" w14:paraId="3DAD9975" w14:textId="77777777" w:rsidTr="00117914">
        <w:trPr>
          <w:trHeight w:val="283"/>
        </w:trPr>
        <w:tc>
          <w:tcPr>
            <w:tcW w:w="4682" w:type="dxa"/>
            <w:gridSpan w:val="2"/>
            <w:tcBorders>
              <w:top w:val="nil"/>
            </w:tcBorders>
          </w:tcPr>
          <w:p w14:paraId="5598A2E5" w14:textId="77777777" w:rsidR="008F364A" w:rsidRPr="00941800" w:rsidRDefault="008F364A">
            <w:pPr>
              <w:keepNext/>
            </w:pPr>
          </w:p>
        </w:tc>
        <w:tc>
          <w:tcPr>
            <w:tcW w:w="4680" w:type="dxa"/>
            <w:tcBorders>
              <w:top w:val="single" w:sz="8" w:space="0" w:color="auto"/>
            </w:tcBorders>
          </w:tcPr>
          <w:p w14:paraId="5BAE02C8" w14:textId="05880317" w:rsidR="008F364A" w:rsidRPr="00941800" w:rsidRDefault="00F06516">
            <w:pPr>
              <w:keepNext/>
            </w:pPr>
            <w:r>
              <w:rPr>
                <w:lang w:val="en-CA"/>
              </w:rPr>
              <w:t>MICHEL BEAUPRÉ, J.A.</w:t>
            </w:r>
          </w:p>
        </w:tc>
      </w:tr>
      <w:tr w:rsidR="006D655C" w14:paraId="1B936529" w14:textId="77777777" w:rsidTr="00117914">
        <w:trPr>
          <w:trHeight w:val="283"/>
        </w:trPr>
        <w:tc>
          <w:tcPr>
            <w:tcW w:w="4682" w:type="dxa"/>
            <w:gridSpan w:val="2"/>
            <w:tcBorders>
              <w:top w:val="nil"/>
            </w:tcBorders>
          </w:tcPr>
          <w:p w14:paraId="47E4FF6F" w14:textId="77777777" w:rsidR="008F364A" w:rsidRPr="00941800" w:rsidRDefault="008F364A">
            <w:pPr>
              <w:keepNext/>
            </w:pPr>
            <w:bookmarkStart w:id="27" w:name="Signature3"/>
            <w:bookmarkEnd w:id="26"/>
          </w:p>
        </w:tc>
        <w:tc>
          <w:tcPr>
            <w:tcW w:w="4680" w:type="dxa"/>
            <w:tcBorders>
              <w:top w:val="nil"/>
            </w:tcBorders>
          </w:tcPr>
          <w:p w14:paraId="37282EAD" w14:textId="77777777" w:rsidR="008F364A" w:rsidRPr="00941800" w:rsidRDefault="008F364A">
            <w:pPr>
              <w:keepNext/>
            </w:pPr>
          </w:p>
        </w:tc>
      </w:tr>
      <w:tr w:rsidR="006D655C" w14:paraId="12EDCB60" w14:textId="77777777" w:rsidTr="00117914">
        <w:trPr>
          <w:trHeight w:val="283"/>
        </w:trPr>
        <w:tc>
          <w:tcPr>
            <w:tcW w:w="4682" w:type="dxa"/>
            <w:gridSpan w:val="2"/>
            <w:tcBorders>
              <w:top w:val="nil"/>
              <w:bottom w:val="nil"/>
            </w:tcBorders>
          </w:tcPr>
          <w:p w14:paraId="009CA639" w14:textId="77777777" w:rsidR="008F364A" w:rsidRPr="00941800" w:rsidRDefault="008F364A">
            <w:pPr>
              <w:keepNext/>
            </w:pPr>
          </w:p>
        </w:tc>
        <w:tc>
          <w:tcPr>
            <w:tcW w:w="4680" w:type="dxa"/>
            <w:tcBorders>
              <w:top w:val="nil"/>
              <w:bottom w:val="single" w:sz="8" w:space="0" w:color="auto"/>
            </w:tcBorders>
          </w:tcPr>
          <w:p w14:paraId="14A18165" w14:textId="77777777" w:rsidR="008F364A" w:rsidRPr="00941800" w:rsidRDefault="008F364A">
            <w:pPr>
              <w:keepNext/>
            </w:pPr>
          </w:p>
        </w:tc>
      </w:tr>
      <w:tr w:rsidR="006D655C" w14:paraId="61BE031C" w14:textId="77777777" w:rsidTr="00117914">
        <w:trPr>
          <w:trHeight w:val="283"/>
        </w:trPr>
        <w:tc>
          <w:tcPr>
            <w:tcW w:w="4682" w:type="dxa"/>
            <w:gridSpan w:val="2"/>
            <w:tcBorders>
              <w:top w:val="nil"/>
            </w:tcBorders>
          </w:tcPr>
          <w:p w14:paraId="479FCC06" w14:textId="77777777" w:rsidR="008F364A" w:rsidRPr="00941800" w:rsidRDefault="008F364A">
            <w:pPr>
              <w:keepNext/>
            </w:pPr>
          </w:p>
        </w:tc>
        <w:tc>
          <w:tcPr>
            <w:tcW w:w="4680" w:type="dxa"/>
            <w:tcBorders>
              <w:top w:val="single" w:sz="8" w:space="0" w:color="auto"/>
            </w:tcBorders>
          </w:tcPr>
          <w:p w14:paraId="5862CF78" w14:textId="2279C26B" w:rsidR="008F364A" w:rsidRPr="00941800" w:rsidRDefault="00F06516">
            <w:pPr>
              <w:keepNext/>
            </w:pPr>
            <w:r>
              <w:rPr>
                <w:lang w:val="en-CA"/>
              </w:rPr>
              <w:t>GUY COURNOYER, J.A.</w:t>
            </w:r>
          </w:p>
        </w:tc>
      </w:tr>
      <w:bookmarkEnd w:id="27"/>
      <w:tr w:rsidR="006D655C" w14:paraId="408CC0CA" w14:textId="77777777" w:rsidTr="00C63446">
        <w:tc>
          <w:tcPr>
            <w:tcW w:w="9362" w:type="dxa"/>
            <w:gridSpan w:val="3"/>
            <w:tcBorders>
              <w:bottom w:val="nil"/>
            </w:tcBorders>
          </w:tcPr>
          <w:p w14:paraId="518A452D" w14:textId="77777777" w:rsidR="0035155E" w:rsidRPr="00941800" w:rsidRDefault="0035155E" w:rsidP="005A78BF"/>
        </w:tc>
      </w:tr>
      <w:tr w:rsidR="006D655C" w14:paraId="2DF607F8" w14:textId="77777777" w:rsidTr="00C63446">
        <w:tc>
          <w:tcPr>
            <w:tcW w:w="9362" w:type="dxa"/>
            <w:gridSpan w:val="3"/>
            <w:tcBorders>
              <w:bottom w:val="nil"/>
            </w:tcBorders>
          </w:tcPr>
          <w:p w14:paraId="4030DF5F" w14:textId="77777777" w:rsidR="006325A4" w:rsidRPr="00941800" w:rsidRDefault="006325A4" w:rsidP="005A78BF"/>
        </w:tc>
      </w:tr>
      <w:tr w:rsidR="006D655C" w14:paraId="38A21F1F" w14:textId="77777777" w:rsidTr="00C63446">
        <w:tc>
          <w:tcPr>
            <w:tcW w:w="9362" w:type="dxa"/>
            <w:gridSpan w:val="3"/>
            <w:tcBorders>
              <w:top w:val="nil"/>
            </w:tcBorders>
          </w:tcPr>
          <w:p w14:paraId="72CCDF5E" w14:textId="70A4ADF0" w:rsidR="005A78BF" w:rsidRPr="00941800" w:rsidRDefault="00F06516" w:rsidP="005A78BF">
            <w:pPr>
              <w:pStyle w:val="zSoquijdatNomProcureurDem"/>
            </w:pPr>
            <w:proofErr w:type="spellStart"/>
            <w:r>
              <w:rPr>
                <w:lang w:val="en-CA"/>
              </w:rPr>
              <w:t>Mtre</w:t>
            </w:r>
            <w:proofErr w:type="spellEnd"/>
            <w:r>
              <w:rPr>
                <w:lang w:val="en-CA"/>
              </w:rPr>
              <w:t xml:space="preserve"> Justine Levasseur</w:t>
            </w:r>
          </w:p>
        </w:tc>
      </w:tr>
      <w:tr w:rsidR="006D655C" w14:paraId="5B7EFE96" w14:textId="77777777" w:rsidTr="0035155E">
        <w:tc>
          <w:tcPr>
            <w:tcW w:w="9362" w:type="dxa"/>
            <w:gridSpan w:val="3"/>
            <w:tcBorders>
              <w:bottom w:val="nil"/>
            </w:tcBorders>
          </w:tcPr>
          <w:p w14:paraId="304829F9" w14:textId="1F6BCC36" w:rsidR="005A78BF" w:rsidRPr="00941800" w:rsidRDefault="00F06516" w:rsidP="005A78BF">
            <w:pPr>
              <w:pStyle w:val="zSoquijlblProcureurDem"/>
            </w:pPr>
            <w:r>
              <w:rPr>
                <w:lang w:val="en-CA"/>
              </w:rPr>
              <w:t>For the appellant</w:t>
            </w:r>
          </w:p>
        </w:tc>
      </w:tr>
      <w:tr w:rsidR="006D655C" w14:paraId="51406DED" w14:textId="77777777" w:rsidTr="0035155E">
        <w:tc>
          <w:tcPr>
            <w:tcW w:w="9362" w:type="dxa"/>
            <w:gridSpan w:val="3"/>
            <w:tcBorders>
              <w:top w:val="nil"/>
            </w:tcBorders>
          </w:tcPr>
          <w:p w14:paraId="31F9A51F" w14:textId="77777777" w:rsidR="005A78BF" w:rsidRPr="00941800" w:rsidRDefault="005A78BF" w:rsidP="005A78BF"/>
        </w:tc>
      </w:tr>
      <w:tr w:rsidR="006D655C" w14:paraId="5B9BC475" w14:textId="77777777" w:rsidTr="00423DF1">
        <w:tc>
          <w:tcPr>
            <w:tcW w:w="9362" w:type="dxa"/>
            <w:gridSpan w:val="3"/>
          </w:tcPr>
          <w:p w14:paraId="2FC60ADE" w14:textId="72ACFB39" w:rsidR="005A78BF" w:rsidRPr="00941800" w:rsidRDefault="00F06516" w:rsidP="005A78BF">
            <w:pPr>
              <w:pStyle w:val="zSoquijdatNomProcureurDef"/>
            </w:pPr>
            <w:proofErr w:type="spellStart"/>
            <w:r>
              <w:rPr>
                <w:lang w:val="en-CA"/>
              </w:rPr>
              <w:t>Mtre</w:t>
            </w:r>
            <w:proofErr w:type="spellEnd"/>
            <w:r>
              <w:rPr>
                <w:lang w:val="en-CA"/>
              </w:rPr>
              <w:t xml:space="preserve"> Julien Pelletier</w:t>
            </w:r>
          </w:p>
        </w:tc>
      </w:tr>
      <w:tr w:rsidR="006D655C" w:rsidRPr="00EF4074" w14:paraId="2311E43A" w14:textId="77777777" w:rsidTr="00423DF1">
        <w:tc>
          <w:tcPr>
            <w:tcW w:w="9362" w:type="dxa"/>
            <w:gridSpan w:val="3"/>
          </w:tcPr>
          <w:p w14:paraId="01CCA63B" w14:textId="3FE69FC1" w:rsidR="005A78BF" w:rsidRPr="004A360E" w:rsidRDefault="00F06516" w:rsidP="005A78BF">
            <w:pPr>
              <w:pStyle w:val="zSoquijdatCabinetProcureurDef"/>
              <w:rPr>
                <w:lang w:val="en-US"/>
              </w:rPr>
            </w:pPr>
            <w:r>
              <w:rPr>
                <w:lang w:val="en-CA"/>
              </w:rPr>
              <w:t>DIRECTOR OF CRIMINAL AND PENAL PROSECUTIONS</w:t>
            </w:r>
          </w:p>
        </w:tc>
      </w:tr>
      <w:tr w:rsidR="006D655C" w14:paraId="7A5B6D4E" w14:textId="77777777" w:rsidTr="00423DF1">
        <w:tc>
          <w:tcPr>
            <w:tcW w:w="9362" w:type="dxa"/>
            <w:gridSpan w:val="3"/>
          </w:tcPr>
          <w:p w14:paraId="006D40CB" w14:textId="63CD64A4" w:rsidR="005A78BF" w:rsidRPr="00941800" w:rsidRDefault="00F06516" w:rsidP="005A78BF">
            <w:pPr>
              <w:pStyle w:val="zSoquijlblProcureurDef"/>
            </w:pPr>
            <w:r>
              <w:rPr>
                <w:lang w:val="en-CA"/>
              </w:rPr>
              <w:t>For the respondent</w:t>
            </w:r>
          </w:p>
        </w:tc>
      </w:tr>
      <w:tr w:rsidR="006D655C" w14:paraId="011C349E" w14:textId="77777777" w:rsidTr="00423DF1">
        <w:tc>
          <w:tcPr>
            <w:tcW w:w="9362" w:type="dxa"/>
            <w:gridSpan w:val="3"/>
          </w:tcPr>
          <w:p w14:paraId="207D4712" w14:textId="77777777" w:rsidR="005A78BF" w:rsidRPr="00941800" w:rsidRDefault="005A78BF" w:rsidP="005A78BF"/>
        </w:tc>
      </w:tr>
      <w:tr w:rsidR="006D655C" w14:paraId="16A065EA" w14:textId="77777777" w:rsidTr="00423DF1">
        <w:tc>
          <w:tcPr>
            <w:tcW w:w="1997" w:type="dxa"/>
          </w:tcPr>
          <w:p w14:paraId="321B31EB" w14:textId="77777777" w:rsidR="005A78BF" w:rsidRPr="00941800" w:rsidRDefault="00F06516" w:rsidP="005A78BF">
            <w:pPr>
              <w:pStyle w:val="zSoquijlblDateAudience"/>
            </w:pPr>
            <w:r>
              <w:rPr>
                <w:lang w:val="en-CA"/>
              </w:rPr>
              <w:t>Date of hearing:</w:t>
            </w:r>
          </w:p>
        </w:tc>
        <w:tc>
          <w:tcPr>
            <w:tcW w:w="7365" w:type="dxa"/>
            <w:gridSpan w:val="2"/>
          </w:tcPr>
          <w:p w14:paraId="5856D7C4" w14:textId="3D438EE3" w:rsidR="005A78BF" w:rsidRDefault="00F06516" w:rsidP="005A78BF">
            <w:pPr>
              <w:pStyle w:val="zSoquijdatDateAudience"/>
            </w:pPr>
            <w:r>
              <w:rPr>
                <w:lang w:val="en-CA"/>
              </w:rPr>
              <w:t>March 14, 2023</w:t>
            </w:r>
          </w:p>
        </w:tc>
      </w:tr>
      <w:bookmarkEnd w:id="8"/>
    </w:tbl>
    <w:p w14:paraId="22728CCA" w14:textId="77777777" w:rsidR="00740A17" w:rsidRDefault="00740A17" w:rsidP="0055122D"/>
    <w:sectPr w:rsidR="00740A17" w:rsidSect="0055122D">
      <w:headerReference w:type="default" r:id="rId8"/>
      <w:footerReference w:type="default" r:id="rId9"/>
      <w:footerReference w:type="first" r:id="rId10"/>
      <w:pgSz w:w="12242" w:h="15842" w:code="1"/>
      <w:pgMar w:top="1440" w:right="1008" w:bottom="1440" w:left="1872" w:header="1440" w:footer="792"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C02DD" w14:textId="77777777" w:rsidR="00F65486" w:rsidRDefault="00F65486">
      <w:pPr>
        <w:spacing w:line="240" w:lineRule="auto"/>
      </w:pPr>
      <w:r>
        <w:separator/>
      </w:r>
    </w:p>
  </w:endnote>
  <w:endnote w:type="continuationSeparator" w:id="0">
    <w:p w14:paraId="45716367" w14:textId="77777777" w:rsidR="00F65486" w:rsidRDefault="00F654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5A4F" w14:textId="77777777" w:rsidR="00220E09" w:rsidRPr="00EF4074" w:rsidRDefault="00220E09" w:rsidP="00220E09">
    <w:pPr>
      <w:pStyle w:val="Pieddepage"/>
      <w:jc w:val="right"/>
      <w:rPr>
        <w:lang w:val="en-CA"/>
      </w:rPr>
    </w:pPr>
    <w:r w:rsidRPr="00EF4074">
      <w:rPr>
        <w:lang w:val="en-CA"/>
      </w:rPr>
      <w:t>English translation of the judgment of the Court by SOQUIJ</w:t>
    </w:r>
  </w:p>
  <w:p w14:paraId="2066A50C" w14:textId="60229E63" w:rsidR="00EA0A26" w:rsidRPr="00EF4074" w:rsidRDefault="00EA0A26" w:rsidP="00220E09">
    <w:pPr>
      <w:pStyle w:val="Pieddepage"/>
      <w:rPr>
        <w:lang w:val="en-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E9A8" w14:textId="77777777" w:rsidR="00220E09" w:rsidRDefault="00220E09" w:rsidP="00220E09">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EB148" w14:textId="77777777" w:rsidR="00F65486" w:rsidRDefault="00F65486">
      <w:r>
        <w:separator/>
      </w:r>
    </w:p>
  </w:footnote>
  <w:footnote w:type="continuationSeparator" w:id="0">
    <w:p w14:paraId="7103D1B6" w14:textId="77777777" w:rsidR="00F65486" w:rsidRDefault="00F65486">
      <w:r>
        <w:continuationSeparator/>
      </w:r>
    </w:p>
  </w:footnote>
  <w:footnote w:id="1">
    <w:p w14:paraId="002A78CA" w14:textId="65DE5DB6" w:rsidR="00496931" w:rsidRPr="004A360E" w:rsidRDefault="00F06516">
      <w:pPr>
        <w:pStyle w:val="Notedebasdepage"/>
        <w:rPr>
          <w:lang w:val="en-US"/>
        </w:rPr>
      </w:pPr>
      <w:r>
        <w:rPr>
          <w:rStyle w:val="Appelnotedebasdep"/>
          <w:lang w:val="en-CA"/>
        </w:rPr>
        <w:footnoteRef/>
      </w:r>
      <w:r>
        <w:rPr>
          <w:lang w:val="en-CA"/>
        </w:rPr>
        <w:t xml:space="preserve"> </w:t>
      </w:r>
      <w:r>
        <w:rPr>
          <w:lang w:val="en-CA"/>
        </w:rPr>
        <w:tab/>
        <w:t>The notice of discontinuance, signed by the appellant’s counsel, was filed with the Court</w:t>
      </w:r>
      <w:r w:rsidR="009842F8">
        <w:rPr>
          <w:lang w:val="en-CA"/>
        </w:rPr>
        <w:t xml:space="preserve"> office</w:t>
      </w:r>
      <w:r>
        <w:rPr>
          <w:lang w:val="en-CA"/>
        </w:rPr>
        <w:t xml:space="preserve"> on June</w:t>
      </w:r>
      <w:r w:rsidR="00F26A65">
        <w:rPr>
          <w:lang w:val="en-CA"/>
        </w:rPr>
        <w:t> </w:t>
      </w:r>
      <w:r>
        <w:rPr>
          <w:lang w:val="en-CA"/>
        </w:rPr>
        <w:t>18, 2021, and took effect the same day.</w:t>
      </w:r>
    </w:p>
  </w:footnote>
  <w:footnote w:id="2">
    <w:p w14:paraId="4FDE2016" w14:textId="5BF9CC99" w:rsidR="00566E94" w:rsidRPr="00EF4074" w:rsidRDefault="00F06516" w:rsidP="00566E94">
      <w:pPr>
        <w:pStyle w:val="Notedebasdepage"/>
      </w:pPr>
      <w:r>
        <w:rPr>
          <w:rStyle w:val="Appelnotedebasdep"/>
          <w:lang w:val="en-CA"/>
        </w:rPr>
        <w:footnoteRef/>
      </w:r>
      <w:r w:rsidRPr="00EF4074">
        <w:t xml:space="preserve"> </w:t>
      </w:r>
      <w:r w:rsidRPr="00EF4074">
        <w:tab/>
      </w:r>
      <w:r w:rsidR="00F26A65" w:rsidRPr="00EF4074">
        <w:t>SI/</w:t>
      </w:r>
      <w:r w:rsidRPr="00EF4074">
        <w:t>2018-96.</w:t>
      </w:r>
    </w:p>
  </w:footnote>
  <w:footnote w:id="3">
    <w:p w14:paraId="068A43C8" w14:textId="77777777" w:rsidR="00B8578E" w:rsidRPr="00EF4074" w:rsidRDefault="00F06516" w:rsidP="00B8578E">
      <w:pPr>
        <w:pStyle w:val="Notedebasdepage"/>
      </w:pPr>
      <w:r>
        <w:rPr>
          <w:rStyle w:val="Appelnotedebasdep"/>
          <w:lang w:val="en-CA"/>
        </w:rPr>
        <w:footnoteRef/>
      </w:r>
      <w:r w:rsidRPr="00EF4074">
        <w:rPr>
          <w:i/>
          <w:iCs/>
        </w:rPr>
        <w:t xml:space="preserve"> </w:t>
      </w:r>
      <w:r w:rsidRPr="00EF4074">
        <w:rPr>
          <w:i/>
          <w:iCs/>
        </w:rPr>
        <w:tab/>
        <w:t>Nadeau c.</w:t>
      </w:r>
      <w:r w:rsidRPr="00EF4074">
        <w:t xml:space="preserve"> </w:t>
      </w:r>
      <w:r w:rsidRPr="00EF4074">
        <w:rPr>
          <w:i/>
          <w:iCs/>
        </w:rPr>
        <w:t>R.</w:t>
      </w:r>
      <w:r w:rsidRPr="00EF4074">
        <w:t xml:space="preserve">, 2022 </w:t>
      </w:r>
      <w:proofErr w:type="spellStart"/>
      <w:r w:rsidRPr="00EF4074">
        <w:t>QCCA</w:t>
      </w:r>
      <w:proofErr w:type="spellEnd"/>
      <w:r w:rsidRPr="00EF4074">
        <w:t xml:space="preserve"> 359.</w:t>
      </w:r>
    </w:p>
  </w:footnote>
  <w:footnote w:id="4">
    <w:p w14:paraId="66C63583" w14:textId="642663A8" w:rsidR="00566E94" w:rsidRPr="004A360E" w:rsidRDefault="00F06516">
      <w:pPr>
        <w:pStyle w:val="Notedebasdepage"/>
        <w:rPr>
          <w:lang w:val="en-US"/>
        </w:rPr>
      </w:pPr>
      <w:r>
        <w:rPr>
          <w:rStyle w:val="Appelnotedebasdep"/>
          <w:lang w:val="en-CA"/>
        </w:rPr>
        <w:footnoteRef/>
      </w:r>
      <w:r>
        <w:rPr>
          <w:lang w:val="en-CA"/>
        </w:rPr>
        <w:t xml:space="preserve"> </w:t>
      </w:r>
      <w:r>
        <w:rPr>
          <w:lang w:val="en-CA"/>
        </w:rPr>
        <w:tab/>
      </w:r>
      <w:r w:rsidR="006130E8" w:rsidRPr="006130E8">
        <w:rPr>
          <w:i/>
          <w:iCs/>
          <w:lang w:val="en-CA"/>
        </w:rPr>
        <w:t>Id</w:t>
      </w:r>
      <w:r w:rsidR="00EF4074">
        <w:rPr>
          <w:i/>
          <w:iCs/>
          <w:lang w:val="en-CA"/>
        </w:rPr>
        <w:t>.,</w:t>
      </w:r>
      <w:r>
        <w:rPr>
          <w:lang w:val="en-CA"/>
        </w:rPr>
        <w:t xml:space="preserve"> at para</w:t>
      </w:r>
      <w:r w:rsidR="007C2EA4">
        <w:rPr>
          <w:lang w:val="en-CA"/>
        </w:rPr>
        <w:t>.</w:t>
      </w:r>
      <w:r>
        <w:rPr>
          <w:lang w:val="en-CA"/>
        </w:rPr>
        <w:t xml:space="preserve"> 6.</w:t>
      </w:r>
    </w:p>
  </w:footnote>
  <w:footnote w:id="5">
    <w:p w14:paraId="34E622D1" w14:textId="3247F971" w:rsidR="00A34A3A" w:rsidRPr="004A360E" w:rsidRDefault="00F06516">
      <w:pPr>
        <w:pStyle w:val="Notedebasdepage"/>
        <w:rPr>
          <w:lang w:val="en-US"/>
        </w:rPr>
      </w:pPr>
      <w:r>
        <w:rPr>
          <w:rStyle w:val="Appelnotedebasdep"/>
          <w:lang w:val="en-CA"/>
        </w:rPr>
        <w:footnoteRef/>
      </w:r>
      <w:r>
        <w:rPr>
          <w:lang w:val="en-CA"/>
        </w:rPr>
        <w:t xml:space="preserve"> </w:t>
      </w:r>
      <w:r>
        <w:rPr>
          <w:lang w:val="en-CA"/>
        </w:rPr>
        <w:tab/>
        <w:t>Appellant’s testimony, transcript from October 2, 2020, at 77 (appellant’s brief [“A.B.”] at 955).</w:t>
      </w:r>
    </w:p>
  </w:footnote>
  <w:footnote w:id="6">
    <w:p w14:paraId="073E1770" w14:textId="0911DFAB" w:rsidR="009F706C" w:rsidRPr="004A360E" w:rsidRDefault="00F06516" w:rsidP="009F706C">
      <w:pPr>
        <w:pStyle w:val="Notedebasdepage"/>
        <w:rPr>
          <w:lang w:val="en-US"/>
        </w:rPr>
      </w:pPr>
      <w:r>
        <w:rPr>
          <w:rStyle w:val="Appelnotedebasdep"/>
          <w:lang w:val="en-CA"/>
        </w:rPr>
        <w:footnoteRef/>
      </w:r>
      <w:r>
        <w:rPr>
          <w:lang w:val="en-CA"/>
        </w:rPr>
        <w:t xml:space="preserve"> </w:t>
      </w:r>
      <w:r>
        <w:rPr>
          <w:lang w:val="en-CA"/>
        </w:rPr>
        <w:tab/>
      </w:r>
      <w:r>
        <w:rPr>
          <w:i/>
          <w:iCs/>
          <w:lang w:val="en-CA"/>
        </w:rPr>
        <w:t>R. v. W.(D.)</w:t>
      </w:r>
      <w:r>
        <w:rPr>
          <w:lang w:val="en-CA"/>
        </w:rPr>
        <w:t xml:space="preserve">, [1991] 1 SCR 742, or </w:t>
      </w:r>
      <w:r>
        <w:rPr>
          <w:i/>
          <w:iCs/>
          <w:lang w:val="en-CA"/>
        </w:rPr>
        <w:t>W.(D.)</w:t>
      </w:r>
      <w:r>
        <w:rPr>
          <w:lang w:val="en-CA"/>
        </w:rPr>
        <w:t>.</w:t>
      </w:r>
    </w:p>
  </w:footnote>
  <w:footnote w:id="7">
    <w:p w14:paraId="0F604632" w14:textId="5B9A8671" w:rsidR="00525DC9" w:rsidRPr="004A360E" w:rsidRDefault="00F06516">
      <w:pPr>
        <w:pStyle w:val="Notedebasdepage"/>
        <w:rPr>
          <w:lang w:val="en-US"/>
        </w:rPr>
      </w:pPr>
      <w:r>
        <w:rPr>
          <w:rStyle w:val="Appelnotedebasdep"/>
          <w:lang w:val="en-CA"/>
        </w:rPr>
        <w:footnoteRef/>
      </w:r>
      <w:r>
        <w:rPr>
          <w:lang w:val="en-CA"/>
        </w:rPr>
        <w:t xml:space="preserve"> </w:t>
      </w:r>
      <w:r>
        <w:rPr>
          <w:lang w:val="en-CA"/>
        </w:rPr>
        <w:tab/>
        <w:t>A.B., Arguments at paras</w:t>
      </w:r>
      <w:r w:rsidR="003D4A81">
        <w:rPr>
          <w:lang w:val="en-CA"/>
        </w:rPr>
        <w:t>.</w:t>
      </w:r>
      <w:r>
        <w:rPr>
          <w:lang w:val="en-CA"/>
        </w:rPr>
        <w:t xml:space="preserve"> 34–36.</w:t>
      </w:r>
    </w:p>
  </w:footnote>
  <w:footnote w:id="8">
    <w:p w14:paraId="23FCA6AB" w14:textId="52249037" w:rsidR="002A3D95" w:rsidRPr="004A360E" w:rsidRDefault="00F06516" w:rsidP="002A3D95">
      <w:pPr>
        <w:pStyle w:val="Notedebasdepage"/>
        <w:rPr>
          <w:lang w:val="en-US"/>
        </w:rPr>
      </w:pPr>
      <w:r>
        <w:rPr>
          <w:rStyle w:val="Appelnotedebasdep"/>
          <w:lang w:val="en-CA"/>
        </w:rPr>
        <w:footnoteRef/>
      </w:r>
      <w:r>
        <w:rPr>
          <w:lang w:val="en-CA"/>
        </w:rPr>
        <w:t xml:space="preserve"> </w:t>
      </w:r>
      <w:r>
        <w:rPr>
          <w:lang w:val="en-CA"/>
        </w:rPr>
        <w:tab/>
      </w:r>
      <w:r w:rsidR="006130E8" w:rsidRPr="006130E8">
        <w:rPr>
          <w:i/>
          <w:iCs/>
          <w:lang w:val="en-CA"/>
        </w:rPr>
        <w:t>Id</w:t>
      </w:r>
      <w:r w:rsidR="00EF4074">
        <w:rPr>
          <w:i/>
          <w:iCs/>
          <w:lang w:val="en-CA"/>
        </w:rPr>
        <w:t>.,</w:t>
      </w:r>
      <w:r>
        <w:rPr>
          <w:lang w:val="en-CA"/>
        </w:rPr>
        <w:t xml:space="preserve"> at paras</w:t>
      </w:r>
      <w:r w:rsidR="003D4A81">
        <w:rPr>
          <w:lang w:val="en-CA"/>
        </w:rPr>
        <w:t>.</w:t>
      </w:r>
      <w:r>
        <w:rPr>
          <w:lang w:val="en-CA"/>
        </w:rPr>
        <w:t xml:space="preserve"> 37–41.</w:t>
      </w:r>
    </w:p>
  </w:footnote>
  <w:footnote w:id="9">
    <w:p w14:paraId="465AB969" w14:textId="2353747C" w:rsidR="00851F69" w:rsidRPr="004A360E" w:rsidRDefault="00F06516">
      <w:pPr>
        <w:pStyle w:val="Notedebasdepage"/>
        <w:rPr>
          <w:lang w:val="en-US"/>
        </w:rPr>
      </w:pPr>
      <w:r>
        <w:rPr>
          <w:rStyle w:val="Appelnotedebasdep"/>
          <w:lang w:val="en-CA"/>
        </w:rPr>
        <w:footnoteRef/>
      </w:r>
      <w:r>
        <w:rPr>
          <w:lang w:val="en-CA"/>
        </w:rPr>
        <w:t xml:space="preserve"> </w:t>
      </w:r>
      <w:r>
        <w:rPr>
          <w:lang w:val="en-CA"/>
        </w:rPr>
        <w:tab/>
      </w:r>
      <w:r>
        <w:rPr>
          <w:i/>
          <w:iCs/>
          <w:lang w:val="en-CA"/>
        </w:rPr>
        <w:t>Palmer v. The Queen</w:t>
      </w:r>
      <w:r>
        <w:rPr>
          <w:lang w:val="en-CA"/>
        </w:rPr>
        <w:t>, [1980] 1 SCR 759.</w:t>
      </w:r>
    </w:p>
  </w:footnote>
  <w:footnote w:id="10">
    <w:p w14:paraId="4EE51C56" w14:textId="77777777" w:rsidR="00F724B8" w:rsidRPr="00F724B8" w:rsidRDefault="00F06516" w:rsidP="00F724B8">
      <w:pPr>
        <w:pStyle w:val="Notedebasdepage"/>
      </w:pPr>
      <w:r>
        <w:rPr>
          <w:rStyle w:val="Appelnotedebasdep"/>
          <w:lang w:val="en-CA"/>
        </w:rPr>
        <w:footnoteRef/>
      </w:r>
      <w:r w:rsidRPr="004A360E">
        <w:t xml:space="preserve"> </w:t>
      </w:r>
      <w:r w:rsidRPr="004A360E">
        <w:tab/>
      </w:r>
      <w:r w:rsidRPr="004A360E">
        <w:rPr>
          <w:i/>
          <w:iCs/>
        </w:rPr>
        <w:t>R. v. Lévesque</w:t>
      </w:r>
      <w:r w:rsidRPr="004A360E">
        <w:t xml:space="preserve">, [2002] 2 </w:t>
      </w:r>
      <w:proofErr w:type="spellStart"/>
      <w:r w:rsidRPr="004A360E">
        <w:t>SCR</w:t>
      </w:r>
      <w:proofErr w:type="spellEnd"/>
      <w:r w:rsidRPr="004A360E">
        <w:t xml:space="preserve"> 487.</w:t>
      </w:r>
    </w:p>
  </w:footnote>
  <w:footnote w:id="11">
    <w:p w14:paraId="761400F5" w14:textId="5FBD6EC9" w:rsidR="009F706C" w:rsidRDefault="00F06516">
      <w:pPr>
        <w:pStyle w:val="Notedebasdepage"/>
      </w:pPr>
      <w:r>
        <w:rPr>
          <w:rStyle w:val="Appelnotedebasdep"/>
          <w:lang w:val="en-CA"/>
        </w:rPr>
        <w:footnoteRef/>
      </w:r>
      <w:r w:rsidRPr="004A360E">
        <w:t xml:space="preserve"> </w:t>
      </w:r>
      <w:r w:rsidRPr="004A360E">
        <w:tab/>
      </w:r>
      <w:proofErr w:type="spellStart"/>
      <w:r w:rsidRPr="004A360E">
        <w:t>Appellant’s</w:t>
      </w:r>
      <w:proofErr w:type="spellEnd"/>
      <w:r w:rsidRPr="004A360E">
        <w:t xml:space="preserve"> </w:t>
      </w:r>
      <w:proofErr w:type="spellStart"/>
      <w:r w:rsidRPr="004A360E">
        <w:t>additional</w:t>
      </w:r>
      <w:proofErr w:type="spellEnd"/>
      <w:r w:rsidRPr="004A360E">
        <w:t xml:space="preserve"> arguments</w:t>
      </w:r>
      <w:r w:rsidR="006130E8">
        <w:t xml:space="preserve"> </w:t>
      </w:r>
      <w:r w:rsidRPr="004A360E">
        <w:t>at paras</w:t>
      </w:r>
      <w:r w:rsidR="003D4A81">
        <w:t>.</w:t>
      </w:r>
      <w:r w:rsidRPr="004A360E">
        <w:t xml:space="preserve"> 61–68.</w:t>
      </w:r>
    </w:p>
  </w:footnote>
  <w:footnote w:id="12">
    <w:p w14:paraId="3A0CA74C" w14:textId="7C810C13" w:rsidR="007E3294" w:rsidRPr="00EA0A26" w:rsidRDefault="00F06516">
      <w:pPr>
        <w:pStyle w:val="Notedebasdepage"/>
        <w:rPr>
          <w:lang w:val="en-CA"/>
        </w:rPr>
      </w:pPr>
      <w:r>
        <w:rPr>
          <w:rStyle w:val="Appelnotedebasdep"/>
          <w:lang w:val="en-CA"/>
        </w:rPr>
        <w:footnoteRef/>
      </w:r>
      <w:r w:rsidRPr="00EA0A26">
        <w:rPr>
          <w:lang w:val="en-CA"/>
        </w:rPr>
        <w:t xml:space="preserve"> </w:t>
      </w:r>
      <w:r w:rsidRPr="00EA0A26">
        <w:rPr>
          <w:lang w:val="en-CA"/>
        </w:rPr>
        <w:tab/>
      </w:r>
      <w:r w:rsidR="004E5B8E">
        <w:rPr>
          <w:lang w:val="en-CA"/>
        </w:rPr>
        <w:t>Operation record</w:t>
      </w:r>
      <w:r w:rsidRPr="00EA0A26">
        <w:rPr>
          <w:lang w:val="en-CA"/>
        </w:rPr>
        <w:t xml:space="preserve"> of urologist Hares El Rami, Centre </w:t>
      </w:r>
      <w:proofErr w:type="spellStart"/>
      <w:r w:rsidRPr="00EA0A26">
        <w:rPr>
          <w:lang w:val="en-CA"/>
        </w:rPr>
        <w:t>hospitalier</w:t>
      </w:r>
      <w:proofErr w:type="spellEnd"/>
      <w:r w:rsidRPr="00EA0A26">
        <w:rPr>
          <w:lang w:val="en-CA"/>
        </w:rPr>
        <w:t xml:space="preserve"> Rouyn-Noranda, August 30–31, 2011.</w:t>
      </w:r>
    </w:p>
  </w:footnote>
  <w:footnote w:id="13">
    <w:p w14:paraId="2B7705B9" w14:textId="10CC7DF6" w:rsidR="00C9523F" w:rsidRPr="00EA0A26" w:rsidRDefault="00F06516">
      <w:pPr>
        <w:pStyle w:val="Notedebasdepage"/>
        <w:rPr>
          <w:lang w:val="en-CA"/>
        </w:rPr>
      </w:pPr>
      <w:r>
        <w:rPr>
          <w:rStyle w:val="Appelnotedebasdep"/>
          <w:lang w:val="en-CA"/>
        </w:rPr>
        <w:footnoteRef/>
      </w:r>
      <w:r w:rsidRPr="00EA0A26">
        <w:rPr>
          <w:lang w:val="en-CA"/>
        </w:rPr>
        <w:t xml:space="preserve"> </w:t>
      </w:r>
      <w:r w:rsidRPr="00EA0A26">
        <w:rPr>
          <w:lang w:val="en-CA"/>
        </w:rPr>
        <w:tab/>
      </w:r>
      <w:r w:rsidR="006130E8" w:rsidRPr="006130E8">
        <w:rPr>
          <w:i/>
          <w:iCs/>
          <w:lang w:val="en-CA"/>
        </w:rPr>
        <w:t>Ibid</w:t>
      </w:r>
      <w:r w:rsidR="00EF4074">
        <w:rPr>
          <w:i/>
          <w:iCs/>
          <w:lang w:val="en-CA"/>
        </w:rPr>
        <w:t>.</w:t>
      </w:r>
    </w:p>
  </w:footnote>
  <w:footnote w:id="14">
    <w:p w14:paraId="3DA46AC1" w14:textId="015008F0" w:rsidR="008069C2" w:rsidRPr="00EA0A26" w:rsidRDefault="00F06516">
      <w:pPr>
        <w:pStyle w:val="Notedebasdepage"/>
        <w:rPr>
          <w:lang w:val="en-CA"/>
        </w:rPr>
      </w:pPr>
      <w:r>
        <w:rPr>
          <w:rStyle w:val="Appelnotedebasdep"/>
          <w:lang w:val="en-CA"/>
        </w:rPr>
        <w:footnoteRef/>
      </w:r>
      <w:r w:rsidRPr="00EA0A26">
        <w:rPr>
          <w:lang w:val="en-CA"/>
        </w:rPr>
        <w:t xml:space="preserve"> </w:t>
      </w:r>
      <w:r w:rsidRPr="00EA0A26">
        <w:rPr>
          <w:lang w:val="en-CA"/>
        </w:rPr>
        <w:tab/>
      </w:r>
      <w:r w:rsidRPr="00EA0A26">
        <w:rPr>
          <w:i/>
          <w:iCs/>
          <w:lang w:val="en-CA"/>
        </w:rPr>
        <w:t>Supra</w:t>
      </w:r>
      <w:r w:rsidR="000B3414">
        <w:rPr>
          <w:lang w:val="en-CA"/>
        </w:rPr>
        <w:t xml:space="preserve"> </w:t>
      </w:r>
      <w:r w:rsidRPr="00EA0A26">
        <w:rPr>
          <w:lang w:val="en-CA"/>
        </w:rPr>
        <w:t>at para</w:t>
      </w:r>
      <w:r w:rsidR="003D4A81">
        <w:rPr>
          <w:lang w:val="en-CA"/>
        </w:rPr>
        <w:t>.</w:t>
      </w:r>
      <w:r w:rsidRPr="00EA0A26">
        <w:rPr>
          <w:lang w:val="en-CA"/>
        </w:rPr>
        <w:t xml:space="preserve"> [11].</w:t>
      </w:r>
    </w:p>
  </w:footnote>
  <w:footnote w:id="15">
    <w:p w14:paraId="2B21B856" w14:textId="76739296" w:rsidR="00851F69" w:rsidRPr="00EA0A26" w:rsidRDefault="00F06516">
      <w:pPr>
        <w:pStyle w:val="Notedebasdepage"/>
        <w:rPr>
          <w:lang w:val="en-CA"/>
        </w:rPr>
      </w:pPr>
      <w:r>
        <w:rPr>
          <w:rStyle w:val="Appelnotedebasdep"/>
          <w:lang w:val="en-CA"/>
        </w:rPr>
        <w:footnoteRef/>
      </w:r>
      <w:r w:rsidRPr="00EA0A26">
        <w:rPr>
          <w:lang w:val="en-CA"/>
        </w:rPr>
        <w:t xml:space="preserve"> </w:t>
      </w:r>
      <w:r w:rsidRPr="00EA0A26">
        <w:rPr>
          <w:lang w:val="en-CA"/>
        </w:rPr>
        <w:tab/>
        <w:t>A.B., Arguments at paras</w:t>
      </w:r>
      <w:r w:rsidR="003D4A81">
        <w:rPr>
          <w:lang w:val="en-CA"/>
        </w:rPr>
        <w:t>.</w:t>
      </w:r>
      <w:r w:rsidRPr="00EA0A26">
        <w:rPr>
          <w:lang w:val="en-CA"/>
        </w:rPr>
        <w:t xml:space="preserve"> 51–54.</w:t>
      </w:r>
    </w:p>
  </w:footnote>
  <w:footnote w:id="16">
    <w:p w14:paraId="41BB9F72" w14:textId="4ACB758F" w:rsidR="00851F69" w:rsidRPr="004A360E" w:rsidRDefault="00F06516">
      <w:pPr>
        <w:pStyle w:val="Notedebasdepage"/>
        <w:rPr>
          <w:lang w:val="en-US"/>
        </w:rPr>
      </w:pPr>
      <w:r>
        <w:rPr>
          <w:rStyle w:val="Appelnotedebasdep"/>
          <w:lang w:val="en-CA"/>
        </w:rPr>
        <w:footnoteRef/>
      </w:r>
      <w:r>
        <w:rPr>
          <w:lang w:val="en-CA"/>
        </w:rPr>
        <w:t xml:space="preserve"> </w:t>
      </w:r>
      <w:r>
        <w:rPr>
          <w:lang w:val="en-CA"/>
        </w:rPr>
        <w:tab/>
        <w:t>Additional arguments of the appellant at para</w:t>
      </w:r>
      <w:r w:rsidR="003D4A81">
        <w:rPr>
          <w:lang w:val="en-CA"/>
        </w:rPr>
        <w:t>.</w:t>
      </w:r>
      <w:r>
        <w:rPr>
          <w:lang w:val="en-CA"/>
        </w:rPr>
        <w:t xml:space="preserve"> 67.</w:t>
      </w:r>
    </w:p>
  </w:footnote>
  <w:footnote w:id="17">
    <w:p w14:paraId="7848BFD0" w14:textId="766FA0A6" w:rsidR="00C33D98" w:rsidRPr="004A360E" w:rsidRDefault="00F06516">
      <w:pPr>
        <w:pStyle w:val="Notedebasdepage"/>
        <w:rPr>
          <w:lang w:val="en-US"/>
        </w:rPr>
      </w:pPr>
      <w:r>
        <w:rPr>
          <w:rStyle w:val="Appelnotedebasdep"/>
          <w:lang w:val="en-CA"/>
        </w:rPr>
        <w:footnoteRef/>
      </w:r>
      <w:r>
        <w:rPr>
          <w:lang w:val="en-CA"/>
        </w:rPr>
        <w:t xml:space="preserve"> </w:t>
      </w:r>
      <w:r>
        <w:rPr>
          <w:lang w:val="en-CA"/>
        </w:rPr>
        <w:tab/>
        <w:t>A.B., Arguments at para</w:t>
      </w:r>
      <w:r w:rsidR="003D4A81">
        <w:rPr>
          <w:lang w:val="en-CA"/>
        </w:rPr>
        <w:t>.</w:t>
      </w:r>
      <w:r>
        <w:rPr>
          <w:lang w:val="en-CA"/>
        </w:rPr>
        <w:t xml:space="preserve"> 49. See also para</w:t>
      </w:r>
      <w:r w:rsidR="003D4A81">
        <w:rPr>
          <w:lang w:val="en-CA"/>
        </w:rPr>
        <w:t>.</w:t>
      </w:r>
      <w:r>
        <w:rPr>
          <w:lang w:val="en-CA"/>
        </w:rPr>
        <w:t xml:space="preserve"> 51.</w:t>
      </w:r>
    </w:p>
  </w:footnote>
  <w:footnote w:id="18">
    <w:p w14:paraId="379FD3AC" w14:textId="7A69D812" w:rsidR="00AB2B7B" w:rsidRPr="004A360E" w:rsidRDefault="00F06516">
      <w:pPr>
        <w:pStyle w:val="Notedebasdepage"/>
        <w:rPr>
          <w:lang w:val="en-US"/>
        </w:rPr>
      </w:pPr>
      <w:r>
        <w:rPr>
          <w:rStyle w:val="Appelnotedebasdep"/>
          <w:lang w:val="en-CA"/>
        </w:rPr>
        <w:footnoteRef/>
      </w:r>
      <w:r>
        <w:rPr>
          <w:lang w:val="en-CA"/>
        </w:rPr>
        <w:t xml:space="preserve"> </w:t>
      </w:r>
      <w:r>
        <w:rPr>
          <w:lang w:val="en-CA"/>
        </w:rPr>
        <w:tab/>
        <w:t>2006 SCC 17 at para</w:t>
      </w:r>
      <w:r w:rsidR="003D4A81">
        <w:rPr>
          <w:lang w:val="en-CA"/>
        </w:rPr>
        <w:t>.</w:t>
      </w:r>
      <w:r>
        <w:rPr>
          <w:lang w:val="en-CA"/>
        </w:rPr>
        <w:t xml:space="preserve"> 20.</w:t>
      </w:r>
    </w:p>
  </w:footnote>
  <w:footnote w:id="19">
    <w:p w14:paraId="4A13D9C5" w14:textId="499324AC" w:rsidR="00AB2B7B" w:rsidRPr="004A360E" w:rsidRDefault="00F06516">
      <w:pPr>
        <w:pStyle w:val="Notedebasdepage"/>
        <w:rPr>
          <w:lang w:val="en-US"/>
        </w:rPr>
      </w:pPr>
      <w:r>
        <w:rPr>
          <w:rStyle w:val="Appelnotedebasdep"/>
          <w:lang w:val="en-CA"/>
        </w:rPr>
        <w:footnoteRef/>
      </w:r>
      <w:r>
        <w:rPr>
          <w:lang w:val="en-CA"/>
        </w:rPr>
        <w:t xml:space="preserve"> </w:t>
      </w:r>
      <w:r>
        <w:rPr>
          <w:lang w:val="en-CA"/>
        </w:rPr>
        <w:tab/>
        <w:t>A.B., Arguments</w:t>
      </w:r>
      <w:r w:rsidR="006130E8">
        <w:rPr>
          <w:lang w:val="en-CA"/>
        </w:rPr>
        <w:t xml:space="preserve"> </w:t>
      </w:r>
      <w:r>
        <w:rPr>
          <w:lang w:val="en-CA"/>
        </w:rPr>
        <w:t>at para</w:t>
      </w:r>
      <w:r w:rsidR="003D4A81">
        <w:rPr>
          <w:lang w:val="en-CA"/>
        </w:rPr>
        <w:t>.</w:t>
      </w:r>
      <w:r>
        <w:rPr>
          <w:lang w:val="en-CA"/>
        </w:rPr>
        <w:t xml:space="preserve"> 26.</w:t>
      </w:r>
    </w:p>
  </w:footnote>
  <w:footnote w:id="20">
    <w:p w14:paraId="6AB29F94" w14:textId="73A92ED2" w:rsidR="00AB2B7B" w:rsidRPr="004A360E" w:rsidRDefault="00F06516">
      <w:pPr>
        <w:pStyle w:val="Notedebasdepage"/>
        <w:rPr>
          <w:lang w:val="en-US"/>
        </w:rPr>
      </w:pPr>
      <w:r>
        <w:rPr>
          <w:rStyle w:val="Appelnotedebasdep"/>
          <w:lang w:val="en-CA"/>
        </w:rPr>
        <w:footnoteRef/>
      </w:r>
      <w:r>
        <w:rPr>
          <w:lang w:val="en-CA"/>
        </w:rPr>
        <w:t xml:space="preserve"> </w:t>
      </w:r>
      <w:r>
        <w:rPr>
          <w:lang w:val="en-CA"/>
        </w:rPr>
        <w:tab/>
      </w:r>
      <w:r w:rsidR="006130E8" w:rsidRPr="006130E8">
        <w:rPr>
          <w:i/>
          <w:iCs/>
          <w:lang w:val="en-CA"/>
        </w:rPr>
        <w:t>Ibid</w:t>
      </w:r>
      <w:r w:rsidR="00EF4074">
        <w:rPr>
          <w:i/>
          <w:iCs/>
          <w:lang w:val="en-CA"/>
        </w:rPr>
        <w:t>.</w:t>
      </w:r>
    </w:p>
  </w:footnote>
  <w:footnote w:id="21">
    <w:p w14:paraId="1D1AB85D" w14:textId="69C7FC0F" w:rsidR="00306418" w:rsidRPr="004A360E" w:rsidRDefault="00F06516">
      <w:pPr>
        <w:pStyle w:val="Notedebasdepage"/>
        <w:rPr>
          <w:lang w:val="en-US"/>
        </w:rPr>
      </w:pPr>
      <w:r>
        <w:rPr>
          <w:rStyle w:val="Appelnotedebasdep"/>
          <w:lang w:val="en-CA"/>
        </w:rPr>
        <w:footnoteRef/>
      </w:r>
      <w:r>
        <w:rPr>
          <w:lang w:val="en-CA"/>
        </w:rPr>
        <w:t xml:space="preserve"> </w:t>
      </w:r>
      <w:r>
        <w:rPr>
          <w:lang w:val="en-CA"/>
        </w:rPr>
        <w:tab/>
      </w:r>
      <w:r>
        <w:rPr>
          <w:i/>
          <w:iCs/>
          <w:lang w:val="en-CA"/>
        </w:rPr>
        <w:t xml:space="preserve">R. v. </w:t>
      </w:r>
      <w:proofErr w:type="spellStart"/>
      <w:r>
        <w:rPr>
          <w:i/>
          <w:iCs/>
          <w:lang w:val="en-CA"/>
        </w:rPr>
        <w:t>G.D.B</w:t>
      </w:r>
      <w:proofErr w:type="spellEnd"/>
      <w:r>
        <w:rPr>
          <w:i/>
          <w:iCs/>
          <w:lang w:val="en-CA"/>
        </w:rPr>
        <w:t>.</w:t>
      </w:r>
      <w:r>
        <w:rPr>
          <w:lang w:val="en-CA"/>
        </w:rPr>
        <w:t>, 2000 SCC 22.</w:t>
      </w:r>
    </w:p>
  </w:footnote>
  <w:footnote w:id="22">
    <w:p w14:paraId="7C436D05" w14:textId="3372F4AB" w:rsidR="00ED43E9" w:rsidRPr="004A360E" w:rsidRDefault="00F06516">
      <w:pPr>
        <w:pStyle w:val="Notedebasdepage"/>
        <w:rPr>
          <w:lang w:val="en-US"/>
        </w:rPr>
      </w:pPr>
      <w:r>
        <w:rPr>
          <w:rStyle w:val="Appelnotedebasdep"/>
          <w:lang w:val="en-CA"/>
        </w:rPr>
        <w:footnoteRef/>
      </w:r>
      <w:r>
        <w:rPr>
          <w:lang w:val="en-CA"/>
        </w:rPr>
        <w:t xml:space="preserve"> </w:t>
      </w:r>
      <w:r>
        <w:rPr>
          <w:lang w:val="en-CA"/>
        </w:rPr>
        <w:tab/>
        <w:t>Respondent’s brief, Arguments</w:t>
      </w:r>
      <w:r w:rsidR="00C07F6B">
        <w:rPr>
          <w:lang w:val="en-CA"/>
        </w:rPr>
        <w:t xml:space="preserve"> </w:t>
      </w:r>
      <w:r>
        <w:rPr>
          <w:lang w:val="en-CA"/>
        </w:rPr>
        <w:t>at para</w:t>
      </w:r>
      <w:r w:rsidR="003D4A81">
        <w:rPr>
          <w:lang w:val="en-CA"/>
        </w:rPr>
        <w:t>.</w:t>
      </w:r>
      <w:r>
        <w:rPr>
          <w:lang w:val="en-CA"/>
        </w:rPr>
        <w:t xml:space="preserve"> 46.</w:t>
      </w:r>
    </w:p>
  </w:footnote>
  <w:footnote w:id="23">
    <w:p w14:paraId="1A9897E1" w14:textId="5C212168" w:rsidR="00ED43E9" w:rsidRPr="004A360E" w:rsidRDefault="00F06516">
      <w:pPr>
        <w:pStyle w:val="Notedebasdepage"/>
        <w:rPr>
          <w:lang w:val="en-US"/>
        </w:rPr>
      </w:pPr>
      <w:r>
        <w:rPr>
          <w:rStyle w:val="Appelnotedebasdep"/>
          <w:lang w:val="en-CA"/>
        </w:rPr>
        <w:footnoteRef/>
      </w:r>
      <w:r>
        <w:rPr>
          <w:lang w:val="en-CA"/>
        </w:rPr>
        <w:t xml:space="preserve"> </w:t>
      </w:r>
      <w:r>
        <w:rPr>
          <w:lang w:val="en-CA"/>
        </w:rPr>
        <w:tab/>
      </w:r>
      <w:r w:rsidR="006130E8" w:rsidRPr="006130E8">
        <w:rPr>
          <w:i/>
          <w:iCs/>
          <w:lang w:val="en-CA"/>
        </w:rPr>
        <w:t>I</w:t>
      </w:r>
      <w:r w:rsidR="00EF4074">
        <w:rPr>
          <w:i/>
          <w:iCs/>
          <w:lang w:val="en-CA"/>
        </w:rPr>
        <w:t>d.,</w:t>
      </w:r>
      <w:r>
        <w:rPr>
          <w:lang w:val="en-CA"/>
        </w:rPr>
        <w:t xml:space="preserve"> at para</w:t>
      </w:r>
      <w:r w:rsidR="003D4A81">
        <w:rPr>
          <w:lang w:val="en-CA"/>
        </w:rPr>
        <w:t>.</w:t>
      </w:r>
      <w:r>
        <w:rPr>
          <w:lang w:val="en-CA"/>
        </w:rPr>
        <w:t xml:space="preserve"> 39.</w:t>
      </w:r>
    </w:p>
  </w:footnote>
  <w:footnote w:id="24">
    <w:p w14:paraId="05AA4745" w14:textId="7E0B7216" w:rsidR="00672268" w:rsidRPr="004A360E" w:rsidRDefault="00F06516">
      <w:pPr>
        <w:pStyle w:val="Notedebasdepage"/>
        <w:rPr>
          <w:lang w:val="en-US"/>
        </w:rPr>
      </w:pPr>
      <w:r>
        <w:rPr>
          <w:rStyle w:val="Appelnotedebasdep"/>
          <w:lang w:val="en-CA"/>
        </w:rPr>
        <w:footnoteRef/>
      </w:r>
      <w:r>
        <w:rPr>
          <w:lang w:val="en-CA"/>
        </w:rPr>
        <w:t xml:space="preserve"> </w:t>
      </w:r>
      <w:r>
        <w:rPr>
          <w:lang w:val="en-CA"/>
        </w:rPr>
        <w:tab/>
      </w:r>
      <w:r w:rsidR="006130E8" w:rsidRPr="006130E8">
        <w:rPr>
          <w:i/>
          <w:iCs/>
          <w:lang w:val="en-CA"/>
        </w:rPr>
        <w:t>I</w:t>
      </w:r>
      <w:r w:rsidR="00EF4074">
        <w:rPr>
          <w:i/>
          <w:iCs/>
          <w:lang w:val="en-CA"/>
        </w:rPr>
        <w:t>d.,</w:t>
      </w:r>
      <w:r>
        <w:rPr>
          <w:lang w:val="en-CA"/>
        </w:rPr>
        <w:t xml:space="preserve"> at para</w:t>
      </w:r>
      <w:r w:rsidR="003D4A81">
        <w:rPr>
          <w:lang w:val="en-CA"/>
        </w:rPr>
        <w:t>.</w:t>
      </w:r>
      <w:r>
        <w:rPr>
          <w:lang w:val="en-CA"/>
        </w:rPr>
        <w:t xml:space="preserve"> 42.</w:t>
      </w:r>
    </w:p>
  </w:footnote>
  <w:footnote w:id="25">
    <w:p w14:paraId="139BCCDF" w14:textId="48AE928D" w:rsidR="00672268" w:rsidRPr="00EA0A26" w:rsidRDefault="00F06516">
      <w:pPr>
        <w:pStyle w:val="Notedebasdepage"/>
        <w:rPr>
          <w:lang w:val="es-CL"/>
        </w:rPr>
      </w:pPr>
      <w:r>
        <w:rPr>
          <w:rStyle w:val="Appelnotedebasdep"/>
          <w:lang w:val="en-CA"/>
        </w:rPr>
        <w:footnoteRef/>
      </w:r>
      <w:r w:rsidRPr="00EA0A26">
        <w:rPr>
          <w:lang w:val="es-CL"/>
        </w:rPr>
        <w:t xml:space="preserve"> </w:t>
      </w:r>
      <w:r w:rsidRPr="00EA0A26">
        <w:rPr>
          <w:lang w:val="es-CL"/>
        </w:rPr>
        <w:tab/>
      </w:r>
      <w:r w:rsidR="006130E8" w:rsidRPr="006130E8">
        <w:rPr>
          <w:i/>
          <w:iCs/>
          <w:lang w:val="es-CL"/>
        </w:rPr>
        <w:t>Ibid</w:t>
      </w:r>
      <w:r w:rsidR="00EF4074">
        <w:rPr>
          <w:i/>
          <w:iCs/>
          <w:lang w:val="es-CL"/>
        </w:rPr>
        <w:t>.</w:t>
      </w:r>
    </w:p>
  </w:footnote>
  <w:footnote w:id="26">
    <w:p w14:paraId="15170DFC" w14:textId="5AF3CC6B" w:rsidR="00BC0EBF" w:rsidRPr="00EA0A26" w:rsidRDefault="00F06516">
      <w:pPr>
        <w:pStyle w:val="Notedebasdepage"/>
        <w:rPr>
          <w:lang w:val="es-CL"/>
        </w:rPr>
      </w:pPr>
      <w:r>
        <w:rPr>
          <w:rStyle w:val="Appelnotedebasdep"/>
          <w:lang w:val="en-CA"/>
        </w:rPr>
        <w:footnoteRef/>
      </w:r>
      <w:r w:rsidRPr="00EA0A26">
        <w:rPr>
          <w:lang w:val="es-CL"/>
        </w:rPr>
        <w:t xml:space="preserve"> </w:t>
      </w:r>
      <w:r w:rsidRPr="00EA0A26">
        <w:rPr>
          <w:lang w:val="es-CL"/>
        </w:rPr>
        <w:tab/>
      </w:r>
      <w:r w:rsidRPr="00EA0A26">
        <w:rPr>
          <w:i/>
          <w:iCs/>
          <w:lang w:val="es-CL"/>
        </w:rPr>
        <w:t>Supra</w:t>
      </w:r>
      <w:r w:rsidRPr="00EA0A26">
        <w:rPr>
          <w:lang w:val="es-CL"/>
        </w:rPr>
        <w:t xml:space="preserve"> note 9.</w:t>
      </w:r>
    </w:p>
  </w:footnote>
  <w:footnote w:id="27">
    <w:p w14:paraId="05B70ECD" w14:textId="09291921" w:rsidR="00BC0EBF" w:rsidRPr="00EA0A26" w:rsidRDefault="00F06516">
      <w:pPr>
        <w:pStyle w:val="Notedebasdepage"/>
        <w:rPr>
          <w:lang w:val="es-CL"/>
        </w:rPr>
      </w:pPr>
      <w:r>
        <w:rPr>
          <w:rStyle w:val="Appelnotedebasdep"/>
          <w:lang w:val="en-CA"/>
        </w:rPr>
        <w:footnoteRef/>
      </w:r>
      <w:r w:rsidRPr="00EA0A26">
        <w:rPr>
          <w:lang w:val="es-CL"/>
        </w:rPr>
        <w:t xml:space="preserve"> </w:t>
      </w:r>
      <w:r w:rsidRPr="00EA0A26">
        <w:rPr>
          <w:lang w:val="es-CL"/>
        </w:rPr>
        <w:tab/>
      </w:r>
      <w:r w:rsidRPr="00EA0A26">
        <w:rPr>
          <w:i/>
          <w:iCs/>
          <w:lang w:val="es-CL"/>
        </w:rPr>
        <w:t>Supra</w:t>
      </w:r>
      <w:r w:rsidR="00EF4074">
        <w:rPr>
          <w:i/>
          <w:iCs/>
          <w:lang w:val="es-CL"/>
        </w:rPr>
        <w:t xml:space="preserve"> </w:t>
      </w:r>
      <w:r w:rsidRPr="00EA0A26">
        <w:rPr>
          <w:lang w:val="es-CL"/>
        </w:rPr>
        <w:t>note 10.</w:t>
      </w:r>
    </w:p>
  </w:footnote>
  <w:footnote w:id="28">
    <w:p w14:paraId="3DF3B90C" w14:textId="1824B7FF" w:rsidR="008720B3" w:rsidRPr="004A360E" w:rsidRDefault="00F06516" w:rsidP="008720B3">
      <w:pPr>
        <w:pStyle w:val="Notedebasdepage"/>
        <w:rPr>
          <w:lang w:val="en-US"/>
        </w:rPr>
      </w:pPr>
      <w:r>
        <w:rPr>
          <w:rStyle w:val="Appelnotedebasdep"/>
          <w:lang w:val="en-CA"/>
        </w:rPr>
        <w:footnoteRef/>
      </w:r>
      <w:r>
        <w:rPr>
          <w:lang w:val="en-CA"/>
        </w:rPr>
        <w:t xml:space="preserve"> </w:t>
      </w:r>
      <w:r>
        <w:rPr>
          <w:lang w:val="en-CA"/>
        </w:rPr>
        <w:tab/>
      </w:r>
      <w:r>
        <w:rPr>
          <w:i/>
          <w:iCs/>
          <w:lang w:val="en-CA"/>
        </w:rPr>
        <w:t xml:space="preserve">R. v. </w:t>
      </w:r>
      <w:proofErr w:type="spellStart"/>
      <w:r w:rsidR="00A7191C">
        <w:rPr>
          <w:i/>
          <w:iCs/>
          <w:lang w:val="en-CA"/>
        </w:rPr>
        <w:t>Warsing</w:t>
      </w:r>
      <w:proofErr w:type="spellEnd"/>
      <w:r w:rsidR="00A7191C">
        <w:rPr>
          <w:lang w:val="en-CA"/>
        </w:rPr>
        <w:t xml:space="preserve"> [</w:t>
      </w:r>
      <w:r>
        <w:rPr>
          <w:lang w:val="en-CA"/>
        </w:rPr>
        <w:t>1998] 3 SCR 57 at para</w:t>
      </w:r>
      <w:r w:rsidR="003D4A81">
        <w:rPr>
          <w:lang w:val="en-CA"/>
        </w:rPr>
        <w:t>.</w:t>
      </w:r>
      <w:r>
        <w:rPr>
          <w:lang w:val="en-CA"/>
        </w:rPr>
        <w:t xml:space="preserve"> 50.</w:t>
      </w:r>
    </w:p>
  </w:footnote>
  <w:footnote w:id="29">
    <w:p w14:paraId="4B7C0771" w14:textId="53B36ACE" w:rsidR="001503D4" w:rsidRPr="00EA0A26" w:rsidRDefault="00F06516">
      <w:pPr>
        <w:pStyle w:val="Notedebasdepage"/>
        <w:rPr>
          <w:lang w:val="en-CA"/>
        </w:rPr>
      </w:pPr>
      <w:r>
        <w:rPr>
          <w:rStyle w:val="Appelnotedebasdep"/>
          <w:lang w:val="en-CA"/>
        </w:rPr>
        <w:footnoteRef/>
      </w:r>
      <w:r w:rsidRPr="00EA0A26">
        <w:rPr>
          <w:lang w:val="en-CA"/>
        </w:rPr>
        <w:t xml:space="preserve"> </w:t>
      </w:r>
      <w:r w:rsidRPr="00EA0A26">
        <w:rPr>
          <w:lang w:val="en-CA"/>
        </w:rPr>
        <w:tab/>
      </w:r>
      <w:r w:rsidRPr="00EA0A26">
        <w:rPr>
          <w:i/>
          <w:iCs/>
          <w:lang w:val="en-CA"/>
        </w:rPr>
        <w:t xml:space="preserve">R. v. </w:t>
      </w:r>
      <w:proofErr w:type="spellStart"/>
      <w:r w:rsidRPr="00EA0A26">
        <w:rPr>
          <w:i/>
          <w:iCs/>
          <w:lang w:val="en-CA"/>
        </w:rPr>
        <w:t>G.D.B</w:t>
      </w:r>
      <w:proofErr w:type="spellEnd"/>
      <w:r w:rsidRPr="00EA0A26">
        <w:rPr>
          <w:i/>
          <w:iCs/>
          <w:lang w:val="en-CA"/>
        </w:rPr>
        <w:t>.</w:t>
      </w:r>
      <w:r w:rsidRPr="00EA0A26">
        <w:rPr>
          <w:lang w:val="en-CA"/>
        </w:rPr>
        <w:t xml:space="preserve">, </w:t>
      </w:r>
      <w:r w:rsidRPr="00EA0A26">
        <w:rPr>
          <w:i/>
          <w:iCs/>
          <w:lang w:val="en-CA"/>
        </w:rPr>
        <w:t>supra</w:t>
      </w:r>
      <w:r w:rsidRPr="00EA0A26">
        <w:rPr>
          <w:lang w:val="en-CA"/>
        </w:rPr>
        <w:t xml:space="preserve"> note 21 at para</w:t>
      </w:r>
      <w:r w:rsidR="003D4A81">
        <w:rPr>
          <w:lang w:val="en-CA"/>
        </w:rPr>
        <w:t>.</w:t>
      </w:r>
      <w:r w:rsidRPr="00EA0A26">
        <w:rPr>
          <w:lang w:val="en-CA"/>
        </w:rPr>
        <w:t xml:space="preserve"> 16.</w:t>
      </w:r>
    </w:p>
  </w:footnote>
  <w:footnote w:id="30">
    <w:p w14:paraId="733FBB12" w14:textId="7EF30104" w:rsidR="00272FCA" w:rsidRPr="00EA0A26" w:rsidRDefault="00F06516">
      <w:pPr>
        <w:pStyle w:val="Notedebasdepage"/>
        <w:rPr>
          <w:lang w:val="en-CA"/>
        </w:rPr>
      </w:pPr>
      <w:r>
        <w:rPr>
          <w:rStyle w:val="Appelnotedebasdep"/>
          <w:lang w:val="en-CA"/>
        </w:rPr>
        <w:footnoteRef/>
      </w:r>
      <w:r w:rsidRPr="00EA0A26">
        <w:rPr>
          <w:lang w:val="en-CA"/>
        </w:rPr>
        <w:t xml:space="preserve"> </w:t>
      </w:r>
      <w:r w:rsidRPr="00EA0A26">
        <w:rPr>
          <w:lang w:val="en-CA"/>
        </w:rPr>
        <w:tab/>
      </w:r>
      <w:r w:rsidR="006130E8" w:rsidRPr="006130E8">
        <w:rPr>
          <w:i/>
          <w:iCs/>
          <w:lang w:val="en-CA"/>
        </w:rPr>
        <w:t>Ibid</w:t>
      </w:r>
      <w:r w:rsidR="00EF4074">
        <w:rPr>
          <w:i/>
          <w:iCs/>
          <w:lang w:val="en-CA"/>
        </w:rPr>
        <w:t>.</w:t>
      </w:r>
    </w:p>
  </w:footnote>
  <w:footnote w:id="31">
    <w:p w14:paraId="09B2DE44" w14:textId="25155161" w:rsidR="004F0B07" w:rsidRPr="0000341E" w:rsidRDefault="00F06516">
      <w:pPr>
        <w:pStyle w:val="Notedebasdepage"/>
        <w:rPr>
          <w:lang w:val="en-US"/>
        </w:rPr>
      </w:pPr>
      <w:r>
        <w:rPr>
          <w:rStyle w:val="Appelnotedebasdep"/>
          <w:lang w:val="en-CA"/>
        </w:rPr>
        <w:footnoteRef/>
      </w:r>
      <w:r>
        <w:rPr>
          <w:lang w:val="en-CA"/>
        </w:rPr>
        <w:t xml:space="preserve"> </w:t>
      </w:r>
      <w:r>
        <w:rPr>
          <w:lang w:val="en-CA"/>
        </w:rPr>
        <w:tab/>
      </w:r>
      <w:r>
        <w:rPr>
          <w:i/>
          <w:iCs/>
          <w:lang w:val="en-CA"/>
        </w:rPr>
        <w:t>R. v. White</w:t>
      </w:r>
      <w:r>
        <w:rPr>
          <w:lang w:val="en-CA"/>
        </w:rPr>
        <w:t>, 2022 SCC 7 at para</w:t>
      </w:r>
      <w:r w:rsidR="003D4A81">
        <w:rPr>
          <w:lang w:val="en-CA"/>
        </w:rPr>
        <w:t>.</w:t>
      </w:r>
      <w:r>
        <w:rPr>
          <w:lang w:val="en-CA"/>
        </w:rPr>
        <w:t xml:space="preserve"> 9.</w:t>
      </w:r>
    </w:p>
  </w:footnote>
  <w:footnote w:id="32">
    <w:p w14:paraId="3A97C668" w14:textId="77777777" w:rsidR="001707DD" w:rsidRPr="0000341E" w:rsidRDefault="00F06516" w:rsidP="001707DD">
      <w:pPr>
        <w:pStyle w:val="Notedebasdepage"/>
        <w:rPr>
          <w:lang w:val="en-US"/>
        </w:rPr>
      </w:pPr>
      <w:r>
        <w:rPr>
          <w:rStyle w:val="Appelnotedebasdep"/>
          <w:lang w:val="en-CA"/>
        </w:rPr>
        <w:footnoteRef/>
      </w:r>
      <w:r>
        <w:rPr>
          <w:lang w:val="en-CA"/>
        </w:rPr>
        <w:t xml:space="preserve"> </w:t>
      </w:r>
      <w:r>
        <w:rPr>
          <w:lang w:val="en-CA"/>
        </w:rPr>
        <w:tab/>
        <w:t>2024 QCCA 463.</w:t>
      </w:r>
    </w:p>
  </w:footnote>
  <w:footnote w:id="33">
    <w:p w14:paraId="6E954D26" w14:textId="62F7713B" w:rsidR="0074285E" w:rsidRPr="0000341E" w:rsidRDefault="00F06516">
      <w:pPr>
        <w:pStyle w:val="Notedebasdepage"/>
        <w:rPr>
          <w:lang w:val="en-US"/>
        </w:rPr>
      </w:pPr>
      <w:r>
        <w:rPr>
          <w:rStyle w:val="Appelnotedebasdep"/>
          <w:lang w:val="en-CA"/>
        </w:rPr>
        <w:footnoteRef/>
      </w:r>
      <w:r>
        <w:rPr>
          <w:lang w:val="en-CA"/>
        </w:rPr>
        <w:t xml:space="preserve"> </w:t>
      </w:r>
      <w:r>
        <w:rPr>
          <w:lang w:val="en-CA"/>
        </w:rPr>
        <w:tab/>
        <w:t>2024 QCCA 304.</w:t>
      </w:r>
    </w:p>
  </w:footnote>
  <w:footnote w:id="34">
    <w:p w14:paraId="2A21167C" w14:textId="0558766C" w:rsidR="002F34A3" w:rsidRPr="0000341E" w:rsidRDefault="00F06516">
      <w:pPr>
        <w:pStyle w:val="Notedebasdepage"/>
        <w:rPr>
          <w:lang w:val="en-US"/>
        </w:rPr>
      </w:pPr>
      <w:r>
        <w:rPr>
          <w:rStyle w:val="Appelnotedebasdep"/>
          <w:lang w:val="en-CA"/>
        </w:rPr>
        <w:footnoteRef/>
      </w:r>
      <w:r>
        <w:rPr>
          <w:lang w:val="en-CA"/>
        </w:rPr>
        <w:t xml:space="preserve"> </w:t>
      </w:r>
      <w:r>
        <w:rPr>
          <w:lang w:val="en-CA"/>
        </w:rPr>
        <w:tab/>
      </w:r>
      <w:r>
        <w:rPr>
          <w:i/>
          <w:iCs/>
          <w:lang w:val="en-CA"/>
        </w:rPr>
        <w:t xml:space="preserve">R. v. </w:t>
      </w:r>
      <w:proofErr w:type="spellStart"/>
      <w:r>
        <w:rPr>
          <w:i/>
          <w:iCs/>
          <w:lang w:val="en-CA"/>
        </w:rPr>
        <w:t>G.D.B</w:t>
      </w:r>
      <w:proofErr w:type="spellEnd"/>
      <w:r>
        <w:rPr>
          <w:i/>
          <w:iCs/>
          <w:lang w:val="en-CA"/>
        </w:rPr>
        <w:t>.</w:t>
      </w:r>
      <w:r>
        <w:rPr>
          <w:lang w:val="en-CA"/>
        </w:rPr>
        <w:t xml:space="preserve">, </w:t>
      </w:r>
      <w:r>
        <w:rPr>
          <w:i/>
          <w:iCs/>
          <w:lang w:val="en-CA"/>
        </w:rPr>
        <w:t>supra</w:t>
      </w:r>
      <w:r>
        <w:rPr>
          <w:lang w:val="en-CA"/>
        </w:rPr>
        <w:t xml:space="preserve"> note 21</w:t>
      </w:r>
      <w:r w:rsidR="009B7A2E">
        <w:rPr>
          <w:lang w:val="en-CA"/>
        </w:rPr>
        <w:t xml:space="preserve"> at </w:t>
      </w:r>
      <w:r>
        <w:rPr>
          <w:lang w:val="en-CA"/>
        </w:rPr>
        <w:t>para</w:t>
      </w:r>
      <w:r w:rsidR="003D4A81">
        <w:rPr>
          <w:lang w:val="en-CA"/>
        </w:rPr>
        <w:t>.</w:t>
      </w:r>
      <w:r>
        <w:rPr>
          <w:lang w:val="en-CA"/>
        </w:rPr>
        <w:t xml:space="preserve"> 26 (cited in </w:t>
      </w:r>
      <w:r>
        <w:rPr>
          <w:i/>
          <w:iCs/>
          <w:lang w:val="en-CA"/>
        </w:rPr>
        <w:t>R. v. Meer</w:t>
      </w:r>
      <w:r>
        <w:rPr>
          <w:lang w:val="en-CA"/>
        </w:rPr>
        <w:t>, 2016 SCC 5 at para</w:t>
      </w:r>
      <w:r w:rsidR="003D4A81">
        <w:rPr>
          <w:lang w:val="en-CA"/>
        </w:rPr>
        <w:t>.</w:t>
      </w:r>
      <w:r>
        <w:rPr>
          <w:lang w:val="en-CA"/>
        </w:rPr>
        <w:t xml:space="preserve"> 2). See also: </w:t>
      </w:r>
      <w:r>
        <w:rPr>
          <w:i/>
          <w:iCs/>
          <w:lang w:val="en-CA"/>
        </w:rPr>
        <w:t>R. v. White</w:t>
      </w:r>
      <w:r>
        <w:rPr>
          <w:lang w:val="en-CA"/>
        </w:rPr>
        <w:t xml:space="preserve">, </w:t>
      </w:r>
      <w:r w:rsidR="00DB4799">
        <w:rPr>
          <w:i/>
          <w:iCs/>
          <w:lang w:val="en-CA"/>
        </w:rPr>
        <w:t xml:space="preserve">supra </w:t>
      </w:r>
      <w:r w:rsidR="00DB4799">
        <w:rPr>
          <w:lang w:val="en-CA"/>
        </w:rPr>
        <w:t>note</w:t>
      </w:r>
      <w:r>
        <w:rPr>
          <w:lang w:val="en-CA"/>
        </w:rPr>
        <w:t xml:space="preserve"> 31</w:t>
      </w:r>
      <w:r w:rsidR="009B7A2E">
        <w:rPr>
          <w:lang w:val="en-CA"/>
        </w:rPr>
        <w:t xml:space="preserve"> at </w:t>
      </w:r>
      <w:r>
        <w:rPr>
          <w:lang w:val="en-CA"/>
        </w:rPr>
        <w:t>para</w:t>
      </w:r>
      <w:r w:rsidR="003D4A81">
        <w:rPr>
          <w:lang w:val="en-CA"/>
        </w:rPr>
        <w:t>.</w:t>
      </w:r>
      <w:r>
        <w:rPr>
          <w:lang w:val="en-CA"/>
        </w:rPr>
        <w:t xml:space="preserve"> 6.</w:t>
      </w:r>
    </w:p>
  </w:footnote>
  <w:footnote w:id="35">
    <w:p w14:paraId="690187A9" w14:textId="19614B34" w:rsidR="00D47AAE" w:rsidRPr="0000341E" w:rsidRDefault="00F06516">
      <w:pPr>
        <w:pStyle w:val="Notedebasdepage"/>
        <w:rPr>
          <w:lang w:val="en-US"/>
        </w:rPr>
      </w:pPr>
      <w:r>
        <w:rPr>
          <w:rStyle w:val="Appelnotedebasdep"/>
          <w:lang w:val="en-CA"/>
        </w:rPr>
        <w:footnoteRef/>
      </w:r>
      <w:r>
        <w:rPr>
          <w:lang w:val="en-CA"/>
        </w:rPr>
        <w:t xml:space="preserve"> </w:t>
      </w:r>
      <w:r>
        <w:rPr>
          <w:lang w:val="en-CA"/>
        </w:rPr>
        <w:tab/>
        <w:t xml:space="preserve">Reply </w:t>
      </w:r>
      <w:r w:rsidR="00DB4799">
        <w:rPr>
          <w:lang w:val="en-CA"/>
        </w:rPr>
        <w:t>by</w:t>
      </w:r>
      <w:r>
        <w:rPr>
          <w:lang w:val="en-CA"/>
        </w:rPr>
        <w:t xml:space="preserve"> appellant’s former counsel, transcript </w:t>
      </w:r>
      <w:r w:rsidR="00DB4799">
        <w:rPr>
          <w:lang w:val="en-CA"/>
        </w:rPr>
        <w:t>dated</w:t>
      </w:r>
      <w:r>
        <w:rPr>
          <w:lang w:val="en-CA"/>
        </w:rPr>
        <w:t xml:space="preserve"> November 12, 2020, at 246 </w:t>
      </w:r>
      <w:r>
        <w:rPr>
          <w:i/>
          <w:iCs/>
          <w:lang w:val="en-CA"/>
        </w:rPr>
        <w:t xml:space="preserve">in fine </w:t>
      </w:r>
      <w:r>
        <w:rPr>
          <w:lang w:val="en-CA"/>
        </w:rPr>
        <w:t>at 252 (A.B., at 1468–1474).</w:t>
      </w:r>
    </w:p>
  </w:footnote>
  <w:footnote w:id="36">
    <w:p w14:paraId="2B11999B" w14:textId="7CA7E061" w:rsidR="00372E3D" w:rsidRPr="0000341E" w:rsidRDefault="00F06516">
      <w:pPr>
        <w:pStyle w:val="Notedebasdepage"/>
        <w:rPr>
          <w:lang w:val="en-US"/>
        </w:rPr>
      </w:pPr>
      <w:r>
        <w:rPr>
          <w:rStyle w:val="Appelnotedebasdep"/>
          <w:lang w:val="en-CA"/>
        </w:rPr>
        <w:footnoteRef/>
      </w:r>
      <w:r>
        <w:rPr>
          <w:lang w:val="en-CA"/>
        </w:rPr>
        <w:t xml:space="preserve"> </w:t>
      </w:r>
      <w:r>
        <w:rPr>
          <w:lang w:val="en-CA"/>
        </w:rPr>
        <w:tab/>
        <w:t xml:space="preserve">Appellant’s testimony, transcript </w:t>
      </w:r>
      <w:r w:rsidR="00DB4799">
        <w:rPr>
          <w:lang w:val="en-CA"/>
        </w:rPr>
        <w:t>dated</w:t>
      </w:r>
      <w:r>
        <w:rPr>
          <w:lang w:val="en-CA"/>
        </w:rPr>
        <w:t xml:space="preserve"> October 2, 2020, at 137 (A.B. at 1015).</w:t>
      </w:r>
    </w:p>
  </w:footnote>
  <w:footnote w:id="37">
    <w:p w14:paraId="523CCA85" w14:textId="5342F434" w:rsidR="00BE427D" w:rsidRPr="0000341E" w:rsidRDefault="00F06516">
      <w:pPr>
        <w:pStyle w:val="Notedebasdepage"/>
        <w:rPr>
          <w:lang w:val="en-US"/>
        </w:rPr>
      </w:pPr>
      <w:r>
        <w:rPr>
          <w:rStyle w:val="Appelnotedebasdep"/>
          <w:lang w:val="en-CA"/>
        </w:rPr>
        <w:footnoteRef/>
      </w:r>
      <w:r>
        <w:rPr>
          <w:lang w:val="en-CA"/>
        </w:rPr>
        <w:t xml:space="preserve"> </w:t>
      </w:r>
      <w:r>
        <w:rPr>
          <w:lang w:val="en-CA"/>
        </w:rPr>
        <w:tab/>
        <w:t xml:space="preserve">Appellant’s testimony, transcript </w:t>
      </w:r>
      <w:r w:rsidR="00DB4799">
        <w:rPr>
          <w:lang w:val="en-CA"/>
        </w:rPr>
        <w:t>dated</w:t>
      </w:r>
      <w:r>
        <w:rPr>
          <w:lang w:val="en-CA"/>
        </w:rPr>
        <w:t xml:space="preserve"> October 2, 2020, at 139 (A.B. at 1017).</w:t>
      </w:r>
    </w:p>
  </w:footnote>
  <w:footnote w:id="38">
    <w:p w14:paraId="26B79D31" w14:textId="2623CB73" w:rsidR="00372E3D" w:rsidRPr="0000341E" w:rsidRDefault="00F06516">
      <w:pPr>
        <w:pStyle w:val="Notedebasdepage"/>
        <w:rPr>
          <w:lang w:val="en-US"/>
        </w:rPr>
      </w:pPr>
      <w:r>
        <w:rPr>
          <w:rStyle w:val="Appelnotedebasdep"/>
          <w:lang w:val="en-CA"/>
        </w:rPr>
        <w:footnoteRef/>
      </w:r>
      <w:r>
        <w:rPr>
          <w:lang w:val="en-CA"/>
        </w:rPr>
        <w:t xml:space="preserve"> </w:t>
      </w:r>
      <w:r>
        <w:rPr>
          <w:lang w:val="en-CA"/>
        </w:rPr>
        <w:tab/>
        <w:t xml:space="preserve">Transcript </w:t>
      </w:r>
      <w:r w:rsidR="00DB4799">
        <w:rPr>
          <w:lang w:val="en-CA"/>
        </w:rPr>
        <w:t>dated</w:t>
      </w:r>
      <w:r>
        <w:rPr>
          <w:lang w:val="en-CA"/>
        </w:rPr>
        <w:t xml:space="preserve"> October 2, 2020, at 140 (A.B. at 1018).</w:t>
      </w:r>
    </w:p>
  </w:footnote>
  <w:footnote w:id="39">
    <w:p w14:paraId="2AF04470" w14:textId="08827399" w:rsidR="00372E3D" w:rsidRPr="0000341E" w:rsidRDefault="00F06516">
      <w:pPr>
        <w:pStyle w:val="Notedebasdepage"/>
        <w:rPr>
          <w:lang w:val="en-US"/>
        </w:rPr>
      </w:pPr>
      <w:r>
        <w:rPr>
          <w:rStyle w:val="Appelnotedebasdep"/>
          <w:lang w:val="en-CA"/>
        </w:rPr>
        <w:footnoteRef/>
      </w:r>
      <w:r>
        <w:rPr>
          <w:lang w:val="en-CA"/>
        </w:rPr>
        <w:t xml:space="preserve"> </w:t>
      </w:r>
      <w:r>
        <w:rPr>
          <w:lang w:val="en-CA"/>
        </w:rPr>
        <w:tab/>
      </w:r>
      <w:r w:rsidR="006130E8" w:rsidRPr="006130E8">
        <w:rPr>
          <w:i/>
          <w:iCs/>
          <w:lang w:val="en-CA"/>
        </w:rPr>
        <w:t>I</w:t>
      </w:r>
      <w:r w:rsidR="00EF4074">
        <w:rPr>
          <w:i/>
          <w:iCs/>
          <w:lang w:val="en-CA"/>
        </w:rPr>
        <w:t>d.,</w:t>
      </w:r>
      <w:r>
        <w:rPr>
          <w:lang w:val="en-CA"/>
        </w:rPr>
        <w:t xml:space="preserve"> at 142 (A.B., at 1020).</w:t>
      </w:r>
    </w:p>
  </w:footnote>
  <w:footnote w:id="40">
    <w:p w14:paraId="16545FFC" w14:textId="0F9958B3" w:rsidR="00600D18" w:rsidRPr="0000341E" w:rsidRDefault="00F06516">
      <w:pPr>
        <w:pStyle w:val="Notedebasdepage"/>
        <w:rPr>
          <w:lang w:val="en-US"/>
        </w:rPr>
      </w:pPr>
      <w:r>
        <w:rPr>
          <w:rStyle w:val="Appelnotedebasdep"/>
          <w:lang w:val="en-CA"/>
        </w:rPr>
        <w:footnoteRef/>
      </w:r>
      <w:r>
        <w:rPr>
          <w:lang w:val="en-CA"/>
        </w:rPr>
        <w:t xml:space="preserve"> </w:t>
      </w:r>
      <w:r>
        <w:rPr>
          <w:lang w:val="en-CA"/>
        </w:rPr>
        <w:tab/>
      </w:r>
      <w:r w:rsidR="006130E8" w:rsidRPr="006130E8">
        <w:rPr>
          <w:i/>
          <w:iCs/>
          <w:lang w:val="en-CA"/>
        </w:rPr>
        <w:t>I</w:t>
      </w:r>
      <w:r w:rsidR="00EF4074">
        <w:rPr>
          <w:i/>
          <w:iCs/>
          <w:lang w:val="en-CA"/>
        </w:rPr>
        <w:t>d.,</w:t>
      </w:r>
      <w:r>
        <w:rPr>
          <w:lang w:val="en-CA"/>
        </w:rPr>
        <w:t xml:space="preserve"> at 143 (A.B., at 1021).</w:t>
      </w:r>
    </w:p>
  </w:footnote>
  <w:footnote w:id="41">
    <w:p w14:paraId="0A19DA47" w14:textId="7D555A8E" w:rsidR="00A02184" w:rsidRPr="0000341E" w:rsidRDefault="00F06516">
      <w:pPr>
        <w:pStyle w:val="Notedebasdepage"/>
        <w:rPr>
          <w:lang w:val="en-US"/>
        </w:rPr>
      </w:pPr>
      <w:r>
        <w:rPr>
          <w:rStyle w:val="Appelnotedebasdep"/>
          <w:lang w:val="en-CA"/>
        </w:rPr>
        <w:footnoteRef/>
      </w:r>
      <w:r>
        <w:rPr>
          <w:lang w:val="en-CA"/>
        </w:rPr>
        <w:t xml:space="preserve"> </w:t>
      </w:r>
      <w:r>
        <w:rPr>
          <w:lang w:val="en-CA"/>
        </w:rPr>
        <w:tab/>
      </w:r>
      <w:r w:rsidR="006130E8" w:rsidRPr="006130E8">
        <w:rPr>
          <w:i/>
          <w:iCs/>
          <w:lang w:val="en-CA"/>
        </w:rPr>
        <w:t>Ibid</w:t>
      </w:r>
      <w:r w:rsidR="00EF4074">
        <w:rPr>
          <w:i/>
          <w:iCs/>
          <w:lang w:val="en-CA"/>
        </w:rPr>
        <w:t>.</w:t>
      </w:r>
    </w:p>
  </w:footnote>
  <w:footnote w:id="42">
    <w:p w14:paraId="044DEAC5" w14:textId="7335D480" w:rsidR="00A02184" w:rsidRPr="0000341E" w:rsidRDefault="00F06516">
      <w:pPr>
        <w:pStyle w:val="Notedebasdepage"/>
        <w:rPr>
          <w:lang w:val="en-US"/>
        </w:rPr>
      </w:pPr>
      <w:r>
        <w:rPr>
          <w:rStyle w:val="Appelnotedebasdep"/>
          <w:lang w:val="en-CA"/>
        </w:rPr>
        <w:footnoteRef/>
      </w:r>
      <w:r>
        <w:rPr>
          <w:lang w:val="en-CA"/>
        </w:rPr>
        <w:t xml:space="preserve"> </w:t>
      </w:r>
      <w:r>
        <w:rPr>
          <w:lang w:val="en-CA"/>
        </w:rPr>
        <w:tab/>
        <w:t xml:space="preserve">Transcript </w:t>
      </w:r>
      <w:r w:rsidR="00EF3E4D">
        <w:rPr>
          <w:lang w:val="en-CA"/>
        </w:rPr>
        <w:t>dated</w:t>
      </w:r>
      <w:r>
        <w:rPr>
          <w:lang w:val="en-CA"/>
        </w:rPr>
        <w:t xml:space="preserve"> October 2, 2020, at 1, 166–167 (A.B. at 1044–1045).</w:t>
      </w:r>
    </w:p>
  </w:footnote>
  <w:footnote w:id="43">
    <w:p w14:paraId="7348FF03" w14:textId="24AD139E" w:rsidR="004A6C28" w:rsidRPr="0000341E" w:rsidRDefault="00F06516">
      <w:pPr>
        <w:pStyle w:val="Notedebasdepage"/>
        <w:rPr>
          <w:lang w:val="en-US"/>
        </w:rPr>
      </w:pPr>
      <w:r>
        <w:rPr>
          <w:rStyle w:val="Appelnotedebasdep"/>
          <w:lang w:val="en-CA"/>
        </w:rPr>
        <w:footnoteRef/>
      </w:r>
      <w:r>
        <w:rPr>
          <w:lang w:val="en-CA"/>
        </w:rPr>
        <w:t xml:space="preserve"> </w:t>
      </w:r>
      <w:r>
        <w:rPr>
          <w:lang w:val="en-CA"/>
        </w:rPr>
        <w:tab/>
        <w:t xml:space="preserve">Appellant’s testimony, transcript </w:t>
      </w:r>
      <w:r w:rsidR="004C7B2B">
        <w:rPr>
          <w:lang w:val="en-CA"/>
        </w:rPr>
        <w:t xml:space="preserve">dated </w:t>
      </w:r>
      <w:r>
        <w:rPr>
          <w:lang w:val="en-CA"/>
        </w:rPr>
        <w:t>October 2, 2020, at 167–168 (A.B. at 1045–1046).</w:t>
      </w:r>
    </w:p>
  </w:footnote>
  <w:footnote w:id="44">
    <w:p w14:paraId="6C2755F9" w14:textId="71F355AB" w:rsidR="008D4963" w:rsidRPr="0000341E" w:rsidRDefault="00F06516">
      <w:pPr>
        <w:pStyle w:val="Notedebasdepage"/>
        <w:rPr>
          <w:lang w:val="en-US"/>
        </w:rPr>
      </w:pPr>
      <w:r>
        <w:rPr>
          <w:rStyle w:val="Appelnotedebasdep"/>
          <w:lang w:val="en-CA"/>
        </w:rPr>
        <w:footnoteRef/>
      </w:r>
      <w:r>
        <w:rPr>
          <w:lang w:val="en-CA"/>
        </w:rPr>
        <w:t xml:space="preserve"> </w:t>
      </w:r>
      <w:r>
        <w:rPr>
          <w:lang w:val="en-CA"/>
        </w:rPr>
        <w:tab/>
        <w:t xml:space="preserve">Transcript </w:t>
      </w:r>
      <w:r w:rsidR="000E1FD9">
        <w:rPr>
          <w:lang w:val="en-CA"/>
        </w:rPr>
        <w:t xml:space="preserve">dated </w:t>
      </w:r>
      <w:r>
        <w:rPr>
          <w:lang w:val="en-CA"/>
        </w:rPr>
        <w:t>October 2, 2020, at 308–310 (A.B. at 1186–1188).</w:t>
      </w:r>
    </w:p>
  </w:footnote>
  <w:footnote w:id="45">
    <w:p w14:paraId="331BEF8C" w14:textId="40874F77" w:rsidR="008B7E3F" w:rsidRPr="0000341E" w:rsidRDefault="00F06516">
      <w:pPr>
        <w:pStyle w:val="Notedebasdepage"/>
        <w:rPr>
          <w:lang w:val="en-US"/>
        </w:rPr>
      </w:pPr>
      <w:r>
        <w:rPr>
          <w:rStyle w:val="Appelnotedebasdep"/>
          <w:lang w:val="en-CA"/>
        </w:rPr>
        <w:footnoteRef/>
      </w:r>
      <w:r>
        <w:rPr>
          <w:lang w:val="en-CA"/>
        </w:rPr>
        <w:t xml:space="preserve"> </w:t>
      </w:r>
      <w:r>
        <w:rPr>
          <w:lang w:val="en-CA"/>
        </w:rPr>
        <w:tab/>
        <w:t xml:space="preserve">Transcript </w:t>
      </w:r>
      <w:r w:rsidR="000E1FD9">
        <w:rPr>
          <w:lang w:val="en-CA"/>
        </w:rPr>
        <w:t>dated</w:t>
      </w:r>
      <w:r>
        <w:rPr>
          <w:lang w:val="en-CA"/>
        </w:rPr>
        <w:t xml:space="preserve"> October 16, 2020, at 4–10 (A.B. at 1203–1209).</w:t>
      </w:r>
    </w:p>
  </w:footnote>
  <w:footnote w:id="46">
    <w:p w14:paraId="27695A59" w14:textId="2DC3B9BE" w:rsidR="00A444F3" w:rsidRPr="0000341E" w:rsidRDefault="00F06516">
      <w:pPr>
        <w:pStyle w:val="Notedebasdepage"/>
        <w:rPr>
          <w:lang w:val="en-US"/>
        </w:rPr>
      </w:pPr>
      <w:r>
        <w:rPr>
          <w:rStyle w:val="Appelnotedebasdep"/>
          <w:lang w:val="en-CA"/>
        </w:rPr>
        <w:footnoteRef/>
      </w:r>
      <w:r>
        <w:rPr>
          <w:lang w:val="en-CA"/>
        </w:rPr>
        <w:t xml:space="preserve"> </w:t>
      </w:r>
      <w:r>
        <w:rPr>
          <w:lang w:val="en-CA"/>
        </w:rPr>
        <w:tab/>
        <w:t xml:space="preserve">Sworn statement </w:t>
      </w:r>
      <w:r w:rsidR="00CA232A">
        <w:rPr>
          <w:lang w:val="en-CA"/>
        </w:rPr>
        <w:t xml:space="preserve">by </w:t>
      </w:r>
      <w:r>
        <w:rPr>
          <w:lang w:val="en-CA"/>
        </w:rPr>
        <w:t>the appellant’s former counsel, May 11, 2022, at para</w:t>
      </w:r>
      <w:r w:rsidR="003D4A81">
        <w:rPr>
          <w:lang w:val="en-CA"/>
        </w:rPr>
        <w:t>.</w:t>
      </w:r>
      <w:r>
        <w:rPr>
          <w:lang w:val="en-CA"/>
        </w:rPr>
        <w:t xml:space="preserve"> 67.</w:t>
      </w:r>
    </w:p>
  </w:footnote>
  <w:footnote w:id="47">
    <w:p w14:paraId="7BFE86DE" w14:textId="069B7197" w:rsidR="00D11525" w:rsidRPr="0000341E" w:rsidRDefault="00F06516">
      <w:pPr>
        <w:pStyle w:val="Notedebasdepage"/>
        <w:rPr>
          <w:lang w:val="en-US"/>
        </w:rPr>
      </w:pPr>
      <w:r>
        <w:rPr>
          <w:rStyle w:val="Appelnotedebasdep"/>
          <w:lang w:val="en-CA"/>
        </w:rPr>
        <w:footnoteRef/>
      </w:r>
      <w:r>
        <w:rPr>
          <w:lang w:val="en-CA"/>
        </w:rPr>
        <w:t xml:space="preserve"> </w:t>
      </w:r>
      <w:r>
        <w:rPr>
          <w:lang w:val="en-CA"/>
        </w:rPr>
        <w:tab/>
        <w:t xml:space="preserve">Cross-examination of the appellant’s former counsel, transcript </w:t>
      </w:r>
      <w:r w:rsidR="00EE4747">
        <w:rPr>
          <w:lang w:val="en-CA"/>
        </w:rPr>
        <w:t>dated</w:t>
      </w:r>
      <w:r>
        <w:rPr>
          <w:lang w:val="en-CA"/>
        </w:rPr>
        <w:t xml:space="preserve"> July 8, 2022, at 101.</w:t>
      </w:r>
    </w:p>
  </w:footnote>
  <w:footnote w:id="48">
    <w:p w14:paraId="0462DD74" w14:textId="3F0CB662" w:rsidR="00D11525" w:rsidRPr="0000341E" w:rsidRDefault="00F06516">
      <w:pPr>
        <w:pStyle w:val="Notedebasdepage"/>
        <w:rPr>
          <w:lang w:val="en-US"/>
        </w:rPr>
      </w:pPr>
      <w:r>
        <w:rPr>
          <w:rStyle w:val="Appelnotedebasdep"/>
          <w:lang w:val="en-CA"/>
        </w:rPr>
        <w:footnoteRef/>
      </w:r>
      <w:r>
        <w:rPr>
          <w:lang w:val="en-CA"/>
        </w:rPr>
        <w:t xml:space="preserve"> </w:t>
      </w:r>
      <w:r>
        <w:rPr>
          <w:lang w:val="en-CA"/>
        </w:rPr>
        <w:tab/>
        <w:t xml:space="preserve">The cross-examination of the appellant on July 8, 2022, as part of the </w:t>
      </w:r>
      <w:r w:rsidR="00EE4747">
        <w:rPr>
          <w:lang w:val="en-CA"/>
        </w:rPr>
        <w:t xml:space="preserve">fresh </w:t>
      </w:r>
      <w:r>
        <w:rPr>
          <w:lang w:val="en-CA"/>
        </w:rPr>
        <w:t xml:space="preserve">evidence, shows that he is still convinced of this. See: cross-examination of the appellant, transcript </w:t>
      </w:r>
      <w:r w:rsidR="00EE4747">
        <w:rPr>
          <w:lang w:val="en-CA"/>
        </w:rPr>
        <w:t>dated</w:t>
      </w:r>
      <w:r>
        <w:rPr>
          <w:lang w:val="en-CA"/>
        </w:rPr>
        <w:t xml:space="preserve"> July 8, 2022, at 48 and 66–67.</w:t>
      </w:r>
    </w:p>
  </w:footnote>
  <w:footnote w:id="49">
    <w:p w14:paraId="6E64E53C" w14:textId="08EC93A3" w:rsidR="007D2C1B" w:rsidRPr="0000341E" w:rsidRDefault="00F06516">
      <w:pPr>
        <w:pStyle w:val="Notedebasdepage"/>
        <w:rPr>
          <w:lang w:val="en-US"/>
        </w:rPr>
      </w:pPr>
      <w:r>
        <w:rPr>
          <w:rStyle w:val="Appelnotedebasdep"/>
          <w:lang w:val="en-CA"/>
        </w:rPr>
        <w:footnoteRef/>
      </w:r>
      <w:r>
        <w:rPr>
          <w:lang w:val="en-CA"/>
        </w:rPr>
        <w:t xml:space="preserve"> </w:t>
      </w:r>
      <w:r>
        <w:rPr>
          <w:lang w:val="en-CA"/>
        </w:rPr>
        <w:tab/>
      </w:r>
      <w:r w:rsidR="006130E8" w:rsidRPr="006130E8">
        <w:rPr>
          <w:i/>
          <w:iCs/>
          <w:lang w:val="en-CA"/>
        </w:rPr>
        <w:t>I</w:t>
      </w:r>
      <w:r w:rsidR="00EF4074">
        <w:rPr>
          <w:i/>
          <w:iCs/>
          <w:lang w:val="en-CA"/>
        </w:rPr>
        <w:t>d.,</w:t>
      </w:r>
      <w:r>
        <w:rPr>
          <w:lang w:val="en-CA"/>
        </w:rPr>
        <w:t xml:space="preserve"> at 49.</w:t>
      </w:r>
    </w:p>
  </w:footnote>
  <w:footnote w:id="50">
    <w:p w14:paraId="3DFA46A6" w14:textId="48B983D1" w:rsidR="00FF2B6A" w:rsidRPr="0000341E" w:rsidRDefault="00F06516">
      <w:pPr>
        <w:pStyle w:val="Notedebasdepage"/>
        <w:rPr>
          <w:lang w:val="en-US"/>
        </w:rPr>
      </w:pPr>
      <w:r>
        <w:rPr>
          <w:rStyle w:val="Appelnotedebasdep"/>
          <w:lang w:val="en-CA"/>
        </w:rPr>
        <w:footnoteRef/>
      </w:r>
      <w:r>
        <w:rPr>
          <w:lang w:val="en-CA"/>
        </w:rPr>
        <w:t xml:space="preserve"> </w:t>
      </w:r>
      <w:r>
        <w:rPr>
          <w:lang w:val="en-CA"/>
        </w:rPr>
        <w:tab/>
        <w:t xml:space="preserve">Sworn statement </w:t>
      </w:r>
      <w:r w:rsidR="00BF2785">
        <w:rPr>
          <w:lang w:val="en-CA"/>
        </w:rPr>
        <w:t xml:space="preserve">by </w:t>
      </w:r>
      <w:r>
        <w:rPr>
          <w:lang w:val="en-CA"/>
        </w:rPr>
        <w:t>the appellant’s former counsel, May 11, 2022, at para</w:t>
      </w:r>
      <w:r w:rsidR="003D4A81">
        <w:rPr>
          <w:lang w:val="en-CA"/>
        </w:rPr>
        <w:t>.</w:t>
      </w:r>
      <w:r>
        <w:rPr>
          <w:lang w:val="en-CA"/>
        </w:rPr>
        <w:t xml:space="preserve"> 80.</w:t>
      </w:r>
    </w:p>
  </w:footnote>
  <w:footnote w:id="51">
    <w:p w14:paraId="42518AF1" w14:textId="515F34C2" w:rsidR="00892CBB" w:rsidRPr="0000341E" w:rsidRDefault="00F06516">
      <w:pPr>
        <w:pStyle w:val="Notedebasdepage"/>
        <w:rPr>
          <w:lang w:val="en-US"/>
        </w:rPr>
      </w:pPr>
      <w:r>
        <w:rPr>
          <w:rStyle w:val="Appelnotedebasdep"/>
          <w:lang w:val="en-CA"/>
        </w:rPr>
        <w:footnoteRef/>
      </w:r>
      <w:r>
        <w:rPr>
          <w:lang w:val="en-CA"/>
        </w:rPr>
        <w:t xml:space="preserve"> </w:t>
      </w:r>
      <w:r>
        <w:rPr>
          <w:lang w:val="en-CA"/>
        </w:rPr>
        <w:tab/>
        <w:t xml:space="preserve">Appellant’s testimony, transcript </w:t>
      </w:r>
      <w:r w:rsidR="00304F00">
        <w:rPr>
          <w:lang w:val="en-CA"/>
        </w:rPr>
        <w:t xml:space="preserve">dated </w:t>
      </w:r>
      <w:r>
        <w:rPr>
          <w:lang w:val="en-CA"/>
        </w:rPr>
        <w:t>October 2, 2020, at 131 (A.B. at 1009).</w:t>
      </w:r>
    </w:p>
  </w:footnote>
  <w:footnote w:id="52">
    <w:p w14:paraId="180C8E9A" w14:textId="6190FFD0" w:rsidR="00957CF2" w:rsidRPr="0000341E" w:rsidRDefault="00F06516">
      <w:pPr>
        <w:pStyle w:val="Notedebasdepage"/>
        <w:rPr>
          <w:lang w:val="en-US"/>
        </w:rPr>
      </w:pPr>
      <w:r>
        <w:rPr>
          <w:rStyle w:val="Appelnotedebasdep"/>
          <w:lang w:val="en-CA"/>
        </w:rPr>
        <w:footnoteRef/>
      </w:r>
      <w:r>
        <w:rPr>
          <w:lang w:val="en-CA"/>
        </w:rPr>
        <w:t xml:space="preserve"> </w:t>
      </w:r>
      <w:r>
        <w:rPr>
          <w:lang w:val="en-CA"/>
        </w:rPr>
        <w:tab/>
        <w:t xml:space="preserve">Cross-examination of the appellant, transcript </w:t>
      </w:r>
      <w:r w:rsidR="00F1457C">
        <w:rPr>
          <w:lang w:val="en-CA"/>
        </w:rPr>
        <w:t>dated</w:t>
      </w:r>
      <w:r>
        <w:rPr>
          <w:lang w:val="en-CA"/>
        </w:rPr>
        <w:t xml:space="preserve"> July 8, 2022, at 49 and 66–67.</w:t>
      </w:r>
    </w:p>
  </w:footnote>
  <w:footnote w:id="53">
    <w:p w14:paraId="23841BB0" w14:textId="1002C1F2" w:rsidR="00DE38C1" w:rsidRPr="0000341E" w:rsidRDefault="00F06516">
      <w:pPr>
        <w:pStyle w:val="Notedebasdepage"/>
        <w:rPr>
          <w:lang w:val="en-US"/>
        </w:rPr>
      </w:pPr>
      <w:r>
        <w:rPr>
          <w:rStyle w:val="Appelnotedebasdep"/>
          <w:lang w:val="en-CA"/>
        </w:rPr>
        <w:footnoteRef/>
      </w:r>
      <w:r>
        <w:rPr>
          <w:lang w:val="en-CA"/>
        </w:rPr>
        <w:t xml:space="preserve"> </w:t>
      </w:r>
      <w:r>
        <w:rPr>
          <w:lang w:val="en-CA"/>
        </w:rPr>
        <w:tab/>
      </w:r>
      <w:r>
        <w:rPr>
          <w:i/>
          <w:iCs/>
          <w:lang w:val="en-CA"/>
        </w:rPr>
        <w:t xml:space="preserve">R. v. W.E.B., </w:t>
      </w:r>
      <w:r>
        <w:rPr>
          <w:lang w:val="en-CA"/>
        </w:rPr>
        <w:t>2014 SCC 2 at para</w:t>
      </w:r>
      <w:r w:rsidR="003D4A81">
        <w:rPr>
          <w:lang w:val="en-CA"/>
        </w:rPr>
        <w:t>.</w:t>
      </w:r>
      <w:r>
        <w:rPr>
          <w:lang w:val="en-CA"/>
        </w:rPr>
        <w:t xml:space="preserve"> 3.</w:t>
      </w:r>
    </w:p>
  </w:footnote>
  <w:footnote w:id="54">
    <w:p w14:paraId="2B744C46" w14:textId="54D70C4C" w:rsidR="0074285E" w:rsidRPr="00EA0A26" w:rsidRDefault="00F06516">
      <w:pPr>
        <w:pStyle w:val="Notedebasdepage"/>
        <w:rPr>
          <w:lang w:val="en-CA"/>
        </w:rPr>
      </w:pPr>
      <w:r>
        <w:rPr>
          <w:rStyle w:val="Appelnotedebasdep"/>
          <w:lang w:val="en-CA"/>
        </w:rPr>
        <w:footnoteRef/>
      </w:r>
      <w:r w:rsidRPr="00EA0A26">
        <w:rPr>
          <w:lang w:val="en-CA"/>
        </w:rPr>
        <w:t xml:space="preserve"> </w:t>
      </w:r>
      <w:r w:rsidRPr="00EA0A26">
        <w:rPr>
          <w:lang w:val="en-CA"/>
        </w:rPr>
        <w:tab/>
      </w:r>
      <w:proofErr w:type="spellStart"/>
      <w:r w:rsidRPr="00EA0A26">
        <w:rPr>
          <w:i/>
          <w:iCs/>
          <w:lang w:val="en-CA"/>
        </w:rPr>
        <w:t>Paiement</w:t>
      </w:r>
      <w:proofErr w:type="spellEnd"/>
      <w:r w:rsidRPr="00EA0A26">
        <w:rPr>
          <w:i/>
          <w:iCs/>
          <w:lang w:val="en-CA"/>
        </w:rPr>
        <w:t xml:space="preserve"> c. R.</w:t>
      </w:r>
      <w:r w:rsidRPr="00EA0A26">
        <w:rPr>
          <w:lang w:val="en-CA"/>
        </w:rPr>
        <w:t xml:space="preserve">, </w:t>
      </w:r>
      <w:r w:rsidR="00215D47" w:rsidRPr="00EA0A26">
        <w:rPr>
          <w:i/>
          <w:iCs/>
          <w:lang w:val="en-CA"/>
        </w:rPr>
        <w:t>supra</w:t>
      </w:r>
      <w:r w:rsidR="00215D47">
        <w:rPr>
          <w:i/>
          <w:iCs/>
          <w:lang w:val="en-CA"/>
        </w:rPr>
        <w:t xml:space="preserve"> </w:t>
      </w:r>
      <w:r w:rsidR="00215D47" w:rsidRPr="00EA0A26">
        <w:rPr>
          <w:lang w:val="en-CA"/>
        </w:rPr>
        <w:t>note</w:t>
      </w:r>
      <w:r w:rsidRPr="00EA0A26">
        <w:rPr>
          <w:lang w:val="en-CA"/>
        </w:rPr>
        <w:t xml:space="preserve"> 33</w:t>
      </w:r>
      <w:r w:rsidR="00160458">
        <w:rPr>
          <w:lang w:val="en-CA"/>
        </w:rPr>
        <w:t xml:space="preserve"> at</w:t>
      </w:r>
      <w:r w:rsidR="00160458" w:rsidRPr="00EA0A26">
        <w:rPr>
          <w:lang w:val="en-CA"/>
        </w:rPr>
        <w:t xml:space="preserve"> </w:t>
      </w:r>
      <w:r w:rsidRPr="00EA0A26">
        <w:rPr>
          <w:lang w:val="en-CA"/>
        </w:rPr>
        <w:t>para</w:t>
      </w:r>
      <w:r w:rsidR="003D4A81">
        <w:rPr>
          <w:lang w:val="en-CA"/>
        </w:rPr>
        <w:t>.</w:t>
      </w:r>
      <w:r w:rsidRPr="00EA0A26">
        <w:rPr>
          <w:lang w:val="en-CA"/>
        </w:rPr>
        <w:t xml:space="preserve"> 4.</w:t>
      </w:r>
    </w:p>
  </w:footnote>
  <w:footnote w:id="55">
    <w:p w14:paraId="1149CBB8" w14:textId="61A0C4F1" w:rsidR="005631ED" w:rsidRPr="0000341E" w:rsidRDefault="00F06516" w:rsidP="005631ED">
      <w:pPr>
        <w:pStyle w:val="Notedebasdepage"/>
        <w:rPr>
          <w:lang w:val="en-US"/>
        </w:rPr>
      </w:pPr>
      <w:r>
        <w:rPr>
          <w:rStyle w:val="Appelnotedebasdep"/>
          <w:lang w:val="en-CA"/>
        </w:rPr>
        <w:footnoteRef/>
      </w:r>
      <w:r>
        <w:rPr>
          <w:lang w:val="en-CA"/>
        </w:rPr>
        <w:t xml:space="preserve"> </w:t>
      </w:r>
      <w:r>
        <w:rPr>
          <w:lang w:val="en-CA"/>
        </w:rPr>
        <w:tab/>
        <w:t xml:space="preserve">Appellant’s testimony, transcript </w:t>
      </w:r>
      <w:r w:rsidR="00130FD9">
        <w:rPr>
          <w:lang w:val="en-CA"/>
        </w:rPr>
        <w:t xml:space="preserve">dated </w:t>
      </w:r>
      <w:r>
        <w:rPr>
          <w:lang w:val="en-CA"/>
        </w:rPr>
        <w:t>October 2, 2020, at 77 (A.B. at 955).</w:t>
      </w:r>
    </w:p>
  </w:footnote>
  <w:footnote w:id="56">
    <w:p w14:paraId="382B7568" w14:textId="11D3284B" w:rsidR="00EF20C6" w:rsidRPr="00D018EE" w:rsidRDefault="00F06516">
      <w:pPr>
        <w:pStyle w:val="Notedebasdepage"/>
        <w:rPr>
          <w:lang w:val="en-CA"/>
        </w:rPr>
      </w:pPr>
      <w:r>
        <w:rPr>
          <w:rStyle w:val="Appelnotedebasdep"/>
          <w:lang w:val="en-CA"/>
        </w:rPr>
        <w:footnoteRef/>
      </w:r>
      <w:r w:rsidRPr="00EA0A26">
        <w:rPr>
          <w:lang w:val="en-CA"/>
        </w:rPr>
        <w:t xml:space="preserve"> </w:t>
      </w:r>
      <w:r w:rsidRPr="00EA0A26">
        <w:rPr>
          <w:lang w:val="en-CA"/>
        </w:rPr>
        <w:tab/>
      </w:r>
      <w:r w:rsidRPr="00D018EE">
        <w:rPr>
          <w:lang w:val="en-CA"/>
        </w:rPr>
        <w:t xml:space="preserve">Surgical report of urologist Hares El Rami, Centre </w:t>
      </w:r>
      <w:proofErr w:type="spellStart"/>
      <w:r w:rsidRPr="00D018EE">
        <w:rPr>
          <w:lang w:val="en-CA"/>
        </w:rPr>
        <w:t>hospitalier</w:t>
      </w:r>
      <w:proofErr w:type="spellEnd"/>
      <w:r w:rsidRPr="00D018EE">
        <w:rPr>
          <w:lang w:val="en-CA"/>
        </w:rPr>
        <w:t xml:space="preserve"> Rouyn-Noranda, August 30–31, 2011.</w:t>
      </w:r>
    </w:p>
  </w:footnote>
  <w:footnote w:id="57">
    <w:p w14:paraId="348E177C" w14:textId="46FA7C90" w:rsidR="003415FD" w:rsidRPr="00EF4074" w:rsidRDefault="00F06516">
      <w:pPr>
        <w:pStyle w:val="Notedebasdepage"/>
      </w:pPr>
      <w:r w:rsidRPr="00D018EE">
        <w:rPr>
          <w:rStyle w:val="Appelnotedebasdep"/>
          <w:lang w:val="en-CA"/>
        </w:rPr>
        <w:footnoteRef/>
      </w:r>
      <w:r w:rsidRPr="00EF4074">
        <w:t xml:space="preserve"> </w:t>
      </w:r>
      <w:r w:rsidRPr="00EF4074">
        <w:tab/>
        <w:t xml:space="preserve">Report of </w:t>
      </w:r>
      <w:proofErr w:type="spellStart"/>
      <w:r w:rsidRPr="00EF4074">
        <w:t>pathologist</w:t>
      </w:r>
      <w:proofErr w:type="spellEnd"/>
      <w:r w:rsidRPr="00EF4074">
        <w:t xml:space="preserve"> Robert Nicholson, Centre de santé et de services sociaux de Rouyn-Noranda, </w:t>
      </w:r>
      <w:proofErr w:type="spellStart"/>
      <w:r w:rsidRPr="00EF4074">
        <w:t>September</w:t>
      </w:r>
      <w:proofErr w:type="spellEnd"/>
      <w:r w:rsidRPr="00EF4074">
        <w:t xml:space="preserve"> 23, 2011.</w:t>
      </w:r>
    </w:p>
  </w:footnote>
  <w:footnote w:id="58">
    <w:p w14:paraId="57366D44" w14:textId="6FB03427" w:rsidR="00CF27A9" w:rsidRPr="00D018EE" w:rsidRDefault="00F06516">
      <w:pPr>
        <w:pStyle w:val="Notedebasdepage"/>
        <w:rPr>
          <w:lang w:val="en-CA"/>
        </w:rPr>
      </w:pPr>
      <w:r w:rsidRPr="00D018EE">
        <w:rPr>
          <w:rStyle w:val="Appelnotedebasdep"/>
          <w:lang w:val="en-CA"/>
        </w:rPr>
        <w:footnoteRef/>
      </w:r>
      <w:r w:rsidRPr="00D018EE">
        <w:rPr>
          <w:lang w:val="en-CA"/>
        </w:rPr>
        <w:t xml:space="preserve"> </w:t>
      </w:r>
      <w:r w:rsidRPr="00D018EE">
        <w:rPr>
          <w:lang w:val="en-CA"/>
        </w:rPr>
        <w:tab/>
        <w:t xml:space="preserve">Cross-examination of the appellant, transcript </w:t>
      </w:r>
      <w:r w:rsidR="00A00B1F" w:rsidRPr="00D018EE">
        <w:rPr>
          <w:lang w:val="en-CA"/>
        </w:rPr>
        <w:t xml:space="preserve">dated </w:t>
      </w:r>
      <w:r w:rsidRPr="00D018EE">
        <w:rPr>
          <w:lang w:val="en-CA"/>
        </w:rPr>
        <w:t>July 8, 2022, at 20.</w:t>
      </w:r>
    </w:p>
  </w:footnote>
  <w:footnote w:id="59">
    <w:p w14:paraId="1D434DAC" w14:textId="76E88810" w:rsidR="004E795E" w:rsidRPr="00D018EE" w:rsidRDefault="00F06516">
      <w:pPr>
        <w:pStyle w:val="Notedebasdepage"/>
        <w:rPr>
          <w:lang w:val="en-CA"/>
        </w:rPr>
      </w:pPr>
      <w:r w:rsidRPr="00D018EE">
        <w:rPr>
          <w:rStyle w:val="Appelnotedebasdep"/>
          <w:lang w:val="en-CA"/>
        </w:rPr>
        <w:footnoteRef/>
      </w:r>
      <w:r w:rsidRPr="00D018EE">
        <w:rPr>
          <w:lang w:val="en-CA"/>
        </w:rPr>
        <w:t xml:space="preserve"> </w:t>
      </w:r>
      <w:r w:rsidRPr="00D018EE">
        <w:rPr>
          <w:lang w:val="en-CA"/>
        </w:rPr>
        <w:tab/>
      </w:r>
      <w:r w:rsidR="006130E8" w:rsidRPr="006130E8">
        <w:rPr>
          <w:i/>
          <w:iCs/>
          <w:lang w:val="en-CA"/>
        </w:rPr>
        <w:t>I</w:t>
      </w:r>
      <w:r w:rsidR="00EF4074">
        <w:rPr>
          <w:i/>
          <w:iCs/>
          <w:lang w:val="en-CA"/>
        </w:rPr>
        <w:t>d.,</w:t>
      </w:r>
      <w:r w:rsidRPr="00D018EE">
        <w:rPr>
          <w:lang w:val="en-CA"/>
        </w:rPr>
        <w:t xml:space="preserve"> at 18 and 62–63.</w:t>
      </w:r>
    </w:p>
  </w:footnote>
  <w:footnote w:id="60">
    <w:p w14:paraId="5E67BD17" w14:textId="1BD3BC26" w:rsidR="008711C4" w:rsidRPr="00D018EE" w:rsidRDefault="00F06516">
      <w:pPr>
        <w:pStyle w:val="Notedebasdepage"/>
        <w:rPr>
          <w:lang w:val="en-CA"/>
        </w:rPr>
      </w:pPr>
      <w:r w:rsidRPr="00D018EE">
        <w:rPr>
          <w:rStyle w:val="Appelnotedebasdep"/>
          <w:lang w:val="en-CA"/>
        </w:rPr>
        <w:footnoteRef/>
      </w:r>
      <w:r w:rsidRPr="00D018EE">
        <w:rPr>
          <w:lang w:val="en-CA"/>
        </w:rPr>
        <w:t xml:space="preserve"> </w:t>
      </w:r>
      <w:r w:rsidRPr="00D018EE">
        <w:rPr>
          <w:lang w:val="en-CA"/>
        </w:rPr>
        <w:tab/>
        <w:t xml:space="preserve">Cross-examination of X, transcript </w:t>
      </w:r>
      <w:r w:rsidR="00A00B1F" w:rsidRPr="00D018EE">
        <w:rPr>
          <w:lang w:val="en-CA"/>
        </w:rPr>
        <w:t xml:space="preserve">dated </w:t>
      </w:r>
      <w:r w:rsidRPr="00D018EE">
        <w:rPr>
          <w:lang w:val="en-CA"/>
        </w:rPr>
        <w:t>June 3, 2020, at 298–300 (A.B. at 553–555).</w:t>
      </w:r>
    </w:p>
  </w:footnote>
  <w:footnote w:id="61">
    <w:p w14:paraId="79D68225" w14:textId="1F5274D7" w:rsidR="007F432E" w:rsidRPr="00D018EE" w:rsidRDefault="00F06516">
      <w:pPr>
        <w:pStyle w:val="Notedebasdepage"/>
        <w:rPr>
          <w:lang w:val="en-CA"/>
        </w:rPr>
      </w:pPr>
      <w:r w:rsidRPr="00D018EE">
        <w:rPr>
          <w:rStyle w:val="Appelnotedebasdep"/>
          <w:lang w:val="en-CA"/>
        </w:rPr>
        <w:footnoteRef/>
      </w:r>
      <w:r w:rsidRPr="00D018EE">
        <w:rPr>
          <w:lang w:val="en-CA"/>
        </w:rPr>
        <w:t xml:space="preserve"> </w:t>
      </w:r>
      <w:r w:rsidRPr="00D018EE">
        <w:rPr>
          <w:lang w:val="en-CA"/>
        </w:rPr>
        <w:tab/>
        <w:t xml:space="preserve">Cross-examination of S. S., transcript </w:t>
      </w:r>
      <w:r w:rsidR="00A00B1F" w:rsidRPr="00D018EE">
        <w:rPr>
          <w:lang w:val="en-CA"/>
        </w:rPr>
        <w:t xml:space="preserve">dated </w:t>
      </w:r>
      <w:r w:rsidRPr="00D018EE">
        <w:rPr>
          <w:lang w:val="en-CA"/>
        </w:rPr>
        <w:t>June 4, 2020, at 264–67 (A.B. at 864–867).</w:t>
      </w:r>
    </w:p>
  </w:footnote>
  <w:footnote w:id="62">
    <w:p w14:paraId="1CEFE16E" w14:textId="7AE7C52C" w:rsidR="00FD0F07" w:rsidRPr="0000341E" w:rsidRDefault="00F06516">
      <w:pPr>
        <w:pStyle w:val="Notedebasdepage"/>
        <w:rPr>
          <w:lang w:val="en-US"/>
        </w:rPr>
      </w:pPr>
      <w:r>
        <w:rPr>
          <w:rStyle w:val="Appelnotedebasdep"/>
          <w:lang w:val="en-CA"/>
        </w:rPr>
        <w:footnoteRef/>
      </w:r>
      <w:r>
        <w:rPr>
          <w:lang w:val="en-CA"/>
        </w:rPr>
        <w:t xml:space="preserve"> </w:t>
      </w:r>
      <w:r>
        <w:rPr>
          <w:lang w:val="en-CA"/>
        </w:rPr>
        <w:tab/>
        <w:t>X, transcript</w:t>
      </w:r>
      <w:r w:rsidR="00257147">
        <w:rPr>
          <w:lang w:val="en-CA"/>
        </w:rPr>
        <w:t xml:space="preserve"> dated</w:t>
      </w:r>
      <w:r>
        <w:rPr>
          <w:lang w:val="en-CA"/>
        </w:rPr>
        <w:t xml:space="preserve"> June 3, 2020, at 298–300 (A.B. at 553–555); S. S., transcript </w:t>
      </w:r>
      <w:r w:rsidR="00257147">
        <w:rPr>
          <w:lang w:val="en-CA"/>
        </w:rPr>
        <w:t xml:space="preserve">dated </w:t>
      </w:r>
      <w:r w:rsidR="00F154F5">
        <w:rPr>
          <w:lang w:val="en-CA"/>
        </w:rPr>
        <w:t>June 4</w:t>
      </w:r>
      <w:r>
        <w:rPr>
          <w:lang w:val="en-CA"/>
        </w:rPr>
        <w:t>, 2020, at 264–66 (A.B. at 864–866).</w:t>
      </w:r>
    </w:p>
  </w:footnote>
  <w:footnote w:id="63">
    <w:p w14:paraId="456E4066" w14:textId="61A8B732" w:rsidR="00CB0CF5" w:rsidRPr="0000341E" w:rsidRDefault="00F06516">
      <w:pPr>
        <w:pStyle w:val="Notedebasdepage"/>
        <w:rPr>
          <w:lang w:val="en-US"/>
        </w:rPr>
      </w:pPr>
      <w:r>
        <w:rPr>
          <w:rStyle w:val="Appelnotedebasdep"/>
          <w:lang w:val="en-CA"/>
        </w:rPr>
        <w:footnoteRef/>
      </w:r>
      <w:r>
        <w:rPr>
          <w:lang w:val="en-CA"/>
        </w:rPr>
        <w:t xml:space="preserve"> </w:t>
      </w:r>
      <w:r>
        <w:rPr>
          <w:lang w:val="en-CA"/>
        </w:rPr>
        <w:tab/>
        <w:t xml:space="preserve">Sworn statement </w:t>
      </w:r>
      <w:r w:rsidR="00FE4AD8">
        <w:rPr>
          <w:lang w:val="en-CA"/>
        </w:rPr>
        <w:t xml:space="preserve">by </w:t>
      </w:r>
      <w:r>
        <w:rPr>
          <w:lang w:val="en-CA"/>
        </w:rPr>
        <w:t>the appellant’s former counsel, May 11, 2022, at para</w:t>
      </w:r>
      <w:r w:rsidR="003D4A81">
        <w:rPr>
          <w:lang w:val="en-CA"/>
        </w:rPr>
        <w:t>.</w:t>
      </w:r>
      <w:r>
        <w:rPr>
          <w:lang w:val="en-CA"/>
        </w:rPr>
        <w:t xml:space="preserve"> 41 (reproduced </w:t>
      </w:r>
      <w:r w:rsidR="00FE4AD8">
        <w:rPr>
          <w:lang w:val="en-CA"/>
        </w:rPr>
        <w:t>above</w:t>
      </w:r>
      <w:r>
        <w:rPr>
          <w:lang w:val="en-CA"/>
        </w:rPr>
        <w:t xml:space="preserve"> at para</w:t>
      </w:r>
      <w:r w:rsidR="003D4A81">
        <w:rPr>
          <w:lang w:val="en-CA"/>
        </w:rPr>
        <w:t>.</w:t>
      </w:r>
      <w:r>
        <w:rPr>
          <w:lang w:val="en-CA"/>
        </w:rPr>
        <w:t xml:space="preserve"> 78).</w:t>
      </w:r>
    </w:p>
  </w:footnote>
  <w:footnote w:id="64">
    <w:p w14:paraId="75E89D29" w14:textId="47742E22" w:rsidR="008B60D3" w:rsidRPr="0000341E" w:rsidRDefault="00F06516">
      <w:pPr>
        <w:pStyle w:val="Notedebasdepage"/>
        <w:rPr>
          <w:lang w:val="en-US"/>
        </w:rPr>
      </w:pPr>
      <w:r>
        <w:rPr>
          <w:rStyle w:val="Appelnotedebasdep"/>
          <w:lang w:val="en-CA"/>
        </w:rPr>
        <w:footnoteRef/>
      </w:r>
      <w:r>
        <w:rPr>
          <w:lang w:val="en-CA"/>
        </w:rPr>
        <w:t xml:space="preserve"> </w:t>
      </w:r>
      <w:r>
        <w:rPr>
          <w:lang w:val="en-CA"/>
        </w:rPr>
        <w:tab/>
        <w:t>In fact, the next date was October 16, 2020.</w:t>
      </w:r>
    </w:p>
  </w:footnote>
  <w:footnote w:id="65">
    <w:p w14:paraId="1F8FAB3D" w14:textId="7EC7BBF2" w:rsidR="005B6399" w:rsidRPr="0000341E" w:rsidRDefault="00F06516">
      <w:pPr>
        <w:pStyle w:val="Notedebasdepage"/>
        <w:rPr>
          <w:lang w:val="en-US"/>
        </w:rPr>
      </w:pPr>
      <w:r>
        <w:rPr>
          <w:rStyle w:val="Appelnotedebasdep"/>
          <w:lang w:val="en-CA"/>
        </w:rPr>
        <w:footnoteRef/>
      </w:r>
      <w:r>
        <w:rPr>
          <w:lang w:val="en-CA"/>
        </w:rPr>
        <w:t xml:space="preserve"> </w:t>
      </w:r>
      <w:r>
        <w:rPr>
          <w:lang w:val="en-CA"/>
        </w:rPr>
        <w:tab/>
        <w:t xml:space="preserve">Cross-examination of the appellant’s former counsel, transcript </w:t>
      </w:r>
      <w:r w:rsidR="00615899">
        <w:rPr>
          <w:lang w:val="en-CA"/>
        </w:rPr>
        <w:t xml:space="preserve">dated </w:t>
      </w:r>
      <w:r>
        <w:rPr>
          <w:lang w:val="en-CA"/>
        </w:rPr>
        <w:t>July 8, 2022, at 101.</w:t>
      </w:r>
    </w:p>
  </w:footnote>
  <w:footnote w:id="66">
    <w:p w14:paraId="6F842285" w14:textId="3FC5547D" w:rsidR="004B7449" w:rsidRPr="0000341E" w:rsidRDefault="00F06516" w:rsidP="004B7449">
      <w:pPr>
        <w:pStyle w:val="Notedebasdepage"/>
        <w:rPr>
          <w:lang w:val="en-US"/>
        </w:rPr>
      </w:pPr>
      <w:r>
        <w:rPr>
          <w:rStyle w:val="Appelnotedebasdep"/>
          <w:lang w:val="en-CA"/>
        </w:rPr>
        <w:footnoteRef/>
      </w:r>
      <w:r>
        <w:rPr>
          <w:lang w:val="en-CA"/>
        </w:rPr>
        <w:t xml:space="preserve"> </w:t>
      </w:r>
      <w:r>
        <w:rPr>
          <w:lang w:val="en-CA"/>
        </w:rPr>
        <w:tab/>
        <w:t xml:space="preserve">Sworn statement </w:t>
      </w:r>
      <w:r w:rsidR="00615899">
        <w:rPr>
          <w:lang w:val="en-CA"/>
        </w:rPr>
        <w:t xml:space="preserve">by </w:t>
      </w:r>
      <w:r>
        <w:rPr>
          <w:lang w:val="en-CA"/>
        </w:rPr>
        <w:t>the appellant’s former counsel, May 11, 2022, at para</w:t>
      </w:r>
      <w:r w:rsidR="003D4A81">
        <w:rPr>
          <w:lang w:val="en-CA"/>
        </w:rPr>
        <w:t>.</w:t>
      </w:r>
      <w:r>
        <w:rPr>
          <w:lang w:val="en-CA"/>
        </w:rPr>
        <w:t xml:space="preserve"> 41 (reproduced</w:t>
      </w:r>
      <w:r w:rsidR="00615899">
        <w:rPr>
          <w:lang w:val="en-CA"/>
        </w:rPr>
        <w:t xml:space="preserve"> above</w:t>
      </w:r>
      <w:r>
        <w:rPr>
          <w:lang w:val="en-CA"/>
        </w:rPr>
        <w:t xml:space="preserve"> at para</w:t>
      </w:r>
      <w:r w:rsidR="003D4A81">
        <w:rPr>
          <w:lang w:val="en-CA"/>
        </w:rPr>
        <w:t>.</w:t>
      </w:r>
      <w:r>
        <w:rPr>
          <w:lang w:val="en-CA"/>
        </w:rPr>
        <w:t xml:space="preserve"> [78]).</w:t>
      </w:r>
    </w:p>
  </w:footnote>
  <w:footnote w:id="67">
    <w:p w14:paraId="09D715CA" w14:textId="2188C20E" w:rsidR="00645974" w:rsidRPr="0000341E" w:rsidRDefault="00F06516">
      <w:pPr>
        <w:pStyle w:val="Notedebasdepage"/>
        <w:rPr>
          <w:lang w:val="en-US"/>
        </w:rPr>
      </w:pPr>
      <w:r>
        <w:rPr>
          <w:rStyle w:val="Appelnotedebasdep"/>
          <w:lang w:val="en-CA"/>
        </w:rPr>
        <w:footnoteRef/>
      </w:r>
      <w:r>
        <w:rPr>
          <w:lang w:val="en-CA"/>
        </w:rPr>
        <w:t xml:space="preserve"> </w:t>
      </w:r>
      <w:r>
        <w:rPr>
          <w:lang w:val="en-CA"/>
        </w:rPr>
        <w:tab/>
        <w:t xml:space="preserve">Cross-examination of the appellant, transcript </w:t>
      </w:r>
      <w:r w:rsidR="000B0670">
        <w:rPr>
          <w:lang w:val="en-CA"/>
        </w:rPr>
        <w:t>dated</w:t>
      </w:r>
      <w:r>
        <w:rPr>
          <w:lang w:val="en-CA"/>
        </w:rPr>
        <w:t xml:space="preserve"> July 8, 2020, at 23.</w:t>
      </w:r>
    </w:p>
  </w:footnote>
  <w:footnote w:id="68">
    <w:p w14:paraId="7AB03DEC" w14:textId="2801EDB8" w:rsidR="00D96013" w:rsidRPr="0000341E" w:rsidRDefault="00F06516">
      <w:pPr>
        <w:pStyle w:val="Notedebasdepage"/>
        <w:rPr>
          <w:lang w:val="en-US"/>
        </w:rPr>
      </w:pPr>
      <w:r>
        <w:rPr>
          <w:rStyle w:val="Appelnotedebasdep"/>
          <w:lang w:val="en-CA"/>
        </w:rPr>
        <w:footnoteRef/>
      </w:r>
      <w:r>
        <w:rPr>
          <w:lang w:val="en-CA"/>
        </w:rPr>
        <w:t xml:space="preserve"> </w:t>
      </w:r>
      <w:r>
        <w:rPr>
          <w:lang w:val="en-CA"/>
        </w:rPr>
        <w:tab/>
        <w:t xml:space="preserve">In this regard, it should be noted that, according to the judgment, plaintiff Y saw the appellant </w:t>
      </w:r>
      <w:r w:rsidR="00E70E18">
        <w:rPr>
          <w:lang w:val="en-CA"/>
        </w:rPr>
        <w:t xml:space="preserve">only </w:t>
      </w:r>
      <w:r>
        <w:rPr>
          <w:lang w:val="en-CA"/>
        </w:rPr>
        <w:t xml:space="preserve">once, after 2010, on an unknown date (when she was between 13 and 19 years old), </w:t>
      </w:r>
      <w:r w:rsidR="00E70E18">
        <w:rPr>
          <w:lang w:val="en-CA"/>
        </w:rPr>
        <w:t>but not</w:t>
      </w:r>
      <w:r>
        <w:rPr>
          <w:lang w:val="en-CA"/>
        </w:rPr>
        <w:t xml:space="preserve"> up close (while he was masturbating).</w:t>
      </w:r>
    </w:p>
  </w:footnote>
  <w:footnote w:id="69">
    <w:p w14:paraId="24B7C0B7" w14:textId="20158ADD" w:rsidR="00A31D1A" w:rsidRPr="0000341E" w:rsidRDefault="00F06516">
      <w:pPr>
        <w:pStyle w:val="Notedebasdepage"/>
        <w:rPr>
          <w:lang w:val="en-US"/>
        </w:rPr>
      </w:pPr>
      <w:r>
        <w:rPr>
          <w:rStyle w:val="Appelnotedebasdep"/>
          <w:lang w:val="en-CA"/>
        </w:rPr>
        <w:footnoteRef/>
      </w:r>
      <w:r>
        <w:rPr>
          <w:lang w:val="en-CA"/>
        </w:rPr>
        <w:t xml:space="preserve"> </w:t>
      </w:r>
      <w:r>
        <w:rPr>
          <w:lang w:val="en-CA"/>
        </w:rPr>
        <w:tab/>
      </w:r>
      <w:r w:rsidR="00C64503">
        <w:rPr>
          <w:lang w:val="en-CA"/>
        </w:rPr>
        <w:t xml:space="preserve">X’s written </w:t>
      </w:r>
      <w:r>
        <w:rPr>
          <w:lang w:val="en-CA"/>
        </w:rPr>
        <w:t xml:space="preserve">statement to Officer Martin </w:t>
      </w:r>
      <w:proofErr w:type="spellStart"/>
      <w:r>
        <w:rPr>
          <w:lang w:val="en-CA"/>
        </w:rPr>
        <w:t>Désilets</w:t>
      </w:r>
      <w:proofErr w:type="spellEnd"/>
      <w:r>
        <w:rPr>
          <w:lang w:val="en-CA"/>
        </w:rPr>
        <w:t>, November 27, 2017.</w:t>
      </w:r>
    </w:p>
  </w:footnote>
  <w:footnote w:id="70">
    <w:p w14:paraId="79836E40" w14:textId="757CF8B4" w:rsidR="00F35585" w:rsidRPr="0000341E" w:rsidRDefault="00F06516" w:rsidP="00F35585">
      <w:pPr>
        <w:pStyle w:val="Notedebasdepage"/>
        <w:rPr>
          <w:lang w:val="en-US"/>
        </w:rPr>
      </w:pPr>
      <w:r>
        <w:rPr>
          <w:rStyle w:val="Appelnotedebasdep"/>
          <w:lang w:val="en-CA"/>
        </w:rPr>
        <w:footnoteRef/>
      </w:r>
      <w:r>
        <w:rPr>
          <w:lang w:val="en-CA"/>
        </w:rPr>
        <w:t xml:space="preserve"> </w:t>
      </w:r>
      <w:r>
        <w:rPr>
          <w:lang w:val="en-CA"/>
        </w:rPr>
        <w:tab/>
        <w:t xml:space="preserve">Cross-examination of the appellant, transcript </w:t>
      </w:r>
      <w:r w:rsidR="009E525D">
        <w:rPr>
          <w:lang w:val="en-CA"/>
        </w:rPr>
        <w:t xml:space="preserve">dated </w:t>
      </w:r>
      <w:r>
        <w:rPr>
          <w:lang w:val="en-CA"/>
        </w:rPr>
        <w:t>July 8, 2022, at 25, 32, 37, 38 and 52–53.</w:t>
      </w:r>
    </w:p>
  </w:footnote>
  <w:footnote w:id="71">
    <w:p w14:paraId="72AD68CB" w14:textId="565E08FA" w:rsidR="00DF6CE5" w:rsidRPr="0000341E" w:rsidRDefault="00F06516" w:rsidP="00DF6CE5">
      <w:pPr>
        <w:pStyle w:val="Notedebasdepage"/>
        <w:rPr>
          <w:lang w:val="en-US"/>
        </w:rPr>
      </w:pPr>
      <w:r>
        <w:rPr>
          <w:rStyle w:val="Appelnotedebasdep"/>
          <w:lang w:val="en-CA"/>
        </w:rPr>
        <w:footnoteRef/>
      </w:r>
      <w:r>
        <w:rPr>
          <w:lang w:val="en-CA"/>
        </w:rPr>
        <w:t xml:space="preserve"> </w:t>
      </w:r>
      <w:r>
        <w:rPr>
          <w:lang w:val="en-CA"/>
        </w:rPr>
        <w:tab/>
        <w:t xml:space="preserve">Sworn statement from the appellant’s former counsel, May 11, 2022, at paras 32–38. See also the cross-examination of the appellant’s former counsel, transcript </w:t>
      </w:r>
      <w:r w:rsidR="009E525D">
        <w:rPr>
          <w:lang w:val="en-CA"/>
        </w:rPr>
        <w:t xml:space="preserve">dated </w:t>
      </w:r>
      <w:r>
        <w:rPr>
          <w:lang w:val="en-CA"/>
        </w:rPr>
        <w:t>July 8, 2022, at 102–104.</w:t>
      </w:r>
    </w:p>
  </w:footnote>
  <w:footnote w:id="72">
    <w:p w14:paraId="02A605E4" w14:textId="277403CB" w:rsidR="00F35585" w:rsidRPr="0000341E" w:rsidRDefault="00F06516" w:rsidP="00F35585">
      <w:pPr>
        <w:pStyle w:val="Notedebasdepage"/>
        <w:rPr>
          <w:lang w:val="en-US"/>
        </w:rPr>
      </w:pPr>
      <w:r>
        <w:rPr>
          <w:rStyle w:val="Appelnotedebasdep"/>
          <w:lang w:val="en-CA"/>
        </w:rPr>
        <w:footnoteRef/>
      </w:r>
      <w:r>
        <w:rPr>
          <w:lang w:val="en-CA"/>
        </w:rPr>
        <w:t xml:space="preserve"> </w:t>
      </w:r>
      <w:r>
        <w:rPr>
          <w:lang w:val="en-CA"/>
        </w:rPr>
        <w:tab/>
        <w:t xml:space="preserve">Cross-examination of the appellant, transcript </w:t>
      </w:r>
      <w:r w:rsidR="009E525D">
        <w:rPr>
          <w:lang w:val="en-CA"/>
        </w:rPr>
        <w:t xml:space="preserve">dated </w:t>
      </w:r>
      <w:r>
        <w:rPr>
          <w:lang w:val="en-CA"/>
        </w:rPr>
        <w:t>July 8, 20</w:t>
      </w:r>
      <w:r w:rsidR="009E525D">
        <w:rPr>
          <w:lang w:val="en-CA"/>
        </w:rPr>
        <w:t>[2]</w:t>
      </w:r>
      <w:r>
        <w:rPr>
          <w:lang w:val="en-CA"/>
        </w:rPr>
        <w:t>2, at 32.</w:t>
      </w:r>
    </w:p>
  </w:footnote>
  <w:footnote w:id="73">
    <w:p w14:paraId="0CDE8DA7" w14:textId="51B8C253" w:rsidR="00BC71FC" w:rsidRPr="0000341E" w:rsidRDefault="00F06516" w:rsidP="00BC71FC">
      <w:pPr>
        <w:pStyle w:val="Notedebasdepage"/>
        <w:rPr>
          <w:lang w:val="en-US"/>
        </w:rPr>
      </w:pPr>
      <w:r>
        <w:rPr>
          <w:rStyle w:val="Appelnotedebasdep"/>
          <w:lang w:val="en-CA"/>
        </w:rPr>
        <w:footnoteRef/>
      </w:r>
      <w:r>
        <w:rPr>
          <w:lang w:val="en-CA"/>
        </w:rPr>
        <w:t xml:space="preserve"> </w:t>
      </w:r>
      <w:r>
        <w:rPr>
          <w:lang w:val="en-CA"/>
        </w:rPr>
        <w:tab/>
      </w:r>
      <w:r w:rsidR="006130E8" w:rsidRPr="006130E8">
        <w:rPr>
          <w:i/>
          <w:iCs/>
          <w:lang w:val="en-CA"/>
        </w:rPr>
        <w:t>I</w:t>
      </w:r>
      <w:r w:rsidR="00EF4074">
        <w:rPr>
          <w:i/>
          <w:iCs/>
          <w:lang w:val="en-CA"/>
        </w:rPr>
        <w:t>d.,</w:t>
      </w:r>
      <w:r>
        <w:rPr>
          <w:i/>
          <w:iCs/>
          <w:lang w:val="en-CA"/>
        </w:rPr>
        <w:t xml:space="preserve"> </w:t>
      </w:r>
      <w:r>
        <w:rPr>
          <w:lang w:val="en-CA"/>
        </w:rPr>
        <w:t>at 33–37.</w:t>
      </w:r>
    </w:p>
  </w:footnote>
  <w:footnote w:id="74">
    <w:p w14:paraId="50ED06D9" w14:textId="28C24C67" w:rsidR="00BC71FC" w:rsidRPr="0000341E" w:rsidRDefault="00F06516" w:rsidP="00BC71FC">
      <w:pPr>
        <w:pStyle w:val="Notedebasdepage"/>
        <w:rPr>
          <w:lang w:val="en-US"/>
        </w:rPr>
      </w:pPr>
      <w:r>
        <w:rPr>
          <w:rStyle w:val="Appelnotedebasdep"/>
          <w:lang w:val="en-CA"/>
        </w:rPr>
        <w:footnoteRef/>
      </w:r>
      <w:r>
        <w:rPr>
          <w:lang w:val="en-CA"/>
        </w:rPr>
        <w:t xml:space="preserve"> </w:t>
      </w:r>
      <w:r>
        <w:rPr>
          <w:lang w:val="en-CA"/>
        </w:rPr>
        <w:tab/>
        <w:t xml:space="preserve">Cross-examination of the appellant’s former counsel, transcript </w:t>
      </w:r>
      <w:r w:rsidR="00BF0207">
        <w:rPr>
          <w:lang w:val="en-CA"/>
        </w:rPr>
        <w:t xml:space="preserve">dated </w:t>
      </w:r>
      <w:r>
        <w:rPr>
          <w:lang w:val="en-CA"/>
        </w:rPr>
        <w:t>July 8, 2022, at 86.</w:t>
      </w:r>
    </w:p>
  </w:footnote>
  <w:footnote w:id="75">
    <w:p w14:paraId="302CA21A" w14:textId="1DD06629" w:rsidR="00BC71FC" w:rsidRPr="0000341E" w:rsidRDefault="00F06516" w:rsidP="00BC71FC">
      <w:pPr>
        <w:pStyle w:val="Notedebasdepage"/>
        <w:rPr>
          <w:lang w:val="en-US"/>
        </w:rPr>
      </w:pPr>
      <w:r>
        <w:rPr>
          <w:rStyle w:val="Appelnotedebasdep"/>
          <w:lang w:val="en-CA"/>
        </w:rPr>
        <w:footnoteRef/>
      </w:r>
      <w:r>
        <w:rPr>
          <w:lang w:val="en-CA"/>
        </w:rPr>
        <w:t xml:space="preserve"> </w:t>
      </w:r>
      <w:r>
        <w:rPr>
          <w:lang w:val="en-CA"/>
        </w:rPr>
        <w:tab/>
        <w:t xml:space="preserve">Sworn statement </w:t>
      </w:r>
      <w:r w:rsidR="00BF0207">
        <w:rPr>
          <w:lang w:val="en-CA"/>
        </w:rPr>
        <w:t xml:space="preserve">by </w:t>
      </w:r>
      <w:r>
        <w:rPr>
          <w:lang w:val="en-CA"/>
        </w:rPr>
        <w:t>the appellant’s former counsel, May 11, 2022, at para</w:t>
      </w:r>
      <w:r w:rsidR="003D4A81">
        <w:rPr>
          <w:lang w:val="en-CA"/>
        </w:rPr>
        <w:t>.</w:t>
      </w:r>
      <w:r>
        <w:rPr>
          <w:lang w:val="en-CA"/>
        </w:rPr>
        <w:t xml:space="preserve"> 35.</w:t>
      </w:r>
    </w:p>
  </w:footnote>
  <w:footnote w:id="76">
    <w:p w14:paraId="6BCF97B7" w14:textId="4B4AA443" w:rsidR="00D31719" w:rsidRPr="0000341E" w:rsidRDefault="00F06516">
      <w:pPr>
        <w:pStyle w:val="Notedebasdepage"/>
        <w:rPr>
          <w:lang w:val="en-US"/>
        </w:rPr>
      </w:pPr>
      <w:r>
        <w:rPr>
          <w:rStyle w:val="Appelnotedebasdep"/>
          <w:lang w:val="en-CA"/>
        </w:rPr>
        <w:footnoteRef/>
      </w:r>
      <w:r>
        <w:rPr>
          <w:lang w:val="en-CA"/>
        </w:rPr>
        <w:t xml:space="preserve"> </w:t>
      </w:r>
      <w:r>
        <w:rPr>
          <w:lang w:val="en-CA"/>
        </w:rPr>
        <w:tab/>
        <w:t xml:space="preserve">Cross-examination of the appellant’s former counsel, transcript </w:t>
      </w:r>
      <w:r w:rsidR="00BF0207">
        <w:rPr>
          <w:lang w:val="en-CA"/>
        </w:rPr>
        <w:t xml:space="preserve">dated </w:t>
      </w:r>
      <w:r>
        <w:rPr>
          <w:lang w:val="en-CA"/>
        </w:rPr>
        <w:t>July 8, 2022, at 84–85.</w:t>
      </w:r>
    </w:p>
  </w:footnote>
  <w:footnote w:id="77">
    <w:p w14:paraId="264C8DF2" w14:textId="3803D560" w:rsidR="00D31719" w:rsidRPr="0000341E" w:rsidRDefault="00F06516">
      <w:pPr>
        <w:pStyle w:val="Notedebasdepage"/>
        <w:rPr>
          <w:lang w:val="en-US"/>
        </w:rPr>
      </w:pPr>
      <w:r>
        <w:rPr>
          <w:rStyle w:val="Appelnotedebasdep"/>
          <w:lang w:val="en-CA"/>
        </w:rPr>
        <w:footnoteRef/>
      </w:r>
      <w:r>
        <w:rPr>
          <w:lang w:val="en-CA"/>
        </w:rPr>
        <w:t xml:space="preserve"> </w:t>
      </w:r>
      <w:r>
        <w:rPr>
          <w:lang w:val="en-CA"/>
        </w:rPr>
        <w:tab/>
      </w:r>
      <w:r w:rsidR="006130E8" w:rsidRPr="006130E8">
        <w:rPr>
          <w:i/>
          <w:iCs/>
          <w:lang w:val="en-CA"/>
        </w:rPr>
        <w:t>Id</w:t>
      </w:r>
      <w:r w:rsidR="00EF4074">
        <w:rPr>
          <w:i/>
          <w:iCs/>
          <w:lang w:val="en-CA"/>
        </w:rPr>
        <w:t>.,</w:t>
      </w:r>
      <w:r>
        <w:rPr>
          <w:lang w:val="en-CA"/>
        </w:rPr>
        <w:t xml:space="preserve"> at 85.</w:t>
      </w:r>
    </w:p>
  </w:footnote>
  <w:footnote w:id="78">
    <w:p w14:paraId="6E41CFBA" w14:textId="061D9AF2" w:rsidR="00DF6CE5" w:rsidRPr="0000341E" w:rsidRDefault="00F06516">
      <w:pPr>
        <w:pStyle w:val="Notedebasdepage"/>
        <w:rPr>
          <w:lang w:val="en-US"/>
        </w:rPr>
      </w:pPr>
      <w:r>
        <w:rPr>
          <w:rStyle w:val="Appelnotedebasdep"/>
          <w:lang w:val="en-CA"/>
        </w:rPr>
        <w:footnoteRef/>
      </w:r>
      <w:r>
        <w:rPr>
          <w:lang w:val="en-CA"/>
        </w:rPr>
        <w:t xml:space="preserve"> </w:t>
      </w:r>
      <w:r>
        <w:rPr>
          <w:lang w:val="en-CA"/>
        </w:rPr>
        <w:tab/>
      </w:r>
      <w:r w:rsidR="006130E8" w:rsidRPr="006130E8">
        <w:rPr>
          <w:i/>
          <w:iCs/>
          <w:lang w:val="en-CA"/>
        </w:rPr>
        <w:t>I</w:t>
      </w:r>
      <w:r w:rsidR="00EF4074">
        <w:rPr>
          <w:i/>
          <w:iCs/>
          <w:lang w:val="en-CA"/>
        </w:rPr>
        <w:t>d.,</w:t>
      </w:r>
      <w:r>
        <w:rPr>
          <w:lang w:val="en-CA"/>
        </w:rPr>
        <w:t xml:space="preserve"> at 86.</w:t>
      </w:r>
    </w:p>
  </w:footnote>
  <w:footnote w:id="79">
    <w:p w14:paraId="1EC779A0" w14:textId="10470BB1" w:rsidR="005805EE" w:rsidRPr="0000341E" w:rsidRDefault="00F06516">
      <w:pPr>
        <w:pStyle w:val="Notedebasdepage"/>
        <w:rPr>
          <w:lang w:val="en-US"/>
        </w:rPr>
      </w:pPr>
      <w:r>
        <w:rPr>
          <w:rStyle w:val="Appelnotedebasdep"/>
          <w:lang w:val="en-CA"/>
        </w:rPr>
        <w:footnoteRef/>
      </w:r>
      <w:r>
        <w:rPr>
          <w:lang w:val="en-CA"/>
        </w:rPr>
        <w:t xml:space="preserve"> </w:t>
      </w:r>
      <w:r>
        <w:rPr>
          <w:lang w:val="en-CA"/>
        </w:rPr>
        <w:tab/>
      </w:r>
      <w:r>
        <w:rPr>
          <w:i/>
          <w:iCs/>
          <w:lang w:val="en-CA"/>
        </w:rPr>
        <w:t xml:space="preserve">R. v. </w:t>
      </w:r>
      <w:proofErr w:type="spellStart"/>
      <w:r>
        <w:rPr>
          <w:i/>
          <w:iCs/>
          <w:lang w:val="en-CA"/>
        </w:rPr>
        <w:t>G.D.B</w:t>
      </w:r>
      <w:proofErr w:type="spellEnd"/>
      <w:r>
        <w:rPr>
          <w:i/>
          <w:iCs/>
          <w:lang w:val="en-CA"/>
        </w:rPr>
        <w:t>.</w:t>
      </w:r>
      <w:r>
        <w:rPr>
          <w:lang w:val="en-CA"/>
        </w:rPr>
        <w:t xml:space="preserve">, </w:t>
      </w:r>
      <w:r>
        <w:rPr>
          <w:i/>
          <w:iCs/>
          <w:lang w:val="en-CA"/>
        </w:rPr>
        <w:t>supra</w:t>
      </w:r>
      <w:r>
        <w:rPr>
          <w:lang w:val="en-CA"/>
        </w:rPr>
        <w:t xml:space="preserve"> note 29</w:t>
      </w:r>
      <w:r w:rsidR="00BF0207">
        <w:rPr>
          <w:lang w:val="en-CA"/>
        </w:rPr>
        <w:t xml:space="preserve"> at </w:t>
      </w:r>
      <w:r>
        <w:rPr>
          <w:lang w:val="en-CA"/>
        </w:rPr>
        <w:t>para</w:t>
      </w:r>
      <w:r w:rsidR="003D4A81">
        <w:rPr>
          <w:lang w:val="en-CA"/>
        </w:rPr>
        <w:t>.</w:t>
      </w:r>
      <w:r>
        <w:rPr>
          <w:lang w:val="en-CA"/>
        </w:rPr>
        <w:t xml:space="preserve"> 27.</w:t>
      </w:r>
    </w:p>
  </w:footnote>
  <w:footnote w:id="80">
    <w:p w14:paraId="1F30EF30" w14:textId="2E160527" w:rsidR="005805EE" w:rsidRPr="0000341E" w:rsidRDefault="00F06516">
      <w:pPr>
        <w:pStyle w:val="Notedebasdepage"/>
        <w:rPr>
          <w:lang w:val="en-US"/>
        </w:rPr>
      </w:pPr>
      <w:r>
        <w:rPr>
          <w:rStyle w:val="Appelnotedebasdep"/>
          <w:lang w:val="en-CA"/>
        </w:rPr>
        <w:footnoteRef/>
      </w:r>
      <w:r>
        <w:rPr>
          <w:lang w:val="en-CA"/>
        </w:rPr>
        <w:t xml:space="preserve"> </w:t>
      </w:r>
      <w:r>
        <w:rPr>
          <w:lang w:val="en-CA"/>
        </w:rPr>
        <w:tab/>
      </w:r>
      <w:r>
        <w:rPr>
          <w:i/>
          <w:iCs/>
          <w:lang w:val="en-CA"/>
        </w:rPr>
        <w:t>Carignan c. R.</w:t>
      </w:r>
      <w:r>
        <w:rPr>
          <w:lang w:val="en-CA"/>
        </w:rPr>
        <w:t xml:space="preserve">, [2003] </w:t>
      </w:r>
      <w:proofErr w:type="spellStart"/>
      <w:r>
        <w:rPr>
          <w:lang w:val="en-CA"/>
        </w:rPr>
        <w:t>R.J.Q</w:t>
      </w:r>
      <w:proofErr w:type="spellEnd"/>
      <w:r>
        <w:rPr>
          <w:lang w:val="en-CA"/>
        </w:rPr>
        <w:t>. 1022 (C.A.) at para</w:t>
      </w:r>
      <w:r w:rsidR="003D4A81">
        <w:rPr>
          <w:lang w:val="en-CA"/>
        </w:rPr>
        <w:t>.</w:t>
      </w:r>
      <w:r>
        <w:rPr>
          <w:lang w:val="en-CA"/>
        </w:rPr>
        <w:t xml:space="preserve"> 29, cited in </w:t>
      </w:r>
      <w:proofErr w:type="spellStart"/>
      <w:r>
        <w:rPr>
          <w:i/>
          <w:iCs/>
          <w:lang w:val="en-CA"/>
        </w:rPr>
        <w:t>Paiement</w:t>
      </w:r>
      <w:proofErr w:type="spellEnd"/>
      <w:r>
        <w:rPr>
          <w:i/>
          <w:iCs/>
          <w:lang w:val="en-CA"/>
        </w:rPr>
        <w:t xml:space="preserve"> c. R.</w:t>
      </w:r>
      <w:r>
        <w:rPr>
          <w:lang w:val="en-CA"/>
        </w:rPr>
        <w:t xml:space="preserve">, </w:t>
      </w:r>
      <w:r>
        <w:rPr>
          <w:i/>
          <w:iCs/>
          <w:lang w:val="en-CA"/>
        </w:rPr>
        <w:t>supra</w:t>
      </w:r>
      <w:r>
        <w:rPr>
          <w:lang w:val="en-CA"/>
        </w:rPr>
        <w:t xml:space="preserve"> note 33</w:t>
      </w:r>
      <w:r w:rsidR="00BF0207">
        <w:rPr>
          <w:lang w:val="en-CA"/>
        </w:rPr>
        <w:t xml:space="preserve"> at </w:t>
      </w:r>
      <w:r>
        <w:rPr>
          <w:lang w:val="en-CA"/>
        </w:rPr>
        <w:t>para</w:t>
      </w:r>
      <w:r w:rsidR="003D4A81">
        <w:rPr>
          <w:lang w:val="en-CA"/>
        </w:rPr>
        <w:t>.</w:t>
      </w:r>
      <w:r>
        <w:rPr>
          <w:lang w:val="en-CA"/>
        </w:rPr>
        <w:t xml:space="preserve"> 4.</w:t>
      </w:r>
    </w:p>
  </w:footnote>
  <w:footnote w:id="81">
    <w:p w14:paraId="5599448C" w14:textId="10983555" w:rsidR="00A70812" w:rsidRPr="00EF4074" w:rsidRDefault="00F06516">
      <w:pPr>
        <w:pStyle w:val="Notedebasdepage"/>
        <w:rPr>
          <w:lang w:val="en-CA"/>
        </w:rPr>
      </w:pPr>
      <w:r>
        <w:rPr>
          <w:rStyle w:val="Appelnotedebasdep"/>
          <w:lang w:val="en-CA"/>
        </w:rPr>
        <w:footnoteRef/>
      </w:r>
      <w:r w:rsidRPr="00EF4074">
        <w:rPr>
          <w:lang w:val="en-CA"/>
        </w:rPr>
        <w:t xml:space="preserve"> </w:t>
      </w:r>
      <w:r w:rsidRPr="00EF4074">
        <w:rPr>
          <w:lang w:val="en-CA"/>
        </w:rPr>
        <w:tab/>
      </w:r>
      <w:proofErr w:type="spellStart"/>
      <w:r w:rsidRPr="00EF4074">
        <w:rPr>
          <w:i/>
          <w:iCs/>
          <w:lang w:val="en-CA"/>
        </w:rPr>
        <w:t>Paiement</w:t>
      </w:r>
      <w:proofErr w:type="spellEnd"/>
      <w:r w:rsidRPr="00EF4074">
        <w:rPr>
          <w:i/>
          <w:iCs/>
          <w:lang w:val="en-CA"/>
        </w:rPr>
        <w:t xml:space="preserve"> c. R.</w:t>
      </w:r>
      <w:r w:rsidRPr="00EF4074">
        <w:rPr>
          <w:lang w:val="en-CA"/>
        </w:rPr>
        <w:t xml:space="preserve">, </w:t>
      </w:r>
      <w:r w:rsidRPr="00EF4074">
        <w:rPr>
          <w:i/>
          <w:iCs/>
          <w:lang w:val="en-CA"/>
        </w:rPr>
        <w:t>supra</w:t>
      </w:r>
      <w:r w:rsidRPr="00EF4074">
        <w:rPr>
          <w:lang w:val="en-CA"/>
        </w:rPr>
        <w:t xml:space="preserve"> note 33</w:t>
      </w:r>
      <w:r w:rsidR="00BF0207" w:rsidRPr="00EF4074">
        <w:rPr>
          <w:lang w:val="en-CA"/>
        </w:rPr>
        <w:t xml:space="preserve"> at </w:t>
      </w:r>
      <w:r w:rsidRPr="00EF4074">
        <w:rPr>
          <w:lang w:val="en-CA"/>
        </w:rPr>
        <w:t>para</w:t>
      </w:r>
      <w:r w:rsidR="003D4A81">
        <w:rPr>
          <w:lang w:val="en-CA"/>
        </w:rPr>
        <w:t>.</w:t>
      </w:r>
      <w:r w:rsidRPr="00EF4074">
        <w:rPr>
          <w:lang w:val="en-CA"/>
        </w:rPr>
        <w:t xml:space="preserve"> 4.</w:t>
      </w:r>
    </w:p>
  </w:footnote>
  <w:footnote w:id="82">
    <w:p w14:paraId="1ED8B626" w14:textId="0E2DD0F6" w:rsidR="002C75F8" w:rsidRPr="00EF4074" w:rsidRDefault="00F06516">
      <w:pPr>
        <w:pStyle w:val="Notedebasdepage"/>
        <w:rPr>
          <w:lang w:val="en-CA"/>
        </w:rPr>
      </w:pPr>
      <w:r>
        <w:rPr>
          <w:rStyle w:val="Appelnotedebasdep"/>
          <w:lang w:val="en-CA"/>
        </w:rPr>
        <w:footnoteRef/>
      </w:r>
      <w:r w:rsidRPr="00EF4074">
        <w:rPr>
          <w:lang w:val="en-CA"/>
        </w:rPr>
        <w:tab/>
        <w:t xml:space="preserve">2008 </w:t>
      </w:r>
      <w:proofErr w:type="spellStart"/>
      <w:r w:rsidRPr="00EF4074">
        <w:rPr>
          <w:lang w:val="en-CA"/>
        </w:rPr>
        <w:t>QCCQ</w:t>
      </w:r>
      <w:proofErr w:type="spellEnd"/>
      <w:r w:rsidRPr="00EF4074">
        <w:rPr>
          <w:lang w:val="en-CA"/>
        </w:rPr>
        <w:t xml:space="preserve"> 7615.</w:t>
      </w:r>
    </w:p>
  </w:footnote>
  <w:footnote w:id="83">
    <w:p w14:paraId="5DF6DC36" w14:textId="432C1707" w:rsidR="001560EB" w:rsidRPr="0000341E" w:rsidRDefault="00F06516">
      <w:pPr>
        <w:pStyle w:val="Notedebasdepage"/>
        <w:rPr>
          <w:lang w:val="en-US"/>
        </w:rPr>
      </w:pPr>
      <w:r>
        <w:rPr>
          <w:rStyle w:val="Appelnotedebasdep"/>
          <w:lang w:val="en-CA"/>
        </w:rPr>
        <w:footnoteRef/>
      </w:r>
      <w:r>
        <w:rPr>
          <w:lang w:val="en-CA"/>
        </w:rPr>
        <w:t xml:space="preserve"> </w:t>
      </w:r>
      <w:r>
        <w:rPr>
          <w:lang w:val="en-CA"/>
        </w:rPr>
        <w:tab/>
      </w:r>
      <w:r w:rsidR="006130E8" w:rsidRPr="006130E8">
        <w:rPr>
          <w:i/>
          <w:iCs/>
          <w:lang w:val="en-CA"/>
        </w:rPr>
        <w:t>I</w:t>
      </w:r>
      <w:r w:rsidR="00EF4074">
        <w:rPr>
          <w:i/>
          <w:iCs/>
          <w:lang w:val="en-CA"/>
        </w:rPr>
        <w:t>d.</w:t>
      </w:r>
      <w:r w:rsidR="003D4A81">
        <w:rPr>
          <w:i/>
          <w:iCs/>
          <w:lang w:val="en-CA"/>
        </w:rPr>
        <w:t>,</w:t>
      </w:r>
      <w:r>
        <w:rPr>
          <w:lang w:val="en-CA"/>
        </w:rPr>
        <w:t xml:space="preserve"> at para</w:t>
      </w:r>
      <w:r w:rsidR="003D4A81">
        <w:rPr>
          <w:lang w:val="en-CA"/>
        </w:rPr>
        <w:t>.</w:t>
      </w:r>
      <w:r>
        <w:rPr>
          <w:lang w:val="en-CA"/>
        </w:rPr>
        <w:t xml:space="preserve"> 292.</w:t>
      </w:r>
    </w:p>
  </w:footnote>
  <w:footnote w:id="84">
    <w:p w14:paraId="56245B5C" w14:textId="7AEB5E3F" w:rsidR="004A4B4B" w:rsidRPr="0000341E" w:rsidRDefault="00F06516">
      <w:pPr>
        <w:pStyle w:val="Notedebasdepage"/>
        <w:rPr>
          <w:lang w:val="en-US"/>
        </w:rPr>
      </w:pPr>
      <w:r>
        <w:rPr>
          <w:rStyle w:val="Appelnotedebasdep"/>
          <w:lang w:val="en-CA"/>
        </w:rPr>
        <w:footnoteRef/>
      </w:r>
      <w:r>
        <w:rPr>
          <w:lang w:val="en-CA"/>
        </w:rPr>
        <w:t xml:space="preserve"> </w:t>
      </w:r>
      <w:r>
        <w:rPr>
          <w:lang w:val="en-CA"/>
        </w:rPr>
        <w:tab/>
      </w:r>
      <w:r w:rsidR="006130E8" w:rsidRPr="006130E8">
        <w:rPr>
          <w:i/>
          <w:iCs/>
          <w:lang w:val="en-CA"/>
        </w:rPr>
        <w:t>I</w:t>
      </w:r>
      <w:r w:rsidR="00EF4074">
        <w:rPr>
          <w:i/>
          <w:iCs/>
          <w:lang w:val="en-CA"/>
        </w:rPr>
        <w:t>d.</w:t>
      </w:r>
      <w:r w:rsidR="003D4A81">
        <w:rPr>
          <w:i/>
          <w:iCs/>
          <w:lang w:val="en-CA"/>
        </w:rPr>
        <w:t>,</w:t>
      </w:r>
      <w:r>
        <w:rPr>
          <w:lang w:val="en-CA"/>
        </w:rPr>
        <w:t xml:space="preserve"> at para</w:t>
      </w:r>
      <w:r w:rsidR="003D4A81">
        <w:rPr>
          <w:lang w:val="en-CA"/>
        </w:rPr>
        <w:t>.</w:t>
      </w:r>
      <w:r>
        <w:rPr>
          <w:lang w:val="en-CA"/>
        </w:rPr>
        <w:t xml:space="preserve"> 293.</w:t>
      </w:r>
    </w:p>
  </w:footnote>
  <w:footnote w:id="85">
    <w:p w14:paraId="162AF305" w14:textId="5B1F9473" w:rsidR="00D1082E" w:rsidRPr="0000341E" w:rsidRDefault="00F06516">
      <w:pPr>
        <w:pStyle w:val="Notedebasdepage"/>
        <w:rPr>
          <w:lang w:val="en-US"/>
        </w:rPr>
      </w:pPr>
      <w:r>
        <w:rPr>
          <w:rStyle w:val="Appelnotedebasdep"/>
          <w:lang w:val="en-CA"/>
        </w:rPr>
        <w:footnoteRef/>
      </w:r>
      <w:r>
        <w:rPr>
          <w:lang w:val="en-CA"/>
        </w:rPr>
        <w:t xml:space="preserve"> </w:t>
      </w:r>
      <w:r>
        <w:rPr>
          <w:lang w:val="en-CA"/>
        </w:rPr>
        <w:tab/>
      </w:r>
      <w:r w:rsidR="006130E8" w:rsidRPr="006130E8">
        <w:rPr>
          <w:i/>
          <w:iCs/>
          <w:lang w:val="en-CA"/>
        </w:rPr>
        <w:t>I</w:t>
      </w:r>
      <w:r w:rsidR="00EF4074">
        <w:rPr>
          <w:i/>
          <w:iCs/>
          <w:lang w:val="en-CA"/>
        </w:rPr>
        <w:t>d.</w:t>
      </w:r>
      <w:r w:rsidR="003D4A81">
        <w:rPr>
          <w:i/>
          <w:iCs/>
          <w:lang w:val="en-CA"/>
        </w:rPr>
        <w:t>,</w:t>
      </w:r>
      <w:r>
        <w:rPr>
          <w:lang w:val="en-CA"/>
        </w:rPr>
        <w:t xml:space="preserve"> </w:t>
      </w:r>
      <w:r w:rsidR="003D4A81">
        <w:rPr>
          <w:lang w:val="en-CA"/>
        </w:rPr>
        <w:t>a</w:t>
      </w:r>
      <w:r>
        <w:rPr>
          <w:lang w:val="en-CA"/>
        </w:rPr>
        <w:t>t paras</w:t>
      </w:r>
      <w:r w:rsidR="003D4A81">
        <w:rPr>
          <w:lang w:val="en-CA"/>
        </w:rPr>
        <w:t>.</w:t>
      </w:r>
      <w:r>
        <w:rPr>
          <w:lang w:val="en-CA"/>
        </w:rPr>
        <w:t xml:space="preserve"> 293–294.</w:t>
      </w:r>
    </w:p>
  </w:footnote>
  <w:footnote w:id="86">
    <w:p w14:paraId="71DE7DC2" w14:textId="31D0EC47" w:rsidR="00CA1B7A" w:rsidRPr="0000341E" w:rsidRDefault="00F06516">
      <w:pPr>
        <w:pStyle w:val="Notedebasdepage"/>
        <w:rPr>
          <w:lang w:val="en-US"/>
        </w:rPr>
      </w:pPr>
      <w:r>
        <w:rPr>
          <w:rStyle w:val="Appelnotedebasdep"/>
          <w:lang w:val="en-CA"/>
        </w:rPr>
        <w:footnoteRef/>
      </w:r>
      <w:r>
        <w:rPr>
          <w:lang w:val="en-CA"/>
        </w:rPr>
        <w:t xml:space="preserve"> </w:t>
      </w:r>
      <w:r>
        <w:rPr>
          <w:lang w:val="en-CA"/>
        </w:rPr>
        <w:tab/>
      </w:r>
      <w:r w:rsidR="006130E8" w:rsidRPr="006130E8">
        <w:rPr>
          <w:i/>
          <w:iCs/>
          <w:lang w:val="en-CA"/>
        </w:rPr>
        <w:t>I</w:t>
      </w:r>
      <w:r w:rsidR="00EF4074">
        <w:rPr>
          <w:i/>
          <w:iCs/>
          <w:lang w:val="en-CA"/>
        </w:rPr>
        <w:t>d.</w:t>
      </w:r>
      <w:r w:rsidR="003D4A81">
        <w:rPr>
          <w:i/>
          <w:iCs/>
          <w:lang w:val="en-CA"/>
        </w:rPr>
        <w:t>,</w:t>
      </w:r>
      <w:r>
        <w:rPr>
          <w:lang w:val="en-CA"/>
        </w:rPr>
        <w:t xml:space="preserve"> at para</w:t>
      </w:r>
      <w:r w:rsidR="003D4A81">
        <w:rPr>
          <w:lang w:val="en-CA"/>
        </w:rPr>
        <w:t>.</w:t>
      </w:r>
      <w:r>
        <w:rPr>
          <w:lang w:val="en-CA"/>
        </w:rPr>
        <w:t xml:space="preserve"> 296.</w:t>
      </w:r>
    </w:p>
  </w:footnote>
  <w:footnote w:id="87">
    <w:p w14:paraId="2B311094" w14:textId="6DF48062" w:rsidR="00187D86" w:rsidRPr="0000341E" w:rsidRDefault="00F06516">
      <w:pPr>
        <w:pStyle w:val="Notedebasdepage"/>
        <w:rPr>
          <w:lang w:val="en-US"/>
        </w:rPr>
      </w:pPr>
      <w:r>
        <w:rPr>
          <w:rStyle w:val="Appelnotedebasdep"/>
          <w:lang w:val="en-CA"/>
        </w:rPr>
        <w:footnoteRef/>
      </w:r>
      <w:r>
        <w:rPr>
          <w:lang w:val="en-CA"/>
        </w:rPr>
        <w:tab/>
        <w:t xml:space="preserve">2017 </w:t>
      </w:r>
      <w:proofErr w:type="spellStart"/>
      <w:r>
        <w:rPr>
          <w:lang w:val="en-CA"/>
        </w:rPr>
        <w:t>QCCQ</w:t>
      </w:r>
      <w:proofErr w:type="spellEnd"/>
      <w:r>
        <w:rPr>
          <w:lang w:val="en-CA"/>
        </w:rPr>
        <w:t xml:space="preserve"> 19881.</w:t>
      </w:r>
    </w:p>
  </w:footnote>
  <w:footnote w:id="88">
    <w:p w14:paraId="2BE53133" w14:textId="1875AE3C" w:rsidR="00187D86" w:rsidRPr="0000341E" w:rsidRDefault="00F06516">
      <w:pPr>
        <w:pStyle w:val="Notedebasdepage"/>
        <w:rPr>
          <w:lang w:val="en-US"/>
        </w:rPr>
      </w:pPr>
      <w:r>
        <w:rPr>
          <w:rStyle w:val="Appelnotedebasdep"/>
          <w:lang w:val="en-CA"/>
        </w:rPr>
        <w:footnoteRef/>
      </w:r>
      <w:r>
        <w:rPr>
          <w:lang w:val="en-CA"/>
        </w:rPr>
        <w:tab/>
        <w:t xml:space="preserve">2018 </w:t>
      </w:r>
      <w:proofErr w:type="spellStart"/>
      <w:r>
        <w:rPr>
          <w:lang w:val="en-CA"/>
        </w:rPr>
        <w:t>QCCQ</w:t>
      </w:r>
      <w:proofErr w:type="spellEnd"/>
      <w:r>
        <w:rPr>
          <w:lang w:val="en-CA"/>
        </w:rPr>
        <w:t xml:space="preserve"> 3409.</w:t>
      </w:r>
    </w:p>
  </w:footnote>
  <w:footnote w:id="89">
    <w:p w14:paraId="1E6719BE" w14:textId="14AA038E" w:rsidR="00187D86" w:rsidRPr="0000341E" w:rsidRDefault="00F06516">
      <w:pPr>
        <w:pStyle w:val="Notedebasdepage"/>
        <w:rPr>
          <w:lang w:val="en-US"/>
        </w:rPr>
      </w:pPr>
      <w:r>
        <w:rPr>
          <w:rStyle w:val="Appelnotedebasdep"/>
          <w:lang w:val="en-CA"/>
        </w:rPr>
        <w:footnoteRef/>
      </w:r>
      <w:r>
        <w:rPr>
          <w:lang w:val="en-CA"/>
        </w:rPr>
        <w:t xml:space="preserve"> </w:t>
      </w:r>
      <w:r>
        <w:rPr>
          <w:lang w:val="en-CA"/>
        </w:rPr>
        <w:tab/>
        <w:t xml:space="preserve">2002 </w:t>
      </w:r>
      <w:proofErr w:type="spellStart"/>
      <w:r>
        <w:rPr>
          <w:lang w:val="en-CA"/>
        </w:rPr>
        <w:t>BCPC</w:t>
      </w:r>
      <w:proofErr w:type="spellEnd"/>
      <w:r>
        <w:rPr>
          <w:lang w:val="en-CA"/>
        </w:rPr>
        <w:t xml:space="preserve"> 0230.</w:t>
      </w:r>
    </w:p>
  </w:footnote>
  <w:footnote w:id="90">
    <w:p w14:paraId="489ECB8E" w14:textId="419AB34B" w:rsidR="00187D86" w:rsidRPr="0000341E" w:rsidRDefault="00F06516">
      <w:pPr>
        <w:pStyle w:val="Notedebasdepage"/>
        <w:rPr>
          <w:lang w:val="en-US"/>
        </w:rPr>
      </w:pPr>
      <w:r>
        <w:rPr>
          <w:rStyle w:val="Appelnotedebasdep"/>
          <w:lang w:val="en-CA"/>
        </w:rPr>
        <w:footnoteRef/>
      </w:r>
      <w:r>
        <w:rPr>
          <w:lang w:val="en-CA"/>
        </w:rPr>
        <w:t xml:space="preserve"> </w:t>
      </w:r>
      <w:r>
        <w:rPr>
          <w:lang w:val="en-CA"/>
        </w:rPr>
        <w:tab/>
        <w:t>2019 ONCA 329.</w:t>
      </w:r>
    </w:p>
  </w:footnote>
  <w:footnote w:id="91">
    <w:p w14:paraId="12EFBDA4" w14:textId="205D97F1" w:rsidR="00187D86" w:rsidRPr="0000341E" w:rsidRDefault="00F06516">
      <w:pPr>
        <w:pStyle w:val="Notedebasdepage"/>
        <w:rPr>
          <w:lang w:val="en-US"/>
        </w:rPr>
      </w:pPr>
      <w:r>
        <w:rPr>
          <w:rStyle w:val="Appelnotedebasdep"/>
          <w:lang w:val="en-CA"/>
        </w:rPr>
        <w:footnoteRef/>
      </w:r>
      <w:r>
        <w:rPr>
          <w:lang w:val="en-CA"/>
        </w:rPr>
        <w:t xml:space="preserve"> </w:t>
      </w:r>
      <w:r>
        <w:rPr>
          <w:lang w:val="en-CA"/>
        </w:rPr>
        <w:tab/>
        <w:t>2016 QCCA 835.</w:t>
      </w:r>
    </w:p>
  </w:footnote>
  <w:footnote w:id="92">
    <w:p w14:paraId="5263B569" w14:textId="77188611" w:rsidR="00187D86" w:rsidRPr="0000341E" w:rsidRDefault="00F06516">
      <w:pPr>
        <w:pStyle w:val="Notedebasdepage"/>
        <w:rPr>
          <w:lang w:val="en-US"/>
        </w:rPr>
      </w:pPr>
      <w:r>
        <w:rPr>
          <w:rStyle w:val="Appelnotedebasdep"/>
          <w:lang w:val="en-CA"/>
        </w:rPr>
        <w:footnoteRef/>
      </w:r>
      <w:r>
        <w:rPr>
          <w:lang w:val="en-CA"/>
        </w:rPr>
        <w:t xml:space="preserve"> </w:t>
      </w:r>
      <w:r>
        <w:rPr>
          <w:lang w:val="en-CA"/>
        </w:rPr>
        <w:tab/>
        <w:t>SOQUIJ AZ-50259293, 2005 CanLII 56780 (</w:t>
      </w:r>
      <w:proofErr w:type="spellStart"/>
      <w:r>
        <w:rPr>
          <w:lang w:val="en-CA"/>
        </w:rPr>
        <w:t>C.Q</w:t>
      </w:r>
      <w:proofErr w:type="spellEnd"/>
      <w:r>
        <w:rPr>
          <w:lang w:val="en-CA"/>
        </w:rPr>
        <w:t>.; aff’d on appeal, without the Court expressly ruling on this point: 2006 QCCA 695).</w:t>
      </w:r>
    </w:p>
  </w:footnote>
  <w:footnote w:id="93">
    <w:p w14:paraId="3B0982D4" w14:textId="658EE5FA" w:rsidR="000040F0" w:rsidRPr="001837F6" w:rsidRDefault="00F06516">
      <w:pPr>
        <w:pStyle w:val="Notedebasdepage"/>
        <w:rPr>
          <w:lang w:val="nb-NO"/>
        </w:rPr>
      </w:pPr>
      <w:r>
        <w:rPr>
          <w:rStyle w:val="Appelnotedebasdep"/>
          <w:lang w:val="en-CA"/>
        </w:rPr>
        <w:footnoteRef/>
      </w:r>
      <w:r w:rsidRPr="001837F6">
        <w:rPr>
          <w:lang w:val="nb-NO"/>
        </w:rPr>
        <w:t xml:space="preserve"> </w:t>
      </w:r>
      <w:r w:rsidRPr="001837F6">
        <w:rPr>
          <w:lang w:val="nb-NO"/>
        </w:rPr>
        <w:tab/>
      </w:r>
      <w:r w:rsidRPr="001837F6">
        <w:rPr>
          <w:i/>
          <w:iCs/>
          <w:lang w:val="nb-NO"/>
        </w:rPr>
        <w:t xml:space="preserve">Ratt </w:t>
      </w:r>
      <w:r w:rsidR="00EC0F2C">
        <w:rPr>
          <w:i/>
          <w:iCs/>
          <w:lang w:val="nb-NO"/>
        </w:rPr>
        <w:t>c</w:t>
      </w:r>
      <w:r w:rsidRPr="001837F6">
        <w:rPr>
          <w:i/>
          <w:iCs/>
          <w:lang w:val="nb-NO"/>
        </w:rPr>
        <w:t>. R.</w:t>
      </w:r>
      <w:r w:rsidRPr="001837F6">
        <w:rPr>
          <w:lang w:val="nb-NO"/>
        </w:rPr>
        <w:t xml:space="preserve">, </w:t>
      </w:r>
      <w:r w:rsidRPr="001837F6">
        <w:rPr>
          <w:i/>
          <w:iCs/>
          <w:lang w:val="nb-NO"/>
        </w:rPr>
        <w:t>supra</w:t>
      </w:r>
      <w:r w:rsidRPr="001837F6">
        <w:rPr>
          <w:lang w:val="nb-NO"/>
        </w:rPr>
        <w:t xml:space="preserve"> note 32</w:t>
      </w:r>
      <w:r w:rsidR="00054692">
        <w:rPr>
          <w:lang w:val="nb-NO"/>
        </w:rPr>
        <w:t xml:space="preserve"> </w:t>
      </w:r>
      <w:r w:rsidR="00D24BB2">
        <w:rPr>
          <w:lang w:val="nb-NO"/>
        </w:rPr>
        <w:t>at</w:t>
      </w:r>
      <w:r w:rsidR="00D24BB2" w:rsidRPr="001837F6">
        <w:rPr>
          <w:lang w:val="nb-NO"/>
        </w:rPr>
        <w:t xml:space="preserve"> </w:t>
      </w:r>
      <w:r w:rsidRPr="001837F6">
        <w:rPr>
          <w:lang w:val="nb-NO"/>
        </w:rPr>
        <w:t>para</w:t>
      </w:r>
      <w:r w:rsidR="003D4A81">
        <w:rPr>
          <w:lang w:val="nb-NO"/>
        </w:rPr>
        <w:t>.</w:t>
      </w:r>
      <w:r w:rsidRPr="001837F6">
        <w:rPr>
          <w:lang w:val="nb-NO"/>
        </w:rPr>
        <w:t xml:space="preserve"> 24.</w:t>
      </w:r>
    </w:p>
  </w:footnote>
  <w:footnote w:id="94">
    <w:p w14:paraId="45D4804C" w14:textId="36199EBC" w:rsidR="00C5260B" w:rsidRPr="00EA0A26" w:rsidRDefault="00F06516">
      <w:pPr>
        <w:pStyle w:val="Notedebasdepage"/>
        <w:rPr>
          <w:lang w:val="en-US"/>
        </w:rPr>
      </w:pPr>
      <w:r>
        <w:rPr>
          <w:rStyle w:val="Appelnotedebasdep"/>
          <w:lang w:val="en-CA"/>
        </w:rPr>
        <w:footnoteRef/>
      </w:r>
      <w:r w:rsidRPr="00EA0A26">
        <w:rPr>
          <w:lang w:val="en-US"/>
        </w:rPr>
        <w:t xml:space="preserve"> </w:t>
      </w:r>
      <w:r w:rsidRPr="00EA0A26">
        <w:rPr>
          <w:lang w:val="en-US"/>
        </w:rPr>
        <w:tab/>
      </w:r>
      <w:proofErr w:type="spellStart"/>
      <w:r w:rsidRPr="00EA0A26">
        <w:rPr>
          <w:i/>
          <w:iCs/>
          <w:lang w:val="en-US"/>
        </w:rPr>
        <w:t>Paiement</w:t>
      </w:r>
      <w:proofErr w:type="spellEnd"/>
      <w:r w:rsidRPr="00EA0A26">
        <w:rPr>
          <w:i/>
          <w:iCs/>
          <w:lang w:val="en-US"/>
        </w:rPr>
        <w:t xml:space="preserve"> c. R.</w:t>
      </w:r>
      <w:r w:rsidRPr="00EA0A26">
        <w:rPr>
          <w:lang w:val="en-US"/>
        </w:rPr>
        <w:t xml:space="preserve">, </w:t>
      </w:r>
      <w:r w:rsidR="00054692" w:rsidRPr="00EA0A26">
        <w:rPr>
          <w:i/>
          <w:iCs/>
          <w:lang w:val="en-US"/>
        </w:rPr>
        <w:t>supra</w:t>
      </w:r>
      <w:r w:rsidR="00054692">
        <w:rPr>
          <w:lang w:val="en-US"/>
        </w:rPr>
        <w:t xml:space="preserve"> </w:t>
      </w:r>
      <w:r w:rsidR="00054692" w:rsidRPr="00EA0A26">
        <w:rPr>
          <w:lang w:val="en-US"/>
        </w:rPr>
        <w:t>note</w:t>
      </w:r>
      <w:r w:rsidRPr="00EA0A26">
        <w:rPr>
          <w:lang w:val="en-US"/>
        </w:rPr>
        <w:t xml:space="preserve"> 33</w:t>
      </w:r>
      <w:r w:rsidR="00D24BB2">
        <w:rPr>
          <w:lang w:val="en-US"/>
        </w:rPr>
        <w:t xml:space="preserve"> at</w:t>
      </w:r>
      <w:r w:rsidRPr="00EA0A26">
        <w:rPr>
          <w:lang w:val="en-US"/>
        </w:rPr>
        <w:t xml:space="preserve"> para</w:t>
      </w:r>
      <w:r w:rsidR="003D4A81">
        <w:rPr>
          <w:lang w:val="en-US"/>
        </w:rPr>
        <w:t>.</w:t>
      </w:r>
      <w:r w:rsidRPr="00EA0A26">
        <w:rPr>
          <w:lang w:val="en-US"/>
        </w:rPr>
        <w:t xml:space="preserve"> 4.</w:t>
      </w:r>
    </w:p>
  </w:footnote>
  <w:footnote w:id="95">
    <w:p w14:paraId="0FB60890" w14:textId="1BED5A94" w:rsidR="00AD232A" w:rsidRPr="00EA0A26" w:rsidRDefault="00F06516">
      <w:pPr>
        <w:pStyle w:val="Notedebasdepage"/>
        <w:rPr>
          <w:lang w:val="en-US"/>
        </w:rPr>
      </w:pPr>
      <w:r>
        <w:rPr>
          <w:rStyle w:val="Appelnotedebasdep"/>
          <w:lang w:val="en-CA"/>
        </w:rPr>
        <w:footnoteRef/>
      </w:r>
      <w:r w:rsidRPr="00EA0A26">
        <w:rPr>
          <w:lang w:val="en-US"/>
        </w:rPr>
        <w:t xml:space="preserve"> </w:t>
      </w:r>
      <w:r w:rsidRPr="00EA0A26">
        <w:rPr>
          <w:lang w:val="en-US"/>
        </w:rPr>
        <w:tab/>
        <w:t xml:space="preserve">See: </w:t>
      </w:r>
      <w:proofErr w:type="spellStart"/>
      <w:r w:rsidRPr="00EA0A26">
        <w:rPr>
          <w:i/>
          <w:iCs/>
          <w:lang w:val="en-US"/>
        </w:rPr>
        <w:t>Deramchi</w:t>
      </w:r>
      <w:proofErr w:type="spellEnd"/>
      <w:r w:rsidRPr="00EA0A26">
        <w:rPr>
          <w:i/>
          <w:iCs/>
          <w:lang w:val="en-US"/>
        </w:rPr>
        <w:t xml:space="preserve"> c. R.</w:t>
      </w:r>
      <w:r w:rsidRPr="00EA0A26">
        <w:rPr>
          <w:lang w:val="en-US"/>
        </w:rPr>
        <w:t xml:space="preserve">, 2021 </w:t>
      </w:r>
      <w:proofErr w:type="spellStart"/>
      <w:r w:rsidRPr="00EA0A26">
        <w:rPr>
          <w:lang w:val="en-US"/>
        </w:rPr>
        <w:t>QCCA</w:t>
      </w:r>
      <w:proofErr w:type="spellEnd"/>
      <w:r w:rsidRPr="00EA0A26">
        <w:rPr>
          <w:lang w:val="en-US"/>
        </w:rPr>
        <w:t xml:space="preserve"> 203 at paras</w:t>
      </w:r>
      <w:r w:rsidR="003D4A81">
        <w:rPr>
          <w:lang w:val="en-US"/>
        </w:rPr>
        <w:t>.</w:t>
      </w:r>
      <w:r w:rsidRPr="00EA0A26">
        <w:rPr>
          <w:lang w:val="en-US"/>
        </w:rPr>
        <w:t xml:space="preserve"> 21–22; </w:t>
      </w:r>
      <w:r w:rsidRPr="00EA0A26">
        <w:rPr>
          <w:i/>
          <w:iCs/>
          <w:lang w:val="en-US"/>
        </w:rPr>
        <w:t>M.D. c. R.</w:t>
      </w:r>
      <w:r w:rsidRPr="00EA0A26">
        <w:rPr>
          <w:lang w:val="en-US"/>
        </w:rPr>
        <w:t xml:space="preserve">, 2022 </w:t>
      </w:r>
      <w:proofErr w:type="spellStart"/>
      <w:r w:rsidRPr="00EA0A26">
        <w:rPr>
          <w:lang w:val="en-US"/>
        </w:rPr>
        <w:t>QCCA</w:t>
      </w:r>
      <w:proofErr w:type="spellEnd"/>
      <w:r w:rsidRPr="00EA0A26">
        <w:rPr>
          <w:lang w:val="en-US"/>
        </w:rPr>
        <w:t xml:space="preserve"> 915 at para</w:t>
      </w:r>
      <w:r w:rsidR="003D4A81">
        <w:rPr>
          <w:lang w:val="en-US"/>
        </w:rPr>
        <w:t>.</w:t>
      </w:r>
      <w:r w:rsidRPr="00EA0A26">
        <w:rPr>
          <w:lang w:val="en-US"/>
        </w:rPr>
        <w:t xml:space="preserve"> 109; </w:t>
      </w:r>
      <w:r w:rsidRPr="00EA0A26">
        <w:rPr>
          <w:i/>
          <w:iCs/>
          <w:lang w:val="en-US"/>
        </w:rPr>
        <w:t>Vachon v. R.</w:t>
      </w:r>
      <w:r w:rsidRPr="00EA0A26">
        <w:rPr>
          <w:lang w:val="en-US"/>
        </w:rPr>
        <w:t xml:space="preserve">, 2011 </w:t>
      </w:r>
      <w:proofErr w:type="spellStart"/>
      <w:r w:rsidRPr="00EA0A26">
        <w:rPr>
          <w:lang w:val="en-US"/>
        </w:rPr>
        <w:t>QCCA</w:t>
      </w:r>
      <w:proofErr w:type="spellEnd"/>
      <w:r w:rsidRPr="00EA0A26">
        <w:rPr>
          <w:lang w:val="en-US"/>
        </w:rPr>
        <w:t xml:space="preserve"> 2103 at paras</w:t>
      </w:r>
      <w:r w:rsidR="003D4A81">
        <w:rPr>
          <w:lang w:val="en-US"/>
        </w:rPr>
        <w:t>.</w:t>
      </w:r>
      <w:r w:rsidRPr="00EA0A26">
        <w:rPr>
          <w:lang w:val="en-US"/>
        </w:rPr>
        <w:t xml:space="preserve"> 66–67 and 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0CA06" w14:textId="77777777" w:rsidR="007E33E4" w:rsidRDefault="00F06516" w:rsidP="00DB2119">
    <w:pPr>
      <w:tabs>
        <w:tab w:val="center" w:pos="4709"/>
        <w:tab w:val="right" w:pos="9360"/>
      </w:tabs>
      <w:spacing w:line="360" w:lineRule="auto"/>
      <w:ind w:right="524"/>
    </w:pPr>
    <w:bookmarkStart w:id="28" w:name="EntDossier"/>
    <w:r>
      <w:rPr>
        <w:lang w:val="en-CA"/>
      </w:rPr>
      <w:t>200-10-003826-216</w:t>
    </w:r>
    <w:bookmarkEnd w:id="28"/>
    <w:r>
      <w:rPr>
        <w:lang w:val="en-CA"/>
      </w:rPr>
      <w:t xml:space="preserve"> </w:t>
    </w:r>
    <w:r>
      <w:rPr>
        <w:lang w:val="en-CA"/>
      </w:rPr>
      <w:tab/>
    </w:r>
    <w:r>
      <w:rPr>
        <w:lang w:val="en-CA"/>
      </w:rPr>
      <w:tab/>
      <w:t xml:space="preserve">PAGE: </w:t>
    </w:r>
    <w:r>
      <w:rPr>
        <w:lang w:val="en-CA"/>
      </w:rPr>
      <w:fldChar w:fldCharType="begin"/>
    </w:r>
    <w:r>
      <w:rPr>
        <w:lang w:val="en-CA"/>
      </w:rPr>
      <w:instrText xml:space="preserve"> PAGE </w:instrText>
    </w:r>
    <w:r>
      <w:rPr>
        <w:lang w:val="en-CA"/>
      </w:rPr>
      <w:fldChar w:fldCharType="separate"/>
    </w:r>
    <w:r>
      <w:rPr>
        <w:lang w:val="en-CA"/>
      </w:rPr>
      <w:t>41</w:t>
    </w:r>
    <w:r>
      <w:rPr>
        <w:lang w:val="en-CA"/>
      </w:rPr>
      <w:fldChar w:fldCharType="end"/>
    </w:r>
  </w:p>
  <w:p w14:paraId="7E530AA3" w14:textId="77777777" w:rsidR="007E33E4" w:rsidRDefault="007E33E4" w:rsidP="00DB2119">
    <w:pPr>
      <w:tabs>
        <w:tab w:val="center" w:pos="4709"/>
        <w:tab w:val="right" w:pos="9360"/>
      </w:tabs>
      <w:spacing w:line="360" w:lineRule="auto"/>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BB52DE"/>
    <w:multiLevelType w:val="multilevel"/>
    <w:tmpl w:val="79E601F0"/>
    <w:lvl w:ilvl="0">
      <w:start w:val="1"/>
      <w:numFmt w:val="decimal"/>
      <w:pStyle w:val="Paragraphe"/>
      <w:lvlText w:val="[%1]"/>
      <w:lvlJc w:val="left"/>
      <w:pPr>
        <w:tabs>
          <w:tab w:val="num" w:pos="720"/>
        </w:tabs>
        <w:ind w:left="0" w:firstLine="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D237A3B"/>
    <w:multiLevelType w:val="hybridMultilevel"/>
    <w:tmpl w:val="1D302428"/>
    <w:lvl w:ilvl="0" w:tplc="86DC22A6">
      <w:start w:val="1"/>
      <w:numFmt w:val="bullet"/>
      <w:lvlText w:val=""/>
      <w:lvlJc w:val="left"/>
      <w:pPr>
        <w:ind w:left="1440" w:hanging="360"/>
      </w:pPr>
      <w:rPr>
        <w:rFonts w:ascii="Symbol" w:hAnsi="Symbol" w:hint="default"/>
      </w:rPr>
    </w:lvl>
    <w:lvl w:ilvl="1" w:tplc="80A6CFEC" w:tentative="1">
      <w:start w:val="1"/>
      <w:numFmt w:val="bullet"/>
      <w:lvlText w:val="o"/>
      <w:lvlJc w:val="left"/>
      <w:pPr>
        <w:ind w:left="2160" w:hanging="360"/>
      </w:pPr>
      <w:rPr>
        <w:rFonts w:ascii="Courier New" w:hAnsi="Courier New" w:cs="Courier New" w:hint="default"/>
      </w:rPr>
    </w:lvl>
    <w:lvl w:ilvl="2" w:tplc="1B34DE5E" w:tentative="1">
      <w:start w:val="1"/>
      <w:numFmt w:val="bullet"/>
      <w:lvlText w:val=""/>
      <w:lvlJc w:val="left"/>
      <w:pPr>
        <w:ind w:left="2880" w:hanging="360"/>
      </w:pPr>
      <w:rPr>
        <w:rFonts w:ascii="Wingdings" w:hAnsi="Wingdings" w:hint="default"/>
      </w:rPr>
    </w:lvl>
    <w:lvl w:ilvl="3" w:tplc="49C8F212" w:tentative="1">
      <w:start w:val="1"/>
      <w:numFmt w:val="bullet"/>
      <w:lvlText w:val=""/>
      <w:lvlJc w:val="left"/>
      <w:pPr>
        <w:ind w:left="3600" w:hanging="360"/>
      </w:pPr>
      <w:rPr>
        <w:rFonts w:ascii="Symbol" w:hAnsi="Symbol" w:hint="default"/>
      </w:rPr>
    </w:lvl>
    <w:lvl w:ilvl="4" w:tplc="5B96E574" w:tentative="1">
      <w:start w:val="1"/>
      <w:numFmt w:val="bullet"/>
      <w:lvlText w:val="o"/>
      <w:lvlJc w:val="left"/>
      <w:pPr>
        <w:ind w:left="4320" w:hanging="360"/>
      </w:pPr>
      <w:rPr>
        <w:rFonts w:ascii="Courier New" w:hAnsi="Courier New" w:cs="Courier New" w:hint="default"/>
      </w:rPr>
    </w:lvl>
    <w:lvl w:ilvl="5" w:tplc="0F6C1A60" w:tentative="1">
      <w:start w:val="1"/>
      <w:numFmt w:val="bullet"/>
      <w:lvlText w:val=""/>
      <w:lvlJc w:val="left"/>
      <w:pPr>
        <w:ind w:left="5040" w:hanging="360"/>
      </w:pPr>
      <w:rPr>
        <w:rFonts w:ascii="Wingdings" w:hAnsi="Wingdings" w:hint="default"/>
      </w:rPr>
    </w:lvl>
    <w:lvl w:ilvl="6" w:tplc="157A6F10" w:tentative="1">
      <w:start w:val="1"/>
      <w:numFmt w:val="bullet"/>
      <w:lvlText w:val=""/>
      <w:lvlJc w:val="left"/>
      <w:pPr>
        <w:ind w:left="5760" w:hanging="360"/>
      </w:pPr>
      <w:rPr>
        <w:rFonts w:ascii="Symbol" w:hAnsi="Symbol" w:hint="default"/>
      </w:rPr>
    </w:lvl>
    <w:lvl w:ilvl="7" w:tplc="4BA0BA7A" w:tentative="1">
      <w:start w:val="1"/>
      <w:numFmt w:val="bullet"/>
      <w:lvlText w:val="o"/>
      <w:lvlJc w:val="left"/>
      <w:pPr>
        <w:ind w:left="6480" w:hanging="360"/>
      </w:pPr>
      <w:rPr>
        <w:rFonts w:ascii="Courier New" w:hAnsi="Courier New" w:cs="Courier New" w:hint="default"/>
      </w:rPr>
    </w:lvl>
    <w:lvl w:ilvl="8" w:tplc="7C7AF572" w:tentative="1">
      <w:start w:val="1"/>
      <w:numFmt w:val="bullet"/>
      <w:lvlText w:val=""/>
      <w:lvlJc w:val="left"/>
      <w:pPr>
        <w:ind w:left="7200" w:hanging="360"/>
      </w:pPr>
      <w:rPr>
        <w:rFonts w:ascii="Wingdings" w:hAnsi="Wingdings" w:hint="default"/>
      </w:rPr>
    </w:lvl>
  </w:abstractNum>
  <w:abstractNum w:abstractNumId="13"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356928833">
    <w:abstractNumId w:val="13"/>
  </w:num>
  <w:num w:numId="2" w16cid:durableId="2065251887">
    <w:abstractNumId w:val="13"/>
  </w:num>
  <w:num w:numId="3" w16cid:durableId="413430751">
    <w:abstractNumId w:val="13"/>
  </w:num>
  <w:num w:numId="4" w16cid:durableId="1265966526">
    <w:abstractNumId w:val="8"/>
  </w:num>
  <w:num w:numId="5" w16cid:durableId="384649274">
    <w:abstractNumId w:val="3"/>
  </w:num>
  <w:num w:numId="6" w16cid:durableId="1802915255">
    <w:abstractNumId w:val="2"/>
  </w:num>
  <w:num w:numId="7" w16cid:durableId="713963999">
    <w:abstractNumId w:val="1"/>
  </w:num>
  <w:num w:numId="8" w16cid:durableId="647709992">
    <w:abstractNumId w:val="0"/>
  </w:num>
  <w:num w:numId="9" w16cid:durableId="73210080">
    <w:abstractNumId w:val="9"/>
  </w:num>
  <w:num w:numId="10" w16cid:durableId="1706708133">
    <w:abstractNumId w:val="7"/>
  </w:num>
  <w:num w:numId="11" w16cid:durableId="97530851">
    <w:abstractNumId w:val="6"/>
  </w:num>
  <w:num w:numId="12" w16cid:durableId="1206257267">
    <w:abstractNumId w:val="5"/>
  </w:num>
  <w:num w:numId="13" w16cid:durableId="1704016774">
    <w:abstractNumId w:val="4"/>
  </w:num>
  <w:num w:numId="14" w16cid:durableId="1110123010">
    <w:abstractNumId w:val="13"/>
  </w:num>
  <w:num w:numId="15" w16cid:durableId="1054086405">
    <w:abstractNumId w:val="13"/>
  </w:num>
  <w:num w:numId="16" w16cid:durableId="1815171400">
    <w:abstractNumId w:val="13"/>
  </w:num>
  <w:num w:numId="17" w16cid:durableId="700865381">
    <w:abstractNumId w:val="11"/>
  </w:num>
  <w:num w:numId="18" w16cid:durableId="211113305">
    <w:abstractNumId w:val="10"/>
  </w:num>
  <w:num w:numId="19" w16cid:durableId="10183094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79211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22D"/>
    <w:rsid w:val="0000279F"/>
    <w:rsid w:val="0000341E"/>
    <w:rsid w:val="00003428"/>
    <w:rsid w:val="00003D21"/>
    <w:rsid w:val="000040F0"/>
    <w:rsid w:val="000060B5"/>
    <w:rsid w:val="00010DD5"/>
    <w:rsid w:val="000131E1"/>
    <w:rsid w:val="00015140"/>
    <w:rsid w:val="00017C7B"/>
    <w:rsid w:val="000205C5"/>
    <w:rsid w:val="000233D4"/>
    <w:rsid w:val="00031F44"/>
    <w:rsid w:val="00043588"/>
    <w:rsid w:val="0004394C"/>
    <w:rsid w:val="0004516C"/>
    <w:rsid w:val="000468FC"/>
    <w:rsid w:val="00047027"/>
    <w:rsid w:val="0005115B"/>
    <w:rsid w:val="00053691"/>
    <w:rsid w:val="00054692"/>
    <w:rsid w:val="00056BEF"/>
    <w:rsid w:val="0006102E"/>
    <w:rsid w:val="000618C0"/>
    <w:rsid w:val="00063E90"/>
    <w:rsid w:val="000642EB"/>
    <w:rsid w:val="00065C01"/>
    <w:rsid w:val="00065EB3"/>
    <w:rsid w:val="00066C9E"/>
    <w:rsid w:val="000730E1"/>
    <w:rsid w:val="00073F62"/>
    <w:rsid w:val="00074C53"/>
    <w:rsid w:val="0007601A"/>
    <w:rsid w:val="0007604E"/>
    <w:rsid w:val="00077B5C"/>
    <w:rsid w:val="00077E28"/>
    <w:rsid w:val="00081FBE"/>
    <w:rsid w:val="000821D4"/>
    <w:rsid w:val="00091A38"/>
    <w:rsid w:val="00093799"/>
    <w:rsid w:val="00095E3B"/>
    <w:rsid w:val="000A19D0"/>
    <w:rsid w:val="000A3931"/>
    <w:rsid w:val="000A492C"/>
    <w:rsid w:val="000A5918"/>
    <w:rsid w:val="000A6276"/>
    <w:rsid w:val="000A7516"/>
    <w:rsid w:val="000B0670"/>
    <w:rsid w:val="000B101E"/>
    <w:rsid w:val="000B2844"/>
    <w:rsid w:val="000B3414"/>
    <w:rsid w:val="000B42AF"/>
    <w:rsid w:val="000C0149"/>
    <w:rsid w:val="000C21B1"/>
    <w:rsid w:val="000C2A87"/>
    <w:rsid w:val="000C360B"/>
    <w:rsid w:val="000C54EB"/>
    <w:rsid w:val="000C634B"/>
    <w:rsid w:val="000D029C"/>
    <w:rsid w:val="000D2176"/>
    <w:rsid w:val="000D21A6"/>
    <w:rsid w:val="000D7D17"/>
    <w:rsid w:val="000E1D57"/>
    <w:rsid w:val="000E1FD9"/>
    <w:rsid w:val="000E5CC1"/>
    <w:rsid w:val="000E674E"/>
    <w:rsid w:val="000E74E6"/>
    <w:rsid w:val="000F13A1"/>
    <w:rsid w:val="000F720D"/>
    <w:rsid w:val="000F7F7A"/>
    <w:rsid w:val="00103637"/>
    <w:rsid w:val="00104D53"/>
    <w:rsid w:val="0010638E"/>
    <w:rsid w:val="00110742"/>
    <w:rsid w:val="00110B53"/>
    <w:rsid w:val="00112321"/>
    <w:rsid w:val="00117640"/>
    <w:rsid w:val="00117914"/>
    <w:rsid w:val="00122A43"/>
    <w:rsid w:val="00123F36"/>
    <w:rsid w:val="0013028C"/>
    <w:rsid w:val="00130FD9"/>
    <w:rsid w:val="001319C0"/>
    <w:rsid w:val="001338D5"/>
    <w:rsid w:val="00135333"/>
    <w:rsid w:val="001418FE"/>
    <w:rsid w:val="00143E0F"/>
    <w:rsid w:val="001503D4"/>
    <w:rsid w:val="00153A97"/>
    <w:rsid w:val="00154B04"/>
    <w:rsid w:val="001560EB"/>
    <w:rsid w:val="0015610F"/>
    <w:rsid w:val="00156E7B"/>
    <w:rsid w:val="00157D2C"/>
    <w:rsid w:val="00160458"/>
    <w:rsid w:val="00160B31"/>
    <w:rsid w:val="00164B1C"/>
    <w:rsid w:val="001707DD"/>
    <w:rsid w:val="00171407"/>
    <w:rsid w:val="001770CF"/>
    <w:rsid w:val="00181F56"/>
    <w:rsid w:val="001837F6"/>
    <w:rsid w:val="00183B1F"/>
    <w:rsid w:val="00185602"/>
    <w:rsid w:val="00187D86"/>
    <w:rsid w:val="00190589"/>
    <w:rsid w:val="00190FA7"/>
    <w:rsid w:val="00192C3A"/>
    <w:rsid w:val="001972F2"/>
    <w:rsid w:val="001A5924"/>
    <w:rsid w:val="001A66CE"/>
    <w:rsid w:val="001B1BC2"/>
    <w:rsid w:val="001B44F3"/>
    <w:rsid w:val="001B4698"/>
    <w:rsid w:val="001C1CE7"/>
    <w:rsid w:val="001C1D20"/>
    <w:rsid w:val="001C3431"/>
    <w:rsid w:val="001C4D15"/>
    <w:rsid w:val="001C5012"/>
    <w:rsid w:val="001C6634"/>
    <w:rsid w:val="001C6708"/>
    <w:rsid w:val="001C74B8"/>
    <w:rsid w:val="001D0093"/>
    <w:rsid w:val="001D07E7"/>
    <w:rsid w:val="001D2537"/>
    <w:rsid w:val="001D31BF"/>
    <w:rsid w:val="001D6122"/>
    <w:rsid w:val="001D62DC"/>
    <w:rsid w:val="001E02A2"/>
    <w:rsid w:val="001E2143"/>
    <w:rsid w:val="001E29E6"/>
    <w:rsid w:val="001E5FFB"/>
    <w:rsid w:val="001E76B5"/>
    <w:rsid w:val="001F319F"/>
    <w:rsid w:val="001F3385"/>
    <w:rsid w:val="001F6A4C"/>
    <w:rsid w:val="002012C2"/>
    <w:rsid w:val="00201693"/>
    <w:rsid w:val="00201C2C"/>
    <w:rsid w:val="00204BA1"/>
    <w:rsid w:val="00205DC4"/>
    <w:rsid w:val="002064ED"/>
    <w:rsid w:val="002068A9"/>
    <w:rsid w:val="00207C4C"/>
    <w:rsid w:val="00210F16"/>
    <w:rsid w:val="002123B8"/>
    <w:rsid w:val="002151D1"/>
    <w:rsid w:val="0021548E"/>
    <w:rsid w:val="00215D47"/>
    <w:rsid w:val="00216F81"/>
    <w:rsid w:val="00220E09"/>
    <w:rsid w:val="002226CB"/>
    <w:rsid w:val="00222915"/>
    <w:rsid w:val="00222928"/>
    <w:rsid w:val="002273F5"/>
    <w:rsid w:val="00230F19"/>
    <w:rsid w:val="00233B1B"/>
    <w:rsid w:val="0023450D"/>
    <w:rsid w:val="00234716"/>
    <w:rsid w:val="00237432"/>
    <w:rsid w:val="00237F74"/>
    <w:rsid w:val="00240659"/>
    <w:rsid w:val="0024180D"/>
    <w:rsid w:val="0024283D"/>
    <w:rsid w:val="0024318F"/>
    <w:rsid w:val="002438BF"/>
    <w:rsid w:val="00244BF7"/>
    <w:rsid w:val="00256D6C"/>
    <w:rsid w:val="00257147"/>
    <w:rsid w:val="00263590"/>
    <w:rsid w:val="00265938"/>
    <w:rsid w:val="002703A7"/>
    <w:rsid w:val="00270992"/>
    <w:rsid w:val="0027185A"/>
    <w:rsid w:val="00272F47"/>
    <w:rsid w:val="00272FCA"/>
    <w:rsid w:val="00273CE8"/>
    <w:rsid w:val="00276985"/>
    <w:rsid w:val="00282BD0"/>
    <w:rsid w:val="00284658"/>
    <w:rsid w:val="002863F9"/>
    <w:rsid w:val="00287199"/>
    <w:rsid w:val="00290A56"/>
    <w:rsid w:val="00295B07"/>
    <w:rsid w:val="0029611F"/>
    <w:rsid w:val="002A3D95"/>
    <w:rsid w:val="002A446C"/>
    <w:rsid w:val="002A544A"/>
    <w:rsid w:val="002A6E04"/>
    <w:rsid w:val="002B2F54"/>
    <w:rsid w:val="002B4A07"/>
    <w:rsid w:val="002B7022"/>
    <w:rsid w:val="002C109D"/>
    <w:rsid w:val="002C22ED"/>
    <w:rsid w:val="002C29CD"/>
    <w:rsid w:val="002C4107"/>
    <w:rsid w:val="002C75F8"/>
    <w:rsid w:val="002D125F"/>
    <w:rsid w:val="002D14FA"/>
    <w:rsid w:val="002D5506"/>
    <w:rsid w:val="002E0E14"/>
    <w:rsid w:val="002E1A8A"/>
    <w:rsid w:val="002E1F0E"/>
    <w:rsid w:val="002E229C"/>
    <w:rsid w:val="002E3E2F"/>
    <w:rsid w:val="002E51F1"/>
    <w:rsid w:val="002E6AFF"/>
    <w:rsid w:val="002E7043"/>
    <w:rsid w:val="002F07A9"/>
    <w:rsid w:val="002F1350"/>
    <w:rsid w:val="002F34A3"/>
    <w:rsid w:val="002F3790"/>
    <w:rsid w:val="002F40C2"/>
    <w:rsid w:val="002F4F8D"/>
    <w:rsid w:val="002F6136"/>
    <w:rsid w:val="00300265"/>
    <w:rsid w:val="0030283F"/>
    <w:rsid w:val="00304A67"/>
    <w:rsid w:val="00304F00"/>
    <w:rsid w:val="00306418"/>
    <w:rsid w:val="00315473"/>
    <w:rsid w:val="00316213"/>
    <w:rsid w:val="003168C5"/>
    <w:rsid w:val="00322DE0"/>
    <w:rsid w:val="003231B6"/>
    <w:rsid w:val="0032363D"/>
    <w:rsid w:val="003300BF"/>
    <w:rsid w:val="00330C85"/>
    <w:rsid w:val="0033190E"/>
    <w:rsid w:val="00333194"/>
    <w:rsid w:val="0033759E"/>
    <w:rsid w:val="003415FD"/>
    <w:rsid w:val="003441DC"/>
    <w:rsid w:val="003507EF"/>
    <w:rsid w:val="0035155E"/>
    <w:rsid w:val="00352880"/>
    <w:rsid w:val="00355000"/>
    <w:rsid w:val="00357DEF"/>
    <w:rsid w:val="003605D1"/>
    <w:rsid w:val="00361325"/>
    <w:rsid w:val="00361A82"/>
    <w:rsid w:val="0036446E"/>
    <w:rsid w:val="00366FB7"/>
    <w:rsid w:val="00372E3D"/>
    <w:rsid w:val="00374888"/>
    <w:rsid w:val="00374E40"/>
    <w:rsid w:val="0037719C"/>
    <w:rsid w:val="00380BC9"/>
    <w:rsid w:val="00391C66"/>
    <w:rsid w:val="00393E44"/>
    <w:rsid w:val="00394779"/>
    <w:rsid w:val="003A4640"/>
    <w:rsid w:val="003A7D9A"/>
    <w:rsid w:val="003B14AF"/>
    <w:rsid w:val="003B29C2"/>
    <w:rsid w:val="003B6559"/>
    <w:rsid w:val="003C0320"/>
    <w:rsid w:val="003C18AB"/>
    <w:rsid w:val="003C4673"/>
    <w:rsid w:val="003C53C6"/>
    <w:rsid w:val="003C6DFD"/>
    <w:rsid w:val="003D347A"/>
    <w:rsid w:val="003D3CB6"/>
    <w:rsid w:val="003D487D"/>
    <w:rsid w:val="003D4A81"/>
    <w:rsid w:val="003D5146"/>
    <w:rsid w:val="003E3239"/>
    <w:rsid w:val="003E3C6F"/>
    <w:rsid w:val="003E3E3C"/>
    <w:rsid w:val="003E467F"/>
    <w:rsid w:val="003E4BEC"/>
    <w:rsid w:val="003E6E86"/>
    <w:rsid w:val="003F4B39"/>
    <w:rsid w:val="003F72C3"/>
    <w:rsid w:val="00402DC5"/>
    <w:rsid w:val="00407A4C"/>
    <w:rsid w:val="004121E9"/>
    <w:rsid w:val="00413770"/>
    <w:rsid w:val="004235A7"/>
    <w:rsid w:val="00423DF1"/>
    <w:rsid w:val="00424DCF"/>
    <w:rsid w:val="00425048"/>
    <w:rsid w:val="0042521B"/>
    <w:rsid w:val="00425C40"/>
    <w:rsid w:val="00430C58"/>
    <w:rsid w:val="0043123A"/>
    <w:rsid w:val="004331C4"/>
    <w:rsid w:val="0043564D"/>
    <w:rsid w:val="00436330"/>
    <w:rsid w:val="00436570"/>
    <w:rsid w:val="004379F6"/>
    <w:rsid w:val="00441C25"/>
    <w:rsid w:val="00444002"/>
    <w:rsid w:val="00445D00"/>
    <w:rsid w:val="00446452"/>
    <w:rsid w:val="004522A7"/>
    <w:rsid w:val="00457071"/>
    <w:rsid w:val="00457E91"/>
    <w:rsid w:val="00460153"/>
    <w:rsid w:val="00472DC8"/>
    <w:rsid w:val="004751B4"/>
    <w:rsid w:val="0047522C"/>
    <w:rsid w:val="00475754"/>
    <w:rsid w:val="0047792C"/>
    <w:rsid w:val="004802EC"/>
    <w:rsid w:val="00482055"/>
    <w:rsid w:val="00482609"/>
    <w:rsid w:val="00483177"/>
    <w:rsid w:val="0048487F"/>
    <w:rsid w:val="004858CD"/>
    <w:rsid w:val="0048680D"/>
    <w:rsid w:val="00491546"/>
    <w:rsid w:val="00491A5F"/>
    <w:rsid w:val="00493B99"/>
    <w:rsid w:val="00495635"/>
    <w:rsid w:val="00496931"/>
    <w:rsid w:val="004978E2"/>
    <w:rsid w:val="00497E23"/>
    <w:rsid w:val="004A29F1"/>
    <w:rsid w:val="004A2E9B"/>
    <w:rsid w:val="004A360E"/>
    <w:rsid w:val="004A3EB1"/>
    <w:rsid w:val="004A4B4B"/>
    <w:rsid w:val="004A6641"/>
    <w:rsid w:val="004A6C28"/>
    <w:rsid w:val="004B1E94"/>
    <w:rsid w:val="004B33FF"/>
    <w:rsid w:val="004B3826"/>
    <w:rsid w:val="004B4AD5"/>
    <w:rsid w:val="004B5203"/>
    <w:rsid w:val="004B61C6"/>
    <w:rsid w:val="004B7449"/>
    <w:rsid w:val="004B79D5"/>
    <w:rsid w:val="004C0EC1"/>
    <w:rsid w:val="004C2511"/>
    <w:rsid w:val="004C4421"/>
    <w:rsid w:val="004C66B7"/>
    <w:rsid w:val="004C7B2B"/>
    <w:rsid w:val="004D2F69"/>
    <w:rsid w:val="004D3D92"/>
    <w:rsid w:val="004D6081"/>
    <w:rsid w:val="004D6FD3"/>
    <w:rsid w:val="004D7FA8"/>
    <w:rsid w:val="004E1878"/>
    <w:rsid w:val="004E3361"/>
    <w:rsid w:val="004E4284"/>
    <w:rsid w:val="004E4427"/>
    <w:rsid w:val="004E4FBA"/>
    <w:rsid w:val="004E5B8E"/>
    <w:rsid w:val="004E5EE5"/>
    <w:rsid w:val="004E795E"/>
    <w:rsid w:val="004F0191"/>
    <w:rsid w:val="004F0B07"/>
    <w:rsid w:val="004F20AE"/>
    <w:rsid w:val="004F3C06"/>
    <w:rsid w:val="004F61AD"/>
    <w:rsid w:val="005016A2"/>
    <w:rsid w:val="0050193C"/>
    <w:rsid w:val="00501C50"/>
    <w:rsid w:val="00503BA5"/>
    <w:rsid w:val="005061D7"/>
    <w:rsid w:val="00510553"/>
    <w:rsid w:val="00510962"/>
    <w:rsid w:val="005130AA"/>
    <w:rsid w:val="005131F1"/>
    <w:rsid w:val="0051484F"/>
    <w:rsid w:val="00514899"/>
    <w:rsid w:val="00516B3E"/>
    <w:rsid w:val="00517697"/>
    <w:rsid w:val="005220C9"/>
    <w:rsid w:val="00525DC9"/>
    <w:rsid w:val="005262C9"/>
    <w:rsid w:val="00527079"/>
    <w:rsid w:val="00531D70"/>
    <w:rsid w:val="005323AD"/>
    <w:rsid w:val="00533B8A"/>
    <w:rsid w:val="005361B4"/>
    <w:rsid w:val="005363FB"/>
    <w:rsid w:val="005372F1"/>
    <w:rsid w:val="0054582A"/>
    <w:rsid w:val="0055122D"/>
    <w:rsid w:val="00552BE9"/>
    <w:rsid w:val="00553055"/>
    <w:rsid w:val="005574D9"/>
    <w:rsid w:val="00562C60"/>
    <w:rsid w:val="005631ED"/>
    <w:rsid w:val="00564327"/>
    <w:rsid w:val="005647FC"/>
    <w:rsid w:val="00565E2F"/>
    <w:rsid w:val="005665A3"/>
    <w:rsid w:val="00566BF6"/>
    <w:rsid w:val="00566E94"/>
    <w:rsid w:val="00570F57"/>
    <w:rsid w:val="00571A2D"/>
    <w:rsid w:val="005805EE"/>
    <w:rsid w:val="00583434"/>
    <w:rsid w:val="0058349F"/>
    <w:rsid w:val="0058617D"/>
    <w:rsid w:val="00586DC6"/>
    <w:rsid w:val="005876C9"/>
    <w:rsid w:val="005902E0"/>
    <w:rsid w:val="00593DA8"/>
    <w:rsid w:val="00595AD6"/>
    <w:rsid w:val="0059600E"/>
    <w:rsid w:val="00596EC3"/>
    <w:rsid w:val="005A24DD"/>
    <w:rsid w:val="005A78BF"/>
    <w:rsid w:val="005B3CA9"/>
    <w:rsid w:val="005B6399"/>
    <w:rsid w:val="005B6B4C"/>
    <w:rsid w:val="005C004E"/>
    <w:rsid w:val="005C7516"/>
    <w:rsid w:val="005D1522"/>
    <w:rsid w:val="005E1613"/>
    <w:rsid w:val="005E1DF0"/>
    <w:rsid w:val="005E33AD"/>
    <w:rsid w:val="005E47ED"/>
    <w:rsid w:val="005F0BD3"/>
    <w:rsid w:val="005F1897"/>
    <w:rsid w:val="005F248E"/>
    <w:rsid w:val="005F5F5F"/>
    <w:rsid w:val="00600D18"/>
    <w:rsid w:val="0060275A"/>
    <w:rsid w:val="00602F08"/>
    <w:rsid w:val="00604DE2"/>
    <w:rsid w:val="00607CFC"/>
    <w:rsid w:val="006100D1"/>
    <w:rsid w:val="0061079B"/>
    <w:rsid w:val="00611F3E"/>
    <w:rsid w:val="006130E8"/>
    <w:rsid w:val="00615899"/>
    <w:rsid w:val="00615FEC"/>
    <w:rsid w:val="0061695B"/>
    <w:rsid w:val="00617888"/>
    <w:rsid w:val="00620334"/>
    <w:rsid w:val="00623A4E"/>
    <w:rsid w:val="00624770"/>
    <w:rsid w:val="006325A4"/>
    <w:rsid w:val="00634E48"/>
    <w:rsid w:val="006402A5"/>
    <w:rsid w:val="0064250B"/>
    <w:rsid w:val="00645974"/>
    <w:rsid w:val="00645F10"/>
    <w:rsid w:val="006474F6"/>
    <w:rsid w:val="00651D56"/>
    <w:rsid w:val="006565E5"/>
    <w:rsid w:val="006578EE"/>
    <w:rsid w:val="00657C0F"/>
    <w:rsid w:val="00661B31"/>
    <w:rsid w:val="00667887"/>
    <w:rsid w:val="00667A1E"/>
    <w:rsid w:val="00672268"/>
    <w:rsid w:val="00672561"/>
    <w:rsid w:val="00674F80"/>
    <w:rsid w:val="006752A2"/>
    <w:rsid w:val="00682513"/>
    <w:rsid w:val="006826AA"/>
    <w:rsid w:val="0068356A"/>
    <w:rsid w:val="0068669C"/>
    <w:rsid w:val="00693478"/>
    <w:rsid w:val="0069360B"/>
    <w:rsid w:val="00694558"/>
    <w:rsid w:val="006A0DB0"/>
    <w:rsid w:val="006A2B2B"/>
    <w:rsid w:val="006A3E97"/>
    <w:rsid w:val="006A65FC"/>
    <w:rsid w:val="006A6629"/>
    <w:rsid w:val="006B13AD"/>
    <w:rsid w:val="006B19D6"/>
    <w:rsid w:val="006C2D04"/>
    <w:rsid w:val="006C2DD0"/>
    <w:rsid w:val="006D57AE"/>
    <w:rsid w:val="006D655C"/>
    <w:rsid w:val="006E2985"/>
    <w:rsid w:val="006E2F21"/>
    <w:rsid w:val="006E6475"/>
    <w:rsid w:val="006F3982"/>
    <w:rsid w:val="006F7CB6"/>
    <w:rsid w:val="007000AF"/>
    <w:rsid w:val="00702DDB"/>
    <w:rsid w:val="0070394E"/>
    <w:rsid w:val="00703C57"/>
    <w:rsid w:val="007138E7"/>
    <w:rsid w:val="00713ECF"/>
    <w:rsid w:val="00722D43"/>
    <w:rsid w:val="00726ECC"/>
    <w:rsid w:val="007307EA"/>
    <w:rsid w:val="0073454D"/>
    <w:rsid w:val="00740A17"/>
    <w:rsid w:val="007424C7"/>
    <w:rsid w:val="0074285E"/>
    <w:rsid w:val="00742BFE"/>
    <w:rsid w:val="007462D6"/>
    <w:rsid w:val="0074738B"/>
    <w:rsid w:val="007473E7"/>
    <w:rsid w:val="00750018"/>
    <w:rsid w:val="00750E95"/>
    <w:rsid w:val="00751A0F"/>
    <w:rsid w:val="00752366"/>
    <w:rsid w:val="00752ACB"/>
    <w:rsid w:val="00753DDE"/>
    <w:rsid w:val="00755234"/>
    <w:rsid w:val="0076062E"/>
    <w:rsid w:val="007634F3"/>
    <w:rsid w:val="0076455A"/>
    <w:rsid w:val="0077172B"/>
    <w:rsid w:val="00772227"/>
    <w:rsid w:val="007741A2"/>
    <w:rsid w:val="0077653A"/>
    <w:rsid w:val="00776CB0"/>
    <w:rsid w:val="007774AD"/>
    <w:rsid w:val="00784635"/>
    <w:rsid w:val="00792D4E"/>
    <w:rsid w:val="00792D4F"/>
    <w:rsid w:val="007953F3"/>
    <w:rsid w:val="00796872"/>
    <w:rsid w:val="007A05EE"/>
    <w:rsid w:val="007A10AD"/>
    <w:rsid w:val="007A245C"/>
    <w:rsid w:val="007A2778"/>
    <w:rsid w:val="007A52CC"/>
    <w:rsid w:val="007A7803"/>
    <w:rsid w:val="007B061E"/>
    <w:rsid w:val="007B07ED"/>
    <w:rsid w:val="007B121C"/>
    <w:rsid w:val="007B1B2A"/>
    <w:rsid w:val="007B48D5"/>
    <w:rsid w:val="007C004F"/>
    <w:rsid w:val="007C2EA4"/>
    <w:rsid w:val="007C71B1"/>
    <w:rsid w:val="007D0787"/>
    <w:rsid w:val="007D087C"/>
    <w:rsid w:val="007D1080"/>
    <w:rsid w:val="007D2C1B"/>
    <w:rsid w:val="007D480E"/>
    <w:rsid w:val="007D4B1E"/>
    <w:rsid w:val="007D52D5"/>
    <w:rsid w:val="007D7EA5"/>
    <w:rsid w:val="007E3294"/>
    <w:rsid w:val="007E33E4"/>
    <w:rsid w:val="007E4CC9"/>
    <w:rsid w:val="007F26EE"/>
    <w:rsid w:val="007F2F4E"/>
    <w:rsid w:val="007F432E"/>
    <w:rsid w:val="007F7611"/>
    <w:rsid w:val="008008A6"/>
    <w:rsid w:val="00800D23"/>
    <w:rsid w:val="008069C2"/>
    <w:rsid w:val="00806AFD"/>
    <w:rsid w:val="00810998"/>
    <w:rsid w:val="008113A5"/>
    <w:rsid w:val="008120C1"/>
    <w:rsid w:val="00812FD2"/>
    <w:rsid w:val="00814E5E"/>
    <w:rsid w:val="00816273"/>
    <w:rsid w:val="008204B4"/>
    <w:rsid w:val="00821F5F"/>
    <w:rsid w:val="008244CD"/>
    <w:rsid w:val="008270BA"/>
    <w:rsid w:val="0082717B"/>
    <w:rsid w:val="00827B04"/>
    <w:rsid w:val="0083032E"/>
    <w:rsid w:val="008306EF"/>
    <w:rsid w:val="00835984"/>
    <w:rsid w:val="0083724B"/>
    <w:rsid w:val="00841669"/>
    <w:rsid w:val="00841907"/>
    <w:rsid w:val="00844B84"/>
    <w:rsid w:val="008453A2"/>
    <w:rsid w:val="008453D1"/>
    <w:rsid w:val="00850EE2"/>
    <w:rsid w:val="00851F69"/>
    <w:rsid w:val="00852365"/>
    <w:rsid w:val="0086036A"/>
    <w:rsid w:val="0086350F"/>
    <w:rsid w:val="008653A3"/>
    <w:rsid w:val="008654CF"/>
    <w:rsid w:val="008657A2"/>
    <w:rsid w:val="00866645"/>
    <w:rsid w:val="00867A8A"/>
    <w:rsid w:val="00870EAA"/>
    <w:rsid w:val="008711C4"/>
    <w:rsid w:val="00871758"/>
    <w:rsid w:val="008720B3"/>
    <w:rsid w:val="00881D9E"/>
    <w:rsid w:val="00882210"/>
    <w:rsid w:val="00885183"/>
    <w:rsid w:val="0088665C"/>
    <w:rsid w:val="00892CBB"/>
    <w:rsid w:val="008955B5"/>
    <w:rsid w:val="008A07E3"/>
    <w:rsid w:val="008A3928"/>
    <w:rsid w:val="008A6185"/>
    <w:rsid w:val="008A72EF"/>
    <w:rsid w:val="008B18AD"/>
    <w:rsid w:val="008B3E5D"/>
    <w:rsid w:val="008B469E"/>
    <w:rsid w:val="008B60D3"/>
    <w:rsid w:val="008B79AC"/>
    <w:rsid w:val="008B7E3F"/>
    <w:rsid w:val="008C1FE9"/>
    <w:rsid w:val="008C22B6"/>
    <w:rsid w:val="008C64B0"/>
    <w:rsid w:val="008C6572"/>
    <w:rsid w:val="008C7DCE"/>
    <w:rsid w:val="008D0F41"/>
    <w:rsid w:val="008D12A5"/>
    <w:rsid w:val="008D18FC"/>
    <w:rsid w:val="008D398B"/>
    <w:rsid w:val="008D4963"/>
    <w:rsid w:val="008D7E49"/>
    <w:rsid w:val="008E1650"/>
    <w:rsid w:val="008E419B"/>
    <w:rsid w:val="008E75AE"/>
    <w:rsid w:val="008E7A6F"/>
    <w:rsid w:val="008F02E5"/>
    <w:rsid w:val="008F1D49"/>
    <w:rsid w:val="008F3141"/>
    <w:rsid w:val="008F34AE"/>
    <w:rsid w:val="008F364A"/>
    <w:rsid w:val="008F3F53"/>
    <w:rsid w:val="008F42AE"/>
    <w:rsid w:val="008F5748"/>
    <w:rsid w:val="008F768C"/>
    <w:rsid w:val="009010E0"/>
    <w:rsid w:val="00905C67"/>
    <w:rsid w:val="0090723A"/>
    <w:rsid w:val="00911378"/>
    <w:rsid w:val="00912880"/>
    <w:rsid w:val="00913E03"/>
    <w:rsid w:val="00915A1B"/>
    <w:rsid w:val="009164CF"/>
    <w:rsid w:val="00920407"/>
    <w:rsid w:val="009211C9"/>
    <w:rsid w:val="0092239B"/>
    <w:rsid w:val="009229E9"/>
    <w:rsid w:val="00925BA6"/>
    <w:rsid w:val="0092645E"/>
    <w:rsid w:val="00926521"/>
    <w:rsid w:val="00926953"/>
    <w:rsid w:val="00932703"/>
    <w:rsid w:val="00936469"/>
    <w:rsid w:val="009400B7"/>
    <w:rsid w:val="00941800"/>
    <w:rsid w:val="00941F87"/>
    <w:rsid w:val="00946677"/>
    <w:rsid w:val="0095182E"/>
    <w:rsid w:val="00954DC2"/>
    <w:rsid w:val="009566C6"/>
    <w:rsid w:val="009569EC"/>
    <w:rsid w:val="00957B92"/>
    <w:rsid w:val="00957CF2"/>
    <w:rsid w:val="00960B45"/>
    <w:rsid w:val="00961362"/>
    <w:rsid w:val="009623DA"/>
    <w:rsid w:val="00970966"/>
    <w:rsid w:val="0097109C"/>
    <w:rsid w:val="0097180C"/>
    <w:rsid w:val="00973F94"/>
    <w:rsid w:val="00974442"/>
    <w:rsid w:val="00980DBF"/>
    <w:rsid w:val="00981642"/>
    <w:rsid w:val="00983717"/>
    <w:rsid w:val="00983E39"/>
    <w:rsid w:val="009842F8"/>
    <w:rsid w:val="0098445F"/>
    <w:rsid w:val="009969D8"/>
    <w:rsid w:val="00997616"/>
    <w:rsid w:val="009A4E29"/>
    <w:rsid w:val="009A77A3"/>
    <w:rsid w:val="009B0D99"/>
    <w:rsid w:val="009B1272"/>
    <w:rsid w:val="009B1A85"/>
    <w:rsid w:val="009B2264"/>
    <w:rsid w:val="009B4CAB"/>
    <w:rsid w:val="009B7A2E"/>
    <w:rsid w:val="009C4EFA"/>
    <w:rsid w:val="009D26DC"/>
    <w:rsid w:val="009D610D"/>
    <w:rsid w:val="009D6270"/>
    <w:rsid w:val="009E0702"/>
    <w:rsid w:val="009E0E56"/>
    <w:rsid w:val="009E1E41"/>
    <w:rsid w:val="009E356F"/>
    <w:rsid w:val="009E37BB"/>
    <w:rsid w:val="009E3D2E"/>
    <w:rsid w:val="009E525D"/>
    <w:rsid w:val="009E6E06"/>
    <w:rsid w:val="009F08F1"/>
    <w:rsid w:val="009F171D"/>
    <w:rsid w:val="009F1F69"/>
    <w:rsid w:val="009F1FAD"/>
    <w:rsid w:val="009F706C"/>
    <w:rsid w:val="009F7A64"/>
    <w:rsid w:val="00A00B1F"/>
    <w:rsid w:val="00A02184"/>
    <w:rsid w:val="00A03224"/>
    <w:rsid w:val="00A04E0C"/>
    <w:rsid w:val="00A07651"/>
    <w:rsid w:val="00A1746B"/>
    <w:rsid w:val="00A203E0"/>
    <w:rsid w:val="00A23629"/>
    <w:rsid w:val="00A23A77"/>
    <w:rsid w:val="00A23BF4"/>
    <w:rsid w:val="00A2474A"/>
    <w:rsid w:val="00A25102"/>
    <w:rsid w:val="00A2593B"/>
    <w:rsid w:val="00A26DD7"/>
    <w:rsid w:val="00A30D62"/>
    <w:rsid w:val="00A31D1A"/>
    <w:rsid w:val="00A338A9"/>
    <w:rsid w:val="00A34555"/>
    <w:rsid w:val="00A34A3A"/>
    <w:rsid w:val="00A34E05"/>
    <w:rsid w:val="00A3616F"/>
    <w:rsid w:val="00A43B19"/>
    <w:rsid w:val="00A43D8B"/>
    <w:rsid w:val="00A444F3"/>
    <w:rsid w:val="00A454F1"/>
    <w:rsid w:val="00A45C22"/>
    <w:rsid w:val="00A47FBE"/>
    <w:rsid w:val="00A52A65"/>
    <w:rsid w:val="00A543CC"/>
    <w:rsid w:val="00A55F51"/>
    <w:rsid w:val="00A6077F"/>
    <w:rsid w:val="00A6285A"/>
    <w:rsid w:val="00A628DE"/>
    <w:rsid w:val="00A63A51"/>
    <w:rsid w:val="00A651F3"/>
    <w:rsid w:val="00A70812"/>
    <w:rsid w:val="00A7191C"/>
    <w:rsid w:val="00A720F6"/>
    <w:rsid w:val="00A73B05"/>
    <w:rsid w:val="00A75EF4"/>
    <w:rsid w:val="00A810A9"/>
    <w:rsid w:val="00A8378F"/>
    <w:rsid w:val="00A85A77"/>
    <w:rsid w:val="00A87718"/>
    <w:rsid w:val="00A93CFF"/>
    <w:rsid w:val="00AA1365"/>
    <w:rsid w:val="00AA2AE9"/>
    <w:rsid w:val="00AA39A4"/>
    <w:rsid w:val="00AA68D9"/>
    <w:rsid w:val="00AA7D87"/>
    <w:rsid w:val="00AB0F38"/>
    <w:rsid w:val="00AB1D2C"/>
    <w:rsid w:val="00AB1E02"/>
    <w:rsid w:val="00AB2B7B"/>
    <w:rsid w:val="00AB7DD2"/>
    <w:rsid w:val="00AC28D3"/>
    <w:rsid w:val="00AD10ED"/>
    <w:rsid w:val="00AD232A"/>
    <w:rsid w:val="00AD3294"/>
    <w:rsid w:val="00AD4C98"/>
    <w:rsid w:val="00AD7B55"/>
    <w:rsid w:val="00AE0E74"/>
    <w:rsid w:val="00AE64A5"/>
    <w:rsid w:val="00AF0C7C"/>
    <w:rsid w:val="00AF1F1C"/>
    <w:rsid w:val="00AF5CD5"/>
    <w:rsid w:val="00AF71B2"/>
    <w:rsid w:val="00B00AEB"/>
    <w:rsid w:val="00B010B2"/>
    <w:rsid w:val="00B01D86"/>
    <w:rsid w:val="00B07E4E"/>
    <w:rsid w:val="00B10891"/>
    <w:rsid w:val="00B11FD1"/>
    <w:rsid w:val="00B12E63"/>
    <w:rsid w:val="00B137E9"/>
    <w:rsid w:val="00B26CC8"/>
    <w:rsid w:val="00B275C3"/>
    <w:rsid w:val="00B30353"/>
    <w:rsid w:val="00B308CE"/>
    <w:rsid w:val="00B30EA2"/>
    <w:rsid w:val="00B36ED3"/>
    <w:rsid w:val="00B40B8F"/>
    <w:rsid w:val="00B422FF"/>
    <w:rsid w:val="00B44B6D"/>
    <w:rsid w:val="00B46E61"/>
    <w:rsid w:val="00B476A8"/>
    <w:rsid w:val="00B502C7"/>
    <w:rsid w:val="00B513C9"/>
    <w:rsid w:val="00B51EC0"/>
    <w:rsid w:val="00B56EF4"/>
    <w:rsid w:val="00B57788"/>
    <w:rsid w:val="00B613FA"/>
    <w:rsid w:val="00B70485"/>
    <w:rsid w:val="00B76B8D"/>
    <w:rsid w:val="00B82411"/>
    <w:rsid w:val="00B82A13"/>
    <w:rsid w:val="00B8578E"/>
    <w:rsid w:val="00B86C4D"/>
    <w:rsid w:val="00B9370E"/>
    <w:rsid w:val="00BA4104"/>
    <w:rsid w:val="00BB1CB1"/>
    <w:rsid w:val="00BB1EBC"/>
    <w:rsid w:val="00BB20DD"/>
    <w:rsid w:val="00BB3674"/>
    <w:rsid w:val="00BB5490"/>
    <w:rsid w:val="00BB7DEA"/>
    <w:rsid w:val="00BB7E97"/>
    <w:rsid w:val="00BC0EBF"/>
    <w:rsid w:val="00BC17C1"/>
    <w:rsid w:val="00BC3BC3"/>
    <w:rsid w:val="00BC71FC"/>
    <w:rsid w:val="00BD3AA9"/>
    <w:rsid w:val="00BD6AA8"/>
    <w:rsid w:val="00BE427D"/>
    <w:rsid w:val="00BF0207"/>
    <w:rsid w:val="00BF2785"/>
    <w:rsid w:val="00BF5DDC"/>
    <w:rsid w:val="00BF71C6"/>
    <w:rsid w:val="00BF768E"/>
    <w:rsid w:val="00C0145A"/>
    <w:rsid w:val="00C02AF8"/>
    <w:rsid w:val="00C056F5"/>
    <w:rsid w:val="00C07F6B"/>
    <w:rsid w:val="00C11356"/>
    <w:rsid w:val="00C17E01"/>
    <w:rsid w:val="00C208C1"/>
    <w:rsid w:val="00C20B7F"/>
    <w:rsid w:val="00C2699C"/>
    <w:rsid w:val="00C2729E"/>
    <w:rsid w:val="00C31AC4"/>
    <w:rsid w:val="00C3372D"/>
    <w:rsid w:val="00C33C32"/>
    <w:rsid w:val="00C33D98"/>
    <w:rsid w:val="00C35F33"/>
    <w:rsid w:val="00C36F59"/>
    <w:rsid w:val="00C409BE"/>
    <w:rsid w:val="00C423CA"/>
    <w:rsid w:val="00C478EB"/>
    <w:rsid w:val="00C5260B"/>
    <w:rsid w:val="00C579E9"/>
    <w:rsid w:val="00C57A80"/>
    <w:rsid w:val="00C60545"/>
    <w:rsid w:val="00C63446"/>
    <w:rsid w:val="00C641AB"/>
    <w:rsid w:val="00C64503"/>
    <w:rsid w:val="00C652ED"/>
    <w:rsid w:val="00C65C1F"/>
    <w:rsid w:val="00C67901"/>
    <w:rsid w:val="00C67A44"/>
    <w:rsid w:val="00C746D1"/>
    <w:rsid w:val="00C74860"/>
    <w:rsid w:val="00C7793C"/>
    <w:rsid w:val="00C800F7"/>
    <w:rsid w:val="00C84094"/>
    <w:rsid w:val="00C86D11"/>
    <w:rsid w:val="00C907D0"/>
    <w:rsid w:val="00C924A1"/>
    <w:rsid w:val="00C9309A"/>
    <w:rsid w:val="00C939A8"/>
    <w:rsid w:val="00C94850"/>
    <w:rsid w:val="00C94B77"/>
    <w:rsid w:val="00C9523F"/>
    <w:rsid w:val="00C96CE0"/>
    <w:rsid w:val="00C97145"/>
    <w:rsid w:val="00CA1B7A"/>
    <w:rsid w:val="00CA1F87"/>
    <w:rsid w:val="00CA232A"/>
    <w:rsid w:val="00CA2751"/>
    <w:rsid w:val="00CA3382"/>
    <w:rsid w:val="00CB0CF5"/>
    <w:rsid w:val="00CB4A1B"/>
    <w:rsid w:val="00CB4C19"/>
    <w:rsid w:val="00CB5AC3"/>
    <w:rsid w:val="00CC1A6C"/>
    <w:rsid w:val="00CD3A92"/>
    <w:rsid w:val="00CD4B47"/>
    <w:rsid w:val="00CE507A"/>
    <w:rsid w:val="00CF1B92"/>
    <w:rsid w:val="00CF27A9"/>
    <w:rsid w:val="00CF2868"/>
    <w:rsid w:val="00CF2BB4"/>
    <w:rsid w:val="00CF53A1"/>
    <w:rsid w:val="00D010FD"/>
    <w:rsid w:val="00D018EE"/>
    <w:rsid w:val="00D02812"/>
    <w:rsid w:val="00D040EE"/>
    <w:rsid w:val="00D07949"/>
    <w:rsid w:val="00D1082E"/>
    <w:rsid w:val="00D11525"/>
    <w:rsid w:val="00D15F10"/>
    <w:rsid w:val="00D20056"/>
    <w:rsid w:val="00D207EF"/>
    <w:rsid w:val="00D24BB2"/>
    <w:rsid w:val="00D30984"/>
    <w:rsid w:val="00D31719"/>
    <w:rsid w:val="00D35E4D"/>
    <w:rsid w:val="00D41D58"/>
    <w:rsid w:val="00D421C8"/>
    <w:rsid w:val="00D47AAE"/>
    <w:rsid w:val="00D50067"/>
    <w:rsid w:val="00D51B0F"/>
    <w:rsid w:val="00D55B2F"/>
    <w:rsid w:val="00D60D15"/>
    <w:rsid w:val="00D61181"/>
    <w:rsid w:val="00D615E9"/>
    <w:rsid w:val="00D6314B"/>
    <w:rsid w:val="00D66245"/>
    <w:rsid w:val="00D73F8A"/>
    <w:rsid w:val="00D86E21"/>
    <w:rsid w:val="00D910D0"/>
    <w:rsid w:val="00D9310E"/>
    <w:rsid w:val="00D96013"/>
    <w:rsid w:val="00D96C6E"/>
    <w:rsid w:val="00DA50E5"/>
    <w:rsid w:val="00DA5BE6"/>
    <w:rsid w:val="00DB0E02"/>
    <w:rsid w:val="00DB120B"/>
    <w:rsid w:val="00DB2119"/>
    <w:rsid w:val="00DB4799"/>
    <w:rsid w:val="00DB52B4"/>
    <w:rsid w:val="00DB696E"/>
    <w:rsid w:val="00DC0426"/>
    <w:rsid w:val="00DC05BC"/>
    <w:rsid w:val="00DD3A24"/>
    <w:rsid w:val="00DD3D51"/>
    <w:rsid w:val="00DD5431"/>
    <w:rsid w:val="00DD5A0C"/>
    <w:rsid w:val="00DD6482"/>
    <w:rsid w:val="00DD76D9"/>
    <w:rsid w:val="00DE22C9"/>
    <w:rsid w:val="00DE38C1"/>
    <w:rsid w:val="00DE7019"/>
    <w:rsid w:val="00DF29AB"/>
    <w:rsid w:val="00DF3516"/>
    <w:rsid w:val="00DF64E7"/>
    <w:rsid w:val="00DF6CE5"/>
    <w:rsid w:val="00DF7FC6"/>
    <w:rsid w:val="00E00322"/>
    <w:rsid w:val="00E03C07"/>
    <w:rsid w:val="00E122E1"/>
    <w:rsid w:val="00E14E43"/>
    <w:rsid w:val="00E1690F"/>
    <w:rsid w:val="00E16F9A"/>
    <w:rsid w:val="00E20E3C"/>
    <w:rsid w:val="00E23BDD"/>
    <w:rsid w:val="00E244BC"/>
    <w:rsid w:val="00E249DF"/>
    <w:rsid w:val="00E27B21"/>
    <w:rsid w:val="00E36290"/>
    <w:rsid w:val="00E3700E"/>
    <w:rsid w:val="00E41577"/>
    <w:rsid w:val="00E4622A"/>
    <w:rsid w:val="00E47ED2"/>
    <w:rsid w:val="00E52399"/>
    <w:rsid w:val="00E53410"/>
    <w:rsid w:val="00E53C5D"/>
    <w:rsid w:val="00E560ED"/>
    <w:rsid w:val="00E64AF8"/>
    <w:rsid w:val="00E6530A"/>
    <w:rsid w:val="00E669D4"/>
    <w:rsid w:val="00E709C1"/>
    <w:rsid w:val="00E70E18"/>
    <w:rsid w:val="00E7137D"/>
    <w:rsid w:val="00E71C30"/>
    <w:rsid w:val="00E726E2"/>
    <w:rsid w:val="00E737C1"/>
    <w:rsid w:val="00E744F4"/>
    <w:rsid w:val="00E75E5C"/>
    <w:rsid w:val="00E777D8"/>
    <w:rsid w:val="00E81E61"/>
    <w:rsid w:val="00E848B4"/>
    <w:rsid w:val="00E85A61"/>
    <w:rsid w:val="00E8642C"/>
    <w:rsid w:val="00E87391"/>
    <w:rsid w:val="00E91417"/>
    <w:rsid w:val="00E94329"/>
    <w:rsid w:val="00EA039D"/>
    <w:rsid w:val="00EA0A26"/>
    <w:rsid w:val="00EA4F53"/>
    <w:rsid w:val="00EA7889"/>
    <w:rsid w:val="00EB1377"/>
    <w:rsid w:val="00EB530C"/>
    <w:rsid w:val="00EC0F2C"/>
    <w:rsid w:val="00EC185A"/>
    <w:rsid w:val="00EC1E33"/>
    <w:rsid w:val="00EC2E3E"/>
    <w:rsid w:val="00EC3BDA"/>
    <w:rsid w:val="00ED43E9"/>
    <w:rsid w:val="00ED578C"/>
    <w:rsid w:val="00EE1D54"/>
    <w:rsid w:val="00EE4747"/>
    <w:rsid w:val="00EE7E48"/>
    <w:rsid w:val="00EF0050"/>
    <w:rsid w:val="00EF0D60"/>
    <w:rsid w:val="00EF20C6"/>
    <w:rsid w:val="00EF3E4D"/>
    <w:rsid w:val="00EF4074"/>
    <w:rsid w:val="00EF6035"/>
    <w:rsid w:val="00EF718C"/>
    <w:rsid w:val="00F01C22"/>
    <w:rsid w:val="00F0439C"/>
    <w:rsid w:val="00F06516"/>
    <w:rsid w:val="00F06903"/>
    <w:rsid w:val="00F07022"/>
    <w:rsid w:val="00F1119E"/>
    <w:rsid w:val="00F142FC"/>
    <w:rsid w:val="00F1457C"/>
    <w:rsid w:val="00F154F5"/>
    <w:rsid w:val="00F1672D"/>
    <w:rsid w:val="00F21E22"/>
    <w:rsid w:val="00F23B01"/>
    <w:rsid w:val="00F26A65"/>
    <w:rsid w:val="00F31840"/>
    <w:rsid w:val="00F32D45"/>
    <w:rsid w:val="00F33D28"/>
    <w:rsid w:val="00F33E30"/>
    <w:rsid w:val="00F35585"/>
    <w:rsid w:val="00F357B3"/>
    <w:rsid w:val="00F35A34"/>
    <w:rsid w:val="00F367C2"/>
    <w:rsid w:val="00F37D34"/>
    <w:rsid w:val="00F40764"/>
    <w:rsid w:val="00F40882"/>
    <w:rsid w:val="00F43559"/>
    <w:rsid w:val="00F4355F"/>
    <w:rsid w:val="00F4481F"/>
    <w:rsid w:val="00F462D2"/>
    <w:rsid w:val="00F5208E"/>
    <w:rsid w:val="00F52A08"/>
    <w:rsid w:val="00F54EA4"/>
    <w:rsid w:val="00F55FA9"/>
    <w:rsid w:val="00F5789B"/>
    <w:rsid w:val="00F621D5"/>
    <w:rsid w:val="00F65486"/>
    <w:rsid w:val="00F66868"/>
    <w:rsid w:val="00F724B8"/>
    <w:rsid w:val="00F725B1"/>
    <w:rsid w:val="00F75AAB"/>
    <w:rsid w:val="00F75C76"/>
    <w:rsid w:val="00F82404"/>
    <w:rsid w:val="00F83FEC"/>
    <w:rsid w:val="00F85A3B"/>
    <w:rsid w:val="00F86407"/>
    <w:rsid w:val="00F90941"/>
    <w:rsid w:val="00F90C9D"/>
    <w:rsid w:val="00F923C3"/>
    <w:rsid w:val="00F968CB"/>
    <w:rsid w:val="00FA40E5"/>
    <w:rsid w:val="00FB0A6C"/>
    <w:rsid w:val="00FB15FF"/>
    <w:rsid w:val="00FC20E9"/>
    <w:rsid w:val="00FC25C0"/>
    <w:rsid w:val="00FC3ABA"/>
    <w:rsid w:val="00FC720B"/>
    <w:rsid w:val="00FD0F07"/>
    <w:rsid w:val="00FD212A"/>
    <w:rsid w:val="00FD755F"/>
    <w:rsid w:val="00FE0265"/>
    <w:rsid w:val="00FE2603"/>
    <w:rsid w:val="00FE3FE9"/>
    <w:rsid w:val="00FE4AD8"/>
    <w:rsid w:val="00FE6A10"/>
    <w:rsid w:val="00FF1CCE"/>
    <w:rsid w:val="00FF2496"/>
    <w:rsid w:val="00FF2B6A"/>
    <w:rsid w:val="00FF712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96C30"/>
  <w15:chartTrackingRefBased/>
  <w15:docId w15:val="{C100D9E9-8C9E-406A-94CD-DF05F8D20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exact"/>
    </w:pPr>
    <w:rPr>
      <w:rFonts w:ascii="Arial" w:hAnsi="Arial"/>
      <w:sz w:val="24"/>
      <w:lang w:eastAsia="fr-FR"/>
    </w:rPr>
  </w:style>
  <w:style w:type="paragraph" w:styleId="Titre1">
    <w:name w:val="heading 1"/>
    <w:basedOn w:val="Normal"/>
    <w:next w:val="Normal"/>
    <w:qFormat/>
    <w:pPr>
      <w:keepNext/>
      <w:spacing w:before="240" w:after="60" w:line="500" w:lineRule="exact"/>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rsid w:val="00F725B1"/>
    <w:pPr>
      <w:numPr>
        <w:numId w:val="18"/>
      </w:numPr>
      <w:spacing w:before="120" w:after="120"/>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basedOn w:val="Normal"/>
    <w:semiHidden/>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pPr>
      <w:widowControl w:val="0"/>
      <w:numPr>
        <w:ilvl w:val="1"/>
        <w:numId w:val="18"/>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semiHidden/>
    <w:pPr>
      <w:tabs>
        <w:tab w:val="center" w:pos="4320"/>
        <w:tab w:val="right" w:pos="8640"/>
      </w:tabs>
    </w:pPr>
  </w:style>
  <w:style w:type="paragraph" w:styleId="Pieddepage">
    <w:name w:val="footer"/>
    <w:basedOn w:val="Normal"/>
    <w:link w:val="PieddepageCar"/>
    <w:semiHidden/>
    <w:pPr>
      <w:tabs>
        <w:tab w:val="center" w:pos="4320"/>
        <w:tab w:val="right" w:pos="8640"/>
      </w:tabs>
    </w:pPr>
  </w:style>
  <w:style w:type="paragraph" w:customStyle="1" w:styleId="Tableaudroiteanglais">
    <w:name w:val="Tableau droite anglais"/>
    <w:basedOn w:val="Tableaugauchefranais"/>
    <w:pPr>
      <w:ind w:left="144" w:right="720"/>
      <w:jc w:val="both"/>
    </w:pPr>
    <w:rPr>
      <w:lang w:val="en-CA"/>
    </w:rPr>
  </w:style>
  <w:style w:type="paragraph" w:customStyle="1" w:styleId="Tableaugauchefranais">
    <w:name w:val="Tableau gauche français"/>
    <w:basedOn w:val="Normal"/>
    <w:pPr>
      <w:ind w:left="720" w:right="144"/>
    </w:pPr>
    <w:rPr>
      <w:sz w:val="22"/>
    </w:rPr>
  </w:style>
  <w:style w:type="character" w:styleId="Appelnotedebasdep">
    <w:name w:val="footnote reference"/>
    <w:semiHidden/>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table" w:styleId="Grilledutableau">
    <w:name w:val="Table Grid"/>
    <w:basedOn w:val="TableauNormal"/>
    <w:uiPriority w:val="39"/>
    <w:rsid w:val="00E2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23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239"/>
    <w:rPr>
      <w:rFonts w:ascii="Segoe UI" w:hAnsi="Segoe UI" w:cs="Segoe UI"/>
      <w:sz w:val="18"/>
      <w:szCs w:val="18"/>
      <w:lang w:eastAsia="fr-FR"/>
    </w:rPr>
  </w:style>
  <w:style w:type="paragraph" w:styleId="Rvision">
    <w:name w:val="Revision"/>
    <w:hidden/>
    <w:uiPriority w:val="99"/>
    <w:semiHidden/>
    <w:rsid w:val="00657C0F"/>
    <w:rPr>
      <w:rFonts w:ascii="Arial" w:hAnsi="Arial"/>
      <w:sz w:val="24"/>
      <w:lang w:eastAsia="fr-FR"/>
    </w:rPr>
  </w:style>
  <w:style w:type="character" w:styleId="Marquedecommentaire">
    <w:name w:val="annotation reference"/>
    <w:basedOn w:val="Policepardfaut"/>
    <w:uiPriority w:val="99"/>
    <w:semiHidden/>
    <w:unhideWhenUsed/>
    <w:rsid w:val="00F06516"/>
    <w:rPr>
      <w:sz w:val="16"/>
      <w:szCs w:val="16"/>
    </w:rPr>
  </w:style>
  <w:style w:type="paragraph" w:styleId="Commentaire">
    <w:name w:val="annotation text"/>
    <w:basedOn w:val="Normal"/>
    <w:link w:val="CommentaireCar"/>
    <w:uiPriority w:val="99"/>
    <w:unhideWhenUsed/>
    <w:rsid w:val="00F06516"/>
    <w:pPr>
      <w:spacing w:line="240" w:lineRule="auto"/>
    </w:pPr>
    <w:rPr>
      <w:sz w:val="20"/>
    </w:rPr>
  </w:style>
  <w:style w:type="character" w:customStyle="1" w:styleId="CommentaireCar">
    <w:name w:val="Commentaire Car"/>
    <w:basedOn w:val="Policepardfaut"/>
    <w:link w:val="Commentaire"/>
    <w:uiPriority w:val="99"/>
    <w:rsid w:val="00F06516"/>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F06516"/>
    <w:rPr>
      <w:b/>
      <w:bCs/>
    </w:rPr>
  </w:style>
  <w:style w:type="character" w:customStyle="1" w:styleId="ObjetducommentaireCar">
    <w:name w:val="Objet du commentaire Car"/>
    <w:basedOn w:val="CommentaireCar"/>
    <w:link w:val="Objetducommentaire"/>
    <w:uiPriority w:val="99"/>
    <w:semiHidden/>
    <w:rsid w:val="00F06516"/>
    <w:rPr>
      <w:rFonts w:ascii="Arial" w:hAnsi="Arial"/>
      <w:b/>
      <w:bCs/>
      <w:lang w:eastAsia="fr-FR"/>
    </w:rPr>
  </w:style>
  <w:style w:type="character" w:styleId="Hyperlien">
    <w:name w:val="Hyperlink"/>
    <w:basedOn w:val="Policepardfaut"/>
    <w:uiPriority w:val="99"/>
    <w:unhideWhenUsed/>
    <w:rsid w:val="00EA0A26"/>
    <w:rPr>
      <w:color w:val="0563C1" w:themeColor="hyperlink"/>
      <w:u w:val="single"/>
    </w:rPr>
  </w:style>
  <w:style w:type="character" w:styleId="Mentionnonrsolue">
    <w:name w:val="Unresolved Mention"/>
    <w:basedOn w:val="Policepardfaut"/>
    <w:uiPriority w:val="99"/>
    <w:semiHidden/>
    <w:unhideWhenUsed/>
    <w:rsid w:val="00EA0A26"/>
    <w:rPr>
      <w:color w:val="605E5C"/>
      <w:shd w:val="clear" w:color="auto" w:fill="E1DFDD"/>
    </w:rPr>
  </w:style>
  <w:style w:type="character" w:customStyle="1" w:styleId="PieddepageCar">
    <w:name w:val="Pied de page Car"/>
    <w:basedOn w:val="Policepardfaut"/>
    <w:link w:val="Pieddepage"/>
    <w:semiHidden/>
    <w:rsid w:val="00220E09"/>
    <w:rPr>
      <w:rFonts w:ascii="Arial" w:hAnsi="Arial"/>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14EA0-E01B-409E-BAC3-5AFC964E9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41</Pages>
  <Words>13081</Words>
  <Characters>71946</Characters>
  <Application>Microsoft Office Word</Application>
  <DocSecurity>0</DocSecurity>
  <Lines>599</Lines>
  <Paragraphs>169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 Natalie</dc:creator>
  <cp:lastModifiedBy>Traduction</cp:lastModifiedBy>
  <cp:revision>2</cp:revision>
  <dcterms:created xsi:type="dcterms:W3CDTF">2025-03-10T17:45:00Z</dcterms:created>
  <dcterms:modified xsi:type="dcterms:W3CDTF">2025-03-10T17:45:00Z</dcterms:modified>
</cp:coreProperties>
</file>