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8236" w14:textId="60D069B9" w:rsidR="008B457D" w:rsidRPr="00CF3D68" w:rsidRDefault="008B457D">
      <w:pPr>
        <w:rPr>
          <w:lang w:val="en-CA"/>
        </w:rPr>
      </w:pPr>
      <w:r w:rsidRPr="00CF3D68">
        <w:rPr>
          <w:lang w:val="en-CA"/>
        </w:rPr>
        <w:t>Translated from the original French</w:t>
      </w:r>
    </w:p>
    <w:tbl>
      <w:tblPr>
        <w:tblW w:w="9505" w:type="dxa"/>
        <w:tblLayout w:type="fixed"/>
        <w:tblCellMar>
          <w:left w:w="70" w:type="dxa"/>
          <w:right w:w="70" w:type="dxa"/>
        </w:tblCellMar>
        <w:tblLook w:val="0000" w:firstRow="0" w:lastRow="0" w:firstColumn="0" w:lastColumn="0" w:noHBand="0" w:noVBand="0"/>
      </w:tblPr>
      <w:tblGrid>
        <w:gridCol w:w="1105"/>
        <w:gridCol w:w="29"/>
        <w:gridCol w:w="491"/>
        <w:gridCol w:w="76"/>
        <w:gridCol w:w="2410"/>
        <w:gridCol w:w="2974"/>
        <w:gridCol w:w="2420"/>
      </w:tblGrid>
      <w:tr w:rsidR="0040299D" w:rsidRPr="00CF3D68" w14:paraId="583394D7" w14:textId="77777777">
        <w:trPr>
          <w:trHeight w:val="360"/>
        </w:trPr>
        <w:tc>
          <w:tcPr>
            <w:tcW w:w="7085" w:type="dxa"/>
            <w:gridSpan w:val="6"/>
          </w:tcPr>
          <w:p w14:paraId="1973D1B6" w14:textId="2C037A57" w:rsidR="000B2721" w:rsidRPr="007B7DA3" w:rsidRDefault="001F7521" w:rsidP="00AE5F7B">
            <w:pPr>
              <w:pStyle w:val="zSoquijdatRepertorie"/>
              <w:rPr>
                <w:rFonts w:cs="Arial"/>
              </w:rPr>
            </w:pPr>
            <w:r w:rsidRPr="007B7DA3">
              <w:rPr>
                <w:rFonts w:cs="Arial"/>
              </w:rPr>
              <w:t>Corps de police désigné c. Personnes désignées</w:t>
            </w:r>
          </w:p>
        </w:tc>
        <w:tc>
          <w:tcPr>
            <w:tcW w:w="2420" w:type="dxa"/>
          </w:tcPr>
          <w:p w14:paraId="0B410398" w14:textId="3462CE3D" w:rsidR="000B2721" w:rsidRPr="00CF3D68" w:rsidRDefault="001F7521" w:rsidP="00BC4B2A">
            <w:pPr>
              <w:pStyle w:val="zSoquijdatRefNeutre"/>
              <w:jc w:val="right"/>
              <w:rPr>
                <w:rFonts w:cs="Arial"/>
                <w:lang w:val="en-CA"/>
              </w:rPr>
            </w:pPr>
            <w:r w:rsidRPr="00CF3D68">
              <w:rPr>
                <w:rFonts w:cs="Arial"/>
                <w:lang w:val="en-CA"/>
              </w:rPr>
              <w:t>2024 QCCQ 2869</w:t>
            </w:r>
          </w:p>
        </w:tc>
      </w:tr>
      <w:tr w:rsidR="0040299D" w:rsidRPr="00CF3D68" w14:paraId="6E3DBB09" w14:textId="77777777">
        <w:trPr>
          <w:trHeight w:val="900"/>
        </w:trPr>
        <w:tc>
          <w:tcPr>
            <w:tcW w:w="9505" w:type="dxa"/>
            <w:gridSpan w:val="7"/>
            <w:vAlign w:val="bottom"/>
          </w:tcPr>
          <w:p w14:paraId="4DE1E5E7" w14:textId="366C5A0B" w:rsidR="000B2721" w:rsidRPr="00CF3D68" w:rsidRDefault="008B457D" w:rsidP="00C6542A">
            <w:pPr>
              <w:pStyle w:val="zSoquijlblCour"/>
              <w:rPr>
                <w:lang w:val="en-CA"/>
              </w:rPr>
            </w:pPr>
            <w:r w:rsidRPr="00CF3D68">
              <w:rPr>
                <w:lang w:val="en-CA"/>
              </w:rPr>
              <w:t>COURT OF QUÉBEC</w:t>
            </w:r>
          </w:p>
        </w:tc>
      </w:tr>
      <w:tr w:rsidR="0040299D" w:rsidRPr="00CF3D68" w14:paraId="37B034AB" w14:textId="77777777">
        <w:trPr>
          <w:trHeight w:val="540"/>
        </w:trPr>
        <w:tc>
          <w:tcPr>
            <w:tcW w:w="9505" w:type="dxa"/>
            <w:gridSpan w:val="7"/>
          </w:tcPr>
          <w:p w14:paraId="513D4C98" w14:textId="77777777" w:rsidR="000B2721" w:rsidRPr="00CF3D68" w:rsidRDefault="000B2721" w:rsidP="00C6542A">
            <w:pPr>
              <w:pStyle w:val="zSoquijdatDivision"/>
              <w:rPr>
                <w:lang w:val="en-CA"/>
              </w:rPr>
            </w:pPr>
          </w:p>
        </w:tc>
      </w:tr>
      <w:tr w:rsidR="0040299D" w:rsidRPr="00CF3D68" w14:paraId="46AB3CE6" w14:textId="77777777">
        <w:tc>
          <w:tcPr>
            <w:tcW w:w="9505" w:type="dxa"/>
            <w:gridSpan w:val="7"/>
          </w:tcPr>
          <w:p w14:paraId="7DE1489A" w14:textId="77777777" w:rsidR="000B2721" w:rsidRPr="00CF3D68" w:rsidRDefault="001F7521" w:rsidP="00C6542A">
            <w:pPr>
              <w:pStyle w:val="zSoquijlblPays"/>
              <w:rPr>
                <w:lang w:val="en-CA"/>
              </w:rPr>
            </w:pPr>
            <w:r w:rsidRPr="00CF3D68">
              <w:rPr>
                <w:lang w:val="en-CA"/>
              </w:rPr>
              <w:t>CANADA</w:t>
            </w:r>
          </w:p>
        </w:tc>
      </w:tr>
      <w:tr w:rsidR="0040299D" w:rsidRPr="00CF3D68" w14:paraId="2ACBD77D" w14:textId="77777777">
        <w:tc>
          <w:tcPr>
            <w:tcW w:w="9505" w:type="dxa"/>
            <w:gridSpan w:val="7"/>
          </w:tcPr>
          <w:p w14:paraId="324C0E42" w14:textId="71E47D8C" w:rsidR="000B2721" w:rsidRPr="00CF3D68" w:rsidRDefault="008B457D" w:rsidP="00C6542A">
            <w:pPr>
              <w:pStyle w:val="zSoquijlblProvince"/>
              <w:rPr>
                <w:lang w:val="en-CA"/>
              </w:rPr>
            </w:pPr>
            <w:r w:rsidRPr="00CF3D68">
              <w:rPr>
                <w:lang w:val="en-CA"/>
              </w:rPr>
              <w:t>PROVINCE OF QUEBEC</w:t>
            </w:r>
          </w:p>
        </w:tc>
      </w:tr>
      <w:tr w:rsidR="0040299D" w:rsidRPr="00CF3D68" w14:paraId="6C82009E" w14:textId="77777777">
        <w:tblPrEx>
          <w:tblCellMar>
            <w:left w:w="0" w:type="dxa"/>
            <w:right w:w="0" w:type="dxa"/>
          </w:tblCellMar>
        </w:tblPrEx>
        <w:trPr>
          <w:cantSplit/>
        </w:trPr>
        <w:tc>
          <w:tcPr>
            <w:tcW w:w="1625" w:type="dxa"/>
            <w:gridSpan w:val="3"/>
          </w:tcPr>
          <w:p w14:paraId="6916A442" w14:textId="5E5BEDF5" w:rsidR="000B2721" w:rsidRPr="00CF3D68" w:rsidRDefault="008B457D" w:rsidP="00C6542A">
            <w:pPr>
              <w:pStyle w:val="zSoquijlblGreffe"/>
              <w:rPr>
                <w:lang w:val="en-CA"/>
              </w:rPr>
            </w:pPr>
            <w:r w:rsidRPr="00CF3D68">
              <w:rPr>
                <w:lang w:val="en-CA"/>
              </w:rPr>
              <w:t>DISTRICT OF</w:t>
            </w:r>
          </w:p>
        </w:tc>
        <w:tc>
          <w:tcPr>
            <w:tcW w:w="7880" w:type="dxa"/>
            <w:gridSpan w:val="4"/>
          </w:tcPr>
          <w:p w14:paraId="24A86D9E" w14:textId="22FBC3DF" w:rsidR="000B2721" w:rsidRPr="00CF3D68" w:rsidRDefault="008B457D" w:rsidP="00C6542A">
            <w:pPr>
              <w:pStyle w:val="zSoquijdatGreffe"/>
              <w:rPr>
                <w:lang w:val="en-CA"/>
              </w:rPr>
            </w:pPr>
            <w:r w:rsidRPr="00CF3D68">
              <w:rPr>
                <w:lang w:val="en-CA"/>
              </w:rPr>
              <w:t>MONTREAL</w:t>
            </w:r>
          </w:p>
        </w:tc>
      </w:tr>
      <w:tr w:rsidR="0040299D" w:rsidRPr="00CF3D68" w14:paraId="103D57E9" w14:textId="77777777">
        <w:trPr>
          <w:trHeight w:val="540"/>
        </w:trPr>
        <w:tc>
          <w:tcPr>
            <w:tcW w:w="9505" w:type="dxa"/>
            <w:gridSpan w:val="7"/>
          </w:tcPr>
          <w:p w14:paraId="525E8C68" w14:textId="2750AA13" w:rsidR="000B2721" w:rsidRPr="00CF3D68" w:rsidRDefault="008B457D" w:rsidP="00C6542A">
            <w:pPr>
              <w:pStyle w:val="zSoquijlblNomChambre"/>
              <w:rPr>
                <w:lang w:val="en-CA"/>
              </w:rPr>
            </w:pPr>
            <w:r w:rsidRPr="00CF3D68">
              <w:rPr>
                <w:lang w:val="en-CA"/>
              </w:rPr>
              <w:t>“Criminal and Penal Division”</w:t>
            </w:r>
          </w:p>
        </w:tc>
      </w:tr>
      <w:tr w:rsidR="0040299D" w:rsidRPr="00CF3D68" w14:paraId="6F644EF5" w14:textId="77777777">
        <w:tc>
          <w:tcPr>
            <w:tcW w:w="1105" w:type="dxa"/>
          </w:tcPr>
          <w:p w14:paraId="1C624F3A" w14:textId="5D4DD4E6" w:rsidR="000B2721" w:rsidRPr="00CF3D68" w:rsidRDefault="008B457D" w:rsidP="00C6542A">
            <w:pPr>
              <w:pStyle w:val="zSoquijlblNoDossier"/>
              <w:rPr>
                <w:lang w:val="en-CA"/>
              </w:rPr>
            </w:pPr>
            <w:r w:rsidRPr="00CF3D68">
              <w:rPr>
                <w:lang w:val="en-CA"/>
              </w:rPr>
              <w:t>N</w:t>
            </w:r>
            <w:r w:rsidR="006955FC" w:rsidRPr="00CF3D68">
              <w:rPr>
                <w:lang w:val="en-CA"/>
              </w:rPr>
              <w:t>o</w:t>
            </w:r>
            <w:r w:rsidRPr="00CF3D68">
              <w:rPr>
                <w:lang w:val="en-CA"/>
              </w:rPr>
              <w:t>.:</w:t>
            </w:r>
          </w:p>
        </w:tc>
        <w:tc>
          <w:tcPr>
            <w:tcW w:w="8400" w:type="dxa"/>
            <w:gridSpan w:val="6"/>
          </w:tcPr>
          <w:p w14:paraId="6E920864" w14:textId="78BF2934" w:rsidR="00B44654" w:rsidRPr="00CF3D68" w:rsidRDefault="008D6282" w:rsidP="00B44654">
            <w:pPr>
              <w:pStyle w:val="zSoquijdatNoDossier"/>
              <w:rPr>
                <w:rFonts w:cs="Arial"/>
                <w:szCs w:val="24"/>
                <w:lang w:val="en-CA" w:eastAsia="fr-CA"/>
              </w:rPr>
            </w:pPr>
            <w:bookmarkStart w:id="0" w:name="_Hlk170895297"/>
            <w:r w:rsidRPr="00CF3D68">
              <w:rPr>
                <w:lang w:val="en-CA"/>
              </w:rPr>
              <w:t xml:space="preserve">500-26-13xxxx-xxx; </w:t>
            </w:r>
            <w:r w:rsidRPr="00CF3D68">
              <w:rPr>
                <w:rFonts w:cs="Arial"/>
                <w:szCs w:val="24"/>
                <w:lang w:val="en-CA" w:eastAsia="fr-CA"/>
              </w:rPr>
              <w:t>505-26-02xxxx-xxx; 505-26-02xxxx-xxx;</w:t>
            </w:r>
          </w:p>
          <w:p w14:paraId="5BF317A3" w14:textId="2D5FF2ED" w:rsidR="008A452D" w:rsidRPr="00CF3D68" w:rsidRDefault="008D6282" w:rsidP="00B44654">
            <w:pPr>
              <w:pStyle w:val="zSoquijdatNoDossier"/>
              <w:rPr>
                <w:rFonts w:cs="Arial"/>
                <w:szCs w:val="24"/>
                <w:lang w:val="en-CA" w:eastAsia="fr-CA"/>
              </w:rPr>
            </w:pPr>
            <w:r w:rsidRPr="00CF3D68">
              <w:rPr>
                <w:rFonts w:cs="Arial"/>
                <w:szCs w:val="24"/>
                <w:lang w:val="en-CA" w:eastAsia="fr-CA"/>
              </w:rPr>
              <w:t>505-26-02xxxx-xxx; 500-26-13xxxx-xxx; 500-26-13xxxx-xxx;</w:t>
            </w:r>
          </w:p>
          <w:p w14:paraId="6BD447A7" w14:textId="77777777" w:rsidR="00B44654" w:rsidRPr="00CF3D68" w:rsidRDefault="008D6282" w:rsidP="008A452D">
            <w:pPr>
              <w:autoSpaceDE w:val="0"/>
              <w:autoSpaceDN w:val="0"/>
              <w:adjustRightInd w:val="0"/>
              <w:rPr>
                <w:rFonts w:cs="Arial"/>
                <w:szCs w:val="24"/>
                <w:lang w:val="en-CA" w:eastAsia="fr-CA"/>
              </w:rPr>
            </w:pPr>
            <w:r w:rsidRPr="00CF3D68">
              <w:rPr>
                <w:rFonts w:cs="Arial"/>
                <w:szCs w:val="24"/>
                <w:lang w:val="en-CA" w:eastAsia="fr-CA"/>
              </w:rPr>
              <w:t>500-26-14xxxx-xxx; 500-26-14xxxx-xxx; 500-26-14xxxx-xxx;</w:t>
            </w:r>
          </w:p>
          <w:p w14:paraId="4D6B758D" w14:textId="2CE5D4D0" w:rsidR="008A452D" w:rsidRPr="00CF3D68" w:rsidRDefault="008D6282" w:rsidP="008A452D">
            <w:pPr>
              <w:autoSpaceDE w:val="0"/>
              <w:autoSpaceDN w:val="0"/>
              <w:adjustRightInd w:val="0"/>
              <w:rPr>
                <w:rFonts w:cs="Arial"/>
                <w:szCs w:val="24"/>
                <w:lang w:val="en-CA" w:eastAsia="fr-CA"/>
              </w:rPr>
            </w:pPr>
            <w:r w:rsidRPr="00CF3D68">
              <w:rPr>
                <w:rFonts w:cs="Arial"/>
                <w:szCs w:val="24"/>
                <w:lang w:val="en-CA" w:eastAsia="fr-CA"/>
              </w:rPr>
              <w:t>500-26-14xxxx-xxx; 500-26-14xxxx-xxx; 500-26-14xxxx-xxx;</w:t>
            </w:r>
          </w:p>
          <w:p w14:paraId="028625C9" w14:textId="1520319D" w:rsidR="008A452D" w:rsidRPr="00CF3D68" w:rsidRDefault="001F7521" w:rsidP="008D6282">
            <w:pPr>
              <w:autoSpaceDE w:val="0"/>
              <w:autoSpaceDN w:val="0"/>
              <w:adjustRightInd w:val="0"/>
              <w:rPr>
                <w:lang w:val="en-CA"/>
              </w:rPr>
            </w:pPr>
            <w:r w:rsidRPr="00CF3D68">
              <w:rPr>
                <w:rFonts w:cs="Arial"/>
                <w:szCs w:val="24"/>
                <w:lang w:val="en-CA" w:eastAsia="fr-CA"/>
              </w:rPr>
              <w:t>500-26-14xxxx-xxx; 500-26-14xxxx-xxx</w:t>
            </w:r>
            <w:bookmarkEnd w:id="0"/>
          </w:p>
        </w:tc>
      </w:tr>
      <w:tr w:rsidR="0040299D" w:rsidRPr="00CF3D68" w14:paraId="1038AEDE" w14:textId="77777777">
        <w:trPr>
          <w:cantSplit/>
          <w:trHeight w:val="235"/>
        </w:trPr>
        <w:tc>
          <w:tcPr>
            <w:tcW w:w="9505" w:type="dxa"/>
            <w:gridSpan w:val="7"/>
          </w:tcPr>
          <w:p w14:paraId="7635FD05" w14:textId="77777777" w:rsidR="00B0049E" w:rsidRPr="00CF3D68" w:rsidRDefault="00B0049E" w:rsidP="00B0049E">
            <w:pPr>
              <w:rPr>
                <w:lang w:val="en-CA"/>
              </w:rPr>
            </w:pPr>
          </w:p>
        </w:tc>
      </w:tr>
      <w:tr w:rsidR="0040299D" w:rsidRPr="00CF3D68" w14:paraId="65FA4A67" w14:textId="77777777" w:rsidTr="00843855">
        <w:tc>
          <w:tcPr>
            <w:tcW w:w="1134" w:type="dxa"/>
            <w:gridSpan w:val="2"/>
          </w:tcPr>
          <w:p w14:paraId="69992C79" w14:textId="67D01FD3" w:rsidR="00B0049E" w:rsidRPr="00CF3D68" w:rsidRDefault="008B457D" w:rsidP="00B0049E">
            <w:pPr>
              <w:pStyle w:val="zSoquijlblDateJugement"/>
              <w:rPr>
                <w:lang w:val="en-CA"/>
              </w:rPr>
            </w:pPr>
            <w:r w:rsidRPr="00CF3D68">
              <w:rPr>
                <w:lang w:val="en-CA"/>
              </w:rPr>
              <w:t>DATE:</w:t>
            </w:r>
          </w:p>
        </w:tc>
        <w:tc>
          <w:tcPr>
            <w:tcW w:w="8371" w:type="dxa"/>
            <w:gridSpan w:val="5"/>
          </w:tcPr>
          <w:p w14:paraId="344C1625" w14:textId="6264D446" w:rsidR="00B0049E" w:rsidRPr="00CF3D68" w:rsidRDefault="008B457D" w:rsidP="00B0049E">
            <w:pPr>
              <w:pStyle w:val="zSoquijdatDateJugement"/>
              <w:rPr>
                <w:lang w:val="en-CA"/>
              </w:rPr>
            </w:pPr>
            <w:r w:rsidRPr="00CF3D68">
              <w:rPr>
                <w:lang w:val="en-CA"/>
              </w:rPr>
              <w:t>June 20, 2024</w:t>
            </w:r>
          </w:p>
        </w:tc>
      </w:tr>
      <w:tr w:rsidR="0040299D" w:rsidRPr="00CF3D68" w14:paraId="3A1F54B5" w14:textId="77777777">
        <w:tc>
          <w:tcPr>
            <w:tcW w:w="9505" w:type="dxa"/>
            <w:gridSpan w:val="7"/>
          </w:tcPr>
          <w:p w14:paraId="4E053DC4" w14:textId="77777777" w:rsidR="00B0049E" w:rsidRPr="00CF3D68" w:rsidRDefault="001F7521" w:rsidP="00B0049E">
            <w:pPr>
              <w:ind w:left="14" w:right="-67"/>
              <w:rPr>
                <w:lang w:val="en-CA"/>
              </w:rPr>
            </w:pPr>
            <w:r w:rsidRPr="00CF3D68">
              <w:rPr>
                <w:lang w:val="en-CA"/>
              </w:rPr>
              <w:t>______________________________________________________________________</w:t>
            </w:r>
          </w:p>
        </w:tc>
      </w:tr>
      <w:tr w:rsidR="0040299D" w:rsidRPr="00CF3D68" w14:paraId="541A05F9" w14:textId="77777777">
        <w:tc>
          <w:tcPr>
            <w:tcW w:w="9505" w:type="dxa"/>
            <w:gridSpan w:val="7"/>
          </w:tcPr>
          <w:p w14:paraId="5F0168B0" w14:textId="77777777" w:rsidR="00B0049E" w:rsidRPr="00CF3D68" w:rsidRDefault="00B0049E" w:rsidP="00B0049E">
            <w:pPr>
              <w:rPr>
                <w:lang w:val="en-CA"/>
              </w:rPr>
            </w:pPr>
          </w:p>
        </w:tc>
      </w:tr>
      <w:tr w:rsidR="0040299D" w:rsidRPr="00CF3D68" w14:paraId="77D5EFD3" w14:textId="77777777" w:rsidTr="006955FC">
        <w:tblPrEx>
          <w:tblCellMar>
            <w:left w:w="0" w:type="dxa"/>
            <w:right w:w="0" w:type="dxa"/>
          </w:tblCellMar>
        </w:tblPrEx>
        <w:tc>
          <w:tcPr>
            <w:tcW w:w="1701" w:type="dxa"/>
            <w:gridSpan w:val="4"/>
          </w:tcPr>
          <w:p w14:paraId="0563F9BA" w14:textId="4AD62D73" w:rsidR="00B0049E" w:rsidRPr="00CF3D68" w:rsidRDefault="008B457D" w:rsidP="00B0049E">
            <w:pPr>
              <w:pStyle w:val="zSoquijlblJuge"/>
              <w:rPr>
                <w:lang w:val="en-CA"/>
              </w:rPr>
            </w:pPr>
            <w:r w:rsidRPr="00CF3D68">
              <w:rPr>
                <w:lang w:val="en-CA"/>
              </w:rPr>
              <w:t>PRESIDING:</w:t>
            </w:r>
          </w:p>
        </w:tc>
        <w:tc>
          <w:tcPr>
            <w:tcW w:w="2410" w:type="dxa"/>
          </w:tcPr>
          <w:p w14:paraId="677006FF" w14:textId="5FC65E40" w:rsidR="00B0049E" w:rsidRPr="00CF3D68" w:rsidRDefault="008B457D" w:rsidP="00B0049E">
            <w:pPr>
              <w:pStyle w:val="zSoquijdatQteJuge"/>
              <w:rPr>
                <w:lang w:val="en-CA"/>
              </w:rPr>
            </w:pPr>
            <w:r w:rsidRPr="00CF3D68">
              <w:rPr>
                <w:lang w:val="en-CA"/>
              </w:rPr>
              <w:t>THE HONOURABLE</w:t>
            </w:r>
          </w:p>
        </w:tc>
        <w:tc>
          <w:tcPr>
            <w:tcW w:w="5394" w:type="dxa"/>
            <w:gridSpan w:val="2"/>
          </w:tcPr>
          <w:p w14:paraId="4FC947D7" w14:textId="457631A4" w:rsidR="00E24300" w:rsidRPr="007B7DA3" w:rsidRDefault="001F7521" w:rsidP="00B0049E">
            <w:pPr>
              <w:rPr>
                <w:b/>
              </w:rPr>
            </w:pPr>
            <w:r w:rsidRPr="007B7DA3">
              <w:rPr>
                <w:b/>
              </w:rPr>
              <w:t>ANNE-MARIE MANOUKIAN</w:t>
            </w:r>
            <w:r w:rsidR="007B7DA3" w:rsidRPr="007B7DA3">
              <w:rPr>
                <w:b/>
              </w:rPr>
              <w:t xml:space="preserve">, </w:t>
            </w:r>
            <w:proofErr w:type="spellStart"/>
            <w:r w:rsidR="007B7DA3" w:rsidRPr="007B7DA3">
              <w:rPr>
                <w:b/>
              </w:rPr>
              <w:t>J.C</w:t>
            </w:r>
            <w:r w:rsidR="007B7DA3">
              <w:rPr>
                <w:b/>
              </w:rPr>
              <w:t>.Q</w:t>
            </w:r>
            <w:proofErr w:type="spellEnd"/>
            <w:r w:rsidR="007B7DA3">
              <w:rPr>
                <w:b/>
              </w:rPr>
              <w:t>.</w:t>
            </w:r>
          </w:p>
        </w:tc>
      </w:tr>
      <w:tr w:rsidR="0040299D" w:rsidRPr="00CF3D68" w14:paraId="70BBED7A" w14:textId="77777777">
        <w:tc>
          <w:tcPr>
            <w:tcW w:w="9505" w:type="dxa"/>
            <w:gridSpan w:val="7"/>
          </w:tcPr>
          <w:p w14:paraId="655E60FE" w14:textId="77777777" w:rsidR="00B0049E" w:rsidRPr="00CF3D68" w:rsidRDefault="001F7521" w:rsidP="00B0049E">
            <w:pPr>
              <w:ind w:left="14" w:right="-67"/>
              <w:rPr>
                <w:lang w:val="en-CA"/>
              </w:rPr>
            </w:pPr>
            <w:r w:rsidRPr="00CF3D68">
              <w:rPr>
                <w:lang w:val="en-CA"/>
              </w:rPr>
              <w:t>______________________________________________________________________</w:t>
            </w:r>
          </w:p>
        </w:tc>
      </w:tr>
      <w:tr w:rsidR="0040299D" w:rsidRPr="00CF3D68" w14:paraId="2BF3E330" w14:textId="77777777">
        <w:tc>
          <w:tcPr>
            <w:tcW w:w="9505" w:type="dxa"/>
            <w:gridSpan w:val="7"/>
          </w:tcPr>
          <w:p w14:paraId="74924F2A" w14:textId="77777777" w:rsidR="00B0049E" w:rsidRPr="00CF3D68" w:rsidRDefault="00B0049E" w:rsidP="00B0049E">
            <w:pPr>
              <w:pStyle w:val="zSoquijlblTitrePartie"/>
              <w:rPr>
                <w:lang w:val="en-CA"/>
              </w:rPr>
            </w:pPr>
          </w:p>
        </w:tc>
      </w:tr>
      <w:tr w:rsidR="0040299D" w:rsidRPr="00CF3D68" w14:paraId="5732C531" w14:textId="77777777">
        <w:tc>
          <w:tcPr>
            <w:tcW w:w="9505" w:type="dxa"/>
            <w:gridSpan w:val="7"/>
          </w:tcPr>
          <w:p w14:paraId="465F75B0" w14:textId="1412109A" w:rsidR="00B0049E" w:rsidRPr="00CF3D68" w:rsidRDefault="007B7DA3" w:rsidP="00B0049E">
            <w:pPr>
              <w:pStyle w:val="zSoquijdatNomPartieDem"/>
              <w:rPr>
                <w:lang w:val="en-CA"/>
              </w:rPr>
            </w:pPr>
            <w:r>
              <w:rPr>
                <w:caps/>
                <w:lang w:val="en-CA"/>
              </w:rPr>
              <w:t>NAM</w:t>
            </w:r>
            <w:r w:rsidR="008B457D" w:rsidRPr="00CF3D68">
              <w:rPr>
                <w:caps/>
                <w:lang w:val="en-CA"/>
              </w:rPr>
              <w:t>ed police force</w:t>
            </w:r>
          </w:p>
        </w:tc>
      </w:tr>
      <w:tr w:rsidR="0040299D" w:rsidRPr="00CF3D68" w14:paraId="5E429CEC" w14:textId="77777777">
        <w:tc>
          <w:tcPr>
            <w:tcW w:w="9505" w:type="dxa"/>
            <w:gridSpan w:val="7"/>
          </w:tcPr>
          <w:p w14:paraId="51C3C3FD" w14:textId="1C2214E3" w:rsidR="00B0049E" w:rsidRPr="00CF3D68" w:rsidRDefault="008B457D" w:rsidP="00B0049E">
            <w:pPr>
              <w:pStyle w:val="zSoquijdatQtePartieDem"/>
              <w:rPr>
                <w:lang w:val="en-CA"/>
              </w:rPr>
            </w:pPr>
            <w:r w:rsidRPr="00CF3D68">
              <w:rPr>
                <w:lang w:val="en-CA"/>
              </w:rPr>
              <w:t>Applicant</w:t>
            </w:r>
            <w:r w:rsidR="002E2CB7">
              <w:rPr>
                <w:lang w:val="en-CA"/>
              </w:rPr>
              <w:t>–</w:t>
            </w:r>
            <w:r w:rsidR="00837857">
              <w:rPr>
                <w:lang w:val="en-CA"/>
              </w:rPr>
              <w:t>seizing party</w:t>
            </w:r>
          </w:p>
        </w:tc>
      </w:tr>
      <w:tr w:rsidR="0040299D" w:rsidRPr="00CF3D68" w14:paraId="3799CC74" w14:textId="77777777">
        <w:tc>
          <w:tcPr>
            <w:tcW w:w="9505" w:type="dxa"/>
            <w:gridSpan w:val="7"/>
          </w:tcPr>
          <w:p w14:paraId="3C8AE5AC" w14:textId="136523E8" w:rsidR="00B0049E" w:rsidRPr="00CF3D68" w:rsidRDefault="008B457D" w:rsidP="00B0049E">
            <w:pPr>
              <w:pStyle w:val="zSoquijlblLienParties"/>
              <w:rPr>
                <w:lang w:val="en-CA"/>
              </w:rPr>
            </w:pPr>
            <w:r w:rsidRPr="00CF3D68">
              <w:rPr>
                <w:lang w:val="en-CA"/>
              </w:rPr>
              <w:t>v.</w:t>
            </w:r>
          </w:p>
        </w:tc>
      </w:tr>
      <w:tr w:rsidR="0040299D" w:rsidRPr="00CF3D68" w14:paraId="2CBFCD0B" w14:textId="77777777">
        <w:tc>
          <w:tcPr>
            <w:tcW w:w="9505" w:type="dxa"/>
            <w:gridSpan w:val="7"/>
          </w:tcPr>
          <w:p w14:paraId="59304B26" w14:textId="061E747D" w:rsidR="00B0049E" w:rsidRPr="00CF3D68" w:rsidRDefault="007B7DA3" w:rsidP="00B0049E">
            <w:pPr>
              <w:pStyle w:val="zSoquijdatNomPartieDef"/>
              <w:rPr>
                <w:lang w:val="en-CA"/>
              </w:rPr>
            </w:pPr>
            <w:r>
              <w:rPr>
                <w:caps/>
                <w:lang w:val="en-CA"/>
              </w:rPr>
              <w:t>NAM</w:t>
            </w:r>
            <w:r w:rsidR="008B457D" w:rsidRPr="00CF3D68">
              <w:rPr>
                <w:caps/>
                <w:lang w:val="en-CA"/>
              </w:rPr>
              <w:t>ed persons</w:t>
            </w:r>
          </w:p>
        </w:tc>
      </w:tr>
      <w:tr w:rsidR="0040299D" w:rsidRPr="00CF3D68" w14:paraId="43EEB5ED" w14:textId="77777777">
        <w:tc>
          <w:tcPr>
            <w:tcW w:w="9505" w:type="dxa"/>
            <w:gridSpan w:val="7"/>
          </w:tcPr>
          <w:p w14:paraId="20B0905F" w14:textId="62760DDE" w:rsidR="00B0049E" w:rsidRPr="002E2CB7" w:rsidRDefault="00837857" w:rsidP="00B0049E">
            <w:pPr>
              <w:pStyle w:val="zSoquijdatQtePartieDef"/>
              <w:rPr>
                <w:lang w:val="en-CA"/>
              </w:rPr>
            </w:pPr>
            <w:r>
              <w:rPr>
                <w:rFonts w:cs="Arial"/>
                <w:color w:val="000000"/>
                <w:szCs w:val="24"/>
                <w:lang w:val="en-CA"/>
              </w:rPr>
              <w:t>Respondents</w:t>
            </w:r>
            <w:r w:rsidR="008E432F">
              <w:rPr>
                <w:lang w:val="en-CA"/>
              </w:rPr>
              <w:t>–</w:t>
            </w:r>
            <w:r w:rsidR="002E2CB7" w:rsidRPr="0094214B">
              <w:rPr>
                <w:rFonts w:cs="Arial"/>
                <w:color w:val="000000"/>
                <w:szCs w:val="24"/>
                <w:lang w:val="en-CA"/>
              </w:rPr>
              <w:t>Persons from whom the property was seized</w:t>
            </w:r>
          </w:p>
          <w:p w14:paraId="302B088A" w14:textId="651AEFD5" w:rsidR="008A452D" w:rsidRPr="007B7DA3" w:rsidRDefault="008B457D" w:rsidP="008A452D">
            <w:pPr>
              <w:pStyle w:val="zSoquijdatQtePartieDef"/>
              <w:ind w:left="0"/>
            </w:pPr>
            <w:r w:rsidRPr="007B7DA3">
              <w:t>-and-</w:t>
            </w:r>
          </w:p>
          <w:p w14:paraId="695BC4C4" w14:textId="77777777" w:rsidR="008A452D" w:rsidRPr="007B7DA3" w:rsidRDefault="001F7521" w:rsidP="008A452D">
            <w:pPr>
              <w:autoSpaceDE w:val="0"/>
              <w:autoSpaceDN w:val="0"/>
              <w:adjustRightInd w:val="0"/>
              <w:rPr>
                <w:rFonts w:cs="Arial"/>
                <w:szCs w:val="24"/>
                <w:lang w:eastAsia="fr-CA"/>
              </w:rPr>
            </w:pPr>
            <w:r w:rsidRPr="007B7DA3">
              <w:rPr>
                <w:rFonts w:cs="Arial"/>
                <w:b/>
                <w:bCs/>
                <w:szCs w:val="24"/>
                <w:lang w:eastAsia="fr-CA"/>
              </w:rPr>
              <w:t>CBC / SOCIÉTÉ RADIO-CANADA</w:t>
            </w:r>
          </w:p>
          <w:p w14:paraId="0098827A" w14:textId="39907B94" w:rsidR="008A452D" w:rsidRPr="007B7DA3" w:rsidRDefault="008B457D" w:rsidP="008A452D">
            <w:pPr>
              <w:autoSpaceDE w:val="0"/>
              <w:autoSpaceDN w:val="0"/>
              <w:adjustRightInd w:val="0"/>
              <w:rPr>
                <w:rFonts w:cs="Arial"/>
                <w:szCs w:val="24"/>
                <w:lang w:eastAsia="fr-CA"/>
              </w:rPr>
            </w:pPr>
            <w:r w:rsidRPr="007B7DA3">
              <w:rPr>
                <w:rFonts w:cs="Arial"/>
                <w:szCs w:val="24"/>
                <w:lang w:eastAsia="fr-CA"/>
              </w:rPr>
              <w:t>-and-</w:t>
            </w:r>
          </w:p>
          <w:p w14:paraId="75D22BAE" w14:textId="77777777" w:rsidR="008A452D" w:rsidRPr="007B7DA3" w:rsidRDefault="001F7521" w:rsidP="008A452D">
            <w:pPr>
              <w:autoSpaceDE w:val="0"/>
              <w:autoSpaceDN w:val="0"/>
              <w:adjustRightInd w:val="0"/>
              <w:rPr>
                <w:rFonts w:cs="Arial"/>
                <w:b/>
                <w:bCs/>
                <w:szCs w:val="24"/>
                <w:lang w:eastAsia="fr-CA"/>
              </w:rPr>
            </w:pPr>
            <w:r w:rsidRPr="007B7DA3">
              <w:rPr>
                <w:rFonts w:cs="Arial"/>
                <w:b/>
                <w:bCs/>
                <w:szCs w:val="24"/>
                <w:lang w:eastAsia="fr-CA"/>
              </w:rPr>
              <w:t>LA PRESSE INC.</w:t>
            </w:r>
          </w:p>
          <w:p w14:paraId="1AE2963E" w14:textId="4CB123C6" w:rsidR="008A452D" w:rsidRPr="00D65E0A" w:rsidRDefault="008B457D" w:rsidP="008A452D">
            <w:pPr>
              <w:autoSpaceDE w:val="0"/>
              <w:autoSpaceDN w:val="0"/>
              <w:adjustRightInd w:val="0"/>
              <w:rPr>
                <w:rFonts w:cs="Arial"/>
                <w:szCs w:val="24"/>
                <w:lang w:val="en-CA" w:eastAsia="fr-CA"/>
              </w:rPr>
            </w:pPr>
            <w:r w:rsidRPr="00D65E0A">
              <w:rPr>
                <w:rFonts w:cs="Arial"/>
                <w:szCs w:val="24"/>
                <w:lang w:val="en-CA" w:eastAsia="fr-CA"/>
              </w:rPr>
              <w:t>-and-</w:t>
            </w:r>
          </w:p>
          <w:p w14:paraId="01AA9A6D" w14:textId="77777777" w:rsidR="008A452D" w:rsidRPr="00D65E0A" w:rsidRDefault="001F7521" w:rsidP="008A452D">
            <w:pPr>
              <w:autoSpaceDE w:val="0"/>
              <w:autoSpaceDN w:val="0"/>
              <w:adjustRightInd w:val="0"/>
              <w:rPr>
                <w:rFonts w:cs="Arial"/>
                <w:b/>
                <w:bCs/>
                <w:szCs w:val="24"/>
                <w:lang w:val="en-CA" w:eastAsia="fr-CA"/>
              </w:rPr>
            </w:pPr>
            <w:r w:rsidRPr="00D65E0A">
              <w:rPr>
                <w:rFonts w:cs="Arial"/>
                <w:b/>
                <w:bCs/>
                <w:szCs w:val="24"/>
                <w:lang w:val="en-CA" w:eastAsia="fr-CA"/>
              </w:rPr>
              <w:t>GROUPE TVA INC.</w:t>
            </w:r>
          </w:p>
          <w:p w14:paraId="08F2E92B" w14:textId="6354AE1A" w:rsidR="008A452D" w:rsidRPr="00D65E0A" w:rsidRDefault="008B457D" w:rsidP="008A452D">
            <w:pPr>
              <w:autoSpaceDE w:val="0"/>
              <w:autoSpaceDN w:val="0"/>
              <w:adjustRightInd w:val="0"/>
              <w:rPr>
                <w:rFonts w:cs="Arial"/>
                <w:szCs w:val="24"/>
                <w:lang w:val="en-CA" w:eastAsia="fr-CA"/>
              </w:rPr>
            </w:pPr>
            <w:r w:rsidRPr="00D65E0A">
              <w:rPr>
                <w:rFonts w:cs="Arial"/>
                <w:szCs w:val="24"/>
                <w:lang w:val="en-CA" w:eastAsia="fr-CA"/>
              </w:rPr>
              <w:t>-and-</w:t>
            </w:r>
          </w:p>
          <w:p w14:paraId="69E7D87C" w14:textId="77777777" w:rsidR="008A452D" w:rsidRPr="007B7DA3" w:rsidRDefault="001F7521" w:rsidP="008A452D">
            <w:pPr>
              <w:autoSpaceDE w:val="0"/>
              <w:autoSpaceDN w:val="0"/>
              <w:adjustRightInd w:val="0"/>
              <w:rPr>
                <w:rFonts w:cs="Arial"/>
                <w:b/>
                <w:bCs/>
                <w:szCs w:val="24"/>
                <w:lang w:eastAsia="fr-CA"/>
              </w:rPr>
            </w:pPr>
            <w:proofErr w:type="spellStart"/>
            <w:r w:rsidRPr="007B7DA3">
              <w:rPr>
                <w:rFonts w:cs="Arial"/>
                <w:b/>
                <w:bCs/>
                <w:szCs w:val="24"/>
                <w:lang w:eastAsia="fr-CA"/>
              </w:rPr>
              <w:t>MÉDIAQMI</w:t>
            </w:r>
            <w:proofErr w:type="spellEnd"/>
            <w:r w:rsidRPr="007B7DA3">
              <w:rPr>
                <w:rFonts w:cs="Arial"/>
                <w:b/>
                <w:bCs/>
                <w:szCs w:val="24"/>
                <w:lang w:eastAsia="fr-CA"/>
              </w:rPr>
              <w:t xml:space="preserve"> INC.</w:t>
            </w:r>
          </w:p>
          <w:p w14:paraId="5529E979" w14:textId="2066CE57" w:rsidR="008A452D" w:rsidRPr="007B7DA3" w:rsidRDefault="008B457D" w:rsidP="000D38B4">
            <w:pPr>
              <w:pStyle w:val="zSoquijdatQtePartieDef"/>
            </w:pPr>
            <w:proofErr w:type="spellStart"/>
            <w:r w:rsidRPr="007B7DA3">
              <w:t>Interven</w:t>
            </w:r>
            <w:r w:rsidR="00321C51">
              <w:t>o</w:t>
            </w:r>
            <w:r w:rsidRPr="007B7DA3">
              <w:t>rs</w:t>
            </w:r>
            <w:proofErr w:type="spellEnd"/>
          </w:p>
        </w:tc>
      </w:tr>
      <w:tr w:rsidR="0040299D" w:rsidRPr="00CF3D68" w14:paraId="46AC0E36" w14:textId="77777777">
        <w:tc>
          <w:tcPr>
            <w:tcW w:w="9505" w:type="dxa"/>
            <w:gridSpan w:val="7"/>
          </w:tcPr>
          <w:p w14:paraId="37C61F50" w14:textId="391AA37D" w:rsidR="00B0049E" w:rsidRPr="00CF3D68" w:rsidRDefault="001F7521" w:rsidP="00B0049E">
            <w:pPr>
              <w:ind w:right="-95"/>
              <w:rPr>
                <w:lang w:val="en-CA"/>
              </w:rPr>
            </w:pPr>
            <w:r w:rsidRPr="00CF3D68">
              <w:rPr>
                <w:lang w:val="en-CA"/>
              </w:rPr>
              <w:t>______________________________________________________________________</w:t>
            </w:r>
          </w:p>
        </w:tc>
      </w:tr>
      <w:tr w:rsidR="0040299D" w:rsidRPr="00CF3D68" w14:paraId="0584E74E" w14:textId="77777777">
        <w:tc>
          <w:tcPr>
            <w:tcW w:w="9505" w:type="dxa"/>
            <w:gridSpan w:val="7"/>
          </w:tcPr>
          <w:p w14:paraId="51AA18C4" w14:textId="77777777" w:rsidR="00B0049E" w:rsidRPr="00CF3D68" w:rsidRDefault="00B0049E" w:rsidP="00B0049E">
            <w:pPr>
              <w:jc w:val="center"/>
              <w:rPr>
                <w:lang w:val="en-CA"/>
              </w:rPr>
            </w:pPr>
          </w:p>
        </w:tc>
      </w:tr>
      <w:tr w:rsidR="0040299D" w:rsidRPr="000853CE" w14:paraId="5F9E27B9" w14:textId="77777777">
        <w:tc>
          <w:tcPr>
            <w:tcW w:w="9505" w:type="dxa"/>
            <w:gridSpan w:val="7"/>
          </w:tcPr>
          <w:p w14:paraId="02AB5F44" w14:textId="77777777" w:rsidR="00F91E52" w:rsidRDefault="008B457D" w:rsidP="000B6B68">
            <w:pPr>
              <w:pStyle w:val="Default"/>
              <w:jc w:val="center"/>
              <w:rPr>
                <w:b/>
                <w:bCs/>
                <w:lang w:val="en-CA"/>
              </w:rPr>
            </w:pPr>
            <w:r w:rsidRPr="00CF3D68">
              <w:rPr>
                <w:b/>
                <w:bCs/>
                <w:lang w:val="en-CA"/>
              </w:rPr>
              <w:t xml:space="preserve">DECISION ON AN APPLICATION FOR AN </w:t>
            </w:r>
            <w:r w:rsidRPr="00CF3D68">
              <w:rPr>
                <w:b/>
                <w:bCs/>
                <w:i/>
                <w:lang w:val="en-CA"/>
              </w:rPr>
              <w:t>IN CAMERA</w:t>
            </w:r>
            <w:r w:rsidRPr="00CF3D68">
              <w:rPr>
                <w:b/>
                <w:bCs/>
                <w:lang w:val="en-CA"/>
              </w:rPr>
              <w:t xml:space="preserve"> </w:t>
            </w:r>
          </w:p>
          <w:p w14:paraId="56AA557B" w14:textId="03726AC8" w:rsidR="00B0049E" w:rsidRPr="00CF3D68" w:rsidRDefault="008B457D" w:rsidP="00F91E52">
            <w:pPr>
              <w:pStyle w:val="Default"/>
              <w:jc w:val="center"/>
              <w:rPr>
                <w:b/>
                <w:bCs/>
                <w:lang w:val="en-CA"/>
              </w:rPr>
            </w:pPr>
            <w:r w:rsidRPr="00CF3D68">
              <w:rPr>
                <w:b/>
                <w:bCs/>
                <w:i/>
                <w:lang w:val="en-CA"/>
              </w:rPr>
              <w:t xml:space="preserve">EX </w:t>
            </w:r>
            <w:proofErr w:type="spellStart"/>
            <w:r w:rsidRPr="00CF3D68">
              <w:rPr>
                <w:b/>
                <w:bCs/>
                <w:i/>
                <w:lang w:val="en-CA"/>
              </w:rPr>
              <w:t>PARTE</w:t>
            </w:r>
            <w:proofErr w:type="spellEnd"/>
            <w:r w:rsidRPr="00CF3D68">
              <w:rPr>
                <w:b/>
                <w:bCs/>
                <w:lang w:val="en-CA"/>
              </w:rPr>
              <w:t xml:space="preserve"> HEARING IN CHAMBERS</w:t>
            </w:r>
          </w:p>
        </w:tc>
      </w:tr>
      <w:tr w:rsidR="0040299D" w:rsidRPr="00CF3D68" w14:paraId="700B27B5" w14:textId="77777777">
        <w:tc>
          <w:tcPr>
            <w:tcW w:w="9505" w:type="dxa"/>
            <w:gridSpan w:val="7"/>
          </w:tcPr>
          <w:p w14:paraId="5166CE74" w14:textId="77777777" w:rsidR="00B0049E" w:rsidRPr="00CF3D68" w:rsidRDefault="001F7521" w:rsidP="00B0049E">
            <w:pPr>
              <w:ind w:left="14" w:right="-70"/>
              <w:rPr>
                <w:lang w:val="en-CA"/>
              </w:rPr>
            </w:pPr>
            <w:r w:rsidRPr="00CF3D68">
              <w:rPr>
                <w:lang w:val="en-CA"/>
              </w:rPr>
              <w:t>______________________________________________________________________</w:t>
            </w:r>
          </w:p>
        </w:tc>
      </w:tr>
      <w:tr w:rsidR="0040299D" w:rsidRPr="00CF3D68" w14:paraId="37D4EE3E" w14:textId="77777777">
        <w:tc>
          <w:tcPr>
            <w:tcW w:w="9505" w:type="dxa"/>
            <w:gridSpan w:val="7"/>
          </w:tcPr>
          <w:p w14:paraId="76FF3659" w14:textId="77777777" w:rsidR="00B0049E" w:rsidRPr="00CF3D68" w:rsidRDefault="00B0049E" w:rsidP="00B0049E">
            <w:pPr>
              <w:rPr>
                <w:b/>
                <w:bCs/>
                <w:lang w:val="en-CA"/>
              </w:rPr>
            </w:pPr>
          </w:p>
        </w:tc>
      </w:tr>
    </w:tbl>
    <w:p w14:paraId="26DB076F" w14:textId="5EE746D0" w:rsidR="00B0049E" w:rsidRPr="00CF3D68" w:rsidRDefault="001F7521" w:rsidP="000D38B4">
      <w:pPr>
        <w:pStyle w:val="Titre1"/>
        <w:rPr>
          <w:lang w:val="en-CA"/>
        </w:rPr>
      </w:pPr>
      <w:r w:rsidRPr="00CF3D68">
        <w:rPr>
          <w:lang w:val="en-CA"/>
        </w:rPr>
        <w:lastRenderedPageBreak/>
        <w:t>I.</w:t>
      </w:r>
      <w:r w:rsidRPr="00CF3D68">
        <w:rPr>
          <w:lang w:val="en-CA"/>
        </w:rPr>
        <w:tab/>
      </w:r>
      <w:r w:rsidR="008B457D" w:rsidRPr="00CF3D68">
        <w:rPr>
          <w:u w:val="single"/>
          <w:lang w:val="en-CA"/>
        </w:rPr>
        <w:t>OVERVIEW</w:t>
      </w:r>
    </w:p>
    <w:p w14:paraId="4478629D" w14:textId="1FF8548A" w:rsidR="000B6B68" w:rsidRPr="00CF3D68" w:rsidRDefault="008B457D" w:rsidP="00136A08">
      <w:pPr>
        <w:pStyle w:val="Paragraphe"/>
        <w:rPr>
          <w:lang w:val="en-CA"/>
        </w:rPr>
      </w:pPr>
      <w:r w:rsidRPr="00CF3D68">
        <w:rPr>
          <w:lang w:val="en-CA"/>
        </w:rPr>
        <w:t xml:space="preserve">The </w:t>
      </w:r>
      <w:r w:rsidR="00837857">
        <w:rPr>
          <w:lang w:val="en-CA"/>
        </w:rPr>
        <w:t xml:space="preserve">seizing </w:t>
      </w:r>
      <w:r w:rsidRPr="00CF3D68">
        <w:rPr>
          <w:lang w:val="en-CA"/>
        </w:rPr>
        <w:t xml:space="preserve">police force, represented by the Director of Criminal and Penal Prosecutions (DCPP), asks the Court for leave </w:t>
      </w:r>
      <w:r w:rsidR="00A31138">
        <w:rPr>
          <w:lang w:val="en-CA"/>
        </w:rPr>
        <w:t xml:space="preserve">to proceed with </w:t>
      </w:r>
      <w:r w:rsidR="00F91E52">
        <w:rPr>
          <w:lang w:val="en-CA"/>
        </w:rPr>
        <w:t xml:space="preserve">an </w:t>
      </w:r>
      <w:r w:rsidR="00F91E52" w:rsidRPr="00CF3D68">
        <w:rPr>
          <w:i/>
          <w:lang w:val="en-CA"/>
        </w:rPr>
        <w:t>in camera</w:t>
      </w:r>
      <w:r w:rsidR="00F91E52" w:rsidRPr="00CF3D68">
        <w:rPr>
          <w:lang w:val="en-CA"/>
        </w:rPr>
        <w:t xml:space="preserve"> </w:t>
      </w:r>
      <w:r w:rsidR="00F91E52" w:rsidRPr="00CF3D68">
        <w:rPr>
          <w:i/>
          <w:lang w:val="en-CA"/>
        </w:rPr>
        <w:t xml:space="preserve">ex </w:t>
      </w:r>
      <w:proofErr w:type="spellStart"/>
      <w:r w:rsidR="00F91E52" w:rsidRPr="00CF3D68">
        <w:rPr>
          <w:i/>
          <w:lang w:val="en-CA"/>
        </w:rPr>
        <w:t>parte</w:t>
      </w:r>
      <w:proofErr w:type="spellEnd"/>
      <w:r w:rsidR="00F91E52" w:rsidRPr="00CF3D68">
        <w:rPr>
          <w:lang w:val="en-CA"/>
        </w:rPr>
        <w:t xml:space="preserve"> </w:t>
      </w:r>
      <w:r w:rsidRPr="00CF3D68">
        <w:rPr>
          <w:lang w:val="en-CA"/>
        </w:rPr>
        <w:t xml:space="preserve">hearing in chambers </w:t>
      </w:r>
      <w:r w:rsidR="00F91E52" w:rsidRPr="00CF3D68">
        <w:rPr>
          <w:lang w:val="en-CA"/>
        </w:rPr>
        <w:t xml:space="preserve">of a motion </w:t>
      </w:r>
      <w:r w:rsidRPr="00CF3D68">
        <w:rPr>
          <w:lang w:val="en-CA"/>
        </w:rPr>
        <w:t xml:space="preserve">for </w:t>
      </w:r>
      <w:r w:rsidR="005833E7">
        <w:rPr>
          <w:lang w:val="en-CA"/>
        </w:rPr>
        <w:t xml:space="preserve">further </w:t>
      </w:r>
      <w:r w:rsidRPr="00CF3D68">
        <w:rPr>
          <w:lang w:val="en-CA"/>
        </w:rPr>
        <w:t>detention of property seized.</w:t>
      </w:r>
      <w:r w:rsidRPr="00CF3D68">
        <w:rPr>
          <w:rStyle w:val="Appelnotedebasdep"/>
          <w:lang w:val="en-CA"/>
        </w:rPr>
        <w:footnoteReference w:id="1"/>
      </w:r>
    </w:p>
    <w:p w14:paraId="775F4F48" w14:textId="341AB661" w:rsidR="00C918C7" w:rsidRPr="00CF3D68" w:rsidRDefault="005833E7" w:rsidP="00136A08">
      <w:pPr>
        <w:pStyle w:val="Paragraphe"/>
        <w:rPr>
          <w:lang w:val="en-CA"/>
        </w:rPr>
      </w:pPr>
      <w:r>
        <w:rPr>
          <w:lang w:val="en-CA"/>
        </w:rPr>
        <w:t>The DCPP</w:t>
      </w:r>
      <w:r w:rsidR="008B457D" w:rsidRPr="00CF3D68">
        <w:rPr>
          <w:lang w:val="en-CA"/>
        </w:rPr>
        <w:t xml:space="preserve"> asks to be </w:t>
      </w:r>
      <w:r>
        <w:rPr>
          <w:lang w:val="en-CA"/>
        </w:rPr>
        <w:t>exempt</w:t>
      </w:r>
      <w:r w:rsidR="008B457D" w:rsidRPr="00CF3D68">
        <w:rPr>
          <w:lang w:val="en-CA"/>
        </w:rPr>
        <w:t>ed from serving the notice under s</w:t>
      </w:r>
      <w:r w:rsidR="00667C93" w:rsidRPr="00CF3D68">
        <w:rPr>
          <w:lang w:val="en-CA"/>
        </w:rPr>
        <w:t>ection</w:t>
      </w:r>
      <w:r w:rsidR="008B457D" w:rsidRPr="00CF3D68">
        <w:rPr>
          <w:lang w:val="en-CA"/>
        </w:rPr>
        <w:t xml:space="preserve">s 490(2) and 490(3) </w:t>
      </w:r>
      <w:r w:rsidR="008B457D" w:rsidRPr="00D65E0A">
        <w:rPr>
          <w:i/>
          <w:spacing w:val="-20"/>
          <w:lang w:val="en-CA"/>
        </w:rPr>
        <w:t>C.C</w:t>
      </w:r>
      <w:r w:rsidR="008B457D" w:rsidRPr="00CF3D68">
        <w:rPr>
          <w:i/>
          <w:lang w:val="en-CA"/>
        </w:rPr>
        <w:t>.</w:t>
      </w:r>
      <w:r w:rsidR="008B457D" w:rsidRPr="00CF3D68">
        <w:rPr>
          <w:lang w:val="en-CA"/>
        </w:rPr>
        <w:t xml:space="preserve"> because the </w:t>
      </w:r>
      <w:r w:rsidR="002E2CB7" w:rsidRPr="0094214B">
        <w:rPr>
          <w:rFonts w:cs="Arial"/>
          <w:color w:val="000000"/>
          <w:szCs w:val="24"/>
          <w:lang w:val="en-CA"/>
        </w:rPr>
        <w:t>persons from whom the property was seized</w:t>
      </w:r>
      <w:r w:rsidR="002E2CB7" w:rsidRPr="0094214B">
        <w:rPr>
          <w:sz w:val="28"/>
          <w:szCs w:val="22"/>
          <w:lang w:val="en-CA"/>
        </w:rPr>
        <w:t xml:space="preserve"> </w:t>
      </w:r>
      <w:r w:rsidR="008B457D" w:rsidRPr="00CF3D68">
        <w:rPr>
          <w:lang w:val="en-CA"/>
        </w:rPr>
        <w:t xml:space="preserve">are unaware of the seizures, the investigation is still </w:t>
      </w:r>
      <w:r w:rsidR="00D96332" w:rsidRPr="00CF3D68">
        <w:rPr>
          <w:lang w:val="en-CA"/>
        </w:rPr>
        <w:t>ongoing</w:t>
      </w:r>
      <w:r w:rsidR="008B457D" w:rsidRPr="00CF3D68">
        <w:rPr>
          <w:lang w:val="en-CA"/>
        </w:rPr>
        <w:t xml:space="preserve">, and </w:t>
      </w:r>
      <w:r w:rsidR="00134439">
        <w:rPr>
          <w:lang w:val="en-CA"/>
        </w:rPr>
        <w:t xml:space="preserve">it would prejudice </w:t>
      </w:r>
      <w:r w:rsidR="008B457D" w:rsidRPr="00CF3D68">
        <w:rPr>
          <w:lang w:val="en-CA"/>
        </w:rPr>
        <w:t>the investigation if they were to be informed.</w:t>
      </w:r>
      <w:r w:rsidR="001F7521" w:rsidRPr="00CF3D68">
        <w:rPr>
          <w:lang w:val="en-CA"/>
        </w:rPr>
        <w:t xml:space="preserve"> </w:t>
      </w:r>
      <w:r w:rsidR="008B457D" w:rsidRPr="00CF3D68">
        <w:rPr>
          <w:lang w:val="en-CA"/>
        </w:rPr>
        <w:t xml:space="preserve">For the same reasons, the DCPP asks that the hearing be </w:t>
      </w:r>
      <w:r w:rsidR="00A31138">
        <w:rPr>
          <w:lang w:val="en-CA"/>
        </w:rPr>
        <w:t>conducted</w:t>
      </w:r>
      <w:r w:rsidR="008B457D" w:rsidRPr="00CF3D68">
        <w:rPr>
          <w:lang w:val="en-CA"/>
        </w:rPr>
        <w:t xml:space="preserve"> </w:t>
      </w:r>
      <w:r w:rsidR="00AF0AE7" w:rsidRPr="00CF3D68">
        <w:rPr>
          <w:i/>
          <w:iCs/>
          <w:lang w:val="en-CA"/>
        </w:rPr>
        <w:t>in camera</w:t>
      </w:r>
      <w:r w:rsidR="00AF0AE7" w:rsidRPr="00CF3D68">
        <w:rPr>
          <w:lang w:val="en-CA"/>
        </w:rPr>
        <w:t xml:space="preserve"> </w:t>
      </w:r>
      <w:r w:rsidR="008B457D" w:rsidRPr="00CF3D68">
        <w:rPr>
          <w:lang w:val="en-CA"/>
        </w:rPr>
        <w:t xml:space="preserve">in chambers, using a separate mechanical recording from the Court system </w:t>
      </w:r>
      <w:r w:rsidR="00D65E0A">
        <w:rPr>
          <w:lang w:val="en-CA"/>
        </w:rPr>
        <w:t>which</w:t>
      </w:r>
      <w:r w:rsidR="00D65E0A" w:rsidRPr="00CF3D68">
        <w:rPr>
          <w:lang w:val="en-CA"/>
        </w:rPr>
        <w:t xml:space="preserve"> </w:t>
      </w:r>
      <w:r w:rsidR="008B457D" w:rsidRPr="00CF3D68">
        <w:rPr>
          <w:lang w:val="en-CA"/>
        </w:rPr>
        <w:t>will be filed under seal.</w:t>
      </w:r>
      <w:r w:rsidR="001F7521" w:rsidRPr="00CF3D68">
        <w:rPr>
          <w:lang w:val="en-CA"/>
        </w:rPr>
        <w:t xml:space="preserve"> </w:t>
      </w:r>
    </w:p>
    <w:p w14:paraId="6BCD1BED" w14:textId="3464AFE7" w:rsidR="001963C9" w:rsidRPr="00CF3D68" w:rsidRDefault="008B457D" w:rsidP="00136A08">
      <w:pPr>
        <w:pStyle w:val="Paragraphe"/>
        <w:rPr>
          <w:lang w:val="en-CA"/>
        </w:rPr>
      </w:pPr>
      <w:r w:rsidRPr="00CF3D68">
        <w:rPr>
          <w:lang w:val="en-CA"/>
        </w:rPr>
        <w:t xml:space="preserve">In support of its requests, the DCPP </w:t>
      </w:r>
      <w:r w:rsidR="00D65E0A">
        <w:rPr>
          <w:lang w:val="en-CA"/>
        </w:rPr>
        <w:t>contends</w:t>
      </w:r>
      <w:r w:rsidR="00D65E0A" w:rsidRPr="00CF3D68">
        <w:rPr>
          <w:lang w:val="en-CA"/>
        </w:rPr>
        <w:t xml:space="preserve"> </w:t>
      </w:r>
      <w:r w:rsidRPr="00CF3D68">
        <w:rPr>
          <w:lang w:val="en-CA"/>
        </w:rPr>
        <w:t>that the ongoing investigati</w:t>
      </w:r>
      <w:r w:rsidR="00D65E0A">
        <w:rPr>
          <w:lang w:val="en-CA"/>
        </w:rPr>
        <w:t>ve</w:t>
      </w:r>
      <w:r w:rsidRPr="00CF3D68">
        <w:rPr>
          <w:lang w:val="en-CA"/>
        </w:rPr>
        <w:t xml:space="preserve"> </w:t>
      </w:r>
      <w:r w:rsidR="00944D71">
        <w:rPr>
          <w:lang w:val="en-CA"/>
        </w:rPr>
        <w:t xml:space="preserve">privilege </w:t>
      </w:r>
      <w:r w:rsidRPr="00CF3D68">
        <w:rPr>
          <w:lang w:val="en-CA"/>
        </w:rPr>
        <w:t xml:space="preserve">must </w:t>
      </w:r>
      <w:r w:rsidR="00944D71">
        <w:rPr>
          <w:lang w:val="en-CA"/>
        </w:rPr>
        <w:t>take precedence</w:t>
      </w:r>
      <w:r w:rsidR="00AF0AE7">
        <w:rPr>
          <w:lang w:val="en-CA"/>
        </w:rPr>
        <w:t xml:space="preserve"> </w:t>
      </w:r>
      <w:r w:rsidRPr="00CF3D68">
        <w:rPr>
          <w:lang w:val="en-CA"/>
        </w:rPr>
        <w:t>at this preliminary stage of the proceedings.</w:t>
      </w:r>
    </w:p>
    <w:p w14:paraId="7FC7F4B6" w14:textId="38EDCA4E" w:rsidR="000B6B68" w:rsidRPr="00CF3D68" w:rsidRDefault="008B457D" w:rsidP="00136A08">
      <w:pPr>
        <w:pStyle w:val="Paragraphe"/>
        <w:rPr>
          <w:lang w:val="en-CA"/>
        </w:rPr>
      </w:pPr>
      <w:r w:rsidRPr="00CF3D68">
        <w:rPr>
          <w:lang w:val="en-CA"/>
        </w:rPr>
        <w:t>The interven</w:t>
      </w:r>
      <w:r w:rsidR="00321C51">
        <w:rPr>
          <w:lang w:val="en-CA"/>
        </w:rPr>
        <w:t>o</w:t>
      </w:r>
      <w:r w:rsidRPr="00CF3D68">
        <w:rPr>
          <w:lang w:val="en-CA"/>
        </w:rPr>
        <w:t xml:space="preserve">rs ask the Court to </w:t>
      </w:r>
      <w:r w:rsidR="00AF0AE7">
        <w:rPr>
          <w:lang w:val="en-CA"/>
        </w:rPr>
        <w:t>give</w:t>
      </w:r>
      <w:r w:rsidRPr="00CF3D68">
        <w:rPr>
          <w:lang w:val="en-CA"/>
        </w:rPr>
        <w:t xml:space="preserve"> the public as much access as possible and to determine the terms </w:t>
      </w:r>
      <w:r w:rsidR="00AF0AE7">
        <w:rPr>
          <w:lang w:val="en-CA"/>
        </w:rPr>
        <w:t xml:space="preserve">that will </w:t>
      </w:r>
      <w:r w:rsidRPr="00CF3D68">
        <w:rPr>
          <w:lang w:val="en-CA"/>
        </w:rPr>
        <w:t xml:space="preserve">maximize </w:t>
      </w:r>
      <w:r w:rsidR="00AF0AE7">
        <w:rPr>
          <w:lang w:val="en-CA"/>
        </w:rPr>
        <w:t>openness</w:t>
      </w:r>
      <w:r w:rsidRPr="00CF3D68">
        <w:rPr>
          <w:lang w:val="en-CA"/>
        </w:rPr>
        <w:t>.</w:t>
      </w:r>
    </w:p>
    <w:p w14:paraId="649393D5" w14:textId="43D1B3AC" w:rsidR="00457735" w:rsidRPr="00CF3D68" w:rsidRDefault="008B457D" w:rsidP="000D38B4">
      <w:pPr>
        <w:pStyle w:val="Titre1"/>
        <w:rPr>
          <w:lang w:val="en-CA"/>
        </w:rPr>
      </w:pPr>
      <w:r w:rsidRPr="00CF3D68">
        <w:rPr>
          <w:lang w:val="en-CA"/>
        </w:rPr>
        <w:t>II.</w:t>
      </w:r>
      <w:r w:rsidR="00E60F6F" w:rsidRPr="00CF3D68">
        <w:rPr>
          <w:lang w:val="en-CA"/>
        </w:rPr>
        <w:tab/>
      </w:r>
      <w:r w:rsidRPr="00CF3D68">
        <w:rPr>
          <w:lang w:val="en-CA"/>
        </w:rPr>
        <w:t>ISSUES</w:t>
      </w:r>
    </w:p>
    <w:p w14:paraId="097DE8B9" w14:textId="5E4DDC84" w:rsidR="000D38B4" w:rsidRPr="00CF3D68" w:rsidRDefault="008B457D" w:rsidP="000D38B4">
      <w:pPr>
        <w:pStyle w:val="Paragraphedeliste"/>
        <w:numPr>
          <w:ilvl w:val="0"/>
          <w:numId w:val="16"/>
        </w:numPr>
        <w:tabs>
          <w:tab w:val="left" w:pos="1418"/>
        </w:tabs>
        <w:spacing w:before="120" w:after="120"/>
        <w:jc w:val="both"/>
        <w:rPr>
          <w:b/>
          <w:bCs/>
          <w:lang w:val="en-CA"/>
        </w:rPr>
      </w:pPr>
      <w:r w:rsidRPr="00CF3D68">
        <w:rPr>
          <w:b/>
          <w:bCs/>
          <w:lang w:val="en-CA"/>
        </w:rPr>
        <w:t xml:space="preserve">Can and should the hearing on </w:t>
      </w:r>
      <w:r w:rsidR="00AF0AE7">
        <w:rPr>
          <w:b/>
          <w:bCs/>
          <w:lang w:val="en-CA"/>
        </w:rPr>
        <w:t xml:space="preserve">the motion for further </w:t>
      </w:r>
      <w:r w:rsidRPr="00CF3D68">
        <w:rPr>
          <w:b/>
          <w:bCs/>
          <w:lang w:val="en-CA"/>
        </w:rPr>
        <w:t xml:space="preserve">detention of property </w:t>
      </w:r>
      <w:r w:rsidR="00134439">
        <w:rPr>
          <w:b/>
          <w:bCs/>
          <w:lang w:val="en-CA"/>
        </w:rPr>
        <w:t xml:space="preserve">proceed </w:t>
      </w:r>
      <w:r w:rsidRPr="00CF3D68">
        <w:rPr>
          <w:b/>
          <w:bCs/>
          <w:i/>
          <w:lang w:val="en-CA"/>
        </w:rPr>
        <w:t xml:space="preserve">ex </w:t>
      </w:r>
      <w:proofErr w:type="spellStart"/>
      <w:r w:rsidRPr="00CF3D68">
        <w:rPr>
          <w:b/>
          <w:bCs/>
          <w:i/>
          <w:lang w:val="en-CA"/>
        </w:rPr>
        <w:t>parte</w:t>
      </w:r>
      <w:proofErr w:type="spellEnd"/>
      <w:r w:rsidRPr="00CF3D68">
        <w:rPr>
          <w:b/>
          <w:bCs/>
          <w:i/>
          <w:lang w:val="en-CA"/>
        </w:rPr>
        <w:t xml:space="preserve"> and without notice to the </w:t>
      </w:r>
      <w:r w:rsidR="002E2CB7" w:rsidRPr="0094214B">
        <w:rPr>
          <w:rFonts w:cs="Arial"/>
          <w:b/>
          <w:bCs/>
          <w:i/>
          <w:iCs/>
          <w:color w:val="000000"/>
          <w:szCs w:val="24"/>
          <w:lang w:val="en-CA"/>
        </w:rPr>
        <w:t>persons from whom the property was seized</w:t>
      </w:r>
      <w:r w:rsidRPr="00CF3D68">
        <w:rPr>
          <w:b/>
          <w:bCs/>
          <w:lang w:val="en-CA"/>
        </w:rPr>
        <w:t>?</w:t>
      </w:r>
    </w:p>
    <w:p w14:paraId="5CCF7017" w14:textId="5525A04E" w:rsidR="000D38B4" w:rsidRPr="00CF3D68" w:rsidRDefault="008B457D" w:rsidP="000D38B4">
      <w:pPr>
        <w:pStyle w:val="Paragraphedeliste"/>
        <w:numPr>
          <w:ilvl w:val="0"/>
          <w:numId w:val="16"/>
        </w:numPr>
        <w:tabs>
          <w:tab w:val="left" w:pos="1418"/>
        </w:tabs>
        <w:spacing w:before="120" w:after="120"/>
        <w:jc w:val="both"/>
        <w:rPr>
          <w:b/>
          <w:lang w:val="en-CA"/>
        </w:rPr>
      </w:pPr>
      <w:r w:rsidRPr="00CF3D68">
        <w:rPr>
          <w:b/>
          <w:lang w:val="en-CA"/>
        </w:rPr>
        <w:t xml:space="preserve">Should the hearing on </w:t>
      </w:r>
      <w:r w:rsidR="00AF0AE7">
        <w:rPr>
          <w:b/>
          <w:lang w:val="en-CA"/>
        </w:rPr>
        <w:t xml:space="preserve">the motion for </w:t>
      </w:r>
      <w:r w:rsidRPr="00CF3D68">
        <w:rPr>
          <w:b/>
          <w:lang w:val="en-CA"/>
        </w:rPr>
        <w:t xml:space="preserve">further detention of property </w:t>
      </w:r>
      <w:r w:rsidR="00134439">
        <w:rPr>
          <w:b/>
          <w:bCs/>
          <w:lang w:val="en-CA"/>
        </w:rPr>
        <w:t xml:space="preserve">proceed </w:t>
      </w:r>
      <w:r w:rsidRPr="00CF3D68">
        <w:rPr>
          <w:b/>
          <w:i/>
          <w:lang w:val="en-CA"/>
        </w:rPr>
        <w:t>in chambers</w:t>
      </w:r>
      <w:r w:rsidRPr="00CF3D68">
        <w:rPr>
          <w:b/>
          <w:lang w:val="en-CA"/>
        </w:rPr>
        <w:t xml:space="preserve"> </w:t>
      </w:r>
      <w:r w:rsidRPr="00AF0AE7">
        <w:rPr>
          <w:b/>
          <w:i/>
          <w:iCs/>
          <w:lang w:val="en-CA"/>
        </w:rPr>
        <w:t>and</w:t>
      </w:r>
      <w:r w:rsidRPr="00CF3D68">
        <w:rPr>
          <w:b/>
          <w:lang w:val="en-CA"/>
        </w:rPr>
        <w:t xml:space="preserve"> </w:t>
      </w:r>
      <w:r w:rsidRPr="00CF3D68">
        <w:rPr>
          <w:b/>
          <w:i/>
          <w:lang w:val="en-CA"/>
        </w:rPr>
        <w:t>in camera</w:t>
      </w:r>
      <w:r w:rsidRPr="00CF3D68">
        <w:rPr>
          <w:b/>
          <w:lang w:val="en-CA"/>
        </w:rPr>
        <w:t>?</w:t>
      </w:r>
    </w:p>
    <w:p w14:paraId="3F98073F" w14:textId="72F97567" w:rsidR="0003737A" w:rsidRPr="00CF3D68" w:rsidRDefault="008B457D" w:rsidP="000D38B4">
      <w:pPr>
        <w:pStyle w:val="Paragraphedeliste"/>
        <w:numPr>
          <w:ilvl w:val="0"/>
          <w:numId w:val="16"/>
        </w:numPr>
        <w:tabs>
          <w:tab w:val="left" w:pos="1418"/>
        </w:tabs>
        <w:spacing w:before="120" w:after="120"/>
        <w:jc w:val="both"/>
        <w:rPr>
          <w:b/>
          <w:bCs/>
          <w:lang w:val="en-CA"/>
        </w:rPr>
      </w:pPr>
      <w:r w:rsidRPr="00CF3D68">
        <w:rPr>
          <w:b/>
          <w:bCs/>
          <w:lang w:val="en-CA"/>
        </w:rPr>
        <w:t xml:space="preserve">Should the </w:t>
      </w:r>
      <w:r w:rsidR="00994332">
        <w:rPr>
          <w:b/>
          <w:bCs/>
          <w:lang w:val="en-CA"/>
        </w:rPr>
        <w:t>C</w:t>
      </w:r>
      <w:r w:rsidR="00AF0AE7">
        <w:rPr>
          <w:b/>
          <w:bCs/>
          <w:lang w:val="en-CA"/>
        </w:rPr>
        <w:t>ourt</w:t>
      </w:r>
      <w:r w:rsidR="00837857">
        <w:rPr>
          <w:b/>
          <w:bCs/>
          <w:lang w:val="en-CA"/>
        </w:rPr>
        <w:t>’</w:t>
      </w:r>
      <w:r w:rsidR="00D65E0A">
        <w:rPr>
          <w:b/>
          <w:bCs/>
          <w:lang w:val="en-CA"/>
        </w:rPr>
        <w:t>s</w:t>
      </w:r>
      <w:r w:rsidR="00AF0AE7">
        <w:rPr>
          <w:b/>
          <w:bCs/>
          <w:lang w:val="en-CA"/>
        </w:rPr>
        <w:t xml:space="preserve"> </w:t>
      </w:r>
      <w:r w:rsidRPr="00CF3D68">
        <w:rPr>
          <w:b/>
          <w:bCs/>
          <w:lang w:val="en-CA"/>
        </w:rPr>
        <w:t xml:space="preserve">file numbers </w:t>
      </w:r>
      <w:r w:rsidR="00E808FB">
        <w:rPr>
          <w:b/>
          <w:bCs/>
          <w:lang w:val="en-CA"/>
        </w:rPr>
        <w:t xml:space="preserve">remain </w:t>
      </w:r>
      <w:r w:rsidRPr="00CF3D68">
        <w:rPr>
          <w:b/>
          <w:bCs/>
          <w:lang w:val="en-CA"/>
        </w:rPr>
        <w:t>redacted?</w:t>
      </w:r>
    </w:p>
    <w:p w14:paraId="0338DC02" w14:textId="5B1A762D" w:rsidR="00944DE1" w:rsidRPr="00CF3D68" w:rsidRDefault="008B457D" w:rsidP="000D38B4">
      <w:pPr>
        <w:pStyle w:val="Titre1"/>
        <w:rPr>
          <w:lang w:val="en-CA"/>
        </w:rPr>
      </w:pPr>
      <w:r w:rsidRPr="00CF3D68">
        <w:rPr>
          <w:lang w:val="en-CA"/>
        </w:rPr>
        <w:t>II.</w:t>
      </w:r>
      <w:r w:rsidR="001F7521" w:rsidRPr="00CF3D68">
        <w:rPr>
          <w:lang w:val="en-CA"/>
        </w:rPr>
        <w:tab/>
      </w:r>
      <w:r w:rsidRPr="00CF3D68">
        <w:rPr>
          <w:u w:val="single"/>
          <w:lang w:val="en-CA"/>
        </w:rPr>
        <w:t>PROCEDURAL CONTEXT</w:t>
      </w:r>
    </w:p>
    <w:p w14:paraId="099626E6" w14:textId="322063D8" w:rsidR="00581F03" w:rsidRPr="00CF3D68" w:rsidRDefault="008B457D" w:rsidP="00136A08">
      <w:pPr>
        <w:pStyle w:val="Paragraphe"/>
        <w:rPr>
          <w:lang w:val="en-CA"/>
        </w:rPr>
      </w:pPr>
      <w:r w:rsidRPr="00CF3D68">
        <w:rPr>
          <w:lang w:val="en-CA"/>
        </w:rPr>
        <w:t xml:space="preserve">To ensure </w:t>
      </w:r>
      <w:r w:rsidR="00AF0AE7">
        <w:rPr>
          <w:lang w:val="en-CA"/>
        </w:rPr>
        <w:t xml:space="preserve">that </w:t>
      </w:r>
      <w:r w:rsidRPr="00CF3D68">
        <w:rPr>
          <w:lang w:val="en-CA"/>
        </w:rPr>
        <w:t>these reasons are clearly understood, a brief description of the procedural context is required.</w:t>
      </w:r>
      <w:r w:rsidR="001F7521" w:rsidRPr="00CF3D68">
        <w:rPr>
          <w:lang w:val="en-CA"/>
        </w:rPr>
        <w:t xml:space="preserve"> </w:t>
      </w:r>
    </w:p>
    <w:p w14:paraId="605EF369" w14:textId="424A4230" w:rsidR="00581F03" w:rsidRPr="00CF3D68" w:rsidRDefault="008B457D" w:rsidP="00136A08">
      <w:pPr>
        <w:pStyle w:val="Paragraphe"/>
        <w:rPr>
          <w:lang w:val="en-CA"/>
        </w:rPr>
      </w:pPr>
      <w:r w:rsidRPr="00CF3D68">
        <w:rPr>
          <w:lang w:val="en-CA"/>
        </w:rPr>
        <w:t xml:space="preserve">On March 11, 2024, the Director of Criminal and Penal Prosecutions (DCPP) signed a motion for </w:t>
      </w:r>
      <w:r w:rsidR="00AF0AE7">
        <w:rPr>
          <w:lang w:val="en-CA"/>
        </w:rPr>
        <w:t xml:space="preserve">further </w:t>
      </w:r>
      <w:r w:rsidRPr="00CF3D68">
        <w:rPr>
          <w:lang w:val="en-CA"/>
        </w:rPr>
        <w:t>detention of property under s</w:t>
      </w:r>
      <w:r w:rsidR="00667C93" w:rsidRPr="00CF3D68">
        <w:rPr>
          <w:lang w:val="en-CA"/>
        </w:rPr>
        <w:t>ection</w:t>
      </w:r>
      <w:r w:rsidRPr="00CF3D68">
        <w:rPr>
          <w:lang w:val="en-CA"/>
        </w:rPr>
        <w:t xml:space="preserve">s 490(2), (3), and (9.1) </w:t>
      </w:r>
      <w:r w:rsidRPr="00CF3D68">
        <w:rPr>
          <w:i/>
          <w:spacing w:val="-20"/>
          <w:lang w:val="en-CA"/>
        </w:rPr>
        <w:t>C.C</w:t>
      </w:r>
      <w:r w:rsidRPr="00CF3D68">
        <w:rPr>
          <w:i/>
          <w:lang w:val="en-CA"/>
        </w:rPr>
        <w:t>.</w:t>
      </w:r>
      <w:r w:rsidR="001F7521" w:rsidRPr="00CF3D68">
        <w:rPr>
          <w:lang w:val="en-CA"/>
        </w:rPr>
        <w:t xml:space="preserve"> </w:t>
      </w:r>
      <w:r w:rsidRPr="00CF3D68">
        <w:rPr>
          <w:lang w:val="en-CA"/>
        </w:rPr>
        <w:t>On that date, a police officer signed an affidavit in support of this motion.</w:t>
      </w:r>
    </w:p>
    <w:p w14:paraId="35ACE347" w14:textId="2D405311" w:rsidR="00581F03" w:rsidRPr="00CF3D68" w:rsidRDefault="008B457D" w:rsidP="00136A08">
      <w:pPr>
        <w:pStyle w:val="Paragraphe"/>
        <w:rPr>
          <w:lang w:val="en-CA"/>
        </w:rPr>
      </w:pPr>
      <w:r w:rsidRPr="00CF3D68">
        <w:rPr>
          <w:lang w:val="en-CA"/>
        </w:rPr>
        <w:t xml:space="preserve">This motion, </w:t>
      </w:r>
      <w:r w:rsidR="00BD1E4E">
        <w:rPr>
          <w:lang w:val="en-CA"/>
        </w:rPr>
        <w:t xml:space="preserve">which </w:t>
      </w:r>
      <w:r w:rsidR="0064056D">
        <w:rPr>
          <w:lang w:val="en-CA"/>
        </w:rPr>
        <w:t xml:space="preserve">seeks </w:t>
      </w:r>
      <w:r w:rsidRPr="00CF3D68">
        <w:rPr>
          <w:lang w:val="en-CA"/>
        </w:rPr>
        <w:t xml:space="preserve">to be filed under seal, asks </w:t>
      </w:r>
      <w:r w:rsidR="00A31138">
        <w:rPr>
          <w:lang w:val="en-CA"/>
        </w:rPr>
        <w:t xml:space="preserve">that the </w:t>
      </w:r>
      <w:r w:rsidRPr="00CF3D68">
        <w:rPr>
          <w:lang w:val="en-CA"/>
        </w:rPr>
        <w:t xml:space="preserve">hearing </w:t>
      </w:r>
      <w:r w:rsidR="00A31138">
        <w:rPr>
          <w:lang w:val="en-CA"/>
        </w:rPr>
        <w:t xml:space="preserve">be conducted </w:t>
      </w:r>
      <w:r w:rsidR="00A31138" w:rsidRPr="00A31138">
        <w:rPr>
          <w:i/>
          <w:iCs/>
          <w:lang w:val="en-CA"/>
        </w:rPr>
        <w:t>ex</w:t>
      </w:r>
      <w:r w:rsidR="00A31138">
        <w:rPr>
          <w:i/>
          <w:iCs/>
          <w:lang w:val="en-CA"/>
        </w:rPr>
        <w:t xml:space="preserve"> </w:t>
      </w:r>
      <w:proofErr w:type="spellStart"/>
      <w:r w:rsidR="00A31138" w:rsidRPr="00A31138">
        <w:rPr>
          <w:i/>
          <w:iCs/>
          <w:lang w:val="en-CA"/>
        </w:rPr>
        <w:t>parte</w:t>
      </w:r>
      <w:proofErr w:type="spellEnd"/>
      <w:r w:rsidR="00A31138">
        <w:rPr>
          <w:lang w:val="en-CA"/>
        </w:rPr>
        <w:t xml:space="preserve"> </w:t>
      </w:r>
      <w:r w:rsidRPr="00CF3D68">
        <w:rPr>
          <w:lang w:val="en-CA"/>
        </w:rPr>
        <w:t xml:space="preserve">and for </w:t>
      </w:r>
      <w:r w:rsidR="00A31138">
        <w:rPr>
          <w:lang w:val="en-CA"/>
        </w:rPr>
        <w:t xml:space="preserve">an exemption </w:t>
      </w:r>
      <w:r w:rsidRPr="00CF3D68">
        <w:rPr>
          <w:lang w:val="en-CA"/>
        </w:rPr>
        <w:t xml:space="preserve">from notifying the </w:t>
      </w:r>
      <w:r w:rsidR="002E2CB7" w:rsidRPr="0094214B">
        <w:rPr>
          <w:rFonts w:cs="Arial"/>
          <w:color w:val="000000"/>
          <w:szCs w:val="24"/>
          <w:lang w:val="en-CA"/>
        </w:rPr>
        <w:t xml:space="preserve">persons from whom the property was </w:t>
      </w:r>
      <w:r w:rsidR="002E2CB7" w:rsidRPr="0094214B">
        <w:rPr>
          <w:rFonts w:cs="Arial"/>
          <w:color w:val="000000"/>
          <w:szCs w:val="24"/>
          <w:lang w:val="en-CA"/>
        </w:rPr>
        <w:lastRenderedPageBreak/>
        <w:t>seized</w:t>
      </w:r>
      <w:r w:rsidRPr="00CF3D68">
        <w:rPr>
          <w:lang w:val="en-CA"/>
        </w:rPr>
        <w:t xml:space="preserve"> </w:t>
      </w:r>
      <w:r w:rsidR="00A31138">
        <w:rPr>
          <w:lang w:val="en-CA"/>
        </w:rPr>
        <w:t xml:space="preserve">of the hearing </w:t>
      </w:r>
      <w:r w:rsidRPr="00CF3D68">
        <w:rPr>
          <w:lang w:val="en-CA"/>
        </w:rPr>
        <w:t>because they are unaware that their property has been seized due to the ongoing investigation.</w:t>
      </w:r>
      <w:r w:rsidR="001F7521" w:rsidRPr="00CF3D68">
        <w:rPr>
          <w:lang w:val="en-CA"/>
        </w:rPr>
        <w:t xml:space="preserve"> </w:t>
      </w:r>
    </w:p>
    <w:p w14:paraId="2BCE2E0D" w14:textId="7425CC77" w:rsidR="00D15A31" w:rsidRPr="00CF3D68" w:rsidRDefault="008B457D" w:rsidP="00136A08">
      <w:pPr>
        <w:pStyle w:val="Paragraphe"/>
        <w:rPr>
          <w:lang w:val="en-CA"/>
        </w:rPr>
      </w:pPr>
      <w:r w:rsidRPr="00CF3D68">
        <w:rPr>
          <w:lang w:val="en-CA"/>
        </w:rPr>
        <w:t xml:space="preserve">The motion also seeks leave to </w:t>
      </w:r>
      <w:r w:rsidR="00A31138">
        <w:rPr>
          <w:lang w:val="en-CA"/>
        </w:rPr>
        <w:t xml:space="preserve">conduct </w:t>
      </w:r>
      <w:r w:rsidRPr="00CF3D68">
        <w:rPr>
          <w:lang w:val="en-CA"/>
        </w:rPr>
        <w:t xml:space="preserve">an </w:t>
      </w:r>
      <w:r w:rsidRPr="00CF3D68">
        <w:rPr>
          <w:i/>
          <w:lang w:val="en-CA"/>
        </w:rPr>
        <w:t>in camera</w:t>
      </w:r>
      <w:r w:rsidRPr="00CF3D68">
        <w:rPr>
          <w:lang w:val="en-CA"/>
        </w:rPr>
        <w:t xml:space="preserve"> hearing in chambers.</w:t>
      </w:r>
      <w:r w:rsidR="001F7521" w:rsidRPr="00CF3D68">
        <w:rPr>
          <w:lang w:val="en-CA"/>
        </w:rPr>
        <w:t xml:space="preserve"> </w:t>
      </w:r>
    </w:p>
    <w:p w14:paraId="3FE38D36" w14:textId="61AFFDD3" w:rsidR="00581F03" w:rsidRPr="00CF3D68" w:rsidRDefault="008B457D" w:rsidP="00136A08">
      <w:pPr>
        <w:pStyle w:val="Paragraphe"/>
        <w:rPr>
          <w:lang w:val="en-CA"/>
        </w:rPr>
      </w:pPr>
      <w:r w:rsidRPr="00CF3D68">
        <w:rPr>
          <w:lang w:val="en-CA"/>
        </w:rPr>
        <w:t>On June 13, 2024, the DCPP sent the Court an additional affidavit and a draft judicial summary.</w:t>
      </w:r>
      <w:r w:rsidR="001F7521" w:rsidRPr="00CF3D68">
        <w:rPr>
          <w:lang w:val="en-CA"/>
        </w:rPr>
        <w:t xml:space="preserve"> </w:t>
      </w:r>
      <w:r w:rsidRPr="00CF3D68">
        <w:rPr>
          <w:lang w:val="en-CA"/>
        </w:rPr>
        <w:t>The DCPP asked that the affidavit also be filed under seal.</w:t>
      </w:r>
      <w:r w:rsidR="001F7521" w:rsidRPr="00CF3D68">
        <w:rPr>
          <w:lang w:val="en-CA"/>
        </w:rPr>
        <w:t xml:space="preserve">   </w:t>
      </w:r>
    </w:p>
    <w:p w14:paraId="14D2D98D" w14:textId="607A71EA" w:rsidR="00581F03" w:rsidRPr="00CF3D68" w:rsidRDefault="00CF547C" w:rsidP="00136A08">
      <w:pPr>
        <w:pStyle w:val="Paragraphe"/>
        <w:rPr>
          <w:lang w:val="en-CA"/>
        </w:rPr>
      </w:pPr>
      <w:r w:rsidRPr="00CF547C">
        <w:rPr>
          <w:lang w:val="en-CA"/>
        </w:rPr>
        <w:t xml:space="preserve">In an </w:t>
      </w:r>
      <w:r w:rsidR="001B0E1D">
        <w:rPr>
          <w:lang w:val="en-CA"/>
        </w:rPr>
        <w:t>effort</w:t>
      </w:r>
      <w:r w:rsidR="001B0E1D" w:rsidRPr="00CF547C">
        <w:rPr>
          <w:lang w:val="en-CA"/>
        </w:rPr>
        <w:t xml:space="preserve"> </w:t>
      </w:r>
      <w:r w:rsidRPr="00CF547C">
        <w:rPr>
          <w:lang w:val="en-CA"/>
        </w:rPr>
        <w:t xml:space="preserve">to </w:t>
      </w:r>
      <w:r w:rsidR="00492C83" w:rsidRPr="00CF547C">
        <w:rPr>
          <w:lang w:val="en-CA"/>
        </w:rPr>
        <w:t>giv</w:t>
      </w:r>
      <w:r w:rsidRPr="00CF547C">
        <w:rPr>
          <w:lang w:val="en-CA"/>
        </w:rPr>
        <w:t>e</w:t>
      </w:r>
      <w:r w:rsidR="00492C83" w:rsidRPr="00CF547C">
        <w:rPr>
          <w:lang w:val="en-CA"/>
        </w:rPr>
        <w:t xml:space="preserve"> the public access to the </w:t>
      </w:r>
      <w:r w:rsidR="0064056D">
        <w:rPr>
          <w:lang w:val="en-CA"/>
        </w:rPr>
        <w:t>court</w:t>
      </w:r>
      <w:r w:rsidR="00492C83" w:rsidRPr="00CF547C">
        <w:rPr>
          <w:lang w:val="en-CA"/>
        </w:rPr>
        <w:t xml:space="preserve">room, </w:t>
      </w:r>
      <w:r>
        <w:rPr>
          <w:lang w:val="en-CA"/>
        </w:rPr>
        <w:t xml:space="preserve">during a public hearing </w:t>
      </w:r>
      <w:r w:rsidR="0064056D">
        <w:rPr>
          <w:lang w:val="en-CA"/>
        </w:rPr>
        <w:t xml:space="preserve">held </w:t>
      </w:r>
      <w:r w:rsidR="00492C83" w:rsidRPr="00CF547C">
        <w:rPr>
          <w:lang w:val="en-CA"/>
        </w:rPr>
        <w:t>on March 14, 2024,</w:t>
      </w:r>
      <w:r w:rsidR="00492C83" w:rsidRPr="00CF547C">
        <w:rPr>
          <w:rStyle w:val="Appelnotedebasdep"/>
          <w:lang w:val="en-CA"/>
        </w:rPr>
        <w:footnoteReference w:id="2"/>
      </w:r>
      <w:r w:rsidR="00492C83" w:rsidRPr="00CF547C">
        <w:rPr>
          <w:lang w:val="en-CA"/>
        </w:rPr>
        <w:t xml:space="preserve"> the Court asked the Crown to make submissions on its failure to notify the </w:t>
      </w:r>
      <w:r w:rsidR="006955FC" w:rsidRPr="00CF547C">
        <w:rPr>
          <w:lang w:val="en-CA"/>
        </w:rPr>
        <w:t>press</w:t>
      </w:r>
      <w:r w:rsidR="001B0E1D">
        <w:rPr>
          <w:lang w:val="en-CA"/>
        </w:rPr>
        <w:t>, while emphasizing</w:t>
      </w:r>
      <w:r w:rsidR="00492C83" w:rsidRPr="00CF547C">
        <w:rPr>
          <w:lang w:val="en-CA"/>
        </w:rPr>
        <w:t xml:space="preserve"> that </w:t>
      </w:r>
      <w:r w:rsidR="001B0E1D">
        <w:rPr>
          <w:lang w:val="en-CA"/>
        </w:rPr>
        <w:t xml:space="preserve">an </w:t>
      </w:r>
      <w:r w:rsidR="00492C83" w:rsidRPr="00CF547C">
        <w:rPr>
          <w:i/>
          <w:lang w:val="en-CA"/>
        </w:rPr>
        <w:t>in camera</w:t>
      </w:r>
      <w:r w:rsidR="00492C83" w:rsidRPr="00CF547C">
        <w:rPr>
          <w:lang w:val="en-CA"/>
        </w:rPr>
        <w:t xml:space="preserve"> could be ordered if the Crown </w:t>
      </w:r>
      <w:r w:rsidR="001B0E1D">
        <w:rPr>
          <w:lang w:val="en-CA"/>
        </w:rPr>
        <w:t>would</w:t>
      </w:r>
      <w:r w:rsidR="00492C83" w:rsidRPr="00CF547C">
        <w:rPr>
          <w:lang w:val="en-CA"/>
        </w:rPr>
        <w:t xml:space="preserve"> require </w:t>
      </w:r>
      <w:r w:rsidR="00D96332" w:rsidRPr="00CF547C">
        <w:rPr>
          <w:lang w:val="en-CA"/>
        </w:rPr>
        <w:t xml:space="preserve">to </w:t>
      </w:r>
      <w:r w:rsidR="00492C83" w:rsidRPr="00CF547C">
        <w:rPr>
          <w:lang w:val="en-CA"/>
        </w:rPr>
        <w:t>disclose privileged information during its submissions.</w:t>
      </w:r>
      <w:r w:rsidR="001F7521" w:rsidRPr="00CF547C">
        <w:rPr>
          <w:lang w:val="en-CA"/>
        </w:rPr>
        <w:t xml:space="preserve"> </w:t>
      </w:r>
      <w:r w:rsidR="00492C83" w:rsidRPr="00CF547C">
        <w:rPr>
          <w:lang w:val="en-CA"/>
        </w:rPr>
        <w:t>Only the Crown was present at th</w:t>
      </w:r>
      <w:r>
        <w:rPr>
          <w:lang w:val="en-CA"/>
        </w:rPr>
        <w:t>at</w:t>
      </w:r>
      <w:r w:rsidR="00492C83" w:rsidRPr="00CF547C">
        <w:rPr>
          <w:lang w:val="en-CA"/>
        </w:rPr>
        <w:t xml:space="preserve"> hearing</w:t>
      </w:r>
      <w:r w:rsidR="00492C83" w:rsidRPr="00CF3D68">
        <w:rPr>
          <w:lang w:val="en-CA"/>
        </w:rPr>
        <w:t>.</w:t>
      </w:r>
    </w:p>
    <w:p w14:paraId="77F0BD8D" w14:textId="3C4B1F5E" w:rsidR="00581F03" w:rsidRPr="00CF3D68" w:rsidRDefault="00492C83" w:rsidP="00136A08">
      <w:pPr>
        <w:pStyle w:val="Paragraphe"/>
        <w:rPr>
          <w:lang w:val="en-CA"/>
        </w:rPr>
      </w:pPr>
      <w:r w:rsidRPr="00CF3D68">
        <w:rPr>
          <w:lang w:val="en-CA"/>
        </w:rPr>
        <w:t xml:space="preserve">Following the hearing, the Court ordered the Crown to send </w:t>
      </w:r>
      <w:r w:rsidR="00CF547C" w:rsidRPr="00CF547C">
        <w:rPr>
          <w:lang w:val="en-CA"/>
        </w:rPr>
        <w:t xml:space="preserve">a notice </w:t>
      </w:r>
      <w:r w:rsidR="00CF547C">
        <w:rPr>
          <w:lang w:val="en-CA"/>
        </w:rPr>
        <w:t xml:space="preserve">to </w:t>
      </w:r>
      <w:r w:rsidRPr="00CF3D68">
        <w:rPr>
          <w:lang w:val="en-CA"/>
        </w:rPr>
        <w:t xml:space="preserve">the </w:t>
      </w:r>
      <w:r w:rsidR="006955FC" w:rsidRPr="00CF3D68">
        <w:rPr>
          <w:lang w:val="en-CA"/>
        </w:rPr>
        <w:t>press</w:t>
      </w:r>
      <w:r w:rsidRPr="00CF3D68">
        <w:rPr>
          <w:lang w:val="en-CA"/>
        </w:rPr>
        <w:t xml:space="preserve"> </w:t>
      </w:r>
      <w:r w:rsidR="004559E4">
        <w:rPr>
          <w:lang w:val="en-CA"/>
        </w:rPr>
        <w:t>with</w:t>
      </w:r>
      <w:r w:rsidR="004559E4" w:rsidRPr="00CF3D68">
        <w:rPr>
          <w:lang w:val="en-CA"/>
        </w:rPr>
        <w:t xml:space="preserve"> </w:t>
      </w:r>
      <w:r w:rsidRPr="00CF3D68">
        <w:rPr>
          <w:lang w:val="en-CA"/>
        </w:rPr>
        <w:t xml:space="preserve">the file numbers </w:t>
      </w:r>
      <w:r w:rsidR="004559E4">
        <w:rPr>
          <w:lang w:val="en-CA"/>
        </w:rPr>
        <w:t xml:space="preserve">partially redacted </w:t>
      </w:r>
      <w:r w:rsidRPr="00CD59CE">
        <w:rPr>
          <w:lang w:val="en-CA"/>
        </w:rPr>
        <w:t xml:space="preserve">given the </w:t>
      </w:r>
      <w:r w:rsidR="004559E4" w:rsidRPr="00CD59CE">
        <w:rPr>
          <w:lang w:val="en-CA"/>
        </w:rPr>
        <w:t xml:space="preserve">real </w:t>
      </w:r>
      <w:r w:rsidRPr="00CD59CE">
        <w:rPr>
          <w:lang w:val="en-CA"/>
        </w:rPr>
        <w:t xml:space="preserve">concerns </w:t>
      </w:r>
      <w:r w:rsidR="004559E4" w:rsidRPr="00CD59CE">
        <w:rPr>
          <w:lang w:val="en-CA"/>
        </w:rPr>
        <w:t xml:space="preserve">about </w:t>
      </w:r>
      <w:r w:rsidR="00CF547C" w:rsidRPr="00CD59CE">
        <w:rPr>
          <w:lang w:val="en-CA"/>
        </w:rPr>
        <w:t xml:space="preserve">access </w:t>
      </w:r>
      <w:r w:rsidRPr="00CD59CE">
        <w:rPr>
          <w:lang w:val="en-CA"/>
        </w:rPr>
        <w:t xml:space="preserve">by a member of the public </w:t>
      </w:r>
      <w:r w:rsidR="004559E4" w:rsidRPr="00CD59CE">
        <w:rPr>
          <w:lang w:val="en-CA"/>
        </w:rPr>
        <w:t xml:space="preserve">in possession of </w:t>
      </w:r>
      <w:r w:rsidRPr="00CD59CE">
        <w:rPr>
          <w:lang w:val="en-CA"/>
        </w:rPr>
        <w:t xml:space="preserve">the </w:t>
      </w:r>
      <w:r w:rsidR="003C5599">
        <w:rPr>
          <w:lang w:val="en-CA"/>
        </w:rPr>
        <w:t xml:space="preserve">court </w:t>
      </w:r>
      <w:r w:rsidRPr="00CD59CE">
        <w:rPr>
          <w:lang w:val="en-CA"/>
        </w:rPr>
        <w:t>file numbers</w:t>
      </w:r>
      <w:r w:rsidR="00CE28B1" w:rsidRPr="00CD59CE">
        <w:rPr>
          <w:lang w:val="en-CA"/>
        </w:rPr>
        <w:t xml:space="preserve"> to </w:t>
      </w:r>
      <w:r w:rsidRPr="00CD59CE">
        <w:rPr>
          <w:lang w:val="en-CA"/>
        </w:rPr>
        <w:t xml:space="preserve">information that could identify the </w:t>
      </w:r>
      <w:r w:rsidR="00D96332" w:rsidRPr="00CD59CE">
        <w:rPr>
          <w:lang w:val="en-CA"/>
        </w:rPr>
        <w:t xml:space="preserve">ongoing </w:t>
      </w:r>
      <w:r w:rsidRPr="00CD59CE">
        <w:rPr>
          <w:lang w:val="en-CA"/>
        </w:rPr>
        <w:t>investigation.</w:t>
      </w:r>
      <w:r w:rsidR="001F7521" w:rsidRPr="00CF3D68">
        <w:rPr>
          <w:lang w:val="en-CA"/>
        </w:rPr>
        <w:t xml:space="preserve"> </w:t>
      </w:r>
      <w:r w:rsidRPr="00CF3D68">
        <w:rPr>
          <w:lang w:val="en-CA"/>
        </w:rPr>
        <w:t>The hearing on the motion was postponed to April</w:t>
      </w:r>
      <w:r w:rsidR="00CF547C">
        <w:rPr>
          <w:lang w:val="en-CA"/>
        </w:rPr>
        <w:t> </w:t>
      </w:r>
      <w:r w:rsidRPr="00CF3D68">
        <w:rPr>
          <w:lang w:val="en-CA"/>
        </w:rPr>
        <w:t>3,</w:t>
      </w:r>
      <w:r w:rsidR="00CF547C">
        <w:rPr>
          <w:lang w:val="en-CA"/>
        </w:rPr>
        <w:t> </w:t>
      </w:r>
      <w:r w:rsidRPr="00CF3D68">
        <w:rPr>
          <w:lang w:val="en-CA"/>
        </w:rPr>
        <w:t>2024, so the notices could be sent.</w:t>
      </w:r>
      <w:r w:rsidR="001F7521" w:rsidRPr="00CF3D68">
        <w:rPr>
          <w:lang w:val="en-CA"/>
        </w:rPr>
        <w:t xml:space="preserve"> </w:t>
      </w:r>
    </w:p>
    <w:p w14:paraId="69A4C76D" w14:textId="169080D3" w:rsidR="00581F03" w:rsidRPr="00CF3D68" w:rsidRDefault="00492C83" w:rsidP="00136A08">
      <w:pPr>
        <w:pStyle w:val="Paragraphe"/>
        <w:rPr>
          <w:lang w:val="en-CA"/>
        </w:rPr>
      </w:pPr>
      <w:r w:rsidRPr="00CF3D68">
        <w:rPr>
          <w:lang w:val="en-CA"/>
        </w:rPr>
        <w:t>On April 3, 2024, the interven</w:t>
      </w:r>
      <w:r w:rsidR="00321C51">
        <w:rPr>
          <w:lang w:val="en-CA"/>
        </w:rPr>
        <w:t>o</w:t>
      </w:r>
      <w:r w:rsidRPr="00CF3D68">
        <w:rPr>
          <w:lang w:val="en-CA"/>
        </w:rPr>
        <w:t xml:space="preserve">rs attended the hearing and asked for a copy of the motion and </w:t>
      </w:r>
      <w:r w:rsidR="00CF547C">
        <w:rPr>
          <w:lang w:val="en-CA"/>
        </w:rPr>
        <w:t xml:space="preserve">supporting </w:t>
      </w:r>
      <w:r w:rsidRPr="00CF3D68">
        <w:rPr>
          <w:lang w:val="en-CA"/>
        </w:rPr>
        <w:t>affidavit.</w:t>
      </w:r>
      <w:r w:rsidR="001F7521" w:rsidRPr="00CF3D68">
        <w:rPr>
          <w:lang w:val="en-CA"/>
        </w:rPr>
        <w:t xml:space="preserve"> </w:t>
      </w:r>
      <w:r w:rsidRPr="00CF3D68">
        <w:rPr>
          <w:lang w:val="en-CA"/>
        </w:rPr>
        <w:t>The Crown objected to this request.</w:t>
      </w:r>
      <w:r w:rsidR="001F7521" w:rsidRPr="00CF3D68">
        <w:rPr>
          <w:lang w:val="en-CA"/>
        </w:rPr>
        <w:t xml:space="preserve"> </w:t>
      </w:r>
      <w:r w:rsidRPr="00CF3D68">
        <w:rPr>
          <w:lang w:val="en-CA"/>
        </w:rPr>
        <w:t xml:space="preserve">The Court ordered </w:t>
      </w:r>
      <w:r w:rsidR="00813F53">
        <w:rPr>
          <w:lang w:val="en-CA"/>
        </w:rPr>
        <w:t xml:space="preserve">that </w:t>
      </w:r>
      <w:r w:rsidRPr="00CF3D68">
        <w:rPr>
          <w:lang w:val="en-CA"/>
        </w:rPr>
        <w:t xml:space="preserve">a redacted copy and </w:t>
      </w:r>
      <w:r w:rsidR="00813F53">
        <w:rPr>
          <w:lang w:val="en-CA"/>
        </w:rPr>
        <w:t xml:space="preserve">a </w:t>
      </w:r>
      <w:r w:rsidRPr="00CF3D68">
        <w:rPr>
          <w:lang w:val="en-CA"/>
        </w:rPr>
        <w:t>judicial summary</w:t>
      </w:r>
      <w:r w:rsidRPr="00CF3D68">
        <w:rPr>
          <w:rStyle w:val="Appelnotedebasdep"/>
          <w:lang w:val="en-CA"/>
        </w:rPr>
        <w:footnoteReference w:id="3"/>
      </w:r>
      <w:r w:rsidRPr="00CF3D68">
        <w:rPr>
          <w:lang w:val="en-CA"/>
        </w:rPr>
        <w:t xml:space="preserve"> of the redacted passages be prepared and submitted</w:t>
      </w:r>
      <w:r w:rsidR="00813F53">
        <w:rPr>
          <w:lang w:val="en-CA"/>
        </w:rPr>
        <w:t xml:space="preserve"> to it</w:t>
      </w:r>
      <w:r w:rsidRPr="00CF3D68">
        <w:rPr>
          <w:lang w:val="en-CA"/>
        </w:rPr>
        <w:t>.</w:t>
      </w:r>
      <w:r w:rsidR="001F7521" w:rsidRPr="00CF3D68">
        <w:rPr>
          <w:lang w:val="en-CA"/>
        </w:rPr>
        <w:t xml:space="preserve"> </w:t>
      </w:r>
      <w:r w:rsidRPr="00CF3D68">
        <w:rPr>
          <w:lang w:val="en-CA"/>
        </w:rPr>
        <w:t xml:space="preserve">The </w:t>
      </w:r>
      <w:r w:rsidR="00CF547C">
        <w:rPr>
          <w:lang w:val="en-CA"/>
        </w:rPr>
        <w:t>files</w:t>
      </w:r>
      <w:r w:rsidRPr="00CF3D68">
        <w:rPr>
          <w:lang w:val="en-CA"/>
        </w:rPr>
        <w:t xml:space="preserve"> were postponed to April 23, 2024.</w:t>
      </w:r>
    </w:p>
    <w:p w14:paraId="71838E84" w14:textId="0C08C53C" w:rsidR="00581F03" w:rsidRPr="00CF3D68" w:rsidRDefault="00492C83" w:rsidP="00136A08">
      <w:pPr>
        <w:pStyle w:val="Paragraphe"/>
        <w:rPr>
          <w:lang w:val="en-CA"/>
        </w:rPr>
      </w:pPr>
      <w:r w:rsidRPr="00CF3D68">
        <w:rPr>
          <w:lang w:val="en-CA"/>
        </w:rPr>
        <w:t xml:space="preserve">On April 12, 2024, </w:t>
      </w:r>
      <w:r w:rsidR="00813F53">
        <w:rPr>
          <w:lang w:val="en-CA"/>
        </w:rPr>
        <w:t>following email exchanges between the</w:t>
      </w:r>
      <w:r w:rsidRPr="00CF3D68">
        <w:rPr>
          <w:lang w:val="en-CA"/>
        </w:rPr>
        <w:t xml:space="preserve"> Court and the Crown concerning the revi</w:t>
      </w:r>
      <w:r w:rsidR="00813F53">
        <w:rPr>
          <w:lang w:val="en-CA"/>
        </w:rPr>
        <w:t>ew</w:t>
      </w:r>
      <w:r w:rsidRPr="00CF3D68">
        <w:rPr>
          <w:lang w:val="en-CA"/>
        </w:rPr>
        <w:t xml:space="preserve"> of the redacted documents and written notes in the margins of the redacted </w:t>
      </w:r>
      <w:r w:rsidR="00EF0BA5">
        <w:rPr>
          <w:lang w:val="en-CA"/>
        </w:rPr>
        <w:t>excerpts</w:t>
      </w:r>
      <w:r w:rsidR="00EF0BA5" w:rsidRPr="00CF3D68">
        <w:rPr>
          <w:lang w:val="en-CA"/>
        </w:rPr>
        <w:t xml:space="preserve"> </w:t>
      </w:r>
      <w:r w:rsidR="00CF547C">
        <w:rPr>
          <w:lang w:val="en-CA"/>
        </w:rPr>
        <w:t>that served</w:t>
      </w:r>
      <w:r w:rsidRPr="00CF3D68">
        <w:rPr>
          <w:lang w:val="en-CA"/>
        </w:rPr>
        <w:t xml:space="preserve"> as a judicial summary, the interven</w:t>
      </w:r>
      <w:r w:rsidR="00DC1220">
        <w:rPr>
          <w:lang w:val="en-CA"/>
        </w:rPr>
        <w:t>o</w:t>
      </w:r>
      <w:r w:rsidRPr="00CF3D68">
        <w:rPr>
          <w:lang w:val="en-CA"/>
        </w:rPr>
        <w:t>rs were provided with a redacted version.</w:t>
      </w:r>
    </w:p>
    <w:p w14:paraId="5518EFD9" w14:textId="0ED8B4BB" w:rsidR="00581F03" w:rsidRPr="00CF3D68" w:rsidRDefault="00492C83" w:rsidP="00136A08">
      <w:pPr>
        <w:pStyle w:val="Paragraphe"/>
        <w:rPr>
          <w:lang w:val="en-CA"/>
        </w:rPr>
      </w:pPr>
      <w:r w:rsidRPr="00CF3D68">
        <w:rPr>
          <w:lang w:val="en-CA"/>
        </w:rPr>
        <w:t>On April 23, 2024, the interven</w:t>
      </w:r>
      <w:r w:rsidR="00DC1220">
        <w:rPr>
          <w:lang w:val="en-CA"/>
        </w:rPr>
        <w:t>o</w:t>
      </w:r>
      <w:r w:rsidRPr="00CF3D68">
        <w:rPr>
          <w:lang w:val="en-CA"/>
        </w:rPr>
        <w:t xml:space="preserve">rs asked the Court to </w:t>
      </w:r>
      <w:r w:rsidR="00813F53">
        <w:rPr>
          <w:lang w:val="en-CA"/>
        </w:rPr>
        <w:t xml:space="preserve">provide </w:t>
      </w:r>
      <w:r w:rsidRPr="00CF3D68">
        <w:rPr>
          <w:lang w:val="en-CA"/>
        </w:rPr>
        <w:t xml:space="preserve">an unredacted version of the documents </w:t>
      </w:r>
      <w:r w:rsidR="004559E4">
        <w:rPr>
          <w:lang w:val="en-CA"/>
        </w:rPr>
        <w:t xml:space="preserve">to their counsel and </w:t>
      </w:r>
      <w:r w:rsidR="00C2510A">
        <w:rPr>
          <w:lang w:val="en-CA"/>
        </w:rPr>
        <w:t xml:space="preserve">to </w:t>
      </w:r>
      <w:r w:rsidR="004559E4">
        <w:rPr>
          <w:lang w:val="en-CA"/>
        </w:rPr>
        <w:t>a lawyer from each of their l</w:t>
      </w:r>
      <w:r w:rsidR="00C2510A">
        <w:rPr>
          <w:lang w:val="en-CA"/>
        </w:rPr>
        <w:t>egal</w:t>
      </w:r>
      <w:r w:rsidR="004559E4">
        <w:rPr>
          <w:lang w:val="en-CA"/>
        </w:rPr>
        <w:t xml:space="preserve"> departments (“</w:t>
      </w:r>
      <w:r w:rsidRPr="00CF3D68">
        <w:rPr>
          <w:lang w:val="en-CA"/>
        </w:rPr>
        <w:t>counsel</w:t>
      </w:r>
      <w:r w:rsidR="00CF547C">
        <w:rPr>
          <w:lang w:val="en-CA"/>
        </w:rPr>
        <w:t>’s eyes only</w:t>
      </w:r>
      <w:r w:rsidR="004559E4">
        <w:rPr>
          <w:lang w:val="en-CA"/>
        </w:rPr>
        <w:t>”)</w:t>
      </w:r>
      <w:r w:rsidRPr="00CF3D68">
        <w:rPr>
          <w:lang w:val="en-CA"/>
        </w:rPr>
        <w:t>.</w:t>
      </w:r>
      <w:r w:rsidR="008B14A0" w:rsidRPr="00CF3D68">
        <w:rPr>
          <w:lang w:val="en-CA"/>
        </w:rPr>
        <w:t xml:space="preserve"> </w:t>
      </w:r>
      <w:r w:rsidRPr="00CF3D68">
        <w:rPr>
          <w:lang w:val="en-CA"/>
        </w:rPr>
        <w:t xml:space="preserve">On April 29, 2024, the Court rendered a written decision </w:t>
      </w:r>
      <w:r w:rsidR="00813F53">
        <w:rPr>
          <w:lang w:val="en-CA"/>
        </w:rPr>
        <w:t>denying</w:t>
      </w:r>
      <w:r w:rsidRPr="00CF3D68">
        <w:rPr>
          <w:lang w:val="en-CA"/>
        </w:rPr>
        <w:t xml:space="preserve"> that </w:t>
      </w:r>
      <w:r w:rsidR="00D77CFA">
        <w:rPr>
          <w:lang w:val="en-CA"/>
        </w:rPr>
        <w:t>request</w:t>
      </w:r>
      <w:r w:rsidRPr="00CF3D68">
        <w:rPr>
          <w:lang w:val="en-CA"/>
        </w:rPr>
        <w:t>.</w:t>
      </w:r>
    </w:p>
    <w:p w14:paraId="16123F74" w14:textId="1572648D" w:rsidR="00581F03" w:rsidRPr="00CF3D68" w:rsidRDefault="00492C83" w:rsidP="00136A08">
      <w:pPr>
        <w:pStyle w:val="Paragraphe"/>
        <w:rPr>
          <w:lang w:val="en-CA"/>
        </w:rPr>
      </w:pPr>
      <w:r w:rsidRPr="00CF3D68">
        <w:rPr>
          <w:lang w:val="en-CA"/>
        </w:rPr>
        <w:t xml:space="preserve">On June 7, 2024, a hearing was held to determine the terms of the hearing “on the merits” on the motion </w:t>
      </w:r>
      <w:r w:rsidR="006A2C92">
        <w:rPr>
          <w:lang w:val="en-CA"/>
        </w:rPr>
        <w:t>for</w:t>
      </w:r>
      <w:r w:rsidR="00944D71">
        <w:rPr>
          <w:lang w:val="en-CA"/>
        </w:rPr>
        <w:t xml:space="preserve"> further</w:t>
      </w:r>
      <w:r w:rsidR="006A2C92">
        <w:rPr>
          <w:lang w:val="en-CA"/>
        </w:rPr>
        <w:t xml:space="preserve"> </w:t>
      </w:r>
      <w:r w:rsidRPr="00CF3D68">
        <w:rPr>
          <w:lang w:val="en-CA"/>
        </w:rPr>
        <w:t xml:space="preserve">detention of property, that is, whether the hearing would </w:t>
      </w:r>
      <w:r w:rsidR="00944D71">
        <w:rPr>
          <w:lang w:val="en-CA"/>
        </w:rPr>
        <w:t>be</w:t>
      </w:r>
      <w:r w:rsidRPr="00CF3D68">
        <w:rPr>
          <w:lang w:val="en-CA"/>
        </w:rPr>
        <w:t xml:space="preserve"> </w:t>
      </w:r>
      <w:r w:rsidRPr="00CF3D68">
        <w:rPr>
          <w:i/>
          <w:lang w:val="en-CA"/>
        </w:rPr>
        <w:t xml:space="preserve">ex </w:t>
      </w:r>
      <w:proofErr w:type="spellStart"/>
      <w:r w:rsidRPr="00CF3D68">
        <w:rPr>
          <w:i/>
          <w:lang w:val="en-CA"/>
        </w:rPr>
        <w:t>parte</w:t>
      </w:r>
      <w:proofErr w:type="spellEnd"/>
      <w:r w:rsidRPr="00CF3D68">
        <w:rPr>
          <w:lang w:val="en-CA"/>
        </w:rPr>
        <w:t xml:space="preserve"> and/or in chambers and </w:t>
      </w:r>
      <w:r w:rsidRPr="00CF3D68">
        <w:rPr>
          <w:i/>
          <w:lang w:val="en-CA"/>
        </w:rPr>
        <w:t>in camera</w:t>
      </w:r>
      <w:r w:rsidRPr="00CF3D68">
        <w:rPr>
          <w:lang w:val="en-CA"/>
        </w:rPr>
        <w:t>.</w:t>
      </w:r>
    </w:p>
    <w:p w14:paraId="11274A44" w14:textId="51C543A4" w:rsidR="0003737A" w:rsidRPr="00CF3D68" w:rsidRDefault="00492C83" w:rsidP="00136A08">
      <w:pPr>
        <w:pStyle w:val="Paragraphe"/>
        <w:rPr>
          <w:lang w:val="en-CA"/>
        </w:rPr>
      </w:pPr>
      <w:r w:rsidRPr="00CF3D68">
        <w:rPr>
          <w:lang w:val="en-CA"/>
        </w:rPr>
        <w:lastRenderedPageBreak/>
        <w:t>At the hearing, counsel for the interven</w:t>
      </w:r>
      <w:r w:rsidR="00321C51">
        <w:rPr>
          <w:lang w:val="en-CA"/>
        </w:rPr>
        <w:t>o</w:t>
      </w:r>
      <w:r w:rsidRPr="00CF3D68">
        <w:rPr>
          <w:lang w:val="en-CA"/>
        </w:rPr>
        <w:t xml:space="preserve">rs asked the Court </w:t>
      </w:r>
      <w:r w:rsidR="00944D71">
        <w:rPr>
          <w:lang w:val="en-CA"/>
        </w:rPr>
        <w:t xml:space="preserve">whether </w:t>
      </w:r>
      <w:r w:rsidRPr="00CF3D68">
        <w:rPr>
          <w:lang w:val="en-CA"/>
        </w:rPr>
        <w:t xml:space="preserve">the court numbers </w:t>
      </w:r>
      <w:r w:rsidR="00944D71">
        <w:rPr>
          <w:lang w:val="en-CA"/>
        </w:rPr>
        <w:t xml:space="preserve">needed to </w:t>
      </w:r>
      <w:r w:rsidRPr="00CF3D68">
        <w:rPr>
          <w:lang w:val="en-CA"/>
        </w:rPr>
        <w:t>remain sealed.</w:t>
      </w:r>
      <w:r w:rsidR="001F7521" w:rsidRPr="00CF3D68">
        <w:rPr>
          <w:lang w:val="en-CA"/>
        </w:rPr>
        <w:t xml:space="preserve"> </w:t>
      </w:r>
      <w:r w:rsidRPr="00CF3D68">
        <w:rPr>
          <w:lang w:val="en-CA"/>
        </w:rPr>
        <w:t xml:space="preserve">In this regard, the Court </w:t>
      </w:r>
      <w:r w:rsidR="00944D71">
        <w:rPr>
          <w:lang w:val="en-CA"/>
        </w:rPr>
        <w:t xml:space="preserve">questioned </w:t>
      </w:r>
      <w:r w:rsidRPr="00CF3D68">
        <w:rPr>
          <w:lang w:val="en-CA"/>
        </w:rPr>
        <w:t xml:space="preserve">the parties </w:t>
      </w:r>
      <w:r w:rsidR="00944D71">
        <w:rPr>
          <w:lang w:val="en-CA"/>
        </w:rPr>
        <w:t xml:space="preserve">on </w:t>
      </w:r>
      <w:r w:rsidRPr="00CF3D68">
        <w:rPr>
          <w:lang w:val="en-CA"/>
        </w:rPr>
        <w:t>whether the investigati</w:t>
      </w:r>
      <w:r w:rsidR="00813F53">
        <w:rPr>
          <w:lang w:val="en-CA"/>
        </w:rPr>
        <w:t>ve</w:t>
      </w:r>
      <w:r w:rsidRPr="00CF3D68">
        <w:rPr>
          <w:lang w:val="en-CA"/>
        </w:rPr>
        <w:t xml:space="preserve"> </w:t>
      </w:r>
      <w:r w:rsidR="00944D71">
        <w:rPr>
          <w:lang w:val="en-CA"/>
        </w:rPr>
        <w:t xml:space="preserve">privilege </w:t>
      </w:r>
      <w:r w:rsidR="006438AB">
        <w:rPr>
          <w:lang w:val="en-CA"/>
        </w:rPr>
        <w:t>c</w:t>
      </w:r>
      <w:r w:rsidRPr="00CF3D68">
        <w:rPr>
          <w:lang w:val="en-CA"/>
        </w:rPr>
        <w:t>ould be sufficiently protected by (1) publication bans regarding the file numbers and the year in which</w:t>
      </w:r>
      <w:r w:rsidR="00813F53">
        <w:rPr>
          <w:lang w:val="en-CA"/>
        </w:rPr>
        <w:t xml:space="preserve"> the</w:t>
      </w:r>
      <w:r w:rsidRPr="00CF3D68">
        <w:rPr>
          <w:lang w:val="en-CA"/>
        </w:rPr>
        <w:t xml:space="preserve"> judicial authorizations were granted; and (2) an order to Deputy Sheriff Andrée-Anne Petit, her team, and the court office employees prohibiting them from giving anyone access to the Court </w:t>
      </w:r>
      <w:r w:rsidR="006438AB">
        <w:rPr>
          <w:lang w:val="en-CA"/>
        </w:rPr>
        <w:t>files</w:t>
      </w:r>
      <w:r w:rsidRPr="00CF3D68">
        <w:rPr>
          <w:lang w:val="en-CA"/>
        </w:rPr>
        <w:t xml:space="preserve"> </w:t>
      </w:r>
      <w:r w:rsidR="006438AB">
        <w:rPr>
          <w:lang w:val="en-CA"/>
        </w:rPr>
        <w:t xml:space="preserve">or </w:t>
      </w:r>
      <w:r w:rsidRPr="00CF3D68">
        <w:rPr>
          <w:lang w:val="en-CA"/>
        </w:rPr>
        <w:t>Form SJ-960.</w:t>
      </w:r>
      <w:r w:rsidRPr="00CF3D68">
        <w:rPr>
          <w:rStyle w:val="Appelnotedebasdep"/>
          <w:lang w:val="en-CA"/>
        </w:rPr>
        <w:footnoteReference w:id="4"/>
      </w:r>
    </w:p>
    <w:p w14:paraId="1C02C337" w14:textId="50056942" w:rsidR="00521781" w:rsidRPr="00CF3D68" w:rsidRDefault="001F7521" w:rsidP="000D38B4">
      <w:pPr>
        <w:pStyle w:val="Titre1"/>
        <w:rPr>
          <w:lang w:val="en-CA"/>
        </w:rPr>
      </w:pPr>
      <w:r w:rsidRPr="00CF3D68">
        <w:rPr>
          <w:lang w:val="en-CA"/>
        </w:rPr>
        <w:t>III.</w:t>
      </w:r>
      <w:r w:rsidRPr="00CF3D68">
        <w:rPr>
          <w:lang w:val="en-CA"/>
        </w:rPr>
        <w:tab/>
      </w:r>
      <w:r w:rsidR="00492C83" w:rsidRPr="00CF3D68">
        <w:rPr>
          <w:u w:val="single"/>
          <w:lang w:val="en-CA"/>
        </w:rPr>
        <w:t>ANALYSIS</w:t>
      </w:r>
      <w:r w:rsidRPr="00CF3D68">
        <w:rPr>
          <w:lang w:val="en-CA"/>
        </w:rPr>
        <w:t xml:space="preserve"> </w:t>
      </w:r>
    </w:p>
    <w:p w14:paraId="0C2C6B7D" w14:textId="788706EA" w:rsidR="000B6B68" w:rsidRPr="00CF3D68" w:rsidRDefault="00D96332" w:rsidP="00136A08">
      <w:pPr>
        <w:pStyle w:val="Paragraphe"/>
        <w:rPr>
          <w:lang w:val="en-CA"/>
        </w:rPr>
      </w:pPr>
      <w:r w:rsidRPr="00CF3D68">
        <w:rPr>
          <w:lang w:val="en-CA"/>
        </w:rPr>
        <w:t xml:space="preserve">A brief review of the notion of </w:t>
      </w:r>
      <w:r w:rsidR="00944D71" w:rsidRPr="00CF3D68">
        <w:rPr>
          <w:lang w:val="en-CA"/>
        </w:rPr>
        <w:t>investigati</w:t>
      </w:r>
      <w:r w:rsidR="00813F53">
        <w:rPr>
          <w:lang w:val="en-CA"/>
        </w:rPr>
        <w:t>ve</w:t>
      </w:r>
      <w:r w:rsidR="00944D71" w:rsidRPr="00CF3D68">
        <w:rPr>
          <w:lang w:val="en-CA"/>
        </w:rPr>
        <w:t xml:space="preserve"> </w:t>
      </w:r>
      <w:r w:rsidR="00944D71">
        <w:rPr>
          <w:lang w:val="en-CA"/>
        </w:rPr>
        <w:t>privilege is required</w:t>
      </w:r>
      <w:r w:rsidRPr="00CF3D68">
        <w:rPr>
          <w:lang w:val="en-CA"/>
        </w:rPr>
        <w:t>.</w:t>
      </w:r>
    </w:p>
    <w:p w14:paraId="77D3C6BC" w14:textId="28C549ED" w:rsidR="00944DE1" w:rsidRPr="00CF3D68" w:rsidRDefault="00625FFC" w:rsidP="000C4DF1">
      <w:pPr>
        <w:pStyle w:val="Titre2"/>
        <w:rPr>
          <w:lang w:val="en-CA"/>
        </w:rPr>
      </w:pPr>
      <w:r>
        <w:rPr>
          <w:lang w:val="en-CA"/>
        </w:rPr>
        <w:t>Investigative privilege (o</w:t>
      </w:r>
      <w:r w:rsidR="00944D71" w:rsidRPr="00CF3D68">
        <w:rPr>
          <w:lang w:val="en-CA"/>
        </w:rPr>
        <w:t>ngoing investigation</w:t>
      </w:r>
      <w:r>
        <w:rPr>
          <w:lang w:val="en-CA"/>
        </w:rPr>
        <w:t>)</w:t>
      </w:r>
    </w:p>
    <w:p w14:paraId="40B7E705" w14:textId="17F0E0E3" w:rsidR="00A97142" w:rsidRPr="00CF3D68" w:rsidRDefault="00D96332" w:rsidP="00220FF6">
      <w:pPr>
        <w:numPr>
          <w:ilvl w:val="0"/>
          <w:numId w:val="1"/>
        </w:numPr>
        <w:spacing w:before="120" w:after="120"/>
        <w:jc w:val="both"/>
        <w:rPr>
          <w:kern w:val="28"/>
          <w:lang w:val="en-CA"/>
        </w:rPr>
      </w:pPr>
      <w:r w:rsidRPr="00CF3D68">
        <w:rPr>
          <w:lang w:val="en-CA"/>
        </w:rPr>
        <w:t xml:space="preserve">It is well-settled in our law that </w:t>
      </w:r>
      <w:r w:rsidR="00C224B1">
        <w:rPr>
          <w:lang w:val="en-CA"/>
        </w:rPr>
        <w:t xml:space="preserve">there are </w:t>
      </w:r>
      <w:r w:rsidRPr="00CF3D68">
        <w:rPr>
          <w:lang w:val="en-CA"/>
        </w:rPr>
        <w:t>several situations whe</w:t>
      </w:r>
      <w:r w:rsidR="00C224B1">
        <w:rPr>
          <w:lang w:val="en-CA"/>
        </w:rPr>
        <w:t>n</w:t>
      </w:r>
      <w:r w:rsidRPr="00CF3D68">
        <w:rPr>
          <w:lang w:val="en-CA"/>
        </w:rPr>
        <w:t xml:space="preserve"> it is justified </w:t>
      </w:r>
      <w:r w:rsidR="006A2C92">
        <w:rPr>
          <w:lang w:val="en-CA"/>
        </w:rPr>
        <w:t xml:space="preserve">not to </w:t>
      </w:r>
      <w:r w:rsidRPr="00CF3D68">
        <w:rPr>
          <w:lang w:val="en-CA"/>
        </w:rPr>
        <w:t xml:space="preserve">disclose information likely to </w:t>
      </w:r>
      <w:r w:rsidR="00C224B1">
        <w:rPr>
          <w:lang w:val="en-CA"/>
        </w:rPr>
        <w:t>jeopardize</w:t>
      </w:r>
      <w:r w:rsidRPr="00CF3D68">
        <w:rPr>
          <w:lang w:val="en-CA"/>
        </w:rPr>
        <w:t xml:space="preserve"> the nature and scope of an ongoing investigation.</w:t>
      </w:r>
      <w:r w:rsidRPr="00CF3D68">
        <w:rPr>
          <w:rStyle w:val="Appelnotedebasdep"/>
          <w:lang w:val="en-CA"/>
        </w:rPr>
        <w:footnoteReference w:id="5"/>
      </w:r>
    </w:p>
    <w:p w14:paraId="0B7285D8" w14:textId="3ABD393B" w:rsidR="00220FF6" w:rsidRPr="00CF3D68" w:rsidRDefault="00D96332" w:rsidP="00220FF6">
      <w:pPr>
        <w:numPr>
          <w:ilvl w:val="0"/>
          <w:numId w:val="1"/>
        </w:numPr>
        <w:spacing w:before="120" w:after="120"/>
        <w:jc w:val="both"/>
        <w:rPr>
          <w:kern w:val="28"/>
          <w:lang w:val="en-CA"/>
        </w:rPr>
      </w:pPr>
      <w:r w:rsidRPr="00CF3D68">
        <w:rPr>
          <w:kern w:val="28"/>
          <w:lang w:val="en-CA"/>
        </w:rPr>
        <w:t xml:space="preserve">The Court reproduces paragraphs 27 to 32 of its judgment </w:t>
      </w:r>
      <w:r w:rsidR="00134039">
        <w:rPr>
          <w:kern w:val="28"/>
          <w:lang w:val="en-CA"/>
        </w:rPr>
        <w:t>dated</w:t>
      </w:r>
      <w:r w:rsidR="00134039" w:rsidRPr="00CF3D68">
        <w:rPr>
          <w:kern w:val="28"/>
          <w:lang w:val="en-CA"/>
        </w:rPr>
        <w:t xml:space="preserve"> </w:t>
      </w:r>
      <w:r w:rsidRPr="00CF3D68">
        <w:rPr>
          <w:kern w:val="28"/>
          <w:lang w:val="en-CA"/>
        </w:rPr>
        <w:t>April 29, 2024</w:t>
      </w:r>
      <w:r w:rsidR="00C224B1">
        <w:rPr>
          <w:kern w:val="28"/>
          <w:lang w:val="en-CA"/>
        </w:rPr>
        <w:t>,</w:t>
      </w:r>
      <w:r w:rsidRPr="00CF3D68">
        <w:rPr>
          <w:kern w:val="28"/>
          <w:lang w:val="en-CA"/>
        </w:rPr>
        <w:t xml:space="preserve"> (counsel’s eyes only) concerning </w:t>
      </w:r>
      <w:proofErr w:type="spellStart"/>
      <w:r w:rsidR="00944D71" w:rsidRPr="00CF3D68">
        <w:rPr>
          <w:lang w:val="en-CA"/>
        </w:rPr>
        <w:t>investi</w:t>
      </w:r>
      <w:r w:rsidR="00D74BA8">
        <w:rPr>
          <w:lang w:val="en-CA"/>
        </w:rPr>
        <w:t>ve</w:t>
      </w:r>
      <w:proofErr w:type="spellEnd"/>
      <w:r w:rsidR="00944D71" w:rsidRPr="00CF3D68">
        <w:rPr>
          <w:lang w:val="en-CA"/>
        </w:rPr>
        <w:t xml:space="preserve"> </w:t>
      </w:r>
      <w:r w:rsidR="00944D71">
        <w:rPr>
          <w:lang w:val="en-CA"/>
        </w:rPr>
        <w:t>privilege</w:t>
      </w:r>
      <w:r w:rsidR="00D74BA8">
        <w:rPr>
          <w:lang w:val="en-CA"/>
        </w:rPr>
        <w:t xml:space="preserve"> for an ongoing investigation</w:t>
      </w:r>
      <w:r w:rsidRPr="00CF3D68">
        <w:rPr>
          <w:kern w:val="28"/>
          <w:lang w:val="en-CA"/>
        </w:rPr>
        <w:t>:</w:t>
      </w:r>
    </w:p>
    <w:p w14:paraId="7B6EFC20" w14:textId="416F4F8E" w:rsidR="006955FC" w:rsidRPr="00CF3D68" w:rsidRDefault="006955FC" w:rsidP="000D38B4">
      <w:pPr>
        <w:pStyle w:val="Citationenretrait"/>
        <w:rPr>
          <w:lang w:val="en-CA"/>
        </w:rPr>
      </w:pPr>
      <w:r w:rsidRPr="00CF3D68">
        <w:rPr>
          <w:rFonts w:cs="Arial"/>
          <w:lang w:val="en-CA"/>
        </w:rPr>
        <w:t>[</w:t>
      </w:r>
      <w:r w:rsidRPr="00CF3D68">
        <w:rPr>
          <w:rFonts w:cs="Arial"/>
          <w:smallCaps/>
          <w:lang w:val="en-CA"/>
        </w:rPr>
        <w:t>translation</w:t>
      </w:r>
      <w:r w:rsidRPr="00CF3D68">
        <w:rPr>
          <w:rFonts w:cs="Arial"/>
          <w:lang w:val="en-CA"/>
        </w:rPr>
        <w:t>]</w:t>
      </w:r>
    </w:p>
    <w:p w14:paraId="4B26CCCC" w14:textId="5A27C0F8" w:rsidR="000D38B4" w:rsidRPr="00CF3D68" w:rsidRDefault="00D96332" w:rsidP="000D38B4">
      <w:pPr>
        <w:pStyle w:val="Citationenretrait"/>
        <w:rPr>
          <w:lang w:val="en-CA"/>
        </w:rPr>
      </w:pPr>
      <w:r w:rsidRPr="00CF3D68">
        <w:rPr>
          <w:lang w:val="en-CA"/>
        </w:rPr>
        <w:t>[27] This privilege protects the nature and scope of ongoing investigations.</w:t>
      </w:r>
      <w:r w:rsidR="001F7521" w:rsidRPr="00CF3D68">
        <w:rPr>
          <w:lang w:val="en-CA"/>
        </w:rPr>
        <w:t xml:space="preserve"> </w:t>
      </w:r>
      <w:r w:rsidRPr="00CF3D68">
        <w:rPr>
          <w:lang w:val="en-CA"/>
        </w:rPr>
        <w:t xml:space="preserve">It </w:t>
      </w:r>
      <w:r w:rsidR="00582649">
        <w:rPr>
          <w:lang w:val="en-CA"/>
        </w:rPr>
        <w:t xml:space="preserve">is part of </w:t>
      </w:r>
      <w:r w:rsidRPr="00CF3D68">
        <w:rPr>
          <w:lang w:val="en-CA"/>
        </w:rPr>
        <w:t>the proper administration of justice.</w:t>
      </w:r>
      <w:r w:rsidRPr="00582649">
        <w:rPr>
          <w:vertAlign w:val="superscript"/>
          <w:lang w:val="en-CA"/>
        </w:rPr>
        <w:t>[14]</w:t>
      </w:r>
      <w:r w:rsidR="001F7521" w:rsidRPr="00CF3D68">
        <w:rPr>
          <w:lang w:val="en-CA"/>
        </w:rPr>
        <w:t xml:space="preserve"> </w:t>
      </w:r>
      <w:r w:rsidR="00582649">
        <w:rPr>
          <w:lang w:val="en-CA"/>
        </w:rPr>
        <w:t xml:space="preserve">Its purpose is to </w:t>
      </w:r>
      <w:r w:rsidRPr="00CF3D68">
        <w:rPr>
          <w:lang w:val="en-CA"/>
        </w:rPr>
        <w:t xml:space="preserve">protect the integrity of the investigation </w:t>
      </w:r>
      <w:r w:rsidR="00582649">
        <w:rPr>
          <w:lang w:val="en-CA"/>
        </w:rPr>
        <w:t xml:space="preserve">and </w:t>
      </w:r>
      <w:r w:rsidRPr="00CF3D68">
        <w:rPr>
          <w:lang w:val="en-CA"/>
        </w:rPr>
        <w:t xml:space="preserve">prevent interference with the collection of evidence and the </w:t>
      </w:r>
      <w:r w:rsidR="008166D9">
        <w:rPr>
          <w:lang w:val="en-CA"/>
        </w:rPr>
        <w:t>S</w:t>
      </w:r>
      <w:r w:rsidR="008166D9" w:rsidRPr="00CF3D68">
        <w:rPr>
          <w:lang w:val="en-CA"/>
        </w:rPr>
        <w:t xml:space="preserve">tate’s </w:t>
      </w:r>
      <w:r w:rsidRPr="00CF3D68">
        <w:rPr>
          <w:lang w:val="en-CA"/>
        </w:rPr>
        <w:t>ability to complete an investigation and repress crime to protect society.</w:t>
      </w:r>
    </w:p>
    <w:p w14:paraId="6F973E68" w14:textId="037D0362" w:rsidR="000D38B4" w:rsidRPr="00CF3D68" w:rsidRDefault="00D96332" w:rsidP="000D38B4">
      <w:pPr>
        <w:pStyle w:val="Citationenretrait"/>
        <w:rPr>
          <w:lang w:val="en-CA"/>
        </w:rPr>
      </w:pPr>
      <w:r w:rsidRPr="00CF3D68">
        <w:rPr>
          <w:lang w:val="en-CA"/>
        </w:rPr>
        <w:t>[28] Contrary to inform</w:t>
      </w:r>
      <w:r w:rsidR="00DC1220">
        <w:rPr>
          <w:lang w:val="en-CA"/>
        </w:rPr>
        <w:t>er</w:t>
      </w:r>
      <w:r w:rsidRPr="00CF3D68">
        <w:rPr>
          <w:lang w:val="en-CA"/>
        </w:rPr>
        <w:t xml:space="preserve"> privilege, it is not a </w:t>
      </w:r>
      <w:r w:rsidR="00582649">
        <w:rPr>
          <w:lang w:val="en-CA"/>
        </w:rPr>
        <w:t>class</w:t>
      </w:r>
      <w:r w:rsidRPr="00CF3D68">
        <w:rPr>
          <w:lang w:val="en-CA"/>
        </w:rPr>
        <w:t xml:space="preserve"> privilege but rather a privilege that arises on a case-by-case basis.</w:t>
      </w:r>
      <w:r w:rsidRPr="00582649">
        <w:rPr>
          <w:vertAlign w:val="superscript"/>
          <w:lang w:val="en-CA"/>
        </w:rPr>
        <w:t>[15]</w:t>
      </w:r>
      <w:r w:rsidR="001F7521" w:rsidRPr="00CF3D68">
        <w:rPr>
          <w:lang w:val="en-CA"/>
        </w:rPr>
        <w:t xml:space="preserve"> </w:t>
      </w:r>
      <w:r w:rsidRPr="00CF3D68">
        <w:rPr>
          <w:lang w:val="en-CA"/>
        </w:rPr>
        <w:t>Consequently, the Court has discretion on whether to apply the privilege.</w:t>
      </w:r>
    </w:p>
    <w:p w14:paraId="26D2843B" w14:textId="7DB7FA6D" w:rsidR="000D38B4" w:rsidRPr="00CF3D68" w:rsidRDefault="00D96332" w:rsidP="000D38B4">
      <w:pPr>
        <w:pStyle w:val="Citationenretrait"/>
        <w:rPr>
          <w:lang w:val="en-CA"/>
        </w:rPr>
      </w:pPr>
      <w:r w:rsidRPr="00CF3D68">
        <w:rPr>
          <w:lang w:val="en-CA"/>
        </w:rPr>
        <w:t xml:space="preserve">[29] In </w:t>
      </w:r>
      <w:r w:rsidRPr="00CF3D68">
        <w:rPr>
          <w:i/>
          <w:lang w:val="en-CA"/>
        </w:rPr>
        <w:t>Toronto Star</w:t>
      </w:r>
      <w:r w:rsidRPr="00CF3D68">
        <w:rPr>
          <w:lang w:val="en-CA"/>
        </w:rPr>
        <w:t>,</w:t>
      </w:r>
      <w:r w:rsidRPr="00582649">
        <w:rPr>
          <w:vertAlign w:val="superscript"/>
          <w:lang w:val="en-CA"/>
        </w:rPr>
        <w:t>[16]</w:t>
      </w:r>
      <w:r w:rsidRPr="00CF3D68">
        <w:rPr>
          <w:lang w:val="en-CA"/>
        </w:rPr>
        <w:t xml:space="preserve"> the Supreme Court established that </w:t>
      </w:r>
      <w:r w:rsidR="00CC6B90">
        <w:rPr>
          <w:lang w:val="en-CA"/>
        </w:rPr>
        <w:t xml:space="preserve">after </w:t>
      </w:r>
      <w:r w:rsidRPr="00CF3D68">
        <w:rPr>
          <w:lang w:val="en-CA"/>
        </w:rPr>
        <w:t>a search warrant</w:t>
      </w:r>
      <w:r w:rsidR="00CC6B90">
        <w:rPr>
          <w:lang w:val="en-CA"/>
        </w:rPr>
        <w:t xml:space="preserve"> has been executed</w:t>
      </w:r>
      <w:r w:rsidRPr="00CF3D68">
        <w:rPr>
          <w:lang w:val="en-CA"/>
        </w:rPr>
        <w:t xml:space="preserve">, the burden falls on the Crown to prove that disclosure would </w:t>
      </w:r>
      <w:r w:rsidR="00CC6B90">
        <w:rPr>
          <w:lang w:val="en-CA"/>
        </w:rPr>
        <w:t>subvert</w:t>
      </w:r>
      <w:r w:rsidRPr="00CF3D68">
        <w:rPr>
          <w:lang w:val="en-CA"/>
        </w:rPr>
        <w:t xml:space="preserve"> the ends of justice.</w:t>
      </w:r>
      <w:r w:rsidR="001F7521" w:rsidRPr="00CF3D68">
        <w:rPr>
          <w:lang w:val="en-CA"/>
        </w:rPr>
        <w:t xml:space="preserve"> </w:t>
      </w:r>
    </w:p>
    <w:p w14:paraId="1D6F7EEB" w14:textId="3D461D89" w:rsidR="000D38B4" w:rsidRPr="00CF3D68" w:rsidRDefault="00D96332" w:rsidP="000D38B4">
      <w:pPr>
        <w:pStyle w:val="Citationenretrait"/>
        <w:rPr>
          <w:lang w:val="en-CA"/>
        </w:rPr>
      </w:pPr>
      <w:r w:rsidRPr="00CF3D68">
        <w:rPr>
          <w:lang w:val="en-CA"/>
        </w:rPr>
        <w:t xml:space="preserve">[30] </w:t>
      </w:r>
      <w:r w:rsidR="00CC6B90">
        <w:rPr>
          <w:lang w:val="en-CA"/>
        </w:rPr>
        <w:t>Of course</w:t>
      </w:r>
      <w:r w:rsidRPr="00CF3D68">
        <w:rPr>
          <w:lang w:val="en-CA"/>
        </w:rPr>
        <w:t>, depending on the stage of the investigation, its nature, and the type of judicial authorizations granted to date, the group of people aware of the investigation m</w:t>
      </w:r>
      <w:r w:rsidR="00CC6B90">
        <w:rPr>
          <w:lang w:val="en-CA"/>
        </w:rPr>
        <w:t>ight</w:t>
      </w:r>
      <w:r w:rsidRPr="00CF3D68">
        <w:rPr>
          <w:lang w:val="en-CA"/>
        </w:rPr>
        <w:t xml:space="preserve"> be more limited.</w:t>
      </w:r>
      <w:r w:rsidR="001F7521" w:rsidRPr="00CF3D68">
        <w:rPr>
          <w:lang w:val="en-CA"/>
        </w:rPr>
        <w:t xml:space="preserve"> </w:t>
      </w:r>
    </w:p>
    <w:p w14:paraId="38311FAF" w14:textId="0179AC12" w:rsidR="000D38B4" w:rsidRPr="00CF3D68" w:rsidRDefault="00D96332" w:rsidP="000D38B4">
      <w:pPr>
        <w:pStyle w:val="Citationenretrait"/>
        <w:rPr>
          <w:lang w:val="en-CA"/>
        </w:rPr>
      </w:pPr>
      <w:r w:rsidRPr="00CF3D68">
        <w:rPr>
          <w:lang w:val="en-CA"/>
        </w:rPr>
        <w:t xml:space="preserve">[31] In this case, however, </w:t>
      </w:r>
      <w:r w:rsidR="00CC6B90" w:rsidRPr="00CF3D68">
        <w:rPr>
          <w:lang w:val="en-CA"/>
        </w:rPr>
        <w:t xml:space="preserve">the </w:t>
      </w:r>
      <w:r w:rsidR="002E2CB7" w:rsidRPr="0094214B">
        <w:rPr>
          <w:rFonts w:cs="Arial"/>
          <w:color w:val="000000"/>
          <w:szCs w:val="22"/>
          <w:lang w:val="en-CA"/>
        </w:rPr>
        <w:t>persons from whom the property was seized</w:t>
      </w:r>
      <w:r w:rsidR="00CC6B90" w:rsidRPr="00CF3D68">
        <w:rPr>
          <w:lang w:val="en-CA"/>
        </w:rPr>
        <w:t xml:space="preserve"> </w:t>
      </w:r>
      <w:r w:rsidR="00CC6B90">
        <w:rPr>
          <w:lang w:val="en-CA"/>
        </w:rPr>
        <w:t>a</w:t>
      </w:r>
      <w:r w:rsidR="00CC6B90" w:rsidRPr="00CF3D68">
        <w:rPr>
          <w:lang w:val="en-CA"/>
        </w:rPr>
        <w:t xml:space="preserve">re unaware of </w:t>
      </w:r>
      <w:r w:rsidRPr="00CF3D68">
        <w:rPr>
          <w:lang w:val="en-CA"/>
        </w:rPr>
        <w:t>the judicial authorizations</w:t>
      </w:r>
      <w:r w:rsidR="00CC6B90">
        <w:rPr>
          <w:lang w:val="en-CA"/>
        </w:rPr>
        <w:t>, even though they have been</w:t>
      </w:r>
      <w:r w:rsidRPr="00CF3D68">
        <w:rPr>
          <w:lang w:val="en-CA"/>
        </w:rPr>
        <w:t xml:space="preserve"> executed. </w:t>
      </w:r>
      <w:r w:rsidR="00CC6B90">
        <w:rPr>
          <w:lang w:val="en-CA"/>
        </w:rPr>
        <w:lastRenderedPageBreak/>
        <w:t>P</w:t>
      </w:r>
      <w:r w:rsidR="00F30971" w:rsidRPr="00CF3D68">
        <w:rPr>
          <w:lang w:val="en-CA"/>
        </w:rPr>
        <w:t>rimar</w:t>
      </w:r>
      <w:r w:rsidR="00CC6B90">
        <w:rPr>
          <w:lang w:val="en-CA"/>
        </w:rPr>
        <w:t>il</w:t>
      </w:r>
      <w:r w:rsidR="00F30971" w:rsidRPr="00CF3D68">
        <w:rPr>
          <w:lang w:val="en-CA"/>
        </w:rPr>
        <w:t xml:space="preserve">y </w:t>
      </w:r>
      <w:r w:rsidR="00CC6B90">
        <w:rPr>
          <w:lang w:val="en-CA"/>
        </w:rPr>
        <w:t>t</w:t>
      </w:r>
      <w:r w:rsidR="00F30971" w:rsidRPr="00CF3D68">
        <w:rPr>
          <w:lang w:val="en-CA"/>
        </w:rPr>
        <w:t xml:space="preserve">o keep the ongoing investigation’s existence secret, the Crown </w:t>
      </w:r>
      <w:r w:rsidR="00CC6B90">
        <w:rPr>
          <w:lang w:val="en-CA"/>
        </w:rPr>
        <w:t xml:space="preserve">has </w:t>
      </w:r>
      <w:r w:rsidR="00F30971" w:rsidRPr="00CF3D68">
        <w:rPr>
          <w:lang w:val="en-CA"/>
        </w:rPr>
        <w:t xml:space="preserve">redacted its documents and asked for an </w:t>
      </w:r>
      <w:r w:rsidR="00F30971" w:rsidRPr="00CF3D68">
        <w:rPr>
          <w:i/>
          <w:lang w:val="en-CA"/>
        </w:rPr>
        <w:t>in camera</w:t>
      </w:r>
      <w:r w:rsidR="00F30971" w:rsidRPr="00CF3D68">
        <w:rPr>
          <w:lang w:val="en-CA"/>
        </w:rPr>
        <w:t xml:space="preserve"> hearing in chambers.</w:t>
      </w:r>
      <w:r w:rsidR="001F7521" w:rsidRPr="00CF3D68">
        <w:rPr>
          <w:lang w:val="en-CA"/>
        </w:rPr>
        <w:t xml:space="preserve">  </w:t>
      </w:r>
    </w:p>
    <w:p w14:paraId="2ECA5377" w14:textId="1A453A4A" w:rsidR="00220FF6" w:rsidRPr="00CF3D68" w:rsidRDefault="00F30971" w:rsidP="000D38B4">
      <w:pPr>
        <w:pStyle w:val="Citationenretrait"/>
        <w:rPr>
          <w:lang w:val="en-CA"/>
        </w:rPr>
      </w:pPr>
      <w:r w:rsidRPr="00CF3D68">
        <w:rPr>
          <w:lang w:val="en-CA"/>
        </w:rPr>
        <w:t xml:space="preserve">[32] </w:t>
      </w:r>
      <w:r w:rsidR="00E72363">
        <w:rPr>
          <w:lang w:val="en-CA"/>
        </w:rPr>
        <w:t>In the words of t</w:t>
      </w:r>
      <w:r w:rsidRPr="00CF3D68">
        <w:rPr>
          <w:lang w:val="en-CA"/>
        </w:rPr>
        <w:t xml:space="preserve">he Supreme Court in the first paragraph of </w:t>
      </w:r>
      <w:r w:rsidRPr="00CF3D68">
        <w:rPr>
          <w:i/>
          <w:lang w:val="en-CA"/>
        </w:rPr>
        <w:t>Vancouver Sun</w:t>
      </w:r>
      <w:r w:rsidRPr="00CF3D68">
        <w:rPr>
          <w:lang w:val="en-CA"/>
        </w:rPr>
        <w:t>:</w:t>
      </w:r>
    </w:p>
    <w:p w14:paraId="22F0B853" w14:textId="5EF17686" w:rsidR="00220FF6" w:rsidRPr="00CF3D68" w:rsidRDefault="00F30971" w:rsidP="000D38B4">
      <w:pPr>
        <w:pStyle w:val="Citationenretrait"/>
        <w:spacing w:after="0"/>
        <w:ind w:left="1418" w:right="1140"/>
        <w:rPr>
          <w:i/>
          <w:iCs/>
          <w:lang w:val="en-CA"/>
        </w:rPr>
      </w:pPr>
      <w:r w:rsidRPr="00CF3D68">
        <w:rPr>
          <w:lang w:val="en-CA"/>
        </w:rPr>
        <w:t>In Canada, as in any truly democratic society, the courts are expected to be open, and information is expected to be available to the public.</w:t>
      </w:r>
      <w:r w:rsidR="001F7521" w:rsidRPr="00CF3D68">
        <w:rPr>
          <w:i/>
          <w:iCs/>
          <w:lang w:val="en-CA"/>
        </w:rPr>
        <w:t xml:space="preserve"> </w:t>
      </w:r>
      <w:r w:rsidRPr="00CF3D68">
        <w:rPr>
          <w:iCs/>
          <w:lang w:val="en-CA"/>
        </w:rPr>
        <w:t xml:space="preserve">However, from time to time, the safety or privacy interests of individuals or groups </w:t>
      </w:r>
      <w:r w:rsidRPr="00CF3D68">
        <w:rPr>
          <w:iCs/>
          <w:u w:val="single"/>
          <w:lang w:val="en-CA"/>
        </w:rPr>
        <w:t>and the preservation of the legal system as a whole require that some information be kept secret</w:t>
      </w:r>
      <w:r w:rsidRPr="00CF3D68">
        <w:rPr>
          <w:iCs/>
          <w:lang w:val="en-CA"/>
        </w:rPr>
        <w:t>.</w:t>
      </w:r>
      <w:r w:rsidR="00F74EF1" w:rsidRPr="00CF3D68">
        <w:rPr>
          <w:vertAlign w:val="superscript"/>
          <w:lang w:val="en-CA"/>
        </w:rPr>
        <w:t>[17]</w:t>
      </w:r>
    </w:p>
    <w:p w14:paraId="1085AC7B" w14:textId="0498F69F" w:rsidR="00CE3CA7" w:rsidRPr="006A2C92" w:rsidRDefault="00F30971" w:rsidP="00D011AF">
      <w:pPr>
        <w:pStyle w:val="Citationenretrait"/>
        <w:spacing w:after="0"/>
        <w:ind w:left="1418" w:right="1140"/>
        <w:jc w:val="right"/>
        <w:rPr>
          <w:lang w:val="en-CA"/>
        </w:rPr>
      </w:pPr>
      <w:r w:rsidRPr="006A2C92">
        <w:rPr>
          <w:lang w:val="en-CA"/>
        </w:rPr>
        <w:t>[Emphasis added</w:t>
      </w:r>
      <w:r w:rsidR="00CC6B90">
        <w:rPr>
          <w:lang w:val="en-CA"/>
        </w:rPr>
        <w:t>.</w:t>
      </w:r>
      <w:r w:rsidRPr="006A2C92">
        <w:rPr>
          <w:lang w:val="en-CA"/>
        </w:rPr>
        <w:t>]</w:t>
      </w:r>
    </w:p>
    <w:p w14:paraId="5DE08765" w14:textId="7CE19512" w:rsidR="00D011AF" w:rsidRPr="00CF3D68" w:rsidRDefault="001F7521" w:rsidP="00D011AF">
      <w:pPr>
        <w:pStyle w:val="Citationenretrait"/>
        <w:spacing w:after="0"/>
        <w:ind w:right="1140"/>
        <w:rPr>
          <w:lang w:val="en-CA"/>
        </w:rPr>
      </w:pPr>
      <w:r w:rsidRPr="00CF3D68">
        <w:rPr>
          <w:lang w:val="en-CA"/>
        </w:rPr>
        <w:t>________________________</w:t>
      </w:r>
    </w:p>
    <w:p w14:paraId="2473EC28" w14:textId="4612D0A4" w:rsidR="00D011AF" w:rsidRPr="00CF3D68" w:rsidRDefault="001F7521" w:rsidP="00D011AF">
      <w:pPr>
        <w:pStyle w:val="Notedebasdepage"/>
        <w:tabs>
          <w:tab w:val="left" w:pos="709"/>
          <w:tab w:val="left" w:pos="1134"/>
        </w:tabs>
        <w:rPr>
          <w:sz w:val="18"/>
          <w:szCs w:val="18"/>
          <w:lang w:val="en-CA"/>
        </w:rPr>
      </w:pPr>
      <w:r w:rsidRPr="00CF3D68">
        <w:rPr>
          <w:sz w:val="18"/>
          <w:szCs w:val="18"/>
          <w:lang w:val="en-CA"/>
        </w:rPr>
        <w:tab/>
      </w:r>
      <w:r w:rsidRPr="00CF3D68">
        <w:rPr>
          <w:sz w:val="18"/>
          <w:szCs w:val="18"/>
          <w:lang w:val="en-CA"/>
        </w:rPr>
        <w:tab/>
      </w:r>
      <w:r w:rsidRPr="00ED1FD3">
        <w:rPr>
          <w:sz w:val="18"/>
          <w:szCs w:val="18"/>
          <w:lang w:val="en-CA"/>
        </w:rPr>
        <w:t>[14]</w:t>
      </w:r>
      <w:r w:rsidRPr="00ED1FD3">
        <w:rPr>
          <w:sz w:val="18"/>
          <w:szCs w:val="18"/>
          <w:lang w:val="en-CA"/>
        </w:rPr>
        <w:tab/>
      </w:r>
      <w:r w:rsidR="00F30971" w:rsidRPr="00ED1FD3">
        <w:rPr>
          <w:i/>
          <w:iCs/>
          <w:sz w:val="18"/>
          <w:szCs w:val="18"/>
          <w:lang w:val="en-CA"/>
        </w:rPr>
        <w:t xml:space="preserve">R. c. Construction </w:t>
      </w:r>
      <w:r w:rsidR="00943321" w:rsidRPr="00ED1FD3">
        <w:rPr>
          <w:i/>
          <w:iCs/>
          <w:sz w:val="18"/>
          <w:szCs w:val="18"/>
          <w:lang w:val="en-CA"/>
        </w:rPr>
        <w:t>d</w:t>
      </w:r>
      <w:r w:rsidR="00F30971" w:rsidRPr="00ED1FD3">
        <w:rPr>
          <w:i/>
          <w:iCs/>
          <w:sz w:val="18"/>
          <w:szCs w:val="18"/>
          <w:lang w:val="en-CA"/>
        </w:rPr>
        <w:t xml:space="preserve">e Castel inc., </w:t>
      </w:r>
      <w:r w:rsidR="00F30971" w:rsidRPr="00ED1FD3">
        <w:rPr>
          <w:iCs/>
          <w:sz w:val="18"/>
          <w:szCs w:val="18"/>
          <w:lang w:val="en-CA"/>
        </w:rPr>
        <w:t>2014 QCCA 1125 at para.</w:t>
      </w:r>
      <w:r w:rsidRPr="00ED1FD3">
        <w:rPr>
          <w:sz w:val="18"/>
          <w:szCs w:val="18"/>
          <w:lang w:val="en-CA"/>
        </w:rPr>
        <w:t xml:space="preserve"> </w:t>
      </w:r>
      <w:r w:rsidRPr="00CF3D68">
        <w:rPr>
          <w:sz w:val="18"/>
          <w:szCs w:val="18"/>
          <w:lang w:val="en-CA"/>
        </w:rPr>
        <w:t>51.</w:t>
      </w:r>
    </w:p>
    <w:p w14:paraId="5C89AF9A" w14:textId="700018FE" w:rsidR="00625BCD" w:rsidRPr="00CF3D68" w:rsidRDefault="00D011AF" w:rsidP="00625BCD">
      <w:pPr>
        <w:pStyle w:val="Notedebasdepage"/>
        <w:tabs>
          <w:tab w:val="left" w:pos="709"/>
          <w:tab w:val="left" w:pos="1134"/>
        </w:tabs>
        <w:rPr>
          <w:sz w:val="18"/>
          <w:szCs w:val="18"/>
          <w:lang w:val="en-CA"/>
        </w:rPr>
      </w:pPr>
      <w:r w:rsidRPr="00CF3D68">
        <w:rPr>
          <w:sz w:val="18"/>
          <w:szCs w:val="18"/>
          <w:lang w:val="en-CA"/>
        </w:rPr>
        <w:tab/>
      </w:r>
      <w:r w:rsidRPr="00CF3D68">
        <w:rPr>
          <w:sz w:val="18"/>
          <w:szCs w:val="18"/>
          <w:lang w:val="en-CA"/>
        </w:rPr>
        <w:tab/>
      </w:r>
      <w:r w:rsidR="001F7521" w:rsidRPr="00CF3D68">
        <w:rPr>
          <w:sz w:val="18"/>
          <w:szCs w:val="18"/>
          <w:lang w:val="en-CA"/>
        </w:rPr>
        <w:t>[15]</w:t>
      </w:r>
      <w:r w:rsidR="001F7521" w:rsidRPr="00CF3D68">
        <w:rPr>
          <w:sz w:val="18"/>
          <w:szCs w:val="18"/>
          <w:lang w:val="en-CA"/>
        </w:rPr>
        <w:tab/>
      </w:r>
      <w:r w:rsidR="00F30971" w:rsidRPr="00CF3D68">
        <w:rPr>
          <w:i/>
          <w:iCs/>
          <w:sz w:val="18"/>
          <w:szCs w:val="18"/>
          <w:lang w:val="en-CA"/>
        </w:rPr>
        <w:t>R</w:t>
      </w:r>
      <w:r w:rsidR="00F30971" w:rsidRPr="00CF3D68">
        <w:rPr>
          <w:iCs/>
          <w:sz w:val="18"/>
          <w:szCs w:val="18"/>
          <w:lang w:val="en-CA"/>
        </w:rPr>
        <w:t xml:space="preserve">. </w:t>
      </w:r>
      <w:r w:rsidR="00F30971" w:rsidRPr="00CF3D68">
        <w:rPr>
          <w:i/>
          <w:iCs/>
          <w:sz w:val="18"/>
          <w:szCs w:val="18"/>
          <w:lang w:val="en-CA"/>
        </w:rPr>
        <w:t>v</w:t>
      </w:r>
      <w:r w:rsidR="00F30971" w:rsidRPr="00CF3D68">
        <w:rPr>
          <w:iCs/>
          <w:sz w:val="18"/>
          <w:szCs w:val="18"/>
          <w:lang w:val="en-CA"/>
        </w:rPr>
        <w:t xml:space="preserve">. </w:t>
      </w:r>
      <w:proofErr w:type="spellStart"/>
      <w:r w:rsidR="00F30971" w:rsidRPr="00CF3D68">
        <w:rPr>
          <w:i/>
          <w:iCs/>
          <w:sz w:val="18"/>
          <w:szCs w:val="18"/>
          <w:lang w:val="en-CA"/>
        </w:rPr>
        <w:t>Gruenke</w:t>
      </w:r>
      <w:proofErr w:type="spellEnd"/>
      <w:r w:rsidR="00F30971" w:rsidRPr="00CF3D68">
        <w:rPr>
          <w:iCs/>
          <w:sz w:val="18"/>
          <w:szCs w:val="18"/>
          <w:lang w:val="en-CA"/>
        </w:rPr>
        <w:t>, [1991) 3 SCR</w:t>
      </w:r>
      <w:r w:rsidR="001F7521" w:rsidRPr="00CF3D68">
        <w:rPr>
          <w:sz w:val="18"/>
          <w:szCs w:val="18"/>
          <w:lang w:val="en-CA"/>
        </w:rPr>
        <w:t xml:space="preserve"> </w:t>
      </w:r>
      <w:r w:rsidR="00F30971" w:rsidRPr="00CF3D68">
        <w:rPr>
          <w:sz w:val="18"/>
          <w:szCs w:val="18"/>
          <w:lang w:val="en-CA"/>
        </w:rPr>
        <w:t>263 at 286.</w:t>
      </w:r>
    </w:p>
    <w:p w14:paraId="6EB90A3F" w14:textId="13088F00" w:rsidR="00625BCD" w:rsidRPr="00CF3D68" w:rsidRDefault="001F7521" w:rsidP="00625BCD">
      <w:pPr>
        <w:pStyle w:val="Notedebasdepage"/>
        <w:tabs>
          <w:tab w:val="left" w:pos="709"/>
          <w:tab w:val="left" w:pos="1134"/>
        </w:tabs>
        <w:rPr>
          <w:sz w:val="18"/>
          <w:szCs w:val="18"/>
          <w:lang w:val="en-CA"/>
        </w:rPr>
      </w:pPr>
      <w:r w:rsidRPr="00CF3D68">
        <w:rPr>
          <w:sz w:val="18"/>
          <w:szCs w:val="18"/>
          <w:lang w:val="en-CA"/>
        </w:rPr>
        <w:tab/>
      </w:r>
      <w:r w:rsidRPr="00CF3D68">
        <w:rPr>
          <w:sz w:val="18"/>
          <w:szCs w:val="18"/>
          <w:lang w:val="en-CA"/>
        </w:rPr>
        <w:tab/>
        <w:t>[16]</w:t>
      </w:r>
      <w:r w:rsidRPr="00CF3D68">
        <w:rPr>
          <w:sz w:val="18"/>
          <w:szCs w:val="18"/>
          <w:lang w:val="en-CA"/>
        </w:rPr>
        <w:tab/>
      </w:r>
      <w:r w:rsidR="00F30971" w:rsidRPr="00CF3D68">
        <w:rPr>
          <w:i/>
          <w:iCs/>
          <w:sz w:val="18"/>
          <w:szCs w:val="18"/>
          <w:lang w:val="en-CA"/>
        </w:rPr>
        <w:t>Toronto Star Newspapers Ltd</w:t>
      </w:r>
      <w:r w:rsidR="00F30971" w:rsidRPr="00CF3D68">
        <w:rPr>
          <w:iCs/>
          <w:sz w:val="18"/>
          <w:szCs w:val="18"/>
          <w:lang w:val="en-CA"/>
        </w:rPr>
        <w:t xml:space="preserve">. </w:t>
      </w:r>
      <w:r w:rsidR="00F30971" w:rsidRPr="00CF3D68">
        <w:rPr>
          <w:i/>
          <w:iCs/>
          <w:sz w:val="18"/>
          <w:szCs w:val="18"/>
          <w:lang w:val="en-CA"/>
        </w:rPr>
        <w:t>v</w:t>
      </w:r>
      <w:r w:rsidR="00F30971" w:rsidRPr="00CF3D68">
        <w:rPr>
          <w:iCs/>
          <w:sz w:val="18"/>
          <w:szCs w:val="18"/>
          <w:lang w:val="en-CA"/>
        </w:rPr>
        <w:t xml:space="preserve">. </w:t>
      </w:r>
      <w:r w:rsidR="00F30971" w:rsidRPr="00CF3D68">
        <w:rPr>
          <w:i/>
          <w:iCs/>
          <w:sz w:val="18"/>
          <w:szCs w:val="18"/>
          <w:lang w:val="en-CA"/>
        </w:rPr>
        <w:t>Ontario</w:t>
      </w:r>
      <w:r w:rsidR="00F30971" w:rsidRPr="00CF3D68">
        <w:rPr>
          <w:iCs/>
          <w:sz w:val="18"/>
          <w:szCs w:val="18"/>
          <w:lang w:val="en-CA"/>
        </w:rPr>
        <w:t>, 2005 SCC 41 at para.</w:t>
      </w:r>
      <w:r w:rsidRPr="00CF3D68">
        <w:rPr>
          <w:sz w:val="18"/>
          <w:szCs w:val="18"/>
          <w:lang w:val="en-CA"/>
        </w:rPr>
        <w:t xml:space="preserve"> 21.</w:t>
      </w:r>
    </w:p>
    <w:p w14:paraId="0FF54105" w14:textId="3183FDB3" w:rsidR="00F74EF1" w:rsidRPr="00CF3D68" w:rsidRDefault="001F7521" w:rsidP="00F74EF1">
      <w:pPr>
        <w:pStyle w:val="Notedebasdepage"/>
        <w:tabs>
          <w:tab w:val="left" w:pos="709"/>
          <w:tab w:val="left" w:pos="1134"/>
        </w:tabs>
        <w:rPr>
          <w:sz w:val="18"/>
          <w:szCs w:val="18"/>
          <w:lang w:val="en-CA"/>
        </w:rPr>
      </w:pPr>
      <w:r w:rsidRPr="00CF3D68">
        <w:rPr>
          <w:sz w:val="18"/>
          <w:szCs w:val="18"/>
          <w:lang w:val="en-CA"/>
        </w:rPr>
        <w:tab/>
      </w:r>
      <w:r w:rsidRPr="00CF3D68">
        <w:rPr>
          <w:sz w:val="18"/>
          <w:szCs w:val="18"/>
          <w:lang w:val="en-CA"/>
        </w:rPr>
        <w:tab/>
        <w:t>[17]</w:t>
      </w:r>
      <w:r w:rsidRPr="00CF3D68">
        <w:rPr>
          <w:sz w:val="18"/>
          <w:szCs w:val="18"/>
          <w:lang w:val="en-CA"/>
        </w:rPr>
        <w:tab/>
      </w:r>
      <w:r w:rsidR="00F30971" w:rsidRPr="00CF3D68">
        <w:rPr>
          <w:rFonts w:cs="Arial"/>
          <w:i/>
          <w:iCs/>
          <w:sz w:val="18"/>
          <w:szCs w:val="18"/>
          <w:lang w:val="en-CA" w:eastAsia="en-US"/>
          <w14:ligatures w14:val="standardContextual"/>
        </w:rPr>
        <w:t>Named Person v. Vancouver Sun</w:t>
      </w:r>
      <w:r w:rsidR="00F30971" w:rsidRPr="00CF3D68">
        <w:rPr>
          <w:rFonts w:cs="Arial"/>
          <w:iCs/>
          <w:sz w:val="18"/>
          <w:szCs w:val="18"/>
          <w:lang w:val="en-CA" w:eastAsia="en-US"/>
          <w14:ligatures w14:val="standardContextual"/>
        </w:rPr>
        <w:t>, 2007 SCC 43 at para.</w:t>
      </w:r>
      <w:r w:rsidRPr="00CF3D68">
        <w:rPr>
          <w:sz w:val="18"/>
          <w:szCs w:val="18"/>
          <w:lang w:val="en-CA"/>
        </w:rPr>
        <w:t xml:space="preserve"> 1.</w:t>
      </w:r>
    </w:p>
    <w:p w14:paraId="505D05A8" w14:textId="10CFD399" w:rsidR="000B6B68" w:rsidRPr="00CF3D68" w:rsidRDefault="001F7521" w:rsidP="00F74EF1">
      <w:pPr>
        <w:pStyle w:val="Notedebasdepage"/>
        <w:tabs>
          <w:tab w:val="left" w:pos="709"/>
          <w:tab w:val="left" w:pos="1134"/>
        </w:tabs>
        <w:rPr>
          <w:sz w:val="18"/>
          <w:szCs w:val="18"/>
          <w:lang w:val="en-CA"/>
        </w:rPr>
      </w:pPr>
      <w:r w:rsidRPr="00CF3D68">
        <w:rPr>
          <w:lang w:val="en-CA"/>
        </w:rPr>
        <w:t xml:space="preserve"> </w:t>
      </w:r>
    </w:p>
    <w:p w14:paraId="47FE14B1" w14:textId="6E669D41" w:rsidR="0009581D" w:rsidRPr="00CC6B90" w:rsidRDefault="00F30971" w:rsidP="001E198C">
      <w:pPr>
        <w:pStyle w:val="Paragraphedeliste"/>
        <w:numPr>
          <w:ilvl w:val="0"/>
          <w:numId w:val="3"/>
        </w:numPr>
        <w:tabs>
          <w:tab w:val="left" w:pos="2552"/>
        </w:tabs>
        <w:spacing w:before="120" w:after="120"/>
        <w:ind w:left="1134" w:hanging="425"/>
        <w:jc w:val="both"/>
        <w:rPr>
          <w:rFonts w:cs="Arial"/>
          <w:b/>
          <w:bCs/>
          <w:kern w:val="28"/>
          <w:szCs w:val="24"/>
          <w:u w:val="single"/>
          <w:lang w:val="en-CA"/>
        </w:rPr>
      </w:pPr>
      <w:bookmarkStart w:id="1" w:name="_Hlk167321214"/>
      <w:bookmarkStart w:id="2" w:name="_Hlk166679853"/>
      <w:r w:rsidRPr="00CC6B90">
        <w:rPr>
          <w:rFonts w:cs="Arial"/>
          <w:b/>
          <w:bCs/>
          <w:kern w:val="28"/>
          <w:szCs w:val="24"/>
          <w:u w:val="single"/>
          <w:lang w:val="en-CA"/>
        </w:rPr>
        <w:t>QUESTION 1:</w:t>
      </w:r>
      <w:r w:rsidRPr="00CC6B90">
        <w:rPr>
          <w:rFonts w:cs="Arial"/>
          <w:bCs/>
          <w:kern w:val="28"/>
          <w:szCs w:val="24"/>
          <w:u w:val="single"/>
          <w:lang w:val="en-CA"/>
        </w:rPr>
        <w:t xml:space="preserve"> </w:t>
      </w:r>
      <w:r w:rsidRPr="00CC6B90">
        <w:rPr>
          <w:rFonts w:cs="Arial"/>
          <w:b/>
          <w:bCs/>
          <w:kern w:val="28"/>
          <w:szCs w:val="24"/>
          <w:u w:val="single"/>
          <w:lang w:val="en-CA"/>
        </w:rPr>
        <w:t xml:space="preserve">Can and should the hearing </w:t>
      </w:r>
      <w:r w:rsidR="006A2C92" w:rsidRPr="00CC6B90">
        <w:rPr>
          <w:rFonts w:cs="Arial"/>
          <w:b/>
          <w:bCs/>
          <w:kern w:val="28"/>
          <w:szCs w:val="24"/>
          <w:u w:val="single"/>
          <w:lang w:val="en-CA"/>
        </w:rPr>
        <w:t xml:space="preserve">on the motion </w:t>
      </w:r>
      <w:r w:rsidRPr="00CC6B90">
        <w:rPr>
          <w:rFonts w:cs="Arial"/>
          <w:b/>
          <w:bCs/>
          <w:kern w:val="28"/>
          <w:szCs w:val="24"/>
          <w:u w:val="single"/>
          <w:lang w:val="en-CA"/>
        </w:rPr>
        <w:t xml:space="preserve">for </w:t>
      </w:r>
      <w:r w:rsidR="006A2C92" w:rsidRPr="00CC6B90">
        <w:rPr>
          <w:rFonts w:cs="Arial"/>
          <w:b/>
          <w:bCs/>
          <w:kern w:val="28"/>
          <w:szCs w:val="24"/>
          <w:u w:val="single"/>
          <w:lang w:val="en-CA"/>
        </w:rPr>
        <w:t>further</w:t>
      </w:r>
      <w:r w:rsidRPr="00CC6B90">
        <w:rPr>
          <w:rFonts w:cs="Arial"/>
          <w:b/>
          <w:bCs/>
          <w:kern w:val="28"/>
          <w:szCs w:val="24"/>
          <w:u w:val="single"/>
          <w:lang w:val="en-CA"/>
        </w:rPr>
        <w:t xml:space="preserve"> detention of property </w:t>
      </w:r>
      <w:r w:rsidR="00134439">
        <w:rPr>
          <w:rFonts w:cs="Arial"/>
          <w:b/>
          <w:bCs/>
          <w:kern w:val="28"/>
          <w:szCs w:val="24"/>
          <w:u w:val="single"/>
          <w:lang w:val="en-CA"/>
        </w:rPr>
        <w:t xml:space="preserve">proceed </w:t>
      </w:r>
      <w:r w:rsidRPr="00CC6B90">
        <w:rPr>
          <w:rFonts w:cs="Arial"/>
          <w:b/>
          <w:bCs/>
          <w:i/>
          <w:kern w:val="28"/>
          <w:szCs w:val="24"/>
          <w:u w:val="single"/>
          <w:lang w:val="en-CA"/>
        </w:rPr>
        <w:t xml:space="preserve">ex </w:t>
      </w:r>
      <w:proofErr w:type="spellStart"/>
      <w:r w:rsidRPr="00CC6B90">
        <w:rPr>
          <w:rFonts w:cs="Arial"/>
          <w:b/>
          <w:bCs/>
          <w:i/>
          <w:kern w:val="28"/>
          <w:szCs w:val="24"/>
          <w:u w:val="single"/>
          <w:lang w:val="en-CA"/>
        </w:rPr>
        <w:t>parte</w:t>
      </w:r>
      <w:proofErr w:type="spellEnd"/>
      <w:r w:rsidRPr="00CC6B90">
        <w:rPr>
          <w:rFonts w:cs="Arial"/>
          <w:b/>
          <w:bCs/>
          <w:i/>
          <w:kern w:val="28"/>
          <w:szCs w:val="24"/>
          <w:u w:val="single"/>
          <w:lang w:val="en-CA"/>
        </w:rPr>
        <w:t xml:space="preserve"> </w:t>
      </w:r>
      <w:r w:rsidRPr="0094214B">
        <w:rPr>
          <w:rFonts w:cs="Arial"/>
          <w:b/>
          <w:bCs/>
          <w:i/>
          <w:kern w:val="28"/>
          <w:szCs w:val="24"/>
          <w:u w:val="single"/>
          <w:lang w:val="en-CA"/>
        </w:rPr>
        <w:t>and without notice to the</w:t>
      </w:r>
      <w:r w:rsidRPr="00CC6B90">
        <w:rPr>
          <w:rFonts w:cs="Arial"/>
          <w:b/>
          <w:bCs/>
          <w:iCs/>
          <w:kern w:val="28"/>
          <w:szCs w:val="24"/>
          <w:u w:val="single"/>
          <w:lang w:val="en-CA"/>
        </w:rPr>
        <w:t xml:space="preserve"> </w:t>
      </w:r>
      <w:r w:rsidR="002E2CB7" w:rsidRPr="002E2CB7">
        <w:rPr>
          <w:rFonts w:cs="Arial"/>
          <w:b/>
          <w:bCs/>
          <w:i/>
          <w:iCs/>
          <w:color w:val="000000"/>
          <w:szCs w:val="24"/>
          <w:u w:val="single"/>
          <w:lang w:val="en-CA"/>
        </w:rPr>
        <w:t>persons from whom the property was seized</w:t>
      </w:r>
      <w:r w:rsidRPr="00CC6B90">
        <w:rPr>
          <w:rFonts w:cs="Arial"/>
          <w:b/>
          <w:bCs/>
          <w:kern w:val="28"/>
          <w:szCs w:val="24"/>
          <w:u w:val="single"/>
          <w:lang w:val="en-CA"/>
        </w:rPr>
        <w:t>?</w:t>
      </w:r>
    </w:p>
    <w:bookmarkEnd w:id="1"/>
    <w:bookmarkEnd w:id="2"/>
    <w:p w14:paraId="4C0C16F9" w14:textId="2F29C9FC" w:rsidR="000B6B68" w:rsidRPr="00CF3D68" w:rsidRDefault="00EF67EF" w:rsidP="002977EE">
      <w:pPr>
        <w:numPr>
          <w:ilvl w:val="0"/>
          <w:numId w:val="1"/>
        </w:numPr>
        <w:spacing w:before="120" w:after="120"/>
        <w:jc w:val="both"/>
        <w:rPr>
          <w:kern w:val="28"/>
          <w:lang w:val="en-CA"/>
        </w:rPr>
      </w:pPr>
      <w:r w:rsidRPr="00CF3D68">
        <w:rPr>
          <w:kern w:val="28"/>
          <w:lang w:val="en-CA"/>
        </w:rPr>
        <w:t xml:space="preserve">Sections 490(2) and (3) </w:t>
      </w:r>
      <w:r w:rsidRPr="00CF3D68">
        <w:rPr>
          <w:i/>
          <w:spacing w:val="-20"/>
          <w:kern w:val="28"/>
          <w:lang w:val="en-CA"/>
        </w:rPr>
        <w:t>C.C</w:t>
      </w:r>
      <w:r w:rsidRPr="00CF3D68">
        <w:rPr>
          <w:i/>
          <w:kern w:val="28"/>
          <w:lang w:val="en-CA"/>
        </w:rPr>
        <w:t>.</w:t>
      </w:r>
      <w:r w:rsidRPr="00CF3D68">
        <w:rPr>
          <w:kern w:val="28"/>
          <w:lang w:val="en-CA"/>
        </w:rPr>
        <w:t xml:space="preserve"> state that this type of hearing proceeds “after three clear days notice thereof to the person from whom the thing detained was seized”.</w:t>
      </w:r>
    </w:p>
    <w:p w14:paraId="054A40F5" w14:textId="759550AD" w:rsidR="00E85C30" w:rsidRPr="00CF3D68" w:rsidRDefault="00EF67EF" w:rsidP="003D5031">
      <w:pPr>
        <w:numPr>
          <w:ilvl w:val="0"/>
          <w:numId w:val="1"/>
        </w:numPr>
        <w:spacing w:before="120" w:after="120"/>
        <w:jc w:val="both"/>
        <w:rPr>
          <w:kern w:val="28"/>
          <w:lang w:val="en-CA"/>
        </w:rPr>
      </w:pPr>
      <w:r w:rsidRPr="00CF3D68">
        <w:rPr>
          <w:rFonts w:cs="Arial"/>
          <w:szCs w:val="24"/>
          <w:lang w:val="en-CA" w:eastAsia="fr-CA"/>
        </w:rPr>
        <w:t xml:space="preserve">The prosecution argues that the Court has the power to </w:t>
      </w:r>
      <w:r w:rsidR="00BB34D2">
        <w:rPr>
          <w:rFonts w:cs="Arial"/>
          <w:szCs w:val="24"/>
          <w:lang w:val="en-CA" w:eastAsia="fr-CA"/>
        </w:rPr>
        <w:t xml:space="preserve">so </w:t>
      </w:r>
      <w:r w:rsidRPr="00CF3D68">
        <w:rPr>
          <w:rFonts w:cs="Arial"/>
          <w:szCs w:val="24"/>
          <w:lang w:val="en-CA" w:eastAsia="fr-CA"/>
        </w:rPr>
        <w:t xml:space="preserve">proceed </w:t>
      </w:r>
      <w:r w:rsidR="00BB34D2">
        <w:rPr>
          <w:rFonts w:cs="Arial"/>
          <w:szCs w:val="24"/>
          <w:lang w:val="en-CA" w:eastAsia="fr-CA"/>
        </w:rPr>
        <w:t>[</w:t>
      </w:r>
      <w:r w:rsidR="00BB34D2">
        <w:rPr>
          <w:rFonts w:cs="Arial"/>
          <w:smallCaps/>
          <w:szCs w:val="24"/>
          <w:lang w:val="en-CA" w:eastAsia="fr-CA"/>
        </w:rPr>
        <w:t>translation</w:t>
      </w:r>
      <w:r w:rsidR="00BB34D2">
        <w:rPr>
          <w:rFonts w:cs="Arial"/>
          <w:szCs w:val="24"/>
          <w:lang w:val="en-CA" w:eastAsia="fr-CA"/>
        </w:rPr>
        <w:t xml:space="preserve">] </w:t>
      </w:r>
      <w:r w:rsidRPr="00CF3D68">
        <w:rPr>
          <w:rFonts w:cs="Arial"/>
          <w:szCs w:val="24"/>
          <w:lang w:val="en-CA" w:eastAsia="fr-CA"/>
        </w:rPr>
        <w:t>“to exercise the powers reasonably related to those already conferred by law”.</w:t>
      </w:r>
      <w:r w:rsidRPr="00CF3D68">
        <w:rPr>
          <w:rStyle w:val="Appelnotedebasdep"/>
          <w:rFonts w:cs="Arial"/>
          <w:szCs w:val="24"/>
          <w:lang w:val="en-CA" w:eastAsia="fr-CA"/>
        </w:rPr>
        <w:footnoteReference w:id="6"/>
      </w:r>
      <w:r w:rsidR="00917775" w:rsidRPr="00CF3D68">
        <w:rPr>
          <w:rFonts w:cs="Arial"/>
          <w:szCs w:val="24"/>
          <w:lang w:val="en-CA" w:eastAsia="fr-CA"/>
        </w:rPr>
        <w:t xml:space="preserve"> </w:t>
      </w:r>
      <w:r w:rsidRPr="00CF3D68">
        <w:rPr>
          <w:rFonts w:cs="Arial"/>
          <w:szCs w:val="24"/>
          <w:lang w:val="en-CA" w:eastAsia="fr-CA"/>
        </w:rPr>
        <w:t xml:space="preserve">The Court </w:t>
      </w:r>
      <w:r w:rsidR="00BB34D2">
        <w:rPr>
          <w:rFonts w:cs="Arial"/>
          <w:szCs w:val="24"/>
          <w:lang w:val="en-CA" w:eastAsia="fr-CA"/>
        </w:rPr>
        <w:t>shares this view</w:t>
      </w:r>
      <w:r w:rsidRPr="00CF3D68">
        <w:rPr>
          <w:rFonts w:cs="Arial"/>
          <w:szCs w:val="24"/>
          <w:lang w:val="en-CA" w:eastAsia="fr-CA"/>
        </w:rPr>
        <w:t>, as will be explained below.</w:t>
      </w:r>
    </w:p>
    <w:p w14:paraId="04E4F75B" w14:textId="0A5D0864" w:rsidR="00E85C30" w:rsidRPr="00CF3D68" w:rsidRDefault="00EF67EF" w:rsidP="002977EE">
      <w:pPr>
        <w:numPr>
          <w:ilvl w:val="0"/>
          <w:numId w:val="1"/>
        </w:numPr>
        <w:spacing w:before="120" w:after="120"/>
        <w:jc w:val="both"/>
        <w:rPr>
          <w:kern w:val="28"/>
          <w:lang w:val="en-CA"/>
        </w:rPr>
      </w:pPr>
      <w:r w:rsidRPr="00CF3D68">
        <w:rPr>
          <w:kern w:val="28"/>
          <w:lang w:val="en-CA"/>
        </w:rPr>
        <w:t>The interven</w:t>
      </w:r>
      <w:r w:rsidR="00321C51">
        <w:rPr>
          <w:kern w:val="28"/>
          <w:lang w:val="en-CA"/>
        </w:rPr>
        <w:t>o</w:t>
      </w:r>
      <w:r w:rsidRPr="00CF3D68">
        <w:rPr>
          <w:kern w:val="28"/>
          <w:lang w:val="en-CA"/>
        </w:rPr>
        <w:t xml:space="preserve">rs did not specifically </w:t>
      </w:r>
      <w:r w:rsidR="00BB34D2">
        <w:rPr>
          <w:kern w:val="28"/>
          <w:lang w:val="en-CA"/>
        </w:rPr>
        <w:t xml:space="preserve">address </w:t>
      </w:r>
      <w:r w:rsidRPr="00CF3D68">
        <w:rPr>
          <w:kern w:val="28"/>
          <w:lang w:val="en-CA"/>
        </w:rPr>
        <w:t xml:space="preserve">this issue other than to tell the Court that there is nothing unusual about the press attending a hearing when the </w:t>
      </w:r>
      <w:r w:rsidR="002E2CB7" w:rsidRPr="002E2CB7">
        <w:rPr>
          <w:rFonts w:cs="Arial"/>
          <w:color w:val="000000"/>
          <w:szCs w:val="24"/>
          <w:lang w:val="en-CA"/>
        </w:rPr>
        <w:t>persons from whom the property was seized</w:t>
      </w:r>
      <w:r w:rsidRPr="00CF3D68">
        <w:rPr>
          <w:kern w:val="28"/>
          <w:lang w:val="en-CA"/>
        </w:rPr>
        <w:t xml:space="preserve"> will not </w:t>
      </w:r>
      <w:r w:rsidR="00BB34D2">
        <w:rPr>
          <w:kern w:val="28"/>
          <w:lang w:val="en-CA"/>
        </w:rPr>
        <w:t xml:space="preserve">be </w:t>
      </w:r>
      <w:r w:rsidR="00B37E8C">
        <w:rPr>
          <w:kern w:val="28"/>
          <w:lang w:val="en-CA"/>
        </w:rPr>
        <w:t xml:space="preserve">present </w:t>
      </w:r>
      <w:r w:rsidRPr="00CF3D68">
        <w:rPr>
          <w:kern w:val="28"/>
          <w:lang w:val="en-CA"/>
        </w:rPr>
        <w:t xml:space="preserve">because they have no greater right than the </w:t>
      </w:r>
      <w:r w:rsidR="00BB34D2">
        <w:rPr>
          <w:kern w:val="28"/>
          <w:lang w:val="en-CA"/>
        </w:rPr>
        <w:t xml:space="preserve">general </w:t>
      </w:r>
      <w:r w:rsidRPr="00CF3D68">
        <w:rPr>
          <w:kern w:val="28"/>
          <w:lang w:val="en-CA"/>
        </w:rPr>
        <w:t>public.</w:t>
      </w:r>
      <w:r w:rsidRPr="00CF3D68">
        <w:rPr>
          <w:rStyle w:val="Appelnotedebasdep"/>
          <w:kern w:val="28"/>
          <w:lang w:val="en-CA"/>
        </w:rPr>
        <w:footnoteReference w:id="7"/>
      </w:r>
      <w:r w:rsidR="00CB7CAC" w:rsidRPr="00CF3D68">
        <w:rPr>
          <w:kern w:val="28"/>
          <w:lang w:val="en-CA"/>
        </w:rPr>
        <w:t xml:space="preserve"> </w:t>
      </w:r>
      <w:r w:rsidRPr="00CF3D68">
        <w:rPr>
          <w:kern w:val="28"/>
          <w:lang w:val="en-CA"/>
        </w:rPr>
        <w:t>The Court agrees with this position.</w:t>
      </w:r>
      <w:r w:rsidR="00CB7CAC" w:rsidRPr="00CF3D68">
        <w:rPr>
          <w:kern w:val="28"/>
          <w:lang w:val="en-CA"/>
        </w:rPr>
        <w:t xml:space="preserve"> </w:t>
      </w:r>
    </w:p>
    <w:p w14:paraId="6A7FF908" w14:textId="10A5602C" w:rsidR="000B6B68" w:rsidRPr="00CF3D68" w:rsidRDefault="00EF67EF" w:rsidP="002977EE">
      <w:pPr>
        <w:numPr>
          <w:ilvl w:val="0"/>
          <w:numId w:val="1"/>
        </w:numPr>
        <w:spacing w:before="120" w:after="120"/>
        <w:jc w:val="both"/>
        <w:rPr>
          <w:kern w:val="28"/>
          <w:lang w:val="en-CA"/>
        </w:rPr>
      </w:pPr>
      <w:r w:rsidRPr="00CF3D68">
        <w:rPr>
          <w:kern w:val="28"/>
          <w:lang w:val="en-CA"/>
        </w:rPr>
        <w:t>The Court adopts and repeats the DCPP’s argument</w:t>
      </w:r>
      <w:r w:rsidRPr="00CF3D68">
        <w:rPr>
          <w:rStyle w:val="Appelnotedebasdep"/>
          <w:kern w:val="28"/>
          <w:lang w:val="en-CA"/>
        </w:rPr>
        <w:footnoteReference w:id="8"/>
      </w:r>
      <w:r w:rsidRPr="00CF3D68">
        <w:rPr>
          <w:kern w:val="28"/>
          <w:lang w:val="en-CA"/>
        </w:rPr>
        <w:t xml:space="preserve"> on the </w:t>
      </w:r>
      <w:r w:rsidR="00BB34D2">
        <w:rPr>
          <w:kern w:val="28"/>
          <w:lang w:val="en-CA"/>
        </w:rPr>
        <w:t>opportunity t</w:t>
      </w:r>
      <w:r w:rsidRPr="00CF3D68">
        <w:rPr>
          <w:kern w:val="28"/>
          <w:lang w:val="en-CA"/>
        </w:rPr>
        <w:t xml:space="preserve">o </w:t>
      </w:r>
      <w:r w:rsidR="00BB34D2">
        <w:rPr>
          <w:kern w:val="28"/>
          <w:lang w:val="en-CA"/>
        </w:rPr>
        <w:t xml:space="preserve">remedy </w:t>
      </w:r>
      <w:r w:rsidRPr="00CF3D68">
        <w:rPr>
          <w:kern w:val="28"/>
          <w:lang w:val="en-CA"/>
        </w:rPr>
        <w:t xml:space="preserve">the gap in the legislative </w:t>
      </w:r>
      <w:r w:rsidR="00B37E8C">
        <w:rPr>
          <w:kern w:val="28"/>
          <w:lang w:val="en-CA"/>
        </w:rPr>
        <w:t>framework regarding the</w:t>
      </w:r>
      <w:r w:rsidRPr="00CF3D68">
        <w:rPr>
          <w:kern w:val="28"/>
          <w:lang w:val="en-CA"/>
        </w:rPr>
        <w:t xml:space="preserve"> </w:t>
      </w:r>
      <w:r w:rsidR="00BB34D2">
        <w:rPr>
          <w:kern w:val="28"/>
          <w:lang w:val="en-CA"/>
        </w:rPr>
        <w:t xml:space="preserve">further </w:t>
      </w:r>
      <w:r w:rsidRPr="00CF3D68">
        <w:rPr>
          <w:kern w:val="28"/>
          <w:lang w:val="en-CA"/>
        </w:rPr>
        <w:t xml:space="preserve">detention period of property seized, which does not provide </w:t>
      </w:r>
      <w:r w:rsidR="008166D9">
        <w:rPr>
          <w:kern w:val="28"/>
          <w:lang w:val="en-CA"/>
        </w:rPr>
        <w:t>for</w:t>
      </w:r>
      <w:r w:rsidR="008166D9" w:rsidRPr="00CF3D68">
        <w:rPr>
          <w:kern w:val="28"/>
          <w:lang w:val="en-CA"/>
        </w:rPr>
        <w:t xml:space="preserve"> </w:t>
      </w:r>
      <w:r w:rsidRPr="00CF3D68">
        <w:rPr>
          <w:kern w:val="28"/>
          <w:lang w:val="en-CA"/>
        </w:rPr>
        <w:t xml:space="preserve">a party </w:t>
      </w:r>
      <w:r w:rsidR="008166D9">
        <w:rPr>
          <w:kern w:val="28"/>
          <w:lang w:val="en-CA"/>
        </w:rPr>
        <w:t xml:space="preserve">to be </w:t>
      </w:r>
      <w:r w:rsidR="006A2C92">
        <w:rPr>
          <w:kern w:val="28"/>
          <w:lang w:val="en-CA"/>
        </w:rPr>
        <w:t xml:space="preserve">exempted </w:t>
      </w:r>
      <w:r w:rsidRPr="00CF3D68">
        <w:rPr>
          <w:kern w:val="28"/>
          <w:lang w:val="en-CA"/>
        </w:rPr>
        <w:t>from serving</w:t>
      </w:r>
      <w:r w:rsidR="008166D9">
        <w:rPr>
          <w:kern w:val="28"/>
          <w:lang w:val="en-CA"/>
        </w:rPr>
        <w:t>,</w:t>
      </w:r>
      <w:r w:rsidRPr="00CF3D68">
        <w:rPr>
          <w:kern w:val="28"/>
          <w:lang w:val="en-CA"/>
        </w:rPr>
        <w:t xml:space="preserve"> </w:t>
      </w:r>
      <w:r w:rsidR="007D79D0">
        <w:rPr>
          <w:kern w:val="28"/>
          <w:lang w:val="en-CA"/>
        </w:rPr>
        <w:t xml:space="preserve">or </w:t>
      </w:r>
      <w:r w:rsidR="00B37E8C">
        <w:rPr>
          <w:kern w:val="28"/>
          <w:lang w:val="en-CA"/>
        </w:rPr>
        <w:t xml:space="preserve">at least </w:t>
      </w:r>
      <w:r w:rsidR="007D79D0">
        <w:rPr>
          <w:kern w:val="28"/>
          <w:lang w:val="en-CA"/>
        </w:rPr>
        <w:t>deferring</w:t>
      </w:r>
      <w:r w:rsidR="008166D9">
        <w:rPr>
          <w:kern w:val="28"/>
          <w:lang w:val="en-CA"/>
        </w:rPr>
        <w:t>,</w:t>
      </w:r>
      <w:r w:rsidR="007D79D0">
        <w:rPr>
          <w:kern w:val="28"/>
          <w:lang w:val="en-CA"/>
        </w:rPr>
        <w:t xml:space="preserve"> </w:t>
      </w:r>
      <w:r w:rsidRPr="00CF3D68">
        <w:rPr>
          <w:kern w:val="28"/>
          <w:lang w:val="en-CA"/>
        </w:rPr>
        <w:t>the notice.</w:t>
      </w:r>
      <w:r w:rsidR="001F7521" w:rsidRPr="00CF3D68">
        <w:rPr>
          <w:kern w:val="28"/>
          <w:lang w:val="en-CA"/>
        </w:rPr>
        <w:t xml:space="preserve"> </w:t>
      </w:r>
    </w:p>
    <w:p w14:paraId="6979971D" w14:textId="0BFA802E" w:rsidR="00A73680" w:rsidRPr="00CF3D68" w:rsidRDefault="00EF67EF" w:rsidP="002977EE">
      <w:pPr>
        <w:numPr>
          <w:ilvl w:val="0"/>
          <w:numId w:val="1"/>
        </w:numPr>
        <w:spacing w:before="120" w:after="120"/>
        <w:jc w:val="both"/>
        <w:rPr>
          <w:kern w:val="28"/>
          <w:lang w:val="en-CA"/>
        </w:rPr>
      </w:pPr>
      <w:r w:rsidRPr="00CF3D68">
        <w:rPr>
          <w:kern w:val="28"/>
          <w:lang w:val="en-CA"/>
        </w:rPr>
        <w:lastRenderedPageBreak/>
        <w:t xml:space="preserve">In support of its position, the DCPP cited two judgments: </w:t>
      </w:r>
      <w:r w:rsidRPr="00CF3D68">
        <w:rPr>
          <w:i/>
          <w:kern w:val="28"/>
          <w:lang w:val="en-CA"/>
        </w:rPr>
        <w:t>Re: Section 490 Application - Without Notice</w:t>
      </w:r>
      <w:r w:rsidRPr="00CF3D68">
        <w:rPr>
          <w:rStyle w:val="Appelnotedebasdep"/>
          <w:kern w:val="28"/>
          <w:lang w:val="en-CA"/>
        </w:rPr>
        <w:footnoteReference w:id="9"/>
      </w:r>
      <w:r w:rsidRPr="00CF3D68">
        <w:rPr>
          <w:kern w:val="28"/>
          <w:lang w:val="en-CA"/>
        </w:rPr>
        <w:t xml:space="preserve"> and </w:t>
      </w:r>
      <w:r w:rsidRPr="00CF3D68">
        <w:rPr>
          <w:i/>
          <w:kern w:val="28"/>
          <w:lang w:val="en-CA"/>
        </w:rPr>
        <w:t>Further Detention of Things Seized (Re)</w:t>
      </w:r>
      <w:r w:rsidRPr="00CF3D68">
        <w:rPr>
          <w:kern w:val="28"/>
          <w:lang w:val="en-CA"/>
        </w:rPr>
        <w:t>.</w:t>
      </w:r>
      <w:r w:rsidRPr="00CF3D68">
        <w:rPr>
          <w:rStyle w:val="Appelnotedebasdep"/>
          <w:kern w:val="28"/>
          <w:lang w:val="en-CA"/>
        </w:rPr>
        <w:footnoteReference w:id="10"/>
      </w:r>
      <w:r w:rsidR="001F7521" w:rsidRPr="00CF3D68">
        <w:rPr>
          <w:kern w:val="28"/>
          <w:lang w:val="en-CA"/>
        </w:rPr>
        <w:t xml:space="preserve"> </w:t>
      </w:r>
      <w:r w:rsidRPr="00CF3D68">
        <w:rPr>
          <w:kern w:val="28"/>
          <w:lang w:val="en-CA"/>
        </w:rPr>
        <w:t>In general, the Court agrees with the legal reasoning in these judgments.</w:t>
      </w:r>
    </w:p>
    <w:p w14:paraId="382F7BF2" w14:textId="5596DFAF" w:rsidR="003D5031" w:rsidRPr="000C4DF1" w:rsidRDefault="00EF67EF" w:rsidP="000C4DF1">
      <w:pPr>
        <w:pStyle w:val="Titre2"/>
        <w:numPr>
          <w:ilvl w:val="0"/>
          <w:numId w:val="14"/>
        </w:numPr>
        <w:rPr>
          <w:kern w:val="28"/>
          <w:lang w:val="en-CA"/>
        </w:rPr>
      </w:pPr>
      <w:r w:rsidRPr="000C4DF1">
        <w:rPr>
          <w:rFonts w:eastAsiaTheme="minorHAnsi"/>
          <w:lang w:val="en-CA" w:eastAsia="en-US"/>
        </w:rPr>
        <w:t>Is there a gap in the procedure prescribed in section 490?</w:t>
      </w:r>
      <w:r w:rsidR="001F7521" w:rsidRPr="000C4DF1">
        <w:rPr>
          <w:rFonts w:eastAsiaTheme="minorHAnsi"/>
          <w:lang w:val="en-CA" w:eastAsia="en-US"/>
        </w:rPr>
        <w:t xml:space="preserve"> </w:t>
      </w:r>
    </w:p>
    <w:p w14:paraId="10B2C45D" w14:textId="60FE376C" w:rsidR="003D5031" w:rsidRPr="00CF3D68" w:rsidRDefault="00EF67EF" w:rsidP="00136A08">
      <w:pPr>
        <w:pStyle w:val="Paragraphe"/>
        <w:rPr>
          <w:lang w:val="en-CA"/>
        </w:rPr>
      </w:pPr>
      <w:r w:rsidRPr="00CF3D68">
        <w:rPr>
          <w:lang w:val="en-CA"/>
        </w:rPr>
        <w:t xml:space="preserve">Although the </w:t>
      </w:r>
      <w:r w:rsidRPr="00CF3D68">
        <w:rPr>
          <w:i/>
          <w:lang w:val="en-CA"/>
        </w:rPr>
        <w:t>Criminal Code</w:t>
      </w:r>
      <w:r w:rsidRPr="00CF3D68">
        <w:rPr>
          <w:lang w:val="en-CA"/>
        </w:rPr>
        <w:t xml:space="preserve"> </w:t>
      </w:r>
      <w:r w:rsidR="008166D9">
        <w:rPr>
          <w:lang w:val="en-CA"/>
        </w:rPr>
        <w:t>provides</w:t>
      </w:r>
      <w:r w:rsidR="008166D9" w:rsidRPr="00CF3D68">
        <w:rPr>
          <w:lang w:val="en-CA"/>
        </w:rPr>
        <w:t xml:space="preserve"> </w:t>
      </w:r>
      <w:r w:rsidRPr="00CF3D68">
        <w:rPr>
          <w:lang w:val="en-CA"/>
        </w:rPr>
        <w:t xml:space="preserve">various scenarios </w:t>
      </w:r>
      <w:r w:rsidR="008166D9">
        <w:rPr>
          <w:lang w:val="en-CA"/>
        </w:rPr>
        <w:t>with</w:t>
      </w:r>
      <w:r w:rsidRPr="00CF3D68">
        <w:rPr>
          <w:lang w:val="en-CA"/>
        </w:rPr>
        <w:t xml:space="preserve">in its </w:t>
      </w:r>
      <w:r w:rsidR="008166D9">
        <w:rPr>
          <w:lang w:val="en-CA"/>
        </w:rPr>
        <w:t>regime</w:t>
      </w:r>
      <w:r w:rsidR="008166D9" w:rsidRPr="00CF3D68">
        <w:rPr>
          <w:lang w:val="en-CA"/>
        </w:rPr>
        <w:t xml:space="preserve"> </w:t>
      </w:r>
      <w:r w:rsidR="008166D9">
        <w:rPr>
          <w:lang w:val="en-CA"/>
        </w:rPr>
        <w:t>for the</w:t>
      </w:r>
      <w:r w:rsidRPr="00CF3D68">
        <w:rPr>
          <w:lang w:val="en-CA"/>
        </w:rPr>
        <w:t xml:space="preserve"> detention and return of property seized by the </w:t>
      </w:r>
      <w:r w:rsidR="008166D9">
        <w:rPr>
          <w:lang w:val="en-CA"/>
        </w:rPr>
        <w:t>S</w:t>
      </w:r>
      <w:r w:rsidRPr="00CF3D68">
        <w:rPr>
          <w:lang w:val="en-CA"/>
        </w:rPr>
        <w:t xml:space="preserve">tate, it </w:t>
      </w:r>
      <w:r w:rsidR="008166D9">
        <w:rPr>
          <w:lang w:val="en-CA"/>
        </w:rPr>
        <w:t>is silent on the possibility of</w:t>
      </w:r>
      <w:r w:rsidR="00FB3A28">
        <w:rPr>
          <w:lang w:val="en-CA"/>
        </w:rPr>
        <w:t xml:space="preserve"> exemptin</w:t>
      </w:r>
      <w:r w:rsidR="008166D9">
        <w:rPr>
          <w:lang w:val="en-CA"/>
        </w:rPr>
        <w:t>g</w:t>
      </w:r>
      <w:r w:rsidR="00FB3A28">
        <w:rPr>
          <w:lang w:val="en-CA"/>
        </w:rPr>
        <w:t xml:space="preserve"> or de</w:t>
      </w:r>
      <w:r w:rsidR="007D79D0">
        <w:rPr>
          <w:lang w:val="en-CA"/>
        </w:rPr>
        <w:t>ferr</w:t>
      </w:r>
      <w:r w:rsidR="008166D9">
        <w:rPr>
          <w:lang w:val="en-CA"/>
        </w:rPr>
        <w:t>ing the</w:t>
      </w:r>
      <w:r w:rsidR="00FB3A28">
        <w:rPr>
          <w:lang w:val="en-CA"/>
        </w:rPr>
        <w:t xml:space="preserve"> service </w:t>
      </w:r>
      <w:r w:rsidRPr="00CF3D68">
        <w:rPr>
          <w:lang w:val="en-CA"/>
        </w:rPr>
        <w:t xml:space="preserve">of the notice to the </w:t>
      </w:r>
      <w:r w:rsidR="00FB3A28">
        <w:rPr>
          <w:lang w:val="en-CA"/>
        </w:rPr>
        <w:t xml:space="preserve">lawful possessor </w:t>
      </w:r>
      <w:r w:rsidRPr="00CF3D68">
        <w:rPr>
          <w:lang w:val="en-CA"/>
        </w:rPr>
        <w:t xml:space="preserve">at the time of the application </w:t>
      </w:r>
      <w:r w:rsidR="00FB3A28">
        <w:rPr>
          <w:lang w:val="en-CA"/>
        </w:rPr>
        <w:t xml:space="preserve">for further </w:t>
      </w:r>
      <w:r w:rsidRPr="00CF3D68">
        <w:rPr>
          <w:lang w:val="en-CA"/>
        </w:rPr>
        <w:t>detention.</w:t>
      </w:r>
      <w:r w:rsidR="001F7521" w:rsidRPr="00CF3D68">
        <w:rPr>
          <w:lang w:val="en-CA"/>
        </w:rPr>
        <w:t xml:space="preserve"> </w:t>
      </w:r>
    </w:p>
    <w:p w14:paraId="3523E845" w14:textId="6485FB56" w:rsidR="003D5031" w:rsidRPr="00CF3D68" w:rsidRDefault="00EF67EF" w:rsidP="00136A08">
      <w:pPr>
        <w:pStyle w:val="Paragraphe"/>
        <w:rPr>
          <w:lang w:val="en-CA"/>
        </w:rPr>
      </w:pPr>
      <w:r w:rsidRPr="00CF3D68">
        <w:rPr>
          <w:lang w:val="en-CA"/>
        </w:rPr>
        <w:t xml:space="preserve">This gap creates an undesirable incongruous </w:t>
      </w:r>
      <w:r w:rsidR="00FB3A28">
        <w:rPr>
          <w:lang w:val="en-CA"/>
        </w:rPr>
        <w:t>result</w:t>
      </w:r>
      <w:r w:rsidRPr="00CF3D68">
        <w:rPr>
          <w:lang w:val="en-CA"/>
        </w:rPr>
        <w:t>.</w:t>
      </w:r>
      <w:r w:rsidR="001F7521" w:rsidRPr="00CF3D68">
        <w:rPr>
          <w:lang w:val="en-CA"/>
        </w:rPr>
        <w:t xml:space="preserve"> </w:t>
      </w:r>
    </w:p>
    <w:p w14:paraId="3D9279A8" w14:textId="7586AE0A" w:rsidR="003D5031" w:rsidRPr="00CF3D68" w:rsidRDefault="00FC6598" w:rsidP="00136A08">
      <w:pPr>
        <w:pStyle w:val="Paragraphe"/>
        <w:rPr>
          <w:lang w:val="en-CA"/>
        </w:rPr>
      </w:pPr>
      <w:r w:rsidRPr="00CF3D68">
        <w:rPr>
          <w:lang w:val="en-CA"/>
        </w:rPr>
        <w:t xml:space="preserve">For example, during a covert search, </w:t>
      </w:r>
      <w:r w:rsidR="00FB3A28">
        <w:rPr>
          <w:lang w:val="en-CA"/>
        </w:rPr>
        <w:t xml:space="preserve">under </w:t>
      </w:r>
      <w:r w:rsidRPr="00CF3D68">
        <w:rPr>
          <w:lang w:val="en-CA"/>
        </w:rPr>
        <w:t>s</w:t>
      </w:r>
      <w:r w:rsidR="00667C93" w:rsidRPr="00CF3D68">
        <w:rPr>
          <w:lang w:val="en-CA"/>
        </w:rPr>
        <w:t>ection</w:t>
      </w:r>
      <w:r w:rsidRPr="00CF3D68">
        <w:rPr>
          <w:lang w:val="en-CA"/>
        </w:rPr>
        <w:t xml:space="preserve"> 487.01(5.2) </w:t>
      </w:r>
      <w:r w:rsidRPr="00CF3D68">
        <w:rPr>
          <w:i/>
          <w:spacing w:val="-20"/>
          <w:lang w:val="en-CA"/>
        </w:rPr>
        <w:t>C.C</w:t>
      </w:r>
      <w:r w:rsidRPr="00CF3D68">
        <w:rPr>
          <w:i/>
          <w:lang w:val="en-CA"/>
        </w:rPr>
        <w:t>.,</w:t>
      </w:r>
      <w:r w:rsidRPr="00CF3D68">
        <w:rPr>
          <w:lang w:val="en-CA"/>
        </w:rPr>
        <w:t xml:space="preserve"> </w:t>
      </w:r>
      <w:r w:rsidR="00FB3A28">
        <w:rPr>
          <w:lang w:val="en-CA"/>
        </w:rPr>
        <w:t xml:space="preserve">Parliament </w:t>
      </w:r>
      <w:r w:rsidR="007D79D0">
        <w:rPr>
          <w:lang w:val="en-CA"/>
        </w:rPr>
        <w:t>allows</w:t>
      </w:r>
      <w:r w:rsidR="00FB3A28">
        <w:rPr>
          <w:lang w:val="en-CA"/>
        </w:rPr>
        <w:t xml:space="preserve"> </w:t>
      </w:r>
      <w:r w:rsidRPr="00CF3D68">
        <w:rPr>
          <w:lang w:val="en-CA"/>
        </w:rPr>
        <w:t xml:space="preserve">the peace officer </w:t>
      </w:r>
      <w:r w:rsidR="007D79D0">
        <w:rPr>
          <w:lang w:val="en-CA"/>
        </w:rPr>
        <w:t xml:space="preserve">to </w:t>
      </w:r>
      <w:r w:rsidRPr="00CF3D68">
        <w:rPr>
          <w:lang w:val="en-CA"/>
        </w:rPr>
        <w:t>be exempt</w:t>
      </w:r>
      <w:r w:rsidR="00FB3A28">
        <w:rPr>
          <w:lang w:val="en-CA"/>
        </w:rPr>
        <w:t>ed</w:t>
      </w:r>
      <w:r w:rsidRPr="00CF3D68">
        <w:rPr>
          <w:lang w:val="en-CA"/>
        </w:rPr>
        <w:t xml:space="preserve"> from </w:t>
      </w:r>
      <w:r w:rsidR="00FB3A28">
        <w:rPr>
          <w:lang w:val="en-CA"/>
        </w:rPr>
        <w:t>giv</w:t>
      </w:r>
      <w:r w:rsidRPr="00CF3D68">
        <w:rPr>
          <w:lang w:val="en-CA"/>
        </w:rPr>
        <w:t>ing notice of the covert search to the person concerned by the search</w:t>
      </w:r>
      <w:r w:rsidRPr="00CF3D68">
        <w:rPr>
          <w:rStyle w:val="Appelnotedebasdep"/>
          <w:lang w:val="en-CA"/>
        </w:rPr>
        <w:footnoteReference w:id="11"/>
      </w:r>
      <w:r w:rsidRPr="00CF3D68">
        <w:rPr>
          <w:lang w:val="en-CA"/>
        </w:rPr>
        <w:t xml:space="preserve"> for a maximum</w:t>
      </w:r>
      <w:r w:rsidR="00FB3A28">
        <w:rPr>
          <w:lang w:val="en-CA"/>
        </w:rPr>
        <w:t xml:space="preserve"> period </w:t>
      </w:r>
      <w:r w:rsidRPr="00CF3D68">
        <w:rPr>
          <w:lang w:val="en-CA"/>
        </w:rPr>
        <w:t xml:space="preserve">of </w:t>
      </w:r>
      <w:r w:rsidRPr="00CF3D68">
        <w:rPr>
          <w:u w:val="single"/>
          <w:lang w:val="en-CA"/>
        </w:rPr>
        <w:t>three years</w:t>
      </w:r>
      <w:r w:rsidRPr="00CF3D68">
        <w:rPr>
          <w:lang w:val="en-CA"/>
        </w:rPr>
        <w:t>.</w:t>
      </w:r>
      <w:r w:rsidR="001F7521" w:rsidRPr="00CF3D68">
        <w:rPr>
          <w:lang w:val="en-CA"/>
        </w:rPr>
        <w:t xml:space="preserve"> </w:t>
      </w:r>
      <w:r w:rsidRPr="00CF3D68">
        <w:rPr>
          <w:lang w:val="en-CA"/>
        </w:rPr>
        <w:t xml:space="preserve">Section 490(2) </w:t>
      </w:r>
      <w:r w:rsidRPr="00CF3D68">
        <w:rPr>
          <w:i/>
          <w:spacing w:val="-20"/>
          <w:lang w:val="en-CA"/>
        </w:rPr>
        <w:t>C.C</w:t>
      </w:r>
      <w:r w:rsidRPr="00CF3D68">
        <w:rPr>
          <w:i/>
          <w:lang w:val="en-CA"/>
        </w:rPr>
        <w:t>.</w:t>
      </w:r>
      <w:r w:rsidRPr="00CF3D68">
        <w:rPr>
          <w:lang w:val="en-CA"/>
        </w:rPr>
        <w:t xml:space="preserve">, however, states that nothing shall be detained for a period of more than </w:t>
      </w:r>
      <w:r w:rsidRPr="00CF3D68">
        <w:rPr>
          <w:u w:val="single"/>
          <w:lang w:val="en-CA"/>
        </w:rPr>
        <w:t>three months</w:t>
      </w:r>
      <w:r w:rsidRPr="00CF3D68">
        <w:rPr>
          <w:lang w:val="en-CA"/>
        </w:rPr>
        <w:t xml:space="preserve"> if proceedings are not instituted.</w:t>
      </w:r>
      <w:r w:rsidR="001F7521" w:rsidRPr="00CF3D68">
        <w:rPr>
          <w:lang w:val="en-CA"/>
        </w:rPr>
        <w:t xml:space="preserve">  </w:t>
      </w:r>
    </w:p>
    <w:p w14:paraId="6AD47166" w14:textId="10728BAC" w:rsidR="00F163BC" w:rsidRPr="00CF3D68" w:rsidRDefault="00FC6598" w:rsidP="00136A08">
      <w:pPr>
        <w:pStyle w:val="Paragraphe"/>
        <w:rPr>
          <w:lang w:val="en-CA"/>
        </w:rPr>
      </w:pPr>
      <w:r w:rsidRPr="00CF3D68">
        <w:rPr>
          <w:lang w:val="en-CA"/>
        </w:rPr>
        <w:t xml:space="preserve">Thus, during an ongoing investigation, the police </w:t>
      </w:r>
      <w:r w:rsidR="00090E4C">
        <w:rPr>
          <w:lang w:val="en-CA"/>
        </w:rPr>
        <w:t>can</w:t>
      </w:r>
      <w:r w:rsidRPr="00CF3D68">
        <w:rPr>
          <w:lang w:val="en-CA"/>
        </w:rPr>
        <w:t xml:space="preserve"> covertly seize property </w:t>
      </w:r>
      <w:r w:rsidR="00090E4C">
        <w:rPr>
          <w:lang w:val="en-CA"/>
        </w:rPr>
        <w:t xml:space="preserve">under </w:t>
      </w:r>
      <w:r w:rsidRPr="00CF3D68">
        <w:rPr>
          <w:lang w:val="en-CA"/>
        </w:rPr>
        <w:t>a general search warrant without informing the possess</w:t>
      </w:r>
      <w:r w:rsidR="00090E4C">
        <w:rPr>
          <w:lang w:val="en-CA"/>
        </w:rPr>
        <w:t>or</w:t>
      </w:r>
      <w:r w:rsidRPr="00CF3D68">
        <w:rPr>
          <w:lang w:val="en-CA"/>
        </w:rPr>
        <w:t xml:space="preserve"> for a period of up to </w:t>
      </w:r>
      <w:r w:rsidRPr="00CF3D68">
        <w:rPr>
          <w:u w:val="single"/>
          <w:lang w:val="en-CA"/>
        </w:rPr>
        <w:t>three years</w:t>
      </w:r>
      <w:r w:rsidRPr="00CF3D68">
        <w:rPr>
          <w:lang w:val="en-CA"/>
        </w:rPr>
        <w:t xml:space="preserve">. </w:t>
      </w:r>
      <w:r w:rsidR="009E0AEE" w:rsidRPr="00CF3D68">
        <w:rPr>
          <w:lang w:val="en-CA"/>
        </w:rPr>
        <w:t xml:space="preserve"> </w:t>
      </w:r>
      <w:r w:rsidRPr="00CF3D68">
        <w:rPr>
          <w:lang w:val="en-CA"/>
        </w:rPr>
        <w:t xml:space="preserve">These same police officers, however, </w:t>
      </w:r>
      <w:r w:rsidR="00D74BA8">
        <w:rPr>
          <w:lang w:val="en-CA"/>
        </w:rPr>
        <w:t xml:space="preserve">would be required to </w:t>
      </w:r>
      <w:r w:rsidRPr="00CF3D68">
        <w:rPr>
          <w:lang w:val="en-CA"/>
        </w:rPr>
        <w:t>inform the p</w:t>
      </w:r>
      <w:r w:rsidR="00090E4C">
        <w:rPr>
          <w:lang w:val="en-CA"/>
        </w:rPr>
        <w:t xml:space="preserve">ossessor of </w:t>
      </w:r>
      <w:r w:rsidRPr="00CF3D68">
        <w:rPr>
          <w:lang w:val="en-CA"/>
        </w:rPr>
        <w:t xml:space="preserve">the </w:t>
      </w:r>
      <w:r w:rsidR="00D74BA8">
        <w:rPr>
          <w:lang w:val="en-CA"/>
        </w:rPr>
        <w:t xml:space="preserve">seized </w:t>
      </w:r>
      <w:r w:rsidRPr="00CF3D68">
        <w:rPr>
          <w:lang w:val="en-CA"/>
        </w:rPr>
        <w:t xml:space="preserve">property of their </w:t>
      </w:r>
      <w:r w:rsidR="00136A08">
        <w:rPr>
          <w:lang w:val="en-CA"/>
        </w:rPr>
        <w:t>request</w:t>
      </w:r>
      <w:r w:rsidR="00136A08" w:rsidRPr="00CF3D68">
        <w:rPr>
          <w:lang w:val="en-CA"/>
        </w:rPr>
        <w:t xml:space="preserve"> </w:t>
      </w:r>
      <w:r w:rsidRPr="00CF3D68">
        <w:rPr>
          <w:lang w:val="en-CA"/>
        </w:rPr>
        <w:t xml:space="preserve">for detention </w:t>
      </w:r>
      <w:r w:rsidR="00090E4C">
        <w:rPr>
          <w:lang w:val="en-CA"/>
        </w:rPr>
        <w:t xml:space="preserve">beyond </w:t>
      </w:r>
      <w:r w:rsidR="008166D9">
        <w:rPr>
          <w:lang w:val="en-CA"/>
        </w:rPr>
        <w:t xml:space="preserve">the </w:t>
      </w:r>
      <w:r w:rsidRPr="00090E4C">
        <w:rPr>
          <w:u w:val="single"/>
          <w:lang w:val="en-CA"/>
        </w:rPr>
        <w:t>three</w:t>
      </w:r>
      <w:r w:rsidR="00136A08">
        <w:rPr>
          <w:u w:val="single"/>
          <w:lang w:val="en-CA"/>
        </w:rPr>
        <w:t>-</w:t>
      </w:r>
      <w:r w:rsidRPr="00090E4C">
        <w:rPr>
          <w:u w:val="single"/>
          <w:lang w:val="en-CA"/>
        </w:rPr>
        <w:t>month</w:t>
      </w:r>
      <w:r w:rsidR="00136A08">
        <w:rPr>
          <w:u w:val="single"/>
          <w:lang w:val="en-CA"/>
        </w:rPr>
        <w:t xml:space="preserve"> period, which would</w:t>
      </w:r>
      <w:r w:rsidRPr="00CF3D68">
        <w:rPr>
          <w:lang w:val="en-CA"/>
        </w:rPr>
        <w:t xml:space="preserve"> in practic</w:t>
      </w:r>
      <w:r w:rsidR="00090E4C">
        <w:rPr>
          <w:lang w:val="en-CA"/>
        </w:rPr>
        <w:t>e</w:t>
      </w:r>
      <w:r w:rsidRPr="00CF3D68">
        <w:rPr>
          <w:lang w:val="en-CA"/>
        </w:rPr>
        <w:t xml:space="preserve">, </w:t>
      </w:r>
      <w:r w:rsidR="00136A08">
        <w:rPr>
          <w:lang w:val="en-CA"/>
        </w:rPr>
        <w:t xml:space="preserve">prevent </w:t>
      </w:r>
      <w:r w:rsidRPr="00CF3D68">
        <w:rPr>
          <w:lang w:val="en-CA"/>
        </w:rPr>
        <w:t xml:space="preserve">the </w:t>
      </w:r>
      <w:r w:rsidR="008166D9">
        <w:rPr>
          <w:lang w:val="en-CA"/>
        </w:rPr>
        <w:t>S</w:t>
      </w:r>
      <w:r w:rsidRPr="00CF3D68">
        <w:rPr>
          <w:lang w:val="en-CA"/>
        </w:rPr>
        <w:t xml:space="preserve">tate </w:t>
      </w:r>
      <w:r w:rsidR="00136A08">
        <w:rPr>
          <w:lang w:val="en-CA"/>
        </w:rPr>
        <w:t>from</w:t>
      </w:r>
      <w:r w:rsidRPr="00CF3D68">
        <w:rPr>
          <w:lang w:val="en-CA"/>
        </w:rPr>
        <w:t xml:space="preserve"> benefit</w:t>
      </w:r>
      <w:r w:rsidR="00136A08">
        <w:rPr>
          <w:lang w:val="en-CA"/>
        </w:rPr>
        <w:t>ing</w:t>
      </w:r>
      <w:r w:rsidRPr="00CF3D68">
        <w:rPr>
          <w:lang w:val="en-CA"/>
        </w:rPr>
        <w:t xml:space="preserve"> from </w:t>
      </w:r>
      <w:r w:rsidR="00136A08">
        <w:rPr>
          <w:lang w:val="en-CA"/>
        </w:rPr>
        <w:t xml:space="preserve">the </w:t>
      </w:r>
      <w:r w:rsidRPr="00CF3D68">
        <w:rPr>
          <w:lang w:val="en-CA"/>
        </w:rPr>
        <w:t>deferred noti</w:t>
      </w:r>
      <w:r w:rsidR="007D79D0">
        <w:rPr>
          <w:lang w:val="en-CA"/>
        </w:rPr>
        <w:t>fication</w:t>
      </w:r>
      <w:r w:rsidRPr="00CF3D68">
        <w:rPr>
          <w:lang w:val="en-CA"/>
        </w:rPr>
        <w:t xml:space="preserve"> </w:t>
      </w:r>
      <w:r w:rsidR="00136A08">
        <w:rPr>
          <w:lang w:val="en-CA"/>
        </w:rPr>
        <w:t xml:space="preserve">provided for </w:t>
      </w:r>
      <w:r w:rsidR="00130AE0">
        <w:rPr>
          <w:lang w:val="en-CA"/>
        </w:rPr>
        <w:t>in</w:t>
      </w:r>
      <w:r w:rsidR="00130AE0" w:rsidRPr="00CF3D68">
        <w:rPr>
          <w:lang w:val="en-CA"/>
        </w:rPr>
        <w:t xml:space="preserve"> section</w:t>
      </w:r>
      <w:r w:rsidRPr="00CF3D68">
        <w:rPr>
          <w:lang w:val="en-CA"/>
        </w:rPr>
        <w:t xml:space="preserve"> 487.01(5.2) </w:t>
      </w:r>
      <w:r w:rsidRPr="00CF3D68">
        <w:rPr>
          <w:i/>
          <w:spacing w:val="-20"/>
          <w:lang w:val="en-CA"/>
        </w:rPr>
        <w:t>C.C</w:t>
      </w:r>
      <w:r w:rsidRPr="00CF3D68">
        <w:rPr>
          <w:spacing w:val="-20"/>
          <w:lang w:val="en-CA"/>
        </w:rPr>
        <w:t>.</w:t>
      </w:r>
      <w:r w:rsidRPr="00CF3D68">
        <w:rPr>
          <w:lang w:val="en-CA"/>
        </w:rPr>
        <w:t xml:space="preserve"> </w:t>
      </w:r>
    </w:p>
    <w:p w14:paraId="5CF0E5EF" w14:textId="456EE4E5" w:rsidR="003D5031" w:rsidRPr="00CF3D68" w:rsidRDefault="00FC6598" w:rsidP="00136A08">
      <w:pPr>
        <w:pStyle w:val="Paragraphe"/>
        <w:rPr>
          <w:lang w:val="en-CA"/>
        </w:rPr>
      </w:pPr>
      <w:r w:rsidRPr="00CF3D68">
        <w:rPr>
          <w:lang w:val="en-CA"/>
        </w:rPr>
        <w:t xml:space="preserve">The Court </w:t>
      </w:r>
      <w:r w:rsidR="00090E4C">
        <w:rPr>
          <w:lang w:val="en-CA"/>
        </w:rPr>
        <w:t>finds</w:t>
      </w:r>
      <w:r w:rsidRPr="00CF3D68">
        <w:rPr>
          <w:lang w:val="en-CA"/>
        </w:rPr>
        <w:t xml:space="preserve"> that Parliament simply failed to consider this situation.</w:t>
      </w:r>
      <w:r w:rsidR="001F7521" w:rsidRPr="00CF3D68">
        <w:rPr>
          <w:lang w:val="en-CA"/>
        </w:rPr>
        <w:t xml:space="preserve"> </w:t>
      </w:r>
    </w:p>
    <w:p w14:paraId="3547F17F" w14:textId="14C25200" w:rsidR="00020536" w:rsidRPr="000C4DF1" w:rsidRDefault="00FC6598" w:rsidP="000C4DF1">
      <w:pPr>
        <w:pStyle w:val="Titre2"/>
        <w:numPr>
          <w:ilvl w:val="0"/>
          <w:numId w:val="14"/>
        </w:numPr>
        <w:rPr>
          <w:kern w:val="28"/>
          <w:lang w:val="en-CA"/>
        </w:rPr>
      </w:pPr>
      <w:r w:rsidRPr="000C4DF1">
        <w:rPr>
          <w:rFonts w:eastAsiaTheme="minorHAnsi"/>
          <w:lang w:val="en-CA" w:eastAsia="en-US"/>
        </w:rPr>
        <w:t>Should s</w:t>
      </w:r>
      <w:r w:rsidR="00090E4C" w:rsidRPr="000C4DF1">
        <w:rPr>
          <w:rFonts w:eastAsiaTheme="minorHAnsi"/>
          <w:lang w:val="en-CA" w:eastAsia="en-US"/>
        </w:rPr>
        <w:t>ection</w:t>
      </w:r>
      <w:r w:rsidRPr="000C4DF1">
        <w:rPr>
          <w:rFonts w:eastAsiaTheme="minorHAnsi"/>
          <w:lang w:val="en-CA" w:eastAsia="en-US"/>
        </w:rPr>
        <w:t xml:space="preserve"> 490 </w:t>
      </w:r>
      <w:r w:rsidRPr="000C4DF1">
        <w:rPr>
          <w:rFonts w:eastAsiaTheme="minorHAnsi"/>
          <w:i/>
          <w:spacing w:val="-20"/>
          <w:lang w:val="en-CA" w:eastAsia="en-US"/>
        </w:rPr>
        <w:t>C.C.</w:t>
      </w:r>
      <w:r w:rsidRPr="000C4DF1">
        <w:rPr>
          <w:rFonts w:eastAsiaTheme="minorHAnsi"/>
          <w:lang w:val="en-CA" w:eastAsia="en-US"/>
        </w:rPr>
        <w:t xml:space="preserve"> be </w:t>
      </w:r>
      <w:r w:rsidR="005602F1" w:rsidRPr="000C4DF1">
        <w:rPr>
          <w:rFonts w:eastAsiaTheme="minorHAnsi"/>
          <w:lang w:val="en-CA" w:eastAsia="en-US"/>
        </w:rPr>
        <w:t>restrictively interpreted</w:t>
      </w:r>
      <w:r w:rsidRPr="000C4DF1">
        <w:rPr>
          <w:rFonts w:eastAsiaTheme="minorHAnsi"/>
          <w:lang w:val="en-CA" w:eastAsia="en-US"/>
        </w:rPr>
        <w:t>?</w:t>
      </w:r>
    </w:p>
    <w:p w14:paraId="240856ED" w14:textId="27A214FE" w:rsidR="00020536" w:rsidRPr="00CF3D68" w:rsidRDefault="00FC6598" w:rsidP="00020536">
      <w:pPr>
        <w:numPr>
          <w:ilvl w:val="0"/>
          <w:numId w:val="1"/>
        </w:numPr>
        <w:spacing w:before="120" w:after="120"/>
        <w:jc w:val="both"/>
        <w:rPr>
          <w:kern w:val="28"/>
          <w:lang w:val="en-CA"/>
        </w:rPr>
      </w:pPr>
      <w:r w:rsidRPr="00CF3D68">
        <w:rPr>
          <w:rFonts w:eastAsiaTheme="minorHAnsi"/>
          <w:lang w:val="en-CA" w:eastAsia="en-US"/>
        </w:rPr>
        <w:t xml:space="preserve">The special nature of the </w:t>
      </w:r>
      <w:r w:rsidRPr="00CF3D68">
        <w:rPr>
          <w:rFonts w:eastAsiaTheme="minorHAnsi"/>
          <w:i/>
          <w:lang w:val="en-CA" w:eastAsia="en-US"/>
        </w:rPr>
        <w:t>Criminal Code</w:t>
      </w:r>
      <w:r w:rsidRPr="00CF3D68">
        <w:rPr>
          <w:rFonts w:eastAsiaTheme="minorHAnsi"/>
          <w:lang w:val="en-CA" w:eastAsia="en-US"/>
        </w:rPr>
        <w:t xml:space="preserve"> requires an interpretative approach which is sensitive to liberty interests.</w:t>
      </w:r>
      <w:r w:rsidRPr="00CF3D68">
        <w:rPr>
          <w:rStyle w:val="Appelnotedebasdep"/>
          <w:rFonts w:eastAsiaTheme="minorHAnsi"/>
          <w:lang w:val="en-CA" w:eastAsia="en-US"/>
        </w:rPr>
        <w:footnoteReference w:id="12"/>
      </w:r>
      <w:r w:rsidR="001F7521" w:rsidRPr="00CF3D68">
        <w:rPr>
          <w:rFonts w:eastAsiaTheme="minorHAnsi"/>
          <w:lang w:val="en-CA" w:eastAsia="en-US"/>
        </w:rPr>
        <w:t xml:space="preserve"> </w:t>
      </w:r>
      <w:r w:rsidRPr="00CF3D68">
        <w:rPr>
          <w:lang w:val="en-CA"/>
        </w:rPr>
        <w:t>Therefore, an ambiguous penal provision must be interpreted in the manner most favourable to accused persons, while providing clarity and certainty in the criminal law.</w:t>
      </w:r>
      <w:r w:rsidRPr="00CF3D68">
        <w:rPr>
          <w:rStyle w:val="Appelnotedebasdep"/>
          <w:lang w:val="en-CA"/>
        </w:rPr>
        <w:footnoteReference w:id="13"/>
      </w:r>
    </w:p>
    <w:p w14:paraId="229B2C77" w14:textId="6C2983B0" w:rsidR="00DC11BC" w:rsidRPr="00CF3D68" w:rsidRDefault="00FC6598" w:rsidP="00020536">
      <w:pPr>
        <w:numPr>
          <w:ilvl w:val="0"/>
          <w:numId w:val="1"/>
        </w:numPr>
        <w:spacing w:before="120" w:after="120"/>
        <w:jc w:val="both"/>
        <w:rPr>
          <w:kern w:val="28"/>
          <w:lang w:val="en-CA"/>
        </w:rPr>
      </w:pPr>
      <w:r w:rsidRPr="00CF3D68">
        <w:rPr>
          <w:rFonts w:eastAsiaTheme="minorHAnsi"/>
          <w:lang w:val="en-CA" w:eastAsia="en-US"/>
        </w:rPr>
        <w:lastRenderedPageBreak/>
        <w:t xml:space="preserve">That being so, in </w:t>
      </w:r>
      <w:proofErr w:type="spellStart"/>
      <w:r w:rsidRPr="00CF3D68">
        <w:rPr>
          <w:rFonts w:eastAsiaTheme="minorHAnsi"/>
          <w:i/>
          <w:lang w:val="en-CA" w:eastAsia="en-US"/>
        </w:rPr>
        <w:t>Canadianoxy</w:t>
      </w:r>
      <w:proofErr w:type="spellEnd"/>
      <w:r w:rsidRPr="00CF3D68">
        <w:rPr>
          <w:rFonts w:eastAsiaTheme="minorHAnsi"/>
          <w:i/>
          <w:lang w:val="en-CA" w:eastAsia="en-US"/>
        </w:rPr>
        <w:t xml:space="preserve"> Chemicals</w:t>
      </w:r>
      <w:r w:rsidRPr="00CF3D68">
        <w:rPr>
          <w:rFonts w:eastAsiaTheme="minorHAnsi"/>
          <w:lang w:val="en-CA" w:eastAsia="en-US"/>
        </w:rPr>
        <w:t>, the Supreme Court rejected this restrictive reading principle with respect to s</w:t>
      </w:r>
      <w:r w:rsidR="00667C93" w:rsidRPr="00CF3D68">
        <w:rPr>
          <w:rFonts w:eastAsiaTheme="minorHAnsi"/>
          <w:lang w:val="en-CA" w:eastAsia="en-US"/>
        </w:rPr>
        <w:t>ection</w:t>
      </w:r>
      <w:r w:rsidR="001F7521" w:rsidRPr="00CF3D68">
        <w:rPr>
          <w:rFonts w:eastAsiaTheme="minorHAnsi"/>
          <w:lang w:val="en-CA" w:eastAsia="en-US"/>
        </w:rPr>
        <w:t xml:space="preserve"> </w:t>
      </w:r>
      <w:r w:rsidRPr="00CF3D68">
        <w:rPr>
          <w:rFonts w:eastAsiaTheme="minorHAnsi"/>
          <w:lang w:val="en-CA" w:eastAsia="en-US"/>
        </w:rPr>
        <w:t xml:space="preserve">487 </w:t>
      </w:r>
      <w:r w:rsidRPr="00CF3D68">
        <w:rPr>
          <w:rFonts w:eastAsiaTheme="minorHAnsi"/>
          <w:i/>
          <w:spacing w:val="-20"/>
          <w:lang w:val="en-CA" w:eastAsia="en-US"/>
        </w:rPr>
        <w:t>C.C</w:t>
      </w:r>
      <w:r w:rsidRPr="00CF3D68">
        <w:rPr>
          <w:rFonts w:eastAsiaTheme="minorHAnsi"/>
          <w:lang w:val="en-CA" w:eastAsia="en-US"/>
        </w:rPr>
        <w:t xml:space="preserve">. because it </w:t>
      </w:r>
      <w:r w:rsidR="00090E4C">
        <w:rPr>
          <w:rFonts w:eastAsiaTheme="minorHAnsi"/>
          <w:lang w:val="en-CA" w:eastAsia="en-US"/>
        </w:rPr>
        <w:t>wa</w:t>
      </w:r>
      <w:r w:rsidRPr="00CF3D68">
        <w:rPr>
          <w:rFonts w:eastAsiaTheme="minorHAnsi"/>
          <w:lang w:val="en-CA" w:eastAsia="en-US"/>
        </w:rPr>
        <w:t>s not the type of provision to which the rule should apply.</w:t>
      </w:r>
      <w:r w:rsidRPr="00CF3D68">
        <w:rPr>
          <w:rStyle w:val="Appelnotedebasdep"/>
          <w:rFonts w:eastAsiaTheme="minorHAnsi"/>
          <w:lang w:val="en-CA" w:eastAsia="en-US"/>
        </w:rPr>
        <w:footnoteReference w:id="14"/>
      </w:r>
      <w:r w:rsidR="001F7521" w:rsidRPr="00CF3D68">
        <w:rPr>
          <w:rFonts w:eastAsiaTheme="minorHAnsi"/>
          <w:lang w:val="en-CA" w:eastAsia="en-US"/>
        </w:rPr>
        <w:t xml:space="preserve"> </w:t>
      </w:r>
    </w:p>
    <w:p w14:paraId="41E625E1" w14:textId="088A4F23" w:rsidR="00020536" w:rsidRPr="00CF3D68" w:rsidRDefault="007D79D0" w:rsidP="00FE67B2">
      <w:pPr>
        <w:numPr>
          <w:ilvl w:val="0"/>
          <w:numId w:val="1"/>
        </w:numPr>
        <w:spacing w:before="120" w:after="120"/>
        <w:jc w:val="both"/>
        <w:rPr>
          <w:kern w:val="28"/>
          <w:lang w:val="en-CA"/>
        </w:rPr>
      </w:pPr>
      <w:r>
        <w:rPr>
          <w:rFonts w:eastAsiaTheme="minorHAnsi"/>
          <w:lang w:val="en-CA" w:eastAsia="en-US"/>
        </w:rPr>
        <w:t>I</w:t>
      </w:r>
      <w:r w:rsidRPr="00CF3D68">
        <w:rPr>
          <w:rFonts w:eastAsiaTheme="minorHAnsi"/>
          <w:lang w:val="en-CA" w:eastAsia="en-US"/>
        </w:rPr>
        <w:t>n that judgment</w:t>
      </w:r>
      <w:r>
        <w:rPr>
          <w:rFonts w:eastAsiaTheme="minorHAnsi"/>
          <w:lang w:val="en-CA" w:eastAsia="en-US"/>
        </w:rPr>
        <w:t>,</w:t>
      </w:r>
      <w:r w:rsidRPr="00CF3D68">
        <w:rPr>
          <w:rFonts w:eastAsiaTheme="minorHAnsi"/>
          <w:lang w:val="en-CA" w:eastAsia="en-US"/>
        </w:rPr>
        <w:t xml:space="preserve"> </w:t>
      </w:r>
      <w:r>
        <w:rPr>
          <w:rFonts w:eastAsiaTheme="minorHAnsi"/>
          <w:lang w:val="en-CA" w:eastAsia="en-US"/>
        </w:rPr>
        <w:t>t</w:t>
      </w:r>
      <w:r w:rsidR="00FC6598" w:rsidRPr="00CF3D68">
        <w:rPr>
          <w:rFonts w:eastAsiaTheme="minorHAnsi"/>
          <w:lang w:val="en-CA" w:eastAsia="en-US"/>
        </w:rPr>
        <w:t>he Supreme Court stated that “the public interest requires prompt and thorough investigation of potential offences”.</w:t>
      </w:r>
      <w:r w:rsidR="00FC6598" w:rsidRPr="00CF3D68">
        <w:rPr>
          <w:rFonts w:eastAsiaTheme="minorHAnsi"/>
          <w:vertAlign w:val="superscript"/>
          <w:lang w:val="en-CA"/>
        </w:rPr>
        <w:footnoteReference w:id="15"/>
      </w:r>
      <w:r w:rsidR="001F7521" w:rsidRPr="00CF3D68">
        <w:rPr>
          <w:rFonts w:eastAsiaTheme="minorHAnsi"/>
          <w:lang w:val="en-CA" w:eastAsia="en-US"/>
        </w:rPr>
        <w:t xml:space="preserve"> </w:t>
      </w:r>
      <w:r w:rsidR="00FC6598" w:rsidRPr="00CF3D68">
        <w:rPr>
          <w:szCs w:val="24"/>
          <w:lang w:val="en-CA"/>
        </w:rPr>
        <w:t xml:space="preserve">It added that “the authorities ... should be able to locate, examine </w:t>
      </w:r>
      <w:r w:rsidR="00FC6598" w:rsidRPr="00CF3D68">
        <w:rPr>
          <w:szCs w:val="24"/>
          <w:u w:val="single"/>
          <w:lang w:val="en-CA"/>
        </w:rPr>
        <w:t>and preserve</w:t>
      </w:r>
      <w:r w:rsidR="00FC6598" w:rsidRPr="00CF3D68">
        <w:rPr>
          <w:szCs w:val="24"/>
          <w:lang w:val="en-CA"/>
        </w:rPr>
        <w:t xml:space="preserve"> all the evidence relevant to events which may have given rise to criminal liability”.</w:t>
      </w:r>
      <w:r w:rsidR="00FC6598" w:rsidRPr="00CF3D68">
        <w:rPr>
          <w:rStyle w:val="Appelnotedebasdep"/>
          <w:rFonts w:eastAsiaTheme="minorHAnsi"/>
          <w:lang w:val="en-CA" w:eastAsia="en-US"/>
        </w:rPr>
        <w:footnoteReference w:id="16"/>
      </w:r>
      <w:r w:rsidR="001F7521" w:rsidRPr="00CF3D68">
        <w:rPr>
          <w:rFonts w:eastAsiaTheme="minorHAnsi"/>
          <w:lang w:val="en-CA" w:eastAsia="en-US"/>
        </w:rPr>
        <w:t xml:space="preserve"> </w:t>
      </w:r>
      <w:r w:rsidR="00FC6598" w:rsidRPr="00CF3D68">
        <w:rPr>
          <w:rFonts w:eastAsiaTheme="minorHAnsi"/>
          <w:lang w:val="en-CA" w:eastAsia="en-US"/>
        </w:rPr>
        <w:t>[Emphasis added.]</w:t>
      </w:r>
    </w:p>
    <w:p w14:paraId="0E1C9E83" w14:textId="2BBF019A" w:rsidR="00C93A88" w:rsidRPr="00CF3D68" w:rsidRDefault="00FC6598" w:rsidP="00FE67B2">
      <w:pPr>
        <w:numPr>
          <w:ilvl w:val="0"/>
          <w:numId w:val="1"/>
        </w:numPr>
        <w:spacing w:before="120" w:after="120"/>
        <w:jc w:val="both"/>
        <w:rPr>
          <w:kern w:val="28"/>
          <w:lang w:val="en-CA"/>
        </w:rPr>
      </w:pPr>
      <w:r w:rsidRPr="00CF3D68">
        <w:rPr>
          <w:rFonts w:eastAsiaTheme="minorHAnsi"/>
          <w:lang w:val="en-CA" w:eastAsia="en-US"/>
        </w:rPr>
        <w:t>The same reasoning applies to s</w:t>
      </w:r>
      <w:r w:rsidR="00667C93" w:rsidRPr="00CF3D68">
        <w:rPr>
          <w:rFonts w:eastAsiaTheme="minorHAnsi"/>
          <w:lang w:val="en-CA" w:eastAsia="en-US"/>
        </w:rPr>
        <w:t>ection</w:t>
      </w:r>
      <w:r w:rsidRPr="00CF3D68">
        <w:rPr>
          <w:rFonts w:eastAsiaTheme="minorHAnsi"/>
          <w:lang w:val="en-CA" w:eastAsia="en-US"/>
        </w:rPr>
        <w:t xml:space="preserve"> 490 </w:t>
      </w:r>
      <w:r w:rsidRPr="00CF3D68">
        <w:rPr>
          <w:rFonts w:eastAsiaTheme="minorHAnsi"/>
          <w:i/>
          <w:spacing w:val="-20"/>
          <w:lang w:val="en-CA" w:eastAsia="en-US"/>
        </w:rPr>
        <w:t>C.C</w:t>
      </w:r>
      <w:r w:rsidRPr="00CF3D68">
        <w:rPr>
          <w:rFonts w:eastAsiaTheme="minorHAnsi"/>
          <w:lang w:val="en-CA" w:eastAsia="en-US"/>
        </w:rPr>
        <w:t>.</w:t>
      </w:r>
    </w:p>
    <w:p w14:paraId="60C3BF06" w14:textId="4CC8695B" w:rsidR="005E03C3" w:rsidRPr="000C4DF1" w:rsidRDefault="00B37E8C" w:rsidP="000C4DF1">
      <w:pPr>
        <w:pStyle w:val="Titre2"/>
        <w:numPr>
          <w:ilvl w:val="0"/>
          <w:numId w:val="14"/>
        </w:numPr>
        <w:rPr>
          <w:kern w:val="28"/>
          <w:lang w:val="en-CA"/>
        </w:rPr>
      </w:pPr>
      <w:r>
        <w:rPr>
          <w:rFonts w:eastAsiaTheme="minorHAnsi"/>
          <w:lang w:val="en-CA" w:eastAsia="en-US"/>
        </w:rPr>
        <w:t>The d</w:t>
      </w:r>
      <w:r w:rsidR="00A3493D" w:rsidRPr="000C4DF1">
        <w:rPr>
          <w:rFonts w:eastAsiaTheme="minorHAnsi"/>
          <w:lang w:val="en-CA" w:eastAsia="en-US"/>
        </w:rPr>
        <w:t>octrine of jurisdiction by necessary implication</w:t>
      </w:r>
    </w:p>
    <w:p w14:paraId="50664F03" w14:textId="6A5401AE" w:rsidR="000B6B68" w:rsidRPr="00CF3D68" w:rsidRDefault="00A3493D" w:rsidP="00136A08">
      <w:pPr>
        <w:pStyle w:val="Paragraphe"/>
        <w:rPr>
          <w:lang w:val="en-CA"/>
        </w:rPr>
      </w:pPr>
      <w:r w:rsidRPr="00CF3D68">
        <w:rPr>
          <w:lang w:val="en-CA"/>
        </w:rPr>
        <w:t xml:space="preserve">In </w:t>
      </w:r>
      <w:r w:rsidRPr="00CF3D68">
        <w:rPr>
          <w:i/>
          <w:lang w:val="en-CA"/>
        </w:rPr>
        <w:t>Cunningham</w:t>
      </w:r>
      <w:r w:rsidRPr="00CF3D68">
        <w:rPr>
          <w:lang w:val="en-CA"/>
        </w:rPr>
        <w:t>,</w:t>
      </w:r>
      <w:r w:rsidRPr="00CF3D68">
        <w:rPr>
          <w:rStyle w:val="Appelnotedebasdep"/>
          <w:lang w:val="en-CA"/>
        </w:rPr>
        <w:footnoteReference w:id="17"/>
      </w:r>
      <w:r w:rsidRPr="00CF3D68">
        <w:rPr>
          <w:lang w:val="en-CA"/>
        </w:rPr>
        <w:t xml:space="preserve"> the Supreme Court recalled that statutory courts </w:t>
      </w:r>
      <w:r w:rsidR="00837857">
        <w:rPr>
          <w:lang w:val="en-CA"/>
        </w:rPr>
        <w:t xml:space="preserve">possess </w:t>
      </w:r>
      <w:r w:rsidRPr="00CF3D68">
        <w:rPr>
          <w:lang w:val="en-CA"/>
        </w:rPr>
        <w:t xml:space="preserve">not only the powers </w:t>
      </w:r>
      <w:r w:rsidR="00837857">
        <w:rPr>
          <w:lang w:val="en-CA"/>
        </w:rPr>
        <w:t>explicitly</w:t>
      </w:r>
      <w:r w:rsidR="00837857" w:rsidRPr="00CF3D68">
        <w:rPr>
          <w:lang w:val="en-CA"/>
        </w:rPr>
        <w:t xml:space="preserve"> </w:t>
      </w:r>
      <w:r w:rsidR="00837857">
        <w:rPr>
          <w:lang w:val="en-CA"/>
        </w:rPr>
        <w:t>granted</w:t>
      </w:r>
      <w:r w:rsidR="00837857" w:rsidRPr="00CF3D68">
        <w:rPr>
          <w:lang w:val="en-CA"/>
        </w:rPr>
        <w:t xml:space="preserve"> </w:t>
      </w:r>
      <w:r w:rsidRPr="00CF3D68">
        <w:rPr>
          <w:lang w:val="en-CA"/>
        </w:rPr>
        <w:t xml:space="preserve">by their enabling statute, but also all powers necessary </w:t>
      </w:r>
      <w:r w:rsidR="00837857">
        <w:rPr>
          <w:lang w:val="en-CA"/>
        </w:rPr>
        <w:t>to achieve</w:t>
      </w:r>
      <w:r w:rsidRPr="00CF3D68">
        <w:rPr>
          <w:lang w:val="en-CA"/>
        </w:rPr>
        <w:t xml:space="preserve"> the object</w:t>
      </w:r>
      <w:r w:rsidR="00837857">
        <w:rPr>
          <w:lang w:val="en-CA"/>
        </w:rPr>
        <w:t>ives</w:t>
      </w:r>
      <w:r w:rsidRPr="00CF3D68">
        <w:rPr>
          <w:lang w:val="en-CA"/>
        </w:rPr>
        <w:t xml:space="preserve"> intended by the statutory </w:t>
      </w:r>
      <w:r w:rsidR="00837857">
        <w:rPr>
          <w:lang w:val="en-CA"/>
        </w:rPr>
        <w:t>framework</w:t>
      </w:r>
      <w:r w:rsidRPr="00CF3D68">
        <w:rPr>
          <w:lang w:val="en-CA"/>
        </w:rPr>
        <w:t>.</w:t>
      </w:r>
      <w:r w:rsidRPr="00CF3D68">
        <w:rPr>
          <w:rStyle w:val="Appelnotedebasdep"/>
          <w:lang w:val="en-CA"/>
        </w:rPr>
        <w:footnoteReference w:id="18"/>
      </w:r>
      <w:r w:rsidR="001F7521" w:rsidRPr="00CF3D68">
        <w:rPr>
          <w:lang w:val="en-CA"/>
        </w:rPr>
        <w:t xml:space="preserve"> </w:t>
      </w:r>
    </w:p>
    <w:p w14:paraId="0C0A4B11" w14:textId="1F045C80" w:rsidR="005E03C3" w:rsidRPr="00CF3D68" w:rsidRDefault="00A3493D" w:rsidP="00136A08">
      <w:pPr>
        <w:pStyle w:val="Paragraphe"/>
        <w:rPr>
          <w:lang w:val="en-CA"/>
        </w:rPr>
      </w:pPr>
      <w:r w:rsidRPr="00CF3D68">
        <w:rPr>
          <w:lang w:val="en-CA"/>
        </w:rPr>
        <w:t>These so-called “impli</w:t>
      </w:r>
      <w:r w:rsidR="00C75FAE">
        <w:rPr>
          <w:lang w:val="en-CA"/>
        </w:rPr>
        <w:t>cit</w:t>
      </w:r>
      <w:r w:rsidRPr="00CF3D68">
        <w:rPr>
          <w:lang w:val="en-CA"/>
        </w:rPr>
        <w:t xml:space="preserve">” powers </w:t>
      </w:r>
      <w:r w:rsidR="00C75FAE">
        <w:rPr>
          <w:lang w:val="en-CA"/>
        </w:rPr>
        <w:t>exist</w:t>
      </w:r>
      <w:r w:rsidRPr="00CF3D68">
        <w:rPr>
          <w:lang w:val="en-CA"/>
        </w:rPr>
        <w:t xml:space="preserve"> only when </w:t>
      </w:r>
      <w:r w:rsidR="00C75FAE">
        <w:rPr>
          <w:lang w:val="en-CA"/>
        </w:rPr>
        <w:t xml:space="preserve">they are </w:t>
      </w:r>
      <w:r w:rsidRPr="00CF3D68">
        <w:rPr>
          <w:lang w:val="en-CA"/>
        </w:rPr>
        <w:t>practical</w:t>
      </w:r>
      <w:r w:rsidR="00C75FAE">
        <w:rPr>
          <w:lang w:val="en-CA"/>
        </w:rPr>
        <w:t>ly</w:t>
      </w:r>
      <w:r w:rsidRPr="00CF3D68">
        <w:rPr>
          <w:lang w:val="en-CA"/>
        </w:rPr>
        <w:t xml:space="preserve"> necess</w:t>
      </w:r>
      <w:r w:rsidR="00C75FAE">
        <w:rPr>
          <w:lang w:val="en-CA"/>
        </w:rPr>
        <w:t>ary</w:t>
      </w:r>
      <w:r w:rsidRPr="00CF3D68">
        <w:rPr>
          <w:lang w:val="en-CA"/>
        </w:rPr>
        <w:t xml:space="preserve"> </w:t>
      </w:r>
      <w:r w:rsidR="00B37E8C">
        <w:rPr>
          <w:lang w:val="en-CA"/>
        </w:rPr>
        <w:t>for</w:t>
      </w:r>
      <w:r w:rsidR="00C75FAE">
        <w:rPr>
          <w:lang w:val="en-CA"/>
        </w:rPr>
        <w:t xml:space="preserve"> </w:t>
      </w:r>
      <w:r w:rsidRPr="00CF3D68">
        <w:rPr>
          <w:lang w:val="en-CA"/>
        </w:rPr>
        <w:t xml:space="preserve">the court or tribunal </w:t>
      </w:r>
      <w:r w:rsidR="00B37E8C">
        <w:rPr>
          <w:lang w:val="en-CA"/>
        </w:rPr>
        <w:t>to fulfill</w:t>
      </w:r>
      <w:r w:rsidRPr="00CF3D68">
        <w:rPr>
          <w:lang w:val="en-CA"/>
        </w:rPr>
        <w:t xml:space="preserve"> its </w:t>
      </w:r>
      <w:r w:rsidR="00C75FAE">
        <w:rPr>
          <w:lang w:val="en-CA"/>
        </w:rPr>
        <w:t>mandate</w:t>
      </w:r>
      <w:r w:rsidRPr="00CF3D68">
        <w:rPr>
          <w:lang w:val="en-CA"/>
        </w:rPr>
        <w:t>.</w:t>
      </w:r>
      <w:r w:rsidRPr="00CF3D68">
        <w:rPr>
          <w:rStyle w:val="Appelnotedebasdep"/>
          <w:lang w:val="en-CA"/>
        </w:rPr>
        <w:footnoteReference w:id="19"/>
      </w:r>
    </w:p>
    <w:p w14:paraId="58692044" w14:textId="146A48B3" w:rsidR="002E27A1" w:rsidRPr="00CF3D68" w:rsidRDefault="00A3493D" w:rsidP="00136A08">
      <w:pPr>
        <w:pStyle w:val="Paragraphe"/>
        <w:rPr>
          <w:lang w:val="en-CA"/>
        </w:rPr>
      </w:pPr>
      <w:r w:rsidRPr="00CF3D68">
        <w:rPr>
          <w:lang w:val="en-CA"/>
        </w:rPr>
        <w:t xml:space="preserve">It should be noted that the doctrine of jurisdiction by necessary implication does not apply when the law already </w:t>
      </w:r>
      <w:r w:rsidR="00C75FAE">
        <w:rPr>
          <w:lang w:val="en-CA"/>
        </w:rPr>
        <w:t>provide</w:t>
      </w:r>
      <w:r w:rsidR="00D77CFA">
        <w:rPr>
          <w:lang w:val="en-CA"/>
        </w:rPr>
        <w:t>s</w:t>
      </w:r>
      <w:r w:rsidR="00C75FAE">
        <w:rPr>
          <w:lang w:val="en-CA"/>
        </w:rPr>
        <w:t xml:space="preserve"> for every</w:t>
      </w:r>
      <w:r w:rsidRPr="00CF3D68">
        <w:rPr>
          <w:lang w:val="en-CA"/>
        </w:rPr>
        <w:t xml:space="preserve"> possibilit</w:t>
      </w:r>
      <w:r w:rsidR="00C75FAE">
        <w:rPr>
          <w:lang w:val="en-CA"/>
        </w:rPr>
        <w:t>y</w:t>
      </w:r>
      <w:r w:rsidRPr="00CF3D68">
        <w:rPr>
          <w:lang w:val="en-CA"/>
        </w:rPr>
        <w:t xml:space="preserve">. </w:t>
      </w:r>
      <w:r w:rsidR="00C75FAE">
        <w:rPr>
          <w:lang w:val="en-CA"/>
        </w:rPr>
        <w:t>There will then be no need to create a</w:t>
      </w:r>
      <w:r w:rsidRPr="00CF3D68">
        <w:rPr>
          <w:lang w:val="en-CA"/>
        </w:rPr>
        <w:t>dditional procedures.</w:t>
      </w:r>
      <w:r w:rsidR="001F7521" w:rsidRPr="00CF3D68">
        <w:rPr>
          <w:lang w:val="en-CA"/>
        </w:rPr>
        <w:t xml:space="preserve"> </w:t>
      </w:r>
      <w:r w:rsidRPr="00CF3D68">
        <w:rPr>
          <w:lang w:val="en-CA"/>
        </w:rPr>
        <w:t xml:space="preserve">In </w:t>
      </w:r>
      <w:r w:rsidR="00E46D2F" w:rsidRPr="00CF3D68">
        <w:rPr>
          <w:lang w:val="en-CA"/>
        </w:rPr>
        <w:t>th</w:t>
      </w:r>
      <w:r w:rsidR="00E46D2F">
        <w:rPr>
          <w:lang w:val="en-CA"/>
        </w:rPr>
        <w:t>at</w:t>
      </w:r>
      <w:r w:rsidR="00E46D2F" w:rsidRPr="00CF3D68">
        <w:rPr>
          <w:lang w:val="en-CA"/>
        </w:rPr>
        <w:t xml:space="preserve"> </w:t>
      </w:r>
      <w:r w:rsidRPr="00CF3D68">
        <w:rPr>
          <w:lang w:val="en-CA"/>
        </w:rPr>
        <w:t xml:space="preserve">case, the exhaustive nature of the procedures </w:t>
      </w:r>
      <w:r w:rsidR="00C75FAE">
        <w:rPr>
          <w:lang w:val="en-CA"/>
        </w:rPr>
        <w:t xml:space="preserve">set out </w:t>
      </w:r>
      <w:r w:rsidR="00E46D2F">
        <w:rPr>
          <w:lang w:val="en-CA"/>
        </w:rPr>
        <w:t>in the statute</w:t>
      </w:r>
      <w:r w:rsidRPr="00CF3D68">
        <w:rPr>
          <w:lang w:val="en-CA"/>
        </w:rPr>
        <w:t xml:space="preserve"> precludes any </w:t>
      </w:r>
      <w:r w:rsidR="00C75FAE">
        <w:rPr>
          <w:lang w:val="en-CA"/>
        </w:rPr>
        <w:t xml:space="preserve">necessity </w:t>
      </w:r>
      <w:r w:rsidRPr="00CF3D68">
        <w:rPr>
          <w:lang w:val="en-CA"/>
        </w:rPr>
        <w:t>for additional impli</w:t>
      </w:r>
      <w:r w:rsidR="00D77CFA">
        <w:rPr>
          <w:lang w:val="en-CA"/>
        </w:rPr>
        <w:t>ed</w:t>
      </w:r>
      <w:r w:rsidRPr="00CF3D68">
        <w:rPr>
          <w:lang w:val="en-CA"/>
        </w:rPr>
        <w:t xml:space="preserve"> powers because the Court can effectively and efficiently carry out the statute’s purpose.</w:t>
      </w:r>
      <w:r w:rsidRPr="00CF3D68">
        <w:rPr>
          <w:rStyle w:val="Appelnotedebasdep"/>
          <w:lang w:val="en-CA"/>
        </w:rPr>
        <w:footnoteReference w:id="20"/>
      </w:r>
    </w:p>
    <w:p w14:paraId="15DE9DD6" w14:textId="182B47E0" w:rsidR="00E13ED3" w:rsidRPr="00CF3D68" w:rsidRDefault="00A3493D" w:rsidP="00136A08">
      <w:pPr>
        <w:pStyle w:val="Paragraphe"/>
        <w:rPr>
          <w:lang w:val="en-CA"/>
        </w:rPr>
      </w:pPr>
      <w:r w:rsidRPr="00CF3D68">
        <w:rPr>
          <w:lang w:val="en-CA"/>
        </w:rPr>
        <w:t xml:space="preserve">As previously stated, there is a </w:t>
      </w:r>
      <w:r w:rsidR="003534B9">
        <w:rPr>
          <w:lang w:val="en-CA"/>
        </w:rPr>
        <w:t xml:space="preserve">gap </w:t>
      </w:r>
      <w:r w:rsidRPr="00CF3D68">
        <w:rPr>
          <w:lang w:val="en-CA"/>
        </w:rPr>
        <w:t xml:space="preserve">with respect to </w:t>
      </w:r>
      <w:r w:rsidR="00E46D2F">
        <w:rPr>
          <w:lang w:val="en-CA"/>
        </w:rPr>
        <w:t>the exemption</w:t>
      </w:r>
      <w:r w:rsidRPr="00CF3D68">
        <w:rPr>
          <w:lang w:val="en-CA"/>
        </w:rPr>
        <w:t xml:space="preserve"> from </w:t>
      </w:r>
      <w:r w:rsidR="00B37E8C">
        <w:rPr>
          <w:lang w:val="en-CA"/>
        </w:rPr>
        <w:t xml:space="preserve">the requirement to </w:t>
      </w:r>
      <w:r w:rsidRPr="00CF3D68">
        <w:rPr>
          <w:lang w:val="en-CA"/>
        </w:rPr>
        <w:t>noti</w:t>
      </w:r>
      <w:r w:rsidR="003534B9">
        <w:rPr>
          <w:lang w:val="en-CA"/>
        </w:rPr>
        <w:t>fy</w:t>
      </w:r>
      <w:r w:rsidRPr="00CF3D68">
        <w:rPr>
          <w:lang w:val="en-CA"/>
        </w:rPr>
        <w:t xml:space="preserve"> the seized possessor when applying for </w:t>
      </w:r>
      <w:r w:rsidR="006A2C92">
        <w:rPr>
          <w:lang w:val="en-CA"/>
        </w:rPr>
        <w:t xml:space="preserve">further </w:t>
      </w:r>
      <w:r w:rsidRPr="00CF3D68">
        <w:rPr>
          <w:lang w:val="en-CA"/>
        </w:rPr>
        <w:t>detention of property.</w:t>
      </w:r>
    </w:p>
    <w:p w14:paraId="1BFBC22B" w14:textId="271AF1B3" w:rsidR="00501038" w:rsidRPr="00CF3D68" w:rsidRDefault="00B37E8C" w:rsidP="000C4DF1">
      <w:pPr>
        <w:pStyle w:val="Titre2"/>
        <w:rPr>
          <w:kern w:val="28"/>
          <w:lang w:val="en-CA"/>
        </w:rPr>
      </w:pPr>
      <w:r>
        <w:rPr>
          <w:rFonts w:eastAsiaTheme="minorHAnsi"/>
          <w:lang w:val="en-CA" w:eastAsia="en-US"/>
        </w:rPr>
        <w:t>The p</w:t>
      </w:r>
      <w:r w:rsidR="00A3493D" w:rsidRPr="00CF3D68">
        <w:rPr>
          <w:rFonts w:eastAsiaTheme="minorHAnsi"/>
          <w:lang w:val="en-CA" w:eastAsia="en-US"/>
        </w:rPr>
        <w:t>ower of the Court of Québec to establish its own rules</w:t>
      </w:r>
      <w:r w:rsidR="001F7521" w:rsidRPr="00CF3D68">
        <w:rPr>
          <w:rFonts w:eastAsiaTheme="minorHAnsi"/>
          <w:lang w:val="en-CA" w:eastAsia="en-US"/>
        </w:rPr>
        <w:t xml:space="preserve"> </w:t>
      </w:r>
    </w:p>
    <w:p w14:paraId="5E77AF4B" w14:textId="3EDB4D2D" w:rsidR="00206C48" w:rsidRPr="00CF3D68" w:rsidRDefault="00BB03A3" w:rsidP="00136A08">
      <w:pPr>
        <w:pStyle w:val="Paragraphe"/>
        <w:rPr>
          <w:lang w:val="en-CA"/>
        </w:rPr>
      </w:pPr>
      <w:r w:rsidRPr="00CF3D68">
        <w:rPr>
          <w:lang w:val="en-CA"/>
        </w:rPr>
        <w:t xml:space="preserve">Section 482(2)(d) </w:t>
      </w:r>
      <w:r w:rsidRPr="00CF3D68">
        <w:rPr>
          <w:i/>
          <w:iCs/>
          <w:spacing w:val="-20"/>
          <w:lang w:val="en-CA"/>
        </w:rPr>
        <w:t>C.C.</w:t>
      </w:r>
      <w:r w:rsidRPr="00CF3D68">
        <w:rPr>
          <w:lang w:val="en-CA"/>
        </w:rPr>
        <w:t xml:space="preserve"> states that the Court of Québec may make rules of court not inconsistent with the </w:t>
      </w:r>
      <w:r w:rsidRPr="00CF3D68">
        <w:rPr>
          <w:i/>
          <w:iCs/>
          <w:lang w:val="en-CA"/>
        </w:rPr>
        <w:t>Criminal Code</w:t>
      </w:r>
      <w:r w:rsidRPr="00CF3D68">
        <w:rPr>
          <w:lang w:val="en-CA"/>
        </w:rPr>
        <w:t xml:space="preserve"> and section 482(3)(a) states that rules may be made to regulate “any other matter considered expedient to attain the ends of justice and carry into effect the provisions of the law”.</w:t>
      </w:r>
      <w:r w:rsidR="00F33D86" w:rsidRPr="00CF3D68">
        <w:rPr>
          <w:lang w:val="en-CA"/>
        </w:rPr>
        <w:t xml:space="preserve"> </w:t>
      </w:r>
    </w:p>
    <w:p w14:paraId="125E72A1" w14:textId="4E39707E" w:rsidR="00360DAB" w:rsidRPr="00CF3D68" w:rsidRDefault="00BB03A3" w:rsidP="00136A08">
      <w:pPr>
        <w:pStyle w:val="Paragraphe"/>
        <w:rPr>
          <w:lang w:val="en-CA"/>
        </w:rPr>
      </w:pPr>
      <w:r w:rsidRPr="00CF3D68">
        <w:rPr>
          <w:lang w:val="en-CA"/>
        </w:rPr>
        <w:lastRenderedPageBreak/>
        <w:t>In this regard, s</w:t>
      </w:r>
      <w:r w:rsidR="00667C93" w:rsidRPr="00CF3D68">
        <w:rPr>
          <w:lang w:val="en-CA"/>
        </w:rPr>
        <w:t>ection</w:t>
      </w:r>
      <w:r w:rsidR="001F7521" w:rsidRPr="00CF3D68">
        <w:rPr>
          <w:lang w:val="en-CA"/>
        </w:rPr>
        <w:t xml:space="preserve"> </w:t>
      </w:r>
      <w:r w:rsidRPr="00CF3D68">
        <w:rPr>
          <w:lang w:val="en-CA"/>
        </w:rPr>
        <w:t xml:space="preserve">3 of the </w:t>
      </w:r>
      <w:r w:rsidRPr="00CF3D68">
        <w:rPr>
          <w:i/>
          <w:lang w:val="en-CA"/>
        </w:rPr>
        <w:t>Regulation of the Court of Québec</w:t>
      </w:r>
      <w:r w:rsidRPr="00CF3D68">
        <w:rPr>
          <w:rStyle w:val="Appelnotedebasdep"/>
          <w:lang w:val="en-CA"/>
        </w:rPr>
        <w:footnoteReference w:id="21"/>
      </w:r>
      <w:r w:rsidRPr="00CF3D68">
        <w:rPr>
          <w:lang w:val="en-CA"/>
        </w:rPr>
        <w:t xml:space="preserve"> states that a presiding judge may, in light of the particular circumstances of the case of which the judge is seized, modify a rule or exempt a party or person from the application of a rule.</w:t>
      </w:r>
    </w:p>
    <w:p w14:paraId="30ACFD3D" w14:textId="6E1AC5BC" w:rsidR="00360DAB" w:rsidRPr="00CF3D68" w:rsidRDefault="001F7521" w:rsidP="000C4DF1">
      <w:pPr>
        <w:pStyle w:val="Titre2"/>
        <w:rPr>
          <w:kern w:val="28"/>
          <w:lang w:val="en-CA"/>
        </w:rPr>
      </w:pPr>
      <w:r w:rsidRPr="00CF3D68">
        <w:rPr>
          <w:rFonts w:eastAsiaTheme="minorHAnsi"/>
          <w:lang w:val="en-CA" w:eastAsia="en-US"/>
        </w:rPr>
        <w:tab/>
      </w:r>
      <w:r w:rsidR="009870D7" w:rsidRPr="00CF3D68">
        <w:rPr>
          <w:rFonts w:eastAsiaTheme="minorHAnsi"/>
          <w:lang w:val="en-CA" w:eastAsia="en-US"/>
        </w:rPr>
        <w:t xml:space="preserve">Conclusion on the </w:t>
      </w:r>
      <w:r w:rsidR="00D77CFA">
        <w:rPr>
          <w:rFonts w:eastAsiaTheme="minorHAnsi"/>
          <w:lang w:val="en-CA" w:eastAsia="en-US"/>
        </w:rPr>
        <w:t xml:space="preserve">application </w:t>
      </w:r>
      <w:r w:rsidR="009870D7" w:rsidRPr="00CF3D68">
        <w:rPr>
          <w:rFonts w:eastAsiaTheme="minorHAnsi"/>
          <w:lang w:val="en-CA" w:eastAsia="en-US"/>
        </w:rPr>
        <w:t xml:space="preserve">to proceed </w:t>
      </w:r>
      <w:r w:rsidR="009870D7" w:rsidRPr="00CF3D68">
        <w:rPr>
          <w:rFonts w:eastAsiaTheme="minorHAnsi"/>
          <w:i/>
          <w:lang w:val="en-CA" w:eastAsia="en-US"/>
        </w:rPr>
        <w:t xml:space="preserve">ex </w:t>
      </w:r>
      <w:proofErr w:type="spellStart"/>
      <w:r w:rsidR="009870D7" w:rsidRPr="00CF3D68">
        <w:rPr>
          <w:rFonts w:eastAsiaTheme="minorHAnsi"/>
          <w:i/>
          <w:lang w:val="en-CA" w:eastAsia="en-US"/>
        </w:rPr>
        <w:t>parte</w:t>
      </w:r>
      <w:proofErr w:type="spellEnd"/>
      <w:r w:rsidR="009870D7" w:rsidRPr="00CF3D68">
        <w:rPr>
          <w:rFonts w:eastAsiaTheme="minorHAnsi"/>
          <w:lang w:val="en-CA" w:eastAsia="en-US"/>
        </w:rPr>
        <w:t xml:space="preserve"> and for </w:t>
      </w:r>
      <w:r w:rsidR="008F04CA">
        <w:rPr>
          <w:rFonts w:eastAsiaTheme="minorHAnsi"/>
          <w:lang w:val="en-CA" w:eastAsia="en-US"/>
        </w:rPr>
        <w:t xml:space="preserve">an </w:t>
      </w:r>
      <w:r w:rsidR="009870D7" w:rsidRPr="00CF3D68">
        <w:rPr>
          <w:rFonts w:eastAsiaTheme="minorHAnsi"/>
          <w:lang w:val="en-CA" w:eastAsia="en-US"/>
        </w:rPr>
        <w:t>exemption from noti</w:t>
      </w:r>
      <w:r w:rsidR="008F04CA">
        <w:rPr>
          <w:rFonts w:eastAsiaTheme="minorHAnsi"/>
          <w:lang w:val="en-CA" w:eastAsia="en-US"/>
        </w:rPr>
        <w:t>fication</w:t>
      </w:r>
      <w:r w:rsidR="009870D7" w:rsidRPr="00CF3D68">
        <w:rPr>
          <w:rFonts w:eastAsiaTheme="minorHAnsi"/>
          <w:lang w:val="en-CA" w:eastAsia="en-US"/>
        </w:rPr>
        <w:t xml:space="preserve"> </w:t>
      </w:r>
    </w:p>
    <w:p w14:paraId="1A13CE4F" w14:textId="75A3AE33" w:rsidR="00360DAB" w:rsidRPr="00CF3D68" w:rsidRDefault="008E432F" w:rsidP="00136A08">
      <w:pPr>
        <w:pStyle w:val="Paragraphe"/>
        <w:rPr>
          <w:lang w:val="en-CA"/>
        </w:rPr>
      </w:pPr>
      <w:r w:rsidRPr="00CF3D68">
        <w:rPr>
          <w:lang w:val="en-CA"/>
        </w:rPr>
        <w:t>Considering</w:t>
      </w:r>
      <w:r w:rsidR="009870D7" w:rsidRPr="00CF3D68">
        <w:rPr>
          <w:lang w:val="en-CA"/>
        </w:rPr>
        <w:t xml:space="preserve"> the foregoing, the Court finds that </w:t>
      </w:r>
      <w:r w:rsidR="008F04CA">
        <w:rPr>
          <w:lang w:val="en-CA"/>
        </w:rPr>
        <w:t xml:space="preserve">it </w:t>
      </w:r>
      <w:r w:rsidR="009870D7" w:rsidRPr="00CF3D68">
        <w:rPr>
          <w:lang w:val="en-CA"/>
        </w:rPr>
        <w:t>has the power to exempt the applicant</w:t>
      </w:r>
      <w:r w:rsidR="00F04FC2">
        <w:rPr>
          <w:lang w:val="en-CA"/>
        </w:rPr>
        <w:t>–</w:t>
      </w:r>
      <w:r w:rsidR="009870D7" w:rsidRPr="00CF3D68">
        <w:rPr>
          <w:lang w:val="en-CA"/>
        </w:rPr>
        <w:t>seiz</w:t>
      </w:r>
      <w:r>
        <w:rPr>
          <w:lang w:val="en-CA"/>
        </w:rPr>
        <w:t>ing party</w:t>
      </w:r>
      <w:r w:rsidR="009870D7" w:rsidRPr="00CF3D68">
        <w:rPr>
          <w:lang w:val="en-CA"/>
        </w:rPr>
        <w:t xml:space="preserve"> from serving notice of </w:t>
      </w:r>
      <w:r w:rsidR="008F04CA">
        <w:rPr>
          <w:lang w:val="en-CA"/>
        </w:rPr>
        <w:t xml:space="preserve">the </w:t>
      </w:r>
      <w:r w:rsidR="009870D7" w:rsidRPr="00CF3D68">
        <w:rPr>
          <w:lang w:val="en-CA"/>
        </w:rPr>
        <w:t xml:space="preserve">hearing on the </w:t>
      </w:r>
      <w:r>
        <w:rPr>
          <w:lang w:val="en-CA"/>
        </w:rPr>
        <w:t>respondents–</w:t>
      </w:r>
      <w:r w:rsidR="002E2CB7" w:rsidRPr="0094214B">
        <w:rPr>
          <w:rFonts w:cs="Arial"/>
          <w:color w:val="000000"/>
          <w:szCs w:val="24"/>
          <w:lang w:val="en-CA"/>
        </w:rPr>
        <w:t>persons from whom the property was seized</w:t>
      </w:r>
      <w:r w:rsidR="009870D7" w:rsidRPr="00CF3D68">
        <w:rPr>
          <w:lang w:val="en-CA"/>
        </w:rPr>
        <w:t>.</w:t>
      </w:r>
      <w:r w:rsidR="001F7521" w:rsidRPr="00CF3D68">
        <w:rPr>
          <w:lang w:val="en-CA"/>
        </w:rPr>
        <w:t xml:space="preserve"> </w:t>
      </w:r>
    </w:p>
    <w:p w14:paraId="595D6BD3" w14:textId="78D5017B" w:rsidR="00360DAB" w:rsidRPr="00CF3D68" w:rsidRDefault="009870D7" w:rsidP="00136A08">
      <w:pPr>
        <w:pStyle w:val="Paragraphe"/>
        <w:rPr>
          <w:lang w:val="en-CA"/>
        </w:rPr>
      </w:pPr>
      <w:r w:rsidRPr="00CF3D68">
        <w:rPr>
          <w:lang w:val="en-CA"/>
        </w:rPr>
        <w:t xml:space="preserve">In light of the information in the affidavit of March 11, 2024, and of June 12, 2024, including the redacted </w:t>
      </w:r>
      <w:r w:rsidR="008E432F">
        <w:rPr>
          <w:lang w:val="en-CA"/>
        </w:rPr>
        <w:t>portions</w:t>
      </w:r>
      <w:r w:rsidRPr="00CF3D68">
        <w:rPr>
          <w:lang w:val="en-CA"/>
        </w:rPr>
        <w:t xml:space="preserve">, the Court finds it appropriate in the circumstances not to send a notice of hearing to the </w:t>
      </w:r>
      <w:r w:rsidR="008E432F">
        <w:rPr>
          <w:lang w:val="en-CA"/>
        </w:rPr>
        <w:t>respondents–</w:t>
      </w:r>
      <w:r w:rsidR="002E2CB7" w:rsidRPr="0094214B">
        <w:rPr>
          <w:rFonts w:cs="Arial"/>
          <w:color w:val="000000"/>
          <w:szCs w:val="24"/>
          <w:lang w:val="en-CA"/>
        </w:rPr>
        <w:t>persons from whom the property was seized</w:t>
      </w:r>
      <w:r w:rsidR="002E2CB7" w:rsidRPr="00CF3D68">
        <w:rPr>
          <w:lang w:val="en-CA"/>
        </w:rPr>
        <w:t xml:space="preserve"> </w:t>
      </w:r>
      <w:r w:rsidRPr="00CF3D68">
        <w:rPr>
          <w:lang w:val="en-CA"/>
        </w:rPr>
        <w:t xml:space="preserve">and to authorize an </w:t>
      </w:r>
      <w:r w:rsidRPr="00CF3D68">
        <w:rPr>
          <w:i/>
          <w:lang w:val="en-CA"/>
        </w:rPr>
        <w:t>ex</w:t>
      </w:r>
      <w:r w:rsidR="000A0074">
        <w:rPr>
          <w:i/>
          <w:lang w:val="en-CA"/>
        </w:rPr>
        <w:t xml:space="preserve"> </w:t>
      </w:r>
      <w:proofErr w:type="spellStart"/>
      <w:r w:rsidRPr="00CF3D68">
        <w:rPr>
          <w:i/>
          <w:lang w:val="en-CA"/>
        </w:rPr>
        <w:t>parte</w:t>
      </w:r>
      <w:proofErr w:type="spellEnd"/>
      <w:r w:rsidRPr="00CF3D68">
        <w:rPr>
          <w:lang w:val="en-CA"/>
        </w:rPr>
        <w:t xml:space="preserve"> hearing.</w:t>
      </w:r>
    </w:p>
    <w:p w14:paraId="7B20B42C" w14:textId="40304789" w:rsidR="00360DAB" w:rsidRPr="00CF3D68" w:rsidRDefault="009870D7" w:rsidP="00136A08">
      <w:pPr>
        <w:pStyle w:val="Paragraphe"/>
        <w:rPr>
          <w:lang w:val="en-CA"/>
        </w:rPr>
      </w:pPr>
      <w:r w:rsidRPr="00CF3D68">
        <w:rPr>
          <w:lang w:val="en-CA"/>
        </w:rPr>
        <w:t>The Court ha</w:t>
      </w:r>
      <w:r w:rsidR="008F04CA">
        <w:rPr>
          <w:lang w:val="en-CA"/>
        </w:rPr>
        <w:t>s</w:t>
      </w:r>
      <w:r w:rsidRPr="00CF3D68">
        <w:rPr>
          <w:lang w:val="en-CA"/>
        </w:rPr>
        <w:t xml:space="preserve"> balanced the interests of justice and those of the </w:t>
      </w:r>
      <w:r w:rsidR="002E2CB7" w:rsidRPr="0094214B">
        <w:rPr>
          <w:rFonts w:cs="Arial"/>
          <w:color w:val="000000"/>
          <w:szCs w:val="24"/>
          <w:lang w:val="en-CA"/>
        </w:rPr>
        <w:t>persons from whom the property was seized</w:t>
      </w:r>
      <w:r w:rsidR="008F04CA">
        <w:rPr>
          <w:lang w:val="en-CA"/>
        </w:rPr>
        <w:t xml:space="preserve"> and</w:t>
      </w:r>
      <w:r w:rsidRPr="00CF3D68">
        <w:rPr>
          <w:lang w:val="en-CA"/>
        </w:rPr>
        <w:t xml:space="preserve"> </w:t>
      </w:r>
      <w:r w:rsidR="008F04CA">
        <w:rPr>
          <w:lang w:val="en-CA"/>
        </w:rPr>
        <w:t xml:space="preserve">finds </w:t>
      </w:r>
      <w:r w:rsidRPr="00CF3D68">
        <w:rPr>
          <w:lang w:val="en-CA"/>
        </w:rPr>
        <w:t xml:space="preserve">that the ongoing investigation must be protected and that the </w:t>
      </w:r>
      <w:r w:rsidR="008E432F">
        <w:rPr>
          <w:lang w:val="en-CA"/>
        </w:rPr>
        <w:t>respondents–</w:t>
      </w:r>
      <w:r w:rsidR="002E2CB7" w:rsidRPr="0094214B">
        <w:rPr>
          <w:rFonts w:cs="Arial"/>
          <w:color w:val="000000"/>
          <w:szCs w:val="24"/>
          <w:lang w:val="en-CA"/>
        </w:rPr>
        <w:t>persons from whom the property was seized</w:t>
      </w:r>
      <w:r w:rsidRPr="00CF3D68">
        <w:rPr>
          <w:lang w:val="en-CA"/>
        </w:rPr>
        <w:t xml:space="preserve"> must not be informed of the investigation given the risk of actual </w:t>
      </w:r>
      <w:r w:rsidR="00134439">
        <w:rPr>
          <w:lang w:val="en-CA"/>
        </w:rPr>
        <w:t xml:space="preserve">prejudice </w:t>
      </w:r>
      <w:r w:rsidRPr="00CF3D68">
        <w:rPr>
          <w:lang w:val="en-CA"/>
        </w:rPr>
        <w:t>to the investigation described by the affiant.</w:t>
      </w:r>
      <w:r w:rsidR="001F7521" w:rsidRPr="00CF3D68">
        <w:rPr>
          <w:lang w:val="en-CA"/>
        </w:rPr>
        <w:t xml:space="preserve">  </w:t>
      </w:r>
    </w:p>
    <w:p w14:paraId="797C6A8C" w14:textId="21300F72" w:rsidR="00806865" w:rsidRPr="00CF3D68" w:rsidRDefault="00134439" w:rsidP="00206C48">
      <w:pPr>
        <w:pStyle w:val="Paragraphedeliste"/>
        <w:numPr>
          <w:ilvl w:val="0"/>
          <w:numId w:val="3"/>
        </w:numPr>
        <w:tabs>
          <w:tab w:val="left" w:pos="2552"/>
        </w:tabs>
        <w:spacing w:before="120" w:after="120"/>
        <w:ind w:left="1134" w:hanging="425"/>
        <w:rPr>
          <w:rFonts w:cs="Arial"/>
          <w:b/>
          <w:bCs/>
          <w:kern w:val="28"/>
          <w:szCs w:val="24"/>
          <w:u w:val="single"/>
          <w:lang w:val="en-CA"/>
        </w:rPr>
      </w:pPr>
      <w:r>
        <w:rPr>
          <w:rFonts w:cs="Arial"/>
          <w:b/>
          <w:bCs/>
          <w:kern w:val="28"/>
          <w:szCs w:val="24"/>
          <w:u w:val="single"/>
          <w:lang w:val="en-CA"/>
        </w:rPr>
        <w:t>QUESTION</w:t>
      </w:r>
      <w:r w:rsidR="009870D7" w:rsidRPr="00CF3D68">
        <w:rPr>
          <w:rFonts w:cs="Arial"/>
          <w:b/>
          <w:bCs/>
          <w:kern w:val="28"/>
          <w:szCs w:val="24"/>
          <w:u w:val="single"/>
          <w:lang w:val="en-CA"/>
        </w:rPr>
        <w:t xml:space="preserve"> 2: Should the hearing on the </w:t>
      </w:r>
      <w:r w:rsidR="006A2C92">
        <w:rPr>
          <w:rFonts w:cs="Arial"/>
          <w:b/>
          <w:bCs/>
          <w:kern w:val="28"/>
          <w:szCs w:val="24"/>
          <w:u w:val="single"/>
          <w:lang w:val="en-CA"/>
        </w:rPr>
        <w:t>motion for further</w:t>
      </w:r>
      <w:r w:rsidR="009870D7" w:rsidRPr="00CF3D68">
        <w:rPr>
          <w:rFonts w:cs="Arial"/>
          <w:b/>
          <w:bCs/>
          <w:kern w:val="28"/>
          <w:szCs w:val="24"/>
          <w:u w:val="single"/>
          <w:lang w:val="en-CA"/>
        </w:rPr>
        <w:t xml:space="preserve"> detention of property </w:t>
      </w:r>
      <w:r>
        <w:rPr>
          <w:rFonts w:cs="Arial"/>
          <w:b/>
          <w:bCs/>
          <w:kern w:val="28"/>
          <w:szCs w:val="24"/>
          <w:u w:val="single"/>
          <w:lang w:val="en-CA"/>
        </w:rPr>
        <w:t>proceed</w:t>
      </w:r>
      <w:r w:rsidR="009870D7" w:rsidRPr="00CF3D68">
        <w:rPr>
          <w:rFonts w:cs="Arial"/>
          <w:b/>
          <w:bCs/>
          <w:kern w:val="28"/>
          <w:szCs w:val="24"/>
          <w:u w:val="single"/>
          <w:lang w:val="en-CA"/>
        </w:rPr>
        <w:t xml:space="preserve"> </w:t>
      </w:r>
      <w:r w:rsidR="009870D7" w:rsidRPr="00CF3D68">
        <w:rPr>
          <w:rFonts w:cs="Arial"/>
          <w:b/>
          <w:bCs/>
          <w:i/>
          <w:kern w:val="28"/>
          <w:szCs w:val="24"/>
          <w:u w:val="single"/>
          <w:lang w:val="en-CA"/>
        </w:rPr>
        <w:t>in chambers</w:t>
      </w:r>
      <w:r w:rsidR="009870D7" w:rsidRPr="00CF3D68">
        <w:rPr>
          <w:rFonts w:cs="Arial"/>
          <w:b/>
          <w:bCs/>
          <w:kern w:val="28"/>
          <w:szCs w:val="24"/>
          <w:u w:val="single"/>
          <w:lang w:val="en-CA"/>
        </w:rPr>
        <w:t xml:space="preserve"> </w:t>
      </w:r>
      <w:r w:rsidR="009870D7" w:rsidRPr="008977AC">
        <w:rPr>
          <w:rFonts w:cs="Arial"/>
          <w:b/>
          <w:bCs/>
          <w:i/>
          <w:iCs/>
          <w:kern w:val="28"/>
          <w:szCs w:val="24"/>
          <w:u w:val="single"/>
          <w:lang w:val="en-CA"/>
        </w:rPr>
        <w:t>and</w:t>
      </w:r>
      <w:r w:rsidR="009870D7" w:rsidRPr="00CF3D68">
        <w:rPr>
          <w:rFonts w:cs="Arial"/>
          <w:b/>
          <w:bCs/>
          <w:kern w:val="28"/>
          <w:szCs w:val="24"/>
          <w:u w:val="single"/>
          <w:lang w:val="en-CA"/>
        </w:rPr>
        <w:t xml:space="preserve"> </w:t>
      </w:r>
      <w:r w:rsidR="009870D7" w:rsidRPr="00CF3D68">
        <w:rPr>
          <w:rFonts w:cs="Arial"/>
          <w:b/>
          <w:bCs/>
          <w:i/>
          <w:kern w:val="28"/>
          <w:szCs w:val="24"/>
          <w:u w:val="single"/>
          <w:lang w:val="en-CA"/>
        </w:rPr>
        <w:t>in camera</w:t>
      </w:r>
      <w:r w:rsidR="009870D7" w:rsidRPr="00CF3D68">
        <w:rPr>
          <w:rFonts w:cs="Arial"/>
          <w:b/>
          <w:bCs/>
          <w:kern w:val="28"/>
          <w:szCs w:val="24"/>
          <w:u w:val="single"/>
          <w:lang w:val="en-CA"/>
        </w:rPr>
        <w:t>?</w:t>
      </w:r>
    </w:p>
    <w:p w14:paraId="15075ED4" w14:textId="01A165BF" w:rsidR="00825433" w:rsidRPr="00CF3D68" w:rsidRDefault="009870D7" w:rsidP="00136A08">
      <w:pPr>
        <w:pStyle w:val="Paragraphe"/>
        <w:rPr>
          <w:lang w:val="en-CA"/>
        </w:rPr>
      </w:pPr>
      <w:r w:rsidRPr="00CF3D68">
        <w:rPr>
          <w:lang w:val="en-CA"/>
        </w:rPr>
        <w:t xml:space="preserve">The DCPP argues that the entire hearing </w:t>
      </w:r>
      <w:r w:rsidR="008977AC">
        <w:rPr>
          <w:lang w:val="en-CA"/>
        </w:rPr>
        <w:t>must</w:t>
      </w:r>
      <w:r w:rsidRPr="00CF3D68">
        <w:rPr>
          <w:lang w:val="en-CA"/>
        </w:rPr>
        <w:t xml:space="preserve"> proceed in chambers and </w:t>
      </w:r>
      <w:r w:rsidRPr="00CF3D68">
        <w:rPr>
          <w:i/>
          <w:lang w:val="en-CA"/>
        </w:rPr>
        <w:t>in camera</w:t>
      </w:r>
      <w:r w:rsidRPr="00CF3D68">
        <w:rPr>
          <w:lang w:val="en-CA"/>
        </w:rPr>
        <w:t xml:space="preserve"> with a separate mechanical recording </w:t>
      </w:r>
      <w:r w:rsidR="008977AC">
        <w:rPr>
          <w:lang w:val="en-CA"/>
        </w:rPr>
        <w:t xml:space="preserve">because </w:t>
      </w:r>
      <w:r w:rsidRPr="00CD59CE">
        <w:rPr>
          <w:lang w:val="en-CA"/>
        </w:rPr>
        <w:t xml:space="preserve">there is a serious risk </w:t>
      </w:r>
      <w:r w:rsidR="003C5599">
        <w:rPr>
          <w:lang w:val="en-CA"/>
        </w:rPr>
        <w:t xml:space="preserve">at the </w:t>
      </w:r>
      <w:r w:rsidR="00DD7D0F">
        <w:rPr>
          <w:lang w:val="en-CA"/>
        </w:rPr>
        <w:t xml:space="preserve">evidence stage </w:t>
      </w:r>
      <w:r w:rsidR="00670613" w:rsidRPr="00CD59CE">
        <w:rPr>
          <w:lang w:val="en-CA"/>
        </w:rPr>
        <w:t xml:space="preserve">of </w:t>
      </w:r>
      <w:r w:rsidR="008977AC" w:rsidRPr="00CD59CE">
        <w:rPr>
          <w:lang w:val="en-CA"/>
        </w:rPr>
        <w:t>alert</w:t>
      </w:r>
      <w:r w:rsidR="00670613" w:rsidRPr="00CD59CE">
        <w:rPr>
          <w:lang w:val="en-CA"/>
        </w:rPr>
        <w:t>ing</w:t>
      </w:r>
      <w:r w:rsidR="008977AC" w:rsidRPr="00CD59CE">
        <w:rPr>
          <w:lang w:val="en-CA"/>
        </w:rPr>
        <w:t xml:space="preserve"> </w:t>
      </w:r>
      <w:r w:rsidRPr="00CD59CE">
        <w:rPr>
          <w:lang w:val="en-CA"/>
        </w:rPr>
        <w:t>the suspects and jeopardiz</w:t>
      </w:r>
      <w:r w:rsidR="00670613" w:rsidRPr="00CD59CE">
        <w:rPr>
          <w:lang w:val="en-CA"/>
        </w:rPr>
        <w:t>ing</w:t>
      </w:r>
      <w:r w:rsidRPr="00CD59CE">
        <w:rPr>
          <w:lang w:val="en-CA"/>
        </w:rPr>
        <w:t xml:space="preserve"> the ongoing investigation</w:t>
      </w:r>
      <w:r w:rsidRPr="00CF3D68">
        <w:rPr>
          <w:lang w:val="en-CA"/>
        </w:rPr>
        <w:t>.</w:t>
      </w:r>
      <w:r w:rsidR="001F7521" w:rsidRPr="00CF3D68">
        <w:rPr>
          <w:lang w:val="en-CA"/>
        </w:rPr>
        <w:t xml:space="preserve"> </w:t>
      </w:r>
    </w:p>
    <w:p w14:paraId="6AEB6781" w14:textId="6E08ADD3" w:rsidR="00825433" w:rsidRPr="00CF3D68" w:rsidRDefault="009870D7" w:rsidP="00136A08">
      <w:pPr>
        <w:pStyle w:val="Paragraphe"/>
        <w:rPr>
          <w:lang w:val="en-CA"/>
        </w:rPr>
      </w:pPr>
      <w:r w:rsidRPr="00CF3D68">
        <w:rPr>
          <w:lang w:val="en-CA"/>
        </w:rPr>
        <w:t xml:space="preserve">The DCPP is concerned about inadvertently disclosing information and the limit he will have to impose on himself or on the affiant, who </w:t>
      </w:r>
      <w:r w:rsidR="008E432F">
        <w:rPr>
          <w:lang w:val="en-CA"/>
        </w:rPr>
        <w:t>may</w:t>
      </w:r>
      <w:r w:rsidR="008E432F" w:rsidRPr="00CF3D68">
        <w:rPr>
          <w:lang w:val="en-CA"/>
        </w:rPr>
        <w:t xml:space="preserve"> </w:t>
      </w:r>
      <w:r w:rsidRPr="00CF3D68">
        <w:rPr>
          <w:lang w:val="en-CA"/>
        </w:rPr>
        <w:t xml:space="preserve">be called to testify, </w:t>
      </w:r>
      <w:r w:rsidR="008E432F">
        <w:rPr>
          <w:lang w:val="en-CA"/>
        </w:rPr>
        <w:t>regarding</w:t>
      </w:r>
      <w:r w:rsidR="008E432F" w:rsidRPr="00CF3D68">
        <w:rPr>
          <w:lang w:val="en-CA"/>
        </w:rPr>
        <w:t xml:space="preserve"> </w:t>
      </w:r>
      <w:r w:rsidRPr="00CF3D68">
        <w:rPr>
          <w:lang w:val="en-CA"/>
        </w:rPr>
        <w:t xml:space="preserve">the explanations to provide to the Court in support of the application to </w:t>
      </w:r>
      <w:r w:rsidR="00530828">
        <w:rPr>
          <w:lang w:val="en-CA"/>
        </w:rPr>
        <w:t xml:space="preserve">further the </w:t>
      </w:r>
      <w:r w:rsidRPr="00CF3D68">
        <w:rPr>
          <w:lang w:val="en-CA"/>
        </w:rPr>
        <w:t xml:space="preserve">detention period of </w:t>
      </w:r>
      <w:r w:rsidR="00530828">
        <w:rPr>
          <w:lang w:val="en-CA"/>
        </w:rPr>
        <w:t xml:space="preserve">the </w:t>
      </w:r>
      <w:r w:rsidRPr="00CF3D68">
        <w:rPr>
          <w:lang w:val="en-CA"/>
        </w:rPr>
        <w:t>property.</w:t>
      </w:r>
      <w:r w:rsidR="001F7521" w:rsidRPr="00CF3D68">
        <w:rPr>
          <w:lang w:val="en-CA"/>
        </w:rPr>
        <w:t xml:space="preserve"> </w:t>
      </w:r>
    </w:p>
    <w:p w14:paraId="2C3C65D6" w14:textId="10EE744E" w:rsidR="00825433" w:rsidRPr="00CF3D68" w:rsidRDefault="009870D7" w:rsidP="00136A08">
      <w:pPr>
        <w:pStyle w:val="Paragraphe"/>
        <w:rPr>
          <w:lang w:val="en-CA"/>
        </w:rPr>
      </w:pPr>
      <w:r w:rsidRPr="00CF3D68">
        <w:rPr>
          <w:lang w:val="en-CA"/>
        </w:rPr>
        <w:t>The interven</w:t>
      </w:r>
      <w:r w:rsidR="00321C51">
        <w:rPr>
          <w:lang w:val="en-CA"/>
        </w:rPr>
        <w:t>o</w:t>
      </w:r>
      <w:r w:rsidRPr="00CF3D68">
        <w:rPr>
          <w:lang w:val="en-CA"/>
        </w:rPr>
        <w:t xml:space="preserve">rs ask the Court to ensure that the open court principle </w:t>
      </w:r>
      <w:r w:rsidR="00DC1220">
        <w:rPr>
          <w:lang w:val="en-CA"/>
        </w:rPr>
        <w:t>is</w:t>
      </w:r>
      <w:r w:rsidRPr="00CF3D68">
        <w:rPr>
          <w:lang w:val="en-CA"/>
        </w:rPr>
        <w:t xml:space="preserve"> minimally impaired.</w:t>
      </w:r>
      <w:r w:rsidR="001F7521" w:rsidRPr="00CF3D68">
        <w:rPr>
          <w:lang w:val="en-CA"/>
        </w:rPr>
        <w:t xml:space="preserve"> </w:t>
      </w:r>
      <w:r w:rsidR="00765A8F">
        <w:rPr>
          <w:lang w:val="en-CA"/>
        </w:rPr>
        <w:t>Counsel</w:t>
      </w:r>
      <w:r w:rsidR="00530828">
        <w:rPr>
          <w:lang w:val="en-CA"/>
        </w:rPr>
        <w:t xml:space="preserve"> </w:t>
      </w:r>
      <w:r w:rsidRPr="00CF3D68">
        <w:rPr>
          <w:lang w:val="en-CA"/>
        </w:rPr>
        <w:t>argue</w:t>
      </w:r>
      <w:r w:rsidR="00530828">
        <w:rPr>
          <w:lang w:val="en-CA"/>
        </w:rPr>
        <w:t>s</w:t>
      </w:r>
      <w:r w:rsidRPr="00CF3D68">
        <w:rPr>
          <w:lang w:val="en-CA"/>
        </w:rPr>
        <w:t xml:space="preserve"> that an </w:t>
      </w:r>
      <w:r w:rsidRPr="00CF3D68">
        <w:rPr>
          <w:i/>
          <w:lang w:val="en-CA"/>
        </w:rPr>
        <w:t>in camera</w:t>
      </w:r>
      <w:r w:rsidRPr="00CF3D68">
        <w:rPr>
          <w:lang w:val="en-CA"/>
        </w:rPr>
        <w:t xml:space="preserve"> hearing </w:t>
      </w:r>
      <w:r w:rsidR="00765A8F">
        <w:rPr>
          <w:lang w:val="en-CA"/>
        </w:rPr>
        <w:t>is incompatible</w:t>
      </w:r>
      <w:r w:rsidR="00530828">
        <w:rPr>
          <w:lang w:val="en-CA"/>
        </w:rPr>
        <w:t xml:space="preserve"> </w:t>
      </w:r>
      <w:r w:rsidRPr="00CF3D68">
        <w:rPr>
          <w:lang w:val="en-CA"/>
        </w:rPr>
        <w:t xml:space="preserve">with the constitutional right to freedom of expression, guaranteed </w:t>
      </w:r>
      <w:r w:rsidR="00765A8F">
        <w:rPr>
          <w:lang w:val="en-CA"/>
        </w:rPr>
        <w:t>by</w:t>
      </w:r>
      <w:r w:rsidR="00765A8F" w:rsidRPr="00CF3D68">
        <w:rPr>
          <w:lang w:val="en-CA"/>
        </w:rPr>
        <w:t xml:space="preserve"> </w:t>
      </w:r>
      <w:r w:rsidRPr="00CF3D68">
        <w:rPr>
          <w:lang w:val="en-CA"/>
        </w:rPr>
        <w:t>s</w:t>
      </w:r>
      <w:r w:rsidR="00667C93" w:rsidRPr="00CF3D68">
        <w:rPr>
          <w:lang w:val="en-CA"/>
        </w:rPr>
        <w:t>ection</w:t>
      </w:r>
      <w:r w:rsidR="001F7521" w:rsidRPr="00CF3D68">
        <w:rPr>
          <w:lang w:val="en-CA"/>
        </w:rPr>
        <w:t xml:space="preserve"> </w:t>
      </w:r>
      <w:r w:rsidRPr="00CF3D68">
        <w:rPr>
          <w:lang w:val="en-CA"/>
        </w:rPr>
        <w:t xml:space="preserve">2(b) of the </w:t>
      </w:r>
      <w:r w:rsidRPr="00CF3D68">
        <w:rPr>
          <w:i/>
          <w:lang w:val="en-CA"/>
        </w:rPr>
        <w:t>Charter</w:t>
      </w:r>
      <w:r w:rsidRPr="00CF3D68">
        <w:rPr>
          <w:lang w:val="en-CA"/>
        </w:rPr>
        <w:t>.</w:t>
      </w:r>
    </w:p>
    <w:p w14:paraId="6A8A6E91" w14:textId="26F08544" w:rsidR="00124146" w:rsidRPr="000C4DF1" w:rsidRDefault="001F7521" w:rsidP="000C4DF1">
      <w:pPr>
        <w:pStyle w:val="Titre2"/>
        <w:numPr>
          <w:ilvl w:val="0"/>
          <w:numId w:val="11"/>
        </w:numPr>
        <w:rPr>
          <w:lang w:val="en-CA"/>
        </w:rPr>
      </w:pPr>
      <w:r w:rsidRPr="000C4DF1">
        <w:rPr>
          <w:lang w:val="en-CA"/>
        </w:rPr>
        <w:lastRenderedPageBreak/>
        <w:t>“</w:t>
      </w:r>
      <w:r w:rsidR="00765A8F">
        <w:rPr>
          <w:lang w:val="en-CA"/>
        </w:rPr>
        <w:t xml:space="preserve">The open </w:t>
      </w:r>
      <w:r w:rsidRPr="000C4DF1">
        <w:rPr>
          <w:lang w:val="en-CA"/>
        </w:rPr>
        <w:t xml:space="preserve">Court </w:t>
      </w:r>
      <w:r w:rsidR="00765A8F">
        <w:rPr>
          <w:lang w:val="en-CA"/>
        </w:rPr>
        <w:t>principle</w:t>
      </w:r>
      <w:r w:rsidRPr="000C4DF1">
        <w:rPr>
          <w:lang w:val="en-CA"/>
        </w:rPr>
        <w:t xml:space="preserve"> Pillar of Our Free and Democratic Society”</w:t>
      </w:r>
      <w:r w:rsidRPr="00CF3D68">
        <w:rPr>
          <w:rStyle w:val="Appelnotedebasdep"/>
          <w:lang w:val="en-CA"/>
        </w:rPr>
        <w:footnoteReference w:id="22"/>
      </w:r>
    </w:p>
    <w:p w14:paraId="7B2007A2" w14:textId="153D477A" w:rsidR="000B6B68" w:rsidRPr="00CF3D68" w:rsidRDefault="001F7521" w:rsidP="00136A08">
      <w:pPr>
        <w:pStyle w:val="Paragraphe"/>
        <w:rPr>
          <w:lang w:val="en-CA"/>
        </w:rPr>
      </w:pPr>
      <w:r w:rsidRPr="00CF3D68">
        <w:rPr>
          <w:lang w:val="en-CA"/>
        </w:rPr>
        <w:t>The Supreme Court “has repeatedly affirmed that the open court principle, which is protected by the constitutionally entrenched right of freedom of expression, is a pillar of our free and democratic society”.</w:t>
      </w:r>
      <w:r w:rsidRPr="00CF3D68">
        <w:rPr>
          <w:rStyle w:val="Appelnotedebasdep"/>
          <w:lang w:val="en-CA"/>
        </w:rPr>
        <w:footnoteReference w:id="23"/>
      </w:r>
    </w:p>
    <w:p w14:paraId="6EAA4D91" w14:textId="1DCE8C09" w:rsidR="00CE7DD8" w:rsidRPr="00CF3D68" w:rsidRDefault="001F7521" w:rsidP="00136A08">
      <w:pPr>
        <w:pStyle w:val="Paragraphe"/>
        <w:rPr>
          <w:lang w:val="en-CA"/>
        </w:rPr>
      </w:pPr>
      <w:r w:rsidRPr="00CF3D68">
        <w:rPr>
          <w:lang w:val="en-CA"/>
        </w:rPr>
        <w:t>This is what the Supreme Court s</w:t>
      </w:r>
      <w:r w:rsidR="00530828">
        <w:rPr>
          <w:lang w:val="en-CA"/>
        </w:rPr>
        <w:t>tate</w:t>
      </w:r>
      <w:r w:rsidRPr="00CF3D68">
        <w:rPr>
          <w:lang w:val="en-CA"/>
        </w:rPr>
        <w:t>d in this regard in early June:</w:t>
      </w:r>
    </w:p>
    <w:p w14:paraId="7AD4163E" w14:textId="310DC08A" w:rsidR="000B6B68" w:rsidRPr="00CF3D68" w:rsidRDefault="001F7521" w:rsidP="00CE3CA7">
      <w:pPr>
        <w:pStyle w:val="Citationenretrait"/>
        <w:ind w:left="1134"/>
        <w:rPr>
          <w:lang w:val="en-CA"/>
        </w:rPr>
      </w:pPr>
      <w:r w:rsidRPr="00CF3D68">
        <w:rPr>
          <w:color w:val="000000"/>
          <w:lang w:val="en-CA"/>
        </w:rPr>
        <w:t>When justice is rendered in secret, without leaving any trace, respect for the rule of law is jeopardized and public confidence in the administration of justice may be shaken. The open court principle allows a society to guard against such risks, which erode the very foundations of democracy. By ensuring the accountability of the judiciary, court openness supports an administration of justice that is impartial, fair and in accordance with the rule of law. It also helps the public gain a better understanding of the justice system and its participants, which can only enhance public confidence in their integrity. Court openness is therefore of paramount importance to our democracy — an importance that is also reflected in the constitutional protection afforded to it in Canada</w:t>
      </w:r>
      <w:r w:rsidRPr="00CF3D68">
        <w:rPr>
          <w:lang w:val="en-CA"/>
        </w:rPr>
        <w:t>.</w:t>
      </w:r>
      <w:r w:rsidRPr="00CF3D68">
        <w:rPr>
          <w:rStyle w:val="Appelnotedebasdep"/>
          <w:lang w:val="en-CA"/>
        </w:rPr>
        <w:footnoteReference w:id="24"/>
      </w:r>
    </w:p>
    <w:p w14:paraId="7D9BC996" w14:textId="30D7A285" w:rsidR="000B6B68" w:rsidRPr="00CF3D68" w:rsidRDefault="001F7521" w:rsidP="00136A08">
      <w:pPr>
        <w:pStyle w:val="Paragraphe"/>
        <w:rPr>
          <w:lang w:val="en-CA"/>
        </w:rPr>
      </w:pPr>
      <w:r w:rsidRPr="00CF3D68">
        <w:rPr>
          <w:lang w:val="en-CA"/>
        </w:rPr>
        <w:t>Therefore, “confidentiality orders limiting it can be made by the courts only in rare circumstances”.</w:t>
      </w:r>
      <w:r w:rsidRPr="00CF3D68">
        <w:rPr>
          <w:rStyle w:val="Appelnotedebasdep"/>
          <w:lang w:val="en-CA"/>
        </w:rPr>
        <w:footnoteReference w:id="25"/>
      </w:r>
    </w:p>
    <w:p w14:paraId="750723D8" w14:textId="7D707E71" w:rsidR="00124146" w:rsidRPr="000C4DF1" w:rsidRDefault="009870D7" w:rsidP="000C4DF1">
      <w:pPr>
        <w:pStyle w:val="Titre2"/>
        <w:numPr>
          <w:ilvl w:val="0"/>
          <w:numId w:val="11"/>
        </w:numPr>
        <w:rPr>
          <w:lang w:val="en-CA"/>
        </w:rPr>
      </w:pPr>
      <w:proofErr w:type="spellStart"/>
      <w:r w:rsidRPr="000C4DF1">
        <w:rPr>
          <w:lang w:val="en-CA"/>
        </w:rPr>
        <w:t>Dagenais</w:t>
      </w:r>
      <w:proofErr w:type="spellEnd"/>
      <w:r w:rsidRPr="000C4DF1">
        <w:rPr>
          <w:lang w:val="en-CA"/>
        </w:rPr>
        <w:t>/</w:t>
      </w:r>
      <w:proofErr w:type="spellStart"/>
      <w:r w:rsidRPr="000C4DF1">
        <w:rPr>
          <w:lang w:val="en-CA"/>
        </w:rPr>
        <w:t>Mentuck</w:t>
      </w:r>
      <w:proofErr w:type="spellEnd"/>
      <w:r w:rsidRPr="000C4DF1">
        <w:rPr>
          <w:lang w:val="en-CA"/>
        </w:rPr>
        <w:t>/Sherman test</w:t>
      </w:r>
      <w:r w:rsidR="001F7521" w:rsidRPr="000C4DF1">
        <w:rPr>
          <w:lang w:val="en-CA"/>
        </w:rPr>
        <w:t xml:space="preserve"> </w:t>
      </w:r>
    </w:p>
    <w:p w14:paraId="1572C379" w14:textId="108A62FA" w:rsidR="00B16752" w:rsidRPr="00CF3D68" w:rsidRDefault="009870D7" w:rsidP="00136A08">
      <w:pPr>
        <w:pStyle w:val="Paragraphe"/>
        <w:rPr>
          <w:lang w:val="en-CA"/>
        </w:rPr>
      </w:pPr>
      <w:r w:rsidRPr="00CF3D68">
        <w:rPr>
          <w:lang w:val="en-CA"/>
        </w:rPr>
        <w:t xml:space="preserve">As stated above, ongoing investigation privilege </w:t>
      </w:r>
      <w:r w:rsidR="00765A8F">
        <w:rPr>
          <w:lang w:val="en-CA"/>
        </w:rPr>
        <w:t>is</w:t>
      </w:r>
      <w:r w:rsidR="006A2C92">
        <w:rPr>
          <w:lang w:val="en-CA"/>
        </w:rPr>
        <w:t xml:space="preserve"> </w:t>
      </w:r>
      <w:r w:rsidRPr="00CF3D68">
        <w:rPr>
          <w:lang w:val="en-CA"/>
        </w:rPr>
        <w:t xml:space="preserve">a </w:t>
      </w:r>
      <w:r w:rsidR="00765A8F">
        <w:rPr>
          <w:lang w:val="en-CA"/>
        </w:rPr>
        <w:t xml:space="preserve">privilege based on </w:t>
      </w:r>
      <w:r w:rsidR="00130AE0">
        <w:rPr>
          <w:lang w:val="en-CA"/>
        </w:rPr>
        <w:t>a</w:t>
      </w:r>
      <w:r w:rsidR="00765A8F">
        <w:rPr>
          <w:lang w:val="en-CA"/>
        </w:rPr>
        <w:t xml:space="preserve"> </w:t>
      </w:r>
      <w:r w:rsidRPr="00CF3D68">
        <w:rPr>
          <w:lang w:val="en-CA"/>
        </w:rPr>
        <w:t xml:space="preserve">case-by-case </w:t>
      </w:r>
      <w:r w:rsidR="00765A8F">
        <w:rPr>
          <w:lang w:val="en-CA"/>
        </w:rPr>
        <w:t>approach</w:t>
      </w:r>
      <w:r w:rsidRPr="00CF3D68">
        <w:rPr>
          <w:lang w:val="en-CA"/>
        </w:rPr>
        <w:t xml:space="preserve">, </w:t>
      </w:r>
      <w:r w:rsidR="00765A8F">
        <w:rPr>
          <w:lang w:val="en-CA"/>
        </w:rPr>
        <w:t>with</w:t>
      </w:r>
      <w:r w:rsidR="00765A8F" w:rsidRPr="00CF3D68">
        <w:rPr>
          <w:lang w:val="en-CA"/>
        </w:rPr>
        <w:t xml:space="preserve"> </w:t>
      </w:r>
      <w:r w:rsidRPr="00CF3D68">
        <w:rPr>
          <w:lang w:val="en-CA"/>
        </w:rPr>
        <w:t xml:space="preserve">the Court </w:t>
      </w:r>
      <w:r w:rsidR="00765A8F">
        <w:rPr>
          <w:lang w:val="en-CA"/>
        </w:rPr>
        <w:t>maintaining</w:t>
      </w:r>
      <w:r w:rsidRPr="00CF3D68">
        <w:rPr>
          <w:lang w:val="en-CA"/>
        </w:rPr>
        <w:t xml:space="preserve"> discretion </w:t>
      </w:r>
      <w:r w:rsidR="00765A8F">
        <w:rPr>
          <w:lang w:val="en-CA"/>
        </w:rPr>
        <w:t xml:space="preserve">over its </w:t>
      </w:r>
      <w:r w:rsidR="00130AE0">
        <w:rPr>
          <w:lang w:val="en-CA"/>
        </w:rPr>
        <w:t>application</w:t>
      </w:r>
      <w:r w:rsidRPr="00CF3D68">
        <w:rPr>
          <w:lang w:val="en-CA"/>
        </w:rPr>
        <w:t>.</w:t>
      </w:r>
    </w:p>
    <w:p w14:paraId="21F84209" w14:textId="1D1A7633" w:rsidR="00B16752" w:rsidRPr="00CF3D68" w:rsidRDefault="009870D7" w:rsidP="00136A08">
      <w:pPr>
        <w:pStyle w:val="Paragraphe"/>
        <w:rPr>
          <w:lang w:val="en-CA"/>
        </w:rPr>
      </w:pPr>
      <w:r w:rsidRPr="00CF3D68">
        <w:rPr>
          <w:lang w:val="en-CA"/>
        </w:rPr>
        <w:t>Before issuing any discretionary confidentiality order,</w:t>
      </w:r>
      <w:r w:rsidRPr="00CF3D68">
        <w:rPr>
          <w:rStyle w:val="Appelnotedebasdep"/>
          <w:lang w:val="en-CA"/>
        </w:rPr>
        <w:footnoteReference w:id="26"/>
      </w:r>
      <w:r w:rsidRPr="00CF3D68">
        <w:rPr>
          <w:lang w:val="en-CA"/>
        </w:rPr>
        <w:t xml:space="preserve"> the Court must apply the </w:t>
      </w:r>
      <w:proofErr w:type="spellStart"/>
      <w:r w:rsidRPr="00CF3D68">
        <w:rPr>
          <w:i/>
          <w:lang w:val="en-CA"/>
        </w:rPr>
        <w:t>Dagenais</w:t>
      </w:r>
      <w:proofErr w:type="spellEnd"/>
      <w:r w:rsidRPr="00CF3D68">
        <w:rPr>
          <w:i/>
          <w:lang w:val="en-CA"/>
        </w:rPr>
        <w:t>/</w:t>
      </w:r>
      <w:proofErr w:type="spellStart"/>
      <w:r w:rsidRPr="00CF3D68">
        <w:rPr>
          <w:i/>
          <w:lang w:val="en-CA"/>
        </w:rPr>
        <w:t>Mentuck</w:t>
      </w:r>
      <w:proofErr w:type="spellEnd"/>
      <w:r w:rsidRPr="00CF3D68">
        <w:rPr>
          <w:vertAlign w:val="superscript"/>
          <w:lang w:val="en-CA"/>
        </w:rPr>
        <w:footnoteReference w:id="27"/>
      </w:r>
      <w:r w:rsidRPr="00CF3D68">
        <w:rPr>
          <w:lang w:val="en-CA"/>
        </w:rPr>
        <w:t xml:space="preserve"> test as slightly re</w:t>
      </w:r>
      <w:r w:rsidR="00741B59">
        <w:rPr>
          <w:lang w:val="en-CA"/>
        </w:rPr>
        <w:t>cast</w:t>
      </w:r>
      <w:r w:rsidRPr="00CF3D68">
        <w:rPr>
          <w:lang w:val="en-CA"/>
        </w:rPr>
        <w:t xml:space="preserve"> in </w:t>
      </w:r>
      <w:r w:rsidRPr="00CF3D68">
        <w:rPr>
          <w:i/>
          <w:lang w:val="en-CA"/>
        </w:rPr>
        <w:t>Sherman Estate</w:t>
      </w:r>
      <w:r w:rsidRPr="00CF3D68">
        <w:rPr>
          <w:lang w:val="en-CA"/>
        </w:rPr>
        <w:t>.</w:t>
      </w:r>
      <w:r w:rsidRPr="00CF3D68">
        <w:rPr>
          <w:rStyle w:val="Appelnotedebasdep"/>
          <w:rFonts w:cs="Arial"/>
          <w:szCs w:val="24"/>
          <w:lang w:val="en-CA"/>
        </w:rPr>
        <w:footnoteReference w:id="28"/>
      </w:r>
      <w:r w:rsidR="001F7521" w:rsidRPr="00CF3D68">
        <w:rPr>
          <w:lang w:val="en-CA"/>
        </w:rPr>
        <w:t xml:space="preserve"> </w:t>
      </w:r>
      <w:r w:rsidRPr="00CF3D68">
        <w:rPr>
          <w:lang w:val="en-CA"/>
        </w:rPr>
        <w:t>The Court must ask whether: (1) the disclosure of information poses a serious risk to an important public interest; (2) the order is necessary to prevent this serious risk; and, (3) as a matter of proportionality, the benefits of the order outweigh its negative effects.</w:t>
      </w:r>
      <w:r w:rsidR="001F7521" w:rsidRPr="00CF3D68">
        <w:rPr>
          <w:lang w:val="en-CA"/>
        </w:rPr>
        <w:t xml:space="preserve"> </w:t>
      </w:r>
    </w:p>
    <w:p w14:paraId="2767D519" w14:textId="490C7CA3" w:rsidR="00954FB3" w:rsidRPr="00CF3D68" w:rsidRDefault="009870D7" w:rsidP="00136A08">
      <w:pPr>
        <w:pStyle w:val="Paragraphe"/>
        <w:rPr>
          <w:lang w:val="en-CA"/>
        </w:rPr>
      </w:pPr>
      <w:r w:rsidRPr="00CF3D68">
        <w:rPr>
          <w:lang w:val="en-CA"/>
        </w:rPr>
        <w:t xml:space="preserve">The applicant </w:t>
      </w:r>
      <w:r w:rsidR="00765A8F">
        <w:rPr>
          <w:lang w:val="en-CA"/>
        </w:rPr>
        <w:t>bears</w:t>
      </w:r>
      <w:r w:rsidR="00765A8F" w:rsidRPr="00CF3D68">
        <w:rPr>
          <w:lang w:val="en-CA"/>
        </w:rPr>
        <w:t xml:space="preserve"> </w:t>
      </w:r>
      <w:r w:rsidRPr="00CF3D68">
        <w:rPr>
          <w:lang w:val="en-CA"/>
        </w:rPr>
        <w:t xml:space="preserve">the burden of </w:t>
      </w:r>
      <w:r w:rsidR="00741B59">
        <w:rPr>
          <w:lang w:val="en-CA"/>
        </w:rPr>
        <w:t xml:space="preserve">establishing a </w:t>
      </w:r>
      <w:r w:rsidR="00741B59" w:rsidRPr="00741B59">
        <w:rPr>
          <w:i/>
          <w:iCs/>
          <w:lang w:val="en-CA"/>
        </w:rPr>
        <w:t>prima facie</w:t>
      </w:r>
      <w:r w:rsidR="00741B59">
        <w:rPr>
          <w:lang w:val="en-CA"/>
        </w:rPr>
        <w:t xml:space="preserve"> risk</w:t>
      </w:r>
      <w:r w:rsidRPr="00CF3D68">
        <w:rPr>
          <w:lang w:val="en-CA"/>
        </w:rPr>
        <w:t>.</w:t>
      </w:r>
      <w:r w:rsidRPr="00CF3D68">
        <w:rPr>
          <w:rStyle w:val="Appelnotedebasdep"/>
          <w:lang w:val="en-CA"/>
        </w:rPr>
        <w:footnoteReference w:id="29"/>
      </w:r>
      <w:r w:rsidR="001F7521" w:rsidRPr="00CF3D68">
        <w:rPr>
          <w:lang w:val="en-CA"/>
        </w:rPr>
        <w:t xml:space="preserve"> </w:t>
      </w:r>
    </w:p>
    <w:p w14:paraId="2C44D964" w14:textId="49290EA9" w:rsidR="00954FB3" w:rsidRPr="00CF3D68" w:rsidRDefault="009870D7" w:rsidP="00136A08">
      <w:pPr>
        <w:pStyle w:val="Paragraphe"/>
        <w:rPr>
          <w:lang w:val="en-CA"/>
        </w:rPr>
      </w:pPr>
      <w:r w:rsidRPr="00CF3D68">
        <w:rPr>
          <w:lang w:val="en-CA"/>
        </w:rPr>
        <w:lastRenderedPageBreak/>
        <w:t>The risk in question must be “real and substantial”,</w:t>
      </w:r>
      <w:r w:rsidRPr="00CF3D68">
        <w:rPr>
          <w:rStyle w:val="Appelnotedebasdep"/>
          <w:lang w:val="en-CA"/>
        </w:rPr>
        <w:footnoteReference w:id="30"/>
      </w:r>
      <w:r w:rsidRPr="00CF3D68">
        <w:rPr>
          <w:lang w:val="en-CA"/>
        </w:rPr>
        <w:t xml:space="preserve"> without requiring certainty that it will materialize.</w:t>
      </w:r>
      <w:r w:rsidRPr="00CF3D68">
        <w:rPr>
          <w:rStyle w:val="Appelnotedebasdep"/>
          <w:lang w:val="en-CA"/>
        </w:rPr>
        <w:footnoteReference w:id="31"/>
      </w:r>
      <w:r w:rsidR="00420674" w:rsidRPr="00CF3D68">
        <w:rPr>
          <w:lang w:val="en-CA"/>
        </w:rPr>
        <w:t xml:space="preserve"> </w:t>
      </w:r>
      <w:r w:rsidRPr="00CF3D68">
        <w:rPr>
          <w:lang w:val="en-CA"/>
        </w:rPr>
        <w:t>Broad assertions are insufficient.</w:t>
      </w:r>
      <w:r w:rsidRPr="00CF3D68">
        <w:rPr>
          <w:rStyle w:val="Appelnotedebasdep"/>
          <w:lang w:val="en-CA"/>
        </w:rPr>
        <w:footnoteReference w:id="32"/>
      </w:r>
      <w:r w:rsidR="00A97401" w:rsidRPr="00CF3D68">
        <w:rPr>
          <w:lang w:val="en-CA"/>
        </w:rPr>
        <w:t xml:space="preserve"> </w:t>
      </w:r>
      <w:r w:rsidRPr="00CF3D68">
        <w:rPr>
          <w:lang w:val="en-CA"/>
        </w:rPr>
        <w:t xml:space="preserve">A </w:t>
      </w:r>
      <w:r w:rsidR="00DC1220">
        <w:rPr>
          <w:lang w:val="en-CA"/>
        </w:rPr>
        <w:t>simple</w:t>
      </w:r>
      <w:r w:rsidRPr="00CF3D68">
        <w:rPr>
          <w:lang w:val="en-CA"/>
        </w:rPr>
        <w:t xml:space="preserve"> advantage for the state does not suffice to meet this burden.</w:t>
      </w:r>
      <w:r w:rsidRPr="00CF3D68">
        <w:rPr>
          <w:rStyle w:val="Appelnotedebasdep"/>
          <w:lang w:val="en-CA"/>
        </w:rPr>
        <w:footnoteReference w:id="33"/>
      </w:r>
      <w:r w:rsidR="00A97401" w:rsidRPr="00CF3D68">
        <w:rPr>
          <w:lang w:val="en-CA"/>
        </w:rPr>
        <w:t xml:space="preserve"> </w:t>
      </w:r>
    </w:p>
    <w:p w14:paraId="18022C3E" w14:textId="74E56B76" w:rsidR="00202014" w:rsidRPr="00CF3D68" w:rsidRDefault="009870D7" w:rsidP="00136A08">
      <w:pPr>
        <w:pStyle w:val="Paragraphe"/>
        <w:rPr>
          <w:lang w:val="en-CA"/>
        </w:rPr>
      </w:pPr>
      <w:r w:rsidRPr="00CF3D68">
        <w:rPr>
          <w:lang w:val="en-CA"/>
        </w:rPr>
        <w:t>Moreover, the risk must be assessed according to the circumstances of the case and the context.</w:t>
      </w:r>
      <w:r w:rsidRPr="00CF3D68">
        <w:rPr>
          <w:rStyle w:val="Appelnotedebasdep"/>
          <w:lang w:val="en-CA"/>
        </w:rPr>
        <w:footnoteReference w:id="34"/>
      </w:r>
      <w:r w:rsidR="001F7521" w:rsidRPr="00CF3D68">
        <w:rPr>
          <w:lang w:val="en-CA"/>
        </w:rPr>
        <w:t xml:space="preserve"> </w:t>
      </w:r>
      <w:r w:rsidRPr="00CF3D68">
        <w:rPr>
          <w:lang w:val="en-CA"/>
        </w:rPr>
        <w:t>Indeed, the test to be applied by the Court is flexible and contextual.</w:t>
      </w:r>
      <w:r w:rsidRPr="00CF3D68">
        <w:rPr>
          <w:rStyle w:val="Appelnotedebasdep"/>
          <w:lang w:val="en-CA"/>
        </w:rPr>
        <w:footnoteReference w:id="35"/>
      </w:r>
    </w:p>
    <w:p w14:paraId="01FEBA9C" w14:textId="4737CCD0" w:rsidR="00495BD3" w:rsidRPr="00CF3D68" w:rsidRDefault="009870D7" w:rsidP="00136A08">
      <w:pPr>
        <w:pStyle w:val="Paragraphe"/>
        <w:rPr>
          <w:lang w:val="en-CA"/>
        </w:rPr>
      </w:pPr>
      <w:r w:rsidRPr="00CF3D68">
        <w:rPr>
          <w:lang w:val="en-CA"/>
        </w:rPr>
        <w:t>This contextual approach includes consideration of the duration of the order sought.</w:t>
      </w:r>
      <w:r w:rsidR="00623074" w:rsidRPr="00CF3D68">
        <w:rPr>
          <w:lang w:val="en-CA"/>
        </w:rPr>
        <w:t xml:space="preserve"> </w:t>
      </w:r>
      <w:r w:rsidRPr="00CF3D68">
        <w:rPr>
          <w:lang w:val="en-CA"/>
        </w:rPr>
        <w:t xml:space="preserve">As Fish J. wrote in </w:t>
      </w:r>
      <w:r w:rsidRPr="00CF3D68">
        <w:rPr>
          <w:i/>
          <w:lang w:val="en-CA"/>
        </w:rPr>
        <w:t>Toronto Star</w:t>
      </w:r>
      <w:r w:rsidRPr="00CF3D68">
        <w:rPr>
          <w:lang w:val="en-CA"/>
        </w:rPr>
        <w:t>:</w:t>
      </w:r>
      <w:r w:rsidRPr="00CF3D68">
        <w:rPr>
          <w:rStyle w:val="Appelnotedebasdep"/>
          <w:lang w:val="en-CA"/>
        </w:rPr>
        <w:footnoteReference w:id="36"/>
      </w:r>
      <w:r w:rsidR="00614D6B" w:rsidRPr="00CF3D68">
        <w:rPr>
          <w:lang w:val="en-CA"/>
        </w:rPr>
        <w:t xml:space="preserve"> </w:t>
      </w:r>
    </w:p>
    <w:p w14:paraId="0553D988" w14:textId="42B92C91" w:rsidR="00382CA3" w:rsidRPr="00CF3D68" w:rsidRDefault="009870D7" w:rsidP="00495BD3">
      <w:pPr>
        <w:pStyle w:val="Citationenretrait"/>
        <w:rPr>
          <w:lang w:val="en-CA"/>
        </w:rPr>
      </w:pPr>
      <w:r w:rsidRPr="00CF3D68">
        <w:rPr>
          <w:lang w:val="en-CA"/>
        </w:rPr>
        <w:t>Where a sealing order is at that stage solicited for a brief period only, this factor alone may well invite caution in opting for full and immediate disclosure.</w:t>
      </w:r>
      <w:r w:rsidR="001F7521" w:rsidRPr="00CF3D68">
        <w:rPr>
          <w:rStyle w:val="Appelnotedebasdep"/>
          <w:lang w:val="en-CA"/>
        </w:rPr>
        <w:footnoteReference w:id="37"/>
      </w:r>
    </w:p>
    <w:p w14:paraId="37CC2D33" w14:textId="15EB7B43" w:rsidR="00A17387" w:rsidRPr="00CF3D68" w:rsidRDefault="00667C93" w:rsidP="00136A08">
      <w:pPr>
        <w:pStyle w:val="Paragraphe"/>
        <w:rPr>
          <w:lang w:val="en-CA"/>
        </w:rPr>
      </w:pPr>
      <w:r w:rsidRPr="00CF3D68">
        <w:rPr>
          <w:lang w:val="en-CA"/>
        </w:rPr>
        <w:t>The Court of Appeal confirmed that police investigati</w:t>
      </w:r>
      <w:r w:rsidR="000A6BDA">
        <w:rPr>
          <w:lang w:val="en-CA"/>
        </w:rPr>
        <w:t>ve</w:t>
      </w:r>
      <w:r w:rsidRPr="00CF3D68">
        <w:rPr>
          <w:lang w:val="en-CA"/>
        </w:rPr>
        <w:t xml:space="preserve"> theories may be protected and </w:t>
      </w:r>
      <w:r w:rsidR="003E004B">
        <w:rPr>
          <w:lang w:val="en-CA"/>
        </w:rPr>
        <w:t>their</w:t>
      </w:r>
      <w:r w:rsidRPr="00CF3D68">
        <w:rPr>
          <w:lang w:val="en-CA"/>
        </w:rPr>
        <w:t xml:space="preserve"> premature disclosure </w:t>
      </w:r>
      <w:r w:rsidR="000A6BDA">
        <w:rPr>
          <w:lang w:val="en-CA"/>
        </w:rPr>
        <w:t xml:space="preserve">prevented </w:t>
      </w:r>
      <w:r w:rsidRPr="00CF3D68">
        <w:rPr>
          <w:lang w:val="en-CA"/>
        </w:rPr>
        <w:t xml:space="preserve">while the investigation is ongoing, that theories evolve and that the effectiveness of </w:t>
      </w:r>
      <w:r w:rsidR="003E004B">
        <w:rPr>
          <w:lang w:val="en-CA"/>
        </w:rPr>
        <w:t xml:space="preserve">the </w:t>
      </w:r>
      <w:r w:rsidRPr="00CF3D68">
        <w:rPr>
          <w:lang w:val="en-CA"/>
        </w:rPr>
        <w:t>investigat</w:t>
      </w:r>
      <w:r w:rsidR="00670613">
        <w:rPr>
          <w:lang w:val="en-CA"/>
        </w:rPr>
        <w:t>ive</w:t>
      </w:r>
      <w:r w:rsidRPr="00CF3D68">
        <w:rPr>
          <w:lang w:val="en-CA"/>
        </w:rPr>
        <w:t xml:space="preserve"> work</w:t>
      </w:r>
      <w:r w:rsidR="000A6BDA">
        <w:rPr>
          <w:lang w:val="en-CA"/>
        </w:rPr>
        <w:t xml:space="preserve"> requires this</w:t>
      </w:r>
      <w:r w:rsidRPr="00CF3D68">
        <w:rPr>
          <w:lang w:val="en-CA"/>
        </w:rPr>
        <w:t>.</w:t>
      </w:r>
      <w:r w:rsidRPr="00CF3D68">
        <w:rPr>
          <w:rStyle w:val="Appelnotedebasdep"/>
          <w:lang w:val="en-CA"/>
        </w:rPr>
        <w:footnoteReference w:id="38"/>
      </w:r>
    </w:p>
    <w:p w14:paraId="3520EFDF" w14:textId="2BF7E1A4" w:rsidR="00496CC4" w:rsidRPr="00CF3D68" w:rsidRDefault="00667C93" w:rsidP="00136A08">
      <w:pPr>
        <w:pStyle w:val="Paragraphe"/>
        <w:rPr>
          <w:lang w:val="en-CA"/>
        </w:rPr>
      </w:pPr>
      <w:r w:rsidRPr="00CF3D68">
        <w:rPr>
          <w:lang w:val="en-CA"/>
        </w:rPr>
        <w:t>The Supreme Court asks courts to be creative</w:t>
      </w:r>
      <w:r w:rsidRPr="00CF3D68">
        <w:rPr>
          <w:rStyle w:val="Appelnotedebasdep"/>
          <w:rFonts w:cs="Arial"/>
          <w:szCs w:val="24"/>
          <w:lang w:val="en-CA"/>
        </w:rPr>
        <w:footnoteReference w:id="39"/>
      </w:r>
      <w:r w:rsidRPr="00CF3D68">
        <w:rPr>
          <w:lang w:val="en-CA"/>
        </w:rPr>
        <w:t xml:space="preserve"> and to minimize, as much as possible, any impairment to the open court principle.</w:t>
      </w:r>
      <w:r w:rsidRPr="00CF3D68">
        <w:rPr>
          <w:rStyle w:val="Appelnotedebasdep"/>
          <w:rFonts w:cs="Arial"/>
          <w:szCs w:val="24"/>
          <w:lang w:val="en-CA"/>
        </w:rPr>
        <w:footnoteReference w:id="40"/>
      </w:r>
      <w:r w:rsidR="001F7521" w:rsidRPr="00CF3D68">
        <w:rPr>
          <w:lang w:val="en-CA"/>
        </w:rPr>
        <w:t xml:space="preserve"> </w:t>
      </w:r>
    </w:p>
    <w:p w14:paraId="16FB0B03" w14:textId="1099A663" w:rsidR="00B16752" w:rsidRPr="00CF3D68" w:rsidRDefault="00667C93" w:rsidP="00136A08">
      <w:pPr>
        <w:pStyle w:val="Paragraphe"/>
        <w:rPr>
          <w:lang w:val="en-CA"/>
        </w:rPr>
      </w:pPr>
      <w:r w:rsidRPr="00CF3D68">
        <w:rPr>
          <w:lang w:val="en-CA"/>
        </w:rPr>
        <w:t xml:space="preserve">After reading the redacted </w:t>
      </w:r>
      <w:r w:rsidR="003E004B">
        <w:rPr>
          <w:lang w:val="en-CA"/>
        </w:rPr>
        <w:t>excerpts from</w:t>
      </w:r>
      <w:r w:rsidRPr="00CF3D68">
        <w:rPr>
          <w:lang w:val="en-CA"/>
        </w:rPr>
        <w:t xml:space="preserve"> the affidavit, the Court finds that the disclosure of this information indeed poses a serious risk to the </w:t>
      </w:r>
      <w:r w:rsidR="00944D71" w:rsidRPr="00CF3D68">
        <w:rPr>
          <w:lang w:val="en-CA"/>
        </w:rPr>
        <w:t xml:space="preserve">ongoing investigation </w:t>
      </w:r>
      <w:r w:rsidR="00944D71">
        <w:rPr>
          <w:lang w:val="en-CA"/>
        </w:rPr>
        <w:t>privilege</w:t>
      </w:r>
      <w:r w:rsidR="00944D71" w:rsidRPr="00CF3D68">
        <w:rPr>
          <w:lang w:val="en-CA"/>
        </w:rPr>
        <w:t xml:space="preserve"> </w:t>
      </w:r>
      <w:r w:rsidRPr="00CF3D68">
        <w:rPr>
          <w:lang w:val="en-CA"/>
        </w:rPr>
        <w:t xml:space="preserve">and that to prevent the serious risk of </w:t>
      </w:r>
      <w:r w:rsidR="00134439">
        <w:rPr>
          <w:lang w:val="en-CA"/>
        </w:rPr>
        <w:t>prejudice</w:t>
      </w:r>
      <w:r w:rsidRPr="00CF3D68">
        <w:rPr>
          <w:lang w:val="en-CA"/>
        </w:rPr>
        <w:t xml:space="preserve"> to the ongoing investigation</w:t>
      </w:r>
      <w:r w:rsidR="00D60B1B">
        <w:rPr>
          <w:lang w:val="en-CA"/>
        </w:rPr>
        <w:t>,</w:t>
      </w:r>
      <w:r w:rsidR="00D60B1B" w:rsidRPr="00D60B1B">
        <w:rPr>
          <w:lang w:val="en-CA"/>
        </w:rPr>
        <w:t xml:space="preserve"> </w:t>
      </w:r>
      <w:r w:rsidR="00D60B1B" w:rsidRPr="00CF3D68">
        <w:rPr>
          <w:lang w:val="en-CA"/>
        </w:rPr>
        <w:t>these facts should not be made public</w:t>
      </w:r>
      <w:r w:rsidRPr="00CF3D68">
        <w:rPr>
          <w:lang w:val="en-CA"/>
        </w:rPr>
        <w:t>.</w:t>
      </w:r>
      <w:r w:rsidR="00A97401" w:rsidRPr="00CF3D68">
        <w:rPr>
          <w:lang w:val="en-CA"/>
        </w:rPr>
        <w:t xml:space="preserve"> </w:t>
      </w:r>
    </w:p>
    <w:p w14:paraId="063350E4" w14:textId="77970D85" w:rsidR="005A47BC" w:rsidRPr="00CF3D68" w:rsidRDefault="00667C93" w:rsidP="00136A08">
      <w:pPr>
        <w:pStyle w:val="Paragraphe"/>
        <w:rPr>
          <w:lang w:val="en-CA"/>
        </w:rPr>
      </w:pPr>
      <w:r w:rsidRPr="00CF3D68">
        <w:rPr>
          <w:lang w:val="en-CA"/>
        </w:rPr>
        <w:t>Given the stage of the investigation</w:t>
      </w:r>
      <w:r w:rsidR="00D60B1B">
        <w:rPr>
          <w:lang w:val="en-CA"/>
        </w:rPr>
        <w:t xml:space="preserve"> and</w:t>
      </w:r>
      <w:r w:rsidRPr="00CF3D68">
        <w:rPr>
          <w:lang w:val="en-CA"/>
        </w:rPr>
        <w:t xml:space="preserve"> the next steps, the Court finds that the benefits of keeping these details confidential </w:t>
      </w:r>
      <w:r w:rsidR="00D60B1B">
        <w:rPr>
          <w:lang w:val="en-CA"/>
        </w:rPr>
        <w:t>outweigh</w:t>
      </w:r>
      <w:r w:rsidRPr="00CF3D68">
        <w:rPr>
          <w:lang w:val="en-CA"/>
        </w:rPr>
        <w:t xml:space="preserve"> its negative effects.</w:t>
      </w:r>
      <w:r w:rsidR="001F7521" w:rsidRPr="00CF3D68">
        <w:rPr>
          <w:lang w:val="en-CA"/>
        </w:rPr>
        <w:t xml:space="preserve"> </w:t>
      </w:r>
    </w:p>
    <w:p w14:paraId="156A05D3" w14:textId="1A0C175D" w:rsidR="005A47BC" w:rsidRPr="00CF3D68" w:rsidRDefault="00667C93" w:rsidP="00136A08">
      <w:pPr>
        <w:pStyle w:val="Paragraphe"/>
        <w:rPr>
          <w:lang w:val="en-CA"/>
        </w:rPr>
      </w:pPr>
      <w:r w:rsidRPr="00CF3D68">
        <w:rPr>
          <w:lang w:val="en-CA"/>
        </w:rPr>
        <w:t>However, the Court disagrees with the DCPP</w:t>
      </w:r>
      <w:r w:rsidR="00D60B1B" w:rsidRPr="00D60B1B">
        <w:rPr>
          <w:lang w:val="en-CA"/>
        </w:rPr>
        <w:t xml:space="preserve"> </w:t>
      </w:r>
      <w:r w:rsidR="00D60B1B">
        <w:rPr>
          <w:lang w:val="en-CA"/>
        </w:rPr>
        <w:t>on</w:t>
      </w:r>
      <w:r w:rsidR="00D60B1B" w:rsidRPr="00CF3D68">
        <w:rPr>
          <w:lang w:val="en-CA"/>
        </w:rPr>
        <w:t xml:space="preserve"> the type of hearing</w:t>
      </w:r>
      <w:r w:rsidR="00D60B1B">
        <w:rPr>
          <w:lang w:val="en-CA"/>
        </w:rPr>
        <w:t xml:space="preserve"> to be held</w:t>
      </w:r>
      <w:r w:rsidRPr="00CF3D68">
        <w:rPr>
          <w:lang w:val="en-CA"/>
        </w:rPr>
        <w:t>.</w:t>
      </w:r>
      <w:r w:rsidR="001F7521" w:rsidRPr="00CF3D68">
        <w:rPr>
          <w:lang w:val="en-CA"/>
        </w:rPr>
        <w:t xml:space="preserve"> </w:t>
      </w:r>
      <w:r w:rsidRPr="00CF3D68">
        <w:rPr>
          <w:lang w:val="en-CA"/>
        </w:rPr>
        <w:t xml:space="preserve">The Court finds that the confidentiality of the investigation may be protected without proceeding in chambers or completely </w:t>
      </w:r>
      <w:r w:rsidRPr="00CF3D68">
        <w:rPr>
          <w:i/>
          <w:lang w:val="en-CA"/>
        </w:rPr>
        <w:t>in camera</w:t>
      </w:r>
      <w:r w:rsidRPr="00CF3D68">
        <w:rPr>
          <w:lang w:val="en-CA"/>
        </w:rPr>
        <w:t>.</w:t>
      </w:r>
      <w:r w:rsidR="001F7521" w:rsidRPr="00CF3D68">
        <w:rPr>
          <w:lang w:val="en-CA"/>
        </w:rPr>
        <w:t xml:space="preserve"> </w:t>
      </w:r>
    </w:p>
    <w:p w14:paraId="3351C8AE" w14:textId="7B0EE52D" w:rsidR="005A47BC" w:rsidRPr="00CF3D68" w:rsidRDefault="00667C93" w:rsidP="00136A08">
      <w:pPr>
        <w:pStyle w:val="Paragraphe"/>
        <w:rPr>
          <w:lang w:val="en-CA"/>
        </w:rPr>
      </w:pPr>
      <w:r w:rsidRPr="00CF3D68">
        <w:rPr>
          <w:lang w:val="en-CA"/>
        </w:rPr>
        <w:lastRenderedPageBreak/>
        <w:t xml:space="preserve">Even before the Supreme Court’s recent decision in </w:t>
      </w:r>
      <w:r w:rsidRPr="00CF3D68">
        <w:rPr>
          <w:i/>
          <w:lang w:val="en-CA"/>
        </w:rPr>
        <w:t>Canadian Broadcasting Corp. v. Named Person</w:t>
      </w:r>
      <w:r w:rsidRPr="00CF3D68">
        <w:rPr>
          <w:lang w:val="en-CA"/>
        </w:rPr>
        <w:t>, courts tried, as they should,</w:t>
      </w:r>
      <w:r w:rsidRPr="00CF3D68">
        <w:rPr>
          <w:rStyle w:val="Appelnotedebasdep"/>
          <w:lang w:val="en-CA"/>
        </w:rPr>
        <w:footnoteReference w:id="41"/>
      </w:r>
      <w:r w:rsidRPr="00CF3D68">
        <w:rPr>
          <w:lang w:val="en-CA"/>
        </w:rPr>
        <w:t xml:space="preserve"> to proceed in public as much as possible and limited the </w:t>
      </w:r>
      <w:r w:rsidRPr="00CF3D68">
        <w:rPr>
          <w:i/>
          <w:lang w:val="en-CA"/>
        </w:rPr>
        <w:t>in camera</w:t>
      </w:r>
      <w:r w:rsidRPr="00CF3D68">
        <w:rPr>
          <w:lang w:val="en-CA"/>
        </w:rPr>
        <w:t xml:space="preserve"> portions to what was </w:t>
      </w:r>
      <w:r w:rsidR="00D60B1B">
        <w:rPr>
          <w:lang w:val="en-CA"/>
        </w:rPr>
        <w:t>strictly</w:t>
      </w:r>
      <w:r w:rsidRPr="00CF3D68">
        <w:rPr>
          <w:lang w:val="en-CA"/>
        </w:rPr>
        <w:t xml:space="preserve"> necessary.  </w:t>
      </w:r>
    </w:p>
    <w:p w14:paraId="55DDD760" w14:textId="31CE1805" w:rsidR="001E14A1" w:rsidRPr="00CF3D68" w:rsidRDefault="00667C93" w:rsidP="00136A08">
      <w:pPr>
        <w:pStyle w:val="Paragraphe"/>
        <w:rPr>
          <w:lang w:val="en-CA"/>
        </w:rPr>
      </w:pPr>
      <w:r w:rsidRPr="00CF3D68">
        <w:rPr>
          <w:lang w:val="en-CA"/>
        </w:rPr>
        <w:t xml:space="preserve">As a result, after </w:t>
      </w:r>
      <w:r w:rsidR="00D60B1B">
        <w:rPr>
          <w:lang w:val="en-CA"/>
        </w:rPr>
        <w:t>balanc</w:t>
      </w:r>
      <w:r w:rsidRPr="00CF3D68">
        <w:rPr>
          <w:lang w:val="en-CA"/>
        </w:rPr>
        <w:t xml:space="preserve">ing the interests of justice and </w:t>
      </w:r>
      <w:r w:rsidR="00D60B1B">
        <w:rPr>
          <w:lang w:val="en-CA"/>
        </w:rPr>
        <w:t xml:space="preserve">those of </w:t>
      </w:r>
      <w:r w:rsidRPr="00CF3D68">
        <w:rPr>
          <w:lang w:val="en-CA"/>
        </w:rPr>
        <w:t>access to information,</w:t>
      </w:r>
      <w:r w:rsidRPr="00CF3D68">
        <w:rPr>
          <w:rStyle w:val="Appelnotedebasdep"/>
          <w:lang w:val="en-CA"/>
        </w:rPr>
        <w:footnoteReference w:id="42"/>
      </w:r>
      <w:r w:rsidRPr="00CF3D68">
        <w:rPr>
          <w:lang w:val="en-CA"/>
        </w:rPr>
        <w:t xml:space="preserve"> the Court </w:t>
      </w:r>
      <w:r w:rsidR="00D60B1B">
        <w:rPr>
          <w:lang w:val="en-CA"/>
        </w:rPr>
        <w:t xml:space="preserve">is of the view </w:t>
      </w:r>
      <w:r w:rsidRPr="00CF3D68">
        <w:rPr>
          <w:lang w:val="en-CA"/>
        </w:rPr>
        <w:t xml:space="preserve">that there is no need </w:t>
      </w:r>
      <w:r w:rsidR="00D60B1B">
        <w:rPr>
          <w:lang w:val="en-CA"/>
        </w:rPr>
        <w:t xml:space="preserve">in this case </w:t>
      </w:r>
      <w:r w:rsidRPr="00CF3D68">
        <w:rPr>
          <w:lang w:val="en-CA"/>
        </w:rPr>
        <w:t xml:space="preserve">to proceed </w:t>
      </w:r>
      <w:r w:rsidRPr="00CF3D68">
        <w:rPr>
          <w:u w:val="single"/>
          <w:lang w:val="en-CA"/>
        </w:rPr>
        <w:t>entirely</w:t>
      </w:r>
      <w:r w:rsidRPr="00CF3D68">
        <w:rPr>
          <w:lang w:val="en-CA"/>
        </w:rPr>
        <w:t xml:space="preserve"> </w:t>
      </w:r>
      <w:r w:rsidRPr="00CF3D68">
        <w:rPr>
          <w:i/>
          <w:lang w:val="en-CA"/>
        </w:rPr>
        <w:t>in camera</w:t>
      </w:r>
      <w:r w:rsidRPr="00CF3D68">
        <w:rPr>
          <w:lang w:val="en-CA"/>
        </w:rPr>
        <w:t xml:space="preserve"> and that the risk may be prevented considering</w:t>
      </w:r>
      <w:r w:rsidR="00D60B1B">
        <w:rPr>
          <w:lang w:val="en-CA"/>
        </w:rPr>
        <w:t xml:space="preserve"> that</w:t>
      </w:r>
      <w:r w:rsidRPr="00CF3D68">
        <w:rPr>
          <w:lang w:val="en-CA"/>
        </w:rPr>
        <w:t>:</w:t>
      </w:r>
    </w:p>
    <w:p w14:paraId="72901FDD" w14:textId="7019DA25" w:rsidR="001E14A1" w:rsidRPr="00CF3D68" w:rsidRDefault="00D60B1B" w:rsidP="00CE3CA7">
      <w:pPr>
        <w:pStyle w:val="Sous-paragraphe"/>
        <w:tabs>
          <w:tab w:val="clear" w:pos="792"/>
        </w:tabs>
        <w:ind w:left="709" w:firstLine="0"/>
        <w:rPr>
          <w:lang w:val="en-CA"/>
        </w:rPr>
      </w:pPr>
      <w:r>
        <w:rPr>
          <w:lang w:val="en-CA"/>
        </w:rPr>
        <w:t>A</w:t>
      </w:r>
      <w:r w:rsidR="00156ACD" w:rsidRPr="00CF3D68">
        <w:rPr>
          <w:lang w:val="en-CA"/>
        </w:rPr>
        <w:t xml:space="preserve">ll the information that </w:t>
      </w:r>
      <w:r>
        <w:rPr>
          <w:lang w:val="en-CA"/>
        </w:rPr>
        <w:t>c</w:t>
      </w:r>
      <w:r w:rsidR="00156ACD" w:rsidRPr="00CF3D68">
        <w:rPr>
          <w:lang w:val="en-CA"/>
        </w:rPr>
        <w:t>ould reveal the investigation is redacted</w:t>
      </w:r>
      <w:r w:rsidR="00D20524" w:rsidRPr="00CF3D68">
        <w:rPr>
          <w:lang w:val="en-CA"/>
        </w:rPr>
        <w:t xml:space="preserve">, </w:t>
      </w:r>
      <w:r w:rsidR="00156ACD" w:rsidRPr="00CF3D68">
        <w:rPr>
          <w:lang w:val="en-CA"/>
        </w:rPr>
        <w:t>including the investigating body</w:t>
      </w:r>
      <w:r w:rsidR="00D20524" w:rsidRPr="00CF3D68">
        <w:rPr>
          <w:lang w:val="en-CA"/>
        </w:rPr>
        <w:t xml:space="preserve">, </w:t>
      </w:r>
      <w:r w:rsidR="00156ACD" w:rsidRPr="00CF3D68">
        <w:rPr>
          <w:lang w:val="en-CA"/>
        </w:rPr>
        <w:t>the</w:t>
      </w:r>
      <w:r w:rsidR="00D20524" w:rsidRPr="00CF3D68">
        <w:rPr>
          <w:lang w:val="en-CA"/>
        </w:rPr>
        <w:t xml:space="preserve"> nature </w:t>
      </w:r>
      <w:r w:rsidR="00156ACD" w:rsidRPr="00CF3D68">
        <w:rPr>
          <w:lang w:val="en-CA"/>
        </w:rPr>
        <w:t>of the offences being investigated</w:t>
      </w:r>
      <w:r w:rsidR="00D20524" w:rsidRPr="00CF3D68">
        <w:rPr>
          <w:lang w:val="en-CA"/>
        </w:rPr>
        <w:t xml:space="preserve">, </w:t>
      </w:r>
      <w:r w:rsidR="00156ACD" w:rsidRPr="00CF3D68">
        <w:rPr>
          <w:lang w:val="en-CA"/>
        </w:rPr>
        <w:t>the location of the offences</w:t>
      </w:r>
      <w:r w:rsidR="00D20524" w:rsidRPr="00CF3D68">
        <w:rPr>
          <w:lang w:val="en-CA"/>
        </w:rPr>
        <w:t xml:space="preserve">, </w:t>
      </w:r>
      <w:r w:rsidR="00156ACD" w:rsidRPr="00CF3D68">
        <w:rPr>
          <w:lang w:val="en-CA"/>
        </w:rPr>
        <w:t>the period covered by the investigation and</w:t>
      </w:r>
      <w:r w:rsidR="00D20524" w:rsidRPr="00CF3D68">
        <w:rPr>
          <w:lang w:val="en-CA"/>
        </w:rPr>
        <w:t xml:space="preserve">, </w:t>
      </w:r>
      <w:r>
        <w:rPr>
          <w:lang w:val="en-CA"/>
        </w:rPr>
        <w:t>obviously</w:t>
      </w:r>
      <w:r w:rsidR="00D20524" w:rsidRPr="00CF3D68">
        <w:rPr>
          <w:lang w:val="en-CA"/>
        </w:rPr>
        <w:t xml:space="preserve">, </w:t>
      </w:r>
      <w:r w:rsidR="00156ACD" w:rsidRPr="00CF3D68">
        <w:rPr>
          <w:lang w:val="en-CA"/>
        </w:rPr>
        <w:t xml:space="preserve">the </w:t>
      </w:r>
      <w:r w:rsidR="00D20524" w:rsidRPr="00CF3D68">
        <w:rPr>
          <w:lang w:val="en-CA"/>
        </w:rPr>
        <w:t>suspects;</w:t>
      </w:r>
    </w:p>
    <w:p w14:paraId="63F45AF0" w14:textId="0F0DCEE4" w:rsidR="00CE3CA7" w:rsidRPr="00CF3D68" w:rsidRDefault="00D60B1B" w:rsidP="00CE3CA7">
      <w:pPr>
        <w:pStyle w:val="Sous-paragraphe"/>
        <w:tabs>
          <w:tab w:val="clear" w:pos="792"/>
        </w:tabs>
        <w:ind w:left="709" w:firstLine="0"/>
        <w:rPr>
          <w:lang w:val="en-CA"/>
        </w:rPr>
      </w:pPr>
      <w:r>
        <w:rPr>
          <w:lang w:val="en-CA"/>
        </w:rPr>
        <w:t>The f</w:t>
      </w:r>
      <w:r w:rsidR="00A322AC" w:rsidRPr="00CF3D68">
        <w:rPr>
          <w:lang w:val="en-CA"/>
        </w:rPr>
        <w:t xml:space="preserve">iling </w:t>
      </w:r>
      <w:r>
        <w:rPr>
          <w:lang w:val="en-CA"/>
        </w:rPr>
        <w:t xml:space="preserve">of </w:t>
      </w:r>
      <w:r w:rsidR="00A322AC" w:rsidRPr="00CF3D68">
        <w:rPr>
          <w:lang w:val="en-CA"/>
        </w:rPr>
        <w:t xml:space="preserve">sealed </w:t>
      </w:r>
      <w:r w:rsidR="001F7521" w:rsidRPr="00CF3D68">
        <w:rPr>
          <w:lang w:val="en-CA"/>
        </w:rPr>
        <w:t>documents (</w:t>
      </w:r>
      <w:r w:rsidR="00A322AC" w:rsidRPr="00CF3D68">
        <w:rPr>
          <w:lang w:val="en-CA"/>
        </w:rPr>
        <w:t xml:space="preserve">motion and </w:t>
      </w:r>
      <w:r w:rsidR="001F7521" w:rsidRPr="00CF3D68">
        <w:rPr>
          <w:lang w:val="en-CA"/>
        </w:rPr>
        <w:t xml:space="preserve">affidavits) </w:t>
      </w:r>
      <w:r w:rsidR="00A322AC" w:rsidRPr="00CF3D68">
        <w:rPr>
          <w:lang w:val="en-CA"/>
        </w:rPr>
        <w:t>allows the Court to review the evidence without a witness</w:t>
      </w:r>
      <w:r>
        <w:rPr>
          <w:lang w:val="en-CA"/>
        </w:rPr>
        <w:t xml:space="preserve"> being examined</w:t>
      </w:r>
      <w:r w:rsidR="001F7521" w:rsidRPr="00CF3D68">
        <w:rPr>
          <w:lang w:val="en-CA"/>
        </w:rPr>
        <w:t>;</w:t>
      </w:r>
    </w:p>
    <w:p w14:paraId="7157E95E" w14:textId="11C1E00C" w:rsidR="00CE3CA7" w:rsidRPr="00CF3D68" w:rsidRDefault="00A322AC" w:rsidP="00CE3CA7">
      <w:pPr>
        <w:pStyle w:val="Sous-paragraphe"/>
        <w:tabs>
          <w:tab w:val="clear" w:pos="792"/>
        </w:tabs>
        <w:ind w:left="709" w:firstLine="0"/>
        <w:rPr>
          <w:lang w:val="en-CA"/>
        </w:rPr>
      </w:pPr>
      <w:r w:rsidRPr="00CF3D68">
        <w:rPr>
          <w:lang w:val="en-CA"/>
        </w:rPr>
        <w:t>Th</w:t>
      </w:r>
      <w:r w:rsidR="001F7521" w:rsidRPr="00CF3D68">
        <w:rPr>
          <w:lang w:val="en-CA"/>
        </w:rPr>
        <w:t>e DC</w:t>
      </w:r>
      <w:r w:rsidRPr="00CF3D68">
        <w:rPr>
          <w:lang w:val="en-CA"/>
        </w:rPr>
        <w:t>P</w:t>
      </w:r>
      <w:r w:rsidR="001F7521" w:rsidRPr="00CF3D68">
        <w:rPr>
          <w:lang w:val="en-CA"/>
        </w:rPr>
        <w:t xml:space="preserve">P </w:t>
      </w:r>
      <w:r w:rsidR="00D60B1B">
        <w:rPr>
          <w:lang w:val="en-CA"/>
        </w:rPr>
        <w:t>i</w:t>
      </w:r>
      <w:r w:rsidRPr="00CF3D68">
        <w:rPr>
          <w:lang w:val="en-CA"/>
        </w:rPr>
        <w:t xml:space="preserve">s fully aware </w:t>
      </w:r>
      <w:r w:rsidR="00D60B1B">
        <w:rPr>
          <w:lang w:val="en-CA"/>
        </w:rPr>
        <w:t xml:space="preserve">of </w:t>
      </w:r>
      <w:r w:rsidRPr="00CF3D68">
        <w:rPr>
          <w:lang w:val="en-CA"/>
        </w:rPr>
        <w:t xml:space="preserve">the ongoing investigation </w:t>
      </w:r>
      <w:r w:rsidR="00D60B1B">
        <w:rPr>
          <w:lang w:val="en-CA"/>
        </w:rPr>
        <w:t xml:space="preserve">and can act accordingly to </w:t>
      </w:r>
      <w:r w:rsidRPr="00CF3D68">
        <w:rPr>
          <w:lang w:val="en-CA"/>
        </w:rPr>
        <w:t xml:space="preserve">avoid </w:t>
      </w:r>
      <w:r w:rsidR="00D60B1B">
        <w:rPr>
          <w:lang w:val="en-CA"/>
        </w:rPr>
        <w:t xml:space="preserve">mentioning </w:t>
      </w:r>
      <w:r w:rsidRPr="00CF3D68">
        <w:rPr>
          <w:lang w:val="en-CA"/>
        </w:rPr>
        <w:t>privileged information</w:t>
      </w:r>
      <w:r w:rsidR="001F7521" w:rsidRPr="00CF3D68">
        <w:rPr>
          <w:lang w:val="en-CA"/>
        </w:rPr>
        <w:t xml:space="preserve">; </w:t>
      </w:r>
      <w:r w:rsidRPr="00CF3D68">
        <w:rPr>
          <w:lang w:val="en-CA"/>
        </w:rPr>
        <w:t>and</w:t>
      </w:r>
    </w:p>
    <w:p w14:paraId="789F033D" w14:textId="3D9F79E7" w:rsidR="00D20524" w:rsidRPr="00CF3D68" w:rsidRDefault="00DC2CF3" w:rsidP="00CE3CA7">
      <w:pPr>
        <w:pStyle w:val="Sous-paragraphe"/>
        <w:tabs>
          <w:tab w:val="clear" w:pos="792"/>
        </w:tabs>
        <w:ind w:left="709" w:firstLine="0"/>
        <w:rPr>
          <w:lang w:val="en-CA"/>
        </w:rPr>
      </w:pPr>
      <w:r>
        <w:rPr>
          <w:lang w:val="en-CA"/>
        </w:rPr>
        <w:t>A</w:t>
      </w:r>
      <w:r w:rsidR="000E0D19">
        <w:rPr>
          <w:lang w:val="en-CA"/>
        </w:rPr>
        <w:t xml:space="preserve"> partial</w:t>
      </w:r>
      <w:r>
        <w:rPr>
          <w:lang w:val="en-CA"/>
        </w:rPr>
        <w:t xml:space="preserve"> </w:t>
      </w:r>
      <w:r w:rsidRPr="001C16D7">
        <w:rPr>
          <w:i/>
          <w:iCs/>
          <w:lang w:val="en-CA"/>
        </w:rPr>
        <w:t>i</w:t>
      </w:r>
      <w:r w:rsidR="00156ACD" w:rsidRPr="00CF3D68">
        <w:rPr>
          <w:i/>
          <w:iCs/>
          <w:lang w:val="en-CA"/>
        </w:rPr>
        <w:t>n camera</w:t>
      </w:r>
      <w:r w:rsidR="00156ACD" w:rsidRPr="00CF3D68">
        <w:rPr>
          <w:lang w:val="en-CA"/>
        </w:rPr>
        <w:t xml:space="preserve"> </w:t>
      </w:r>
      <w:r>
        <w:rPr>
          <w:lang w:val="en-CA"/>
        </w:rPr>
        <w:t xml:space="preserve">hearing </w:t>
      </w:r>
      <w:r w:rsidR="00156ACD" w:rsidRPr="00CF3D68">
        <w:rPr>
          <w:lang w:val="en-CA"/>
        </w:rPr>
        <w:t>is still possible</w:t>
      </w:r>
      <w:r w:rsidR="00D60B1B">
        <w:rPr>
          <w:lang w:val="en-CA"/>
        </w:rPr>
        <w:t xml:space="preserve"> if needed</w:t>
      </w:r>
      <w:r w:rsidR="001F7521" w:rsidRPr="00CF3D68">
        <w:rPr>
          <w:lang w:val="en-CA"/>
        </w:rPr>
        <w:t xml:space="preserve">. </w:t>
      </w:r>
    </w:p>
    <w:p w14:paraId="5E0F05D9" w14:textId="76FA716C" w:rsidR="00A97142" w:rsidRPr="00CF3D68" w:rsidRDefault="00156ACD" w:rsidP="00136A08">
      <w:pPr>
        <w:pStyle w:val="Paragraphe"/>
        <w:rPr>
          <w:lang w:val="en-CA"/>
        </w:rPr>
      </w:pPr>
      <w:r w:rsidRPr="00CF3D68">
        <w:rPr>
          <w:lang w:val="en-CA"/>
        </w:rPr>
        <w:t>Thus</w:t>
      </w:r>
      <w:r w:rsidR="001F7521" w:rsidRPr="00CF3D68">
        <w:rPr>
          <w:lang w:val="en-CA"/>
        </w:rPr>
        <w:t xml:space="preserve">, </w:t>
      </w:r>
      <w:r w:rsidRPr="00CF3D68">
        <w:rPr>
          <w:lang w:val="en-CA"/>
        </w:rPr>
        <w:t>the other measures implemented</w:t>
      </w:r>
      <w:r w:rsidR="001F7521" w:rsidRPr="00CF3D68">
        <w:rPr>
          <w:lang w:val="en-CA"/>
        </w:rPr>
        <w:t xml:space="preserve"> (</w:t>
      </w:r>
      <w:r w:rsidRPr="00CF3D68">
        <w:rPr>
          <w:lang w:val="en-CA"/>
        </w:rPr>
        <w:t>written arguments and documentary evidence</w:t>
      </w:r>
      <w:r w:rsidR="001F7521" w:rsidRPr="00CF3D68">
        <w:rPr>
          <w:lang w:val="en-CA"/>
        </w:rPr>
        <w:t>, ord</w:t>
      </w:r>
      <w:r w:rsidRPr="00CF3D68">
        <w:rPr>
          <w:lang w:val="en-CA"/>
        </w:rPr>
        <w:t>er to seal unredacted documents</w:t>
      </w:r>
      <w:r w:rsidR="001F7521" w:rsidRPr="00CF3D68">
        <w:rPr>
          <w:lang w:val="en-CA"/>
        </w:rPr>
        <w:t xml:space="preserve">, </w:t>
      </w:r>
      <w:r w:rsidR="007C1DD0">
        <w:rPr>
          <w:lang w:val="en-CA"/>
        </w:rPr>
        <w:t xml:space="preserve">possibility of </w:t>
      </w:r>
      <w:r w:rsidRPr="00CF3D68">
        <w:rPr>
          <w:lang w:val="en-CA"/>
        </w:rPr>
        <w:t xml:space="preserve">partial </w:t>
      </w:r>
      <w:r w:rsidRPr="00CF3D68">
        <w:rPr>
          <w:i/>
          <w:iCs/>
          <w:lang w:val="en-CA"/>
        </w:rPr>
        <w:t>in camera</w:t>
      </w:r>
      <w:r w:rsidR="001F7521" w:rsidRPr="00CF3D68">
        <w:rPr>
          <w:lang w:val="en-CA"/>
        </w:rPr>
        <w:t xml:space="preserve">) </w:t>
      </w:r>
      <w:r w:rsidRPr="00CF3D68">
        <w:rPr>
          <w:lang w:val="en-CA"/>
        </w:rPr>
        <w:t xml:space="preserve">mitigate the risk of </w:t>
      </w:r>
      <w:r w:rsidR="00134439">
        <w:rPr>
          <w:lang w:val="en-CA"/>
        </w:rPr>
        <w:t>prejudice</w:t>
      </w:r>
      <w:r w:rsidRPr="00CF3D68">
        <w:rPr>
          <w:lang w:val="en-CA"/>
        </w:rPr>
        <w:t xml:space="preserve"> to the investigation</w:t>
      </w:r>
      <w:r w:rsidR="001F7521" w:rsidRPr="00CF3D68">
        <w:rPr>
          <w:lang w:val="en-CA"/>
        </w:rPr>
        <w:t xml:space="preserve">. </w:t>
      </w:r>
      <w:r w:rsidRPr="00CF3D68">
        <w:rPr>
          <w:lang w:val="en-CA"/>
        </w:rPr>
        <w:t>In fact</w:t>
      </w:r>
      <w:r w:rsidR="001F7521" w:rsidRPr="00CF3D68">
        <w:rPr>
          <w:lang w:val="en-CA"/>
        </w:rPr>
        <w:t xml:space="preserve">, </w:t>
      </w:r>
      <w:r w:rsidR="007C1DD0">
        <w:rPr>
          <w:lang w:val="en-CA"/>
        </w:rPr>
        <w:t xml:space="preserve">because there is no </w:t>
      </w:r>
      <w:r w:rsidRPr="00CF3D68">
        <w:rPr>
          <w:lang w:val="en-CA"/>
        </w:rPr>
        <w:t>connection between the facts of the case and the investigation</w:t>
      </w:r>
      <w:r w:rsidR="001F7521" w:rsidRPr="00CF3D68">
        <w:rPr>
          <w:lang w:val="en-CA"/>
        </w:rPr>
        <w:t xml:space="preserve">, </w:t>
      </w:r>
      <w:r w:rsidRPr="00CF3D68">
        <w:rPr>
          <w:lang w:val="en-CA"/>
        </w:rPr>
        <w:t>the hearing may be held, at least in large part</w:t>
      </w:r>
      <w:r w:rsidR="001F7521" w:rsidRPr="00CF3D68">
        <w:rPr>
          <w:lang w:val="en-CA"/>
        </w:rPr>
        <w:t xml:space="preserve">, </w:t>
      </w:r>
      <w:r w:rsidRPr="00CF3D68">
        <w:rPr>
          <w:lang w:val="en-CA"/>
        </w:rPr>
        <w:t xml:space="preserve">in public without the risk of disclosing information that </w:t>
      </w:r>
      <w:r w:rsidR="007C1DD0">
        <w:rPr>
          <w:lang w:val="en-CA"/>
        </w:rPr>
        <w:t xml:space="preserve">might </w:t>
      </w:r>
      <w:r w:rsidRPr="00CF3D68">
        <w:rPr>
          <w:lang w:val="en-CA"/>
        </w:rPr>
        <w:t>reveal the ongoing investigation</w:t>
      </w:r>
      <w:r w:rsidR="001F7521" w:rsidRPr="00CF3D68">
        <w:rPr>
          <w:lang w:val="en-CA"/>
        </w:rPr>
        <w:t xml:space="preserve">. </w:t>
      </w:r>
      <w:r w:rsidRPr="00CF3D68">
        <w:rPr>
          <w:lang w:val="en-CA"/>
        </w:rPr>
        <w:t xml:space="preserve">The applicant has </w:t>
      </w:r>
      <w:r w:rsidR="007C1DD0">
        <w:rPr>
          <w:lang w:val="en-CA"/>
        </w:rPr>
        <w:t xml:space="preserve">failed to </w:t>
      </w:r>
      <w:r w:rsidRPr="00CF3D68">
        <w:rPr>
          <w:lang w:val="en-CA"/>
        </w:rPr>
        <w:t>convince the Court that a</w:t>
      </w:r>
      <w:r w:rsidR="00D77CFA">
        <w:rPr>
          <w:lang w:val="en-CA"/>
        </w:rPr>
        <w:t>n</w:t>
      </w:r>
      <w:r w:rsidRPr="00CF3D68">
        <w:rPr>
          <w:lang w:val="en-CA"/>
        </w:rPr>
        <w:t xml:space="preserve"> </w:t>
      </w:r>
      <w:r w:rsidR="00D77CFA">
        <w:rPr>
          <w:lang w:val="en-CA"/>
        </w:rPr>
        <w:t xml:space="preserve">entirely </w:t>
      </w:r>
      <w:r w:rsidRPr="00CF3D68">
        <w:rPr>
          <w:i/>
          <w:iCs/>
          <w:lang w:val="en-CA"/>
        </w:rPr>
        <w:t>in camera</w:t>
      </w:r>
      <w:r w:rsidRPr="00CF3D68">
        <w:rPr>
          <w:lang w:val="en-CA"/>
        </w:rPr>
        <w:t xml:space="preserve"> hearing or a hearing in chambers is required</w:t>
      </w:r>
      <w:r w:rsidR="001F7521" w:rsidRPr="00CF3D68">
        <w:rPr>
          <w:lang w:val="en-CA"/>
        </w:rPr>
        <w:t xml:space="preserve">. </w:t>
      </w:r>
    </w:p>
    <w:p w14:paraId="47E9A351" w14:textId="6AA73699" w:rsidR="00124146" w:rsidRPr="00CF3D68" w:rsidRDefault="007C1DD0" w:rsidP="00136A08">
      <w:pPr>
        <w:pStyle w:val="Paragraphe"/>
        <w:rPr>
          <w:lang w:val="en-CA"/>
        </w:rPr>
      </w:pPr>
      <w:r>
        <w:rPr>
          <w:lang w:val="en-CA"/>
        </w:rPr>
        <w:t xml:space="preserve">Some </w:t>
      </w:r>
      <w:r w:rsidR="00156ACD" w:rsidRPr="00CF3D68">
        <w:rPr>
          <w:lang w:val="en-CA"/>
        </w:rPr>
        <w:t xml:space="preserve">might think that a </w:t>
      </w:r>
      <w:r>
        <w:rPr>
          <w:lang w:val="en-CA"/>
        </w:rPr>
        <w:t xml:space="preserve">hearing entirely </w:t>
      </w:r>
      <w:r w:rsidR="00156ACD" w:rsidRPr="00CF3D68">
        <w:rPr>
          <w:i/>
          <w:iCs/>
          <w:lang w:val="en-CA"/>
        </w:rPr>
        <w:t>in camera</w:t>
      </w:r>
      <w:r w:rsidR="00156ACD" w:rsidRPr="00CF3D68">
        <w:rPr>
          <w:lang w:val="en-CA"/>
        </w:rPr>
        <w:t xml:space="preserve"> is no</w:t>
      </w:r>
      <w:r>
        <w:rPr>
          <w:lang w:val="en-CA"/>
        </w:rPr>
        <w:t>t very</w:t>
      </w:r>
      <w:r w:rsidR="00156ACD" w:rsidRPr="00CF3D68">
        <w:rPr>
          <w:lang w:val="en-CA"/>
        </w:rPr>
        <w:t xml:space="preserve"> different from a public hearing </w:t>
      </w:r>
      <w:r>
        <w:rPr>
          <w:lang w:val="en-CA"/>
        </w:rPr>
        <w:t xml:space="preserve">where </w:t>
      </w:r>
      <w:r w:rsidR="00156ACD" w:rsidRPr="00CF3D68">
        <w:rPr>
          <w:lang w:val="en-CA"/>
        </w:rPr>
        <w:t xml:space="preserve">confidential facts </w:t>
      </w:r>
      <w:r>
        <w:rPr>
          <w:lang w:val="en-CA"/>
        </w:rPr>
        <w:t xml:space="preserve">are not </w:t>
      </w:r>
      <w:r w:rsidR="00156ACD" w:rsidRPr="00CF3D68">
        <w:rPr>
          <w:lang w:val="en-CA"/>
        </w:rPr>
        <w:t>openly</w:t>
      </w:r>
      <w:r>
        <w:rPr>
          <w:lang w:val="en-CA"/>
        </w:rPr>
        <w:t xml:space="preserve"> discussed</w:t>
      </w:r>
      <w:r w:rsidR="00F94B94" w:rsidRPr="00CF3D68">
        <w:rPr>
          <w:lang w:val="en-CA"/>
        </w:rPr>
        <w:t xml:space="preserve">. </w:t>
      </w:r>
      <w:r w:rsidR="00156ACD" w:rsidRPr="00CF3D68">
        <w:rPr>
          <w:lang w:val="en-CA"/>
        </w:rPr>
        <w:t>The Court disagrees</w:t>
      </w:r>
      <w:r w:rsidR="00F94B94" w:rsidRPr="00CF3D68">
        <w:rPr>
          <w:lang w:val="en-CA"/>
        </w:rPr>
        <w:t xml:space="preserve">. </w:t>
      </w:r>
      <w:r>
        <w:rPr>
          <w:lang w:val="en-CA"/>
        </w:rPr>
        <w:t>In a</w:t>
      </w:r>
      <w:r w:rsidR="00156ACD" w:rsidRPr="00CF3D68">
        <w:rPr>
          <w:lang w:val="en-CA"/>
        </w:rPr>
        <w:t xml:space="preserve"> public hearing</w:t>
      </w:r>
      <w:r>
        <w:rPr>
          <w:lang w:val="en-CA"/>
        </w:rPr>
        <w:t>,</w:t>
      </w:r>
      <w:r w:rsidR="00156ACD" w:rsidRPr="00CF3D68">
        <w:rPr>
          <w:lang w:val="en-CA"/>
        </w:rPr>
        <w:t xml:space="preserve"> the public </w:t>
      </w:r>
      <w:r>
        <w:rPr>
          <w:lang w:val="en-CA"/>
        </w:rPr>
        <w:t>can</w:t>
      </w:r>
      <w:r w:rsidR="00156ACD" w:rsidRPr="00CF3D68">
        <w:rPr>
          <w:lang w:val="en-CA"/>
        </w:rPr>
        <w:t xml:space="preserve"> directly see how the proce</w:t>
      </w:r>
      <w:r>
        <w:rPr>
          <w:lang w:val="en-CA"/>
        </w:rPr>
        <w:t>eding</w:t>
      </w:r>
      <w:r w:rsidR="00156ACD" w:rsidRPr="00CF3D68">
        <w:rPr>
          <w:lang w:val="en-CA"/>
        </w:rPr>
        <w:t xml:space="preserve"> unfolds</w:t>
      </w:r>
      <w:r w:rsidR="00F94B94" w:rsidRPr="00CF3D68">
        <w:rPr>
          <w:lang w:val="en-CA"/>
        </w:rPr>
        <w:t xml:space="preserve">, </w:t>
      </w:r>
      <w:r w:rsidR="00156ACD" w:rsidRPr="00CF3D68">
        <w:rPr>
          <w:lang w:val="en-CA"/>
        </w:rPr>
        <w:t xml:space="preserve">which maintains public confidence and provides </w:t>
      </w:r>
      <w:r w:rsidR="00F94B94" w:rsidRPr="00CF3D68">
        <w:rPr>
          <w:lang w:val="en-CA"/>
        </w:rPr>
        <w:t>a</w:t>
      </w:r>
      <w:r w:rsidR="00F94B94" w:rsidRPr="00CF3D68">
        <w:rPr>
          <w:i/>
          <w:iCs/>
          <w:lang w:val="en-CA"/>
        </w:rPr>
        <w:t xml:space="preserve"> </w:t>
      </w:r>
      <w:r w:rsidR="00F94B94" w:rsidRPr="00CF3D68">
        <w:rPr>
          <w:lang w:val="en-CA"/>
        </w:rPr>
        <w:t>clear record</w:t>
      </w:r>
      <w:r w:rsidR="001F7521" w:rsidRPr="00CF3D68">
        <w:rPr>
          <w:lang w:val="en-CA"/>
        </w:rPr>
        <w:t> </w:t>
      </w:r>
      <w:r w:rsidR="00156ACD" w:rsidRPr="00CF3D68">
        <w:rPr>
          <w:lang w:val="en-CA"/>
        </w:rPr>
        <w:t>of the proceedings</w:t>
      </w:r>
      <w:r w:rsidR="001F7521" w:rsidRPr="00CF3D68">
        <w:rPr>
          <w:lang w:val="en-CA"/>
        </w:rPr>
        <w:t xml:space="preserve">. </w:t>
      </w:r>
    </w:p>
    <w:p w14:paraId="575DE063" w14:textId="1CC5501C" w:rsidR="00124146" w:rsidRPr="00CF3D68" w:rsidRDefault="001F7521" w:rsidP="000C4DF1">
      <w:pPr>
        <w:pStyle w:val="Titre2"/>
        <w:rPr>
          <w:kern w:val="28"/>
          <w:lang w:val="en-CA"/>
        </w:rPr>
      </w:pPr>
      <w:r w:rsidRPr="00CF3D68">
        <w:rPr>
          <w:rFonts w:eastAsiaTheme="minorHAnsi"/>
          <w:lang w:val="en-CA" w:eastAsia="en-US"/>
        </w:rPr>
        <w:t xml:space="preserve">Conclusion </w:t>
      </w:r>
      <w:r w:rsidR="00667C93" w:rsidRPr="00CF3D68">
        <w:rPr>
          <w:rFonts w:eastAsiaTheme="minorHAnsi"/>
          <w:lang w:val="en-CA" w:eastAsia="en-US"/>
        </w:rPr>
        <w:t xml:space="preserve">on the application to proceed in chambers and </w:t>
      </w:r>
      <w:r w:rsidR="00667C93" w:rsidRPr="00CF3D68">
        <w:rPr>
          <w:rFonts w:eastAsiaTheme="minorHAnsi"/>
          <w:i/>
          <w:lang w:val="en-CA" w:eastAsia="en-US"/>
        </w:rPr>
        <w:t>in camera</w:t>
      </w:r>
      <w:r w:rsidR="00667C93" w:rsidRPr="00CF3D68">
        <w:rPr>
          <w:rFonts w:eastAsiaTheme="minorHAnsi"/>
          <w:lang w:val="en-CA" w:eastAsia="en-US"/>
        </w:rPr>
        <w:t xml:space="preserve"> </w:t>
      </w:r>
    </w:p>
    <w:p w14:paraId="0E11208B" w14:textId="0D108E01" w:rsidR="00B16752" w:rsidRPr="00CF3D68" w:rsidRDefault="00667C93" w:rsidP="00136A08">
      <w:pPr>
        <w:pStyle w:val="Paragraphe"/>
        <w:rPr>
          <w:lang w:val="en-CA"/>
        </w:rPr>
      </w:pPr>
      <w:r w:rsidRPr="00CF3D68">
        <w:rPr>
          <w:lang w:val="en-CA"/>
        </w:rPr>
        <w:t xml:space="preserve">The Court </w:t>
      </w:r>
      <w:r w:rsidR="007C1DD0">
        <w:rPr>
          <w:lang w:val="en-CA"/>
        </w:rPr>
        <w:t xml:space="preserve">therefore </w:t>
      </w:r>
      <w:r w:rsidRPr="00CF3D68">
        <w:rPr>
          <w:lang w:val="en-CA"/>
        </w:rPr>
        <w:t>finds that</w:t>
      </w:r>
      <w:r w:rsidR="007C1DD0">
        <w:rPr>
          <w:lang w:val="en-CA"/>
        </w:rPr>
        <w:t>,</w:t>
      </w:r>
      <w:r w:rsidRPr="00CF3D68">
        <w:rPr>
          <w:lang w:val="en-CA"/>
        </w:rPr>
        <w:t xml:space="preserve"> in these circumstances</w:t>
      </w:r>
      <w:r w:rsidR="007C1DD0">
        <w:rPr>
          <w:lang w:val="en-CA"/>
        </w:rPr>
        <w:t>, the hearing can</w:t>
      </w:r>
      <w:r w:rsidRPr="00CF3D68">
        <w:rPr>
          <w:lang w:val="en-CA"/>
        </w:rPr>
        <w:t xml:space="preserve"> proceed in public without disclosing the redacted information</w:t>
      </w:r>
      <w:r w:rsidR="001F7521" w:rsidRPr="00CF3D68">
        <w:rPr>
          <w:lang w:val="en-CA"/>
        </w:rPr>
        <w:t xml:space="preserve">. </w:t>
      </w:r>
    </w:p>
    <w:p w14:paraId="1EC3A736" w14:textId="0793FFAC" w:rsidR="005836BF" w:rsidRPr="00CF3D68" w:rsidRDefault="00F91876" w:rsidP="00136A08">
      <w:pPr>
        <w:pStyle w:val="Paragraphe"/>
        <w:rPr>
          <w:lang w:val="en-CA"/>
        </w:rPr>
      </w:pPr>
      <w:r w:rsidRPr="00CF3D68">
        <w:rPr>
          <w:lang w:val="en-CA"/>
        </w:rPr>
        <w:t>B</w:t>
      </w:r>
      <w:r>
        <w:rPr>
          <w:lang w:val="en-CA"/>
        </w:rPr>
        <w:t>y</w:t>
      </w:r>
      <w:r w:rsidRPr="00CF3D68">
        <w:rPr>
          <w:lang w:val="en-CA"/>
        </w:rPr>
        <w:t xml:space="preserve"> </w:t>
      </w:r>
      <w:r w:rsidR="00667C93" w:rsidRPr="00CF3D68">
        <w:rPr>
          <w:lang w:val="en-CA"/>
        </w:rPr>
        <w:t>proceeding with a sealed copy of the documents and a judicial summary</w:t>
      </w:r>
      <w:r w:rsidR="001F7521" w:rsidRPr="00CF3D68">
        <w:rPr>
          <w:lang w:val="en-CA"/>
        </w:rPr>
        <w:t xml:space="preserve">, </w:t>
      </w:r>
      <w:r w:rsidR="00667C93" w:rsidRPr="00CF3D68">
        <w:rPr>
          <w:lang w:val="en-CA"/>
        </w:rPr>
        <w:t>the hearing may be public</w:t>
      </w:r>
      <w:r w:rsidR="001F7521" w:rsidRPr="00CF3D68">
        <w:rPr>
          <w:lang w:val="en-CA"/>
        </w:rPr>
        <w:t xml:space="preserve">. </w:t>
      </w:r>
      <w:r w:rsidR="00667C93" w:rsidRPr="00CF3D68">
        <w:rPr>
          <w:lang w:val="en-CA"/>
        </w:rPr>
        <w:t xml:space="preserve">The </w:t>
      </w:r>
      <w:r w:rsidR="001F7521" w:rsidRPr="00CF3D68">
        <w:rPr>
          <w:lang w:val="en-CA"/>
        </w:rPr>
        <w:t>DC</w:t>
      </w:r>
      <w:r w:rsidR="00667C93" w:rsidRPr="00CF3D68">
        <w:rPr>
          <w:lang w:val="en-CA"/>
        </w:rPr>
        <w:t>P</w:t>
      </w:r>
      <w:r w:rsidR="001F7521" w:rsidRPr="00CF3D68">
        <w:rPr>
          <w:lang w:val="en-CA"/>
        </w:rPr>
        <w:t xml:space="preserve">P </w:t>
      </w:r>
      <w:r w:rsidR="00667C93" w:rsidRPr="00CF3D68">
        <w:rPr>
          <w:lang w:val="en-CA"/>
        </w:rPr>
        <w:t xml:space="preserve">may make submissions by referring to the redacted paragraphs of its motion or </w:t>
      </w:r>
      <w:r w:rsidR="007C1DD0">
        <w:rPr>
          <w:lang w:val="en-CA"/>
        </w:rPr>
        <w:t xml:space="preserve">the </w:t>
      </w:r>
      <w:r w:rsidR="00667C93" w:rsidRPr="00CF3D68">
        <w:rPr>
          <w:lang w:val="en-CA"/>
        </w:rPr>
        <w:t>redacted affidavits</w:t>
      </w:r>
      <w:r w:rsidR="001F7521" w:rsidRPr="00CF3D68">
        <w:rPr>
          <w:lang w:val="en-CA"/>
        </w:rPr>
        <w:t xml:space="preserve">. </w:t>
      </w:r>
    </w:p>
    <w:p w14:paraId="4B1A94D9" w14:textId="7F7C1361" w:rsidR="005836BF" w:rsidRPr="00CF3D68" w:rsidRDefault="00667C93" w:rsidP="00136A08">
      <w:pPr>
        <w:pStyle w:val="Paragraphe"/>
        <w:rPr>
          <w:lang w:val="en-CA"/>
        </w:rPr>
      </w:pPr>
      <w:r w:rsidRPr="00CF3D68">
        <w:rPr>
          <w:lang w:val="en-CA"/>
        </w:rPr>
        <w:lastRenderedPageBreak/>
        <w:t>As needed</w:t>
      </w:r>
      <w:r w:rsidR="001F7521" w:rsidRPr="00CF3D68">
        <w:rPr>
          <w:lang w:val="en-CA"/>
        </w:rPr>
        <w:t xml:space="preserve">, </w:t>
      </w:r>
      <w:r w:rsidRPr="00CF3D68">
        <w:rPr>
          <w:lang w:val="en-CA"/>
        </w:rPr>
        <w:t>should the applicant wish to add to the evidence or bolster its written submissions</w:t>
      </w:r>
      <w:r w:rsidR="001F7521" w:rsidRPr="00CF3D68">
        <w:rPr>
          <w:lang w:val="en-CA"/>
        </w:rPr>
        <w:t xml:space="preserve">, </w:t>
      </w:r>
      <w:r w:rsidRPr="00CF3D68">
        <w:rPr>
          <w:lang w:val="en-CA"/>
        </w:rPr>
        <w:t xml:space="preserve">it may ask the Court to proceed </w:t>
      </w:r>
      <w:r w:rsidRPr="00CF3D68">
        <w:rPr>
          <w:i/>
          <w:iCs/>
          <w:lang w:val="en-CA"/>
        </w:rPr>
        <w:t>in camera</w:t>
      </w:r>
      <w:r w:rsidRPr="00CF3D68">
        <w:rPr>
          <w:lang w:val="en-CA"/>
        </w:rPr>
        <w:t xml:space="preserve"> for a limited portion of the hearing</w:t>
      </w:r>
      <w:r w:rsidR="001F7521" w:rsidRPr="00CF3D68">
        <w:rPr>
          <w:lang w:val="en-CA"/>
        </w:rPr>
        <w:t xml:space="preserve">. </w:t>
      </w:r>
      <w:r w:rsidRPr="00CF3D68">
        <w:rPr>
          <w:lang w:val="en-CA"/>
        </w:rPr>
        <w:t xml:space="preserve">If the affiant must be heard, the affiant may also testify from behind a screen to avoid being identified as </w:t>
      </w:r>
      <w:r w:rsidR="00A22B6C">
        <w:rPr>
          <w:lang w:val="en-CA"/>
        </w:rPr>
        <w:t xml:space="preserve">would </w:t>
      </w:r>
      <w:r w:rsidRPr="00CF3D68">
        <w:rPr>
          <w:lang w:val="en-CA"/>
        </w:rPr>
        <w:t xml:space="preserve">an </w:t>
      </w:r>
      <w:r w:rsidR="00A22B6C">
        <w:rPr>
          <w:lang w:val="en-CA"/>
        </w:rPr>
        <w:t>undercover officer</w:t>
      </w:r>
      <w:r w:rsidR="001F7521" w:rsidRPr="00CF3D68">
        <w:rPr>
          <w:lang w:val="en-CA"/>
        </w:rPr>
        <w:t xml:space="preserve">. </w:t>
      </w:r>
    </w:p>
    <w:p w14:paraId="1E95DCF8" w14:textId="6252771A" w:rsidR="0003737A" w:rsidRPr="00CF3D68" w:rsidRDefault="00134439" w:rsidP="001E198C">
      <w:pPr>
        <w:pStyle w:val="Paragraphedeliste"/>
        <w:numPr>
          <w:ilvl w:val="0"/>
          <w:numId w:val="3"/>
        </w:numPr>
        <w:tabs>
          <w:tab w:val="left" w:pos="2552"/>
        </w:tabs>
        <w:spacing w:before="120" w:after="120"/>
        <w:ind w:left="1134" w:hanging="425"/>
        <w:jc w:val="both"/>
        <w:rPr>
          <w:rFonts w:cs="Arial"/>
          <w:b/>
          <w:bCs/>
          <w:kern w:val="28"/>
          <w:szCs w:val="24"/>
          <w:u w:val="single"/>
          <w:lang w:val="en-CA"/>
        </w:rPr>
      </w:pPr>
      <w:r>
        <w:rPr>
          <w:rFonts w:cs="Arial"/>
          <w:b/>
          <w:bCs/>
          <w:kern w:val="28"/>
          <w:szCs w:val="24"/>
          <w:u w:val="single"/>
          <w:lang w:val="en-CA"/>
        </w:rPr>
        <w:t>QUESTION</w:t>
      </w:r>
      <w:r w:rsidR="00667C93" w:rsidRPr="00CF3D68">
        <w:rPr>
          <w:rFonts w:cs="Arial"/>
          <w:b/>
          <w:bCs/>
          <w:kern w:val="28"/>
          <w:szCs w:val="24"/>
          <w:u w:val="single"/>
          <w:lang w:val="en-CA"/>
        </w:rPr>
        <w:t xml:space="preserve"> </w:t>
      </w:r>
      <w:r w:rsidR="001F7521" w:rsidRPr="00CF3D68">
        <w:rPr>
          <w:rFonts w:cs="Arial"/>
          <w:b/>
          <w:bCs/>
          <w:kern w:val="28"/>
          <w:szCs w:val="24"/>
          <w:u w:val="single"/>
          <w:lang w:val="en-CA"/>
        </w:rPr>
        <w:t xml:space="preserve">3: </w:t>
      </w:r>
      <w:r w:rsidR="00667C93" w:rsidRPr="00CF3D68">
        <w:rPr>
          <w:rFonts w:cs="Arial"/>
          <w:b/>
          <w:bCs/>
          <w:kern w:val="28"/>
          <w:szCs w:val="24"/>
          <w:u w:val="single"/>
          <w:lang w:val="en-CA"/>
        </w:rPr>
        <w:t xml:space="preserve">Should the </w:t>
      </w:r>
      <w:r w:rsidR="00A22B6C">
        <w:rPr>
          <w:rFonts w:cs="Arial"/>
          <w:b/>
          <w:bCs/>
          <w:kern w:val="28"/>
          <w:szCs w:val="24"/>
          <w:u w:val="single"/>
          <w:lang w:val="en-CA"/>
        </w:rPr>
        <w:t>c</w:t>
      </w:r>
      <w:r w:rsidR="00667C93" w:rsidRPr="00CF3D68">
        <w:rPr>
          <w:rFonts w:cs="Arial"/>
          <w:b/>
          <w:bCs/>
          <w:kern w:val="28"/>
          <w:szCs w:val="24"/>
          <w:u w:val="single"/>
          <w:lang w:val="en-CA"/>
        </w:rPr>
        <w:t>ourt</w:t>
      </w:r>
      <w:r w:rsidR="000E0D19">
        <w:rPr>
          <w:rFonts w:cs="Arial"/>
          <w:b/>
          <w:bCs/>
          <w:kern w:val="28"/>
          <w:szCs w:val="24"/>
          <w:u w:val="single"/>
          <w:lang w:val="en-CA"/>
        </w:rPr>
        <w:t>’s</w:t>
      </w:r>
      <w:r w:rsidR="00667C93" w:rsidRPr="00CF3D68">
        <w:rPr>
          <w:rFonts w:cs="Arial"/>
          <w:b/>
          <w:bCs/>
          <w:kern w:val="28"/>
          <w:szCs w:val="24"/>
          <w:u w:val="single"/>
          <w:lang w:val="en-CA"/>
        </w:rPr>
        <w:t xml:space="preserve"> file numbers </w:t>
      </w:r>
      <w:r w:rsidR="00A22B6C">
        <w:rPr>
          <w:rFonts w:cs="Arial"/>
          <w:b/>
          <w:bCs/>
          <w:kern w:val="28"/>
          <w:szCs w:val="24"/>
          <w:u w:val="single"/>
          <w:lang w:val="en-CA"/>
        </w:rPr>
        <w:t xml:space="preserve">remain </w:t>
      </w:r>
      <w:r w:rsidR="00667C93" w:rsidRPr="00CF3D68">
        <w:rPr>
          <w:rFonts w:cs="Arial"/>
          <w:b/>
          <w:bCs/>
          <w:kern w:val="28"/>
          <w:szCs w:val="24"/>
          <w:u w:val="single"/>
          <w:lang w:val="en-CA"/>
        </w:rPr>
        <w:t>redacted</w:t>
      </w:r>
      <w:r w:rsidR="00757907" w:rsidRPr="00CF3D68">
        <w:rPr>
          <w:b/>
          <w:bCs/>
          <w:lang w:val="en-CA"/>
        </w:rPr>
        <w:t>?</w:t>
      </w:r>
    </w:p>
    <w:p w14:paraId="32B882F2" w14:textId="6A7A607C" w:rsidR="0003737A" w:rsidRPr="00CF3D68" w:rsidRDefault="00667C93" w:rsidP="00136A08">
      <w:pPr>
        <w:pStyle w:val="Paragraphe"/>
        <w:rPr>
          <w:lang w:val="en-CA"/>
        </w:rPr>
      </w:pPr>
      <w:r w:rsidRPr="00CF3D68">
        <w:rPr>
          <w:lang w:val="en-CA"/>
        </w:rPr>
        <w:t>The interven</w:t>
      </w:r>
      <w:r w:rsidR="00DC1220">
        <w:rPr>
          <w:lang w:val="en-CA"/>
        </w:rPr>
        <w:t>o</w:t>
      </w:r>
      <w:r w:rsidRPr="00CF3D68">
        <w:rPr>
          <w:lang w:val="en-CA"/>
        </w:rPr>
        <w:t>rs ask the Court to re</w:t>
      </w:r>
      <w:r w:rsidR="00A22B6C">
        <w:rPr>
          <w:lang w:val="en-CA"/>
        </w:rPr>
        <w:t>consider</w:t>
      </w:r>
      <w:r w:rsidRPr="00CF3D68">
        <w:rPr>
          <w:lang w:val="en-CA"/>
        </w:rPr>
        <w:t xml:space="preserve"> </w:t>
      </w:r>
      <w:r w:rsidR="00A22B6C">
        <w:rPr>
          <w:lang w:val="en-CA"/>
        </w:rPr>
        <w:t>whether the file numbers should remain redacted</w:t>
      </w:r>
      <w:r w:rsidR="001F7521" w:rsidRPr="00CF3D68">
        <w:rPr>
          <w:lang w:val="en-CA"/>
        </w:rPr>
        <w:t xml:space="preserve">. </w:t>
      </w:r>
    </w:p>
    <w:p w14:paraId="1F2FE41E" w14:textId="65712291" w:rsidR="00757907" w:rsidRPr="00CF3D68" w:rsidRDefault="00667C93" w:rsidP="00136A08">
      <w:pPr>
        <w:pStyle w:val="Paragraphe"/>
        <w:rPr>
          <w:lang w:val="en-CA"/>
        </w:rPr>
      </w:pPr>
      <w:r w:rsidRPr="00CF3D68">
        <w:rPr>
          <w:lang w:val="en-CA"/>
        </w:rPr>
        <w:t>The parties agree that the Court has jurisdiction to revie</w:t>
      </w:r>
      <w:r w:rsidR="00A22B6C">
        <w:rPr>
          <w:lang w:val="en-CA"/>
        </w:rPr>
        <w:t>w</w:t>
      </w:r>
      <w:r w:rsidRPr="00CF3D68">
        <w:rPr>
          <w:lang w:val="en-CA"/>
        </w:rPr>
        <w:t xml:space="preserve"> its decision in this regard</w:t>
      </w:r>
      <w:r w:rsidR="001F7521" w:rsidRPr="00CF3D68">
        <w:rPr>
          <w:lang w:val="en-CA"/>
        </w:rPr>
        <w:t xml:space="preserve">. </w:t>
      </w:r>
      <w:r w:rsidRPr="00CF3D68">
        <w:rPr>
          <w:lang w:val="en-CA"/>
        </w:rPr>
        <w:t>The Court agrees.</w:t>
      </w:r>
      <w:r w:rsidR="001F7521" w:rsidRPr="00CF3D68">
        <w:rPr>
          <w:rStyle w:val="Appelnotedebasdep"/>
          <w:lang w:val="en-CA"/>
        </w:rPr>
        <w:footnoteReference w:id="43"/>
      </w:r>
    </w:p>
    <w:p w14:paraId="6051BE6E" w14:textId="3917B596" w:rsidR="00757907" w:rsidRPr="00CF3D68" w:rsidRDefault="00667C93" w:rsidP="00136A08">
      <w:pPr>
        <w:pStyle w:val="Paragraphe"/>
        <w:rPr>
          <w:lang w:val="en-CA"/>
        </w:rPr>
      </w:pPr>
      <w:r w:rsidRPr="00CF3D68">
        <w:rPr>
          <w:lang w:val="en-CA"/>
        </w:rPr>
        <w:t>At the hearing</w:t>
      </w:r>
      <w:r w:rsidR="001F7521" w:rsidRPr="00CF3D68">
        <w:rPr>
          <w:lang w:val="en-CA"/>
        </w:rPr>
        <w:t xml:space="preserve">, </w:t>
      </w:r>
      <w:r w:rsidRPr="00CF3D68">
        <w:rPr>
          <w:lang w:val="en-CA"/>
        </w:rPr>
        <w:t>the</w:t>
      </w:r>
      <w:r w:rsidR="001F7521" w:rsidRPr="00CF3D68">
        <w:rPr>
          <w:lang w:val="en-CA"/>
        </w:rPr>
        <w:t xml:space="preserve"> DC</w:t>
      </w:r>
      <w:r w:rsidRPr="00CF3D68">
        <w:rPr>
          <w:lang w:val="en-CA"/>
        </w:rPr>
        <w:t>P</w:t>
      </w:r>
      <w:r w:rsidR="001F7521" w:rsidRPr="00CF3D68">
        <w:rPr>
          <w:lang w:val="en-CA"/>
        </w:rPr>
        <w:t xml:space="preserve">P </w:t>
      </w:r>
      <w:r w:rsidRPr="00CF3D68">
        <w:rPr>
          <w:lang w:val="en-CA"/>
        </w:rPr>
        <w:t>asked for additional time to make</w:t>
      </w:r>
      <w:r w:rsidR="00A22B6C">
        <w:rPr>
          <w:lang w:val="en-CA"/>
        </w:rPr>
        <w:t xml:space="preserve"> the necessary</w:t>
      </w:r>
      <w:r w:rsidRPr="00CF3D68">
        <w:rPr>
          <w:lang w:val="en-CA"/>
        </w:rPr>
        <w:t xml:space="preserve"> </w:t>
      </w:r>
      <w:r w:rsidR="00A322AC" w:rsidRPr="00CF3D68">
        <w:rPr>
          <w:lang w:val="en-CA"/>
        </w:rPr>
        <w:t>inquiries</w:t>
      </w:r>
      <w:r w:rsidR="001F7521" w:rsidRPr="00CF3D68">
        <w:rPr>
          <w:lang w:val="en-CA"/>
        </w:rPr>
        <w:t xml:space="preserve">. </w:t>
      </w:r>
    </w:p>
    <w:p w14:paraId="6B845E0B" w14:textId="04D3F356" w:rsidR="0003737A" w:rsidRPr="00CF3D68" w:rsidRDefault="00667C93" w:rsidP="00136A08">
      <w:pPr>
        <w:pStyle w:val="Paragraphe"/>
        <w:rPr>
          <w:lang w:val="en-CA"/>
        </w:rPr>
      </w:pPr>
      <w:r w:rsidRPr="00CF3D68">
        <w:rPr>
          <w:lang w:val="en-CA"/>
        </w:rPr>
        <w:t xml:space="preserve">On June </w:t>
      </w:r>
      <w:r w:rsidR="002F18AF" w:rsidRPr="00CF3D68">
        <w:rPr>
          <w:lang w:val="en-CA"/>
        </w:rPr>
        <w:t>13</w:t>
      </w:r>
      <w:r w:rsidRPr="00CF3D68">
        <w:rPr>
          <w:lang w:val="en-CA"/>
        </w:rPr>
        <w:t>,</w:t>
      </w:r>
      <w:r w:rsidR="002F18AF" w:rsidRPr="00CF3D68">
        <w:rPr>
          <w:lang w:val="en-CA"/>
        </w:rPr>
        <w:t xml:space="preserve"> 2024, </w:t>
      </w:r>
      <w:r w:rsidR="00A322AC" w:rsidRPr="00CF3D68">
        <w:rPr>
          <w:lang w:val="en-CA"/>
        </w:rPr>
        <w:t xml:space="preserve">the DCPP emailed </w:t>
      </w:r>
      <w:r w:rsidR="000E0D19">
        <w:rPr>
          <w:lang w:val="en-CA"/>
        </w:rPr>
        <w:t>its</w:t>
      </w:r>
      <w:r w:rsidR="000E0D19" w:rsidRPr="00CF3D68">
        <w:rPr>
          <w:lang w:val="en-CA"/>
        </w:rPr>
        <w:t xml:space="preserve"> </w:t>
      </w:r>
      <w:r w:rsidR="00A322AC" w:rsidRPr="00CF3D68">
        <w:rPr>
          <w:lang w:val="en-CA"/>
        </w:rPr>
        <w:t>position to the Court</w:t>
      </w:r>
      <w:r w:rsidR="002F18AF" w:rsidRPr="00CF3D68">
        <w:rPr>
          <w:lang w:val="en-CA"/>
        </w:rPr>
        <w:t xml:space="preserve">. </w:t>
      </w:r>
      <w:r w:rsidR="000E0D19">
        <w:rPr>
          <w:lang w:val="en-CA"/>
        </w:rPr>
        <w:t>Counsel was</w:t>
      </w:r>
      <w:r w:rsidR="00A322AC" w:rsidRPr="00CF3D68">
        <w:rPr>
          <w:lang w:val="en-CA"/>
        </w:rPr>
        <w:t xml:space="preserve"> of the view that the file numbers should </w:t>
      </w:r>
      <w:r w:rsidR="00A22B6C">
        <w:rPr>
          <w:lang w:val="en-CA"/>
        </w:rPr>
        <w:t xml:space="preserve">remain </w:t>
      </w:r>
      <w:r w:rsidR="00A322AC" w:rsidRPr="00CF3D68">
        <w:rPr>
          <w:lang w:val="en-CA"/>
        </w:rPr>
        <w:t xml:space="preserve">redacted because the sequential file number may </w:t>
      </w:r>
      <w:r w:rsidR="00A22B6C">
        <w:rPr>
          <w:lang w:val="en-CA"/>
        </w:rPr>
        <w:t xml:space="preserve">help identify </w:t>
      </w:r>
      <w:r w:rsidR="00A322AC" w:rsidRPr="00CF3D68">
        <w:rPr>
          <w:lang w:val="en-CA"/>
        </w:rPr>
        <w:t xml:space="preserve">the date on which the judicial authorizations were granted by obtaining from the court office the </w:t>
      </w:r>
      <w:r w:rsidR="00A22B6C">
        <w:rPr>
          <w:lang w:val="en-CA"/>
        </w:rPr>
        <w:t xml:space="preserve">file </w:t>
      </w:r>
      <w:r w:rsidR="00A322AC" w:rsidRPr="00CF3D68">
        <w:rPr>
          <w:lang w:val="en-CA"/>
        </w:rPr>
        <w:t xml:space="preserve">numbers </w:t>
      </w:r>
      <w:r w:rsidR="001C16D7">
        <w:rPr>
          <w:lang w:val="en-CA"/>
        </w:rPr>
        <w:t xml:space="preserve">before </w:t>
      </w:r>
      <w:r w:rsidR="00A322AC" w:rsidRPr="00CF3D68">
        <w:rPr>
          <w:lang w:val="en-CA"/>
        </w:rPr>
        <w:t xml:space="preserve">and </w:t>
      </w:r>
      <w:r w:rsidR="001C16D7">
        <w:rPr>
          <w:lang w:val="en-CA"/>
        </w:rPr>
        <w:t xml:space="preserve">after </w:t>
      </w:r>
      <w:r w:rsidR="00A322AC" w:rsidRPr="00CF3D68">
        <w:rPr>
          <w:lang w:val="en-CA"/>
        </w:rPr>
        <w:t>th</w:t>
      </w:r>
      <w:r w:rsidR="00A22B6C">
        <w:rPr>
          <w:lang w:val="en-CA"/>
        </w:rPr>
        <w:t>e</w:t>
      </w:r>
      <w:r w:rsidR="00A322AC" w:rsidRPr="00CF3D68">
        <w:rPr>
          <w:lang w:val="en-CA"/>
        </w:rPr>
        <w:t xml:space="preserve"> </w:t>
      </w:r>
      <w:r w:rsidR="00A22B6C">
        <w:rPr>
          <w:lang w:val="en-CA"/>
        </w:rPr>
        <w:t>file numbers at issue</w:t>
      </w:r>
      <w:r w:rsidR="002F18AF" w:rsidRPr="00CF3D68">
        <w:rPr>
          <w:lang w:val="en-CA"/>
        </w:rPr>
        <w:t xml:space="preserve">. </w:t>
      </w:r>
    </w:p>
    <w:p w14:paraId="4E0272E7" w14:textId="0B3A36FA" w:rsidR="002F18AF" w:rsidRPr="00CF3D68" w:rsidRDefault="00A322AC" w:rsidP="00136A08">
      <w:pPr>
        <w:pStyle w:val="Paragraphe"/>
        <w:rPr>
          <w:rFonts w:ascii="Times New Roman" w:hAnsi="Times New Roman"/>
          <w:lang w:val="en-CA" w:eastAsia="fr-CA"/>
        </w:rPr>
      </w:pPr>
      <w:r w:rsidRPr="00CF3D68">
        <w:rPr>
          <w:lang w:val="en-CA"/>
        </w:rPr>
        <w:t>While knowing the date a single specific judicial authorization was issued likely poses no risk to the investigation</w:t>
      </w:r>
      <w:r w:rsidR="001F7521" w:rsidRPr="00CF3D68">
        <w:rPr>
          <w:lang w:val="en-CA"/>
        </w:rPr>
        <w:t xml:space="preserve">, </w:t>
      </w:r>
      <w:r w:rsidRPr="00CF3D68">
        <w:rPr>
          <w:lang w:val="en-CA"/>
        </w:rPr>
        <w:t>the same is not true for the authorization dates</w:t>
      </w:r>
      <w:r w:rsidR="00A22B6C">
        <w:rPr>
          <w:lang w:val="en-CA"/>
        </w:rPr>
        <w:t xml:space="preserve"> as a whole</w:t>
      </w:r>
      <w:r w:rsidR="001F7521" w:rsidRPr="00CF3D68">
        <w:rPr>
          <w:lang w:val="en-CA"/>
        </w:rPr>
        <w:t xml:space="preserve">. </w:t>
      </w:r>
      <w:r w:rsidRPr="00CF3D68">
        <w:rPr>
          <w:lang w:val="en-CA"/>
        </w:rPr>
        <w:t xml:space="preserve">By grouping or comparing these different dates, an informed person might understand the nature of the investigation </w:t>
      </w:r>
      <w:r w:rsidR="001F7521" w:rsidRPr="00CF3D68">
        <w:rPr>
          <w:lang w:val="en-CA"/>
        </w:rPr>
        <w:t>(</w:t>
      </w:r>
      <w:r w:rsidRPr="00CF3D68">
        <w:rPr>
          <w:lang w:val="en-CA"/>
        </w:rPr>
        <w:t>mosaic</w:t>
      </w:r>
      <w:r w:rsidR="001F7521" w:rsidRPr="00CF3D68">
        <w:rPr>
          <w:lang w:val="en-CA"/>
        </w:rPr>
        <w:t>/triangulation</w:t>
      </w:r>
      <w:r w:rsidRPr="00CF3D68">
        <w:rPr>
          <w:lang w:val="en-CA"/>
        </w:rPr>
        <w:t xml:space="preserve"> effect</w:t>
      </w:r>
      <w:r w:rsidR="001F7521" w:rsidRPr="00CF3D68">
        <w:rPr>
          <w:lang w:val="en-CA"/>
        </w:rPr>
        <w:t xml:space="preserve">) </w:t>
      </w:r>
      <w:r w:rsidRPr="00CF3D68">
        <w:rPr>
          <w:lang w:val="en-CA"/>
        </w:rPr>
        <w:t xml:space="preserve">and thus </w:t>
      </w:r>
      <w:r w:rsidR="00A22B6C">
        <w:rPr>
          <w:lang w:val="en-CA"/>
        </w:rPr>
        <w:t xml:space="preserve">jeopardize </w:t>
      </w:r>
      <w:r w:rsidRPr="00CF3D68">
        <w:rPr>
          <w:lang w:val="en-CA"/>
        </w:rPr>
        <w:t>it by identifying the</w:t>
      </w:r>
      <w:r w:rsidR="008A1728">
        <w:rPr>
          <w:lang w:val="en-CA"/>
        </w:rPr>
        <w:t xml:space="preserve"> subject of the</w:t>
      </w:r>
      <w:r w:rsidRPr="00CF3D68">
        <w:rPr>
          <w:lang w:val="en-CA"/>
        </w:rPr>
        <w:t xml:space="preserve"> investigation</w:t>
      </w:r>
      <w:r w:rsidR="001F7521" w:rsidRPr="00CF3D68">
        <w:rPr>
          <w:lang w:val="en-CA"/>
        </w:rPr>
        <w:t>.</w:t>
      </w:r>
    </w:p>
    <w:p w14:paraId="4EFEEC8C" w14:textId="130157BB" w:rsidR="002F18AF" w:rsidRPr="00CF3D68" w:rsidRDefault="00A322AC" w:rsidP="00136A08">
      <w:pPr>
        <w:pStyle w:val="Paragraphe"/>
        <w:rPr>
          <w:lang w:val="en-CA"/>
        </w:rPr>
      </w:pPr>
      <w:r w:rsidRPr="00CF3D68">
        <w:rPr>
          <w:lang w:val="en-CA"/>
        </w:rPr>
        <w:t xml:space="preserve">The orders </w:t>
      </w:r>
      <w:r w:rsidR="00A22B6C">
        <w:rPr>
          <w:lang w:val="en-CA"/>
        </w:rPr>
        <w:t>bann</w:t>
      </w:r>
      <w:r w:rsidRPr="00CF3D68">
        <w:rPr>
          <w:lang w:val="en-CA"/>
        </w:rPr>
        <w:t>ing publication and access contemplated by the Court (see paragraph 16 above) cannot mitigate this risk</w:t>
      </w:r>
      <w:r w:rsidR="001F7521" w:rsidRPr="00CF3D68">
        <w:rPr>
          <w:lang w:val="en-CA"/>
        </w:rPr>
        <w:t>.</w:t>
      </w:r>
    </w:p>
    <w:p w14:paraId="30E7AA30" w14:textId="3BD1A86C" w:rsidR="002F18AF" w:rsidRPr="00CF3D68" w:rsidRDefault="00A322AC" w:rsidP="00136A08">
      <w:pPr>
        <w:pStyle w:val="Paragraphe"/>
        <w:rPr>
          <w:lang w:val="en-CA"/>
        </w:rPr>
      </w:pPr>
      <w:r w:rsidRPr="00CF3D68">
        <w:rPr>
          <w:lang w:val="en-CA"/>
        </w:rPr>
        <w:t xml:space="preserve">Therefore, the Court file numbers will </w:t>
      </w:r>
      <w:r w:rsidR="00A22B6C">
        <w:rPr>
          <w:lang w:val="en-CA"/>
        </w:rPr>
        <w:t xml:space="preserve">remain </w:t>
      </w:r>
      <w:r w:rsidRPr="00CF3D68">
        <w:rPr>
          <w:lang w:val="en-CA"/>
        </w:rPr>
        <w:t>redacted</w:t>
      </w:r>
      <w:r w:rsidR="001F7521" w:rsidRPr="00CF3D68">
        <w:rPr>
          <w:lang w:val="en-CA"/>
        </w:rPr>
        <w:t>.</w:t>
      </w:r>
    </w:p>
    <w:p w14:paraId="76526C96" w14:textId="014884E5" w:rsidR="00427499" w:rsidRPr="00CF3D68" w:rsidRDefault="001F7521" w:rsidP="000D38B4">
      <w:pPr>
        <w:pStyle w:val="Titre1"/>
        <w:rPr>
          <w:sz w:val="26"/>
          <w:szCs w:val="26"/>
          <w:lang w:val="en-CA"/>
        </w:rPr>
      </w:pPr>
      <w:r w:rsidRPr="00CF3D68">
        <w:rPr>
          <w:sz w:val="26"/>
          <w:szCs w:val="26"/>
          <w:lang w:val="en-CA"/>
        </w:rPr>
        <w:t>IV.</w:t>
      </w:r>
      <w:r w:rsidRPr="00CF3D68">
        <w:rPr>
          <w:sz w:val="26"/>
          <w:szCs w:val="26"/>
          <w:lang w:val="en-CA"/>
        </w:rPr>
        <w:tab/>
      </w:r>
      <w:r w:rsidRPr="00CF3D68">
        <w:rPr>
          <w:smallCaps/>
          <w:sz w:val="26"/>
          <w:szCs w:val="26"/>
          <w:u w:val="single"/>
          <w:lang w:val="en-CA"/>
        </w:rPr>
        <w:t>CONCLUSION</w:t>
      </w:r>
    </w:p>
    <w:p w14:paraId="40D7B106" w14:textId="4B8DAC33" w:rsidR="000B6B68" w:rsidRPr="00CF3D68" w:rsidRDefault="001F7521" w:rsidP="00136A08">
      <w:pPr>
        <w:pStyle w:val="Paragraphe"/>
        <w:rPr>
          <w:lang w:val="en-CA"/>
        </w:rPr>
      </w:pPr>
      <w:bookmarkStart w:id="3" w:name="_Hlk167378143"/>
      <w:r w:rsidRPr="00CF3D68">
        <w:rPr>
          <w:lang w:val="en-CA"/>
        </w:rPr>
        <w:t xml:space="preserve">The hearing will </w:t>
      </w:r>
      <w:r w:rsidR="006A2C92">
        <w:rPr>
          <w:lang w:val="en-CA"/>
        </w:rPr>
        <w:t>be conducted</w:t>
      </w:r>
      <w:r w:rsidRPr="00CF3D68">
        <w:rPr>
          <w:lang w:val="en-CA"/>
        </w:rPr>
        <w:t xml:space="preserve"> </w:t>
      </w:r>
      <w:r w:rsidRPr="00CF3D68">
        <w:rPr>
          <w:i/>
          <w:iCs/>
          <w:lang w:val="en-CA"/>
        </w:rPr>
        <w:t xml:space="preserve">ex </w:t>
      </w:r>
      <w:proofErr w:type="spellStart"/>
      <w:r w:rsidRPr="00CF3D68">
        <w:rPr>
          <w:i/>
          <w:iCs/>
          <w:lang w:val="en-CA"/>
        </w:rPr>
        <w:t>parte</w:t>
      </w:r>
      <w:proofErr w:type="spellEnd"/>
      <w:r w:rsidRPr="00CF3D68">
        <w:rPr>
          <w:lang w:val="en-CA"/>
        </w:rPr>
        <w:t xml:space="preserve"> but in public as much as possible</w:t>
      </w:r>
      <w:bookmarkStart w:id="4" w:name="_Hlk167378197"/>
      <w:r w:rsidRPr="00CF3D68">
        <w:rPr>
          <w:lang w:val="en-CA"/>
        </w:rPr>
        <w:t>.</w:t>
      </w:r>
    </w:p>
    <w:p w14:paraId="7942007A" w14:textId="62E60487" w:rsidR="000B6B68" w:rsidRPr="00CF3D68" w:rsidRDefault="001F7521" w:rsidP="00136A08">
      <w:pPr>
        <w:pStyle w:val="Paragraphe"/>
        <w:rPr>
          <w:lang w:val="en-CA"/>
        </w:rPr>
      </w:pPr>
      <w:r w:rsidRPr="00CF3D68">
        <w:rPr>
          <w:lang w:val="en-CA"/>
        </w:rPr>
        <w:t xml:space="preserve">The file numbers will </w:t>
      </w:r>
      <w:r w:rsidR="00A22B6C">
        <w:rPr>
          <w:lang w:val="en-CA"/>
        </w:rPr>
        <w:t xml:space="preserve">remain </w:t>
      </w:r>
      <w:r w:rsidRPr="00CF3D68">
        <w:rPr>
          <w:lang w:val="en-CA"/>
        </w:rPr>
        <w:t>redacted.</w:t>
      </w:r>
    </w:p>
    <w:bookmarkEnd w:id="3"/>
    <w:bookmarkEnd w:id="4"/>
    <w:p w14:paraId="64AFE999" w14:textId="0C484CD4" w:rsidR="00130AE0" w:rsidRDefault="00130AE0">
      <w:pPr>
        <w:rPr>
          <w:kern w:val="28"/>
          <w:lang w:val="en-CA"/>
        </w:rPr>
      </w:pPr>
      <w:r>
        <w:rPr>
          <w:lang w:val="en-CA"/>
        </w:rPr>
        <w:br w:type="page"/>
      </w:r>
    </w:p>
    <w:p w14:paraId="23C16D89" w14:textId="642B1A38" w:rsidR="00E43081" w:rsidRPr="000853CE" w:rsidRDefault="001F7521" w:rsidP="00136A08">
      <w:pPr>
        <w:pStyle w:val="Paragraphe"/>
        <w:numPr>
          <w:ilvl w:val="0"/>
          <w:numId w:val="0"/>
        </w:numPr>
        <w:ind w:left="734"/>
        <w:rPr>
          <w:b/>
          <w:bCs/>
          <w:lang w:val="en-CA"/>
        </w:rPr>
      </w:pPr>
      <w:r w:rsidRPr="000853CE">
        <w:rPr>
          <w:b/>
          <w:bCs/>
          <w:lang w:val="en-CA"/>
        </w:rPr>
        <w:lastRenderedPageBreak/>
        <w:t>FOR THESE REASONS, THE COURT:</w:t>
      </w:r>
    </w:p>
    <w:p w14:paraId="56B254D2" w14:textId="659BDFF1" w:rsidR="00E43081" w:rsidRPr="00CF3D68" w:rsidRDefault="001F7521" w:rsidP="00136A08">
      <w:pPr>
        <w:pStyle w:val="Paragraphe"/>
        <w:rPr>
          <w:lang w:val="en-CA"/>
        </w:rPr>
      </w:pPr>
      <w:r w:rsidRPr="00CF3D68">
        <w:rPr>
          <w:b/>
          <w:bCs/>
          <w:lang w:val="en-CA"/>
        </w:rPr>
        <w:t xml:space="preserve">GRANTS </w:t>
      </w:r>
      <w:r w:rsidR="007D41D2" w:rsidRPr="00CF3D68">
        <w:rPr>
          <w:lang w:val="en-CA"/>
        </w:rPr>
        <w:t xml:space="preserve">the application to proceed </w:t>
      </w:r>
      <w:r w:rsidR="00C918C7" w:rsidRPr="00CF3D68">
        <w:rPr>
          <w:i/>
          <w:iCs/>
          <w:lang w:val="en-CA"/>
        </w:rPr>
        <w:t xml:space="preserve">ex </w:t>
      </w:r>
      <w:proofErr w:type="spellStart"/>
      <w:r w:rsidR="00C918C7" w:rsidRPr="00CF3D68">
        <w:rPr>
          <w:i/>
          <w:iCs/>
          <w:lang w:val="en-CA"/>
        </w:rPr>
        <w:t>parte</w:t>
      </w:r>
      <w:proofErr w:type="spellEnd"/>
      <w:r w:rsidR="005036D8" w:rsidRPr="00CF3D68">
        <w:rPr>
          <w:lang w:val="en-CA"/>
        </w:rPr>
        <w:t xml:space="preserve"> </w:t>
      </w:r>
      <w:r w:rsidR="007D41D2" w:rsidRPr="00CF3D68">
        <w:rPr>
          <w:lang w:val="en-CA"/>
        </w:rPr>
        <w:t>without serving the motion on the</w:t>
      </w:r>
      <w:r w:rsidR="00F04FC2">
        <w:rPr>
          <w:lang w:val="en-CA"/>
        </w:rPr>
        <w:t xml:space="preserve"> </w:t>
      </w:r>
      <w:r w:rsidR="008E432F">
        <w:rPr>
          <w:lang w:val="en-CA"/>
        </w:rPr>
        <w:t>respondents–</w:t>
      </w:r>
      <w:r w:rsidR="00EE626B" w:rsidRPr="0094214B">
        <w:rPr>
          <w:rFonts w:cs="Arial"/>
          <w:color w:val="000000"/>
          <w:szCs w:val="24"/>
          <w:lang w:val="en-CA"/>
        </w:rPr>
        <w:t xml:space="preserve">persons from whom the </w:t>
      </w:r>
      <w:r w:rsidR="002E2CB7" w:rsidRPr="0094214B">
        <w:rPr>
          <w:rFonts w:cs="Arial"/>
          <w:color w:val="000000"/>
          <w:szCs w:val="24"/>
          <w:lang w:val="en-CA"/>
        </w:rPr>
        <w:t xml:space="preserve">property </w:t>
      </w:r>
      <w:r w:rsidR="00EE626B" w:rsidRPr="0094214B">
        <w:rPr>
          <w:rFonts w:cs="Arial"/>
          <w:color w:val="000000"/>
          <w:szCs w:val="24"/>
          <w:lang w:val="en-CA"/>
        </w:rPr>
        <w:t>w</w:t>
      </w:r>
      <w:r w:rsidR="002E2CB7" w:rsidRPr="0094214B">
        <w:rPr>
          <w:rFonts w:cs="Arial"/>
          <w:color w:val="000000"/>
          <w:szCs w:val="24"/>
          <w:lang w:val="en-CA"/>
        </w:rPr>
        <w:t>as</w:t>
      </w:r>
      <w:r w:rsidR="00EE626B" w:rsidRPr="0094214B">
        <w:rPr>
          <w:rFonts w:cs="Arial"/>
          <w:color w:val="000000"/>
          <w:szCs w:val="24"/>
          <w:lang w:val="en-CA"/>
        </w:rPr>
        <w:t xml:space="preserve"> seized</w:t>
      </w:r>
      <w:r w:rsidR="005036D8" w:rsidRPr="00CF3D68">
        <w:rPr>
          <w:lang w:val="en-CA"/>
        </w:rPr>
        <w:t>;</w:t>
      </w:r>
    </w:p>
    <w:p w14:paraId="55887049" w14:textId="5A7BD7BD" w:rsidR="00E3027A" w:rsidRPr="00CF3D68" w:rsidRDefault="001F7521" w:rsidP="00136A08">
      <w:pPr>
        <w:pStyle w:val="Paragraphe"/>
        <w:rPr>
          <w:lang w:val="en-CA"/>
        </w:rPr>
      </w:pPr>
      <w:r w:rsidRPr="00CF3D68">
        <w:rPr>
          <w:b/>
          <w:bCs/>
          <w:lang w:val="en-CA"/>
        </w:rPr>
        <w:t xml:space="preserve">ORDERS </w:t>
      </w:r>
      <w:r w:rsidR="007D41D2" w:rsidRPr="00CF3D68">
        <w:rPr>
          <w:lang w:val="en-CA"/>
        </w:rPr>
        <w:t>the</w:t>
      </w:r>
      <w:r w:rsidR="007D41D2" w:rsidRPr="00CF3D68">
        <w:rPr>
          <w:b/>
          <w:bCs/>
          <w:lang w:val="en-CA"/>
        </w:rPr>
        <w:t xml:space="preserve"> </w:t>
      </w:r>
      <w:r w:rsidR="007D41D2" w:rsidRPr="00CF3D68">
        <w:rPr>
          <w:lang w:val="en-CA"/>
        </w:rPr>
        <w:t>motion signed on March 11, 2024, and the affidavits of March 11, 2024, and June 12, 2024, to be sealed</w:t>
      </w:r>
      <w:r w:rsidR="005036D8" w:rsidRPr="00CF3D68">
        <w:rPr>
          <w:lang w:val="en-CA"/>
        </w:rPr>
        <w:t>;</w:t>
      </w:r>
    </w:p>
    <w:p w14:paraId="6DF5484E" w14:textId="72E999DD" w:rsidR="00E3027A" w:rsidRPr="00CF3D68" w:rsidRDefault="001F7521" w:rsidP="00136A08">
      <w:pPr>
        <w:pStyle w:val="Paragraphe"/>
        <w:rPr>
          <w:lang w:val="en-CA"/>
        </w:rPr>
      </w:pPr>
      <w:r w:rsidRPr="00CF3D68">
        <w:rPr>
          <w:b/>
          <w:bCs/>
          <w:lang w:val="en-CA"/>
        </w:rPr>
        <w:t xml:space="preserve">AUTHORIZES </w:t>
      </w:r>
      <w:r w:rsidR="007D41D2" w:rsidRPr="00CF3D68">
        <w:rPr>
          <w:lang w:val="en-CA"/>
        </w:rPr>
        <w:t xml:space="preserve">the public to access the judicial summaries of the </w:t>
      </w:r>
      <w:r w:rsidR="00023EDF">
        <w:rPr>
          <w:lang w:val="en-CA"/>
        </w:rPr>
        <w:t xml:space="preserve">documents filed </w:t>
      </w:r>
      <w:r w:rsidR="00270A99" w:rsidRPr="00CF3D68">
        <w:rPr>
          <w:lang w:val="en-CA"/>
        </w:rPr>
        <w:t>publi</w:t>
      </w:r>
      <w:r w:rsidR="00270A99">
        <w:rPr>
          <w:lang w:val="en-CA"/>
        </w:rPr>
        <w:t>cly</w:t>
      </w:r>
      <w:r w:rsidR="005036D8" w:rsidRPr="00CF3D68">
        <w:rPr>
          <w:lang w:val="en-CA"/>
        </w:rPr>
        <w:t>;</w:t>
      </w:r>
    </w:p>
    <w:p w14:paraId="2596BE25" w14:textId="2E48776F" w:rsidR="00066D5F" w:rsidRPr="00CF3D68" w:rsidRDefault="001F7521" w:rsidP="00136A08">
      <w:pPr>
        <w:pStyle w:val="Paragraphe"/>
        <w:rPr>
          <w:lang w:val="en-CA"/>
        </w:rPr>
      </w:pPr>
      <w:r w:rsidRPr="00CF3D68">
        <w:rPr>
          <w:b/>
          <w:bCs/>
          <w:lang w:val="en-CA"/>
        </w:rPr>
        <w:t>DISMISSES</w:t>
      </w:r>
      <w:r w:rsidR="005036D8" w:rsidRPr="00CF3D68">
        <w:rPr>
          <w:lang w:val="en-CA"/>
        </w:rPr>
        <w:t xml:space="preserve"> </w:t>
      </w:r>
      <w:r w:rsidR="007D41D2" w:rsidRPr="00CF3D68">
        <w:rPr>
          <w:lang w:val="en-CA"/>
        </w:rPr>
        <w:t xml:space="preserve">the application to </w:t>
      </w:r>
      <w:r w:rsidR="00023EDF">
        <w:rPr>
          <w:lang w:val="en-CA"/>
        </w:rPr>
        <w:t>proceed with a</w:t>
      </w:r>
      <w:r w:rsidR="00994332">
        <w:rPr>
          <w:lang w:val="en-CA"/>
        </w:rPr>
        <w:t xml:space="preserve"> hearing </w:t>
      </w:r>
      <w:r w:rsidR="007D41D2" w:rsidRPr="00CF3D68">
        <w:rPr>
          <w:lang w:val="en-CA"/>
        </w:rPr>
        <w:t>in chambers</w:t>
      </w:r>
      <w:r w:rsidR="005036D8" w:rsidRPr="00CF3D68">
        <w:rPr>
          <w:lang w:val="en-CA"/>
        </w:rPr>
        <w:t>;</w:t>
      </w:r>
    </w:p>
    <w:p w14:paraId="3D154457" w14:textId="4C834407" w:rsidR="00C918C7" w:rsidRPr="00CF3D68" w:rsidRDefault="001F7521" w:rsidP="00136A08">
      <w:pPr>
        <w:pStyle w:val="Paragraphe"/>
        <w:rPr>
          <w:lang w:val="en-CA"/>
        </w:rPr>
      </w:pPr>
      <w:r w:rsidRPr="00CF3D68">
        <w:rPr>
          <w:b/>
          <w:bCs/>
          <w:lang w:val="en-CA"/>
        </w:rPr>
        <w:t>DISMISSES</w:t>
      </w:r>
      <w:r w:rsidRPr="00CF3D68">
        <w:rPr>
          <w:lang w:val="en-CA"/>
        </w:rPr>
        <w:t xml:space="preserve"> </w:t>
      </w:r>
      <w:r w:rsidR="007D41D2" w:rsidRPr="00CF3D68">
        <w:rPr>
          <w:lang w:val="en-CA"/>
        </w:rPr>
        <w:t xml:space="preserve">the application </w:t>
      </w:r>
      <w:r w:rsidR="00994332">
        <w:rPr>
          <w:lang w:val="en-CA"/>
        </w:rPr>
        <w:t xml:space="preserve">to </w:t>
      </w:r>
      <w:r w:rsidR="00023EDF">
        <w:rPr>
          <w:lang w:val="en-CA"/>
        </w:rPr>
        <w:t>proceed with a</w:t>
      </w:r>
      <w:r w:rsidR="007D41D2" w:rsidRPr="00CF3D68">
        <w:rPr>
          <w:lang w:val="en-CA"/>
        </w:rPr>
        <w:t xml:space="preserve"> hearing </w:t>
      </w:r>
      <w:r w:rsidR="007D41D2" w:rsidRPr="00994332">
        <w:rPr>
          <w:u w:val="single"/>
          <w:lang w:val="en-CA"/>
        </w:rPr>
        <w:t>entirely</w:t>
      </w:r>
      <w:r w:rsidR="007D41D2" w:rsidRPr="00CF3D68">
        <w:rPr>
          <w:lang w:val="en-CA"/>
        </w:rPr>
        <w:t xml:space="preserve"> </w:t>
      </w:r>
      <w:r w:rsidR="007D41D2" w:rsidRPr="00CF3D68">
        <w:rPr>
          <w:i/>
          <w:iCs/>
          <w:lang w:val="en-CA"/>
        </w:rPr>
        <w:t>in camera</w:t>
      </w:r>
      <w:r w:rsidR="005036D8" w:rsidRPr="00CF3D68">
        <w:rPr>
          <w:lang w:val="en-CA"/>
        </w:rPr>
        <w:t>;</w:t>
      </w:r>
    </w:p>
    <w:p w14:paraId="096BD62D" w14:textId="24BEB340" w:rsidR="00E3027A" w:rsidRPr="00CF3D68" w:rsidRDefault="001F7521" w:rsidP="00136A08">
      <w:pPr>
        <w:pStyle w:val="Paragraphe"/>
        <w:rPr>
          <w:lang w:val="en-CA"/>
        </w:rPr>
      </w:pPr>
      <w:r w:rsidRPr="00CF3D68">
        <w:rPr>
          <w:b/>
          <w:bCs/>
          <w:lang w:val="en-CA"/>
        </w:rPr>
        <w:t xml:space="preserve">AUTHORIZES </w:t>
      </w:r>
      <w:r w:rsidR="007D41D2" w:rsidRPr="00CF3D68">
        <w:rPr>
          <w:lang w:val="en-CA"/>
        </w:rPr>
        <w:t>the</w:t>
      </w:r>
      <w:r w:rsidR="007D41D2" w:rsidRPr="00CF3D68">
        <w:rPr>
          <w:b/>
          <w:bCs/>
          <w:lang w:val="en-CA"/>
        </w:rPr>
        <w:t xml:space="preserve"> </w:t>
      </w:r>
      <w:r w:rsidR="007D41D2" w:rsidRPr="00CF3D68">
        <w:rPr>
          <w:lang w:val="en-CA"/>
        </w:rPr>
        <w:t>applicant</w:t>
      </w:r>
      <w:r w:rsidR="00F04FC2">
        <w:rPr>
          <w:lang w:val="en-CA"/>
        </w:rPr>
        <w:t>–</w:t>
      </w:r>
      <w:r w:rsidR="008E432F">
        <w:rPr>
          <w:lang w:val="en-CA"/>
        </w:rPr>
        <w:t xml:space="preserve">seizing party </w:t>
      </w:r>
      <w:r w:rsidR="007D41D2" w:rsidRPr="00CF3D68">
        <w:rPr>
          <w:lang w:val="en-CA"/>
        </w:rPr>
        <w:t xml:space="preserve">to </w:t>
      </w:r>
      <w:r w:rsidR="00023EDF">
        <w:rPr>
          <w:lang w:val="en-CA"/>
        </w:rPr>
        <w:t xml:space="preserve">request that </w:t>
      </w:r>
      <w:r w:rsidR="007D41D2" w:rsidRPr="00CF3D68">
        <w:rPr>
          <w:lang w:val="en-CA"/>
        </w:rPr>
        <w:t xml:space="preserve">a portion of the hearing </w:t>
      </w:r>
      <w:r w:rsidR="00023EDF">
        <w:rPr>
          <w:lang w:val="en-CA"/>
        </w:rPr>
        <w:t xml:space="preserve">be </w:t>
      </w:r>
      <w:r w:rsidR="007D41D2" w:rsidRPr="00CF3D68">
        <w:rPr>
          <w:i/>
          <w:iCs/>
          <w:lang w:val="en-CA"/>
        </w:rPr>
        <w:t>in camera</w:t>
      </w:r>
      <w:r w:rsidR="007D41D2" w:rsidRPr="00CF3D68">
        <w:rPr>
          <w:lang w:val="en-CA"/>
        </w:rPr>
        <w:t>, as needed</w:t>
      </w:r>
      <w:r w:rsidR="005036D8" w:rsidRPr="00CF3D68">
        <w:rPr>
          <w:b/>
          <w:bCs/>
          <w:lang w:val="en-CA"/>
        </w:rPr>
        <w:t>;</w:t>
      </w:r>
    </w:p>
    <w:p w14:paraId="72706548" w14:textId="4700B836" w:rsidR="00F94B94" w:rsidRPr="00CF3D68" w:rsidRDefault="000E0D19" w:rsidP="00136A08">
      <w:pPr>
        <w:pStyle w:val="Paragraphe"/>
        <w:rPr>
          <w:lang w:val="en-CA"/>
        </w:rPr>
      </w:pPr>
      <w:r>
        <w:rPr>
          <w:b/>
          <w:bCs/>
          <w:lang w:val="en-CA"/>
        </w:rPr>
        <w:t>MAINTAINS</w:t>
      </w:r>
      <w:r w:rsidRPr="00CF3D68">
        <w:rPr>
          <w:b/>
          <w:bCs/>
          <w:lang w:val="en-CA"/>
        </w:rPr>
        <w:t xml:space="preserve"> </w:t>
      </w:r>
      <w:r w:rsidR="007D41D2" w:rsidRPr="00CF3D68">
        <w:rPr>
          <w:lang w:val="en-CA"/>
        </w:rPr>
        <w:t>t</w:t>
      </w:r>
      <w:r>
        <w:rPr>
          <w:lang w:val="en-CA"/>
        </w:rPr>
        <w:t>he</w:t>
      </w:r>
      <w:r w:rsidR="007D41D2" w:rsidRPr="00CF3D68">
        <w:rPr>
          <w:lang w:val="en-CA"/>
        </w:rPr>
        <w:t xml:space="preserve"> redact</w:t>
      </w:r>
      <w:r>
        <w:rPr>
          <w:lang w:val="en-CA"/>
        </w:rPr>
        <w:t>ion of</w:t>
      </w:r>
      <w:r w:rsidR="007D41D2" w:rsidRPr="00CF3D68">
        <w:rPr>
          <w:lang w:val="en-CA"/>
        </w:rPr>
        <w:t xml:space="preserve"> the Court</w:t>
      </w:r>
      <w:r>
        <w:rPr>
          <w:lang w:val="en-CA"/>
        </w:rPr>
        <w:t>’s</w:t>
      </w:r>
      <w:r w:rsidR="007D41D2" w:rsidRPr="00CF3D68">
        <w:rPr>
          <w:lang w:val="en-CA"/>
        </w:rPr>
        <w:t xml:space="preserve"> file numbers</w:t>
      </w:r>
      <w:r w:rsidR="005036D8" w:rsidRPr="00CF3D68">
        <w:rPr>
          <w:lang w:val="en-CA"/>
        </w:rPr>
        <w:t>.</w:t>
      </w:r>
    </w:p>
    <w:p w14:paraId="64D51930" w14:textId="77777777" w:rsidR="000B6B68" w:rsidRPr="00CF3D68" w:rsidRDefault="000B6B68" w:rsidP="00136A08">
      <w:pPr>
        <w:pStyle w:val="Paragraphe"/>
        <w:numPr>
          <w:ilvl w:val="0"/>
          <w:numId w:val="0"/>
        </w:numPr>
        <w:rPr>
          <w:lang w:val="en-CA"/>
        </w:rPr>
      </w:pPr>
    </w:p>
    <w:tbl>
      <w:tblPr>
        <w:tblW w:w="9505" w:type="dxa"/>
        <w:tblLayout w:type="fixed"/>
        <w:tblCellMar>
          <w:left w:w="0" w:type="dxa"/>
          <w:right w:w="0" w:type="dxa"/>
        </w:tblCellMar>
        <w:tblLook w:val="0000" w:firstRow="0" w:lastRow="0" w:firstColumn="0" w:lastColumn="0" w:noHBand="0" w:noVBand="0"/>
      </w:tblPr>
      <w:tblGrid>
        <w:gridCol w:w="2268"/>
        <w:gridCol w:w="2599"/>
        <w:gridCol w:w="4638"/>
      </w:tblGrid>
      <w:tr w:rsidR="0040299D" w:rsidRPr="00CF3D68" w14:paraId="71B58E0A" w14:textId="77777777" w:rsidTr="001A5015">
        <w:trPr>
          <w:cantSplit/>
        </w:trPr>
        <w:tc>
          <w:tcPr>
            <w:tcW w:w="4867" w:type="dxa"/>
            <w:gridSpan w:val="2"/>
          </w:tcPr>
          <w:p w14:paraId="0EAED9E7" w14:textId="77777777" w:rsidR="000B2721" w:rsidRPr="00CF3D68" w:rsidRDefault="000B2721" w:rsidP="00C6542A">
            <w:pPr>
              <w:rPr>
                <w:lang w:val="en-CA"/>
              </w:rPr>
            </w:pPr>
          </w:p>
          <w:p w14:paraId="1189EF55" w14:textId="77777777" w:rsidR="00802823" w:rsidRPr="00CF3D68" w:rsidRDefault="00802823" w:rsidP="00C6542A">
            <w:pPr>
              <w:rPr>
                <w:lang w:val="en-CA"/>
              </w:rPr>
            </w:pPr>
          </w:p>
        </w:tc>
        <w:tc>
          <w:tcPr>
            <w:tcW w:w="4638" w:type="dxa"/>
          </w:tcPr>
          <w:p w14:paraId="73AF40CE" w14:textId="1E9021CC" w:rsidR="000B2721" w:rsidRPr="007B7DA3" w:rsidRDefault="001F7521" w:rsidP="00CE3CA7">
            <w:pPr>
              <w:pStyle w:val="zSoquijdatSignature3Juge"/>
              <w:ind w:firstLine="376"/>
            </w:pPr>
            <w:r w:rsidRPr="007B7DA3">
              <w:t>_____________________________</w:t>
            </w:r>
          </w:p>
          <w:p w14:paraId="0D491BC2" w14:textId="77777777" w:rsidR="000B2721" w:rsidRPr="007B7DA3" w:rsidRDefault="001A5015" w:rsidP="00CB7947">
            <w:pPr>
              <w:pStyle w:val="zSoquijdatSignature3Juge"/>
              <w:jc w:val="center"/>
            </w:pPr>
            <w:r w:rsidRPr="007B7DA3">
              <w:rPr>
                <w:b/>
                <w:bCs/>
              </w:rPr>
              <w:t xml:space="preserve">ANNE-MARIE MANOUKIAN, </w:t>
            </w:r>
            <w:proofErr w:type="spellStart"/>
            <w:r w:rsidRPr="007B7DA3">
              <w:rPr>
                <w:b/>
                <w:bCs/>
              </w:rPr>
              <w:t>J.C.Q</w:t>
            </w:r>
            <w:proofErr w:type="spellEnd"/>
            <w:r w:rsidRPr="007B7DA3">
              <w:t>.</w:t>
            </w:r>
          </w:p>
          <w:p w14:paraId="25561021" w14:textId="3A32536F" w:rsidR="00CE3CA7" w:rsidRPr="007B7DA3" w:rsidRDefault="00CE3CA7" w:rsidP="00CB7947">
            <w:pPr>
              <w:pStyle w:val="zSoquijdatSignature3Juge"/>
              <w:jc w:val="center"/>
            </w:pPr>
          </w:p>
        </w:tc>
      </w:tr>
      <w:tr w:rsidR="0040299D" w:rsidRPr="00CF3D68" w14:paraId="086A9B4A" w14:textId="77777777" w:rsidTr="001A5015">
        <w:tblPrEx>
          <w:tblCellMar>
            <w:left w:w="70" w:type="dxa"/>
            <w:right w:w="70" w:type="dxa"/>
          </w:tblCellMar>
        </w:tblPrEx>
        <w:trPr>
          <w:cantSplit/>
        </w:trPr>
        <w:tc>
          <w:tcPr>
            <w:tcW w:w="9505" w:type="dxa"/>
            <w:gridSpan w:val="3"/>
          </w:tcPr>
          <w:p w14:paraId="27E7F339" w14:textId="78D078E2" w:rsidR="00CB7947" w:rsidRPr="00CF3D68" w:rsidRDefault="001F7521" w:rsidP="00CB7947">
            <w:pPr>
              <w:pStyle w:val="zSoquijdatNomProcureurDem"/>
              <w:rPr>
                <w:b/>
                <w:bCs/>
                <w:lang w:val="en-CA"/>
              </w:rPr>
            </w:pPr>
            <w:proofErr w:type="spellStart"/>
            <w:r w:rsidRPr="00CF3D68">
              <w:rPr>
                <w:b/>
                <w:bCs/>
                <w:lang w:val="en-CA"/>
              </w:rPr>
              <w:t>Mtre</w:t>
            </w:r>
            <w:proofErr w:type="spellEnd"/>
            <w:r w:rsidR="00521781" w:rsidRPr="00CF3D68">
              <w:rPr>
                <w:b/>
                <w:bCs/>
                <w:lang w:val="en-CA"/>
              </w:rPr>
              <w:t xml:space="preserve"> Rami EL-</w:t>
            </w:r>
            <w:proofErr w:type="spellStart"/>
            <w:r w:rsidR="00521781" w:rsidRPr="00CF3D68">
              <w:rPr>
                <w:b/>
                <w:bCs/>
                <w:lang w:val="en-CA"/>
              </w:rPr>
              <w:t>Maoula</w:t>
            </w:r>
            <w:proofErr w:type="spellEnd"/>
          </w:p>
        </w:tc>
      </w:tr>
      <w:tr w:rsidR="0040299D" w:rsidRPr="000853CE" w14:paraId="5973296E" w14:textId="77777777" w:rsidTr="001A5015">
        <w:tblPrEx>
          <w:tblCellMar>
            <w:left w:w="70" w:type="dxa"/>
            <w:right w:w="70" w:type="dxa"/>
          </w:tblCellMar>
        </w:tblPrEx>
        <w:trPr>
          <w:cantSplit/>
        </w:trPr>
        <w:tc>
          <w:tcPr>
            <w:tcW w:w="9505" w:type="dxa"/>
            <w:gridSpan w:val="3"/>
          </w:tcPr>
          <w:p w14:paraId="66800CAD" w14:textId="208F8F5E" w:rsidR="00CB7947" w:rsidRPr="00CF3D68" w:rsidRDefault="001F7521" w:rsidP="00CB7947">
            <w:pPr>
              <w:pStyle w:val="zSoquijlblProcureurDem"/>
              <w:rPr>
                <w:lang w:val="en-CA"/>
              </w:rPr>
            </w:pPr>
            <w:r w:rsidRPr="00CF3D68">
              <w:rPr>
                <w:lang w:val="en-CA"/>
              </w:rPr>
              <w:t>Counsel for the applicants</w:t>
            </w:r>
            <w:r w:rsidR="00F04FC2">
              <w:rPr>
                <w:lang w:val="en-CA"/>
              </w:rPr>
              <w:t>–</w:t>
            </w:r>
            <w:r w:rsidR="008E432F">
              <w:rPr>
                <w:lang w:val="en-CA"/>
              </w:rPr>
              <w:t>seizing party</w:t>
            </w:r>
          </w:p>
        </w:tc>
      </w:tr>
      <w:tr w:rsidR="0040299D" w:rsidRPr="000853CE" w14:paraId="2A066168" w14:textId="77777777" w:rsidTr="001A5015">
        <w:tblPrEx>
          <w:tblCellMar>
            <w:left w:w="70" w:type="dxa"/>
            <w:right w:w="70" w:type="dxa"/>
          </w:tblCellMar>
        </w:tblPrEx>
        <w:trPr>
          <w:cantSplit/>
        </w:trPr>
        <w:tc>
          <w:tcPr>
            <w:tcW w:w="9505" w:type="dxa"/>
            <w:gridSpan w:val="3"/>
          </w:tcPr>
          <w:p w14:paraId="01801731" w14:textId="77777777" w:rsidR="00CB7947" w:rsidRPr="00CF3D68" w:rsidRDefault="00CB7947" w:rsidP="004B3039">
            <w:pPr>
              <w:pStyle w:val="zSoquijdatNomProcureurDef"/>
              <w:rPr>
                <w:lang w:val="en-CA"/>
              </w:rPr>
            </w:pPr>
          </w:p>
        </w:tc>
      </w:tr>
      <w:tr w:rsidR="0040299D" w:rsidRPr="00CF3D68" w14:paraId="4122863D" w14:textId="77777777" w:rsidTr="001A5015">
        <w:tblPrEx>
          <w:tblCellMar>
            <w:left w:w="70" w:type="dxa"/>
            <w:right w:w="70" w:type="dxa"/>
          </w:tblCellMar>
        </w:tblPrEx>
        <w:trPr>
          <w:cantSplit/>
        </w:trPr>
        <w:tc>
          <w:tcPr>
            <w:tcW w:w="9505" w:type="dxa"/>
            <w:gridSpan w:val="3"/>
          </w:tcPr>
          <w:p w14:paraId="243284EF" w14:textId="4506437A" w:rsidR="00CF1FC4" w:rsidRPr="00CF3D68" w:rsidRDefault="001F7521" w:rsidP="004B3039">
            <w:pPr>
              <w:pStyle w:val="zSoquijdatNomProcureurDef"/>
              <w:rPr>
                <w:b/>
                <w:bCs/>
                <w:lang w:val="en-CA"/>
              </w:rPr>
            </w:pPr>
            <w:proofErr w:type="spellStart"/>
            <w:r w:rsidRPr="00CF3D68">
              <w:rPr>
                <w:b/>
                <w:bCs/>
                <w:lang w:val="en-CA"/>
              </w:rPr>
              <w:t>Mtre</w:t>
            </w:r>
            <w:proofErr w:type="spellEnd"/>
            <w:r w:rsidR="00521781" w:rsidRPr="00CF3D68">
              <w:rPr>
                <w:b/>
                <w:bCs/>
                <w:lang w:val="en-CA"/>
              </w:rPr>
              <w:t xml:space="preserve"> Marc-André </w:t>
            </w:r>
            <w:proofErr w:type="spellStart"/>
            <w:r w:rsidR="00521781" w:rsidRPr="00CF3D68">
              <w:rPr>
                <w:b/>
                <w:bCs/>
                <w:lang w:val="en-CA"/>
              </w:rPr>
              <w:t>Nadon</w:t>
            </w:r>
            <w:proofErr w:type="spellEnd"/>
          </w:p>
        </w:tc>
      </w:tr>
      <w:tr w:rsidR="0040299D" w:rsidRPr="00CF3D68" w14:paraId="4E51C9FE" w14:textId="77777777" w:rsidTr="001A5015">
        <w:tblPrEx>
          <w:tblCellMar>
            <w:left w:w="70" w:type="dxa"/>
            <w:right w:w="70" w:type="dxa"/>
          </w:tblCellMar>
        </w:tblPrEx>
        <w:trPr>
          <w:cantSplit/>
        </w:trPr>
        <w:tc>
          <w:tcPr>
            <w:tcW w:w="9505" w:type="dxa"/>
            <w:gridSpan w:val="3"/>
          </w:tcPr>
          <w:p w14:paraId="64849B97" w14:textId="4AAA4E71" w:rsidR="000B2721" w:rsidRPr="00CF3D68" w:rsidRDefault="001F7521" w:rsidP="00C6542A">
            <w:pPr>
              <w:pStyle w:val="zSoquijlblProcureurDef"/>
              <w:rPr>
                <w:lang w:val="en-CA"/>
              </w:rPr>
            </w:pPr>
            <w:r w:rsidRPr="00CF3D68">
              <w:rPr>
                <w:lang w:val="en-CA"/>
              </w:rPr>
              <w:t>Counsel for the interven</w:t>
            </w:r>
            <w:r w:rsidR="00DC1220">
              <w:rPr>
                <w:lang w:val="en-CA"/>
              </w:rPr>
              <w:t>o</w:t>
            </w:r>
            <w:r w:rsidRPr="00CF3D68">
              <w:rPr>
                <w:lang w:val="en-CA"/>
              </w:rPr>
              <w:t>rs</w:t>
            </w:r>
          </w:p>
        </w:tc>
      </w:tr>
      <w:tr w:rsidR="0040299D" w:rsidRPr="00CF3D68" w14:paraId="64DBFB31" w14:textId="77777777" w:rsidTr="001A5015">
        <w:tblPrEx>
          <w:tblCellMar>
            <w:left w:w="70" w:type="dxa"/>
            <w:right w:w="70" w:type="dxa"/>
          </w:tblCellMar>
        </w:tblPrEx>
        <w:tc>
          <w:tcPr>
            <w:tcW w:w="9505" w:type="dxa"/>
            <w:gridSpan w:val="3"/>
          </w:tcPr>
          <w:p w14:paraId="32BF02D2" w14:textId="77777777" w:rsidR="000B2721" w:rsidRPr="00CF3D68" w:rsidRDefault="000B2721" w:rsidP="00C6542A">
            <w:pPr>
              <w:rPr>
                <w:lang w:val="en-CA"/>
              </w:rPr>
            </w:pPr>
          </w:p>
        </w:tc>
      </w:tr>
      <w:tr w:rsidR="0040299D" w:rsidRPr="00CF3D68" w14:paraId="59C7726B" w14:textId="77777777" w:rsidTr="007B1838">
        <w:tblPrEx>
          <w:tblCellMar>
            <w:left w:w="70" w:type="dxa"/>
            <w:right w:w="70" w:type="dxa"/>
          </w:tblCellMar>
        </w:tblPrEx>
        <w:tc>
          <w:tcPr>
            <w:tcW w:w="2268" w:type="dxa"/>
          </w:tcPr>
          <w:p w14:paraId="66407CE3" w14:textId="2394BF9F" w:rsidR="000B2721" w:rsidRPr="00CF3D68" w:rsidRDefault="001F7521" w:rsidP="00C6542A">
            <w:pPr>
              <w:pStyle w:val="zSoquijlblDateAudience"/>
              <w:rPr>
                <w:lang w:val="en-CA"/>
              </w:rPr>
            </w:pPr>
            <w:r w:rsidRPr="00CF3D68">
              <w:rPr>
                <w:lang w:val="en-CA"/>
              </w:rPr>
              <w:t>Dates of hearing:</w:t>
            </w:r>
          </w:p>
        </w:tc>
        <w:tc>
          <w:tcPr>
            <w:tcW w:w="7237" w:type="dxa"/>
            <w:gridSpan w:val="2"/>
          </w:tcPr>
          <w:p w14:paraId="5303F47E" w14:textId="44B51019" w:rsidR="000B2721" w:rsidRPr="00CF3D68" w:rsidRDefault="001F7521" w:rsidP="004B3039">
            <w:pPr>
              <w:pStyle w:val="zSoquijdatDateAudience"/>
              <w:rPr>
                <w:lang w:val="en-CA"/>
              </w:rPr>
            </w:pPr>
            <w:r w:rsidRPr="00CF3D68">
              <w:rPr>
                <w:lang w:val="en-CA"/>
              </w:rPr>
              <w:t xml:space="preserve">March </w:t>
            </w:r>
            <w:r w:rsidR="00952CAA" w:rsidRPr="00CF3D68">
              <w:rPr>
                <w:lang w:val="en-CA"/>
              </w:rPr>
              <w:t xml:space="preserve">14 </w:t>
            </w:r>
            <w:r w:rsidRPr="00CF3D68">
              <w:rPr>
                <w:lang w:val="en-CA"/>
              </w:rPr>
              <w:t xml:space="preserve">and June </w:t>
            </w:r>
            <w:r w:rsidR="00952CAA" w:rsidRPr="00CF3D68">
              <w:rPr>
                <w:lang w:val="en-CA"/>
              </w:rPr>
              <w:t>7</w:t>
            </w:r>
            <w:r w:rsidRPr="00CF3D68">
              <w:rPr>
                <w:lang w:val="en-CA"/>
              </w:rPr>
              <w:t>,</w:t>
            </w:r>
            <w:r w:rsidR="00952CAA" w:rsidRPr="00CF3D68">
              <w:rPr>
                <w:lang w:val="en-CA"/>
              </w:rPr>
              <w:t xml:space="preserve"> 2024</w:t>
            </w:r>
          </w:p>
        </w:tc>
      </w:tr>
    </w:tbl>
    <w:p w14:paraId="537D5B3F" w14:textId="77777777" w:rsidR="00D7363F" w:rsidRPr="00CF3D68" w:rsidRDefault="00D7363F" w:rsidP="00C6542A">
      <w:pPr>
        <w:rPr>
          <w:lang w:val="en-CA"/>
        </w:rPr>
      </w:pPr>
    </w:p>
    <w:sectPr w:rsidR="00D7363F" w:rsidRPr="00CF3D6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416B" w14:textId="77777777" w:rsidR="00741A82" w:rsidRDefault="00741A82">
      <w:r>
        <w:separator/>
      </w:r>
    </w:p>
  </w:endnote>
  <w:endnote w:type="continuationSeparator" w:id="0">
    <w:p w14:paraId="5E5FA279" w14:textId="77777777" w:rsidR="00741A82" w:rsidRDefault="0074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37C" w14:textId="77777777" w:rsidR="00C431DA" w:rsidRDefault="001F7521">
    <w:pPr>
      <w:framePr w:wrap="around" w:vAnchor="text" w:hAnchor="margin" w:xAlign="right" w:y="1"/>
    </w:pPr>
    <w:r>
      <w:fldChar w:fldCharType="begin"/>
    </w:r>
    <w:r>
      <w:instrText xml:space="preserve">PAGE  </w:instrText>
    </w:r>
    <w:r w:rsidR="00704EE0">
      <w:fldChar w:fldCharType="separate"/>
    </w:r>
    <w:r>
      <w:fldChar w:fldCharType="end"/>
    </w:r>
  </w:p>
  <w:p w14:paraId="27ECE8CE" w14:textId="77777777" w:rsidR="00C431DA" w:rsidRDefault="00C431D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08D" w14:textId="77777777" w:rsidR="00EB51AA" w:rsidRDefault="00EB51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5107" w14:textId="77777777" w:rsidR="00EB51AA" w:rsidRDefault="00EB5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97DE" w14:textId="77777777" w:rsidR="00741A82" w:rsidRDefault="00741A82">
      <w:r>
        <w:separator/>
      </w:r>
    </w:p>
  </w:footnote>
  <w:footnote w:type="continuationSeparator" w:id="0">
    <w:p w14:paraId="33AA031E" w14:textId="77777777" w:rsidR="00741A82" w:rsidRDefault="00741A82">
      <w:r>
        <w:continuationSeparator/>
      </w:r>
    </w:p>
  </w:footnote>
  <w:footnote w:id="1">
    <w:p w14:paraId="2684B5CC" w14:textId="1DD7DEBF" w:rsidR="008B457D" w:rsidRPr="00FC6598" w:rsidRDefault="008B457D" w:rsidP="008B457D">
      <w:pPr>
        <w:pStyle w:val="Notedebasdepage"/>
        <w:rPr>
          <w:lang w:val="en-CA"/>
        </w:rPr>
      </w:pPr>
      <w:r>
        <w:rPr>
          <w:rStyle w:val="Appelnotedebasdep"/>
        </w:rPr>
        <w:footnoteRef/>
      </w:r>
      <w:r w:rsidRPr="00FC6598">
        <w:rPr>
          <w:lang w:val="en-CA"/>
        </w:rPr>
        <w:tab/>
      </w:r>
      <w:r w:rsidR="006955FC" w:rsidRPr="00FC6598">
        <w:rPr>
          <w:lang w:val="en-CA"/>
        </w:rPr>
        <w:t xml:space="preserve">Sections </w:t>
      </w:r>
      <w:r w:rsidRPr="00CF3D68">
        <w:rPr>
          <w:lang w:val="en-CA"/>
        </w:rPr>
        <w:t xml:space="preserve">490(2), (3) </w:t>
      </w:r>
      <w:r w:rsidR="006955FC" w:rsidRPr="00CF3D68">
        <w:rPr>
          <w:lang w:val="en-CA"/>
        </w:rPr>
        <w:t xml:space="preserve">and </w:t>
      </w:r>
      <w:r w:rsidRPr="00CF3D68">
        <w:rPr>
          <w:lang w:val="en-CA"/>
        </w:rPr>
        <w:t xml:space="preserve">(9.1) </w:t>
      </w:r>
      <w:r w:rsidR="00667C93" w:rsidRPr="00CF3D68">
        <w:rPr>
          <w:i/>
          <w:iCs/>
          <w:lang w:val="en-CA"/>
        </w:rPr>
        <w:t>Criminal</w:t>
      </w:r>
      <w:r w:rsidR="006955FC" w:rsidRPr="00CF3D68">
        <w:rPr>
          <w:i/>
          <w:iCs/>
          <w:lang w:val="en-CA"/>
        </w:rPr>
        <w:t xml:space="preserve"> C</w:t>
      </w:r>
      <w:r w:rsidRPr="00CF3D68">
        <w:rPr>
          <w:i/>
          <w:iCs/>
          <w:lang w:val="en-CA"/>
        </w:rPr>
        <w:t xml:space="preserve">ode </w:t>
      </w:r>
      <w:r w:rsidRPr="00CF3D68">
        <w:rPr>
          <w:lang w:val="en-CA"/>
        </w:rPr>
        <w:t>(</w:t>
      </w:r>
      <w:r w:rsidRPr="00CF3D68">
        <w:rPr>
          <w:i/>
          <w:iCs/>
          <w:spacing w:val="-20"/>
          <w:lang w:val="en-CA"/>
        </w:rPr>
        <w:t>C.</w:t>
      </w:r>
      <w:r w:rsidR="006955FC" w:rsidRPr="00CF3D68">
        <w:rPr>
          <w:i/>
          <w:iCs/>
          <w:spacing w:val="-20"/>
          <w:lang w:val="en-CA"/>
        </w:rPr>
        <w:t>C</w:t>
      </w:r>
      <w:r w:rsidRPr="00CF3D68">
        <w:rPr>
          <w:lang w:val="en-CA"/>
        </w:rPr>
        <w:t>.).</w:t>
      </w:r>
    </w:p>
  </w:footnote>
  <w:footnote w:id="2">
    <w:p w14:paraId="105821E3" w14:textId="0B723FF1" w:rsidR="00492C83" w:rsidRPr="006955FC" w:rsidRDefault="00492C83" w:rsidP="00492C83">
      <w:pPr>
        <w:pStyle w:val="Notedebasdepage"/>
        <w:rPr>
          <w:lang w:val="en-CA"/>
        </w:rPr>
      </w:pPr>
      <w:r>
        <w:rPr>
          <w:rStyle w:val="Appelnotedebasdep"/>
        </w:rPr>
        <w:footnoteRef/>
      </w:r>
      <w:r w:rsidRPr="006955FC">
        <w:rPr>
          <w:lang w:val="en-CA"/>
        </w:rPr>
        <w:t xml:space="preserve"> </w:t>
      </w:r>
      <w:r w:rsidRPr="006955FC">
        <w:rPr>
          <w:lang w:val="en-CA"/>
        </w:rPr>
        <w:tab/>
        <w:t>Not</w:t>
      </w:r>
      <w:r w:rsidR="006955FC" w:rsidRPr="006955FC">
        <w:rPr>
          <w:lang w:val="en-CA"/>
        </w:rPr>
        <w:t>e that the Court ordered certain p</w:t>
      </w:r>
      <w:r w:rsidR="00943321">
        <w:rPr>
          <w:lang w:val="en-CA"/>
        </w:rPr>
        <w:t>ortions</w:t>
      </w:r>
      <w:r w:rsidR="006955FC" w:rsidRPr="006955FC">
        <w:rPr>
          <w:lang w:val="en-CA"/>
        </w:rPr>
        <w:t xml:space="preserve"> of the hearing sealed</w:t>
      </w:r>
      <w:r w:rsidRPr="006955FC">
        <w:rPr>
          <w:lang w:val="en-CA"/>
        </w:rPr>
        <w:t xml:space="preserve">, </w:t>
      </w:r>
      <w:r w:rsidR="006955FC" w:rsidRPr="006955FC">
        <w:rPr>
          <w:lang w:val="en-CA"/>
        </w:rPr>
        <w:t>see verbal order rendered o</w:t>
      </w:r>
      <w:r w:rsidR="006955FC">
        <w:rPr>
          <w:lang w:val="en-CA"/>
        </w:rPr>
        <w:t xml:space="preserve">n April </w:t>
      </w:r>
      <w:r w:rsidR="0064056D">
        <w:rPr>
          <w:lang w:val="en-CA"/>
        </w:rPr>
        <w:t xml:space="preserve">29, </w:t>
      </w:r>
      <w:r w:rsidRPr="006955FC">
        <w:rPr>
          <w:lang w:val="en-CA"/>
        </w:rPr>
        <w:t>2024, r</w:t>
      </w:r>
      <w:r w:rsidR="006955FC">
        <w:rPr>
          <w:lang w:val="en-CA"/>
        </w:rPr>
        <w:t xml:space="preserve">eiterated on June </w:t>
      </w:r>
      <w:r w:rsidR="0064056D">
        <w:rPr>
          <w:lang w:val="en-CA"/>
        </w:rPr>
        <w:t xml:space="preserve">7, </w:t>
      </w:r>
      <w:r w:rsidRPr="006955FC">
        <w:rPr>
          <w:lang w:val="en-CA"/>
        </w:rPr>
        <w:t>2024.</w:t>
      </w:r>
    </w:p>
  </w:footnote>
  <w:footnote w:id="3">
    <w:p w14:paraId="758E1ED7" w14:textId="2EFF8CC2" w:rsidR="00492C83" w:rsidRPr="00FC6598" w:rsidRDefault="00492C83" w:rsidP="00492C83">
      <w:pPr>
        <w:pStyle w:val="Notedebasdepage"/>
        <w:rPr>
          <w:lang w:val="en-CA"/>
        </w:rPr>
      </w:pPr>
      <w:r>
        <w:rPr>
          <w:rStyle w:val="Appelnotedebasdep"/>
        </w:rPr>
        <w:footnoteRef/>
      </w:r>
      <w:r w:rsidRPr="006955FC">
        <w:rPr>
          <w:lang w:val="en-CA"/>
        </w:rPr>
        <w:t xml:space="preserve"> </w:t>
      </w:r>
      <w:r w:rsidRPr="006955FC">
        <w:rPr>
          <w:lang w:val="en-CA"/>
        </w:rPr>
        <w:tab/>
      </w:r>
      <w:r w:rsidR="006955FC" w:rsidRPr="006955FC">
        <w:rPr>
          <w:lang w:val="en-CA"/>
        </w:rPr>
        <w:t xml:space="preserve">Within the meaning of </w:t>
      </w:r>
      <w:r w:rsidRPr="006955FC">
        <w:rPr>
          <w:i/>
          <w:iCs/>
          <w:lang w:val="en-CA"/>
        </w:rPr>
        <w:t>R</w:t>
      </w:r>
      <w:r w:rsidRPr="006955FC">
        <w:rPr>
          <w:lang w:val="en-CA"/>
        </w:rPr>
        <w:t xml:space="preserve">. </w:t>
      </w:r>
      <w:r w:rsidR="006955FC" w:rsidRPr="006955FC">
        <w:rPr>
          <w:i/>
          <w:iCs/>
          <w:lang w:val="en-CA"/>
        </w:rPr>
        <w:t>v</w:t>
      </w:r>
      <w:r w:rsidRPr="006955FC">
        <w:rPr>
          <w:lang w:val="en-CA"/>
        </w:rPr>
        <w:t xml:space="preserve">. </w:t>
      </w:r>
      <w:r w:rsidRPr="006955FC">
        <w:rPr>
          <w:i/>
          <w:iCs/>
          <w:lang w:val="en-CA"/>
        </w:rPr>
        <w:t>Gardiner</w:t>
      </w:r>
      <w:r w:rsidRPr="006955FC">
        <w:rPr>
          <w:lang w:val="en-CA"/>
        </w:rPr>
        <w:t xml:space="preserve">, 2008 ONCA 397 </w:t>
      </w:r>
      <w:r w:rsidR="006955FC" w:rsidRPr="006955FC">
        <w:rPr>
          <w:lang w:val="en-CA"/>
        </w:rPr>
        <w:t xml:space="preserve">and adopted in </w:t>
      </w:r>
      <w:r w:rsidRPr="006955FC">
        <w:rPr>
          <w:i/>
          <w:iCs/>
          <w:lang w:val="en-CA"/>
        </w:rPr>
        <w:t>R</w:t>
      </w:r>
      <w:r w:rsidRPr="006955FC">
        <w:rPr>
          <w:lang w:val="en-CA"/>
        </w:rPr>
        <w:t xml:space="preserve">. </w:t>
      </w:r>
      <w:r w:rsidRPr="006955FC">
        <w:rPr>
          <w:i/>
          <w:iCs/>
          <w:lang w:val="en-CA"/>
        </w:rPr>
        <w:t>c.</w:t>
      </w:r>
      <w:r w:rsidRPr="006955FC">
        <w:rPr>
          <w:lang w:val="en-CA"/>
        </w:rPr>
        <w:t xml:space="preserve"> </w:t>
      </w:r>
      <w:r w:rsidRPr="006955FC">
        <w:rPr>
          <w:i/>
          <w:iCs/>
          <w:lang w:val="en-CA"/>
        </w:rPr>
        <w:t xml:space="preserve">Construction </w:t>
      </w:r>
      <w:r w:rsidR="00ED1FD3">
        <w:rPr>
          <w:i/>
          <w:iCs/>
          <w:lang w:val="en-CA"/>
        </w:rPr>
        <w:t>d</w:t>
      </w:r>
      <w:r w:rsidRPr="006955FC">
        <w:rPr>
          <w:i/>
          <w:iCs/>
          <w:lang w:val="en-CA"/>
        </w:rPr>
        <w:t xml:space="preserve">e </w:t>
      </w:r>
      <w:r w:rsidR="00C91CC4">
        <w:rPr>
          <w:i/>
          <w:iCs/>
          <w:lang w:val="en-CA"/>
        </w:rPr>
        <w:t>C</w:t>
      </w:r>
      <w:r w:rsidR="00C91CC4" w:rsidRPr="006955FC">
        <w:rPr>
          <w:i/>
          <w:iCs/>
          <w:lang w:val="en-CA"/>
        </w:rPr>
        <w:t xml:space="preserve">astel </w:t>
      </w:r>
      <w:r w:rsidR="00C91CC4">
        <w:rPr>
          <w:i/>
          <w:iCs/>
          <w:lang w:val="en-CA"/>
        </w:rPr>
        <w:t>i</w:t>
      </w:r>
      <w:r w:rsidR="00C91CC4" w:rsidRPr="006955FC">
        <w:rPr>
          <w:i/>
          <w:iCs/>
          <w:lang w:val="en-CA"/>
        </w:rPr>
        <w:t>nc</w:t>
      </w:r>
      <w:r w:rsidRPr="006955FC">
        <w:rPr>
          <w:lang w:val="en-CA"/>
        </w:rPr>
        <w:t xml:space="preserve">., 2014 QCCA 1125 </w:t>
      </w:r>
      <w:r w:rsidR="006955FC">
        <w:rPr>
          <w:lang w:val="en-CA"/>
        </w:rPr>
        <w:t xml:space="preserve">at </w:t>
      </w:r>
      <w:r w:rsidRPr="006955FC">
        <w:rPr>
          <w:lang w:val="en-CA"/>
        </w:rPr>
        <w:t>par</w:t>
      </w:r>
      <w:r w:rsidR="006955FC">
        <w:rPr>
          <w:lang w:val="en-CA"/>
        </w:rPr>
        <w:t>as</w:t>
      </w:r>
      <w:r w:rsidRPr="006955FC">
        <w:rPr>
          <w:lang w:val="en-CA"/>
        </w:rPr>
        <w:t xml:space="preserve">. </w:t>
      </w:r>
      <w:r w:rsidRPr="00CF3D68">
        <w:rPr>
          <w:lang w:val="en-CA"/>
        </w:rPr>
        <w:t xml:space="preserve">63 </w:t>
      </w:r>
      <w:r w:rsidR="006955FC" w:rsidRPr="00CF3D68">
        <w:rPr>
          <w:lang w:val="en-CA"/>
        </w:rPr>
        <w:t>and</w:t>
      </w:r>
      <w:r w:rsidRPr="00CF3D68">
        <w:rPr>
          <w:lang w:val="en-CA"/>
        </w:rPr>
        <w:t xml:space="preserve"> 64.</w:t>
      </w:r>
    </w:p>
  </w:footnote>
  <w:footnote w:id="4">
    <w:p w14:paraId="608A1493" w14:textId="310B63C0" w:rsidR="00492C83" w:rsidRPr="006955FC" w:rsidRDefault="00492C83" w:rsidP="00492C83">
      <w:pPr>
        <w:pStyle w:val="Notedebasdepage"/>
        <w:rPr>
          <w:lang w:val="en-CA"/>
        </w:rPr>
      </w:pPr>
      <w:r>
        <w:rPr>
          <w:rStyle w:val="Appelnotedebasdep"/>
        </w:rPr>
        <w:footnoteRef/>
      </w:r>
      <w:r w:rsidRPr="006955FC">
        <w:rPr>
          <w:lang w:val="en-CA"/>
        </w:rPr>
        <w:t xml:space="preserve"> </w:t>
      </w:r>
      <w:r w:rsidRPr="006955FC">
        <w:rPr>
          <w:lang w:val="en-CA"/>
        </w:rPr>
        <w:tab/>
      </w:r>
      <w:r w:rsidR="00CC6B90">
        <w:rPr>
          <w:lang w:val="en-CA"/>
        </w:rPr>
        <w:t>A</w:t>
      </w:r>
      <w:r w:rsidR="006955FC" w:rsidRPr="006955FC">
        <w:rPr>
          <w:lang w:val="en-CA"/>
        </w:rPr>
        <w:t xml:space="preserve"> form used by the Court for administrative purposes</w:t>
      </w:r>
      <w:r w:rsidRPr="006955FC">
        <w:rPr>
          <w:lang w:val="en-CA"/>
        </w:rPr>
        <w:t>, compl</w:t>
      </w:r>
      <w:r w:rsidR="006955FC" w:rsidRPr="006955FC">
        <w:rPr>
          <w:lang w:val="en-CA"/>
        </w:rPr>
        <w:t>e</w:t>
      </w:r>
      <w:r w:rsidRPr="006955FC">
        <w:rPr>
          <w:lang w:val="en-CA"/>
        </w:rPr>
        <w:t>t</w:t>
      </w:r>
      <w:r w:rsidR="006955FC" w:rsidRPr="006955FC">
        <w:rPr>
          <w:lang w:val="en-CA"/>
        </w:rPr>
        <w:t>ed</w:t>
      </w:r>
      <w:r w:rsidRPr="006955FC">
        <w:rPr>
          <w:lang w:val="en-CA"/>
        </w:rPr>
        <w:t xml:space="preserve"> </w:t>
      </w:r>
      <w:r w:rsidR="006955FC" w:rsidRPr="006955FC">
        <w:rPr>
          <w:lang w:val="en-CA"/>
        </w:rPr>
        <w:t>by affiants at the time of the application for judicial authorization</w:t>
      </w:r>
      <w:r w:rsidR="00CC6B90">
        <w:rPr>
          <w:lang w:val="en-CA"/>
        </w:rPr>
        <w:t>,</w:t>
      </w:r>
      <w:r w:rsidR="006955FC" w:rsidRPr="006955FC">
        <w:rPr>
          <w:lang w:val="en-CA"/>
        </w:rPr>
        <w:t xml:space="preserve"> which contains information that could reveal the nature of th</w:t>
      </w:r>
      <w:r w:rsidR="006955FC">
        <w:rPr>
          <w:lang w:val="en-CA"/>
        </w:rPr>
        <w:t>e</w:t>
      </w:r>
      <w:r w:rsidR="006955FC" w:rsidRPr="006955FC">
        <w:rPr>
          <w:lang w:val="en-CA"/>
        </w:rPr>
        <w:t xml:space="preserve"> ongoing investigation and/or dates relevant to the investigation</w:t>
      </w:r>
      <w:r w:rsidRPr="006955FC">
        <w:rPr>
          <w:lang w:val="en-CA"/>
        </w:rPr>
        <w:t xml:space="preserve">.   </w:t>
      </w:r>
    </w:p>
  </w:footnote>
  <w:footnote w:id="5">
    <w:p w14:paraId="11691615" w14:textId="0EF3D231" w:rsidR="00D96332" w:rsidRPr="00FC6598" w:rsidRDefault="00D96332" w:rsidP="00D96332">
      <w:pPr>
        <w:pStyle w:val="Notedebasdepage"/>
        <w:rPr>
          <w:lang w:val="en-CA"/>
        </w:rPr>
      </w:pPr>
      <w:r>
        <w:rPr>
          <w:rStyle w:val="Appelnotedebasdep"/>
        </w:rPr>
        <w:footnoteRef/>
      </w:r>
      <w:r w:rsidRPr="00FC6598">
        <w:rPr>
          <w:lang w:val="en-CA"/>
        </w:rPr>
        <w:t xml:space="preserve"> </w:t>
      </w:r>
      <w:r w:rsidRPr="00FC6598">
        <w:rPr>
          <w:lang w:val="en-CA"/>
        </w:rPr>
        <w:tab/>
      </w:r>
      <w:r w:rsidRPr="00CF3D68">
        <w:rPr>
          <w:i/>
          <w:iCs/>
          <w:lang w:val="en-CA"/>
        </w:rPr>
        <w:t>R</w:t>
      </w:r>
      <w:r w:rsidRPr="00CF3D68">
        <w:rPr>
          <w:lang w:val="en-CA"/>
        </w:rPr>
        <w:t xml:space="preserve">. </w:t>
      </w:r>
      <w:r w:rsidRPr="00CF3D68">
        <w:rPr>
          <w:i/>
          <w:iCs/>
          <w:lang w:val="en-CA"/>
        </w:rPr>
        <w:t>c</w:t>
      </w:r>
      <w:r w:rsidRPr="00CF3D68">
        <w:rPr>
          <w:lang w:val="en-CA"/>
        </w:rPr>
        <w:t xml:space="preserve">. </w:t>
      </w:r>
      <w:r w:rsidRPr="00CF3D68">
        <w:rPr>
          <w:i/>
          <w:iCs/>
          <w:lang w:val="en-CA"/>
        </w:rPr>
        <w:t>Landry</w:t>
      </w:r>
      <w:r w:rsidRPr="00CF3D68">
        <w:rPr>
          <w:lang w:val="en-CA"/>
        </w:rPr>
        <w:t>, 2022 QCCA 1186</w:t>
      </w:r>
      <w:r w:rsidR="006955FC" w:rsidRPr="00CF3D68">
        <w:rPr>
          <w:lang w:val="en-CA"/>
        </w:rPr>
        <w:t xml:space="preserve"> at</w:t>
      </w:r>
      <w:r w:rsidRPr="00CF3D68">
        <w:rPr>
          <w:lang w:val="en-CA"/>
        </w:rPr>
        <w:t xml:space="preserve"> par</w:t>
      </w:r>
      <w:r w:rsidR="006955FC" w:rsidRPr="00CF3D68">
        <w:rPr>
          <w:lang w:val="en-CA"/>
        </w:rPr>
        <w:t>a</w:t>
      </w:r>
      <w:r w:rsidRPr="00CF3D68">
        <w:rPr>
          <w:lang w:val="en-CA"/>
        </w:rPr>
        <w:t>.</w:t>
      </w:r>
      <w:r w:rsidRPr="00FC6598">
        <w:rPr>
          <w:lang w:val="en-CA"/>
        </w:rPr>
        <w:t xml:space="preserve"> 165.</w:t>
      </w:r>
    </w:p>
  </w:footnote>
  <w:footnote w:id="6">
    <w:p w14:paraId="10DCD908" w14:textId="02ABC1CF" w:rsidR="00EF67EF" w:rsidRPr="006955FC" w:rsidRDefault="00EF67EF" w:rsidP="00EF67EF">
      <w:pPr>
        <w:pStyle w:val="Notedebasdepage"/>
        <w:rPr>
          <w:lang w:val="en-CA"/>
        </w:rPr>
      </w:pPr>
      <w:r>
        <w:rPr>
          <w:rStyle w:val="Appelnotedebasdep"/>
        </w:rPr>
        <w:footnoteRef/>
      </w:r>
      <w:r w:rsidRPr="006955FC">
        <w:rPr>
          <w:lang w:val="en-CA"/>
        </w:rPr>
        <w:t xml:space="preserve"> </w:t>
      </w:r>
      <w:r w:rsidRPr="006955FC">
        <w:rPr>
          <w:lang w:val="en-CA"/>
        </w:rPr>
        <w:tab/>
      </w:r>
      <w:r w:rsidRPr="00CF3D68">
        <w:rPr>
          <w:lang w:val="en-CA"/>
        </w:rPr>
        <w:t>Par</w:t>
      </w:r>
      <w:r w:rsidR="006955FC" w:rsidRPr="00CF3D68">
        <w:rPr>
          <w:lang w:val="en-CA"/>
        </w:rPr>
        <w:t>a</w:t>
      </w:r>
      <w:r w:rsidRPr="00CF3D68">
        <w:rPr>
          <w:lang w:val="en-CA"/>
        </w:rPr>
        <w:t xml:space="preserve">. 8 </w:t>
      </w:r>
      <w:r w:rsidR="006955FC" w:rsidRPr="00CF3D68">
        <w:rPr>
          <w:lang w:val="en-CA"/>
        </w:rPr>
        <w:t>of the motion</w:t>
      </w:r>
      <w:r w:rsidRPr="00CF3D68">
        <w:rPr>
          <w:lang w:val="en-CA"/>
        </w:rPr>
        <w:t>.</w:t>
      </w:r>
      <w:r w:rsidRPr="006955FC">
        <w:rPr>
          <w:lang w:val="en-CA"/>
        </w:rPr>
        <w:t xml:space="preserve"> </w:t>
      </w:r>
    </w:p>
  </w:footnote>
  <w:footnote w:id="7">
    <w:p w14:paraId="46EA6ED6" w14:textId="67D0DF13" w:rsidR="00EF67EF" w:rsidRPr="00EF67EF" w:rsidRDefault="00EF67EF" w:rsidP="00EF67EF">
      <w:pPr>
        <w:pStyle w:val="Notedebasdepage"/>
        <w:rPr>
          <w:lang w:val="en-CA"/>
        </w:rPr>
      </w:pPr>
      <w:r>
        <w:rPr>
          <w:rStyle w:val="Appelnotedebasdep"/>
        </w:rPr>
        <w:footnoteRef/>
      </w:r>
      <w:r w:rsidRPr="00EF67EF">
        <w:rPr>
          <w:lang w:val="en-CA"/>
        </w:rPr>
        <w:t xml:space="preserve"> </w:t>
      </w:r>
      <w:r w:rsidRPr="00EF67EF">
        <w:rPr>
          <w:lang w:val="en-CA"/>
        </w:rPr>
        <w:tab/>
      </w:r>
      <w:r w:rsidRPr="00EF67EF">
        <w:rPr>
          <w:i/>
          <w:iCs/>
          <w:lang w:val="en-CA"/>
        </w:rPr>
        <w:t xml:space="preserve">A.G. </w:t>
      </w:r>
      <w:r w:rsidRPr="00CF3D68">
        <w:rPr>
          <w:i/>
          <w:iCs/>
          <w:lang w:val="en-CA"/>
        </w:rPr>
        <w:t>(Nova Scotia)</w:t>
      </w:r>
      <w:r w:rsidRPr="00CF3D68">
        <w:rPr>
          <w:lang w:val="en-CA"/>
        </w:rPr>
        <w:t xml:space="preserve"> </w:t>
      </w:r>
      <w:r w:rsidR="006955FC" w:rsidRPr="00CF3D68">
        <w:rPr>
          <w:i/>
          <w:iCs/>
          <w:lang w:val="en-CA"/>
        </w:rPr>
        <w:t>v</w:t>
      </w:r>
      <w:r w:rsidRPr="00CF3D68">
        <w:rPr>
          <w:lang w:val="en-CA"/>
        </w:rPr>
        <w:t xml:space="preserve">. </w:t>
      </w:r>
      <w:proofErr w:type="spellStart"/>
      <w:r w:rsidRPr="00CF3D68">
        <w:rPr>
          <w:i/>
          <w:iCs/>
          <w:lang w:val="en-CA"/>
        </w:rPr>
        <w:t>MacIntyre</w:t>
      </w:r>
      <w:proofErr w:type="spellEnd"/>
      <w:r w:rsidRPr="00CF3D68">
        <w:rPr>
          <w:lang w:val="en-CA"/>
        </w:rPr>
        <w:t>, [1982] 1 S</w:t>
      </w:r>
      <w:r w:rsidR="006955FC" w:rsidRPr="00CF3D68">
        <w:rPr>
          <w:lang w:val="en-CA"/>
        </w:rPr>
        <w:t>CR</w:t>
      </w:r>
      <w:r w:rsidRPr="00CF3D68">
        <w:rPr>
          <w:lang w:val="en-CA"/>
        </w:rPr>
        <w:t xml:space="preserve"> 175 </w:t>
      </w:r>
      <w:r w:rsidR="006955FC" w:rsidRPr="00CF3D68">
        <w:rPr>
          <w:lang w:val="en-CA"/>
        </w:rPr>
        <w:t>at</w:t>
      </w:r>
      <w:r w:rsidRPr="00CF3D68">
        <w:rPr>
          <w:lang w:val="en-CA"/>
        </w:rPr>
        <w:t xml:space="preserve"> 189.</w:t>
      </w:r>
    </w:p>
  </w:footnote>
  <w:footnote w:id="8">
    <w:p w14:paraId="77766579" w14:textId="4C783CEE" w:rsidR="00EF67EF" w:rsidRPr="006955FC" w:rsidRDefault="00EF67EF" w:rsidP="00EF67EF">
      <w:pPr>
        <w:pStyle w:val="Notedebasdepage"/>
        <w:rPr>
          <w:lang w:val="en-CA"/>
        </w:rPr>
      </w:pPr>
      <w:r>
        <w:rPr>
          <w:rStyle w:val="Appelnotedebasdep"/>
        </w:rPr>
        <w:footnoteRef/>
      </w:r>
      <w:r w:rsidRPr="006955FC">
        <w:rPr>
          <w:lang w:val="en-CA"/>
        </w:rPr>
        <w:t xml:space="preserve"> </w:t>
      </w:r>
      <w:r w:rsidRPr="006955FC">
        <w:rPr>
          <w:lang w:val="en-CA"/>
        </w:rPr>
        <w:tab/>
      </w:r>
      <w:r w:rsidRPr="00CF3D68">
        <w:rPr>
          <w:lang w:val="en-CA"/>
        </w:rPr>
        <w:t>Par</w:t>
      </w:r>
      <w:r w:rsidR="006955FC" w:rsidRPr="00CF3D68">
        <w:rPr>
          <w:lang w:val="en-CA"/>
        </w:rPr>
        <w:t>as</w:t>
      </w:r>
      <w:r w:rsidRPr="00CF3D68">
        <w:rPr>
          <w:lang w:val="en-CA"/>
        </w:rPr>
        <w:t xml:space="preserve">. 6 </w:t>
      </w:r>
      <w:r w:rsidR="006955FC" w:rsidRPr="00CF3D68">
        <w:rPr>
          <w:lang w:val="en-CA"/>
        </w:rPr>
        <w:t>to</w:t>
      </w:r>
      <w:r w:rsidRPr="00CF3D68">
        <w:rPr>
          <w:lang w:val="en-CA"/>
        </w:rPr>
        <w:t xml:space="preserve"> 18 </w:t>
      </w:r>
      <w:r w:rsidR="006955FC" w:rsidRPr="00CF3D68">
        <w:rPr>
          <w:lang w:val="en-CA"/>
        </w:rPr>
        <w:t>of the motion</w:t>
      </w:r>
      <w:r w:rsidRPr="00CF3D68">
        <w:rPr>
          <w:lang w:val="en-CA"/>
        </w:rPr>
        <w:t>.</w:t>
      </w:r>
      <w:r w:rsidRPr="006955FC">
        <w:rPr>
          <w:lang w:val="en-CA"/>
        </w:rPr>
        <w:t xml:space="preserve"> </w:t>
      </w:r>
    </w:p>
  </w:footnote>
  <w:footnote w:id="9">
    <w:p w14:paraId="6FA5217A" w14:textId="77777777" w:rsidR="00EF67EF" w:rsidRPr="00FC6598" w:rsidRDefault="00EF67EF" w:rsidP="00EF67EF">
      <w:pPr>
        <w:pStyle w:val="Notedebasdepage"/>
        <w:rPr>
          <w:lang w:val="en-CA"/>
        </w:rPr>
      </w:pPr>
      <w:r>
        <w:rPr>
          <w:rStyle w:val="Appelnotedebasdep"/>
        </w:rPr>
        <w:footnoteRef/>
      </w:r>
      <w:r w:rsidRPr="00FC6598">
        <w:rPr>
          <w:lang w:val="en-CA"/>
        </w:rPr>
        <w:t xml:space="preserve"> </w:t>
      </w:r>
      <w:r w:rsidRPr="00FC6598">
        <w:rPr>
          <w:lang w:val="en-CA"/>
        </w:rPr>
        <w:tab/>
      </w:r>
      <w:r w:rsidRPr="00CF3D68">
        <w:rPr>
          <w:lang w:val="en-CA"/>
        </w:rPr>
        <w:t xml:space="preserve">2022 </w:t>
      </w:r>
      <w:proofErr w:type="spellStart"/>
      <w:r w:rsidRPr="00CF3D68">
        <w:rPr>
          <w:lang w:val="en-CA"/>
        </w:rPr>
        <w:t>ABPC</w:t>
      </w:r>
      <w:proofErr w:type="spellEnd"/>
      <w:r w:rsidRPr="00CF3D68">
        <w:rPr>
          <w:lang w:val="en-CA"/>
        </w:rPr>
        <w:t xml:space="preserve"> 100.</w:t>
      </w:r>
    </w:p>
  </w:footnote>
  <w:footnote w:id="10">
    <w:p w14:paraId="29663205" w14:textId="77777777" w:rsidR="00EF67EF" w:rsidRPr="00FC6598" w:rsidRDefault="00EF67EF" w:rsidP="00EF67EF">
      <w:pPr>
        <w:pStyle w:val="Notedebasdepage"/>
        <w:rPr>
          <w:lang w:val="en-CA"/>
        </w:rPr>
      </w:pPr>
      <w:r>
        <w:rPr>
          <w:rStyle w:val="Appelnotedebasdep"/>
        </w:rPr>
        <w:footnoteRef/>
      </w:r>
      <w:r w:rsidRPr="00FC6598">
        <w:rPr>
          <w:lang w:val="en-CA"/>
        </w:rPr>
        <w:t xml:space="preserve"> </w:t>
      </w:r>
      <w:r w:rsidRPr="00FC6598">
        <w:rPr>
          <w:lang w:val="en-CA"/>
        </w:rPr>
        <w:tab/>
      </w:r>
      <w:r w:rsidRPr="00CF3D68">
        <w:rPr>
          <w:lang w:val="en-CA"/>
        </w:rPr>
        <w:t xml:space="preserve">2018 </w:t>
      </w:r>
      <w:proofErr w:type="spellStart"/>
      <w:r w:rsidRPr="00CF3D68">
        <w:rPr>
          <w:lang w:val="en-CA"/>
        </w:rPr>
        <w:t>BCSC</w:t>
      </w:r>
      <w:proofErr w:type="spellEnd"/>
      <w:r w:rsidRPr="00CF3D68">
        <w:rPr>
          <w:lang w:val="en-CA"/>
        </w:rPr>
        <w:t xml:space="preserve"> 2506.</w:t>
      </w:r>
      <w:r w:rsidRPr="00FC6598">
        <w:rPr>
          <w:lang w:val="en-CA"/>
        </w:rPr>
        <w:t xml:space="preserve"> </w:t>
      </w:r>
    </w:p>
  </w:footnote>
  <w:footnote w:id="11">
    <w:p w14:paraId="4C6662CB" w14:textId="4A2735B4" w:rsidR="00FC6598" w:rsidRPr="006955FC" w:rsidRDefault="00FC6598" w:rsidP="00FC6598">
      <w:pPr>
        <w:pStyle w:val="Notedebasdepage"/>
        <w:rPr>
          <w:lang w:val="en-CA"/>
        </w:rPr>
      </w:pPr>
      <w:r>
        <w:rPr>
          <w:rStyle w:val="Appelnotedebasdep"/>
        </w:rPr>
        <w:footnoteRef/>
      </w:r>
      <w:r w:rsidRPr="006955FC">
        <w:rPr>
          <w:lang w:val="en-CA"/>
        </w:rPr>
        <w:t xml:space="preserve"> </w:t>
      </w:r>
      <w:r w:rsidRPr="006955FC">
        <w:rPr>
          <w:lang w:val="en-CA"/>
        </w:rPr>
        <w:tab/>
        <w:t>Another example of de</w:t>
      </w:r>
      <w:r w:rsidR="007D79D0">
        <w:rPr>
          <w:lang w:val="en-CA"/>
        </w:rPr>
        <w:t>ferred</w:t>
      </w:r>
      <w:r w:rsidRPr="006955FC">
        <w:rPr>
          <w:lang w:val="en-CA"/>
        </w:rPr>
        <w:t xml:space="preserve"> noti</w:t>
      </w:r>
      <w:r w:rsidR="007D79D0">
        <w:rPr>
          <w:lang w:val="en-CA"/>
        </w:rPr>
        <w:t>fication</w:t>
      </w:r>
      <w:r w:rsidRPr="006955FC">
        <w:rPr>
          <w:lang w:val="en-CA"/>
        </w:rPr>
        <w:t xml:space="preserve"> in the </w:t>
      </w:r>
      <w:r w:rsidRPr="006955FC">
        <w:rPr>
          <w:i/>
          <w:iCs/>
          <w:lang w:val="en-CA"/>
        </w:rPr>
        <w:t xml:space="preserve">Criminal Code </w:t>
      </w:r>
      <w:r w:rsidR="005602F1">
        <w:rPr>
          <w:lang w:val="en-CA"/>
        </w:rPr>
        <w:t xml:space="preserve">is found </w:t>
      </w:r>
      <w:r w:rsidRPr="006955FC">
        <w:rPr>
          <w:lang w:val="en-CA"/>
        </w:rPr>
        <w:t>in</w:t>
      </w:r>
      <w:r w:rsidRPr="006955FC">
        <w:rPr>
          <w:i/>
          <w:iCs/>
          <w:lang w:val="en-CA"/>
        </w:rPr>
        <w:t xml:space="preserve"> </w:t>
      </w:r>
      <w:r w:rsidRPr="006955FC">
        <w:rPr>
          <w:lang w:val="en-CA"/>
        </w:rPr>
        <w:t xml:space="preserve">s. 196(3) regarding the </w:t>
      </w:r>
      <w:r>
        <w:rPr>
          <w:lang w:val="en-CA"/>
        </w:rPr>
        <w:t xml:space="preserve">interception of private </w:t>
      </w:r>
      <w:r w:rsidRPr="006955FC">
        <w:rPr>
          <w:lang w:val="en-CA"/>
        </w:rPr>
        <w:t>communications.</w:t>
      </w:r>
    </w:p>
  </w:footnote>
  <w:footnote w:id="12">
    <w:p w14:paraId="2308FAF7" w14:textId="7029B6EF" w:rsidR="00FC6598" w:rsidRPr="00F7694E" w:rsidRDefault="00FC6598" w:rsidP="00FC6598">
      <w:pPr>
        <w:pStyle w:val="Notedebasdepage"/>
        <w:rPr>
          <w:lang w:val="en-CA"/>
        </w:rPr>
      </w:pPr>
      <w:r>
        <w:rPr>
          <w:rStyle w:val="Appelnotedebasdep"/>
        </w:rPr>
        <w:footnoteRef/>
      </w:r>
      <w:r w:rsidRPr="00FC6598">
        <w:rPr>
          <w:lang w:val="en-CA"/>
        </w:rPr>
        <w:t xml:space="preserve"> </w:t>
      </w:r>
      <w:r w:rsidRPr="00FC6598">
        <w:rPr>
          <w:lang w:val="en-CA"/>
        </w:rPr>
        <w:tab/>
      </w:r>
      <w:r w:rsidRPr="00FC6598">
        <w:rPr>
          <w:i/>
          <w:iCs/>
          <w:lang w:val="en-CA"/>
        </w:rPr>
        <w:t>R</w:t>
      </w:r>
      <w:r w:rsidRPr="00FC6598">
        <w:rPr>
          <w:lang w:val="en-CA"/>
        </w:rPr>
        <w:t xml:space="preserve">. </w:t>
      </w:r>
      <w:r w:rsidRPr="00FC6598">
        <w:rPr>
          <w:i/>
          <w:iCs/>
          <w:lang w:val="en-CA"/>
        </w:rPr>
        <w:t>v</w:t>
      </w:r>
      <w:r w:rsidRPr="00FC6598">
        <w:rPr>
          <w:lang w:val="en-CA"/>
        </w:rPr>
        <w:t xml:space="preserve">. </w:t>
      </w:r>
      <w:r w:rsidRPr="00FC6598">
        <w:rPr>
          <w:i/>
          <w:iCs/>
          <w:lang w:val="en-CA"/>
        </w:rPr>
        <w:t>McIntosh</w:t>
      </w:r>
      <w:r w:rsidRPr="00FC6598">
        <w:rPr>
          <w:lang w:val="en-CA"/>
        </w:rPr>
        <w:t xml:space="preserve">, [1995] 1 SCR 686 at para. </w:t>
      </w:r>
      <w:r w:rsidRPr="00F7694E">
        <w:rPr>
          <w:lang w:val="en-CA"/>
        </w:rPr>
        <w:t>39.</w:t>
      </w:r>
    </w:p>
  </w:footnote>
  <w:footnote w:id="13">
    <w:p w14:paraId="6B020CF4" w14:textId="77777777" w:rsidR="00FC6598" w:rsidRPr="00FC6598" w:rsidRDefault="00FC6598" w:rsidP="00FC6598">
      <w:pPr>
        <w:pStyle w:val="Notedebasdepage"/>
        <w:rPr>
          <w:lang w:val="en-CA"/>
        </w:rPr>
      </w:pPr>
      <w:r>
        <w:rPr>
          <w:rStyle w:val="Appelnotedebasdep"/>
        </w:rPr>
        <w:footnoteRef/>
      </w:r>
      <w:r w:rsidRPr="00FC6598">
        <w:rPr>
          <w:lang w:val="en-CA"/>
        </w:rPr>
        <w:t xml:space="preserve"> </w:t>
      </w:r>
      <w:r w:rsidRPr="00FC6598">
        <w:rPr>
          <w:lang w:val="en-CA"/>
        </w:rPr>
        <w:tab/>
      </w:r>
      <w:r w:rsidRPr="00CF3D68">
        <w:rPr>
          <w:i/>
          <w:iCs/>
          <w:lang w:val="en-CA"/>
        </w:rPr>
        <w:t>Ibid</w:t>
      </w:r>
      <w:r w:rsidRPr="00CF3D68">
        <w:rPr>
          <w:lang w:val="en-CA"/>
        </w:rPr>
        <w:t>.</w:t>
      </w:r>
    </w:p>
  </w:footnote>
  <w:footnote w:id="14">
    <w:p w14:paraId="6882B751" w14:textId="77777777" w:rsidR="00FC6598" w:rsidRPr="00FC6598" w:rsidRDefault="00FC6598" w:rsidP="00FC6598">
      <w:pPr>
        <w:pStyle w:val="Notedebasdepage"/>
        <w:rPr>
          <w:lang w:val="en-CA"/>
        </w:rPr>
      </w:pPr>
      <w:r>
        <w:rPr>
          <w:rStyle w:val="Appelnotedebasdep"/>
        </w:rPr>
        <w:footnoteRef/>
      </w:r>
      <w:r w:rsidRPr="006955FC">
        <w:rPr>
          <w:lang w:val="en-CA"/>
        </w:rPr>
        <w:t xml:space="preserve"> </w:t>
      </w:r>
      <w:r w:rsidRPr="006955FC">
        <w:rPr>
          <w:lang w:val="en-CA"/>
        </w:rPr>
        <w:tab/>
      </w:r>
      <w:proofErr w:type="spellStart"/>
      <w:r w:rsidRPr="00CF3D68">
        <w:rPr>
          <w:i/>
          <w:iCs/>
          <w:lang w:val="en-CA"/>
        </w:rPr>
        <w:t>Canadianoxy</w:t>
      </w:r>
      <w:proofErr w:type="spellEnd"/>
      <w:r w:rsidRPr="00CF3D68">
        <w:rPr>
          <w:i/>
          <w:iCs/>
          <w:lang w:val="en-CA"/>
        </w:rPr>
        <w:t xml:space="preserve"> Chemicals Ltd. v</w:t>
      </w:r>
      <w:r w:rsidRPr="00CF3D68">
        <w:rPr>
          <w:lang w:val="en-CA"/>
        </w:rPr>
        <w:t xml:space="preserve">. </w:t>
      </w:r>
      <w:r w:rsidRPr="00CF3D68">
        <w:rPr>
          <w:i/>
          <w:iCs/>
          <w:lang w:val="en-CA"/>
        </w:rPr>
        <w:t>Canada (A.G.)</w:t>
      </w:r>
      <w:r w:rsidRPr="00CF3D68">
        <w:rPr>
          <w:lang w:val="en-CA"/>
        </w:rPr>
        <w:t>, [1999] 1 SCR 743 at para.</w:t>
      </w:r>
      <w:r w:rsidRPr="006955FC">
        <w:rPr>
          <w:lang w:val="en-CA"/>
        </w:rPr>
        <w:t xml:space="preserve"> </w:t>
      </w:r>
      <w:r w:rsidRPr="00CF3D68">
        <w:rPr>
          <w:lang w:val="en-CA"/>
        </w:rPr>
        <w:t xml:space="preserve">18; See also, </w:t>
      </w:r>
      <w:r w:rsidRPr="00CF3D68">
        <w:rPr>
          <w:i/>
          <w:iCs/>
          <w:lang w:val="en-CA"/>
        </w:rPr>
        <w:t>R</w:t>
      </w:r>
      <w:r w:rsidRPr="00CF3D68">
        <w:rPr>
          <w:lang w:val="en-CA"/>
        </w:rPr>
        <w:t xml:space="preserve">. </w:t>
      </w:r>
      <w:r w:rsidRPr="00CF3D68">
        <w:rPr>
          <w:i/>
          <w:iCs/>
          <w:lang w:val="en-CA"/>
        </w:rPr>
        <w:t>v</w:t>
      </w:r>
      <w:r w:rsidRPr="00CF3D68">
        <w:rPr>
          <w:lang w:val="en-CA"/>
        </w:rPr>
        <w:t xml:space="preserve">. </w:t>
      </w:r>
      <w:proofErr w:type="spellStart"/>
      <w:r w:rsidRPr="00CF3D68">
        <w:rPr>
          <w:i/>
          <w:iCs/>
          <w:lang w:val="en-CA"/>
        </w:rPr>
        <w:t>Tenny</w:t>
      </w:r>
      <w:proofErr w:type="spellEnd"/>
      <w:r w:rsidRPr="00CF3D68">
        <w:rPr>
          <w:lang w:val="en-CA"/>
        </w:rPr>
        <w:t xml:space="preserve">, 2015 </w:t>
      </w:r>
      <w:proofErr w:type="spellStart"/>
      <w:r w:rsidRPr="00CF3D68">
        <w:rPr>
          <w:lang w:val="en-CA"/>
        </w:rPr>
        <w:t>ONSC</w:t>
      </w:r>
      <w:proofErr w:type="spellEnd"/>
      <w:r w:rsidRPr="00CF3D68">
        <w:rPr>
          <w:lang w:val="en-CA"/>
        </w:rPr>
        <w:t xml:space="preserve"> 1471 at paras.</w:t>
      </w:r>
      <w:r w:rsidRPr="006955FC">
        <w:rPr>
          <w:lang w:val="en-CA"/>
        </w:rPr>
        <w:t xml:space="preserve"> </w:t>
      </w:r>
      <w:r w:rsidRPr="00CF3D68">
        <w:rPr>
          <w:lang w:val="en-CA"/>
        </w:rPr>
        <w:t>19–22, aff’d</w:t>
      </w:r>
      <w:r w:rsidRPr="00FC6598">
        <w:rPr>
          <w:lang w:val="en-CA"/>
        </w:rPr>
        <w:t xml:space="preserve"> </w:t>
      </w:r>
      <w:r w:rsidRPr="00CF3D68">
        <w:rPr>
          <w:lang w:val="en-CA"/>
        </w:rPr>
        <w:t>2015 ONCA 841.</w:t>
      </w:r>
    </w:p>
  </w:footnote>
  <w:footnote w:id="15">
    <w:p w14:paraId="14D5E68E" w14:textId="77777777" w:rsidR="00FC6598" w:rsidRPr="007028DF" w:rsidRDefault="00FC6598" w:rsidP="00FC6598">
      <w:pPr>
        <w:pStyle w:val="Notedebasdepage"/>
        <w:rPr>
          <w:lang w:val="en-CA"/>
        </w:rPr>
      </w:pPr>
      <w:r>
        <w:rPr>
          <w:rStyle w:val="Appelnotedebasdep"/>
        </w:rPr>
        <w:footnoteRef/>
      </w:r>
      <w:r w:rsidRPr="007028DF">
        <w:rPr>
          <w:lang w:val="en-CA"/>
        </w:rPr>
        <w:t xml:space="preserve"> </w:t>
      </w:r>
      <w:r w:rsidRPr="007028DF">
        <w:rPr>
          <w:lang w:val="en-CA"/>
        </w:rPr>
        <w:tab/>
      </w:r>
      <w:r w:rsidRPr="00CF3D68">
        <w:rPr>
          <w:i/>
          <w:iCs/>
          <w:lang w:val="en-CA"/>
        </w:rPr>
        <w:t>Ibid</w:t>
      </w:r>
      <w:r w:rsidRPr="00CF3D68">
        <w:rPr>
          <w:lang w:val="en-CA"/>
        </w:rPr>
        <w:t>. at para.</w:t>
      </w:r>
      <w:r w:rsidRPr="007028DF">
        <w:rPr>
          <w:lang w:val="en-CA"/>
        </w:rPr>
        <w:t xml:space="preserve"> 19.</w:t>
      </w:r>
    </w:p>
  </w:footnote>
  <w:footnote w:id="16">
    <w:p w14:paraId="4DFD704E" w14:textId="77777777" w:rsidR="00FC6598" w:rsidRPr="00DC11BC" w:rsidRDefault="00FC6598" w:rsidP="00FC6598">
      <w:pPr>
        <w:pStyle w:val="Notedebasdepage"/>
        <w:rPr>
          <w:lang w:val="en-CA"/>
        </w:rPr>
      </w:pPr>
      <w:r>
        <w:rPr>
          <w:rStyle w:val="Appelnotedebasdep"/>
        </w:rPr>
        <w:footnoteRef/>
      </w:r>
      <w:r>
        <w:rPr>
          <w:lang w:val="en-CA"/>
        </w:rPr>
        <w:t xml:space="preserve"> </w:t>
      </w:r>
      <w:r>
        <w:rPr>
          <w:lang w:val="en-CA"/>
        </w:rPr>
        <w:tab/>
      </w:r>
      <w:r w:rsidRPr="00CF3D68">
        <w:rPr>
          <w:i/>
          <w:iCs/>
          <w:lang w:val="en-CA"/>
        </w:rPr>
        <w:t>Ibid</w:t>
      </w:r>
      <w:r w:rsidRPr="00CF3D68">
        <w:rPr>
          <w:lang w:val="en-CA"/>
        </w:rPr>
        <w:t>. at para.</w:t>
      </w:r>
      <w:r>
        <w:rPr>
          <w:lang w:val="en-CA"/>
        </w:rPr>
        <w:t xml:space="preserve"> 22.</w:t>
      </w:r>
    </w:p>
  </w:footnote>
  <w:footnote w:id="17">
    <w:p w14:paraId="33F20385" w14:textId="77777777" w:rsidR="00A3493D" w:rsidRPr="00C74EF8" w:rsidRDefault="00A3493D" w:rsidP="00A3493D">
      <w:pPr>
        <w:pStyle w:val="Notedebasdepage"/>
        <w:rPr>
          <w:lang w:val="en-CA"/>
        </w:rPr>
      </w:pPr>
      <w:r>
        <w:rPr>
          <w:rStyle w:val="Appelnotedebasdep"/>
        </w:rPr>
        <w:footnoteRef/>
      </w:r>
      <w:r w:rsidRPr="00C74EF8">
        <w:rPr>
          <w:lang w:val="en-CA"/>
        </w:rPr>
        <w:t xml:space="preserve"> </w:t>
      </w:r>
      <w:r w:rsidRPr="00C74EF8">
        <w:rPr>
          <w:lang w:val="en-CA"/>
        </w:rPr>
        <w:tab/>
      </w:r>
      <w:r w:rsidRPr="00CF3D68">
        <w:rPr>
          <w:i/>
          <w:iCs/>
          <w:lang w:val="en-CA"/>
        </w:rPr>
        <w:t>R</w:t>
      </w:r>
      <w:r w:rsidRPr="00CF3D68">
        <w:rPr>
          <w:lang w:val="en-CA"/>
        </w:rPr>
        <w:t xml:space="preserve">. </w:t>
      </w:r>
      <w:r w:rsidRPr="00CF3D68">
        <w:rPr>
          <w:i/>
          <w:iCs/>
          <w:lang w:val="en-CA"/>
        </w:rPr>
        <w:t>v</w:t>
      </w:r>
      <w:r w:rsidRPr="00CF3D68">
        <w:rPr>
          <w:lang w:val="en-CA"/>
        </w:rPr>
        <w:t xml:space="preserve">. </w:t>
      </w:r>
      <w:proofErr w:type="spellStart"/>
      <w:r w:rsidRPr="00CF3D68">
        <w:rPr>
          <w:i/>
          <w:iCs/>
          <w:lang w:val="en-CA"/>
        </w:rPr>
        <w:t>Cunnigham</w:t>
      </w:r>
      <w:proofErr w:type="spellEnd"/>
      <w:r w:rsidRPr="00CF3D68">
        <w:rPr>
          <w:lang w:val="en-CA"/>
        </w:rPr>
        <w:t>, 2020 SCC 10.</w:t>
      </w:r>
    </w:p>
  </w:footnote>
  <w:footnote w:id="18">
    <w:p w14:paraId="1B3590FE" w14:textId="77777777" w:rsidR="00A3493D" w:rsidRPr="005E03C3" w:rsidRDefault="00A3493D" w:rsidP="00A3493D">
      <w:pPr>
        <w:pStyle w:val="Notedebasdepage"/>
        <w:rPr>
          <w:lang w:val="en-CA"/>
        </w:rPr>
      </w:pPr>
      <w:r>
        <w:rPr>
          <w:rStyle w:val="Appelnotedebasdep"/>
        </w:rPr>
        <w:footnoteRef/>
      </w:r>
      <w:r w:rsidRPr="005E03C3">
        <w:rPr>
          <w:lang w:val="en-CA"/>
        </w:rPr>
        <w:t xml:space="preserve"> </w:t>
      </w:r>
      <w:r w:rsidRPr="005E03C3">
        <w:rPr>
          <w:lang w:val="en-CA"/>
        </w:rPr>
        <w:tab/>
      </w:r>
      <w:r w:rsidRPr="00CF3D68">
        <w:rPr>
          <w:i/>
          <w:iCs/>
          <w:lang w:val="en-CA"/>
        </w:rPr>
        <w:t>Ibid</w:t>
      </w:r>
      <w:r w:rsidRPr="00CF3D68">
        <w:rPr>
          <w:lang w:val="en-CA"/>
        </w:rPr>
        <w:t>. at para.</w:t>
      </w:r>
      <w:r w:rsidRPr="009E70D8">
        <w:rPr>
          <w:lang w:val="en-CA"/>
        </w:rPr>
        <w:t xml:space="preserve"> </w:t>
      </w:r>
      <w:r w:rsidRPr="00CF3D68">
        <w:rPr>
          <w:lang w:val="en-CA"/>
        </w:rPr>
        <w:t xml:space="preserve">19, citing </w:t>
      </w:r>
      <w:r w:rsidRPr="00CF3D68">
        <w:rPr>
          <w:i/>
          <w:iCs/>
          <w:lang w:val="en-CA"/>
        </w:rPr>
        <w:t>ATCO Gas and Pipelines Ltd</w:t>
      </w:r>
      <w:r w:rsidRPr="00CF3D68">
        <w:rPr>
          <w:lang w:val="en-CA"/>
        </w:rPr>
        <w:t xml:space="preserve">. </w:t>
      </w:r>
      <w:r w:rsidRPr="00CF3D68">
        <w:rPr>
          <w:i/>
          <w:iCs/>
          <w:lang w:val="en-CA"/>
        </w:rPr>
        <w:t>v</w:t>
      </w:r>
      <w:r w:rsidRPr="00CF3D68">
        <w:rPr>
          <w:lang w:val="en-CA"/>
        </w:rPr>
        <w:t xml:space="preserve">. </w:t>
      </w:r>
      <w:r w:rsidRPr="00CF3D68">
        <w:rPr>
          <w:i/>
          <w:iCs/>
          <w:lang w:val="en-CA"/>
        </w:rPr>
        <w:t>Alberta (Energy and Utilities Board)</w:t>
      </w:r>
      <w:r w:rsidRPr="00CF3D68">
        <w:rPr>
          <w:lang w:val="en-CA"/>
        </w:rPr>
        <w:t>, 2006 SCC 4 at para.</w:t>
      </w:r>
      <w:r>
        <w:rPr>
          <w:lang w:val="en-CA"/>
        </w:rPr>
        <w:t xml:space="preserve"> 51.</w:t>
      </w:r>
    </w:p>
  </w:footnote>
  <w:footnote w:id="19">
    <w:p w14:paraId="5FC26A61" w14:textId="77777777" w:rsidR="00A3493D" w:rsidRPr="00FC6598" w:rsidRDefault="00A3493D" w:rsidP="00A3493D">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R</w:t>
      </w:r>
      <w:r w:rsidRPr="00CF3D68">
        <w:rPr>
          <w:lang w:val="en-CA"/>
        </w:rPr>
        <w:t xml:space="preserve">. </w:t>
      </w:r>
      <w:r w:rsidRPr="00CF3D68">
        <w:rPr>
          <w:i/>
          <w:iCs/>
          <w:lang w:val="en-CA"/>
        </w:rPr>
        <w:t>v</w:t>
      </w:r>
      <w:r w:rsidRPr="00CF3D68">
        <w:rPr>
          <w:lang w:val="en-CA"/>
        </w:rPr>
        <w:t xml:space="preserve">. </w:t>
      </w:r>
      <w:r w:rsidRPr="00CF3D68">
        <w:rPr>
          <w:i/>
          <w:iCs/>
          <w:lang w:val="en-CA"/>
        </w:rPr>
        <w:t>974649 Ontario Inc</w:t>
      </w:r>
      <w:r w:rsidRPr="00CF3D68">
        <w:rPr>
          <w:lang w:val="en-CA"/>
        </w:rPr>
        <w:t>., 2001 SCC 81 at para.</w:t>
      </w:r>
      <w:r w:rsidRPr="001F7521">
        <w:rPr>
          <w:lang w:val="en-CA"/>
        </w:rPr>
        <w:t xml:space="preserve"> </w:t>
      </w:r>
      <w:r w:rsidRPr="00FC6598">
        <w:rPr>
          <w:lang w:val="en-CA"/>
        </w:rPr>
        <w:t>71.</w:t>
      </w:r>
    </w:p>
  </w:footnote>
  <w:footnote w:id="20">
    <w:p w14:paraId="64F9B862" w14:textId="77777777" w:rsidR="00A3493D" w:rsidRPr="001F7521" w:rsidRDefault="00A3493D" w:rsidP="00A3493D">
      <w:pPr>
        <w:pStyle w:val="Notedebasdepage"/>
        <w:rPr>
          <w:lang w:val="en-CA"/>
        </w:rPr>
      </w:pPr>
      <w:r>
        <w:rPr>
          <w:rStyle w:val="Appelnotedebasdep"/>
        </w:rPr>
        <w:footnoteRef/>
      </w:r>
      <w:r w:rsidRPr="001F7521">
        <w:rPr>
          <w:lang w:val="en-CA"/>
        </w:rPr>
        <w:t xml:space="preserve"> </w:t>
      </w:r>
      <w:r w:rsidRPr="001F7521">
        <w:rPr>
          <w:lang w:val="en-CA"/>
        </w:rPr>
        <w:tab/>
      </w:r>
      <w:r w:rsidRPr="001F7521">
        <w:rPr>
          <w:i/>
          <w:iCs/>
          <w:lang w:val="en-CA"/>
        </w:rPr>
        <w:t>Re: Section 490 Application - Without Notice</w:t>
      </w:r>
      <w:r w:rsidRPr="001F7521">
        <w:rPr>
          <w:lang w:val="en-CA"/>
        </w:rPr>
        <w:t xml:space="preserve">, 2022 </w:t>
      </w:r>
      <w:proofErr w:type="spellStart"/>
      <w:r w:rsidRPr="001F7521">
        <w:rPr>
          <w:lang w:val="en-CA"/>
        </w:rPr>
        <w:t>ABPC</w:t>
      </w:r>
      <w:proofErr w:type="spellEnd"/>
      <w:r w:rsidRPr="001F7521">
        <w:rPr>
          <w:lang w:val="en-CA"/>
        </w:rPr>
        <w:t xml:space="preserve"> 100 at</w:t>
      </w:r>
      <w:r>
        <w:rPr>
          <w:lang w:val="en-CA"/>
        </w:rPr>
        <w:t xml:space="preserve"> </w:t>
      </w:r>
      <w:r w:rsidRPr="001F7521">
        <w:rPr>
          <w:lang w:val="en-CA"/>
        </w:rPr>
        <w:t>par</w:t>
      </w:r>
      <w:r>
        <w:rPr>
          <w:lang w:val="en-CA"/>
        </w:rPr>
        <w:t>a</w:t>
      </w:r>
      <w:r w:rsidRPr="001F7521">
        <w:rPr>
          <w:lang w:val="en-CA"/>
        </w:rPr>
        <w:t>. 17.</w:t>
      </w:r>
    </w:p>
  </w:footnote>
  <w:footnote w:id="21">
    <w:p w14:paraId="5E3DB8EF" w14:textId="77777777" w:rsidR="00BB03A3" w:rsidRPr="00FC6598" w:rsidRDefault="00BB03A3" w:rsidP="00BB03A3">
      <w:pPr>
        <w:pStyle w:val="Notedebasdepage"/>
        <w:rPr>
          <w:lang w:val="en-CA"/>
        </w:rPr>
      </w:pPr>
      <w:r>
        <w:rPr>
          <w:rStyle w:val="Appelnotedebasdep"/>
        </w:rPr>
        <w:footnoteRef/>
      </w:r>
      <w:r w:rsidRPr="00FC6598">
        <w:rPr>
          <w:lang w:val="en-CA"/>
        </w:rPr>
        <w:t xml:space="preserve">    </w:t>
      </w:r>
      <w:r w:rsidRPr="00CF3D68">
        <w:rPr>
          <w:lang w:val="en-CA"/>
        </w:rPr>
        <w:t>C-25.01, r. 9.</w:t>
      </w:r>
    </w:p>
    <w:p w14:paraId="00ECA3A3" w14:textId="77777777" w:rsidR="00BB03A3" w:rsidRPr="00FC6598" w:rsidRDefault="00BB03A3" w:rsidP="00BB03A3">
      <w:pPr>
        <w:pStyle w:val="Notedebasdepage"/>
        <w:rPr>
          <w:lang w:val="en-CA"/>
        </w:rPr>
      </w:pPr>
    </w:p>
  </w:footnote>
  <w:footnote w:id="22">
    <w:p w14:paraId="2D9BD9AA" w14:textId="36E0412C" w:rsidR="00124146" w:rsidRPr="00FC6598" w:rsidRDefault="001F7521" w:rsidP="00124146">
      <w:pPr>
        <w:pStyle w:val="Notedebasdepage"/>
        <w:rPr>
          <w:lang w:val="en-CA"/>
        </w:rPr>
      </w:pPr>
      <w:r>
        <w:rPr>
          <w:rStyle w:val="Appelnotedebasdep"/>
        </w:rPr>
        <w:footnoteRef/>
      </w:r>
      <w:r w:rsidRPr="001F7521">
        <w:rPr>
          <w:lang w:val="en-CA"/>
        </w:rPr>
        <w:t xml:space="preserve"> </w:t>
      </w:r>
      <w:r w:rsidRPr="001F7521">
        <w:rPr>
          <w:lang w:val="en-CA"/>
        </w:rPr>
        <w:tab/>
      </w:r>
      <w:r w:rsidRPr="001F7521">
        <w:rPr>
          <w:i/>
          <w:iCs/>
          <w:color w:val="000000"/>
          <w:lang w:val="en-CA"/>
        </w:rPr>
        <w:t>Canadian Broadcasting Corp. v. Named Person</w:t>
      </w:r>
      <w:r w:rsidRPr="00CF3D68">
        <w:rPr>
          <w:lang w:val="en-CA"/>
        </w:rPr>
        <w:t>, 2024 SCC 21 at para.</w:t>
      </w:r>
      <w:r w:rsidRPr="001F7521">
        <w:rPr>
          <w:lang w:val="en-CA"/>
        </w:rPr>
        <w:t xml:space="preserve"> </w:t>
      </w:r>
      <w:r w:rsidRPr="00FC6598">
        <w:rPr>
          <w:lang w:val="en-CA"/>
        </w:rPr>
        <w:t>27.</w:t>
      </w:r>
    </w:p>
  </w:footnote>
  <w:footnote w:id="23">
    <w:p w14:paraId="6763A7A9" w14:textId="568DFA0A" w:rsidR="00CE7DD8" w:rsidRPr="001F7521" w:rsidRDefault="001F7521">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w:t>
      </w:r>
    </w:p>
  </w:footnote>
  <w:footnote w:id="24">
    <w:p w14:paraId="001CD3C9" w14:textId="5BD69CDD" w:rsidR="00CE7DD8" w:rsidRPr="001F7521" w:rsidRDefault="001F7521">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 at para.</w:t>
      </w:r>
      <w:r w:rsidRPr="001F7521">
        <w:rPr>
          <w:lang w:val="en-CA"/>
        </w:rPr>
        <w:t xml:space="preserve"> 1.</w:t>
      </w:r>
    </w:p>
  </w:footnote>
  <w:footnote w:id="25">
    <w:p w14:paraId="3311E6AF" w14:textId="6DBC92C5" w:rsidR="00946FDC" w:rsidRPr="00FC6598" w:rsidRDefault="001F7521">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 at para.</w:t>
      </w:r>
      <w:r w:rsidRPr="00FC6598">
        <w:rPr>
          <w:lang w:val="en-CA"/>
        </w:rPr>
        <w:t xml:space="preserve"> 32.</w:t>
      </w:r>
    </w:p>
  </w:footnote>
  <w:footnote w:id="26">
    <w:p w14:paraId="45AC2636" w14:textId="77777777" w:rsidR="009870D7" w:rsidRPr="005C6427" w:rsidRDefault="009870D7" w:rsidP="009870D7">
      <w:pPr>
        <w:pStyle w:val="Notedebasdepage"/>
        <w:rPr>
          <w:i/>
          <w:iCs/>
          <w:lang w:val="en-CA"/>
        </w:rPr>
      </w:pPr>
      <w:r>
        <w:rPr>
          <w:rStyle w:val="Appelnotedebasdep"/>
        </w:rPr>
        <w:footnoteRef/>
      </w:r>
      <w:r w:rsidRPr="005C6427">
        <w:rPr>
          <w:lang w:val="en-CA"/>
        </w:rPr>
        <w:t xml:space="preserve"> </w:t>
      </w:r>
      <w:r w:rsidRPr="005C6427">
        <w:rPr>
          <w:lang w:val="en-CA"/>
        </w:rPr>
        <w:tab/>
      </w:r>
      <w:r w:rsidRPr="00CF3D68">
        <w:rPr>
          <w:i/>
          <w:iCs/>
          <w:lang w:val="en-CA"/>
        </w:rPr>
        <w:t>Toronto Star Newspapers Ltd</w:t>
      </w:r>
      <w:r w:rsidRPr="00CF3D68">
        <w:rPr>
          <w:iCs/>
          <w:lang w:val="en-CA"/>
        </w:rPr>
        <w:t xml:space="preserve">. </w:t>
      </w:r>
      <w:r w:rsidRPr="00CF3D68">
        <w:rPr>
          <w:i/>
          <w:iCs/>
          <w:lang w:val="en-CA"/>
        </w:rPr>
        <w:t>v</w:t>
      </w:r>
      <w:r w:rsidRPr="00CF3D68">
        <w:rPr>
          <w:iCs/>
          <w:lang w:val="en-CA"/>
        </w:rPr>
        <w:t xml:space="preserve">. </w:t>
      </w:r>
      <w:r w:rsidRPr="00CF3D68">
        <w:rPr>
          <w:i/>
          <w:iCs/>
          <w:lang w:val="en-CA"/>
        </w:rPr>
        <w:t>Ontario</w:t>
      </w:r>
      <w:r w:rsidRPr="00CF3D68">
        <w:rPr>
          <w:iCs/>
          <w:lang w:val="en-CA"/>
        </w:rPr>
        <w:t>, 2005 SCC 41 at para.</w:t>
      </w:r>
      <w:r w:rsidRPr="005C6427">
        <w:rPr>
          <w:lang w:val="en-CA"/>
        </w:rPr>
        <w:t xml:space="preserve"> 7.</w:t>
      </w:r>
    </w:p>
  </w:footnote>
  <w:footnote w:id="27">
    <w:p w14:paraId="69FC72C1" w14:textId="77777777" w:rsidR="009870D7" w:rsidRPr="001F7521" w:rsidRDefault="009870D7" w:rsidP="009870D7">
      <w:pPr>
        <w:pStyle w:val="Notedebasdepage"/>
        <w:rPr>
          <w:lang w:val="en-CA"/>
        </w:rPr>
      </w:pPr>
      <w:r>
        <w:rPr>
          <w:rStyle w:val="Appelnotedebasdep"/>
        </w:rPr>
        <w:footnoteRef/>
      </w:r>
      <w:r w:rsidRPr="001F7521">
        <w:rPr>
          <w:lang w:val="en-CA"/>
        </w:rPr>
        <w:tab/>
      </w:r>
      <w:proofErr w:type="spellStart"/>
      <w:r w:rsidRPr="00CF3D68">
        <w:rPr>
          <w:i/>
          <w:iCs/>
          <w:lang w:val="en-CA"/>
        </w:rPr>
        <w:t>Dagenais</w:t>
      </w:r>
      <w:proofErr w:type="spellEnd"/>
      <w:r w:rsidRPr="00CF3D68">
        <w:rPr>
          <w:lang w:val="en-CA"/>
        </w:rPr>
        <w:t xml:space="preserve"> </w:t>
      </w:r>
      <w:r w:rsidRPr="00CF3D68">
        <w:rPr>
          <w:i/>
          <w:iCs/>
          <w:lang w:val="en-CA"/>
        </w:rPr>
        <w:t>v</w:t>
      </w:r>
      <w:r w:rsidRPr="00CF3D68">
        <w:rPr>
          <w:lang w:val="en-CA"/>
        </w:rPr>
        <w:t xml:space="preserve">. </w:t>
      </w:r>
      <w:r w:rsidRPr="00CF3D68">
        <w:rPr>
          <w:i/>
          <w:iCs/>
          <w:lang w:val="en-CA"/>
        </w:rPr>
        <w:t>Canadian Broadcasting Corp.</w:t>
      </w:r>
      <w:r w:rsidRPr="00CF3D68">
        <w:rPr>
          <w:lang w:val="en-CA"/>
        </w:rPr>
        <w:t xml:space="preserve">, </w:t>
      </w:r>
      <w:r w:rsidRPr="00CF3D68">
        <w:rPr>
          <w:rFonts w:ascii="Symbol" w:hAnsi="Symbol"/>
        </w:rPr>
        <w:sym w:font="Symbol" w:char="F05B"/>
      </w:r>
      <w:r w:rsidRPr="00CF3D68">
        <w:rPr>
          <w:lang w:val="en-CA"/>
        </w:rPr>
        <w:t>1994</w:t>
      </w:r>
      <w:r w:rsidRPr="00CF3D68">
        <w:rPr>
          <w:rFonts w:ascii="Symbol" w:hAnsi="Symbol"/>
        </w:rPr>
        <w:sym w:font="Symbol" w:char="F05D"/>
      </w:r>
      <w:r w:rsidRPr="001F7521">
        <w:rPr>
          <w:lang w:val="en-CA"/>
        </w:rPr>
        <w:t xml:space="preserve"> </w:t>
      </w:r>
      <w:r w:rsidRPr="00CF3D68">
        <w:rPr>
          <w:lang w:val="en-CA"/>
        </w:rPr>
        <w:t>3 SCR</w:t>
      </w:r>
      <w:r w:rsidRPr="001F7521">
        <w:rPr>
          <w:lang w:val="en-CA"/>
        </w:rPr>
        <w:t xml:space="preserve"> </w:t>
      </w:r>
      <w:r w:rsidRPr="00CF3D68">
        <w:rPr>
          <w:lang w:val="en-CA"/>
        </w:rPr>
        <w:t xml:space="preserve">835; </w:t>
      </w:r>
      <w:r w:rsidRPr="00CF3D68">
        <w:rPr>
          <w:i/>
          <w:iCs/>
          <w:lang w:val="en-CA"/>
        </w:rPr>
        <w:t>R</w:t>
      </w:r>
      <w:r w:rsidRPr="00CF3D68">
        <w:rPr>
          <w:lang w:val="en-CA"/>
        </w:rPr>
        <w:t xml:space="preserve">. </w:t>
      </w:r>
      <w:r w:rsidRPr="00CF3D68">
        <w:rPr>
          <w:i/>
          <w:iCs/>
          <w:lang w:val="en-CA"/>
        </w:rPr>
        <w:t>v</w:t>
      </w:r>
      <w:r w:rsidRPr="00CF3D68">
        <w:rPr>
          <w:lang w:val="en-CA"/>
        </w:rPr>
        <w:t xml:space="preserve">. </w:t>
      </w:r>
      <w:proofErr w:type="spellStart"/>
      <w:r w:rsidRPr="00CF3D68">
        <w:rPr>
          <w:i/>
          <w:iCs/>
          <w:lang w:val="en-CA"/>
        </w:rPr>
        <w:t>Mentuck</w:t>
      </w:r>
      <w:proofErr w:type="spellEnd"/>
      <w:r w:rsidRPr="00CF3D68">
        <w:rPr>
          <w:lang w:val="en-CA"/>
        </w:rPr>
        <w:t xml:space="preserve">, </w:t>
      </w:r>
      <w:r w:rsidRPr="00CF3D68">
        <w:rPr>
          <w:rFonts w:ascii="Symbol" w:hAnsi="Symbol"/>
        </w:rPr>
        <w:sym w:font="Symbol" w:char="F05B"/>
      </w:r>
      <w:r w:rsidRPr="00CF3D68">
        <w:rPr>
          <w:lang w:val="en-CA"/>
        </w:rPr>
        <w:t>2001</w:t>
      </w:r>
      <w:r w:rsidRPr="00CF3D68">
        <w:rPr>
          <w:rFonts w:ascii="Symbol" w:hAnsi="Symbol"/>
        </w:rPr>
        <w:sym w:font="Symbol" w:char="F05D"/>
      </w:r>
      <w:r w:rsidRPr="001F7521">
        <w:rPr>
          <w:lang w:val="en-CA"/>
        </w:rPr>
        <w:t xml:space="preserve"> </w:t>
      </w:r>
      <w:r w:rsidRPr="00CF3D68">
        <w:rPr>
          <w:lang w:val="en-CA"/>
        </w:rPr>
        <w:t>3 SCR</w:t>
      </w:r>
      <w:r w:rsidRPr="001F7521">
        <w:rPr>
          <w:lang w:val="en-CA"/>
        </w:rPr>
        <w:t xml:space="preserve"> 442.</w:t>
      </w:r>
    </w:p>
  </w:footnote>
  <w:footnote w:id="28">
    <w:p w14:paraId="347B59ED" w14:textId="0EA3E797" w:rsidR="009870D7" w:rsidRPr="009870D7" w:rsidRDefault="009870D7" w:rsidP="009870D7">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 xml:space="preserve">Sherman </w:t>
      </w:r>
      <w:r w:rsidR="00943321">
        <w:rPr>
          <w:i/>
          <w:iCs/>
          <w:lang w:val="en-CA"/>
        </w:rPr>
        <w:t>Estate</w:t>
      </w:r>
      <w:r w:rsidRPr="00CF3D68">
        <w:rPr>
          <w:lang w:val="en-CA"/>
        </w:rPr>
        <w:t xml:space="preserve"> </w:t>
      </w:r>
      <w:r w:rsidR="00943321" w:rsidRPr="00943321">
        <w:rPr>
          <w:i/>
          <w:iCs/>
          <w:lang w:val="en-CA"/>
        </w:rPr>
        <w:t>v</w:t>
      </w:r>
      <w:r w:rsidRPr="00CF3D68">
        <w:rPr>
          <w:lang w:val="en-CA"/>
        </w:rPr>
        <w:t xml:space="preserve">. </w:t>
      </w:r>
      <w:r w:rsidRPr="00CF3D68">
        <w:rPr>
          <w:i/>
          <w:iCs/>
          <w:lang w:val="en-CA"/>
        </w:rPr>
        <w:t>Donovan</w:t>
      </w:r>
      <w:r w:rsidRPr="00CF3D68">
        <w:rPr>
          <w:lang w:val="en-CA"/>
        </w:rPr>
        <w:t>, 2021 SCC 25 at para.</w:t>
      </w:r>
      <w:r w:rsidRPr="001F7521">
        <w:rPr>
          <w:lang w:val="en-CA"/>
        </w:rPr>
        <w:t xml:space="preserve"> </w:t>
      </w:r>
      <w:r w:rsidRPr="009870D7">
        <w:rPr>
          <w:lang w:val="en-CA"/>
        </w:rPr>
        <w:t>38.</w:t>
      </w:r>
    </w:p>
  </w:footnote>
  <w:footnote w:id="29">
    <w:p w14:paraId="78911815" w14:textId="0C975498" w:rsidR="009870D7" w:rsidRPr="009870D7" w:rsidRDefault="009870D7" w:rsidP="009870D7">
      <w:pPr>
        <w:pStyle w:val="Notedebasdepage"/>
        <w:rPr>
          <w:lang w:val="en-CA"/>
        </w:rPr>
      </w:pPr>
      <w:r>
        <w:rPr>
          <w:rStyle w:val="Appelnotedebasdep"/>
        </w:rPr>
        <w:footnoteRef/>
      </w:r>
      <w:r w:rsidRPr="009870D7">
        <w:rPr>
          <w:lang w:val="en-CA"/>
        </w:rPr>
        <w:t xml:space="preserve"> </w:t>
      </w:r>
      <w:r w:rsidRPr="009870D7">
        <w:rPr>
          <w:lang w:val="en-CA"/>
        </w:rPr>
        <w:tab/>
      </w:r>
      <w:r w:rsidRPr="00CF3D68">
        <w:rPr>
          <w:i/>
          <w:iCs/>
          <w:lang w:val="en-CA"/>
        </w:rPr>
        <w:t>Supra</w:t>
      </w:r>
      <w:r w:rsidRPr="00CF3D68">
        <w:rPr>
          <w:lang w:val="en-CA"/>
        </w:rPr>
        <w:t xml:space="preserve"> note 26 at para.</w:t>
      </w:r>
      <w:r w:rsidRPr="009870D7">
        <w:rPr>
          <w:lang w:val="en-CA"/>
        </w:rPr>
        <w:t xml:space="preserve"> </w:t>
      </w:r>
      <w:r w:rsidRPr="00CF3D68">
        <w:rPr>
          <w:lang w:val="en-CA"/>
        </w:rPr>
        <w:t xml:space="preserve">32; </w:t>
      </w:r>
      <w:r w:rsidRPr="00CF3D68">
        <w:rPr>
          <w:i/>
          <w:iCs/>
          <w:lang w:val="en-CA"/>
        </w:rPr>
        <w:t xml:space="preserve">R. c. Construction </w:t>
      </w:r>
      <w:r w:rsidR="00943321">
        <w:rPr>
          <w:i/>
          <w:iCs/>
          <w:lang w:val="en-CA"/>
        </w:rPr>
        <w:t>d</w:t>
      </w:r>
      <w:r w:rsidRPr="00CF3D68">
        <w:rPr>
          <w:i/>
          <w:iCs/>
          <w:lang w:val="en-CA"/>
        </w:rPr>
        <w:t xml:space="preserve">e Castel inc., </w:t>
      </w:r>
      <w:r w:rsidRPr="00CF3D68">
        <w:rPr>
          <w:lang w:val="en-CA"/>
        </w:rPr>
        <w:t>2014 QCCA 1125 at para.</w:t>
      </w:r>
      <w:r w:rsidRPr="009870D7">
        <w:rPr>
          <w:lang w:val="en-CA"/>
        </w:rPr>
        <w:t xml:space="preserve"> 49.</w:t>
      </w:r>
    </w:p>
  </w:footnote>
  <w:footnote w:id="30">
    <w:p w14:paraId="60CF4190" w14:textId="77777777" w:rsidR="009870D7" w:rsidRPr="00FC6598" w:rsidRDefault="009870D7" w:rsidP="009870D7">
      <w:pPr>
        <w:pStyle w:val="Notedebasdepage"/>
        <w:rPr>
          <w:lang w:val="en-CA"/>
        </w:rPr>
      </w:pPr>
      <w:r>
        <w:rPr>
          <w:rStyle w:val="Appelnotedebasdep"/>
        </w:rPr>
        <w:footnoteRef/>
      </w:r>
      <w:r w:rsidRPr="00FC6598">
        <w:rPr>
          <w:lang w:val="en-CA"/>
        </w:rPr>
        <w:t xml:space="preserve"> </w:t>
      </w:r>
      <w:r w:rsidRPr="00FC6598">
        <w:rPr>
          <w:lang w:val="en-CA"/>
        </w:rPr>
        <w:tab/>
      </w:r>
      <w:r w:rsidRPr="00CF3D68">
        <w:rPr>
          <w:i/>
          <w:iCs/>
          <w:lang w:val="en-CA"/>
        </w:rPr>
        <w:t>Supra</w:t>
      </w:r>
      <w:r w:rsidRPr="00CF3D68">
        <w:rPr>
          <w:lang w:val="en-CA"/>
        </w:rPr>
        <w:t xml:space="preserve"> note 26 at para.</w:t>
      </w:r>
      <w:r w:rsidRPr="00FC6598">
        <w:rPr>
          <w:lang w:val="en-CA"/>
        </w:rPr>
        <w:t xml:space="preserve"> 27. </w:t>
      </w:r>
    </w:p>
  </w:footnote>
  <w:footnote w:id="31">
    <w:p w14:paraId="4AB7C4A3" w14:textId="77777777" w:rsidR="009870D7" w:rsidRPr="001F7521" w:rsidRDefault="009870D7" w:rsidP="009870D7">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 at para.</w:t>
      </w:r>
      <w:r w:rsidRPr="001F7521">
        <w:rPr>
          <w:lang w:val="en-CA"/>
        </w:rPr>
        <w:t xml:space="preserve"> 42.</w:t>
      </w:r>
    </w:p>
  </w:footnote>
  <w:footnote w:id="32">
    <w:p w14:paraId="17CA4F2A" w14:textId="77777777" w:rsidR="009870D7" w:rsidRPr="00FC6598" w:rsidRDefault="009870D7" w:rsidP="009870D7">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 at paras.</w:t>
      </w:r>
      <w:r w:rsidRPr="001F7521">
        <w:rPr>
          <w:lang w:val="en-CA"/>
        </w:rPr>
        <w:t xml:space="preserve"> </w:t>
      </w:r>
      <w:r w:rsidRPr="00FC6598">
        <w:rPr>
          <w:lang w:val="en-CA"/>
        </w:rPr>
        <w:t>37–39, 41.</w:t>
      </w:r>
    </w:p>
  </w:footnote>
  <w:footnote w:id="33">
    <w:p w14:paraId="3AE331F2" w14:textId="77777777" w:rsidR="009870D7" w:rsidRPr="005B411F" w:rsidRDefault="009870D7" w:rsidP="009870D7">
      <w:pPr>
        <w:pStyle w:val="Notedebasdepage"/>
      </w:pPr>
      <w:r>
        <w:rPr>
          <w:rStyle w:val="Appelnotedebasdep"/>
        </w:rPr>
        <w:footnoteRef/>
      </w:r>
      <w:r w:rsidRPr="00FC6598">
        <w:rPr>
          <w:lang w:val="en-CA"/>
        </w:rPr>
        <w:t xml:space="preserve"> </w:t>
      </w:r>
      <w:r w:rsidRPr="00FC6598">
        <w:rPr>
          <w:lang w:val="en-CA"/>
        </w:rPr>
        <w:tab/>
      </w:r>
      <w:r w:rsidRPr="00CF3D68">
        <w:rPr>
          <w:i/>
          <w:iCs/>
          <w:lang w:val="en-CA"/>
        </w:rPr>
        <w:t>Ibid</w:t>
      </w:r>
      <w:r w:rsidRPr="00CF3D68">
        <w:rPr>
          <w:lang w:val="en-CA"/>
        </w:rPr>
        <w:t>. at para.</w:t>
      </w:r>
      <w:r w:rsidRPr="00FC6598">
        <w:rPr>
          <w:lang w:val="en-CA"/>
        </w:rPr>
        <w:t xml:space="preserve"> </w:t>
      </w:r>
      <w:r w:rsidRPr="005B411F">
        <w:t>39.</w:t>
      </w:r>
    </w:p>
  </w:footnote>
  <w:footnote w:id="34">
    <w:p w14:paraId="7DA89A61" w14:textId="0285E9A4" w:rsidR="009870D7" w:rsidRPr="00FC6598" w:rsidRDefault="009870D7" w:rsidP="009870D7">
      <w:pPr>
        <w:pStyle w:val="Notedebasdepage"/>
        <w:rPr>
          <w:lang w:val="en-CA"/>
        </w:rPr>
      </w:pPr>
      <w:r>
        <w:rPr>
          <w:rStyle w:val="Appelnotedebasdep"/>
        </w:rPr>
        <w:footnoteRef/>
      </w:r>
      <w:r>
        <w:t xml:space="preserve"> </w:t>
      </w:r>
      <w:r>
        <w:tab/>
      </w:r>
      <w:r w:rsidRPr="00CF3D68">
        <w:rPr>
          <w:i/>
          <w:iCs/>
        </w:rPr>
        <w:t xml:space="preserve">R. c. Construction </w:t>
      </w:r>
      <w:r w:rsidR="00943321">
        <w:rPr>
          <w:i/>
          <w:iCs/>
        </w:rPr>
        <w:t>d</w:t>
      </w:r>
      <w:r w:rsidRPr="00CF3D68">
        <w:rPr>
          <w:i/>
          <w:iCs/>
        </w:rPr>
        <w:t xml:space="preserve">e Castel </w:t>
      </w:r>
      <w:proofErr w:type="spellStart"/>
      <w:r w:rsidRPr="00CF3D68">
        <w:rPr>
          <w:i/>
          <w:iCs/>
        </w:rPr>
        <w:t>inc.</w:t>
      </w:r>
      <w:proofErr w:type="spellEnd"/>
      <w:r w:rsidRPr="00CF3D68">
        <w:rPr>
          <w:i/>
          <w:iCs/>
        </w:rPr>
        <w:t xml:space="preserve">, </w:t>
      </w:r>
      <w:r w:rsidRPr="00CF3D68">
        <w:rPr>
          <w:iCs/>
        </w:rPr>
        <w:t xml:space="preserve">2014 </w:t>
      </w:r>
      <w:proofErr w:type="spellStart"/>
      <w:r w:rsidRPr="00CF3D68">
        <w:rPr>
          <w:iCs/>
        </w:rPr>
        <w:t>QCCA</w:t>
      </w:r>
      <w:proofErr w:type="spellEnd"/>
      <w:r w:rsidRPr="00CF3D68">
        <w:rPr>
          <w:iCs/>
        </w:rPr>
        <w:t xml:space="preserve"> 1125 at paras.</w:t>
      </w:r>
      <w:r w:rsidRPr="00420674">
        <w:t xml:space="preserve"> </w:t>
      </w:r>
      <w:r w:rsidRPr="00FC6598">
        <w:rPr>
          <w:lang w:val="en-CA"/>
        </w:rPr>
        <w:t>12, 47.</w:t>
      </w:r>
    </w:p>
  </w:footnote>
  <w:footnote w:id="35">
    <w:p w14:paraId="451C770B" w14:textId="77777777" w:rsidR="009870D7" w:rsidRPr="001F7521" w:rsidRDefault="009870D7" w:rsidP="009870D7">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Ibid.</w:t>
      </w:r>
      <w:r w:rsidRPr="00CF3D68">
        <w:rPr>
          <w:lang w:val="en-CA"/>
        </w:rPr>
        <w:t xml:space="preserve"> at para.</w:t>
      </w:r>
      <w:r w:rsidRPr="001F7521">
        <w:rPr>
          <w:lang w:val="en-CA"/>
        </w:rPr>
        <w:t xml:space="preserve"> </w:t>
      </w:r>
      <w:r w:rsidRPr="00CF3D68">
        <w:rPr>
          <w:lang w:val="en-CA"/>
        </w:rPr>
        <w:t xml:space="preserve">47, citing Fish J. in </w:t>
      </w:r>
      <w:r w:rsidRPr="00CF3D68">
        <w:rPr>
          <w:i/>
          <w:iCs/>
          <w:lang w:val="en-CA"/>
        </w:rPr>
        <w:t>Toronto Star Newspapers Ltd. v</w:t>
      </w:r>
      <w:r w:rsidRPr="00CF3D68">
        <w:rPr>
          <w:lang w:val="en-CA"/>
        </w:rPr>
        <w:t>.</w:t>
      </w:r>
      <w:r w:rsidRPr="00CF3D68">
        <w:rPr>
          <w:i/>
          <w:iCs/>
          <w:lang w:val="en-CA"/>
        </w:rPr>
        <w:t xml:space="preserve"> Ontario, </w:t>
      </w:r>
      <w:r w:rsidRPr="00CF3D68">
        <w:rPr>
          <w:lang w:val="en-CA"/>
        </w:rPr>
        <w:t>2005 SCC 41 at paras.</w:t>
      </w:r>
      <w:r w:rsidRPr="001F7521">
        <w:rPr>
          <w:lang w:val="en-CA"/>
        </w:rPr>
        <w:t xml:space="preserve"> 8, 31</w:t>
      </w:r>
      <w:r w:rsidRPr="001F7521">
        <w:rPr>
          <w:i/>
          <w:iCs/>
          <w:lang w:val="en-CA"/>
        </w:rPr>
        <w:t>.</w:t>
      </w:r>
    </w:p>
  </w:footnote>
  <w:footnote w:id="36">
    <w:p w14:paraId="69E8E54D" w14:textId="77777777" w:rsidR="009870D7" w:rsidRPr="00FC6598" w:rsidRDefault="009870D7" w:rsidP="009870D7">
      <w:pPr>
        <w:pStyle w:val="Notedebasdepage"/>
        <w:rPr>
          <w:lang w:val="en-CA"/>
        </w:rPr>
      </w:pPr>
      <w:r>
        <w:rPr>
          <w:rStyle w:val="Appelnotedebasdep"/>
        </w:rPr>
        <w:footnoteRef/>
      </w:r>
      <w:r w:rsidRPr="00FC6598">
        <w:rPr>
          <w:lang w:val="en-CA"/>
        </w:rPr>
        <w:t xml:space="preserve"> </w:t>
      </w:r>
      <w:r w:rsidRPr="00FC6598">
        <w:rPr>
          <w:lang w:val="en-CA"/>
        </w:rPr>
        <w:tab/>
      </w:r>
      <w:r w:rsidRPr="00CF3D68">
        <w:rPr>
          <w:i/>
          <w:iCs/>
          <w:lang w:val="en-CA"/>
        </w:rPr>
        <w:t xml:space="preserve">Toronto Star Newspapers v. Ontario, </w:t>
      </w:r>
      <w:r w:rsidRPr="00CF3D68">
        <w:rPr>
          <w:lang w:val="en-CA"/>
        </w:rPr>
        <w:t>2005 SCC 41</w:t>
      </w:r>
      <w:r w:rsidRPr="00CF3D68">
        <w:rPr>
          <w:i/>
          <w:iCs/>
          <w:lang w:val="en-CA"/>
        </w:rPr>
        <w:t>.</w:t>
      </w:r>
    </w:p>
  </w:footnote>
  <w:footnote w:id="37">
    <w:p w14:paraId="561F9423" w14:textId="218954E0" w:rsidR="00623074" w:rsidRPr="00FC6598" w:rsidRDefault="001F7521">
      <w:pPr>
        <w:pStyle w:val="Notedebasdepage"/>
      </w:pPr>
      <w:r>
        <w:rPr>
          <w:rStyle w:val="Appelnotedebasdep"/>
        </w:rPr>
        <w:footnoteRef/>
      </w:r>
      <w:r w:rsidRPr="00623074">
        <w:rPr>
          <w:lang w:val="en-CA"/>
        </w:rPr>
        <w:t xml:space="preserve"> </w:t>
      </w:r>
      <w:r w:rsidRPr="00623074">
        <w:rPr>
          <w:lang w:val="en-CA"/>
        </w:rPr>
        <w:tab/>
      </w:r>
      <w:r w:rsidRPr="00CF3D68">
        <w:rPr>
          <w:i/>
          <w:iCs/>
          <w:lang w:val="en-CA"/>
        </w:rPr>
        <w:t xml:space="preserve">Toronto Star Newspapers v. Ontario, </w:t>
      </w:r>
      <w:r w:rsidRPr="00CF3D68">
        <w:rPr>
          <w:lang w:val="en-CA"/>
        </w:rPr>
        <w:t>2005 SCC 41 at para.</w:t>
      </w:r>
      <w:r w:rsidRPr="001F7521">
        <w:rPr>
          <w:lang w:val="en-CA"/>
        </w:rPr>
        <w:t xml:space="preserve"> </w:t>
      </w:r>
      <w:r w:rsidRPr="00FC6598">
        <w:t>8</w:t>
      </w:r>
      <w:r w:rsidRPr="00FC6598">
        <w:rPr>
          <w:i/>
          <w:iCs/>
        </w:rPr>
        <w:t>.</w:t>
      </w:r>
    </w:p>
  </w:footnote>
  <w:footnote w:id="38">
    <w:p w14:paraId="337BFAB3" w14:textId="318E6CC4" w:rsidR="00667C93" w:rsidRPr="00FC6598" w:rsidRDefault="00667C93" w:rsidP="00667C93">
      <w:pPr>
        <w:pStyle w:val="Notedebasdepage"/>
        <w:rPr>
          <w:lang w:val="en-CA"/>
        </w:rPr>
      </w:pPr>
      <w:r>
        <w:rPr>
          <w:rStyle w:val="Appelnotedebasdep"/>
        </w:rPr>
        <w:footnoteRef/>
      </w:r>
      <w:r>
        <w:t xml:space="preserve"> </w:t>
      </w:r>
      <w:r>
        <w:tab/>
      </w:r>
      <w:r w:rsidRPr="00CF3D68">
        <w:rPr>
          <w:i/>
          <w:iCs/>
        </w:rPr>
        <w:t xml:space="preserve">R. c. Construction </w:t>
      </w:r>
      <w:r w:rsidR="00943321">
        <w:rPr>
          <w:i/>
          <w:iCs/>
        </w:rPr>
        <w:t>d</w:t>
      </w:r>
      <w:r w:rsidRPr="00CF3D68">
        <w:rPr>
          <w:i/>
          <w:iCs/>
        </w:rPr>
        <w:t xml:space="preserve">e Castel </w:t>
      </w:r>
      <w:proofErr w:type="spellStart"/>
      <w:r w:rsidRPr="00CF3D68">
        <w:rPr>
          <w:i/>
          <w:iCs/>
        </w:rPr>
        <w:t>inc.</w:t>
      </w:r>
      <w:proofErr w:type="spellEnd"/>
      <w:r w:rsidRPr="00CF3D68">
        <w:rPr>
          <w:i/>
          <w:iCs/>
        </w:rPr>
        <w:t xml:space="preserve">, </w:t>
      </w:r>
      <w:r w:rsidRPr="00CF3D68">
        <w:rPr>
          <w:iCs/>
        </w:rPr>
        <w:t xml:space="preserve">2014 </w:t>
      </w:r>
      <w:proofErr w:type="spellStart"/>
      <w:r w:rsidRPr="00CF3D68">
        <w:rPr>
          <w:iCs/>
        </w:rPr>
        <w:t>QCCA</w:t>
      </w:r>
      <w:proofErr w:type="spellEnd"/>
      <w:r w:rsidRPr="00CF3D68">
        <w:rPr>
          <w:iCs/>
        </w:rPr>
        <w:t xml:space="preserve"> 1125 at para.</w:t>
      </w:r>
      <w:r>
        <w:t xml:space="preserve"> </w:t>
      </w:r>
      <w:r w:rsidRPr="00FC6598">
        <w:rPr>
          <w:lang w:val="en-CA"/>
        </w:rPr>
        <w:t>52.</w:t>
      </w:r>
    </w:p>
  </w:footnote>
  <w:footnote w:id="39">
    <w:p w14:paraId="03C95D88" w14:textId="77777777" w:rsidR="00667C93" w:rsidRPr="00FC6598" w:rsidRDefault="00667C93" w:rsidP="00667C93">
      <w:pPr>
        <w:pStyle w:val="Notedebasdepage"/>
        <w:rPr>
          <w:lang w:val="en-CA"/>
        </w:rPr>
      </w:pPr>
      <w:r>
        <w:rPr>
          <w:rStyle w:val="Appelnotedebasdep"/>
        </w:rPr>
        <w:footnoteRef/>
      </w:r>
      <w:r w:rsidRPr="001F7521">
        <w:rPr>
          <w:lang w:val="en-CA"/>
        </w:rPr>
        <w:t xml:space="preserve"> </w:t>
      </w:r>
      <w:r w:rsidRPr="001F7521">
        <w:rPr>
          <w:lang w:val="en-CA"/>
        </w:rPr>
        <w:tab/>
      </w:r>
      <w:r w:rsidRPr="001F7521">
        <w:rPr>
          <w:i/>
          <w:iCs/>
          <w:color w:val="000000"/>
          <w:lang w:val="en-CA"/>
        </w:rPr>
        <w:t>Canadian Broadcasting Corp. v. Named Person</w:t>
      </w:r>
      <w:r w:rsidRPr="00CF3D68">
        <w:rPr>
          <w:lang w:val="en-CA"/>
        </w:rPr>
        <w:t>, 2024 SCC 21 at para.</w:t>
      </w:r>
      <w:r w:rsidRPr="001F7521">
        <w:rPr>
          <w:lang w:val="en-CA"/>
        </w:rPr>
        <w:t xml:space="preserve"> </w:t>
      </w:r>
      <w:r w:rsidRPr="00FC6598">
        <w:rPr>
          <w:lang w:val="en-CA"/>
        </w:rPr>
        <w:t>90.</w:t>
      </w:r>
    </w:p>
  </w:footnote>
  <w:footnote w:id="40">
    <w:p w14:paraId="78F3D365" w14:textId="381B1E7A" w:rsidR="00667C93" w:rsidRDefault="00667C93" w:rsidP="00667C93">
      <w:pPr>
        <w:pStyle w:val="Notedebasdepage"/>
      </w:pPr>
      <w:r>
        <w:rPr>
          <w:rStyle w:val="Appelnotedebasdep"/>
        </w:rPr>
        <w:footnoteRef/>
      </w:r>
      <w:r w:rsidRPr="00FC6598">
        <w:rPr>
          <w:lang w:val="en-CA"/>
        </w:rPr>
        <w:t xml:space="preserve"> </w:t>
      </w:r>
      <w:r w:rsidRPr="00FC6598">
        <w:rPr>
          <w:lang w:val="en-CA"/>
        </w:rPr>
        <w:tab/>
      </w:r>
      <w:r w:rsidRPr="00CF3D68">
        <w:rPr>
          <w:rFonts w:cs="Arial"/>
          <w:i/>
          <w:iCs/>
          <w:lang w:val="en-CA" w:eastAsia="en-US"/>
          <w14:ligatures w14:val="standardContextual"/>
        </w:rPr>
        <w:t>Named Person v. Vancouver Sun</w:t>
      </w:r>
      <w:r w:rsidRPr="00CF3D68">
        <w:rPr>
          <w:rFonts w:cs="Arial"/>
          <w:iCs/>
          <w:lang w:val="en-CA" w:eastAsia="en-US"/>
          <w14:ligatures w14:val="standardContextual"/>
        </w:rPr>
        <w:t>, 2007 SCC 43 at paras.</w:t>
      </w:r>
      <w:r w:rsidRPr="00FC6598">
        <w:rPr>
          <w:lang w:val="en-CA"/>
        </w:rPr>
        <w:t xml:space="preserve"> </w:t>
      </w:r>
      <w:r w:rsidRPr="00CF3D68">
        <w:rPr>
          <w:lang w:val="en-CA"/>
        </w:rPr>
        <w:t>54</w:t>
      </w:r>
      <w:r w:rsidR="003E004B">
        <w:rPr>
          <w:lang w:val="en-CA"/>
        </w:rPr>
        <w:t>–</w:t>
      </w:r>
      <w:r w:rsidRPr="00CF3D68">
        <w:rPr>
          <w:lang w:val="en-CA"/>
        </w:rPr>
        <w:t xml:space="preserve">56; </w:t>
      </w:r>
      <w:r w:rsidRPr="001F7521">
        <w:rPr>
          <w:i/>
          <w:iCs/>
          <w:color w:val="000000"/>
          <w:lang w:val="en-CA"/>
        </w:rPr>
        <w:t>Canadian Broadcasting Corp. v. Named Person</w:t>
      </w:r>
      <w:r w:rsidRPr="00CF3D68">
        <w:rPr>
          <w:lang w:val="en-CA"/>
        </w:rPr>
        <w:t>, 2024 SCC 21 at paras.</w:t>
      </w:r>
      <w:r w:rsidRPr="001F7521">
        <w:rPr>
          <w:lang w:val="en-CA"/>
        </w:rPr>
        <w:t xml:space="preserve"> </w:t>
      </w:r>
      <w:r w:rsidRPr="00CF3D68">
        <w:t xml:space="preserve">72, 90; </w:t>
      </w:r>
      <w:r w:rsidRPr="00CF3D68">
        <w:rPr>
          <w:i/>
          <w:iCs/>
        </w:rPr>
        <w:t>R. c</w:t>
      </w:r>
      <w:r w:rsidRPr="00CF3D68">
        <w:t>.</w:t>
      </w:r>
      <w:r w:rsidRPr="00CF3D68">
        <w:rPr>
          <w:i/>
          <w:iCs/>
        </w:rPr>
        <w:t xml:space="preserve"> Construction </w:t>
      </w:r>
      <w:r w:rsidR="00ED1FD3">
        <w:rPr>
          <w:i/>
          <w:iCs/>
        </w:rPr>
        <w:t>d</w:t>
      </w:r>
      <w:r w:rsidRPr="00CF3D68">
        <w:rPr>
          <w:i/>
          <w:iCs/>
        </w:rPr>
        <w:t xml:space="preserve">e Castel </w:t>
      </w:r>
      <w:proofErr w:type="spellStart"/>
      <w:r w:rsidRPr="00CF3D68">
        <w:rPr>
          <w:i/>
          <w:iCs/>
        </w:rPr>
        <w:t>inc.</w:t>
      </w:r>
      <w:proofErr w:type="spellEnd"/>
      <w:r w:rsidRPr="00CF3D68">
        <w:rPr>
          <w:i/>
          <w:iCs/>
        </w:rPr>
        <w:t xml:space="preserve">, </w:t>
      </w:r>
      <w:r w:rsidRPr="00CF3D68">
        <w:t xml:space="preserve">2014 </w:t>
      </w:r>
      <w:proofErr w:type="spellStart"/>
      <w:r w:rsidRPr="00CF3D68">
        <w:t>QCCA</w:t>
      </w:r>
      <w:proofErr w:type="spellEnd"/>
      <w:r w:rsidRPr="00CF3D68">
        <w:t xml:space="preserve"> 1125 at para.</w:t>
      </w:r>
      <w:r w:rsidRPr="005C6427">
        <w:t xml:space="preserve"> </w:t>
      </w:r>
      <w:r w:rsidRPr="00CF3D68">
        <w:t>52, para.</w:t>
      </w:r>
      <w:r w:rsidRPr="005C6427">
        <w:t xml:space="preserve"> 36.</w:t>
      </w:r>
    </w:p>
  </w:footnote>
  <w:footnote w:id="41">
    <w:p w14:paraId="1D2ECCD8" w14:textId="77777777" w:rsidR="00667C93" w:rsidRDefault="00667C93" w:rsidP="00667C93">
      <w:pPr>
        <w:pStyle w:val="Notedebasdepage"/>
      </w:pPr>
      <w:r>
        <w:rPr>
          <w:rStyle w:val="Appelnotedebasdep"/>
        </w:rPr>
        <w:footnoteRef/>
      </w:r>
      <w:r w:rsidRPr="00813F53">
        <w:t xml:space="preserve"> </w:t>
      </w:r>
      <w:r w:rsidRPr="00813F53">
        <w:tab/>
      </w:r>
      <w:proofErr w:type="spellStart"/>
      <w:r w:rsidRPr="00813F53">
        <w:rPr>
          <w:rFonts w:cs="Arial"/>
          <w:i/>
          <w:iCs/>
          <w:lang w:eastAsia="en-US"/>
          <w14:ligatures w14:val="standardContextual"/>
        </w:rPr>
        <w:t>Named</w:t>
      </w:r>
      <w:proofErr w:type="spellEnd"/>
      <w:r w:rsidRPr="00813F53">
        <w:rPr>
          <w:rFonts w:cs="Arial"/>
          <w:i/>
          <w:iCs/>
          <w:lang w:eastAsia="en-US"/>
          <w14:ligatures w14:val="standardContextual"/>
        </w:rPr>
        <w:t xml:space="preserve"> Person v. Vancouver Sun</w:t>
      </w:r>
      <w:r w:rsidRPr="00813F53">
        <w:rPr>
          <w:rFonts w:cs="Arial"/>
          <w:iCs/>
          <w:lang w:eastAsia="en-US"/>
          <w14:ligatures w14:val="standardContextual"/>
        </w:rPr>
        <w:t xml:space="preserve">, 2007 </w:t>
      </w:r>
      <w:proofErr w:type="spellStart"/>
      <w:r w:rsidRPr="00813F53">
        <w:rPr>
          <w:rFonts w:cs="Arial"/>
          <w:iCs/>
          <w:lang w:eastAsia="en-US"/>
          <w14:ligatures w14:val="standardContextual"/>
        </w:rPr>
        <w:t>SCC</w:t>
      </w:r>
      <w:proofErr w:type="spellEnd"/>
      <w:r w:rsidRPr="00813F53">
        <w:rPr>
          <w:rFonts w:cs="Arial"/>
          <w:iCs/>
          <w:lang w:eastAsia="en-US"/>
          <w14:ligatures w14:val="standardContextual"/>
        </w:rPr>
        <w:t xml:space="preserve"> 43 at para.</w:t>
      </w:r>
      <w:r w:rsidRPr="00813F53">
        <w:rPr>
          <w:rFonts w:cs="Arial"/>
          <w:lang w:eastAsia="en-US"/>
          <w14:ligatures w14:val="standardContextual"/>
        </w:rPr>
        <w:t xml:space="preserve"> </w:t>
      </w:r>
      <w:r>
        <w:rPr>
          <w:rFonts w:cs="Arial"/>
          <w:lang w:eastAsia="en-US"/>
          <w14:ligatures w14:val="standardContextual"/>
        </w:rPr>
        <w:t>55.</w:t>
      </w:r>
    </w:p>
  </w:footnote>
  <w:footnote w:id="42">
    <w:p w14:paraId="34F5E1C5" w14:textId="606438ED" w:rsidR="00667C93" w:rsidRPr="00130AE0" w:rsidRDefault="00667C93" w:rsidP="00667C93">
      <w:pPr>
        <w:pStyle w:val="Notedebasdepage"/>
        <w:rPr>
          <w:i/>
          <w:iCs/>
        </w:rPr>
      </w:pPr>
      <w:r>
        <w:rPr>
          <w:rStyle w:val="Appelnotedebasdep"/>
        </w:rPr>
        <w:footnoteRef/>
      </w:r>
      <w:r w:rsidRPr="00813F53">
        <w:t xml:space="preserve"> </w:t>
      </w:r>
      <w:r w:rsidRPr="00813F53">
        <w:tab/>
      </w:r>
      <w:r w:rsidRPr="00813F53">
        <w:rPr>
          <w:i/>
          <w:iCs/>
        </w:rPr>
        <w:t xml:space="preserve">Toronto Star </w:t>
      </w:r>
      <w:proofErr w:type="spellStart"/>
      <w:r w:rsidRPr="00813F53">
        <w:rPr>
          <w:i/>
          <w:iCs/>
        </w:rPr>
        <w:t>Newspapers</w:t>
      </w:r>
      <w:proofErr w:type="spellEnd"/>
      <w:r w:rsidRPr="00813F53">
        <w:rPr>
          <w:i/>
          <w:iCs/>
        </w:rPr>
        <w:t xml:space="preserve"> v. Ontario, </w:t>
      </w:r>
      <w:r w:rsidRPr="00813F53">
        <w:t xml:space="preserve">2005 </w:t>
      </w:r>
      <w:proofErr w:type="spellStart"/>
      <w:r w:rsidRPr="00813F53">
        <w:t>SCC</w:t>
      </w:r>
      <w:proofErr w:type="spellEnd"/>
      <w:r w:rsidRPr="00813F53">
        <w:t xml:space="preserve"> 41</w:t>
      </w:r>
      <w:r w:rsidRPr="00813F53">
        <w:rPr>
          <w:i/>
          <w:iCs/>
        </w:rPr>
        <w:t xml:space="preserve">; R. c. Construction </w:t>
      </w:r>
      <w:r w:rsidR="00943321" w:rsidRPr="00813F53">
        <w:rPr>
          <w:i/>
          <w:iCs/>
        </w:rPr>
        <w:t>d</w:t>
      </w:r>
      <w:r w:rsidRPr="00813F53">
        <w:rPr>
          <w:i/>
          <w:iCs/>
        </w:rPr>
        <w:t xml:space="preserve">e Castel </w:t>
      </w:r>
      <w:proofErr w:type="spellStart"/>
      <w:r w:rsidRPr="00813F53">
        <w:rPr>
          <w:i/>
          <w:iCs/>
        </w:rPr>
        <w:t>inc.</w:t>
      </w:r>
      <w:proofErr w:type="spellEnd"/>
      <w:r w:rsidRPr="00813F53">
        <w:rPr>
          <w:i/>
          <w:iCs/>
        </w:rPr>
        <w:t xml:space="preserve">, </w:t>
      </w:r>
      <w:r w:rsidRPr="00813F53">
        <w:t xml:space="preserve">2014 </w:t>
      </w:r>
      <w:proofErr w:type="spellStart"/>
      <w:r w:rsidRPr="00813F53">
        <w:t>QCCA</w:t>
      </w:r>
      <w:proofErr w:type="spellEnd"/>
      <w:r w:rsidRPr="00813F53">
        <w:t xml:space="preserve"> 1125 at para. </w:t>
      </w:r>
      <w:r w:rsidRPr="00130AE0">
        <w:t>8</w:t>
      </w:r>
      <w:r w:rsidRPr="00130AE0">
        <w:rPr>
          <w:i/>
          <w:iCs/>
        </w:rPr>
        <w:t>.</w:t>
      </w:r>
    </w:p>
    <w:p w14:paraId="57E30075" w14:textId="77777777" w:rsidR="00667C93" w:rsidRPr="00130AE0" w:rsidRDefault="00667C93" w:rsidP="00667C93">
      <w:pPr>
        <w:pStyle w:val="Notedebasdepage"/>
      </w:pPr>
    </w:p>
  </w:footnote>
  <w:footnote w:id="43">
    <w:p w14:paraId="6C6698E1" w14:textId="5122BFF1" w:rsidR="00757907" w:rsidRPr="001F7521" w:rsidRDefault="001F7521">
      <w:pPr>
        <w:pStyle w:val="Notedebasdepage"/>
        <w:rPr>
          <w:lang w:val="en-CA"/>
        </w:rPr>
      </w:pPr>
      <w:r>
        <w:rPr>
          <w:rStyle w:val="Appelnotedebasdep"/>
        </w:rPr>
        <w:footnoteRef/>
      </w:r>
      <w:r w:rsidRPr="001F7521">
        <w:rPr>
          <w:lang w:val="en-CA"/>
        </w:rPr>
        <w:t xml:space="preserve"> </w:t>
      </w:r>
      <w:r w:rsidRPr="001F7521">
        <w:rPr>
          <w:lang w:val="en-CA"/>
        </w:rPr>
        <w:tab/>
      </w:r>
      <w:r w:rsidRPr="00CF3D68">
        <w:rPr>
          <w:i/>
          <w:iCs/>
          <w:lang w:val="en-CA"/>
        </w:rPr>
        <w:t>Canadian Broadcasting Corp. v. Manitoba</w:t>
      </w:r>
      <w:r w:rsidRPr="00CF3D68">
        <w:rPr>
          <w:lang w:val="en-CA"/>
        </w:rPr>
        <w:t>, 2021 SCC 33 at paras.</w:t>
      </w:r>
      <w:r w:rsidRPr="001F7521">
        <w:rPr>
          <w:lang w:val="en-CA"/>
        </w:rPr>
        <w:t xml:space="preserve"> 1, 6, 36</w:t>
      </w:r>
      <w:r>
        <w:rPr>
          <w:lang w:val="en-CA"/>
        </w:rPr>
        <w:t>–</w:t>
      </w:r>
      <w:r w:rsidRPr="001F7521">
        <w:rPr>
          <w:lang w:val="en-CA"/>
        </w:rPr>
        <w:t>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9FBD" w14:textId="6F9E5C03" w:rsidR="00EB51AA" w:rsidRDefault="00704EE0">
    <w:pPr>
      <w:pStyle w:val="En-tte"/>
    </w:pPr>
    <w:r>
      <w:rPr>
        <w:noProof/>
      </w:rPr>
      <w:pict w14:anchorId="65DD2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47063" o:spid="_x0000_s2050" type="#_x0000_t136" style="position:absolute;margin-left:0;margin-top:0;width:594pt;height:66pt;rotation:315;z-index:-25165516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7DB1" w14:textId="39E614E3" w:rsidR="00767DDC" w:rsidRDefault="00704EE0" w:rsidP="00B44654">
    <w:pPr>
      <w:tabs>
        <w:tab w:val="right" w:pos="9214"/>
        <w:tab w:val="right" w:pos="9356"/>
      </w:tabs>
    </w:pPr>
    <w:r>
      <w:rPr>
        <w:noProof/>
      </w:rPr>
      <w:pict w14:anchorId="049DE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47064" o:spid="_x0000_s2051" type="#_x0000_t136" style="position:absolute;margin-left:0;margin-top:0;width:594pt;height:66pt;rotation:315;z-index:-251653120;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C431DA" w:rsidRPr="00CF3D68">
      <w:t xml:space="preserve">500-26-13XXXX-XXX </w:t>
    </w:r>
    <w:r w:rsidR="00C431DA" w:rsidRPr="00ED1FD3">
      <w:t>et al</w:t>
    </w:r>
    <w:r w:rsidR="00C431DA" w:rsidRPr="008304CF">
      <w:t>.</w:t>
    </w:r>
    <w:r w:rsidR="00C431DA">
      <w:tab/>
    </w:r>
    <w:r w:rsidR="00C431DA" w:rsidRPr="00CF3D68">
      <w:t>PAGE:</w:t>
    </w:r>
    <w:r w:rsidR="00C431DA">
      <w:t xml:space="preserve"> </w:t>
    </w:r>
    <w:r w:rsidR="00C431DA">
      <w:fldChar w:fldCharType="begin"/>
    </w:r>
    <w:r w:rsidR="00C431DA">
      <w:instrText xml:space="preserve"> PAGE </w:instrText>
    </w:r>
    <w:r w:rsidR="00C431DA">
      <w:fldChar w:fldCharType="separate"/>
    </w:r>
    <w:r w:rsidR="00EC36DE">
      <w:rPr>
        <w:noProof/>
      </w:rPr>
      <w:t>19</w:t>
    </w:r>
    <w:r w:rsidR="00C431DA">
      <w:fldChar w:fldCharType="end"/>
    </w:r>
  </w:p>
  <w:p w14:paraId="342F066B" w14:textId="77777777" w:rsidR="005036D8" w:rsidRDefault="005036D8" w:rsidP="00B44654">
    <w:pPr>
      <w:tabs>
        <w:tab w:val="right" w:pos="9214"/>
        <w:tab w:val="right" w:pos="9356"/>
      </w:tabs>
    </w:pPr>
  </w:p>
  <w:p w14:paraId="556901ED" w14:textId="77777777" w:rsidR="00B44654" w:rsidRDefault="00B44654" w:rsidP="00B44654">
    <w:pPr>
      <w:tabs>
        <w:tab w:val="right" w:pos="9214"/>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064C" w14:textId="486E28C5" w:rsidR="00EB51AA" w:rsidRDefault="00704EE0">
    <w:pPr>
      <w:pStyle w:val="En-tte"/>
    </w:pPr>
    <w:r>
      <w:rPr>
        <w:noProof/>
      </w:rPr>
      <w:pict w14:anchorId="741AE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47062" o:spid="_x0000_s2049" type="#_x0000_t136" style="position:absolute;margin-left:0;margin-top:0;width:594pt;height:66pt;rotation:315;z-index:-25165721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A49"/>
    <w:multiLevelType w:val="hybridMultilevel"/>
    <w:tmpl w:val="D9C85224"/>
    <w:lvl w:ilvl="0" w:tplc="9A507C04">
      <w:start w:val="1"/>
      <w:numFmt w:val="lowerLetter"/>
      <w:pStyle w:val="Titre2"/>
      <w:lvlText w:val="(%1)"/>
      <w:lvlJc w:val="left"/>
      <w:pPr>
        <w:ind w:left="1129" w:hanging="420"/>
      </w:pPr>
      <w:rPr>
        <w:rFonts w:eastAsiaTheme="minorHAnsi" w:hint="default"/>
        <w:b/>
        <w:i w:val="0"/>
        <w:iCs w:val="0"/>
      </w:rPr>
    </w:lvl>
    <w:lvl w:ilvl="1" w:tplc="3B70B81C" w:tentative="1">
      <w:start w:val="1"/>
      <w:numFmt w:val="lowerLetter"/>
      <w:lvlText w:val="%2."/>
      <w:lvlJc w:val="left"/>
      <w:pPr>
        <w:ind w:left="1789" w:hanging="360"/>
      </w:pPr>
    </w:lvl>
    <w:lvl w:ilvl="2" w:tplc="C248CA68" w:tentative="1">
      <w:start w:val="1"/>
      <w:numFmt w:val="lowerRoman"/>
      <w:lvlText w:val="%3."/>
      <w:lvlJc w:val="right"/>
      <w:pPr>
        <w:ind w:left="2509" w:hanging="180"/>
      </w:pPr>
    </w:lvl>
    <w:lvl w:ilvl="3" w:tplc="72AEDFBE" w:tentative="1">
      <w:start w:val="1"/>
      <w:numFmt w:val="decimal"/>
      <w:lvlText w:val="%4."/>
      <w:lvlJc w:val="left"/>
      <w:pPr>
        <w:ind w:left="3229" w:hanging="360"/>
      </w:pPr>
    </w:lvl>
    <w:lvl w:ilvl="4" w:tplc="2EAE184A" w:tentative="1">
      <w:start w:val="1"/>
      <w:numFmt w:val="lowerLetter"/>
      <w:lvlText w:val="%5."/>
      <w:lvlJc w:val="left"/>
      <w:pPr>
        <w:ind w:left="3949" w:hanging="360"/>
      </w:pPr>
    </w:lvl>
    <w:lvl w:ilvl="5" w:tplc="2256BBE0" w:tentative="1">
      <w:start w:val="1"/>
      <w:numFmt w:val="lowerRoman"/>
      <w:lvlText w:val="%6."/>
      <w:lvlJc w:val="right"/>
      <w:pPr>
        <w:ind w:left="4669" w:hanging="180"/>
      </w:pPr>
    </w:lvl>
    <w:lvl w:ilvl="6" w:tplc="0666CDB6" w:tentative="1">
      <w:start w:val="1"/>
      <w:numFmt w:val="decimal"/>
      <w:lvlText w:val="%7."/>
      <w:lvlJc w:val="left"/>
      <w:pPr>
        <w:ind w:left="5389" w:hanging="360"/>
      </w:pPr>
    </w:lvl>
    <w:lvl w:ilvl="7" w:tplc="5ABE8FA6" w:tentative="1">
      <w:start w:val="1"/>
      <w:numFmt w:val="lowerLetter"/>
      <w:lvlText w:val="%8."/>
      <w:lvlJc w:val="left"/>
      <w:pPr>
        <w:ind w:left="6109" w:hanging="360"/>
      </w:pPr>
    </w:lvl>
    <w:lvl w:ilvl="8" w:tplc="7A545022" w:tentative="1">
      <w:start w:val="1"/>
      <w:numFmt w:val="lowerRoman"/>
      <w:lvlText w:val="%9."/>
      <w:lvlJc w:val="right"/>
      <w:pPr>
        <w:ind w:left="6829" w:hanging="180"/>
      </w:pPr>
    </w:lvl>
  </w:abstractNum>
  <w:abstractNum w:abstractNumId="1" w15:restartNumberingAfterBreak="0">
    <w:nsid w:val="453F4833"/>
    <w:multiLevelType w:val="hybridMultilevel"/>
    <w:tmpl w:val="C38C8EDC"/>
    <w:lvl w:ilvl="0" w:tplc="2610B41E">
      <w:start w:val="1"/>
      <w:numFmt w:val="bullet"/>
      <w:lvlText w:val=""/>
      <w:lvlJc w:val="left"/>
      <w:pPr>
        <w:ind w:left="1429" w:hanging="360"/>
      </w:pPr>
      <w:rPr>
        <w:rFonts w:ascii="Wingdings" w:hAnsi="Wingdings" w:hint="default"/>
      </w:rPr>
    </w:lvl>
    <w:lvl w:ilvl="1" w:tplc="6D165228" w:tentative="1">
      <w:start w:val="1"/>
      <w:numFmt w:val="bullet"/>
      <w:lvlText w:val="o"/>
      <w:lvlJc w:val="left"/>
      <w:pPr>
        <w:ind w:left="2149" w:hanging="360"/>
      </w:pPr>
      <w:rPr>
        <w:rFonts w:ascii="Courier New" w:hAnsi="Courier New" w:cs="Courier New" w:hint="default"/>
      </w:rPr>
    </w:lvl>
    <w:lvl w:ilvl="2" w:tplc="2D8CD618" w:tentative="1">
      <w:start w:val="1"/>
      <w:numFmt w:val="bullet"/>
      <w:lvlText w:val=""/>
      <w:lvlJc w:val="left"/>
      <w:pPr>
        <w:ind w:left="2869" w:hanging="360"/>
      </w:pPr>
      <w:rPr>
        <w:rFonts w:ascii="Wingdings" w:hAnsi="Wingdings" w:hint="default"/>
      </w:rPr>
    </w:lvl>
    <w:lvl w:ilvl="3" w:tplc="E6D2C3B2" w:tentative="1">
      <w:start w:val="1"/>
      <w:numFmt w:val="bullet"/>
      <w:lvlText w:val=""/>
      <w:lvlJc w:val="left"/>
      <w:pPr>
        <w:ind w:left="3589" w:hanging="360"/>
      </w:pPr>
      <w:rPr>
        <w:rFonts w:ascii="Symbol" w:hAnsi="Symbol" w:hint="default"/>
      </w:rPr>
    </w:lvl>
    <w:lvl w:ilvl="4" w:tplc="3E604E52" w:tentative="1">
      <w:start w:val="1"/>
      <w:numFmt w:val="bullet"/>
      <w:lvlText w:val="o"/>
      <w:lvlJc w:val="left"/>
      <w:pPr>
        <w:ind w:left="4309" w:hanging="360"/>
      </w:pPr>
      <w:rPr>
        <w:rFonts w:ascii="Courier New" w:hAnsi="Courier New" w:cs="Courier New" w:hint="default"/>
      </w:rPr>
    </w:lvl>
    <w:lvl w:ilvl="5" w:tplc="FC7E30DC" w:tentative="1">
      <w:start w:val="1"/>
      <w:numFmt w:val="bullet"/>
      <w:lvlText w:val=""/>
      <w:lvlJc w:val="left"/>
      <w:pPr>
        <w:ind w:left="5029" w:hanging="360"/>
      </w:pPr>
      <w:rPr>
        <w:rFonts w:ascii="Wingdings" w:hAnsi="Wingdings" w:hint="default"/>
      </w:rPr>
    </w:lvl>
    <w:lvl w:ilvl="6" w:tplc="EE7250C2" w:tentative="1">
      <w:start w:val="1"/>
      <w:numFmt w:val="bullet"/>
      <w:lvlText w:val=""/>
      <w:lvlJc w:val="left"/>
      <w:pPr>
        <w:ind w:left="5749" w:hanging="360"/>
      </w:pPr>
      <w:rPr>
        <w:rFonts w:ascii="Symbol" w:hAnsi="Symbol" w:hint="default"/>
      </w:rPr>
    </w:lvl>
    <w:lvl w:ilvl="7" w:tplc="7E8897D8" w:tentative="1">
      <w:start w:val="1"/>
      <w:numFmt w:val="bullet"/>
      <w:lvlText w:val="o"/>
      <w:lvlJc w:val="left"/>
      <w:pPr>
        <w:ind w:left="6469" w:hanging="360"/>
      </w:pPr>
      <w:rPr>
        <w:rFonts w:ascii="Courier New" w:hAnsi="Courier New" w:cs="Courier New" w:hint="default"/>
      </w:rPr>
    </w:lvl>
    <w:lvl w:ilvl="8" w:tplc="DC22C3AA" w:tentative="1">
      <w:start w:val="1"/>
      <w:numFmt w:val="bullet"/>
      <w:lvlText w:val=""/>
      <w:lvlJc w:val="left"/>
      <w:pPr>
        <w:ind w:left="7189" w:hanging="360"/>
      </w:pPr>
      <w:rPr>
        <w:rFonts w:ascii="Wingdings" w:hAnsi="Wingdings" w:hint="default"/>
      </w:rPr>
    </w:lvl>
  </w:abstractNum>
  <w:abstractNum w:abstractNumId="2" w15:restartNumberingAfterBreak="0">
    <w:nsid w:val="609C0DCC"/>
    <w:multiLevelType w:val="multilevel"/>
    <w:tmpl w:val="8592B310"/>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67B31E6B"/>
    <w:multiLevelType w:val="hybridMultilevel"/>
    <w:tmpl w:val="99E8F990"/>
    <w:lvl w:ilvl="0" w:tplc="D30C2A92">
      <w:start w:val="1"/>
      <w:numFmt w:val="bullet"/>
      <w:pStyle w:val="Sous-titre"/>
      <w:lvlText w:val=""/>
      <w:lvlJc w:val="left"/>
      <w:pPr>
        <w:ind w:left="720" w:hanging="360"/>
      </w:pPr>
      <w:rPr>
        <w:rFonts w:ascii="Symbol" w:hAnsi="Symbol" w:hint="default"/>
      </w:rPr>
    </w:lvl>
    <w:lvl w:ilvl="1" w:tplc="9B0CCACA" w:tentative="1">
      <w:start w:val="1"/>
      <w:numFmt w:val="bullet"/>
      <w:lvlText w:val="o"/>
      <w:lvlJc w:val="left"/>
      <w:pPr>
        <w:ind w:left="1440" w:hanging="360"/>
      </w:pPr>
      <w:rPr>
        <w:rFonts w:ascii="Courier New" w:hAnsi="Courier New" w:cs="Courier New" w:hint="default"/>
      </w:rPr>
    </w:lvl>
    <w:lvl w:ilvl="2" w:tplc="3E4C578A" w:tentative="1">
      <w:start w:val="1"/>
      <w:numFmt w:val="bullet"/>
      <w:lvlText w:val=""/>
      <w:lvlJc w:val="left"/>
      <w:pPr>
        <w:ind w:left="2160" w:hanging="360"/>
      </w:pPr>
      <w:rPr>
        <w:rFonts w:ascii="Wingdings" w:hAnsi="Wingdings" w:hint="default"/>
      </w:rPr>
    </w:lvl>
    <w:lvl w:ilvl="3" w:tplc="A198F728" w:tentative="1">
      <w:start w:val="1"/>
      <w:numFmt w:val="bullet"/>
      <w:lvlText w:val=""/>
      <w:lvlJc w:val="left"/>
      <w:pPr>
        <w:ind w:left="2880" w:hanging="360"/>
      </w:pPr>
      <w:rPr>
        <w:rFonts w:ascii="Symbol" w:hAnsi="Symbol" w:hint="default"/>
      </w:rPr>
    </w:lvl>
    <w:lvl w:ilvl="4" w:tplc="4FB0AAAE" w:tentative="1">
      <w:start w:val="1"/>
      <w:numFmt w:val="bullet"/>
      <w:lvlText w:val="o"/>
      <w:lvlJc w:val="left"/>
      <w:pPr>
        <w:ind w:left="3600" w:hanging="360"/>
      </w:pPr>
      <w:rPr>
        <w:rFonts w:ascii="Courier New" w:hAnsi="Courier New" w:cs="Courier New" w:hint="default"/>
      </w:rPr>
    </w:lvl>
    <w:lvl w:ilvl="5" w:tplc="78FA7746" w:tentative="1">
      <w:start w:val="1"/>
      <w:numFmt w:val="bullet"/>
      <w:lvlText w:val=""/>
      <w:lvlJc w:val="left"/>
      <w:pPr>
        <w:ind w:left="4320" w:hanging="360"/>
      </w:pPr>
      <w:rPr>
        <w:rFonts w:ascii="Wingdings" w:hAnsi="Wingdings" w:hint="default"/>
      </w:rPr>
    </w:lvl>
    <w:lvl w:ilvl="6" w:tplc="52F048F0" w:tentative="1">
      <w:start w:val="1"/>
      <w:numFmt w:val="bullet"/>
      <w:lvlText w:val=""/>
      <w:lvlJc w:val="left"/>
      <w:pPr>
        <w:ind w:left="5040" w:hanging="360"/>
      </w:pPr>
      <w:rPr>
        <w:rFonts w:ascii="Symbol" w:hAnsi="Symbol" w:hint="default"/>
      </w:rPr>
    </w:lvl>
    <w:lvl w:ilvl="7" w:tplc="87DEB39E" w:tentative="1">
      <w:start w:val="1"/>
      <w:numFmt w:val="bullet"/>
      <w:lvlText w:val="o"/>
      <w:lvlJc w:val="left"/>
      <w:pPr>
        <w:ind w:left="5760" w:hanging="360"/>
      </w:pPr>
      <w:rPr>
        <w:rFonts w:ascii="Courier New" w:hAnsi="Courier New" w:cs="Courier New" w:hint="default"/>
      </w:rPr>
    </w:lvl>
    <w:lvl w:ilvl="8" w:tplc="6630AFFC" w:tentative="1">
      <w:start w:val="1"/>
      <w:numFmt w:val="bullet"/>
      <w:lvlText w:val=""/>
      <w:lvlJc w:val="left"/>
      <w:pPr>
        <w:ind w:left="6480" w:hanging="360"/>
      </w:pPr>
      <w:rPr>
        <w:rFonts w:ascii="Wingdings" w:hAnsi="Wingdings" w:hint="default"/>
      </w:rPr>
    </w:lvl>
  </w:abstractNum>
  <w:abstractNum w:abstractNumId="4" w15:restartNumberingAfterBreak="0">
    <w:nsid w:val="76917AF1"/>
    <w:multiLevelType w:val="hybridMultilevel"/>
    <w:tmpl w:val="00D076AA"/>
    <w:lvl w:ilvl="0" w:tplc="71BE10D8">
      <w:start w:val="1"/>
      <w:numFmt w:val="decimal"/>
      <w:lvlText w:val="%1)"/>
      <w:lvlJc w:val="left"/>
      <w:pPr>
        <w:ind w:left="1423" w:hanging="430"/>
      </w:pPr>
      <w:rPr>
        <w:rFonts w:hint="default"/>
      </w:rPr>
    </w:lvl>
    <w:lvl w:ilvl="1" w:tplc="86B07FA8" w:tentative="1">
      <w:start w:val="1"/>
      <w:numFmt w:val="lowerLetter"/>
      <w:lvlText w:val="%2."/>
      <w:lvlJc w:val="left"/>
      <w:pPr>
        <w:ind w:left="2073" w:hanging="360"/>
      </w:pPr>
    </w:lvl>
    <w:lvl w:ilvl="2" w:tplc="B42C75BC" w:tentative="1">
      <w:start w:val="1"/>
      <w:numFmt w:val="lowerRoman"/>
      <w:lvlText w:val="%3."/>
      <w:lvlJc w:val="right"/>
      <w:pPr>
        <w:ind w:left="2793" w:hanging="180"/>
      </w:pPr>
    </w:lvl>
    <w:lvl w:ilvl="3" w:tplc="472CED76" w:tentative="1">
      <w:start w:val="1"/>
      <w:numFmt w:val="decimal"/>
      <w:lvlText w:val="%4."/>
      <w:lvlJc w:val="left"/>
      <w:pPr>
        <w:ind w:left="3513" w:hanging="360"/>
      </w:pPr>
    </w:lvl>
    <w:lvl w:ilvl="4" w:tplc="600E57FE" w:tentative="1">
      <w:start w:val="1"/>
      <w:numFmt w:val="lowerLetter"/>
      <w:lvlText w:val="%5."/>
      <w:lvlJc w:val="left"/>
      <w:pPr>
        <w:ind w:left="4233" w:hanging="360"/>
      </w:pPr>
    </w:lvl>
    <w:lvl w:ilvl="5" w:tplc="20968F4A" w:tentative="1">
      <w:start w:val="1"/>
      <w:numFmt w:val="lowerRoman"/>
      <w:lvlText w:val="%6."/>
      <w:lvlJc w:val="right"/>
      <w:pPr>
        <w:ind w:left="4953" w:hanging="180"/>
      </w:pPr>
    </w:lvl>
    <w:lvl w:ilvl="6" w:tplc="A3A80DD6" w:tentative="1">
      <w:start w:val="1"/>
      <w:numFmt w:val="decimal"/>
      <w:lvlText w:val="%7."/>
      <w:lvlJc w:val="left"/>
      <w:pPr>
        <w:ind w:left="5673" w:hanging="360"/>
      </w:pPr>
    </w:lvl>
    <w:lvl w:ilvl="7" w:tplc="31B2D7E6" w:tentative="1">
      <w:start w:val="1"/>
      <w:numFmt w:val="lowerLetter"/>
      <w:lvlText w:val="%8."/>
      <w:lvlJc w:val="left"/>
      <w:pPr>
        <w:ind w:left="6393" w:hanging="360"/>
      </w:pPr>
    </w:lvl>
    <w:lvl w:ilvl="8" w:tplc="4A04FF68" w:tentative="1">
      <w:start w:val="1"/>
      <w:numFmt w:val="lowerRoman"/>
      <w:lvlText w:val="%9."/>
      <w:lvlJc w:val="right"/>
      <w:pPr>
        <w:ind w:left="7113" w:hanging="180"/>
      </w:pPr>
    </w:lvl>
  </w:abstractNum>
  <w:abstractNum w:abstractNumId="5" w15:restartNumberingAfterBreak="0">
    <w:nsid w:val="7AE03FE7"/>
    <w:multiLevelType w:val="hybridMultilevel"/>
    <w:tmpl w:val="0400B036"/>
    <w:lvl w:ilvl="0" w:tplc="BC92CFA4">
      <w:start w:val="1"/>
      <w:numFmt w:val="decimal"/>
      <w:lvlText w:val="%1."/>
      <w:lvlJc w:val="left"/>
      <w:pPr>
        <w:ind w:left="720" w:hanging="360"/>
      </w:pPr>
      <w:rPr>
        <w:rFonts w:hint="default"/>
      </w:rPr>
    </w:lvl>
    <w:lvl w:ilvl="1" w:tplc="681C65D6">
      <w:start w:val="1"/>
      <w:numFmt w:val="bullet"/>
      <w:lvlText w:val="o"/>
      <w:lvlJc w:val="left"/>
      <w:pPr>
        <w:ind w:left="1440" w:hanging="360"/>
      </w:pPr>
      <w:rPr>
        <w:rFonts w:ascii="Courier New" w:hAnsi="Courier New" w:cs="Courier New" w:hint="default"/>
      </w:rPr>
    </w:lvl>
    <w:lvl w:ilvl="2" w:tplc="1EEC89BE" w:tentative="1">
      <w:start w:val="1"/>
      <w:numFmt w:val="bullet"/>
      <w:lvlText w:val=""/>
      <w:lvlJc w:val="left"/>
      <w:pPr>
        <w:ind w:left="2160" w:hanging="360"/>
      </w:pPr>
      <w:rPr>
        <w:rFonts w:ascii="Wingdings" w:hAnsi="Wingdings" w:hint="default"/>
      </w:rPr>
    </w:lvl>
    <w:lvl w:ilvl="3" w:tplc="ADF4DDEA" w:tentative="1">
      <w:start w:val="1"/>
      <w:numFmt w:val="bullet"/>
      <w:lvlText w:val=""/>
      <w:lvlJc w:val="left"/>
      <w:pPr>
        <w:ind w:left="2880" w:hanging="360"/>
      </w:pPr>
      <w:rPr>
        <w:rFonts w:ascii="Symbol" w:hAnsi="Symbol" w:hint="default"/>
      </w:rPr>
    </w:lvl>
    <w:lvl w:ilvl="4" w:tplc="E8164014" w:tentative="1">
      <w:start w:val="1"/>
      <w:numFmt w:val="bullet"/>
      <w:lvlText w:val="o"/>
      <w:lvlJc w:val="left"/>
      <w:pPr>
        <w:ind w:left="3600" w:hanging="360"/>
      </w:pPr>
      <w:rPr>
        <w:rFonts w:ascii="Courier New" w:hAnsi="Courier New" w:cs="Courier New" w:hint="default"/>
      </w:rPr>
    </w:lvl>
    <w:lvl w:ilvl="5" w:tplc="C40EC54A" w:tentative="1">
      <w:start w:val="1"/>
      <w:numFmt w:val="bullet"/>
      <w:lvlText w:val=""/>
      <w:lvlJc w:val="left"/>
      <w:pPr>
        <w:ind w:left="4320" w:hanging="360"/>
      </w:pPr>
      <w:rPr>
        <w:rFonts w:ascii="Wingdings" w:hAnsi="Wingdings" w:hint="default"/>
      </w:rPr>
    </w:lvl>
    <w:lvl w:ilvl="6" w:tplc="49769DA6" w:tentative="1">
      <w:start w:val="1"/>
      <w:numFmt w:val="bullet"/>
      <w:lvlText w:val=""/>
      <w:lvlJc w:val="left"/>
      <w:pPr>
        <w:ind w:left="5040" w:hanging="360"/>
      </w:pPr>
      <w:rPr>
        <w:rFonts w:ascii="Symbol" w:hAnsi="Symbol" w:hint="default"/>
      </w:rPr>
    </w:lvl>
    <w:lvl w:ilvl="7" w:tplc="7A22EC3C" w:tentative="1">
      <w:start w:val="1"/>
      <w:numFmt w:val="bullet"/>
      <w:lvlText w:val="o"/>
      <w:lvlJc w:val="left"/>
      <w:pPr>
        <w:ind w:left="5760" w:hanging="360"/>
      </w:pPr>
      <w:rPr>
        <w:rFonts w:ascii="Courier New" w:hAnsi="Courier New" w:cs="Courier New" w:hint="default"/>
      </w:rPr>
    </w:lvl>
    <w:lvl w:ilvl="8" w:tplc="36D271D0" w:tentative="1">
      <w:start w:val="1"/>
      <w:numFmt w:val="bullet"/>
      <w:lvlText w:val=""/>
      <w:lvlJc w:val="left"/>
      <w:pPr>
        <w:ind w:left="6480" w:hanging="360"/>
      </w:pPr>
      <w:rPr>
        <w:rFonts w:ascii="Wingdings" w:hAnsi="Wingdings" w:hint="default"/>
      </w:rPr>
    </w:lvl>
  </w:abstractNum>
  <w:num w:numId="1" w16cid:durableId="40177899">
    <w:abstractNumId w:val="2"/>
  </w:num>
  <w:num w:numId="2" w16cid:durableId="1734769830">
    <w:abstractNumId w:val="3"/>
  </w:num>
  <w:num w:numId="3" w16cid:durableId="1175610294">
    <w:abstractNumId w:val="1"/>
  </w:num>
  <w:num w:numId="4" w16cid:durableId="760102020">
    <w:abstractNumId w:val="2"/>
  </w:num>
  <w:num w:numId="5" w16cid:durableId="80680762">
    <w:abstractNumId w:val="2"/>
  </w:num>
  <w:num w:numId="6" w16cid:durableId="552431324">
    <w:abstractNumId w:val="2"/>
  </w:num>
  <w:num w:numId="7" w16cid:durableId="1661228759">
    <w:abstractNumId w:val="2"/>
  </w:num>
  <w:num w:numId="8" w16cid:durableId="1320691107">
    <w:abstractNumId w:val="2"/>
  </w:num>
  <w:num w:numId="9" w16cid:durableId="136801398">
    <w:abstractNumId w:val="2"/>
  </w:num>
  <w:num w:numId="10" w16cid:durableId="1032877390">
    <w:abstractNumId w:val="0"/>
  </w:num>
  <w:num w:numId="11" w16cid:durableId="1778285532">
    <w:abstractNumId w:val="0"/>
    <w:lvlOverride w:ilvl="0">
      <w:startOverride w:val="1"/>
    </w:lvlOverride>
  </w:num>
  <w:num w:numId="12" w16cid:durableId="1264189653">
    <w:abstractNumId w:val="0"/>
    <w:lvlOverride w:ilvl="0">
      <w:startOverride w:val="1"/>
    </w:lvlOverride>
  </w:num>
  <w:num w:numId="13" w16cid:durableId="776288994">
    <w:abstractNumId w:val="5"/>
  </w:num>
  <w:num w:numId="14" w16cid:durableId="1833177897">
    <w:abstractNumId w:val="0"/>
    <w:lvlOverride w:ilvl="0">
      <w:startOverride w:val="1"/>
    </w:lvlOverride>
  </w:num>
  <w:num w:numId="15" w16cid:durableId="251160070">
    <w:abstractNumId w:val="0"/>
  </w:num>
  <w:num w:numId="16" w16cid:durableId="1007347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34"/>
  <w:hyphenationZone w:val="425"/>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94"/>
    <w:rsid w:val="00002439"/>
    <w:rsid w:val="00002E77"/>
    <w:rsid w:val="000033DE"/>
    <w:rsid w:val="00011D15"/>
    <w:rsid w:val="00012208"/>
    <w:rsid w:val="0002025C"/>
    <w:rsid w:val="00020536"/>
    <w:rsid w:val="00023EDF"/>
    <w:rsid w:val="00024261"/>
    <w:rsid w:val="00025333"/>
    <w:rsid w:val="00026AD1"/>
    <w:rsid w:val="00027A50"/>
    <w:rsid w:val="00031D48"/>
    <w:rsid w:val="0003299F"/>
    <w:rsid w:val="00032D72"/>
    <w:rsid w:val="0003378A"/>
    <w:rsid w:val="00034834"/>
    <w:rsid w:val="00035F30"/>
    <w:rsid w:val="000362EA"/>
    <w:rsid w:val="00036D75"/>
    <w:rsid w:val="0003737A"/>
    <w:rsid w:val="00037DAE"/>
    <w:rsid w:val="00043370"/>
    <w:rsid w:val="00046107"/>
    <w:rsid w:val="00046678"/>
    <w:rsid w:val="00047FE6"/>
    <w:rsid w:val="0005331C"/>
    <w:rsid w:val="00053581"/>
    <w:rsid w:val="000606D5"/>
    <w:rsid w:val="00061596"/>
    <w:rsid w:val="000665C4"/>
    <w:rsid w:val="00066D5F"/>
    <w:rsid w:val="00067BA7"/>
    <w:rsid w:val="00067F0E"/>
    <w:rsid w:val="00070B26"/>
    <w:rsid w:val="00071683"/>
    <w:rsid w:val="000721BC"/>
    <w:rsid w:val="00075B09"/>
    <w:rsid w:val="000769F7"/>
    <w:rsid w:val="000771E9"/>
    <w:rsid w:val="000804CF"/>
    <w:rsid w:val="0008255D"/>
    <w:rsid w:val="00082D2E"/>
    <w:rsid w:val="00084E6D"/>
    <w:rsid w:val="0008517E"/>
    <w:rsid w:val="000853CE"/>
    <w:rsid w:val="00085704"/>
    <w:rsid w:val="00087AA1"/>
    <w:rsid w:val="000903FE"/>
    <w:rsid w:val="000906BC"/>
    <w:rsid w:val="00090CD5"/>
    <w:rsid w:val="00090E4C"/>
    <w:rsid w:val="00091672"/>
    <w:rsid w:val="0009169D"/>
    <w:rsid w:val="0009180E"/>
    <w:rsid w:val="00091D24"/>
    <w:rsid w:val="00092326"/>
    <w:rsid w:val="00093B23"/>
    <w:rsid w:val="00093C61"/>
    <w:rsid w:val="00094641"/>
    <w:rsid w:val="0009581D"/>
    <w:rsid w:val="000A0074"/>
    <w:rsid w:val="000A170D"/>
    <w:rsid w:val="000A19E5"/>
    <w:rsid w:val="000A2194"/>
    <w:rsid w:val="000A39AE"/>
    <w:rsid w:val="000A527B"/>
    <w:rsid w:val="000A5AD6"/>
    <w:rsid w:val="000A60D8"/>
    <w:rsid w:val="000A6BDA"/>
    <w:rsid w:val="000B198D"/>
    <w:rsid w:val="000B2721"/>
    <w:rsid w:val="000B2F7A"/>
    <w:rsid w:val="000B629A"/>
    <w:rsid w:val="000B6B68"/>
    <w:rsid w:val="000C0519"/>
    <w:rsid w:val="000C0799"/>
    <w:rsid w:val="000C1C7B"/>
    <w:rsid w:val="000C27A7"/>
    <w:rsid w:val="000C2F1F"/>
    <w:rsid w:val="000C4DF1"/>
    <w:rsid w:val="000C64D6"/>
    <w:rsid w:val="000D083F"/>
    <w:rsid w:val="000D3730"/>
    <w:rsid w:val="000D38B4"/>
    <w:rsid w:val="000D3DE8"/>
    <w:rsid w:val="000E07C4"/>
    <w:rsid w:val="000E0D19"/>
    <w:rsid w:val="000E2B9F"/>
    <w:rsid w:val="000E3D82"/>
    <w:rsid w:val="000E6115"/>
    <w:rsid w:val="000E6627"/>
    <w:rsid w:val="000E7EA9"/>
    <w:rsid w:val="000F0DF7"/>
    <w:rsid w:val="000F2171"/>
    <w:rsid w:val="000F5D49"/>
    <w:rsid w:val="000F6327"/>
    <w:rsid w:val="000F6C3A"/>
    <w:rsid w:val="000F78DF"/>
    <w:rsid w:val="0010015B"/>
    <w:rsid w:val="00102308"/>
    <w:rsid w:val="001044BD"/>
    <w:rsid w:val="0010612E"/>
    <w:rsid w:val="001105AE"/>
    <w:rsid w:val="0011206D"/>
    <w:rsid w:val="00112604"/>
    <w:rsid w:val="00112CC0"/>
    <w:rsid w:val="00115C70"/>
    <w:rsid w:val="00117C5F"/>
    <w:rsid w:val="0012104A"/>
    <w:rsid w:val="00123F46"/>
    <w:rsid w:val="00124146"/>
    <w:rsid w:val="001242C4"/>
    <w:rsid w:val="00126A34"/>
    <w:rsid w:val="00127EB2"/>
    <w:rsid w:val="00127F27"/>
    <w:rsid w:val="0013008D"/>
    <w:rsid w:val="001300AB"/>
    <w:rsid w:val="00130AE0"/>
    <w:rsid w:val="0013151C"/>
    <w:rsid w:val="00134039"/>
    <w:rsid w:val="00134439"/>
    <w:rsid w:val="0013481F"/>
    <w:rsid w:val="00135750"/>
    <w:rsid w:val="00136A08"/>
    <w:rsid w:val="00136DF8"/>
    <w:rsid w:val="0014119E"/>
    <w:rsid w:val="001429C5"/>
    <w:rsid w:val="001436D5"/>
    <w:rsid w:val="0014422E"/>
    <w:rsid w:val="00144366"/>
    <w:rsid w:val="001448E5"/>
    <w:rsid w:val="001475B2"/>
    <w:rsid w:val="00152B32"/>
    <w:rsid w:val="0015320B"/>
    <w:rsid w:val="0015357C"/>
    <w:rsid w:val="00153978"/>
    <w:rsid w:val="0015402E"/>
    <w:rsid w:val="00154A6E"/>
    <w:rsid w:val="001556B7"/>
    <w:rsid w:val="0015619E"/>
    <w:rsid w:val="001566C7"/>
    <w:rsid w:val="00156ACD"/>
    <w:rsid w:val="00156BA3"/>
    <w:rsid w:val="00161444"/>
    <w:rsid w:val="00161B13"/>
    <w:rsid w:val="00161E9D"/>
    <w:rsid w:val="0016274A"/>
    <w:rsid w:val="00163E6D"/>
    <w:rsid w:val="00165EF9"/>
    <w:rsid w:val="001705AC"/>
    <w:rsid w:val="00171083"/>
    <w:rsid w:val="00173700"/>
    <w:rsid w:val="00173D97"/>
    <w:rsid w:val="001757B6"/>
    <w:rsid w:val="001759DD"/>
    <w:rsid w:val="00175CE1"/>
    <w:rsid w:val="00175D40"/>
    <w:rsid w:val="00176D2E"/>
    <w:rsid w:val="00177B00"/>
    <w:rsid w:val="0018097D"/>
    <w:rsid w:val="001832DA"/>
    <w:rsid w:val="001838FC"/>
    <w:rsid w:val="001842F9"/>
    <w:rsid w:val="00184C7D"/>
    <w:rsid w:val="001902BB"/>
    <w:rsid w:val="00190BF8"/>
    <w:rsid w:val="00192562"/>
    <w:rsid w:val="001953F4"/>
    <w:rsid w:val="001956E9"/>
    <w:rsid w:val="001958FA"/>
    <w:rsid w:val="001963C9"/>
    <w:rsid w:val="00197837"/>
    <w:rsid w:val="001A039F"/>
    <w:rsid w:val="001A4903"/>
    <w:rsid w:val="001A5015"/>
    <w:rsid w:val="001A5D8E"/>
    <w:rsid w:val="001B0E1D"/>
    <w:rsid w:val="001B0F78"/>
    <w:rsid w:val="001B0FB2"/>
    <w:rsid w:val="001B1F8E"/>
    <w:rsid w:val="001B3470"/>
    <w:rsid w:val="001B427F"/>
    <w:rsid w:val="001B4D38"/>
    <w:rsid w:val="001B4ECA"/>
    <w:rsid w:val="001B512B"/>
    <w:rsid w:val="001B53E4"/>
    <w:rsid w:val="001B6F1B"/>
    <w:rsid w:val="001C16D7"/>
    <w:rsid w:val="001C1E0F"/>
    <w:rsid w:val="001C24FB"/>
    <w:rsid w:val="001C3606"/>
    <w:rsid w:val="001C4C0C"/>
    <w:rsid w:val="001D11C1"/>
    <w:rsid w:val="001D1BCE"/>
    <w:rsid w:val="001D50E2"/>
    <w:rsid w:val="001D5889"/>
    <w:rsid w:val="001E124C"/>
    <w:rsid w:val="001E14A1"/>
    <w:rsid w:val="001E198C"/>
    <w:rsid w:val="001E335E"/>
    <w:rsid w:val="001E3ECC"/>
    <w:rsid w:val="001E44B4"/>
    <w:rsid w:val="001E7863"/>
    <w:rsid w:val="001F1106"/>
    <w:rsid w:val="001F38C4"/>
    <w:rsid w:val="001F45CF"/>
    <w:rsid w:val="001F5241"/>
    <w:rsid w:val="001F6345"/>
    <w:rsid w:val="001F6ED2"/>
    <w:rsid w:val="001F7521"/>
    <w:rsid w:val="002013BD"/>
    <w:rsid w:val="0020183F"/>
    <w:rsid w:val="00202014"/>
    <w:rsid w:val="00204848"/>
    <w:rsid w:val="00206C48"/>
    <w:rsid w:val="0020736C"/>
    <w:rsid w:val="00213BEE"/>
    <w:rsid w:val="00214D68"/>
    <w:rsid w:val="00216533"/>
    <w:rsid w:val="00220FF6"/>
    <w:rsid w:val="0022113D"/>
    <w:rsid w:val="00221182"/>
    <w:rsid w:val="00222895"/>
    <w:rsid w:val="00223A7B"/>
    <w:rsid w:val="00223F3E"/>
    <w:rsid w:val="00223F57"/>
    <w:rsid w:val="002251E6"/>
    <w:rsid w:val="002256A1"/>
    <w:rsid w:val="002259D7"/>
    <w:rsid w:val="00232F1A"/>
    <w:rsid w:val="002339E9"/>
    <w:rsid w:val="00237875"/>
    <w:rsid w:val="00240ACA"/>
    <w:rsid w:val="00241397"/>
    <w:rsid w:val="00243721"/>
    <w:rsid w:val="002515F0"/>
    <w:rsid w:val="00252CD8"/>
    <w:rsid w:val="00253CD3"/>
    <w:rsid w:val="002643A1"/>
    <w:rsid w:val="00265910"/>
    <w:rsid w:val="00267340"/>
    <w:rsid w:val="0026735E"/>
    <w:rsid w:val="00270A99"/>
    <w:rsid w:val="00271675"/>
    <w:rsid w:val="002736A0"/>
    <w:rsid w:val="00275CA8"/>
    <w:rsid w:val="002765ED"/>
    <w:rsid w:val="00280D31"/>
    <w:rsid w:val="00280D96"/>
    <w:rsid w:val="00280F61"/>
    <w:rsid w:val="00282022"/>
    <w:rsid w:val="00284A26"/>
    <w:rsid w:val="0028678F"/>
    <w:rsid w:val="0028775E"/>
    <w:rsid w:val="002907A6"/>
    <w:rsid w:val="00290D64"/>
    <w:rsid w:val="0029234A"/>
    <w:rsid w:val="00294AFB"/>
    <w:rsid w:val="00296A8B"/>
    <w:rsid w:val="00297373"/>
    <w:rsid w:val="002977EE"/>
    <w:rsid w:val="0029790B"/>
    <w:rsid w:val="002A00FA"/>
    <w:rsid w:val="002A03CC"/>
    <w:rsid w:val="002A0AAC"/>
    <w:rsid w:val="002A1BBE"/>
    <w:rsid w:val="002A1C9E"/>
    <w:rsid w:val="002A6C0F"/>
    <w:rsid w:val="002A725C"/>
    <w:rsid w:val="002A7A32"/>
    <w:rsid w:val="002B3447"/>
    <w:rsid w:val="002B403F"/>
    <w:rsid w:val="002B406C"/>
    <w:rsid w:val="002C0EBB"/>
    <w:rsid w:val="002C250B"/>
    <w:rsid w:val="002C27B7"/>
    <w:rsid w:val="002C392C"/>
    <w:rsid w:val="002C3956"/>
    <w:rsid w:val="002C3ADE"/>
    <w:rsid w:val="002C6D0E"/>
    <w:rsid w:val="002C6DA7"/>
    <w:rsid w:val="002D3832"/>
    <w:rsid w:val="002D3C10"/>
    <w:rsid w:val="002D77E6"/>
    <w:rsid w:val="002E10D2"/>
    <w:rsid w:val="002E213D"/>
    <w:rsid w:val="002E27A1"/>
    <w:rsid w:val="002E2CB7"/>
    <w:rsid w:val="002E3C87"/>
    <w:rsid w:val="002E43F0"/>
    <w:rsid w:val="002E6645"/>
    <w:rsid w:val="002E66BB"/>
    <w:rsid w:val="002E6FC1"/>
    <w:rsid w:val="002F09C7"/>
    <w:rsid w:val="002F09F8"/>
    <w:rsid w:val="002F18AF"/>
    <w:rsid w:val="002F3DAD"/>
    <w:rsid w:val="002F43F8"/>
    <w:rsid w:val="002F45DB"/>
    <w:rsid w:val="002F56EF"/>
    <w:rsid w:val="002F5C82"/>
    <w:rsid w:val="002F6A5A"/>
    <w:rsid w:val="003002DA"/>
    <w:rsid w:val="00300C19"/>
    <w:rsid w:val="00300F7E"/>
    <w:rsid w:val="0030339B"/>
    <w:rsid w:val="003039F3"/>
    <w:rsid w:val="00303B82"/>
    <w:rsid w:val="00306A88"/>
    <w:rsid w:val="0031041F"/>
    <w:rsid w:val="00311E48"/>
    <w:rsid w:val="00313657"/>
    <w:rsid w:val="00317DD2"/>
    <w:rsid w:val="0032002A"/>
    <w:rsid w:val="00320932"/>
    <w:rsid w:val="00321C51"/>
    <w:rsid w:val="00322254"/>
    <w:rsid w:val="0032382C"/>
    <w:rsid w:val="0032495D"/>
    <w:rsid w:val="003251C0"/>
    <w:rsid w:val="003251DF"/>
    <w:rsid w:val="00326087"/>
    <w:rsid w:val="003262F7"/>
    <w:rsid w:val="0032768B"/>
    <w:rsid w:val="003336E1"/>
    <w:rsid w:val="00333C45"/>
    <w:rsid w:val="003340D4"/>
    <w:rsid w:val="003340DB"/>
    <w:rsid w:val="00334708"/>
    <w:rsid w:val="00334826"/>
    <w:rsid w:val="003348E1"/>
    <w:rsid w:val="003368D5"/>
    <w:rsid w:val="003376FC"/>
    <w:rsid w:val="003401C0"/>
    <w:rsid w:val="003457B0"/>
    <w:rsid w:val="00345908"/>
    <w:rsid w:val="00346C25"/>
    <w:rsid w:val="003502AD"/>
    <w:rsid w:val="00350EA6"/>
    <w:rsid w:val="003510FD"/>
    <w:rsid w:val="0035310E"/>
    <w:rsid w:val="003534B9"/>
    <w:rsid w:val="00353ECD"/>
    <w:rsid w:val="00353EEF"/>
    <w:rsid w:val="00354CD9"/>
    <w:rsid w:val="00355494"/>
    <w:rsid w:val="00356273"/>
    <w:rsid w:val="00356AF1"/>
    <w:rsid w:val="00360DAB"/>
    <w:rsid w:val="00361D2E"/>
    <w:rsid w:val="00363774"/>
    <w:rsid w:val="003637B7"/>
    <w:rsid w:val="00364BBC"/>
    <w:rsid w:val="00365BC3"/>
    <w:rsid w:val="00365DAB"/>
    <w:rsid w:val="00366B29"/>
    <w:rsid w:val="00367826"/>
    <w:rsid w:val="0037403C"/>
    <w:rsid w:val="00375430"/>
    <w:rsid w:val="00375548"/>
    <w:rsid w:val="00377221"/>
    <w:rsid w:val="0038012C"/>
    <w:rsid w:val="0038131A"/>
    <w:rsid w:val="0038160B"/>
    <w:rsid w:val="00381DE5"/>
    <w:rsid w:val="00382CA3"/>
    <w:rsid w:val="003916D4"/>
    <w:rsid w:val="0039312C"/>
    <w:rsid w:val="0039422E"/>
    <w:rsid w:val="00395CD0"/>
    <w:rsid w:val="0039660E"/>
    <w:rsid w:val="00396D4A"/>
    <w:rsid w:val="00396EA3"/>
    <w:rsid w:val="003A4D64"/>
    <w:rsid w:val="003A74C7"/>
    <w:rsid w:val="003B2D3B"/>
    <w:rsid w:val="003B55DB"/>
    <w:rsid w:val="003B5B1D"/>
    <w:rsid w:val="003B6422"/>
    <w:rsid w:val="003B7EC7"/>
    <w:rsid w:val="003C1606"/>
    <w:rsid w:val="003C2F9E"/>
    <w:rsid w:val="003C3007"/>
    <w:rsid w:val="003C3157"/>
    <w:rsid w:val="003C5599"/>
    <w:rsid w:val="003C55E7"/>
    <w:rsid w:val="003C6D4F"/>
    <w:rsid w:val="003C6F4A"/>
    <w:rsid w:val="003C6FA3"/>
    <w:rsid w:val="003C7059"/>
    <w:rsid w:val="003C74BF"/>
    <w:rsid w:val="003D2339"/>
    <w:rsid w:val="003D317D"/>
    <w:rsid w:val="003D4F93"/>
    <w:rsid w:val="003D5031"/>
    <w:rsid w:val="003D6C4A"/>
    <w:rsid w:val="003D79A0"/>
    <w:rsid w:val="003D7F62"/>
    <w:rsid w:val="003E004B"/>
    <w:rsid w:val="003E30CE"/>
    <w:rsid w:val="003E3D22"/>
    <w:rsid w:val="003F0456"/>
    <w:rsid w:val="003F12A2"/>
    <w:rsid w:val="003F28E5"/>
    <w:rsid w:val="003F3B6A"/>
    <w:rsid w:val="003F44E9"/>
    <w:rsid w:val="003F52A2"/>
    <w:rsid w:val="003F6E25"/>
    <w:rsid w:val="0040010A"/>
    <w:rsid w:val="004009FE"/>
    <w:rsid w:val="00401271"/>
    <w:rsid w:val="004021A5"/>
    <w:rsid w:val="00402985"/>
    <w:rsid w:val="0040299D"/>
    <w:rsid w:val="0040310B"/>
    <w:rsid w:val="00403708"/>
    <w:rsid w:val="004067F6"/>
    <w:rsid w:val="004073CB"/>
    <w:rsid w:val="00407650"/>
    <w:rsid w:val="00410E24"/>
    <w:rsid w:val="004131EF"/>
    <w:rsid w:val="00414039"/>
    <w:rsid w:val="004146D5"/>
    <w:rsid w:val="00414AB9"/>
    <w:rsid w:val="00415B2E"/>
    <w:rsid w:val="004179DC"/>
    <w:rsid w:val="00420674"/>
    <w:rsid w:val="004215DD"/>
    <w:rsid w:val="00424434"/>
    <w:rsid w:val="00424644"/>
    <w:rsid w:val="00424B80"/>
    <w:rsid w:val="0042579F"/>
    <w:rsid w:val="00425CEB"/>
    <w:rsid w:val="00427499"/>
    <w:rsid w:val="00430E19"/>
    <w:rsid w:val="00432E9E"/>
    <w:rsid w:val="00433F69"/>
    <w:rsid w:val="0043721E"/>
    <w:rsid w:val="00441A46"/>
    <w:rsid w:val="004508BD"/>
    <w:rsid w:val="0045430B"/>
    <w:rsid w:val="00455988"/>
    <w:rsid w:val="004559E4"/>
    <w:rsid w:val="00457735"/>
    <w:rsid w:val="00463B21"/>
    <w:rsid w:val="00464083"/>
    <w:rsid w:val="00465222"/>
    <w:rsid w:val="004658CD"/>
    <w:rsid w:val="00465B2F"/>
    <w:rsid w:val="00467CA6"/>
    <w:rsid w:val="00470B5D"/>
    <w:rsid w:val="00473E50"/>
    <w:rsid w:val="00474754"/>
    <w:rsid w:val="004749CC"/>
    <w:rsid w:val="004759AE"/>
    <w:rsid w:val="00475AE8"/>
    <w:rsid w:val="00482648"/>
    <w:rsid w:val="004837DD"/>
    <w:rsid w:val="00484FBB"/>
    <w:rsid w:val="00486FAF"/>
    <w:rsid w:val="00487B22"/>
    <w:rsid w:val="00490740"/>
    <w:rsid w:val="00490E15"/>
    <w:rsid w:val="00491E70"/>
    <w:rsid w:val="00492C83"/>
    <w:rsid w:val="00494208"/>
    <w:rsid w:val="00494C4F"/>
    <w:rsid w:val="00495BD3"/>
    <w:rsid w:val="004965F3"/>
    <w:rsid w:val="00496820"/>
    <w:rsid w:val="00496A2D"/>
    <w:rsid w:val="00496CC4"/>
    <w:rsid w:val="00496DFD"/>
    <w:rsid w:val="00497EF9"/>
    <w:rsid w:val="004A27ED"/>
    <w:rsid w:val="004A2FDD"/>
    <w:rsid w:val="004A56F2"/>
    <w:rsid w:val="004A7E9E"/>
    <w:rsid w:val="004B00A5"/>
    <w:rsid w:val="004B3039"/>
    <w:rsid w:val="004B41A1"/>
    <w:rsid w:val="004B46F3"/>
    <w:rsid w:val="004B743E"/>
    <w:rsid w:val="004C290F"/>
    <w:rsid w:val="004C2DA2"/>
    <w:rsid w:val="004C3AE2"/>
    <w:rsid w:val="004C56AF"/>
    <w:rsid w:val="004C5F23"/>
    <w:rsid w:val="004D55C9"/>
    <w:rsid w:val="004D63EC"/>
    <w:rsid w:val="004E08B6"/>
    <w:rsid w:val="004E2CC9"/>
    <w:rsid w:val="004E4B91"/>
    <w:rsid w:val="004E53A3"/>
    <w:rsid w:val="004E5B25"/>
    <w:rsid w:val="004F000C"/>
    <w:rsid w:val="004F08BB"/>
    <w:rsid w:val="004F1881"/>
    <w:rsid w:val="004F30DE"/>
    <w:rsid w:val="00501038"/>
    <w:rsid w:val="0050181C"/>
    <w:rsid w:val="00502470"/>
    <w:rsid w:val="005036D8"/>
    <w:rsid w:val="00503E78"/>
    <w:rsid w:val="00505095"/>
    <w:rsid w:val="00506EA1"/>
    <w:rsid w:val="0051072A"/>
    <w:rsid w:val="00510AE0"/>
    <w:rsid w:val="00511BCC"/>
    <w:rsid w:val="0051218D"/>
    <w:rsid w:val="00514669"/>
    <w:rsid w:val="005153E8"/>
    <w:rsid w:val="00515647"/>
    <w:rsid w:val="00521781"/>
    <w:rsid w:val="00522818"/>
    <w:rsid w:val="00522942"/>
    <w:rsid w:val="00522C1D"/>
    <w:rsid w:val="005237DC"/>
    <w:rsid w:val="005256E0"/>
    <w:rsid w:val="005276D2"/>
    <w:rsid w:val="00527F3B"/>
    <w:rsid w:val="0053026E"/>
    <w:rsid w:val="00530828"/>
    <w:rsid w:val="00530CAB"/>
    <w:rsid w:val="00532A67"/>
    <w:rsid w:val="005350A0"/>
    <w:rsid w:val="00536BAB"/>
    <w:rsid w:val="005422BC"/>
    <w:rsid w:val="00543E02"/>
    <w:rsid w:val="00545D22"/>
    <w:rsid w:val="005462C0"/>
    <w:rsid w:val="00547CCC"/>
    <w:rsid w:val="00547EE7"/>
    <w:rsid w:val="00550208"/>
    <w:rsid w:val="00554B7B"/>
    <w:rsid w:val="00557119"/>
    <w:rsid w:val="00560276"/>
    <w:rsid w:val="005602F1"/>
    <w:rsid w:val="00562700"/>
    <w:rsid w:val="005629CA"/>
    <w:rsid w:val="0056474D"/>
    <w:rsid w:val="00564E82"/>
    <w:rsid w:val="00565D21"/>
    <w:rsid w:val="00566994"/>
    <w:rsid w:val="005712C0"/>
    <w:rsid w:val="0057174C"/>
    <w:rsid w:val="00572EE8"/>
    <w:rsid w:val="00575D45"/>
    <w:rsid w:val="00580ED6"/>
    <w:rsid w:val="00581F03"/>
    <w:rsid w:val="00582649"/>
    <w:rsid w:val="005833E7"/>
    <w:rsid w:val="005836BF"/>
    <w:rsid w:val="00584C02"/>
    <w:rsid w:val="00585398"/>
    <w:rsid w:val="0058744E"/>
    <w:rsid w:val="0058776C"/>
    <w:rsid w:val="00593E8A"/>
    <w:rsid w:val="00594AA9"/>
    <w:rsid w:val="00597257"/>
    <w:rsid w:val="005974FD"/>
    <w:rsid w:val="005976D9"/>
    <w:rsid w:val="00597FA7"/>
    <w:rsid w:val="005A0E44"/>
    <w:rsid w:val="005A31E6"/>
    <w:rsid w:val="005A45EF"/>
    <w:rsid w:val="005A4709"/>
    <w:rsid w:val="005A47BC"/>
    <w:rsid w:val="005A4B28"/>
    <w:rsid w:val="005A7EB8"/>
    <w:rsid w:val="005B0258"/>
    <w:rsid w:val="005B3A39"/>
    <w:rsid w:val="005B411F"/>
    <w:rsid w:val="005B50F5"/>
    <w:rsid w:val="005B6602"/>
    <w:rsid w:val="005C1B91"/>
    <w:rsid w:val="005C2254"/>
    <w:rsid w:val="005C4D7B"/>
    <w:rsid w:val="005C6427"/>
    <w:rsid w:val="005D25B1"/>
    <w:rsid w:val="005D49E5"/>
    <w:rsid w:val="005D50B2"/>
    <w:rsid w:val="005D55A1"/>
    <w:rsid w:val="005D6115"/>
    <w:rsid w:val="005E03C3"/>
    <w:rsid w:val="005E0D08"/>
    <w:rsid w:val="005E1C4E"/>
    <w:rsid w:val="005F1F5C"/>
    <w:rsid w:val="005F3042"/>
    <w:rsid w:val="005F43AA"/>
    <w:rsid w:val="005F5B05"/>
    <w:rsid w:val="0060099F"/>
    <w:rsid w:val="0060548B"/>
    <w:rsid w:val="00605D6E"/>
    <w:rsid w:val="0061123C"/>
    <w:rsid w:val="00611503"/>
    <w:rsid w:val="00614D6B"/>
    <w:rsid w:val="0061603A"/>
    <w:rsid w:val="0061632D"/>
    <w:rsid w:val="006167E8"/>
    <w:rsid w:val="00620172"/>
    <w:rsid w:val="00620D24"/>
    <w:rsid w:val="00622C8C"/>
    <w:rsid w:val="00623074"/>
    <w:rsid w:val="0062569E"/>
    <w:rsid w:val="00625BCD"/>
    <w:rsid w:val="00625F30"/>
    <w:rsid w:val="00625FFC"/>
    <w:rsid w:val="0062716D"/>
    <w:rsid w:val="00627579"/>
    <w:rsid w:val="00627A45"/>
    <w:rsid w:val="006301E1"/>
    <w:rsid w:val="006305D1"/>
    <w:rsid w:val="00631472"/>
    <w:rsid w:val="006322BE"/>
    <w:rsid w:val="00632EF7"/>
    <w:rsid w:val="00633725"/>
    <w:rsid w:val="00636DB6"/>
    <w:rsid w:val="00637B37"/>
    <w:rsid w:val="00637F88"/>
    <w:rsid w:val="0064056D"/>
    <w:rsid w:val="00641302"/>
    <w:rsid w:val="0064130F"/>
    <w:rsid w:val="00642040"/>
    <w:rsid w:val="006438AB"/>
    <w:rsid w:val="00644187"/>
    <w:rsid w:val="006504D8"/>
    <w:rsid w:val="0065419E"/>
    <w:rsid w:val="006552E1"/>
    <w:rsid w:val="00660B33"/>
    <w:rsid w:val="00660B6B"/>
    <w:rsid w:val="00661BC8"/>
    <w:rsid w:val="006621AC"/>
    <w:rsid w:val="006624DF"/>
    <w:rsid w:val="00664296"/>
    <w:rsid w:val="00664E4A"/>
    <w:rsid w:val="00665053"/>
    <w:rsid w:val="0066783D"/>
    <w:rsid w:val="00667C93"/>
    <w:rsid w:val="00670613"/>
    <w:rsid w:val="00671244"/>
    <w:rsid w:val="00672873"/>
    <w:rsid w:val="00677236"/>
    <w:rsid w:val="00677C27"/>
    <w:rsid w:val="00680DF1"/>
    <w:rsid w:val="00680FC2"/>
    <w:rsid w:val="0068476C"/>
    <w:rsid w:val="00685133"/>
    <w:rsid w:val="00687E0B"/>
    <w:rsid w:val="0069057B"/>
    <w:rsid w:val="00691293"/>
    <w:rsid w:val="006928B8"/>
    <w:rsid w:val="006955FC"/>
    <w:rsid w:val="00696058"/>
    <w:rsid w:val="006977BA"/>
    <w:rsid w:val="00697AEA"/>
    <w:rsid w:val="006A0E35"/>
    <w:rsid w:val="006A1381"/>
    <w:rsid w:val="006A225F"/>
    <w:rsid w:val="006A2C92"/>
    <w:rsid w:val="006A7635"/>
    <w:rsid w:val="006B0169"/>
    <w:rsid w:val="006B1BD5"/>
    <w:rsid w:val="006B2BA5"/>
    <w:rsid w:val="006B388A"/>
    <w:rsid w:val="006B77C7"/>
    <w:rsid w:val="006B7B96"/>
    <w:rsid w:val="006B7F10"/>
    <w:rsid w:val="006C188C"/>
    <w:rsid w:val="006C198A"/>
    <w:rsid w:val="006C266A"/>
    <w:rsid w:val="006C36E6"/>
    <w:rsid w:val="006C4712"/>
    <w:rsid w:val="006C6A2D"/>
    <w:rsid w:val="006C7DE1"/>
    <w:rsid w:val="006D2145"/>
    <w:rsid w:val="006D351F"/>
    <w:rsid w:val="006D398A"/>
    <w:rsid w:val="006E0B31"/>
    <w:rsid w:val="006E32FF"/>
    <w:rsid w:val="006E6E61"/>
    <w:rsid w:val="006F351A"/>
    <w:rsid w:val="006F39B5"/>
    <w:rsid w:val="006F46DE"/>
    <w:rsid w:val="006F5BDF"/>
    <w:rsid w:val="006F5EAC"/>
    <w:rsid w:val="0070115C"/>
    <w:rsid w:val="00701717"/>
    <w:rsid w:val="00702360"/>
    <w:rsid w:val="007028DF"/>
    <w:rsid w:val="00704EE0"/>
    <w:rsid w:val="0070707B"/>
    <w:rsid w:val="0070790D"/>
    <w:rsid w:val="00707FED"/>
    <w:rsid w:val="0071004F"/>
    <w:rsid w:val="00711D1A"/>
    <w:rsid w:val="00712BE9"/>
    <w:rsid w:val="00717880"/>
    <w:rsid w:val="007214D3"/>
    <w:rsid w:val="00723473"/>
    <w:rsid w:val="00723BF9"/>
    <w:rsid w:val="00724A75"/>
    <w:rsid w:val="0072643F"/>
    <w:rsid w:val="00730896"/>
    <w:rsid w:val="00731F40"/>
    <w:rsid w:val="007338D1"/>
    <w:rsid w:val="0073422C"/>
    <w:rsid w:val="00735623"/>
    <w:rsid w:val="0073706E"/>
    <w:rsid w:val="00737112"/>
    <w:rsid w:val="007405AA"/>
    <w:rsid w:val="00741A82"/>
    <w:rsid w:val="00741B15"/>
    <w:rsid w:val="00741B59"/>
    <w:rsid w:val="00742B1E"/>
    <w:rsid w:val="00742C1E"/>
    <w:rsid w:val="0074477C"/>
    <w:rsid w:val="00744B62"/>
    <w:rsid w:val="007470E6"/>
    <w:rsid w:val="007474FF"/>
    <w:rsid w:val="00747995"/>
    <w:rsid w:val="0075226B"/>
    <w:rsid w:val="00753A6D"/>
    <w:rsid w:val="00754D32"/>
    <w:rsid w:val="007550E7"/>
    <w:rsid w:val="007554B8"/>
    <w:rsid w:val="00756C22"/>
    <w:rsid w:val="00757907"/>
    <w:rsid w:val="00760056"/>
    <w:rsid w:val="00760EE9"/>
    <w:rsid w:val="00760F5C"/>
    <w:rsid w:val="0076166B"/>
    <w:rsid w:val="00762797"/>
    <w:rsid w:val="0076281C"/>
    <w:rsid w:val="00762CD6"/>
    <w:rsid w:val="007632D6"/>
    <w:rsid w:val="00765A8F"/>
    <w:rsid w:val="00765CF4"/>
    <w:rsid w:val="0076732A"/>
    <w:rsid w:val="00767ACA"/>
    <w:rsid w:val="00767DDC"/>
    <w:rsid w:val="0077129C"/>
    <w:rsid w:val="007725A1"/>
    <w:rsid w:val="00774ABE"/>
    <w:rsid w:val="00775907"/>
    <w:rsid w:val="00776BCC"/>
    <w:rsid w:val="00776DC5"/>
    <w:rsid w:val="00777B29"/>
    <w:rsid w:val="00781968"/>
    <w:rsid w:val="00782996"/>
    <w:rsid w:val="00782A24"/>
    <w:rsid w:val="00782FAC"/>
    <w:rsid w:val="0078731C"/>
    <w:rsid w:val="00787A01"/>
    <w:rsid w:val="00791CC0"/>
    <w:rsid w:val="00793E83"/>
    <w:rsid w:val="00795A7D"/>
    <w:rsid w:val="007964F0"/>
    <w:rsid w:val="0079727A"/>
    <w:rsid w:val="007A25A5"/>
    <w:rsid w:val="007A25EB"/>
    <w:rsid w:val="007A5ABE"/>
    <w:rsid w:val="007B019A"/>
    <w:rsid w:val="007B05EA"/>
    <w:rsid w:val="007B1838"/>
    <w:rsid w:val="007B3A53"/>
    <w:rsid w:val="007B589B"/>
    <w:rsid w:val="007B5B7D"/>
    <w:rsid w:val="007B5C04"/>
    <w:rsid w:val="007B7DA3"/>
    <w:rsid w:val="007C1DD0"/>
    <w:rsid w:val="007C4EC1"/>
    <w:rsid w:val="007C5593"/>
    <w:rsid w:val="007C58EF"/>
    <w:rsid w:val="007C66F9"/>
    <w:rsid w:val="007D0585"/>
    <w:rsid w:val="007D0937"/>
    <w:rsid w:val="007D1BD7"/>
    <w:rsid w:val="007D2324"/>
    <w:rsid w:val="007D3D60"/>
    <w:rsid w:val="007D41D2"/>
    <w:rsid w:val="007D4993"/>
    <w:rsid w:val="007D637A"/>
    <w:rsid w:val="007D6946"/>
    <w:rsid w:val="007D79D0"/>
    <w:rsid w:val="007E0D47"/>
    <w:rsid w:val="007E2358"/>
    <w:rsid w:val="007E3B20"/>
    <w:rsid w:val="007E4281"/>
    <w:rsid w:val="007F2B79"/>
    <w:rsid w:val="007F2FFD"/>
    <w:rsid w:val="007F36F4"/>
    <w:rsid w:val="007F544F"/>
    <w:rsid w:val="007F7439"/>
    <w:rsid w:val="00800ADD"/>
    <w:rsid w:val="00801E9D"/>
    <w:rsid w:val="00802189"/>
    <w:rsid w:val="00802823"/>
    <w:rsid w:val="00806865"/>
    <w:rsid w:val="00810E82"/>
    <w:rsid w:val="008117CC"/>
    <w:rsid w:val="0081286E"/>
    <w:rsid w:val="00813B66"/>
    <w:rsid w:val="00813F53"/>
    <w:rsid w:val="008144FB"/>
    <w:rsid w:val="00814FFA"/>
    <w:rsid w:val="008166D9"/>
    <w:rsid w:val="00822A43"/>
    <w:rsid w:val="008236E3"/>
    <w:rsid w:val="00823941"/>
    <w:rsid w:val="00825237"/>
    <w:rsid w:val="00825433"/>
    <w:rsid w:val="00825E31"/>
    <w:rsid w:val="008302FE"/>
    <w:rsid w:val="008304CF"/>
    <w:rsid w:val="008310B8"/>
    <w:rsid w:val="0083166C"/>
    <w:rsid w:val="008328B0"/>
    <w:rsid w:val="00832C5E"/>
    <w:rsid w:val="00832DE5"/>
    <w:rsid w:val="00833017"/>
    <w:rsid w:val="008331A8"/>
    <w:rsid w:val="00833FDE"/>
    <w:rsid w:val="00834C3D"/>
    <w:rsid w:val="00834D06"/>
    <w:rsid w:val="00835223"/>
    <w:rsid w:val="00837639"/>
    <w:rsid w:val="00837833"/>
    <w:rsid w:val="00837857"/>
    <w:rsid w:val="008403B6"/>
    <w:rsid w:val="00840B6F"/>
    <w:rsid w:val="00842408"/>
    <w:rsid w:val="00843855"/>
    <w:rsid w:val="00844E86"/>
    <w:rsid w:val="008500D1"/>
    <w:rsid w:val="008520D6"/>
    <w:rsid w:val="00854FB3"/>
    <w:rsid w:val="00855107"/>
    <w:rsid w:val="0085674A"/>
    <w:rsid w:val="008569F6"/>
    <w:rsid w:val="00857ADB"/>
    <w:rsid w:val="00860689"/>
    <w:rsid w:val="008608BF"/>
    <w:rsid w:val="00861E79"/>
    <w:rsid w:val="0086247C"/>
    <w:rsid w:val="00862E96"/>
    <w:rsid w:val="008641E7"/>
    <w:rsid w:val="0086669B"/>
    <w:rsid w:val="00866D89"/>
    <w:rsid w:val="00867D68"/>
    <w:rsid w:val="00870EFD"/>
    <w:rsid w:val="008721E4"/>
    <w:rsid w:val="008740F9"/>
    <w:rsid w:val="00877082"/>
    <w:rsid w:val="0087745B"/>
    <w:rsid w:val="00882DDB"/>
    <w:rsid w:val="008837EE"/>
    <w:rsid w:val="00886CB4"/>
    <w:rsid w:val="0088730B"/>
    <w:rsid w:val="0088740F"/>
    <w:rsid w:val="00887AB6"/>
    <w:rsid w:val="00887BA1"/>
    <w:rsid w:val="00887E9B"/>
    <w:rsid w:val="008921DC"/>
    <w:rsid w:val="0089342F"/>
    <w:rsid w:val="00893D97"/>
    <w:rsid w:val="008960AA"/>
    <w:rsid w:val="008977AC"/>
    <w:rsid w:val="008A11DA"/>
    <w:rsid w:val="008A1728"/>
    <w:rsid w:val="008A2816"/>
    <w:rsid w:val="008A3A77"/>
    <w:rsid w:val="008A452D"/>
    <w:rsid w:val="008A4E16"/>
    <w:rsid w:val="008A5EAB"/>
    <w:rsid w:val="008A6704"/>
    <w:rsid w:val="008B0E37"/>
    <w:rsid w:val="008B0F3D"/>
    <w:rsid w:val="008B14A0"/>
    <w:rsid w:val="008B1EA0"/>
    <w:rsid w:val="008B2D53"/>
    <w:rsid w:val="008B457D"/>
    <w:rsid w:val="008B7D3F"/>
    <w:rsid w:val="008C32F1"/>
    <w:rsid w:val="008C355F"/>
    <w:rsid w:val="008C3B80"/>
    <w:rsid w:val="008C7530"/>
    <w:rsid w:val="008C795D"/>
    <w:rsid w:val="008C7C71"/>
    <w:rsid w:val="008D07CE"/>
    <w:rsid w:val="008D2A58"/>
    <w:rsid w:val="008D3BDC"/>
    <w:rsid w:val="008D3FC9"/>
    <w:rsid w:val="008D5947"/>
    <w:rsid w:val="008D6282"/>
    <w:rsid w:val="008D7FD4"/>
    <w:rsid w:val="008E08C3"/>
    <w:rsid w:val="008E1472"/>
    <w:rsid w:val="008E247D"/>
    <w:rsid w:val="008E432F"/>
    <w:rsid w:val="008E4906"/>
    <w:rsid w:val="008E5845"/>
    <w:rsid w:val="008E7B14"/>
    <w:rsid w:val="008E7CD8"/>
    <w:rsid w:val="008F04CA"/>
    <w:rsid w:val="008F1E38"/>
    <w:rsid w:val="008F3C1F"/>
    <w:rsid w:val="008F48F9"/>
    <w:rsid w:val="008F51AF"/>
    <w:rsid w:val="008F5273"/>
    <w:rsid w:val="008F5DFB"/>
    <w:rsid w:val="008F7688"/>
    <w:rsid w:val="0090525C"/>
    <w:rsid w:val="0090530B"/>
    <w:rsid w:val="009058D3"/>
    <w:rsid w:val="00905EAE"/>
    <w:rsid w:val="009065FB"/>
    <w:rsid w:val="00910AC5"/>
    <w:rsid w:val="00911B55"/>
    <w:rsid w:val="00912ED9"/>
    <w:rsid w:val="00913616"/>
    <w:rsid w:val="00917775"/>
    <w:rsid w:val="00921E23"/>
    <w:rsid w:val="00924154"/>
    <w:rsid w:val="00924681"/>
    <w:rsid w:val="00932C6D"/>
    <w:rsid w:val="00932F22"/>
    <w:rsid w:val="00933D96"/>
    <w:rsid w:val="00936811"/>
    <w:rsid w:val="00937BC1"/>
    <w:rsid w:val="009406FB"/>
    <w:rsid w:val="00941B3C"/>
    <w:rsid w:val="00941DF9"/>
    <w:rsid w:val="0094214B"/>
    <w:rsid w:val="00942589"/>
    <w:rsid w:val="009425E0"/>
    <w:rsid w:val="00942D92"/>
    <w:rsid w:val="00943321"/>
    <w:rsid w:val="00944D71"/>
    <w:rsid w:val="00944DE1"/>
    <w:rsid w:val="00945737"/>
    <w:rsid w:val="00945FC7"/>
    <w:rsid w:val="00946FDC"/>
    <w:rsid w:val="0094729C"/>
    <w:rsid w:val="00951369"/>
    <w:rsid w:val="009515AD"/>
    <w:rsid w:val="00951F29"/>
    <w:rsid w:val="00952CAA"/>
    <w:rsid w:val="00954FB3"/>
    <w:rsid w:val="009556CE"/>
    <w:rsid w:val="00955764"/>
    <w:rsid w:val="00955B50"/>
    <w:rsid w:val="0095681C"/>
    <w:rsid w:val="0095741A"/>
    <w:rsid w:val="00957B09"/>
    <w:rsid w:val="00957FED"/>
    <w:rsid w:val="00960172"/>
    <w:rsid w:val="0096080D"/>
    <w:rsid w:val="00960AD3"/>
    <w:rsid w:val="00962C42"/>
    <w:rsid w:val="00964577"/>
    <w:rsid w:val="00964898"/>
    <w:rsid w:val="00965843"/>
    <w:rsid w:val="00966B2B"/>
    <w:rsid w:val="00966E1C"/>
    <w:rsid w:val="009708A6"/>
    <w:rsid w:val="00970AD2"/>
    <w:rsid w:val="00971EC5"/>
    <w:rsid w:val="00972A6E"/>
    <w:rsid w:val="00972E6B"/>
    <w:rsid w:val="00973605"/>
    <w:rsid w:val="0097513C"/>
    <w:rsid w:val="0097628D"/>
    <w:rsid w:val="00976446"/>
    <w:rsid w:val="0097737E"/>
    <w:rsid w:val="00982399"/>
    <w:rsid w:val="009826B9"/>
    <w:rsid w:val="00984205"/>
    <w:rsid w:val="0098460A"/>
    <w:rsid w:val="00984923"/>
    <w:rsid w:val="009870D7"/>
    <w:rsid w:val="00993CC8"/>
    <w:rsid w:val="00994332"/>
    <w:rsid w:val="0099449F"/>
    <w:rsid w:val="009969E1"/>
    <w:rsid w:val="009974F1"/>
    <w:rsid w:val="009A1898"/>
    <w:rsid w:val="009A240A"/>
    <w:rsid w:val="009A339C"/>
    <w:rsid w:val="009A3435"/>
    <w:rsid w:val="009A659F"/>
    <w:rsid w:val="009B1044"/>
    <w:rsid w:val="009B2E95"/>
    <w:rsid w:val="009B61EB"/>
    <w:rsid w:val="009C1845"/>
    <w:rsid w:val="009C4329"/>
    <w:rsid w:val="009C6D36"/>
    <w:rsid w:val="009D0C6A"/>
    <w:rsid w:val="009D3C43"/>
    <w:rsid w:val="009D4943"/>
    <w:rsid w:val="009D6063"/>
    <w:rsid w:val="009D75AE"/>
    <w:rsid w:val="009D77B5"/>
    <w:rsid w:val="009E021F"/>
    <w:rsid w:val="009E0AEE"/>
    <w:rsid w:val="009E0CC5"/>
    <w:rsid w:val="009E1084"/>
    <w:rsid w:val="009E157F"/>
    <w:rsid w:val="009E2A5B"/>
    <w:rsid w:val="009E4628"/>
    <w:rsid w:val="009E70D8"/>
    <w:rsid w:val="009E7826"/>
    <w:rsid w:val="009F562F"/>
    <w:rsid w:val="009F6691"/>
    <w:rsid w:val="009F6973"/>
    <w:rsid w:val="00A0004C"/>
    <w:rsid w:val="00A00159"/>
    <w:rsid w:val="00A018C4"/>
    <w:rsid w:val="00A02823"/>
    <w:rsid w:val="00A03BD9"/>
    <w:rsid w:val="00A03F64"/>
    <w:rsid w:val="00A113F7"/>
    <w:rsid w:val="00A1160A"/>
    <w:rsid w:val="00A118A2"/>
    <w:rsid w:val="00A1313B"/>
    <w:rsid w:val="00A14EA9"/>
    <w:rsid w:val="00A16299"/>
    <w:rsid w:val="00A16C74"/>
    <w:rsid w:val="00A17387"/>
    <w:rsid w:val="00A2052B"/>
    <w:rsid w:val="00A2074D"/>
    <w:rsid w:val="00A22B6C"/>
    <w:rsid w:val="00A276B5"/>
    <w:rsid w:val="00A30261"/>
    <w:rsid w:val="00A31138"/>
    <w:rsid w:val="00A322AC"/>
    <w:rsid w:val="00A3302E"/>
    <w:rsid w:val="00A3374F"/>
    <w:rsid w:val="00A3493D"/>
    <w:rsid w:val="00A35097"/>
    <w:rsid w:val="00A37C4C"/>
    <w:rsid w:val="00A44112"/>
    <w:rsid w:val="00A51FE5"/>
    <w:rsid w:val="00A52EFE"/>
    <w:rsid w:val="00A53C36"/>
    <w:rsid w:val="00A612C5"/>
    <w:rsid w:val="00A6198E"/>
    <w:rsid w:val="00A630B0"/>
    <w:rsid w:val="00A632EF"/>
    <w:rsid w:val="00A64101"/>
    <w:rsid w:val="00A673AE"/>
    <w:rsid w:val="00A7142A"/>
    <w:rsid w:val="00A734C9"/>
    <w:rsid w:val="00A73680"/>
    <w:rsid w:val="00A75CB3"/>
    <w:rsid w:val="00A76BDB"/>
    <w:rsid w:val="00A80315"/>
    <w:rsid w:val="00A84C4A"/>
    <w:rsid w:val="00A9125E"/>
    <w:rsid w:val="00A93138"/>
    <w:rsid w:val="00A93F6A"/>
    <w:rsid w:val="00A94380"/>
    <w:rsid w:val="00A94F8A"/>
    <w:rsid w:val="00A96D0E"/>
    <w:rsid w:val="00A97142"/>
    <w:rsid w:val="00A97401"/>
    <w:rsid w:val="00A9793A"/>
    <w:rsid w:val="00AA1E7A"/>
    <w:rsid w:val="00AA2A56"/>
    <w:rsid w:val="00AA3238"/>
    <w:rsid w:val="00AA325C"/>
    <w:rsid w:val="00AA6126"/>
    <w:rsid w:val="00AA6A83"/>
    <w:rsid w:val="00AA6BD6"/>
    <w:rsid w:val="00AB498F"/>
    <w:rsid w:val="00AB511F"/>
    <w:rsid w:val="00AB6E5F"/>
    <w:rsid w:val="00AB7889"/>
    <w:rsid w:val="00AC15D6"/>
    <w:rsid w:val="00AC1E41"/>
    <w:rsid w:val="00AC1F37"/>
    <w:rsid w:val="00AC3B5E"/>
    <w:rsid w:val="00AC4C2C"/>
    <w:rsid w:val="00AD1016"/>
    <w:rsid w:val="00AD1E8D"/>
    <w:rsid w:val="00AD4DD5"/>
    <w:rsid w:val="00AD7BCC"/>
    <w:rsid w:val="00AE0275"/>
    <w:rsid w:val="00AE0CD6"/>
    <w:rsid w:val="00AE16F2"/>
    <w:rsid w:val="00AE29D3"/>
    <w:rsid w:val="00AE5A1E"/>
    <w:rsid w:val="00AE5F7B"/>
    <w:rsid w:val="00AE6C2F"/>
    <w:rsid w:val="00AE7843"/>
    <w:rsid w:val="00AF006A"/>
    <w:rsid w:val="00AF09D4"/>
    <w:rsid w:val="00AF0AE7"/>
    <w:rsid w:val="00AF29FC"/>
    <w:rsid w:val="00AF2CC4"/>
    <w:rsid w:val="00AF409B"/>
    <w:rsid w:val="00AF4212"/>
    <w:rsid w:val="00AF516E"/>
    <w:rsid w:val="00AF7F27"/>
    <w:rsid w:val="00B0049E"/>
    <w:rsid w:val="00B038FE"/>
    <w:rsid w:val="00B064AB"/>
    <w:rsid w:val="00B124B5"/>
    <w:rsid w:val="00B127C8"/>
    <w:rsid w:val="00B12F23"/>
    <w:rsid w:val="00B14293"/>
    <w:rsid w:val="00B16752"/>
    <w:rsid w:val="00B16CE7"/>
    <w:rsid w:val="00B16DF5"/>
    <w:rsid w:val="00B21E33"/>
    <w:rsid w:val="00B22285"/>
    <w:rsid w:val="00B24254"/>
    <w:rsid w:val="00B32788"/>
    <w:rsid w:val="00B32967"/>
    <w:rsid w:val="00B32C99"/>
    <w:rsid w:val="00B35CF2"/>
    <w:rsid w:val="00B35DA3"/>
    <w:rsid w:val="00B37E8C"/>
    <w:rsid w:val="00B42C10"/>
    <w:rsid w:val="00B42FA7"/>
    <w:rsid w:val="00B43752"/>
    <w:rsid w:val="00B441B5"/>
    <w:rsid w:val="00B44654"/>
    <w:rsid w:val="00B45FAC"/>
    <w:rsid w:val="00B46C9B"/>
    <w:rsid w:val="00B519F1"/>
    <w:rsid w:val="00B5350F"/>
    <w:rsid w:val="00B53EC4"/>
    <w:rsid w:val="00B53F27"/>
    <w:rsid w:val="00B56B0D"/>
    <w:rsid w:val="00B57CBA"/>
    <w:rsid w:val="00B640F0"/>
    <w:rsid w:val="00B642E0"/>
    <w:rsid w:val="00B64CF9"/>
    <w:rsid w:val="00B64D37"/>
    <w:rsid w:val="00B65962"/>
    <w:rsid w:val="00B660FC"/>
    <w:rsid w:val="00B66497"/>
    <w:rsid w:val="00B717C8"/>
    <w:rsid w:val="00B74F88"/>
    <w:rsid w:val="00B750B6"/>
    <w:rsid w:val="00B75E49"/>
    <w:rsid w:val="00B76A19"/>
    <w:rsid w:val="00B77566"/>
    <w:rsid w:val="00B81825"/>
    <w:rsid w:val="00B8322B"/>
    <w:rsid w:val="00B8433C"/>
    <w:rsid w:val="00B855AD"/>
    <w:rsid w:val="00B913BC"/>
    <w:rsid w:val="00B918CF"/>
    <w:rsid w:val="00B9197A"/>
    <w:rsid w:val="00B92B63"/>
    <w:rsid w:val="00B932A2"/>
    <w:rsid w:val="00B973BC"/>
    <w:rsid w:val="00BA0A7F"/>
    <w:rsid w:val="00BA186E"/>
    <w:rsid w:val="00BA3539"/>
    <w:rsid w:val="00BA3595"/>
    <w:rsid w:val="00BA62A5"/>
    <w:rsid w:val="00BB03A3"/>
    <w:rsid w:val="00BB180A"/>
    <w:rsid w:val="00BB1EB0"/>
    <w:rsid w:val="00BB34D2"/>
    <w:rsid w:val="00BB390D"/>
    <w:rsid w:val="00BB397D"/>
    <w:rsid w:val="00BB7004"/>
    <w:rsid w:val="00BB7F96"/>
    <w:rsid w:val="00BC294A"/>
    <w:rsid w:val="00BC2979"/>
    <w:rsid w:val="00BC29F7"/>
    <w:rsid w:val="00BC4479"/>
    <w:rsid w:val="00BC4B2A"/>
    <w:rsid w:val="00BD009C"/>
    <w:rsid w:val="00BD1937"/>
    <w:rsid w:val="00BD1E4E"/>
    <w:rsid w:val="00BD242F"/>
    <w:rsid w:val="00BD2DEC"/>
    <w:rsid w:val="00BD34F4"/>
    <w:rsid w:val="00BD3829"/>
    <w:rsid w:val="00BD532E"/>
    <w:rsid w:val="00BD5557"/>
    <w:rsid w:val="00BD637C"/>
    <w:rsid w:val="00BE0D52"/>
    <w:rsid w:val="00BE3ED6"/>
    <w:rsid w:val="00BE6F9D"/>
    <w:rsid w:val="00BF68CF"/>
    <w:rsid w:val="00C05166"/>
    <w:rsid w:val="00C06656"/>
    <w:rsid w:val="00C06D83"/>
    <w:rsid w:val="00C06D94"/>
    <w:rsid w:val="00C10247"/>
    <w:rsid w:val="00C11309"/>
    <w:rsid w:val="00C13C15"/>
    <w:rsid w:val="00C13E8E"/>
    <w:rsid w:val="00C16192"/>
    <w:rsid w:val="00C20684"/>
    <w:rsid w:val="00C207FD"/>
    <w:rsid w:val="00C20C66"/>
    <w:rsid w:val="00C217A2"/>
    <w:rsid w:val="00C224B1"/>
    <w:rsid w:val="00C224BC"/>
    <w:rsid w:val="00C23A52"/>
    <w:rsid w:val="00C2510A"/>
    <w:rsid w:val="00C26B0A"/>
    <w:rsid w:val="00C27BEB"/>
    <w:rsid w:val="00C3317E"/>
    <w:rsid w:val="00C33925"/>
    <w:rsid w:val="00C34857"/>
    <w:rsid w:val="00C35978"/>
    <w:rsid w:val="00C36AC0"/>
    <w:rsid w:val="00C37659"/>
    <w:rsid w:val="00C37ED1"/>
    <w:rsid w:val="00C41EFC"/>
    <w:rsid w:val="00C42B54"/>
    <w:rsid w:val="00C431DA"/>
    <w:rsid w:val="00C435C4"/>
    <w:rsid w:val="00C4600B"/>
    <w:rsid w:val="00C46545"/>
    <w:rsid w:val="00C46971"/>
    <w:rsid w:val="00C47B6A"/>
    <w:rsid w:val="00C5168E"/>
    <w:rsid w:val="00C55725"/>
    <w:rsid w:val="00C61214"/>
    <w:rsid w:val="00C623B3"/>
    <w:rsid w:val="00C626CE"/>
    <w:rsid w:val="00C63B2D"/>
    <w:rsid w:val="00C6542A"/>
    <w:rsid w:val="00C70BF4"/>
    <w:rsid w:val="00C74EF8"/>
    <w:rsid w:val="00C75CAA"/>
    <w:rsid w:val="00C75FAE"/>
    <w:rsid w:val="00C768C7"/>
    <w:rsid w:val="00C768EB"/>
    <w:rsid w:val="00C76F9D"/>
    <w:rsid w:val="00C84149"/>
    <w:rsid w:val="00C8661E"/>
    <w:rsid w:val="00C86C72"/>
    <w:rsid w:val="00C870A2"/>
    <w:rsid w:val="00C870AE"/>
    <w:rsid w:val="00C87B6A"/>
    <w:rsid w:val="00C87E0E"/>
    <w:rsid w:val="00C918C7"/>
    <w:rsid w:val="00C91CC4"/>
    <w:rsid w:val="00C9243E"/>
    <w:rsid w:val="00C92C59"/>
    <w:rsid w:val="00C93A88"/>
    <w:rsid w:val="00C94A74"/>
    <w:rsid w:val="00C96425"/>
    <w:rsid w:val="00CA0D7E"/>
    <w:rsid w:val="00CA1633"/>
    <w:rsid w:val="00CA18A6"/>
    <w:rsid w:val="00CA3AE6"/>
    <w:rsid w:val="00CA643A"/>
    <w:rsid w:val="00CA7159"/>
    <w:rsid w:val="00CA7F64"/>
    <w:rsid w:val="00CB02E9"/>
    <w:rsid w:val="00CB0889"/>
    <w:rsid w:val="00CB09EB"/>
    <w:rsid w:val="00CB24F4"/>
    <w:rsid w:val="00CB2E09"/>
    <w:rsid w:val="00CB3407"/>
    <w:rsid w:val="00CB3B17"/>
    <w:rsid w:val="00CB447D"/>
    <w:rsid w:val="00CB70E2"/>
    <w:rsid w:val="00CB7947"/>
    <w:rsid w:val="00CB7CAC"/>
    <w:rsid w:val="00CC1A71"/>
    <w:rsid w:val="00CC22D9"/>
    <w:rsid w:val="00CC4AB9"/>
    <w:rsid w:val="00CC641F"/>
    <w:rsid w:val="00CC6439"/>
    <w:rsid w:val="00CC6AB6"/>
    <w:rsid w:val="00CC6B90"/>
    <w:rsid w:val="00CD272E"/>
    <w:rsid w:val="00CD4F93"/>
    <w:rsid w:val="00CD5671"/>
    <w:rsid w:val="00CD56D0"/>
    <w:rsid w:val="00CD59CE"/>
    <w:rsid w:val="00CD5F15"/>
    <w:rsid w:val="00CD6E5B"/>
    <w:rsid w:val="00CE0CA7"/>
    <w:rsid w:val="00CE1154"/>
    <w:rsid w:val="00CE28B1"/>
    <w:rsid w:val="00CE2CE6"/>
    <w:rsid w:val="00CE2EF6"/>
    <w:rsid w:val="00CE313A"/>
    <w:rsid w:val="00CE3A5E"/>
    <w:rsid w:val="00CE3CA7"/>
    <w:rsid w:val="00CE41D3"/>
    <w:rsid w:val="00CE44CB"/>
    <w:rsid w:val="00CE4749"/>
    <w:rsid w:val="00CE4F6C"/>
    <w:rsid w:val="00CE4F9C"/>
    <w:rsid w:val="00CE7DD8"/>
    <w:rsid w:val="00CF0D9F"/>
    <w:rsid w:val="00CF1ABA"/>
    <w:rsid w:val="00CF1FC4"/>
    <w:rsid w:val="00CF3120"/>
    <w:rsid w:val="00CF3426"/>
    <w:rsid w:val="00CF39DF"/>
    <w:rsid w:val="00CF3D68"/>
    <w:rsid w:val="00CF547C"/>
    <w:rsid w:val="00CF56C9"/>
    <w:rsid w:val="00CF5FFA"/>
    <w:rsid w:val="00D000F6"/>
    <w:rsid w:val="00D011AF"/>
    <w:rsid w:val="00D0576C"/>
    <w:rsid w:val="00D06001"/>
    <w:rsid w:val="00D06808"/>
    <w:rsid w:val="00D0721D"/>
    <w:rsid w:val="00D072B9"/>
    <w:rsid w:val="00D10DAB"/>
    <w:rsid w:val="00D13824"/>
    <w:rsid w:val="00D15817"/>
    <w:rsid w:val="00D15A31"/>
    <w:rsid w:val="00D20032"/>
    <w:rsid w:val="00D203CB"/>
    <w:rsid w:val="00D20524"/>
    <w:rsid w:val="00D20DDB"/>
    <w:rsid w:val="00D23619"/>
    <w:rsid w:val="00D251F3"/>
    <w:rsid w:val="00D26B0F"/>
    <w:rsid w:val="00D3114B"/>
    <w:rsid w:val="00D32449"/>
    <w:rsid w:val="00D325D9"/>
    <w:rsid w:val="00D335BA"/>
    <w:rsid w:val="00D35E30"/>
    <w:rsid w:val="00D36BBF"/>
    <w:rsid w:val="00D36FB9"/>
    <w:rsid w:val="00D40F5D"/>
    <w:rsid w:val="00D41DC4"/>
    <w:rsid w:val="00D43921"/>
    <w:rsid w:val="00D4467A"/>
    <w:rsid w:val="00D44E0C"/>
    <w:rsid w:val="00D454CC"/>
    <w:rsid w:val="00D45794"/>
    <w:rsid w:val="00D46415"/>
    <w:rsid w:val="00D4681C"/>
    <w:rsid w:val="00D476EE"/>
    <w:rsid w:val="00D50D89"/>
    <w:rsid w:val="00D5346A"/>
    <w:rsid w:val="00D53D55"/>
    <w:rsid w:val="00D56CA4"/>
    <w:rsid w:val="00D60B1B"/>
    <w:rsid w:val="00D60B8D"/>
    <w:rsid w:val="00D6239A"/>
    <w:rsid w:val="00D63CE4"/>
    <w:rsid w:val="00D641E0"/>
    <w:rsid w:val="00D646BC"/>
    <w:rsid w:val="00D65E0A"/>
    <w:rsid w:val="00D66133"/>
    <w:rsid w:val="00D66B9D"/>
    <w:rsid w:val="00D66DE2"/>
    <w:rsid w:val="00D67CCE"/>
    <w:rsid w:val="00D716B2"/>
    <w:rsid w:val="00D7251D"/>
    <w:rsid w:val="00D731DB"/>
    <w:rsid w:val="00D7363F"/>
    <w:rsid w:val="00D73972"/>
    <w:rsid w:val="00D743C2"/>
    <w:rsid w:val="00D74BA8"/>
    <w:rsid w:val="00D76436"/>
    <w:rsid w:val="00D77883"/>
    <w:rsid w:val="00D77CFA"/>
    <w:rsid w:val="00D82D9B"/>
    <w:rsid w:val="00D84B2E"/>
    <w:rsid w:val="00D85B24"/>
    <w:rsid w:val="00D86285"/>
    <w:rsid w:val="00D87907"/>
    <w:rsid w:val="00D90FA4"/>
    <w:rsid w:val="00D9144E"/>
    <w:rsid w:val="00D92A7F"/>
    <w:rsid w:val="00D9376E"/>
    <w:rsid w:val="00D94154"/>
    <w:rsid w:val="00D9543F"/>
    <w:rsid w:val="00D96332"/>
    <w:rsid w:val="00D97AA0"/>
    <w:rsid w:val="00D97D44"/>
    <w:rsid w:val="00DA2657"/>
    <w:rsid w:val="00DA2E47"/>
    <w:rsid w:val="00DA6C66"/>
    <w:rsid w:val="00DA7F69"/>
    <w:rsid w:val="00DB0D9B"/>
    <w:rsid w:val="00DB29D6"/>
    <w:rsid w:val="00DB3593"/>
    <w:rsid w:val="00DB43AB"/>
    <w:rsid w:val="00DB4EF1"/>
    <w:rsid w:val="00DB6FFC"/>
    <w:rsid w:val="00DB7775"/>
    <w:rsid w:val="00DC035A"/>
    <w:rsid w:val="00DC11BC"/>
    <w:rsid w:val="00DC1220"/>
    <w:rsid w:val="00DC2CF3"/>
    <w:rsid w:val="00DC4400"/>
    <w:rsid w:val="00DC50DE"/>
    <w:rsid w:val="00DD0E5A"/>
    <w:rsid w:val="00DD2538"/>
    <w:rsid w:val="00DD41A6"/>
    <w:rsid w:val="00DD4ACD"/>
    <w:rsid w:val="00DD7B86"/>
    <w:rsid w:val="00DD7D0F"/>
    <w:rsid w:val="00DD7F37"/>
    <w:rsid w:val="00DE265E"/>
    <w:rsid w:val="00DE2F02"/>
    <w:rsid w:val="00DE2F85"/>
    <w:rsid w:val="00DE38F3"/>
    <w:rsid w:val="00DE5E23"/>
    <w:rsid w:val="00DF2A52"/>
    <w:rsid w:val="00DF48B7"/>
    <w:rsid w:val="00DF69F8"/>
    <w:rsid w:val="00DF7B63"/>
    <w:rsid w:val="00E02445"/>
    <w:rsid w:val="00E0289F"/>
    <w:rsid w:val="00E05251"/>
    <w:rsid w:val="00E12A02"/>
    <w:rsid w:val="00E13687"/>
    <w:rsid w:val="00E13ED3"/>
    <w:rsid w:val="00E143C9"/>
    <w:rsid w:val="00E16A06"/>
    <w:rsid w:val="00E20C19"/>
    <w:rsid w:val="00E21260"/>
    <w:rsid w:val="00E24300"/>
    <w:rsid w:val="00E24834"/>
    <w:rsid w:val="00E27D88"/>
    <w:rsid w:val="00E3027A"/>
    <w:rsid w:val="00E329F6"/>
    <w:rsid w:val="00E32C63"/>
    <w:rsid w:val="00E32EC0"/>
    <w:rsid w:val="00E33A89"/>
    <w:rsid w:val="00E41733"/>
    <w:rsid w:val="00E41D52"/>
    <w:rsid w:val="00E43081"/>
    <w:rsid w:val="00E45C92"/>
    <w:rsid w:val="00E46D2F"/>
    <w:rsid w:val="00E47984"/>
    <w:rsid w:val="00E51EF9"/>
    <w:rsid w:val="00E53CE3"/>
    <w:rsid w:val="00E54662"/>
    <w:rsid w:val="00E55964"/>
    <w:rsid w:val="00E60451"/>
    <w:rsid w:val="00E60F6F"/>
    <w:rsid w:val="00E61B32"/>
    <w:rsid w:val="00E6282F"/>
    <w:rsid w:val="00E63267"/>
    <w:rsid w:val="00E63475"/>
    <w:rsid w:val="00E63A44"/>
    <w:rsid w:val="00E63A6D"/>
    <w:rsid w:val="00E641E4"/>
    <w:rsid w:val="00E64D01"/>
    <w:rsid w:val="00E65422"/>
    <w:rsid w:val="00E66FDB"/>
    <w:rsid w:val="00E72363"/>
    <w:rsid w:val="00E7496C"/>
    <w:rsid w:val="00E75314"/>
    <w:rsid w:val="00E75FB4"/>
    <w:rsid w:val="00E769AE"/>
    <w:rsid w:val="00E76A1F"/>
    <w:rsid w:val="00E76CAE"/>
    <w:rsid w:val="00E778C7"/>
    <w:rsid w:val="00E77DB9"/>
    <w:rsid w:val="00E808FB"/>
    <w:rsid w:val="00E837BF"/>
    <w:rsid w:val="00E84008"/>
    <w:rsid w:val="00E85C30"/>
    <w:rsid w:val="00E9117A"/>
    <w:rsid w:val="00E915C7"/>
    <w:rsid w:val="00E93492"/>
    <w:rsid w:val="00E94423"/>
    <w:rsid w:val="00EA096B"/>
    <w:rsid w:val="00EA342C"/>
    <w:rsid w:val="00EA7392"/>
    <w:rsid w:val="00EB206D"/>
    <w:rsid w:val="00EB4420"/>
    <w:rsid w:val="00EB4C95"/>
    <w:rsid w:val="00EB51AA"/>
    <w:rsid w:val="00EB542F"/>
    <w:rsid w:val="00EB760D"/>
    <w:rsid w:val="00EB7DB0"/>
    <w:rsid w:val="00EC10C1"/>
    <w:rsid w:val="00EC1F2C"/>
    <w:rsid w:val="00EC1F4A"/>
    <w:rsid w:val="00EC251E"/>
    <w:rsid w:val="00EC256E"/>
    <w:rsid w:val="00EC258B"/>
    <w:rsid w:val="00EC36DE"/>
    <w:rsid w:val="00EC5805"/>
    <w:rsid w:val="00EC5C2E"/>
    <w:rsid w:val="00EC6230"/>
    <w:rsid w:val="00ED00B0"/>
    <w:rsid w:val="00ED1FD3"/>
    <w:rsid w:val="00ED305E"/>
    <w:rsid w:val="00ED45B0"/>
    <w:rsid w:val="00ED77F7"/>
    <w:rsid w:val="00EE14A5"/>
    <w:rsid w:val="00EE3263"/>
    <w:rsid w:val="00EE4D25"/>
    <w:rsid w:val="00EE4E20"/>
    <w:rsid w:val="00EE626B"/>
    <w:rsid w:val="00EE71D8"/>
    <w:rsid w:val="00EF0721"/>
    <w:rsid w:val="00EF0BA5"/>
    <w:rsid w:val="00EF18E8"/>
    <w:rsid w:val="00EF67EF"/>
    <w:rsid w:val="00F01F99"/>
    <w:rsid w:val="00F0402B"/>
    <w:rsid w:val="00F042F3"/>
    <w:rsid w:val="00F044CC"/>
    <w:rsid w:val="00F04FC2"/>
    <w:rsid w:val="00F100F3"/>
    <w:rsid w:val="00F15560"/>
    <w:rsid w:val="00F163BC"/>
    <w:rsid w:val="00F20D2B"/>
    <w:rsid w:val="00F225B0"/>
    <w:rsid w:val="00F25ECD"/>
    <w:rsid w:val="00F30971"/>
    <w:rsid w:val="00F33816"/>
    <w:rsid w:val="00F33D86"/>
    <w:rsid w:val="00F35987"/>
    <w:rsid w:val="00F44D39"/>
    <w:rsid w:val="00F44D7E"/>
    <w:rsid w:val="00F45509"/>
    <w:rsid w:val="00F5444A"/>
    <w:rsid w:val="00F559A8"/>
    <w:rsid w:val="00F55AA4"/>
    <w:rsid w:val="00F57115"/>
    <w:rsid w:val="00F57660"/>
    <w:rsid w:val="00F57D89"/>
    <w:rsid w:val="00F57E58"/>
    <w:rsid w:val="00F60656"/>
    <w:rsid w:val="00F64759"/>
    <w:rsid w:val="00F66554"/>
    <w:rsid w:val="00F70359"/>
    <w:rsid w:val="00F71008"/>
    <w:rsid w:val="00F7493B"/>
    <w:rsid w:val="00F74EF1"/>
    <w:rsid w:val="00F755DB"/>
    <w:rsid w:val="00F7694E"/>
    <w:rsid w:val="00F778B7"/>
    <w:rsid w:val="00F8110E"/>
    <w:rsid w:val="00F848CA"/>
    <w:rsid w:val="00F84CFD"/>
    <w:rsid w:val="00F85350"/>
    <w:rsid w:val="00F85B1C"/>
    <w:rsid w:val="00F87813"/>
    <w:rsid w:val="00F878D4"/>
    <w:rsid w:val="00F91876"/>
    <w:rsid w:val="00F91D20"/>
    <w:rsid w:val="00F91E52"/>
    <w:rsid w:val="00F921EB"/>
    <w:rsid w:val="00F94B94"/>
    <w:rsid w:val="00FA0D72"/>
    <w:rsid w:val="00FA1BB3"/>
    <w:rsid w:val="00FA1CE3"/>
    <w:rsid w:val="00FA4E09"/>
    <w:rsid w:val="00FA50D6"/>
    <w:rsid w:val="00FA5D4E"/>
    <w:rsid w:val="00FA6F78"/>
    <w:rsid w:val="00FB059E"/>
    <w:rsid w:val="00FB2703"/>
    <w:rsid w:val="00FB3A28"/>
    <w:rsid w:val="00FB6FCF"/>
    <w:rsid w:val="00FC17F0"/>
    <w:rsid w:val="00FC258C"/>
    <w:rsid w:val="00FC3660"/>
    <w:rsid w:val="00FC58F4"/>
    <w:rsid w:val="00FC5EAE"/>
    <w:rsid w:val="00FC6598"/>
    <w:rsid w:val="00FC6CBC"/>
    <w:rsid w:val="00FD2A47"/>
    <w:rsid w:val="00FD701D"/>
    <w:rsid w:val="00FE091E"/>
    <w:rsid w:val="00FE3FD9"/>
    <w:rsid w:val="00FE61CA"/>
    <w:rsid w:val="00FE67B2"/>
    <w:rsid w:val="00FE6963"/>
    <w:rsid w:val="00FF0872"/>
    <w:rsid w:val="00FF214A"/>
    <w:rsid w:val="00FF23E4"/>
    <w:rsid w:val="00FF66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85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autoRedefine/>
    <w:qFormat/>
    <w:rsid w:val="000D38B4"/>
    <w:pPr>
      <w:keepNext/>
      <w:spacing w:before="240" w:after="120"/>
      <w:ind w:left="1134" w:hanging="425"/>
      <w:outlineLvl w:val="0"/>
    </w:pPr>
    <w:rPr>
      <w:b/>
      <w:kern w:val="28"/>
    </w:rPr>
  </w:style>
  <w:style w:type="paragraph" w:styleId="Titre2">
    <w:name w:val="heading 2"/>
    <w:basedOn w:val="Normal"/>
    <w:next w:val="Normal"/>
    <w:autoRedefine/>
    <w:qFormat/>
    <w:rsid w:val="000C4DF1"/>
    <w:pPr>
      <w:keepNext/>
      <w:numPr>
        <w:numId w:val="10"/>
      </w:numPr>
      <w:tabs>
        <w:tab w:val="left" w:pos="1134"/>
      </w:tabs>
      <w:spacing w:before="120" w:after="120"/>
      <w:jc w:val="both"/>
      <w:outlineLvl w:val="1"/>
    </w:pPr>
    <w:rPr>
      <w:b/>
      <w:iCs/>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autoRedefine/>
    <w:qFormat/>
    <w:rsid w:val="00136A08"/>
    <w:pPr>
      <w:numPr>
        <w:numId w:val="1"/>
      </w:numPr>
      <w:tabs>
        <w:tab w:val="clear" w:pos="360"/>
        <w:tab w:val="num" w:pos="0"/>
      </w:tabs>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iPriority w:val="99"/>
    <w:unhideWhenUsed/>
    <w:rsid w:val="001A5015"/>
    <w:pPr>
      <w:tabs>
        <w:tab w:val="center" w:pos="4320"/>
        <w:tab w:val="right" w:pos="8640"/>
      </w:tabs>
    </w:pPr>
  </w:style>
  <w:style w:type="character" w:customStyle="1" w:styleId="En-tteCar">
    <w:name w:val="En-tête Car"/>
    <w:link w:val="En-tte"/>
    <w:uiPriority w:val="99"/>
    <w:rsid w:val="001A5015"/>
    <w:rPr>
      <w:rFonts w:ascii="Arial" w:hAnsi="Arial"/>
      <w:sz w:val="24"/>
      <w:lang w:eastAsia="fr-FR"/>
    </w:rPr>
  </w:style>
  <w:style w:type="paragraph" w:styleId="Pieddepage">
    <w:name w:val="footer"/>
    <w:basedOn w:val="Normal"/>
    <w:link w:val="PieddepageCar"/>
    <w:uiPriority w:val="99"/>
    <w:unhideWhenUsed/>
    <w:rsid w:val="001A5015"/>
    <w:pPr>
      <w:tabs>
        <w:tab w:val="center" w:pos="4320"/>
        <w:tab w:val="right" w:pos="8640"/>
      </w:tabs>
    </w:pPr>
  </w:style>
  <w:style w:type="character" w:customStyle="1" w:styleId="PieddepageCar">
    <w:name w:val="Pied de page Car"/>
    <w:link w:val="Pieddepage"/>
    <w:uiPriority w:val="99"/>
    <w:rsid w:val="001A5015"/>
    <w:rPr>
      <w:rFonts w:ascii="Arial" w:hAnsi="Arial"/>
      <w:sz w:val="24"/>
      <w:lang w:eastAsia="fr-FR"/>
    </w:rPr>
  </w:style>
  <w:style w:type="character" w:styleId="Appelnotedebasdep">
    <w:name w:val="footnote reference"/>
    <w:uiPriority w:val="99"/>
    <w:unhideWhenUsed/>
    <w:rsid w:val="00E63475"/>
    <w:rPr>
      <w:vertAlign w:val="superscript"/>
    </w:rPr>
  </w:style>
  <w:style w:type="character" w:styleId="Marquedecommentaire">
    <w:name w:val="annotation reference"/>
    <w:uiPriority w:val="99"/>
    <w:semiHidden/>
    <w:unhideWhenUsed/>
    <w:rsid w:val="00EC1F2C"/>
    <w:rPr>
      <w:sz w:val="16"/>
      <w:szCs w:val="16"/>
    </w:rPr>
  </w:style>
  <w:style w:type="paragraph" w:styleId="Commentaire">
    <w:name w:val="annotation text"/>
    <w:basedOn w:val="Normal"/>
    <w:link w:val="CommentaireCar"/>
    <w:uiPriority w:val="99"/>
    <w:unhideWhenUsed/>
    <w:rsid w:val="00EC1F2C"/>
    <w:rPr>
      <w:sz w:val="20"/>
    </w:rPr>
  </w:style>
  <w:style w:type="character" w:customStyle="1" w:styleId="CommentaireCar">
    <w:name w:val="Commentaire Car"/>
    <w:link w:val="Commentaire"/>
    <w:uiPriority w:val="99"/>
    <w:rsid w:val="00EC1F2C"/>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EC1F2C"/>
    <w:rPr>
      <w:b/>
      <w:bCs/>
    </w:rPr>
  </w:style>
  <w:style w:type="character" w:customStyle="1" w:styleId="ObjetducommentaireCar">
    <w:name w:val="Objet du commentaire Car"/>
    <w:link w:val="Objetducommentaire"/>
    <w:uiPriority w:val="99"/>
    <w:semiHidden/>
    <w:rsid w:val="00EC1F2C"/>
    <w:rPr>
      <w:rFonts w:ascii="Arial" w:hAnsi="Arial"/>
      <w:b/>
      <w:bCs/>
      <w:lang w:eastAsia="fr-FR"/>
    </w:rPr>
  </w:style>
  <w:style w:type="paragraph" w:styleId="Textedebulles">
    <w:name w:val="Balloon Text"/>
    <w:basedOn w:val="Normal"/>
    <w:link w:val="TextedebullesCar"/>
    <w:uiPriority w:val="99"/>
    <w:semiHidden/>
    <w:unhideWhenUsed/>
    <w:rsid w:val="00EC1F2C"/>
    <w:rPr>
      <w:rFonts w:ascii="Segoe UI" w:hAnsi="Segoe UI" w:cs="Segoe UI"/>
      <w:sz w:val="18"/>
      <w:szCs w:val="18"/>
    </w:rPr>
  </w:style>
  <w:style w:type="character" w:customStyle="1" w:styleId="TextedebullesCar">
    <w:name w:val="Texte de bulles Car"/>
    <w:link w:val="Textedebulles"/>
    <w:uiPriority w:val="99"/>
    <w:semiHidden/>
    <w:rsid w:val="00EC1F2C"/>
    <w:rPr>
      <w:rFonts w:ascii="Segoe UI" w:hAnsi="Segoe UI" w:cs="Segoe UI"/>
      <w:sz w:val="18"/>
      <w:szCs w:val="18"/>
      <w:lang w:eastAsia="fr-FR"/>
    </w:rPr>
  </w:style>
  <w:style w:type="character" w:customStyle="1" w:styleId="reflex3-alt">
    <w:name w:val="reflex3-alt"/>
    <w:rsid w:val="0074477C"/>
  </w:style>
  <w:style w:type="paragraph" w:styleId="Paragraphedeliste">
    <w:name w:val="List Paragraph"/>
    <w:basedOn w:val="Normal"/>
    <w:uiPriority w:val="34"/>
    <w:qFormat/>
    <w:rsid w:val="00252CD8"/>
    <w:pPr>
      <w:ind w:left="708"/>
    </w:pPr>
  </w:style>
  <w:style w:type="character" w:customStyle="1" w:styleId="NotedebasdepageCar">
    <w:name w:val="Note de bas de page Car"/>
    <w:link w:val="Notedebasdepage"/>
    <w:uiPriority w:val="99"/>
    <w:rsid w:val="00EC1F4A"/>
    <w:rPr>
      <w:rFonts w:ascii="Arial" w:hAnsi="Arial"/>
      <w:lang w:eastAsia="fr-FR"/>
    </w:rPr>
  </w:style>
  <w:style w:type="character" w:customStyle="1" w:styleId="ParagrapheCar">
    <w:name w:val="Paragraphe Car"/>
    <w:link w:val="Paragraphe"/>
    <w:qFormat/>
    <w:rsid w:val="00136A08"/>
    <w:rPr>
      <w:rFonts w:ascii="Arial" w:hAnsi="Arial"/>
      <w:kern w:val="28"/>
      <w:sz w:val="24"/>
      <w:lang w:eastAsia="fr-FR"/>
    </w:rPr>
  </w:style>
  <w:style w:type="character" w:customStyle="1" w:styleId="reference1">
    <w:name w:val="reference1"/>
    <w:rsid w:val="008E1472"/>
  </w:style>
  <w:style w:type="character" w:customStyle="1" w:styleId="reflex">
    <w:name w:val="reflex"/>
    <w:basedOn w:val="Policepardfaut"/>
    <w:rsid w:val="000C2F1F"/>
  </w:style>
  <w:style w:type="character" w:customStyle="1" w:styleId="reflex3-block">
    <w:name w:val="reflex3-block"/>
    <w:basedOn w:val="Policepardfaut"/>
    <w:rsid w:val="000C2F1F"/>
  </w:style>
  <w:style w:type="character" w:styleId="Hyperlien">
    <w:name w:val="Hyperlink"/>
    <w:basedOn w:val="Policepardfaut"/>
    <w:uiPriority w:val="99"/>
    <w:unhideWhenUsed/>
    <w:rsid w:val="000C2F1F"/>
    <w:rPr>
      <w:color w:val="0000FF"/>
      <w:u w:val="single"/>
    </w:rPr>
  </w:style>
  <w:style w:type="character" w:customStyle="1" w:styleId="Mentionnonrsolue1">
    <w:name w:val="Mention non résolue1"/>
    <w:basedOn w:val="Policepardfaut"/>
    <w:uiPriority w:val="99"/>
    <w:semiHidden/>
    <w:unhideWhenUsed/>
    <w:rsid w:val="00EF0721"/>
    <w:rPr>
      <w:color w:val="605E5C"/>
      <w:shd w:val="clear" w:color="auto" w:fill="E1DFDD"/>
    </w:rPr>
  </w:style>
  <w:style w:type="paragraph" w:styleId="Sous-titre">
    <w:name w:val="Subtitle"/>
    <w:basedOn w:val="Normal"/>
    <w:next w:val="Normal"/>
    <w:link w:val="Sous-titreCar"/>
    <w:autoRedefine/>
    <w:uiPriority w:val="11"/>
    <w:qFormat/>
    <w:rsid w:val="007214D3"/>
    <w:pPr>
      <w:numPr>
        <w:numId w:val="2"/>
      </w:numPr>
      <w:spacing w:before="120" w:after="120"/>
      <w:ind w:left="1134" w:hanging="425"/>
      <w:jc w:val="both"/>
    </w:pPr>
    <w:rPr>
      <w:rFonts w:eastAsiaTheme="minorEastAsia" w:cstheme="minorBidi"/>
      <w:b/>
      <w:i/>
      <w:szCs w:val="22"/>
    </w:rPr>
  </w:style>
  <w:style w:type="character" w:customStyle="1" w:styleId="Sous-titreCar">
    <w:name w:val="Sous-titre Car"/>
    <w:basedOn w:val="Policepardfaut"/>
    <w:link w:val="Sous-titre"/>
    <w:uiPriority w:val="11"/>
    <w:rsid w:val="007214D3"/>
    <w:rPr>
      <w:rFonts w:ascii="Arial" w:eastAsiaTheme="minorEastAsia" w:hAnsi="Arial" w:cstheme="minorBidi"/>
      <w:b/>
      <w:i/>
      <w:sz w:val="24"/>
      <w:szCs w:val="22"/>
      <w:lang w:eastAsia="fr-FR"/>
    </w:rPr>
  </w:style>
  <w:style w:type="paragraph" w:customStyle="1" w:styleId="Default">
    <w:name w:val="Default"/>
    <w:rsid w:val="00B0049E"/>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apple-converted-space">
    <w:name w:val="apple-converted-space"/>
    <w:basedOn w:val="Policepardfaut"/>
    <w:rsid w:val="00B0049E"/>
  </w:style>
  <w:style w:type="character" w:styleId="Appeldenotedefin">
    <w:name w:val="endnote reference"/>
    <w:basedOn w:val="Policepardfaut"/>
    <w:uiPriority w:val="99"/>
    <w:semiHidden/>
    <w:unhideWhenUsed/>
    <w:rsid w:val="002F6A5A"/>
    <w:rPr>
      <w:vertAlign w:val="superscript"/>
    </w:rPr>
  </w:style>
  <w:style w:type="paragraph" w:styleId="NormalWeb">
    <w:name w:val="Normal (Web)"/>
    <w:basedOn w:val="Normal"/>
    <w:uiPriority w:val="99"/>
    <w:semiHidden/>
    <w:unhideWhenUsed/>
    <w:rsid w:val="002F18AF"/>
    <w:pPr>
      <w:spacing w:before="100" w:beforeAutospacing="1" w:after="100" w:afterAutospacing="1"/>
    </w:pPr>
    <w:rPr>
      <w:rFonts w:ascii="Times New Roman" w:hAnsi="Times New Roman"/>
      <w:szCs w:val="24"/>
      <w:lang w:eastAsia="fr-CA"/>
    </w:rPr>
  </w:style>
  <w:style w:type="character" w:customStyle="1" w:styleId="fw-bold">
    <w:name w:val="fw-bold"/>
    <w:basedOn w:val="Policepardfaut"/>
    <w:rsid w:val="00F33D86"/>
  </w:style>
  <w:style w:type="character" w:styleId="Mentionnonrsolue">
    <w:name w:val="Unresolved Mention"/>
    <w:basedOn w:val="Policepardfaut"/>
    <w:uiPriority w:val="99"/>
    <w:semiHidden/>
    <w:unhideWhenUsed/>
    <w:rsid w:val="008B457D"/>
    <w:rPr>
      <w:color w:val="605E5C"/>
      <w:shd w:val="clear" w:color="auto" w:fill="E1DFDD"/>
    </w:rPr>
  </w:style>
  <w:style w:type="paragraph" w:styleId="Rvision">
    <w:name w:val="Revision"/>
    <w:hidden/>
    <w:uiPriority w:val="99"/>
    <w:semiHidden/>
    <w:rsid w:val="00AD1016"/>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DC95-7FE2-4C74-92F7-471BE5B1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3669</Words>
  <Characters>20185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2025-03-17T18:08:00Z</dcterms:created>
  <dcterms:modified xsi:type="dcterms:W3CDTF">2025-03-17T18:08:00Z</dcterms:modified>
</cp:coreProperties>
</file>